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04BBA092" w:rsidR="006B0859" w:rsidRPr="00FB0EB9" w:rsidRDefault="00502AF3" w:rsidP="7535A791">
      <w:pPr>
        <w:rPr>
          <w:rFonts w:ascii="Arial" w:eastAsiaTheme="majorEastAsia" w:hAnsi="Arial" w:cstheme="majorBidi"/>
          <w:b/>
          <w:bCs/>
          <w:color w:val="005EB8"/>
          <w:spacing w:val="-10"/>
          <w:kern w:val="28"/>
          <w:sz w:val="32"/>
          <w:szCs w:val="32"/>
          <w14:ligatures w14:val="none"/>
        </w:rPr>
      </w:pPr>
      <w:r w:rsidRPr="7535A791">
        <w:rPr>
          <w:rFonts w:ascii="Arial" w:eastAsiaTheme="majorEastAsia" w:hAnsi="Arial" w:cstheme="majorBidi"/>
          <w:b/>
          <w:bCs/>
          <w:color w:val="005EB8"/>
          <w:spacing w:val="-10"/>
          <w:kern w:val="28"/>
          <w:sz w:val="32"/>
          <w:szCs w:val="32"/>
          <w14:ligatures w14:val="none"/>
        </w:rPr>
        <w:t>Drug and Alcohol Service</w:t>
      </w:r>
      <w:r w:rsidR="004342D5">
        <w:rPr>
          <w:rFonts w:ascii="Arial" w:eastAsiaTheme="majorEastAsia" w:hAnsi="Arial" w:cstheme="majorBidi"/>
          <w:b/>
          <w:bCs/>
          <w:color w:val="005EB8"/>
          <w:spacing w:val="-10"/>
          <w:kern w:val="28"/>
          <w:sz w:val="32"/>
          <w:szCs w:val="32"/>
          <w14:ligatures w14:val="none"/>
        </w:rPr>
        <w:t>s</w:t>
      </w:r>
      <w:r w:rsidR="00915FFC" w:rsidRPr="7535A791">
        <w:rPr>
          <w:rFonts w:ascii="Arial" w:eastAsiaTheme="majorEastAsia" w:hAnsi="Arial" w:cstheme="majorBidi"/>
          <w:b/>
          <w:bCs/>
          <w:color w:val="005EB8"/>
          <w:spacing w:val="-10"/>
          <w:kern w:val="28"/>
          <w:sz w:val="32"/>
          <w:szCs w:val="32"/>
          <w14:ligatures w14:val="none"/>
        </w:rPr>
        <w:t xml:space="preserve"> in Bath and </w:t>
      </w:r>
      <w:proofErr w:type="gramStart"/>
      <w:r w:rsidR="00915FFC" w:rsidRPr="7535A791">
        <w:rPr>
          <w:rFonts w:ascii="Arial" w:eastAsiaTheme="majorEastAsia" w:hAnsi="Arial" w:cstheme="majorBidi"/>
          <w:b/>
          <w:bCs/>
          <w:color w:val="005EB8"/>
          <w:spacing w:val="-10"/>
          <w:kern w:val="28"/>
          <w:sz w:val="32"/>
          <w:szCs w:val="32"/>
          <w14:ligatures w14:val="none"/>
        </w:rPr>
        <w:t>North East</w:t>
      </w:r>
      <w:proofErr w:type="gramEnd"/>
      <w:r w:rsidR="00915FFC" w:rsidRPr="7535A791">
        <w:rPr>
          <w:rFonts w:ascii="Arial" w:eastAsiaTheme="majorEastAsia" w:hAnsi="Arial" w:cstheme="majorBidi"/>
          <w:b/>
          <w:bCs/>
          <w:color w:val="005EB8"/>
          <w:spacing w:val="-10"/>
          <w:kern w:val="28"/>
          <w:sz w:val="32"/>
          <w:szCs w:val="32"/>
          <w14:ligatures w14:val="none"/>
        </w:rPr>
        <w:t xml:space="preserve"> Somerset</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64B354FC"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sidR="00B05F38" w:rsidRPr="00502AF3">
        <w:rPr>
          <w:rFonts w:ascii="Arial" w:eastAsiaTheme="majorEastAsia" w:hAnsi="Arial" w:cstheme="majorBidi"/>
          <w:b/>
          <w:color w:val="005EB8"/>
          <w:spacing w:val="-10"/>
          <w:kern w:val="28"/>
          <w:sz w:val="28"/>
          <w:szCs w:val="28"/>
          <w14:ligatures w14:val="none"/>
        </w:rPr>
        <w:t>CR000</w:t>
      </w:r>
      <w:r w:rsidR="00502AF3" w:rsidRPr="00502AF3">
        <w:rPr>
          <w:rFonts w:ascii="Arial" w:eastAsiaTheme="majorEastAsia" w:hAnsi="Arial" w:cstheme="majorBidi"/>
          <w:b/>
          <w:color w:val="005EB8"/>
          <w:spacing w:val="-10"/>
          <w:kern w:val="28"/>
          <w:sz w:val="28"/>
          <w:szCs w:val="28"/>
          <w14:ligatures w14:val="none"/>
        </w:rPr>
        <w:t>8</w:t>
      </w:r>
      <w:r w:rsidR="00FB0EB9" w:rsidRPr="00502AF3">
        <w:rPr>
          <w:rFonts w:ascii="Arial" w:eastAsiaTheme="majorEastAsia" w:hAnsi="Arial" w:cstheme="majorBidi"/>
          <w:b/>
          <w:color w:val="005EB8"/>
          <w:spacing w:val="-10"/>
          <w:kern w:val="28"/>
          <w:sz w:val="28"/>
          <w:szCs w:val="28"/>
          <w14:ligatures w14:val="none"/>
        </w:rPr>
        <w:t>-24</w:t>
      </w:r>
    </w:p>
    <w:p w14:paraId="26863AC5" w14:textId="705A8E71" w:rsidR="00DE244B" w:rsidRDefault="00641153" w:rsidP="008A4B5C">
      <w:pPr>
        <w:rPr>
          <w:rFonts w:ascii="Arial" w:eastAsiaTheme="majorEastAsia" w:hAnsi="Arial" w:cstheme="majorBidi"/>
          <w:b/>
          <w:color w:val="005EB8"/>
          <w:spacing w:val="-10"/>
          <w:kern w:val="28"/>
          <w:sz w:val="28"/>
          <w:szCs w:val="28"/>
          <w14:ligatures w14:val="none"/>
        </w:rPr>
      </w:pPr>
      <w:r>
        <w:rPr>
          <w:rFonts w:ascii="Arial" w:eastAsiaTheme="majorEastAsia" w:hAnsi="Arial" w:cstheme="majorBidi"/>
          <w:b/>
          <w:color w:val="005EB8"/>
          <w:spacing w:val="-10"/>
          <w:kern w:val="28"/>
          <w:sz w:val="28"/>
          <w:szCs w:val="28"/>
          <w14:ligatures w14:val="none"/>
        </w:rPr>
        <w:t>6</w:t>
      </w:r>
      <w:r w:rsidR="00502AF3" w:rsidRPr="00502AF3">
        <w:rPr>
          <w:rFonts w:ascii="Arial" w:eastAsiaTheme="majorEastAsia" w:hAnsi="Arial" w:cstheme="majorBidi"/>
          <w:b/>
          <w:color w:val="005EB8"/>
          <w:spacing w:val="-10"/>
          <w:kern w:val="28"/>
          <w:sz w:val="28"/>
          <w:szCs w:val="28"/>
          <w14:ligatures w14:val="none"/>
        </w:rPr>
        <w:t xml:space="preserve"> February 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7B221D" w:rsidRDefault="0005759A" w:rsidP="00026887">
          <w:pPr>
            <w:rPr>
              <w:lang w:val="en-US"/>
            </w:rPr>
          </w:pPr>
        </w:p>
        <w:p w14:paraId="5C8047B8" w14:textId="45B395D9" w:rsidR="007B221D" w:rsidRPr="007B221D" w:rsidRDefault="005A3C70">
          <w:pPr>
            <w:pStyle w:val="TOC1"/>
            <w:rPr>
              <w:rFonts w:eastAsiaTheme="minorEastAsia"/>
              <w:noProof/>
              <w:sz w:val="24"/>
              <w:szCs w:val="24"/>
              <w:lang w:eastAsia="en-GB"/>
            </w:rPr>
          </w:pPr>
          <w:r w:rsidRPr="007B221D">
            <w:rPr>
              <w:rFonts w:ascii="Arial" w:hAnsi="Arial" w:cs="Arial"/>
            </w:rPr>
            <w:fldChar w:fldCharType="begin"/>
          </w:r>
          <w:r w:rsidRPr="007B221D">
            <w:rPr>
              <w:rFonts w:ascii="Arial" w:hAnsi="Arial" w:cs="Arial"/>
            </w:rPr>
            <w:instrText xml:space="preserve"> TOC \o "1-3" \h \z \u </w:instrText>
          </w:r>
          <w:r w:rsidRPr="007B221D">
            <w:rPr>
              <w:rFonts w:ascii="Arial" w:hAnsi="Arial" w:cs="Arial"/>
            </w:rPr>
            <w:fldChar w:fldCharType="separate"/>
          </w:r>
          <w:hyperlink w:anchor="_Toc189662746" w:history="1">
            <w:r w:rsidR="007B221D" w:rsidRPr="007B221D">
              <w:rPr>
                <w:rStyle w:val="Hyperlink"/>
                <w:rFonts w:ascii="Arial" w:hAnsi="Arial" w:cs="Arial"/>
                <w:noProof/>
              </w:rPr>
              <w:t>1.</w:t>
            </w:r>
            <w:r w:rsidR="007B221D" w:rsidRPr="007B221D">
              <w:rPr>
                <w:rFonts w:eastAsiaTheme="minorEastAsia"/>
                <w:noProof/>
                <w:sz w:val="24"/>
                <w:szCs w:val="24"/>
                <w:lang w:eastAsia="en-GB"/>
              </w:rPr>
              <w:tab/>
            </w:r>
            <w:r w:rsidR="007B221D" w:rsidRPr="007B221D">
              <w:rPr>
                <w:rStyle w:val="Hyperlink"/>
                <w:rFonts w:ascii="Arial" w:hAnsi="Arial" w:cs="Arial"/>
                <w:noProof/>
              </w:rPr>
              <w:t>Executive Summary</w:t>
            </w:r>
            <w:r w:rsidR="007B221D" w:rsidRPr="007B221D">
              <w:rPr>
                <w:noProof/>
                <w:webHidden/>
              </w:rPr>
              <w:tab/>
            </w:r>
            <w:r w:rsidR="007B221D" w:rsidRPr="007B221D">
              <w:rPr>
                <w:noProof/>
                <w:webHidden/>
              </w:rPr>
              <w:fldChar w:fldCharType="begin"/>
            </w:r>
            <w:r w:rsidR="007B221D" w:rsidRPr="007B221D">
              <w:rPr>
                <w:noProof/>
                <w:webHidden/>
              </w:rPr>
              <w:instrText xml:space="preserve"> PAGEREF _Toc189662746 \h </w:instrText>
            </w:r>
            <w:r w:rsidR="007B221D" w:rsidRPr="007B221D">
              <w:rPr>
                <w:noProof/>
                <w:webHidden/>
              </w:rPr>
            </w:r>
            <w:r w:rsidR="007B221D" w:rsidRPr="007B221D">
              <w:rPr>
                <w:noProof/>
                <w:webHidden/>
              </w:rPr>
              <w:fldChar w:fldCharType="separate"/>
            </w:r>
            <w:r w:rsidR="0023016C">
              <w:rPr>
                <w:noProof/>
                <w:webHidden/>
              </w:rPr>
              <w:t>3</w:t>
            </w:r>
            <w:r w:rsidR="007B221D" w:rsidRPr="007B221D">
              <w:rPr>
                <w:noProof/>
                <w:webHidden/>
              </w:rPr>
              <w:fldChar w:fldCharType="end"/>
            </w:r>
          </w:hyperlink>
        </w:p>
        <w:p w14:paraId="404C5102" w14:textId="527BFB30" w:rsidR="007B221D" w:rsidRPr="007B221D" w:rsidRDefault="007B221D">
          <w:pPr>
            <w:pStyle w:val="TOC1"/>
            <w:rPr>
              <w:rFonts w:eastAsiaTheme="minorEastAsia"/>
              <w:noProof/>
              <w:sz w:val="24"/>
              <w:szCs w:val="24"/>
              <w:lang w:eastAsia="en-GB"/>
            </w:rPr>
          </w:pPr>
          <w:hyperlink w:anchor="_Toc189662747" w:history="1">
            <w:r w:rsidRPr="007B221D">
              <w:rPr>
                <w:rStyle w:val="Hyperlink"/>
                <w:rFonts w:ascii="Arial" w:hAnsi="Arial" w:cs="Arial"/>
                <w:noProof/>
              </w:rPr>
              <w:t>2.</w:t>
            </w:r>
            <w:r w:rsidRPr="007B221D">
              <w:rPr>
                <w:rFonts w:eastAsiaTheme="minorEastAsia"/>
                <w:noProof/>
                <w:sz w:val="24"/>
                <w:szCs w:val="24"/>
                <w:lang w:eastAsia="en-GB"/>
              </w:rPr>
              <w:tab/>
            </w:r>
            <w:r w:rsidRPr="007B221D">
              <w:rPr>
                <w:rStyle w:val="Hyperlink"/>
                <w:rFonts w:ascii="Arial" w:hAnsi="Arial" w:cs="Arial"/>
                <w:noProof/>
              </w:rPr>
              <w:t>Introduction</w:t>
            </w:r>
            <w:r w:rsidRPr="007B221D">
              <w:rPr>
                <w:noProof/>
                <w:webHidden/>
              </w:rPr>
              <w:tab/>
            </w:r>
            <w:r w:rsidRPr="007B221D">
              <w:rPr>
                <w:noProof/>
                <w:webHidden/>
              </w:rPr>
              <w:fldChar w:fldCharType="begin"/>
            </w:r>
            <w:r w:rsidRPr="007B221D">
              <w:rPr>
                <w:noProof/>
                <w:webHidden/>
              </w:rPr>
              <w:instrText xml:space="preserve"> PAGEREF _Toc189662747 \h </w:instrText>
            </w:r>
            <w:r w:rsidRPr="007B221D">
              <w:rPr>
                <w:noProof/>
                <w:webHidden/>
              </w:rPr>
            </w:r>
            <w:r w:rsidRPr="007B221D">
              <w:rPr>
                <w:noProof/>
                <w:webHidden/>
              </w:rPr>
              <w:fldChar w:fldCharType="separate"/>
            </w:r>
            <w:r w:rsidR="0023016C">
              <w:rPr>
                <w:noProof/>
                <w:webHidden/>
              </w:rPr>
              <w:t>5</w:t>
            </w:r>
            <w:r w:rsidRPr="007B221D">
              <w:rPr>
                <w:noProof/>
                <w:webHidden/>
              </w:rPr>
              <w:fldChar w:fldCharType="end"/>
            </w:r>
          </w:hyperlink>
        </w:p>
        <w:p w14:paraId="4ACC9A89" w14:textId="7EADC4AC" w:rsidR="007B221D" w:rsidRPr="007B221D" w:rsidRDefault="007B221D">
          <w:pPr>
            <w:pStyle w:val="TOC1"/>
            <w:rPr>
              <w:rFonts w:eastAsiaTheme="minorEastAsia"/>
              <w:noProof/>
              <w:sz w:val="24"/>
              <w:szCs w:val="24"/>
              <w:lang w:eastAsia="en-GB"/>
            </w:rPr>
          </w:pPr>
          <w:hyperlink w:anchor="_Toc189662748" w:history="1">
            <w:r w:rsidRPr="007B221D">
              <w:rPr>
                <w:rStyle w:val="Hyperlink"/>
                <w:rFonts w:ascii="Arial" w:hAnsi="Arial" w:cs="Arial"/>
                <w:noProof/>
              </w:rPr>
              <w:t>3.</w:t>
            </w:r>
            <w:r w:rsidRPr="007B221D">
              <w:rPr>
                <w:rFonts w:eastAsiaTheme="minorEastAsia"/>
                <w:noProof/>
                <w:sz w:val="24"/>
                <w:szCs w:val="24"/>
                <w:lang w:eastAsia="en-GB"/>
              </w:rPr>
              <w:tab/>
            </w:r>
            <w:r w:rsidRPr="007B221D">
              <w:rPr>
                <w:rStyle w:val="Hyperlink"/>
                <w:rFonts w:ascii="Arial" w:hAnsi="Arial" w:cs="Arial"/>
                <w:noProof/>
              </w:rPr>
              <w:t>Role of the Panel</w:t>
            </w:r>
            <w:r w:rsidRPr="007B221D">
              <w:rPr>
                <w:noProof/>
                <w:webHidden/>
              </w:rPr>
              <w:tab/>
            </w:r>
            <w:r w:rsidRPr="007B221D">
              <w:rPr>
                <w:noProof/>
                <w:webHidden/>
              </w:rPr>
              <w:fldChar w:fldCharType="begin"/>
            </w:r>
            <w:r w:rsidRPr="007B221D">
              <w:rPr>
                <w:noProof/>
                <w:webHidden/>
              </w:rPr>
              <w:instrText xml:space="preserve"> PAGEREF _Toc189662748 \h </w:instrText>
            </w:r>
            <w:r w:rsidRPr="007B221D">
              <w:rPr>
                <w:noProof/>
                <w:webHidden/>
              </w:rPr>
            </w:r>
            <w:r w:rsidRPr="007B221D">
              <w:rPr>
                <w:noProof/>
                <w:webHidden/>
              </w:rPr>
              <w:fldChar w:fldCharType="separate"/>
            </w:r>
            <w:r w:rsidR="0023016C">
              <w:rPr>
                <w:noProof/>
                <w:webHidden/>
              </w:rPr>
              <w:t>6</w:t>
            </w:r>
            <w:r w:rsidRPr="007B221D">
              <w:rPr>
                <w:noProof/>
                <w:webHidden/>
              </w:rPr>
              <w:fldChar w:fldCharType="end"/>
            </w:r>
          </w:hyperlink>
        </w:p>
        <w:p w14:paraId="26514752" w14:textId="364DFD7A" w:rsidR="007B221D" w:rsidRPr="007B221D" w:rsidRDefault="007B221D">
          <w:pPr>
            <w:pStyle w:val="TOC1"/>
            <w:rPr>
              <w:rFonts w:eastAsiaTheme="minorEastAsia"/>
              <w:noProof/>
              <w:sz w:val="24"/>
              <w:szCs w:val="24"/>
              <w:lang w:eastAsia="en-GB"/>
            </w:rPr>
          </w:pPr>
          <w:hyperlink w:anchor="_Toc189662749" w:history="1">
            <w:r w:rsidRPr="007B221D">
              <w:rPr>
                <w:rStyle w:val="Hyperlink"/>
                <w:rFonts w:ascii="Arial" w:hAnsi="Arial" w:cs="Arial"/>
                <w:noProof/>
              </w:rPr>
              <w:t>4.</w:t>
            </w:r>
            <w:r w:rsidRPr="007B221D">
              <w:rPr>
                <w:rFonts w:eastAsiaTheme="minorEastAsia"/>
                <w:noProof/>
                <w:sz w:val="24"/>
                <w:szCs w:val="24"/>
                <w:lang w:eastAsia="en-GB"/>
              </w:rPr>
              <w:tab/>
            </w:r>
            <w:r w:rsidRPr="007B221D">
              <w:rPr>
                <w:rStyle w:val="Hyperlink"/>
                <w:rFonts w:ascii="Arial" w:hAnsi="Arial" w:cs="Arial"/>
                <w:noProof/>
              </w:rPr>
              <w:t>Background to this review</w:t>
            </w:r>
            <w:r w:rsidRPr="007B221D">
              <w:rPr>
                <w:noProof/>
                <w:webHidden/>
              </w:rPr>
              <w:tab/>
            </w:r>
            <w:r w:rsidRPr="007B221D">
              <w:rPr>
                <w:noProof/>
                <w:webHidden/>
              </w:rPr>
              <w:fldChar w:fldCharType="begin"/>
            </w:r>
            <w:r w:rsidRPr="007B221D">
              <w:rPr>
                <w:noProof/>
                <w:webHidden/>
              </w:rPr>
              <w:instrText xml:space="preserve"> PAGEREF _Toc189662749 \h </w:instrText>
            </w:r>
            <w:r w:rsidRPr="007B221D">
              <w:rPr>
                <w:noProof/>
                <w:webHidden/>
              </w:rPr>
            </w:r>
            <w:r w:rsidRPr="007B221D">
              <w:rPr>
                <w:noProof/>
                <w:webHidden/>
              </w:rPr>
              <w:fldChar w:fldCharType="separate"/>
            </w:r>
            <w:r w:rsidR="0023016C">
              <w:rPr>
                <w:noProof/>
                <w:webHidden/>
              </w:rPr>
              <w:t>6</w:t>
            </w:r>
            <w:r w:rsidRPr="007B221D">
              <w:rPr>
                <w:noProof/>
                <w:webHidden/>
              </w:rPr>
              <w:fldChar w:fldCharType="end"/>
            </w:r>
          </w:hyperlink>
        </w:p>
        <w:p w14:paraId="1729EE8E" w14:textId="0E89F489" w:rsidR="007B221D" w:rsidRPr="007B221D" w:rsidRDefault="007B221D">
          <w:pPr>
            <w:pStyle w:val="TOC1"/>
            <w:rPr>
              <w:rFonts w:eastAsiaTheme="minorEastAsia"/>
              <w:noProof/>
              <w:sz w:val="24"/>
              <w:szCs w:val="24"/>
              <w:lang w:eastAsia="en-GB"/>
            </w:rPr>
          </w:pPr>
          <w:hyperlink w:anchor="_Toc189662750" w:history="1">
            <w:r w:rsidRPr="007B221D">
              <w:rPr>
                <w:rStyle w:val="Hyperlink"/>
                <w:rFonts w:ascii="Arial" w:hAnsi="Arial" w:cs="Arial"/>
                <w:noProof/>
              </w:rPr>
              <w:t>5.</w:t>
            </w:r>
            <w:r w:rsidRPr="007B221D">
              <w:rPr>
                <w:rFonts w:eastAsiaTheme="minorEastAsia"/>
                <w:noProof/>
                <w:sz w:val="24"/>
                <w:szCs w:val="24"/>
                <w:lang w:eastAsia="en-GB"/>
              </w:rPr>
              <w:tab/>
            </w:r>
            <w:r w:rsidRPr="007B221D">
              <w:rPr>
                <w:rStyle w:val="Hyperlink"/>
                <w:rFonts w:ascii="Arial" w:hAnsi="Arial" w:cs="Arial"/>
                <w:noProof/>
              </w:rPr>
              <w:t>Representations by DHI</w:t>
            </w:r>
            <w:r w:rsidRPr="007B221D">
              <w:rPr>
                <w:noProof/>
                <w:webHidden/>
              </w:rPr>
              <w:tab/>
            </w:r>
            <w:r w:rsidRPr="007B221D">
              <w:rPr>
                <w:noProof/>
                <w:webHidden/>
              </w:rPr>
              <w:fldChar w:fldCharType="begin"/>
            </w:r>
            <w:r w:rsidRPr="007B221D">
              <w:rPr>
                <w:noProof/>
                <w:webHidden/>
              </w:rPr>
              <w:instrText xml:space="preserve"> PAGEREF _Toc189662750 \h </w:instrText>
            </w:r>
            <w:r w:rsidRPr="007B221D">
              <w:rPr>
                <w:noProof/>
                <w:webHidden/>
              </w:rPr>
            </w:r>
            <w:r w:rsidRPr="007B221D">
              <w:rPr>
                <w:noProof/>
                <w:webHidden/>
              </w:rPr>
              <w:fldChar w:fldCharType="separate"/>
            </w:r>
            <w:r w:rsidR="0023016C">
              <w:rPr>
                <w:noProof/>
                <w:webHidden/>
              </w:rPr>
              <w:t>8</w:t>
            </w:r>
            <w:r w:rsidRPr="007B221D">
              <w:rPr>
                <w:noProof/>
                <w:webHidden/>
              </w:rPr>
              <w:fldChar w:fldCharType="end"/>
            </w:r>
          </w:hyperlink>
        </w:p>
        <w:p w14:paraId="3EB1884A" w14:textId="351CFD06" w:rsidR="007B221D" w:rsidRPr="007B221D" w:rsidRDefault="007B221D">
          <w:pPr>
            <w:pStyle w:val="TOC1"/>
            <w:rPr>
              <w:rFonts w:eastAsiaTheme="minorEastAsia"/>
              <w:noProof/>
              <w:sz w:val="24"/>
              <w:szCs w:val="24"/>
              <w:lang w:eastAsia="en-GB"/>
            </w:rPr>
          </w:pPr>
          <w:hyperlink w:anchor="_Toc189662751" w:history="1">
            <w:r w:rsidRPr="007B221D">
              <w:rPr>
                <w:rStyle w:val="Hyperlink"/>
                <w:rFonts w:ascii="Arial" w:hAnsi="Arial" w:cs="Arial"/>
                <w:noProof/>
              </w:rPr>
              <w:t>6.</w:t>
            </w:r>
            <w:r w:rsidRPr="007B221D">
              <w:rPr>
                <w:rFonts w:eastAsiaTheme="minorEastAsia"/>
                <w:noProof/>
                <w:sz w:val="24"/>
                <w:szCs w:val="24"/>
                <w:lang w:eastAsia="en-GB"/>
              </w:rPr>
              <w:tab/>
            </w:r>
            <w:r w:rsidRPr="007B221D">
              <w:rPr>
                <w:rStyle w:val="Hyperlink"/>
                <w:rFonts w:ascii="Arial" w:hAnsi="Arial" w:cs="Arial"/>
                <w:noProof/>
              </w:rPr>
              <w:t>PSR regulations relevant to the competitive process</w:t>
            </w:r>
            <w:r w:rsidRPr="007B221D">
              <w:rPr>
                <w:noProof/>
                <w:webHidden/>
              </w:rPr>
              <w:tab/>
            </w:r>
            <w:r w:rsidRPr="007B221D">
              <w:rPr>
                <w:noProof/>
                <w:webHidden/>
              </w:rPr>
              <w:fldChar w:fldCharType="begin"/>
            </w:r>
            <w:r w:rsidRPr="007B221D">
              <w:rPr>
                <w:noProof/>
                <w:webHidden/>
              </w:rPr>
              <w:instrText xml:space="preserve"> PAGEREF _Toc189662751 \h </w:instrText>
            </w:r>
            <w:r w:rsidRPr="007B221D">
              <w:rPr>
                <w:noProof/>
                <w:webHidden/>
              </w:rPr>
            </w:r>
            <w:r w:rsidRPr="007B221D">
              <w:rPr>
                <w:noProof/>
                <w:webHidden/>
              </w:rPr>
              <w:fldChar w:fldCharType="separate"/>
            </w:r>
            <w:r w:rsidR="0023016C">
              <w:rPr>
                <w:noProof/>
                <w:webHidden/>
              </w:rPr>
              <w:t>10</w:t>
            </w:r>
            <w:r w:rsidRPr="007B221D">
              <w:rPr>
                <w:noProof/>
                <w:webHidden/>
              </w:rPr>
              <w:fldChar w:fldCharType="end"/>
            </w:r>
          </w:hyperlink>
        </w:p>
        <w:p w14:paraId="3BC65C65" w14:textId="56827D36" w:rsidR="007B221D" w:rsidRPr="007B221D" w:rsidRDefault="007B221D">
          <w:pPr>
            <w:pStyle w:val="TOC1"/>
            <w:rPr>
              <w:rFonts w:eastAsiaTheme="minorEastAsia"/>
              <w:noProof/>
              <w:sz w:val="24"/>
              <w:szCs w:val="24"/>
              <w:lang w:eastAsia="en-GB"/>
            </w:rPr>
          </w:pPr>
          <w:hyperlink w:anchor="_Toc189662752" w:history="1">
            <w:r w:rsidRPr="007B221D">
              <w:rPr>
                <w:rStyle w:val="Hyperlink"/>
                <w:rFonts w:ascii="Arial" w:hAnsi="Arial" w:cs="Arial"/>
                <w:noProof/>
              </w:rPr>
              <w:t>7.</w:t>
            </w:r>
            <w:r w:rsidRPr="007B221D">
              <w:rPr>
                <w:rFonts w:eastAsiaTheme="minorEastAsia"/>
                <w:noProof/>
                <w:sz w:val="24"/>
                <w:szCs w:val="24"/>
                <w:lang w:eastAsia="en-GB"/>
              </w:rPr>
              <w:tab/>
            </w:r>
            <w:r w:rsidRPr="007B221D">
              <w:rPr>
                <w:rStyle w:val="Hyperlink"/>
                <w:rFonts w:ascii="Arial" w:hAnsi="Arial" w:cs="Arial"/>
                <w:noProof/>
              </w:rPr>
              <w:t>Panel Assessment</w:t>
            </w:r>
            <w:r w:rsidRPr="007B221D">
              <w:rPr>
                <w:noProof/>
                <w:webHidden/>
              </w:rPr>
              <w:tab/>
            </w:r>
            <w:r w:rsidRPr="007B221D">
              <w:rPr>
                <w:noProof/>
                <w:webHidden/>
              </w:rPr>
              <w:fldChar w:fldCharType="begin"/>
            </w:r>
            <w:r w:rsidRPr="007B221D">
              <w:rPr>
                <w:noProof/>
                <w:webHidden/>
              </w:rPr>
              <w:instrText xml:space="preserve"> PAGEREF _Toc189662752 \h </w:instrText>
            </w:r>
            <w:r w:rsidRPr="007B221D">
              <w:rPr>
                <w:noProof/>
                <w:webHidden/>
              </w:rPr>
            </w:r>
            <w:r w:rsidRPr="007B221D">
              <w:rPr>
                <w:noProof/>
                <w:webHidden/>
              </w:rPr>
              <w:fldChar w:fldCharType="separate"/>
            </w:r>
            <w:r w:rsidR="0023016C">
              <w:rPr>
                <w:noProof/>
                <w:webHidden/>
              </w:rPr>
              <w:t>11</w:t>
            </w:r>
            <w:r w:rsidRPr="007B221D">
              <w:rPr>
                <w:noProof/>
                <w:webHidden/>
              </w:rPr>
              <w:fldChar w:fldCharType="end"/>
            </w:r>
          </w:hyperlink>
        </w:p>
        <w:p w14:paraId="43D35C8B" w14:textId="168A2628"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3" w:history="1">
            <w:r w:rsidRPr="007B221D">
              <w:rPr>
                <w:rStyle w:val="Hyperlink"/>
                <w:rFonts w:ascii="Arial" w:hAnsi="Arial" w:cs="Arial"/>
                <w:noProof/>
              </w:rPr>
              <w:t>7.1</w:t>
            </w:r>
            <w:r w:rsidRPr="007B221D">
              <w:rPr>
                <w:rFonts w:eastAsiaTheme="minorEastAsia"/>
                <w:noProof/>
                <w:sz w:val="24"/>
                <w:szCs w:val="24"/>
                <w:lang w:eastAsia="en-GB"/>
              </w:rPr>
              <w:tab/>
            </w:r>
            <w:r w:rsidRPr="007B221D">
              <w:rPr>
                <w:rStyle w:val="Hyperlink"/>
                <w:rFonts w:ascii="Arial" w:hAnsi="Arial" w:cs="Arial"/>
                <w:noProof/>
              </w:rPr>
              <w:t>Sub-criteria scoring and calculation of weighted scores</w:t>
            </w:r>
            <w:r w:rsidRPr="007B221D">
              <w:rPr>
                <w:noProof/>
                <w:webHidden/>
              </w:rPr>
              <w:tab/>
            </w:r>
            <w:r w:rsidRPr="007B221D">
              <w:rPr>
                <w:noProof/>
                <w:webHidden/>
              </w:rPr>
              <w:fldChar w:fldCharType="begin"/>
            </w:r>
            <w:r w:rsidRPr="007B221D">
              <w:rPr>
                <w:noProof/>
                <w:webHidden/>
              </w:rPr>
              <w:instrText xml:space="preserve"> PAGEREF _Toc189662753 \h </w:instrText>
            </w:r>
            <w:r w:rsidRPr="007B221D">
              <w:rPr>
                <w:noProof/>
                <w:webHidden/>
              </w:rPr>
            </w:r>
            <w:r w:rsidRPr="007B221D">
              <w:rPr>
                <w:noProof/>
                <w:webHidden/>
              </w:rPr>
              <w:fldChar w:fldCharType="separate"/>
            </w:r>
            <w:r w:rsidR="0023016C">
              <w:rPr>
                <w:noProof/>
                <w:webHidden/>
              </w:rPr>
              <w:t>11</w:t>
            </w:r>
            <w:r w:rsidRPr="007B221D">
              <w:rPr>
                <w:noProof/>
                <w:webHidden/>
              </w:rPr>
              <w:fldChar w:fldCharType="end"/>
            </w:r>
          </w:hyperlink>
        </w:p>
        <w:p w14:paraId="1E920FC6" w14:textId="441F8380"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4" w:history="1">
            <w:r w:rsidRPr="007B221D">
              <w:rPr>
                <w:rStyle w:val="Hyperlink"/>
                <w:rFonts w:ascii="Arial" w:hAnsi="Arial" w:cs="Arial"/>
                <w:noProof/>
              </w:rPr>
              <w:t>7.2</w:t>
            </w:r>
            <w:r w:rsidRPr="007B221D">
              <w:rPr>
                <w:rFonts w:eastAsiaTheme="minorEastAsia"/>
                <w:noProof/>
                <w:sz w:val="24"/>
                <w:szCs w:val="24"/>
                <w:lang w:eastAsia="en-GB"/>
              </w:rPr>
              <w:tab/>
            </w:r>
            <w:r w:rsidRPr="007B221D">
              <w:rPr>
                <w:rStyle w:val="Hyperlink"/>
                <w:rFonts w:ascii="Arial" w:hAnsi="Arial" w:cs="Arial"/>
                <w:noProof/>
              </w:rPr>
              <w:t>Scoring of responses to the Social Value questions</w:t>
            </w:r>
            <w:r w:rsidRPr="007B221D">
              <w:rPr>
                <w:noProof/>
                <w:webHidden/>
              </w:rPr>
              <w:tab/>
            </w:r>
            <w:r w:rsidRPr="007B221D">
              <w:rPr>
                <w:noProof/>
                <w:webHidden/>
              </w:rPr>
              <w:fldChar w:fldCharType="begin"/>
            </w:r>
            <w:r w:rsidRPr="007B221D">
              <w:rPr>
                <w:noProof/>
                <w:webHidden/>
              </w:rPr>
              <w:instrText xml:space="preserve"> PAGEREF _Toc189662754 \h </w:instrText>
            </w:r>
            <w:r w:rsidRPr="007B221D">
              <w:rPr>
                <w:noProof/>
                <w:webHidden/>
              </w:rPr>
            </w:r>
            <w:r w:rsidRPr="007B221D">
              <w:rPr>
                <w:noProof/>
                <w:webHidden/>
              </w:rPr>
              <w:fldChar w:fldCharType="separate"/>
            </w:r>
            <w:r w:rsidR="0023016C">
              <w:rPr>
                <w:noProof/>
                <w:webHidden/>
              </w:rPr>
              <w:t>13</w:t>
            </w:r>
            <w:r w:rsidRPr="007B221D">
              <w:rPr>
                <w:noProof/>
                <w:webHidden/>
              </w:rPr>
              <w:fldChar w:fldCharType="end"/>
            </w:r>
          </w:hyperlink>
        </w:p>
        <w:p w14:paraId="6473D926" w14:textId="325675D1"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5" w:history="1">
            <w:r w:rsidRPr="007B221D">
              <w:rPr>
                <w:rStyle w:val="Hyperlink"/>
                <w:rFonts w:ascii="Arial" w:hAnsi="Arial" w:cs="Arial"/>
                <w:noProof/>
              </w:rPr>
              <w:t>7.3</w:t>
            </w:r>
            <w:r w:rsidRPr="007B221D">
              <w:rPr>
                <w:rFonts w:eastAsiaTheme="minorEastAsia"/>
                <w:noProof/>
                <w:sz w:val="24"/>
                <w:szCs w:val="24"/>
                <w:lang w:eastAsia="en-GB"/>
              </w:rPr>
              <w:tab/>
            </w:r>
            <w:r w:rsidRPr="007B221D">
              <w:rPr>
                <w:rStyle w:val="Hyperlink"/>
                <w:rFonts w:ascii="Arial" w:hAnsi="Arial" w:cs="Arial"/>
                <w:noProof/>
              </w:rPr>
              <w:t>Evaluation and scoring of responses to the Quality questions</w:t>
            </w:r>
            <w:r w:rsidRPr="007B221D">
              <w:rPr>
                <w:noProof/>
                <w:webHidden/>
              </w:rPr>
              <w:tab/>
            </w:r>
            <w:r w:rsidRPr="007B221D">
              <w:rPr>
                <w:noProof/>
                <w:webHidden/>
              </w:rPr>
              <w:fldChar w:fldCharType="begin"/>
            </w:r>
            <w:r w:rsidRPr="007B221D">
              <w:rPr>
                <w:noProof/>
                <w:webHidden/>
              </w:rPr>
              <w:instrText xml:space="preserve"> PAGEREF _Toc189662755 \h </w:instrText>
            </w:r>
            <w:r w:rsidRPr="007B221D">
              <w:rPr>
                <w:noProof/>
                <w:webHidden/>
              </w:rPr>
            </w:r>
            <w:r w:rsidRPr="007B221D">
              <w:rPr>
                <w:noProof/>
                <w:webHidden/>
              </w:rPr>
              <w:fldChar w:fldCharType="separate"/>
            </w:r>
            <w:r w:rsidR="0023016C">
              <w:rPr>
                <w:noProof/>
                <w:webHidden/>
              </w:rPr>
              <w:t>17</w:t>
            </w:r>
            <w:r w:rsidRPr="007B221D">
              <w:rPr>
                <w:noProof/>
                <w:webHidden/>
              </w:rPr>
              <w:fldChar w:fldCharType="end"/>
            </w:r>
          </w:hyperlink>
        </w:p>
        <w:p w14:paraId="4B5E65D0" w14:textId="2B344B66"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6" w:history="1">
            <w:r w:rsidRPr="007B221D">
              <w:rPr>
                <w:rStyle w:val="Hyperlink"/>
                <w:rFonts w:ascii="Arial" w:hAnsi="Arial" w:cs="Arial"/>
                <w:noProof/>
              </w:rPr>
              <w:t>7.4</w:t>
            </w:r>
            <w:r w:rsidRPr="007B221D">
              <w:rPr>
                <w:rFonts w:eastAsiaTheme="minorEastAsia"/>
                <w:noProof/>
                <w:sz w:val="24"/>
                <w:szCs w:val="24"/>
                <w:lang w:eastAsia="en-GB"/>
              </w:rPr>
              <w:tab/>
            </w:r>
            <w:r w:rsidRPr="007B221D">
              <w:rPr>
                <w:rStyle w:val="Hyperlink"/>
                <w:rFonts w:ascii="Arial" w:hAnsi="Arial" w:cs="Arial"/>
                <w:noProof/>
              </w:rPr>
              <w:t>Evaluation panel expertise</w:t>
            </w:r>
            <w:r w:rsidRPr="007B221D">
              <w:rPr>
                <w:noProof/>
                <w:webHidden/>
              </w:rPr>
              <w:tab/>
            </w:r>
            <w:r w:rsidRPr="007B221D">
              <w:rPr>
                <w:noProof/>
                <w:webHidden/>
              </w:rPr>
              <w:fldChar w:fldCharType="begin"/>
            </w:r>
            <w:r w:rsidRPr="007B221D">
              <w:rPr>
                <w:noProof/>
                <w:webHidden/>
              </w:rPr>
              <w:instrText xml:space="preserve"> PAGEREF _Toc189662756 \h </w:instrText>
            </w:r>
            <w:r w:rsidRPr="007B221D">
              <w:rPr>
                <w:noProof/>
                <w:webHidden/>
              </w:rPr>
            </w:r>
            <w:r w:rsidRPr="007B221D">
              <w:rPr>
                <w:noProof/>
                <w:webHidden/>
              </w:rPr>
              <w:fldChar w:fldCharType="separate"/>
            </w:r>
            <w:r w:rsidR="0023016C">
              <w:rPr>
                <w:noProof/>
                <w:webHidden/>
              </w:rPr>
              <w:t>19</w:t>
            </w:r>
            <w:r w:rsidRPr="007B221D">
              <w:rPr>
                <w:noProof/>
                <w:webHidden/>
              </w:rPr>
              <w:fldChar w:fldCharType="end"/>
            </w:r>
          </w:hyperlink>
        </w:p>
        <w:p w14:paraId="7F74C2B0" w14:textId="1A15CB94"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7" w:history="1">
            <w:r w:rsidRPr="007B221D">
              <w:rPr>
                <w:rStyle w:val="Hyperlink"/>
                <w:rFonts w:ascii="Arial" w:hAnsi="Arial" w:cs="Arial"/>
                <w:noProof/>
              </w:rPr>
              <w:t>7.5</w:t>
            </w:r>
            <w:r w:rsidRPr="007B221D">
              <w:rPr>
                <w:rFonts w:eastAsiaTheme="minorEastAsia"/>
                <w:noProof/>
                <w:sz w:val="24"/>
                <w:szCs w:val="24"/>
                <w:lang w:eastAsia="en-GB"/>
              </w:rPr>
              <w:tab/>
            </w:r>
            <w:r w:rsidRPr="007B221D">
              <w:rPr>
                <w:rStyle w:val="Hyperlink"/>
                <w:rFonts w:ascii="Arial" w:hAnsi="Arial" w:cs="Arial"/>
                <w:noProof/>
              </w:rPr>
              <w:t>Stakeholder engagement in formulating key criteria</w:t>
            </w:r>
            <w:r w:rsidRPr="007B221D">
              <w:rPr>
                <w:noProof/>
                <w:webHidden/>
              </w:rPr>
              <w:tab/>
            </w:r>
            <w:r w:rsidRPr="007B221D">
              <w:rPr>
                <w:noProof/>
                <w:webHidden/>
              </w:rPr>
              <w:fldChar w:fldCharType="begin"/>
            </w:r>
            <w:r w:rsidRPr="007B221D">
              <w:rPr>
                <w:noProof/>
                <w:webHidden/>
              </w:rPr>
              <w:instrText xml:space="preserve"> PAGEREF _Toc189662757 \h </w:instrText>
            </w:r>
            <w:r w:rsidRPr="007B221D">
              <w:rPr>
                <w:noProof/>
                <w:webHidden/>
              </w:rPr>
            </w:r>
            <w:r w:rsidRPr="007B221D">
              <w:rPr>
                <w:noProof/>
                <w:webHidden/>
              </w:rPr>
              <w:fldChar w:fldCharType="separate"/>
            </w:r>
            <w:r w:rsidR="0023016C">
              <w:rPr>
                <w:noProof/>
                <w:webHidden/>
              </w:rPr>
              <w:t>20</w:t>
            </w:r>
            <w:r w:rsidRPr="007B221D">
              <w:rPr>
                <w:noProof/>
                <w:webHidden/>
              </w:rPr>
              <w:fldChar w:fldCharType="end"/>
            </w:r>
          </w:hyperlink>
        </w:p>
        <w:p w14:paraId="3D5DC9E2" w14:textId="2CD8288A"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8" w:history="1">
            <w:r w:rsidRPr="007B221D">
              <w:rPr>
                <w:rStyle w:val="Hyperlink"/>
                <w:rFonts w:ascii="Arial" w:hAnsi="Arial" w:cs="Arial"/>
                <w:noProof/>
              </w:rPr>
              <w:t>7.6</w:t>
            </w:r>
            <w:r w:rsidRPr="007B221D">
              <w:rPr>
                <w:rFonts w:eastAsiaTheme="minorEastAsia"/>
                <w:noProof/>
                <w:sz w:val="24"/>
                <w:szCs w:val="24"/>
                <w:lang w:eastAsia="en-GB"/>
              </w:rPr>
              <w:tab/>
            </w:r>
            <w:r w:rsidRPr="007B221D">
              <w:rPr>
                <w:rStyle w:val="Hyperlink"/>
                <w:rFonts w:ascii="Arial" w:hAnsi="Arial" w:cs="Arial"/>
                <w:noProof/>
              </w:rPr>
              <w:t>Choice of procurement process</w:t>
            </w:r>
            <w:r w:rsidRPr="007B221D">
              <w:rPr>
                <w:noProof/>
                <w:webHidden/>
              </w:rPr>
              <w:tab/>
            </w:r>
            <w:r w:rsidRPr="007B221D">
              <w:rPr>
                <w:noProof/>
                <w:webHidden/>
              </w:rPr>
              <w:fldChar w:fldCharType="begin"/>
            </w:r>
            <w:r w:rsidRPr="007B221D">
              <w:rPr>
                <w:noProof/>
                <w:webHidden/>
              </w:rPr>
              <w:instrText xml:space="preserve"> PAGEREF _Toc189662758 \h </w:instrText>
            </w:r>
            <w:r w:rsidRPr="007B221D">
              <w:rPr>
                <w:noProof/>
                <w:webHidden/>
              </w:rPr>
            </w:r>
            <w:r w:rsidRPr="007B221D">
              <w:rPr>
                <w:noProof/>
                <w:webHidden/>
              </w:rPr>
              <w:fldChar w:fldCharType="separate"/>
            </w:r>
            <w:r w:rsidR="0023016C">
              <w:rPr>
                <w:noProof/>
                <w:webHidden/>
              </w:rPr>
              <w:t>21</w:t>
            </w:r>
            <w:r w:rsidRPr="007B221D">
              <w:rPr>
                <w:noProof/>
                <w:webHidden/>
              </w:rPr>
              <w:fldChar w:fldCharType="end"/>
            </w:r>
          </w:hyperlink>
        </w:p>
        <w:p w14:paraId="5216A4F6" w14:textId="11B56BA2" w:rsidR="007B221D" w:rsidRPr="007B221D" w:rsidRDefault="007B221D">
          <w:pPr>
            <w:pStyle w:val="TOC2"/>
            <w:tabs>
              <w:tab w:val="left" w:pos="960"/>
              <w:tab w:val="right" w:leader="dot" w:pos="9016"/>
            </w:tabs>
            <w:rPr>
              <w:rFonts w:eastAsiaTheme="minorEastAsia"/>
              <w:noProof/>
              <w:sz w:val="24"/>
              <w:szCs w:val="24"/>
              <w:lang w:eastAsia="en-GB"/>
            </w:rPr>
          </w:pPr>
          <w:hyperlink w:anchor="_Toc189662759" w:history="1">
            <w:r w:rsidRPr="007B221D">
              <w:rPr>
                <w:rStyle w:val="Hyperlink"/>
                <w:rFonts w:ascii="Arial" w:hAnsi="Arial" w:cs="Arial"/>
                <w:noProof/>
              </w:rPr>
              <w:t>7.7</w:t>
            </w:r>
            <w:r w:rsidRPr="007B221D">
              <w:rPr>
                <w:rFonts w:eastAsiaTheme="minorEastAsia"/>
                <w:noProof/>
                <w:sz w:val="24"/>
                <w:szCs w:val="24"/>
                <w:lang w:eastAsia="en-GB"/>
              </w:rPr>
              <w:tab/>
            </w:r>
            <w:r w:rsidRPr="007B221D">
              <w:rPr>
                <w:rStyle w:val="Hyperlink"/>
                <w:rFonts w:ascii="Arial" w:hAnsi="Arial" w:cs="Arial"/>
                <w:noProof/>
              </w:rPr>
              <w:t>Service and provider sustainability</w:t>
            </w:r>
            <w:r w:rsidRPr="007B221D">
              <w:rPr>
                <w:noProof/>
                <w:webHidden/>
              </w:rPr>
              <w:tab/>
            </w:r>
            <w:r w:rsidRPr="007B221D">
              <w:rPr>
                <w:noProof/>
                <w:webHidden/>
              </w:rPr>
              <w:fldChar w:fldCharType="begin"/>
            </w:r>
            <w:r w:rsidRPr="007B221D">
              <w:rPr>
                <w:noProof/>
                <w:webHidden/>
              </w:rPr>
              <w:instrText xml:space="preserve"> PAGEREF _Toc189662759 \h </w:instrText>
            </w:r>
            <w:r w:rsidRPr="007B221D">
              <w:rPr>
                <w:noProof/>
                <w:webHidden/>
              </w:rPr>
            </w:r>
            <w:r w:rsidRPr="007B221D">
              <w:rPr>
                <w:noProof/>
                <w:webHidden/>
              </w:rPr>
              <w:fldChar w:fldCharType="separate"/>
            </w:r>
            <w:r w:rsidR="0023016C">
              <w:rPr>
                <w:noProof/>
                <w:webHidden/>
              </w:rPr>
              <w:t>22</w:t>
            </w:r>
            <w:r w:rsidRPr="007B221D">
              <w:rPr>
                <w:noProof/>
                <w:webHidden/>
              </w:rPr>
              <w:fldChar w:fldCharType="end"/>
            </w:r>
          </w:hyperlink>
        </w:p>
        <w:p w14:paraId="49C3649B" w14:textId="24FC902F" w:rsidR="007B221D" w:rsidRPr="007B221D" w:rsidRDefault="007B221D">
          <w:pPr>
            <w:pStyle w:val="TOC1"/>
            <w:rPr>
              <w:rFonts w:eastAsiaTheme="minorEastAsia"/>
              <w:noProof/>
              <w:sz w:val="24"/>
              <w:szCs w:val="24"/>
              <w:lang w:eastAsia="en-GB"/>
            </w:rPr>
          </w:pPr>
          <w:hyperlink w:anchor="_Toc189662760" w:history="1">
            <w:r w:rsidRPr="007B221D">
              <w:rPr>
                <w:rStyle w:val="Hyperlink"/>
                <w:rFonts w:ascii="Arial" w:hAnsi="Arial" w:cs="Arial"/>
                <w:noProof/>
              </w:rPr>
              <w:t>8.</w:t>
            </w:r>
            <w:r w:rsidRPr="007B221D">
              <w:rPr>
                <w:rFonts w:eastAsiaTheme="minorEastAsia"/>
                <w:noProof/>
                <w:sz w:val="24"/>
                <w:szCs w:val="24"/>
                <w:lang w:eastAsia="en-GB"/>
              </w:rPr>
              <w:tab/>
            </w:r>
            <w:r w:rsidRPr="007B221D">
              <w:rPr>
                <w:rStyle w:val="Hyperlink"/>
                <w:rFonts w:ascii="Arial" w:hAnsi="Arial" w:cs="Arial"/>
                <w:noProof/>
              </w:rPr>
              <w:t>Panel Advice</w:t>
            </w:r>
            <w:r w:rsidRPr="007B221D">
              <w:rPr>
                <w:noProof/>
                <w:webHidden/>
              </w:rPr>
              <w:tab/>
            </w:r>
            <w:r w:rsidRPr="007B221D">
              <w:rPr>
                <w:noProof/>
                <w:webHidden/>
              </w:rPr>
              <w:fldChar w:fldCharType="begin"/>
            </w:r>
            <w:r w:rsidRPr="007B221D">
              <w:rPr>
                <w:noProof/>
                <w:webHidden/>
              </w:rPr>
              <w:instrText xml:space="preserve"> PAGEREF _Toc189662760 \h </w:instrText>
            </w:r>
            <w:r w:rsidRPr="007B221D">
              <w:rPr>
                <w:noProof/>
                <w:webHidden/>
              </w:rPr>
            </w:r>
            <w:r w:rsidRPr="007B221D">
              <w:rPr>
                <w:noProof/>
                <w:webHidden/>
              </w:rPr>
              <w:fldChar w:fldCharType="separate"/>
            </w:r>
            <w:r w:rsidR="0023016C">
              <w:rPr>
                <w:noProof/>
                <w:webHidden/>
              </w:rPr>
              <w:t>25</w:t>
            </w:r>
            <w:r w:rsidRPr="007B221D">
              <w:rPr>
                <w:noProof/>
                <w:webHidden/>
              </w:rPr>
              <w:fldChar w:fldCharType="end"/>
            </w:r>
          </w:hyperlink>
        </w:p>
        <w:p w14:paraId="4C95EC41" w14:textId="67F77615" w:rsidR="005A3C70" w:rsidRPr="003B6736" w:rsidRDefault="005A3C70" w:rsidP="00026887">
          <w:pPr>
            <w:rPr>
              <w:rFonts w:ascii="Arial" w:hAnsi="Arial" w:cs="Arial"/>
            </w:rPr>
          </w:pPr>
          <w:r w:rsidRPr="007B221D">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89662746"/>
      <w:r w:rsidRPr="00B343D1">
        <w:rPr>
          <w:rFonts w:ascii="Arial" w:hAnsi="Arial" w:cs="Arial"/>
          <w:b/>
          <w:bCs/>
          <w:color w:val="000000" w:themeColor="text1"/>
          <w:sz w:val="28"/>
          <w:szCs w:val="28"/>
        </w:rPr>
        <w:lastRenderedPageBreak/>
        <w:t>Executive Summary</w:t>
      </w:r>
      <w:bookmarkEnd w:id="0"/>
    </w:p>
    <w:p w14:paraId="0942C895" w14:textId="12F9B0C9" w:rsidR="008B3468" w:rsidRDefault="008B3468" w:rsidP="008B3468">
      <w:pPr>
        <w:pStyle w:val="ListParagraph"/>
        <w:numPr>
          <w:ilvl w:val="0"/>
          <w:numId w:val="2"/>
        </w:numPr>
        <w:spacing w:line="276" w:lineRule="auto"/>
        <w:ind w:left="567" w:hanging="567"/>
        <w:contextualSpacing w:val="0"/>
        <w:rPr>
          <w:rFonts w:ascii="Arial" w:hAnsi="Arial" w:cs="Arial"/>
        </w:rPr>
      </w:pPr>
      <w:r w:rsidRPr="006C203A">
        <w:rPr>
          <w:rFonts w:ascii="Arial" w:hAnsi="Arial" w:cs="Arial"/>
        </w:rPr>
        <w:t>On 13 December 2024, Developing Health &amp; Independence Limited (DHI)</w:t>
      </w:r>
      <w:r w:rsidR="00F11683">
        <w:rPr>
          <w:rFonts w:ascii="Arial" w:hAnsi="Arial" w:cs="Arial"/>
        </w:rPr>
        <w:t xml:space="preserve">, a charitable provider of </w:t>
      </w:r>
      <w:r w:rsidR="006908B7">
        <w:rPr>
          <w:rFonts w:ascii="Arial" w:hAnsi="Arial" w:cs="Arial"/>
        </w:rPr>
        <w:t>services,</w:t>
      </w:r>
      <w:r w:rsidRPr="006C203A">
        <w:rPr>
          <w:rFonts w:ascii="Arial" w:hAnsi="Arial" w:cs="Arial"/>
        </w:rPr>
        <w:t xml:space="preserve"> asked the Panel to advise on </w:t>
      </w:r>
      <w:r>
        <w:rPr>
          <w:rFonts w:ascii="Arial" w:hAnsi="Arial" w:cs="Arial"/>
        </w:rPr>
        <w:t xml:space="preserve">the </w:t>
      </w:r>
      <w:r w:rsidRPr="006C203A">
        <w:rPr>
          <w:rFonts w:ascii="Arial" w:hAnsi="Arial" w:cs="Arial"/>
        </w:rPr>
        <w:t xml:space="preserve">selection </w:t>
      </w:r>
      <w:r w:rsidR="00FB68A3">
        <w:rPr>
          <w:rFonts w:ascii="Arial" w:hAnsi="Arial" w:cs="Arial"/>
        </w:rPr>
        <w:t>by</w:t>
      </w:r>
      <w:r w:rsidR="00FB68A3" w:rsidRPr="006C203A">
        <w:rPr>
          <w:rFonts w:ascii="Arial" w:hAnsi="Arial" w:cs="Arial"/>
        </w:rPr>
        <w:t xml:space="preserve"> Bath and </w:t>
      </w:r>
      <w:proofErr w:type="gramStart"/>
      <w:r w:rsidR="00FB68A3" w:rsidRPr="006C203A">
        <w:rPr>
          <w:rFonts w:ascii="Arial" w:hAnsi="Arial" w:cs="Arial"/>
        </w:rPr>
        <w:t>North East</w:t>
      </w:r>
      <w:proofErr w:type="gramEnd"/>
      <w:r w:rsidR="00FB68A3" w:rsidRPr="006C203A">
        <w:rPr>
          <w:rFonts w:ascii="Arial" w:hAnsi="Arial" w:cs="Arial"/>
        </w:rPr>
        <w:t xml:space="preserve"> Somerset Council (B&amp;NES Council, the Council)</w:t>
      </w:r>
      <w:r w:rsidR="00FB68A3">
        <w:rPr>
          <w:rFonts w:ascii="Arial" w:hAnsi="Arial" w:cs="Arial"/>
        </w:rPr>
        <w:t xml:space="preserve"> </w:t>
      </w:r>
      <w:r w:rsidRPr="006C203A">
        <w:rPr>
          <w:rFonts w:ascii="Arial" w:hAnsi="Arial" w:cs="Arial"/>
        </w:rPr>
        <w:t xml:space="preserve">of a provider for </w:t>
      </w:r>
      <w:r w:rsidR="00FB68A3">
        <w:rPr>
          <w:rFonts w:ascii="Arial" w:hAnsi="Arial" w:cs="Arial"/>
        </w:rPr>
        <w:t>its</w:t>
      </w:r>
      <w:r w:rsidRPr="006C203A">
        <w:rPr>
          <w:rFonts w:ascii="Arial" w:hAnsi="Arial" w:cs="Arial"/>
        </w:rPr>
        <w:t xml:space="preserve"> Drug and Alcohol Service.</w:t>
      </w:r>
    </w:p>
    <w:p w14:paraId="394EE2A4" w14:textId="3A7B3DC9" w:rsidR="00002851" w:rsidRDefault="00002851" w:rsidP="004B3EFF">
      <w:pPr>
        <w:pStyle w:val="ListParagraph"/>
        <w:numPr>
          <w:ilvl w:val="0"/>
          <w:numId w:val="2"/>
        </w:numPr>
        <w:spacing w:line="276" w:lineRule="auto"/>
        <w:ind w:left="567" w:hanging="567"/>
        <w:contextualSpacing w:val="0"/>
        <w:rPr>
          <w:rFonts w:ascii="Arial" w:eastAsiaTheme="majorEastAsia" w:hAnsi="Arial" w:cs="Arial"/>
        </w:rPr>
      </w:pPr>
      <w:r w:rsidRPr="003B5A9C">
        <w:rPr>
          <w:rFonts w:ascii="Arial" w:eastAsiaTheme="majorEastAsia" w:hAnsi="Arial" w:cs="Arial"/>
        </w:rPr>
        <w:t>B</w:t>
      </w:r>
      <w:r>
        <w:rPr>
          <w:rFonts w:ascii="Arial" w:eastAsiaTheme="majorEastAsia" w:hAnsi="Arial" w:cs="Arial"/>
        </w:rPr>
        <w:t xml:space="preserve">&amp;NES </w:t>
      </w:r>
      <w:r w:rsidRPr="003B5A9C">
        <w:rPr>
          <w:rFonts w:ascii="Arial" w:eastAsiaTheme="majorEastAsia" w:hAnsi="Arial" w:cs="Arial"/>
        </w:rPr>
        <w:t xml:space="preserve">Council is a unitary authority serving Bath and </w:t>
      </w:r>
      <w:proofErr w:type="gramStart"/>
      <w:r w:rsidRPr="003B5A9C">
        <w:rPr>
          <w:rFonts w:ascii="Arial" w:eastAsiaTheme="majorEastAsia" w:hAnsi="Arial" w:cs="Arial"/>
        </w:rPr>
        <w:t>North East</w:t>
      </w:r>
      <w:proofErr w:type="gramEnd"/>
      <w:r w:rsidRPr="003B5A9C">
        <w:rPr>
          <w:rFonts w:ascii="Arial" w:eastAsiaTheme="majorEastAsia" w:hAnsi="Arial" w:cs="Arial"/>
        </w:rPr>
        <w:t xml:space="preserve"> Somerset</w:t>
      </w:r>
      <w:r w:rsidR="00F27E6A">
        <w:rPr>
          <w:rFonts w:ascii="Arial" w:eastAsiaTheme="majorEastAsia" w:hAnsi="Arial" w:cs="Arial"/>
        </w:rPr>
        <w:t xml:space="preserve"> with </w:t>
      </w:r>
      <w:r w:rsidRPr="0048309C">
        <w:rPr>
          <w:rFonts w:ascii="Arial" w:eastAsiaTheme="majorEastAsia" w:hAnsi="Arial" w:cs="Arial"/>
        </w:rPr>
        <w:t>responsibilit</w:t>
      </w:r>
      <w:r w:rsidR="00EA0074">
        <w:rPr>
          <w:rFonts w:ascii="Arial" w:eastAsiaTheme="majorEastAsia" w:hAnsi="Arial" w:cs="Arial"/>
        </w:rPr>
        <w:t>ies</w:t>
      </w:r>
      <w:r w:rsidR="00F27E6A">
        <w:rPr>
          <w:rFonts w:ascii="Arial" w:eastAsiaTheme="majorEastAsia" w:hAnsi="Arial" w:cs="Arial"/>
        </w:rPr>
        <w:t xml:space="preserve"> that</w:t>
      </w:r>
      <w:r w:rsidR="00EA0074">
        <w:rPr>
          <w:rFonts w:ascii="Arial" w:eastAsiaTheme="majorEastAsia" w:hAnsi="Arial" w:cs="Arial"/>
        </w:rPr>
        <w:t xml:space="preserve"> </w:t>
      </w:r>
      <w:r w:rsidRPr="0048309C">
        <w:rPr>
          <w:rFonts w:ascii="Arial" w:eastAsiaTheme="majorEastAsia" w:hAnsi="Arial" w:cs="Arial"/>
        </w:rPr>
        <w:t>includ</w:t>
      </w:r>
      <w:r w:rsidR="00AC56D5">
        <w:rPr>
          <w:rFonts w:ascii="Arial" w:eastAsiaTheme="majorEastAsia" w:hAnsi="Arial" w:cs="Arial"/>
        </w:rPr>
        <w:t>e</w:t>
      </w:r>
      <w:r w:rsidRPr="0048309C">
        <w:rPr>
          <w:rFonts w:ascii="Arial" w:eastAsiaTheme="majorEastAsia" w:hAnsi="Arial" w:cs="Arial"/>
        </w:rPr>
        <w:t xml:space="preserve"> </w:t>
      </w:r>
      <w:r>
        <w:rPr>
          <w:rFonts w:ascii="Arial" w:eastAsiaTheme="majorEastAsia" w:hAnsi="Arial" w:cs="Arial"/>
        </w:rPr>
        <w:t xml:space="preserve">public health </w:t>
      </w:r>
      <w:r w:rsidRPr="0048309C">
        <w:rPr>
          <w:rFonts w:ascii="Arial" w:eastAsiaTheme="majorEastAsia" w:hAnsi="Arial" w:cs="Arial"/>
        </w:rPr>
        <w:t>services</w:t>
      </w:r>
      <w:r>
        <w:rPr>
          <w:rFonts w:ascii="Arial" w:eastAsiaTheme="majorEastAsia" w:hAnsi="Arial" w:cs="Arial"/>
        </w:rPr>
        <w:t>. The</w:t>
      </w:r>
      <w:r w:rsidRPr="0048309C">
        <w:rPr>
          <w:rFonts w:ascii="Arial" w:eastAsiaTheme="majorEastAsia" w:hAnsi="Arial" w:cs="Arial"/>
        </w:rPr>
        <w:t xml:space="preserve"> Council is part of the </w:t>
      </w:r>
      <w:r w:rsidR="00AC56D5">
        <w:rPr>
          <w:rFonts w:ascii="Arial" w:eastAsiaTheme="majorEastAsia" w:hAnsi="Arial" w:cs="Arial"/>
        </w:rPr>
        <w:t xml:space="preserve">local Integrated Care System (ICS), </w:t>
      </w:r>
      <w:r w:rsidR="004B3EFF">
        <w:rPr>
          <w:rFonts w:ascii="Arial" w:eastAsiaTheme="majorEastAsia" w:hAnsi="Arial" w:cs="Arial"/>
        </w:rPr>
        <w:t xml:space="preserve">the </w:t>
      </w:r>
      <w:r w:rsidR="004B3EFF" w:rsidRPr="0048309C">
        <w:rPr>
          <w:rFonts w:ascii="Arial" w:eastAsiaTheme="majorEastAsia" w:hAnsi="Arial" w:cs="Arial"/>
        </w:rPr>
        <w:t xml:space="preserve">Bath and </w:t>
      </w:r>
      <w:proofErr w:type="gramStart"/>
      <w:r w:rsidR="004B3EFF" w:rsidRPr="0048309C">
        <w:rPr>
          <w:rFonts w:ascii="Arial" w:eastAsiaTheme="majorEastAsia" w:hAnsi="Arial" w:cs="Arial"/>
        </w:rPr>
        <w:t>North East</w:t>
      </w:r>
      <w:proofErr w:type="gramEnd"/>
      <w:r w:rsidR="004B3EFF" w:rsidRPr="0048309C">
        <w:rPr>
          <w:rFonts w:ascii="Arial" w:eastAsiaTheme="majorEastAsia" w:hAnsi="Arial" w:cs="Arial"/>
        </w:rPr>
        <w:t xml:space="preserve"> Somerset, Swindon and Wiltshire (BSW) Partnership</w:t>
      </w:r>
      <w:r w:rsidR="004B3EFF">
        <w:rPr>
          <w:rFonts w:ascii="Arial" w:eastAsiaTheme="majorEastAsia" w:hAnsi="Arial" w:cs="Arial"/>
        </w:rPr>
        <w:t>, known as</w:t>
      </w:r>
      <w:r w:rsidR="004B3EFF" w:rsidRPr="0048309C">
        <w:rPr>
          <w:rFonts w:ascii="Arial" w:eastAsiaTheme="majorEastAsia" w:hAnsi="Arial" w:cs="Arial"/>
        </w:rPr>
        <w:t xml:space="preserve"> BSW Together</w:t>
      </w:r>
      <w:r w:rsidR="004B3EFF">
        <w:rPr>
          <w:rFonts w:ascii="Arial" w:eastAsiaTheme="majorEastAsia" w:hAnsi="Arial" w:cs="Arial"/>
        </w:rPr>
        <w:t xml:space="preserve">, </w:t>
      </w:r>
      <w:r w:rsidR="00AC56D5">
        <w:rPr>
          <w:rFonts w:ascii="Arial" w:eastAsiaTheme="majorEastAsia" w:hAnsi="Arial" w:cs="Arial"/>
        </w:rPr>
        <w:t xml:space="preserve">which brings together </w:t>
      </w:r>
      <w:r w:rsidRPr="0048309C">
        <w:rPr>
          <w:rFonts w:ascii="Arial" w:eastAsiaTheme="majorEastAsia" w:hAnsi="Arial" w:cs="Arial"/>
        </w:rPr>
        <w:t>the NHS, local government and local third sector groups.</w:t>
      </w:r>
    </w:p>
    <w:p w14:paraId="64FDEA11" w14:textId="77777777" w:rsidR="00913AF2" w:rsidRPr="00913AF2" w:rsidRDefault="00002851" w:rsidP="00002851">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BSW Integrated Care Board (ICB)</w:t>
      </w:r>
      <w:r w:rsidR="0058516C">
        <w:rPr>
          <w:rFonts w:ascii="Arial" w:eastAsiaTheme="majorEastAsia" w:hAnsi="Arial" w:cs="Arial"/>
          <w:color w:val="000000" w:themeColor="text1"/>
        </w:rPr>
        <w:t>, as coordinating commissioner,</w:t>
      </w:r>
      <w:r>
        <w:rPr>
          <w:rFonts w:ascii="Arial" w:eastAsiaTheme="majorEastAsia" w:hAnsi="Arial" w:cs="Arial"/>
          <w:color w:val="000000" w:themeColor="text1"/>
        </w:rPr>
        <w:t xml:space="preserve"> and B&amp;NES </w:t>
      </w:r>
      <w:r w:rsidRPr="00766956">
        <w:rPr>
          <w:rFonts w:ascii="Arial" w:eastAsiaTheme="majorEastAsia" w:hAnsi="Arial" w:cs="Arial"/>
          <w:color w:val="000000" w:themeColor="text1"/>
        </w:rPr>
        <w:t>Council</w:t>
      </w:r>
      <w:r w:rsidR="0058516C">
        <w:rPr>
          <w:rFonts w:ascii="Arial" w:eastAsiaTheme="majorEastAsia" w:hAnsi="Arial" w:cs="Arial"/>
          <w:color w:val="000000" w:themeColor="text1"/>
        </w:rPr>
        <w:t>, as co-commissioner,</w:t>
      </w:r>
      <w:r w:rsidRPr="00766956">
        <w:rPr>
          <w:rFonts w:ascii="Arial" w:eastAsiaTheme="majorEastAsia" w:hAnsi="Arial" w:cs="Arial"/>
          <w:color w:val="000000" w:themeColor="text1"/>
        </w:rPr>
        <w:t xml:space="preserve"> </w:t>
      </w:r>
      <w:r w:rsidR="0006553B">
        <w:rPr>
          <w:rFonts w:ascii="Arial" w:eastAsiaTheme="majorEastAsia" w:hAnsi="Arial" w:cs="Arial"/>
          <w:color w:val="000000" w:themeColor="text1"/>
        </w:rPr>
        <w:t xml:space="preserve">currently have a prime provider contract with </w:t>
      </w:r>
      <w:r w:rsidR="00C62020" w:rsidRPr="00766956">
        <w:rPr>
          <w:rFonts w:ascii="Arial" w:eastAsiaTheme="majorEastAsia" w:hAnsi="Arial" w:cs="Arial"/>
          <w:color w:val="000000" w:themeColor="text1"/>
        </w:rPr>
        <w:t xml:space="preserve">HCRG Care Group (HCRG) </w:t>
      </w:r>
      <w:r w:rsidRPr="00766956">
        <w:rPr>
          <w:rFonts w:ascii="Arial" w:eastAsiaTheme="majorEastAsia" w:hAnsi="Arial" w:cs="Arial"/>
          <w:color w:val="000000" w:themeColor="text1"/>
        </w:rPr>
        <w:t xml:space="preserve">for </w:t>
      </w:r>
      <w:r>
        <w:rPr>
          <w:rFonts w:ascii="Arial" w:eastAsiaTheme="majorEastAsia" w:hAnsi="Arial" w:cs="Arial"/>
          <w:color w:val="000000" w:themeColor="text1"/>
        </w:rPr>
        <w:t xml:space="preserve">a range of </w:t>
      </w:r>
      <w:r w:rsidRPr="00766956">
        <w:rPr>
          <w:rFonts w:ascii="Arial" w:eastAsiaTheme="majorEastAsia" w:hAnsi="Arial" w:cs="Arial"/>
          <w:color w:val="000000" w:themeColor="text1"/>
        </w:rPr>
        <w:t xml:space="preserve">public </w:t>
      </w:r>
      <w:r w:rsidRPr="00766956">
        <w:rPr>
          <w:rFonts w:ascii="Arial" w:eastAsiaTheme="majorEastAsia" w:hAnsi="Arial" w:cs="Arial"/>
        </w:rPr>
        <w:t>health</w:t>
      </w:r>
      <w:r>
        <w:rPr>
          <w:rFonts w:ascii="Arial" w:eastAsiaTheme="majorEastAsia" w:hAnsi="Arial" w:cs="Arial"/>
        </w:rPr>
        <w:t>, social care and housing</w:t>
      </w:r>
      <w:r w:rsidRPr="00766956">
        <w:rPr>
          <w:rFonts w:ascii="Arial" w:eastAsiaTheme="majorEastAsia" w:hAnsi="Arial" w:cs="Arial"/>
        </w:rPr>
        <w:t xml:space="preserve"> services</w:t>
      </w:r>
      <w:r w:rsidR="00B110A0">
        <w:rPr>
          <w:rFonts w:ascii="Arial" w:eastAsiaTheme="majorEastAsia" w:hAnsi="Arial" w:cs="Arial"/>
        </w:rPr>
        <w:t xml:space="preserve">. This includes </w:t>
      </w:r>
      <w:r w:rsidRPr="00766956">
        <w:rPr>
          <w:rFonts w:ascii="Arial" w:eastAsiaTheme="majorEastAsia" w:hAnsi="Arial" w:cs="Arial"/>
        </w:rPr>
        <w:t>most drug and alcohol services</w:t>
      </w:r>
      <w:r>
        <w:rPr>
          <w:rFonts w:ascii="Arial" w:eastAsiaTheme="majorEastAsia" w:hAnsi="Arial" w:cs="Arial"/>
        </w:rPr>
        <w:t xml:space="preserve"> in B</w:t>
      </w:r>
      <w:r w:rsidR="0006553B">
        <w:rPr>
          <w:rFonts w:ascii="Arial" w:eastAsiaTheme="majorEastAsia" w:hAnsi="Arial" w:cs="Arial"/>
        </w:rPr>
        <w:t xml:space="preserve">ath and </w:t>
      </w:r>
      <w:proofErr w:type="gramStart"/>
      <w:r w:rsidR="0006553B">
        <w:rPr>
          <w:rFonts w:ascii="Arial" w:eastAsiaTheme="majorEastAsia" w:hAnsi="Arial" w:cs="Arial"/>
        </w:rPr>
        <w:t>North East</w:t>
      </w:r>
      <w:proofErr w:type="gramEnd"/>
      <w:r w:rsidR="0006553B">
        <w:rPr>
          <w:rFonts w:ascii="Arial" w:eastAsiaTheme="majorEastAsia" w:hAnsi="Arial" w:cs="Arial"/>
        </w:rPr>
        <w:t xml:space="preserve"> Somerset</w:t>
      </w:r>
      <w:r w:rsidRPr="00766956">
        <w:rPr>
          <w:rFonts w:ascii="Arial" w:eastAsiaTheme="majorEastAsia" w:hAnsi="Arial" w:cs="Arial"/>
        </w:rPr>
        <w:t>.</w:t>
      </w:r>
    </w:p>
    <w:p w14:paraId="225972BD" w14:textId="317C2DF4" w:rsidR="00002851" w:rsidRPr="00766956" w:rsidRDefault="00002851" w:rsidP="00002851">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rPr>
        <w:t>HCRG’s</w:t>
      </w:r>
      <w:r w:rsidRPr="00766956">
        <w:rPr>
          <w:rFonts w:ascii="Arial" w:eastAsiaTheme="majorEastAsia" w:hAnsi="Arial" w:cs="Arial"/>
        </w:rPr>
        <w:t xml:space="preserve"> delivery of drug and alcohol services</w:t>
      </w:r>
      <w:r>
        <w:rPr>
          <w:rFonts w:ascii="Arial" w:eastAsiaTheme="majorEastAsia" w:hAnsi="Arial" w:cs="Arial"/>
        </w:rPr>
        <w:t xml:space="preserve"> </w:t>
      </w:r>
      <w:r w:rsidR="00B110A0">
        <w:rPr>
          <w:rFonts w:ascii="Arial" w:eastAsiaTheme="majorEastAsia" w:hAnsi="Arial" w:cs="Arial"/>
        </w:rPr>
        <w:t xml:space="preserve">in Bath and </w:t>
      </w:r>
      <w:proofErr w:type="gramStart"/>
      <w:r w:rsidR="00B110A0">
        <w:rPr>
          <w:rFonts w:ascii="Arial" w:eastAsiaTheme="majorEastAsia" w:hAnsi="Arial" w:cs="Arial"/>
        </w:rPr>
        <w:t>North East</w:t>
      </w:r>
      <w:proofErr w:type="gramEnd"/>
      <w:r w:rsidR="00B110A0">
        <w:rPr>
          <w:rFonts w:ascii="Arial" w:eastAsiaTheme="majorEastAsia" w:hAnsi="Arial" w:cs="Arial"/>
        </w:rPr>
        <w:t xml:space="preserve"> Somerset </w:t>
      </w:r>
      <w:r>
        <w:rPr>
          <w:rFonts w:ascii="Arial" w:eastAsiaTheme="majorEastAsia" w:hAnsi="Arial" w:cs="Arial"/>
        </w:rPr>
        <w:t xml:space="preserve">is sub-contracted to </w:t>
      </w:r>
      <w:r w:rsidR="000C35DB">
        <w:rPr>
          <w:rFonts w:ascii="Arial" w:eastAsiaTheme="majorEastAsia" w:hAnsi="Arial" w:cs="Arial"/>
        </w:rPr>
        <w:t xml:space="preserve">DHI, </w:t>
      </w:r>
      <w:r>
        <w:rPr>
          <w:rFonts w:ascii="Arial" w:eastAsiaTheme="majorEastAsia" w:hAnsi="Arial" w:cs="Arial"/>
        </w:rPr>
        <w:t xml:space="preserve">local GPs and </w:t>
      </w:r>
      <w:r w:rsidR="000C35DB">
        <w:rPr>
          <w:rFonts w:ascii="Arial" w:eastAsiaTheme="majorEastAsia" w:hAnsi="Arial" w:cs="Arial"/>
        </w:rPr>
        <w:t xml:space="preserve">local </w:t>
      </w:r>
      <w:r>
        <w:rPr>
          <w:rFonts w:ascii="Arial" w:eastAsiaTheme="majorEastAsia" w:hAnsi="Arial" w:cs="Arial"/>
        </w:rPr>
        <w:t>pharmacies</w:t>
      </w:r>
      <w:r w:rsidRPr="00766956">
        <w:rPr>
          <w:rFonts w:ascii="Arial" w:eastAsiaTheme="majorEastAsia" w:hAnsi="Arial" w:cs="Arial"/>
        </w:rPr>
        <w:t>.</w:t>
      </w:r>
      <w:r>
        <w:rPr>
          <w:rFonts w:ascii="Arial" w:hAnsi="Arial" w:cs="Arial"/>
        </w:rPr>
        <w:t xml:space="preserve"> Outside the HCRG contract, the Council has directly commissioned </w:t>
      </w:r>
      <w:r w:rsidRPr="00766956">
        <w:rPr>
          <w:rFonts w:ascii="Arial" w:eastAsiaTheme="majorEastAsia" w:hAnsi="Arial" w:cs="Arial"/>
        </w:rPr>
        <w:t>Tier 4 drug and alcohol services.</w:t>
      </w:r>
      <w:r w:rsidR="00913AF2">
        <w:rPr>
          <w:rFonts w:ascii="Arial" w:eastAsiaTheme="majorEastAsia" w:hAnsi="Arial" w:cs="Arial"/>
        </w:rPr>
        <w:t xml:space="preserve"> Under these arrangements</w:t>
      </w:r>
      <w:r w:rsidR="0087014A">
        <w:rPr>
          <w:rFonts w:ascii="Arial" w:eastAsiaTheme="majorEastAsia" w:hAnsi="Arial" w:cs="Arial"/>
        </w:rPr>
        <w:t>, local GPs and local pharmacies prescrib</w:t>
      </w:r>
      <w:r w:rsidR="00FB03C4">
        <w:rPr>
          <w:rFonts w:ascii="Arial" w:eastAsiaTheme="majorEastAsia" w:hAnsi="Arial" w:cs="Arial"/>
        </w:rPr>
        <w:t>e</w:t>
      </w:r>
      <w:r w:rsidR="0087014A">
        <w:rPr>
          <w:rFonts w:ascii="Arial" w:eastAsiaTheme="majorEastAsia" w:hAnsi="Arial" w:cs="Arial"/>
        </w:rPr>
        <w:t>, dispens</w:t>
      </w:r>
      <w:r w:rsidR="00FB03C4">
        <w:rPr>
          <w:rFonts w:ascii="Arial" w:eastAsiaTheme="majorEastAsia" w:hAnsi="Arial" w:cs="Arial"/>
        </w:rPr>
        <w:t>e</w:t>
      </w:r>
      <w:r w:rsidR="0087014A">
        <w:rPr>
          <w:rFonts w:ascii="Arial" w:eastAsiaTheme="majorEastAsia" w:hAnsi="Arial" w:cs="Arial"/>
        </w:rPr>
        <w:t xml:space="preserve"> and </w:t>
      </w:r>
      <w:r w:rsidR="00490980">
        <w:rPr>
          <w:rFonts w:ascii="Arial" w:eastAsiaTheme="majorEastAsia" w:hAnsi="Arial" w:cs="Arial"/>
        </w:rPr>
        <w:t>supervis</w:t>
      </w:r>
      <w:r w:rsidR="00191B10">
        <w:rPr>
          <w:rFonts w:ascii="Arial" w:eastAsiaTheme="majorEastAsia" w:hAnsi="Arial" w:cs="Arial"/>
        </w:rPr>
        <w:t>e</w:t>
      </w:r>
      <w:r w:rsidR="00490980">
        <w:rPr>
          <w:rFonts w:ascii="Arial" w:eastAsiaTheme="majorEastAsia" w:hAnsi="Arial" w:cs="Arial"/>
        </w:rPr>
        <w:t xml:space="preserve"> </w:t>
      </w:r>
      <w:r w:rsidR="002F0098">
        <w:rPr>
          <w:rFonts w:ascii="Arial" w:eastAsiaTheme="majorEastAsia" w:hAnsi="Arial" w:cs="Arial"/>
        </w:rPr>
        <w:t xml:space="preserve">the </w:t>
      </w:r>
      <w:r w:rsidR="00490980">
        <w:rPr>
          <w:rFonts w:ascii="Arial" w:eastAsiaTheme="majorEastAsia" w:hAnsi="Arial" w:cs="Arial"/>
        </w:rPr>
        <w:t>consumption of controlled drugs</w:t>
      </w:r>
      <w:r w:rsidR="00AF6B3B">
        <w:rPr>
          <w:rFonts w:ascii="Arial" w:eastAsiaTheme="majorEastAsia" w:hAnsi="Arial" w:cs="Arial"/>
        </w:rPr>
        <w:t xml:space="preserve">. DHI monitors and collates </w:t>
      </w:r>
      <w:r w:rsidR="009F0C8D">
        <w:rPr>
          <w:rFonts w:ascii="Arial" w:eastAsiaTheme="majorEastAsia" w:hAnsi="Arial" w:cs="Arial"/>
        </w:rPr>
        <w:t>local GP and local pharmacy</w:t>
      </w:r>
      <w:r w:rsidR="00AF6B3B">
        <w:rPr>
          <w:rFonts w:ascii="Arial" w:eastAsiaTheme="majorEastAsia" w:hAnsi="Arial" w:cs="Arial"/>
        </w:rPr>
        <w:t xml:space="preserve"> activity for </w:t>
      </w:r>
      <w:proofErr w:type="gramStart"/>
      <w:r w:rsidR="00AF6B3B">
        <w:rPr>
          <w:rFonts w:ascii="Arial" w:eastAsiaTheme="majorEastAsia" w:hAnsi="Arial" w:cs="Arial"/>
        </w:rPr>
        <w:t>HCRG</w:t>
      </w:r>
      <w:r w:rsidR="00191B10">
        <w:rPr>
          <w:rFonts w:ascii="Arial" w:eastAsiaTheme="majorEastAsia" w:hAnsi="Arial" w:cs="Arial"/>
        </w:rPr>
        <w:t>,</w:t>
      </w:r>
      <w:r w:rsidR="00AF6B3B">
        <w:rPr>
          <w:rFonts w:ascii="Arial" w:eastAsiaTheme="majorEastAsia" w:hAnsi="Arial" w:cs="Arial"/>
        </w:rPr>
        <w:t xml:space="preserve"> a</w:t>
      </w:r>
      <w:r w:rsidR="00CE79B6">
        <w:rPr>
          <w:rFonts w:ascii="Arial" w:eastAsiaTheme="majorEastAsia" w:hAnsi="Arial" w:cs="Arial"/>
        </w:rPr>
        <w:t>nd</w:t>
      </w:r>
      <w:proofErr w:type="gramEnd"/>
      <w:r w:rsidR="00CE79B6">
        <w:rPr>
          <w:rFonts w:ascii="Arial" w:eastAsiaTheme="majorEastAsia" w:hAnsi="Arial" w:cs="Arial"/>
        </w:rPr>
        <w:t xml:space="preserve"> manages access and continuity of ca</w:t>
      </w:r>
      <w:r w:rsidR="001371DD">
        <w:rPr>
          <w:rFonts w:ascii="Arial" w:eastAsiaTheme="majorEastAsia" w:hAnsi="Arial" w:cs="Arial"/>
        </w:rPr>
        <w:t>r</w:t>
      </w:r>
      <w:r w:rsidR="00CE79B6">
        <w:rPr>
          <w:rFonts w:ascii="Arial" w:eastAsiaTheme="majorEastAsia" w:hAnsi="Arial" w:cs="Arial"/>
        </w:rPr>
        <w:t>e for users of Tier 4 services.</w:t>
      </w:r>
    </w:p>
    <w:p w14:paraId="7348576D" w14:textId="61A48F4E" w:rsidR="00002851" w:rsidRPr="00002851" w:rsidRDefault="00002851" w:rsidP="00002851">
      <w:pPr>
        <w:pStyle w:val="ListParagraph"/>
        <w:numPr>
          <w:ilvl w:val="0"/>
          <w:numId w:val="2"/>
        </w:numPr>
        <w:spacing w:line="276" w:lineRule="auto"/>
        <w:ind w:left="567" w:hanging="567"/>
        <w:contextualSpacing w:val="0"/>
        <w:rPr>
          <w:rFonts w:ascii="Arial" w:hAnsi="Arial" w:cs="Arial"/>
        </w:rPr>
      </w:pPr>
      <w:r w:rsidRPr="00406531">
        <w:rPr>
          <w:rFonts w:ascii="Arial" w:eastAsiaTheme="majorEastAsia" w:hAnsi="Arial" w:cs="Arial"/>
        </w:rPr>
        <w:t xml:space="preserve">With the HCRG contract due to expire on 31 March 2025, the Council </w:t>
      </w:r>
      <w:r w:rsidR="00E72D1B">
        <w:rPr>
          <w:rFonts w:ascii="Arial" w:eastAsiaTheme="majorEastAsia" w:hAnsi="Arial" w:cs="Arial"/>
        </w:rPr>
        <w:t xml:space="preserve">has </w:t>
      </w:r>
      <w:r w:rsidRPr="00406531">
        <w:rPr>
          <w:rFonts w:ascii="Arial" w:eastAsiaTheme="majorEastAsia" w:hAnsi="Arial" w:cs="Arial"/>
        </w:rPr>
        <w:t xml:space="preserve">decided </w:t>
      </w:r>
      <w:r w:rsidRPr="00406531">
        <w:rPr>
          <w:rFonts w:ascii="Arial" w:eastAsiaTheme="majorEastAsia" w:hAnsi="Arial" w:cs="Arial"/>
          <w:color w:val="000000" w:themeColor="text1"/>
        </w:rPr>
        <w:t>to commission all drug and alcohol services</w:t>
      </w:r>
      <w:r w:rsidR="00E53CB7">
        <w:rPr>
          <w:rFonts w:ascii="Arial" w:eastAsiaTheme="majorEastAsia" w:hAnsi="Arial" w:cs="Arial"/>
          <w:color w:val="000000" w:themeColor="text1"/>
        </w:rPr>
        <w:t xml:space="preserve">, including </w:t>
      </w:r>
      <w:r>
        <w:rPr>
          <w:rFonts w:ascii="Arial" w:eastAsiaTheme="majorEastAsia" w:hAnsi="Arial" w:cs="Arial"/>
          <w:color w:val="000000" w:themeColor="text1"/>
        </w:rPr>
        <w:t>services for adults and children as well as shared care and Tier 4 services</w:t>
      </w:r>
      <w:r w:rsidR="00E53CB7">
        <w:rPr>
          <w:rFonts w:ascii="Arial" w:eastAsiaTheme="majorEastAsia" w:hAnsi="Arial" w:cs="Arial"/>
          <w:color w:val="000000" w:themeColor="text1"/>
        </w:rPr>
        <w:t>,</w:t>
      </w:r>
      <w:r w:rsidR="00E53CB7" w:rsidRPr="00E53CB7">
        <w:rPr>
          <w:rFonts w:ascii="Arial" w:eastAsiaTheme="majorEastAsia" w:hAnsi="Arial" w:cs="Arial"/>
          <w:color w:val="000000" w:themeColor="text1"/>
        </w:rPr>
        <w:t xml:space="preserve"> </w:t>
      </w:r>
      <w:r w:rsidR="00E53CB7" w:rsidRPr="00406531">
        <w:rPr>
          <w:rFonts w:ascii="Arial" w:eastAsiaTheme="majorEastAsia" w:hAnsi="Arial" w:cs="Arial"/>
          <w:color w:val="000000" w:themeColor="text1"/>
        </w:rPr>
        <w:t>under a single contract</w:t>
      </w:r>
      <w:r w:rsidR="00651943">
        <w:rPr>
          <w:rFonts w:ascii="Arial" w:eastAsiaTheme="majorEastAsia" w:hAnsi="Arial" w:cs="Arial"/>
          <w:color w:val="000000" w:themeColor="text1"/>
        </w:rPr>
        <w:t>. Th</w:t>
      </w:r>
      <w:r w:rsidR="00E53CB7">
        <w:rPr>
          <w:rFonts w:ascii="Arial" w:eastAsiaTheme="majorEastAsia" w:hAnsi="Arial" w:cs="Arial"/>
          <w:color w:val="000000" w:themeColor="text1"/>
        </w:rPr>
        <w:t xml:space="preserve">is contract will </w:t>
      </w:r>
      <w:r>
        <w:rPr>
          <w:rFonts w:ascii="Arial" w:eastAsiaTheme="majorEastAsia" w:hAnsi="Arial" w:cs="Arial"/>
          <w:color w:val="000000" w:themeColor="text1"/>
        </w:rPr>
        <w:t xml:space="preserve">encompass the services currently supplied by </w:t>
      </w:r>
      <w:r w:rsidR="00E53CB7">
        <w:rPr>
          <w:rFonts w:ascii="Arial" w:eastAsiaTheme="majorEastAsia" w:hAnsi="Arial" w:cs="Arial"/>
          <w:color w:val="000000" w:themeColor="text1"/>
        </w:rPr>
        <w:t xml:space="preserve">DHI, </w:t>
      </w:r>
      <w:r>
        <w:rPr>
          <w:rFonts w:ascii="Arial" w:eastAsiaTheme="majorEastAsia" w:hAnsi="Arial" w:cs="Arial"/>
          <w:color w:val="000000" w:themeColor="text1"/>
        </w:rPr>
        <w:t xml:space="preserve">local GPs and </w:t>
      </w:r>
      <w:r w:rsidR="00E53CB7">
        <w:rPr>
          <w:rFonts w:ascii="Arial" w:eastAsiaTheme="majorEastAsia" w:hAnsi="Arial" w:cs="Arial"/>
          <w:color w:val="000000" w:themeColor="text1"/>
        </w:rPr>
        <w:t xml:space="preserve">local </w:t>
      </w:r>
      <w:r>
        <w:rPr>
          <w:rFonts w:ascii="Arial" w:eastAsiaTheme="majorEastAsia" w:hAnsi="Arial" w:cs="Arial"/>
          <w:color w:val="000000" w:themeColor="text1"/>
        </w:rPr>
        <w:t>pharmacies, and the current providers of Tier 4 services.</w:t>
      </w:r>
    </w:p>
    <w:p w14:paraId="58182DB8" w14:textId="1492FE99" w:rsidR="004B02ED" w:rsidRPr="0016562E" w:rsidRDefault="004B02ED" w:rsidP="004B02ED">
      <w:pPr>
        <w:pStyle w:val="ListParagraph"/>
        <w:numPr>
          <w:ilvl w:val="0"/>
          <w:numId w:val="2"/>
        </w:numPr>
        <w:spacing w:line="276" w:lineRule="auto"/>
        <w:ind w:left="567" w:hanging="567"/>
        <w:contextualSpacing w:val="0"/>
        <w:rPr>
          <w:rFonts w:ascii="Arial" w:eastAsiaTheme="majorEastAsia" w:hAnsi="Arial" w:cs="Arial"/>
        </w:rPr>
      </w:pPr>
      <w:r w:rsidRPr="0016562E">
        <w:rPr>
          <w:rFonts w:ascii="Arial" w:eastAsiaTheme="majorEastAsia" w:hAnsi="Arial" w:cs="Arial"/>
        </w:rPr>
        <w:t xml:space="preserve">On 5 August 2024, the Council published a Contract Notice on </w:t>
      </w:r>
      <w:r w:rsidR="00E116E2">
        <w:rPr>
          <w:rFonts w:ascii="Arial" w:eastAsiaTheme="majorEastAsia" w:hAnsi="Arial" w:cs="Arial"/>
        </w:rPr>
        <w:t>Find a Tender Service (</w:t>
      </w:r>
      <w:r w:rsidRPr="0016562E">
        <w:rPr>
          <w:rFonts w:ascii="Arial" w:eastAsiaTheme="majorEastAsia" w:hAnsi="Arial" w:cs="Arial"/>
        </w:rPr>
        <w:t>FTS</w:t>
      </w:r>
      <w:r w:rsidR="00E116E2">
        <w:rPr>
          <w:rFonts w:ascii="Arial" w:eastAsiaTheme="majorEastAsia" w:hAnsi="Arial" w:cs="Arial"/>
        </w:rPr>
        <w:t>)</w:t>
      </w:r>
      <w:r w:rsidRPr="0016562E">
        <w:rPr>
          <w:rFonts w:ascii="Arial" w:eastAsiaTheme="majorEastAsia" w:hAnsi="Arial" w:cs="Arial"/>
        </w:rPr>
        <w:t xml:space="preserve"> inviting providers to participate in Stage 1 of t</w:t>
      </w:r>
      <w:r w:rsidRPr="0016562E" w:rsidDel="00BE44D5">
        <w:rPr>
          <w:rFonts w:ascii="Arial" w:eastAsiaTheme="majorEastAsia" w:hAnsi="Arial" w:cs="Arial"/>
        </w:rPr>
        <w:t>h</w:t>
      </w:r>
      <w:r w:rsidRPr="0016562E">
        <w:rPr>
          <w:rFonts w:ascii="Arial" w:eastAsiaTheme="majorEastAsia" w:hAnsi="Arial" w:cs="Arial"/>
        </w:rPr>
        <w:t xml:space="preserve">e competitive process by responding to a Standard Selection Questionnaire (SQ) that </w:t>
      </w:r>
      <w:r>
        <w:rPr>
          <w:rFonts w:ascii="Arial" w:eastAsiaTheme="majorEastAsia" w:hAnsi="Arial" w:cs="Arial"/>
        </w:rPr>
        <w:t xml:space="preserve">it </w:t>
      </w:r>
      <w:r w:rsidRPr="0016562E">
        <w:rPr>
          <w:rFonts w:ascii="Arial" w:eastAsiaTheme="majorEastAsia" w:hAnsi="Arial" w:cs="Arial"/>
        </w:rPr>
        <w:t>would use to evaluate</w:t>
      </w:r>
      <w:r w:rsidRPr="0016562E">
        <w:rPr>
          <w:rFonts w:ascii="Arial" w:hAnsi="Arial" w:cs="Arial"/>
        </w:rPr>
        <w:t xml:space="preserve"> applicants against the basic selection criteria. </w:t>
      </w:r>
      <w:r w:rsidRPr="0016562E">
        <w:rPr>
          <w:rFonts w:ascii="Arial" w:eastAsiaTheme="majorEastAsia" w:hAnsi="Arial" w:cs="Arial"/>
        </w:rPr>
        <w:t>The five highest scoring applicants who met the SQ’s requirements would be invited to take part in Stage 2 of the competitive process.</w:t>
      </w:r>
    </w:p>
    <w:p w14:paraId="329EC502" w14:textId="28BBC2D3" w:rsidR="004B02ED" w:rsidRPr="00A231BA" w:rsidRDefault="004B02ED" w:rsidP="004B02ED">
      <w:pPr>
        <w:pStyle w:val="ListParagraph"/>
        <w:numPr>
          <w:ilvl w:val="0"/>
          <w:numId w:val="2"/>
        </w:numPr>
        <w:spacing w:line="276" w:lineRule="auto"/>
        <w:ind w:left="567" w:hanging="567"/>
        <w:contextualSpacing w:val="0"/>
        <w:rPr>
          <w:rFonts w:ascii="Arial" w:eastAsiaTheme="majorEastAsia" w:hAnsi="Arial" w:cs="Arial"/>
        </w:rPr>
      </w:pPr>
      <w:r w:rsidRPr="00A231BA">
        <w:rPr>
          <w:rFonts w:ascii="Arial" w:eastAsiaTheme="majorEastAsia" w:hAnsi="Arial" w:cs="Arial"/>
        </w:rPr>
        <w:t>The Council received four completed SQs, which were assessed by an evaluation panel between 27 August and 6 September 2024. All four bidders met the</w:t>
      </w:r>
      <w:r w:rsidRPr="00A231BA">
        <w:rPr>
          <w:rFonts w:ascii="Arial" w:hAnsi="Arial" w:cs="Arial"/>
        </w:rPr>
        <w:t xml:space="preserve"> requirements of the </w:t>
      </w:r>
      <w:r w:rsidRPr="00A231BA">
        <w:rPr>
          <w:rFonts w:ascii="Arial" w:eastAsiaTheme="majorEastAsia" w:hAnsi="Arial" w:cs="Arial"/>
        </w:rPr>
        <w:t>basic selection criteria and were invited to proceed to Stage 2 of the competitive process. The Stage 2 ITT documentation was issued on 6 September with responses due by 12 noon on 4 October. All four bidders submitted responses, including DHI and the successful bidder, Turning Point Services (TPS).</w:t>
      </w:r>
    </w:p>
    <w:p w14:paraId="0FF8BD6A" w14:textId="71D3B60C" w:rsidR="004B02ED" w:rsidRPr="006D5D36" w:rsidRDefault="004B02ED" w:rsidP="004B02ED">
      <w:pPr>
        <w:pStyle w:val="ListParagraph"/>
        <w:numPr>
          <w:ilvl w:val="0"/>
          <w:numId w:val="2"/>
        </w:numPr>
        <w:spacing w:line="276" w:lineRule="auto"/>
        <w:ind w:left="567" w:hanging="567"/>
        <w:contextualSpacing w:val="0"/>
        <w:rPr>
          <w:rFonts w:ascii="Arial" w:eastAsiaTheme="majorEastAsia" w:hAnsi="Arial" w:cs="Arial"/>
        </w:rPr>
      </w:pPr>
      <w:r w:rsidRPr="000A6D93">
        <w:rPr>
          <w:rFonts w:ascii="Arial" w:eastAsiaTheme="majorEastAsia" w:hAnsi="Arial" w:cs="Arial"/>
        </w:rPr>
        <w:t xml:space="preserve">Bidders were asked to submit responses </w:t>
      </w:r>
      <w:r>
        <w:rPr>
          <w:rFonts w:ascii="Arial" w:eastAsiaTheme="majorEastAsia" w:hAnsi="Arial" w:cs="Arial"/>
        </w:rPr>
        <w:t xml:space="preserve">to </w:t>
      </w:r>
      <w:r w:rsidRPr="000A6D93">
        <w:rPr>
          <w:rFonts w:ascii="Arial" w:eastAsiaTheme="majorEastAsia" w:hAnsi="Arial" w:cs="Arial"/>
        </w:rPr>
        <w:t xml:space="preserve">three </w:t>
      </w:r>
      <w:r>
        <w:rPr>
          <w:rFonts w:ascii="Arial" w:eastAsiaTheme="majorEastAsia" w:hAnsi="Arial" w:cs="Arial"/>
        </w:rPr>
        <w:t>sets of questions, namely</w:t>
      </w:r>
      <w:r w:rsidRPr="000A6D93">
        <w:rPr>
          <w:rFonts w:ascii="Arial" w:eastAsiaTheme="majorEastAsia" w:hAnsi="Arial" w:cs="Arial"/>
        </w:rPr>
        <w:t xml:space="preserve"> Quality, Social Value and Value (which included pricing). Submissions were scored by an evaluation panel between 7 October and 12 November 2024</w:t>
      </w:r>
      <w:r w:rsidR="00BA6921">
        <w:rPr>
          <w:rFonts w:ascii="Arial" w:eastAsiaTheme="majorEastAsia" w:hAnsi="Arial" w:cs="Arial"/>
        </w:rPr>
        <w:t xml:space="preserve">. </w:t>
      </w:r>
      <w:r w:rsidRPr="000A6D93">
        <w:rPr>
          <w:rFonts w:ascii="Arial" w:eastAsiaTheme="majorEastAsia" w:hAnsi="Arial" w:cs="Arial"/>
        </w:rPr>
        <w:t xml:space="preserve">TPS was selected as the successful </w:t>
      </w:r>
      <w:r w:rsidRPr="006D5D36">
        <w:rPr>
          <w:rFonts w:ascii="Arial" w:eastAsiaTheme="majorEastAsia" w:hAnsi="Arial" w:cs="Arial"/>
        </w:rPr>
        <w:t>bidder</w:t>
      </w:r>
      <w:r w:rsidR="00BA6921">
        <w:rPr>
          <w:rFonts w:ascii="Arial" w:eastAsiaTheme="majorEastAsia" w:hAnsi="Arial" w:cs="Arial"/>
        </w:rPr>
        <w:t xml:space="preserve">, and </w:t>
      </w:r>
      <w:r w:rsidRPr="00766956">
        <w:rPr>
          <w:rFonts w:ascii="Arial" w:eastAsiaTheme="majorEastAsia" w:hAnsi="Arial" w:cs="Arial"/>
        </w:rPr>
        <w:t>DHI’s proposal was ranked fourth out of the four proposals.</w:t>
      </w:r>
    </w:p>
    <w:p w14:paraId="37ABDF68" w14:textId="797EBF91" w:rsidR="00002851" w:rsidRPr="000C6C8D" w:rsidRDefault="004B02ED" w:rsidP="004B02ED">
      <w:pPr>
        <w:pStyle w:val="ListParagraph"/>
        <w:numPr>
          <w:ilvl w:val="0"/>
          <w:numId w:val="2"/>
        </w:numPr>
        <w:spacing w:line="276" w:lineRule="auto"/>
        <w:ind w:left="567" w:hanging="567"/>
        <w:contextualSpacing w:val="0"/>
        <w:rPr>
          <w:rFonts w:ascii="Arial" w:hAnsi="Arial" w:cs="Arial"/>
        </w:rPr>
      </w:pPr>
      <w:r w:rsidRPr="006427BC">
        <w:rPr>
          <w:rFonts w:ascii="Arial" w:eastAsiaTheme="majorEastAsia" w:hAnsi="Arial" w:cs="Arial"/>
        </w:rPr>
        <w:lastRenderedPageBreak/>
        <w:t>The Council wrote to bidders on 13 November informing them of the outcome and published a notice of its intention to award the contract to TPS on 13 November 2024.</w:t>
      </w:r>
    </w:p>
    <w:p w14:paraId="6B331A77" w14:textId="27EEFCCD" w:rsidR="000C6C8D" w:rsidRDefault="0036570D" w:rsidP="000C6C8D">
      <w:pPr>
        <w:pStyle w:val="ListParagraph"/>
        <w:numPr>
          <w:ilvl w:val="0"/>
          <w:numId w:val="2"/>
        </w:numPr>
        <w:spacing w:after="0" w:line="276" w:lineRule="auto"/>
        <w:ind w:left="567" w:hanging="567"/>
        <w:rPr>
          <w:rFonts w:ascii="Arial" w:hAnsi="Arial" w:cs="Arial"/>
        </w:rPr>
      </w:pPr>
      <w:r>
        <w:rPr>
          <w:rFonts w:ascii="Arial" w:hAnsi="Arial" w:cs="Arial"/>
        </w:rPr>
        <w:t>Following representations from DHI, t</w:t>
      </w:r>
      <w:r w:rsidR="000C6C8D">
        <w:rPr>
          <w:rFonts w:ascii="Arial" w:hAnsi="Arial" w:cs="Arial"/>
        </w:rPr>
        <w:t>he Panel</w:t>
      </w:r>
      <w:r w:rsidR="009C5D4E">
        <w:rPr>
          <w:rFonts w:ascii="Arial" w:hAnsi="Arial" w:cs="Arial"/>
        </w:rPr>
        <w:t xml:space="preserve"> considered seven issues in its review</w:t>
      </w:r>
      <w:r w:rsidR="000C6C8D">
        <w:rPr>
          <w:rFonts w:ascii="Arial" w:hAnsi="Arial" w:cs="Arial"/>
        </w:rPr>
        <w:t>:</w:t>
      </w:r>
    </w:p>
    <w:p w14:paraId="228B43B0" w14:textId="0299CE1F"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sidRPr="00824817">
        <w:rPr>
          <w:rFonts w:ascii="Arial" w:hAnsi="Arial" w:cs="Arial"/>
        </w:rPr>
        <w:t xml:space="preserve">first, </w:t>
      </w:r>
      <w:r>
        <w:rPr>
          <w:rFonts w:ascii="Arial" w:hAnsi="Arial" w:cs="Arial"/>
        </w:rPr>
        <w:t xml:space="preserve">the </w:t>
      </w:r>
      <w:r w:rsidR="009C5D4E">
        <w:rPr>
          <w:rFonts w:ascii="Arial" w:hAnsi="Arial" w:cs="Arial"/>
        </w:rPr>
        <w:t xml:space="preserve">Council’s </w:t>
      </w:r>
      <w:r>
        <w:rPr>
          <w:rFonts w:ascii="Arial" w:hAnsi="Arial" w:cs="Arial"/>
        </w:rPr>
        <w:t xml:space="preserve">scoring of </w:t>
      </w:r>
      <w:r w:rsidRPr="00824817">
        <w:rPr>
          <w:rFonts w:ascii="Arial" w:eastAsiaTheme="majorEastAsia" w:hAnsi="Arial" w:cs="Arial"/>
        </w:rPr>
        <w:t xml:space="preserve">sub-criteria and </w:t>
      </w:r>
      <w:r>
        <w:rPr>
          <w:rFonts w:ascii="Arial" w:eastAsiaTheme="majorEastAsia" w:hAnsi="Arial" w:cs="Arial"/>
        </w:rPr>
        <w:t xml:space="preserve">the </w:t>
      </w:r>
      <w:r w:rsidRPr="00824817">
        <w:rPr>
          <w:rFonts w:ascii="Arial" w:eastAsiaTheme="majorEastAsia" w:hAnsi="Arial" w:cs="Arial"/>
        </w:rPr>
        <w:t xml:space="preserve">calculation of weighted </w:t>
      </w:r>
      <w:proofErr w:type="gramStart"/>
      <w:r w:rsidRPr="00824817">
        <w:rPr>
          <w:rFonts w:ascii="Arial" w:eastAsiaTheme="majorEastAsia" w:hAnsi="Arial" w:cs="Arial"/>
        </w:rPr>
        <w:t>scores</w:t>
      </w:r>
      <w:r w:rsidRPr="00824817">
        <w:rPr>
          <w:rFonts w:ascii="Arial" w:hAnsi="Arial" w:cs="Arial"/>
        </w:rPr>
        <w:t>;</w:t>
      </w:r>
      <w:proofErr w:type="gramEnd"/>
    </w:p>
    <w:p w14:paraId="53B08589" w14:textId="7ED8AFE4"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sidRPr="00824817">
        <w:rPr>
          <w:rFonts w:ascii="Arial" w:hAnsi="Arial" w:cs="Arial"/>
        </w:rPr>
        <w:t xml:space="preserve">second, </w:t>
      </w:r>
      <w:r>
        <w:rPr>
          <w:rFonts w:ascii="Arial" w:hAnsi="Arial" w:cs="Arial"/>
        </w:rPr>
        <w:t xml:space="preserve">the </w:t>
      </w:r>
      <w:r w:rsidR="009C5D4E">
        <w:rPr>
          <w:rFonts w:ascii="Arial" w:hAnsi="Arial" w:cs="Arial"/>
        </w:rPr>
        <w:t xml:space="preserve">Council’s </w:t>
      </w:r>
      <w:r>
        <w:rPr>
          <w:rFonts w:ascii="Arial" w:hAnsi="Arial" w:cs="Arial"/>
        </w:rPr>
        <w:t xml:space="preserve">scoring of responses to the </w:t>
      </w:r>
      <w:r>
        <w:rPr>
          <w:rFonts w:ascii="Arial" w:eastAsiaTheme="majorEastAsia" w:hAnsi="Arial" w:cs="Arial"/>
        </w:rPr>
        <w:t>s</w:t>
      </w:r>
      <w:r w:rsidRPr="00824817">
        <w:rPr>
          <w:rFonts w:ascii="Arial" w:eastAsiaTheme="majorEastAsia" w:hAnsi="Arial" w:cs="Arial"/>
        </w:rPr>
        <w:t xml:space="preserve">ocial </w:t>
      </w:r>
      <w:r>
        <w:rPr>
          <w:rFonts w:ascii="Arial" w:eastAsiaTheme="majorEastAsia" w:hAnsi="Arial" w:cs="Arial"/>
        </w:rPr>
        <w:t>v</w:t>
      </w:r>
      <w:r w:rsidRPr="00824817">
        <w:rPr>
          <w:rFonts w:ascii="Arial" w:eastAsiaTheme="majorEastAsia" w:hAnsi="Arial" w:cs="Arial"/>
        </w:rPr>
        <w:t xml:space="preserve">alue </w:t>
      </w:r>
      <w:r>
        <w:rPr>
          <w:rFonts w:ascii="Arial" w:eastAsiaTheme="majorEastAsia" w:hAnsi="Arial" w:cs="Arial"/>
        </w:rPr>
        <w:t xml:space="preserve">questions </w:t>
      </w:r>
      <w:r w:rsidRPr="00824817">
        <w:rPr>
          <w:rFonts w:ascii="Arial" w:eastAsiaTheme="majorEastAsia" w:hAnsi="Arial" w:cs="Arial"/>
        </w:rPr>
        <w:t xml:space="preserve">and </w:t>
      </w:r>
      <w:r>
        <w:rPr>
          <w:rFonts w:ascii="Arial" w:eastAsiaTheme="majorEastAsia" w:hAnsi="Arial" w:cs="Arial"/>
        </w:rPr>
        <w:t xml:space="preserve">the </w:t>
      </w:r>
      <w:r w:rsidR="00816D7B">
        <w:rPr>
          <w:rFonts w:ascii="Arial" w:eastAsiaTheme="majorEastAsia" w:hAnsi="Arial" w:cs="Arial"/>
        </w:rPr>
        <w:t xml:space="preserve">potential </w:t>
      </w:r>
      <w:r>
        <w:rPr>
          <w:rFonts w:ascii="Arial" w:eastAsiaTheme="majorEastAsia" w:hAnsi="Arial" w:cs="Arial"/>
        </w:rPr>
        <w:t>exclu</w:t>
      </w:r>
      <w:r w:rsidR="00816D7B">
        <w:rPr>
          <w:rFonts w:ascii="Arial" w:eastAsiaTheme="majorEastAsia" w:hAnsi="Arial" w:cs="Arial"/>
        </w:rPr>
        <w:t xml:space="preserve">sion of bidders with </w:t>
      </w:r>
      <w:r>
        <w:rPr>
          <w:rFonts w:ascii="Arial" w:eastAsiaTheme="majorEastAsia" w:hAnsi="Arial" w:cs="Arial"/>
        </w:rPr>
        <w:t xml:space="preserve">low-scoring </w:t>
      </w:r>
      <w:r w:rsidR="00816D7B">
        <w:rPr>
          <w:rFonts w:ascii="Arial" w:eastAsiaTheme="majorEastAsia" w:hAnsi="Arial" w:cs="Arial"/>
        </w:rPr>
        <w:t xml:space="preserve">responses to these </w:t>
      </w:r>
      <w:proofErr w:type="gramStart"/>
      <w:r w:rsidR="00816D7B">
        <w:rPr>
          <w:rFonts w:ascii="Arial" w:eastAsiaTheme="majorEastAsia" w:hAnsi="Arial" w:cs="Arial"/>
        </w:rPr>
        <w:t>questions</w:t>
      </w:r>
      <w:r w:rsidRPr="00824817">
        <w:rPr>
          <w:rFonts w:ascii="Arial" w:eastAsiaTheme="majorEastAsia" w:hAnsi="Arial" w:cs="Arial"/>
        </w:rPr>
        <w:t>;</w:t>
      </w:r>
      <w:proofErr w:type="gramEnd"/>
    </w:p>
    <w:p w14:paraId="35FFC75D" w14:textId="20035503"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rPr>
        <w:t>third</w:t>
      </w:r>
      <w:r w:rsidRPr="00824817">
        <w:rPr>
          <w:rFonts w:ascii="Arial" w:eastAsiaTheme="majorEastAsia" w:hAnsi="Arial" w:cs="Arial"/>
        </w:rPr>
        <w:t xml:space="preserve">, </w:t>
      </w:r>
      <w:r w:rsidRPr="00824817">
        <w:rPr>
          <w:rFonts w:ascii="Arial" w:hAnsi="Arial" w:cs="Arial"/>
        </w:rPr>
        <w:t xml:space="preserve">the </w:t>
      </w:r>
      <w:r w:rsidR="009C5D4E">
        <w:rPr>
          <w:rFonts w:ascii="Arial" w:hAnsi="Arial" w:cs="Arial"/>
        </w:rPr>
        <w:t xml:space="preserve">Council’s </w:t>
      </w:r>
      <w:r>
        <w:rPr>
          <w:rFonts w:ascii="Arial" w:hAnsi="Arial" w:cs="Arial"/>
        </w:rPr>
        <w:t>evaluation and scoring of responses to the quality questions</w:t>
      </w:r>
      <w:r w:rsidR="00B94FEE">
        <w:rPr>
          <w:rFonts w:ascii="Arial" w:hAnsi="Arial" w:cs="Arial"/>
        </w:rPr>
        <w:t xml:space="preserve"> </w:t>
      </w:r>
      <w:r w:rsidR="00693477">
        <w:rPr>
          <w:rFonts w:ascii="Arial" w:hAnsi="Arial" w:cs="Arial"/>
        </w:rPr>
        <w:t xml:space="preserve">given DHI’s concerns about the Council’s </w:t>
      </w:r>
      <w:r w:rsidR="0073495A">
        <w:rPr>
          <w:rFonts w:ascii="Arial" w:hAnsi="Arial" w:cs="Arial"/>
        </w:rPr>
        <w:t>feed</w:t>
      </w:r>
      <w:r w:rsidR="002515D8">
        <w:rPr>
          <w:rFonts w:ascii="Arial" w:hAnsi="Arial" w:cs="Arial"/>
        </w:rPr>
        <w:t>back</w:t>
      </w:r>
      <w:r w:rsidR="00240550">
        <w:rPr>
          <w:rFonts w:ascii="Arial" w:hAnsi="Arial" w:cs="Arial"/>
        </w:rPr>
        <w:t xml:space="preserve"> </w:t>
      </w:r>
      <w:r w:rsidR="002515D8">
        <w:rPr>
          <w:rFonts w:ascii="Arial" w:hAnsi="Arial" w:cs="Arial"/>
        </w:rPr>
        <w:t xml:space="preserve">on the level of detail in </w:t>
      </w:r>
      <w:r w:rsidR="009424C0">
        <w:rPr>
          <w:rFonts w:ascii="Arial" w:hAnsi="Arial" w:cs="Arial"/>
        </w:rPr>
        <w:t xml:space="preserve">its </w:t>
      </w:r>
      <w:proofErr w:type="gramStart"/>
      <w:r w:rsidR="002515D8">
        <w:rPr>
          <w:rFonts w:ascii="Arial" w:hAnsi="Arial" w:cs="Arial"/>
        </w:rPr>
        <w:t>proposal</w:t>
      </w:r>
      <w:r w:rsidRPr="00824817">
        <w:rPr>
          <w:rFonts w:ascii="Arial" w:eastAsiaTheme="majorEastAsia" w:hAnsi="Arial" w:cs="Arial"/>
        </w:rPr>
        <w:t>;</w:t>
      </w:r>
      <w:proofErr w:type="gramEnd"/>
    </w:p>
    <w:p w14:paraId="30901886" w14:textId="009B9106"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rPr>
        <w:t>fourth</w:t>
      </w:r>
      <w:r w:rsidRPr="00824817">
        <w:rPr>
          <w:rFonts w:ascii="Arial" w:eastAsiaTheme="majorEastAsia" w:hAnsi="Arial" w:cs="Arial"/>
        </w:rPr>
        <w:t xml:space="preserve">, the </w:t>
      </w:r>
      <w:r>
        <w:rPr>
          <w:rFonts w:ascii="Arial" w:eastAsiaTheme="majorEastAsia" w:hAnsi="Arial" w:cs="Arial"/>
        </w:rPr>
        <w:t xml:space="preserve">level of expertise available on the </w:t>
      </w:r>
      <w:r w:rsidR="009C5D4E">
        <w:rPr>
          <w:rFonts w:ascii="Arial" w:eastAsiaTheme="majorEastAsia" w:hAnsi="Arial" w:cs="Arial"/>
        </w:rPr>
        <w:t xml:space="preserve">Council’s </w:t>
      </w:r>
      <w:r>
        <w:rPr>
          <w:rFonts w:ascii="Arial" w:eastAsiaTheme="majorEastAsia" w:hAnsi="Arial" w:cs="Arial"/>
        </w:rPr>
        <w:t xml:space="preserve">evaluation </w:t>
      </w:r>
      <w:proofErr w:type="gramStart"/>
      <w:r>
        <w:rPr>
          <w:rFonts w:ascii="Arial" w:eastAsiaTheme="majorEastAsia" w:hAnsi="Arial" w:cs="Arial"/>
        </w:rPr>
        <w:t>panel</w:t>
      </w:r>
      <w:r w:rsidRPr="00824817">
        <w:rPr>
          <w:rFonts w:ascii="Arial" w:eastAsiaTheme="majorEastAsia" w:hAnsi="Arial" w:cs="Arial"/>
        </w:rPr>
        <w:t>;</w:t>
      </w:r>
      <w:proofErr w:type="gramEnd"/>
    </w:p>
    <w:p w14:paraId="23098913" w14:textId="125D481D"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sidRPr="00824817">
        <w:rPr>
          <w:rFonts w:ascii="Arial" w:eastAsiaTheme="majorEastAsia" w:hAnsi="Arial" w:cs="Arial"/>
        </w:rPr>
        <w:t xml:space="preserve">fifth, stakeholder engagement </w:t>
      </w:r>
      <w:r>
        <w:rPr>
          <w:rFonts w:ascii="Arial" w:eastAsiaTheme="majorEastAsia" w:hAnsi="Arial" w:cs="Arial"/>
        </w:rPr>
        <w:t xml:space="preserve">in the </w:t>
      </w:r>
      <w:r w:rsidR="009C5D4E">
        <w:rPr>
          <w:rFonts w:ascii="Arial" w:eastAsiaTheme="majorEastAsia" w:hAnsi="Arial" w:cs="Arial"/>
        </w:rPr>
        <w:t xml:space="preserve">Council’s </w:t>
      </w:r>
      <w:r>
        <w:rPr>
          <w:rFonts w:ascii="Arial" w:eastAsiaTheme="majorEastAsia" w:hAnsi="Arial" w:cs="Arial"/>
        </w:rPr>
        <w:t xml:space="preserve">formulation of the key </w:t>
      </w:r>
      <w:proofErr w:type="gramStart"/>
      <w:r>
        <w:rPr>
          <w:rFonts w:ascii="Arial" w:eastAsiaTheme="majorEastAsia" w:hAnsi="Arial" w:cs="Arial"/>
        </w:rPr>
        <w:t>criteria</w:t>
      </w:r>
      <w:r w:rsidRPr="00824817">
        <w:rPr>
          <w:rFonts w:ascii="Arial" w:eastAsiaTheme="majorEastAsia" w:hAnsi="Arial" w:cs="Arial"/>
        </w:rPr>
        <w:t>;</w:t>
      </w:r>
      <w:proofErr w:type="gramEnd"/>
    </w:p>
    <w:p w14:paraId="3FDC60D0" w14:textId="03CA6AD2" w:rsidR="000C6C8D" w:rsidRPr="00824817" w:rsidRDefault="000C6C8D" w:rsidP="000C6C8D">
      <w:pPr>
        <w:pStyle w:val="ListParagraph"/>
        <w:numPr>
          <w:ilvl w:val="1"/>
          <w:numId w:val="2"/>
        </w:numPr>
        <w:spacing w:after="0" w:line="276" w:lineRule="auto"/>
        <w:ind w:left="1134" w:hanging="283"/>
        <w:contextualSpacing w:val="0"/>
        <w:rPr>
          <w:rFonts w:ascii="Arial" w:hAnsi="Arial" w:cs="Arial"/>
        </w:rPr>
      </w:pPr>
      <w:r w:rsidRPr="00824817">
        <w:rPr>
          <w:rFonts w:ascii="Arial" w:eastAsiaTheme="majorEastAsia" w:hAnsi="Arial" w:cs="Arial"/>
        </w:rPr>
        <w:t xml:space="preserve">sixth, the </w:t>
      </w:r>
      <w:r w:rsidR="009C5D4E">
        <w:rPr>
          <w:rFonts w:ascii="Arial" w:eastAsiaTheme="majorEastAsia" w:hAnsi="Arial" w:cs="Arial"/>
        </w:rPr>
        <w:t xml:space="preserve">Council’s </w:t>
      </w:r>
      <w:r>
        <w:rPr>
          <w:rFonts w:ascii="Arial" w:eastAsiaTheme="majorEastAsia" w:hAnsi="Arial" w:cs="Arial"/>
        </w:rPr>
        <w:t xml:space="preserve">decision to use the competitive </w:t>
      </w:r>
      <w:r w:rsidRPr="00824817">
        <w:rPr>
          <w:rFonts w:ascii="Arial" w:eastAsiaTheme="majorEastAsia" w:hAnsi="Arial" w:cs="Arial"/>
        </w:rPr>
        <w:t xml:space="preserve">process </w:t>
      </w:r>
      <w:r>
        <w:rPr>
          <w:rFonts w:ascii="Arial" w:eastAsiaTheme="majorEastAsia" w:hAnsi="Arial" w:cs="Arial"/>
        </w:rPr>
        <w:t>to select a provider</w:t>
      </w:r>
      <w:r w:rsidRPr="00824817">
        <w:rPr>
          <w:rFonts w:ascii="Arial" w:eastAsiaTheme="majorEastAsia" w:hAnsi="Arial" w:cs="Arial"/>
        </w:rPr>
        <w:t>; and</w:t>
      </w:r>
    </w:p>
    <w:p w14:paraId="047AED46" w14:textId="05453039" w:rsidR="000C6C8D" w:rsidRPr="00824817" w:rsidRDefault="000C6C8D" w:rsidP="000C6C8D">
      <w:pPr>
        <w:pStyle w:val="ListParagraph"/>
        <w:numPr>
          <w:ilvl w:val="1"/>
          <w:numId w:val="2"/>
        </w:numPr>
        <w:spacing w:line="276" w:lineRule="auto"/>
        <w:ind w:left="1135" w:hanging="284"/>
        <w:contextualSpacing w:val="0"/>
        <w:rPr>
          <w:rFonts w:ascii="Arial" w:hAnsi="Arial" w:cs="Arial"/>
        </w:rPr>
      </w:pPr>
      <w:r w:rsidRPr="00824817">
        <w:rPr>
          <w:rFonts w:ascii="Arial" w:eastAsiaTheme="majorEastAsia" w:hAnsi="Arial" w:cs="Arial"/>
        </w:rPr>
        <w:t xml:space="preserve">finally, </w:t>
      </w:r>
      <w:r w:rsidR="009C5D4E">
        <w:rPr>
          <w:rFonts w:ascii="Arial" w:eastAsiaTheme="majorEastAsia" w:hAnsi="Arial" w:cs="Arial"/>
        </w:rPr>
        <w:t xml:space="preserve">the Council’s consideration of </w:t>
      </w:r>
      <w:r w:rsidRPr="004E2FF2">
        <w:rPr>
          <w:rFonts w:ascii="Arial" w:hAnsi="Arial" w:cs="Arial"/>
        </w:rPr>
        <w:t xml:space="preserve">service </w:t>
      </w:r>
      <w:r w:rsidR="003266D9">
        <w:rPr>
          <w:rFonts w:ascii="Arial" w:hAnsi="Arial" w:cs="Arial"/>
        </w:rPr>
        <w:t xml:space="preserve">and provider </w:t>
      </w:r>
      <w:r w:rsidRPr="004E2FF2">
        <w:rPr>
          <w:rFonts w:ascii="Arial" w:hAnsi="Arial" w:cs="Arial"/>
        </w:rPr>
        <w:t xml:space="preserve">sustainability </w:t>
      </w:r>
      <w:r w:rsidR="009C5D4E">
        <w:rPr>
          <w:rFonts w:ascii="Arial" w:hAnsi="Arial" w:cs="Arial"/>
        </w:rPr>
        <w:t>issues</w:t>
      </w:r>
      <w:r w:rsidRPr="004E2FF2">
        <w:rPr>
          <w:rFonts w:ascii="Arial" w:eastAsiaTheme="majorEastAsia" w:hAnsi="Arial" w:cs="Arial"/>
        </w:rPr>
        <w:t xml:space="preserve"> </w:t>
      </w:r>
      <w:r>
        <w:rPr>
          <w:rFonts w:ascii="Arial" w:eastAsiaTheme="majorEastAsia" w:hAnsi="Arial" w:cs="Arial"/>
        </w:rPr>
        <w:t>in the provider selection process</w:t>
      </w:r>
      <w:r w:rsidRPr="00824817">
        <w:rPr>
          <w:rFonts w:ascii="Arial" w:eastAsiaTheme="majorEastAsia" w:hAnsi="Arial" w:cs="Arial"/>
        </w:rPr>
        <w:t>.</w:t>
      </w:r>
    </w:p>
    <w:p w14:paraId="55925E28" w14:textId="7D6ECD4D" w:rsidR="000C6C8D" w:rsidRDefault="0067770B" w:rsidP="004B02E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first issue, the Panel’s view is that the Council </w:t>
      </w:r>
      <w:r w:rsidR="00307636">
        <w:rPr>
          <w:rFonts w:ascii="Arial" w:hAnsi="Arial" w:cs="Arial"/>
        </w:rPr>
        <w:t>did</w:t>
      </w:r>
      <w:r>
        <w:rPr>
          <w:rFonts w:ascii="Arial" w:hAnsi="Arial" w:cs="Arial"/>
        </w:rPr>
        <w:t xml:space="preserve"> not err in its calculation of DHI’s weighted score. As a result, the Panel finds that the Council, in calculating the overall weighted score for DHI’s proposal, did not breach the PSR regulations and</w:t>
      </w:r>
      <w:proofErr w:type="gramStart"/>
      <w:r>
        <w:rPr>
          <w:rFonts w:ascii="Arial" w:hAnsi="Arial" w:cs="Arial"/>
        </w:rPr>
        <w:t>, in particular, the</w:t>
      </w:r>
      <w:proofErr w:type="gramEnd"/>
      <w:r>
        <w:rPr>
          <w:rFonts w:ascii="Arial" w:hAnsi="Arial" w:cs="Arial"/>
        </w:rPr>
        <w:t xml:space="preserve"> obligation to act fairly.</w:t>
      </w:r>
    </w:p>
    <w:p w14:paraId="2AC9E564" w14:textId="6EB68A53" w:rsidR="00AF1916" w:rsidRDefault="00442E3B">
      <w:pPr>
        <w:pStyle w:val="ListParagraph"/>
        <w:numPr>
          <w:ilvl w:val="0"/>
          <w:numId w:val="2"/>
        </w:numPr>
        <w:spacing w:line="276" w:lineRule="auto"/>
        <w:ind w:left="567" w:hanging="567"/>
        <w:contextualSpacing w:val="0"/>
        <w:rPr>
          <w:rFonts w:ascii="Arial" w:hAnsi="Arial" w:cs="Arial"/>
        </w:rPr>
      </w:pPr>
      <w:r w:rsidRPr="00BF6A30">
        <w:rPr>
          <w:rFonts w:ascii="Arial" w:hAnsi="Arial" w:cs="Arial"/>
        </w:rPr>
        <w:t xml:space="preserve">On the second issue, the </w:t>
      </w:r>
      <w:r w:rsidR="00AF1916" w:rsidRPr="00BF6A30">
        <w:rPr>
          <w:rFonts w:ascii="Arial" w:hAnsi="Arial" w:cs="Arial"/>
        </w:rPr>
        <w:t>Panel finds that the Council, in evaluating bidders’ responses to the social value questions, correcting the scoring formula for Q7</w:t>
      </w:r>
      <w:r w:rsidR="003141E7">
        <w:rPr>
          <w:rFonts w:ascii="Arial" w:hAnsi="Arial" w:cs="Arial"/>
        </w:rPr>
        <w:t>,</w:t>
      </w:r>
      <w:r w:rsidR="00AF1916" w:rsidRPr="00BF6A30">
        <w:rPr>
          <w:rFonts w:ascii="Arial" w:hAnsi="Arial" w:cs="Arial"/>
        </w:rPr>
        <w:t xml:space="preserve"> and not excluding the successful bidder based on its response to the social value questions, did not breach the PSR regulations and</w:t>
      </w:r>
      <w:proofErr w:type="gramStart"/>
      <w:r w:rsidR="00AF1916" w:rsidRPr="00BF6A30">
        <w:rPr>
          <w:rFonts w:ascii="Arial" w:hAnsi="Arial" w:cs="Arial"/>
        </w:rPr>
        <w:t>, in particular, the</w:t>
      </w:r>
      <w:proofErr w:type="gramEnd"/>
      <w:r w:rsidR="00AF1916" w:rsidRPr="00BF6A30">
        <w:rPr>
          <w:rFonts w:ascii="Arial" w:hAnsi="Arial" w:cs="Arial"/>
        </w:rPr>
        <w:t xml:space="preserve"> obligation to act fairly, transparently and proportionately</w:t>
      </w:r>
      <w:r w:rsidR="0035181A">
        <w:rPr>
          <w:rFonts w:ascii="Arial" w:hAnsi="Arial" w:cs="Arial"/>
        </w:rPr>
        <w:t>.</w:t>
      </w:r>
    </w:p>
    <w:p w14:paraId="46133866" w14:textId="7A516C53" w:rsidR="0035181A" w:rsidRDefault="00B5762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third issue, </w:t>
      </w:r>
      <w:r w:rsidR="0039112A">
        <w:rPr>
          <w:rFonts w:ascii="Arial" w:hAnsi="Arial" w:cs="Arial"/>
        </w:rPr>
        <w:t>t</w:t>
      </w:r>
      <w:r w:rsidR="0039112A" w:rsidRPr="551E1DED">
        <w:rPr>
          <w:rFonts w:ascii="Arial" w:hAnsi="Arial" w:cs="Arial"/>
        </w:rPr>
        <w:t>he Panel</w:t>
      </w:r>
      <w:r w:rsidR="0039112A">
        <w:rPr>
          <w:rFonts w:ascii="Arial" w:hAnsi="Arial" w:cs="Arial"/>
        </w:rPr>
        <w:t xml:space="preserve">’s view is that the Council put in place processes that were sufficiently robust to ensure that its evaluation delivered a consistent approach to evaluating bidders’ proposals. Further, the Panel’s view is that the Council’s feedback to DHI about the level of detail in its proposal was not unreasonable. </w:t>
      </w:r>
      <w:r w:rsidR="0039112A" w:rsidRPr="551E1DED">
        <w:rPr>
          <w:rFonts w:ascii="Arial" w:hAnsi="Arial" w:cs="Arial"/>
        </w:rPr>
        <w:t xml:space="preserve">As a result, the Panel finds that the Council, in evaluating responses to the Quality </w:t>
      </w:r>
      <w:r w:rsidR="006B6E63">
        <w:rPr>
          <w:rFonts w:ascii="Arial" w:hAnsi="Arial" w:cs="Arial"/>
        </w:rPr>
        <w:t>q</w:t>
      </w:r>
      <w:r w:rsidR="0039112A" w:rsidRPr="551E1DED">
        <w:rPr>
          <w:rFonts w:ascii="Arial" w:hAnsi="Arial" w:cs="Arial"/>
        </w:rPr>
        <w:t>uestion</w:t>
      </w:r>
      <w:r w:rsidR="006B6E63">
        <w:rPr>
          <w:rFonts w:ascii="Arial" w:hAnsi="Arial" w:cs="Arial"/>
        </w:rPr>
        <w:t>s</w:t>
      </w:r>
      <w:r w:rsidR="0039112A" w:rsidRPr="551E1DED">
        <w:rPr>
          <w:rFonts w:ascii="Arial" w:hAnsi="Arial" w:cs="Arial"/>
        </w:rPr>
        <w:t>, did not breach the PSR regulations and</w:t>
      </w:r>
      <w:proofErr w:type="gramStart"/>
      <w:r w:rsidR="0039112A">
        <w:rPr>
          <w:rFonts w:ascii="Arial" w:hAnsi="Arial" w:cs="Arial"/>
        </w:rPr>
        <w:t>,</w:t>
      </w:r>
      <w:r w:rsidR="0039112A" w:rsidRPr="551E1DED">
        <w:rPr>
          <w:rFonts w:ascii="Arial" w:hAnsi="Arial" w:cs="Arial"/>
        </w:rPr>
        <w:t xml:space="preserve"> in particular</w:t>
      </w:r>
      <w:r w:rsidR="0039112A">
        <w:rPr>
          <w:rFonts w:ascii="Arial" w:hAnsi="Arial" w:cs="Arial"/>
        </w:rPr>
        <w:t>,</w:t>
      </w:r>
      <w:r w:rsidR="0039112A" w:rsidRPr="551E1DED">
        <w:rPr>
          <w:rFonts w:ascii="Arial" w:hAnsi="Arial" w:cs="Arial"/>
        </w:rPr>
        <w:t xml:space="preserve"> the</w:t>
      </w:r>
      <w:proofErr w:type="gramEnd"/>
      <w:r w:rsidR="0039112A" w:rsidRPr="551E1DED">
        <w:rPr>
          <w:rFonts w:ascii="Arial" w:hAnsi="Arial" w:cs="Arial"/>
        </w:rPr>
        <w:t xml:space="preserve"> obligation to act fairly and transparently.</w:t>
      </w:r>
    </w:p>
    <w:p w14:paraId="3D8D40A1" w14:textId="2F5E904F" w:rsidR="00286402" w:rsidRPr="00CE72BB" w:rsidRDefault="00286402" w:rsidP="0028640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fourth issue, </w:t>
      </w:r>
      <w:r w:rsidRPr="00CE72BB">
        <w:rPr>
          <w:rFonts w:ascii="Arial" w:hAnsi="Arial" w:cs="Arial"/>
        </w:rPr>
        <w:t xml:space="preserve">the Panel is not persuaded that the </w:t>
      </w:r>
      <w:r>
        <w:rPr>
          <w:rFonts w:ascii="Arial" w:hAnsi="Arial" w:cs="Arial"/>
        </w:rPr>
        <w:t xml:space="preserve">evaluation panel </w:t>
      </w:r>
      <w:r w:rsidRPr="00CE72BB">
        <w:rPr>
          <w:rFonts w:ascii="Arial" w:hAnsi="Arial" w:cs="Arial"/>
        </w:rPr>
        <w:t xml:space="preserve">lacked the expertise needed </w:t>
      </w:r>
      <w:r>
        <w:rPr>
          <w:rFonts w:ascii="Arial" w:hAnsi="Arial" w:cs="Arial"/>
        </w:rPr>
        <w:t xml:space="preserve">for the Council to: (a) act fairly in </w:t>
      </w:r>
      <w:r w:rsidRPr="00CE72BB">
        <w:rPr>
          <w:rFonts w:ascii="Arial" w:hAnsi="Arial" w:cs="Arial"/>
        </w:rPr>
        <w:t>reach</w:t>
      </w:r>
      <w:r>
        <w:rPr>
          <w:rFonts w:ascii="Arial" w:hAnsi="Arial" w:cs="Arial"/>
        </w:rPr>
        <w:t>ing</w:t>
      </w:r>
      <w:r w:rsidRPr="00CE72BB">
        <w:rPr>
          <w:rFonts w:ascii="Arial" w:hAnsi="Arial" w:cs="Arial"/>
        </w:rPr>
        <w:t xml:space="preserve"> </w:t>
      </w:r>
      <w:r>
        <w:rPr>
          <w:rFonts w:ascii="Arial" w:hAnsi="Arial" w:cs="Arial"/>
        </w:rPr>
        <w:t xml:space="preserve">its provider selection </w:t>
      </w:r>
      <w:r w:rsidRPr="00CE72BB">
        <w:rPr>
          <w:rFonts w:ascii="Arial" w:hAnsi="Arial" w:cs="Arial"/>
        </w:rPr>
        <w:t>decision</w:t>
      </w:r>
      <w:r>
        <w:rPr>
          <w:rFonts w:ascii="Arial" w:hAnsi="Arial" w:cs="Arial"/>
        </w:rPr>
        <w:t xml:space="preserve">; or (b) </w:t>
      </w:r>
      <w:r w:rsidRPr="00F3506F">
        <w:rPr>
          <w:rFonts w:ascii="Arial" w:hAnsi="Arial" w:cs="Arial"/>
        </w:rPr>
        <w:t>secur</w:t>
      </w:r>
      <w:r>
        <w:rPr>
          <w:rFonts w:ascii="Arial" w:hAnsi="Arial" w:cs="Arial"/>
        </w:rPr>
        <w:t xml:space="preserve">e </w:t>
      </w:r>
      <w:r w:rsidRPr="00F3506F">
        <w:rPr>
          <w:rFonts w:ascii="Arial" w:hAnsi="Arial" w:cs="Arial"/>
        </w:rPr>
        <w:t xml:space="preserve">the needs of people who use </w:t>
      </w:r>
      <w:r>
        <w:rPr>
          <w:rFonts w:ascii="Arial" w:hAnsi="Arial" w:cs="Arial"/>
        </w:rPr>
        <w:t>its drug and alcohol</w:t>
      </w:r>
      <w:r w:rsidRPr="00F3506F">
        <w:rPr>
          <w:rFonts w:ascii="Arial" w:hAnsi="Arial" w:cs="Arial"/>
        </w:rPr>
        <w:t xml:space="preserve"> services</w:t>
      </w:r>
      <w:r>
        <w:rPr>
          <w:rFonts w:ascii="Arial" w:hAnsi="Arial" w:cs="Arial"/>
        </w:rPr>
        <w:t xml:space="preserve">. As a result, the Panel finds that the Council, in selecting the evaluation panel, did not breach the PSR regulations </w:t>
      </w:r>
      <w:r w:rsidRPr="551E1DED">
        <w:rPr>
          <w:rFonts w:ascii="Arial" w:hAnsi="Arial" w:cs="Arial"/>
        </w:rPr>
        <w:t>and</w:t>
      </w:r>
      <w:proofErr w:type="gramStart"/>
      <w:r>
        <w:rPr>
          <w:rFonts w:ascii="Arial" w:hAnsi="Arial" w:cs="Arial"/>
        </w:rPr>
        <w:t>,</w:t>
      </w:r>
      <w:r w:rsidRPr="551E1DED">
        <w:rPr>
          <w:rFonts w:ascii="Arial" w:hAnsi="Arial" w:cs="Arial"/>
        </w:rPr>
        <w:t xml:space="preserve"> in particular</w:t>
      </w:r>
      <w:r>
        <w:rPr>
          <w:rFonts w:ascii="Arial" w:hAnsi="Arial" w:cs="Arial"/>
        </w:rPr>
        <w:t>,</w:t>
      </w:r>
      <w:r w:rsidRPr="551E1DED">
        <w:rPr>
          <w:rFonts w:ascii="Arial" w:hAnsi="Arial" w:cs="Arial"/>
        </w:rPr>
        <w:t xml:space="preserve"> the</w:t>
      </w:r>
      <w:proofErr w:type="gramEnd"/>
      <w:r w:rsidRPr="551E1DED">
        <w:rPr>
          <w:rFonts w:ascii="Arial" w:hAnsi="Arial" w:cs="Arial"/>
        </w:rPr>
        <w:t xml:space="preserve"> obligation to act fairly</w:t>
      </w:r>
      <w:r>
        <w:rPr>
          <w:rFonts w:ascii="Arial" w:hAnsi="Arial" w:cs="Arial"/>
        </w:rPr>
        <w:t>.</w:t>
      </w:r>
    </w:p>
    <w:p w14:paraId="48874D30" w14:textId="03382A2E" w:rsidR="0039112A" w:rsidRDefault="006B734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fifth issue, </w:t>
      </w:r>
      <w:r w:rsidR="00B03578">
        <w:rPr>
          <w:rFonts w:ascii="Arial" w:hAnsi="Arial" w:cs="Arial"/>
        </w:rPr>
        <w:t>t</w:t>
      </w:r>
      <w:r w:rsidR="00B03578" w:rsidRPr="551E1DED">
        <w:rPr>
          <w:rFonts w:ascii="Arial" w:hAnsi="Arial" w:cs="Arial"/>
        </w:rPr>
        <w:t xml:space="preserve">he Panel’s view is that there is no evidence that the Council, in formulating the key criteria, breached </w:t>
      </w:r>
      <w:r w:rsidR="00B03578">
        <w:rPr>
          <w:rFonts w:ascii="Arial" w:hAnsi="Arial" w:cs="Arial"/>
        </w:rPr>
        <w:t xml:space="preserve">any stakeholder engagement requirements. As a result, the Panel finds that the Council, in formulating the key criteria, did not breach </w:t>
      </w:r>
      <w:r w:rsidR="00B03578" w:rsidRPr="551E1DED">
        <w:rPr>
          <w:rFonts w:ascii="Arial" w:hAnsi="Arial" w:cs="Arial"/>
        </w:rPr>
        <w:t>the PSR regulations</w:t>
      </w:r>
      <w:r w:rsidR="00B03578">
        <w:rPr>
          <w:rFonts w:ascii="Arial" w:hAnsi="Arial" w:cs="Arial"/>
        </w:rPr>
        <w:t xml:space="preserve"> and</w:t>
      </w:r>
      <w:proofErr w:type="gramStart"/>
      <w:r w:rsidR="00B03578">
        <w:rPr>
          <w:rFonts w:ascii="Arial" w:hAnsi="Arial" w:cs="Arial"/>
        </w:rPr>
        <w:t>, in particular, the</w:t>
      </w:r>
      <w:proofErr w:type="gramEnd"/>
      <w:r w:rsidR="00B03578">
        <w:rPr>
          <w:rFonts w:ascii="Arial" w:hAnsi="Arial" w:cs="Arial"/>
        </w:rPr>
        <w:t xml:space="preserve"> obligation to act fairly and transparently.</w:t>
      </w:r>
    </w:p>
    <w:p w14:paraId="32FA67EE" w14:textId="6ADCF2B2" w:rsidR="00D07CF4" w:rsidRPr="00D07CF4" w:rsidRDefault="001C261A">
      <w:pPr>
        <w:pStyle w:val="ListParagraph"/>
        <w:numPr>
          <w:ilvl w:val="0"/>
          <w:numId w:val="2"/>
        </w:numPr>
        <w:spacing w:line="276" w:lineRule="auto"/>
        <w:ind w:left="567" w:hanging="567"/>
        <w:contextualSpacing w:val="0"/>
        <w:rPr>
          <w:rFonts w:ascii="Arial" w:hAnsi="Arial" w:cs="Arial"/>
        </w:rPr>
      </w:pPr>
      <w:r w:rsidRPr="00D07CF4">
        <w:rPr>
          <w:rFonts w:ascii="Arial" w:hAnsi="Arial" w:cs="Arial"/>
        </w:rPr>
        <w:t xml:space="preserve">On the sixth issue, </w:t>
      </w:r>
      <w:r w:rsidR="00D07CF4" w:rsidRPr="00D07CF4">
        <w:rPr>
          <w:rFonts w:ascii="Arial" w:hAnsi="Arial" w:cs="Arial"/>
        </w:rPr>
        <w:t xml:space="preserve">the Panel’s view is that the Council did not err when deciding that </w:t>
      </w:r>
      <w:r w:rsidR="001D01EE">
        <w:rPr>
          <w:rFonts w:ascii="Arial" w:hAnsi="Arial" w:cs="Arial"/>
        </w:rPr>
        <w:t>Direct Award Process C (</w:t>
      </w:r>
      <w:r w:rsidR="00D07CF4" w:rsidRPr="00D07CF4">
        <w:rPr>
          <w:rFonts w:ascii="Arial" w:hAnsi="Arial" w:cs="Arial"/>
        </w:rPr>
        <w:t>DAPC</w:t>
      </w:r>
      <w:r w:rsidR="001D01EE">
        <w:rPr>
          <w:rFonts w:ascii="Arial" w:hAnsi="Arial" w:cs="Arial"/>
        </w:rPr>
        <w:t>)</w:t>
      </w:r>
      <w:r w:rsidR="00D07CF4" w:rsidRPr="00D07CF4">
        <w:rPr>
          <w:rFonts w:ascii="Arial" w:hAnsi="Arial" w:cs="Arial"/>
        </w:rPr>
        <w:t xml:space="preserve"> was not available to it. As a result, the Panel finds that the Council, in using the competitive process to select a provider did not breach </w:t>
      </w:r>
      <w:r w:rsidR="00D07CF4" w:rsidRPr="00D07CF4">
        <w:rPr>
          <w:rFonts w:ascii="Arial" w:hAnsi="Arial" w:cs="Arial"/>
        </w:rPr>
        <w:lastRenderedPageBreak/>
        <w:t>the PSR regulations and</w:t>
      </w:r>
      <w:proofErr w:type="gramStart"/>
      <w:r w:rsidR="00D07CF4" w:rsidRPr="00D07CF4">
        <w:rPr>
          <w:rFonts w:ascii="Arial" w:hAnsi="Arial" w:cs="Arial"/>
        </w:rPr>
        <w:t>, in particular, the</w:t>
      </w:r>
      <w:proofErr w:type="gramEnd"/>
      <w:r w:rsidR="00D07CF4" w:rsidRPr="00D07CF4">
        <w:rPr>
          <w:rFonts w:ascii="Arial" w:hAnsi="Arial" w:cs="Arial"/>
        </w:rPr>
        <w:t xml:space="preserve"> obligation to act fairly, transparently and proportionately.</w:t>
      </w:r>
    </w:p>
    <w:p w14:paraId="1B74E411" w14:textId="0D6A1CB9" w:rsidR="00A33DCF" w:rsidRDefault="001C261A" w:rsidP="00A33DC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final issue, </w:t>
      </w:r>
      <w:r w:rsidR="00A33DCF">
        <w:rPr>
          <w:rFonts w:ascii="Arial" w:hAnsi="Arial" w:cs="Arial"/>
        </w:rPr>
        <w:t>t</w:t>
      </w:r>
      <w:r w:rsidR="00A33DCF" w:rsidRPr="00A57F96">
        <w:rPr>
          <w:rFonts w:ascii="Arial" w:hAnsi="Arial" w:cs="Arial"/>
        </w:rPr>
        <w:t>he Panel’s view is that th</w:t>
      </w:r>
      <w:r w:rsidR="00A33DCF">
        <w:rPr>
          <w:rFonts w:ascii="Arial" w:hAnsi="Arial" w:cs="Arial"/>
        </w:rPr>
        <w:t>e</w:t>
      </w:r>
      <w:r w:rsidR="00A33DCF" w:rsidRPr="00A57F96">
        <w:rPr>
          <w:rFonts w:ascii="Arial" w:hAnsi="Arial" w:cs="Arial"/>
        </w:rPr>
        <w:t xml:space="preserve"> evidence shows that the Council </w:t>
      </w:r>
      <w:r w:rsidR="00A33DCF">
        <w:rPr>
          <w:rFonts w:ascii="Arial" w:hAnsi="Arial" w:cs="Arial"/>
        </w:rPr>
        <w:t xml:space="preserve">considered </w:t>
      </w:r>
      <w:r w:rsidR="00A33DCF" w:rsidRPr="00A57F96">
        <w:rPr>
          <w:rFonts w:ascii="Arial" w:hAnsi="Arial" w:cs="Arial"/>
        </w:rPr>
        <w:t>the potential impact on other services</w:t>
      </w:r>
      <w:r w:rsidR="00A33DCF">
        <w:rPr>
          <w:rFonts w:ascii="Arial" w:hAnsi="Arial" w:cs="Arial"/>
        </w:rPr>
        <w:t xml:space="preserve"> and on providers as part of its decision-making in relation to the provider selection process for the Drug and Alcohol Service</w:t>
      </w:r>
      <w:r w:rsidR="00A33DCF" w:rsidRPr="00A57F96">
        <w:rPr>
          <w:rFonts w:ascii="Arial" w:hAnsi="Arial" w:cs="Arial"/>
        </w:rPr>
        <w:t>.</w:t>
      </w:r>
      <w:r w:rsidR="00A33DCF">
        <w:rPr>
          <w:rFonts w:ascii="Arial" w:hAnsi="Arial" w:cs="Arial"/>
        </w:rPr>
        <w:t xml:space="preserve"> As a result, </w:t>
      </w:r>
      <w:r w:rsidR="00A33DCF" w:rsidRPr="003F1F10">
        <w:rPr>
          <w:rFonts w:ascii="Arial" w:hAnsi="Arial" w:cs="Arial"/>
        </w:rPr>
        <w:t>the Panel finds that the Council, in its conduct of a competitive process</w:t>
      </w:r>
      <w:r w:rsidR="00A33DCF">
        <w:rPr>
          <w:rFonts w:ascii="Arial" w:hAnsi="Arial" w:cs="Arial"/>
        </w:rPr>
        <w:t>,</w:t>
      </w:r>
      <w:r w:rsidR="00A33DCF" w:rsidRPr="003F1F10">
        <w:rPr>
          <w:rFonts w:ascii="Arial" w:hAnsi="Arial" w:cs="Arial"/>
        </w:rPr>
        <w:t xml:space="preserve"> did not breach the PSR regulations and</w:t>
      </w:r>
      <w:proofErr w:type="gramStart"/>
      <w:r w:rsidR="00A33DCF">
        <w:rPr>
          <w:rFonts w:ascii="Arial" w:hAnsi="Arial" w:cs="Arial"/>
        </w:rPr>
        <w:t>,</w:t>
      </w:r>
      <w:r w:rsidR="00A33DCF" w:rsidRPr="003F1F10">
        <w:rPr>
          <w:rFonts w:ascii="Arial" w:hAnsi="Arial" w:cs="Arial"/>
        </w:rPr>
        <w:t xml:space="preserve"> in particular</w:t>
      </w:r>
      <w:r w:rsidR="00A33DCF">
        <w:rPr>
          <w:rFonts w:ascii="Arial" w:hAnsi="Arial" w:cs="Arial"/>
        </w:rPr>
        <w:t>,</w:t>
      </w:r>
      <w:r w:rsidR="00A33DCF" w:rsidRPr="003F1F10">
        <w:rPr>
          <w:rFonts w:ascii="Arial" w:hAnsi="Arial" w:cs="Arial"/>
        </w:rPr>
        <w:t xml:space="preserve"> the</w:t>
      </w:r>
      <w:proofErr w:type="gramEnd"/>
      <w:r w:rsidR="00A33DCF" w:rsidRPr="003F1F10">
        <w:rPr>
          <w:rFonts w:ascii="Arial" w:hAnsi="Arial" w:cs="Arial"/>
        </w:rPr>
        <w:t xml:space="preserve"> requirements of Regulation</w:t>
      </w:r>
      <w:r w:rsidR="00A33DCF">
        <w:rPr>
          <w:rFonts w:ascii="Arial" w:hAnsi="Arial" w:cs="Arial"/>
        </w:rPr>
        <w:t> </w:t>
      </w:r>
      <w:r w:rsidR="00A33DCF" w:rsidRPr="003F1F10">
        <w:rPr>
          <w:rFonts w:ascii="Arial" w:hAnsi="Arial" w:cs="Arial"/>
        </w:rPr>
        <w:t>11 which govern the conduct of a competitive process.</w:t>
      </w:r>
    </w:p>
    <w:p w14:paraId="36773BF0" w14:textId="3E3CA8A0" w:rsidR="00D06A58" w:rsidRPr="000024A4" w:rsidRDefault="00D06A58" w:rsidP="00D06A58">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0024A4">
        <w:rPr>
          <w:rFonts w:ascii="Arial" w:hAnsi="Arial" w:cs="Arial"/>
        </w:rPr>
        <w:t xml:space="preserve">Given the Panel’s findings that B&amp;NES Council did not breach </w:t>
      </w:r>
      <w:r w:rsidRPr="000024A4">
        <w:rPr>
          <w:rFonts w:ascii="Arial" w:eastAsiaTheme="majorEastAsia" w:hAnsi="Arial" w:cs="Arial"/>
          <w:color w:val="000000" w:themeColor="text1"/>
        </w:rPr>
        <w:t>the PSR regulations in selecting a provider for its Drug and Alcohol Service, the Panel has found no reason to advise the Council against continuing with the proposed contract award as originally intended.</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89662747"/>
      <w:r w:rsidRPr="00B343D1">
        <w:rPr>
          <w:rFonts w:ascii="Arial" w:hAnsi="Arial" w:cs="Arial"/>
          <w:b/>
          <w:bCs/>
          <w:color w:val="000000" w:themeColor="text1"/>
          <w:sz w:val="28"/>
          <w:szCs w:val="28"/>
        </w:rPr>
        <w:t>Introduction</w:t>
      </w:r>
      <w:bookmarkEnd w:id="1"/>
    </w:p>
    <w:p w14:paraId="1602232A" w14:textId="24F6A86F" w:rsidR="006C203A" w:rsidRDefault="00C07EF8" w:rsidP="006C203A">
      <w:pPr>
        <w:pStyle w:val="ListParagraph"/>
        <w:numPr>
          <w:ilvl w:val="0"/>
          <w:numId w:val="2"/>
        </w:numPr>
        <w:spacing w:line="276" w:lineRule="auto"/>
        <w:ind w:left="567" w:hanging="567"/>
        <w:contextualSpacing w:val="0"/>
        <w:rPr>
          <w:rFonts w:ascii="Arial" w:hAnsi="Arial" w:cs="Arial"/>
        </w:rPr>
      </w:pPr>
      <w:r w:rsidRPr="006C203A">
        <w:rPr>
          <w:rFonts w:ascii="Arial" w:hAnsi="Arial" w:cs="Arial"/>
        </w:rPr>
        <w:t xml:space="preserve">On </w:t>
      </w:r>
      <w:r w:rsidR="00EA1ED2" w:rsidRPr="006C203A">
        <w:rPr>
          <w:rFonts w:ascii="Arial" w:hAnsi="Arial" w:cs="Arial"/>
        </w:rPr>
        <w:t>13 December 2024</w:t>
      </w:r>
      <w:r w:rsidRPr="006C203A">
        <w:rPr>
          <w:rFonts w:ascii="Arial" w:hAnsi="Arial" w:cs="Arial"/>
        </w:rPr>
        <w:t xml:space="preserve">, </w:t>
      </w:r>
      <w:r w:rsidR="007F7DD4" w:rsidRPr="006C203A">
        <w:rPr>
          <w:rFonts w:ascii="Arial" w:hAnsi="Arial" w:cs="Arial"/>
        </w:rPr>
        <w:t>Developing Health &amp; Independence Limited (DHI)</w:t>
      </w:r>
      <w:r w:rsidR="00E77316">
        <w:rPr>
          <w:rFonts w:ascii="Arial" w:hAnsi="Arial" w:cs="Arial"/>
        </w:rPr>
        <w:t>, a charitable provider of services,</w:t>
      </w:r>
      <w:r w:rsidR="00262282" w:rsidRPr="003F1F10">
        <w:rPr>
          <w:rFonts w:eastAsiaTheme="majorEastAsia"/>
          <w:vertAlign w:val="superscript"/>
        </w:rPr>
        <w:footnoteReference w:id="2"/>
      </w:r>
      <w:r w:rsidR="007F7DD4" w:rsidRPr="006C203A">
        <w:rPr>
          <w:rFonts w:ascii="Arial" w:hAnsi="Arial" w:cs="Arial"/>
        </w:rPr>
        <w:t xml:space="preserve"> </w:t>
      </w:r>
      <w:r w:rsidR="008A4B5C" w:rsidRPr="006C203A">
        <w:rPr>
          <w:rFonts w:ascii="Arial" w:hAnsi="Arial" w:cs="Arial"/>
        </w:rPr>
        <w:t xml:space="preserve">asked </w:t>
      </w:r>
      <w:r w:rsidRPr="006C203A">
        <w:rPr>
          <w:rFonts w:ascii="Arial" w:hAnsi="Arial" w:cs="Arial"/>
        </w:rPr>
        <w:t xml:space="preserve">the Panel </w:t>
      </w:r>
      <w:r w:rsidR="008A4B5C" w:rsidRPr="006C203A">
        <w:rPr>
          <w:rFonts w:ascii="Arial" w:hAnsi="Arial" w:cs="Arial"/>
        </w:rPr>
        <w:t xml:space="preserve">to advise on </w:t>
      </w:r>
      <w:r w:rsidR="001A5332">
        <w:rPr>
          <w:rFonts w:ascii="Arial" w:hAnsi="Arial" w:cs="Arial"/>
        </w:rPr>
        <w:t xml:space="preserve">the </w:t>
      </w:r>
      <w:r w:rsidR="001A5332" w:rsidRPr="006C203A">
        <w:rPr>
          <w:rFonts w:ascii="Arial" w:hAnsi="Arial" w:cs="Arial"/>
        </w:rPr>
        <w:t xml:space="preserve">selection of a provider for </w:t>
      </w:r>
      <w:r w:rsidR="004A49B9">
        <w:rPr>
          <w:rFonts w:ascii="Arial" w:hAnsi="Arial" w:cs="Arial"/>
        </w:rPr>
        <w:t>the</w:t>
      </w:r>
      <w:r w:rsidR="001A5332" w:rsidRPr="006C203A">
        <w:rPr>
          <w:rFonts w:ascii="Arial" w:hAnsi="Arial" w:cs="Arial"/>
        </w:rPr>
        <w:t xml:space="preserve"> Drug and Alcohol Service</w:t>
      </w:r>
      <w:r w:rsidR="004A49B9">
        <w:rPr>
          <w:rFonts w:ascii="Arial" w:hAnsi="Arial" w:cs="Arial"/>
        </w:rPr>
        <w:t xml:space="preserve"> commissioned by</w:t>
      </w:r>
      <w:r w:rsidR="001A5332" w:rsidRPr="006C203A">
        <w:rPr>
          <w:rFonts w:ascii="Arial" w:hAnsi="Arial" w:cs="Arial"/>
        </w:rPr>
        <w:t xml:space="preserve"> </w:t>
      </w:r>
      <w:r w:rsidR="007F7DD4" w:rsidRPr="006C203A">
        <w:rPr>
          <w:rFonts w:ascii="Arial" w:hAnsi="Arial" w:cs="Arial"/>
        </w:rPr>
        <w:t xml:space="preserve">Bath and </w:t>
      </w:r>
      <w:proofErr w:type="gramStart"/>
      <w:r w:rsidR="007F7DD4" w:rsidRPr="006C203A">
        <w:rPr>
          <w:rFonts w:ascii="Arial" w:hAnsi="Arial" w:cs="Arial"/>
        </w:rPr>
        <w:t>North East</w:t>
      </w:r>
      <w:proofErr w:type="gramEnd"/>
      <w:r w:rsidR="007F7DD4" w:rsidRPr="006C203A">
        <w:rPr>
          <w:rFonts w:ascii="Arial" w:hAnsi="Arial" w:cs="Arial"/>
        </w:rPr>
        <w:t xml:space="preserve"> Somerset Council</w:t>
      </w:r>
      <w:r w:rsidR="002B0179" w:rsidRPr="006C203A">
        <w:rPr>
          <w:rFonts w:ascii="Arial" w:hAnsi="Arial" w:cs="Arial"/>
        </w:rPr>
        <w:t xml:space="preserve"> (</w:t>
      </w:r>
      <w:r w:rsidR="00633348" w:rsidRPr="006C203A">
        <w:rPr>
          <w:rFonts w:ascii="Arial" w:hAnsi="Arial" w:cs="Arial"/>
        </w:rPr>
        <w:t xml:space="preserve">B&amp;NES </w:t>
      </w:r>
      <w:r w:rsidR="002B0179" w:rsidRPr="006C203A">
        <w:rPr>
          <w:rFonts w:ascii="Arial" w:hAnsi="Arial" w:cs="Arial"/>
        </w:rPr>
        <w:t>Council</w:t>
      </w:r>
      <w:r w:rsidR="007F05D6" w:rsidRPr="006C203A">
        <w:rPr>
          <w:rFonts w:ascii="Arial" w:hAnsi="Arial" w:cs="Arial"/>
        </w:rPr>
        <w:t>, the Council</w:t>
      </w:r>
      <w:r w:rsidR="002B0179" w:rsidRPr="006C203A">
        <w:rPr>
          <w:rFonts w:ascii="Arial" w:hAnsi="Arial" w:cs="Arial"/>
        </w:rPr>
        <w:t>)</w:t>
      </w:r>
      <w:r w:rsidR="001E090F" w:rsidRPr="006C203A">
        <w:rPr>
          <w:rFonts w:ascii="Arial" w:hAnsi="Arial" w:cs="Arial"/>
        </w:rPr>
        <w:t>.</w:t>
      </w:r>
    </w:p>
    <w:p w14:paraId="5EADA101" w14:textId="251110B1" w:rsidR="00592B7E" w:rsidRPr="00A26465" w:rsidRDefault="007769D7" w:rsidP="006F332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sidR="00295ABC">
        <w:rPr>
          <w:rFonts w:ascii="Arial" w:hAnsi="Arial" w:cs="Arial"/>
        </w:rPr>
        <w:t>DHI</w:t>
      </w:r>
      <w:r w:rsidR="00087AEB">
        <w:rPr>
          <w:rFonts w:ascii="Arial" w:hAnsi="Arial" w:cs="Arial"/>
        </w:rPr>
        <w:t>’s</w:t>
      </w:r>
      <w:r w:rsidR="008A4B5C" w:rsidRPr="007B4942">
        <w:rPr>
          <w:rFonts w:ascii="Arial" w:hAnsi="Arial" w:cs="Arial"/>
        </w:rPr>
        <w:t xml:space="preserve"> request on </w:t>
      </w:r>
      <w:r w:rsidR="007B0B77" w:rsidRPr="007B0B77">
        <w:rPr>
          <w:rFonts w:ascii="Arial" w:hAnsi="Arial" w:cs="Arial"/>
        </w:rPr>
        <w:t>16 December 2024</w:t>
      </w:r>
      <w:r w:rsidR="002B561F" w:rsidRPr="007B4942">
        <w:rPr>
          <w:rFonts w:ascii="Arial" w:hAnsi="Arial" w:cs="Arial"/>
        </w:rPr>
        <w:t xml:space="preserve"> 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w:t>
      </w:r>
      <w:r w:rsidR="00592B7E" w:rsidRPr="007B4942">
        <w:rPr>
          <w:rFonts w:ascii="Arial" w:hAnsi="Arial" w:cs="Arial"/>
        </w:rPr>
        <w:t xml:space="preserve">eligibility requirements </w:t>
      </w:r>
      <w:r w:rsidR="001952FE">
        <w:rPr>
          <w:rFonts w:ascii="Arial" w:hAnsi="Arial" w:cs="Arial"/>
        </w:rPr>
        <w:t xml:space="preserve">for case acceptance </w:t>
      </w:r>
      <w:r w:rsidR="00592B7E" w:rsidRPr="007B4942">
        <w:rPr>
          <w:rFonts w:ascii="Arial" w:hAnsi="Arial" w:cs="Arial"/>
        </w:rPr>
        <w:t>and the prioritisation criteria the Panel will apply when it is approaching full caseload capacity.</w:t>
      </w:r>
      <w:r w:rsidR="00592B7E" w:rsidRPr="007B4942">
        <w:rPr>
          <w:rStyle w:val="FootnoteReference"/>
          <w:rFonts w:ascii="Arial" w:hAnsi="Arial" w:cs="Arial"/>
        </w:rPr>
        <w:footnoteReference w:id="3"/>
      </w:r>
      <w:r w:rsidR="00592B7E" w:rsidRPr="007B4942">
        <w:rPr>
          <w:rFonts w:ascii="Arial" w:hAnsi="Arial" w:cs="Arial"/>
        </w:rPr>
        <w:t xml:space="preserve"> </w:t>
      </w:r>
      <w:r w:rsidR="00944150" w:rsidRPr="1D5F7CAD">
        <w:rPr>
          <w:rFonts w:ascii="Arial" w:eastAsia="Arial" w:hAnsi="Arial" w:cs="Arial"/>
        </w:rPr>
        <w:t>DHI</w:t>
      </w:r>
      <w:r w:rsidR="00087AEB" w:rsidRPr="1D5F7CAD">
        <w:rPr>
          <w:rFonts w:ascii="Arial" w:eastAsia="Arial" w:hAnsi="Arial" w:cs="Arial"/>
        </w:rPr>
        <w:t>’s</w:t>
      </w:r>
      <w:r w:rsidR="00592B7E" w:rsidRPr="1D5F7CAD">
        <w:rPr>
          <w:rFonts w:ascii="Arial" w:eastAsia="Arial" w:hAnsi="Arial" w:cs="Arial"/>
        </w:rPr>
        <w:t xml:space="preserve"> request met the </w:t>
      </w:r>
      <w:r w:rsidR="00592B7E" w:rsidRPr="00766956">
        <w:rPr>
          <w:rFonts w:ascii="Arial" w:hAnsi="Arial" w:cs="Arial"/>
        </w:rPr>
        <w:t>eligibility</w:t>
      </w:r>
      <w:r w:rsidR="00592B7E" w:rsidRPr="1D5F7CAD">
        <w:rPr>
          <w:rFonts w:ascii="Arial" w:eastAsia="Arial" w:hAnsi="Arial" w:cs="Arial"/>
        </w:rPr>
        <w:t xml:space="preserve"> requirements, </w:t>
      </w:r>
      <w:r w:rsidR="005371BE" w:rsidRPr="1D5F7CAD">
        <w:rPr>
          <w:rFonts w:ascii="Arial" w:eastAsia="Arial" w:hAnsi="Arial" w:cs="Arial"/>
        </w:rPr>
        <w:t xml:space="preserve">and as the Panel </w:t>
      </w:r>
      <w:r w:rsidR="00130005" w:rsidRPr="1D5F7CAD">
        <w:rPr>
          <w:rFonts w:ascii="Arial" w:eastAsia="Arial" w:hAnsi="Arial" w:cs="Arial"/>
        </w:rPr>
        <w:t xml:space="preserve">was not approaching full </w:t>
      </w:r>
      <w:r w:rsidR="005371BE" w:rsidRPr="1D5F7CAD">
        <w:rPr>
          <w:rFonts w:ascii="Arial" w:eastAsia="Arial" w:hAnsi="Arial" w:cs="Arial"/>
        </w:rPr>
        <w:t>capa</w:t>
      </w:r>
      <w:r w:rsidR="005371BE" w:rsidRPr="00A26465">
        <w:rPr>
          <w:rFonts w:ascii="Arial" w:hAnsi="Arial" w:cs="Arial"/>
        </w:rPr>
        <w:t>city, there was no need to apply the prioritisation criteria.</w:t>
      </w:r>
    </w:p>
    <w:p w14:paraId="71128CEA" w14:textId="7A5C1372" w:rsidR="005371BE" w:rsidRPr="007B4942" w:rsidRDefault="005371BE" w:rsidP="00523D66">
      <w:pPr>
        <w:pStyle w:val="ListParagraph"/>
        <w:numPr>
          <w:ilvl w:val="0"/>
          <w:numId w:val="2"/>
        </w:numPr>
        <w:spacing w:after="0" w:line="276" w:lineRule="auto"/>
        <w:ind w:left="567" w:hanging="567"/>
        <w:contextualSpacing w:val="0"/>
        <w:rPr>
          <w:rFonts w:ascii="Arial" w:hAnsi="Arial" w:cs="Arial"/>
        </w:rPr>
      </w:pPr>
      <w:r w:rsidRPr="00A26465">
        <w:rPr>
          <w:rFonts w:ascii="Arial" w:hAnsi="Arial" w:cs="Arial"/>
        </w:rPr>
        <w:t xml:space="preserve">The </w:t>
      </w:r>
      <w:r w:rsidR="0031427F" w:rsidRPr="00A26465">
        <w:rPr>
          <w:rFonts w:ascii="Arial" w:hAnsi="Arial" w:cs="Arial"/>
        </w:rPr>
        <w:t xml:space="preserve">Panel’s </w:t>
      </w:r>
      <w:r w:rsidRPr="00A26465">
        <w:rPr>
          <w:rFonts w:ascii="Arial" w:hAnsi="Arial" w:cs="Arial"/>
        </w:rPr>
        <w:t xml:space="preserve">Chair appointed </w:t>
      </w:r>
      <w:r w:rsidR="00340382" w:rsidRPr="00A26465">
        <w:rPr>
          <w:rFonts w:ascii="Arial" w:hAnsi="Arial" w:cs="Arial"/>
        </w:rPr>
        <w:t xml:space="preserve">three </w:t>
      </w:r>
      <w:r w:rsidRPr="00A26465">
        <w:rPr>
          <w:rFonts w:ascii="Arial" w:hAnsi="Arial" w:cs="Arial"/>
        </w:rPr>
        <w:t>members to a Case Panel for th</w:t>
      </w:r>
      <w:r w:rsidR="00B54100" w:rsidRPr="00A26465">
        <w:rPr>
          <w:rFonts w:ascii="Arial" w:hAnsi="Arial" w:cs="Arial"/>
        </w:rPr>
        <w:t xml:space="preserve">is review </w:t>
      </w:r>
      <w:r w:rsidRPr="00A26465">
        <w:rPr>
          <w:rFonts w:ascii="Arial" w:hAnsi="Arial" w:cs="Arial"/>
        </w:rPr>
        <w:t>(in l</w:t>
      </w:r>
      <w:r w:rsidRPr="007B4942">
        <w:rPr>
          <w:rFonts w:ascii="Arial" w:hAnsi="Arial" w:cs="Arial"/>
        </w:rPr>
        <w:t>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 xml:space="preserve">Panel </w:t>
      </w:r>
      <w:proofErr w:type="gramStart"/>
      <w:r w:rsidR="009A66F1" w:rsidRPr="007B4942">
        <w:rPr>
          <w:rFonts w:ascii="Arial" w:hAnsi="Arial" w:cs="Arial"/>
        </w:rPr>
        <w:t>Chair</w:t>
      </w:r>
      <w:r w:rsidR="003D13B1" w:rsidRPr="007B4942">
        <w:rPr>
          <w:rFonts w:ascii="Arial" w:hAnsi="Arial" w:cs="Arial"/>
        </w:rPr>
        <w:t>;</w:t>
      </w:r>
      <w:proofErr w:type="gramEnd"/>
    </w:p>
    <w:p w14:paraId="248897AD" w14:textId="45482CB3" w:rsidR="009A66F1" w:rsidRPr="007B4942" w:rsidRDefault="00944150" w:rsidP="003D13B1">
      <w:pPr>
        <w:pStyle w:val="ListParagraph"/>
        <w:numPr>
          <w:ilvl w:val="0"/>
          <w:numId w:val="3"/>
        </w:numPr>
        <w:spacing w:line="276" w:lineRule="auto"/>
        <w:ind w:left="1134" w:hanging="284"/>
        <w:rPr>
          <w:rFonts w:ascii="Arial" w:hAnsi="Arial" w:cs="Arial"/>
        </w:rPr>
      </w:pPr>
      <w:r>
        <w:rPr>
          <w:rFonts w:ascii="Arial" w:hAnsi="Arial" w:cs="Arial"/>
        </w:rPr>
        <w:t>Daria Prigioni</w:t>
      </w:r>
      <w:r w:rsidR="009A66F1" w:rsidRPr="007B4942">
        <w:rPr>
          <w:rFonts w:ascii="Arial" w:hAnsi="Arial" w:cs="Arial"/>
        </w:rPr>
        <w:t>, Case Panel Member</w:t>
      </w:r>
      <w:r w:rsidR="003D13B1" w:rsidRPr="007B4942">
        <w:rPr>
          <w:rFonts w:ascii="Arial" w:hAnsi="Arial" w:cs="Arial"/>
        </w:rPr>
        <w:t>; and</w:t>
      </w:r>
    </w:p>
    <w:p w14:paraId="0470A960" w14:textId="2AEA4322" w:rsidR="00592B7E" w:rsidRPr="007B4942" w:rsidRDefault="00944150" w:rsidP="003D13B1">
      <w:pPr>
        <w:pStyle w:val="ListParagraph"/>
        <w:numPr>
          <w:ilvl w:val="0"/>
          <w:numId w:val="3"/>
        </w:numPr>
        <w:spacing w:line="276" w:lineRule="auto"/>
        <w:ind w:left="1135" w:hanging="284"/>
        <w:contextualSpacing w:val="0"/>
        <w:rPr>
          <w:rFonts w:ascii="Arial" w:hAnsi="Arial" w:cs="Arial"/>
        </w:rPr>
      </w:pPr>
      <w:r>
        <w:rPr>
          <w:rFonts w:ascii="Arial" w:hAnsi="Arial" w:cs="Arial"/>
        </w:rPr>
        <w:t>Sally-Ann Collier</w:t>
      </w:r>
      <w:r w:rsidR="009A66F1" w:rsidRPr="007B4942">
        <w:rPr>
          <w:rFonts w:ascii="Arial" w:hAnsi="Arial" w:cs="Arial"/>
        </w:rPr>
        <w:t>, Case Panel Member</w:t>
      </w:r>
      <w:r w:rsidR="003D13B1" w:rsidRPr="007B4942">
        <w:rPr>
          <w:rFonts w:ascii="Arial" w:hAnsi="Arial" w:cs="Arial"/>
        </w:rPr>
        <w:t>.</w:t>
      </w:r>
      <w:r w:rsidR="005371BE" w:rsidRPr="007B4942">
        <w:rPr>
          <w:vertAlign w:val="superscript"/>
        </w:rPr>
        <w:footnoteReference w:id="4"/>
      </w:r>
    </w:p>
    <w:p w14:paraId="39E52B96" w14:textId="31B60867" w:rsidR="00BA3D89" w:rsidRDefault="00B54100" w:rsidP="00766956">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0031427F" w:rsidRPr="009B66C1">
        <w:rPr>
          <w:rFonts w:ascii="Arial" w:hAnsi="Arial" w:cs="Arial"/>
        </w:rPr>
        <w:t xml:space="preserve">Case </w:t>
      </w:r>
      <w:r w:rsidRPr="009B66C1">
        <w:rPr>
          <w:rFonts w:ascii="Arial" w:hAnsi="Arial" w:cs="Arial"/>
        </w:rPr>
        <w:t xml:space="preserve">Panel’s review has been carried out in accordance with </w:t>
      </w:r>
      <w:r w:rsidR="0031427F" w:rsidRPr="009B66C1">
        <w:rPr>
          <w:rFonts w:ascii="Arial" w:hAnsi="Arial" w:cs="Arial"/>
        </w:rPr>
        <w:t>the Panel’s</w:t>
      </w:r>
      <w:r w:rsidRPr="009B66C1">
        <w:rPr>
          <w:rFonts w:ascii="Arial" w:hAnsi="Arial" w:cs="Arial"/>
        </w:rPr>
        <w:t xml:space="preserve"> Standard Operating Procedures (procedures).</w:t>
      </w:r>
      <w:r w:rsidRPr="009B66C1">
        <w:rPr>
          <w:rStyle w:val="FootnoteReference"/>
          <w:rFonts w:ascii="Arial" w:hAnsi="Arial" w:cs="Arial"/>
        </w:rPr>
        <w:footnoteReference w:id="5"/>
      </w:r>
      <w:r w:rsidRPr="009B66C1">
        <w:rPr>
          <w:rFonts w:ascii="Arial" w:hAnsi="Arial" w:cs="Arial"/>
        </w:rPr>
        <w:t xml:space="preserve"> </w:t>
      </w:r>
      <w:r w:rsidR="00CF7441">
        <w:rPr>
          <w:rFonts w:ascii="Arial" w:hAnsi="Arial" w:cs="Arial"/>
        </w:rPr>
        <w:t>The Panel aims to provide its advice within 25 working days of accept</w:t>
      </w:r>
      <w:r w:rsidR="0038525C">
        <w:rPr>
          <w:rFonts w:ascii="Arial" w:hAnsi="Arial" w:cs="Arial"/>
        </w:rPr>
        <w:t xml:space="preserve">ing a request. In this case, </w:t>
      </w:r>
      <w:r w:rsidR="004B705E">
        <w:rPr>
          <w:rFonts w:ascii="Arial" w:hAnsi="Arial" w:cs="Arial"/>
        </w:rPr>
        <w:t xml:space="preserve">however, </w:t>
      </w:r>
      <w:r w:rsidR="0038525C">
        <w:rPr>
          <w:rFonts w:ascii="Arial" w:hAnsi="Arial" w:cs="Arial"/>
        </w:rPr>
        <w:t>the Panel has taken slightly longer due to the Christmas and New Year holiday period.</w:t>
      </w:r>
    </w:p>
    <w:p w14:paraId="73ED054C" w14:textId="25777B1C" w:rsidR="0005759A" w:rsidRPr="009B66C1" w:rsidRDefault="007A3E24" w:rsidP="00523D66">
      <w:pPr>
        <w:pStyle w:val="ListParagraph"/>
        <w:numPr>
          <w:ilvl w:val="0"/>
          <w:numId w:val="2"/>
        </w:numPr>
        <w:spacing w:after="0" w:line="276" w:lineRule="auto"/>
        <w:ind w:left="567" w:hanging="567"/>
        <w:contextualSpacing w:val="0"/>
        <w:rPr>
          <w:rFonts w:ascii="Arial" w:hAnsi="Arial" w:cs="Arial"/>
        </w:rPr>
      </w:pPr>
      <w:r w:rsidRPr="009B66C1">
        <w:rPr>
          <w:rFonts w:ascii="Arial" w:hAnsi="Arial" w:cs="Arial"/>
        </w:rPr>
        <w:t>T</w:t>
      </w:r>
      <w:r w:rsidR="009A66F1" w:rsidRPr="009B66C1">
        <w:rPr>
          <w:rFonts w:ascii="Arial" w:hAnsi="Arial" w:cs="Arial"/>
        </w:rPr>
        <w:t>his report</w:t>
      </w:r>
      <w:r w:rsidR="00BA3D89">
        <w:rPr>
          <w:rFonts w:ascii="Arial" w:hAnsi="Arial" w:cs="Arial"/>
        </w:rPr>
        <w:t>, which</w:t>
      </w:r>
      <w:r w:rsidR="009A66F1" w:rsidRPr="009B66C1">
        <w:rPr>
          <w:rFonts w:ascii="Arial" w:hAnsi="Arial" w:cs="Arial"/>
        </w:rPr>
        <w:t xml:space="preserve"> </w:t>
      </w:r>
      <w:r w:rsidR="00104B02" w:rsidRPr="009B66C1">
        <w:rPr>
          <w:rFonts w:ascii="Arial" w:hAnsi="Arial" w:cs="Arial"/>
        </w:rPr>
        <w:t xml:space="preserve">provides </w:t>
      </w:r>
      <w:r w:rsidR="008D543B" w:rsidRPr="009B66C1">
        <w:rPr>
          <w:rFonts w:ascii="Arial" w:hAnsi="Arial" w:cs="Arial"/>
        </w:rPr>
        <w:t xml:space="preserve">the Panel’s assessment </w:t>
      </w:r>
      <w:r w:rsidR="009A66F1" w:rsidRPr="009B66C1">
        <w:rPr>
          <w:rFonts w:ascii="Arial" w:hAnsi="Arial" w:cs="Arial"/>
        </w:rPr>
        <w:t>and advice</w:t>
      </w:r>
      <w:r w:rsidR="002D4D85" w:rsidRPr="009B66C1">
        <w:rPr>
          <w:rStyle w:val="FootnoteReference"/>
          <w:rFonts w:ascii="Arial" w:hAnsi="Arial" w:cs="Arial"/>
        </w:rPr>
        <w:footnoteReference w:id="6"/>
      </w:r>
      <w:r w:rsidR="002D4D85" w:rsidRPr="009B66C1">
        <w:rPr>
          <w:rFonts w:ascii="Arial" w:hAnsi="Arial" w:cs="Arial"/>
        </w:rPr>
        <w:t xml:space="preserve"> </w:t>
      </w:r>
      <w:r w:rsidR="009A66F1" w:rsidRPr="009B66C1">
        <w:rPr>
          <w:rFonts w:ascii="Arial" w:hAnsi="Arial" w:cs="Arial"/>
        </w:rPr>
        <w:t xml:space="preserve">to </w:t>
      </w:r>
      <w:r w:rsidR="00BA3D89">
        <w:rPr>
          <w:rFonts w:ascii="Arial" w:hAnsi="Arial" w:cs="Arial"/>
        </w:rPr>
        <w:t xml:space="preserve">B&amp;NES </w:t>
      </w:r>
      <w:r w:rsidR="00944150">
        <w:rPr>
          <w:rFonts w:ascii="Arial" w:hAnsi="Arial" w:cs="Arial"/>
        </w:rPr>
        <w:t>Council</w:t>
      </w:r>
      <w:r w:rsidR="00BA3D89">
        <w:rPr>
          <w:rFonts w:ascii="Arial" w:hAnsi="Arial" w:cs="Arial"/>
        </w:rPr>
        <w:t>,</w:t>
      </w:r>
      <w:r w:rsidR="002D4D85">
        <w:rPr>
          <w:rFonts w:ascii="Arial" w:hAnsi="Arial" w:cs="Arial"/>
        </w:rPr>
        <w:t xml:space="preserve"> </w:t>
      </w:r>
      <w:r w:rsidR="003D13B1" w:rsidRPr="009B66C1">
        <w:rPr>
          <w:rFonts w:ascii="Arial" w:hAnsi="Arial" w:cs="Arial"/>
        </w:rPr>
        <w:t>is set out as follows:</w:t>
      </w:r>
    </w:p>
    <w:p w14:paraId="6293D6A9" w14:textId="7F4ACB91" w:rsidR="003D13B1" w:rsidRPr="009B66C1" w:rsidRDefault="003D13B1" w:rsidP="0048632C">
      <w:pPr>
        <w:pStyle w:val="ListParagraph"/>
        <w:numPr>
          <w:ilvl w:val="0"/>
          <w:numId w:val="3"/>
        </w:numPr>
        <w:spacing w:line="276" w:lineRule="auto"/>
        <w:ind w:left="1135"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w:t>
      </w:r>
      <w:proofErr w:type="gramStart"/>
      <w:r w:rsidRPr="009B66C1">
        <w:rPr>
          <w:rFonts w:ascii="Arial" w:hAnsi="Arial" w:cs="Arial"/>
        </w:rPr>
        <w:t>Panel</w:t>
      </w:r>
      <w:r w:rsidR="00C12087" w:rsidRPr="009B66C1">
        <w:rPr>
          <w:rFonts w:ascii="Arial" w:hAnsi="Arial" w:cs="Arial"/>
        </w:rPr>
        <w:t>;</w:t>
      </w:r>
      <w:proofErr w:type="gramEnd"/>
    </w:p>
    <w:p w14:paraId="61C00153" w14:textId="2EED2C00" w:rsidR="003D13B1" w:rsidRPr="009B66C1" w:rsidRDefault="003D13B1" w:rsidP="0048632C">
      <w:pPr>
        <w:pStyle w:val="ListParagraph"/>
        <w:numPr>
          <w:ilvl w:val="0"/>
          <w:numId w:val="3"/>
        </w:numPr>
        <w:spacing w:line="276" w:lineRule="auto"/>
        <w:ind w:left="1135" w:hanging="284"/>
        <w:rPr>
          <w:rFonts w:ascii="Arial" w:hAnsi="Arial" w:cs="Arial"/>
        </w:rPr>
      </w:pPr>
      <w:r w:rsidRPr="009B66C1">
        <w:rPr>
          <w:rFonts w:ascii="Arial" w:hAnsi="Arial" w:cs="Arial"/>
        </w:rPr>
        <w:lastRenderedPageBreak/>
        <w:t xml:space="preserve">Section 4 sets out the background to the Panel’s </w:t>
      </w:r>
      <w:r w:rsidRPr="0048632C">
        <w:rPr>
          <w:rFonts w:ascii="Arial" w:hAnsi="Arial" w:cs="Arial"/>
        </w:rPr>
        <w:t>review</w:t>
      </w:r>
      <w:r w:rsidR="002924CD" w:rsidRPr="0048632C">
        <w:rPr>
          <w:rFonts w:ascii="Arial" w:hAnsi="Arial" w:cs="Arial"/>
        </w:rPr>
        <w:t>, including the events leading up to</w:t>
      </w:r>
      <w:r w:rsidR="003D7EE1" w:rsidRPr="0048632C">
        <w:rPr>
          <w:rFonts w:ascii="Arial" w:hAnsi="Arial" w:cs="Arial"/>
        </w:rPr>
        <w:t>, and including,</w:t>
      </w:r>
      <w:r w:rsidR="000C7350" w:rsidRPr="0048632C">
        <w:rPr>
          <w:rFonts w:ascii="Arial" w:hAnsi="Arial" w:cs="Arial"/>
        </w:rPr>
        <w:t xml:space="preserve"> </w:t>
      </w:r>
      <w:r w:rsidR="00475849" w:rsidRPr="0048632C">
        <w:rPr>
          <w:rFonts w:ascii="Arial" w:hAnsi="Arial" w:cs="Arial"/>
        </w:rPr>
        <w:t xml:space="preserve">the selection of a provider for the </w:t>
      </w:r>
      <w:r w:rsidR="00E836A8" w:rsidRPr="0048632C">
        <w:rPr>
          <w:rFonts w:ascii="Arial" w:hAnsi="Arial" w:cs="Arial"/>
        </w:rPr>
        <w:t xml:space="preserve">Drug &amp; Alcohol </w:t>
      </w:r>
      <w:proofErr w:type="gramStart"/>
      <w:r w:rsidR="00E836A8" w:rsidRPr="0048632C">
        <w:rPr>
          <w:rFonts w:ascii="Arial" w:hAnsi="Arial" w:cs="Arial"/>
        </w:rPr>
        <w:t>service</w:t>
      </w:r>
      <w:r w:rsidRPr="0048632C">
        <w:rPr>
          <w:rFonts w:ascii="Arial" w:hAnsi="Arial" w:cs="Arial"/>
        </w:rPr>
        <w:t>;</w:t>
      </w:r>
      <w:proofErr w:type="gramEnd"/>
    </w:p>
    <w:p w14:paraId="3C304532" w14:textId="5497B136" w:rsidR="000C7350" w:rsidRPr="009B66C1" w:rsidRDefault="000C7350" w:rsidP="000C7350">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Pr>
          <w:rFonts w:ascii="Arial" w:hAnsi="Arial" w:cs="Arial"/>
        </w:rPr>
        <w:t>5</w:t>
      </w:r>
      <w:r w:rsidRPr="009B66C1">
        <w:rPr>
          <w:rFonts w:ascii="Arial" w:hAnsi="Arial" w:cs="Arial"/>
        </w:rPr>
        <w:t xml:space="preserve"> sets out the concerns raised by </w:t>
      </w:r>
      <w:proofErr w:type="gramStart"/>
      <w:r>
        <w:rPr>
          <w:rFonts w:ascii="Arial" w:hAnsi="Arial" w:cs="Arial"/>
        </w:rPr>
        <w:t>DHI</w:t>
      </w:r>
      <w:r w:rsidRPr="009B66C1">
        <w:rPr>
          <w:rFonts w:ascii="Arial" w:hAnsi="Arial" w:cs="Arial"/>
        </w:rPr>
        <w:t>;</w:t>
      </w:r>
      <w:proofErr w:type="gramEnd"/>
    </w:p>
    <w:p w14:paraId="2536987F" w14:textId="03D130FE" w:rsidR="003D7EE1" w:rsidRPr="003D2A1C" w:rsidRDefault="003D7EE1" w:rsidP="003D13B1">
      <w:pPr>
        <w:pStyle w:val="ListParagraph"/>
        <w:numPr>
          <w:ilvl w:val="0"/>
          <w:numId w:val="3"/>
        </w:numPr>
        <w:spacing w:line="276" w:lineRule="auto"/>
        <w:ind w:left="1134" w:hanging="284"/>
        <w:rPr>
          <w:rFonts w:ascii="Arial" w:hAnsi="Arial" w:cs="Arial"/>
        </w:rPr>
      </w:pPr>
      <w:r w:rsidRPr="003D2A1C">
        <w:rPr>
          <w:rFonts w:ascii="Arial" w:hAnsi="Arial" w:cs="Arial"/>
        </w:rPr>
        <w:t xml:space="preserve">Section </w:t>
      </w:r>
      <w:r w:rsidR="000C7350" w:rsidRPr="003D2A1C">
        <w:rPr>
          <w:rFonts w:ascii="Arial" w:hAnsi="Arial" w:cs="Arial"/>
        </w:rPr>
        <w:t>6</w:t>
      </w:r>
      <w:r w:rsidRPr="003D2A1C">
        <w:rPr>
          <w:rFonts w:ascii="Arial" w:hAnsi="Arial" w:cs="Arial"/>
        </w:rPr>
        <w:t xml:space="preserve"> summarises the </w:t>
      </w:r>
      <w:r w:rsidR="0030728B" w:rsidRPr="003D2A1C">
        <w:rPr>
          <w:rFonts w:ascii="Arial" w:hAnsi="Arial" w:cs="Arial"/>
        </w:rPr>
        <w:t xml:space="preserve">provisions of the PSR regulations relevant to this </w:t>
      </w:r>
      <w:proofErr w:type="gramStart"/>
      <w:r w:rsidR="0030728B" w:rsidRPr="003D2A1C">
        <w:rPr>
          <w:rFonts w:ascii="Arial" w:hAnsi="Arial" w:cs="Arial"/>
        </w:rPr>
        <w:t>review;</w:t>
      </w:r>
      <w:proofErr w:type="gramEnd"/>
    </w:p>
    <w:p w14:paraId="1938B677" w14:textId="284FCF83"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36CF2ED5" w:rsidR="003D13B1" w:rsidRPr="009B66C1" w:rsidRDefault="003D13B1" w:rsidP="00454206">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30728B" w:rsidRPr="009B66C1">
        <w:rPr>
          <w:rFonts w:ascii="Arial" w:hAnsi="Arial" w:cs="Arial"/>
        </w:rPr>
        <w:t>8</w:t>
      </w:r>
      <w:r w:rsidRPr="009B66C1">
        <w:rPr>
          <w:rFonts w:ascii="Arial" w:hAnsi="Arial" w:cs="Arial"/>
        </w:rPr>
        <w:t xml:space="preserve"> sets out the Panel’s advice to </w:t>
      </w:r>
      <w:r w:rsidR="007F05D6">
        <w:rPr>
          <w:rFonts w:ascii="Arial" w:hAnsi="Arial" w:cs="Arial"/>
        </w:rPr>
        <w:t>the</w:t>
      </w:r>
      <w:r w:rsidR="009172EB">
        <w:rPr>
          <w:rFonts w:ascii="Arial" w:hAnsi="Arial" w:cs="Arial"/>
        </w:rPr>
        <w:t xml:space="preserve"> Council</w:t>
      </w:r>
      <w:r w:rsidRPr="009B66C1">
        <w:rPr>
          <w:rFonts w:ascii="Arial" w:hAnsi="Arial" w:cs="Arial"/>
        </w:rPr>
        <w:t>.</w:t>
      </w:r>
    </w:p>
    <w:p w14:paraId="3598594D" w14:textId="1DF651DF"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0075D8" w:rsidRPr="00F21080">
        <w:rPr>
          <w:rFonts w:ascii="Arial" w:hAnsi="Arial" w:cs="Arial"/>
          <w:color w:val="000000" w:themeColor="text1"/>
        </w:rPr>
        <w:t xml:space="preserve">both </w:t>
      </w:r>
      <w:r w:rsidR="007F05D6">
        <w:rPr>
          <w:rFonts w:ascii="Arial" w:hAnsi="Arial" w:cs="Arial"/>
        </w:rPr>
        <w:t>the</w:t>
      </w:r>
      <w:r w:rsidR="009172EB">
        <w:rPr>
          <w:rFonts w:ascii="Arial" w:hAnsi="Arial" w:cs="Arial"/>
        </w:rPr>
        <w:t xml:space="preserve"> Council</w:t>
      </w:r>
      <w:r w:rsidR="009172EB" w:rsidRPr="00F21080">
        <w:rPr>
          <w:rFonts w:ascii="Arial" w:hAnsi="Arial" w:cs="Arial"/>
          <w:color w:val="000000" w:themeColor="text1"/>
        </w:rPr>
        <w:t xml:space="preserve"> </w:t>
      </w:r>
      <w:r w:rsidR="000075D8" w:rsidRPr="00F21080">
        <w:rPr>
          <w:rFonts w:ascii="Arial" w:hAnsi="Arial" w:cs="Arial"/>
          <w:color w:val="000000" w:themeColor="text1"/>
        </w:rPr>
        <w:t xml:space="preserve">and </w:t>
      </w:r>
      <w:r w:rsidR="009172EB">
        <w:rPr>
          <w:rFonts w:ascii="Arial" w:hAnsi="Arial" w:cs="Arial"/>
          <w:color w:val="000000" w:themeColor="text1"/>
        </w:rPr>
        <w:t>DHI</w:t>
      </w:r>
      <w:r w:rsidR="000075D8" w:rsidRPr="00F21080">
        <w:rPr>
          <w:rFonts w:ascii="Arial" w:hAnsi="Arial" w:cs="Arial"/>
          <w:color w:val="000000" w:themeColor="text1"/>
        </w:rPr>
        <w:t xml:space="preserve"> 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89662748"/>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33B091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commissioning health care services by the NHS and local authorities.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7"/>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13F85154"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The Panel act</w:t>
      </w:r>
      <w:r w:rsidR="00637FEF">
        <w:rPr>
          <w:rFonts w:ascii="Arial" w:eastAsiaTheme="majorEastAsia" w:hAnsi="Arial" w:cs="Arial"/>
          <w:color w:val="000000" w:themeColor="text1"/>
        </w:rPr>
        <w:t>s</w:t>
      </w:r>
      <w:r w:rsidRPr="00F061C1">
        <w:rPr>
          <w:rFonts w:ascii="Arial" w:eastAsiaTheme="majorEastAsia" w:hAnsi="Arial" w:cs="Arial"/>
          <w:color w:val="000000" w:themeColor="text1"/>
        </w:rPr>
        <w:t xml:space="preserve">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3854CE72"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 xml:space="preserve">its decision </w:t>
      </w:r>
      <w:proofErr w:type="gramStart"/>
      <w:r w:rsidR="00DD307D" w:rsidRPr="00F061C1">
        <w:rPr>
          <w:rFonts w:ascii="Arial" w:eastAsiaTheme="majorEastAsia" w:hAnsi="Arial" w:cs="Arial"/>
          <w:color w:val="000000" w:themeColor="text1"/>
        </w:rPr>
        <w:t>in light of</w:t>
      </w:r>
      <w:proofErr w:type="gramEnd"/>
      <w:r w:rsidR="00DD307D" w:rsidRPr="00F061C1">
        <w:rPr>
          <w:rFonts w:ascii="Arial" w:eastAsiaTheme="majorEastAsia" w:hAnsi="Arial" w:cs="Arial"/>
          <w:color w:val="000000" w:themeColor="text1"/>
        </w:rPr>
        <w:t xml:space="preserve">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89662749"/>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7C3C69B1" w14:textId="67E2D636" w:rsidR="00614906" w:rsidRDefault="00614906" w:rsidP="00614906">
      <w:pPr>
        <w:pStyle w:val="ListParagraph"/>
        <w:numPr>
          <w:ilvl w:val="0"/>
          <w:numId w:val="2"/>
        </w:numPr>
        <w:spacing w:line="276" w:lineRule="auto"/>
        <w:ind w:left="567" w:hanging="567"/>
        <w:contextualSpacing w:val="0"/>
        <w:rPr>
          <w:rFonts w:ascii="Arial" w:eastAsiaTheme="majorEastAsia" w:hAnsi="Arial" w:cs="Arial"/>
        </w:rPr>
      </w:pPr>
      <w:r w:rsidRPr="003B5A9C">
        <w:rPr>
          <w:rFonts w:ascii="Arial" w:eastAsiaTheme="majorEastAsia" w:hAnsi="Arial" w:cs="Arial"/>
        </w:rPr>
        <w:t>B</w:t>
      </w:r>
      <w:r>
        <w:rPr>
          <w:rFonts w:ascii="Arial" w:eastAsiaTheme="majorEastAsia" w:hAnsi="Arial" w:cs="Arial"/>
        </w:rPr>
        <w:t xml:space="preserve">&amp;NES </w:t>
      </w:r>
      <w:r w:rsidRPr="003B5A9C">
        <w:rPr>
          <w:rFonts w:ascii="Arial" w:eastAsiaTheme="majorEastAsia" w:hAnsi="Arial" w:cs="Arial"/>
        </w:rPr>
        <w:t xml:space="preserve">Council is a unitary authority serving Bath and </w:t>
      </w:r>
      <w:proofErr w:type="gramStart"/>
      <w:r w:rsidRPr="003B5A9C">
        <w:rPr>
          <w:rFonts w:ascii="Arial" w:eastAsiaTheme="majorEastAsia" w:hAnsi="Arial" w:cs="Arial"/>
        </w:rPr>
        <w:t>North East</w:t>
      </w:r>
      <w:proofErr w:type="gramEnd"/>
      <w:r w:rsidRPr="003B5A9C">
        <w:rPr>
          <w:rFonts w:ascii="Arial" w:eastAsiaTheme="majorEastAsia" w:hAnsi="Arial" w:cs="Arial"/>
        </w:rPr>
        <w:t xml:space="preserve"> Somerset</w:t>
      </w:r>
      <w:r>
        <w:rPr>
          <w:rFonts w:ascii="Arial" w:eastAsiaTheme="majorEastAsia" w:hAnsi="Arial" w:cs="Arial"/>
        </w:rPr>
        <w:t xml:space="preserve"> with </w:t>
      </w:r>
      <w:r w:rsidRPr="0048309C">
        <w:rPr>
          <w:rFonts w:ascii="Arial" w:eastAsiaTheme="majorEastAsia" w:hAnsi="Arial" w:cs="Arial"/>
        </w:rPr>
        <w:t>responsibilit</w:t>
      </w:r>
      <w:r>
        <w:rPr>
          <w:rFonts w:ascii="Arial" w:eastAsiaTheme="majorEastAsia" w:hAnsi="Arial" w:cs="Arial"/>
        </w:rPr>
        <w:t xml:space="preserve">ies that </w:t>
      </w:r>
      <w:r w:rsidRPr="0048309C">
        <w:rPr>
          <w:rFonts w:ascii="Arial" w:eastAsiaTheme="majorEastAsia" w:hAnsi="Arial" w:cs="Arial"/>
        </w:rPr>
        <w:t>includ</w:t>
      </w:r>
      <w:r>
        <w:rPr>
          <w:rFonts w:ascii="Arial" w:eastAsiaTheme="majorEastAsia" w:hAnsi="Arial" w:cs="Arial"/>
        </w:rPr>
        <w:t>e</w:t>
      </w:r>
      <w:r w:rsidRPr="0048309C">
        <w:rPr>
          <w:rFonts w:ascii="Arial" w:eastAsiaTheme="majorEastAsia" w:hAnsi="Arial" w:cs="Arial"/>
        </w:rPr>
        <w:t xml:space="preserve"> </w:t>
      </w:r>
      <w:r>
        <w:rPr>
          <w:rFonts w:ascii="Arial" w:eastAsiaTheme="majorEastAsia" w:hAnsi="Arial" w:cs="Arial"/>
        </w:rPr>
        <w:t xml:space="preserve">public health </w:t>
      </w:r>
      <w:r w:rsidRPr="0048309C">
        <w:rPr>
          <w:rFonts w:ascii="Arial" w:eastAsiaTheme="majorEastAsia" w:hAnsi="Arial" w:cs="Arial"/>
        </w:rPr>
        <w:t>services</w:t>
      </w:r>
      <w:r>
        <w:rPr>
          <w:rFonts w:ascii="Arial" w:eastAsiaTheme="majorEastAsia" w:hAnsi="Arial" w:cs="Arial"/>
        </w:rPr>
        <w:t>.</w:t>
      </w:r>
      <w:r>
        <w:rPr>
          <w:rStyle w:val="FootnoteReference"/>
          <w:rFonts w:ascii="Arial" w:eastAsiaTheme="majorEastAsia" w:hAnsi="Arial" w:cs="Arial"/>
        </w:rPr>
        <w:footnoteReference w:id="8"/>
      </w:r>
      <w:r>
        <w:rPr>
          <w:rFonts w:ascii="Arial" w:eastAsiaTheme="majorEastAsia" w:hAnsi="Arial" w:cs="Arial"/>
        </w:rPr>
        <w:t xml:space="preserve"> The</w:t>
      </w:r>
      <w:r w:rsidRPr="0048309C">
        <w:rPr>
          <w:rFonts w:ascii="Arial" w:eastAsiaTheme="majorEastAsia" w:hAnsi="Arial" w:cs="Arial"/>
        </w:rPr>
        <w:t xml:space="preserve"> Council is part of the </w:t>
      </w:r>
      <w:r>
        <w:rPr>
          <w:rFonts w:ascii="Arial" w:eastAsiaTheme="majorEastAsia" w:hAnsi="Arial" w:cs="Arial"/>
        </w:rPr>
        <w:t xml:space="preserve">local Integrated Care System (ICS), the </w:t>
      </w:r>
      <w:r w:rsidRPr="0048309C">
        <w:rPr>
          <w:rFonts w:ascii="Arial" w:eastAsiaTheme="majorEastAsia" w:hAnsi="Arial" w:cs="Arial"/>
        </w:rPr>
        <w:t>Bath and North East Somerset, Swindon and Wiltshire (BSW) Partnership</w:t>
      </w:r>
      <w:r>
        <w:rPr>
          <w:rFonts w:ascii="Arial" w:eastAsiaTheme="majorEastAsia" w:hAnsi="Arial" w:cs="Arial"/>
        </w:rPr>
        <w:t>, known as</w:t>
      </w:r>
      <w:r w:rsidRPr="0048309C">
        <w:rPr>
          <w:rFonts w:ascii="Arial" w:eastAsiaTheme="majorEastAsia" w:hAnsi="Arial" w:cs="Arial"/>
        </w:rPr>
        <w:t xml:space="preserve"> BSW Together</w:t>
      </w:r>
      <w:r>
        <w:rPr>
          <w:rFonts w:ascii="Arial" w:eastAsiaTheme="majorEastAsia" w:hAnsi="Arial" w:cs="Arial"/>
        </w:rPr>
        <w:t xml:space="preserve">, which brings together </w:t>
      </w:r>
      <w:r w:rsidRPr="0048309C">
        <w:rPr>
          <w:rFonts w:ascii="Arial" w:eastAsiaTheme="majorEastAsia" w:hAnsi="Arial" w:cs="Arial"/>
        </w:rPr>
        <w:t>the NHS, local government and local third sector groups.</w:t>
      </w:r>
      <w:r>
        <w:rPr>
          <w:rStyle w:val="FootnoteReference"/>
          <w:rFonts w:ascii="Arial" w:eastAsiaTheme="majorEastAsia" w:hAnsi="Arial" w:cs="Arial"/>
        </w:rPr>
        <w:footnoteReference w:id="9"/>
      </w:r>
    </w:p>
    <w:p w14:paraId="6BDC9186" w14:textId="77777777" w:rsidR="003D266C" w:rsidRPr="00913AF2" w:rsidRDefault="003D266C" w:rsidP="003D266C">
      <w:pPr>
        <w:pStyle w:val="ListParagraph"/>
        <w:numPr>
          <w:ilvl w:val="0"/>
          <w:numId w:val="2"/>
        </w:numPr>
        <w:spacing w:line="276" w:lineRule="auto"/>
        <w:ind w:left="567" w:hanging="567"/>
        <w:contextualSpacing w:val="0"/>
        <w:rPr>
          <w:rFonts w:ascii="Arial" w:eastAsiaTheme="majorEastAsia" w:hAnsi="Arial" w:cs="Arial"/>
          <w:color w:val="000000" w:themeColor="text1"/>
        </w:rPr>
      </w:pPr>
      <w:bookmarkStart w:id="6" w:name="_Ref189569826"/>
      <w:r>
        <w:rPr>
          <w:rFonts w:ascii="Arial" w:eastAsiaTheme="majorEastAsia" w:hAnsi="Arial" w:cs="Arial"/>
          <w:color w:val="000000" w:themeColor="text1"/>
        </w:rPr>
        <w:t xml:space="preserve">BSW Integrated Care Board (ICB), as coordinating commissioner, and B&amp;NES </w:t>
      </w:r>
      <w:r w:rsidRPr="00766956">
        <w:rPr>
          <w:rFonts w:ascii="Arial" w:eastAsiaTheme="majorEastAsia" w:hAnsi="Arial" w:cs="Arial"/>
          <w:color w:val="000000" w:themeColor="text1"/>
        </w:rPr>
        <w:t>Council</w:t>
      </w:r>
      <w:r>
        <w:rPr>
          <w:rFonts w:ascii="Arial" w:eastAsiaTheme="majorEastAsia" w:hAnsi="Arial" w:cs="Arial"/>
          <w:color w:val="000000" w:themeColor="text1"/>
        </w:rPr>
        <w:t>, as co-commissioner,</w:t>
      </w:r>
      <w:r w:rsidRPr="00766956">
        <w:rPr>
          <w:rFonts w:ascii="Arial" w:eastAsiaTheme="majorEastAsia" w:hAnsi="Arial" w:cs="Arial"/>
          <w:color w:val="000000" w:themeColor="text1"/>
        </w:rPr>
        <w:t xml:space="preserve"> </w:t>
      </w:r>
      <w:r>
        <w:rPr>
          <w:rFonts w:ascii="Arial" w:eastAsiaTheme="majorEastAsia" w:hAnsi="Arial" w:cs="Arial"/>
          <w:color w:val="000000" w:themeColor="text1"/>
        </w:rPr>
        <w:t xml:space="preserve">currently have a prime provider contract with </w:t>
      </w:r>
      <w:r w:rsidRPr="00766956">
        <w:rPr>
          <w:rFonts w:ascii="Arial" w:eastAsiaTheme="majorEastAsia" w:hAnsi="Arial" w:cs="Arial"/>
          <w:color w:val="000000" w:themeColor="text1"/>
        </w:rPr>
        <w:t xml:space="preserve">HCRG </w:t>
      </w:r>
      <w:r w:rsidRPr="00766956">
        <w:rPr>
          <w:rFonts w:ascii="Arial" w:eastAsiaTheme="majorEastAsia" w:hAnsi="Arial" w:cs="Arial"/>
          <w:color w:val="000000" w:themeColor="text1"/>
        </w:rPr>
        <w:lastRenderedPageBreak/>
        <w:t xml:space="preserve">Care Group (HCRG) for </w:t>
      </w:r>
      <w:r>
        <w:rPr>
          <w:rFonts w:ascii="Arial" w:eastAsiaTheme="majorEastAsia" w:hAnsi="Arial" w:cs="Arial"/>
          <w:color w:val="000000" w:themeColor="text1"/>
        </w:rPr>
        <w:t xml:space="preserve">a range of </w:t>
      </w:r>
      <w:r w:rsidRPr="00766956">
        <w:rPr>
          <w:rFonts w:ascii="Arial" w:eastAsiaTheme="majorEastAsia" w:hAnsi="Arial" w:cs="Arial"/>
          <w:color w:val="000000" w:themeColor="text1"/>
        </w:rPr>
        <w:t xml:space="preserve">public </w:t>
      </w:r>
      <w:r w:rsidRPr="00766956">
        <w:rPr>
          <w:rFonts w:ascii="Arial" w:eastAsiaTheme="majorEastAsia" w:hAnsi="Arial" w:cs="Arial"/>
        </w:rPr>
        <w:t>health</w:t>
      </w:r>
      <w:r>
        <w:rPr>
          <w:rFonts w:ascii="Arial" w:eastAsiaTheme="majorEastAsia" w:hAnsi="Arial" w:cs="Arial"/>
        </w:rPr>
        <w:t>, social care and housing</w:t>
      </w:r>
      <w:r w:rsidRPr="00766956">
        <w:rPr>
          <w:rFonts w:ascii="Arial" w:eastAsiaTheme="majorEastAsia" w:hAnsi="Arial" w:cs="Arial"/>
        </w:rPr>
        <w:t xml:space="preserve"> services</w:t>
      </w:r>
      <w:r>
        <w:rPr>
          <w:rFonts w:ascii="Arial" w:eastAsiaTheme="majorEastAsia" w:hAnsi="Arial" w:cs="Arial"/>
        </w:rPr>
        <w:t xml:space="preserve">. This includes </w:t>
      </w:r>
      <w:r w:rsidRPr="00766956">
        <w:rPr>
          <w:rFonts w:ascii="Arial" w:eastAsiaTheme="majorEastAsia" w:hAnsi="Arial" w:cs="Arial"/>
        </w:rPr>
        <w:t>most drug and alcohol services</w:t>
      </w:r>
      <w:r>
        <w:rPr>
          <w:rFonts w:ascii="Arial" w:eastAsiaTheme="majorEastAsia" w:hAnsi="Arial" w:cs="Arial"/>
        </w:rPr>
        <w:t xml:space="preserve"> in Bath and </w:t>
      </w:r>
      <w:proofErr w:type="gramStart"/>
      <w:r>
        <w:rPr>
          <w:rFonts w:ascii="Arial" w:eastAsiaTheme="majorEastAsia" w:hAnsi="Arial" w:cs="Arial"/>
        </w:rPr>
        <w:t>North East</w:t>
      </w:r>
      <w:proofErr w:type="gramEnd"/>
      <w:r>
        <w:rPr>
          <w:rFonts w:ascii="Arial" w:eastAsiaTheme="majorEastAsia" w:hAnsi="Arial" w:cs="Arial"/>
        </w:rPr>
        <w:t xml:space="preserve"> Somerset</w:t>
      </w:r>
      <w:r w:rsidRPr="00766956">
        <w:rPr>
          <w:rFonts w:ascii="Arial" w:eastAsiaTheme="majorEastAsia" w:hAnsi="Arial" w:cs="Arial"/>
        </w:rPr>
        <w:t>.</w:t>
      </w:r>
      <w:bookmarkEnd w:id="6"/>
    </w:p>
    <w:p w14:paraId="07C7A94F" w14:textId="6908A658" w:rsidR="003D266C" w:rsidRPr="00766956" w:rsidRDefault="003D266C" w:rsidP="003D266C">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rPr>
        <w:t>HCRG’s</w:t>
      </w:r>
      <w:r w:rsidRPr="00766956">
        <w:rPr>
          <w:rFonts w:ascii="Arial" w:eastAsiaTheme="majorEastAsia" w:hAnsi="Arial" w:cs="Arial"/>
        </w:rPr>
        <w:t xml:space="preserve"> delivery of drug and alcohol services</w:t>
      </w:r>
      <w:r>
        <w:rPr>
          <w:rFonts w:ascii="Arial" w:eastAsiaTheme="majorEastAsia" w:hAnsi="Arial" w:cs="Arial"/>
        </w:rPr>
        <w:t xml:space="preserve"> in Bath and </w:t>
      </w:r>
      <w:proofErr w:type="gramStart"/>
      <w:r>
        <w:rPr>
          <w:rFonts w:ascii="Arial" w:eastAsiaTheme="majorEastAsia" w:hAnsi="Arial" w:cs="Arial"/>
        </w:rPr>
        <w:t>North East</w:t>
      </w:r>
      <w:proofErr w:type="gramEnd"/>
      <w:r>
        <w:rPr>
          <w:rFonts w:ascii="Arial" w:eastAsiaTheme="majorEastAsia" w:hAnsi="Arial" w:cs="Arial"/>
        </w:rPr>
        <w:t xml:space="preserve"> Somerset is sub-contracted to DHI, local GPs and local pharmacies</w:t>
      </w:r>
      <w:r w:rsidRPr="00766956">
        <w:rPr>
          <w:rFonts w:ascii="Arial" w:eastAsiaTheme="majorEastAsia" w:hAnsi="Arial" w:cs="Arial"/>
        </w:rPr>
        <w:t>.</w:t>
      </w:r>
      <w:r>
        <w:rPr>
          <w:rFonts w:ascii="Arial" w:hAnsi="Arial" w:cs="Arial"/>
        </w:rPr>
        <w:t xml:space="preserve"> Outside the HCRG contract, the Council has directly commissioned </w:t>
      </w:r>
      <w:r w:rsidRPr="00766956">
        <w:rPr>
          <w:rFonts w:ascii="Arial" w:eastAsiaTheme="majorEastAsia" w:hAnsi="Arial" w:cs="Arial"/>
        </w:rPr>
        <w:t>Tier 4 drug and alcohol services.</w:t>
      </w:r>
      <w:r>
        <w:rPr>
          <w:rFonts w:ascii="Arial" w:eastAsiaTheme="majorEastAsia" w:hAnsi="Arial" w:cs="Arial"/>
        </w:rPr>
        <w:t xml:space="preserve"> Under these arrangements, local GPs and local pharmacies prescrib</w:t>
      </w:r>
      <w:r w:rsidR="00191B10">
        <w:rPr>
          <w:rFonts w:ascii="Arial" w:eastAsiaTheme="majorEastAsia" w:hAnsi="Arial" w:cs="Arial"/>
        </w:rPr>
        <w:t>e</w:t>
      </w:r>
      <w:r>
        <w:rPr>
          <w:rFonts w:ascii="Arial" w:eastAsiaTheme="majorEastAsia" w:hAnsi="Arial" w:cs="Arial"/>
        </w:rPr>
        <w:t>, dispens</w:t>
      </w:r>
      <w:r w:rsidR="00191B10">
        <w:rPr>
          <w:rFonts w:ascii="Arial" w:eastAsiaTheme="majorEastAsia" w:hAnsi="Arial" w:cs="Arial"/>
        </w:rPr>
        <w:t>e</w:t>
      </w:r>
      <w:r>
        <w:rPr>
          <w:rFonts w:ascii="Arial" w:eastAsiaTheme="majorEastAsia" w:hAnsi="Arial" w:cs="Arial"/>
        </w:rPr>
        <w:t xml:space="preserve"> and supervis</w:t>
      </w:r>
      <w:r w:rsidR="00191B10">
        <w:rPr>
          <w:rFonts w:ascii="Arial" w:eastAsiaTheme="majorEastAsia" w:hAnsi="Arial" w:cs="Arial"/>
        </w:rPr>
        <w:t>e</w:t>
      </w:r>
      <w:r>
        <w:rPr>
          <w:rFonts w:ascii="Arial" w:eastAsiaTheme="majorEastAsia" w:hAnsi="Arial" w:cs="Arial"/>
        </w:rPr>
        <w:t xml:space="preserve"> </w:t>
      </w:r>
      <w:r w:rsidR="002F0098">
        <w:rPr>
          <w:rFonts w:ascii="Arial" w:eastAsiaTheme="majorEastAsia" w:hAnsi="Arial" w:cs="Arial"/>
        </w:rPr>
        <w:t xml:space="preserve">the </w:t>
      </w:r>
      <w:r>
        <w:rPr>
          <w:rFonts w:ascii="Arial" w:eastAsiaTheme="majorEastAsia" w:hAnsi="Arial" w:cs="Arial"/>
        </w:rPr>
        <w:t xml:space="preserve">consumption of controlled drugs. DHI monitors and collates this activity for </w:t>
      </w:r>
      <w:proofErr w:type="gramStart"/>
      <w:r>
        <w:rPr>
          <w:rFonts w:ascii="Arial" w:eastAsiaTheme="majorEastAsia" w:hAnsi="Arial" w:cs="Arial"/>
        </w:rPr>
        <w:t>HCRG</w:t>
      </w:r>
      <w:r w:rsidR="000F747D">
        <w:rPr>
          <w:rFonts w:ascii="Arial" w:eastAsiaTheme="majorEastAsia" w:hAnsi="Arial" w:cs="Arial"/>
        </w:rPr>
        <w:t>,</w:t>
      </w:r>
      <w:r>
        <w:rPr>
          <w:rFonts w:ascii="Arial" w:eastAsiaTheme="majorEastAsia" w:hAnsi="Arial" w:cs="Arial"/>
        </w:rPr>
        <w:t xml:space="preserve"> and</w:t>
      </w:r>
      <w:proofErr w:type="gramEnd"/>
      <w:r>
        <w:rPr>
          <w:rFonts w:ascii="Arial" w:eastAsiaTheme="majorEastAsia" w:hAnsi="Arial" w:cs="Arial"/>
        </w:rPr>
        <w:t xml:space="preserve"> manages access and continuity of ca</w:t>
      </w:r>
      <w:r w:rsidR="001371DD">
        <w:rPr>
          <w:rFonts w:ascii="Arial" w:eastAsiaTheme="majorEastAsia" w:hAnsi="Arial" w:cs="Arial"/>
        </w:rPr>
        <w:t>r</w:t>
      </w:r>
      <w:r>
        <w:rPr>
          <w:rFonts w:ascii="Arial" w:eastAsiaTheme="majorEastAsia" w:hAnsi="Arial" w:cs="Arial"/>
        </w:rPr>
        <w:t>e for users of Tier 4 services.</w:t>
      </w:r>
    </w:p>
    <w:p w14:paraId="507BEDDA" w14:textId="051F5575" w:rsidR="00236D6F" w:rsidRPr="00B26070" w:rsidRDefault="00614906">
      <w:pPr>
        <w:pStyle w:val="ListParagraph"/>
        <w:numPr>
          <w:ilvl w:val="0"/>
          <w:numId w:val="2"/>
        </w:numPr>
        <w:spacing w:line="276" w:lineRule="auto"/>
        <w:ind w:left="567" w:hanging="567"/>
        <w:contextualSpacing w:val="0"/>
        <w:rPr>
          <w:rFonts w:ascii="Arial" w:eastAsiaTheme="majorEastAsia" w:hAnsi="Arial" w:cs="Arial"/>
        </w:rPr>
      </w:pPr>
      <w:r w:rsidRPr="00B26070">
        <w:rPr>
          <w:rFonts w:ascii="Arial" w:eastAsiaTheme="majorEastAsia" w:hAnsi="Arial" w:cs="Arial"/>
        </w:rPr>
        <w:t xml:space="preserve">With the HCRG contract due to expire on 31 March 2025, the Council </w:t>
      </w:r>
      <w:r w:rsidR="00E72D1B">
        <w:rPr>
          <w:rFonts w:ascii="Arial" w:eastAsiaTheme="majorEastAsia" w:hAnsi="Arial" w:cs="Arial"/>
        </w:rPr>
        <w:t xml:space="preserve">has </w:t>
      </w:r>
      <w:r w:rsidRPr="00B26070">
        <w:rPr>
          <w:rFonts w:ascii="Arial" w:eastAsiaTheme="majorEastAsia" w:hAnsi="Arial" w:cs="Arial"/>
        </w:rPr>
        <w:t xml:space="preserve">decided </w:t>
      </w:r>
      <w:r w:rsidRPr="00B26070">
        <w:rPr>
          <w:rFonts w:ascii="Arial" w:eastAsiaTheme="majorEastAsia" w:hAnsi="Arial" w:cs="Arial"/>
          <w:color w:val="000000" w:themeColor="text1"/>
        </w:rPr>
        <w:t xml:space="preserve">to commission all drug and alcohol services, including services for adults and children as well as shared care and Tier 4 services, under a single contract. This contract will encompass the services currently supplied by DHI, </w:t>
      </w:r>
      <w:r w:rsidR="00B26070" w:rsidRPr="00B26070">
        <w:rPr>
          <w:rFonts w:ascii="Arial" w:eastAsiaTheme="majorEastAsia" w:hAnsi="Arial" w:cs="Arial"/>
          <w:color w:val="000000" w:themeColor="text1"/>
        </w:rPr>
        <w:t xml:space="preserve">as well as </w:t>
      </w:r>
      <w:r w:rsidR="00831B93">
        <w:rPr>
          <w:rFonts w:ascii="Arial" w:eastAsiaTheme="majorEastAsia" w:hAnsi="Arial" w:cs="Arial"/>
          <w:color w:val="000000" w:themeColor="text1"/>
        </w:rPr>
        <w:t>DHI’s</w:t>
      </w:r>
      <w:r w:rsidR="00B26070" w:rsidRPr="00B26070">
        <w:rPr>
          <w:rFonts w:ascii="Arial" w:eastAsiaTheme="majorEastAsia" w:hAnsi="Arial" w:cs="Arial"/>
          <w:color w:val="000000" w:themeColor="text1"/>
        </w:rPr>
        <w:t xml:space="preserve"> sub-contractor, Avon &amp; Wiltshire Mental Health Partnership NHS Trust, </w:t>
      </w:r>
      <w:r w:rsidRPr="00B26070">
        <w:rPr>
          <w:rFonts w:ascii="Arial" w:eastAsiaTheme="majorEastAsia" w:hAnsi="Arial" w:cs="Arial"/>
          <w:color w:val="000000" w:themeColor="text1"/>
        </w:rPr>
        <w:t>local GPs and local pharmacies, and the current providers of Tier 4 services.</w:t>
      </w:r>
      <w:r w:rsidR="00B26070" w:rsidRPr="00B26070">
        <w:rPr>
          <w:rFonts w:ascii="Arial" w:eastAsiaTheme="majorEastAsia" w:hAnsi="Arial" w:cs="Arial"/>
          <w:color w:val="000000" w:themeColor="text1"/>
        </w:rPr>
        <w:t xml:space="preserve"> </w:t>
      </w:r>
      <w:bookmarkStart w:id="7" w:name="_Ref188889089"/>
      <w:r w:rsidR="0007502B" w:rsidRPr="00B26070">
        <w:rPr>
          <w:rFonts w:ascii="Arial" w:eastAsiaTheme="majorEastAsia" w:hAnsi="Arial" w:cs="Arial"/>
          <w:color w:val="000000" w:themeColor="text1"/>
        </w:rPr>
        <w:t xml:space="preserve">The Council has identified </w:t>
      </w:r>
      <w:r w:rsidR="00B7191D">
        <w:rPr>
          <w:rFonts w:ascii="Arial" w:eastAsiaTheme="majorEastAsia" w:hAnsi="Arial" w:cs="Arial"/>
          <w:color w:val="000000" w:themeColor="text1"/>
        </w:rPr>
        <w:t>a range of</w:t>
      </w:r>
      <w:r w:rsidR="0007502B" w:rsidRPr="00B26070">
        <w:rPr>
          <w:rFonts w:ascii="Arial" w:eastAsiaTheme="majorEastAsia" w:hAnsi="Arial" w:cs="Arial"/>
          <w:color w:val="000000" w:themeColor="text1"/>
        </w:rPr>
        <w:t xml:space="preserve"> benefits from </w:t>
      </w:r>
      <w:r w:rsidR="0036776E" w:rsidRPr="00B26070">
        <w:rPr>
          <w:rFonts w:ascii="Arial" w:eastAsiaTheme="majorEastAsia" w:hAnsi="Arial" w:cs="Arial"/>
          <w:color w:val="000000" w:themeColor="text1"/>
        </w:rPr>
        <w:t xml:space="preserve">combining </w:t>
      </w:r>
      <w:r w:rsidR="00D42AE6" w:rsidRPr="00B26070">
        <w:rPr>
          <w:rFonts w:ascii="Arial" w:eastAsiaTheme="majorEastAsia" w:hAnsi="Arial" w:cs="Arial"/>
          <w:color w:val="000000" w:themeColor="text1"/>
        </w:rPr>
        <w:t xml:space="preserve">these </w:t>
      </w:r>
      <w:r w:rsidR="0036776E" w:rsidRPr="00B26070">
        <w:rPr>
          <w:rFonts w:ascii="Arial" w:eastAsiaTheme="majorEastAsia" w:hAnsi="Arial" w:cs="Arial"/>
          <w:color w:val="000000" w:themeColor="text1"/>
        </w:rPr>
        <w:t>separate drug and alcohol services into a single integrated service, including improved access, better continuity of care</w:t>
      </w:r>
      <w:r w:rsidR="00895085" w:rsidRPr="00B26070">
        <w:rPr>
          <w:rFonts w:ascii="Arial" w:eastAsiaTheme="majorEastAsia" w:hAnsi="Arial" w:cs="Arial"/>
          <w:color w:val="000000" w:themeColor="text1"/>
        </w:rPr>
        <w:t>, greater consistency in service delivery and resource efficiency.</w:t>
      </w:r>
      <w:r w:rsidR="00895085">
        <w:rPr>
          <w:rStyle w:val="FootnoteReference"/>
          <w:rFonts w:ascii="Arial" w:eastAsiaTheme="majorEastAsia" w:hAnsi="Arial" w:cs="Arial"/>
          <w:color w:val="000000" w:themeColor="text1"/>
        </w:rPr>
        <w:footnoteReference w:id="10"/>
      </w:r>
      <w:bookmarkEnd w:id="7"/>
    </w:p>
    <w:p w14:paraId="5A9D5876" w14:textId="6B17C43D" w:rsidR="00432EEB" w:rsidRDefault="00321B0C" w:rsidP="00432EEB">
      <w:pPr>
        <w:pStyle w:val="ListParagraph"/>
        <w:numPr>
          <w:ilvl w:val="0"/>
          <w:numId w:val="2"/>
        </w:numPr>
        <w:spacing w:line="276" w:lineRule="auto"/>
        <w:ind w:left="567" w:hanging="567"/>
        <w:contextualSpacing w:val="0"/>
        <w:rPr>
          <w:rFonts w:ascii="Arial" w:eastAsiaTheme="majorEastAsia" w:hAnsi="Arial" w:cs="Arial"/>
        </w:rPr>
      </w:pPr>
      <w:r w:rsidRPr="007E2386">
        <w:rPr>
          <w:rFonts w:ascii="Arial" w:eastAsiaTheme="majorEastAsia" w:hAnsi="Arial" w:cs="Arial"/>
        </w:rPr>
        <w:t>On 17 April 2024</w:t>
      </w:r>
      <w:r w:rsidR="00FA3D45">
        <w:rPr>
          <w:rFonts w:ascii="Arial" w:eastAsiaTheme="majorEastAsia" w:hAnsi="Arial" w:cs="Arial"/>
        </w:rPr>
        <w:t>,</w:t>
      </w:r>
      <w:r w:rsidRPr="007E2386">
        <w:rPr>
          <w:rFonts w:ascii="Arial" w:eastAsiaTheme="majorEastAsia" w:hAnsi="Arial" w:cs="Arial"/>
        </w:rPr>
        <w:t xml:space="preserve"> </w:t>
      </w:r>
      <w:r>
        <w:rPr>
          <w:rFonts w:ascii="Arial" w:eastAsiaTheme="majorEastAsia" w:hAnsi="Arial" w:cs="Arial"/>
        </w:rPr>
        <w:t>the</w:t>
      </w:r>
      <w:r w:rsidRPr="007E2386">
        <w:rPr>
          <w:rFonts w:ascii="Arial" w:eastAsiaTheme="majorEastAsia" w:hAnsi="Arial" w:cs="Arial"/>
        </w:rPr>
        <w:t xml:space="preserve"> Council published a Prior Information Notice </w:t>
      </w:r>
      <w:r>
        <w:rPr>
          <w:rFonts w:ascii="Arial" w:eastAsiaTheme="majorEastAsia" w:hAnsi="Arial" w:cs="Arial"/>
        </w:rPr>
        <w:t xml:space="preserve">on Find a Tender Service (FTS) </w:t>
      </w:r>
      <w:r w:rsidRPr="007E2386">
        <w:rPr>
          <w:rFonts w:ascii="Arial" w:eastAsiaTheme="majorEastAsia" w:hAnsi="Arial" w:cs="Arial"/>
        </w:rPr>
        <w:t xml:space="preserve">announcing its intention to follow the </w:t>
      </w:r>
      <w:r w:rsidR="00FB4B75">
        <w:rPr>
          <w:rFonts w:ascii="Arial" w:eastAsiaTheme="majorEastAsia" w:hAnsi="Arial" w:cs="Arial"/>
        </w:rPr>
        <w:t>c</w:t>
      </w:r>
      <w:r w:rsidRPr="007E2386">
        <w:rPr>
          <w:rFonts w:ascii="Arial" w:eastAsiaTheme="majorEastAsia" w:hAnsi="Arial" w:cs="Arial"/>
        </w:rPr>
        <w:t xml:space="preserve">ompetitive </w:t>
      </w:r>
      <w:r w:rsidR="00FB4B75">
        <w:rPr>
          <w:rFonts w:ascii="Arial" w:eastAsiaTheme="majorEastAsia" w:hAnsi="Arial" w:cs="Arial"/>
        </w:rPr>
        <w:t>p</w:t>
      </w:r>
      <w:r w:rsidRPr="007E2386">
        <w:rPr>
          <w:rFonts w:ascii="Arial" w:eastAsiaTheme="majorEastAsia" w:hAnsi="Arial" w:cs="Arial"/>
        </w:rPr>
        <w:t xml:space="preserve">rocess to </w:t>
      </w:r>
      <w:r w:rsidR="007068F6">
        <w:rPr>
          <w:rFonts w:ascii="Arial" w:eastAsiaTheme="majorEastAsia" w:hAnsi="Arial" w:cs="Arial"/>
        </w:rPr>
        <w:t xml:space="preserve">select a provider for the new </w:t>
      </w:r>
      <w:r w:rsidRPr="007E2386">
        <w:rPr>
          <w:rFonts w:ascii="Arial" w:eastAsiaTheme="majorEastAsia" w:hAnsi="Arial" w:cs="Arial"/>
        </w:rPr>
        <w:t xml:space="preserve">Drug and Alcohol </w:t>
      </w:r>
      <w:proofErr w:type="gramStart"/>
      <w:r w:rsidRPr="007E2386">
        <w:rPr>
          <w:rFonts w:ascii="Arial" w:eastAsiaTheme="majorEastAsia" w:hAnsi="Arial" w:cs="Arial"/>
        </w:rPr>
        <w:t>Service</w:t>
      </w:r>
      <w:r w:rsidR="007068F6">
        <w:rPr>
          <w:rFonts w:ascii="Arial" w:eastAsiaTheme="majorEastAsia" w:hAnsi="Arial" w:cs="Arial"/>
        </w:rPr>
        <w:t>s contract</w:t>
      </w:r>
      <w:r w:rsidR="00282754">
        <w:rPr>
          <w:rFonts w:ascii="Arial" w:eastAsiaTheme="majorEastAsia" w:hAnsi="Arial" w:cs="Arial"/>
        </w:rPr>
        <w:t>,</w:t>
      </w:r>
      <w:r w:rsidRPr="007E2386">
        <w:rPr>
          <w:rFonts w:ascii="Arial" w:eastAsiaTheme="majorEastAsia" w:hAnsi="Arial" w:cs="Arial"/>
        </w:rPr>
        <w:t xml:space="preserve"> and</w:t>
      </w:r>
      <w:proofErr w:type="gramEnd"/>
      <w:r w:rsidRPr="007E2386">
        <w:rPr>
          <w:rFonts w:ascii="Arial" w:eastAsiaTheme="majorEastAsia" w:hAnsi="Arial" w:cs="Arial"/>
        </w:rPr>
        <w:t xml:space="preserve"> invit</w:t>
      </w:r>
      <w:r w:rsidR="00282754">
        <w:rPr>
          <w:rFonts w:ascii="Arial" w:eastAsiaTheme="majorEastAsia" w:hAnsi="Arial" w:cs="Arial"/>
        </w:rPr>
        <w:t>ing</w:t>
      </w:r>
      <w:r w:rsidR="00822549">
        <w:rPr>
          <w:rFonts w:ascii="Arial" w:eastAsiaTheme="majorEastAsia" w:hAnsi="Arial" w:cs="Arial"/>
        </w:rPr>
        <w:t xml:space="preserve"> </w:t>
      </w:r>
      <w:r w:rsidRPr="007E2386">
        <w:rPr>
          <w:rFonts w:ascii="Arial" w:eastAsiaTheme="majorEastAsia" w:hAnsi="Arial" w:cs="Arial"/>
        </w:rPr>
        <w:t xml:space="preserve">providers to express interest in </w:t>
      </w:r>
      <w:r w:rsidRPr="00487A7F">
        <w:rPr>
          <w:rFonts w:ascii="Arial" w:eastAsiaTheme="majorEastAsia" w:hAnsi="Arial" w:cs="Arial"/>
        </w:rPr>
        <w:t xml:space="preserve">attending a </w:t>
      </w:r>
      <w:r w:rsidR="00FB4B75">
        <w:rPr>
          <w:rFonts w:ascii="Arial" w:eastAsiaTheme="majorEastAsia" w:hAnsi="Arial" w:cs="Arial"/>
        </w:rPr>
        <w:t>m</w:t>
      </w:r>
      <w:r w:rsidRPr="00487A7F">
        <w:rPr>
          <w:rFonts w:ascii="Arial" w:eastAsiaTheme="majorEastAsia" w:hAnsi="Arial" w:cs="Arial"/>
        </w:rPr>
        <w:t xml:space="preserve">arket </w:t>
      </w:r>
      <w:r w:rsidR="00FB4B75">
        <w:rPr>
          <w:rFonts w:ascii="Arial" w:eastAsiaTheme="majorEastAsia" w:hAnsi="Arial" w:cs="Arial"/>
        </w:rPr>
        <w:t>e</w:t>
      </w:r>
      <w:r w:rsidRPr="00487A7F">
        <w:rPr>
          <w:rFonts w:ascii="Arial" w:eastAsiaTheme="majorEastAsia" w:hAnsi="Arial" w:cs="Arial"/>
        </w:rPr>
        <w:t xml:space="preserve">ngagement </w:t>
      </w:r>
      <w:r w:rsidR="00FB4B75">
        <w:rPr>
          <w:rFonts w:ascii="Arial" w:eastAsiaTheme="majorEastAsia" w:hAnsi="Arial" w:cs="Arial"/>
        </w:rPr>
        <w:t>e</w:t>
      </w:r>
      <w:r w:rsidRPr="00487A7F">
        <w:rPr>
          <w:rFonts w:ascii="Arial" w:eastAsiaTheme="majorEastAsia" w:hAnsi="Arial" w:cs="Arial"/>
        </w:rPr>
        <w:t xml:space="preserve">vent on 9 May 2024. </w:t>
      </w:r>
      <w:r w:rsidR="00432EEB" w:rsidRPr="003416C0">
        <w:rPr>
          <w:rFonts w:ascii="Arial" w:eastAsiaTheme="majorEastAsia" w:hAnsi="Arial" w:cs="Arial"/>
        </w:rPr>
        <w:t>The</w:t>
      </w:r>
      <w:r w:rsidR="00432EEB">
        <w:rPr>
          <w:rFonts w:ascii="Arial" w:eastAsiaTheme="majorEastAsia" w:hAnsi="Arial" w:cs="Arial"/>
        </w:rPr>
        <w:t xml:space="preserve"> </w:t>
      </w:r>
      <w:r w:rsidR="00822549">
        <w:rPr>
          <w:rFonts w:ascii="Arial" w:eastAsiaTheme="majorEastAsia" w:hAnsi="Arial" w:cs="Arial"/>
        </w:rPr>
        <w:t xml:space="preserve">new </w:t>
      </w:r>
      <w:r w:rsidR="00D34C28">
        <w:rPr>
          <w:rFonts w:ascii="Arial" w:eastAsiaTheme="majorEastAsia" w:hAnsi="Arial" w:cs="Arial"/>
        </w:rPr>
        <w:t xml:space="preserve">contract </w:t>
      </w:r>
      <w:r w:rsidR="00AE067F">
        <w:rPr>
          <w:rFonts w:ascii="Arial" w:eastAsiaTheme="majorEastAsia" w:hAnsi="Arial" w:cs="Arial"/>
        </w:rPr>
        <w:t xml:space="preserve">is intended to </w:t>
      </w:r>
      <w:r w:rsidR="00432EEB" w:rsidRPr="003416C0">
        <w:rPr>
          <w:rFonts w:ascii="Arial" w:eastAsiaTheme="majorEastAsia" w:hAnsi="Arial" w:cs="Arial"/>
        </w:rPr>
        <w:t xml:space="preserve">commence </w:t>
      </w:r>
      <w:r w:rsidR="00432EEB">
        <w:rPr>
          <w:rFonts w:ascii="Arial" w:eastAsiaTheme="majorEastAsia" w:hAnsi="Arial" w:cs="Arial"/>
        </w:rPr>
        <w:t xml:space="preserve">on </w:t>
      </w:r>
      <w:proofErr w:type="gramStart"/>
      <w:r w:rsidR="00432EEB">
        <w:rPr>
          <w:rFonts w:ascii="Arial" w:eastAsiaTheme="majorEastAsia" w:hAnsi="Arial" w:cs="Arial"/>
        </w:rPr>
        <w:t>1</w:t>
      </w:r>
      <w:r w:rsidR="00432EEB" w:rsidRPr="003416C0">
        <w:rPr>
          <w:rFonts w:ascii="Arial" w:eastAsiaTheme="majorEastAsia" w:hAnsi="Arial" w:cs="Arial"/>
        </w:rPr>
        <w:t xml:space="preserve"> April 2025</w:t>
      </w:r>
      <w:r w:rsidR="00432EEB" w:rsidRPr="3B5FAD2A">
        <w:rPr>
          <w:rFonts w:ascii="Arial" w:eastAsiaTheme="majorEastAsia" w:hAnsi="Arial" w:cs="Arial"/>
        </w:rPr>
        <w:t>,</w:t>
      </w:r>
      <w:r w:rsidR="00432EEB" w:rsidRPr="003416C0">
        <w:rPr>
          <w:rFonts w:ascii="Arial" w:eastAsiaTheme="majorEastAsia" w:hAnsi="Arial" w:cs="Arial"/>
        </w:rPr>
        <w:t xml:space="preserve"> </w:t>
      </w:r>
      <w:r w:rsidR="00D34C28">
        <w:rPr>
          <w:rFonts w:ascii="Arial" w:eastAsiaTheme="majorEastAsia" w:hAnsi="Arial" w:cs="Arial"/>
        </w:rPr>
        <w:t>and</w:t>
      </w:r>
      <w:proofErr w:type="gramEnd"/>
      <w:r w:rsidR="00D34C28">
        <w:rPr>
          <w:rFonts w:ascii="Arial" w:eastAsiaTheme="majorEastAsia" w:hAnsi="Arial" w:cs="Arial"/>
        </w:rPr>
        <w:t xml:space="preserve"> have </w:t>
      </w:r>
      <w:r w:rsidR="00432EEB">
        <w:rPr>
          <w:rFonts w:ascii="Arial" w:eastAsiaTheme="majorEastAsia" w:hAnsi="Arial" w:cs="Arial"/>
        </w:rPr>
        <w:t xml:space="preserve">a </w:t>
      </w:r>
      <w:r w:rsidR="00432EEB" w:rsidRPr="003416C0">
        <w:rPr>
          <w:rFonts w:ascii="Arial" w:eastAsiaTheme="majorEastAsia" w:hAnsi="Arial" w:cs="Arial"/>
        </w:rPr>
        <w:t>5-year duration</w:t>
      </w:r>
      <w:r w:rsidR="00432EEB" w:rsidRPr="682BE56F">
        <w:rPr>
          <w:rFonts w:ascii="Arial" w:eastAsiaTheme="majorEastAsia" w:hAnsi="Arial" w:cs="Arial"/>
        </w:rPr>
        <w:t xml:space="preserve"> </w:t>
      </w:r>
      <w:r w:rsidR="00D34C28">
        <w:rPr>
          <w:rFonts w:ascii="Arial" w:eastAsiaTheme="majorEastAsia" w:hAnsi="Arial" w:cs="Arial"/>
        </w:rPr>
        <w:t xml:space="preserve">with </w:t>
      </w:r>
      <w:r w:rsidR="00432EEB" w:rsidRPr="003416C0">
        <w:rPr>
          <w:rFonts w:ascii="Arial" w:eastAsiaTheme="majorEastAsia" w:hAnsi="Arial" w:cs="Arial"/>
        </w:rPr>
        <w:t>the option of a 2-year extension</w:t>
      </w:r>
      <w:r w:rsidR="0016666B">
        <w:rPr>
          <w:rFonts w:ascii="Arial" w:eastAsiaTheme="majorEastAsia" w:hAnsi="Arial" w:cs="Arial"/>
        </w:rPr>
        <w:t xml:space="preserve">. It has an </w:t>
      </w:r>
      <w:r w:rsidR="00432EEB">
        <w:rPr>
          <w:rFonts w:ascii="Arial" w:eastAsiaTheme="majorEastAsia" w:hAnsi="Arial" w:cs="Arial"/>
        </w:rPr>
        <w:t xml:space="preserve">indicative </w:t>
      </w:r>
      <w:r w:rsidR="00432EEB" w:rsidRPr="003416C0">
        <w:rPr>
          <w:rFonts w:ascii="Arial" w:eastAsiaTheme="majorEastAsia" w:hAnsi="Arial" w:cs="Arial"/>
        </w:rPr>
        <w:t xml:space="preserve">value of </w:t>
      </w:r>
      <w:r w:rsidR="00432EEB">
        <w:rPr>
          <w:rFonts w:ascii="Arial" w:eastAsiaTheme="majorEastAsia" w:hAnsi="Arial" w:cs="Arial"/>
        </w:rPr>
        <w:t>£28</w:t>
      </w:r>
      <w:r w:rsidR="000A6D93">
        <w:rPr>
          <w:rFonts w:ascii="Arial" w:eastAsiaTheme="majorEastAsia" w:hAnsi="Arial" w:cs="Arial"/>
        </w:rPr>
        <w:t xml:space="preserve"> million </w:t>
      </w:r>
      <w:r w:rsidR="00432EEB">
        <w:rPr>
          <w:rFonts w:ascii="Arial" w:eastAsiaTheme="majorEastAsia" w:hAnsi="Arial" w:cs="Arial"/>
        </w:rPr>
        <w:t xml:space="preserve">across the </w:t>
      </w:r>
      <w:r w:rsidR="008A1E57">
        <w:rPr>
          <w:rFonts w:ascii="Arial" w:eastAsiaTheme="majorEastAsia" w:hAnsi="Arial" w:cs="Arial"/>
        </w:rPr>
        <w:t xml:space="preserve">full </w:t>
      </w:r>
      <w:r w:rsidR="00432EEB">
        <w:rPr>
          <w:rFonts w:ascii="Arial" w:eastAsiaTheme="majorEastAsia" w:hAnsi="Arial" w:cs="Arial"/>
        </w:rPr>
        <w:t xml:space="preserve">term </w:t>
      </w:r>
      <w:r w:rsidR="00806573">
        <w:rPr>
          <w:rFonts w:ascii="Arial" w:eastAsiaTheme="majorEastAsia" w:hAnsi="Arial" w:cs="Arial"/>
        </w:rPr>
        <w:t>(</w:t>
      </w:r>
      <w:r w:rsidR="00432EEB">
        <w:rPr>
          <w:rFonts w:ascii="Arial" w:eastAsiaTheme="majorEastAsia" w:hAnsi="Arial" w:cs="Arial"/>
        </w:rPr>
        <w:t xml:space="preserve">including </w:t>
      </w:r>
      <w:r w:rsidR="00806573">
        <w:rPr>
          <w:rFonts w:ascii="Arial" w:eastAsiaTheme="majorEastAsia" w:hAnsi="Arial" w:cs="Arial"/>
        </w:rPr>
        <w:t xml:space="preserve">the 2-year </w:t>
      </w:r>
      <w:r w:rsidR="00432EEB">
        <w:rPr>
          <w:rFonts w:ascii="Arial" w:eastAsiaTheme="majorEastAsia" w:hAnsi="Arial" w:cs="Arial"/>
        </w:rPr>
        <w:t>extension</w:t>
      </w:r>
      <w:r w:rsidR="00806573">
        <w:rPr>
          <w:rFonts w:ascii="Arial" w:eastAsiaTheme="majorEastAsia" w:hAnsi="Arial" w:cs="Arial"/>
        </w:rPr>
        <w:t>)</w:t>
      </w:r>
      <w:r w:rsidR="00432EEB">
        <w:rPr>
          <w:rFonts w:ascii="Arial" w:eastAsiaTheme="majorEastAsia" w:hAnsi="Arial" w:cs="Arial"/>
        </w:rPr>
        <w:t>.</w:t>
      </w:r>
      <w:r w:rsidR="00C721F1">
        <w:rPr>
          <w:rStyle w:val="FootnoteReference"/>
          <w:rFonts w:ascii="Arial" w:eastAsiaTheme="majorEastAsia" w:hAnsi="Arial" w:cs="Arial"/>
        </w:rPr>
        <w:footnoteReference w:id="11"/>
      </w:r>
    </w:p>
    <w:p w14:paraId="03150A61" w14:textId="1C63D499" w:rsidR="001F4F81" w:rsidRPr="0016562E" w:rsidRDefault="00760B9A" w:rsidP="0016562E">
      <w:pPr>
        <w:pStyle w:val="ListParagraph"/>
        <w:numPr>
          <w:ilvl w:val="0"/>
          <w:numId w:val="2"/>
        </w:numPr>
        <w:spacing w:line="276" w:lineRule="auto"/>
        <w:ind w:left="567" w:hanging="567"/>
        <w:contextualSpacing w:val="0"/>
        <w:rPr>
          <w:rFonts w:ascii="Arial" w:eastAsiaTheme="majorEastAsia" w:hAnsi="Arial" w:cs="Arial"/>
        </w:rPr>
      </w:pPr>
      <w:r w:rsidRPr="0016562E">
        <w:rPr>
          <w:rFonts w:ascii="Arial" w:eastAsiaTheme="majorEastAsia" w:hAnsi="Arial" w:cs="Arial"/>
        </w:rPr>
        <w:t xml:space="preserve">On </w:t>
      </w:r>
      <w:r w:rsidR="00CD5744" w:rsidRPr="0016562E">
        <w:rPr>
          <w:rFonts w:ascii="Arial" w:eastAsiaTheme="majorEastAsia" w:hAnsi="Arial" w:cs="Arial"/>
        </w:rPr>
        <w:t>5 August</w:t>
      </w:r>
      <w:r w:rsidR="00725111" w:rsidRPr="0016562E">
        <w:rPr>
          <w:rFonts w:ascii="Arial" w:eastAsiaTheme="majorEastAsia" w:hAnsi="Arial" w:cs="Arial"/>
        </w:rPr>
        <w:t xml:space="preserve"> 2024</w:t>
      </w:r>
      <w:r w:rsidR="00806573" w:rsidRPr="0016562E">
        <w:rPr>
          <w:rFonts w:ascii="Arial" w:eastAsiaTheme="majorEastAsia" w:hAnsi="Arial" w:cs="Arial"/>
        </w:rPr>
        <w:t>,</w:t>
      </w:r>
      <w:r w:rsidR="0035625B" w:rsidRPr="0016562E">
        <w:rPr>
          <w:rFonts w:ascii="Arial" w:eastAsiaTheme="majorEastAsia" w:hAnsi="Arial" w:cs="Arial"/>
        </w:rPr>
        <w:t xml:space="preserve"> </w:t>
      </w:r>
      <w:r w:rsidR="00E836A8" w:rsidRPr="0016562E">
        <w:rPr>
          <w:rFonts w:ascii="Arial" w:eastAsiaTheme="majorEastAsia" w:hAnsi="Arial" w:cs="Arial"/>
        </w:rPr>
        <w:t>the</w:t>
      </w:r>
      <w:r w:rsidR="0035625B" w:rsidRPr="0016562E">
        <w:rPr>
          <w:rFonts w:ascii="Arial" w:eastAsiaTheme="majorEastAsia" w:hAnsi="Arial" w:cs="Arial"/>
        </w:rPr>
        <w:t xml:space="preserve"> Council published a Contract Notice</w:t>
      </w:r>
      <w:r w:rsidR="00184E41" w:rsidRPr="0016562E">
        <w:rPr>
          <w:rFonts w:ascii="Arial" w:eastAsiaTheme="majorEastAsia" w:hAnsi="Arial" w:cs="Arial"/>
        </w:rPr>
        <w:t xml:space="preserve"> on FTS</w:t>
      </w:r>
      <w:r w:rsidR="003459C7" w:rsidRPr="0016562E">
        <w:rPr>
          <w:rFonts w:ascii="Arial" w:eastAsiaTheme="majorEastAsia" w:hAnsi="Arial" w:cs="Arial"/>
        </w:rPr>
        <w:t xml:space="preserve"> </w:t>
      </w:r>
      <w:r w:rsidR="00B02C84" w:rsidRPr="0016562E">
        <w:rPr>
          <w:rFonts w:ascii="Arial" w:eastAsiaTheme="majorEastAsia" w:hAnsi="Arial" w:cs="Arial"/>
        </w:rPr>
        <w:t xml:space="preserve">inviting </w:t>
      </w:r>
      <w:r w:rsidR="00DE4485" w:rsidRPr="0016562E">
        <w:rPr>
          <w:rFonts w:ascii="Arial" w:eastAsiaTheme="majorEastAsia" w:hAnsi="Arial" w:cs="Arial"/>
        </w:rPr>
        <w:t>providers</w:t>
      </w:r>
      <w:r w:rsidR="00B02C84" w:rsidRPr="0016562E">
        <w:rPr>
          <w:rFonts w:ascii="Arial" w:eastAsiaTheme="majorEastAsia" w:hAnsi="Arial" w:cs="Arial"/>
        </w:rPr>
        <w:t xml:space="preserve"> </w:t>
      </w:r>
      <w:r w:rsidR="002528FC" w:rsidRPr="0016562E">
        <w:rPr>
          <w:rFonts w:ascii="Arial" w:eastAsiaTheme="majorEastAsia" w:hAnsi="Arial" w:cs="Arial"/>
        </w:rPr>
        <w:t>to participate</w:t>
      </w:r>
      <w:r w:rsidR="00BE44D5" w:rsidRPr="0016562E">
        <w:rPr>
          <w:rFonts w:ascii="Arial" w:eastAsiaTheme="majorEastAsia" w:hAnsi="Arial" w:cs="Arial"/>
        </w:rPr>
        <w:t xml:space="preserve"> in </w:t>
      </w:r>
      <w:r w:rsidR="6A224462" w:rsidRPr="0016562E">
        <w:rPr>
          <w:rFonts w:ascii="Arial" w:eastAsiaTheme="majorEastAsia" w:hAnsi="Arial" w:cs="Arial"/>
        </w:rPr>
        <w:t>S</w:t>
      </w:r>
      <w:r w:rsidR="00380A61" w:rsidRPr="0016562E">
        <w:rPr>
          <w:rFonts w:ascii="Arial" w:eastAsiaTheme="majorEastAsia" w:hAnsi="Arial" w:cs="Arial"/>
        </w:rPr>
        <w:t xml:space="preserve">tage </w:t>
      </w:r>
      <w:r w:rsidR="48A0E0C6" w:rsidRPr="0016562E">
        <w:rPr>
          <w:rFonts w:ascii="Arial" w:eastAsiaTheme="majorEastAsia" w:hAnsi="Arial" w:cs="Arial"/>
        </w:rPr>
        <w:t>1</w:t>
      </w:r>
      <w:r w:rsidR="00380A61" w:rsidRPr="0016562E">
        <w:rPr>
          <w:rFonts w:ascii="Arial" w:eastAsiaTheme="majorEastAsia" w:hAnsi="Arial" w:cs="Arial"/>
        </w:rPr>
        <w:t xml:space="preserve"> of </w:t>
      </w:r>
      <w:r w:rsidR="00BE44D5" w:rsidRPr="0016562E">
        <w:rPr>
          <w:rFonts w:ascii="Arial" w:eastAsiaTheme="majorEastAsia" w:hAnsi="Arial" w:cs="Arial"/>
        </w:rPr>
        <w:t>t</w:t>
      </w:r>
      <w:r w:rsidRPr="0016562E" w:rsidDel="00BE44D5">
        <w:rPr>
          <w:rFonts w:ascii="Arial" w:eastAsiaTheme="majorEastAsia" w:hAnsi="Arial" w:cs="Arial"/>
        </w:rPr>
        <w:t>h</w:t>
      </w:r>
      <w:r w:rsidR="00BE44D5" w:rsidRPr="0016562E">
        <w:rPr>
          <w:rFonts w:ascii="Arial" w:eastAsiaTheme="majorEastAsia" w:hAnsi="Arial" w:cs="Arial"/>
        </w:rPr>
        <w:t>e</w:t>
      </w:r>
      <w:r w:rsidR="00E836A8" w:rsidRPr="0016562E">
        <w:rPr>
          <w:rFonts w:ascii="Arial" w:eastAsiaTheme="majorEastAsia" w:hAnsi="Arial" w:cs="Arial"/>
        </w:rPr>
        <w:t xml:space="preserve"> </w:t>
      </w:r>
      <w:r w:rsidR="00B969BB" w:rsidRPr="0016562E">
        <w:rPr>
          <w:rFonts w:ascii="Arial" w:eastAsiaTheme="majorEastAsia" w:hAnsi="Arial" w:cs="Arial"/>
        </w:rPr>
        <w:t>competitive process</w:t>
      </w:r>
      <w:r w:rsidR="002528FC" w:rsidRPr="0016562E">
        <w:rPr>
          <w:rFonts w:ascii="Arial" w:eastAsiaTheme="majorEastAsia" w:hAnsi="Arial" w:cs="Arial"/>
        </w:rPr>
        <w:t xml:space="preserve"> </w:t>
      </w:r>
      <w:r w:rsidR="00933172" w:rsidRPr="0016562E">
        <w:rPr>
          <w:rFonts w:ascii="Arial" w:eastAsiaTheme="majorEastAsia" w:hAnsi="Arial" w:cs="Arial"/>
        </w:rPr>
        <w:t xml:space="preserve">by </w:t>
      </w:r>
      <w:r w:rsidR="0081522C" w:rsidRPr="0016562E">
        <w:rPr>
          <w:rFonts w:ascii="Arial" w:eastAsiaTheme="majorEastAsia" w:hAnsi="Arial" w:cs="Arial"/>
        </w:rPr>
        <w:t xml:space="preserve">responding to </w:t>
      </w:r>
      <w:r w:rsidR="00933172" w:rsidRPr="0016562E">
        <w:rPr>
          <w:rFonts w:ascii="Arial" w:eastAsiaTheme="majorEastAsia" w:hAnsi="Arial" w:cs="Arial"/>
        </w:rPr>
        <w:t xml:space="preserve">a </w:t>
      </w:r>
      <w:r w:rsidR="00C97E43" w:rsidRPr="0016562E">
        <w:rPr>
          <w:rFonts w:ascii="Arial" w:eastAsiaTheme="majorEastAsia" w:hAnsi="Arial" w:cs="Arial"/>
        </w:rPr>
        <w:t xml:space="preserve">Standard </w:t>
      </w:r>
      <w:r w:rsidR="00933172" w:rsidRPr="0016562E">
        <w:rPr>
          <w:rFonts w:ascii="Arial" w:eastAsiaTheme="majorEastAsia" w:hAnsi="Arial" w:cs="Arial"/>
        </w:rPr>
        <w:t>Selection Questionnaire</w:t>
      </w:r>
      <w:r w:rsidR="00C97E43" w:rsidRPr="0016562E">
        <w:rPr>
          <w:rFonts w:ascii="Arial" w:eastAsiaTheme="majorEastAsia" w:hAnsi="Arial" w:cs="Arial"/>
        </w:rPr>
        <w:t xml:space="preserve"> (SQ)</w:t>
      </w:r>
      <w:r w:rsidR="00A9234E" w:rsidRPr="0016562E">
        <w:rPr>
          <w:rFonts w:ascii="Arial" w:eastAsiaTheme="majorEastAsia" w:hAnsi="Arial" w:cs="Arial"/>
        </w:rPr>
        <w:t xml:space="preserve"> that </w:t>
      </w:r>
      <w:r w:rsidR="009961AC">
        <w:rPr>
          <w:rFonts w:ascii="Arial" w:eastAsiaTheme="majorEastAsia" w:hAnsi="Arial" w:cs="Arial"/>
        </w:rPr>
        <w:t xml:space="preserve">it </w:t>
      </w:r>
      <w:r w:rsidR="00A9234E" w:rsidRPr="0016562E">
        <w:rPr>
          <w:rFonts w:ascii="Arial" w:eastAsiaTheme="majorEastAsia" w:hAnsi="Arial" w:cs="Arial"/>
        </w:rPr>
        <w:t>would use to evaluate</w:t>
      </w:r>
      <w:r w:rsidR="00A9234E" w:rsidRPr="0016562E">
        <w:rPr>
          <w:rFonts w:ascii="Arial" w:hAnsi="Arial" w:cs="Arial"/>
        </w:rPr>
        <w:t xml:space="preserve"> applicants against the basic selection criteria. </w:t>
      </w:r>
      <w:r w:rsidR="00895594" w:rsidRPr="0016562E">
        <w:rPr>
          <w:rFonts w:ascii="Arial" w:eastAsiaTheme="majorEastAsia" w:hAnsi="Arial" w:cs="Arial"/>
        </w:rPr>
        <w:t xml:space="preserve">The five highest scoring applicants who met the SQ’s requirements would be invited to take part in Stage 2 of the competitive process. </w:t>
      </w:r>
      <w:r w:rsidR="009A58B4" w:rsidRPr="0016562E">
        <w:rPr>
          <w:rFonts w:ascii="Arial" w:hAnsi="Arial" w:cs="Arial"/>
        </w:rPr>
        <w:t>The</w:t>
      </w:r>
      <w:r w:rsidR="00726087" w:rsidRPr="0016562E">
        <w:rPr>
          <w:rFonts w:ascii="Arial" w:hAnsi="Arial" w:cs="Arial"/>
        </w:rPr>
        <w:t xml:space="preserve"> Stage 1</w:t>
      </w:r>
      <w:r w:rsidR="009A58B4" w:rsidRPr="0016562E">
        <w:rPr>
          <w:rFonts w:ascii="Arial" w:hAnsi="Arial" w:cs="Arial"/>
        </w:rPr>
        <w:t xml:space="preserve"> </w:t>
      </w:r>
      <w:r w:rsidR="00DF686A" w:rsidRPr="0016562E">
        <w:rPr>
          <w:rFonts w:ascii="Arial" w:hAnsi="Arial" w:cs="Arial"/>
        </w:rPr>
        <w:t>Invitation to Tender</w:t>
      </w:r>
      <w:r w:rsidR="009A58B4" w:rsidRPr="0016562E">
        <w:rPr>
          <w:rFonts w:ascii="Arial" w:hAnsi="Arial" w:cs="Arial"/>
        </w:rPr>
        <w:t xml:space="preserve"> (ITT)</w:t>
      </w:r>
      <w:r w:rsidR="00DF686A" w:rsidRPr="0016562E">
        <w:rPr>
          <w:rFonts w:ascii="Arial" w:hAnsi="Arial" w:cs="Arial"/>
        </w:rPr>
        <w:t xml:space="preserve"> documentation, including t</w:t>
      </w:r>
      <w:r w:rsidR="00933172" w:rsidRPr="0016562E">
        <w:rPr>
          <w:rFonts w:ascii="Arial" w:hAnsi="Arial" w:cs="Arial"/>
        </w:rPr>
        <w:t>he</w:t>
      </w:r>
      <w:r w:rsidR="003459C7" w:rsidRPr="0016562E">
        <w:rPr>
          <w:rFonts w:ascii="Arial" w:eastAsiaTheme="majorEastAsia" w:hAnsi="Arial" w:cs="Arial"/>
        </w:rPr>
        <w:t xml:space="preserve"> </w:t>
      </w:r>
      <w:r w:rsidR="00DE4485" w:rsidRPr="0016562E">
        <w:rPr>
          <w:rFonts w:ascii="Arial" w:eastAsiaTheme="majorEastAsia" w:hAnsi="Arial" w:cs="Arial"/>
        </w:rPr>
        <w:t>SQ</w:t>
      </w:r>
      <w:r w:rsidR="008F51CA" w:rsidRPr="0016562E">
        <w:rPr>
          <w:rFonts w:ascii="Arial" w:hAnsi="Arial" w:cs="Arial"/>
        </w:rPr>
        <w:t xml:space="preserve">, </w:t>
      </w:r>
      <w:r w:rsidR="00BE44D5" w:rsidRPr="0016562E">
        <w:rPr>
          <w:rFonts w:ascii="Arial" w:hAnsi="Arial" w:cs="Arial"/>
        </w:rPr>
        <w:t xml:space="preserve">was made available </w:t>
      </w:r>
      <w:r w:rsidR="0035625B" w:rsidRPr="0016562E">
        <w:rPr>
          <w:rFonts w:ascii="Arial" w:hAnsi="Arial" w:cs="Arial"/>
        </w:rPr>
        <w:t xml:space="preserve">via the </w:t>
      </w:r>
      <w:r w:rsidR="00895594">
        <w:rPr>
          <w:rFonts w:ascii="Arial" w:hAnsi="Arial" w:cs="Arial"/>
        </w:rPr>
        <w:t xml:space="preserve">Council’s </w:t>
      </w:r>
      <w:r w:rsidR="0035625B" w:rsidRPr="0016562E">
        <w:rPr>
          <w:rFonts w:ascii="Arial" w:eastAsiaTheme="majorEastAsia" w:hAnsi="Arial" w:cs="Arial"/>
        </w:rPr>
        <w:t xml:space="preserve">procurement portal, </w:t>
      </w:r>
      <w:proofErr w:type="spellStart"/>
      <w:r w:rsidR="0035625B" w:rsidRPr="0016562E">
        <w:rPr>
          <w:rFonts w:ascii="Arial" w:eastAsiaTheme="majorEastAsia" w:hAnsi="Arial" w:cs="Arial"/>
        </w:rPr>
        <w:t>ProContrac</w:t>
      </w:r>
      <w:r w:rsidR="00067C0E" w:rsidRPr="0016562E">
        <w:rPr>
          <w:rFonts w:ascii="Arial" w:eastAsiaTheme="majorEastAsia" w:hAnsi="Arial" w:cs="Arial"/>
        </w:rPr>
        <w:t>t</w:t>
      </w:r>
      <w:proofErr w:type="spellEnd"/>
      <w:r w:rsidR="00BE44D5" w:rsidRPr="0016562E">
        <w:rPr>
          <w:rFonts w:ascii="Arial" w:eastAsiaTheme="majorEastAsia" w:hAnsi="Arial" w:cs="Arial"/>
        </w:rPr>
        <w:t>.</w:t>
      </w:r>
    </w:p>
    <w:p w14:paraId="092E468E" w14:textId="79BA7695" w:rsidR="002E05C1" w:rsidRPr="00A231BA" w:rsidRDefault="002054AE" w:rsidP="00141CCE">
      <w:pPr>
        <w:pStyle w:val="ListParagraph"/>
        <w:numPr>
          <w:ilvl w:val="0"/>
          <w:numId w:val="2"/>
        </w:numPr>
        <w:spacing w:line="276" w:lineRule="auto"/>
        <w:ind w:left="567" w:hanging="567"/>
        <w:contextualSpacing w:val="0"/>
        <w:rPr>
          <w:rFonts w:ascii="Arial" w:eastAsiaTheme="majorEastAsia" w:hAnsi="Arial" w:cs="Arial"/>
        </w:rPr>
      </w:pPr>
      <w:r w:rsidRPr="00A231BA">
        <w:rPr>
          <w:rFonts w:ascii="Arial" w:eastAsiaTheme="majorEastAsia" w:hAnsi="Arial" w:cs="Arial"/>
        </w:rPr>
        <w:t xml:space="preserve">The Council received four </w:t>
      </w:r>
      <w:r w:rsidR="006A6B91" w:rsidRPr="00A231BA">
        <w:rPr>
          <w:rFonts w:ascii="Arial" w:eastAsiaTheme="majorEastAsia" w:hAnsi="Arial" w:cs="Arial"/>
        </w:rPr>
        <w:t xml:space="preserve">completed </w:t>
      </w:r>
      <w:r w:rsidR="00DE4485" w:rsidRPr="00A231BA">
        <w:rPr>
          <w:rFonts w:ascii="Arial" w:eastAsiaTheme="majorEastAsia" w:hAnsi="Arial" w:cs="Arial"/>
        </w:rPr>
        <w:t>SQs</w:t>
      </w:r>
      <w:r w:rsidR="42726911" w:rsidRPr="00A231BA">
        <w:rPr>
          <w:rFonts w:ascii="Arial" w:eastAsiaTheme="majorEastAsia" w:hAnsi="Arial" w:cs="Arial"/>
        </w:rPr>
        <w:t>,</w:t>
      </w:r>
      <w:r w:rsidR="006A6B91" w:rsidRPr="00A231BA">
        <w:rPr>
          <w:rFonts w:ascii="Arial" w:eastAsiaTheme="majorEastAsia" w:hAnsi="Arial" w:cs="Arial"/>
        </w:rPr>
        <w:t xml:space="preserve"> </w:t>
      </w:r>
      <w:r w:rsidR="00341941" w:rsidRPr="00A231BA">
        <w:rPr>
          <w:rFonts w:ascii="Arial" w:eastAsiaTheme="majorEastAsia" w:hAnsi="Arial" w:cs="Arial"/>
        </w:rPr>
        <w:t>which were assessed</w:t>
      </w:r>
      <w:r w:rsidR="00DE475E" w:rsidRPr="00A231BA">
        <w:rPr>
          <w:rFonts w:ascii="Arial" w:eastAsiaTheme="majorEastAsia" w:hAnsi="Arial" w:cs="Arial"/>
        </w:rPr>
        <w:t xml:space="preserve"> by </w:t>
      </w:r>
      <w:r w:rsidR="0040088C" w:rsidRPr="00A231BA">
        <w:rPr>
          <w:rFonts w:ascii="Arial" w:eastAsiaTheme="majorEastAsia" w:hAnsi="Arial" w:cs="Arial"/>
        </w:rPr>
        <w:t xml:space="preserve">an evaluation panel </w:t>
      </w:r>
      <w:r w:rsidR="009C0446" w:rsidRPr="00A231BA">
        <w:rPr>
          <w:rFonts w:ascii="Arial" w:eastAsiaTheme="majorEastAsia" w:hAnsi="Arial" w:cs="Arial"/>
        </w:rPr>
        <w:t>between 2</w:t>
      </w:r>
      <w:r w:rsidR="00E02D68" w:rsidRPr="00A231BA">
        <w:rPr>
          <w:rFonts w:ascii="Arial" w:eastAsiaTheme="majorEastAsia" w:hAnsi="Arial" w:cs="Arial"/>
        </w:rPr>
        <w:t>7</w:t>
      </w:r>
      <w:r w:rsidR="009C0446" w:rsidRPr="00A231BA">
        <w:rPr>
          <w:rFonts w:ascii="Arial" w:eastAsiaTheme="majorEastAsia" w:hAnsi="Arial" w:cs="Arial"/>
        </w:rPr>
        <w:t xml:space="preserve"> August and </w:t>
      </w:r>
      <w:r w:rsidR="006A6B91" w:rsidRPr="00A231BA">
        <w:rPr>
          <w:rFonts w:ascii="Arial" w:eastAsiaTheme="majorEastAsia" w:hAnsi="Arial" w:cs="Arial"/>
        </w:rPr>
        <w:t xml:space="preserve">6 </w:t>
      </w:r>
      <w:r w:rsidR="00E02D68" w:rsidRPr="00A231BA">
        <w:rPr>
          <w:rFonts w:ascii="Arial" w:eastAsiaTheme="majorEastAsia" w:hAnsi="Arial" w:cs="Arial"/>
        </w:rPr>
        <w:t>September 2024.</w:t>
      </w:r>
      <w:r w:rsidR="00117524" w:rsidRPr="00A231BA">
        <w:rPr>
          <w:rFonts w:ascii="Arial" w:eastAsiaTheme="majorEastAsia" w:hAnsi="Arial" w:cs="Arial"/>
        </w:rPr>
        <w:t xml:space="preserve"> </w:t>
      </w:r>
      <w:r w:rsidR="00634B21" w:rsidRPr="00A231BA">
        <w:rPr>
          <w:rFonts w:ascii="Arial" w:eastAsiaTheme="majorEastAsia" w:hAnsi="Arial" w:cs="Arial"/>
        </w:rPr>
        <w:t>A</w:t>
      </w:r>
      <w:r w:rsidR="002067C4" w:rsidRPr="00A231BA">
        <w:rPr>
          <w:rFonts w:ascii="Arial" w:eastAsiaTheme="majorEastAsia" w:hAnsi="Arial" w:cs="Arial"/>
        </w:rPr>
        <w:t xml:space="preserve">ll four </w:t>
      </w:r>
      <w:r w:rsidR="00141CCE" w:rsidRPr="00A231BA">
        <w:rPr>
          <w:rFonts w:ascii="Arial" w:eastAsiaTheme="majorEastAsia" w:hAnsi="Arial" w:cs="Arial"/>
        </w:rPr>
        <w:t xml:space="preserve">bidders </w:t>
      </w:r>
      <w:r w:rsidR="00026D87" w:rsidRPr="00A231BA">
        <w:rPr>
          <w:rFonts w:ascii="Arial" w:eastAsiaTheme="majorEastAsia" w:hAnsi="Arial" w:cs="Arial"/>
        </w:rPr>
        <w:t>met the</w:t>
      </w:r>
      <w:r w:rsidR="00026D87" w:rsidRPr="00A231BA">
        <w:rPr>
          <w:rFonts w:ascii="Arial" w:hAnsi="Arial" w:cs="Arial"/>
        </w:rPr>
        <w:t xml:space="preserve"> </w:t>
      </w:r>
      <w:r w:rsidR="00465C56" w:rsidRPr="00A231BA">
        <w:rPr>
          <w:rFonts w:ascii="Arial" w:hAnsi="Arial" w:cs="Arial"/>
        </w:rPr>
        <w:t xml:space="preserve">requirements of the </w:t>
      </w:r>
      <w:r w:rsidR="006A6B91" w:rsidRPr="00A231BA">
        <w:rPr>
          <w:rFonts w:ascii="Arial" w:eastAsiaTheme="majorEastAsia" w:hAnsi="Arial" w:cs="Arial"/>
        </w:rPr>
        <w:t xml:space="preserve">basic selection </w:t>
      </w:r>
      <w:r w:rsidR="00C61CF1" w:rsidRPr="00A231BA">
        <w:rPr>
          <w:rFonts w:ascii="Arial" w:eastAsiaTheme="majorEastAsia" w:hAnsi="Arial" w:cs="Arial"/>
        </w:rPr>
        <w:t>criteria</w:t>
      </w:r>
      <w:r w:rsidR="002A0B60" w:rsidRPr="00A231BA">
        <w:rPr>
          <w:rFonts w:ascii="Arial" w:eastAsiaTheme="majorEastAsia" w:hAnsi="Arial" w:cs="Arial"/>
        </w:rPr>
        <w:t xml:space="preserve"> and were </w:t>
      </w:r>
      <w:r w:rsidR="00141CCE" w:rsidRPr="00A231BA">
        <w:rPr>
          <w:rFonts w:ascii="Arial" w:eastAsiaTheme="majorEastAsia" w:hAnsi="Arial" w:cs="Arial"/>
        </w:rPr>
        <w:t xml:space="preserve">invited </w:t>
      </w:r>
      <w:r w:rsidR="002A0B60" w:rsidRPr="00A231BA">
        <w:rPr>
          <w:rFonts w:ascii="Arial" w:eastAsiaTheme="majorEastAsia" w:hAnsi="Arial" w:cs="Arial"/>
        </w:rPr>
        <w:t>to proceed to Stage 2 of the competitive process</w:t>
      </w:r>
      <w:r w:rsidR="006A6B91" w:rsidRPr="00A231BA">
        <w:rPr>
          <w:rFonts w:ascii="Arial" w:eastAsiaTheme="majorEastAsia" w:hAnsi="Arial" w:cs="Arial"/>
        </w:rPr>
        <w:t>.</w:t>
      </w:r>
      <w:r w:rsidR="00141CCE" w:rsidRPr="00A231BA">
        <w:rPr>
          <w:rFonts w:ascii="Arial" w:eastAsiaTheme="majorEastAsia" w:hAnsi="Arial" w:cs="Arial"/>
        </w:rPr>
        <w:t xml:space="preserve"> </w:t>
      </w:r>
      <w:r w:rsidR="003D400A" w:rsidRPr="00A231BA">
        <w:rPr>
          <w:rFonts w:ascii="Arial" w:eastAsiaTheme="majorEastAsia" w:hAnsi="Arial" w:cs="Arial"/>
        </w:rPr>
        <w:t>The Stage 2 ITT documentation was issued o</w:t>
      </w:r>
      <w:r w:rsidR="00F23BA6" w:rsidRPr="00A231BA">
        <w:rPr>
          <w:rFonts w:ascii="Arial" w:eastAsiaTheme="majorEastAsia" w:hAnsi="Arial" w:cs="Arial"/>
        </w:rPr>
        <w:t xml:space="preserve">n 6 September </w:t>
      </w:r>
      <w:r w:rsidR="00C23411">
        <w:rPr>
          <w:rFonts w:ascii="Arial" w:eastAsiaTheme="majorEastAsia" w:hAnsi="Arial" w:cs="Arial"/>
        </w:rPr>
        <w:t xml:space="preserve">2024 </w:t>
      </w:r>
      <w:r w:rsidR="003D400A" w:rsidRPr="00A231BA">
        <w:rPr>
          <w:rFonts w:ascii="Arial" w:eastAsiaTheme="majorEastAsia" w:hAnsi="Arial" w:cs="Arial"/>
        </w:rPr>
        <w:t xml:space="preserve">with </w:t>
      </w:r>
      <w:r w:rsidR="00F23BA6" w:rsidRPr="00A231BA">
        <w:rPr>
          <w:rFonts w:ascii="Arial" w:eastAsiaTheme="majorEastAsia" w:hAnsi="Arial" w:cs="Arial"/>
        </w:rPr>
        <w:t xml:space="preserve">responses </w:t>
      </w:r>
      <w:r w:rsidR="003D400A" w:rsidRPr="00A231BA">
        <w:rPr>
          <w:rFonts w:ascii="Arial" w:eastAsiaTheme="majorEastAsia" w:hAnsi="Arial" w:cs="Arial"/>
        </w:rPr>
        <w:t xml:space="preserve">due </w:t>
      </w:r>
      <w:r w:rsidR="00F23BA6" w:rsidRPr="00A231BA">
        <w:rPr>
          <w:rFonts w:ascii="Arial" w:eastAsiaTheme="majorEastAsia" w:hAnsi="Arial" w:cs="Arial"/>
        </w:rPr>
        <w:t>by 12 noon on 4 October</w:t>
      </w:r>
      <w:r w:rsidR="00C23411">
        <w:rPr>
          <w:rFonts w:ascii="Arial" w:eastAsiaTheme="majorEastAsia" w:hAnsi="Arial" w:cs="Arial"/>
        </w:rPr>
        <w:t xml:space="preserve"> 2024</w:t>
      </w:r>
      <w:r w:rsidR="00F23BA6" w:rsidRPr="00A231BA">
        <w:rPr>
          <w:rFonts w:ascii="Arial" w:eastAsiaTheme="majorEastAsia" w:hAnsi="Arial" w:cs="Arial"/>
        </w:rPr>
        <w:t>.</w:t>
      </w:r>
      <w:r w:rsidR="00771852" w:rsidRPr="00A231BA">
        <w:rPr>
          <w:rFonts w:ascii="Arial" w:eastAsiaTheme="majorEastAsia" w:hAnsi="Arial" w:cs="Arial"/>
        </w:rPr>
        <w:t xml:space="preserve"> </w:t>
      </w:r>
      <w:r w:rsidR="003D400A" w:rsidRPr="00A231BA">
        <w:rPr>
          <w:rFonts w:ascii="Arial" w:eastAsiaTheme="majorEastAsia" w:hAnsi="Arial" w:cs="Arial"/>
        </w:rPr>
        <w:t>All four bidd</w:t>
      </w:r>
      <w:r w:rsidR="00537B8D" w:rsidRPr="00A231BA">
        <w:rPr>
          <w:rFonts w:ascii="Arial" w:eastAsiaTheme="majorEastAsia" w:hAnsi="Arial" w:cs="Arial"/>
        </w:rPr>
        <w:t xml:space="preserve">ers submitted </w:t>
      </w:r>
      <w:r w:rsidR="00771852" w:rsidRPr="00A231BA">
        <w:rPr>
          <w:rFonts w:ascii="Arial" w:eastAsiaTheme="majorEastAsia" w:hAnsi="Arial" w:cs="Arial"/>
        </w:rPr>
        <w:t>responses</w:t>
      </w:r>
      <w:r w:rsidR="00CF7470" w:rsidRPr="00A231BA">
        <w:rPr>
          <w:rFonts w:ascii="Arial" w:eastAsiaTheme="majorEastAsia" w:hAnsi="Arial" w:cs="Arial"/>
        </w:rPr>
        <w:t xml:space="preserve">, including DHI and </w:t>
      </w:r>
      <w:r w:rsidR="00537B8D" w:rsidRPr="00A231BA">
        <w:rPr>
          <w:rFonts w:ascii="Arial" w:eastAsiaTheme="majorEastAsia" w:hAnsi="Arial" w:cs="Arial"/>
        </w:rPr>
        <w:t xml:space="preserve">the </w:t>
      </w:r>
      <w:r w:rsidR="005B47BE" w:rsidRPr="00A231BA">
        <w:rPr>
          <w:rFonts w:ascii="Arial" w:eastAsiaTheme="majorEastAsia" w:hAnsi="Arial" w:cs="Arial"/>
        </w:rPr>
        <w:t>successful</w:t>
      </w:r>
      <w:r w:rsidR="00537B8D" w:rsidRPr="00A231BA">
        <w:rPr>
          <w:rFonts w:ascii="Arial" w:eastAsiaTheme="majorEastAsia" w:hAnsi="Arial" w:cs="Arial"/>
        </w:rPr>
        <w:t xml:space="preserve"> bidder, </w:t>
      </w:r>
      <w:r w:rsidR="00CF7470" w:rsidRPr="00A231BA">
        <w:rPr>
          <w:rFonts w:ascii="Arial" w:eastAsiaTheme="majorEastAsia" w:hAnsi="Arial" w:cs="Arial"/>
        </w:rPr>
        <w:t>Turning Point Services (TPS</w:t>
      </w:r>
      <w:r w:rsidR="00537B8D" w:rsidRPr="00A231BA">
        <w:rPr>
          <w:rFonts w:ascii="Arial" w:eastAsiaTheme="majorEastAsia" w:hAnsi="Arial" w:cs="Arial"/>
        </w:rPr>
        <w:t>)</w:t>
      </w:r>
      <w:r w:rsidR="0017098A" w:rsidRPr="00A231BA">
        <w:rPr>
          <w:rFonts w:ascii="Arial" w:eastAsiaTheme="majorEastAsia" w:hAnsi="Arial" w:cs="Arial"/>
        </w:rPr>
        <w:t>.</w:t>
      </w:r>
      <w:r w:rsidR="00725926" w:rsidRPr="007F0A58">
        <w:rPr>
          <w:rFonts w:ascii="Arial" w:hAnsi="Arial" w:cs="Arial"/>
          <w:vertAlign w:val="superscript"/>
        </w:rPr>
        <w:footnoteReference w:id="12"/>
      </w:r>
    </w:p>
    <w:p w14:paraId="425E1CD9" w14:textId="6780A47C" w:rsidR="006427BC" w:rsidRPr="006D5D36" w:rsidRDefault="005D4BE2" w:rsidP="000A6D93">
      <w:pPr>
        <w:pStyle w:val="ListParagraph"/>
        <w:numPr>
          <w:ilvl w:val="0"/>
          <w:numId w:val="2"/>
        </w:numPr>
        <w:spacing w:line="276" w:lineRule="auto"/>
        <w:ind w:left="567" w:hanging="567"/>
        <w:contextualSpacing w:val="0"/>
        <w:rPr>
          <w:rFonts w:ascii="Arial" w:eastAsiaTheme="majorEastAsia" w:hAnsi="Arial" w:cs="Arial"/>
        </w:rPr>
      </w:pPr>
      <w:r w:rsidRPr="000A6D93">
        <w:rPr>
          <w:rFonts w:ascii="Arial" w:eastAsiaTheme="majorEastAsia" w:hAnsi="Arial" w:cs="Arial"/>
        </w:rPr>
        <w:t xml:space="preserve">Bidders were asked to submit responses </w:t>
      </w:r>
      <w:r w:rsidR="00325DD2">
        <w:rPr>
          <w:rFonts w:ascii="Arial" w:eastAsiaTheme="majorEastAsia" w:hAnsi="Arial" w:cs="Arial"/>
        </w:rPr>
        <w:t xml:space="preserve">to </w:t>
      </w:r>
      <w:r w:rsidRPr="000A6D93">
        <w:rPr>
          <w:rFonts w:ascii="Arial" w:eastAsiaTheme="majorEastAsia" w:hAnsi="Arial" w:cs="Arial"/>
        </w:rPr>
        <w:t xml:space="preserve">three </w:t>
      </w:r>
      <w:r w:rsidR="00325DD2">
        <w:rPr>
          <w:rFonts w:ascii="Arial" w:eastAsiaTheme="majorEastAsia" w:hAnsi="Arial" w:cs="Arial"/>
        </w:rPr>
        <w:t>sets of questions, namely</w:t>
      </w:r>
      <w:r w:rsidRPr="000A6D93">
        <w:rPr>
          <w:rFonts w:ascii="Arial" w:eastAsiaTheme="majorEastAsia" w:hAnsi="Arial" w:cs="Arial"/>
        </w:rPr>
        <w:t xml:space="preserve"> Quality, Social Value and Value (which included pricing). </w:t>
      </w:r>
      <w:r w:rsidR="000277F0" w:rsidRPr="000A6D93">
        <w:rPr>
          <w:rFonts w:ascii="Arial" w:eastAsiaTheme="majorEastAsia" w:hAnsi="Arial" w:cs="Arial"/>
        </w:rPr>
        <w:t>S</w:t>
      </w:r>
      <w:r w:rsidR="005405C3" w:rsidRPr="000A6D93">
        <w:rPr>
          <w:rFonts w:ascii="Arial" w:eastAsiaTheme="majorEastAsia" w:hAnsi="Arial" w:cs="Arial"/>
        </w:rPr>
        <w:t>ubmissions</w:t>
      </w:r>
      <w:r w:rsidR="00060D7D" w:rsidRPr="000A6D93">
        <w:rPr>
          <w:rFonts w:ascii="Arial" w:eastAsiaTheme="majorEastAsia" w:hAnsi="Arial" w:cs="Arial"/>
        </w:rPr>
        <w:t xml:space="preserve"> </w:t>
      </w:r>
      <w:r w:rsidR="5EB4697C" w:rsidRPr="000A6D93">
        <w:rPr>
          <w:rFonts w:ascii="Arial" w:eastAsiaTheme="majorEastAsia" w:hAnsi="Arial" w:cs="Arial"/>
        </w:rPr>
        <w:t xml:space="preserve">were </w:t>
      </w:r>
      <w:r w:rsidRPr="000A6D93">
        <w:rPr>
          <w:rFonts w:ascii="Arial" w:eastAsiaTheme="majorEastAsia" w:hAnsi="Arial" w:cs="Arial"/>
        </w:rPr>
        <w:t>scored</w:t>
      </w:r>
      <w:r w:rsidR="00610771" w:rsidRPr="000A6D93">
        <w:rPr>
          <w:rFonts w:ascii="Arial" w:eastAsiaTheme="majorEastAsia" w:hAnsi="Arial" w:cs="Arial"/>
        </w:rPr>
        <w:t xml:space="preserve"> </w:t>
      </w:r>
      <w:r w:rsidR="00060D7D" w:rsidRPr="000A6D93">
        <w:rPr>
          <w:rFonts w:ascii="Arial" w:eastAsiaTheme="majorEastAsia" w:hAnsi="Arial" w:cs="Arial"/>
        </w:rPr>
        <w:t xml:space="preserve">by an evaluation panel </w:t>
      </w:r>
      <w:r w:rsidR="00610771" w:rsidRPr="000A6D93">
        <w:rPr>
          <w:rFonts w:ascii="Arial" w:eastAsiaTheme="majorEastAsia" w:hAnsi="Arial" w:cs="Arial"/>
        </w:rPr>
        <w:t xml:space="preserve">between 7 October and 12 November 2024. </w:t>
      </w:r>
      <w:r w:rsidR="000277F0" w:rsidRPr="000A6D93">
        <w:rPr>
          <w:rFonts w:ascii="Arial" w:eastAsiaTheme="majorEastAsia" w:hAnsi="Arial" w:cs="Arial"/>
        </w:rPr>
        <w:t>R</w:t>
      </w:r>
      <w:r w:rsidR="11E8BE2A" w:rsidRPr="000A6D93">
        <w:rPr>
          <w:rFonts w:ascii="Arial" w:eastAsiaTheme="majorEastAsia" w:hAnsi="Arial" w:cs="Arial"/>
        </w:rPr>
        <w:t xml:space="preserve">esponses were </w:t>
      </w:r>
      <w:r w:rsidR="11E8BE2A" w:rsidRPr="000A6D93">
        <w:rPr>
          <w:rFonts w:ascii="Arial" w:eastAsiaTheme="majorEastAsia" w:hAnsi="Arial" w:cs="Arial"/>
        </w:rPr>
        <w:lastRenderedPageBreak/>
        <w:t xml:space="preserve">evaluated </w:t>
      </w:r>
      <w:r w:rsidR="00AC4738" w:rsidRPr="000A6D93">
        <w:rPr>
          <w:rFonts w:ascii="Arial" w:eastAsiaTheme="majorEastAsia" w:hAnsi="Arial" w:cs="Arial"/>
        </w:rPr>
        <w:t>using the scoring methodology set out in Appendix 4 to the Stage 2 ITT</w:t>
      </w:r>
      <w:r w:rsidR="00610771" w:rsidRPr="000A6D93">
        <w:rPr>
          <w:rFonts w:ascii="Arial" w:eastAsiaTheme="majorEastAsia" w:hAnsi="Arial" w:cs="Arial"/>
        </w:rPr>
        <w:t>.</w:t>
      </w:r>
      <w:r w:rsidR="000A6D93" w:rsidRPr="000A6D93">
        <w:rPr>
          <w:rFonts w:ascii="Arial" w:eastAsiaTheme="majorEastAsia" w:hAnsi="Arial" w:cs="Arial"/>
        </w:rPr>
        <w:t xml:space="preserve"> </w:t>
      </w:r>
      <w:r w:rsidR="00261FEA" w:rsidRPr="000A6D93">
        <w:rPr>
          <w:rFonts w:ascii="Arial" w:eastAsiaTheme="majorEastAsia" w:hAnsi="Arial" w:cs="Arial"/>
        </w:rPr>
        <w:t>TPS</w:t>
      </w:r>
      <w:r w:rsidR="00CF7470" w:rsidRPr="000A6D93">
        <w:rPr>
          <w:rFonts w:ascii="Arial" w:eastAsiaTheme="majorEastAsia" w:hAnsi="Arial" w:cs="Arial"/>
        </w:rPr>
        <w:t xml:space="preserve"> </w:t>
      </w:r>
      <w:r w:rsidR="00817ED8" w:rsidRPr="000A6D93">
        <w:rPr>
          <w:rFonts w:ascii="Arial" w:eastAsiaTheme="majorEastAsia" w:hAnsi="Arial" w:cs="Arial"/>
        </w:rPr>
        <w:t xml:space="preserve">was selected as the successful </w:t>
      </w:r>
      <w:r w:rsidR="00817ED8" w:rsidRPr="006D5D36">
        <w:rPr>
          <w:rFonts w:ascii="Arial" w:eastAsiaTheme="majorEastAsia" w:hAnsi="Arial" w:cs="Arial"/>
        </w:rPr>
        <w:t>bidder</w:t>
      </w:r>
      <w:r w:rsidR="006427BC" w:rsidRPr="006D5D36">
        <w:rPr>
          <w:rFonts w:ascii="Arial" w:eastAsiaTheme="majorEastAsia" w:hAnsi="Arial" w:cs="Arial"/>
        </w:rPr>
        <w:t xml:space="preserve">. </w:t>
      </w:r>
      <w:r w:rsidR="006427BC" w:rsidRPr="00766956">
        <w:rPr>
          <w:rFonts w:ascii="Arial" w:eastAsiaTheme="majorEastAsia" w:hAnsi="Arial" w:cs="Arial"/>
        </w:rPr>
        <w:t xml:space="preserve">DHI’s proposal was ranked fourth out of </w:t>
      </w:r>
      <w:r w:rsidR="007B44E4" w:rsidRPr="00766956">
        <w:rPr>
          <w:rFonts w:ascii="Arial" w:eastAsiaTheme="majorEastAsia" w:hAnsi="Arial" w:cs="Arial"/>
        </w:rPr>
        <w:t>the four proposals</w:t>
      </w:r>
      <w:r w:rsidR="006427BC" w:rsidRPr="00766956">
        <w:rPr>
          <w:rFonts w:ascii="Arial" w:eastAsiaTheme="majorEastAsia" w:hAnsi="Arial" w:cs="Arial"/>
        </w:rPr>
        <w:t>.</w:t>
      </w:r>
    </w:p>
    <w:p w14:paraId="7C3F8B43" w14:textId="3C1B1975" w:rsidR="00121A21" w:rsidRPr="00371D7B" w:rsidRDefault="00EC082A" w:rsidP="00A354CC">
      <w:pPr>
        <w:pStyle w:val="ListParagraph"/>
        <w:numPr>
          <w:ilvl w:val="0"/>
          <w:numId w:val="2"/>
        </w:numPr>
        <w:spacing w:line="276" w:lineRule="auto"/>
        <w:ind w:left="567" w:hanging="567"/>
        <w:contextualSpacing w:val="0"/>
        <w:rPr>
          <w:rFonts w:ascii="Arial" w:eastAsiaTheme="majorEastAsia" w:hAnsi="Arial" w:cs="Arial"/>
        </w:rPr>
      </w:pPr>
      <w:r w:rsidRPr="006427BC">
        <w:rPr>
          <w:rFonts w:ascii="Arial" w:eastAsiaTheme="majorEastAsia" w:hAnsi="Arial" w:cs="Arial"/>
        </w:rPr>
        <w:t>The</w:t>
      </w:r>
      <w:r w:rsidR="00B17DB3" w:rsidRPr="006427BC">
        <w:rPr>
          <w:rFonts w:ascii="Arial" w:eastAsiaTheme="majorEastAsia" w:hAnsi="Arial" w:cs="Arial"/>
        </w:rPr>
        <w:t xml:space="preserve"> Council </w:t>
      </w:r>
      <w:r w:rsidR="00EE2001" w:rsidRPr="006427BC">
        <w:rPr>
          <w:rFonts w:ascii="Arial" w:eastAsiaTheme="majorEastAsia" w:hAnsi="Arial" w:cs="Arial"/>
        </w:rPr>
        <w:t xml:space="preserve">wrote </w:t>
      </w:r>
      <w:r w:rsidR="0029147A" w:rsidRPr="006427BC">
        <w:rPr>
          <w:rFonts w:ascii="Arial" w:eastAsiaTheme="majorEastAsia" w:hAnsi="Arial" w:cs="Arial"/>
        </w:rPr>
        <w:t xml:space="preserve">to </w:t>
      </w:r>
      <w:r w:rsidR="00675029" w:rsidRPr="006427BC">
        <w:rPr>
          <w:rFonts w:ascii="Arial" w:eastAsiaTheme="majorEastAsia" w:hAnsi="Arial" w:cs="Arial"/>
        </w:rPr>
        <w:t>bidders</w:t>
      </w:r>
      <w:r w:rsidR="0029147A" w:rsidRPr="006427BC">
        <w:rPr>
          <w:rFonts w:ascii="Arial" w:eastAsiaTheme="majorEastAsia" w:hAnsi="Arial" w:cs="Arial"/>
        </w:rPr>
        <w:t xml:space="preserve"> on 13</w:t>
      </w:r>
      <w:r w:rsidR="005B47BE" w:rsidRPr="006427BC">
        <w:rPr>
          <w:rFonts w:ascii="Arial" w:eastAsiaTheme="majorEastAsia" w:hAnsi="Arial" w:cs="Arial"/>
        </w:rPr>
        <w:t> </w:t>
      </w:r>
      <w:r w:rsidR="0029147A" w:rsidRPr="006427BC">
        <w:rPr>
          <w:rFonts w:ascii="Arial" w:eastAsiaTheme="majorEastAsia" w:hAnsi="Arial" w:cs="Arial"/>
        </w:rPr>
        <w:t>November</w:t>
      </w:r>
      <w:r w:rsidR="00384CCE">
        <w:rPr>
          <w:rFonts w:ascii="Arial" w:eastAsiaTheme="majorEastAsia" w:hAnsi="Arial" w:cs="Arial"/>
        </w:rPr>
        <w:t xml:space="preserve"> 2024</w:t>
      </w:r>
      <w:r w:rsidR="0029147A" w:rsidRPr="006427BC">
        <w:rPr>
          <w:rFonts w:ascii="Arial" w:eastAsiaTheme="majorEastAsia" w:hAnsi="Arial" w:cs="Arial"/>
        </w:rPr>
        <w:t xml:space="preserve"> inform</w:t>
      </w:r>
      <w:r w:rsidR="005B47BE" w:rsidRPr="006427BC">
        <w:rPr>
          <w:rFonts w:ascii="Arial" w:eastAsiaTheme="majorEastAsia" w:hAnsi="Arial" w:cs="Arial"/>
        </w:rPr>
        <w:t>ing</w:t>
      </w:r>
      <w:r w:rsidR="00D439FD" w:rsidRPr="006427BC">
        <w:rPr>
          <w:rFonts w:ascii="Arial" w:eastAsiaTheme="majorEastAsia" w:hAnsi="Arial" w:cs="Arial"/>
        </w:rPr>
        <w:t xml:space="preserve"> </w:t>
      </w:r>
      <w:r w:rsidR="0029147A" w:rsidRPr="006427BC">
        <w:rPr>
          <w:rFonts w:ascii="Arial" w:eastAsiaTheme="majorEastAsia" w:hAnsi="Arial" w:cs="Arial"/>
        </w:rPr>
        <w:t xml:space="preserve">them of the </w:t>
      </w:r>
      <w:proofErr w:type="gramStart"/>
      <w:r w:rsidR="000D1160" w:rsidRPr="006427BC">
        <w:rPr>
          <w:rFonts w:ascii="Arial" w:eastAsiaTheme="majorEastAsia" w:hAnsi="Arial" w:cs="Arial"/>
        </w:rPr>
        <w:t>outcome</w:t>
      </w:r>
      <w:r w:rsidR="000E255C" w:rsidRPr="006427BC">
        <w:rPr>
          <w:rFonts w:ascii="Arial" w:eastAsiaTheme="majorEastAsia" w:hAnsi="Arial" w:cs="Arial"/>
        </w:rPr>
        <w:t>, and</w:t>
      </w:r>
      <w:proofErr w:type="gramEnd"/>
      <w:r w:rsidR="000E255C" w:rsidRPr="006427BC">
        <w:rPr>
          <w:rFonts w:ascii="Arial" w:eastAsiaTheme="majorEastAsia" w:hAnsi="Arial" w:cs="Arial"/>
        </w:rPr>
        <w:t xml:space="preserve"> </w:t>
      </w:r>
      <w:r w:rsidR="001416F9" w:rsidRPr="006427BC">
        <w:rPr>
          <w:rFonts w:ascii="Arial" w:eastAsiaTheme="majorEastAsia" w:hAnsi="Arial" w:cs="Arial"/>
        </w:rPr>
        <w:t>published a notice of its intention to award the contract</w:t>
      </w:r>
      <w:r w:rsidR="00D439FD" w:rsidRPr="006427BC">
        <w:rPr>
          <w:rFonts w:ascii="Arial" w:eastAsiaTheme="majorEastAsia" w:hAnsi="Arial" w:cs="Arial"/>
        </w:rPr>
        <w:t xml:space="preserve"> to TPS on</w:t>
      </w:r>
      <w:r w:rsidR="00184E41" w:rsidRPr="006427BC">
        <w:rPr>
          <w:rFonts w:ascii="Arial" w:eastAsiaTheme="majorEastAsia" w:hAnsi="Arial" w:cs="Arial"/>
        </w:rPr>
        <w:t xml:space="preserve"> </w:t>
      </w:r>
      <w:r w:rsidR="00AF2AA8" w:rsidRPr="006427BC">
        <w:rPr>
          <w:rFonts w:ascii="Arial" w:eastAsiaTheme="majorEastAsia" w:hAnsi="Arial" w:cs="Arial"/>
        </w:rPr>
        <w:t>13 November 2024</w:t>
      </w:r>
      <w:r w:rsidR="00D439FD" w:rsidRPr="006427BC">
        <w:rPr>
          <w:rFonts w:ascii="Arial" w:eastAsiaTheme="majorEastAsia" w:hAnsi="Arial" w:cs="Arial"/>
        </w:rPr>
        <w:t>.</w:t>
      </w:r>
      <w:r w:rsidR="006427BC" w:rsidRPr="006427BC">
        <w:rPr>
          <w:rFonts w:ascii="Arial" w:eastAsiaTheme="majorEastAsia" w:hAnsi="Arial" w:cs="Arial"/>
        </w:rPr>
        <w:t xml:space="preserve"> </w:t>
      </w:r>
      <w:r w:rsidR="00AF2AA8" w:rsidRPr="006427BC">
        <w:rPr>
          <w:rFonts w:ascii="Arial" w:eastAsiaTheme="majorEastAsia" w:hAnsi="Arial" w:cs="Arial"/>
        </w:rPr>
        <w:t>On 25 November</w:t>
      </w:r>
      <w:r w:rsidR="00384CCE">
        <w:rPr>
          <w:rFonts w:ascii="Arial" w:eastAsiaTheme="majorEastAsia" w:hAnsi="Arial" w:cs="Arial"/>
        </w:rPr>
        <w:t xml:space="preserve"> 2024</w:t>
      </w:r>
      <w:r w:rsidR="00D439FD" w:rsidRPr="006427BC">
        <w:rPr>
          <w:rFonts w:ascii="Arial" w:eastAsiaTheme="majorEastAsia" w:hAnsi="Arial" w:cs="Arial"/>
        </w:rPr>
        <w:t>, prior to the standstill period</w:t>
      </w:r>
      <w:r w:rsidR="005E5D6D" w:rsidRPr="006427BC">
        <w:rPr>
          <w:rFonts w:ascii="Arial" w:eastAsiaTheme="majorEastAsia" w:hAnsi="Arial" w:cs="Arial"/>
        </w:rPr>
        <w:t xml:space="preserve"> expiring</w:t>
      </w:r>
      <w:r w:rsidR="00D439FD" w:rsidRPr="006427BC">
        <w:rPr>
          <w:rFonts w:ascii="Arial" w:eastAsiaTheme="majorEastAsia" w:hAnsi="Arial" w:cs="Arial"/>
        </w:rPr>
        <w:t>,</w:t>
      </w:r>
      <w:r w:rsidR="00B57A4D" w:rsidRPr="006427BC">
        <w:rPr>
          <w:rFonts w:ascii="Arial" w:eastAsiaTheme="majorEastAsia" w:hAnsi="Arial" w:cs="Arial"/>
        </w:rPr>
        <w:t xml:space="preserve"> DHI </w:t>
      </w:r>
      <w:r w:rsidR="002757F9" w:rsidRPr="006427BC">
        <w:rPr>
          <w:rFonts w:ascii="Arial" w:eastAsiaTheme="majorEastAsia" w:hAnsi="Arial" w:cs="Arial"/>
        </w:rPr>
        <w:t xml:space="preserve">made </w:t>
      </w:r>
      <w:r w:rsidR="0092603E" w:rsidRPr="006427BC">
        <w:rPr>
          <w:rFonts w:ascii="Arial" w:eastAsiaTheme="majorEastAsia" w:hAnsi="Arial" w:cs="Arial"/>
        </w:rPr>
        <w:t>representation</w:t>
      </w:r>
      <w:r w:rsidR="002757F9" w:rsidRPr="006427BC">
        <w:rPr>
          <w:rFonts w:ascii="Arial" w:eastAsiaTheme="majorEastAsia" w:hAnsi="Arial" w:cs="Arial"/>
        </w:rPr>
        <w:t>s</w:t>
      </w:r>
      <w:r w:rsidR="0092603E" w:rsidRPr="006427BC">
        <w:rPr>
          <w:rFonts w:ascii="Arial" w:eastAsiaTheme="majorEastAsia" w:hAnsi="Arial" w:cs="Arial"/>
        </w:rPr>
        <w:t xml:space="preserve"> to </w:t>
      </w:r>
      <w:r w:rsidRPr="006427BC">
        <w:rPr>
          <w:rFonts w:ascii="Arial" w:eastAsiaTheme="majorEastAsia" w:hAnsi="Arial" w:cs="Arial"/>
        </w:rPr>
        <w:t>the</w:t>
      </w:r>
      <w:r w:rsidR="0092603E" w:rsidRPr="006427BC">
        <w:rPr>
          <w:rFonts w:ascii="Arial" w:eastAsiaTheme="majorEastAsia" w:hAnsi="Arial" w:cs="Arial"/>
        </w:rPr>
        <w:t xml:space="preserve"> Council </w:t>
      </w:r>
      <w:r w:rsidR="000756F9" w:rsidRPr="006427BC">
        <w:rPr>
          <w:rFonts w:ascii="Arial" w:eastAsiaTheme="majorEastAsia" w:hAnsi="Arial" w:cs="Arial"/>
        </w:rPr>
        <w:t>about the conduct of the provider selection process.</w:t>
      </w:r>
      <w:r w:rsidR="00A56253" w:rsidRPr="006427BC">
        <w:rPr>
          <w:rFonts w:ascii="Arial" w:eastAsiaTheme="majorEastAsia" w:hAnsi="Arial" w:cs="Arial"/>
        </w:rPr>
        <w:t xml:space="preserve"> In response</w:t>
      </w:r>
      <w:r w:rsidR="00332389" w:rsidRPr="006427BC">
        <w:rPr>
          <w:rFonts w:ascii="Arial" w:eastAsiaTheme="majorEastAsia" w:hAnsi="Arial" w:cs="Arial"/>
        </w:rPr>
        <w:t xml:space="preserve">, </w:t>
      </w:r>
      <w:r w:rsidRPr="006427BC">
        <w:rPr>
          <w:rFonts w:ascii="Arial" w:eastAsiaTheme="majorEastAsia" w:hAnsi="Arial" w:cs="Arial"/>
        </w:rPr>
        <w:t>the</w:t>
      </w:r>
      <w:r w:rsidR="00946562" w:rsidRPr="006427BC">
        <w:rPr>
          <w:rFonts w:ascii="Arial" w:eastAsiaTheme="majorEastAsia" w:hAnsi="Arial" w:cs="Arial"/>
        </w:rPr>
        <w:t xml:space="preserve"> Council </w:t>
      </w:r>
      <w:r w:rsidR="00332389" w:rsidRPr="006427BC">
        <w:rPr>
          <w:rFonts w:ascii="Arial" w:eastAsiaTheme="majorEastAsia" w:hAnsi="Arial" w:cs="Arial"/>
        </w:rPr>
        <w:t xml:space="preserve">wrote </w:t>
      </w:r>
      <w:r w:rsidR="008815E9" w:rsidRPr="006427BC">
        <w:rPr>
          <w:rFonts w:ascii="Arial" w:eastAsiaTheme="majorEastAsia" w:hAnsi="Arial" w:cs="Arial"/>
        </w:rPr>
        <w:t xml:space="preserve">to DHI </w:t>
      </w:r>
      <w:r w:rsidR="00946562" w:rsidRPr="006427BC">
        <w:rPr>
          <w:rFonts w:ascii="Arial" w:eastAsiaTheme="majorEastAsia" w:hAnsi="Arial" w:cs="Arial"/>
        </w:rPr>
        <w:t>o</w:t>
      </w:r>
      <w:r w:rsidR="004F2921" w:rsidRPr="006427BC">
        <w:rPr>
          <w:rFonts w:ascii="Arial" w:eastAsiaTheme="majorEastAsia" w:hAnsi="Arial" w:cs="Arial"/>
        </w:rPr>
        <w:t>n 28 November</w:t>
      </w:r>
      <w:r w:rsidR="00384CCE">
        <w:rPr>
          <w:rFonts w:ascii="Arial" w:eastAsiaTheme="majorEastAsia" w:hAnsi="Arial" w:cs="Arial"/>
        </w:rPr>
        <w:t xml:space="preserve"> 2024</w:t>
      </w:r>
      <w:r w:rsidR="53B99CD7" w:rsidRPr="006427BC">
        <w:rPr>
          <w:rFonts w:ascii="Arial" w:eastAsiaTheme="majorEastAsia" w:hAnsi="Arial" w:cs="Arial"/>
        </w:rPr>
        <w:t>,</w:t>
      </w:r>
      <w:r w:rsidR="00946562" w:rsidRPr="006427BC">
        <w:rPr>
          <w:rFonts w:ascii="Arial" w:eastAsiaTheme="majorEastAsia" w:hAnsi="Arial" w:cs="Arial"/>
        </w:rPr>
        <w:t xml:space="preserve"> </w:t>
      </w:r>
      <w:r w:rsidR="005059EB" w:rsidRPr="006427BC">
        <w:rPr>
          <w:rFonts w:ascii="Arial" w:eastAsiaTheme="majorEastAsia" w:hAnsi="Arial" w:cs="Arial"/>
        </w:rPr>
        <w:t>setting out a summary of</w:t>
      </w:r>
      <w:r w:rsidR="00F02101" w:rsidRPr="006427BC">
        <w:rPr>
          <w:rFonts w:ascii="Arial" w:eastAsiaTheme="majorEastAsia" w:hAnsi="Arial" w:cs="Arial"/>
        </w:rPr>
        <w:t xml:space="preserve"> the </w:t>
      </w:r>
      <w:r w:rsidR="005059EB" w:rsidRPr="006427BC">
        <w:rPr>
          <w:rFonts w:ascii="Arial" w:eastAsiaTheme="majorEastAsia" w:hAnsi="Arial" w:cs="Arial"/>
        </w:rPr>
        <w:t xml:space="preserve">issues that </w:t>
      </w:r>
      <w:r w:rsidR="00AA735D">
        <w:rPr>
          <w:rFonts w:ascii="Arial" w:eastAsiaTheme="majorEastAsia" w:hAnsi="Arial" w:cs="Arial"/>
        </w:rPr>
        <w:t xml:space="preserve">it </w:t>
      </w:r>
      <w:r w:rsidR="00A354CC" w:rsidRPr="006427BC">
        <w:rPr>
          <w:rFonts w:ascii="Arial" w:eastAsiaTheme="majorEastAsia" w:hAnsi="Arial" w:cs="Arial"/>
        </w:rPr>
        <w:t xml:space="preserve">would consider </w:t>
      </w:r>
      <w:r w:rsidR="006D5D36">
        <w:rPr>
          <w:rFonts w:ascii="Arial" w:eastAsiaTheme="majorEastAsia" w:hAnsi="Arial" w:cs="Arial"/>
        </w:rPr>
        <w:t xml:space="preserve">in </w:t>
      </w:r>
      <w:r w:rsidR="00F02101" w:rsidRPr="00371D7B">
        <w:rPr>
          <w:rFonts w:ascii="Arial" w:eastAsiaTheme="majorEastAsia" w:hAnsi="Arial" w:cs="Arial"/>
        </w:rPr>
        <w:t>review</w:t>
      </w:r>
      <w:r w:rsidR="006D5D36">
        <w:rPr>
          <w:rFonts w:ascii="Arial" w:eastAsiaTheme="majorEastAsia" w:hAnsi="Arial" w:cs="Arial"/>
        </w:rPr>
        <w:t xml:space="preserve">ing </w:t>
      </w:r>
      <w:r w:rsidR="00050DA9" w:rsidRPr="00371D7B">
        <w:rPr>
          <w:rFonts w:ascii="Arial" w:eastAsiaTheme="majorEastAsia" w:hAnsi="Arial" w:cs="Arial"/>
        </w:rPr>
        <w:t>its provider selection</w:t>
      </w:r>
      <w:r w:rsidR="55390F18" w:rsidRPr="00371D7B">
        <w:rPr>
          <w:rFonts w:ascii="Arial" w:eastAsiaTheme="majorEastAsia" w:hAnsi="Arial" w:cs="Arial"/>
        </w:rPr>
        <w:t xml:space="preserve"> process</w:t>
      </w:r>
      <w:r w:rsidR="32EB52A7" w:rsidRPr="00371D7B">
        <w:rPr>
          <w:rFonts w:ascii="Arial" w:eastAsiaTheme="majorEastAsia" w:hAnsi="Arial" w:cs="Arial"/>
        </w:rPr>
        <w:t>.</w:t>
      </w:r>
      <w:r w:rsidR="00A6003E" w:rsidRPr="00371D7B">
        <w:rPr>
          <w:rFonts w:ascii="Arial" w:eastAsiaTheme="majorEastAsia" w:hAnsi="Arial" w:cs="Arial"/>
        </w:rPr>
        <w:t xml:space="preserve"> </w:t>
      </w:r>
      <w:r w:rsidR="20576EE6" w:rsidRPr="00371D7B">
        <w:rPr>
          <w:rFonts w:ascii="Arial" w:eastAsiaTheme="majorEastAsia" w:hAnsi="Arial" w:cs="Arial"/>
        </w:rPr>
        <w:t>The review was</w:t>
      </w:r>
      <w:r w:rsidR="00A6003E" w:rsidRPr="00371D7B">
        <w:rPr>
          <w:rFonts w:ascii="Arial" w:eastAsiaTheme="majorEastAsia" w:hAnsi="Arial" w:cs="Arial"/>
        </w:rPr>
        <w:t xml:space="preserve"> </w:t>
      </w:r>
      <w:r w:rsidR="00A83625">
        <w:rPr>
          <w:rFonts w:ascii="Arial" w:eastAsiaTheme="majorEastAsia" w:hAnsi="Arial" w:cs="Arial"/>
        </w:rPr>
        <w:t>carried out</w:t>
      </w:r>
      <w:r w:rsidR="00A83625" w:rsidRPr="00371D7B">
        <w:rPr>
          <w:rFonts w:ascii="Arial" w:eastAsiaTheme="majorEastAsia" w:hAnsi="Arial" w:cs="Arial"/>
        </w:rPr>
        <w:t xml:space="preserve"> </w:t>
      </w:r>
      <w:r w:rsidR="00876514" w:rsidRPr="00371D7B">
        <w:rPr>
          <w:rFonts w:ascii="Arial" w:eastAsiaTheme="majorEastAsia" w:hAnsi="Arial" w:cs="Arial"/>
        </w:rPr>
        <w:t xml:space="preserve">by </w:t>
      </w:r>
      <w:r w:rsidR="00001FB0">
        <w:rPr>
          <w:rFonts w:ascii="Arial" w:eastAsiaTheme="majorEastAsia" w:hAnsi="Arial" w:cs="Arial"/>
        </w:rPr>
        <w:t>two</w:t>
      </w:r>
      <w:r w:rsidR="00001FB0" w:rsidRPr="00371D7B">
        <w:rPr>
          <w:rFonts w:ascii="Arial" w:eastAsiaTheme="majorEastAsia" w:hAnsi="Arial" w:cs="Arial"/>
        </w:rPr>
        <w:t xml:space="preserve"> </w:t>
      </w:r>
      <w:r w:rsidR="00EF2CBB">
        <w:rPr>
          <w:rFonts w:ascii="Arial" w:eastAsiaTheme="majorEastAsia" w:hAnsi="Arial" w:cs="Arial"/>
        </w:rPr>
        <w:t xml:space="preserve">individuals </w:t>
      </w:r>
      <w:r w:rsidR="00876514" w:rsidRPr="00371D7B">
        <w:rPr>
          <w:rFonts w:ascii="Arial" w:eastAsiaTheme="majorEastAsia" w:hAnsi="Arial" w:cs="Arial"/>
        </w:rPr>
        <w:t xml:space="preserve">who </w:t>
      </w:r>
      <w:r w:rsidR="006D5D36">
        <w:rPr>
          <w:rFonts w:ascii="Arial" w:eastAsiaTheme="majorEastAsia" w:hAnsi="Arial" w:cs="Arial"/>
        </w:rPr>
        <w:t xml:space="preserve">were not </w:t>
      </w:r>
      <w:r w:rsidR="00876514" w:rsidRPr="00371D7B">
        <w:rPr>
          <w:rFonts w:ascii="Arial" w:eastAsiaTheme="majorEastAsia" w:hAnsi="Arial" w:cs="Arial"/>
        </w:rPr>
        <w:t xml:space="preserve">part of the Council’s </w:t>
      </w:r>
      <w:r w:rsidR="00A83625">
        <w:rPr>
          <w:rFonts w:ascii="Arial" w:eastAsiaTheme="majorEastAsia" w:hAnsi="Arial" w:cs="Arial"/>
        </w:rPr>
        <w:t>original e</w:t>
      </w:r>
      <w:r w:rsidR="00876514" w:rsidRPr="00371D7B">
        <w:rPr>
          <w:rFonts w:ascii="Arial" w:eastAsiaTheme="majorEastAsia" w:hAnsi="Arial" w:cs="Arial"/>
        </w:rPr>
        <w:t xml:space="preserve">valuation </w:t>
      </w:r>
      <w:r w:rsidR="00A83625">
        <w:rPr>
          <w:rFonts w:ascii="Arial" w:eastAsiaTheme="majorEastAsia" w:hAnsi="Arial" w:cs="Arial"/>
        </w:rPr>
        <w:t>p</w:t>
      </w:r>
      <w:r w:rsidR="00876514" w:rsidRPr="00371D7B">
        <w:rPr>
          <w:rFonts w:ascii="Arial" w:eastAsiaTheme="majorEastAsia" w:hAnsi="Arial" w:cs="Arial"/>
        </w:rPr>
        <w:t>anel</w:t>
      </w:r>
      <w:r w:rsidR="009F5EB4" w:rsidRPr="00371D7B">
        <w:rPr>
          <w:rFonts w:ascii="Arial" w:eastAsiaTheme="majorEastAsia" w:hAnsi="Arial" w:cs="Arial"/>
        </w:rPr>
        <w:t>.</w:t>
      </w:r>
    </w:p>
    <w:p w14:paraId="61199A12" w14:textId="57BD208D" w:rsidR="00697F1E" w:rsidRPr="006B696B" w:rsidRDefault="00553F58" w:rsidP="002A0B60">
      <w:pPr>
        <w:pStyle w:val="ListParagraph"/>
        <w:numPr>
          <w:ilvl w:val="0"/>
          <w:numId w:val="2"/>
        </w:numPr>
        <w:spacing w:line="276" w:lineRule="auto"/>
        <w:ind w:left="567" w:hanging="567"/>
        <w:contextualSpacing w:val="0"/>
        <w:rPr>
          <w:rFonts w:ascii="Arial" w:eastAsiaTheme="majorEastAsia" w:hAnsi="Arial" w:cs="Arial"/>
        </w:rPr>
      </w:pPr>
      <w:bookmarkStart w:id="8" w:name="_Ref188876655"/>
      <w:r>
        <w:rPr>
          <w:rFonts w:ascii="Arial" w:eastAsiaTheme="majorEastAsia" w:hAnsi="Arial" w:cs="Arial"/>
        </w:rPr>
        <w:t xml:space="preserve">Following its </w:t>
      </w:r>
      <w:r w:rsidR="00A86345" w:rsidRPr="006B696B">
        <w:rPr>
          <w:rFonts w:ascii="Arial" w:eastAsiaTheme="majorEastAsia" w:hAnsi="Arial" w:cs="Arial"/>
        </w:rPr>
        <w:t>review, t</w:t>
      </w:r>
      <w:r w:rsidR="005C2E49" w:rsidRPr="006B696B">
        <w:rPr>
          <w:rFonts w:ascii="Arial" w:eastAsiaTheme="majorEastAsia" w:hAnsi="Arial" w:cs="Arial"/>
        </w:rPr>
        <w:t xml:space="preserve">he Council </w:t>
      </w:r>
      <w:r w:rsidR="00A86345" w:rsidRPr="006B696B">
        <w:rPr>
          <w:rFonts w:ascii="Arial" w:eastAsiaTheme="majorEastAsia" w:hAnsi="Arial" w:cs="Arial"/>
        </w:rPr>
        <w:t xml:space="preserve">wrote to DHI </w:t>
      </w:r>
      <w:r w:rsidR="005C2E49" w:rsidRPr="006B696B">
        <w:rPr>
          <w:rFonts w:ascii="Arial" w:eastAsiaTheme="majorEastAsia" w:hAnsi="Arial" w:cs="Arial"/>
        </w:rPr>
        <w:t>on</w:t>
      </w:r>
      <w:r w:rsidR="00697F1E" w:rsidRPr="006B696B">
        <w:rPr>
          <w:rFonts w:ascii="Arial" w:eastAsiaTheme="majorEastAsia" w:hAnsi="Arial" w:cs="Arial"/>
        </w:rPr>
        <w:t xml:space="preserve"> 9 December 2024</w:t>
      </w:r>
      <w:r w:rsidR="3F296143" w:rsidRPr="006B696B">
        <w:rPr>
          <w:rFonts w:ascii="Arial" w:eastAsiaTheme="majorEastAsia" w:hAnsi="Arial" w:cs="Arial"/>
        </w:rPr>
        <w:t>,</w:t>
      </w:r>
      <w:r w:rsidR="00697F1E" w:rsidRPr="006B696B">
        <w:rPr>
          <w:rFonts w:ascii="Arial" w:eastAsiaTheme="majorEastAsia" w:hAnsi="Arial" w:cs="Arial"/>
        </w:rPr>
        <w:t xml:space="preserve"> </w:t>
      </w:r>
      <w:r w:rsidR="51EC2DD2" w:rsidRPr="006B696B">
        <w:rPr>
          <w:rFonts w:ascii="Arial" w:eastAsiaTheme="majorEastAsia" w:hAnsi="Arial" w:cs="Arial"/>
        </w:rPr>
        <w:t>respon</w:t>
      </w:r>
      <w:r w:rsidR="00D02895">
        <w:rPr>
          <w:rFonts w:ascii="Arial" w:eastAsiaTheme="majorEastAsia" w:hAnsi="Arial" w:cs="Arial"/>
        </w:rPr>
        <w:t xml:space="preserve">ding </w:t>
      </w:r>
      <w:r w:rsidR="51EC2DD2" w:rsidRPr="006B696B">
        <w:rPr>
          <w:rFonts w:ascii="Arial" w:eastAsiaTheme="majorEastAsia" w:hAnsi="Arial" w:cs="Arial"/>
        </w:rPr>
        <w:t>to the issues ra</w:t>
      </w:r>
      <w:r w:rsidR="3EA375D1" w:rsidRPr="006B696B">
        <w:rPr>
          <w:rFonts w:ascii="Arial" w:eastAsiaTheme="majorEastAsia" w:hAnsi="Arial" w:cs="Arial"/>
        </w:rPr>
        <w:t>ised by</w:t>
      </w:r>
      <w:r w:rsidR="009B1FEF" w:rsidRPr="006B696B">
        <w:rPr>
          <w:rFonts w:ascii="Arial" w:eastAsiaTheme="majorEastAsia" w:hAnsi="Arial" w:cs="Arial"/>
        </w:rPr>
        <w:t xml:space="preserve"> DHI</w:t>
      </w:r>
      <w:r w:rsidR="48D64163" w:rsidRPr="006B696B">
        <w:rPr>
          <w:rFonts w:ascii="Arial" w:eastAsiaTheme="majorEastAsia" w:hAnsi="Arial" w:cs="Arial"/>
        </w:rPr>
        <w:t>.</w:t>
      </w:r>
      <w:r w:rsidR="00497232" w:rsidRPr="006B696B">
        <w:rPr>
          <w:rFonts w:ascii="Arial" w:eastAsiaTheme="majorEastAsia" w:hAnsi="Arial" w:cs="Arial"/>
        </w:rPr>
        <w:t xml:space="preserve"> </w:t>
      </w:r>
      <w:r w:rsidR="00E71BE1">
        <w:rPr>
          <w:rFonts w:ascii="Arial" w:eastAsiaTheme="majorEastAsia" w:hAnsi="Arial" w:cs="Arial"/>
        </w:rPr>
        <w:t>T</w:t>
      </w:r>
      <w:r w:rsidR="2D10E1D6" w:rsidRPr="006B696B">
        <w:rPr>
          <w:rFonts w:ascii="Arial" w:eastAsiaTheme="majorEastAsia" w:hAnsi="Arial" w:cs="Arial"/>
        </w:rPr>
        <w:t>he Council</w:t>
      </w:r>
      <w:r w:rsidR="00500482" w:rsidRPr="006B696B">
        <w:rPr>
          <w:rFonts w:ascii="Arial" w:eastAsiaTheme="majorEastAsia" w:hAnsi="Arial" w:cs="Arial"/>
        </w:rPr>
        <w:t xml:space="preserve"> </w:t>
      </w:r>
      <w:r w:rsidR="00302221" w:rsidRPr="006B696B">
        <w:rPr>
          <w:rFonts w:ascii="Arial" w:eastAsiaTheme="majorEastAsia" w:hAnsi="Arial" w:cs="Arial"/>
        </w:rPr>
        <w:t>explain</w:t>
      </w:r>
      <w:r w:rsidR="1D4C13DE" w:rsidRPr="006B696B">
        <w:rPr>
          <w:rFonts w:ascii="Arial" w:eastAsiaTheme="majorEastAsia" w:hAnsi="Arial" w:cs="Arial"/>
        </w:rPr>
        <w:t>ed</w:t>
      </w:r>
      <w:r w:rsidR="00302221" w:rsidRPr="006B696B">
        <w:rPr>
          <w:rFonts w:ascii="Arial" w:eastAsiaTheme="majorEastAsia" w:hAnsi="Arial" w:cs="Arial"/>
        </w:rPr>
        <w:t xml:space="preserve"> that </w:t>
      </w:r>
      <w:r w:rsidR="00E71BE1">
        <w:rPr>
          <w:rFonts w:ascii="Arial" w:eastAsiaTheme="majorEastAsia" w:hAnsi="Arial" w:cs="Arial"/>
        </w:rPr>
        <w:t>its</w:t>
      </w:r>
      <w:r w:rsidR="222ECA1F" w:rsidRPr="006B696B">
        <w:rPr>
          <w:rFonts w:ascii="Arial" w:eastAsiaTheme="majorEastAsia" w:hAnsi="Arial" w:cs="Arial"/>
        </w:rPr>
        <w:t xml:space="preserve"> review </w:t>
      </w:r>
      <w:r w:rsidR="00247111" w:rsidRPr="006B696B">
        <w:rPr>
          <w:rFonts w:ascii="Arial" w:eastAsiaTheme="majorEastAsia" w:hAnsi="Arial" w:cs="Arial"/>
        </w:rPr>
        <w:t xml:space="preserve">had </w:t>
      </w:r>
      <w:r w:rsidR="000D12E4" w:rsidRPr="006B696B">
        <w:rPr>
          <w:rFonts w:ascii="Arial" w:eastAsiaTheme="majorEastAsia" w:hAnsi="Arial" w:cs="Arial"/>
        </w:rPr>
        <w:t xml:space="preserve">found an error </w:t>
      </w:r>
      <w:r w:rsidR="00A80A0D" w:rsidRPr="006B696B">
        <w:rPr>
          <w:rFonts w:ascii="Arial" w:eastAsiaTheme="majorEastAsia" w:hAnsi="Arial" w:cs="Arial"/>
        </w:rPr>
        <w:t xml:space="preserve">in the scoring of </w:t>
      </w:r>
      <w:r w:rsidR="008E19F7">
        <w:rPr>
          <w:rFonts w:ascii="Arial" w:eastAsiaTheme="majorEastAsia" w:hAnsi="Arial" w:cs="Arial"/>
        </w:rPr>
        <w:t xml:space="preserve">one of the </w:t>
      </w:r>
      <w:r w:rsidR="31BBB27A" w:rsidRPr="006B696B">
        <w:rPr>
          <w:rFonts w:ascii="Arial" w:eastAsiaTheme="majorEastAsia" w:hAnsi="Arial" w:cs="Arial"/>
        </w:rPr>
        <w:t>Social Value question</w:t>
      </w:r>
      <w:r w:rsidR="008E19F7">
        <w:rPr>
          <w:rFonts w:ascii="Arial" w:eastAsiaTheme="majorEastAsia" w:hAnsi="Arial" w:cs="Arial"/>
        </w:rPr>
        <w:t>s</w:t>
      </w:r>
      <w:r w:rsidR="31BBB27A" w:rsidRPr="006B696B">
        <w:rPr>
          <w:rFonts w:ascii="Arial" w:eastAsiaTheme="majorEastAsia" w:hAnsi="Arial" w:cs="Arial"/>
        </w:rPr>
        <w:t xml:space="preserve"> (</w:t>
      </w:r>
      <w:r w:rsidR="00A80A0D" w:rsidRPr="006B696B">
        <w:rPr>
          <w:rFonts w:ascii="Arial" w:eastAsiaTheme="majorEastAsia" w:hAnsi="Arial" w:cs="Arial"/>
        </w:rPr>
        <w:t>Question</w:t>
      </w:r>
      <w:r w:rsidR="008E19F7">
        <w:rPr>
          <w:rFonts w:ascii="Arial" w:eastAsiaTheme="majorEastAsia" w:hAnsi="Arial" w:cs="Arial"/>
        </w:rPr>
        <w:t> </w:t>
      </w:r>
      <w:r w:rsidR="00A80A0D" w:rsidRPr="006B696B">
        <w:rPr>
          <w:rFonts w:ascii="Arial" w:eastAsiaTheme="majorEastAsia" w:hAnsi="Arial" w:cs="Arial"/>
        </w:rPr>
        <w:t>8</w:t>
      </w:r>
      <w:r w:rsidR="2EEBAD6F" w:rsidRPr="006B696B">
        <w:rPr>
          <w:rFonts w:ascii="Arial" w:eastAsiaTheme="majorEastAsia" w:hAnsi="Arial" w:cs="Arial"/>
        </w:rPr>
        <w:t>)</w:t>
      </w:r>
      <w:r w:rsidR="00E71BE1">
        <w:rPr>
          <w:rFonts w:ascii="Arial" w:eastAsiaTheme="majorEastAsia" w:hAnsi="Arial" w:cs="Arial"/>
        </w:rPr>
        <w:t xml:space="preserve"> and, as a result, </w:t>
      </w:r>
      <w:r w:rsidR="004A1BC4" w:rsidRPr="006B696B">
        <w:rPr>
          <w:rFonts w:ascii="Arial" w:eastAsiaTheme="majorEastAsia" w:hAnsi="Arial" w:cs="Arial"/>
        </w:rPr>
        <w:t xml:space="preserve">a fresh evaluation panel </w:t>
      </w:r>
      <w:r w:rsidR="00AB5A28" w:rsidRPr="006B696B">
        <w:rPr>
          <w:rFonts w:ascii="Arial" w:eastAsiaTheme="majorEastAsia" w:hAnsi="Arial" w:cs="Arial"/>
        </w:rPr>
        <w:t>had</w:t>
      </w:r>
      <w:r w:rsidR="004A1BC4" w:rsidRPr="006B696B">
        <w:rPr>
          <w:rFonts w:ascii="Arial" w:eastAsiaTheme="majorEastAsia" w:hAnsi="Arial" w:cs="Arial"/>
        </w:rPr>
        <w:t xml:space="preserve"> </w:t>
      </w:r>
      <w:r w:rsidR="00247111" w:rsidRPr="006B696B">
        <w:rPr>
          <w:rFonts w:ascii="Arial" w:eastAsiaTheme="majorEastAsia" w:hAnsi="Arial" w:cs="Arial"/>
        </w:rPr>
        <w:t>re-evaluat</w:t>
      </w:r>
      <w:r w:rsidR="004A1BC4" w:rsidRPr="006B696B">
        <w:rPr>
          <w:rFonts w:ascii="Arial" w:eastAsiaTheme="majorEastAsia" w:hAnsi="Arial" w:cs="Arial"/>
        </w:rPr>
        <w:t>e</w:t>
      </w:r>
      <w:r w:rsidR="00AB5A28" w:rsidRPr="006B696B">
        <w:rPr>
          <w:rFonts w:ascii="Arial" w:eastAsiaTheme="majorEastAsia" w:hAnsi="Arial" w:cs="Arial"/>
        </w:rPr>
        <w:t>d</w:t>
      </w:r>
      <w:r w:rsidR="004A1BC4" w:rsidRPr="006B696B">
        <w:rPr>
          <w:rFonts w:ascii="Arial" w:eastAsiaTheme="majorEastAsia" w:hAnsi="Arial" w:cs="Arial"/>
        </w:rPr>
        <w:t xml:space="preserve"> </w:t>
      </w:r>
      <w:r w:rsidR="00E71BE1">
        <w:rPr>
          <w:rFonts w:ascii="Arial" w:eastAsiaTheme="majorEastAsia" w:hAnsi="Arial" w:cs="Arial"/>
        </w:rPr>
        <w:t xml:space="preserve">the responses to </w:t>
      </w:r>
      <w:r w:rsidR="00247111" w:rsidRPr="006B696B">
        <w:rPr>
          <w:rFonts w:ascii="Arial" w:eastAsiaTheme="majorEastAsia" w:hAnsi="Arial" w:cs="Arial"/>
        </w:rPr>
        <w:t>Question 8 for all bidders</w:t>
      </w:r>
      <w:r w:rsidR="00E71BE1">
        <w:rPr>
          <w:rFonts w:ascii="Arial" w:eastAsiaTheme="majorEastAsia" w:hAnsi="Arial" w:cs="Arial"/>
        </w:rPr>
        <w:t>. Th</w:t>
      </w:r>
      <w:r w:rsidR="0059592A">
        <w:rPr>
          <w:rFonts w:ascii="Arial" w:eastAsiaTheme="majorEastAsia" w:hAnsi="Arial" w:cs="Arial"/>
        </w:rPr>
        <w:t xml:space="preserve">is </w:t>
      </w:r>
      <w:r w:rsidR="004A30D4" w:rsidRPr="006B696B">
        <w:rPr>
          <w:rFonts w:ascii="Arial" w:eastAsiaTheme="majorEastAsia" w:hAnsi="Arial" w:cs="Arial"/>
        </w:rPr>
        <w:t>re-scoring</w:t>
      </w:r>
      <w:r w:rsidR="0059592A">
        <w:rPr>
          <w:rFonts w:ascii="Arial" w:eastAsiaTheme="majorEastAsia" w:hAnsi="Arial" w:cs="Arial"/>
        </w:rPr>
        <w:t>, however, had</w:t>
      </w:r>
      <w:r w:rsidR="00247111" w:rsidRPr="006B696B">
        <w:rPr>
          <w:rFonts w:ascii="Arial" w:eastAsiaTheme="majorEastAsia" w:hAnsi="Arial" w:cs="Arial"/>
        </w:rPr>
        <w:t xml:space="preserve"> not affect</w:t>
      </w:r>
      <w:r w:rsidR="0059592A">
        <w:rPr>
          <w:rFonts w:ascii="Arial" w:eastAsiaTheme="majorEastAsia" w:hAnsi="Arial" w:cs="Arial"/>
        </w:rPr>
        <w:t>ed</w:t>
      </w:r>
      <w:r w:rsidR="00247111" w:rsidRPr="006B696B">
        <w:rPr>
          <w:rFonts w:ascii="Arial" w:eastAsiaTheme="majorEastAsia" w:hAnsi="Arial" w:cs="Arial"/>
        </w:rPr>
        <w:t xml:space="preserve"> </w:t>
      </w:r>
      <w:r w:rsidR="00011CAD">
        <w:rPr>
          <w:rFonts w:ascii="Arial" w:eastAsiaTheme="majorEastAsia" w:hAnsi="Arial" w:cs="Arial"/>
        </w:rPr>
        <w:t>bidders’</w:t>
      </w:r>
      <w:r w:rsidR="00011CAD" w:rsidRPr="006B696B">
        <w:rPr>
          <w:rFonts w:ascii="Arial" w:eastAsiaTheme="majorEastAsia" w:hAnsi="Arial" w:cs="Arial"/>
        </w:rPr>
        <w:t xml:space="preserve"> </w:t>
      </w:r>
      <w:r w:rsidR="00247111" w:rsidRPr="006B696B">
        <w:rPr>
          <w:rFonts w:ascii="Arial" w:eastAsiaTheme="majorEastAsia" w:hAnsi="Arial" w:cs="Arial"/>
        </w:rPr>
        <w:t>overall ranking.</w:t>
      </w:r>
      <w:r w:rsidR="00124058" w:rsidRPr="006B696B">
        <w:rPr>
          <w:rFonts w:ascii="Arial" w:eastAsiaTheme="majorEastAsia" w:hAnsi="Arial" w:cs="Arial"/>
        </w:rPr>
        <w:t xml:space="preserve"> </w:t>
      </w:r>
      <w:r w:rsidR="00EA7FC8">
        <w:rPr>
          <w:rFonts w:ascii="Arial" w:eastAsiaTheme="majorEastAsia" w:hAnsi="Arial" w:cs="Arial"/>
        </w:rPr>
        <w:t>T</w:t>
      </w:r>
      <w:r w:rsidR="005667BC" w:rsidRPr="006B696B">
        <w:rPr>
          <w:rFonts w:ascii="Arial" w:eastAsiaTheme="majorEastAsia" w:hAnsi="Arial" w:cs="Arial"/>
        </w:rPr>
        <w:t>he Council</w:t>
      </w:r>
      <w:r w:rsidR="00FB2F9F" w:rsidRPr="006B696B">
        <w:rPr>
          <w:rFonts w:ascii="Arial" w:eastAsiaTheme="majorEastAsia" w:hAnsi="Arial" w:cs="Arial"/>
        </w:rPr>
        <w:t xml:space="preserve"> </w:t>
      </w:r>
      <w:r w:rsidR="00EA7FC8">
        <w:rPr>
          <w:rFonts w:ascii="Arial" w:eastAsiaTheme="majorEastAsia" w:hAnsi="Arial" w:cs="Arial"/>
        </w:rPr>
        <w:t xml:space="preserve">went on to say </w:t>
      </w:r>
      <w:r w:rsidR="00FB2F9F" w:rsidRPr="006B696B">
        <w:rPr>
          <w:rFonts w:ascii="Arial" w:eastAsiaTheme="majorEastAsia" w:hAnsi="Arial" w:cs="Arial"/>
        </w:rPr>
        <w:t xml:space="preserve">“We have reviewed the decision to award this contract, </w:t>
      </w:r>
      <w:proofErr w:type="gramStart"/>
      <w:r w:rsidR="00FB2F9F" w:rsidRPr="006B696B">
        <w:rPr>
          <w:rFonts w:ascii="Arial" w:eastAsiaTheme="majorEastAsia" w:hAnsi="Arial" w:cs="Arial"/>
        </w:rPr>
        <w:t>taken into account</w:t>
      </w:r>
      <w:proofErr w:type="gramEnd"/>
      <w:r w:rsidR="00FB2F9F" w:rsidRPr="006B696B">
        <w:rPr>
          <w:rFonts w:ascii="Arial" w:eastAsiaTheme="majorEastAsia" w:hAnsi="Arial" w:cs="Arial"/>
        </w:rPr>
        <w:t xml:space="preserve"> your representations and the impact of question 8 re-evaluation. The outcome of the procurement is unaffected, and the Council has made a further decision to </w:t>
      </w:r>
      <w:proofErr w:type="gramStart"/>
      <w:r w:rsidR="00FB2F9F" w:rsidRPr="006B696B">
        <w:rPr>
          <w:rFonts w:ascii="Arial" w:eastAsiaTheme="majorEastAsia" w:hAnsi="Arial" w:cs="Arial"/>
        </w:rPr>
        <w:t>enter into</w:t>
      </w:r>
      <w:proofErr w:type="gramEnd"/>
      <w:r w:rsidR="00FB2F9F" w:rsidRPr="006B696B">
        <w:rPr>
          <w:rFonts w:ascii="Arial" w:eastAsiaTheme="majorEastAsia" w:hAnsi="Arial" w:cs="Arial"/>
        </w:rPr>
        <w:t xml:space="preserve"> the contract as intended and does not intend to make any subsequent further decisions”</w:t>
      </w:r>
      <w:r w:rsidR="004D474A">
        <w:rPr>
          <w:rFonts w:ascii="Arial" w:eastAsiaTheme="majorEastAsia" w:hAnsi="Arial" w:cs="Arial"/>
        </w:rPr>
        <w:t>.</w:t>
      </w:r>
      <w:bookmarkEnd w:id="8"/>
      <w:r w:rsidR="005116A4">
        <w:rPr>
          <w:rStyle w:val="FootnoteReference"/>
          <w:rFonts w:ascii="Arial" w:eastAsiaTheme="majorEastAsia" w:hAnsi="Arial" w:cs="Arial"/>
        </w:rPr>
        <w:footnoteReference w:id="13"/>
      </w:r>
    </w:p>
    <w:p w14:paraId="6F9EF3E1" w14:textId="735604A6" w:rsidR="00F02F6B" w:rsidRPr="00F061C1" w:rsidRDefault="00500482" w:rsidP="002A0B60">
      <w:pPr>
        <w:pStyle w:val="ListParagraph"/>
        <w:numPr>
          <w:ilvl w:val="0"/>
          <w:numId w:val="2"/>
        </w:numPr>
        <w:spacing w:line="276" w:lineRule="auto"/>
        <w:ind w:left="567" w:hanging="567"/>
        <w:contextualSpacing w:val="0"/>
        <w:rPr>
          <w:rFonts w:ascii="Arial" w:hAnsi="Arial" w:cs="Arial"/>
        </w:rPr>
      </w:pPr>
      <w:r w:rsidRPr="006B696B">
        <w:rPr>
          <w:rFonts w:ascii="Arial" w:eastAsiaTheme="majorEastAsia" w:hAnsi="Arial" w:cs="Arial"/>
        </w:rPr>
        <w:t xml:space="preserve">On 13 December 2024, </w:t>
      </w:r>
      <w:r w:rsidR="008361C8" w:rsidRPr="006B696B">
        <w:rPr>
          <w:rFonts w:ascii="Arial" w:eastAsiaTheme="majorEastAsia" w:hAnsi="Arial" w:cs="Arial"/>
        </w:rPr>
        <w:t xml:space="preserve">prior to the expiry of the standstill period, </w:t>
      </w:r>
      <w:r w:rsidR="00C7311C" w:rsidRPr="006B696B">
        <w:rPr>
          <w:rFonts w:ascii="Arial" w:eastAsiaTheme="majorEastAsia" w:hAnsi="Arial" w:cs="Arial"/>
        </w:rPr>
        <w:t>DHI</w:t>
      </w:r>
      <w:r w:rsidR="00362D80" w:rsidRPr="006B696B">
        <w:rPr>
          <w:rFonts w:ascii="Arial" w:eastAsiaTheme="majorEastAsia" w:hAnsi="Arial" w:cs="Arial"/>
        </w:rPr>
        <w:t xml:space="preserve"> </w:t>
      </w:r>
      <w:r w:rsidR="0079265C">
        <w:rPr>
          <w:rFonts w:ascii="Arial" w:eastAsiaTheme="majorEastAsia" w:hAnsi="Arial" w:cs="Arial"/>
        </w:rPr>
        <w:t xml:space="preserve">asked </w:t>
      </w:r>
      <w:r w:rsidR="00362D80" w:rsidRPr="006B696B">
        <w:rPr>
          <w:rFonts w:ascii="Arial" w:eastAsiaTheme="majorEastAsia" w:hAnsi="Arial" w:cs="Arial"/>
        </w:rPr>
        <w:t>the</w:t>
      </w:r>
      <w:r w:rsidR="00362D80" w:rsidRPr="00F061C1">
        <w:rPr>
          <w:rFonts w:ascii="Arial" w:hAnsi="Arial" w:cs="Arial"/>
        </w:rPr>
        <w:t xml:space="preserve"> Panel </w:t>
      </w:r>
      <w:r w:rsidR="0079265C">
        <w:rPr>
          <w:rFonts w:ascii="Arial" w:hAnsi="Arial" w:cs="Arial"/>
        </w:rPr>
        <w:t xml:space="preserve">to </w:t>
      </w:r>
      <w:r w:rsidR="00362D80" w:rsidRPr="00F061C1">
        <w:rPr>
          <w:rFonts w:ascii="Arial" w:hAnsi="Arial" w:cs="Arial"/>
        </w:rPr>
        <w:t xml:space="preserve">review </w:t>
      </w:r>
      <w:r w:rsidR="007B6535">
        <w:rPr>
          <w:rFonts w:ascii="Arial" w:hAnsi="Arial" w:cs="Arial"/>
        </w:rPr>
        <w:t>the</w:t>
      </w:r>
      <w:r w:rsidR="00C7311C">
        <w:rPr>
          <w:rFonts w:ascii="Arial" w:hAnsi="Arial" w:cs="Arial"/>
        </w:rPr>
        <w:t xml:space="preserve"> Council’s</w:t>
      </w:r>
      <w:r w:rsidR="00362D80" w:rsidRPr="00F061C1">
        <w:rPr>
          <w:rFonts w:ascii="Arial" w:hAnsi="Arial" w:cs="Arial"/>
        </w:rPr>
        <w:t xml:space="preserve"> provider selection decision. </w:t>
      </w:r>
      <w:r w:rsidR="00994745">
        <w:rPr>
          <w:rFonts w:ascii="Arial" w:hAnsi="Arial" w:cs="Arial"/>
        </w:rPr>
        <w:t>T</w:t>
      </w:r>
      <w:r w:rsidR="00362D80" w:rsidRPr="00F061C1">
        <w:rPr>
          <w:rFonts w:ascii="Arial" w:hAnsi="Arial" w:cs="Arial"/>
        </w:rPr>
        <w:t xml:space="preserve">he Panel accepted this </w:t>
      </w:r>
      <w:r w:rsidR="00994745">
        <w:rPr>
          <w:rFonts w:ascii="Arial" w:hAnsi="Arial" w:cs="Arial"/>
        </w:rPr>
        <w:t xml:space="preserve">request </w:t>
      </w:r>
      <w:r w:rsidR="00362D80" w:rsidRPr="00F061C1">
        <w:rPr>
          <w:rFonts w:ascii="Arial" w:hAnsi="Arial" w:cs="Arial"/>
        </w:rPr>
        <w:t xml:space="preserve">on </w:t>
      </w:r>
      <w:r w:rsidR="00C7311C">
        <w:rPr>
          <w:rFonts w:ascii="Arial" w:hAnsi="Arial" w:cs="Arial"/>
        </w:rPr>
        <w:t>16 December</w:t>
      </w:r>
      <w:r w:rsidR="00B25C79">
        <w:rPr>
          <w:rFonts w:ascii="Arial" w:hAnsi="Arial" w:cs="Arial"/>
        </w:rPr>
        <w:t xml:space="preserve"> 2024</w:t>
      </w:r>
      <w:r w:rsidR="7388C556" w:rsidRPr="6FD9C059">
        <w:rPr>
          <w:rFonts w:ascii="Arial" w:hAnsi="Arial" w:cs="Arial"/>
        </w:rPr>
        <w:t>.</w:t>
      </w:r>
      <w:r w:rsidR="00994745">
        <w:rPr>
          <w:rFonts w:ascii="Arial" w:hAnsi="Arial" w:cs="Arial"/>
        </w:rPr>
        <w:t xml:space="preserve"> </w:t>
      </w:r>
      <w:r w:rsidR="5ED10806" w:rsidRPr="6FD9C059">
        <w:rPr>
          <w:rFonts w:ascii="Arial" w:hAnsi="Arial" w:cs="Arial"/>
        </w:rPr>
        <w:t>O</w:t>
      </w:r>
      <w:r w:rsidR="00D00F4A" w:rsidRPr="6FD9C059">
        <w:rPr>
          <w:rFonts w:ascii="Arial" w:hAnsi="Arial" w:cs="Arial"/>
        </w:rPr>
        <w:t>n</w:t>
      </w:r>
      <w:r w:rsidR="00D00F4A" w:rsidRPr="00F061C1">
        <w:rPr>
          <w:rFonts w:ascii="Arial" w:hAnsi="Arial" w:cs="Arial"/>
        </w:rPr>
        <w:t xml:space="preserve"> being made aware of th</w:t>
      </w:r>
      <w:r w:rsidR="0079265C">
        <w:rPr>
          <w:rFonts w:ascii="Arial" w:hAnsi="Arial" w:cs="Arial"/>
        </w:rPr>
        <w:t>is</w:t>
      </w:r>
      <w:r w:rsidR="00D00F4A" w:rsidRPr="00F061C1">
        <w:rPr>
          <w:rFonts w:ascii="Arial" w:hAnsi="Arial" w:cs="Arial"/>
        </w:rPr>
        <w:t xml:space="preserve">, </w:t>
      </w:r>
      <w:r w:rsidR="62018E00" w:rsidRPr="6FD9C059">
        <w:rPr>
          <w:rFonts w:ascii="Arial" w:hAnsi="Arial" w:cs="Arial"/>
        </w:rPr>
        <w:t xml:space="preserve">the Council </w:t>
      </w:r>
      <w:r w:rsidR="00D00F4A" w:rsidRPr="00F061C1">
        <w:rPr>
          <w:rFonts w:ascii="Arial" w:hAnsi="Arial" w:cs="Arial"/>
        </w:rPr>
        <w:t>confirmed that it</w:t>
      </w:r>
      <w:r w:rsidR="00060E07">
        <w:rPr>
          <w:rFonts w:ascii="Arial" w:hAnsi="Arial" w:cs="Arial"/>
        </w:rPr>
        <w:t xml:space="preserve"> </w:t>
      </w:r>
      <w:r w:rsidR="00D00F4A" w:rsidRPr="00F061C1">
        <w:rPr>
          <w:rFonts w:ascii="Arial" w:hAnsi="Arial" w:cs="Arial"/>
        </w:rPr>
        <w:t>would hold the standstill period open for the duration of the Panel’s review</w:t>
      </w:r>
      <w:r w:rsidR="68A9C819" w:rsidRPr="745DADAA">
        <w:rPr>
          <w:rFonts w:ascii="Arial" w:hAnsi="Arial" w:cs="Arial"/>
        </w:rPr>
        <w:t xml:space="preserve">, as required by the </w:t>
      </w:r>
      <w:r w:rsidR="00FA687E">
        <w:rPr>
          <w:rFonts w:ascii="Arial" w:hAnsi="Arial" w:cs="Arial"/>
        </w:rPr>
        <w:t>PSR r</w:t>
      </w:r>
      <w:r w:rsidR="68A9C819" w:rsidRPr="745DADAA">
        <w:rPr>
          <w:rFonts w:ascii="Arial" w:hAnsi="Arial" w:cs="Arial"/>
        </w:rPr>
        <w:t>egulations</w:t>
      </w:r>
      <w:r w:rsidR="00D00F4A" w:rsidRPr="00F061C1">
        <w:rPr>
          <w:rFonts w:ascii="Arial" w:hAnsi="Arial" w:cs="Arial"/>
        </w:rPr>
        <w:t>.</w:t>
      </w:r>
    </w:p>
    <w:p w14:paraId="2A2FCA3C" w14:textId="370AE01F" w:rsidR="00293555" w:rsidRPr="009120FE" w:rsidRDefault="00293555" w:rsidP="00293555">
      <w:pPr>
        <w:pStyle w:val="Heading1"/>
        <w:numPr>
          <w:ilvl w:val="0"/>
          <w:numId w:val="1"/>
        </w:numPr>
        <w:spacing w:before="360" w:after="240"/>
        <w:ind w:left="0" w:firstLine="0"/>
        <w:rPr>
          <w:rFonts w:ascii="Arial" w:hAnsi="Arial" w:cs="Arial"/>
          <w:b/>
          <w:bCs/>
          <w:color w:val="000000" w:themeColor="text1"/>
          <w:sz w:val="28"/>
          <w:szCs w:val="28"/>
        </w:rPr>
      </w:pPr>
      <w:bookmarkStart w:id="9" w:name="_Toc166083476"/>
      <w:bookmarkStart w:id="10" w:name="_Toc189662750"/>
      <w:r w:rsidRPr="00A46C26">
        <w:rPr>
          <w:rFonts w:ascii="Arial" w:hAnsi="Arial" w:cs="Arial"/>
          <w:b/>
          <w:bCs/>
          <w:color w:val="000000" w:themeColor="text1"/>
          <w:sz w:val="28"/>
          <w:szCs w:val="28"/>
        </w:rPr>
        <w:t xml:space="preserve">Representations by </w:t>
      </w:r>
      <w:bookmarkEnd w:id="9"/>
      <w:r w:rsidR="00894417">
        <w:rPr>
          <w:rFonts w:ascii="Arial" w:hAnsi="Arial" w:cs="Arial"/>
          <w:b/>
          <w:bCs/>
          <w:color w:val="000000" w:themeColor="text1"/>
          <w:sz w:val="28"/>
          <w:szCs w:val="28"/>
        </w:rPr>
        <w:t>DHI</w:t>
      </w:r>
      <w:bookmarkEnd w:id="10"/>
    </w:p>
    <w:p w14:paraId="390DD31F" w14:textId="6575BAD2" w:rsidR="006F54A6" w:rsidRPr="00610771" w:rsidRDefault="00341592" w:rsidP="00523D66">
      <w:pPr>
        <w:pStyle w:val="ListParagraph"/>
        <w:numPr>
          <w:ilvl w:val="0"/>
          <w:numId w:val="2"/>
        </w:numPr>
        <w:spacing w:line="276" w:lineRule="auto"/>
        <w:ind w:left="567" w:hanging="567"/>
        <w:rPr>
          <w:rFonts w:ascii="Arial" w:hAnsi="Arial" w:cs="Arial"/>
        </w:rPr>
      </w:pPr>
      <w:bookmarkStart w:id="11" w:name="_Ref189120944"/>
      <w:r w:rsidRPr="008024E4">
        <w:rPr>
          <w:rFonts w:ascii="Arial" w:eastAsiaTheme="majorEastAsia" w:hAnsi="Arial" w:cs="Arial"/>
        </w:rPr>
        <w:t>DHI</w:t>
      </w:r>
      <w:r w:rsidR="00F12F66">
        <w:rPr>
          <w:rFonts w:ascii="Arial" w:eastAsiaTheme="majorEastAsia" w:hAnsi="Arial" w:cs="Arial"/>
        </w:rPr>
        <w:t xml:space="preserve">’s </w:t>
      </w:r>
      <w:r w:rsidR="00871AD2" w:rsidRPr="008024E4">
        <w:rPr>
          <w:rFonts w:ascii="Arial" w:eastAsiaTheme="majorEastAsia" w:hAnsi="Arial" w:cs="Arial"/>
        </w:rPr>
        <w:t xml:space="preserve">concerns </w:t>
      </w:r>
      <w:r w:rsidR="00F12F66">
        <w:rPr>
          <w:rFonts w:ascii="Arial" w:eastAsiaTheme="majorEastAsia" w:hAnsi="Arial" w:cs="Arial"/>
        </w:rPr>
        <w:t xml:space="preserve">about the provider selection process for the </w:t>
      </w:r>
      <w:r w:rsidR="001C4B33" w:rsidRPr="00774124">
        <w:rPr>
          <w:rFonts w:ascii="Arial" w:hAnsi="Arial" w:cs="Arial"/>
        </w:rPr>
        <w:t>Drug and Alcohol Services</w:t>
      </w:r>
      <w:r w:rsidR="00F12F66">
        <w:rPr>
          <w:rFonts w:ascii="Arial" w:hAnsi="Arial" w:cs="Arial"/>
        </w:rPr>
        <w:t xml:space="preserve"> contract</w:t>
      </w:r>
      <w:r w:rsidR="00824304">
        <w:rPr>
          <w:rFonts w:ascii="Arial" w:hAnsi="Arial" w:cs="Arial"/>
        </w:rPr>
        <w:t xml:space="preserve">, as </w:t>
      </w:r>
      <w:r w:rsidR="00FC5427">
        <w:rPr>
          <w:rFonts w:ascii="Arial" w:hAnsi="Arial" w:cs="Arial"/>
        </w:rPr>
        <w:t>summar</w:t>
      </w:r>
      <w:r w:rsidR="00A364C9">
        <w:rPr>
          <w:rFonts w:ascii="Arial" w:hAnsi="Arial" w:cs="Arial"/>
        </w:rPr>
        <w:t>ised</w:t>
      </w:r>
      <w:r w:rsidR="00FC5427">
        <w:rPr>
          <w:rFonts w:ascii="Arial" w:hAnsi="Arial" w:cs="Arial"/>
        </w:rPr>
        <w:t xml:space="preserve"> </w:t>
      </w:r>
      <w:r w:rsidR="00A364C9">
        <w:rPr>
          <w:rFonts w:ascii="Arial" w:hAnsi="Arial" w:cs="Arial"/>
        </w:rPr>
        <w:t xml:space="preserve">in </w:t>
      </w:r>
      <w:r w:rsidR="00824304">
        <w:rPr>
          <w:rFonts w:ascii="Arial" w:hAnsi="Arial" w:cs="Arial"/>
        </w:rPr>
        <w:t>its submission to the Panel,</w:t>
      </w:r>
      <w:r w:rsidR="00610771">
        <w:rPr>
          <w:rFonts w:ascii="Arial" w:hAnsi="Arial" w:cs="Arial"/>
        </w:rPr>
        <w:t xml:space="preserve"> </w:t>
      </w:r>
      <w:r w:rsidR="00824304">
        <w:rPr>
          <w:rFonts w:ascii="Arial" w:hAnsi="Arial" w:cs="Arial"/>
        </w:rPr>
        <w:t xml:space="preserve">were </w:t>
      </w:r>
      <w:r w:rsidR="74DEE13C" w:rsidRPr="00774124">
        <w:rPr>
          <w:rFonts w:ascii="Arial" w:hAnsi="Arial" w:cs="Arial"/>
        </w:rPr>
        <w:t>as follows</w:t>
      </w:r>
      <w:r w:rsidR="00A7083A" w:rsidRPr="00774124">
        <w:rPr>
          <w:rFonts w:ascii="Arial" w:hAnsi="Arial" w:cs="Arial"/>
        </w:rPr>
        <w:t>:</w:t>
      </w:r>
      <w:bookmarkEnd w:id="11"/>
    </w:p>
    <w:p w14:paraId="553E1FD0" w14:textId="7419DC3C" w:rsidR="00086A48" w:rsidRPr="00523D66" w:rsidRDefault="00865F28" w:rsidP="00523D66">
      <w:pPr>
        <w:spacing w:line="276" w:lineRule="auto"/>
        <w:ind w:left="1134"/>
        <w:rPr>
          <w:rFonts w:ascii="Arial" w:hAnsi="Arial" w:cs="Arial"/>
          <w:sz w:val="21"/>
          <w:szCs w:val="21"/>
        </w:rPr>
      </w:pPr>
      <w:r w:rsidRPr="00523D66">
        <w:rPr>
          <w:rFonts w:ascii="Arial" w:hAnsi="Arial" w:cs="Arial"/>
          <w:sz w:val="21"/>
          <w:szCs w:val="21"/>
        </w:rPr>
        <w:t xml:space="preserve">“General </w:t>
      </w:r>
      <w:r w:rsidR="00844468" w:rsidRPr="00523D66">
        <w:rPr>
          <w:rFonts w:ascii="Arial" w:hAnsi="Arial" w:cs="Arial"/>
          <w:sz w:val="21"/>
          <w:szCs w:val="21"/>
        </w:rPr>
        <w:t>S</w:t>
      </w:r>
      <w:r w:rsidRPr="00523D66">
        <w:rPr>
          <w:rFonts w:ascii="Arial" w:hAnsi="Arial" w:cs="Arial"/>
          <w:sz w:val="21"/>
          <w:szCs w:val="21"/>
        </w:rPr>
        <w:t xml:space="preserve">coring </w:t>
      </w:r>
      <w:r w:rsidR="00844468" w:rsidRPr="00523D66">
        <w:rPr>
          <w:rFonts w:ascii="Arial" w:hAnsi="Arial" w:cs="Arial"/>
          <w:sz w:val="21"/>
          <w:szCs w:val="21"/>
        </w:rPr>
        <w:t>C</w:t>
      </w:r>
      <w:r w:rsidRPr="00523D66">
        <w:rPr>
          <w:rFonts w:ascii="Arial" w:hAnsi="Arial" w:cs="Arial"/>
          <w:sz w:val="21"/>
          <w:szCs w:val="21"/>
        </w:rPr>
        <w:t>oncerns:</w:t>
      </w:r>
      <w:r w:rsidR="00086A48" w:rsidRPr="00523D66">
        <w:rPr>
          <w:rFonts w:ascii="Arial" w:eastAsia="Times New Roman" w:hAnsi="Arial" w:cs="Arial"/>
          <w:kern w:val="0"/>
          <w:sz w:val="21"/>
          <w:szCs w:val="21"/>
          <w:lang w:eastAsia="en-GB"/>
          <w14:ligatures w14:val="none"/>
        </w:rPr>
        <w:t xml:space="preserve"> </w:t>
      </w:r>
      <w:r w:rsidR="00086A48" w:rsidRPr="00523D66">
        <w:rPr>
          <w:rFonts w:ascii="Arial" w:hAnsi="Arial" w:cs="Arial"/>
          <w:sz w:val="21"/>
          <w:szCs w:val="21"/>
        </w:rPr>
        <w:t>DHI has serious concerns about the evaluation process, which we believe</w:t>
      </w:r>
      <w:r w:rsidR="007753CC" w:rsidRPr="00523D66">
        <w:rPr>
          <w:rFonts w:ascii="Arial" w:hAnsi="Arial" w:cs="Arial"/>
          <w:sz w:val="21"/>
          <w:szCs w:val="21"/>
        </w:rPr>
        <w:t xml:space="preserve"> </w:t>
      </w:r>
      <w:r w:rsidR="00BF2766" w:rsidRPr="00523D66">
        <w:rPr>
          <w:rFonts w:ascii="Arial" w:hAnsi="Arial" w:cs="Arial"/>
          <w:sz w:val="21"/>
          <w:szCs w:val="21"/>
        </w:rPr>
        <w:t>warrants a re-evaluation of all questions by experienced and independent evaluators.</w:t>
      </w:r>
    </w:p>
    <w:p w14:paraId="4B57542A" w14:textId="1F22E2E2" w:rsidR="00086A48" w:rsidRPr="00523D66" w:rsidRDefault="006A1181" w:rsidP="00523D66">
      <w:pPr>
        <w:spacing w:line="276" w:lineRule="auto"/>
        <w:ind w:left="1134"/>
        <w:rPr>
          <w:rFonts w:ascii="Arial" w:hAnsi="Arial" w:cs="Arial"/>
          <w:sz w:val="21"/>
          <w:szCs w:val="21"/>
        </w:rPr>
      </w:pPr>
      <w:r w:rsidRPr="00523D66">
        <w:rPr>
          <w:rFonts w:ascii="Arial" w:hAnsi="Arial" w:cs="Arial"/>
          <w:sz w:val="21"/>
          <w:szCs w:val="21"/>
        </w:rPr>
        <w:t>“</w:t>
      </w:r>
      <w:r w:rsidR="00086A48" w:rsidRPr="00523D66">
        <w:rPr>
          <w:rFonts w:ascii="Arial" w:hAnsi="Arial" w:cs="Arial"/>
          <w:sz w:val="21"/>
          <w:szCs w:val="21"/>
        </w:rPr>
        <w:t xml:space="preserve">The Council has admitted that the evaluators failed to consider relevant and/or </w:t>
      </w:r>
      <w:proofErr w:type="gramStart"/>
      <w:r w:rsidR="00086A48" w:rsidRPr="00523D66">
        <w:rPr>
          <w:rFonts w:ascii="Arial" w:hAnsi="Arial" w:cs="Arial"/>
          <w:sz w:val="21"/>
          <w:szCs w:val="21"/>
        </w:rPr>
        <w:t>took into account</w:t>
      </w:r>
      <w:proofErr w:type="gramEnd"/>
      <w:r w:rsidR="00086A48" w:rsidRPr="00523D66">
        <w:rPr>
          <w:rFonts w:ascii="Arial" w:hAnsi="Arial" w:cs="Arial"/>
          <w:sz w:val="21"/>
          <w:szCs w:val="21"/>
        </w:rPr>
        <w:t xml:space="preserve"> irrelevant factors when scoring Question 8, necessitating a re-evaluation by a fresh panel. This admission aligns with our overall concerns regarding inconsistency, the inexperience of evaluators, and potential manifest errors in other aspects of the evaluation.</w:t>
      </w:r>
    </w:p>
    <w:p w14:paraId="7044B4C8" w14:textId="1866BFF6" w:rsidR="00086A48" w:rsidRPr="00523D66" w:rsidRDefault="006A1181" w:rsidP="00523D66">
      <w:pPr>
        <w:spacing w:line="276" w:lineRule="auto"/>
        <w:ind w:left="1134"/>
        <w:rPr>
          <w:rFonts w:ascii="Arial" w:hAnsi="Arial" w:cs="Arial"/>
          <w:sz w:val="21"/>
          <w:szCs w:val="21"/>
        </w:rPr>
      </w:pPr>
      <w:r w:rsidRPr="00523D66">
        <w:rPr>
          <w:rFonts w:ascii="Arial" w:hAnsi="Arial" w:cs="Arial"/>
          <w:sz w:val="21"/>
          <w:szCs w:val="21"/>
        </w:rPr>
        <w:t>“</w:t>
      </w:r>
      <w:r w:rsidR="00086A48" w:rsidRPr="00523D66">
        <w:rPr>
          <w:rFonts w:ascii="Arial" w:hAnsi="Arial" w:cs="Arial"/>
          <w:sz w:val="21"/>
          <w:szCs w:val="21"/>
        </w:rPr>
        <w:t xml:space="preserve">If a manifest error in scoring was identified in Question 8, in which the council admits the evaluators failed to consider relevant factors and/or </w:t>
      </w:r>
      <w:proofErr w:type="gramStart"/>
      <w:r w:rsidR="00086A48" w:rsidRPr="00523D66">
        <w:rPr>
          <w:rFonts w:ascii="Arial" w:hAnsi="Arial" w:cs="Arial"/>
          <w:sz w:val="21"/>
          <w:szCs w:val="21"/>
        </w:rPr>
        <w:t>took into account</w:t>
      </w:r>
      <w:proofErr w:type="gramEnd"/>
      <w:r w:rsidR="00086A48" w:rsidRPr="00523D66">
        <w:rPr>
          <w:rFonts w:ascii="Arial" w:hAnsi="Arial" w:cs="Arial"/>
          <w:sz w:val="21"/>
          <w:szCs w:val="21"/>
        </w:rPr>
        <w:t xml:space="preserve"> </w:t>
      </w:r>
      <w:r w:rsidR="00086A48" w:rsidRPr="00523D66">
        <w:rPr>
          <w:rFonts w:ascii="Arial" w:hAnsi="Arial" w:cs="Arial"/>
          <w:sz w:val="21"/>
          <w:szCs w:val="21"/>
        </w:rPr>
        <w:lastRenderedPageBreak/>
        <w:t>irrelevant factors, we believe this strongly suggests similar errors may have arisen across other questions.</w:t>
      </w:r>
    </w:p>
    <w:p w14:paraId="16D86195" w14:textId="38DEFB43" w:rsidR="00086A48" w:rsidRPr="00523D66" w:rsidRDefault="006A1181" w:rsidP="00523D66">
      <w:pPr>
        <w:spacing w:line="276" w:lineRule="auto"/>
        <w:ind w:left="1134"/>
        <w:rPr>
          <w:rFonts w:ascii="Arial" w:hAnsi="Arial" w:cs="Arial"/>
          <w:sz w:val="21"/>
          <w:szCs w:val="21"/>
        </w:rPr>
      </w:pPr>
      <w:r w:rsidRPr="00523D66">
        <w:rPr>
          <w:rFonts w:ascii="Arial" w:hAnsi="Arial" w:cs="Arial"/>
          <w:sz w:val="21"/>
          <w:szCs w:val="21"/>
        </w:rPr>
        <w:t>“</w:t>
      </w:r>
      <w:r w:rsidR="00086A48" w:rsidRPr="00523D66">
        <w:rPr>
          <w:rFonts w:ascii="Arial" w:hAnsi="Arial" w:cs="Arial"/>
          <w:sz w:val="21"/>
          <w:szCs w:val="21"/>
        </w:rPr>
        <w:t>Further, the Council acknowledges that an adjustment was made to the scoring methodology for Question 7 during the procurement process, citing an error in how weightings were applied. It is not clear what this adjustment is as the information they have provided does not appear to show any change, so questions remain as to what adjustment has and/or should be made. Further, the Council has not provided evidence to confirm whether this adjustment was communicated to all bidders at the time or if it impacted the overall procurement. The lack of transparency surrounding this adjustment raises concerns about compliance with the PSR principles of fairness and transparency.</w:t>
      </w:r>
    </w:p>
    <w:p w14:paraId="06244D9A" w14:textId="5D5A0A56" w:rsidR="00086A48" w:rsidRPr="00523D66" w:rsidRDefault="006A1181" w:rsidP="00523D66">
      <w:pPr>
        <w:spacing w:line="276" w:lineRule="auto"/>
        <w:ind w:left="1134"/>
        <w:rPr>
          <w:rFonts w:ascii="Arial" w:hAnsi="Arial" w:cs="Arial"/>
          <w:sz w:val="21"/>
          <w:szCs w:val="21"/>
        </w:rPr>
      </w:pPr>
      <w:r w:rsidRPr="00523D66">
        <w:rPr>
          <w:rFonts w:ascii="Arial" w:hAnsi="Arial" w:cs="Arial"/>
          <w:sz w:val="21"/>
          <w:szCs w:val="21"/>
        </w:rPr>
        <w:t>“</w:t>
      </w:r>
      <w:r w:rsidR="00086A48" w:rsidRPr="00523D66">
        <w:rPr>
          <w:rFonts w:ascii="Arial" w:hAnsi="Arial" w:cs="Arial"/>
          <w:sz w:val="21"/>
          <w:szCs w:val="21"/>
        </w:rPr>
        <w:t xml:space="preserve">It is clear there have been errors and issues in the evaluation of bids and this undermines confidence in the overall </w:t>
      </w:r>
      <w:proofErr w:type="gramStart"/>
      <w:r w:rsidR="00086A48" w:rsidRPr="00523D66">
        <w:rPr>
          <w:rFonts w:ascii="Arial" w:hAnsi="Arial" w:cs="Arial"/>
          <w:sz w:val="21"/>
          <w:szCs w:val="21"/>
        </w:rPr>
        <w:t>process</w:t>
      </w:r>
      <w:proofErr w:type="gramEnd"/>
      <w:r w:rsidR="00086A48" w:rsidRPr="00523D66">
        <w:rPr>
          <w:rFonts w:ascii="Arial" w:hAnsi="Arial" w:cs="Arial"/>
          <w:sz w:val="21"/>
          <w:szCs w:val="21"/>
        </w:rPr>
        <w:t xml:space="preserve"> and we remain concerned there are other instances and areas of breaches that have not been addressed.</w:t>
      </w:r>
    </w:p>
    <w:p w14:paraId="39C1B076" w14:textId="533233B6" w:rsidR="00086A48" w:rsidRPr="00523D66" w:rsidRDefault="006A1181" w:rsidP="00523D66">
      <w:pPr>
        <w:spacing w:line="276" w:lineRule="auto"/>
        <w:ind w:left="1134"/>
        <w:rPr>
          <w:rFonts w:ascii="Arial" w:hAnsi="Arial" w:cs="Arial"/>
          <w:sz w:val="21"/>
          <w:szCs w:val="21"/>
        </w:rPr>
      </w:pPr>
      <w:r w:rsidRPr="00523D66">
        <w:rPr>
          <w:rFonts w:ascii="Arial" w:hAnsi="Arial" w:cs="Arial"/>
          <w:sz w:val="21"/>
          <w:szCs w:val="21"/>
        </w:rPr>
        <w:t>“</w:t>
      </w:r>
      <w:r w:rsidR="00086A48" w:rsidRPr="00523D66">
        <w:rPr>
          <w:rFonts w:ascii="Arial" w:hAnsi="Arial" w:cs="Arial"/>
          <w:sz w:val="21"/>
          <w:szCs w:val="21"/>
        </w:rPr>
        <w:t xml:space="preserve">Additionally, DHI is not satisfied with the Council’s feedback repeatedly citing a </w:t>
      </w:r>
      <w:r w:rsidR="003A1431" w:rsidRPr="00523D66">
        <w:rPr>
          <w:rFonts w:ascii="Arial" w:hAnsi="Arial" w:cs="Arial"/>
          <w:sz w:val="21"/>
          <w:szCs w:val="21"/>
        </w:rPr>
        <w:t>‘</w:t>
      </w:r>
      <w:r w:rsidR="00086A48" w:rsidRPr="00523D66">
        <w:rPr>
          <w:rFonts w:ascii="Arial" w:hAnsi="Arial" w:cs="Arial"/>
          <w:sz w:val="21"/>
          <w:szCs w:val="21"/>
        </w:rPr>
        <w:t>lack of detail</w:t>
      </w:r>
      <w:r w:rsidR="003A1431" w:rsidRPr="00523D66">
        <w:rPr>
          <w:rFonts w:ascii="Arial" w:hAnsi="Arial" w:cs="Arial"/>
          <w:sz w:val="21"/>
          <w:szCs w:val="21"/>
        </w:rPr>
        <w:t>’</w:t>
      </w:r>
      <w:r w:rsidR="00086A48" w:rsidRPr="00523D66">
        <w:rPr>
          <w:rFonts w:ascii="Arial" w:hAnsi="Arial" w:cs="Arial"/>
          <w:sz w:val="21"/>
          <w:szCs w:val="21"/>
        </w:rPr>
        <w:t xml:space="preserve"> but fails to satisfactorily explain why responses were allegedly insufficient to meet higher scoring criteria. Further, the Council has not adequately addressed DHI’s concerns with respect to why similar elements in the successful bidder’s proposal appeared to have been scored more favourably, highlighting inconsistencies in the application of evaluation criteria.</w:t>
      </w:r>
    </w:p>
    <w:p w14:paraId="63021017" w14:textId="47F6BEA2" w:rsidR="00336D2E" w:rsidRPr="00523D66" w:rsidRDefault="003A1431" w:rsidP="00523D66">
      <w:pPr>
        <w:spacing w:line="276" w:lineRule="auto"/>
        <w:ind w:left="1134"/>
        <w:rPr>
          <w:rFonts w:ascii="Arial" w:hAnsi="Arial" w:cs="Arial"/>
          <w:sz w:val="21"/>
          <w:szCs w:val="21"/>
        </w:rPr>
      </w:pPr>
      <w:r w:rsidRPr="00523D66">
        <w:rPr>
          <w:rFonts w:ascii="Arial" w:hAnsi="Arial" w:cs="Arial"/>
          <w:sz w:val="21"/>
          <w:szCs w:val="21"/>
        </w:rPr>
        <w:t>“</w:t>
      </w:r>
      <w:r w:rsidR="003E7B11" w:rsidRPr="00523D66">
        <w:rPr>
          <w:rFonts w:ascii="Arial" w:hAnsi="Arial" w:cs="Arial"/>
          <w:sz w:val="21"/>
          <w:szCs w:val="21"/>
        </w:rPr>
        <w:t>Social Value Concerns:</w:t>
      </w:r>
      <w:r w:rsidR="00336D2E" w:rsidRPr="00523D66">
        <w:rPr>
          <w:rFonts w:ascii="Arial" w:eastAsia="Times New Roman" w:hAnsi="Arial" w:cs="Arial"/>
          <w:kern w:val="0"/>
          <w:sz w:val="21"/>
          <w:szCs w:val="21"/>
          <w:lang w:eastAsia="en-GB"/>
          <w14:ligatures w14:val="none"/>
        </w:rPr>
        <w:t xml:space="preserve"> </w:t>
      </w:r>
      <w:r w:rsidR="00336D2E" w:rsidRPr="00523D66">
        <w:rPr>
          <w:rFonts w:ascii="Arial" w:hAnsi="Arial" w:cs="Arial"/>
          <w:sz w:val="21"/>
          <w:szCs w:val="21"/>
        </w:rPr>
        <w:t>Our quantitative social value impact score of 1124 far exceeds the successful bidder’s score of 172. The successful bidder’s exceptionally low quantitative impact score raises questions about whether their qualitative commitments were substantial enough to warrant the score they received. This disparity appears inconsistent with the principle of proportionality under PSR suggesting a lack of consideration of the social value key criteria of Regulation 5.</w:t>
      </w:r>
    </w:p>
    <w:p w14:paraId="61301C31" w14:textId="5FFC2DCF" w:rsidR="00336D2E" w:rsidRPr="00523D66" w:rsidRDefault="003A1431" w:rsidP="00523D66">
      <w:pPr>
        <w:spacing w:line="276" w:lineRule="auto"/>
        <w:ind w:left="1134"/>
        <w:rPr>
          <w:rFonts w:ascii="Arial" w:hAnsi="Arial" w:cs="Arial"/>
          <w:sz w:val="21"/>
          <w:szCs w:val="21"/>
        </w:rPr>
      </w:pPr>
      <w:r w:rsidRPr="00523D66">
        <w:rPr>
          <w:rFonts w:ascii="Arial" w:hAnsi="Arial" w:cs="Arial"/>
          <w:sz w:val="21"/>
          <w:szCs w:val="21"/>
        </w:rPr>
        <w:t>“</w:t>
      </w:r>
      <w:r w:rsidR="00336D2E" w:rsidRPr="00523D66">
        <w:rPr>
          <w:rFonts w:ascii="Arial" w:hAnsi="Arial" w:cs="Arial"/>
          <w:sz w:val="21"/>
          <w:szCs w:val="21"/>
        </w:rPr>
        <w:t>We remain unsatisfied with the Council’s response regarding compliance with the Public Services (Social Value) Act 2012. While the Council acknowledges the importance of social value, their evaluation and scoring of the bids do not appear to adequately reflect the Act’s requirements to consider how the procurement might improve economic, social, and environmental well-being in the relevant area.</w:t>
      </w:r>
    </w:p>
    <w:p w14:paraId="0DB67BD7" w14:textId="687639AF" w:rsidR="00336D2E" w:rsidRPr="00523D66" w:rsidRDefault="003A1431" w:rsidP="00523D66">
      <w:pPr>
        <w:spacing w:line="276" w:lineRule="auto"/>
        <w:ind w:left="1134"/>
        <w:rPr>
          <w:rFonts w:ascii="Arial" w:hAnsi="Arial" w:cs="Arial"/>
          <w:sz w:val="21"/>
          <w:szCs w:val="21"/>
        </w:rPr>
      </w:pPr>
      <w:r w:rsidRPr="00523D66">
        <w:rPr>
          <w:rFonts w:ascii="Arial" w:hAnsi="Arial" w:cs="Arial"/>
          <w:sz w:val="21"/>
          <w:szCs w:val="21"/>
        </w:rPr>
        <w:t>“</w:t>
      </w:r>
      <w:r w:rsidR="00336D2E" w:rsidRPr="00523D66">
        <w:rPr>
          <w:rFonts w:ascii="Arial" w:hAnsi="Arial" w:cs="Arial"/>
          <w:sz w:val="21"/>
          <w:szCs w:val="21"/>
        </w:rPr>
        <w:t>Further, the Council’s refusal to provide full evaluation notes or moderation records significantly impedes our ability to assess the fairness of the evaluation process. While some limited feedback has been disclosed, the absence of detailed evaluation and moderation notes prevents a full understanding of how scoring decisions were applied.</w:t>
      </w:r>
    </w:p>
    <w:p w14:paraId="068B0D12" w14:textId="1D890853" w:rsidR="00D86938" w:rsidRPr="00523D66" w:rsidRDefault="003A1431" w:rsidP="00523D66">
      <w:pPr>
        <w:spacing w:line="276" w:lineRule="auto"/>
        <w:ind w:left="1134"/>
        <w:rPr>
          <w:rFonts w:ascii="Arial" w:hAnsi="Arial" w:cs="Arial"/>
          <w:sz w:val="21"/>
          <w:szCs w:val="21"/>
        </w:rPr>
      </w:pPr>
      <w:r w:rsidRPr="00523D66">
        <w:rPr>
          <w:rFonts w:ascii="Arial" w:hAnsi="Arial" w:cs="Arial"/>
          <w:sz w:val="21"/>
          <w:szCs w:val="21"/>
        </w:rPr>
        <w:t>“</w:t>
      </w:r>
      <w:r w:rsidR="00E731C5" w:rsidRPr="00523D66">
        <w:rPr>
          <w:rFonts w:ascii="Arial" w:hAnsi="Arial" w:cs="Arial"/>
          <w:sz w:val="21"/>
          <w:szCs w:val="21"/>
        </w:rPr>
        <w:t>Finally, treating DHI as an arms-length subcontractor is inconsistent with established practice.</w:t>
      </w:r>
      <w:r w:rsidRPr="00523D66">
        <w:rPr>
          <w:rFonts w:ascii="Arial" w:hAnsi="Arial" w:cs="Arial"/>
          <w:sz w:val="21"/>
          <w:szCs w:val="21"/>
        </w:rPr>
        <w:t xml:space="preserve"> </w:t>
      </w:r>
      <w:r w:rsidR="00E731C5" w:rsidRPr="00523D66">
        <w:rPr>
          <w:rFonts w:ascii="Arial" w:hAnsi="Arial" w:cs="Arial"/>
          <w:sz w:val="21"/>
          <w:szCs w:val="21"/>
        </w:rPr>
        <w:t>Having held a direct contract with the council (2003 – 2017) before it was passed to HCRG (then Virgin Care) as Prime Provider for the delivery of social care and public health services for the council; contract negotiations with DHI were led by both Public Health’s (their Deputy Director) and Virgin Care with a clear auditable trail. The contract was not handed to Virgin/HCRG to take forward in isolation, and DHI is frequently treated like a contractor to the council</w:t>
      </w:r>
      <w:r w:rsidR="002A695E" w:rsidRPr="00523D66">
        <w:rPr>
          <w:rFonts w:ascii="Arial" w:hAnsi="Arial" w:cs="Arial"/>
          <w:sz w:val="21"/>
          <w:szCs w:val="21"/>
        </w:rPr>
        <w:t>.”</w:t>
      </w:r>
      <w:r w:rsidR="008122A1" w:rsidRPr="00523D66">
        <w:rPr>
          <w:rStyle w:val="FootnoteReference"/>
          <w:rFonts w:ascii="Arial" w:hAnsi="Arial" w:cs="Arial"/>
          <w:sz w:val="21"/>
          <w:szCs w:val="21"/>
        </w:rPr>
        <w:footnoteReference w:id="14"/>
      </w:r>
    </w:p>
    <w:p w14:paraId="446971D2" w14:textId="0EF23106" w:rsidR="00560AD8" w:rsidRDefault="00D93055" w:rsidP="000961C2">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DHI </w:t>
      </w:r>
      <w:r w:rsidR="000E1035">
        <w:rPr>
          <w:rFonts w:ascii="Arial" w:hAnsi="Arial" w:cs="Arial"/>
        </w:rPr>
        <w:t xml:space="preserve">had </w:t>
      </w:r>
      <w:r w:rsidR="0038779B">
        <w:rPr>
          <w:rFonts w:ascii="Arial" w:hAnsi="Arial" w:cs="Arial"/>
        </w:rPr>
        <w:t xml:space="preserve">several </w:t>
      </w:r>
      <w:r w:rsidR="000E1035">
        <w:rPr>
          <w:rFonts w:ascii="Arial" w:hAnsi="Arial" w:cs="Arial"/>
        </w:rPr>
        <w:t xml:space="preserve">further concerns that were raised </w:t>
      </w:r>
      <w:r>
        <w:rPr>
          <w:rFonts w:ascii="Arial" w:hAnsi="Arial" w:cs="Arial"/>
        </w:rPr>
        <w:t xml:space="preserve">in its </w:t>
      </w:r>
      <w:r w:rsidR="00F14245">
        <w:rPr>
          <w:rFonts w:ascii="Arial" w:hAnsi="Arial" w:cs="Arial"/>
        </w:rPr>
        <w:t xml:space="preserve">earlier </w:t>
      </w:r>
      <w:r>
        <w:rPr>
          <w:rFonts w:ascii="Arial" w:hAnsi="Arial" w:cs="Arial"/>
        </w:rPr>
        <w:t xml:space="preserve">representations to </w:t>
      </w:r>
      <w:r w:rsidR="00F14245">
        <w:rPr>
          <w:rFonts w:ascii="Arial" w:hAnsi="Arial" w:cs="Arial"/>
        </w:rPr>
        <w:t>the Council</w:t>
      </w:r>
      <w:r w:rsidR="000E1035">
        <w:rPr>
          <w:rFonts w:ascii="Arial" w:hAnsi="Arial" w:cs="Arial"/>
        </w:rPr>
        <w:t xml:space="preserve"> and which it also wished the Panel to review. A</w:t>
      </w:r>
      <w:r w:rsidR="00695EDC">
        <w:rPr>
          <w:rFonts w:ascii="Arial" w:hAnsi="Arial" w:cs="Arial"/>
        </w:rPr>
        <w:t>s</w:t>
      </w:r>
      <w:r w:rsidR="00BB5828">
        <w:rPr>
          <w:rFonts w:ascii="Arial" w:hAnsi="Arial" w:cs="Arial"/>
        </w:rPr>
        <w:t xml:space="preserve"> a result, </w:t>
      </w:r>
      <w:r w:rsidR="001831C1">
        <w:rPr>
          <w:rFonts w:ascii="Arial" w:hAnsi="Arial" w:cs="Arial"/>
        </w:rPr>
        <w:t>this report refers</w:t>
      </w:r>
      <w:r w:rsidR="00695EDC">
        <w:rPr>
          <w:rFonts w:ascii="Arial" w:hAnsi="Arial" w:cs="Arial"/>
        </w:rPr>
        <w:t xml:space="preserve"> </w:t>
      </w:r>
      <w:r w:rsidR="001831C1">
        <w:rPr>
          <w:rFonts w:ascii="Arial" w:hAnsi="Arial" w:cs="Arial"/>
        </w:rPr>
        <w:t>to these earlier representations</w:t>
      </w:r>
      <w:r w:rsidR="0038779B">
        <w:rPr>
          <w:rFonts w:ascii="Arial" w:hAnsi="Arial" w:cs="Arial"/>
        </w:rPr>
        <w:t xml:space="preserve"> as appropriate</w:t>
      </w:r>
      <w:r w:rsidR="008024E4">
        <w:rPr>
          <w:rFonts w:ascii="Arial" w:hAnsi="Arial" w:cs="Arial"/>
        </w:rPr>
        <w:t>.</w:t>
      </w:r>
    </w:p>
    <w:p w14:paraId="53F9103F" w14:textId="0CBA915D" w:rsidR="00DD7B5F" w:rsidRPr="0048632C" w:rsidRDefault="00DD7B5F" w:rsidP="00DD7B5F">
      <w:pPr>
        <w:pStyle w:val="Heading1"/>
        <w:numPr>
          <w:ilvl w:val="0"/>
          <w:numId w:val="1"/>
        </w:numPr>
        <w:spacing w:before="360" w:after="240"/>
        <w:ind w:left="0" w:firstLine="0"/>
        <w:rPr>
          <w:rFonts w:ascii="Arial" w:hAnsi="Arial" w:cs="Arial"/>
          <w:b/>
          <w:bCs/>
          <w:color w:val="000000" w:themeColor="text1"/>
          <w:sz w:val="28"/>
          <w:szCs w:val="28"/>
        </w:rPr>
      </w:pPr>
      <w:bookmarkStart w:id="12" w:name="_Toc189662751"/>
      <w:r w:rsidRPr="0048632C">
        <w:rPr>
          <w:rFonts w:ascii="Arial" w:hAnsi="Arial" w:cs="Arial"/>
          <w:b/>
          <w:bCs/>
          <w:color w:val="000000" w:themeColor="text1"/>
          <w:sz w:val="28"/>
          <w:szCs w:val="28"/>
        </w:rPr>
        <w:t xml:space="preserve">PSR regulations relevant to the </w:t>
      </w:r>
      <w:r w:rsidR="004B1AF4">
        <w:rPr>
          <w:rFonts w:ascii="Arial" w:hAnsi="Arial" w:cs="Arial"/>
          <w:b/>
          <w:bCs/>
          <w:color w:val="000000" w:themeColor="text1"/>
          <w:sz w:val="28"/>
          <w:szCs w:val="28"/>
        </w:rPr>
        <w:t>c</w:t>
      </w:r>
      <w:r w:rsidRPr="0048632C">
        <w:rPr>
          <w:rFonts w:ascii="Arial" w:hAnsi="Arial" w:cs="Arial"/>
          <w:b/>
          <w:bCs/>
          <w:color w:val="000000" w:themeColor="text1"/>
          <w:sz w:val="28"/>
          <w:szCs w:val="28"/>
        </w:rPr>
        <w:t xml:space="preserve">ompetitive </w:t>
      </w:r>
      <w:r w:rsidR="004B1AF4">
        <w:rPr>
          <w:rFonts w:ascii="Arial" w:hAnsi="Arial" w:cs="Arial"/>
          <w:b/>
          <w:bCs/>
          <w:color w:val="000000" w:themeColor="text1"/>
          <w:sz w:val="28"/>
          <w:szCs w:val="28"/>
        </w:rPr>
        <w:t>p</w:t>
      </w:r>
      <w:r w:rsidRPr="0048632C">
        <w:rPr>
          <w:rFonts w:ascii="Arial" w:hAnsi="Arial" w:cs="Arial"/>
          <w:b/>
          <w:bCs/>
          <w:color w:val="000000" w:themeColor="text1"/>
          <w:sz w:val="28"/>
          <w:szCs w:val="28"/>
        </w:rPr>
        <w:t>rocess</w:t>
      </w:r>
      <w:bookmarkEnd w:id="12"/>
    </w:p>
    <w:p w14:paraId="14F1243F" w14:textId="53055FF3" w:rsidR="00DD7B5F" w:rsidRPr="00162536" w:rsidRDefault="00FF0A0B" w:rsidP="00162536">
      <w:pPr>
        <w:pStyle w:val="ListParagraph"/>
        <w:numPr>
          <w:ilvl w:val="0"/>
          <w:numId w:val="2"/>
        </w:numPr>
        <w:spacing w:line="276" w:lineRule="auto"/>
        <w:ind w:left="567" w:hanging="567"/>
        <w:contextualSpacing w:val="0"/>
        <w:rPr>
          <w:rFonts w:ascii="Arial" w:hAnsi="Arial" w:cs="Arial"/>
        </w:rPr>
      </w:pPr>
      <w:r w:rsidRPr="00162536">
        <w:rPr>
          <w:rFonts w:ascii="Arial" w:hAnsi="Arial" w:cs="Arial"/>
        </w:rPr>
        <w:t xml:space="preserve">DHI </w:t>
      </w:r>
      <w:r w:rsidR="00F63494" w:rsidRPr="00162536">
        <w:rPr>
          <w:rFonts w:ascii="Arial" w:hAnsi="Arial" w:cs="Arial"/>
        </w:rPr>
        <w:t xml:space="preserve">has </w:t>
      </w:r>
      <w:r w:rsidRPr="00162536">
        <w:rPr>
          <w:rFonts w:ascii="Arial" w:hAnsi="Arial" w:cs="Arial"/>
        </w:rPr>
        <w:t xml:space="preserve">suggested that its concerns amount to a breach </w:t>
      </w:r>
      <w:r w:rsidR="00F63494" w:rsidRPr="00162536">
        <w:rPr>
          <w:rFonts w:ascii="Arial" w:hAnsi="Arial" w:cs="Arial"/>
        </w:rPr>
        <w:t xml:space="preserve">by the Council </w:t>
      </w:r>
      <w:r w:rsidRPr="00162536">
        <w:rPr>
          <w:rFonts w:ascii="Arial" w:hAnsi="Arial" w:cs="Arial"/>
        </w:rPr>
        <w:t>of the PSR regulations in relation to the general obligations on commissioners (as set out in Regulation 4) and the application of the key criteria (as set out in Regulation 5).</w:t>
      </w:r>
      <w:r w:rsidR="00162536" w:rsidRPr="00162536">
        <w:rPr>
          <w:rFonts w:ascii="Arial" w:hAnsi="Arial" w:cs="Arial"/>
        </w:rPr>
        <w:t xml:space="preserve"> </w:t>
      </w:r>
      <w:r w:rsidR="00DD7B5F" w:rsidRPr="00162536">
        <w:rPr>
          <w:rFonts w:ascii="Arial" w:hAnsi="Arial" w:cs="Arial"/>
        </w:rPr>
        <w:t xml:space="preserve">This section provides a summary of the key provisions of the PSR regulations relevant to the </w:t>
      </w:r>
      <w:r w:rsidR="001E50F2">
        <w:rPr>
          <w:rFonts w:ascii="Arial" w:hAnsi="Arial" w:cs="Arial"/>
        </w:rPr>
        <w:t>c</w:t>
      </w:r>
      <w:r w:rsidR="00DD7B5F" w:rsidRPr="00162536">
        <w:rPr>
          <w:rFonts w:ascii="Arial" w:hAnsi="Arial" w:cs="Arial"/>
        </w:rPr>
        <w:t xml:space="preserve">ompetitive </w:t>
      </w:r>
      <w:proofErr w:type="gramStart"/>
      <w:r w:rsidR="001E50F2">
        <w:rPr>
          <w:rFonts w:ascii="Arial" w:hAnsi="Arial" w:cs="Arial"/>
        </w:rPr>
        <w:t>p</w:t>
      </w:r>
      <w:r w:rsidR="00DD7B5F" w:rsidRPr="00162536">
        <w:rPr>
          <w:rFonts w:ascii="Arial" w:hAnsi="Arial" w:cs="Arial"/>
        </w:rPr>
        <w:t>rocess, and</w:t>
      </w:r>
      <w:proofErr w:type="gramEnd"/>
      <w:r w:rsidR="00DD7B5F" w:rsidRPr="00162536">
        <w:rPr>
          <w:rFonts w:ascii="Arial" w:hAnsi="Arial" w:cs="Arial"/>
        </w:rPr>
        <w:t xml:space="preserve"> provides a ready reference to the regulations discussed in this report.</w:t>
      </w:r>
    </w:p>
    <w:p w14:paraId="020832D2" w14:textId="7B965C44" w:rsidR="00DD7B5F" w:rsidRDefault="00DD7B5F" w:rsidP="00523D66">
      <w:pPr>
        <w:pStyle w:val="ListParagraph"/>
        <w:numPr>
          <w:ilvl w:val="0"/>
          <w:numId w:val="2"/>
        </w:numPr>
        <w:spacing w:line="276" w:lineRule="auto"/>
        <w:ind w:left="567" w:hanging="567"/>
        <w:contextualSpacing w:val="0"/>
        <w:rPr>
          <w:rFonts w:ascii="Arial" w:hAnsi="Arial" w:cs="Arial"/>
        </w:rPr>
      </w:pPr>
      <w:r>
        <w:rPr>
          <w:rFonts w:ascii="Arial" w:hAnsi="Arial" w:cs="Arial"/>
        </w:rPr>
        <w:t>The four parts of the PSR regulations most relevant to this review are as follows:</w:t>
      </w:r>
    </w:p>
    <w:p w14:paraId="3A59ECE8" w14:textId="77777777" w:rsidR="00F3506F" w:rsidRPr="00F3506F" w:rsidRDefault="00DD7B5F" w:rsidP="00F3506F">
      <w:pPr>
        <w:pStyle w:val="ListParagraph"/>
        <w:numPr>
          <w:ilvl w:val="0"/>
          <w:numId w:val="8"/>
        </w:numPr>
        <w:spacing w:line="276" w:lineRule="auto"/>
        <w:ind w:left="1077" w:hanging="357"/>
        <w:contextualSpacing w:val="0"/>
        <w:rPr>
          <w:rFonts w:ascii="Arial" w:hAnsi="Arial" w:cs="Arial"/>
        </w:rPr>
      </w:pPr>
      <w:r w:rsidRPr="00F3506F">
        <w:rPr>
          <w:rFonts w:ascii="Arial" w:hAnsi="Arial" w:cs="Arial"/>
        </w:rPr>
        <w:t>First, the PSR regulations set out the general obligations that apply to relevant authorities (i.e. commissioners) when selecting a provider of health care services (Regulation 4). This states that relevant authorities must “act: (a) with a view to - (</w:t>
      </w:r>
      <w:proofErr w:type="spellStart"/>
      <w:r w:rsidRPr="00F3506F">
        <w:rPr>
          <w:rFonts w:ascii="Arial" w:hAnsi="Arial" w:cs="Arial"/>
        </w:rPr>
        <w:t>i</w:t>
      </w:r>
      <w:proofErr w:type="spellEnd"/>
      <w:r w:rsidRPr="00F3506F">
        <w:rPr>
          <w:rFonts w:ascii="Arial" w:hAnsi="Arial" w:cs="Arial"/>
        </w:rPr>
        <w:t>) securing the needs of people who use the services; (ii) improving the quality of the services; and (iii) improving efficiency in the provision of the services; and (b) transparently, fairly and proportionately”.</w:t>
      </w:r>
    </w:p>
    <w:p w14:paraId="7DEDDAFC" w14:textId="7A5204A9" w:rsidR="00DD7B5F" w:rsidRPr="00F3506F" w:rsidRDefault="00DD7B5F" w:rsidP="00F3506F">
      <w:pPr>
        <w:pStyle w:val="ListParagraph"/>
        <w:numPr>
          <w:ilvl w:val="0"/>
          <w:numId w:val="8"/>
        </w:numPr>
        <w:spacing w:line="276" w:lineRule="auto"/>
        <w:ind w:left="1077" w:hanging="357"/>
        <w:contextualSpacing w:val="0"/>
        <w:rPr>
          <w:rFonts w:ascii="Arial" w:hAnsi="Arial" w:cs="Arial"/>
        </w:rPr>
      </w:pPr>
      <w:r w:rsidRPr="00F3506F">
        <w:rPr>
          <w:rFonts w:ascii="Arial" w:hAnsi="Arial" w:cs="Arial"/>
        </w:rPr>
        <w:t xml:space="preserve">Second, the PSR regulations set out the key criteria which a relevant authority must consider when applying the Competitive Process (Regulation 5). These </w:t>
      </w:r>
      <w:r w:rsidR="00B948A4">
        <w:rPr>
          <w:rFonts w:ascii="Arial" w:hAnsi="Arial" w:cs="Arial"/>
        </w:rPr>
        <w:t>five</w:t>
      </w:r>
      <w:r w:rsidRPr="00F3506F">
        <w:rPr>
          <w:rFonts w:ascii="Arial" w:hAnsi="Arial" w:cs="Arial"/>
        </w:rPr>
        <w:t xml:space="preserve"> key criteria are: (a) quality and innovation; (b) value; (c) integration, collaboration and service sustainability; (d) improving access, reducing health inequalities and facilitating choice; and (e) social value.</w:t>
      </w:r>
    </w:p>
    <w:p w14:paraId="28F6E56B" w14:textId="1E1E1830" w:rsidR="00DD7B5F" w:rsidRPr="00F3506F" w:rsidRDefault="00DD7B5F" w:rsidP="00F3506F">
      <w:pPr>
        <w:pStyle w:val="ListParagraph"/>
        <w:numPr>
          <w:ilvl w:val="0"/>
          <w:numId w:val="8"/>
        </w:numPr>
        <w:spacing w:line="276" w:lineRule="auto"/>
        <w:ind w:left="1077" w:hanging="357"/>
        <w:contextualSpacing w:val="0"/>
        <w:rPr>
          <w:rFonts w:ascii="Arial" w:hAnsi="Arial" w:cs="Arial"/>
        </w:rPr>
      </w:pPr>
      <w:r w:rsidRPr="00F3506F">
        <w:rPr>
          <w:rFonts w:ascii="Arial" w:hAnsi="Arial" w:cs="Arial"/>
        </w:rPr>
        <w:t>Third, the PSR regulations set out the circumstances in which a relevant authority may use the Competitive Process (Regulation 6(</w:t>
      </w:r>
      <w:r w:rsidR="00C355DE">
        <w:rPr>
          <w:rFonts w:ascii="Arial" w:hAnsi="Arial" w:cs="Arial"/>
        </w:rPr>
        <w:t>5</w:t>
      </w:r>
      <w:r w:rsidRPr="00F3506F">
        <w:rPr>
          <w:rFonts w:ascii="Arial" w:hAnsi="Arial" w:cs="Arial"/>
        </w:rPr>
        <w:t xml:space="preserve">)). This states that “Where (a) the relevant authority is not required to follow Direct Award Process A or Direct Award Process B, (b) </w:t>
      </w:r>
      <w:r w:rsidR="00992B0D">
        <w:rPr>
          <w:rFonts w:ascii="Arial" w:hAnsi="Arial" w:cs="Arial"/>
        </w:rPr>
        <w:t xml:space="preserve">the term of an existing contract is due to expire and the relevant authority proposes a new contract to replace that existing contract at the end of its term, (c) the considerable change threshold is not met (see paragraphs (10) to (12)), (d) the relevant authority is of the view that the existing provider is satisfying the existing contract and will likely satisfy the proposed contract to a sufficient standard, and </w:t>
      </w:r>
      <w:r w:rsidR="000A2FBE">
        <w:rPr>
          <w:rFonts w:ascii="Arial" w:hAnsi="Arial" w:cs="Arial"/>
        </w:rPr>
        <w:t>(e)</w:t>
      </w:r>
      <w:r w:rsidR="00992B0D">
        <w:rPr>
          <w:rFonts w:ascii="Arial" w:hAnsi="Arial" w:cs="Arial"/>
        </w:rPr>
        <w:t xml:space="preserve"> the procurement is not to conclude a framework agreement, the relevant authority must follow one of Direct Award Process C, the Most Suitable Provider Process </w:t>
      </w:r>
      <w:r w:rsidR="004C0E1A">
        <w:rPr>
          <w:rFonts w:ascii="Arial" w:hAnsi="Arial" w:cs="Arial"/>
        </w:rPr>
        <w:t>or the Competitive Process, such choice being at the discretion of the relevant authority</w:t>
      </w:r>
      <w:r w:rsidR="00A806F4">
        <w:rPr>
          <w:rFonts w:ascii="Arial" w:hAnsi="Arial" w:cs="Arial"/>
        </w:rPr>
        <w:t>”</w:t>
      </w:r>
      <w:r w:rsidR="004C0E1A">
        <w:rPr>
          <w:rFonts w:ascii="Arial" w:hAnsi="Arial" w:cs="Arial"/>
        </w:rPr>
        <w:t>.</w:t>
      </w:r>
    </w:p>
    <w:p w14:paraId="22CBF4B1" w14:textId="6C22F71C" w:rsidR="00DD7B5F" w:rsidRDefault="00DD7B5F" w:rsidP="00F3506F">
      <w:pPr>
        <w:pStyle w:val="ListParagraph"/>
        <w:numPr>
          <w:ilvl w:val="0"/>
          <w:numId w:val="8"/>
        </w:numPr>
        <w:spacing w:line="276" w:lineRule="auto"/>
        <w:ind w:left="1077" w:hanging="357"/>
        <w:contextualSpacing w:val="0"/>
        <w:rPr>
          <w:rFonts w:ascii="Arial" w:hAnsi="Arial" w:cs="Arial"/>
        </w:rPr>
      </w:pPr>
      <w:r w:rsidRPr="00F3506F">
        <w:rPr>
          <w:rFonts w:ascii="Arial" w:hAnsi="Arial" w:cs="Arial"/>
        </w:rPr>
        <w:t>Finally, the PSR regulations set out the process that relevant authorities must follow when using the Competitive Process (Regulation 11). This states that “Where the relevant authority follows the Competitive Process, the process is that the relevant authority follows the steps set out in this regulation”. (2) Step 1 is that the relevant authority determine the contract or framework award criteria, taking into account the key criteria and applying the basic selection criteria; (3) …;</w:t>
      </w:r>
      <w:r w:rsidR="00A53F5E">
        <w:rPr>
          <w:rFonts w:ascii="Arial" w:hAnsi="Arial" w:cs="Arial"/>
        </w:rPr>
        <w:t xml:space="preserve"> </w:t>
      </w:r>
      <w:r w:rsidRPr="00F3506F">
        <w:rPr>
          <w:rFonts w:ascii="Arial" w:hAnsi="Arial" w:cs="Arial"/>
        </w:rPr>
        <w:t>(4)</w:t>
      </w:r>
      <w:r w:rsidR="002E2E40">
        <w:rPr>
          <w:rFonts w:ascii="Arial" w:hAnsi="Arial" w:cs="Arial"/>
        </w:rPr>
        <w:t> </w:t>
      </w:r>
      <w:r w:rsidRPr="00F3506F">
        <w:rPr>
          <w:rFonts w:ascii="Arial" w:hAnsi="Arial" w:cs="Arial"/>
        </w:rPr>
        <w:t>…;</w:t>
      </w:r>
      <w:r w:rsidR="00A53F5E">
        <w:rPr>
          <w:rFonts w:ascii="Arial" w:hAnsi="Arial" w:cs="Arial"/>
        </w:rPr>
        <w:t xml:space="preserve"> </w:t>
      </w:r>
      <w:r w:rsidRPr="00F3506F">
        <w:rPr>
          <w:rFonts w:ascii="Arial" w:hAnsi="Arial" w:cs="Arial"/>
        </w:rPr>
        <w:t xml:space="preserve">(5) Step 3 is that the relevant authority assess any offers received in </w:t>
      </w:r>
      <w:r w:rsidRPr="00F3506F">
        <w:rPr>
          <w:rFonts w:ascii="Arial" w:hAnsi="Arial" w:cs="Arial"/>
        </w:rPr>
        <w:lastRenderedPageBreak/>
        <w:t>accordance with the contract or framework award criteria; (6)</w:t>
      </w:r>
      <w:r w:rsidR="002E2E40">
        <w:rPr>
          <w:rFonts w:ascii="Arial" w:hAnsi="Arial" w:cs="Arial"/>
        </w:rPr>
        <w:t xml:space="preserve"> </w:t>
      </w:r>
      <w:r w:rsidRPr="00F3506F">
        <w:rPr>
          <w:rFonts w:ascii="Arial" w:hAnsi="Arial" w:cs="Arial"/>
        </w:rPr>
        <w:t>…;</w:t>
      </w:r>
      <w:r w:rsidR="002E2E40">
        <w:rPr>
          <w:rFonts w:ascii="Arial" w:hAnsi="Arial" w:cs="Arial"/>
        </w:rPr>
        <w:t xml:space="preserve"> </w:t>
      </w:r>
      <w:r w:rsidRPr="00F3506F">
        <w:rPr>
          <w:rFonts w:ascii="Arial" w:hAnsi="Arial" w:cs="Arial"/>
        </w:rPr>
        <w:t>(7) Step 4 is that the relevant authority makes a decision as to the successful provider</w:t>
      </w:r>
      <w:r w:rsidR="002E2E40">
        <w:rPr>
          <w:rFonts w:ascii="Arial" w:hAnsi="Arial" w:cs="Arial"/>
        </w:rPr>
        <w:t xml:space="preserve"> </w:t>
      </w:r>
      <w:r w:rsidRPr="00F3506F">
        <w:rPr>
          <w:rFonts w:ascii="Arial" w:hAnsi="Arial" w:cs="Arial"/>
        </w:rPr>
        <w:t>…”.</w:t>
      </w:r>
    </w:p>
    <w:p w14:paraId="0576F455" w14:textId="3989AB46" w:rsidR="00DD7B5F" w:rsidRPr="007C4FDF" w:rsidRDefault="00DD7B5F" w:rsidP="00DD7B5F">
      <w:pPr>
        <w:pStyle w:val="ListParagraph"/>
        <w:numPr>
          <w:ilvl w:val="0"/>
          <w:numId w:val="2"/>
        </w:numPr>
        <w:spacing w:line="276" w:lineRule="auto"/>
        <w:ind w:left="567" w:hanging="567"/>
        <w:contextualSpacing w:val="0"/>
        <w:rPr>
          <w:rFonts w:ascii="Arial" w:hAnsi="Arial" w:cs="Arial"/>
        </w:rPr>
      </w:pPr>
      <w:r>
        <w:rPr>
          <w:rFonts w:ascii="Arial" w:hAnsi="Arial" w:cs="Arial"/>
        </w:rPr>
        <w:t>The Provider Selection Regime Statutory Guidance “sits alongside the Regulations to support organisations to understand and interpret the PSR regulations”.</w:t>
      </w:r>
      <w:r>
        <w:rPr>
          <w:rStyle w:val="FootnoteReference"/>
          <w:rFonts w:ascii="Arial" w:hAnsi="Arial" w:cs="Arial"/>
        </w:rPr>
        <w:footnoteReference w:id="15"/>
      </w:r>
      <w:r>
        <w:rPr>
          <w:rFonts w:ascii="Arial" w:hAnsi="Arial" w:cs="Arial"/>
        </w:rPr>
        <w:t xml:space="preserve"> Reference is made to relevant provisions of the </w:t>
      </w:r>
      <w:r w:rsidR="009E6230">
        <w:rPr>
          <w:rFonts w:ascii="Arial" w:hAnsi="Arial" w:cs="Arial"/>
        </w:rPr>
        <w:t>s</w:t>
      </w:r>
      <w:r>
        <w:rPr>
          <w:rFonts w:ascii="Arial" w:hAnsi="Arial" w:cs="Arial"/>
        </w:rPr>
        <w:t xml:space="preserve">tatutory </w:t>
      </w:r>
      <w:r w:rsidR="009E6230">
        <w:rPr>
          <w:rFonts w:ascii="Arial" w:hAnsi="Arial" w:cs="Arial"/>
        </w:rPr>
        <w:t>g</w:t>
      </w:r>
      <w:r>
        <w:rPr>
          <w:rFonts w:ascii="Arial" w:hAnsi="Arial" w:cs="Arial"/>
        </w:rPr>
        <w:t>uidance in the Panel’s assessment of the issues in Section 7.</w:t>
      </w:r>
    </w:p>
    <w:p w14:paraId="1C538234" w14:textId="56AD802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3" w:name="_Toc189662752"/>
      <w:r w:rsidRPr="00A46C26">
        <w:rPr>
          <w:rFonts w:ascii="Arial" w:hAnsi="Arial" w:cs="Arial"/>
          <w:b/>
          <w:bCs/>
          <w:color w:val="000000" w:themeColor="text1"/>
          <w:sz w:val="28"/>
          <w:szCs w:val="28"/>
        </w:rPr>
        <w:t>Panel Assessment</w:t>
      </w:r>
      <w:bookmarkStart w:id="14" w:name="_Toc166083480"/>
      <w:bookmarkEnd w:id="13"/>
    </w:p>
    <w:p w14:paraId="50223636" w14:textId="3B8D0146" w:rsidR="00C4143F" w:rsidRDefault="000F3264" w:rsidP="1D6849F6">
      <w:pPr>
        <w:pStyle w:val="ListParagraph"/>
        <w:numPr>
          <w:ilvl w:val="0"/>
          <w:numId w:val="2"/>
        </w:numPr>
        <w:spacing w:after="0" w:line="276" w:lineRule="auto"/>
        <w:ind w:left="567" w:hanging="567"/>
        <w:rPr>
          <w:rFonts w:ascii="Arial" w:hAnsi="Arial" w:cs="Arial"/>
        </w:rPr>
      </w:pPr>
      <w:r>
        <w:rPr>
          <w:rFonts w:ascii="Arial" w:hAnsi="Arial" w:cs="Arial"/>
        </w:rPr>
        <w:t>Th</w:t>
      </w:r>
      <w:r w:rsidR="00FF5A62">
        <w:rPr>
          <w:rFonts w:ascii="Arial" w:hAnsi="Arial" w:cs="Arial"/>
        </w:rPr>
        <w:t xml:space="preserve">is section sets out the Panel’s assessment of the representations made by DHI and </w:t>
      </w:r>
      <w:r w:rsidR="1F3EC4F4" w:rsidRPr="1D6849F6">
        <w:rPr>
          <w:rFonts w:ascii="Arial" w:hAnsi="Arial" w:cs="Arial"/>
        </w:rPr>
        <w:t xml:space="preserve">its findings on </w:t>
      </w:r>
      <w:r w:rsidR="00FF5A62">
        <w:rPr>
          <w:rFonts w:ascii="Arial" w:hAnsi="Arial" w:cs="Arial"/>
        </w:rPr>
        <w:t xml:space="preserve">whether the Council complied with the PSR regulations in relation to each </w:t>
      </w:r>
      <w:r w:rsidR="000A22AE">
        <w:rPr>
          <w:rFonts w:ascii="Arial" w:hAnsi="Arial" w:cs="Arial"/>
        </w:rPr>
        <w:t xml:space="preserve">matter. The Panel’s assessment is set out in </w:t>
      </w:r>
      <w:r w:rsidR="00782296">
        <w:rPr>
          <w:rFonts w:ascii="Arial" w:hAnsi="Arial" w:cs="Arial"/>
        </w:rPr>
        <w:t>seven</w:t>
      </w:r>
      <w:r>
        <w:rPr>
          <w:rFonts w:ascii="Arial" w:hAnsi="Arial" w:cs="Arial"/>
        </w:rPr>
        <w:t xml:space="preserve"> </w:t>
      </w:r>
      <w:r w:rsidR="000A22AE">
        <w:rPr>
          <w:rFonts w:ascii="Arial" w:hAnsi="Arial" w:cs="Arial"/>
        </w:rPr>
        <w:t>parts</w:t>
      </w:r>
      <w:r w:rsidR="002E2421">
        <w:rPr>
          <w:rFonts w:ascii="Arial" w:hAnsi="Arial" w:cs="Arial"/>
        </w:rPr>
        <w:t xml:space="preserve"> that address the following issues</w:t>
      </w:r>
      <w:r w:rsidR="00C4143F">
        <w:rPr>
          <w:rFonts w:ascii="Arial" w:hAnsi="Arial" w:cs="Arial"/>
        </w:rPr>
        <w:t>:</w:t>
      </w:r>
    </w:p>
    <w:p w14:paraId="7B8CD6C6" w14:textId="03E5591E" w:rsidR="00CE310B" w:rsidRPr="00824817" w:rsidRDefault="0083210F" w:rsidP="00C4143F">
      <w:pPr>
        <w:pStyle w:val="ListParagraph"/>
        <w:numPr>
          <w:ilvl w:val="1"/>
          <w:numId w:val="2"/>
        </w:numPr>
        <w:spacing w:after="0" w:line="276" w:lineRule="auto"/>
        <w:ind w:left="1134" w:hanging="283"/>
        <w:contextualSpacing w:val="0"/>
        <w:rPr>
          <w:rFonts w:ascii="Arial" w:hAnsi="Arial" w:cs="Arial"/>
        </w:rPr>
      </w:pPr>
      <w:r w:rsidRPr="00824817">
        <w:rPr>
          <w:rFonts w:ascii="Arial" w:hAnsi="Arial" w:cs="Arial"/>
        </w:rPr>
        <w:t>f</w:t>
      </w:r>
      <w:r w:rsidR="000F3264" w:rsidRPr="00824817">
        <w:rPr>
          <w:rFonts w:ascii="Arial" w:hAnsi="Arial" w:cs="Arial"/>
        </w:rPr>
        <w:t>irst,</w:t>
      </w:r>
      <w:r w:rsidR="00CE310B" w:rsidRPr="00824817">
        <w:rPr>
          <w:rFonts w:ascii="Arial" w:hAnsi="Arial" w:cs="Arial"/>
        </w:rPr>
        <w:t xml:space="preserve"> </w:t>
      </w:r>
      <w:r w:rsidR="00D02493">
        <w:rPr>
          <w:rFonts w:ascii="Arial" w:hAnsi="Arial" w:cs="Arial"/>
        </w:rPr>
        <w:t xml:space="preserve">the </w:t>
      </w:r>
      <w:r w:rsidR="002E2421">
        <w:rPr>
          <w:rFonts w:ascii="Arial" w:hAnsi="Arial" w:cs="Arial"/>
        </w:rPr>
        <w:t xml:space="preserve">Council’s </w:t>
      </w:r>
      <w:r w:rsidR="00D02493">
        <w:rPr>
          <w:rFonts w:ascii="Arial" w:hAnsi="Arial" w:cs="Arial"/>
        </w:rPr>
        <w:t xml:space="preserve">scoring of </w:t>
      </w:r>
      <w:r w:rsidR="00A6353F" w:rsidRPr="00824817">
        <w:rPr>
          <w:rFonts w:ascii="Arial" w:eastAsiaTheme="majorEastAsia" w:hAnsi="Arial" w:cs="Arial"/>
        </w:rPr>
        <w:t xml:space="preserve">sub-criteria and </w:t>
      </w:r>
      <w:r w:rsidR="00D02493">
        <w:rPr>
          <w:rFonts w:ascii="Arial" w:eastAsiaTheme="majorEastAsia" w:hAnsi="Arial" w:cs="Arial"/>
        </w:rPr>
        <w:t xml:space="preserve">the </w:t>
      </w:r>
      <w:r w:rsidR="00A6353F" w:rsidRPr="00824817">
        <w:rPr>
          <w:rFonts w:ascii="Arial" w:eastAsiaTheme="majorEastAsia" w:hAnsi="Arial" w:cs="Arial"/>
        </w:rPr>
        <w:t xml:space="preserve">calculation of weighted scores </w:t>
      </w:r>
      <w:r w:rsidR="00782296" w:rsidRPr="00824817">
        <w:rPr>
          <w:rFonts w:ascii="Arial" w:eastAsiaTheme="majorEastAsia" w:hAnsi="Arial" w:cs="Arial"/>
        </w:rPr>
        <w:t>(Section 7.1</w:t>
      </w:r>
      <w:proofErr w:type="gramStart"/>
      <w:r w:rsidR="00782296" w:rsidRPr="00824817">
        <w:rPr>
          <w:rFonts w:ascii="Arial" w:eastAsiaTheme="majorEastAsia" w:hAnsi="Arial" w:cs="Arial"/>
        </w:rPr>
        <w:t>)</w:t>
      </w:r>
      <w:r w:rsidR="00782296" w:rsidRPr="00824817">
        <w:rPr>
          <w:rFonts w:ascii="Arial" w:hAnsi="Arial" w:cs="Arial"/>
        </w:rPr>
        <w:t>;</w:t>
      </w:r>
      <w:proofErr w:type="gramEnd"/>
    </w:p>
    <w:p w14:paraId="0A4AE76B" w14:textId="5FD126EC" w:rsidR="00C4143F" w:rsidRPr="00824817" w:rsidRDefault="00782296" w:rsidP="00C4143F">
      <w:pPr>
        <w:pStyle w:val="ListParagraph"/>
        <w:numPr>
          <w:ilvl w:val="1"/>
          <w:numId w:val="2"/>
        </w:numPr>
        <w:spacing w:after="0" w:line="276" w:lineRule="auto"/>
        <w:ind w:left="1134" w:hanging="283"/>
        <w:contextualSpacing w:val="0"/>
        <w:rPr>
          <w:rFonts w:ascii="Arial" w:hAnsi="Arial" w:cs="Arial"/>
        </w:rPr>
      </w:pPr>
      <w:r w:rsidRPr="00824817">
        <w:rPr>
          <w:rFonts w:ascii="Arial" w:hAnsi="Arial" w:cs="Arial"/>
        </w:rPr>
        <w:t xml:space="preserve">second, </w:t>
      </w:r>
      <w:r w:rsidR="004067EA">
        <w:rPr>
          <w:rFonts w:ascii="Arial" w:hAnsi="Arial" w:cs="Arial"/>
        </w:rPr>
        <w:t xml:space="preserve">the Council’s scoring of responses to the </w:t>
      </w:r>
      <w:r w:rsidR="004067EA">
        <w:rPr>
          <w:rFonts w:ascii="Arial" w:eastAsiaTheme="majorEastAsia" w:hAnsi="Arial" w:cs="Arial"/>
        </w:rPr>
        <w:t>s</w:t>
      </w:r>
      <w:r w:rsidR="004067EA" w:rsidRPr="00824817">
        <w:rPr>
          <w:rFonts w:ascii="Arial" w:eastAsiaTheme="majorEastAsia" w:hAnsi="Arial" w:cs="Arial"/>
        </w:rPr>
        <w:t xml:space="preserve">ocial </w:t>
      </w:r>
      <w:r w:rsidR="004067EA">
        <w:rPr>
          <w:rFonts w:ascii="Arial" w:eastAsiaTheme="majorEastAsia" w:hAnsi="Arial" w:cs="Arial"/>
        </w:rPr>
        <w:t>v</w:t>
      </w:r>
      <w:r w:rsidR="004067EA" w:rsidRPr="00824817">
        <w:rPr>
          <w:rFonts w:ascii="Arial" w:eastAsiaTheme="majorEastAsia" w:hAnsi="Arial" w:cs="Arial"/>
        </w:rPr>
        <w:t xml:space="preserve">alue </w:t>
      </w:r>
      <w:r w:rsidR="004067EA">
        <w:rPr>
          <w:rFonts w:ascii="Arial" w:eastAsiaTheme="majorEastAsia" w:hAnsi="Arial" w:cs="Arial"/>
        </w:rPr>
        <w:t xml:space="preserve">questions </w:t>
      </w:r>
      <w:r w:rsidR="004067EA" w:rsidRPr="00824817">
        <w:rPr>
          <w:rFonts w:ascii="Arial" w:eastAsiaTheme="majorEastAsia" w:hAnsi="Arial" w:cs="Arial"/>
        </w:rPr>
        <w:t xml:space="preserve">and </w:t>
      </w:r>
      <w:r w:rsidR="004067EA">
        <w:rPr>
          <w:rFonts w:ascii="Arial" w:eastAsiaTheme="majorEastAsia" w:hAnsi="Arial" w:cs="Arial"/>
        </w:rPr>
        <w:t>the potential exclusion of bidders with low-scoring responses to these questions</w:t>
      </w:r>
      <w:r w:rsidR="004067EA" w:rsidRPr="00824817">
        <w:rPr>
          <w:rFonts w:ascii="Arial" w:eastAsiaTheme="majorEastAsia" w:hAnsi="Arial" w:cs="Arial"/>
        </w:rPr>
        <w:t xml:space="preserve"> </w:t>
      </w:r>
      <w:r w:rsidR="000D1843" w:rsidRPr="00824817">
        <w:rPr>
          <w:rFonts w:ascii="Arial" w:eastAsiaTheme="majorEastAsia" w:hAnsi="Arial" w:cs="Arial"/>
        </w:rPr>
        <w:t>(</w:t>
      </w:r>
      <w:r w:rsidR="000E7D7E" w:rsidRPr="00824817">
        <w:rPr>
          <w:rFonts w:ascii="Arial" w:eastAsiaTheme="majorEastAsia" w:hAnsi="Arial" w:cs="Arial"/>
        </w:rPr>
        <w:t>Section</w:t>
      </w:r>
      <w:r w:rsidR="00C4143F" w:rsidRPr="00824817">
        <w:rPr>
          <w:rFonts w:ascii="Arial" w:eastAsiaTheme="majorEastAsia" w:hAnsi="Arial" w:cs="Arial"/>
        </w:rPr>
        <w:t> </w:t>
      </w:r>
      <w:r w:rsidR="000E7D7E" w:rsidRPr="00824817">
        <w:rPr>
          <w:rFonts w:ascii="Arial" w:eastAsiaTheme="majorEastAsia" w:hAnsi="Arial" w:cs="Arial"/>
        </w:rPr>
        <w:t>7.</w:t>
      </w:r>
      <w:r w:rsidRPr="00824817">
        <w:rPr>
          <w:rFonts w:ascii="Arial" w:eastAsiaTheme="majorEastAsia" w:hAnsi="Arial" w:cs="Arial"/>
        </w:rPr>
        <w:t>2</w:t>
      </w:r>
      <w:proofErr w:type="gramStart"/>
      <w:r w:rsidR="000E7D7E" w:rsidRPr="00824817">
        <w:rPr>
          <w:rFonts w:ascii="Arial" w:eastAsiaTheme="majorEastAsia" w:hAnsi="Arial" w:cs="Arial"/>
        </w:rPr>
        <w:t>)</w:t>
      </w:r>
      <w:r w:rsidR="00C4143F" w:rsidRPr="00824817">
        <w:rPr>
          <w:rFonts w:ascii="Arial" w:eastAsiaTheme="majorEastAsia" w:hAnsi="Arial" w:cs="Arial"/>
        </w:rPr>
        <w:t>;</w:t>
      </w:r>
      <w:proofErr w:type="gramEnd"/>
    </w:p>
    <w:p w14:paraId="04BFBB66" w14:textId="69531029" w:rsidR="00FC15BC" w:rsidRPr="00824817" w:rsidRDefault="00FC15BC" w:rsidP="00FC15BC">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rPr>
        <w:t>third</w:t>
      </w:r>
      <w:r w:rsidRPr="00824817">
        <w:rPr>
          <w:rFonts w:ascii="Arial" w:eastAsiaTheme="majorEastAsia" w:hAnsi="Arial" w:cs="Arial"/>
        </w:rPr>
        <w:t xml:space="preserve">, </w:t>
      </w:r>
      <w:r w:rsidR="004067EA" w:rsidRPr="00824817">
        <w:rPr>
          <w:rFonts w:ascii="Arial" w:hAnsi="Arial" w:cs="Arial"/>
        </w:rPr>
        <w:t xml:space="preserve">the </w:t>
      </w:r>
      <w:r w:rsidR="004067EA">
        <w:rPr>
          <w:rFonts w:ascii="Arial" w:hAnsi="Arial" w:cs="Arial"/>
        </w:rPr>
        <w:t>Council’s evaluation and scoring of responses to the quality questions given DHI’s concerns about the Council’s feedback on the level of detail in its proposal</w:t>
      </w:r>
      <w:r w:rsidR="004067EA" w:rsidRPr="00824817">
        <w:rPr>
          <w:rFonts w:ascii="Arial" w:eastAsiaTheme="majorEastAsia" w:hAnsi="Arial" w:cs="Arial"/>
        </w:rPr>
        <w:t xml:space="preserve"> </w:t>
      </w:r>
      <w:r w:rsidRPr="00824817">
        <w:rPr>
          <w:rFonts w:ascii="Arial" w:eastAsiaTheme="majorEastAsia" w:hAnsi="Arial" w:cs="Arial"/>
        </w:rPr>
        <w:t>(Section</w:t>
      </w:r>
      <w:r w:rsidR="0080498A">
        <w:rPr>
          <w:rFonts w:ascii="Arial" w:eastAsiaTheme="majorEastAsia" w:hAnsi="Arial" w:cs="Arial"/>
        </w:rPr>
        <w:t> </w:t>
      </w:r>
      <w:r w:rsidRPr="00824817">
        <w:rPr>
          <w:rFonts w:ascii="Arial" w:eastAsiaTheme="majorEastAsia" w:hAnsi="Arial" w:cs="Arial"/>
        </w:rPr>
        <w:t>7.</w:t>
      </w:r>
      <w:r>
        <w:rPr>
          <w:rFonts w:ascii="Arial" w:eastAsiaTheme="majorEastAsia" w:hAnsi="Arial" w:cs="Arial"/>
        </w:rPr>
        <w:t>3</w:t>
      </w:r>
      <w:proofErr w:type="gramStart"/>
      <w:r w:rsidRPr="00824817">
        <w:rPr>
          <w:rFonts w:ascii="Arial" w:eastAsiaTheme="majorEastAsia" w:hAnsi="Arial" w:cs="Arial"/>
        </w:rPr>
        <w:t>);</w:t>
      </w:r>
      <w:proofErr w:type="gramEnd"/>
    </w:p>
    <w:p w14:paraId="6233BA9F" w14:textId="4CFF0399" w:rsidR="00C4143F" w:rsidRPr="00824817" w:rsidRDefault="00FC15BC" w:rsidP="00140E96">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rPr>
        <w:t>fourth</w:t>
      </w:r>
      <w:r w:rsidR="00695852" w:rsidRPr="00824817">
        <w:rPr>
          <w:rFonts w:ascii="Arial" w:eastAsiaTheme="majorEastAsia" w:hAnsi="Arial" w:cs="Arial"/>
        </w:rPr>
        <w:t xml:space="preserve">, </w:t>
      </w:r>
      <w:r w:rsidR="00AB7AE5" w:rsidRPr="00824817">
        <w:rPr>
          <w:rFonts w:ascii="Arial" w:eastAsiaTheme="majorEastAsia" w:hAnsi="Arial" w:cs="Arial"/>
        </w:rPr>
        <w:t xml:space="preserve">the </w:t>
      </w:r>
      <w:r w:rsidR="00354B4B">
        <w:rPr>
          <w:rFonts w:ascii="Arial" w:eastAsiaTheme="majorEastAsia" w:hAnsi="Arial" w:cs="Arial"/>
        </w:rPr>
        <w:t xml:space="preserve">level of </w:t>
      </w:r>
      <w:r w:rsidR="00616A46">
        <w:rPr>
          <w:rFonts w:ascii="Arial" w:eastAsiaTheme="majorEastAsia" w:hAnsi="Arial" w:cs="Arial"/>
        </w:rPr>
        <w:t xml:space="preserve">expertise available on the </w:t>
      </w:r>
      <w:r w:rsidR="004067EA">
        <w:rPr>
          <w:rFonts w:ascii="Arial" w:eastAsiaTheme="majorEastAsia" w:hAnsi="Arial" w:cs="Arial"/>
        </w:rPr>
        <w:t xml:space="preserve">Council’s </w:t>
      </w:r>
      <w:r w:rsidR="003A52EB">
        <w:rPr>
          <w:rFonts w:ascii="Arial" w:eastAsiaTheme="majorEastAsia" w:hAnsi="Arial" w:cs="Arial"/>
        </w:rPr>
        <w:t>evaluat</w:t>
      </w:r>
      <w:r w:rsidR="00616A46">
        <w:rPr>
          <w:rFonts w:ascii="Arial" w:eastAsiaTheme="majorEastAsia" w:hAnsi="Arial" w:cs="Arial"/>
        </w:rPr>
        <w:t>ion panel</w:t>
      </w:r>
      <w:r w:rsidR="00A2728A">
        <w:rPr>
          <w:rFonts w:ascii="Arial" w:eastAsiaTheme="majorEastAsia" w:hAnsi="Arial" w:cs="Arial"/>
        </w:rPr>
        <w:t xml:space="preserve"> </w:t>
      </w:r>
      <w:r w:rsidR="000E7D7E" w:rsidRPr="00824817">
        <w:rPr>
          <w:rFonts w:ascii="Arial" w:eastAsiaTheme="majorEastAsia" w:hAnsi="Arial" w:cs="Arial"/>
        </w:rPr>
        <w:t>(Section</w:t>
      </w:r>
      <w:r w:rsidR="004067EA">
        <w:rPr>
          <w:rFonts w:ascii="Arial" w:eastAsiaTheme="majorEastAsia" w:hAnsi="Arial" w:cs="Arial"/>
        </w:rPr>
        <w:t> </w:t>
      </w:r>
      <w:r w:rsidR="000E7D7E" w:rsidRPr="00824817">
        <w:rPr>
          <w:rFonts w:ascii="Arial" w:eastAsiaTheme="majorEastAsia" w:hAnsi="Arial" w:cs="Arial"/>
        </w:rPr>
        <w:t>7.</w:t>
      </w:r>
      <w:r>
        <w:rPr>
          <w:rFonts w:ascii="Arial" w:eastAsiaTheme="majorEastAsia" w:hAnsi="Arial" w:cs="Arial"/>
        </w:rPr>
        <w:t>4</w:t>
      </w:r>
      <w:proofErr w:type="gramStart"/>
      <w:r w:rsidR="000E7D7E" w:rsidRPr="00824817">
        <w:rPr>
          <w:rFonts w:ascii="Arial" w:eastAsiaTheme="majorEastAsia" w:hAnsi="Arial" w:cs="Arial"/>
        </w:rPr>
        <w:t>)</w:t>
      </w:r>
      <w:r w:rsidR="00C4143F" w:rsidRPr="00824817">
        <w:rPr>
          <w:rFonts w:ascii="Arial" w:eastAsiaTheme="majorEastAsia" w:hAnsi="Arial" w:cs="Arial"/>
        </w:rPr>
        <w:t>;</w:t>
      </w:r>
      <w:proofErr w:type="gramEnd"/>
    </w:p>
    <w:p w14:paraId="58BF3F67" w14:textId="3D7F9952" w:rsidR="00E65A60" w:rsidRPr="00824817" w:rsidRDefault="00D50DE5" w:rsidP="00140E96">
      <w:pPr>
        <w:pStyle w:val="ListParagraph"/>
        <w:numPr>
          <w:ilvl w:val="1"/>
          <w:numId w:val="2"/>
        </w:numPr>
        <w:spacing w:after="0" w:line="276" w:lineRule="auto"/>
        <w:ind w:left="1134" w:hanging="283"/>
        <w:contextualSpacing w:val="0"/>
        <w:rPr>
          <w:rFonts w:ascii="Arial" w:hAnsi="Arial" w:cs="Arial"/>
        </w:rPr>
      </w:pPr>
      <w:r w:rsidRPr="00824817">
        <w:rPr>
          <w:rFonts w:ascii="Arial" w:eastAsiaTheme="majorEastAsia" w:hAnsi="Arial" w:cs="Arial"/>
        </w:rPr>
        <w:t>fifth,</w:t>
      </w:r>
      <w:r w:rsidR="00163F7D" w:rsidRPr="00824817">
        <w:rPr>
          <w:rFonts w:ascii="Arial" w:eastAsiaTheme="majorEastAsia" w:hAnsi="Arial" w:cs="Arial"/>
        </w:rPr>
        <w:t xml:space="preserve"> </w:t>
      </w:r>
      <w:r w:rsidR="004E2FF2" w:rsidRPr="00824817">
        <w:rPr>
          <w:rFonts w:ascii="Arial" w:eastAsiaTheme="majorEastAsia" w:hAnsi="Arial" w:cs="Arial"/>
        </w:rPr>
        <w:t xml:space="preserve">stakeholder engagement </w:t>
      </w:r>
      <w:r w:rsidR="00A2728A">
        <w:rPr>
          <w:rFonts w:ascii="Arial" w:eastAsiaTheme="majorEastAsia" w:hAnsi="Arial" w:cs="Arial"/>
        </w:rPr>
        <w:t xml:space="preserve">in the </w:t>
      </w:r>
      <w:r w:rsidR="004067EA">
        <w:rPr>
          <w:rFonts w:ascii="Arial" w:eastAsiaTheme="majorEastAsia" w:hAnsi="Arial" w:cs="Arial"/>
        </w:rPr>
        <w:t xml:space="preserve">Council’s </w:t>
      </w:r>
      <w:r w:rsidR="00A2728A">
        <w:rPr>
          <w:rFonts w:ascii="Arial" w:eastAsiaTheme="majorEastAsia" w:hAnsi="Arial" w:cs="Arial"/>
        </w:rPr>
        <w:t xml:space="preserve">formulation of the key criteria </w:t>
      </w:r>
      <w:r w:rsidR="00163F7D" w:rsidRPr="00824817">
        <w:rPr>
          <w:rFonts w:ascii="Arial" w:eastAsiaTheme="majorEastAsia" w:hAnsi="Arial" w:cs="Arial"/>
        </w:rPr>
        <w:t>(Section 7.5</w:t>
      </w:r>
      <w:proofErr w:type="gramStart"/>
      <w:r w:rsidR="00163F7D" w:rsidRPr="00824817">
        <w:rPr>
          <w:rFonts w:ascii="Arial" w:eastAsiaTheme="majorEastAsia" w:hAnsi="Arial" w:cs="Arial"/>
        </w:rPr>
        <w:t>);</w:t>
      </w:r>
      <w:proofErr w:type="gramEnd"/>
    </w:p>
    <w:p w14:paraId="15E92EDC" w14:textId="046EE757" w:rsidR="00D50DE5" w:rsidRPr="00824817" w:rsidRDefault="00163F7D" w:rsidP="00140E96">
      <w:pPr>
        <w:pStyle w:val="ListParagraph"/>
        <w:numPr>
          <w:ilvl w:val="1"/>
          <w:numId w:val="2"/>
        </w:numPr>
        <w:spacing w:after="0" w:line="276" w:lineRule="auto"/>
        <w:ind w:left="1134" w:hanging="283"/>
        <w:contextualSpacing w:val="0"/>
        <w:rPr>
          <w:rFonts w:ascii="Arial" w:hAnsi="Arial" w:cs="Arial"/>
        </w:rPr>
      </w:pPr>
      <w:r w:rsidRPr="00824817">
        <w:rPr>
          <w:rFonts w:ascii="Arial" w:eastAsiaTheme="majorEastAsia" w:hAnsi="Arial" w:cs="Arial"/>
        </w:rPr>
        <w:t xml:space="preserve">sixth, </w:t>
      </w:r>
      <w:r w:rsidR="004E2FF2" w:rsidRPr="00824817">
        <w:rPr>
          <w:rFonts w:ascii="Arial" w:eastAsiaTheme="majorEastAsia" w:hAnsi="Arial" w:cs="Arial"/>
        </w:rPr>
        <w:t xml:space="preserve">the </w:t>
      </w:r>
      <w:r w:rsidR="00073136">
        <w:rPr>
          <w:rFonts w:ascii="Arial" w:eastAsiaTheme="majorEastAsia" w:hAnsi="Arial" w:cs="Arial"/>
        </w:rPr>
        <w:t xml:space="preserve">Council’s </w:t>
      </w:r>
      <w:r w:rsidR="00FF29B2">
        <w:rPr>
          <w:rFonts w:ascii="Arial" w:eastAsiaTheme="majorEastAsia" w:hAnsi="Arial" w:cs="Arial"/>
        </w:rPr>
        <w:t xml:space="preserve">decision to use the competitive </w:t>
      </w:r>
      <w:r w:rsidR="004E2FF2" w:rsidRPr="00824817">
        <w:rPr>
          <w:rFonts w:ascii="Arial" w:eastAsiaTheme="majorEastAsia" w:hAnsi="Arial" w:cs="Arial"/>
        </w:rPr>
        <w:t xml:space="preserve">process </w:t>
      </w:r>
      <w:r w:rsidR="00FF29B2">
        <w:rPr>
          <w:rFonts w:ascii="Arial" w:eastAsiaTheme="majorEastAsia" w:hAnsi="Arial" w:cs="Arial"/>
        </w:rPr>
        <w:t xml:space="preserve">to select a provider </w:t>
      </w:r>
      <w:r w:rsidR="00D50DE5" w:rsidRPr="00824817">
        <w:rPr>
          <w:rFonts w:ascii="Arial" w:eastAsiaTheme="majorEastAsia" w:hAnsi="Arial" w:cs="Arial"/>
        </w:rPr>
        <w:t>(Section</w:t>
      </w:r>
      <w:r w:rsidR="00FF29B2">
        <w:rPr>
          <w:rFonts w:ascii="Arial" w:eastAsiaTheme="majorEastAsia" w:hAnsi="Arial" w:cs="Arial"/>
        </w:rPr>
        <w:t> </w:t>
      </w:r>
      <w:r w:rsidR="00D50DE5" w:rsidRPr="00824817">
        <w:rPr>
          <w:rFonts w:ascii="Arial" w:eastAsiaTheme="majorEastAsia" w:hAnsi="Arial" w:cs="Arial"/>
        </w:rPr>
        <w:t>7.</w:t>
      </w:r>
      <w:r w:rsidRPr="00824817">
        <w:rPr>
          <w:rFonts w:ascii="Arial" w:eastAsiaTheme="majorEastAsia" w:hAnsi="Arial" w:cs="Arial"/>
        </w:rPr>
        <w:t>6</w:t>
      </w:r>
      <w:r w:rsidR="00D50DE5" w:rsidRPr="00824817">
        <w:rPr>
          <w:rFonts w:ascii="Arial" w:eastAsiaTheme="majorEastAsia" w:hAnsi="Arial" w:cs="Arial"/>
        </w:rPr>
        <w:t>); and</w:t>
      </w:r>
    </w:p>
    <w:p w14:paraId="22D4F5D9" w14:textId="790828C1" w:rsidR="00CC3D67" w:rsidRPr="00824817" w:rsidRDefault="00695852" w:rsidP="00C4143F">
      <w:pPr>
        <w:pStyle w:val="ListParagraph"/>
        <w:numPr>
          <w:ilvl w:val="1"/>
          <w:numId w:val="2"/>
        </w:numPr>
        <w:spacing w:line="276" w:lineRule="auto"/>
        <w:ind w:left="1135" w:hanging="284"/>
        <w:contextualSpacing w:val="0"/>
        <w:rPr>
          <w:rFonts w:ascii="Arial" w:hAnsi="Arial" w:cs="Arial"/>
        </w:rPr>
      </w:pPr>
      <w:r w:rsidRPr="00824817">
        <w:rPr>
          <w:rFonts w:ascii="Arial" w:eastAsiaTheme="majorEastAsia" w:hAnsi="Arial" w:cs="Arial"/>
        </w:rPr>
        <w:t xml:space="preserve">finally, </w:t>
      </w:r>
      <w:r w:rsidR="00073136">
        <w:rPr>
          <w:rFonts w:ascii="Arial" w:eastAsiaTheme="majorEastAsia" w:hAnsi="Arial" w:cs="Arial"/>
        </w:rPr>
        <w:t xml:space="preserve">the Council’s consideration of </w:t>
      </w:r>
      <w:r w:rsidR="005408B7" w:rsidRPr="004E2FF2">
        <w:rPr>
          <w:rFonts w:ascii="Arial" w:hAnsi="Arial" w:cs="Arial"/>
        </w:rPr>
        <w:t xml:space="preserve">service </w:t>
      </w:r>
      <w:r w:rsidR="003266D9">
        <w:rPr>
          <w:rFonts w:ascii="Arial" w:hAnsi="Arial" w:cs="Arial"/>
        </w:rPr>
        <w:t xml:space="preserve">and provider </w:t>
      </w:r>
      <w:r w:rsidR="005408B7" w:rsidRPr="004E2FF2">
        <w:rPr>
          <w:rFonts w:ascii="Arial" w:hAnsi="Arial" w:cs="Arial"/>
        </w:rPr>
        <w:t xml:space="preserve">sustainability </w:t>
      </w:r>
      <w:r w:rsidR="00073136">
        <w:rPr>
          <w:rFonts w:ascii="Arial" w:hAnsi="Arial" w:cs="Arial"/>
        </w:rPr>
        <w:t>issues</w:t>
      </w:r>
      <w:r w:rsidR="005408B7" w:rsidRPr="004E2FF2">
        <w:rPr>
          <w:rFonts w:ascii="Arial" w:eastAsiaTheme="majorEastAsia" w:hAnsi="Arial" w:cs="Arial"/>
        </w:rPr>
        <w:t xml:space="preserve"> </w:t>
      </w:r>
      <w:r w:rsidR="00706BCC">
        <w:rPr>
          <w:rFonts w:ascii="Arial" w:eastAsiaTheme="majorEastAsia" w:hAnsi="Arial" w:cs="Arial"/>
        </w:rPr>
        <w:t xml:space="preserve">in the </w:t>
      </w:r>
      <w:r w:rsidR="005E7B1E">
        <w:rPr>
          <w:rFonts w:ascii="Arial" w:eastAsiaTheme="majorEastAsia" w:hAnsi="Arial" w:cs="Arial"/>
        </w:rPr>
        <w:t xml:space="preserve">provider selection </w:t>
      </w:r>
      <w:r w:rsidR="00DC1724">
        <w:rPr>
          <w:rFonts w:ascii="Arial" w:eastAsiaTheme="majorEastAsia" w:hAnsi="Arial" w:cs="Arial"/>
        </w:rPr>
        <w:t>process</w:t>
      </w:r>
      <w:r w:rsidR="00706BCC">
        <w:rPr>
          <w:rFonts w:ascii="Arial" w:eastAsiaTheme="majorEastAsia" w:hAnsi="Arial" w:cs="Arial"/>
        </w:rPr>
        <w:t xml:space="preserve"> </w:t>
      </w:r>
      <w:r w:rsidR="000E7D7E" w:rsidRPr="00824817">
        <w:rPr>
          <w:rFonts w:ascii="Arial" w:eastAsiaTheme="majorEastAsia" w:hAnsi="Arial" w:cs="Arial"/>
        </w:rPr>
        <w:t>(Section 7.</w:t>
      </w:r>
      <w:r w:rsidR="00824817" w:rsidRPr="00824817">
        <w:rPr>
          <w:rFonts w:ascii="Arial" w:eastAsiaTheme="majorEastAsia" w:hAnsi="Arial" w:cs="Arial"/>
        </w:rPr>
        <w:t>7</w:t>
      </w:r>
      <w:r w:rsidR="000E7D7E" w:rsidRPr="00824817">
        <w:rPr>
          <w:rFonts w:ascii="Arial" w:eastAsiaTheme="majorEastAsia" w:hAnsi="Arial" w:cs="Arial"/>
        </w:rPr>
        <w:t>)</w:t>
      </w:r>
      <w:r w:rsidR="000D1843" w:rsidRPr="00824817">
        <w:rPr>
          <w:rFonts w:ascii="Arial" w:eastAsiaTheme="majorEastAsia" w:hAnsi="Arial" w:cs="Arial"/>
        </w:rPr>
        <w:t>.</w:t>
      </w:r>
    </w:p>
    <w:p w14:paraId="7F041E64" w14:textId="109F5AE5" w:rsidR="006167A0" w:rsidRPr="00225B01" w:rsidRDefault="006167A0" w:rsidP="006167A0">
      <w:pPr>
        <w:pStyle w:val="Heading2"/>
        <w:numPr>
          <w:ilvl w:val="1"/>
          <w:numId w:val="1"/>
        </w:numPr>
        <w:spacing w:before="240" w:after="160"/>
        <w:ind w:left="0" w:firstLine="0"/>
        <w:rPr>
          <w:rFonts w:ascii="Arial" w:hAnsi="Arial" w:cs="Arial"/>
          <w:b/>
          <w:bCs/>
          <w:color w:val="000000" w:themeColor="text1"/>
          <w:sz w:val="24"/>
          <w:szCs w:val="24"/>
        </w:rPr>
      </w:pPr>
      <w:bookmarkStart w:id="15" w:name="_Toc189662753"/>
      <w:bookmarkEnd w:id="14"/>
      <w:r>
        <w:rPr>
          <w:rFonts w:ascii="Arial" w:hAnsi="Arial" w:cs="Arial"/>
          <w:b/>
          <w:bCs/>
          <w:color w:val="000000" w:themeColor="text1"/>
          <w:sz w:val="24"/>
          <w:szCs w:val="24"/>
        </w:rPr>
        <w:t>S</w:t>
      </w:r>
      <w:r w:rsidRPr="00225B01">
        <w:rPr>
          <w:rFonts w:ascii="Arial" w:hAnsi="Arial" w:cs="Arial"/>
          <w:b/>
          <w:bCs/>
          <w:color w:val="000000" w:themeColor="text1"/>
          <w:sz w:val="24"/>
          <w:szCs w:val="24"/>
        </w:rPr>
        <w:t>ub-criteria scoring and calculation of weighted scores</w:t>
      </w:r>
      <w:bookmarkEnd w:id="15"/>
    </w:p>
    <w:p w14:paraId="1C781876" w14:textId="162AA1DD" w:rsidR="00686E64" w:rsidRPr="009502B0" w:rsidRDefault="00686E64" w:rsidP="1D6849F6">
      <w:pPr>
        <w:pStyle w:val="ListParagraph"/>
        <w:numPr>
          <w:ilvl w:val="0"/>
          <w:numId w:val="2"/>
        </w:numPr>
        <w:spacing w:line="276" w:lineRule="auto"/>
        <w:ind w:left="567" w:hanging="567"/>
        <w:contextualSpacing w:val="0"/>
        <w:rPr>
          <w:rFonts w:ascii="Arial" w:hAnsi="Arial" w:cs="Arial"/>
          <w:bCs/>
        </w:rPr>
      </w:pPr>
      <w:r w:rsidRPr="00A360ED">
        <w:rPr>
          <w:rFonts w:ascii="Arial" w:hAnsi="Arial" w:cs="Arial"/>
        </w:rPr>
        <w:t xml:space="preserve">This section sets out the Panel’s assessment of </w:t>
      </w:r>
      <w:r w:rsidR="1F7ABC9B" w:rsidRPr="1D6849F6">
        <w:rPr>
          <w:rFonts w:ascii="Arial" w:hAnsi="Arial" w:cs="Arial"/>
        </w:rPr>
        <w:t>DHI</w:t>
      </w:r>
      <w:r w:rsidR="00524AF5">
        <w:rPr>
          <w:rFonts w:ascii="Arial" w:hAnsi="Arial" w:cs="Arial"/>
        </w:rPr>
        <w:t>’s</w:t>
      </w:r>
      <w:r w:rsidR="1F7ABC9B" w:rsidRPr="1D6849F6">
        <w:rPr>
          <w:rFonts w:ascii="Arial" w:hAnsi="Arial" w:cs="Arial"/>
        </w:rPr>
        <w:t xml:space="preserve"> </w:t>
      </w:r>
      <w:r w:rsidR="00606C67">
        <w:rPr>
          <w:rFonts w:ascii="Arial" w:hAnsi="Arial" w:cs="Arial"/>
        </w:rPr>
        <w:t xml:space="preserve">concerns about </w:t>
      </w:r>
      <w:r w:rsidR="1F7ABC9B" w:rsidRPr="1D6849F6">
        <w:rPr>
          <w:rFonts w:ascii="Arial" w:hAnsi="Arial" w:cs="Arial"/>
        </w:rPr>
        <w:t xml:space="preserve">the </w:t>
      </w:r>
      <w:r w:rsidRPr="009502B0">
        <w:rPr>
          <w:rFonts w:ascii="Arial" w:hAnsi="Arial" w:cs="Arial"/>
          <w:bCs/>
        </w:rPr>
        <w:t>Council’s sub-criteria scoring and calculation of weighted score</w:t>
      </w:r>
      <w:r w:rsidR="002B73BE" w:rsidRPr="009502B0">
        <w:rPr>
          <w:rFonts w:ascii="Arial" w:hAnsi="Arial" w:cs="Arial"/>
          <w:bCs/>
        </w:rPr>
        <w:t>s</w:t>
      </w:r>
      <w:r w:rsidR="008665EA" w:rsidRPr="009502B0">
        <w:rPr>
          <w:rFonts w:ascii="Arial" w:hAnsi="Arial" w:cs="Arial"/>
          <w:bCs/>
        </w:rPr>
        <w:t>.</w:t>
      </w:r>
    </w:p>
    <w:p w14:paraId="464F2522" w14:textId="6FEE241D" w:rsidR="00686E64" w:rsidRPr="0048632C" w:rsidRDefault="008024E4" w:rsidP="00523D66">
      <w:pPr>
        <w:pStyle w:val="ListParagraph"/>
        <w:numPr>
          <w:ilvl w:val="0"/>
          <w:numId w:val="2"/>
        </w:numPr>
        <w:spacing w:line="276" w:lineRule="auto"/>
        <w:ind w:left="567" w:hanging="567"/>
        <w:contextualSpacing w:val="0"/>
        <w:rPr>
          <w:rFonts w:ascii="Arial" w:hAnsi="Arial" w:cs="Arial"/>
          <w:bCs/>
        </w:rPr>
      </w:pPr>
      <w:r>
        <w:rPr>
          <w:rFonts w:ascii="Arial" w:hAnsi="Arial" w:cs="Arial"/>
          <w:bCs/>
        </w:rPr>
        <w:t>DHI</w:t>
      </w:r>
      <w:r w:rsidR="00606C67">
        <w:rPr>
          <w:rFonts w:ascii="Arial" w:hAnsi="Arial" w:cs="Arial"/>
          <w:bCs/>
        </w:rPr>
        <w:t xml:space="preserve">’s </w:t>
      </w:r>
      <w:r w:rsidR="5B3DF735" w:rsidRPr="5CD91346">
        <w:rPr>
          <w:rFonts w:ascii="Arial" w:hAnsi="Arial" w:cs="Arial"/>
        </w:rPr>
        <w:t>submission to</w:t>
      </w:r>
      <w:r>
        <w:rPr>
          <w:rFonts w:ascii="Arial" w:hAnsi="Arial" w:cs="Arial"/>
          <w:bCs/>
        </w:rPr>
        <w:t xml:space="preserve"> the Panel </w:t>
      </w:r>
      <w:r w:rsidR="00606C67">
        <w:rPr>
          <w:rFonts w:ascii="Arial" w:hAnsi="Arial" w:cs="Arial"/>
          <w:bCs/>
        </w:rPr>
        <w:t xml:space="preserve">said </w:t>
      </w:r>
      <w:r>
        <w:rPr>
          <w:rFonts w:ascii="Arial" w:hAnsi="Arial" w:cs="Arial"/>
          <w:bCs/>
        </w:rPr>
        <w:t xml:space="preserve">that “it is </w:t>
      </w:r>
      <w:r w:rsidRPr="008024E4">
        <w:rPr>
          <w:rFonts w:ascii="Arial" w:hAnsi="Arial" w:cs="Arial"/>
          <w:bCs/>
        </w:rPr>
        <w:t>clear there have been errors and issues in the evaluation of bids and this undermines confidence in the overall process</w:t>
      </w:r>
      <w:r>
        <w:rPr>
          <w:rFonts w:ascii="Arial" w:hAnsi="Arial" w:cs="Arial"/>
          <w:bCs/>
        </w:rPr>
        <w:t>”.</w:t>
      </w:r>
      <w:r w:rsidR="001C4271">
        <w:rPr>
          <w:rFonts w:ascii="Arial" w:hAnsi="Arial" w:cs="Arial"/>
          <w:bCs/>
        </w:rPr>
        <w:t xml:space="preserve"> </w:t>
      </w:r>
      <w:r w:rsidR="00D654D9">
        <w:rPr>
          <w:rFonts w:ascii="Arial" w:hAnsi="Arial" w:cs="Arial"/>
          <w:bCs/>
        </w:rPr>
        <w:t xml:space="preserve">This followed DHI’s </w:t>
      </w:r>
      <w:r w:rsidR="00182550">
        <w:rPr>
          <w:rFonts w:ascii="Arial" w:hAnsi="Arial" w:cs="Arial"/>
          <w:bCs/>
        </w:rPr>
        <w:t>representations to the Council</w:t>
      </w:r>
      <w:r w:rsidR="00D654D9">
        <w:rPr>
          <w:rFonts w:ascii="Arial" w:hAnsi="Arial" w:cs="Arial"/>
          <w:bCs/>
        </w:rPr>
        <w:t xml:space="preserve"> </w:t>
      </w:r>
      <w:r w:rsidR="00E245F1">
        <w:rPr>
          <w:rFonts w:ascii="Arial" w:hAnsi="Arial" w:cs="Arial"/>
          <w:bCs/>
        </w:rPr>
        <w:t xml:space="preserve">where DHI </w:t>
      </w:r>
      <w:r w:rsidR="00984B38">
        <w:rPr>
          <w:rFonts w:ascii="Arial" w:hAnsi="Arial" w:cs="Arial"/>
          <w:bCs/>
        </w:rPr>
        <w:t xml:space="preserve">said </w:t>
      </w:r>
      <w:r w:rsidR="002A1C37">
        <w:rPr>
          <w:rFonts w:ascii="Arial" w:hAnsi="Arial" w:cs="Arial"/>
          <w:bCs/>
        </w:rPr>
        <w:t>that</w:t>
      </w:r>
      <w:r>
        <w:rPr>
          <w:rFonts w:ascii="Arial" w:hAnsi="Arial" w:cs="Arial"/>
          <w:bCs/>
        </w:rPr>
        <w:t xml:space="preserve"> </w:t>
      </w:r>
      <w:r w:rsidR="00686E64" w:rsidRPr="0048632C">
        <w:rPr>
          <w:rFonts w:ascii="Arial" w:hAnsi="Arial" w:cs="Arial"/>
        </w:rPr>
        <w:t xml:space="preserve">it had identified several </w:t>
      </w:r>
      <w:r w:rsidR="00686E64" w:rsidRPr="0048632C">
        <w:rPr>
          <w:rFonts w:ascii="Arial" w:hAnsi="Arial" w:cs="Arial"/>
          <w:bCs/>
        </w:rPr>
        <w:t>discrepancies which it believed suggested “fundamental errors in the calculation of weighted scores and/or the evaluation process undertaken by the Council”</w:t>
      </w:r>
      <w:r w:rsidR="00984B38">
        <w:rPr>
          <w:rFonts w:ascii="Arial" w:hAnsi="Arial" w:cs="Arial"/>
          <w:bCs/>
        </w:rPr>
        <w:t>.</w:t>
      </w:r>
      <w:r w:rsidR="00021765" w:rsidRPr="00680CBA">
        <w:rPr>
          <w:rStyle w:val="FootnoteReference"/>
          <w:rFonts w:ascii="Arial" w:hAnsi="Arial" w:cs="Arial"/>
          <w:bCs/>
        </w:rPr>
        <w:footnoteReference w:id="16"/>
      </w:r>
    </w:p>
    <w:p w14:paraId="33C29C85" w14:textId="3029CA90" w:rsidR="00686E64" w:rsidRPr="00C5162D" w:rsidRDefault="00686E64" w:rsidP="00523D66">
      <w:pPr>
        <w:pStyle w:val="ListParagraph"/>
        <w:numPr>
          <w:ilvl w:val="0"/>
          <w:numId w:val="2"/>
        </w:numPr>
        <w:spacing w:after="120" w:line="276" w:lineRule="auto"/>
        <w:ind w:left="567" w:hanging="567"/>
        <w:contextualSpacing w:val="0"/>
        <w:rPr>
          <w:rFonts w:ascii="Arial" w:hAnsi="Arial" w:cs="Arial"/>
          <w:bCs/>
        </w:rPr>
      </w:pPr>
      <w:r w:rsidRPr="000004DA">
        <w:rPr>
          <w:rFonts w:ascii="Arial" w:hAnsi="Arial" w:cs="Arial"/>
          <w:bCs/>
        </w:rPr>
        <w:t xml:space="preserve">DHI </w:t>
      </w:r>
      <w:r w:rsidR="00A043DB" w:rsidRPr="000004DA">
        <w:rPr>
          <w:rFonts w:ascii="Arial" w:hAnsi="Arial" w:cs="Arial"/>
          <w:bCs/>
        </w:rPr>
        <w:t>further said</w:t>
      </w:r>
      <w:r w:rsidR="008B4922">
        <w:rPr>
          <w:rFonts w:ascii="Arial" w:hAnsi="Arial" w:cs="Arial"/>
          <w:bCs/>
        </w:rPr>
        <w:t xml:space="preserve"> in its representations to the Council</w:t>
      </w:r>
      <w:r w:rsidR="00A043DB" w:rsidRPr="000004DA">
        <w:rPr>
          <w:rFonts w:ascii="Arial" w:hAnsi="Arial" w:cs="Arial"/>
          <w:bCs/>
        </w:rPr>
        <w:t xml:space="preserve"> </w:t>
      </w:r>
      <w:r w:rsidRPr="000004DA">
        <w:rPr>
          <w:rFonts w:ascii="Arial" w:hAnsi="Arial" w:cs="Arial"/>
          <w:bCs/>
        </w:rPr>
        <w:t>that its weighted scores for Question 2 and Question 4 were “mathematically</w:t>
      </w:r>
      <w:r w:rsidRPr="000004DA">
        <w:rPr>
          <w:rFonts w:ascii="Arial" w:hAnsi="Arial" w:cs="Arial"/>
        </w:rPr>
        <w:t xml:space="preserve"> impossible” under the Council’s scoring methodology, and that this “suggests either a computational error, a misunderstanding of the weighting formula and/or errors in the evaluation process”</w:t>
      </w:r>
      <w:r w:rsidR="00680CBA" w:rsidRPr="000004DA">
        <w:rPr>
          <w:rFonts w:ascii="Arial" w:hAnsi="Arial" w:cs="Arial"/>
        </w:rPr>
        <w:t>.</w:t>
      </w:r>
      <w:r w:rsidR="000004DA" w:rsidRPr="000004DA">
        <w:rPr>
          <w:rFonts w:ascii="Arial" w:hAnsi="Arial" w:cs="Arial"/>
        </w:rPr>
        <w:t xml:space="preserve"> </w:t>
      </w:r>
      <w:r w:rsidR="00FF262E">
        <w:rPr>
          <w:rFonts w:ascii="Arial" w:hAnsi="Arial" w:cs="Arial"/>
        </w:rPr>
        <w:t xml:space="preserve">By </w:t>
      </w:r>
      <w:r w:rsidR="00FF262E">
        <w:rPr>
          <w:rFonts w:ascii="Arial" w:hAnsi="Arial" w:cs="Arial"/>
        </w:rPr>
        <w:lastRenderedPageBreak/>
        <w:t xml:space="preserve">way of example, DHI noted that for Q2 it had </w:t>
      </w:r>
      <w:r w:rsidRPr="00C5162D">
        <w:rPr>
          <w:rFonts w:ascii="Arial" w:hAnsi="Arial" w:cs="Arial"/>
        </w:rPr>
        <w:t>been awarded a weighted score of 5.34%</w:t>
      </w:r>
      <w:r w:rsidR="004E2098" w:rsidRPr="00C5162D">
        <w:rPr>
          <w:rFonts w:ascii="Arial" w:hAnsi="Arial" w:cs="Arial"/>
        </w:rPr>
        <w:t xml:space="preserve"> whereas it believed that </w:t>
      </w:r>
      <w:r w:rsidRPr="00C5162D">
        <w:rPr>
          <w:rFonts w:ascii="Arial" w:hAnsi="Arial" w:cs="Arial"/>
        </w:rPr>
        <w:t>the only possible scores</w:t>
      </w:r>
      <w:r w:rsidR="007F3129" w:rsidRPr="00C5162D">
        <w:rPr>
          <w:rFonts w:ascii="Arial" w:hAnsi="Arial" w:cs="Arial"/>
        </w:rPr>
        <w:t xml:space="preserve">, under the scoring methodology, </w:t>
      </w:r>
      <w:r w:rsidRPr="00C5162D">
        <w:rPr>
          <w:rFonts w:ascii="Arial" w:hAnsi="Arial" w:cs="Arial"/>
        </w:rPr>
        <w:t>were: 0.00%, 2.00%, 4.00%, 6.00%, 8.00%, or 10.00%.</w:t>
      </w:r>
      <w:r w:rsidR="00C5162D" w:rsidRPr="00C5162D">
        <w:rPr>
          <w:rFonts w:ascii="Arial" w:hAnsi="Arial" w:cs="Arial"/>
        </w:rPr>
        <w:t xml:space="preserve"> </w:t>
      </w:r>
      <w:r w:rsidRPr="00C5162D">
        <w:rPr>
          <w:rFonts w:ascii="Arial" w:hAnsi="Arial" w:cs="Arial"/>
        </w:rPr>
        <w:t xml:space="preserve">DHI </w:t>
      </w:r>
      <w:r w:rsidR="00C5162D">
        <w:rPr>
          <w:rFonts w:ascii="Arial" w:hAnsi="Arial" w:cs="Arial"/>
        </w:rPr>
        <w:t>went on to say</w:t>
      </w:r>
      <w:r w:rsidR="00C5162D" w:rsidRPr="00C5162D">
        <w:rPr>
          <w:rFonts w:ascii="Arial" w:hAnsi="Arial" w:cs="Arial"/>
        </w:rPr>
        <w:t xml:space="preserve"> </w:t>
      </w:r>
      <w:r w:rsidRPr="00C5162D">
        <w:rPr>
          <w:rFonts w:ascii="Arial" w:hAnsi="Arial" w:cs="Arial"/>
        </w:rPr>
        <w:t xml:space="preserve">that these errors “reveal a fundamental failure to apply the prescribed scoring and weighting methodology, resulting in scores that fall outside the allowable </w:t>
      </w:r>
      <w:r w:rsidRPr="00C5162D">
        <w:rPr>
          <w:rFonts w:ascii="Arial" w:hAnsi="Arial" w:cs="Arial"/>
          <w:bCs/>
        </w:rPr>
        <w:t>ranges”.</w:t>
      </w:r>
    </w:p>
    <w:p w14:paraId="1415D4D4" w14:textId="77777777" w:rsidR="00E245F1" w:rsidRDefault="008B4922" w:rsidP="002A0F36">
      <w:pPr>
        <w:pStyle w:val="ListParagraph"/>
        <w:numPr>
          <w:ilvl w:val="0"/>
          <w:numId w:val="2"/>
        </w:numPr>
        <w:spacing w:line="276" w:lineRule="auto"/>
        <w:ind w:left="567" w:hanging="567"/>
        <w:contextualSpacing w:val="0"/>
        <w:rPr>
          <w:rFonts w:ascii="Arial" w:hAnsi="Arial" w:cs="Arial"/>
          <w:bCs/>
        </w:rPr>
      </w:pPr>
      <w:r>
        <w:rPr>
          <w:rFonts w:ascii="Arial" w:hAnsi="Arial" w:cs="Arial"/>
          <w:bCs/>
        </w:rPr>
        <w:t xml:space="preserve">DHI’s </w:t>
      </w:r>
      <w:r w:rsidR="00686E64" w:rsidRPr="002A0F36">
        <w:rPr>
          <w:rFonts w:ascii="Arial" w:hAnsi="Arial" w:cs="Arial"/>
          <w:bCs/>
        </w:rPr>
        <w:t xml:space="preserve">representations </w:t>
      </w:r>
      <w:r w:rsidR="002848F6" w:rsidRPr="002A0F36">
        <w:rPr>
          <w:rFonts w:ascii="Arial" w:hAnsi="Arial" w:cs="Arial"/>
          <w:bCs/>
        </w:rPr>
        <w:t>to the Council</w:t>
      </w:r>
      <w:r w:rsidR="00686E64" w:rsidRPr="002A0F36">
        <w:rPr>
          <w:rFonts w:ascii="Arial" w:hAnsi="Arial" w:cs="Arial"/>
          <w:bCs/>
        </w:rPr>
        <w:t xml:space="preserve"> </w:t>
      </w:r>
      <w:r>
        <w:rPr>
          <w:rFonts w:ascii="Arial" w:hAnsi="Arial" w:cs="Arial"/>
          <w:bCs/>
        </w:rPr>
        <w:t>further</w:t>
      </w:r>
      <w:r w:rsidRPr="002A0F36">
        <w:rPr>
          <w:rFonts w:ascii="Arial" w:hAnsi="Arial" w:cs="Arial"/>
          <w:bCs/>
        </w:rPr>
        <w:t xml:space="preserve"> </w:t>
      </w:r>
      <w:r w:rsidR="006C01C1" w:rsidRPr="002A0F36">
        <w:rPr>
          <w:rFonts w:ascii="Arial" w:hAnsi="Arial" w:cs="Arial"/>
          <w:bCs/>
        </w:rPr>
        <w:t>stated</w:t>
      </w:r>
      <w:r w:rsidR="00686E64" w:rsidRPr="002A0F36">
        <w:rPr>
          <w:rFonts w:ascii="Arial" w:hAnsi="Arial" w:cs="Arial"/>
          <w:bCs/>
        </w:rPr>
        <w:t xml:space="preserve"> that it had “no confidence that the scores as set out in the Award Letter are correct or whether the evaluation and scoring has been undertaken in accordance with the ITT or the Council’s obligations more generally”. DHI believe</w:t>
      </w:r>
      <w:r w:rsidR="002848F6" w:rsidRPr="002A0F36">
        <w:rPr>
          <w:rFonts w:ascii="Arial" w:hAnsi="Arial" w:cs="Arial"/>
          <w:bCs/>
        </w:rPr>
        <w:t>d</w:t>
      </w:r>
      <w:r w:rsidR="00686E64" w:rsidRPr="002A0F36">
        <w:rPr>
          <w:rFonts w:ascii="Arial" w:hAnsi="Arial" w:cs="Arial"/>
          <w:bCs/>
        </w:rPr>
        <w:t xml:space="preserve"> that the process lack</w:t>
      </w:r>
      <w:r w:rsidR="002848F6" w:rsidRPr="002A0F36">
        <w:rPr>
          <w:rFonts w:ascii="Arial" w:hAnsi="Arial" w:cs="Arial"/>
          <w:bCs/>
        </w:rPr>
        <w:t>ed</w:t>
      </w:r>
      <w:r w:rsidR="00686E64" w:rsidRPr="002A0F36">
        <w:rPr>
          <w:rFonts w:ascii="Arial" w:hAnsi="Arial" w:cs="Arial"/>
          <w:bCs/>
        </w:rPr>
        <w:t xml:space="preserve"> transparency, fairness and amount</w:t>
      </w:r>
      <w:r w:rsidR="002848F6" w:rsidRPr="002A0F36">
        <w:rPr>
          <w:rFonts w:ascii="Arial" w:hAnsi="Arial" w:cs="Arial"/>
          <w:bCs/>
        </w:rPr>
        <w:t>ed</w:t>
      </w:r>
      <w:r w:rsidR="00686E64" w:rsidRPr="002A0F36">
        <w:rPr>
          <w:rFonts w:ascii="Arial" w:hAnsi="Arial" w:cs="Arial"/>
          <w:bCs/>
        </w:rPr>
        <w:t xml:space="preserve"> to procedural unfairness, irrationality and/or breache</w:t>
      </w:r>
      <w:r w:rsidR="002848F6" w:rsidRPr="002A0F36">
        <w:rPr>
          <w:rFonts w:ascii="Arial" w:hAnsi="Arial" w:cs="Arial"/>
          <w:bCs/>
        </w:rPr>
        <w:t>d</w:t>
      </w:r>
      <w:r w:rsidR="00686E64" w:rsidRPr="002A0F36">
        <w:rPr>
          <w:rFonts w:ascii="Arial" w:hAnsi="Arial" w:cs="Arial"/>
          <w:bCs/>
        </w:rPr>
        <w:t xml:space="preserve"> legitimate expectations as to how the procurement would be conducted.</w:t>
      </w:r>
    </w:p>
    <w:p w14:paraId="05459B01" w14:textId="1DEC6971" w:rsidR="00686E64" w:rsidRPr="002A0F36" w:rsidRDefault="00C5162D" w:rsidP="002A0F36">
      <w:pPr>
        <w:pStyle w:val="ListParagraph"/>
        <w:numPr>
          <w:ilvl w:val="0"/>
          <w:numId w:val="2"/>
        </w:numPr>
        <w:spacing w:line="276" w:lineRule="auto"/>
        <w:ind w:left="567" w:hanging="567"/>
        <w:contextualSpacing w:val="0"/>
        <w:rPr>
          <w:rFonts w:ascii="Arial" w:hAnsi="Arial" w:cs="Arial"/>
          <w:bCs/>
        </w:rPr>
      </w:pPr>
      <w:r>
        <w:rPr>
          <w:rFonts w:ascii="Arial" w:hAnsi="Arial" w:cs="Arial"/>
          <w:bCs/>
        </w:rPr>
        <w:t>T</w:t>
      </w:r>
      <w:r w:rsidR="00686E64" w:rsidRPr="002A0F36">
        <w:rPr>
          <w:rFonts w:ascii="Arial" w:hAnsi="Arial" w:cs="Arial"/>
          <w:bCs/>
        </w:rPr>
        <w:t>he Council</w:t>
      </w:r>
      <w:r w:rsidR="00E245F1">
        <w:rPr>
          <w:rFonts w:ascii="Arial" w:hAnsi="Arial" w:cs="Arial"/>
          <w:bCs/>
        </w:rPr>
        <w:t>,</w:t>
      </w:r>
      <w:r w:rsidR="00686E64" w:rsidRPr="002A0F36">
        <w:rPr>
          <w:rFonts w:ascii="Arial" w:hAnsi="Arial" w:cs="Arial"/>
          <w:bCs/>
        </w:rPr>
        <w:t xml:space="preserve"> </w:t>
      </w:r>
      <w:r>
        <w:rPr>
          <w:rFonts w:ascii="Arial" w:hAnsi="Arial" w:cs="Arial"/>
          <w:bCs/>
        </w:rPr>
        <w:t xml:space="preserve">in responding to </w:t>
      </w:r>
      <w:r w:rsidR="00F9138F" w:rsidRPr="002A0F36">
        <w:rPr>
          <w:rFonts w:ascii="Arial" w:hAnsi="Arial" w:cs="Arial"/>
          <w:bCs/>
        </w:rPr>
        <w:t>DHI</w:t>
      </w:r>
      <w:r w:rsidR="00E245F1">
        <w:rPr>
          <w:rFonts w:ascii="Arial" w:hAnsi="Arial" w:cs="Arial"/>
          <w:bCs/>
        </w:rPr>
        <w:t>,</w:t>
      </w:r>
      <w:r w:rsidR="00686E64" w:rsidRPr="002A0F36">
        <w:rPr>
          <w:rFonts w:ascii="Arial" w:hAnsi="Arial" w:cs="Arial"/>
          <w:bCs/>
        </w:rPr>
        <w:t xml:space="preserve"> </w:t>
      </w:r>
      <w:r>
        <w:rPr>
          <w:rFonts w:ascii="Arial" w:hAnsi="Arial" w:cs="Arial"/>
          <w:bCs/>
        </w:rPr>
        <w:t xml:space="preserve">said </w:t>
      </w:r>
      <w:r w:rsidR="00686E64" w:rsidRPr="002A0F36">
        <w:rPr>
          <w:rFonts w:ascii="Arial" w:hAnsi="Arial" w:cs="Arial"/>
          <w:bCs/>
        </w:rPr>
        <w:t>that “there has not been an error made in calculating the scores and that the calculations are accurate. The calculations have been made in accordance with the Scoring Methodology provided with the Invitation to Tender”</w:t>
      </w:r>
      <w:r>
        <w:rPr>
          <w:rFonts w:ascii="Arial" w:hAnsi="Arial" w:cs="Arial"/>
          <w:bCs/>
        </w:rPr>
        <w:t>.</w:t>
      </w:r>
      <w:r w:rsidR="001E5EE2">
        <w:rPr>
          <w:rStyle w:val="FootnoteReference"/>
          <w:rFonts w:ascii="Arial" w:hAnsi="Arial" w:cs="Arial"/>
          <w:bCs/>
        </w:rPr>
        <w:footnoteReference w:id="17"/>
      </w:r>
    </w:p>
    <w:p w14:paraId="5A583114" w14:textId="36DEF98A" w:rsidR="00686E64" w:rsidRPr="007E2007" w:rsidRDefault="00686E64" w:rsidP="00686E64">
      <w:pPr>
        <w:pStyle w:val="ListParagraph"/>
        <w:numPr>
          <w:ilvl w:val="0"/>
          <w:numId w:val="2"/>
        </w:numPr>
        <w:spacing w:line="276" w:lineRule="auto"/>
        <w:ind w:left="567" w:hanging="567"/>
        <w:contextualSpacing w:val="0"/>
        <w:rPr>
          <w:rFonts w:ascii="Arial" w:hAnsi="Arial" w:cs="Arial"/>
        </w:rPr>
      </w:pPr>
      <w:r w:rsidRPr="007E2007">
        <w:rPr>
          <w:rFonts w:ascii="Arial" w:hAnsi="Arial" w:cs="Arial"/>
          <w:bCs/>
        </w:rPr>
        <w:t xml:space="preserve">The </w:t>
      </w:r>
      <w:r w:rsidR="003F3426">
        <w:rPr>
          <w:rFonts w:ascii="Arial" w:hAnsi="Arial" w:cs="Arial"/>
          <w:bCs/>
        </w:rPr>
        <w:t xml:space="preserve">Panel notes that the </w:t>
      </w:r>
      <w:r w:rsidR="00C43B8A" w:rsidRPr="007E2007">
        <w:rPr>
          <w:rFonts w:ascii="Arial" w:hAnsi="Arial" w:cs="Arial"/>
          <w:bCs/>
        </w:rPr>
        <w:t xml:space="preserve">Council’s </w:t>
      </w:r>
      <w:r w:rsidRPr="007E2007">
        <w:rPr>
          <w:rFonts w:ascii="Arial" w:hAnsi="Arial" w:cs="Arial"/>
          <w:bCs/>
        </w:rPr>
        <w:t xml:space="preserve">Stage 2 </w:t>
      </w:r>
      <w:r w:rsidR="00D50194" w:rsidRPr="007E2007">
        <w:rPr>
          <w:rFonts w:ascii="Arial" w:hAnsi="Arial" w:cs="Arial"/>
          <w:bCs/>
        </w:rPr>
        <w:t>tender documentation</w:t>
      </w:r>
      <w:r w:rsidRPr="007E2007">
        <w:rPr>
          <w:rFonts w:ascii="Arial" w:hAnsi="Arial" w:cs="Arial"/>
          <w:bCs/>
        </w:rPr>
        <w:t xml:space="preserve"> state</w:t>
      </w:r>
      <w:r w:rsidR="00C43B8A" w:rsidRPr="007E2007">
        <w:rPr>
          <w:rFonts w:ascii="Arial" w:hAnsi="Arial" w:cs="Arial"/>
          <w:bCs/>
        </w:rPr>
        <w:t>d</w:t>
      </w:r>
      <w:r w:rsidRPr="007E2007">
        <w:rPr>
          <w:rFonts w:ascii="Arial" w:hAnsi="Arial" w:cs="Arial"/>
          <w:bCs/>
        </w:rPr>
        <w:t xml:space="preserve"> the following:</w:t>
      </w:r>
    </w:p>
    <w:p w14:paraId="045FC38E" w14:textId="016B978C" w:rsidR="00686E64" w:rsidRPr="00523D66" w:rsidRDefault="00686E64" w:rsidP="00523D66">
      <w:pPr>
        <w:pStyle w:val="ListParagraph"/>
        <w:spacing w:line="276" w:lineRule="auto"/>
        <w:ind w:left="1134"/>
        <w:contextualSpacing w:val="0"/>
        <w:rPr>
          <w:rFonts w:ascii="Arial" w:hAnsi="Arial" w:cs="Arial"/>
          <w:bCs/>
          <w:sz w:val="21"/>
          <w:szCs w:val="21"/>
        </w:rPr>
      </w:pPr>
      <w:r w:rsidRPr="00523D66">
        <w:rPr>
          <w:rFonts w:ascii="Arial" w:hAnsi="Arial" w:cs="Arial"/>
          <w:bCs/>
          <w:sz w:val="21"/>
          <w:szCs w:val="21"/>
        </w:rPr>
        <w:t>“Individual scored Method Statement questions will be weighted to account for their level of importance. Each of these will be scored out of 5 […] with a weighting applied to that score to produce a weighted score e.g. if a question is weighted as 20% and scored as 5/5 then the weighted score would be 20/20. If the score were 4/5, then the weighted score would be 16/20. All weighted scores are added together to achieve a total weighted score for the scored questions</w:t>
      </w:r>
      <w:r w:rsidR="00F26F5C">
        <w:rPr>
          <w:rFonts w:ascii="Arial" w:hAnsi="Arial" w:cs="Arial"/>
          <w:bCs/>
          <w:sz w:val="21"/>
          <w:szCs w:val="21"/>
        </w:rPr>
        <w:t xml:space="preserve"> …</w:t>
      </w:r>
    </w:p>
    <w:p w14:paraId="0CC93357" w14:textId="28781870" w:rsidR="00842106" w:rsidRPr="00523D66" w:rsidRDefault="00842106" w:rsidP="00523D66">
      <w:pPr>
        <w:pStyle w:val="ListParagraph"/>
        <w:spacing w:line="276" w:lineRule="auto"/>
        <w:ind w:left="1134"/>
        <w:contextualSpacing w:val="0"/>
        <w:rPr>
          <w:rFonts w:ascii="Arial" w:hAnsi="Arial" w:cs="Arial"/>
          <w:sz w:val="21"/>
          <w:szCs w:val="21"/>
        </w:rPr>
      </w:pPr>
      <w:r w:rsidRPr="00523D66">
        <w:rPr>
          <w:rFonts w:ascii="Arial" w:hAnsi="Arial" w:cs="Arial"/>
          <w:bCs/>
          <w:sz w:val="21"/>
          <w:szCs w:val="21"/>
        </w:rPr>
        <w:t>“Submitted Tenders will be evaluated by officers of the Council using the published award criteria and weightings (05 Volume 1 Appendix 4 D&amp;A Scoring Methodology)”</w:t>
      </w:r>
      <w:r w:rsidR="00FF1795">
        <w:rPr>
          <w:rFonts w:ascii="Arial" w:hAnsi="Arial" w:cs="Arial"/>
          <w:bCs/>
          <w:sz w:val="21"/>
          <w:szCs w:val="21"/>
        </w:rPr>
        <w:t>.</w:t>
      </w:r>
      <w:r w:rsidR="00CC6373" w:rsidRPr="007E2007">
        <w:rPr>
          <w:rStyle w:val="FootnoteReference"/>
          <w:rFonts w:ascii="Arial" w:hAnsi="Arial" w:cs="Arial"/>
          <w:bCs/>
        </w:rPr>
        <w:footnoteReference w:id="18"/>
      </w:r>
    </w:p>
    <w:p w14:paraId="07BC8954" w14:textId="26194008" w:rsidR="005A1665" w:rsidRDefault="0025310B" w:rsidP="00766956">
      <w:pPr>
        <w:pStyle w:val="ListParagraph"/>
        <w:numPr>
          <w:ilvl w:val="0"/>
          <w:numId w:val="2"/>
        </w:numPr>
        <w:spacing w:line="276" w:lineRule="auto"/>
        <w:ind w:left="567" w:hanging="567"/>
        <w:contextualSpacing w:val="0"/>
        <w:rPr>
          <w:rFonts w:ascii="Arial" w:hAnsi="Arial" w:cs="Arial"/>
        </w:rPr>
      </w:pPr>
      <w:r w:rsidRPr="006E0BB2">
        <w:rPr>
          <w:rFonts w:ascii="Arial" w:hAnsi="Arial" w:cs="Arial"/>
        </w:rPr>
        <w:t xml:space="preserve">The Panel </w:t>
      </w:r>
      <w:r w:rsidR="0076672E" w:rsidRPr="006E0BB2">
        <w:rPr>
          <w:rFonts w:ascii="Arial" w:hAnsi="Arial" w:cs="Arial"/>
        </w:rPr>
        <w:t xml:space="preserve">also </w:t>
      </w:r>
      <w:r w:rsidRPr="006E0BB2">
        <w:rPr>
          <w:rFonts w:ascii="Arial" w:hAnsi="Arial" w:cs="Arial"/>
        </w:rPr>
        <w:t>notes that t</w:t>
      </w:r>
      <w:r w:rsidR="009F572E" w:rsidRPr="006E0BB2">
        <w:rPr>
          <w:rFonts w:ascii="Arial" w:hAnsi="Arial" w:cs="Arial"/>
        </w:rPr>
        <w:t xml:space="preserve">he </w:t>
      </w:r>
      <w:r w:rsidR="00686E64" w:rsidRPr="006E0BB2">
        <w:rPr>
          <w:rFonts w:ascii="Arial" w:hAnsi="Arial" w:cs="Arial"/>
        </w:rPr>
        <w:t>Scoring Methodology and calculation template</w:t>
      </w:r>
      <w:r w:rsidR="00B47ECA" w:rsidRPr="006E0BB2">
        <w:rPr>
          <w:rFonts w:ascii="Arial" w:hAnsi="Arial" w:cs="Arial"/>
        </w:rPr>
        <w:t xml:space="preserve"> shared with bidders</w:t>
      </w:r>
      <w:r w:rsidR="00686E64" w:rsidRPr="006E0BB2">
        <w:rPr>
          <w:rFonts w:ascii="Arial" w:hAnsi="Arial" w:cs="Arial"/>
        </w:rPr>
        <w:t xml:space="preserve"> show</w:t>
      </w:r>
      <w:r w:rsidR="00B47ECA" w:rsidRPr="006E0BB2">
        <w:rPr>
          <w:rFonts w:ascii="Arial" w:hAnsi="Arial" w:cs="Arial"/>
        </w:rPr>
        <w:t>ed</w:t>
      </w:r>
      <w:r w:rsidR="00686E64" w:rsidRPr="006E0BB2">
        <w:rPr>
          <w:rFonts w:ascii="Arial" w:hAnsi="Arial" w:cs="Arial"/>
        </w:rPr>
        <w:t xml:space="preserve"> that most of the ITT questions </w:t>
      </w:r>
      <w:r w:rsidR="00071913" w:rsidRPr="006E0BB2">
        <w:rPr>
          <w:rFonts w:ascii="Arial" w:hAnsi="Arial" w:cs="Arial"/>
        </w:rPr>
        <w:t xml:space="preserve">had </w:t>
      </w:r>
      <w:r w:rsidR="00686E64" w:rsidRPr="006E0BB2">
        <w:rPr>
          <w:rFonts w:ascii="Arial" w:hAnsi="Arial" w:cs="Arial"/>
        </w:rPr>
        <w:t>multiple sub-criteria</w:t>
      </w:r>
      <w:r w:rsidR="00187347" w:rsidRPr="006E0BB2">
        <w:rPr>
          <w:rFonts w:ascii="Arial" w:hAnsi="Arial" w:cs="Arial"/>
        </w:rPr>
        <w:t xml:space="preserve">, </w:t>
      </w:r>
      <w:r w:rsidR="00DB3B2C" w:rsidRPr="006E0BB2">
        <w:rPr>
          <w:rFonts w:ascii="Arial" w:hAnsi="Arial" w:cs="Arial"/>
        </w:rPr>
        <w:t>and these</w:t>
      </w:r>
      <w:r w:rsidR="00686E64" w:rsidRPr="006E0BB2">
        <w:rPr>
          <w:rFonts w:ascii="Arial" w:hAnsi="Arial" w:cs="Arial"/>
        </w:rPr>
        <w:t xml:space="preserve"> </w:t>
      </w:r>
      <w:r w:rsidR="00187347" w:rsidRPr="006E0BB2">
        <w:rPr>
          <w:rFonts w:ascii="Arial" w:hAnsi="Arial" w:cs="Arial"/>
        </w:rPr>
        <w:t xml:space="preserve">sub-criteria </w:t>
      </w:r>
      <w:r w:rsidR="00686E64" w:rsidRPr="006E0BB2">
        <w:rPr>
          <w:rFonts w:ascii="Arial" w:hAnsi="Arial" w:cs="Arial"/>
        </w:rPr>
        <w:t>ha</w:t>
      </w:r>
      <w:r w:rsidR="00B47ECA" w:rsidRPr="006E0BB2">
        <w:rPr>
          <w:rFonts w:ascii="Arial" w:hAnsi="Arial" w:cs="Arial"/>
        </w:rPr>
        <w:t>d</w:t>
      </w:r>
      <w:r w:rsidR="00103272" w:rsidRPr="006E0BB2">
        <w:rPr>
          <w:rFonts w:ascii="Arial" w:hAnsi="Arial" w:cs="Arial"/>
        </w:rPr>
        <w:t xml:space="preserve"> </w:t>
      </w:r>
      <w:r w:rsidR="00686E64" w:rsidRPr="004B7EF9">
        <w:rPr>
          <w:rFonts w:ascii="Arial" w:hAnsi="Arial" w:cs="Arial"/>
          <w:bCs/>
        </w:rPr>
        <w:t>weighting</w:t>
      </w:r>
      <w:r w:rsidR="00DB3B2C" w:rsidRPr="004B7EF9">
        <w:rPr>
          <w:rFonts w:ascii="Arial" w:hAnsi="Arial" w:cs="Arial"/>
          <w:bCs/>
        </w:rPr>
        <w:t>s</w:t>
      </w:r>
      <w:r w:rsidR="00755727" w:rsidRPr="006E0BB2">
        <w:rPr>
          <w:rFonts w:ascii="Arial" w:hAnsi="Arial" w:cs="Arial"/>
        </w:rPr>
        <w:t xml:space="preserve"> that </w:t>
      </w:r>
      <w:r w:rsidR="00686E64" w:rsidRPr="006E0BB2">
        <w:rPr>
          <w:rFonts w:ascii="Arial" w:hAnsi="Arial" w:cs="Arial"/>
        </w:rPr>
        <w:t>add</w:t>
      </w:r>
      <w:r w:rsidR="00B47ECA" w:rsidRPr="006E0BB2">
        <w:rPr>
          <w:rFonts w:ascii="Arial" w:hAnsi="Arial" w:cs="Arial"/>
        </w:rPr>
        <w:t>ed</w:t>
      </w:r>
      <w:r w:rsidR="00686E64" w:rsidRPr="006E0BB2">
        <w:rPr>
          <w:rFonts w:ascii="Arial" w:hAnsi="Arial" w:cs="Arial"/>
        </w:rPr>
        <w:t xml:space="preserve"> up to 100% for </w:t>
      </w:r>
      <w:r w:rsidR="00DB3B2C" w:rsidRPr="006E0BB2">
        <w:rPr>
          <w:rFonts w:ascii="Arial" w:hAnsi="Arial" w:cs="Arial"/>
        </w:rPr>
        <w:t xml:space="preserve">each </w:t>
      </w:r>
      <w:r w:rsidR="00686E64" w:rsidRPr="006E0BB2">
        <w:rPr>
          <w:rFonts w:ascii="Arial" w:hAnsi="Arial" w:cs="Arial"/>
        </w:rPr>
        <w:t>question.</w:t>
      </w:r>
      <w:r w:rsidR="0076672E" w:rsidRPr="00C66083">
        <w:rPr>
          <w:rStyle w:val="FootnoteReference"/>
          <w:rFonts w:ascii="Arial" w:hAnsi="Arial" w:cs="Arial"/>
        </w:rPr>
        <w:footnoteReference w:id="19"/>
      </w:r>
      <w:r w:rsidR="00686E64" w:rsidRPr="006E0BB2">
        <w:rPr>
          <w:rFonts w:ascii="Arial" w:hAnsi="Arial" w:cs="Arial"/>
        </w:rPr>
        <w:t xml:space="preserve"> </w:t>
      </w:r>
      <w:r w:rsidR="002E0C61" w:rsidRPr="006E0BB2">
        <w:rPr>
          <w:rFonts w:ascii="Arial" w:hAnsi="Arial" w:cs="Arial"/>
        </w:rPr>
        <w:t>A</w:t>
      </w:r>
      <w:r w:rsidR="00686E64" w:rsidRPr="006E0BB2">
        <w:rPr>
          <w:rFonts w:ascii="Arial" w:hAnsi="Arial" w:cs="Arial"/>
        </w:rPr>
        <w:t xml:space="preserve"> further formula calculate</w:t>
      </w:r>
      <w:r w:rsidRPr="006E0BB2">
        <w:rPr>
          <w:rFonts w:ascii="Arial" w:hAnsi="Arial" w:cs="Arial"/>
        </w:rPr>
        <w:t>d</w:t>
      </w:r>
      <w:r w:rsidR="00686E64" w:rsidRPr="006E0BB2">
        <w:rPr>
          <w:rFonts w:ascii="Arial" w:hAnsi="Arial" w:cs="Arial"/>
        </w:rPr>
        <w:t xml:space="preserve"> the final weighted score </w:t>
      </w:r>
      <w:r w:rsidR="002E0C61" w:rsidRPr="006E0BB2">
        <w:rPr>
          <w:rFonts w:ascii="Arial" w:hAnsi="Arial" w:cs="Arial"/>
        </w:rPr>
        <w:t xml:space="preserve">for the </w:t>
      </w:r>
      <w:r w:rsidR="006E0BB2" w:rsidRPr="006E0BB2">
        <w:rPr>
          <w:rFonts w:ascii="Arial" w:hAnsi="Arial" w:cs="Arial"/>
        </w:rPr>
        <w:t xml:space="preserve">response to each </w:t>
      </w:r>
      <w:r w:rsidR="002E0C61" w:rsidRPr="006E0BB2">
        <w:rPr>
          <w:rFonts w:ascii="Arial" w:hAnsi="Arial" w:cs="Arial"/>
        </w:rPr>
        <w:t xml:space="preserve">question </w:t>
      </w:r>
      <w:r w:rsidR="00686E64" w:rsidRPr="006E0BB2">
        <w:rPr>
          <w:rFonts w:ascii="Arial" w:hAnsi="Arial" w:cs="Arial"/>
        </w:rPr>
        <w:t xml:space="preserve">according to the overall </w:t>
      </w:r>
      <w:r w:rsidR="00187347" w:rsidRPr="006E0BB2">
        <w:rPr>
          <w:rFonts w:ascii="Arial" w:hAnsi="Arial" w:cs="Arial"/>
        </w:rPr>
        <w:t xml:space="preserve">weighting for that </w:t>
      </w:r>
      <w:r w:rsidR="00686E64" w:rsidRPr="006E0BB2">
        <w:rPr>
          <w:rFonts w:ascii="Arial" w:hAnsi="Arial" w:cs="Arial"/>
        </w:rPr>
        <w:t>question.</w:t>
      </w:r>
    </w:p>
    <w:p w14:paraId="21CD761B" w14:textId="41914BCA" w:rsidR="00686E64" w:rsidRPr="0025310B" w:rsidRDefault="001271D8" w:rsidP="00523D66">
      <w:pPr>
        <w:pStyle w:val="ListParagraph"/>
        <w:numPr>
          <w:ilvl w:val="0"/>
          <w:numId w:val="2"/>
        </w:numPr>
        <w:spacing w:line="276" w:lineRule="auto"/>
        <w:ind w:left="567" w:hanging="567"/>
        <w:contextualSpacing w:val="0"/>
        <w:rPr>
          <w:rFonts w:ascii="Arial" w:hAnsi="Arial" w:cs="Arial"/>
        </w:rPr>
      </w:pPr>
      <w:r>
        <w:rPr>
          <w:rFonts w:ascii="Arial" w:hAnsi="Arial" w:cs="Arial"/>
        </w:rPr>
        <w:t>I</w:t>
      </w:r>
      <w:r w:rsidR="005A1665">
        <w:rPr>
          <w:rFonts w:ascii="Arial" w:hAnsi="Arial" w:cs="Arial"/>
        </w:rPr>
        <w:t xml:space="preserve">n relation to </w:t>
      </w:r>
      <w:r w:rsidR="00686E64" w:rsidRPr="0025310B">
        <w:rPr>
          <w:rFonts w:ascii="Arial" w:hAnsi="Arial" w:cs="Arial"/>
        </w:rPr>
        <w:t xml:space="preserve">Q2 </w:t>
      </w:r>
      <w:r w:rsidR="005A1665">
        <w:rPr>
          <w:rFonts w:ascii="Arial" w:hAnsi="Arial" w:cs="Arial"/>
        </w:rPr>
        <w:t xml:space="preserve">– which DHI </w:t>
      </w:r>
      <w:r w:rsidR="00606B69">
        <w:rPr>
          <w:rFonts w:ascii="Arial" w:hAnsi="Arial" w:cs="Arial"/>
        </w:rPr>
        <w:t xml:space="preserve">referenced in its submission – there were </w:t>
      </w:r>
      <w:r w:rsidR="0034002A">
        <w:rPr>
          <w:rFonts w:ascii="Arial" w:hAnsi="Arial" w:cs="Arial"/>
        </w:rPr>
        <w:t xml:space="preserve">three </w:t>
      </w:r>
      <w:r w:rsidR="00686E64" w:rsidRPr="0025310B">
        <w:rPr>
          <w:rFonts w:ascii="Arial" w:hAnsi="Arial" w:cs="Arial"/>
        </w:rPr>
        <w:t xml:space="preserve">sub-criteria weighted at 33%, 33% and 34% </w:t>
      </w:r>
      <w:r w:rsidR="006E0BB2" w:rsidRPr="0025310B">
        <w:rPr>
          <w:rFonts w:ascii="Arial" w:hAnsi="Arial" w:cs="Arial"/>
        </w:rPr>
        <w:t xml:space="preserve">respectively </w:t>
      </w:r>
      <w:r w:rsidR="00686E64" w:rsidRPr="0025310B">
        <w:rPr>
          <w:rFonts w:ascii="Arial" w:hAnsi="Arial" w:cs="Arial"/>
        </w:rPr>
        <w:t xml:space="preserve">of an overall 10% </w:t>
      </w:r>
      <w:r w:rsidR="00606B69">
        <w:rPr>
          <w:rFonts w:ascii="Arial" w:hAnsi="Arial" w:cs="Arial"/>
        </w:rPr>
        <w:t xml:space="preserve">that was </w:t>
      </w:r>
      <w:r w:rsidR="00686E64" w:rsidRPr="0025310B">
        <w:rPr>
          <w:rFonts w:ascii="Arial" w:hAnsi="Arial" w:cs="Arial"/>
        </w:rPr>
        <w:t>available</w:t>
      </w:r>
      <w:r w:rsidR="00606B69">
        <w:rPr>
          <w:rFonts w:ascii="Arial" w:hAnsi="Arial" w:cs="Arial"/>
        </w:rPr>
        <w:t xml:space="preserve"> for the answer to this question</w:t>
      </w:r>
      <w:r w:rsidR="00686E64" w:rsidRPr="0025310B">
        <w:rPr>
          <w:rFonts w:ascii="Arial" w:hAnsi="Arial" w:cs="Arial"/>
        </w:rPr>
        <w:t xml:space="preserve">. </w:t>
      </w:r>
      <w:r w:rsidR="00090174">
        <w:rPr>
          <w:rFonts w:ascii="Arial" w:hAnsi="Arial" w:cs="Arial"/>
        </w:rPr>
        <w:t>A</w:t>
      </w:r>
      <w:r w:rsidR="00686E64" w:rsidRPr="0025310B">
        <w:rPr>
          <w:rFonts w:ascii="Arial" w:eastAsia="Arial" w:hAnsi="Arial" w:cs="Arial"/>
        </w:rPr>
        <w:t xml:space="preserve"> score of</w:t>
      </w:r>
      <w:r w:rsidR="003D0D86">
        <w:rPr>
          <w:rFonts w:ascii="Arial" w:eastAsia="Arial" w:hAnsi="Arial" w:cs="Arial"/>
        </w:rPr>
        <w:t>, for example,</w:t>
      </w:r>
      <w:r w:rsidR="00686E64" w:rsidRPr="0025310B">
        <w:rPr>
          <w:rFonts w:ascii="Arial" w:eastAsia="Arial" w:hAnsi="Arial" w:cs="Arial"/>
        </w:rPr>
        <w:t xml:space="preserve"> </w:t>
      </w:r>
      <w:r w:rsidR="000F7C5E">
        <w:rPr>
          <w:rFonts w:ascii="Arial" w:eastAsia="Arial" w:hAnsi="Arial" w:cs="Arial"/>
        </w:rPr>
        <w:t>3</w:t>
      </w:r>
      <w:r w:rsidR="00E65005">
        <w:rPr>
          <w:rFonts w:ascii="Arial" w:eastAsia="Arial" w:hAnsi="Arial" w:cs="Arial"/>
        </w:rPr>
        <w:t xml:space="preserve"> out of 5</w:t>
      </w:r>
      <w:r w:rsidR="00686E64" w:rsidRPr="0025310B">
        <w:rPr>
          <w:rFonts w:ascii="Arial" w:eastAsia="Arial" w:hAnsi="Arial" w:cs="Arial"/>
        </w:rPr>
        <w:t xml:space="preserve">, </w:t>
      </w:r>
      <w:r w:rsidR="000F7C5E">
        <w:rPr>
          <w:rFonts w:ascii="Arial" w:eastAsia="Arial" w:hAnsi="Arial" w:cs="Arial"/>
        </w:rPr>
        <w:t>2</w:t>
      </w:r>
      <w:r w:rsidR="00686E64" w:rsidRPr="0025310B">
        <w:rPr>
          <w:rFonts w:ascii="Arial" w:eastAsia="Arial" w:hAnsi="Arial" w:cs="Arial"/>
        </w:rPr>
        <w:t xml:space="preserve"> </w:t>
      </w:r>
      <w:r w:rsidR="00E65005">
        <w:rPr>
          <w:rFonts w:ascii="Arial" w:eastAsia="Arial" w:hAnsi="Arial" w:cs="Arial"/>
        </w:rPr>
        <w:t xml:space="preserve">out of 5, </w:t>
      </w:r>
      <w:r w:rsidR="00686E64" w:rsidRPr="0025310B">
        <w:rPr>
          <w:rFonts w:ascii="Arial" w:eastAsia="Arial" w:hAnsi="Arial" w:cs="Arial"/>
        </w:rPr>
        <w:t xml:space="preserve">and 3 </w:t>
      </w:r>
      <w:r w:rsidR="00E65005">
        <w:rPr>
          <w:rFonts w:ascii="Arial" w:eastAsia="Arial" w:hAnsi="Arial" w:cs="Arial"/>
        </w:rPr>
        <w:t xml:space="preserve">out of 5 </w:t>
      </w:r>
      <w:r w:rsidR="00686E64" w:rsidRPr="0025310B">
        <w:rPr>
          <w:rFonts w:ascii="Arial" w:eastAsia="Arial" w:hAnsi="Arial" w:cs="Arial"/>
        </w:rPr>
        <w:t xml:space="preserve">against these sub-criteria would </w:t>
      </w:r>
      <w:r w:rsidR="00686E64" w:rsidRPr="0025310B">
        <w:rPr>
          <w:rFonts w:ascii="Arial" w:hAnsi="Arial" w:cs="Arial"/>
        </w:rPr>
        <w:t>produce</w:t>
      </w:r>
      <w:r w:rsidR="00686E64" w:rsidRPr="0025310B">
        <w:rPr>
          <w:rFonts w:ascii="Arial" w:eastAsia="Arial" w:hAnsi="Arial" w:cs="Arial"/>
        </w:rPr>
        <w:t xml:space="preserve"> a weighted score of 5.34%</w:t>
      </w:r>
      <w:r w:rsidR="0098494F">
        <w:rPr>
          <w:rFonts w:ascii="Arial" w:eastAsia="Arial" w:hAnsi="Arial" w:cs="Arial"/>
        </w:rPr>
        <w:t xml:space="preserve"> using the </w:t>
      </w:r>
      <w:r w:rsidR="000046BF">
        <w:rPr>
          <w:rFonts w:ascii="Arial" w:eastAsia="Arial" w:hAnsi="Arial" w:cs="Arial"/>
        </w:rPr>
        <w:t xml:space="preserve">Council’s </w:t>
      </w:r>
      <w:r w:rsidR="0098494F">
        <w:rPr>
          <w:rFonts w:ascii="Arial" w:eastAsia="Arial" w:hAnsi="Arial" w:cs="Arial"/>
        </w:rPr>
        <w:t xml:space="preserve">scoring methodology </w:t>
      </w:r>
      <w:r w:rsidR="000046BF">
        <w:rPr>
          <w:rFonts w:ascii="Arial" w:eastAsia="Arial" w:hAnsi="Arial" w:cs="Arial"/>
        </w:rPr>
        <w:t>and calculation template</w:t>
      </w:r>
      <w:r w:rsidR="00686E64" w:rsidRPr="0025310B">
        <w:rPr>
          <w:rFonts w:ascii="Arial" w:eastAsia="Arial" w:hAnsi="Arial" w:cs="Arial"/>
        </w:rPr>
        <w:t>.</w:t>
      </w:r>
      <w:r w:rsidR="003D0D86">
        <w:rPr>
          <w:rStyle w:val="FootnoteReference"/>
          <w:rFonts w:ascii="Arial" w:eastAsia="Arial" w:hAnsi="Arial" w:cs="Arial"/>
        </w:rPr>
        <w:footnoteReference w:id="20"/>
      </w:r>
      <w:r w:rsidR="00CE06FD">
        <w:rPr>
          <w:rFonts w:ascii="Arial" w:eastAsia="Arial" w:hAnsi="Arial" w:cs="Arial"/>
        </w:rPr>
        <w:t xml:space="preserve"> That is, it is mathematically possible to arrive at </w:t>
      </w:r>
      <w:r w:rsidR="00C71B5F">
        <w:rPr>
          <w:rFonts w:ascii="Arial" w:eastAsia="Arial" w:hAnsi="Arial" w:cs="Arial"/>
        </w:rPr>
        <w:t xml:space="preserve">weighted scores other than </w:t>
      </w:r>
      <w:r w:rsidR="00C71B5F" w:rsidRPr="00C5162D">
        <w:rPr>
          <w:rFonts w:ascii="Arial" w:hAnsi="Arial" w:cs="Arial"/>
        </w:rPr>
        <w:t>0.00%, 2.00%, 4.00%, 6.00%, 8.00%, or 10.00%</w:t>
      </w:r>
      <w:r w:rsidR="00C71B5F">
        <w:rPr>
          <w:rFonts w:ascii="Arial" w:hAnsi="Arial" w:cs="Arial"/>
        </w:rPr>
        <w:t xml:space="preserve"> for the answer to Q2 and similarly for Q4.</w:t>
      </w:r>
    </w:p>
    <w:p w14:paraId="13022D96" w14:textId="5B076BA2" w:rsidR="00686E64" w:rsidRDefault="006C4F25" w:rsidP="6E857ABD">
      <w:pPr>
        <w:pStyle w:val="ListParagraph"/>
        <w:numPr>
          <w:ilvl w:val="0"/>
          <w:numId w:val="2"/>
        </w:numPr>
        <w:spacing w:line="276" w:lineRule="auto"/>
        <w:ind w:left="567" w:hanging="567"/>
        <w:rPr>
          <w:rFonts w:ascii="Arial" w:hAnsi="Arial" w:cs="Arial"/>
        </w:rPr>
      </w:pPr>
      <w:r>
        <w:rPr>
          <w:rFonts w:ascii="Arial" w:hAnsi="Arial" w:cs="Arial"/>
        </w:rPr>
        <w:lastRenderedPageBreak/>
        <w:t>Given this, t</w:t>
      </w:r>
      <w:r w:rsidR="00F40C5D">
        <w:rPr>
          <w:rFonts w:ascii="Arial" w:hAnsi="Arial" w:cs="Arial"/>
        </w:rPr>
        <w:t xml:space="preserve">he Panel’s </w:t>
      </w:r>
      <w:r w:rsidR="007043DE">
        <w:rPr>
          <w:rFonts w:ascii="Arial" w:hAnsi="Arial" w:cs="Arial"/>
        </w:rPr>
        <w:t xml:space="preserve">view </w:t>
      </w:r>
      <w:r w:rsidR="00686E64">
        <w:rPr>
          <w:rFonts w:ascii="Arial" w:hAnsi="Arial" w:cs="Arial"/>
        </w:rPr>
        <w:t>is that</w:t>
      </w:r>
      <w:r w:rsidR="002F7C24">
        <w:rPr>
          <w:rFonts w:ascii="Arial" w:hAnsi="Arial" w:cs="Arial"/>
        </w:rPr>
        <w:t xml:space="preserve"> </w:t>
      </w:r>
      <w:r w:rsidR="00CD47AE">
        <w:rPr>
          <w:rFonts w:ascii="Arial" w:hAnsi="Arial" w:cs="Arial"/>
        </w:rPr>
        <w:t>the</w:t>
      </w:r>
      <w:r w:rsidR="008A1123">
        <w:rPr>
          <w:rFonts w:ascii="Arial" w:hAnsi="Arial" w:cs="Arial"/>
        </w:rPr>
        <w:t xml:space="preserve"> Council has not erred in its </w:t>
      </w:r>
      <w:r w:rsidR="00630F41">
        <w:rPr>
          <w:rFonts w:ascii="Arial" w:hAnsi="Arial" w:cs="Arial"/>
        </w:rPr>
        <w:t>calculation of DHI’s weighted score.</w:t>
      </w:r>
      <w:r w:rsidR="00BB5828">
        <w:rPr>
          <w:rFonts w:ascii="Arial" w:hAnsi="Arial" w:cs="Arial"/>
        </w:rPr>
        <w:t xml:space="preserve"> As a result, the Panel finds that the Council</w:t>
      </w:r>
      <w:r w:rsidR="00A430C5">
        <w:rPr>
          <w:rFonts w:ascii="Arial" w:hAnsi="Arial" w:cs="Arial"/>
        </w:rPr>
        <w:t xml:space="preserve">, in </w:t>
      </w:r>
      <w:r w:rsidR="004E3B01">
        <w:rPr>
          <w:rFonts w:ascii="Arial" w:hAnsi="Arial" w:cs="Arial"/>
        </w:rPr>
        <w:t xml:space="preserve">calculating the overall weighted score for </w:t>
      </w:r>
      <w:r w:rsidR="00A430C5">
        <w:rPr>
          <w:rFonts w:ascii="Arial" w:hAnsi="Arial" w:cs="Arial"/>
        </w:rPr>
        <w:t>DHI’s proposal,</w:t>
      </w:r>
      <w:r w:rsidR="00BB5828">
        <w:rPr>
          <w:rFonts w:ascii="Arial" w:hAnsi="Arial" w:cs="Arial"/>
        </w:rPr>
        <w:t xml:space="preserve"> did not breach the PSR regulations</w:t>
      </w:r>
      <w:r w:rsidR="004A72A3">
        <w:rPr>
          <w:rFonts w:ascii="Arial" w:hAnsi="Arial" w:cs="Arial"/>
        </w:rPr>
        <w:t xml:space="preserve"> and</w:t>
      </w:r>
      <w:proofErr w:type="gramStart"/>
      <w:r w:rsidR="00447D87">
        <w:rPr>
          <w:rFonts w:ascii="Arial" w:hAnsi="Arial" w:cs="Arial"/>
        </w:rPr>
        <w:t>,</w:t>
      </w:r>
      <w:r w:rsidR="004A72A3">
        <w:rPr>
          <w:rFonts w:ascii="Arial" w:hAnsi="Arial" w:cs="Arial"/>
        </w:rPr>
        <w:t xml:space="preserve"> in particular</w:t>
      </w:r>
      <w:r w:rsidR="00447D87">
        <w:rPr>
          <w:rFonts w:ascii="Arial" w:hAnsi="Arial" w:cs="Arial"/>
        </w:rPr>
        <w:t>,</w:t>
      </w:r>
      <w:r w:rsidR="004A72A3">
        <w:rPr>
          <w:rFonts w:ascii="Arial" w:hAnsi="Arial" w:cs="Arial"/>
        </w:rPr>
        <w:t xml:space="preserve"> the</w:t>
      </w:r>
      <w:proofErr w:type="gramEnd"/>
      <w:r w:rsidR="004A72A3">
        <w:rPr>
          <w:rFonts w:ascii="Arial" w:hAnsi="Arial" w:cs="Arial"/>
        </w:rPr>
        <w:t xml:space="preserve"> obligation</w:t>
      </w:r>
      <w:r w:rsidR="00BB5828">
        <w:rPr>
          <w:rFonts w:ascii="Arial" w:hAnsi="Arial" w:cs="Arial"/>
        </w:rPr>
        <w:t xml:space="preserve"> </w:t>
      </w:r>
      <w:r w:rsidR="007B0DF3">
        <w:rPr>
          <w:rFonts w:ascii="Arial" w:hAnsi="Arial" w:cs="Arial"/>
        </w:rPr>
        <w:t>to act fairly</w:t>
      </w:r>
      <w:r w:rsidR="00BB5828">
        <w:rPr>
          <w:rFonts w:ascii="Arial" w:hAnsi="Arial" w:cs="Arial"/>
        </w:rPr>
        <w:t>.</w:t>
      </w:r>
    </w:p>
    <w:p w14:paraId="02343F1B" w14:textId="79AADE01" w:rsidR="00686E64" w:rsidRPr="00225B01" w:rsidRDefault="00FF1795" w:rsidP="00686E64">
      <w:pPr>
        <w:pStyle w:val="Heading2"/>
        <w:numPr>
          <w:ilvl w:val="1"/>
          <w:numId w:val="1"/>
        </w:numPr>
        <w:spacing w:before="240" w:after="160"/>
        <w:ind w:left="0" w:firstLine="0"/>
        <w:rPr>
          <w:rFonts w:ascii="Arial" w:hAnsi="Arial" w:cs="Arial"/>
          <w:b/>
          <w:bCs/>
          <w:color w:val="000000" w:themeColor="text1"/>
          <w:sz w:val="24"/>
          <w:szCs w:val="24"/>
        </w:rPr>
      </w:pPr>
      <w:bookmarkStart w:id="16" w:name="_Toc189662754"/>
      <w:r>
        <w:rPr>
          <w:rFonts w:ascii="Arial" w:hAnsi="Arial" w:cs="Arial"/>
          <w:b/>
          <w:bCs/>
          <w:color w:val="000000" w:themeColor="text1"/>
          <w:sz w:val="24"/>
          <w:szCs w:val="24"/>
        </w:rPr>
        <w:t xml:space="preserve">Scoring of </w:t>
      </w:r>
      <w:r w:rsidR="003913B7">
        <w:rPr>
          <w:rFonts w:ascii="Arial" w:hAnsi="Arial" w:cs="Arial"/>
          <w:b/>
          <w:bCs/>
          <w:color w:val="000000" w:themeColor="text1"/>
          <w:sz w:val="24"/>
          <w:szCs w:val="24"/>
        </w:rPr>
        <w:t xml:space="preserve">responses to </w:t>
      </w:r>
      <w:r>
        <w:rPr>
          <w:rFonts w:ascii="Arial" w:hAnsi="Arial" w:cs="Arial"/>
          <w:b/>
          <w:bCs/>
          <w:color w:val="000000" w:themeColor="text1"/>
          <w:sz w:val="24"/>
          <w:szCs w:val="24"/>
        </w:rPr>
        <w:t xml:space="preserve">the </w:t>
      </w:r>
      <w:r w:rsidR="00686E64" w:rsidRPr="00225B01">
        <w:rPr>
          <w:rFonts w:ascii="Arial" w:hAnsi="Arial" w:cs="Arial"/>
          <w:b/>
          <w:bCs/>
          <w:color w:val="000000" w:themeColor="text1"/>
          <w:sz w:val="24"/>
          <w:szCs w:val="24"/>
        </w:rPr>
        <w:t xml:space="preserve">Social Value </w:t>
      </w:r>
      <w:r w:rsidR="003913B7">
        <w:rPr>
          <w:rFonts w:ascii="Arial" w:hAnsi="Arial" w:cs="Arial"/>
          <w:b/>
          <w:bCs/>
          <w:color w:val="000000" w:themeColor="text1"/>
          <w:sz w:val="24"/>
          <w:szCs w:val="24"/>
        </w:rPr>
        <w:t>questions</w:t>
      </w:r>
      <w:bookmarkEnd w:id="16"/>
    </w:p>
    <w:p w14:paraId="1424F62D" w14:textId="0392A323" w:rsidR="00570DD1" w:rsidRPr="004E006B" w:rsidRDefault="00686E64" w:rsidP="00427D63">
      <w:pPr>
        <w:pStyle w:val="ListParagraph"/>
        <w:numPr>
          <w:ilvl w:val="0"/>
          <w:numId w:val="2"/>
        </w:numPr>
        <w:spacing w:line="276" w:lineRule="auto"/>
        <w:ind w:left="567" w:hanging="567"/>
        <w:contextualSpacing w:val="0"/>
        <w:rPr>
          <w:rFonts w:ascii="Arial" w:hAnsi="Arial" w:cs="Arial"/>
          <w:bCs/>
        </w:rPr>
      </w:pPr>
      <w:r w:rsidRPr="00570DD1">
        <w:rPr>
          <w:rFonts w:ascii="Arial" w:hAnsi="Arial" w:cs="Arial"/>
        </w:rPr>
        <w:t xml:space="preserve">This section sets out the </w:t>
      </w:r>
      <w:r w:rsidRPr="00F27FC2">
        <w:rPr>
          <w:rFonts w:ascii="Arial" w:hAnsi="Arial" w:cs="Arial"/>
        </w:rPr>
        <w:t xml:space="preserve">Panel’s assessment of </w:t>
      </w:r>
      <w:r w:rsidR="00811CC7">
        <w:rPr>
          <w:rFonts w:ascii="Arial" w:eastAsiaTheme="majorEastAsia" w:hAnsi="Arial" w:cs="Arial"/>
        </w:rPr>
        <w:t xml:space="preserve">DHI’s concerns about </w:t>
      </w:r>
      <w:r w:rsidR="00F30D86">
        <w:rPr>
          <w:rFonts w:ascii="Arial" w:eastAsiaTheme="majorEastAsia" w:hAnsi="Arial" w:cs="Arial"/>
        </w:rPr>
        <w:t xml:space="preserve">the </w:t>
      </w:r>
      <w:r w:rsidR="00811CC7">
        <w:rPr>
          <w:rFonts w:ascii="Arial" w:eastAsiaTheme="majorEastAsia" w:hAnsi="Arial" w:cs="Arial"/>
        </w:rPr>
        <w:t xml:space="preserve">scoring </w:t>
      </w:r>
      <w:r w:rsidRPr="00F27FC2">
        <w:rPr>
          <w:rFonts w:ascii="Arial" w:eastAsiaTheme="majorEastAsia" w:hAnsi="Arial" w:cs="Arial"/>
        </w:rPr>
        <w:t xml:space="preserve">of </w:t>
      </w:r>
      <w:r w:rsidR="00811CC7">
        <w:rPr>
          <w:rFonts w:ascii="Arial" w:eastAsiaTheme="majorEastAsia" w:hAnsi="Arial" w:cs="Arial"/>
        </w:rPr>
        <w:t xml:space="preserve">responses to the </w:t>
      </w:r>
      <w:r w:rsidRPr="00F27FC2">
        <w:rPr>
          <w:rFonts w:ascii="Arial" w:eastAsiaTheme="majorEastAsia" w:hAnsi="Arial" w:cs="Arial"/>
        </w:rPr>
        <w:t>Social Value Questions</w:t>
      </w:r>
      <w:r w:rsidR="00E5211E" w:rsidRPr="00F27FC2">
        <w:rPr>
          <w:rFonts w:ascii="Arial" w:eastAsiaTheme="majorEastAsia" w:hAnsi="Arial" w:cs="Arial"/>
        </w:rPr>
        <w:t xml:space="preserve"> (Q7 and Q8)</w:t>
      </w:r>
      <w:r w:rsidR="004A5150">
        <w:rPr>
          <w:rFonts w:ascii="Arial" w:eastAsiaTheme="majorEastAsia" w:hAnsi="Arial" w:cs="Arial"/>
        </w:rPr>
        <w:t>,</w:t>
      </w:r>
      <w:r w:rsidR="00E5211E" w:rsidRPr="00F27FC2">
        <w:rPr>
          <w:rFonts w:ascii="Arial" w:eastAsiaTheme="majorEastAsia" w:hAnsi="Arial" w:cs="Arial"/>
        </w:rPr>
        <w:t xml:space="preserve"> </w:t>
      </w:r>
      <w:r w:rsidR="004A5150">
        <w:rPr>
          <w:rFonts w:ascii="Arial" w:eastAsiaTheme="majorEastAsia" w:hAnsi="Arial" w:cs="Arial"/>
        </w:rPr>
        <w:t xml:space="preserve">its </w:t>
      </w:r>
      <w:r w:rsidR="001C1A9C">
        <w:rPr>
          <w:rFonts w:ascii="Arial" w:hAnsi="Arial" w:cs="Arial"/>
          <w:bCs/>
        </w:rPr>
        <w:t xml:space="preserve">further </w:t>
      </w:r>
      <w:r w:rsidR="004A5150">
        <w:rPr>
          <w:rFonts w:ascii="Arial" w:hAnsi="Arial" w:cs="Arial"/>
          <w:bCs/>
        </w:rPr>
        <w:t>concern</w:t>
      </w:r>
      <w:r w:rsidR="00C6202B">
        <w:rPr>
          <w:rFonts w:ascii="Arial" w:hAnsi="Arial" w:cs="Arial"/>
          <w:bCs/>
        </w:rPr>
        <w:t>s</w:t>
      </w:r>
      <w:r w:rsidR="004A5150">
        <w:rPr>
          <w:rFonts w:ascii="Arial" w:hAnsi="Arial" w:cs="Arial"/>
          <w:bCs/>
        </w:rPr>
        <w:t xml:space="preserve"> about </w:t>
      </w:r>
      <w:r w:rsidR="00C6202B">
        <w:rPr>
          <w:rFonts w:ascii="Arial" w:hAnsi="Arial" w:cs="Arial"/>
          <w:bCs/>
        </w:rPr>
        <w:t>the scor</w:t>
      </w:r>
      <w:r w:rsidR="001C1A9C">
        <w:rPr>
          <w:rFonts w:ascii="Arial" w:hAnsi="Arial" w:cs="Arial"/>
          <w:bCs/>
        </w:rPr>
        <w:t>ing</w:t>
      </w:r>
      <w:r w:rsidR="00B5276A">
        <w:rPr>
          <w:rFonts w:ascii="Arial" w:hAnsi="Arial" w:cs="Arial"/>
          <w:bCs/>
        </w:rPr>
        <w:t xml:space="preserve"> </w:t>
      </w:r>
      <w:r w:rsidR="001C1A9C">
        <w:rPr>
          <w:rFonts w:ascii="Arial" w:hAnsi="Arial" w:cs="Arial"/>
          <w:bCs/>
        </w:rPr>
        <w:t xml:space="preserve">of </w:t>
      </w:r>
      <w:r w:rsidR="00B5276A">
        <w:rPr>
          <w:rFonts w:ascii="Arial" w:hAnsi="Arial" w:cs="Arial"/>
          <w:bCs/>
        </w:rPr>
        <w:t>response</w:t>
      </w:r>
      <w:r w:rsidR="00BC4B64">
        <w:rPr>
          <w:rFonts w:ascii="Arial" w:hAnsi="Arial" w:cs="Arial"/>
          <w:bCs/>
        </w:rPr>
        <w:t>s</w:t>
      </w:r>
      <w:r w:rsidR="00B5276A">
        <w:rPr>
          <w:rFonts w:ascii="Arial" w:hAnsi="Arial" w:cs="Arial"/>
          <w:bCs/>
        </w:rPr>
        <w:t xml:space="preserve"> to Q7</w:t>
      </w:r>
      <w:r w:rsidR="001C1A9C">
        <w:rPr>
          <w:rFonts w:ascii="Arial" w:hAnsi="Arial" w:cs="Arial"/>
          <w:bCs/>
        </w:rPr>
        <w:t xml:space="preserve">, and </w:t>
      </w:r>
      <w:r w:rsidR="001C1A9C">
        <w:rPr>
          <w:rFonts w:ascii="Arial" w:eastAsiaTheme="majorEastAsia" w:hAnsi="Arial" w:cs="Arial"/>
        </w:rPr>
        <w:t xml:space="preserve">its concern that </w:t>
      </w:r>
      <w:r w:rsidR="001C1A9C" w:rsidRPr="00F27FC2">
        <w:rPr>
          <w:rFonts w:ascii="Arial" w:eastAsiaTheme="majorEastAsia" w:hAnsi="Arial" w:cs="Arial"/>
        </w:rPr>
        <w:t>the Co</w:t>
      </w:r>
      <w:r w:rsidR="001C1A9C" w:rsidRPr="004E006B">
        <w:rPr>
          <w:rFonts w:ascii="Arial" w:hAnsi="Arial" w:cs="Arial"/>
          <w:bCs/>
        </w:rPr>
        <w:t>uncil</w:t>
      </w:r>
      <w:r w:rsidR="001C1A9C">
        <w:rPr>
          <w:rFonts w:ascii="Arial" w:hAnsi="Arial" w:cs="Arial"/>
          <w:bCs/>
        </w:rPr>
        <w:t xml:space="preserve"> should have excluded the successful bidder based on its response</w:t>
      </w:r>
      <w:r w:rsidR="00B5276A">
        <w:rPr>
          <w:rFonts w:ascii="Arial" w:hAnsi="Arial" w:cs="Arial"/>
          <w:bCs/>
        </w:rPr>
        <w:t>.</w:t>
      </w:r>
    </w:p>
    <w:p w14:paraId="49894505" w14:textId="47EB3DB3" w:rsidR="007854BF" w:rsidRPr="00E5211E" w:rsidRDefault="00B549CE" w:rsidP="004E006B">
      <w:pPr>
        <w:pStyle w:val="ListParagraph"/>
        <w:numPr>
          <w:ilvl w:val="0"/>
          <w:numId w:val="2"/>
        </w:numPr>
        <w:spacing w:line="276" w:lineRule="auto"/>
        <w:ind w:left="567" w:hanging="567"/>
        <w:contextualSpacing w:val="0"/>
        <w:rPr>
          <w:rFonts w:ascii="Arial" w:hAnsi="Arial" w:cs="Arial"/>
        </w:rPr>
      </w:pPr>
      <w:r>
        <w:rPr>
          <w:rFonts w:ascii="Arial" w:hAnsi="Arial" w:cs="Arial"/>
          <w:bCs/>
        </w:rPr>
        <w:t xml:space="preserve">By way of background, </w:t>
      </w:r>
      <w:r w:rsidR="00E5211E" w:rsidRPr="004E006B">
        <w:rPr>
          <w:rFonts w:ascii="Arial" w:hAnsi="Arial" w:cs="Arial"/>
          <w:bCs/>
        </w:rPr>
        <w:t>Question</w:t>
      </w:r>
      <w:r w:rsidR="00E5211E">
        <w:rPr>
          <w:rFonts w:ascii="Arial" w:hAnsi="Arial" w:cs="Arial"/>
        </w:rPr>
        <w:t xml:space="preserve"> 7 </w:t>
      </w:r>
      <w:r w:rsidR="00296A1E">
        <w:rPr>
          <w:rFonts w:ascii="Arial" w:hAnsi="Arial" w:cs="Arial"/>
        </w:rPr>
        <w:t xml:space="preserve">on social value </w:t>
      </w:r>
      <w:r w:rsidR="00E5211E" w:rsidRPr="00E5211E">
        <w:rPr>
          <w:rFonts w:ascii="Arial" w:hAnsi="Arial" w:cs="Arial"/>
        </w:rPr>
        <w:t>was</w:t>
      </w:r>
      <w:r w:rsidR="00011665" w:rsidRPr="00E5211E">
        <w:rPr>
          <w:rFonts w:ascii="Arial" w:hAnsi="Arial" w:cs="Arial"/>
        </w:rPr>
        <w:t xml:space="preserve"> as follows</w:t>
      </w:r>
      <w:r w:rsidR="00AB5BAD">
        <w:rPr>
          <w:rFonts w:ascii="Arial" w:hAnsi="Arial" w:cs="Arial"/>
        </w:rPr>
        <w:t>:</w:t>
      </w:r>
    </w:p>
    <w:p w14:paraId="3229A9E8" w14:textId="77777777" w:rsidR="007854BF" w:rsidRPr="00523D66" w:rsidRDefault="007854BF" w:rsidP="00523D66">
      <w:pPr>
        <w:spacing w:after="120" w:line="276" w:lineRule="auto"/>
        <w:ind w:left="992"/>
        <w:rPr>
          <w:rFonts w:ascii="Arial" w:hAnsi="Arial" w:cs="Arial"/>
          <w:sz w:val="21"/>
          <w:szCs w:val="21"/>
        </w:rPr>
      </w:pPr>
      <w:r w:rsidRPr="00523D66">
        <w:rPr>
          <w:rFonts w:ascii="Arial" w:hAnsi="Arial" w:cs="Arial"/>
          <w:b/>
          <w:bCs/>
          <w:sz w:val="21"/>
          <w:szCs w:val="21"/>
        </w:rPr>
        <w:t>Q7 - Social Value Activities Return</w:t>
      </w:r>
      <w:r w:rsidRPr="00523D66">
        <w:rPr>
          <w:rFonts w:ascii="Arial" w:hAnsi="Arial" w:cs="Arial"/>
          <w:sz w:val="21"/>
          <w:szCs w:val="21"/>
        </w:rPr>
        <w:t xml:space="preserve"> (overall weighting 2.5%):</w:t>
      </w:r>
    </w:p>
    <w:p w14:paraId="03680200" w14:textId="77777777" w:rsidR="007854BF" w:rsidRPr="00523D66" w:rsidRDefault="007854BF" w:rsidP="00523D66">
      <w:pPr>
        <w:pStyle w:val="ListParagraph"/>
        <w:spacing w:after="120" w:line="276" w:lineRule="auto"/>
        <w:ind w:left="1134"/>
        <w:contextualSpacing w:val="0"/>
        <w:rPr>
          <w:rFonts w:ascii="Arial" w:hAnsi="Arial" w:cs="Arial"/>
          <w:sz w:val="21"/>
          <w:szCs w:val="21"/>
        </w:rPr>
      </w:pPr>
      <w:r w:rsidRPr="00523D66">
        <w:rPr>
          <w:rFonts w:ascii="Arial" w:hAnsi="Arial" w:cs="Arial"/>
          <w:i/>
          <w:iCs/>
          <w:sz w:val="21"/>
          <w:szCs w:val="21"/>
        </w:rPr>
        <w:t>“Please complete the Social Value Activities Return – 09 Volume 2 Appendix 2 Social Value Activities Return”</w:t>
      </w:r>
      <w:r w:rsidRPr="00523D66">
        <w:rPr>
          <w:rFonts w:ascii="Arial" w:hAnsi="Arial" w:cs="Arial"/>
          <w:sz w:val="21"/>
          <w:szCs w:val="21"/>
        </w:rPr>
        <w:t xml:space="preserve"> (RA09)</w:t>
      </w:r>
    </w:p>
    <w:p w14:paraId="7B7EA593" w14:textId="62B448AB" w:rsidR="00184023" w:rsidRPr="00523D66" w:rsidRDefault="7FE8F5A3" w:rsidP="00523D66">
      <w:pPr>
        <w:pStyle w:val="ListParagraph"/>
        <w:spacing w:after="120" w:line="276" w:lineRule="auto"/>
        <w:ind w:left="1134"/>
        <w:contextualSpacing w:val="0"/>
        <w:rPr>
          <w:rFonts w:ascii="Arial" w:hAnsi="Arial" w:cs="Arial"/>
          <w:sz w:val="21"/>
          <w:szCs w:val="21"/>
        </w:rPr>
      </w:pPr>
      <w:r w:rsidRPr="00523D66">
        <w:rPr>
          <w:rFonts w:ascii="Arial" w:hAnsi="Arial" w:cs="Arial"/>
          <w:sz w:val="21"/>
          <w:szCs w:val="21"/>
        </w:rPr>
        <w:t xml:space="preserve">Each </w:t>
      </w:r>
      <w:r w:rsidR="00184023" w:rsidRPr="00523D66">
        <w:rPr>
          <w:rFonts w:ascii="Arial" w:hAnsi="Arial" w:cs="Arial"/>
          <w:sz w:val="21"/>
          <w:szCs w:val="21"/>
        </w:rPr>
        <w:t xml:space="preserve">Bidder’s response to this return </w:t>
      </w:r>
      <w:r w:rsidR="00972228" w:rsidRPr="00523D66">
        <w:rPr>
          <w:rFonts w:ascii="Arial" w:hAnsi="Arial" w:cs="Arial"/>
          <w:sz w:val="21"/>
          <w:szCs w:val="21"/>
        </w:rPr>
        <w:t>produced a quantitative ‘total impact score’</w:t>
      </w:r>
      <w:r w:rsidR="00184023" w:rsidRPr="00523D66">
        <w:rPr>
          <w:rFonts w:ascii="Arial" w:hAnsi="Arial" w:cs="Arial"/>
          <w:sz w:val="21"/>
          <w:szCs w:val="21"/>
        </w:rPr>
        <w:t>, which would be evaluated as follows:</w:t>
      </w:r>
    </w:p>
    <w:p w14:paraId="44A2E785" w14:textId="580EDC6F" w:rsidR="00184023" w:rsidRPr="00523D66" w:rsidRDefault="00184023" w:rsidP="00523D66">
      <w:pPr>
        <w:pStyle w:val="ListParagraph"/>
        <w:spacing w:after="120" w:line="276" w:lineRule="auto"/>
        <w:ind w:left="1134"/>
        <w:contextualSpacing w:val="0"/>
        <w:rPr>
          <w:rFonts w:ascii="Arial" w:hAnsi="Arial" w:cs="Arial"/>
          <w:sz w:val="21"/>
          <w:szCs w:val="21"/>
        </w:rPr>
      </w:pPr>
      <w:r w:rsidRPr="00523D66">
        <w:rPr>
          <w:rFonts w:ascii="Arial" w:hAnsi="Arial" w:cs="Arial"/>
          <w:sz w:val="21"/>
          <w:szCs w:val="21"/>
        </w:rPr>
        <w:t>The Bidder submitting the highest impact score (aggregate tariff) will score the maximum available score for the quantitative element of the Social Value scoring. All other Bidders will be scored in relation to the highest impact score as follows:</w:t>
      </w:r>
    </w:p>
    <w:p w14:paraId="3898C18B" w14:textId="62F35854" w:rsidR="00184023" w:rsidRPr="00523D66" w:rsidRDefault="00184023" w:rsidP="00523D66">
      <w:pPr>
        <w:pStyle w:val="ListParagraph"/>
        <w:spacing w:line="276" w:lineRule="auto"/>
        <w:ind w:left="1134"/>
        <w:contextualSpacing w:val="0"/>
        <w:rPr>
          <w:rFonts w:ascii="Arial" w:hAnsi="Arial" w:cs="Arial"/>
          <w:i/>
          <w:iCs/>
          <w:sz w:val="21"/>
          <w:szCs w:val="21"/>
        </w:rPr>
      </w:pPr>
      <w:r w:rsidRPr="00523D66">
        <w:rPr>
          <w:rFonts w:ascii="Arial" w:hAnsi="Arial" w:cs="Arial"/>
          <w:i/>
          <w:iCs/>
          <w:sz w:val="21"/>
          <w:szCs w:val="21"/>
        </w:rPr>
        <w:t>(Bidders Social Value Activities Impact Score / Highest Bidders Social Value Activities Impact Score) * Weighting for this question</w:t>
      </w:r>
      <w:r w:rsidR="007A5C66" w:rsidRPr="00523D66">
        <w:rPr>
          <w:rFonts w:ascii="Arial" w:hAnsi="Arial" w:cs="Arial"/>
          <w:sz w:val="21"/>
          <w:szCs w:val="21"/>
        </w:rPr>
        <w:t>”</w:t>
      </w:r>
    </w:p>
    <w:p w14:paraId="20348C93" w14:textId="19137938" w:rsidR="00184023" w:rsidRPr="00E5211E" w:rsidRDefault="00E5211E" w:rsidP="00184023">
      <w:pPr>
        <w:pStyle w:val="ListParagraph"/>
        <w:numPr>
          <w:ilvl w:val="0"/>
          <w:numId w:val="2"/>
        </w:numPr>
        <w:spacing w:after="120" w:line="276" w:lineRule="auto"/>
        <w:ind w:left="567" w:hanging="567"/>
        <w:rPr>
          <w:rFonts w:ascii="Arial" w:hAnsi="Arial" w:cs="Arial"/>
        </w:rPr>
      </w:pPr>
      <w:r w:rsidRPr="002A71F2">
        <w:rPr>
          <w:rFonts w:ascii="Arial" w:hAnsi="Arial" w:cs="Arial"/>
        </w:rPr>
        <w:t xml:space="preserve">Question </w:t>
      </w:r>
      <w:r w:rsidR="00184023">
        <w:rPr>
          <w:rFonts w:ascii="Arial" w:hAnsi="Arial" w:cs="Arial"/>
        </w:rPr>
        <w:t xml:space="preserve">8 </w:t>
      </w:r>
      <w:r w:rsidR="00427D63">
        <w:rPr>
          <w:rFonts w:ascii="Arial" w:hAnsi="Arial" w:cs="Arial"/>
        </w:rPr>
        <w:t>on social value</w:t>
      </w:r>
      <w:r w:rsidR="00AB5BAD">
        <w:rPr>
          <w:rFonts w:ascii="Arial" w:hAnsi="Arial" w:cs="Arial"/>
        </w:rPr>
        <w:t xml:space="preserve"> </w:t>
      </w:r>
      <w:r w:rsidR="00184023">
        <w:rPr>
          <w:rFonts w:ascii="Arial" w:hAnsi="Arial" w:cs="Arial"/>
        </w:rPr>
        <w:t>was</w:t>
      </w:r>
      <w:r w:rsidRPr="002A71F2">
        <w:rPr>
          <w:rFonts w:ascii="Arial" w:hAnsi="Arial" w:cs="Arial"/>
        </w:rPr>
        <w:t xml:space="preserve"> as follows</w:t>
      </w:r>
      <w:r w:rsidR="00184023" w:rsidRPr="00E5211E">
        <w:rPr>
          <w:rFonts w:ascii="Arial" w:hAnsi="Arial" w:cs="Arial"/>
        </w:rPr>
        <w:t>:</w:t>
      </w:r>
    </w:p>
    <w:p w14:paraId="607647AE" w14:textId="77777777" w:rsidR="007854BF" w:rsidRPr="00523D66" w:rsidRDefault="007854BF" w:rsidP="00523D66">
      <w:pPr>
        <w:spacing w:after="120" w:line="276" w:lineRule="auto"/>
        <w:ind w:left="992"/>
        <w:rPr>
          <w:rFonts w:ascii="Arial" w:hAnsi="Arial" w:cs="Arial"/>
          <w:sz w:val="21"/>
          <w:szCs w:val="21"/>
        </w:rPr>
      </w:pPr>
      <w:r w:rsidRPr="00523D66">
        <w:rPr>
          <w:rFonts w:ascii="Arial" w:hAnsi="Arial" w:cs="Arial"/>
          <w:b/>
          <w:bCs/>
          <w:sz w:val="21"/>
          <w:szCs w:val="21"/>
        </w:rPr>
        <w:t>Q8 - Managing and Monitoring Social Value</w:t>
      </w:r>
      <w:r w:rsidRPr="00523D66">
        <w:rPr>
          <w:rFonts w:ascii="Arial" w:hAnsi="Arial" w:cs="Arial"/>
          <w:sz w:val="21"/>
          <w:szCs w:val="21"/>
        </w:rPr>
        <w:t xml:space="preserve"> (overall weighting 2.5%):</w:t>
      </w:r>
    </w:p>
    <w:p w14:paraId="34A8C876" w14:textId="77777777" w:rsidR="007854BF" w:rsidRPr="00523D66" w:rsidRDefault="007854BF" w:rsidP="00523D66">
      <w:pPr>
        <w:pStyle w:val="ListParagraph"/>
        <w:spacing w:after="120" w:line="276" w:lineRule="auto"/>
        <w:ind w:left="1134"/>
        <w:contextualSpacing w:val="0"/>
        <w:rPr>
          <w:rFonts w:ascii="Arial" w:hAnsi="Arial" w:cs="Arial"/>
          <w:sz w:val="21"/>
          <w:szCs w:val="21"/>
        </w:rPr>
      </w:pPr>
      <w:r w:rsidRPr="00523D66">
        <w:rPr>
          <w:rFonts w:ascii="Arial" w:hAnsi="Arial" w:cs="Arial"/>
          <w:i/>
          <w:iCs/>
          <w:sz w:val="21"/>
          <w:szCs w:val="21"/>
        </w:rPr>
        <w:t xml:space="preserve">“Please set out how your Social Value offer will be managed and monitored and how will you ensure its delivery” </w:t>
      </w:r>
      <w:r w:rsidRPr="00523D66">
        <w:rPr>
          <w:rFonts w:ascii="Arial" w:hAnsi="Arial" w:cs="Arial"/>
          <w:sz w:val="21"/>
          <w:szCs w:val="21"/>
        </w:rPr>
        <w:t>(max 500 words)</w:t>
      </w:r>
    </w:p>
    <w:p w14:paraId="271E3E23" w14:textId="2ED10533" w:rsidR="007854BF" w:rsidRPr="00BD6F12" w:rsidRDefault="00972228" w:rsidP="00523D66">
      <w:pPr>
        <w:pStyle w:val="ListParagraph"/>
        <w:spacing w:after="120" w:line="276" w:lineRule="auto"/>
        <w:ind w:left="1134"/>
        <w:contextualSpacing w:val="0"/>
        <w:rPr>
          <w:rFonts w:ascii="Arial" w:hAnsi="Arial" w:cs="Arial"/>
          <w:sz w:val="21"/>
          <w:szCs w:val="21"/>
        </w:rPr>
      </w:pPr>
      <w:r w:rsidRPr="00523D66">
        <w:rPr>
          <w:rFonts w:ascii="Arial" w:hAnsi="Arial" w:cs="Arial"/>
          <w:sz w:val="21"/>
          <w:szCs w:val="21"/>
        </w:rPr>
        <w:t>The question</w:t>
      </w:r>
      <w:r w:rsidR="007854BF" w:rsidRPr="00523D66">
        <w:rPr>
          <w:rFonts w:ascii="Arial" w:hAnsi="Arial" w:cs="Arial"/>
          <w:sz w:val="21"/>
          <w:szCs w:val="21"/>
        </w:rPr>
        <w:t xml:space="preserve"> </w:t>
      </w:r>
      <w:r w:rsidRPr="00523D66">
        <w:rPr>
          <w:rFonts w:ascii="Arial" w:hAnsi="Arial" w:cs="Arial"/>
          <w:sz w:val="21"/>
          <w:szCs w:val="21"/>
        </w:rPr>
        <w:t xml:space="preserve">further </w:t>
      </w:r>
      <w:r w:rsidR="007854BF" w:rsidRPr="00523D66">
        <w:rPr>
          <w:rFonts w:ascii="Arial" w:hAnsi="Arial" w:cs="Arial"/>
          <w:sz w:val="21"/>
          <w:szCs w:val="21"/>
        </w:rPr>
        <w:t>note</w:t>
      </w:r>
      <w:r w:rsidRPr="00523D66">
        <w:rPr>
          <w:rFonts w:ascii="Arial" w:hAnsi="Arial" w:cs="Arial"/>
          <w:sz w:val="21"/>
          <w:szCs w:val="21"/>
        </w:rPr>
        <w:t>d</w:t>
      </w:r>
      <w:r w:rsidR="007854BF" w:rsidRPr="00523D66">
        <w:rPr>
          <w:rFonts w:ascii="Arial" w:hAnsi="Arial" w:cs="Arial"/>
          <w:sz w:val="21"/>
          <w:szCs w:val="21"/>
        </w:rPr>
        <w:t xml:space="preserve"> that “the successful Bidder will work with the Council to agree delivery of the Social Value as set out in the Social Value Activities Return” and state</w:t>
      </w:r>
      <w:r w:rsidRPr="00523D66">
        <w:rPr>
          <w:rFonts w:ascii="Arial" w:hAnsi="Arial" w:cs="Arial"/>
          <w:sz w:val="21"/>
          <w:szCs w:val="21"/>
        </w:rPr>
        <w:t>d</w:t>
      </w:r>
      <w:r w:rsidR="007854BF" w:rsidRPr="00523D66">
        <w:rPr>
          <w:rFonts w:ascii="Arial" w:hAnsi="Arial" w:cs="Arial"/>
          <w:sz w:val="21"/>
          <w:szCs w:val="21"/>
        </w:rPr>
        <w:t xml:space="preserve"> that the Council </w:t>
      </w:r>
      <w:r w:rsidRPr="00523D66">
        <w:rPr>
          <w:rFonts w:ascii="Arial" w:hAnsi="Arial" w:cs="Arial"/>
          <w:sz w:val="21"/>
          <w:szCs w:val="21"/>
        </w:rPr>
        <w:t>would</w:t>
      </w:r>
      <w:r w:rsidR="007854BF" w:rsidRPr="00523D66">
        <w:rPr>
          <w:rFonts w:ascii="Arial" w:hAnsi="Arial" w:cs="Arial"/>
          <w:sz w:val="21"/>
          <w:szCs w:val="21"/>
        </w:rPr>
        <w:t xml:space="preserve"> be looking for evidence of the following in the </w:t>
      </w:r>
      <w:r w:rsidRPr="00BD6F12">
        <w:rPr>
          <w:rFonts w:ascii="Arial" w:hAnsi="Arial" w:cs="Arial"/>
          <w:sz w:val="21"/>
          <w:szCs w:val="21"/>
        </w:rPr>
        <w:t>bidder’s</w:t>
      </w:r>
      <w:r w:rsidR="007854BF" w:rsidRPr="00BD6F12">
        <w:rPr>
          <w:rFonts w:ascii="Arial" w:hAnsi="Arial" w:cs="Arial"/>
          <w:sz w:val="21"/>
          <w:szCs w:val="21"/>
        </w:rPr>
        <w:t xml:space="preserve"> response:</w:t>
      </w:r>
    </w:p>
    <w:p w14:paraId="6BD80A1E" w14:textId="1B1E26E6" w:rsidR="007854BF" w:rsidRPr="00523D66" w:rsidRDefault="007854BF" w:rsidP="00523D66">
      <w:pPr>
        <w:pStyle w:val="ListParagraph"/>
        <w:spacing w:line="276" w:lineRule="auto"/>
        <w:ind w:left="1134"/>
        <w:contextualSpacing w:val="0"/>
        <w:rPr>
          <w:rFonts w:ascii="Arial" w:hAnsi="Arial" w:cs="Arial"/>
          <w:i/>
          <w:iCs/>
          <w:sz w:val="21"/>
          <w:szCs w:val="21"/>
        </w:rPr>
      </w:pPr>
      <w:r w:rsidRPr="00523D66">
        <w:rPr>
          <w:rFonts w:ascii="Arial" w:hAnsi="Arial" w:cs="Arial"/>
          <w:i/>
          <w:iCs/>
          <w:sz w:val="21"/>
          <w:szCs w:val="21"/>
        </w:rPr>
        <w:t>Robust proposals in place to ensure the delivering of the Social Value measures set out in the Social Value Activities Return and to ensure that these are monitored throughout the contract term (100%)”</w:t>
      </w:r>
      <w:r w:rsidR="00296A1E" w:rsidRPr="00523D66">
        <w:rPr>
          <w:rStyle w:val="FootnoteReference"/>
          <w:rFonts w:ascii="Arial" w:hAnsi="Arial" w:cs="Arial"/>
          <w:sz w:val="21"/>
          <w:szCs w:val="21"/>
        </w:rPr>
        <w:footnoteReference w:id="21"/>
      </w:r>
    </w:p>
    <w:p w14:paraId="2B58F36B" w14:textId="4AFCAFFE" w:rsidR="007854BF" w:rsidRPr="00F8503F" w:rsidRDefault="00BD6F12" w:rsidP="007854B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While </w:t>
      </w:r>
      <w:r w:rsidR="004513F8">
        <w:rPr>
          <w:rFonts w:ascii="Arial" w:hAnsi="Arial" w:cs="Arial"/>
        </w:rPr>
        <w:t>answers to Q7 produced a quantitative ‘total impact score’, s</w:t>
      </w:r>
      <w:r w:rsidR="00E5211E" w:rsidRPr="00F8503F">
        <w:rPr>
          <w:rFonts w:ascii="Arial" w:hAnsi="Arial" w:cs="Arial"/>
        </w:rPr>
        <w:t xml:space="preserve">coring of bidder responses to Question 8 was on a 0-5 scale as set out </w:t>
      </w:r>
      <w:r w:rsidR="00D7356D">
        <w:rPr>
          <w:rFonts w:ascii="Arial" w:hAnsi="Arial" w:cs="Arial"/>
        </w:rPr>
        <w:t xml:space="preserve">in the table </w:t>
      </w:r>
      <w:r w:rsidR="004513F8">
        <w:rPr>
          <w:rFonts w:ascii="Arial" w:hAnsi="Arial" w:cs="Arial"/>
        </w:rPr>
        <w:t>below</w:t>
      </w:r>
      <w:r w:rsidR="001625B7">
        <w:rPr>
          <w:rFonts w:ascii="Arial" w:hAnsi="Arial" w:cs="Arial"/>
        </w:rPr>
        <w:t>.</w:t>
      </w:r>
    </w:p>
    <w:p w14:paraId="0514E50E" w14:textId="77777777" w:rsidR="005C5ADB" w:rsidRDefault="005C5ADB">
      <w:r>
        <w:br w:type="page"/>
      </w:r>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5386"/>
        <w:gridCol w:w="2075"/>
      </w:tblGrid>
      <w:tr w:rsidR="00F8503F" w:rsidRPr="00F8503F" w14:paraId="371C5F62" w14:textId="77777777" w:rsidTr="00523D66">
        <w:tc>
          <w:tcPr>
            <w:tcW w:w="988" w:type="dxa"/>
            <w:shd w:val="clear" w:color="auto" w:fill="E7E6E6" w:themeFill="background2"/>
            <w:vAlign w:val="center"/>
          </w:tcPr>
          <w:p w14:paraId="62EB216F" w14:textId="195FA3A0" w:rsidR="00F8503F" w:rsidRPr="00F8503F" w:rsidRDefault="00F8503F" w:rsidP="00523D66">
            <w:pPr>
              <w:pStyle w:val="ListParagraph"/>
              <w:spacing w:before="60" w:after="60" w:line="276" w:lineRule="auto"/>
              <w:ind w:left="0"/>
              <w:contextualSpacing w:val="0"/>
              <w:jc w:val="center"/>
              <w:rPr>
                <w:rFonts w:ascii="Arial" w:hAnsi="Arial" w:cs="Arial"/>
                <w:b/>
                <w:bCs/>
                <w:sz w:val="18"/>
                <w:szCs w:val="18"/>
              </w:rPr>
            </w:pPr>
            <w:r w:rsidRPr="00F8503F">
              <w:rPr>
                <w:rFonts w:ascii="Arial" w:hAnsi="Arial" w:cs="Arial"/>
                <w:b/>
                <w:bCs/>
                <w:sz w:val="18"/>
                <w:szCs w:val="18"/>
              </w:rPr>
              <w:lastRenderedPageBreak/>
              <w:t>Score</w:t>
            </w:r>
          </w:p>
        </w:tc>
        <w:tc>
          <w:tcPr>
            <w:tcW w:w="5386" w:type="dxa"/>
            <w:shd w:val="clear" w:color="auto" w:fill="E7E6E6" w:themeFill="background2"/>
          </w:tcPr>
          <w:p w14:paraId="716E7CE8" w14:textId="1EBBCE6D" w:rsidR="00F8503F" w:rsidRPr="00F8503F" w:rsidRDefault="00F8503F" w:rsidP="00523D66">
            <w:pPr>
              <w:pStyle w:val="ListParagraph"/>
              <w:spacing w:before="60" w:after="60" w:line="276" w:lineRule="auto"/>
              <w:ind w:left="0"/>
              <w:contextualSpacing w:val="0"/>
              <w:rPr>
                <w:rFonts w:ascii="Arial" w:hAnsi="Arial" w:cs="Arial"/>
                <w:b/>
                <w:bCs/>
                <w:sz w:val="18"/>
                <w:szCs w:val="18"/>
              </w:rPr>
            </w:pPr>
            <w:r w:rsidRPr="00F8503F">
              <w:rPr>
                <w:rFonts w:ascii="Arial" w:hAnsi="Arial" w:cs="Arial"/>
                <w:b/>
                <w:bCs/>
                <w:sz w:val="18"/>
                <w:szCs w:val="18"/>
              </w:rPr>
              <w:t>Definition</w:t>
            </w:r>
          </w:p>
        </w:tc>
        <w:tc>
          <w:tcPr>
            <w:tcW w:w="2075" w:type="dxa"/>
            <w:shd w:val="clear" w:color="auto" w:fill="E7E6E6" w:themeFill="background2"/>
          </w:tcPr>
          <w:p w14:paraId="36BACB77" w14:textId="77777777" w:rsidR="00F8503F" w:rsidRPr="00F8503F" w:rsidRDefault="00F8503F" w:rsidP="00523D66">
            <w:pPr>
              <w:pStyle w:val="ListParagraph"/>
              <w:spacing w:before="60" w:after="60" w:line="276" w:lineRule="auto"/>
              <w:ind w:left="0"/>
              <w:contextualSpacing w:val="0"/>
              <w:rPr>
                <w:rFonts w:ascii="Arial" w:hAnsi="Arial" w:cs="Arial"/>
                <w:b/>
                <w:bCs/>
                <w:sz w:val="18"/>
                <w:szCs w:val="18"/>
              </w:rPr>
            </w:pPr>
          </w:p>
        </w:tc>
      </w:tr>
      <w:tr w:rsidR="00F8503F" w:rsidRPr="00F8503F" w14:paraId="76EE8511" w14:textId="77777777" w:rsidTr="00523D66">
        <w:tc>
          <w:tcPr>
            <w:tcW w:w="988" w:type="dxa"/>
            <w:vAlign w:val="center"/>
          </w:tcPr>
          <w:p w14:paraId="5684138F" w14:textId="00004D1F"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0</w:t>
            </w:r>
          </w:p>
        </w:tc>
        <w:tc>
          <w:tcPr>
            <w:tcW w:w="5386" w:type="dxa"/>
            <w:shd w:val="clear" w:color="auto" w:fill="auto"/>
          </w:tcPr>
          <w:p w14:paraId="3B87D221" w14:textId="6B9D68C0" w:rsidR="00F8503F" w:rsidRPr="00F8503F" w:rsidRDefault="00F8503F" w:rsidP="00523D66">
            <w:pPr>
              <w:pStyle w:val="paragraph"/>
              <w:spacing w:before="60" w:beforeAutospacing="0" w:after="60" w:afterAutospacing="0"/>
              <w:textAlignment w:val="baseline"/>
              <w:divId w:val="456526463"/>
              <w:rPr>
                <w:rFonts w:ascii="Segoe UI" w:hAnsi="Segoe UI" w:cs="Segoe UI"/>
                <w:sz w:val="18"/>
                <w:szCs w:val="18"/>
              </w:rPr>
            </w:pPr>
            <w:r w:rsidRPr="00F8503F">
              <w:rPr>
                <w:rStyle w:val="normaltextrun"/>
                <w:rFonts w:ascii="Arial" w:hAnsi="Arial" w:cs="Arial"/>
                <w:sz w:val="18"/>
                <w:szCs w:val="18"/>
              </w:rPr>
              <w:t>The supporting Social Value information was omitted or fundamentally failed to meet the relevant Social Value measures.</w:t>
            </w:r>
          </w:p>
          <w:p w14:paraId="23EF3070" w14:textId="10C86EB6"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Insufficient evidence to demonstrate that the relevant submission requirements or the Authority’s requirements can be met.</w:t>
            </w:r>
          </w:p>
        </w:tc>
        <w:tc>
          <w:tcPr>
            <w:tcW w:w="2075" w:type="dxa"/>
            <w:shd w:val="clear" w:color="auto" w:fill="auto"/>
            <w:vAlign w:val="center"/>
          </w:tcPr>
          <w:p w14:paraId="2A220A36" w14:textId="033B8050"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Unacceptable</w:t>
            </w:r>
          </w:p>
        </w:tc>
      </w:tr>
      <w:tr w:rsidR="00F8503F" w:rsidRPr="00F8503F" w14:paraId="3B7A114D" w14:textId="77777777" w:rsidTr="00523D66">
        <w:tc>
          <w:tcPr>
            <w:tcW w:w="988" w:type="dxa"/>
            <w:vAlign w:val="center"/>
          </w:tcPr>
          <w:p w14:paraId="3773DA02" w14:textId="2CAA7338"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1</w:t>
            </w:r>
          </w:p>
        </w:tc>
        <w:tc>
          <w:tcPr>
            <w:tcW w:w="5386" w:type="dxa"/>
            <w:shd w:val="clear" w:color="auto" w:fill="auto"/>
          </w:tcPr>
          <w:p w14:paraId="46F771BD" w14:textId="744BF163" w:rsidR="00F8503F" w:rsidRPr="00F8503F" w:rsidRDefault="00F8503F" w:rsidP="00523D66">
            <w:pPr>
              <w:pStyle w:val="paragraph"/>
              <w:spacing w:before="60" w:beforeAutospacing="0" w:after="60" w:afterAutospacing="0"/>
              <w:textAlignment w:val="baseline"/>
              <w:divId w:val="2056153941"/>
              <w:rPr>
                <w:rFonts w:ascii="Segoe UI" w:hAnsi="Segoe UI" w:cs="Segoe UI"/>
                <w:sz w:val="18"/>
                <w:szCs w:val="18"/>
              </w:rPr>
            </w:pPr>
            <w:r w:rsidRPr="00F8503F">
              <w:rPr>
                <w:rStyle w:val="normaltextrun"/>
                <w:rFonts w:ascii="Arial" w:hAnsi="Arial" w:cs="Arial"/>
                <w:sz w:val="18"/>
                <w:szCs w:val="18"/>
              </w:rPr>
              <w:t>The supporting Social Value information is adequate but there is insufficient evidence to demonstrate that the relevant Social Value offer can be met.</w:t>
            </w:r>
          </w:p>
          <w:p w14:paraId="727F49E0" w14:textId="207868CA"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Significant omissions, serious and/or many concerns.</w:t>
            </w:r>
          </w:p>
        </w:tc>
        <w:tc>
          <w:tcPr>
            <w:tcW w:w="2075" w:type="dxa"/>
            <w:shd w:val="clear" w:color="auto" w:fill="auto"/>
            <w:vAlign w:val="center"/>
          </w:tcPr>
          <w:p w14:paraId="18421DB3" w14:textId="1CB62E98"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Major reservations</w:t>
            </w:r>
          </w:p>
        </w:tc>
      </w:tr>
      <w:tr w:rsidR="00F8503F" w:rsidRPr="00F8503F" w14:paraId="32EC0EDF" w14:textId="77777777" w:rsidTr="00523D66">
        <w:tc>
          <w:tcPr>
            <w:tcW w:w="988" w:type="dxa"/>
            <w:vAlign w:val="center"/>
          </w:tcPr>
          <w:p w14:paraId="54F6966E" w14:textId="4BCF4F5F"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2</w:t>
            </w:r>
          </w:p>
        </w:tc>
        <w:tc>
          <w:tcPr>
            <w:tcW w:w="5386" w:type="dxa"/>
            <w:shd w:val="clear" w:color="auto" w:fill="auto"/>
          </w:tcPr>
          <w:p w14:paraId="4B96B211" w14:textId="4658D0BE" w:rsidR="00F8503F" w:rsidRPr="00F8503F" w:rsidRDefault="00F8503F" w:rsidP="00523D66">
            <w:pPr>
              <w:pStyle w:val="paragraph"/>
              <w:spacing w:before="60" w:beforeAutospacing="0" w:after="60" w:afterAutospacing="0"/>
              <w:textAlignment w:val="baseline"/>
              <w:divId w:val="1987316141"/>
              <w:rPr>
                <w:rFonts w:ascii="Segoe UI" w:hAnsi="Segoe UI" w:cs="Segoe UI"/>
                <w:sz w:val="18"/>
                <w:szCs w:val="18"/>
              </w:rPr>
            </w:pPr>
            <w:r w:rsidRPr="00F8503F">
              <w:rPr>
                <w:rStyle w:val="normaltextrun"/>
                <w:rFonts w:ascii="Arial" w:hAnsi="Arial" w:cs="Arial"/>
                <w:sz w:val="18"/>
                <w:szCs w:val="18"/>
              </w:rPr>
              <w:t>The supporting Social Value information has some minor omissions in respect of the relevant Social Value measures.</w:t>
            </w:r>
          </w:p>
          <w:p w14:paraId="12F5E38A" w14:textId="584CEE2D"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The supporting Social Value information satisfies the basic minimum requirements in some respects but is unsatisfactory in other respects and raise some concerns.</w:t>
            </w:r>
          </w:p>
        </w:tc>
        <w:tc>
          <w:tcPr>
            <w:tcW w:w="2075" w:type="dxa"/>
            <w:shd w:val="clear" w:color="auto" w:fill="auto"/>
            <w:vAlign w:val="center"/>
          </w:tcPr>
          <w:p w14:paraId="7E26D5FC" w14:textId="1426332C"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Some Reservations</w:t>
            </w:r>
          </w:p>
        </w:tc>
      </w:tr>
      <w:tr w:rsidR="00F8503F" w:rsidRPr="00F8503F" w14:paraId="21BE37E8" w14:textId="77777777" w:rsidTr="00523D66">
        <w:tc>
          <w:tcPr>
            <w:tcW w:w="988" w:type="dxa"/>
            <w:vAlign w:val="center"/>
          </w:tcPr>
          <w:p w14:paraId="25035143" w14:textId="02F6B722"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3</w:t>
            </w:r>
          </w:p>
        </w:tc>
        <w:tc>
          <w:tcPr>
            <w:tcW w:w="5386" w:type="dxa"/>
            <w:shd w:val="clear" w:color="auto" w:fill="auto"/>
          </w:tcPr>
          <w:p w14:paraId="23E0DFF8" w14:textId="1A5A166E" w:rsidR="00F8503F" w:rsidRPr="00F8503F" w:rsidRDefault="00F8503F" w:rsidP="00523D66">
            <w:pPr>
              <w:pStyle w:val="paragraph"/>
              <w:spacing w:before="60" w:beforeAutospacing="0" w:after="60" w:afterAutospacing="0"/>
              <w:textAlignment w:val="baseline"/>
              <w:divId w:val="1766144788"/>
              <w:rPr>
                <w:rFonts w:ascii="Segoe UI" w:hAnsi="Segoe UI" w:cs="Segoe UI"/>
                <w:sz w:val="18"/>
                <w:szCs w:val="18"/>
              </w:rPr>
            </w:pPr>
            <w:r w:rsidRPr="00F8503F">
              <w:rPr>
                <w:rStyle w:val="normaltextrun"/>
                <w:rFonts w:ascii="Arial" w:hAnsi="Arial" w:cs="Arial"/>
                <w:sz w:val="18"/>
                <w:szCs w:val="18"/>
              </w:rPr>
              <w:t>The supporting Social Value information submitted provides some good evidence to meet the relevant Social Value commitments offered in the Authority’s view.</w:t>
            </w:r>
          </w:p>
          <w:p w14:paraId="0B513F6D" w14:textId="0D1B4AE3"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It is satisfactory in most respects and there are no major concerns.</w:t>
            </w:r>
          </w:p>
        </w:tc>
        <w:tc>
          <w:tcPr>
            <w:tcW w:w="2075" w:type="dxa"/>
            <w:shd w:val="clear" w:color="auto" w:fill="auto"/>
            <w:vAlign w:val="center"/>
          </w:tcPr>
          <w:p w14:paraId="46FAE208" w14:textId="1885E113"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Satisfactory</w:t>
            </w:r>
          </w:p>
        </w:tc>
      </w:tr>
      <w:tr w:rsidR="00F8503F" w:rsidRPr="00F8503F" w14:paraId="3B697135" w14:textId="77777777" w:rsidTr="00523D66">
        <w:tc>
          <w:tcPr>
            <w:tcW w:w="988" w:type="dxa"/>
            <w:vAlign w:val="center"/>
          </w:tcPr>
          <w:p w14:paraId="19738172" w14:textId="4DDC51EB"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4</w:t>
            </w:r>
          </w:p>
        </w:tc>
        <w:tc>
          <w:tcPr>
            <w:tcW w:w="5386" w:type="dxa"/>
            <w:shd w:val="clear" w:color="auto" w:fill="auto"/>
          </w:tcPr>
          <w:p w14:paraId="76B87642" w14:textId="6B14A088" w:rsidR="00F8503F" w:rsidRPr="00F8503F" w:rsidRDefault="00F8503F" w:rsidP="00523D66">
            <w:pPr>
              <w:pStyle w:val="paragraph"/>
              <w:spacing w:before="60" w:beforeAutospacing="0" w:after="60" w:afterAutospacing="0"/>
              <w:textAlignment w:val="baseline"/>
              <w:divId w:val="1202549844"/>
              <w:rPr>
                <w:rFonts w:ascii="Segoe UI" w:hAnsi="Segoe UI" w:cs="Segoe UI"/>
                <w:sz w:val="18"/>
                <w:szCs w:val="18"/>
              </w:rPr>
            </w:pPr>
            <w:r w:rsidRPr="00F8503F">
              <w:rPr>
                <w:rStyle w:val="normaltextrun"/>
                <w:rFonts w:ascii="Arial" w:hAnsi="Arial" w:cs="Arial"/>
                <w:sz w:val="18"/>
                <w:szCs w:val="18"/>
              </w:rPr>
              <w:t>The supporting Social Value information submitted provides, in the Authority’s view, good evidence that all the Social Value commitments offered can be met.</w:t>
            </w:r>
          </w:p>
          <w:p w14:paraId="7F39B4CC" w14:textId="115F78D8"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Full and robust response, any concerns are addressed so that the proposal gives confidence.</w:t>
            </w:r>
          </w:p>
        </w:tc>
        <w:tc>
          <w:tcPr>
            <w:tcW w:w="2075" w:type="dxa"/>
            <w:shd w:val="clear" w:color="auto" w:fill="auto"/>
            <w:vAlign w:val="center"/>
          </w:tcPr>
          <w:p w14:paraId="63D9F3C3" w14:textId="3A1F0C70"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Good</w:t>
            </w:r>
          </w:p>
        </w:tc>
      </w:tr>
      <w:tr w:rsidR="00F8503F" w:rsidRPr="00F8503F" w14:paraId="4C8F9DB1" w14:textId="77777777" w:rsidTr="00523D66">
        <w:tc>
          <w:tcPr>
            <w:tcW w:w="988" w:type="dxa"/>
            <w:vAlign w:val="center"/>
          </w:tcPr>
          <w:p w14:paraId="0996ECD3" w14:textId="3CA17940"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Fonts w:ascii="Arial" w:hAnsi="Arial" w:cs="Arial"/>
                <w:b/>
                <w:bCs/>
                <w:sz w:val="18"/>
                <w:szCs w:val="18"/>
              </w:rPr>
              <w:t>5</w:t>
            </w:r>
          </w:p>
        </w:tc>
        <w:tc>
          <w:tcPr>
            <w:tcW w:w="5386" w:type="dxa"/>
            <w:shd w:val="clear" w:color="auto" w:fill="auto"/>
          </w:tcPr>
          <w:p w14:paraId="447A9B23" w14:textId="16ABBEA1" w:rsidR="00F8503F" w:rsidRPr="00F8503F" w:rsidRDefault="00F8503F" w:rsidP="00523D66">
            <w:pPr>
              <w:pStyle w:val="paragraph"/>
              <w:spacing w:before="60" w:beforeAutospacing="0" w:after="60" w:afterAutospacing="0"/>
              <w:textAlignment w:val="baseline"/>
              <w:divId w:val="666861302"/>
              <w:rPr>
                <w:rFonts w:ascii="Segoe UI" w:hAnsi="Segoe UI" w:cs="Segoe UI"/>
                <w:sz w:val="18"/>
                <w:szCs w:val="18"/>
              </w:rPr>
            </w:pPr>
            <w:r w:rsidRPr="00F8503F">
              <w:rPr>
                <w:rStyle w:val="normaltextrun"/>
                <w:rFonts w:ascii="Arial" w:hAnsi="Arial" w:cs="Arial"/>
                <w:sz w:val="18"/>
                <w:szCs w:val="18"/>
              </w:rPr>
              <w:t>The supporting Social Value information submitted provides strong evidence, in the Authority’s view, that all the Social Value commitments offered can be met and the proposal is outstanding.</w:t>
            </w:r>
          </w:p>
          <w:p w14:paraId="7E0813AB" w14:textId="55BCD6E4" w:rsidR="00F8503F" w:rsidRPr="00F8503F" w:rsidRDefault="00F8503F" w:rsidP="00523D66">
            <w:pPr>
              <w:pStyle w:val="ListParagraph"/>
              <w:spacing w:before="60" w:after="60"/>
              <w:ind w:left="0"/>
              <w:contextualSpacing w:val="0"/>
              <w:rPr>
                <w:rFonts w:ascii="Arial" w:hAnsi="Arial" w:cs="Arial"/>
                <w:sz w:val="18"/>
                <w:szCs w:val="18"/>
              </w:rPr>
            </w:pPr>
            <w:r w:rsidRPr="00F8503F">
              <w:rPr>
                <w:rStyle w:val="normaltextrun"/>
                <w:rFonts w:ascii="Arial" w:hAnsi="Arial" w:cs="Arial"/>
                <w:sz w:val="18"/>
                <w:szCs w:val="18"/>
              </w:rPr>
              <w:t>Provides full confidence and no concerns.</w:t>
            </w:r>
          </w:p>
        </w:tc>
        <w:tc>
          <w:tcPr>
            <w:tcW w:w="2075" w:type="dxa"/>
            <w:shd w:val="clear" w:color="auto" w:fill="auto"/>
            <w:vAlign w:val="center"/>
          </w:tcPr>
          <w:p w14:paraId="16E79018" w14:textId="542CEC18" w:rsidR="00F8503F" w:rsidRPr="00F8503F" w:rsidRDefault="00F8503F" w:rsidP="00523D66">
            <w:pPr>
              <w:pStyle w:val="ListParagraph"/>
              <w:spacing w:before="60" w:after="60"/>
              <w:ind w:left="0"/>
              <w:contextualSpacing w:val="0"/>
              <w:jc w:val="center"/>
              <w:rPr>
                <w:rFonts w:ascii="Arial" w:hAnsi="Arial" w:cs="Arial"/>
                <w:b/>
                <w:bCs/>
                <w:sz w:val="18"/>
                <w:szCs w:val="18"/>
              </w:rPr>
            </w:pPr>
            <w:r w:rsidRPr="00F8503F">
              <w:rPr>
                <w:rStyle w:val="normaltextrun"/>
                <w:rFonts w:ascii="Arial" w:hAnsi="Arial" w:cs="Arial"/>
                <w:b/>
                <w:bCs/>
                <w:sz w:val="18"/>
                <w:szCs w:val="18"/>
              </w:rPr>
              <w:t>Outstanding</w:t>
            </w:r>
          </w:p>
        </w:tc>
      </w:tr>
    </w:tbl>
    <w:p w14:paraId="6E650674" w14:textId="605745EC" w:rsidR="00184023" w:rsidRPr="00523D66" w:rsidRDefault="009E3BBD" w:rsidP="00523D66">
      <w:pPr>
        <w:pStyle w:val="ListParagraph"/>
        <w:spacing w:before="60" w:after="360" w:line="276" w:lineRule="auto"/>
        <w:ind w:left="567"/>
        <w:contextualSpacing w:val="0"/>
        <w:rPr>
          <w:rFonts w:ascii="Arial" w:hAnsi="Arial" w:cs="Arial"/>
          <w:sz w:val="16"/>
          <w:szCs w:val="16"/>
        </w:rPr>
      </w:pPr>
      <w:r w:rsidRPr="00523D66">
        <w:rPr>
          <w:rFonts w:ascii="Arial" w:hAnsi="Arial" w:cs="Arial"/>
          <w:i/>
          <w:iCs/>
          <w:sz w:val="16"/>
          <w:szCs w:val="16"/>
        </w:rPr>
        <w:t>Source</w:t>
      </w:r>
      <w:r>
        <w:rPr>
          <w:rFonts w:ascii="Arial" w:hAnsi="Arial" w:cs="Arial"/>
          <w:sz w:val="16"/>
          <w:szCs w:val="16"/>
        </w:rPr>
        <w:t xml:space="preserve">: </w:t>
      </w:r>
      <w:r w:rsidRPr="00F8503F">
        <w:rPr>
          <w:rFonts w:ascii="Arial" w:hAnsi="Arial" w:cs="Arial"/>
          <w:sz w:val="16"/>
          <w:szCs w:val="16"/>
        </w:rPr>
        <w:t xml:space="preserve">B&amp;NES Council, </w:t>
      </w:r>
      <w:r w:rsidRPr="00766956">
        <w:rPr>
          <w:rFonts w:ascii="Arial" w:hAnsi="Arial" w:cs="Arial"/>
          <w:i/>
          <w:iCs/>
          <w:sz w:val="16"/>
          <w:szCs w:val="16"/>
        </w:rPr>
        <w:t>Stage 2 Invitation to Tender Volume 1 (Guidance Document)</w:t>
      </w:r>
      <w:r w:rsidRPr="00F8503F">
        <w:rPr>
          <w:rFonts w:ascii="Arial" w:hAnsi="Arial" w:cs="Arial"/>
          <w:sz w:val="16"/>
          <w:szCs w:val="16"/>
        </w:rPr>
        <w:t>, 6 September 2024.</w:t>
      </w:r>
    </w:p>
    <w:p w14:paraId="7B578448" w14:textId="79B391D0" w:rsidR="00570DD1" w:rsidRPr="006E1E48" w:rsidRDefault="00AB5BAD" w:rsidP="009A54D5">
      <w:pPr>
        <w:keepNext/>
        <w:spacing w:before="240" w:after="120" w:line="276" w:lineRule="auto"/>
        <w:rPr>
          <w:rFonts w:ascii="Arial" w:hAnsi="Arial" w:cs="Arial"/>
          <w:b/>
          <w:bCs/>
        </w:rPr>
      </w:pPr>
      <w:r w:rsidRPr="006E1E48">
        <w:rPr>
          <w:rFonts w:ascii="Arial" w:hAnsi="Arial" w:cs="Arial"/>
          <w:b/>
          <w:bCs/>
        </w:rPr>
        <w:t xml:space="preserve">7.2.1 </w:t>
      </w:r>
      <w:r w:rsidR="0036359A">
        <w:rPr>
          <w:rFonts w:ascii="Arial" w:hAnsi="Arial" w:cs="Arial"/>
          <w:b/>
          <w:bCs/>
        </w:rPr>
        <w:t>Consistency in s</w:t>
      </w:r>
      <w:r w:rsidR="006E1E48" w:rsidRPr="006E1E48">
        <w:rPr>
          <w:rFonts w:ascii="Arial" w:hAnsi="Arial" w:cs="Arial"/>
          <w:b/>
          <w:bCs/>
        </w:rPr>
        <w:t xml:space="preserve">coring </w:t>
      </w:r>
      <w:r w:rsidR="0036359A">
        <w:rPr>
          <w:rFonts w:ascii="Arial" w:hAnsi="Arial" w:cs="Arial"/>
          <w:b/>
          <w:bCs/>
        </w:rPr>
        <w:t xml:space="preserve">responses to the </w:t>
      </w:r>
      <w:r w:rsidR="006E1E48" w:rsidRPr="006E1E48">
        <w:rPr>
          <w:rFonts w:ascii="Arial" w:hAnsi="Arial" w:cs="Arial"/>
          <w:b/>
          <w:bCs/>
        </w:rPr>
        <w:t xml:space="preserve">Social Value </w:t>
      </w:r>
      <w:r w:rsidR="0036359A">
        <w:rPr>
          <w:rFonts w:ascii="Arial" w:hAnsi="Arial" w:cs="Arial"/>
          <w:b/>
          <w:bCs/>
        </w:rPr>
        <w:t>questions</w:t>
      </w:r>
    </w:p>
    <w:p w14:paraId="2F51FDAB" w14:textId="623FEFE1" w:rsidR="006422D6" w:rsidRPr="00523D66" w:rsidRDefault="00811CC7" w:rsidP="00424569">
      <w:pPr>
        <w:pStyle w:val="ListParagraph"/>
        <w:numPr>
          <w:ilvl w:val="0"/>
          <w:numId w:val="2"/>
        </w:numPr>
        <w:spacing w:line="276" w:lineRule="auto"/>
        <w:ind w:left="567" w:hanging="567"/>
        <w:contextualSpacing w:val="0"/>
        <w:rPr>
          <w:rFonts w:ascii="Arial" w:hAnsi="Arial" w:cs="Arial"/>
        </w:rPr>
      </w:pPr>
      <w:r w:rsidRPr="00C93001">
        <w:rPr>
          <w:rFonts w:ascii="Arial" w:hAnsi="Arial" w:cs="Arial"/>
        </w:rPr>
        <w:t xml:space="preserve">DHI </w:t>
      </w:r>
      <w:r w:rsidRPr="00C93001">
        <w:rPr>
          <w:rFonts w:ascii="Arial" w:eastAsia="Aptos" w:hAnsi="Arial" w:cs="Arial"/>
        </w:rPr>
        <w:t xml:space="preserve">told the Panel that it had concerns about the Council’s scoring </w:t>
      </w:r>
      <w:r w:rsidR="00F4142A" w:rsidRPr="00C93001">
        <w:rPr>
          <w:rFonts w:ascii="Arial" w:eastAsia="Aptos" w:hAnsi="Arial" w:cs="Arial"/>
        </w:rPr>
        <w:t xml:space="preserve">of the responses </w:t>
      </w:r>
      <w:r w:rsidRPr="00C93001">
        <w:rPr>
          <w:rFonts w:ascii="Arial" w:eastAsia="Aptos" w:hAnsi="Arial" w:cs="Arial"/>
        </w:rPr>
        <w:t xml:space="preserve">to the </w:t>
      </w:r>
      <w:r w:rsidR="00F15875">
        <w:rPr>
          <w:rFonts w:ascii="Arial" w:eastAsia="Aptos" w:hAnsi="Arial" w:cs="Arial"/>
        </w:rPr>
        <w:t xml:space="preserve">two </w:t>
      </w:r>
      <w:r w:rsidR="008F1520">
        <w:rPr>
          <w:rFonts w:ascii="Arial" w:eastAsia="Aptos" w:hAnsi="Arial" w:cs="Arial"/>
        </w:rPr>
        <w:t>s</w:t>
      </w:r>
      <w:r w:rsidRPr="00C93001">
        <w:rPr>
          <w:rFonts w:ascii="Arial" w:eastAsia="Aptos" w:hAnsi="Arial" w:cs="Arial"/>
        </w:rPr>
        <w:t xml:space="preserve">ocial </w:t>
      </w:r>
      <w:r w:rsidR="008F1520">
        <w:rPr>
          <w:rFonts w:ascii="Arial" w:eastAsia="Aptos" w:hAnsi="Arial" w:cs="Arial"/>
        </w:rPr>
        <w:t>v</w:t>
      </w:r>
      <w:r w:rsidRPr="00C93001">
        <w:rPr>
          <w:rFonts w:ascii="Arial" w:eastAsia="Aptos" w:hAnsi="Arial" w:cs="Arial"/>
        </w:rPr>
        <w:t xml:space="preserve">alue questions, </w:t>
      </w:r>
      <w:r w:rsidR="00F71171">
        <w:rPr>
          <w:rFonts w:ascii="Arial" w:eastAsia="Aptos" w:hAnsi="Arial" w:cs="Arial"/>
        </w:rPr>
        <w:t xml:space="preserve">saying </w:t>
      </w:r>
      <w:r w:rsidRPr="00C93001">
        <w:rPr>
          <w:rFonts w:ascii="Arial" w:eastAsia="Aptos" w:hAnsi="Arial" w:cs="Arial"/>
        </w:rPr>
        <w:t xml:space="preserve">that </w:t>
      </w:r>
      <w:r w:rsidR="001D6C20">
        <w:rPr>
          <w:rFonts w:ascii="Arial" w:eastAsia="Aptos" w:hAnsi="Arial" w:cs="Arial"/>
        </w:rPr>
        <w:t>“the successful bidder</w:t>
      </w:r>
      <w:r w:rsidR="009A6B55">
        <w:rPr>
          <w:rFonts w:ascii="Arial" w:eastAsia="Aptos" w:hAnsi="Arial" w:cs="Arial"/>
        </w:rPr>
        <w:t xml:space="preserve">’s exceptionally low quantitative impact score </w:t>
      </w:r>
      <w:r w:rsidR="00F15875">
        <w:rPr>
          <w:rFonts w:ascii="Arial" w:eastAsia="Aptos" w:hAnsi="Arial" w:cs="Arial"/>
        </w:rPr>
        <w:t xml:space="preserve">[i.e. its score for Q7] </w:t>
      </w:r>
      <w:r w:rsidR="009A6B55">
        <w:rPr>
          <w:rFonts w:ascii="Arial" w:eastAsia="Aptos" w:hAnsi="Arial" w:cs="Arial"/>
        </w:rPr>
        <w:t>raises questions about whether</w:t>
      </w:r>
      <w:r w:rsidR="00F31367">
        <w:rPr>
          <w:rFonts w:ascii="Arial" w:eastAsia="Aptos" w:hAnsi="Arial" w:cs="Arial"/>
        </w:rPr>
        <w:t xml:space="preserve"> their qualitative commitments were substantial enough to warrant the score they received</w:t>
      </w:r>
      <w:r w:rsidR="00F15875">
        <w:rPr>
          <w:rFonts w:ascii="Arial" w:eastAsia="Aptos" w:hAnsi="Arial" w:cs="Arial"/>
        </w:rPr>
        <w:t xml:space="preserve"> [for Q8]</w:t>
      </w:r>
      <w:r w:rsidR="00BB1483">
        <w:rPr>
          <w:rFonts w:ascii="Arial" w:eastAsia="Aptos" w:hAnsi="Arial" w:cs="Arial"/>
        </w:rPr>
        <w:t>”</w:t>
      </w:r>
      <w:r w:rsidRPr="00C93001">
        <w:rPr>
          <w:rFonts w:ascii="Arial" w:eastAsia="Aptos" w:hAnsi="Arial" w:cs="Arial"/>
        </w:rPr>
        <w:t>.</w:t>
      </w:r>
      <w:r w:rsidR="00F45125" w:rsidRPr="00F45125">
        <w:rPr>
          <w:rFonts w:ascii="Arial" w:hAnsi="Arial" w:cs="Arial"/>
        </w:rPr>
        <w:t xml:space="preserve"> </w:t>
      </w:r>
      <w:r w:rsidR="00F45125" w:rsidRPr="00C93001">
        <w:rPr>
          <w:rFonts w:ascii="Arial" w:hAnsi="Arial" w:cs="Arial"/>
        </w:rPr>
        <w:t xml:space="preserve">DHI said that </w:t>
      </w:r>
      <w:r w:rsidR="004B2AFD">
        <w:rPr>
          <w:rFonts w:ascii="Arial" w:hAnsi="Arial" w:cs="Arial"/>
        </w:rPr>
        <w:t>“</w:t>
      </w:r>
      <w:r w:rsidR="00F45125" w:rsidRPr="00C93001">
        <w:rPr>
          <w:rFonts w:ascii="Arial" w:hAnsi="Arial" w:cs="Arial"/>
        </w:rPr>
        <w:t>this disparity appear</w:t>
      </w:r>
      <w:r w:rsidR="004B2AFD">
        <w:rPr>
          <w:rFonts w:ascii="Arial" w:hAnsi="Arial" w:cs="Arial"/>
        </w:rPr>
        <w:t>s</w:t>
      </w:r>
      <w:r w:rsidR="00F45125" w:rsidRPr="00C93001">
        <w:rPr>
          <w:rFonts w:ascii="Arial" w:hAnsi="Arial" w:cs="Arial"/>
        </w:rPr>
        <w:t xml:space="preserve"> inconsistent with the principle of proportionality under PSR suggest</w:t>
      </w:r>
      <w:r w:rsidR="004B2AFD">
        <w:rPr>
          <w:rFonts w:ascii="Arial" w:hAnsi="Arial" w:cs="Arial"/>
        </w:rPr>
        <w:t xml:space="preserve">ing </w:t>
      </w:r>
      <w:r w:rsidR="00F45125" w:rsidRPr="00C93001">
        <w:rPr>
          <w:rFonts w:ascii="Arial" w:hAnsi="Arial" w:cs="Arial"/>
        </w:rPr>
        <w:t>a lack of consideration of the social value key criteria under Regulation</w:t>
      </w:r>
      <w:r w:rsidR="00F45125">
        <w:rPr>
          <w:rFonts w:ascii="Arial" w:hAnsi="Arial" w:cs="Arial"/>
        </w:rPr>
        <w:t> </w:t>
      </w:r>
      <w:r w:rsidR="00F45125" w:rsidRPr="00C93001">
        <w:rPr>
          <w:rFonts w:ascii="Arial" w:hAnsi="Arial" w:cs="Arial"/>
        </w:rPr>
        <w:t>5</w:t>
      </w:r>
      <w:r w:rsidR="00881C26">
        <w:rPr>
          <w:rFonts w:ascii="Arial" w:hAnsi="Arial" w:cs="Arial"/>
        </w:rPr>
        <w:t>”</w:t>
      </w:r>
      <w:r w:rsidR="00644F94">
        <w:rPr>
          <w:rFonts w:ascii="Arial" w:hAnsi="Arial" w:cs="Arial"/>
        </w:rPr>
        <w:t xml:space="preserve"> </w:t>
      </w:r>
      <w:r w:rsidR="00A121D2">
        <w:rPr>
          <w:rFonts w:ascii="Arial" w:hAnsi="Arial" w:cs="Arial"/>
        </w:rPr>
        <w:t xml:space="preserve">(see paragraph </w:t>
      </w:r>
      <w:r w:rsidR="00D74EB1">
        <w:rPr>
          <w:rFonts w:ascii="Arial" w:hAnsi="Arial" w:cs="Arial"/>
        </w:rPr>
        <w:fldChar w:fldCharType="begin"/>
      </w:r>
      <w:r w:rsidR="00D74EB1">
        <w:rPr>
          <w:rFonts w:ascii="Arial" w:hAnsi="Arial" w:cs="Arial"/>
        </w:rPr>
        <w:instrText xml:space="preserve"> REF _Ref189120944 \r \h </w:instrText>
      </w:r>
      <w:r w:rsidR="00D74EB1">
        <w:rPr>
          <w:rFonts w:ascii="Arial" w:hAnsi="Arial" w:cs="Arial"/>
        </w:rPr>
      </w:r>
      <w:r w:rsidR="00D74EB1">
        <w:rPr>
          <w:rFonts w:ascii="Arial" w:hAnsi="Arial" w:cs="Arial"/>
        </w:rPr>
        <w:fldChar w:fldCharType="separate"/>
      </w:r>
      <w:r w:rsidR="0023016C">
        <w:rPr>
          <w:rFonts w:ascii="Arial" w:hAnsi="Arial" w:cs="Arial"/>
        </w:rPr>
        <w:t>40</w:t>
      </w:r>
      <w:r w:rsidR="00D74EB1">
        <w:rPr>
          <w:rFonts w:ascii="Arial" w:hAnsi="Arial" w:cs="Arial"/>
        </w:rPr>
        <w:fldChar w:fldCharType="end"/>
      </w:r>
      <w:r w:rsidR="00D74EB1">
        <w:rPr>
          <w:rFonts w:ascii="Arial" w:hAnsi="Arial" w:cs="Arial"/>
        </w:rPr>
        <w:t>)</w:t>
      </w:r>
      <w:r w:rsidR="00F45125" w:rsidRPr="00C93001">
        <w:rPr>
          <w:rFonts w:ascii="Arial" w:hAnsi="Arial" w:cs="Arial"/>
        </w:rPr>
        <w:t>.</w:t>
      </w:r>
      <w:r w:rsidR="00F45125" w:rsidRPr="00C93001">
        <w:rPr>
          <w:rStyle w:val="FootnoteReference"/>
          <w:rFonts w:ascii="Arial" w:hAnsi="Arial" w:cs="Arial"/>
        </w:rPr>
        <w:footnoteReference w:id="22"/>
      </w:r>
    </w:p>
    <w:p w14:paraId="19EB7B9D" w14:textId="7F0E78C2" w:rsidR="00686E64" w:rsidRPr="00C93001" w:rsidRDefault="00F021D4" w:rsidP="00523D66">
      <w:pPr>
        <w:pStyle w:val="ListParagraph"/>
        <w:numPr>
          <w:ilvl w:val="0"/>
          <w:numId w:val="2"/>
        </w:numPr>
        <w:spacing w:line="276" w:lineRule="auto"/>
        <w:ind w:left="567" w:hanging="567"/>
        <w:contextualSpacing w:val="0"/>
        <w:rPr>
          <w:rFonts w:ascii="Arial" w:hAnsi="Arial" w:cs="Arial"/>
        </w:rPr>
      </w:pPr>
      <w:r w:rsidRPr="00C93001">
        <w:rPr>
          <w:rFonts w:ascii="Arial" w:eastAsia="Aptos" w:hAnsi="Arial" w:cs="Arial"/>
        </w:rPr>
        <w:t xml:space="preserve">Further, in </w:t>
      </w:r>
      <w:r w:rsidR="00811CC7" w:rsidRPr="00C93001">
        <w:rPr>
          <w:rFonts w:ascii="Arial" w:hAnsi="Arial" w:cs="Arial"/>
        </w:rPr>
        <w:t xml:space="preserve">its representations to the Council, </w:t>
      </w:r>
      <w:r w:rsidR="00686E64" w:rsidRPr="00C93001">
        <w:rPr>
          <w:rFonts w:ascii="Arial" w:hAnsi="Arial" w:cs="Arial"/>
        </w:rPr>
        <w:t xml:space="preserve">DHI </w:t>
      </w:r>
      <w:r w:rsidR="00811CC7" w:rsidRPr="00C93001">
        <w:rPr>
          <w:rFonts w:ascii="Arial" w:hAnsi="Arial" w:cs="Arial"/>
        </w:rPr>
        <w:t>said</w:t>
      </w:r>
      <w:r w:rsidR="0086584F" w:rsidRPr="00C93001">
        <w:rPr>
          <w:rFonts w:ascii="Arial" w:hAnsi="Arial" w:cs="Arial"/>
        </w:rPr>
        <w:t xml:space="preserve"> </w:t>
      </w:r>
      <w:r w:rsidR="00686E64" w:rsidRPr="00C93001">
        <w:rPr>
          <w:rFonts w:ascii="Arial" w:hAnsi="Arial" w:cs="Arial"/>
        </w:rPr>
        <w:t xml:space="preserve">that it did not believe that the successful bidder’s weighted score of 1.5% for Question 8 </w:t>
      </w:r>
      <w:r w:rsidR="00667057" w:rsidRPr="00C93001">
        <w:rPr>
          <w:rFonts w:ascii="Arial" w:hAnsi="Arial" w:cs="Arial"/>
        </w:rPr>
        <w:t xml:space="preserve">was </w:t>
      </w:r>
      <w:r w:rsidR="00686E64" w:rsidRPr="00C93001">
        <w:rPr>
          <w:rFonts w:ascii="Arial" w:hAnsi="Arial" w:cs="Arial"/>
        </w:rPr>
        <w:t xml:space="preserve">“reasonable in light of its low quantitative score </w:t>
      </w:r>
      <w:r w:rsidR="007B11DB">
        <w:rPr>
          <w:rFonts w:ascii="Arial" w:hAnsi="Arial" w:cs="Arial"/>
        </w:rPr>
        <w:t xml:space="preserve">[for Q7] </w:t>
      </w:r>
      <w:r w:rsidR="00686E64" w:rsidRPr="00C93001">
        <w:rPr>
          <w:rFonts w:ascii="Arial" w:hAnsi="Arial" w:cs="Arial"/>
        </w:rPr>
        <w:t>of just 0.38% (calculated on a comparative basis, unlike the qualitative element), particularly given the significant disparity in impact scores and the correlation between the quantitative and qualitative elements of the Social Value evaluation”</w:t>
      </w:r>
      <w:r w:rsidR="00CC5511" w:rsidRPr="00C93001">
        <w:rPr>
          <w:rFonts w:ascii="Arial" w:hAnsi="Arial" w:cs="Arial"/>
        </w:rPr>
        <w:t>.</w:t>
      </w:r>
      <w:r w:rsidR="0086584F" w:rsidRPr="00523D66">
        <w:rPr>
          <w:rFonts w:ascii="Arial" w:hAnsi="Arial" w:cs="Arial"/>
          <w:vertAlign w:val="superscript"/>
        </w:rPr>
        <w:footnoteReference w:id="23"/>
      </w:r>
    </w:p>
    <w:p w14:paraId="79F203F5" w14:textId="29703083" w:rsidR="00686E64" w:rsidRPr="00C93001" w:rsidRDefault="00686E64" w:rsidP="007854BF">
      <w:pPr>
        <w:pStyle w:val="ListParagraph"/>
        <w:numPr>
          <w:ilvl w:val="0"/>
          <w:numId w:val="2"/>
        </w:numPr>
        <w:spacing w:line="276" w:lineRule="auto"/>
        <w:ind w:left="567" w:hanging="567"/>
        <w:contextualSpacing w:val="0"/>
        <w:rPr>
          <w:rFonts w:ascii="Arial" w:hAnsi="Arial" w:cs="Arial"/>
        </w:rPr>
      </w:pPr>
      <w:r w:rsidRPr="00C93001">
        <w:rPr>
          <w:rFonts w:ascii="Arial" w:hAnsi="Arial" w:cs="Arial"/>
        </w:rPr>
        <w:lastRenderedPageBreak/>
        <w:t xml:space="preserve">DHI </w:t>
      </w:r>
      <w:r w:rsidR="0086584F" w:rsidRPr="00C93001">
        <w:rPr>
          <w:rFonts w:ascii="Arial" w:hAnsi="Arial" w:cs="Arial"/>
        </w:rPr>
        <w:t>told the Council</w:t>
      </w:r>
      <w:r w:rsidRPr="00C93001">
        <w:rPr>
          <w:rFonts w:ascii="Arial" w:hAnsi="Arial" w:cs="Arial"/>
        </w:rPr>
        <w:t xml:space="preserve"> that “inconsistency in scoring across the two Social Value questions for each bidder raises serious concerns about the fairness and transparency of the evaluation process. It suggests an inconsistent application of the scoring criteria, where calculations may not have been maintained correctly or were improperly applied, or that evaluators have not taken the full detail of </w:t>
      </w:r>
      <w:r w:rsidR="000C3B89" w:rsidRPr="00C93001">
        <w:rPr>
          <w:rFonts w:ascii="Arial" w:hAnsi="Arial" w:cs="Arial"/>
        </w:rPr>
        <w:t xml:space="preserve">… </w:t>
      </w:r>
      <w:r w:rsidRPr="00C93001">
        <w:rPr>
          <w:rFonts w:ascii="Arial" w:hAnsi="Arial" w:cs="Arial"/>
        </w:rPr>
        <w:t>[DHI</w:t>
      </w:r>
      <w:r w:rsidR="000C3B89" w:rsidRPr="00C93001">
        <w:rPr>
          <w:rFonts w:ascii="Arial" w:hAnsi="Arial" w:cs="Arial"/>
        </w:rPr>
        <w:t>’s</w:t>
      </w:r>
      <w:r w:rsidRPr="00C93001">
        <w:rPr>
          <w:rFonts w:ascii="Arial" w:hAnsi="Arial" w:cs="Arial"/>
        </w:rPr>
        <w:t>] bid submission into account. This indicates that there has been irrationality in the scoring of bids”.</w:t>
      </w:r>
      <w:r w:rsidR="00630536" w:rsidRPr="00523D66">
        <w:rPr>
          <w:rFonts w:ascii="Arial" w:hAnsi="Arial" w:cs="Arial"/>
          <w:vertAlign w:val="superscript"/>
        </w:rPr>
        <w:footnoteReference w:id="24"/>
      </w:r>
    </w:p>
    <w:p w14:paraId="6C49361E" w14:textId="7B476326" w:rsidR="00686E64" w:rsidRPr="0086584F" w:rsidRDefault="00B40252" w:rsidP="007854BF">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686E64" w:rsidRPr="00C93001">
        <w:rPr>
          <w:rFonts w:ascii="Arial" w:hAnsi="Arial" w:cs="Arial"/>
        </w:rPr>
        <w:t>he Council</w:t>
      </w:r>
      <w:r>
        <w:rPr>
          <w:rFonts w:ascii="Arial" w:hAnsi="Arial" w:cs="Arial"/>
        </w:rPr>
        <w:t>, in responding to DHI,</w:t>
      </w:r>
      <w:r w:rsidR="009947F4" w:rsidRPr="00C93001">
        <w:rPr>
          <w:rFonts w:ascii="Arial" w:hAnsi="Arial" w:cs="Arial"/>
        </w:rPr>
        <w:t xml:space="preserve"> </w:t>
      </w:r>
      <w:r w:rsidR="0086584F" w:rsidRPr="00C93001">
        <w:rPr>
          <w:rFonts w:ascii="Arial" w:hAnsi="Arial" w:cs="Arial"/>
        </w:rPr>
        <w:t>said t</w:t>
      </w:r>
      <w:r w:rsidR="009947F4" w:rsidRPr="00C93001">
        <w:rPr>
          <w:rFonts w:ascii="Arial" w:hAnsi="Arial" w:cs="Arial"/>
        </w:rPr>
        <w:t xml:space="preserve">hat </w:t>
      </w:r>
      <w:r w:rsidR="00686E64" w:rsidRPr="00C93001">
        <w:rPr>
          <w:rFonts w:ascii="Arial" w:hAnsi="Arial" w:cs="Arial"/>
        </w:rPr>
        <w:t xml:space="preserve">“The quantitative section </w:t>
      </w:r>
      <w:r w:rsidR="007B11DB">
        <w:rPr>
          <w:rFonts w:ascii="Arial" w:hAnsi="Arial" w:cs="Arial"/>
        </w:rPr>
        <w:t xml:space="preserve">[i.e. Q7] </w:t>
      </w:r>
      <w:r w:rsidR="00686E64" w:rsidRPr="00C93001">
        <w:rPr>
          <w:rFonts w:ascii="Arial" w:hAnsi="Arial" w:cs="Arial"/>
        </w:rPr>
        <w:t xml:space="preserve">is purely a percentage score based on the amount of social value a bidder commits to in the Social Value Activities Return, which is calculated on a comparative basis. The qualitative element </w:t>
      </w:r>
      <w:r w:rsidR="00B5588E">
        <w:rPr>
          <w:rFonts w:ascii="Arial" w:hAnsi="Arial" w:cs="Arial"/>
        </w:rPr>
        <w:t xml:space="preserve">[i.e. Q8] </w:t>
      </w:r>
      <w:r w:rsidR="00686E64" w:rsidRPr="00C93001">
        <w:rPr>
          <w:rFonts w:ascii="Arial" w:hAnsi="Arial" w:cs="Arial"/>
        </w:rPr>
        <w:t>on the other hand focused on the delivery of the social value measures and monitoring of these commitments. It is therefore perfectly plausible to score highly on the quantitative element, purely by offering the highest amount of social value measures of</w:t>
      </w:r>
      <w:r w:rsidR="00686E64" w:rsidRPr="0086584F">
        <w:rPr>
          <w:rFonts w:ascii="Arial" w:hAnsi="Arial" w:cs="Arial"/>
        </w:rPr>
        <w:t xml:space="preserve"> all the bidders but still scoring a low score on the qualitative element by not providing assurance around how this would be delivered and monitored”</w:t>
      </w:r>
      <w:r w:rsidR="00361503">
        <w:rPr>
          <w:rFonts w:ascii="Arial" w:hAnsi="Arial" w:cs="Arial"/>
        </w:rPr>
        <w:t>.</w:t>
      </w:r>
      <w:r w:rsidR="0086584F" w:rsidRPr="0086584F">
        <w:rPr>
          <w:rStyle w:val="FootnoteReference"/>
          <w:rFonts w:ascii="Arial" w:hAnsi="Arial" w:cs="Arial"/>
        </w:rPr>
        <w:footnoteReference w:id="25"/>
      </w:r>
    </w:p>
    <w:p w14:paraId="2B9756B4" w14:textId="4BF632A0" w:rsidR="00B80FE2" w:rsidRPr="00B37B99" w:rsidRDefault="000700C9" w:rsidP="00B80FE2">
      <w:pPr>
        <w:pStyle w:val="ListParagraph"/>
        <w:numPr>
          <w:ilvl w:val="0"/>
          <w:numId w:val="2"/>
        </w:numPr>
        <w:spacing w:line="276" w:lineRule="auto"/>
        <w:ind w:left="567" w:hanging="567"/>
        <w:contextualSpacing w:val="0"/>
        <w:rPr>
          <w:rFonts w:ascii="Arial" w:hAnsi="Arial" w:cs="Arial"/>
        </w:rPr>
      </w:pPr>
      <w:r w:rsidRPr="009502B0">
        <w:rPr>
          <w:rFonts w:ascii="Arial" w:hAnsi="Arial" w:cs="Arial"/>
        </w:rPr>
        <w:t>The</w:t>
      </w:r>
      <w:r w:rsidR="00686E64" w:rsidRPr="009502B0">
        <w:rPr>
          <w:rFonts w:ascii="Arial" w:hAnsi="Arial" w:cs="Arial"/>
        </w:rPr>
        <w:t xml:space="preserve"> Council</w:t>
      </w:r>
      <w:r w:rsidR="0086584F" w:rsidRPr="009502B0">
        <w:rPr>
          <w:rFonts w:ascii="Arial" w:hAnsi="Arial" w:cs="Arial"/>
        </w:rPr>
        <w:t xml:space="preserve"> further</w:t>
      </w:r>
      <w:r w:rsidR="00686E64" w:rsidRPr="009502B0">
        <w:rPr>
          <w:rFonts w:ascii="Arial" w:hAnsi="Arial" w:cs="Arial"/>
        </w:rPr>
        <w:t xml:space="preserve"> </w:t>
      </w:r>
      <w:r w:rsidR="0086584F" w:rsidRPr="009502B0">
        <w:rPr>
          <w:rFonts w:ascii="Arial" w:hAnsi="Arial" w:cs="Arial"/>
        </w:rPr>
        <w:t>said</w:t>
      </w:r>
      <w:r w:rsidR="00686E64" w:rsidRPr="009502B0">
        <w:rPr>
          <w:rFonts w:ascii="Arial" w:hAnsi="Arial" w:cs="Arial"/>
        </w:rPr>
        <w:t xml:space="preserve"> that it ha</w:t>
      </w:r>
      <w:r w:rsidR="0086584F" w:rsidRPr="009502B0">
        <w:rPr>
          <w:rFonts w:ascii="Arial" w:hAnsi="Arial" w:cs="Arial"/>
        </w:rPr>
        <w:t>d</w:t>
      </w:r>
      <w:r w:rsidR="00686E64" w:rsidRPr="009502B0">
        <w:rPr>
          <w:rFonts w:ascii="Arial" w:hAnsi="Arial" w:cs="Arial"/>
        </w:rPr>
        <w:t xml:space="preserve"> reviewed the </w:t>
      </w:r>
      <w:r w:rsidR="008F1520">
        <w:rPr>
          <w:rFonts w:ascii="Arial" w:hAnsi="Arial" w:cs="Arial"/>
        </w:rPr>
        <w:t>s</w:t>
      </w:r>
      <w:r w:rsidR="00686E64" w:rsidRPr="009502B0">
        <w:rPr>
          <w:rFonts w:ascii="Arial" w:hAnsi="Arial" w:cs="Arial"/>
        </w:rPr>
        <w:t xml:space="preserve">ocial </w:t>
      </w:r>
      <w:r w:rsidR="008F1520">
        <w:rPr>
          <w:rFonts w:ascii="Arial" w:hAnsi="Arial" w:cs="Arial"/>
        </w:rPr>
        <w:t>v</w:t>
      </w:r>
      <w:r w:rsidR="00686E64" w:rsidRPr="009502B0">
        <w:rPr>
          <w:rFonts w:ascii="Arial" w:hAnsi="Arial" w:cs="Arial"/>
        </w:rPr>
        <w:t>alue qualitative scores (</w:t>
      </w:r>
      <w:r w:rsidR="00B5588E">
        <w:rPr>
          <w:rFonts w:ascii="Arial" w:hAnsi="Arial" w:cs="Arial"/>
        </w:rPr>
        <w:t xml:space="preserve">[i.e. the scores for] </w:t>
      </w:r>
      <w:r w:rsidR="00686E64" w:rsidRPr="009502B0">
        <w:rPr>
          <w:rFonts w:ascii="Arial" w:hAnsi="Arial" w:cs="Arial"/>
        </w:rPr>
        <w:t>Q8) and that its review “indicates that the [</w:t>
      </w:r>
      <w:r w:rsidR="00686E64" w:rsidRPr="00523D66">
        <w:rPr>
          <w:rFonts w:ascii="Arial" w:hAnsi="Arial" w:cs="Arial"/>
        </w:rPr>
        <w:t>evaluation</w:t>
      </w:r>
      <w:r w:rsidR="00686E64" w:rsidRPr="009502B0">
        <w:rPr>
          <w:rFonts w:ascii="Arial" w:hAnsi="Arial" w:cs="Arial"/>
        </w:rPr>
        <w:t>] panel passed comment on the nature of the proposals and took this into account in their evaluation of this criterion. The focus of the evaluation panel should have been around the delivery of the measures and monitoring of the deliverables. The Council has therefore re-run the scoring of the Social Value qualitative element for all bidders, with a fresh evaluation panel, ensuring that the award criteria and scoring matrix are applied as set out in the ITT. All bidders will be notified of this and of the impact on scoring”</w:t>
      </w:r>
      <w:r w:rsidR="00B80FE2">
        <w:rPr>
          <w:rFonts w:ascii="Arial" w:hAnsi="Arial" w:cs="Arial"/>
        </w:rPr>
        <w:t>.</w:t>
      </w:r>
      <w:r w:rsidR="00686E64" w:rsidRPr="009502B0">
        <w:rPr>
          <w:rFonts w:ascii="Arial" w:hAnsi="Arial" w:cs="Arial"/>
        </w:rPr>
        <w:t xml:space="preserve"> </w:t>
      </w:r>
      <w:r w:rsidR="00077882" w:rsidRPr="00323D02">
        <w:rPr>
          <w:rFonts w:ascii="Arial" w:hAnsi="Arial" w:cs="Arial"/>
        </w:rPr>
        <w:t>Th</w:t>
      </w:r>
      <w:r w:rsidR="00E04D4B" w:rsidRPr="00323D02">
        <w:rPr>
          <w:rFonts w:ascii="Arial" w:hAnsi="Arial" w:cs="Arial"/>
        </w:rPr>
        <w:t xml:space="preserve">e re-scoring </w:t>
      </w:r>
      <w:r w:rsidR="004376CB">
        <w:rPr>
          <w:rFonts w:ascii="Arial" w:hAnsi="Arial" w:cs="Arial"/>
        </w:rPr>
        <w:t xml:space="preserve">of the answers to </w:t>
      </w:r>
      <w:r w:rsidR="004376CB" w:rsidRPr="00B37B99">
        <w:rPr>
          <w:rFonts w:ascii="Arial" w:hAnsi="Arial" w:cs="Arial"/>
        </w:rPr>
        <w:t xml:space="preserve">this question </w:t>
      </w:r>
      <w:r w:rsidR="00E04D4B" w:rsidRPr="00B37B99">
        <w:rPr>
          <w:rFonts w:ascii="Arial" w:hAnsi="Arial" w:cs="Arial"/>
        </w:rPr>
        <w:t xml:space="preserve">did not affect </w:t>
      </w:r>
      <w:r w:rsidR="008E510C" w:rsidRPr="00B37B99">
        <w:rPr>
          <w:rFonts w:ascii="Arial" w:hAnsi="Arial" w:cs="Arial"/>
        </w:rPr>
        <w:t xml:space="preserve">bidders’ </w:t>
      </w:r>
      <w:r w:rsidR="00E04D4B" w:rsidRPr="00B37B99">
        <w:rPr>
          <w:rFonts w:ascii="Arial" w:hAnsi="Arial" w:cs="Arial"/>
        </w:rPr>
        <w:t>overall ranking</w:t>
      </w:r>
      <w:r w:rsidR="00B80FE2" w:rsidRPr="00B37B99">
        <w:rPr>
          <w:rFonts w:ascii="Arial" w:hAnsi="Arial" w:cs="Arial"/>
        </w:rPr>
        <w:t>.</w:t>
      </w:r>
      <w:r w:rsidR="00AE6CD4" w:rsidRPr="00766956">
        <w:rPr>
          <w:rFonts w:ascii="Arial" w:hAnsi="Arial" w:cs="Arial"/>
          <w:vertAlign w:val="superscript"/>
        </w:rPr>
        <w:footnoteReference w:id="26"/>
      </w:r>
    </w:p>
    <w:p w14:paraId="237A5F88" w14:textId="4EA88370" w:rsidR="00686E64" w:rsidRPr="00A56CC5" w:rsidRDefault="00686E64" w:rsidP="00A56CC5">
      <w:pPr>
        <w:pStyle w:val="ListParagraph"/>
        <w:numPr>
          <w:ilvl w:val="0"/>
          <w:numId w:val="2"/>
        </w:numPr>
        <w:spacing w:line="276" w:lineRule="auto"/>
        <w:ind w:left="567" w:hanging="567"/>
        <w:contextualSpacing w:val="0"/>
        <w:rPr>
          <w:rFonts w:ascii="Arial" w:hAnsi="Arial" w:cs="Arial"/>
        </w:rPr>
      </w:pPr>
      <w:r w:rsidRPr="00A56CC5">
        <w:rPr>
          <w:rFonts w:ascii="Arial" w:hAnsi="Arial" w:cs="Arial"/>
        </w:rPr>
        <w:t>The Panel</w:t>
      </w:r>
      <w:r w:rsidR="005A1225" w:rsidRPr="00A56CC5">
        <w:rPr>
          <w:rFonts w:ascii="Arial" w:hAnsi="Arial" w:cs="Arial"/>
        </w:rPr>
        <w:t>’s</w:t>
      </w:r>
      <w:r w:rsidR="001B13AA" w:rsidRPr="00A56CC5">
        <w:rPr>
          <w:rFonts w:ascii="Arial" w:hAnsi="Arial" w:cs="Arial"/>
        </w:rPr>
        <w:t xml:space="preserve"> </w:t>
      </w:r>
      <w:r w:rsidR="00ED7C03" w:rsidRPr="00A56CC5">
        <w:rPr>
          <w:rFonts w:ascii="Arial" w:hAnsi="Arial" w:cs="Arial"/>
        </w:rPr>
        <w:t>view is that</w:t>
      </w:r>
      <w:r w:rsidR="007D275F" w:rsidRPr="00A56CC5">
        <w:rPr>
          <w:rFonts w:ascii="Arial" w:hAnsi="Arial" w:cs="Arial"/>
        </w:rPr>
        <w:t xml:space="preserve"> t</w:t>
      </w:r>
      <w:r w:rsidR="00ED7C03" w:rsidRPr="00A56CC5">
        <w:rPr>
          <w:rFonts w:ascii="Arial" w:hAnsi="Arial" w:cs="Arial"/>
        </w:rPr>
        <w:t>he</w:t>
      </w:r>
      <w:r w:rsidR="002311DA" w:rsidRPr="00A56CC5">
        <w:rPr>
          <w:rFonts w:ascii="Arial" w:hAnsi="Arial" w:cs="Arial"/>
        </w:rPr>
        <w:t>re was no inconsistency in the</w:t>
      </w:r>
      <w:r w:rsidR="00797326" w:rsidRPr="00A56CC5">
        <w:rPr>
          <w:rFonts w:ascii="Arial" w:hAnsi="Arial" w:cs="Arial"/>
        </w:rPr>
        <w:t xml:space="preserve"> Council</w:t>
      </w:r>
      <w:r w:rsidR="002311DA" w:rsidRPr="00A56CC5">
        <w:rPr>
          <w:rFonts w:ascii="Arial" w:hAnsi="Arial" w:cs="Arial"/>
        </w:rPr>
        <w:t>’s scoring across the two social value questions</w:t>
      </w:r>
      <w:r w:rsidR="00527E7D" w:rsidRPr="00A56CC5">
        <w:rPr>
          <w:rFonts w:ascii="Arial" w:hAnsi="Arial" w:cs="Arial"/>
        </w:rPr>
        <w:t>, and that</w:t>
      </w:r>
      <w:r w:rsidR="00B6756F" w:rsidRPr="00A56CC5">
        <w:rPr>
          <w:rFonts w:ascii="Arial" w:hAnsi="Arial" w:cs="Arial"/>
        </w:rPr>
        <w:t xml:space="preserve"> it is possible, as explained by the Council, for bidders to have scored well in the response to Q7 and poorly in the response to Q8. </w:t>
      </w:r>
      <w:r w:rsidR="00CC7794" w:rsidRPr="00A56CC5">
        <w:rPr>
          <w:rFonts w:ascii="Arial" w:hAnsi="Arial" w:cs="Arial"/>
        </w:rPr>
        <w:t>The Panel</w:t>
      </w:r>
      <w:r w:rsidR="00DE5183" w:rsidRPr="00A56CC5">
        <w:rPr>
          <w:rFonts w:ascii="Arial" w:hAnsi="Arial" w:cs="Arial"/>
        </w:rPr>
        <w:t xml:space="preserve"> </w:t>
      </w:r>
      <w:r w:rsidR="00425245" w:rsidRPr="00A56CC5">
        <w:rPr>
          <w:rFonts w:ascii="Arial" w:hAnsi="Arial" w:cs="Arial"/>
        </w:rPr>
        <w:t xml:space="preserve">does not </w:t>
      </w:r>
      <w:r w:rsidR="00DE5183" w:rsidRPr="00A56CC5">
        <w:rPr>
          <w:rFonts w:ascii="Arial" w:hAnsi="Arial" w:cs="Arial"/>
        </w:rPr>
        <w:t xml:space="preserve">consider that </w:t>
      </w:r>
      <w:r w:rsidR="00B239A2" w:rsidRPr="00A56CC5">
        <w:rPr>
          <w:rFonts w:ascii="Arial" w:hAnsi="Arial" w:cs="Arial"/>
        </w:rPr>
        <w:t xml:space="preserve">any such </w:t>
      </w:r>
      <w:r w:rsidR="00D816B0" w:rsidRPr="00A56CC5">
        <w:rPr>
          <w:rFonts w:ascii="Arial" w:hAnsi="Arial" w:cs="Arial"/>
        </w:rPr>
        <w:t>disparity i</w:t>
      </w:r>
      <w:r w:rsidR="00B239A2" w:rsidRPr="00A56CC5">
        <w:rPr>
          <w:rFonts w:ascii="Arial" w:hAnsi="Arial" w:cs="Arial"/>
        </w:rPr>
        <w:t>s evidence of inconsistency with the principle</w:t>
      </w:r>
      <w:r w:rsidR="00E505EB">
        <w:rPr>
          <w:rFonts w:ascii="Arial" w:hAnsi="Arial" w:cs="Arial"/>
        </w:rPr>
        <w:t>s</w:t>
      </w:r>
      <w:r w:rsidR="00B239A2" w:rsidRPr="00A56CC5">
        <w:rPr>
          <w:rFonts w:ascii="Arial" w:hAnsi="Arial" w:cs="Arial"/>
        </w:rPr>
        <w:t xml:space="preserve"> of </w:t>
      </w:r>
      <w:r w:rsidR="00E505EB">
        <w:rPr>
          <w:rFonts w:ascii="Arial" w:hAnsi="Arial" w:cs="Arial"/>
        </w:rPr>
        <w:t xml:space="preserve">fairness, transparency and </w:t>
      </w:r>
      <w:r w:rsidR="00B239A2" w:rsidRPr="00A56CC5">
        <w:rPr>
          <w:rFonts w:ascii="Arial" w:hAnsi="Arial" w:cs="Arial"/>
        </w:rPr>
        <w:t>proportionality under the PSR</w:t>
      </w:r>
      <w:r w:rsidR="00A56CC5" w:rsidRPr="00A56CC5">
        <w:rPr>
          <w:rFonts w:ascii="Arial" w:hAnsi="Arial" w:cs="Arial"/>
        </w:rPr>
        <w:t xml:space="preserve"> or a lack of consideration of the social value key criteria. </w:t>
      </w:r>
      <w:r w:rsidR="00A875A5" w:rsidRPr="00A56CC5">
        <w:rPr>
          <w:rFonts w:ascii="Arial" w:hAnsi="Arial" w:cs="Arial"/>
        </w:rPr>
        <w:t>As a result, the Panel finds that the Council</w:t>
      </w:r>
      <w:r w:rsidR="00FF6A2F" w:rsidRPr="00A56CC5">
        <w:rPr>
          <w:rFonts w:ascii="Arial" w:hAnsi="Arial" w:cs="Arial"/>
        </w:rPr>
        <w:t>, in</w:t>
      </w:r>
      <w:r w:rsidR="00A875A5" w:rsidRPr="00A56CC5">
        <w:rPr>
          <w:rFonts w:ascii="Arial" w:hAnsi="Arial" w:cs="Arial"/>
        </w:rPr>
        <w:t xml:space="preserve"> </w:t>
      </w:r>
      <w:r w:rsidR="00FF6A2F" w:rsidRPr="00A56CC5">
        <w:rPr>
          <w:rFonts w:ascii="Arial" w:hAnsi="Arial" w:cs="Arial"/>
        </w:rPr>
        <w:t xml:space="preserve">evaluating bidders’ responses to the </w:t>
      </w:r>
      <w:r w:rsidR="008F1520">
        <w:rPr>
          <w:rFonts w:ascii="Arial" w:hAnsi="Arial" w:cs="Arial"/>
        </w:rPr>
        <w:t>s</w:t>
      </w:r>
      <w:r w:rsidR="00FF6A2F" w:rsidRPr="00A56CC5">
        <w:rPr>
          <w:rFonts w:ascii="Arial" w:hAnsi="Arial" w:cs="Arial"/>
        </w:rPr>
        <w:t xml:space="preserve">ocial </w:t>
      </w:r>
      <w:r w:rsidR="008F1520">
        <w:rPr>
          <w:rFonts w:ascii="Arial" w:hAnsi="Arial" w:cs="Arial"/>
        </w:rPr>
        <w:t>v</w:t>
      </w:r>
      <w:r w:rsidR="00FF6A2F" w:rsidRPr="00A56CC5">
        <w:rPr>
          <w:rFonts w:ascii="Arial" w:hAnsi="Arial" w:cs="Arial"/>
        </w:rPr>
        <w:t xml:space="preserve">alue questions, </w:t>
      </w:r>
      <w:r w:rsidR="00A875A5" w:rsidRPr="00A56CC5">
        <w:rPr>
          <w:rFonts w:ascii="Arial" w:hAnsi="Arial" w:cs="Arial"/>
        </w:rPr>
        <w:t>did not breach the PSR regulations</w:t>
      </w:r>
      <w:r w:rsidR="00FF6A2F" w:rsidRPr="00A56CC5">
        <w:rPr>
          <w:rFonts w:ascii="Arial" w:hAnsi="Arial" w:cs="Arial"/>
        </w:rPr>
        <w:t xml:space="preserve"> and</w:t>
      </w:r>
      <w:r w:rsidR="00637C58">
        <w:rPr>
          <w:rFonts w:ascii="Arial" w:hAnsi="Arial" w:cs="Arial"/>
        </w:rPr>
        <w:t>,</w:t>
      </w:r>
      <w:r w:rsidR="00FF6A2F" w:rsidRPr="00A56CC5">
        <w:rPr>
          <w:rFonts w:ascii="Arial" w:hAnsi="Arial" w:cs="Arial"/>
        </w:rPr>
        <w:t xml:space="preserve"> in particular</w:t>
      </w:r>
      <w:r w:rsidR="00637C58">
        <w:rPr>
          <w:rFonts w:ascii="Arial" w:hAnsi="Arial" w:cs="Arial"/>
        </w:rPr>
        <w:t>,</w:t>
      </w:r>
      <w:r w:rsidR="00FF6A2F" w:rsidRPr="00A56CC5">
        <w:rPr>
          <w:rFonts w:ascii="Arial" w:hAnsi="Arial" w:cs="Arial"/>
        </w:rPr>
        <w:t xml:space="preserve"> the obligation</w:t>
      </w:r>
      <w:r w:rsidR="00E254FD" w:rsidRPr="00A56CC5">
        <w:rPr>
          <w:rFonts w:ascii="Arial" w:hAnsi="Arial" w:cs="Arial"/>
        </w:rPr>
        <w:t xml:space="preserve"> </w:t>
      </w:r>
      <w:r w:rsidR="00FF6A2F" w:rsidRPr="00A56CC5">
        <w:rPr>
          <w:rFonts w:ascii="Arial" w:hAnsi="Arial" w:cs="Arial"/>
        </w:rPr>
        <w:t>to act fairly</w:t>
      </w:r>
      <w:r w:rsidR="00E505EB">
        <w:rPr>
          <w:rFonts w:ascii="Arial" w:hAnsi="Arial" w:cs="Arial"/>
        </w:rPr>
        <w:t>, transparently</w:t>
      </w:r>
      <w:r w:rsidR="005125A3" w:rsidRPr="00A56CC5">
        <w:rPr>
          <w:rFonts w:ascii="Arial" w:hAnsi="Arial" w:cs="Arial"/>
        </w:rPr>
        <w:t xml:space="preserve"> and proportionately</w:t>
      </w:r>
      <w:r w:rsidR="00823B22" w:rsidRPr="00A56CC5">
        <w:rPr>
          <w:rFonts w:ascii="Arial" w:hAnsi="Arial" w:cs="Arial"/>
        </w:rPr>
        <w:t>.</w:t>
      </w:r>
    </w:p>
    <w:p w14:paraId="4B4D351D" w14:textId="7E4DD5F9" w:rsidR="00B8647D" w:rsidRPr="00766956" w:rsidRDefault="00B8647D" w:rsidP="009A54D5">
      <w:pPr>
        <w:keepNext/>
        <w:spacing w:before="240" w:line="276" w:lineRule="auto"/>
        <w:rPr>
          <w:rFonts w:ascii="Arial" w:hAnsi="Arial" w:cs="Arial"/>
          <w:b/>
          <w:bCs/>
        </w:rPr>
      </w:pPr>
      <w:r>
        <w:rPr>
          <w:rFonts w:ascii="Arial" w:hAnsi="Arial" w:cs="Arial"/>
          <w:b/>
          <w:bCs/>
        </w:rPr>
        <w:t>7.2.2 Calculatin</w:t>
      </w:r>
      <w:r w:rsidR="00182AB0">
        <w:rPr>
          <w:rFonts w:ascii="Arial" w:hAnsi="Arial" w:cs="Arial"/>
          <w:b/>
          <w:bCs/>
        </w:rPr>
        <w:t>g</w:t>
      </w:r>
      <w:r>
        <w:rPr>
          <w:rFonts w:ascii="Arial" w:hAnsi="Arial" w:cs="Arial"/>
          <w:b/>
          <w:bCs/>
        </w:rPr>
        <w:t xml:space="preserve"> the score for responses to Q7</w:t>
      </w:r>
    </w:p>
    <w:p w14:paraId="6BFB84FB" w14:textId="0E13C99D" w:rsidR="00B8647D" w:rsidRPr="00A11ABC" w:rsidRDefault="00B8647D" w:rsidP="00B8647D">
      <w:pPr>
        <w:pStyle w:val="ListParagraph"/>
        <w:numPr>
          <w:ilvl w:val="0"/>
          <w:numId w:val="2"/>
        </w:numPr>
        <w:spacing w:line="276" w:lineRule="auto"/>
        <w:ind w:left="567" w:hanging="567"/>
        <w:contextualSpacing w:val="0"/>
        <w:rPr>
          <w:rFonts w:ascii="Arial" w:hAnsi="Arial" w:cs="Arial"/>
        </w:rPr>
      </w:pPr>
      <w:r>
        <w:rPr>
          <w:rFonts w:ascii="Arial" w:hAnsi="Arial" w:cs="Arial"/>
        </w:rPr>
        <w:t>DHI told the Panel that “</w:t>
      </w:r>
      <w:r w:rsidRPr="00A11ABC">
        <w:rPr>
          <w:rFonts w:ascii="Arial" w:hAnsi="Arial" w:cs="Arial"/>
        </w:rPr>
        <w:t xml:space="preserve">the Council acknowledges that an adjustment was made to the scoring methodology for Question 7 during the procurement process, citing an error in how weightings were applied. It is not clear what this adjustment is as the information they have provided does not appear to show any change, so questions remain as to what adjustment has and/or should be made. Further, the Council has not provided evidence to confirm whether this adjustment was communicated to all bidders at the time or if it impacted the overall procurement. The lack of transparency surrounding </w:t>
      </w:r>
      <w:r w:rsidRPr="00A11ABC">
        <w:rPr>
          <w:rFonts w:ascii="Arial" w:hAnsi="Arial" w:cs="Arial"/>
        </w:rPr>
        <w:lastRenderedPageBreak/>
        <w:t>this adjustment raises concerns about compliance with the PSR principles of fairness and transparency</w:t>
      </w:r>
      <w:r>
        <w:rPr>
          <w:rFonts w:ascii="Arial" w:hAnsi="Arial" w:cs="Arial"/>
        </w:rPr>
        <w:t>”</w:t>
      </w:r>
      <w:r w:rsidR="0067582A">
        <w:rPr>
          <w:rFonts w:ascii="Arial" w:hAnsi="Arial" w:cs="Arial"/>
        </w:rPr>
        <w:t xml:space="preserve"> (see paragraph </w:t>
      </w:r>
      <w:r w:rsidR="0067582A">
        <w:rPr>
          <w:rFonts w:ascii="Arial" w:hAnsi="Arial" w:cs="Arial"/>
        </w:rPr>
        <w:fldChar w:fldCharType="begin"/>
      </w:r>
      <w:r w:rsidR="0067582A">
        <w:rPr>
          <w:rFonts w:ascii="Arial" w:hAnsi="Arial" w:cs="Arial"/>
        </w:rPr>
        <w:instrText xml:space="preserve"> REF _Ref189120944 \r \h </w:instrText>
      </w:r>
      <w:r w:rsidR="0067582A">
        <w:rPr>
          <w:rFonts w:ascii="Arial" w:hAnsi="Arial" w:cs="Arial"/>
        </w:rPr>
      </w:r>
      <w:r w:rsidR="0067582A">
        <w:rPr>
          <w:rFonts w:ascii="Arial" w:hAnsi="Arial" w:cs="Arial"/>
        </w:rPr>
        <w:fldChar w:fldCharType="separate"/>
      </w:r>
      <w:r w:rsidR="0023016C">
        <w:rPr>
          <w:rFonts w:ascii="Arial" w:hAnsi="Arial" w:cs="Arial"/>
        </w:rPr>
        <w:t>40</w:t>
      </w:r>
      <w:r w:rsidR="0067582A">
        <w:rPr>
          <w:rFonts w:ascii="Arial" w:hAnsi="Arial" w:cs="Arial"/>
        </w:rPr>
        <w:fldChar w:fldCharType="end"/>
      </w:r>
      <w:r w:rsidR="0067582A">
        <w:rPr>
          <w:rFonts w:ascii="Arial" w:hAnsi="Arial" w:cs="Arial"/>
        </w:rPr>
        <w:t>)</w:t>
      </w:r>
      <w:r w:rsidRPr="00A11ABC">
        <w:rPr>
          <w:rFonts w:ascii="Arial" w:hAnsi="Arial" w:cs="Arial"/>
        </w:rPr>
        <w:t>.</w:t>
      </w:r>
    </w:p>
    <w:p w14:paraId="2B297D28" w14:textId="229F7275" w:rsidR="00B8647D" w:rsidRDefault="00964A79" w:rsidP="00B8647D">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B8647D" w:rsidRPr="00843221">
        <w:rPr>
          <w:rFonts w:ascii="Arial" w:hAnsi="Arial" w:cs="Arial"/>
        </w:rPr>
        <w:t xml:space="preserve">he </w:t>
      </w:r>
      <w:r w:rsidR="00AB00C9">
        <w:rPr>
          <w:rFonts w:ascii="Arial" w:hAnsi="Arial" w:cs="Arial"/>
        </w:rPr>
        <w:t xml:space="preserve">report from the </w:t>
      </w:r>
      <w:r w:rsidR="00B8647D" w:rsidRPr="00843221">
        <w:rPr>
          <w:rFonts w:ascii="Arial" w:hAnsi="Arial" w:cs="Arial"/>
        </w:rPr>
        <w:t>Council</w:t>
      </w:r>
      <w:r>
        <w:rPr>
          <w:rFonts w:ascii="Arial" w:hAnsi="Arial" w:cs="Arial"/>
        </w:rPr>
        <w:t xml:space="preserve">’s </w:t>
      </w:r>
      <w:r w:rsidR="00AB00C9">
        <w:rPr>
          <w:rFonts w:ascii="Arial" w:hAnsi="Arial" w:cs="Arial"/>
        </w:rPr>
        <w:t xml:space="preserve">internal review, following </w:t>
      </w:r>
      <w:r w:rsidR="003113C9">
        <w:rPr>
          <w:rFonts w:ascii="Arial" w:hAnsi="Arial" w:cs="Arial"/>
        </w:rPr>
        <w:t>DHI’s initial representations,</w:t>
      </w:r>
      <w:r w:rsidR="00B8647D" w:rsidRPr="00843221">
        <w:rPr>
          <w:rFonts w:ascii="Arial" w:hAnsi="Arial" w:cs="Arial"/>
        </w:rPr>
        <w:t xml:space="preserve"> </w:t>
      </w:r>
      <w:r w:rsidR="00B8647D">
        <w:rPr>
          <w:rFonts w:ascii="Arial" w:hAnsi="Arial" w:cs="Arial"/>
        </w:rPr>
        <w:t>said</w:t>
      </w:r>
      <w:r w:rsidR="00B8647D" w:rsidRPr="00843221">
        <w:rPr>
          <w:rFonts w:ascii="Arial" w:hAnsi="Arial" w:cs="Arial"/>
        </w:rPr>
        <w:t xml:space="preserve"> that </w:t>
      </w:r>
      <w:r w:rsidR="00B8647D">
        <w:rPr>
          <w:rFonts w:ascii="Arial" w:hAnsi="Arial" w:cs="Arial"/>
        </w:rPr>
        <w:t xml:space="preserve">the </w:t>
      </w:r>
      <w:r w:rsidR="00B8647D" w:rsidRPr="00843221">
        <w:rPr>
          <w:rFonts w:ascii="Arial" w:hAnsi="Arial" w:cs="Arial"/>
        </w:rPr>
        <w:t>scoring methodology document “was issued with the tender pack. On the Quality Questionnaire tab, cell H15 was set up for a score of 0-5 and cell I15 then applied a 50% weighting to the score entered in cell H15. This calculation was incorrect as the score for this element had been calculated out of 2.5</w:t>
      </w:r>
      <w:r w:rsidR="00B8647D">
        <w:rPr>
          <w:rFonts w:ascii="Arial" w:hAnsi="Arial" w:cs="Arial"/>
        </w:rPr>
        <w:t>,</w:t>
      </w:r>
      <w:r w:rsidR="00B8647D" w:rsidRPr="00843221">
        <w:rPr>
          <w:rFonts w:ascii="Arial" w:hAnsi="Arial" w:cs="Arial"/>
        </w:rPr>
        <w:t xml:space="preserve"> rather than out of 5, on the Pricing &amp; Social Value tab. The formula was therefore adjusted to ensure that the question was given the weighting stated in the Invitation to Tender. This adjustment did not change the published weightings but ensured that they were accurately applied”</w:t>
      </w:r>
      <w:r w:rsidR="00B8647D">
        <w:rPr>
          <w:rFonts w:ascii="Arial" w:hAnsi="Arial" w:cs="Arial"/>
        </w:rPr>
        <w:t>.</w:t>
      </w:r>
      <w:r w:rsidR="00B8647D">
        <w:rPr>
          <w:rStyle w:val="FootnoteReference"/>
          <w:rFonts w:ascii="Arial" w:hAnsi="Arial" w:cs="Arial"/>
        </w:rPr>
        <w:footnoteReference w:id="27"/>
      </w:r>
    </w:p>
    <w:p w14:paraId="71B337A0" w14:textId="77777777" w:rsidR="00B8647D" w:rsidRDefault="00B8647D" w:rsidP="00B8647D">
      <w:pPr>
        <w:pStyle w:val="ListParagraph"/>
        <w:numPr>
          <w:ilvl w:val="0"/>
          <w:numId w:val="2"/>
        </w:numPr>
        <w:spacing w:line="276" w:lineRule="auto"/>
        <w:ind w:left="567" w:hanging="567"/>
        <w:contextualSpacing w:val="0"/>
        <w:rPr>
          <w:rFonts w:ascii="Arial" w:hAnsi="Arial" w:cs="Arial"/>
        </w:rPr>
      </w:pPr>
      <w:r>
        <w:rPr>
          <w:rFonts w:ascii="Arial" w:hAnsi="Arial" w:cs="Arial"/>
        </w:rPr>
        <w:t>The Council’s evaluation records include a note in the scoring matrices of the bidders, which says:</w:t>
      </w:r>
      <w:r w:rsidRPr="003D406C">
        <w:rPr>
          <w:rFonts w:ascii="Arial" w:hAnsi="Arial" w:cs="Arial"/>
          <w:bCs/>
        </w:rPr>
        <w:t xml:space="preserve"> </w:t>
      </w:r>
      <w:r w:rsidRPr="00BE7119">
        <w:rPr>
          <w:rFonts w:ascii="Arial" w:hAnsi="Arial" w:cs="Arial"/>
          <w:bCs/>
        </w:rPr>
        <w:t>“the published Scoring Methodology applied a 50% weighting against this score, which was not needed and not mathematically correct as the score had already been calculated out of 2.5%. The weighting in cell I16 has been removed for all bidders”</w:t>
      </w:r>
      <w:r>
        <w:rPr>
          <w:rFonts w:ascii="Arial" w:hAnsi="Arial" w:cs="Arial"/>
          <w:bCs/>
        </w:rPr>
        <w:t>.</w:t>
      </w:r>
      <w:r>
        <w:rPr>
          <w:rStyle w:val="FootnoteReference"/>
          <w:rFonts w:ascii="Arial" w:hAnsi="Arial" w:cs="Arial"/>
        </w:rPr>
        <w:footnoteReference w:id="28"/>
      </w:r>
    </w:p>
    <w:p w14:paraId="0369FC00" w14:textId="027C7FD1" w:rsidR="00B8647D" w:rsidRPr="00766956" w:rsidRDefault="00B8647D" w:rsidP="00B8647D">
      <w:pPr>
        <w:pStyle w:val="ListParagraph"/>
        <w:numPr>
          <w:ilvl w:val="0"/>
          <w:numId w:val="2"/>
        </w:numPr>
        <w:spacing w:line="276" w:lineRule="auto"/>
        <w:ind w:left="567" w:hanging="567"/>
        <w:rPr>
          <w:rFonts w:ascii="Arial" w:hAnsi="Arial" w:cs="Arial"/>
        </w:rPr>
      </w:pPr>
      <w:r w:rsidRPr="00524F0F">
        <w:rPr>
          <w:rFonts w:ascii="Arial" w:hAnsi="Arial" w:cs="Arial"/>
        </w:rPr>
        <w:t xml:space="preserve">The Panel’s view, </w:t>
      </w:r>
      <w:r>
        <w:rPr>
          <w:rFonts w:ascii="Arial" w:hAnsi="Arial" w:cs="Arial"/>
        </w:rPr>
        <w:t xml:space="preserve">having </w:t>
      </w:r>
      <w:r w:rsidRPr="00524F0F">
        <w:rPr>
          <w:rFonts w:ascii="Arial" w:hAnsi="Arial" w:cs="Arial"/>
        </w:rPr>
        <w:t>review</w:t>
      </w:r>
      <w:r>
        <w:rPr>
          <w:rFonts w:ascii="Arial" w:hAnsi="Arial" w:cs="Arial"/>
        </w:rPr>
        <w:t>ed</w:t>
      </w:r>
      <w:r w:rsidRPr="00524F0F">
        <w:rPr>
          <w:rFonts w:ascii="Arial" w:hAnsi="Arial" w:cs="Arial"/>
        </w:rPr>
        <w:t xml:space="preserve"> the </w:t>
      </w:r>
      <w:r>
        <w:rPr>
          <w:rFonts w:ascii="Arial" w:hAnsi="Arial" w:cs="Arial"/>
        </w:rPr>
        <w:t>relevant tender</w:t>
      </w:r>
      <w:r w:rsidRPr="00524F0F">
        <w:rPr>
          <w:rFonts w:ascii="Arial" w:hAnsi="Arial" w:cs="Arial"/>
        </w:rPr>
        <w:t xml:space="preserve"> documents</w:t>
      </w:r>
      <w:r>
        <w:rPr>
          <w:rFonts w:ascii="Arial" w:hAnsi="Arial" w:cs="Arial"/>
        </w:rPr>
        <w:t>,</w:t>
      </w:r>
      <w:r>
        <w:rPr>
          <w:rStyle w:val="FootnoteReference"/>
          <w:rFonts w:ascii="Arial" w:hAnsi="Arial" w:cs="Arial"/>
        </w:rPr>
        <w:footnoteReference w:id="29"/>
      </w:r>
      <w:r w:rsidRPr="00524F0F">
        <w:rPr>
          <w:rFonts w:ascii="Arial" w:hAnsi="Arial" w:cs="Arial"/>
        </w:rPr>
        <w:t xml:space="preserve"> i</w:t>
      </w:r>
      <w:r>
        <w:rPr>
          <w:rFonts w:ascii="Arial" w:hAnsi="Arial" w:cs="Arial"/>
        </w:rPr>
        <w:t>s</w:t>
      </w:r>
      <w:r w:rsidRPr="00524F0F">
        <w:rPr>
          <w:rFonts w:ascii="Arial" w:hAnsi="Arial" w:cs="Arial"/>
        </w:rPr>
        <w:t xml:space="preserve"> that </w:t>
      </w:r>
      <w:r>
        <w:rPr>
          <w:rFonts w:ascii="Arial" w:hAnsi="Arial" w:cs="Arial"/>
        </w:rPr>
        <w:t xml:space="preserve">the Council corrected an error in its scoring formula rather than changing the </w:t>
      </w:r>
      <w:r w:rsidRPr="00524F0F">
        <w:rPr>
          <w:rFonts w:ascii="Arial" w:hAnsi="Arial" w:cs="Arial"/>
        </w:rPr>
        <w:t xml:space="preserve">scoring methodology. The </w:t>
      </w:r>
      <w:r>
        <w:rPr>
          <w:rFonts w:ascii="Arial" w:hAnsi="Arial" w:cs="Arial"/>
        </w:rPr>
        <w:t>corrected</w:t>
      </w:r>
      <w:r w:rsidRPr="00524F0F">
        <w:rPr>
          <w:rFonts w:ascii="Arial" w:hAnsi="Arial" w:cs="Arial"/>
        </w:rPr>
        <w:t xml:space="preserve"> formula </w:t>
      </w:r>
      <w:r>
        <w:rPr>
          <w:rFonts w:ascii="Arial" w:hAnsi="Arial" w:cs="Arial"/>
        </w:rPr>
        <w:t>is</w:t>
      </w:r>
      <w:r w:rsidRPr="00524F0F">
        <w:rPr>
          <w:rFonts w:ascii="Arial" w:hAnsi="Arial" w:cs="Arial"/>
        </w:rPr>
        <w:t xml:space="preserve"> in line with the scoring methodology</w:t>
      </w:r>
      <w:r>
        <w:rPr>
          <w:rFonts w:ascii="Arial" w:hAnsi="Arial" w:cs="Arial"/>
        </w:rPr>
        <w:t xml:space="preserve"> set out in the ITT. As a result, the Panel finds that the Council did not breach the PSR regulations </w:t>
      </w:r>
      <w:r w:rsidR="00AB15C9">
        <w:rPr>
          <w:rFonts w:ascii="Arial" w:hAnsi="Arial" w:cs="Arial"/>
        </w:rPr>
        <w:t>in</w:t>
      </w:r>
      <w:r w:rsidR="00285B8C">
        <w:rPr>
          <w:rFonts w:ascii="Arial" w:hAnsi="Arial" w:cs="Arial"/>
        </w:rPr>
        <w:t xml:space="preserve"> correcting the scoring formula for Q7 </w:t>
      </w:r>
      <w:r>
        <w:rPr>
          <w:rFonts w:ascii="Arial" w:hAnsi="Arial" w:cs="Arial"/>
        </w:rPr>
        <w:t xml:space="preserve">and, in particular, </w:t>
      </w:r>
      <w:r w:rsidR="00AB15C9">
        <w:rPr>
          <w:rFonts w:ascii="Arial" w:hAnsi="Arial" w:cs="Arial"/>
        </w:rPr>
        <w:t>the</w:t>
      </w:r>
      <w:r>
        <w:rPr>
          <w:rFonts w:ascii="Arial" w:hAnsi="Arial" w:cs="Arial"/>
        </w:rPr>
        <w:t xml:space="preserve"> obligation to act fairly and transparently.</w:t>
      </w:r>
    </w:p>
    <w:p w14:paraId="5F9ABD05" w14:textId="6CEA1564" w:rsidR="00AA0161" w:rsidRPr="00356BD7" w:rsidRDefault="0096480F" w:rsidP="009A54D5">
      <w:pPr>
        <w:keepNext/>
        <w:spacing w:before="240" w:line="276" w:lineRule="auto"/>
        <w:rPr>
          <w:rFonts w:ascii="Arial" w:hAnsi="Arial" w:cs="Arial"/>
          <w:b/>
          <w:bCs/>
        </w:rPr>
      </w:pPr>
      <w:r w:rsidRPr="00356BD7">
        <w:rPr>
          <w:rFonts w:ascii="Arial" w:hAnsi="Arial" w:cs="Arial"/>
          <w:b/>
          <w:bCs/>
        </w:rPr>
        <w:t>7.2.</w:t>
      </w:r>
      <w:r w:rsidR="00B8647D">
        <w:rPr>
          <w:rFonts w:ascii="Arial" w:hAnsi="Arial" w:cs="Arial"/>
          <w:b/>
          <w:bCs/>
        </w:rPr>
        <w:t>3</w:t>
      </w:r>
      <w:r w:rsidR="00356BD7" w:rsidRPr="00356BD7">
        <w:rPr>
          <w:rFonts w:ascii="Arial" w:hAnsi="Arial" w:cs="Arial"/>
          <w:b/>
          <w:bCs/>
        </w:rPr>
        <w:t xml:space="preserve"> </w:t>
      </w:r>
      <w:r w:rsidR="00686EA9">
        <w:rPr>
          <w:rFonts w:ascii="Arial" w:hAnsi="Arial" w:cs="Arial"/>
          <w:b/>
          <w:bCs/>
        </w:rPr>
        <w:t xml:space="preserve">The Council’s ability to </w:t>
      </w:r>
      <w:r w:rsidR="00B05F9E">
        <w:rPr>
          <w:rFonts w:ascii="Arial" w:hAnsi="Arial" w:cs="Arial"/>
          <w:b/>
          <w:bCs/>
        </w:rPr>
        <w:t xml:space="preserve">exclude </w:t>
      </w:r>
      <w:r w:rsidR="00686EA9">
        <w:rPr>
          <w:rFonts w:ascii="Arial" w:hAnsi="Arial" w:cs="Arial"/>
          <w:b/>
          <w:bCs/>
        </w:rPr>
        <w:t xml:space="preserve">low scoring </w:t>
      </w:r>
      <w:r w:rsidR="00B05F9E">
        <w:rPr>
          <w:rFonts w:ascii="Arial" w:hAnsi="Arial" w:cs="Arial"/>
          <w:b/>
          <w:bCs/>
        </w:rPr>
        <w:t>bidders</w:t>
      </w:r>
    </w:p>
    <w:p w14:paraId="2E0E3793" w14:textId="62FB6BA2" w:rsidR="00686E64" w:rsidRPr="008B554F" w:rsidRDefault="00B74379" w:rsidP="00523D66">
      <w:pPr>
        <w:pStyle w:val="ListParagraph"/>
        <w:numPr>
          <w:ilvl w:val="0"/>
          <w:numId w:val="2"/>
        </w:numPr>
        <w:spacing w:line="276" w:lineRule="auto"/>
        <w:ind w:left="567" w:hanging="567"/>
        <w:contextualSpacing w:val="0"/>
        <w:rPr>
          <w:rFonts w:ascii="Arial" w:hAnsi="Arial" w:cs="Arial"/>
        </w:rPr>
      </w:pPr>
      <w:r w:rsidRPr="008B554F">
        <w:rPr>
          <w:rFonts w:ascii="Arial" w:hAnsi="Arial" w:cs="Arial"/>
        </w:rPr>
        <w:t>DHI</w:t>
      </w:r>
      <w:r w:rsidR="00945DA4">
        <w:rPr>
          <w:rFonts w:ascii="Arial" w:hAnsi="Arial" w:cs="Arial"/>
        </w:rPr>
        <w:t xml:space="preserve">, in its representations to </w:t>
      </w:r>
      <w:r w:rsidR="00686E64" w:rsidRPr="008B554F">
        <w:rPr>
          <w:rFonts w:ascii="Arial" w:hAnsi="Arial" w:cs="Arial"/>
        </w:rPr>
        <w:t>the Council</w:t>
      </w:r>
      <w:r w:rsidR="00945DA4">
        <w:rPr>
          <w:rFonts w:ascii="Arial" w:hAnsi="Arial" w:cs="Arial"/>
        </w:rPr>
        <w:t>, said</w:t>
      </w:r>
      <w:r w:rsidR="007819DD" w:rsidRPr="008B554F">
        <w:rPr>
          <w:rFonts w:ascii="Arial" w:hAnsi="Arial" w:cs="Arial"/>
        </w:rPr>
        <w:t xml:space="preserve"> that</w:t>
      </w:r>
      <w:r w:rsidRPr="008B554F">
        <w:rPr>
          <w:rFonts w:ascii="Arial" w:hAnsi="Arial" w:cs="Arial"/>
        </w:rPr>
        <w:t xml:space="preserve"> </w:t>
      </w:r>
      <w:r w:rsidR="00945DA4">
        <w:rPr>
          <w:rFonts w:ascii="Arial" w:hAnsi="Arial" w:cs="Arial"/>
        </w:rPr>
        <w:t xml:space="preserve">the Council </w:t>
      </w:r>
      <w:r w:rsidRPr="008B554F">
        <w:rPr>
          <w:rFonts w:ascii="Arial" w:hAnsi="Arial" w:cs="Arial"/>
        </w:rPr>
        <w:t xml:space="preserve">had </w:t>
      </w:r>
      <w:r w:rsidR="00187A42">
        <w:rPr>
          <w:rFonts w:ascii="Arial" w:hAnsi="Arial" w:cs="Arial"/>
        </w:rPr>
        <w:t xml:space="preserve">erred </w:t>
      </w:r>
      <w:r w:rsidR="004905CE">
        <w:rPr>
          <w:rFonts w:ascii="Arial" w:hAnsi="Arial" w:cs="Arial"/>
        </w:rPr>
        <w:t xml:space="preserve">by </w:t>
      </w:r>
      <w:r w:rsidR="003A756F">
        <w:rPr>
          <w:rFonts w:ascii="Arial" w:hAnsi="Arial" w:cs="Arial"/>
        </w:rPr>
        <w:t xml:space="preserve">not </w:t>
      </w:r>
      <w:r w:rsidR="007819DD" w:rsidRPr="008B554F">
        <w:rPr>
          <w:rFonts w:ascii="Arial" w:hAnsi="Arial" w:cs="Arial"/>
        </w:rPr>
        <w:t>exercis</w:t>
      </w:r>
      <w:r w:rsidR="003A756F">
        <w:rPr>
          <w:rFonts w:ascii="Arial" w:hAnsi="Arial" w:cs="Arial"/>
        </w:rPr>
        <w:t>ing</w:t>
      </w:r>
      <w:r w:rsidR="007819DD" w:rsidRPr="008B554F">
        <w:rPr>
          <w:rFonts w:ascii="Arial" w:hAnsi="Arial" w:cs="Arial"/>
        </w:rPr>
        <w:t xml:space="preserve"> </w:t>
      </w:r>
      <w:r w:rsidRPr="008B554F">
        <w:rPr>
          <w:rFonts w:ascii="Arial" w:hAnsi="Arial" w:cs="Arial"/>
        </w:rPr>
        <w:t xml:space="preserve">its </w:t>
      </w:r>
      <w:r w:rsidR="007819DD" w:rsidRPr="008B554F">
        <w:rPr>
          <w:rFonts w:ascii="Arial" w:hAnsi="Arial" w:cs="Arial"/>
        </w:rPr>
        <w:t>discretion to exclu</w:t>
      </w:r>
      <w:r w:rsidRPr="008B554F">
        <w:rPr>
          <w:rFonts w:ascii="Arial" w:hAnsi="Arial" w:cs="Arial"/>
        </w:rPr>
        <w:t xml:space="preserve">de </w:t>
      </w:r>
      <w:r w:rsidR="007819DD" w:rsidRPr="008B554F">
        <w:rPr>
          <w:rFonts w:ascii="Arial" w:hAnsi="Arial" w:cs="Arial"/>
        </w:rPr>
        <w:t xml:space="preserve">the successful bidder for “failing to meet the acceptable standard for this </w:t>
      </w:r>
      <w:r w:rsidR="00242547" w:rsidRPr="008B554F">
        <w:rPr>
          <w:rFonts w:ascii="Arial" w:hAnsi="Arial" w:cs="Arial"/>
        </w:rPr>
        <w:t xml:space="preserve">[the social value] </w:t>
      </w:r>
      <w:r w:rsidR="007819DD" w:rsidRPr="008B554F">
        <w:rPr>
          <w:rFonts w:ascii="Arial" w:hAnsi="Arial" w:cs="Arial"/>
        </w:rPr>
        <w:t xml:space="preserve">element of the Procurement”. DHI </w:t>
      </w:r>
      <w:r w:rsidR="00242547" w:rsidRPr="008B554F">
        <w:rPr>
          <w:rFonts w:ascii="Arial" w:hAnsi="Arial" w:cs="Arial"/>
        </w:rPr>
        <w:t xml:space="preserve">said </w:t>
      </w:r>
      <w:r w:rsidR="00686E64" w:rsidRPr="008B554F">
        <w:rPr>
          <w:rFonts w:ascii="Arial" w:hAnsi="Arial" w:cs="Arial"/>
        </w:rPr>
        <w:t xml:space="preserve">that “The Successful Bidder received a weighted score of 0.38% in the quantitative Social Value scoring in Question 7, which equates to a score of either 0 or 1”, </w:t>
      </w:r>
      <w:r w:rsidR="00242547" w:rsidRPr="008B554F">
        <w:rPr>
          <w:rFonts w:ascii="Arial" w:hAnsi="Arial" w:cs="Arial"/>
        </w:rPr>
        <w:t>and</w:t>
      </w:r>
      <w:r w:rsidR="00686E64" w:rsidRPr="008B554F">
        <w:rPr>
          <w:rFonts w:ascii="Arial" w:hAnsi="Arial" w:cs="Arial"/>
        </w:rPr>
        <w:t xml:space="preserve"> that “Despite this, the Council has either not given due consideration to, or has chosen not to, exercise its right to exclude the bidder at this stage, allowing their bid to progress further in the evaluation process</w:t>
      </w:r>
      <w:r w:rsidR="00E32BAA" w:rsidRPr="008B554F">
        <w:rPr>
          <w:rFonts w:ascii="Arial" w:hAnsi="Arial" w:cs="Arial"/>
        </w:rPr>
        <w:t>”</w:t>
      </w:r>
      <w:r w:rsidR="00686E64" w:rsidRPr="008B554F">
        <w:rPr>
          <w:rFonts w:ascii="Arial" w:hAnsi="Arial" w:cs="Arial"/>
        </w:rPr>
        <w:t xml:space="preserve">. DHI </w:t>
      </w:r>
      <w:r w:rsidR="008B554F">
        <w:rPr>
          <w:rFonts w:ascii="Arial" w:hAnsi="Arial" w:cs="Arial"/>
        </w:rPr>
        <w:t>said</w:t>
      </w:r>
      <w:r w:rsidR="008B554F" w:rsidRPr="008B554F">
        <w:rPr>
          <w:rFonts w:ascii="Arial" w:hAnsi="Arial" w:cs="Arial"/>
        </w:rPr>
        <w:t xml:space="preserve"> </w:t>
      </w:r>
      <w:r w:rsidR="00686E64" w:rsidRPr="008B554F">
        <w:rPr>
          <w:rFonts w:ascii="Arial" w:hAnsi="Arial" w:cs="Arial"/>
        </w:rPr>
        <w:t>that the Council’s decision “raises concerns about the application of the evaluation process and adherence to the principles of transparency</w:t>
      </w:r>
      <w:r w:rsidR="00D15AB7">
        <w:rPr>
          <w:rFonts w:ascii="Arial" w:hAnsi="Arial" w:cs="Arial"/>
        </w:rPr>
        <w:t>,</w:t>
      </w:r>
      <w:r w:rsidR="00686E64" w:rsidRPr="008B554F">
        <w:rPr>
          <w:rFonts w:ascii="Arial" w:hAnsi="Arial" w:cs="Arial"/>
        </w:rPr>
        <w:t xml:space="preserve"> fairness and proportionality under the PSR 2023”</w:t>
      </w:r>
      <w:r w:rsidR="008B554F">
        <w:rPr>
          <w:rFonts w:ascii="Arial" w:hAnsi="Arial" w:cs="Arial"/>
        </w:rPr>
        <w:t>.</w:t>
      </w:r>
      <w:r w:rsidR="000E5CF7">
        <w:rPr>
          <w:rStyle w:val="FootnoteReference"/>
          <w:rFonts w:ascii="Arial" w:hAnsi="Arial" w:cs="Arial"/>
        </w:rPr>
        <w:footnoteReference w:id="30"/>
      </w:r>
    </w:p>
    <w:p w14:paraId="7276E049" w14:textId="3BDDD424" w:rsidR="00686E64" w:rsidRPr="008309EF" w:rsidRDefault="00E32BAA" w:rsidP="00686E64">
      <w:pPr>
        <w:pStyle w:val="ListParagraph"/>
        <w:numPr>
          <w:ilvl w:val="0"/>
          <w:numId w:val="2"/>
        </w:numPr>
        <w:spacing w:line="276" w:lineRule="auto"/>
        <w:ind w:left="567" w:hanging="567"/>
        <w:contextualSpacing w:val="0"/>
        <w:rPr>
          <w:rFonts w:ascii="Arial" w:hAnsi="Arial" w:cs="Arial"/>
        </w:rPr>
      </w:pPr>
      <w:r w:rsidRPr="008309EF">
        <w:rPr>
          <w:rFonts w:ascii="Arial" w:hAnsi="Arial" w:cs="Arial"/>
        </w:rPr>
        <w:t>T</w:t>
      </w:r>
      <w:r w:rsidR="00686E64" w:rsidRPr="008309EF">
        <w:rPr>
          <w:rFonts w:ascii="Arial" w:hAnsi="Arial" w:cs="Arial"/>
        </w:rPr>
        <w:t>he Council</w:t>
      </w:r>
      <w:r w:rsidR="008B554F">
        <w:rPr>
          <w:rFonts w:ascii="Arial" w:hAnsi="Arial" w:cs="Arial"/>
        </w:rPr>
        <w:t>, in respon</w:t>
      </w:r>
      <w:r w:rsidR="006D40FE">
        <w:rPr>
          <w:rFonts w:ascii="Arial" w:hAnsi="Arial" w:cs="Arial"/>
        </w:rPr>
        <w:t>ding</w:t>
      </w:r>
      <w:r w:rsidR="008B554F">
        <w:rPr>
          <w:rFonts w:ascii="Arial" w:hAnsi="Arial" w:cs="Arial"/>
        </w:rPr>
        <w:t xml:space="preserve">, </w:t>
      </w:r>
      <w:r w:rsidR="008309EF" w:rsidRPr="008309EF">
        <w:rPr>
          <w:rFonts w:ascii="Arial" w:hAnsi="Arial" w:cs="Arial"/>
        </w:rPr>
        <w:t>stat</w:t>
      </w:r>
      <w:r w:rsidR="008B554F">
        <w:rPr>
          <w:rFonts w:ascii="Arial" w:hAnsi="Arial" w:cs="Arial"/>
        </w:rPr>
        <w:t xml:space="preserve">ed </w:t>
      </w:r>
      <w:r w:rsidR="00686E64" w:rsidRPr="008309EF">
        <w:rPr>
          <w:rFonts w:ascii="Arial" w:hAnsi="Arial" w:cs="Arial"/>
        </w:rPr>
        <w:t>that “The Invitation to Tender provision relating to scores of 0 or 1</w:t>
      </w:r>
      <w:r w:rsidR="00AA16F4">
        <w:rPr>
          <w:rFonts w:ascii="Arial" w:hAnsi="Arial" w:cs="Arial"/>
        </w:rPr>
        <w:t>,</w:t>
      </w:r>
      <w:r w:rsidR="00686E64" w:rsidRPr="008309EF">
        <w:rPr>
          <w:rFonts w:ascii="Arial" w:hAnsi="Arial" w:cs="Arial"/>
        </w:rPr>
        <w:t xml:space="preserve"> and the right to exclude bidders from further consideration, related to the scoring of qualitative questions using the 0-5 scoring matrix, as detailed under the heading of Quality Questionnaire Evaluation. The evaluation of the Social Value section, both qualitative and quantitative, was covered under the heading of Social </w:t>
      </w:r>
      <w:r w:rsidR="00686E64" w:rsidRPr="008309EF">
        <w:rPr>
          <w:rFonts w:ascii="Arial" w:hAnsi="Arial" w:cs="Arial"/>
        </w:rPr>
        <w:lastRenderedPageBreak/>
        <w:t xml:space="preserve">Value Evaluation”. The Council </w:t>
      </w:r>
      <w:r w:rsidR="00AA16F4">
        <w:rPr>
          <w:rFonts w:ascii="Arial" w:hAnsi="Arial" w:cs="Arial"/>
        </w:rPr>
        <w:t xml:space="preserve">noted </w:t>
      </w:r>
      <w:r w:rsidR="00686E64" w:rsidRPr="008309EF">
        <w:rPr>
          <w:rFonts w:ascii="Arial" w:hAnsi="Arial" w:cs="Arial"/>
        </w:rPr>
        <w:t xml:space="preserve">that the </w:t>
      </w:r>
      <w:r w:rsidR="00AA698D">
        <w:rPr>
          <w:rFonts w:ascii="Arial" w:hAnsi="Arial" w:cs="Arial"/>
        </w:rPr>
        <w:t>s</w:t>
      </w:r>
      <w:r w:rsidR="00686E64" w:rsidRPr="008309EF">
        <w:rPr>
          <w:rFonts w:ascii="Arial" w:hAnsi="Arial" w:cs="Arial"/>
        </w:rPr>
        <w:t xml:space="preserve">ocial </w:t>
      </w:r>
      <w:r w:rsidR="00AA698D">
        <w:rPr>
          <w:rFonts w:ascii="Arial" w:hAnsi="Arial" w:cs="Arial"/>
        </w:rPr>
        <w:t>v</w:t>
      </w:r>
      <w:r w:rsidR="00686E64" w:rsidRPr="008309EF">
        <w:rPr>
          <w:rFonts w:ascii="Arial" w:hAnsi="Arial" w:cs="Arial"/>
        </w:rPr>
        <w:t>alue section “was not subject to the same provision”.</w:t>
      </w:r>
      <w:r w:rsidR="008309EF">
        <w:rPr>
          <w:rStyle w:val="FootnoteReference"/>
          <w:rFonts w:ascii="Arial" w:hAnsi="Arial" w:cs="Arial"/>
        </w:rPr>
        <w:footnoteReference w:id="31"/>
      </w:r>
    </w:p>
    <w:p w14:paraId="25BD0AC9" w14:textId="55E43D4D" w:rsidR="00F8503F" w:rsidRPr="008309EF" w:rsidRDefault="008309EF" w:rsidP="00F8503F">
      <w:pPr>
        <w:pStyle w:val="ListParagraph"/>
        <w:numPr>
          <w:ilvl w:val="0"/>
          <w:numId w:val="2"/>
        </w:numPr>
        <w:spacing w:line="276" w:lineRule="auto"/>
        <w:ind w:left="567" w:hanging="567"/>
        <w:contextualSpacing w:val="0"/>
        <w:rPr>
          <w:rFonts w:ascii="Arial" w:hAnsi="Arial" w:cs="Arial"/>
        </w:rPr>
      </w:pPr>
      <w:r w:rsidRPr="008309EF">
        <w:rPr>
          <w:rFonts w:ascii="Arial" w:hAnsi="Arial" w:cs="Arial"/>
        </w:rPr>
        <w:t>The Panel notes that t</w:t>
      </w:r>
      <w:r w:rsidR="00F8503F" w:rsidRPr="008309EF">
        <w:rPr>
          <w:rFonts w:ascii="Arial" w:hAnsi="Arial" w:cs="Arial"/>
        </w:rPr>
        <w:t xml:space="preserve">he ‘Quality Questionnaire Evaluation’ section </w:t>
      </w:r>
      <w:r w:rsidR="004D60BE">
        <w:rPr>
          <w:rFonts w:ascii="Arial" w:hAnsi="Arial" w:cs="Arial"/>
        </w:rPr>
        <w:t xml:space="preserve">for </w:t>
      </w:r>
      <w:r w:rsidR="008123FB">
        <w:rPr>
          <w:rFonts w:ascii="Arial" w:hAnsi="Arial" w:cs="Arial"/>
        </w:rPr>
        <w:t xml:space="preserve">Q1-Q6 </w:t>
      </w:r>
      <w:r w:rsidR="00F8503F" w:rsidRPr="008309EF">
        <w:rPr>
          <w:rFonts w:ascii="Arial" w:hAnsi="Arial" w:cs="Arial"/>
        </w:rPr>
        <w:t>of the tender state</w:t>
      </w:r>
      <w:r w:rsidR="009212BB">
        <w:rPr>
          <w:rFonts w:ascii="Arial" w:hAnsi="Arial" w:cs="Arial"/>
        </w:rPr>
        <w:t xml:space="preserve">s </w:t>
      </w:r>
      <w:r w:rsidR="00F8503F" w:rsidRPr="008309EF">
        <w:rPr>
          <w:rFonts w:ascii="Arial" w:hAnsi="Arial" w:cs="Arial"/>
        </w:rPr>
        <w:t xml:space="preserve">that “if the tenderer receives a score of either 0 or 1 on any question or criteria, the Authority reserves the right to exclude that bidder from further consideration”. The </w:t>
      </w:r>
      <w:r w:rsidR="00321FBB">
        <w:rPr>
          <w:rFonts w:ascii="Arial" w:hAnsi="Arial" w:cs="Arial"/>
        </w:rPr>
        <w:t xml:space="preserve">Panel also notes that the </w:t>
      </w:r>
      <w:r w:rsidR="00F8503F" w:rsidRPr="008309EF">
        <w:rPr>
          <w:rFonts w:ascii="Arial" w:hAnsi="Arial" w:cs="Arial"/>
        </w:rPr>
        <w:t xml:space="preserve">‘Social Value Evaluation’ section </w:t>
      </w:r>
      <w:r w:rsidR="004D60BE">
        <w:rPr>
          <w:rFonts w:ascii="Arial" w:hAnsi="Arial" w:cs="Arial"/>
        </w:rPr>
        <w:t xml:space="preserve">for Q7 and Q8 </w:t>
      </w:r>
      <w:r w:rsidR="000F1D16">
        <w:rPr>
          <w:rFonts w:ascii="Arial" w:hAnsi="Arial" w:cs="Arial"/>
        </w:rPr>
        <w:t>d</w:t>
      </w:r>
      <w:r w:rsidR="009212BB">
        <w:rPr>
          <w:rFonts w:ascii="Arial" w:hAnsi="Arial" w:cs="Arial"/>
        </w:rPr>
        <w:t xml:space="preserve">oes </w:t>
      </w:r>
      <w:r w:rsidR="000F1D16">
        <w:rPr>
          <w:rFonts w:ascii="Arial" w:hAnsi="Arial" w:cs="Arial"/>
        </w:rPr>
        <w:t xml:space="preserve">not </w:t>
      </w:r>
      <w:r w:rsidR="009212BB">
        <w:rPr>
          <w:rFonts w:ascii="Arial" w:hAnsi="Arial" w:cs="Arial"/>
        </w:rPr>
        <w:t xml:space="preserve">include </w:t>
      </w:r>
      <w:r w:rsidR="00321FBB">
        <w:rPr>
          <w:rFonts w:ascii="Arial" w:hAnsi="Arial" w:cs="Arial"/>
        </w:rPr>
        <w:t xml:space="preserve">same </w:t>
      </w:r>
      <w:r w:rsidR="000F1D16">
        <w:rPr>
          <w:rFonts w:ascii="Arial" w:hAnsi="Arial" w:cs="Arial"/>
        </w:rPr>
        <w:t xml:space="preserve">provision for </w:t>
      </w:r>
      <w:r w:rsidR="00321FBB">
        <w:rPr>
          <w:rFonts w:ascii="Arial" w:hAnsi="Arial" w:cs="Arial"/>
        </w:rPr>
        <w:t>excluding low scoring bidders</w:t>
      </w:r>
      <w:r w:rsidR="00F8503F" w:rsidRPr="008309EF">
        <w:rPr>
          <w:rFonts w:ascii="Arial" w:hAnsi="Arial" w:cs="Arial"/>
        </w:rPr>
        <w:t>.</w:t>
      </w:r>
    </w:p>
    <w:p w14:paraId="39C04C70" w14:textId="3DD29E6D" w:rsidR="0040665E" w:rsidRDefault="001D0DE3" w:rsidP="001D0DE3">
      <w:pPr>
        <w:pStyle w:val="ListParagraph"/>
        <w:numPr>
          <w:ilvl w:val="0"/>
          <w:numId w:val="2"/>
        </w:numPr>
        <w:spacing w:line="276" w:lineRule="auto"/>
        <w:ind w:left="567" w:hanging="567"/>
        <w:contextualSpacing w:val="0"/>
        <w:rPr>
          <w:rFonts w:ascii="Arial" w:hAnsi="Arial" w:cs="Arial"/>
        </w:rPr>
      </w:pPr>
      <w:r>
        <w:rPr>
          <w:rFonts w:ascii="Arial" w:hAnsi="Arial" w:cs="Arial"/>
        </w:rPr>
        <w:t>The Panel’s view is that</w:t>
      </w:r>
      <w:r w:rsidR="00920DB3">
        <w:rPr>
          <w:rFonts w:ascii="Arial" w:hAnsi="Arial" w:cs="Arial"/>
        </w:rPr>
        <w:t xml:space="preserve"> </w:t>
      </w:r>
      <w:r w:rsidR="0040665E">
        <w:rPr>
          <w:rFonts w:ascii="Arial" w:hAnsi="Arial" w:cs="Arial"/>
        </w:rPr>
        <w:t xml:space="preserve">the Council did not have the ability to exclude bidders who </w:t>
      </w:r>
      <w:r w:rsidR="00ED1D14">
        <w:rPr>
          <w:rFonts w:ascii="Arial" w:hAnsi="Arial" w:cs="Arial"/>
        </w:rPr>
        <w:t>received low scores for their responses to the social value questions, and as a result, it did not err</w:t>
      </w:r>
      <w:r w:rsidR="00A44B27">
        <w:rPr>
          <w:rFonts w:ascii="Arial" w:hAnsi="Arial" w:cs="Arial"/>
        </w:rPr>
        <w:t xml:space="preserve"> in not </w:t>
      </w:r>
      <w:r w:rsidR="00ED1D14">
        <w:rPr>
          <w:rFonts w:ascii="Arial" w:hAnsi="Arial" w:cs="Arial"/>
        </w:rPr>
        <w:t>exclud</w:t>
      </w:r>
      <w:r w:rsidR="00A44B27">
        <w:rPr>
          <w:rFonts w:ascii="Arial" w:hAnsi="Arial" w:cs="Arial"/>
        </w:rPr>
        <w:t>ing</w:t>
      </w:r>
      <w:r w:rsidR="00ED1D14">
        <w:rPr>
          <w:rFonts w:ascii="Arial" w:hAnsi="Arial" w:cs="Arial"/>
        </w:rPr>
        <w:t xml:space="preserve"> the successful bidder</w:t>
      </w:r>
      <w:r w:rsidR="005E63AB">
        <w:rPr>
          <w:rFonts w:ascii="Arial" w:hAnsi="Arial" w:cs="Arial"/>
        </w:rPr>
        <w:t xml:space="preserve"> on the basis of its response to these questions. As a result, the Panel </w:t>
      </w:r>
      <w:r w:rsidR="004C60E6">
        <w:rPr>
          <w:rFonts w:ascii="Arial" w:hAnsi="Arial" w:cs="Arial"/>
        </w:rPr>
        <w:t>finds that the Council</w:t>
      </w:r>
      <w:r w:rsidR="008E08B4">
        <w:rPr>
          <w:rFonts w:ascii="Arial" w:hAnsi="Arial" w:cs="Arial"/>
        </w:rPr>
        <w:t>, in</w:t>
      </w:r>
      <w:r w:rsidR="004C60E6">
        <w:rPr>
          <w:rFonts w:ascii="Arial" w:hAnsi="Arial" w:cs="Arial"/>
        </w:rPr>
        <w:t xml:space="preserve"> </w:t>
      </w:r>
      <w:r w:rsidR="008E08B4">
        <w:rPr>
          <w:rFonts w:ascii="Arial" w:hAnsi="Arial" w:cs="Arial"/>
        </w:rPr>
        <w:t xml:space="preserve">not excluding the successful bidder based on its response to the social value questions, </w:t>
      </w:r>
      <w:r w:rsidR="004C60E6">
        <w:rPr>
          <w:rFonts w:ascii="Arial" w:hAnsi="Arial" w:cs="Arial"/>
        </w:rPr>
        <w:t>did not breach the PSR regulation</w:t>
      </w:r>
      <w:r w:rsidR="008E08B4">
        <w:rPr>
          <w:rFonts w:ascii="Arial" w:hAnsi="Arial" w:cs="Arial"/>
        </w:rPr>
        <w:t>s and</w:t>
      </w:r>
      <w:r w:rsidR="00447D87">
        <w:rPr>
          <w:rFonts w:ascii="Arial" w:hAnsi="Arial" w:cs="Arial"/>
        </w:rPr>
        <w:t>,</w:t>
      </w:r>
      <w:r w:rsidR="008E08B4">
        <w:rPr>
          <w:rFonts w:ascii="Arial" w:hAnsi="Arial" w:cs="Arial"/>
        </w:rPr>
        <w:t xml:space="preserve"> in particular</w:t>
      </w:r>
      <w:r w:rsidR="00447D87">
        <w:rPr>
          <w:rFonts w:ascii="Arial" w:hAnsi="Arial" w:cs="Arial"/>
        </w:rPr>
        <w:t>,</w:t>
      </w:r>
      <w:r w:rsidR="008E08B4">
        <w:rPr>
          <w:rFonts w:ascii="Arial" w:hAnsi="Arial" w:cs="Arial"/>
        </w:rPr>
        <w:t xml:space="preserve"> the </w:t>
      </w:r>
      <w:r w:rsidR="002E6EAF">
        <w:rPr>
          <w:rFonts w:ascii="Arial" w:hAnsi="Arial" w:cs="Arial"/>
        </w:rPr>
        <w:t>obligation to act fairly</w:t>
      </w:r>
      <w:r w:rsidR="00EC39B4">
        <w:rPr>
          <w:rFonts w:ascii="Arial" w:hAnsi="Arial" w:cs="Arial"/>
        </w:rPr>
        <w:t>, transparently and proportionately</w:t>
      </w:r>
      <w:r w:rsidR="004C60E6">
        <w:rPr>
          <w:rFonts w:ascii="Arial" w:hAnsi="Arial" w:cs="Arial"/>
        </w:rPr>
        <w:t>.</w:t>
      </w:r>
    </w:p>
    <w:p w14:paraId="36F772A4" w14:textId="541496B6" w:rsidR="00686E64" w:rsidRPr="00E30898" w:rsidRDefault="00686E64" w:rsidP="00E30898">
      <w:pPr>
        <w:pStyle w:val="ListParagraph"/>
        <w:numPr>
          <w:ilvl w:val="0"/>
          <w:numId w:val="2"/>
        </w:numPr>
        <w:spacing w:line="276" w:lineRule="auto"/>
        <w:ind w:left="567" w:hanging="567"/>
        <w:contextualSpacing w:val="0"/>
        <w:rPr>
          <w:rFonts w:ascii="Arial" w:hAnsi="Arial" w:cs="Arial"/>
        </w:rPr>
      </w:pPr>
      <w:r w:rsidRPr="00E30898">
        <w:rPr>
          <w:rFonts w:ascii="Arial" w:hAnsi="Arial" w:cs="Arial"/>
        </w:rPr>
        <w:t xml:space="preserve">Additionally, DHI </w:t>
      </w:r>
      <w:r w:rsidR="007819DD" w:rsidRPr="00E30898">
        <w:rPr>
          <w:rFonts w:ascii="Arial" w:hAnsi="Arial" w:cs="Arial"/>
        </w:rPr>
        <w:t xml:space="preserve">told the Panel that it had concerns about the Council’s compliance with the Public Services (Social Value) Act 2012 </w:t>
      </w:r>
      <w:r w:rsidR="00694725" w:rsidRPr="00E30898">
        <w:rPr>
          <w:rFonts w:ascii="Arial" w:hAnsi="Arial" w:cs="Arial"/>
        </w:rPr>
        <w:t>(PSA)</w:t>
      </w:r>
      <w:r w:rsidR="00EC39B4">
        <w:rPr>
          <w:rFonts w:ascii="Arial" w:hAnsi="Arial" w:cs="Arial"/>
        </w:rPr>
        <w:t>.</w:t>
      </w:r>
      <w:r w:rsidR="00694725" w:rsidRPr="00E30898">
        <w:rPr>
          <w:rFonts w:ascii="Arial" w:hAnsi="Arial" w:cs="Arial"/>
        </w:rPr>
        <w:t xml:space="preserve"> </w:t>
      </w:r>
      <w:r w:rsidR="003A604A">
        <w:rPr>
          <w:rFonts w:ascii="Arial" w:hAnsi="Arial" w:cs="Arial"/>
        </w:rPr>
        <w:t xml:space="preserve">DHI’s </w:t>
      </w:r>
      <w:r w:rsidR="007819DD" w:rsidRPr="00E30898">
        <w:rPr>
          <w:rFonts w:ascii="Arial" w:hAnsi="Arial" w:cs="Arial"/>
        </w:rPr>
        <w:t xml:space="preserve">representations to the Council </w:t>
      </w:r>
      <w:r w:rsidR="003465E5" w:rsidRPr="00E30898">
        <w:rPr>
          <w:rFonts w:ascii="Arial" w:hAnsi="Arial" w:cs="Arial"/>
        </w:rPr>
        <w:t xml:space="preserve">said </w:t>
      </w:r>
      <w:r w:rsidRPr="00E30898">
        <w:rPr>
          <w:rFonts w:ascii="Arial" w:hAnsi="Arial" w:cs="Arial"/>
        </w:rPr>
        <w:t xml:space="preserve">that “appointing a provider with minimal Social Value commitments raises concerns about whether the Council has fully complied with its obligations under the PSA to proportionately and reasonably consider the economic, social, and environmental benefits for local communities”. </w:t>
      </w:r>
      <w:r w:rsidR="00E30898" w:rsidRPr="00E30898">
        <w:rPr>
          <w:rFonts w:ascii="Arial" w:hAnsi="Arial" w:cs="Arial"/>
        </w:rPr>
        <w:t xml:space="preserve">The Panel notes that </w:t>
      </w:r>
      <w:r w:rsidR="00E30898">
        <w:rPr>
          <w:rFonts w:ascii="Arial" w:hAnsi="Arial" w:cs="Arial"/>
        </w:rPr>
        <w:t>c</w:t>
      </w:r>
      <w:r w:rsidRPr="00E30898">
        <w:rPr>
          <w:rFonts w:ascii="Arial" w:hAnsi="Arial" w:cs="Arial"/>
        </w:rPr>
        <w:t xml:space="preserve">ompliance with the PSA </w:t>
      </w:r>
      <w:r w:rsidR="001831C1" w:rsidRPr="00E30898">
        <w:rPr>
          <w:rFonts w:ascii="Arial" w:hAnsi="Arial" w:cs="Arial"/>
        </w:rPr>
        <w:t xml:space="preserve">does not fall </w:t>
      </w:r>
      <w:r w:rsidRPr="00E30898">
        <w:rPr>
          <w:rFonts w:ascii="Arial" w:hAnsi="Arial" w:cs="Arial"/>
        </w:rPr>
        <w:t xml:space="preserve">within </w:t>
      </w:r>
      <w:r w:rsidR="001831C1" w:rsidRPr="00E30898">
        <w:rPr>
          <w:rFonts w:ascii="Arial" w:hAnsi="Arial" w:cs="Arial"/>
        </w:rPr>
        <w:t>the scope of the Panel’s responsibilities</w:t>
      </w:r>
      <w:r w:rsidR="00E30898">
        <w:rPr>
          <w:rFonts w:ascii="Arial" w:hAnsi="Arial" w:cs="Arial"/>
        </w:rPr>
        <w:t>. A</w:t>
      </w:r>
      <w:r w:rsidR="001831C1" w:rsidRPr="00E30898">
        <w:rPr>
          <w:rFonts w:ascii="Arial" w:hAnsi="Arial" w:cs="Arial"/>
        </w:rPr>
        <w:t>s a result</w:t>
      </w:r>
      <w:r w:rsidR="00E30898">
        <w:rPr>
          <w:rFonts w:ascii="Arial" w:hAnsi="Arial" w:cs="Arial"/>
        </w:rPr>
        <w:t>, this issue</w:t>
      </w:r>
      <w:r w:rsidR="001831C1" w:rsidRPr="00E30898">
        <w:rPr>
          <w:rFonts w:ascii="Arial" w:hAnsi="Arial" w:cs="Arial"/>
        </w:rPr>
        <w:t xml:space="preserve"> is not considered further in this report.</w:t>
      </w:r>
    </w:p>
    <w:p w14:paraId="782765A6" w14:textId="44D22F7B" w:rsidR="005353EE" w:rsidRDefault="0080498A" w:rsidP="00855374">
      <w:pPr>
        <w:pStyle w:val="Heading2"/>
        <w:numPr>
          <w:ilvl w:val="1"/>
          <w:numId w:val="1"/>
        </w:numPr>
        <w:spacing w:before="240" w:after="160"/>
        <w:ind w:left="0" w:firstLine="0"/>
        <w:rPr>
          <w:rFonts w:ascii="Arial" w:hAnsi="Arial" w:cs="Arial"/>
          <w:b/>
          <w:bCs/>
          <w:color w:val="000000" w:themeColor="text1"/>
          <w:sz w:val="24"/>
          <w:szCs w:val="24"/>
        </w:rPr>
      </w:pPr>
      <w:bookmarkStart w:id="17" w:name="_Toc189662755"/>
      <w:r>
        <w:rPr>
          <w:rFonts w:ascii="Arial" w:hAnsi="Arial" w:cs="Arial"/>
          <w:b/>
          <w:bCs/>
          <w:color w:val="000000" w:themeColor="text1"/>
          <w:sz w:val="24"/>
          <w:szCs w:val="24"/>
        </w:rPr>
        <w:t>Evaluation and s</w:t>
      </w:r>
      <w:r w:rsidR="00D5667B">
        <w:rPr>
          <w:rFonts w:ascii="Arial" w:hAnsi="Arial" w:cs="Arial"/>
          <w:b/>
          <w:bCs/>
          <w:color w:val="000000" w:themeColor="text1"/>
          <w:sz w:val="24"/>
          <w:szCs w:val="24"/>
        </w:rPr>
        <w:t xml:space="preserve">coring of responses to </w:t>
      </w:r>
      <w:r w:rsidR="00531715">
        <w:rPr>
          <w:rFonts w:ascii="Arial" w:hAnsi="Arial" w:cs="Arial"/>
          <w:b/>
          <w:bCs/>
          <w:color w:val="000000" w:themeColor="text1"/>
          <w:sz w:val="24"/>
          <w:szCs w:val="24"/>
        </w:rPr>
        <w:t xml:space="preserve">the Quality </w:t>
      </w:r>
      <w:r w:rsidR="001F69B3">
        <w:rPr>
          <w:rFonts w:ascii="Arial" w:hAnsi="Arial" w:cs="Arial"/>
          <w:b/>
          <w:bCs/>
          <w:color w:val="000000" w:themeColor="text1"/>
          <w:sz w:val="24"/>
          <w:szCs w:val="24"/>
        </w:rPr>
        <w:t>q</w:t>
      </w:r>
      <w:r w:rsidR="00531715">
        <w:rPr>
          <w:rFonts w:ascii="Arial" w:hAnsi="Arial" w:cs="Arial"/>
          <w:b/>
          <w:bCs/>
          <w:color w:val="000000" w:themeColor="text1"/>
          <w:sz w:val="24"/>
          <w:szCs w:val="24"/>
        </w:rPr>
        <w:t>uestion</w:t>
      </w:r>
      <w:r w:rsidR="001F69B3">
        <w:rPr>
          <w:rFonts w:ascii="Arial" w:hAnsi="Arial" w:cs="Arial"/>
          <w:b/>
          <w:bCs/>
          <w:color w:val="000000" w:themeColor="text1"/>
          <w:sz w:val="24"/>
          <w:szCs w:val="24"/>
        </w:rPr>
        <w:t>s</w:t>
      </w:r>
      <w:bookmarkEnd w:id="17"/>
    </w:p>
    <w:p w14:paraId="47B70B91" w14:textId="6770036B" w:rsidR="00225B01" w:rsidRDefault="00225B01" w:rsidP="00225B01">
      <w:pPr>
        <w:pStyle w:val="ListParagraph"/>
        <w:numPr>
          <w:ilvl w:val="0"/>
          <w:numId w:val="2"/>
        </w:numPr>
        <w:spacing w:line="276" w:lineRule="auto"/>
        <w:ind w:left="567" w:hanging="567"/>
        <w:contextualSpacing w:val="0"/>
        <w:rPr>
          <w:rFonts w:ascii="Arial" w:hAnsi="Arial" w:cs="Arial"/>
        </w:rPr>
      </w:pPr>
      <w:r w:rsidRPr="00C7287D">
        <w:rPr>
          <w:rFonts w:ascii="Arial" w:hAnsi="Arial" w:cs="Arial"/>
        </w:rPr>
        <w:t xml:space="preserve">This section sets out the Panel’s assessment of </w:t>
      </w:r>
      <w:r w:rsidR="00720FCD">
        <w:rPr>
          <w:rFonts w:ascii="Arial" w:hAnsi="Arial" w:cs="Arial"/>
        </w:rPr>
        <w:t xml:space="preserve">DHI’s concerns about </w:t>
      </w:r>
      <w:r w:rsidRPr="00C7287D">
        <w:rPr>
          <w:rFonts w:ascii="Arial" w:hAnsi="Arial" w:cs="Arial"/>
        </w:rPr>
        <w:t xml:space="preserve">the Council’s </w:t>
      </w:r>
      <w:r w:rsidR="007C6CAA">
        <w:rPr>
          <w:rFonts w:ascii="Arial" w:hAnsi="Arial" w:cs="Arial"/>
        </w:rPr>
        <w:t xml:space="preserve">evaluation and scoring of </w:t>
      </w:r>
      <w:r w:rsidR="00B758DD">
        <w:rPr>
          <w:rFonts w:ascii="Arial" w:hAnsi="Arial" w:cs="Arial"/>
        </w:rPr>
        <w:t xml:space="preserve">responses to </w:t>
      </w:r>
      <w:r w:rsidR="00323D02">
        <w:rPr>
          <w:rFonts w:ascii="Arial" w:hAnsi="Arial" w:cs="Arial"/>
        </w:rPr>
        <w:t xml:space="preserve">the </w:t>
      </w:r>
      <w:r w:rsidR="00D37A99">
        <w:rPr>
          <w:rFonts w:ascii="Arial" w:hAnsi="Arial" w:cs="Arial"/>
        </w:rPr>
        <w:t>Q</w:t>
      </w:r>
      <w:r w:rsidR="00640D59">
        <w:rPr>
          <w:rFonts w:ascii="Arial" w:hAnsi="Arial" w:cs="Arial"/>
        </w:rPr>
        <w:t>uality questions</w:t>
      </w:r>
      <w:r w:rsidR="00CB762D">
        <w:rPr>
          <w:rFonts w:ascii="Arial" w:hAnsi="Arial" w:cs="Arial"/>
        </w:rPr>
        <w:t>.</w:t>
      </w:r>
    </w:p>
    <w:p w14:paraId="237A476A" w14:textId="648C6A97" w:rsidR="007B0E25" w:rsidRPr="00766956" w:rsidRDefault="00CB762D" w:rsidP="00766956">
      <w:pPr>
        <w:pStyle w:val="ListParagraph"/>
        <w:numPr>
          <w:ilvl w:val="0"/>
          <w:numId w:val="2"/>
        </w:numPr>
        <w:spacing w:after="120" w:line="276" w:lineRule="auto"/>
        <w:ind w:left="567" w:hanging="567"/>
        <w:rPr>
          <w:rFonts w:ascii="Arial" w:hAnsi="Arial" w:cs="Arial"/>
        </w:rPr>
      </w:pPr>
      <w:r w:rsidRPr="00BB46C0">
        <w:rPr>
          <w:rFonts w:ascii="Arial" w:hAnsi="Arial" w:cs="Arial"/>
        </w:rPr>
        <w:t xml:space="preserve">The </w:t>
      </w:r>
      <w:r w:rsidR="00BF064E" w:rsidRPr="00BB46C0">
        <w:rPr>
          <w:rFonts w:ascii="Arial" w:hAnsi="Arial" w:cs="Arial"/>
        </w:rPr>
        <w:t>Key A</w:t>
      </w:r>
      <w:r w:rsidR="00A37438" w:rsidRPr="00BB46C0">
        <w:rPr>
          <w:rFonts w:ascii="Arial" w:hAnsi="Arial" w:cs="Arial"/>
        </w:rPr>
        <w:t>ward Criteria for the</w:t>
      </w:r>
      <w:r w:rsidR="00621579" w:rsidRPr="00BB46C0">
        <w:rPr>
          <w:rFonts w:ascii="Arial" w:hAnsi="Arial" w:cs="Arial"/>
        </w:rPr>
        <w:t xml:space="preserve"> </w:t>
      </w:r>
      <w:r w:rsidR="00D37A99">
        <w:rPr>
          <w:rFonts w:ascii="Arial" w:hAnsi="Arial" w:cs="Arial"/>
        </w:rPr>
        <w:t>Q</w:t>
      </w:r>
      <w:r w:rsidR="00621579" w:rsidRPr="00BB46C0">
        <w:rPr>
          <w:rFonts w:ascii="Arial" w:hAnsi="Arial" w:cs="Arial"/>
        </w:rPr>
        <w:t>uality</w:t>
      </w:r>
      <w:r w:rsidR="00BF064E" w:rsidRPr="00BB46C0">
        <w:rPr>
          <w:rFonts w:ascii="Arial" w:hAnsi="Arial" w:cs="Arial"/>
        </w:rPr>
        <w:t xml:space="preserve"> </w:t>
      </w:r>
      <w:r w:rsidR="00640D59">
        <w:rPr>
          <w:rFonts w:ascii="Arial" w:hAnsi="Arial" w:cs="Arial"/>
        </w:rPr>
        <w:t>q</w:t>
      </w:r>
      <w:r w:rsidR="00323D02" w:rsidRPr="00BB46C0">
        <w:rPr>
          <w:rFonts w:ascii="Arial" w:hAnsi="Arial" w:cs="Arial"/>
        </w:rPr>
        <w:t>uestion</w:t>
      </w:r>
      <w:r w:rsidR="00640D59">
        <w:rPr>
          <w:rFonts w:ascii="Arial" w:hAnsi="Arial" w:cs="Arial"/>
        </w:rPr>
        <w:t xml:space="preserve">s </w:t>
      </w:r>
      <w:r w:rsidR="0044219C" w:rsidRPr="00BB46C0">
        <w:rPr>
          <w:rFonts w:ascii="Arial" w:hAnsi="Arial" w:cs="Arial"/>
        </w:rPr>
        <w:t>(Q1-Q6)</w:t>
      </w:r>
      <w:r w:rsidRPr="00BB46C0">
        <w:rPr>
          <w:rFonts w:ascii="Arial" w:hAnsi="Arial" w:cs="Arial"/>
        </w:rPr>
        <w:t xml:space="preserve"> w</w:t>
      </w:r>
      <w:r w:rsidR="00494036" w:rsidRPr="00BB46C0">
        <w:rPr>
          <w:rFonts w:ascii="Arial" w:hAnsi="Arial" w:cs="Arial"/>
        </w:rPr>
        <w:t>ere</w:t>
      </w:r>
      <w:r w:rsidRPr="00BB46C0">
        <w:rPr>
          <w:rFonts w:ascii="Arial" w:hAnsi="Arial" w:cs="Arial"/>
        </w:rPr>
        <w:t xml:space="preserve"> set out as follows:</w:t>
      </w:r>
    </w:p>
    <w:tbl>
      <w:tblPr>
        <w:tblW w:w="7766" w:type="dxa"/>
        <w:tblInd w:w="55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4820"/>
        <w:gridCol w:w="1473"/>
        <w:gridCol w:w="1473"/>
      </w:tblGrid>
      <w:tr w:rsidR="00A66FCB" w:rsidRPr="007729FA" w14:paraId="6DFE8EBB" w14:textId="77777777" w:rsidTr="007729FA">
        <w:trPr>
          <w:trHeight w:val="300"/>
        </w:trPr>
        <w:tc>
          <w:tcPr>
            <w:tcW w:w="4820" w:type="dxa"/>
            <w:shd w:val="clear" w:color="auto" w:fill="E7E6E6" w:themeFill="background2"/>
            <w:vAlign w:val="center"/>
            <w:hideMark/>
          </w:tcPr>
          <w:p w14:paraId="753294DC" w14:textId="25FD8E54" w:rsidR="00E0780F" w:rsidRPr="007729FA" w:rsidRDefault="00E0780F" w:rsidP="00766956">
            <w:pPr>
              <w:spacing w:before="20" w:after="20" w:line="240" w:lineRule="auto"/>
              <w:ind w:left="15" w:firstLine="15"/>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Key Award Criteria</w:t>
            </w:r>
          </w:p>
        </w:tc>
        <w:tc>
          <w:tcPr>
            <w:tcW w:w="1473" w:type="dxa"/>
            <w:shd w:val="clear" w:color="auto" w:fill="E7E6E6" w:themeFill="background2"/>
            <w:vAlign w:val="center"/>
            <w:hideMark/>
          </w:tcPr>
          <w:p w14:paraId="3085A858" w14:textId="01BCFAE5"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Q N</w:t>
            </w:r>
            <w:r w:rsidR="00824A9F" w:rsidRPr="007729FA">
              <w:rPr>
                <w:rFonts w:ascii="Arial" w:eastAsia="Times New Roman" w:hAnsi="Arial" w:cs="Arial"/>
                <w:b/>
                <w:bCs/>
                <w:kern w:val="0"/>
                <w:sz w:val="18"/>
                <w:szCs w:val="18"/>
                <w:lang w:eastAsia="en-GB"/>
                <w14:ligatures w14:val="none"/>
              </w:rPr>
              <w:t>o.</w:t>
            </w:r>
          </w:p>
        </w:tc>
        <w:tc>
          <w:tcPr>
            <w:tcW w:w="1473" w:type="dxa"/>
            <w:shd w:val="clear" w:color="auto" w:fill="E7E6E6" w:themeFill="background2"/>
            <w:vAlign w:val="center"/>
            <w:hideMark/>
          </w:tcPr>
          <w:p w14:paraId="12980B84" w14:textId="49F1C44F" w:rsidR="00E0780F" w:rsidRPr="007729FA" w:rsidRDefault="0028106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W</w:t>
            </w:r>
            <w:r w:rsidR="00E0780F" w:rsidRPr="007729FA">
              <w:rPr>
                <w:rFonts w:ascii="Arial" w:eastAsia="Times New Roman" w:hAnsi="Arial" w:cs="Arial"/>
                <w:b/>
                <w:bCs/>
                <w:kern w:val="0"/>
                <w:sz w:val="18"/>
                <w:szCs w:val="18"/>
                <w:lang w:eastAsia="en-GB"/>
                <w14:ligatures w14:val="none"/>
              </w:rPr>
              <w:t>eighting</w:t>
            </w:r>
          </w:p>
        </w:tc>
      </w:tr>
      <w:tr w:rsidR="00E0780F" w:rsidRPr="007729FA" w14:paraId="17A2EB65" w14:textId="77777777" w:rsidTr="007729FA">
        <w:trPr>
          <w:trHeight w:val="300"/>
        </w:trPr>
        <w:tc>
          <w:tcPr>
            <w:tcW w:w="4820" w:type="dxa"/>
            <w:shd w:val="clear" w:color="auto" w:fill="auto"/>
            <w:vAlign w:val="center"/>
            <w:hideMark/>
          </w:tcPr>
          <w:p w14:paraId="59B69C96" w14:textId="70B37D09" w:rsidR="00E0780F" w:rsidRPr="007729FA" w:rsidRDefault="00E0780F" w:rsidP="00766956">
            <w:pPr>
              <w:spacing w:before="20" w:after="20" w:line="240" w:lineRule="auto"/>
              <w:ind w:left="135"/>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Quality and Innovation</w:t>
            </w:r>
          </w:p>
        </w:tc>
        <w:tc>
          <w:tcPr>
            <w:tcW w:w="1473" w:type="dxa"/>
            <w:shd w:val="clear" w:color="auto" w:fill="auto"/>
            <w:vAlign w:val="center"/>
            <w:hideMark/>
          </w:tcPr>
          <w:p w14:paraId="4DA1FBAF" w14:textId="30D0A51A"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p>
        </w:tc>
        <w:tc>
          <w:tcPr>
            <w:tcW w:w="1473" w:type="dxa"/>
            <w:shd w:val="clear" w:color="auto" w:fill="auto"/>
            <w:vAlign w:val="center"/>
            <w:hideMark/>
          </w:tcPr>
          <w:p w14:paraId="5A415691" w14:textId="4F5AA066"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45%</w:t>
            </w:r>
          </w:p>
        </w:tc>
      </w:tr>
      <w:tr w:rsidR="00A66FCB" w:rsidRPr="007729FA" w14:paraId="7A0C96F7" w14:textId="77777777" w:rsidTr="00766956">
        <w:trPr>
          <w:trHeight w:val="300"/>
        </w:trPr>
        <w:tc>
          <w:tcPr>
            <w:tcW w:w="4820" w:type="dxa"/>
            <w:shd w:val="clear" w:color="auto" w:fill="auto"/>
            <w:vAlign w:val="center"/>
            <w:hideMark/>
          </w:tcPr>
          <w:p w14:paraId="602D38B0" w14:textId="62C84D9B" w:rsidR="00E0780F" w:rsidRPr="007729FA"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Service Delivery Model</w:t>
            </w:r>
          </w:p>
        </w:tc>
        <w:tc>
          <w:tcPr>
            <w:tcW w:w="1473" w:type="dxa"/>
            <w:shd w:val="clear" w:color="auto" w:fill="auto"/>
            <w:vAlign w:val="center"/>
            <w:hideMark/>
          </w:tcPr>
          <w:p w14:paraId="41E49E37" w14:textId="39562A5F"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1</w:t>
            </w:r>
          </w:p>
        </w:tc>
        <w:tc>
          <w:tcPr>
            <w:tcW w:w="1473" w:type="dxa"/>
            <w:shd w:val="clear" w:color="auto" w:fill="auto"/>
            <w:vAlign w:val="center"/>
            <w:hideMark/>
          </w:tcPr>
          <w:p w14:paraId="7A967B7E" w14:textId="39A44A0A"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25%</w:t>
            </w:r>
          </w:p>
        </w:tc>
      </w:tr>
      <w:tr w:rsidR="00A66FCB" w:rsidRPr="007729FA" w14:paraId="6301488F" w14:textId="77777777" w:rsidTr="00766956">
        <w:trPr>
          <w:trHeight w:val="300"/>
        </w:trPr>
        <w:tc>
          <w:tcPr>
            <w:tcW w:w="4820" w:type="dxa"/>
            <w:shd w:val="clear" w:color="auto" w:fill="auto"/>
            <w:vAlign w:val="center"/>
            <w:hideMark/>
          </w:tcPr>
          <w:p w14:paraId="50088E38" w14:textId="6EB93F11" w:rsidR="00E0780F" w:rsidRPr="007729FA"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Service Penetration</w:t>
            </w:r>
          </w:p>
        </w:tc>
        <w:tc>
          <w:tcPr>
            <w:tcW w:w="1473" w:type="dxa"/>
            <w:shd w:val="clear" w:color="auto" w:fill="auto"/>
            <w:vAlign w:val="center"/>
            <w:hideMark/>
          </w:tcPr>
          <w:p w14:paraId="7344EA5C" w14:textId="53B55C6C"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2</w:t>
            </w:r>
          </w:p>
        </w:tc>
        <w:tc>
          <w:tcPr>
            <w:tcW w:w="1473" w:type="dxa"/>
            <w:shd w:val="clear" w:color="auto" w:fill="auto"/>
            <w:vAlign w:val="center"/>
            <w:hideMark/>
          </w:tcPr>
          <w:p w14:paraId="35DFBA77" w14:textId="6FA76EC7"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10%</w:t>
            </w:r>
          </w:p>
        </w:tc>
      </w:tr>
      <w:tr w:rsidR="00A66FCB" w:rsidRPr="007729FA" w14:paraId="679CCD4A" w14:textId="77777777" w:rsidTr="00766956">
        <w:trPr>
          <w:trHeight w:val="300"/>
        </w:trPr>
        <w:tc>
          <w:tcPr>
            <w:tcW w:w="4820" w:type="dxa"/>
            <w:shd w:val="clear" w:color="auto" w:fill="auto"/>
            <w:vAlign w:val="center"/>
            <w:hideMark/>
          </w:tcPr>
          <w:p w14:paraId="43499447" w14:textId="0551B671" w:rsidR="00E0780F" w:rsidRPr="007729FA"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Staff Training</w:t>
            </w:r>
          </w:p>
        </w:tc>
        <w:tc>
          <w:tcPr>
            <w:tcW w:w="1473" w:type="dxa"/>
            <w:shd w:val="clear" w:color="auto" w:fill="auto"/>
            <w:vAlign w:val="center"/>
            <w:hideMark/>
          </w:tcPr>
          <w:p w14:paraId="78CA4B12" w14:textId="2AD0C121"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3</w:t>
            </w:r>
          </w:p>
        </w:tc>
        <w:tc>
          <w:tcPr>
            <w:tcW w:w="1473" w:type="dxa"/>
            <w:shd w:val="clear" w:color="auto" w:fill="auto"/>
            <w:vAlign w:val="center"/>
            <w:hideMark/>
          </w:tcPr>
          <w:p w14:paraId="03AEE53B" w14:textId="258DCBAF"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10%</w:t>
            </w:r>
          </w:p>
        </w:tc>
      </w:tr>
      <w:tr w:rsidR="00E0780F" w:rsidRPr="007729FA" w14:paraId="1247A488" w14:textId="77777777" w:rsidTr="007729FA">
        <w:trPr>
          <w:trHeight w:val="300"/>
        </w:trPr>
        <w:tc>
          <w:tcPr>
            <w:tcW w:w="4820" w:type="dxa"/>
            <w:shd w:val="clear" w:color="auto" w:fill="auto"/>
            <w:vAlign w:val="center"/>
            <w:hideMark/>
          </w:tcPr>
          <w:p w14:paraId="057C8D51" w14:textId="4BCBB0FF" w:rsidR="00E0780F" w:rsidRPr="007729FA" w:rsidRDefault="00E0780F" w:rsidP="00766956">
            <w:pPr>
              <w:spacing w:before="20" w:after="20" w:line="240" w:lineRule="auto"/>
              <w:ind w:left="135"/>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Improving access, reducing inequalities and facilitating choice</w:t>
            </w:r>
          </w:p>
        </w:tc>
        <w:tc>
          <w:tcPr>
            <w:tcW w:w="1473" w:type="dxa"/>
            <w:shd w:val="clear" w:color="auto" w:fill="auto"/>
            <w:vAlign w:val="center"/>
            <w:hideMark/>
          </w:tcPr>
          <w:p w14:paraId="16461274" w14:textId="6051F7DB"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p>
        </w:tc>
        <w:tc>
          <w:tcPr>
            <w:tcW w:w="1473" w:type="dxa"/>
            <w:shd w:val="clear" w:color="auto" w:fill="auto"/>
            <w:vAlign w:val="center"/>
            <w:hideMark/>
          </w:tcPr>
          <w:p w14:paraId="193E9E32" w14:textId="439E88DD"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15%</w:t>
            </w:r>
          </w:p>
        </w:tc>
      </w:tr>
      <w:tr w:rsidR="00A66FCB" w:rsidRPr="007729FA" w14:paraId="755ACB0E" w14:textId="77777777" w:rsidTr="00766956">
        <w:trPr>
          <w:trHeight w:val="300"/>
        </w:trPr>
        <w:tc>
          <w:tcPr>
            <w:tcW w:w="4820" w:type="dxa"/>
            <w:shd w:val="clear" w:color="auto" w:fill="auto"/>
            <w:vAlign w:val="center"/>
            <w:hideMark/>
          </w:tcPr>
          <w:p w14:paraId="617FAA01" w14:textId="33F56D3D" w:rsidR="00E0780F" w:rsidRPr="007729FA"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Measuring Outcomes / Service Improvement</w:t>
            </w:r>
          </w:p>
        </w:tc>
        <w:tc>
          <w:tcPr>
            <w:tcW w:w="1473" w:type="dxa"/>
            <w:shd w:val="clear" w:color="auto" w:fill="auto"/>
            <w:vAlign w:val="center"/>
            <w:hideMark/>
          </w:tcPr>
          <w:p w14:paraId="79A9D5D5" w14:textId="696C86AA"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4</w:t>
            </w:r>
          </w:p>
        </w:tc>
        <w:tc>
          <w:tcPr>
            <w:tcW w:w="1473" w:type="dxa"/>
            <w:shd w:val="clear" w:color="auto" w:fill="auto"/>
            <w:vAlign w:val="center"/>
            <w:hideMark/>
          </w:tcPr>
          <w:p w14:paraId="037D34AF" w14:textId="037708DE"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15%</w:t>
            </w:r>
          </w:p>
        </w:tc>
      </w:tr>
      <w:tr w:rsidR="00E0780F" w:rsidRPr="007729FA" w14:paraId="23FEBB93" w14:textId="77777777" w:rsidTr="007729FA">
        <w:trPr>
          <w:trHeight w:val="300"/>
        </w:trPr>
        <w:tc>
          <w:tcPr>
            <w:tcW w:w="4820" w:type="dxa"/>
            <w:shd w:val="clear" w:color="auto" w:fill="auto"/>
            <w:vAlign w:val="center"/>
            <w:hideMark/>
          </w:tcPr>
          <w:p w14:paraId="372CBBBE" w14:textId="6147E265" w:rsidR="00E0780F" w:rsidRPr="007729FA" w:rsidRDefault="00E0780F" w:rsidP="00766956">
            <w:pPr>
              <w:spacing w:before="20" w:after="20" w:line="240" w:lineRule="auto"/>
              <w:ind w:left="420" w:hanging="27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Integration, collaboration and sustainability</w:t>
            </w:r>
          </w:p>
        </w:tc>
        <w:tc>
          <w:tcPr>
            <w:tcW w:w="1473" w:type="dxa"/>
            <w:shd w:val="clear" w:color="auto" w:fill="auto"/>
            <w:vAlign w:val="center"/>
            <w:hideMark/>
          </w:tcPr>
          <w:p w14:paraId="4A2B31FA" w14:textId="77777777"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 </w:t>
            </w:r>
          </w:p>
        </w:tc>
        <w:tc>
          <w:tcPr>
            <w:tcW w:w="1473" w:type="dxa"/>
            <w:shd w:val="clear" w:color="auto" w:fill="auto"/>
            <w:vAlign w:val="center"/>
            <w:hideMark/>
          </w:tcPr>
          <w:p w14:paraId="7629285F" w14:textId="1DC52F42"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b/>
                <w:bCs/>
                <w:kern w:val="0"/>
                <w:sz w:val="18"/>
                <w:szCs w:val="18"/>
                <w:lang w:eastAsia="en-GB"/>
                <w14:ligatures w14:val="none"/>
              </w:rPr>
              <w:t>25%</w:t>
            </w:r>
          </w:p>
        </w:tc>
      </w:tr>
      <w:tr w:rsidR="00A66FCB" w:rsidRPr="00680E7A" w14:paraId="797E365B" w14:textId="77777777" w:rsidTr="00766956">
        <w:trPr>
          <w:trHeight w:val="300"/>
        </w:trPr>
        <w:tc>
          <w:tcPr>
            <w:tcW w:w="4820" w:type="dxa"/>
            <w:shd w:val="clear" w:color="auto" w:fill="auto"/>
            <w:vAlign w:val="center"/>
            <w:hideMark/>
          </w:tcPr>
          <w:p w14:paraId="7E6EC200" w14:textId="30B2C667" w:rsidR="00E0780F" w:rsidRPr="007729FA"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Governance</w:t>
            </w:r>
          </w:p>
        </w:tc>
        <w:tc>
          <w:tcPr>
            <w:tcW w:w="1473" w:type="dxa"/>
            <w:shd w:val="clear" w:color="auto" w:fill="auto"/>
            <w:vAlign w:val="center"/>
            <w:hideMark/>
          </w:tcPr>
          <w:p w14:paraId="7A1584C4" w14:textId="55722593" w:rsidR="00E0780F" w:rsidRPr="007729FA"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5</w:t>
            </w:r>
          </w:p>
        </w:tc>
        <w:tc>
          <w:tcPr>
            <w:tcW w:w="1473" w:type="dxa"/>
            <w:shd w:val="clear" w:color="auto" w:fill="auto"/>
            <w:vAlign w:val="center"/>
            <w:hideMark/>
          </w:tcPr>
          <w:p w14:paraId="26933C54" w14:textId="17184F2C" w:rsidR="00E0780F" w:rsidRPr="00523D66"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7729FA">
              <w:rPr>
                <w:rFonts w:ascii="Arial" w:eastAsia="Times New Roman" w:hAnsi="Arial" w:cs="Arial"/>
                <w:kern w:val="0"/>
                <w:sz w:val="18"/>
                <w:szCs w:val="18"/>
                <w:lang w:eastAsia="en-GB"/>
                <w14:ligatures w14:val="none"/>
              </w:rPr>
              <w:t>15%</w:t>
            </w:r>
          </w:p>
        </w:tc>
      </w:tr>
      <w:tr w:rsidR="00A66FCB" w:rsidRPr="00680E7A" w14:paraId="25D89820" w14:textId="77777777" w:rsidTr="00766956">
        <w:trPr>
          <w:trHeight w:val="300"/>
        </w:trPr>
        <w:tc>
          <w:tcPr>
            <w:tcW w:w="4820" w:type="dxa"/>
            <w:shd w:val="clear" w:color="auto" w:fill="auto"/>
            <w:vAlign w:val="center"/>
            <w:hideMark/>
          </w:tcPr>
          <w:p w14:paraId="79F84B13" w14:textId="1AA20B80" w:rsidR="00E0780F" w:rsidRPr="00523D66" w:rsidRDefault="00E0780F" w:rsidP="00766956">
            <w:pPr>
              <w:spacing w:before="20" w:after="20" w:line="240" w:lineRule="auto"/>
              <w:ind w:left="420"/>
              <w:textAlignment w:val="baseline"/>
              <w:rPr>
                <w:rFonts w:ascii="Segoe UI" w:eastAsia="Times New Roman" w:hAnsi="Segoe UI" w:cs="Segoe UI"/>
                <w:kern w:val="0"/>
                <w:sz w:val="18"/>
                <w:szCs w:val="18"/>
                <w:lang w:eastAsia="en-GB"/>
                <w14:ligatures w14:val="none"/>
              </w:rPr>
            </w:pPr>
            <w:r w:rsidRPr="00523D66">
              <w:rPr>
                <w:rFonts w:ascii="Arial" w:eastAsia="Times New Roman" w:hAnsi="Arial" w:cs="Arial"/>
                <w:kern w:val="0"/>
                <w:sz w:val="18"/>
                <w:szCs w:val="18"/>
                <w:lang w:eastAsia="en-GB"/>
                <w14:ligatures w14:val="none"/>
              </w:rPr>
              <w:t>Mobilisation</w:t>
            </w:r>
          </w:p>
        </w:tc>
        <w:tc>
          <w:tcPr>
            <w:tcW w:w="1473" w:type="dxa"/>
            <w:shd w:val="clear" w:color="auto" w:fill="auto"/>
            <w:vAlign w:val="center"/>
            <w:hideMark/>
          </w:tcPr>
          <w:p w14:paraId="45650838" w14:textId="559FF009" w:rsidR="00E0780F" w:rsidRPr="00523D66"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523D66">
              <w:rPr>
                <w:rFonts w:ascii="Arial" w:eastAsia="Times New Roman" w:hAnsi="Arial" w:cs="Arial"/>
                <w:kern w:val="0"/>
                <w:sz w:val="18"/>
                <w:szCs w:val="18"/>
                <w:lang w:eastAsia="en-GB"/>
                <w14:ligatures w14:val="none"/>
              </w:rPr>
              <w:t>6</w:t>
            </w:r>
          </w:p>
        </w:tc>
        <w:tc>
          <w:tcPr>
            <w:tcW w:w="1473" w:type="dxa"/>
            <w:shd w:val="clear" w:color="auto" w:fill="auto"/>
            <w:vAlign w:val="center"/>
            <w:hideMark/>
          </w:tcPr>
          <w:p w14:paraId="4FF930F9" w14:textId="73C86E7F" w:rsidR="00E0780F" w:rsidRPr="00523D66" w:rsidRDefault="00E0780F" w:rsidP="00766956">
            <w:pPr>
              <w:spacing w:before="20" w:after="20" w:line="240" w:lineRule="auto"/>
              <w:jc w:val="center"/>
              <w:textAlignment w:val="baseline"/>
              <w:rPr>
                <w:rFonts w:ascii="Segoe UI" w:eastAsia="Times New Roman" w:hAnsi="Segoe UI" w:cs="Segoe UI"/>
                <w:kern w:val="0"/>
                <w:sz w:val="18"/>
                <w:szCs w:val="18"/>
                <w:lang w:eastAsia="en-GB"/>
                <w14:ligatures w14:val="none"/>
              </w:rPr>
            </w:pPr>
            <w:r w:rsidRPr="00523D66">
              <w:rPr>
                <w:rFonts w:ascii="Arial" w:eastAsia="Times New Roman" w:hAnsi="Arial" w:cs="Arial"/>
                <w:kern w:val="0"/>
                <w:sz w:val="18"/>
                <w:szCs w:val="18"/>
                <w:lang w:eastAsia="en-GB"/>
                <w14:ligatures w14:val="none"/>
              </w:rPr>
              <w:t>10%</w:t>
            </w:r>
          </w:p>
        </w:tc>
      </w:tr>
    </w:tbl>
    <w:p w14:paraId="650A4C47" w14:textId="5B04EF7B" w:rsidR="006805F1" w:rsidRPr="00523D66" w:rsidRDefault="00ED5A77" w:rsidP="00766956">
      <w:pPr>
        <w:pStyle w:val="ListParagraph"/>
        <w:spacing w:before="40" w:after="360" w:line="276" w:lineRule="auto"/>
        <w:ind w:left="567"/>
        <w:contextualSpacing w:val="0"/>
        <w:rPr>
          <w:sz w:val="20"/>
          <w:szCs w:val="20"/>
          <w:highlight w:val="yellow"/>
        </w:rPr>
      </w:pPr>
      <w:r w:rsidRPr="00523D66">
        <w:rPr>
          <w:rFonts w:ascii="Arial" w:hAnsi="Arial" w:cs="Arial"/>
          <w:i/>
          <w:iCs/>
          <w:sz w:val="16"/>
          <w:szCs w:val="16"/>
        </w:rPr>
        <w:t>Source</w:t>
      </w:r>
      <w:r w:rsidRPr="00523D66">
        <w:rPr>
          <w:rFonts w:ascii="Arial" w:hAnsi="Arial" w:cs="Arial"/>
          <w:sz w:val="16"/>
          <w:szCs w:val="16"/>
        </w:rPr>
        <w:t xml:space="preserve">: </w:t>
      </w:r>
      <w:r w:rsidR="0079082F" w:rsidRPr="00523D66">
        <w:rPr>
          <w:rFonts w:ascii="Arial" w:eastAsia="Arial" w:hAnsi="Arial" w:cs="Arial"/>
          <w:sz w:val="16"/>
          <w:szCs w:val="16"/>
        </w:rPr>
        <w:t>B&amp;NES Council</w:t>
      </w:r>
      <w:r w:rsidR="0079082F">
        <w:rPr>
          <w:rFonts w:ascii="Arial" w:eastAsia="Arial" w:hAnsi="Arial" w:cs="Arial"/>
          <w:sz w:val="16"/>
          <w:szCs w:val="16"/>
        </w:rPr>
        <w:t>,</w:t>
      </w:r>
      <w:r w:rsidR="0079082F" w:rsidRPr="00523D66">
        <w:rPr>
          <w:rFonts w:ascii="Arial" w:eastAsia="Arial" w:hAnsi="Arial" w:cs="Arial"/>
          <w:sz w:val="16"/>
          <w:szCs w:val="16"/>
        </w:rPr>
        <w:t xml:space="preserve"> </w:t>
      </w:r>
      <w:r w:rsidRPr="00523D66">
        <w:rPr>
          <w:rFonts w:ascii="Arial" w:eastAsia="Arial" w:hAnsi="Arial" w:cs="Arial"/>
          <w:sz w:val="16"/>
          <w:szCs w:val="16"/>
        </w:rPr>
        <w:t xml:space="preserve">Stage 2 ITT Volume 2 </w:t>
      </w:r>
      <w:r w:rsidR="00707B18" w:rsidRPr="00523D66">
        <w:rPr>
          <w:rFonts w:ascii="Arial" w:eastAsia="Arial" w:hAnsi="Arial" w:cs="Arial"/>
          <w:sz w:val="16"/>
          <w:szCs w:val="16"/>
        </w:rPr>
        <w:t xml:space="preserve">(Response </w:t>
      </w:r>
      <w:r w:rsidRPr="00523D66">
        <w:rPr>
          <w:rFonts w:ascii="Arial" w:eastAsia="Arial" w:hAnsi="Arial" w:cs="Arial"/>
          <w:sz w:val="16"/>
          <w:szCs w:val="16"/>
        </w:rPr>
        <w:t>Document</w:t>
      </w:r>
      <w:r w:rsidR="00707B18" w:rsidRPr="00523D66">
        <w:rPr>
          <w:rFonts w:ascii="Arial" w:eastAsia="Arial" w:hAnsi="Arial" w:cs="Arial"/>
          <w:sz w:val="16"/>
          <w:szCs w:val="16"/>
        </w:rPr>
        <w:t>)</w:t>
      </w:r>
      <w:r w:rsidR="00306BEA">
        <w:rPr>
          <w:rFonts w:ascii="Arial" w:eastAsia="Arial" w:hAnsi="Arial" w:cs="Arial"/>
          <w:sz w:val="16"/>
          <w:szCs w:val="16"/>
        </w:rPr>
        <w:t>, 6 September 2024</w:t>
      </w:r>
      <w:r w:rsidRPr="00523D66">
        <w:rPr>
          <w:rFonts w:ascii="Arial" w:eastAsia="Arial" w:hAnsi="Arial" w:cs="Arial"/>
          <w:sz w:val="16"/>
          <w:szCs w:val="16"/>
        </w:rPr>
        <w:t>.</w:t>
      </w:r>
    </w:p>
    <w:p w14:paraId="0353239A" w14:textId="6E969F99" w:rsidR="00CB762D" w:rsidRPr="00766956" w:rsidRDefault="004D5D23" w:rsidP="00523D66">
      <w:pPr>
        <w:pStyle w:val="ListParagraph"/>
        <w:numPr>
          <w:ilvl w:val="0"/>
          <w:numId w:val="2"/>
        </w:numPr>
        <w:spacing w:line="276" w:lineRule="auto"/>
        <w:ind w:left="567" w:hanging="567"/>
        <w:contextualSpacing w:val="0"/>
        <w:rPr>
          <w:rFonts w:ascii="Arial" w:hAnsi="Arial" w:cs="Arial"/>
        </w:rPr>
      </w:pPr>
      <w:r w:rsidRPr="001E4344">
        <w:rPr>
          <w:rFonts w:ascii="Arial" w:hAnsi="Arial" w:cs="Arial"/>
        </w:rPr>
        <w:t>The</w:t>
      </w:r>
      <w:r w:rsidR="00CB762D" w:rsidRPr="001E4344">
        <w:rPr>
          <w:rFonts w:ascii="Arial" w:hAnsi="Arial" w:cs="Arial"/>
        </w:rPr>
        <w:t xml:space="preserve"> scoring of bidders’ responses to the </w:t>
      </w:r>
      <w:r w:rsidR="00D37A99">
        <w:rPr>
          <w:rFonts w:ascii="Arial" w:hAnsi="Arial" w:cs="Arial"/>
        </w:rPr>
        <w:t>Q</w:t>
      </w:r>
      <w:r w:rsidR="00CB762D" w:rsidRPr="001E4344">
        <w:rPr>
          <w:rFonts w:ascii="Arial" w:hAnsi="Arial" w:cs="Arial"/>
        </w:rPr>
        <w:t xml:space="preserve">uality </w:t>
      </w:r>
      <w:r w:rsidR="00B208E6">
        <w:rPr>
          <w:rFonts w:ascii="Arial" w:hAnsi="Arial" w:cs="Arial"/>
        </w:rPr>
        <w:t>q</w:t>
      </w:r>
      <w:r w:rsidR="00323D02" w:rsidRPr="001E4344">
        <w:rPr>
          <w:rFonts w:ascii="Arial" w:hAnsi="Arial" w:cs="Arial"/>
        </w:rPr>
        <w:t>uestion</w:t>
      </w:r>
      <w:r w:rsidR="00B208E6">
        <w:rPr>
          <w:rFonts w:ascii="Arial" w:hAnsi="Arial" w:cs="Arial"/>
        </w:rPr>
        <w:t xml:space="preserve">s </w:t>
      </w:r>
      <w:r w:rsidR="00CB762D" w:rsidRPr="001E4344">
        <w:rPr>
          <w:rFonts w:ascii="Arial" w:hAnsi="Arial" w:cs="Arial"/>
        </w:rPr>
        <w:t xml:space="preserve">was on a 0-5 scale against criteria set out </w:t>
      </w:r>
      <w:r w:rsidR="008C5DB3" w:rsidRPr="001E4344">
        <w:rPr>
          <w:rFonts w:ascii="Arial" w:hAnsi="Arial" w:cs="Arial"/>
        </w:rPr>
        <w:t>below</w:t>
      </w:r>
      <w:r w:rsidR="00CB762D" w:rsidRPr="001E4344">
        <w:rPr>
          <w:rFonts w:ascii="Arial" w:hAnsi="Arial" w:cs="Arial"/>
        </w:rPr>
        <w:t>:</w:t>
      </w:r>
    </w:p>
    <w:tbl>
      <w:tblPr>
        <w:tblStyle w:val="TableGrid"/>
        <w:tblW w:w="8035" w:type="dxa"/>
        <w:tblInd w:w="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7"/>
        <w:gridCol w:w="7218"/>
      </w:tblGrid>
      <w:tr w:rsidR="00CB762D" w:rsidRPr="008C5DB3" w14:paraId="517C352E" w14:textId="77777777" w:rsidTr="007729FA">
        <w:tc>
          <w:tcPr>
            <w:tcW w:w="817" w:type="dxa"/>
            <w:shd w:val="clear" w:color="auto" w:fill="E7E6E6" w:themeFill="background2"/>
          </w:tcPr>
          <w:p w14:paraId="695F6914" w14:textId="031BDC16" w:rsidR="00CB762D" w:rsidRPr="00523D66" w:rsidRDefault="00CB762D" w:rsidP="00523D66">
            <w:pPr>
              <w:spacing w:before="60" w:after="60"/>
              <w:jc w:val="center"/>
              <w:rPr>
                <w:rFonts w:ascii="Arial" w:eastAsia="Arial" w:hAnsi="Arial" w:cs="Arial"/>
                <w:b/>
                <w:bCs/>
                <w:sz w:val="18"/>
                <w:szCs w:val="18"/>
              </w:rPr>
            </w:pPr>
            <w:r w:rsidRPr="00523D66">
              <w:rPr>
                <w:rFonts w:ascii="Arial" w:hAnsi="Arial" w:cs="Arial"/>
                <w:b/>
                <w:bCs/>
                <w:sz w:val="18"/>
                <w:szCs w:val="18"/>
              </w:rPr>
              <w:lastRenderedPageBreak/>
              <w:t>Score</w:t>
            </w:r>
          </w:p>
        </w:tc>
        <w:tc>
          <w:tcPr>
            <w:tcW w:w="7218" w:type="dxa"/>
            <w:shd w:val="clear" w:color="auto" w:fill="E7E6E6" w:themeFill="background2"/>
          </w:tcPr>
          <w:p w14:paraId="0C4F18EF" w14:textId="77777777" w:rsidR="00CB762D" w:rsidRPr="00523D66" w:rsidRDefault="00CB762D" w:rsidP="00523D66">
            <w:pPr>
              <w:spacing w:before="60" w:after="60"/>
              <w:rPr>
                <w:rFonts w:ascii="Arial" w:eastAsia="Arial" w:hAnsi="Arial" w:cs="Arial"/>
                <w:b/>
                <w:bCs/>
                <w:sz w:val="18"/>
                <w:szCs w:val="18"/>
              </w:rPr>
            </w:pPr>
            <w:r w:rsidRPr="00523D66">
              <w:rPr>
                <w:rFonts w:ascii="Arial" w:eastAsia="Arial" w:hAnsi="Arial" w:cs="Arial"/>
                <w:b/>
                <w:bCs/>
                <w:sz w:val="18"/>
                <w:szCs w:val="18"/>
              </w:rPr>
              <w:t>Criteria</w:t>
            </w:r>
          </w:p>
        </w:tc>
      </w:tr>
      <w:tr w:rsidR="00CB762D" w:rsidRPr="008C5DB3" w14:paraId="12DBCDD8" w14:textId="77777777" w:rsidTr="00523D66">
        <w:tc>
          <w:tcPr>
            <w:tcW w:w="817" w:type="dxa"/>
          </w:tcPr>
          <w:p w14:paraId="251113EF" w14:textId="77777777" w:rsidR="00CB762D" w:rsidRPr="00523D66" w:rsidRDefault="00CB762D" w:rsidP="00523D66">
            <w:pPr>
              <w:spacing w:before="60" w:after="60"/>
              <w:jc w:val="center"/>
              <w:rPr>
                <w:rFonts w:ascii="Arial" w:eastAsia="Arial" w:hAnsi="Arial" w:cs="Arial"/>
                <w:sz w:val="18"/>
                <w:szCs w:val="18"/>
              </w:rPr>
            </w:pPr>
            <w:r w:rsidRPr="00523D66">
              <w:rPr>
                <w:rFonts w:ascii="Arial" w:hAnsi="Arial" w:cs="Arial"/>
                <w:sz w:val="18"/>
                <w:szCs w:val="18"/>
              </w:rPr>
              <w:t>0</w:t>
            </w:r>
          </w:p>
        </w:tc>
        <w:tc>
          <w:tcPr>
            <w:tcW w:w="7218" w:type="dxa"/>
          </w:tcPr>
          <w:p w14:paraId="1B3672B8" w14:textId="77777777" w:rsidR="00CB762D" w:rsidRPr="00523D66" w:rsidRDefault="00CB762D" w:rsidP="00523D66">
            <w:pPr>
              <w:spacing w:before="60" w:after="60"/>
              <w:rPr>
                <w:rFonts w:ascii="Arial" w:eastAsia="Arial" w:hAnsi="Arial" w:cs="Arial"/>
                <w:sz w:val="18"/>
                <w:szCs w:val="18"/>
              </w:rPr>
            </w:pPr>
            <w:r w:rsidRPr="00523D66">
              <w:rPr>
                <w:rFonts w:ascii="Arial" w:hAnsi="Arial" w:cs="Arial"/>
                <w:bCs/>
                <w:sz w:val="18"/>
                <w:szCs w:val="18"/>
              </w:rPr>
              <w:t>No response and/or evidence is unacceptable or non-existent, or there is a failure to properly address any issue. The Authority does not have any confidence in the Bidder’s experience, capacity and ability to meet its requirements.</w:t>
            </w:r>
          </w:p>
        </w:tc>
      </w:tr>
      <w:tr w:rsidR="00CB762D" w:rsidRPr="008C5DB3" w14:paraId="15412D18" w14:textId="77777777" w:rsidTr="00523D66">
        <w:tc>
          <w:tcPr>
            <w:tcW w:w="817" w:type="dxa"/>
          </w:tcPr>
          <w:p w14:paraId="15749882" w14:textId="77777777" w:rsidR="00CB762D" w:rsidRPr="00523D66" w:rsidRDefault="00CB762D" w:rsidP="00523D66">
            <w:pPr>
              <w:spacing w:before="60" w:after="60"/>
              <w:jc w:val="center"/>
              <w:rPr>
                <w:rFonts w:ascii="Arial" w:eastAsia="Arial" w:hAnsi="Arial" w:cs="Arial"/>
                <w:sz w:val="18"/>
                <w:szCs w:val="18"/>
              </w:rPr>
            </w:pPr>
            <w:r w:rsidRPr="00523D66">
              <w:rPr>
                <w:rFonts w:ascii="Arial" w:hAnsi="Arial" w:cs="Arial"/>
                <w:sz w:val="18"/>
                <w:szCs w:val="18"/>
              </w:rPr>
              <w:t>1</w:t>
            </w:r>
          </w:p>
        </w:tc>
        <w:tc>
          <w:tcPr>
            <w:tcW w:w="7218" w:type="dxa"/>
          </w:tcPr>
          <w:p w14:paraId="350B802E" w14:textId="77777777" w:rsidR="00CB762D" w:rsidRPr="00523D66" w:rsidRDefault="00CB762D" w:rsidP="00523D66">
            <w:pPr>
              <w:spacing w:before="60" w:after="60"/>
              <w:rPr>
                <w:rFonts w:ascii="Arial" w:eastAsia="Arial" w:hAnsi="Arial" w:cs="Arial"/>
                <w:sz w:val="18"/>
                <w:szCs w:val="18"/>
              </w:rPr>
            </w:pPr>
            <w:r w:rsidRPr="00523D66">
              <w:rPr>
                <w:rFonts w:ascii="Arial" w:hAnsi="Arial" w:cs="Arial"/>
                <w:bCs/>
                <w:sz w:val="18"/>
                <w:szCs w:val="18"/>
              </w:rPr>
              <w:t>The response and/or the evidence are deficient (or not relevant) in the majority of areas and the Authority has a low level of confidence in the Bidder’s experience, capacity and capability to meet its requirements.</w:t>
            </w:r>
          </w:p>
        </w:tc>
      </w:tr>
      <w:tr w:rsidR="00CB762D" w:rsidRPr="008C5DB3" w14:paraId="63139D1C" w14:textId="77777777" w:rsidTr="00523D66">
        <w:tc>
          <w:tcPr>
            <w:tcW w:w="817" w:type="dxa"/>
          </w:tcPr>
          <w:p w14:paraId="006BB708" w14:textId="77777777" w:rsidR="00CB762D" w:rsidRPr="00523D66" w:rsidRDefault="00CB762D" w:rsidP="00523D66">
            <w:pPr>
              <w:spacing w:before="60" w:after="60"/>
              <w:jc w:val="center"/>
              <w:rPr>
                <w:rFonts w:ascii="Arial" w:eastAsia="Arial" w:hAnsi="Arial" w:cs="Arial"/>
                <w:sz w:val="18"/>
                <w:szCs w:val="18"/>
              </w:rPr>
            </w:pPr>
            <w:r w:rsidRPr="00523D66">
              <w:rPr>
                <w:rFonts w:ascii="Arial" w:hAnsi="Arial" w:cs="Arial"/>
                <w:sz w:val="18"/>
                <w:szCs w:val="18"/>
              </w:rPr>
              <w:t>2</w:t>
            </w:r>
          </w:p>
        </w:tc>
        <w:tc>
          <w:tcPr>
            <w:tcW w:w="7218" w:type="dxa"/>
          </w:tcPr>
          <w:p w14:paraId="3F59620F" w14:textId="77777777" w:rsidR="00CB762D" w:rsidRPr="00523D66" w:rsidRDefault="00CB762D" w:rsidP="00523D66">
            <w:pPr>
              <w:tabs>
                <w:tab w:val="left" w:pos="1200"/>
              </w:tabs>
              <w:spacing w:before="60" w:after="60"/>
              <w:rPr>
                <w:rFonts w:ascii="Arial" w:eastAsia="Arial" w:hAnsi="Arial" w:cs="Arial"/>
                <w:sz w:val="18"/>
                <w:szCs w:val="18"/>
              </w:rPr>
            </w:pPr>
            <w:r w:rsidRPr="00523D66">
              <w:rPr>
                <w:rFonts w:ascii="Arial" w:hAnsi="Arial" w:cs="Arial"/>
                <w:bCs/>
                <w:sz w:val="18"/>
                <w:szCs w:val="18"/>
              </w:rPr>
              <w:t>Large portions of the response are not satisfactory and/or are not supported by a satisfactory level of evidence and the Authority has limited confidence in the Bidder’s experience, capacity and capability to meet its requirements.</w:t>
            </w:r>
          </w:p>
        </w:tc>
      </w:tr>
      <w:tr w:rsidR="00CB762D" w:rsidRPr="008C5DB3" w14:paraId="7F78194C" w14:textId="77777777" w:rsidTr="00523D66">
        <w:tc>
          <w:tcPr>
            <w:tcW w:w="817" w:type="dxa"/>
          </w:tcPr>
          <w:p w14:paraId="027F214E" w14:textId="77777777" w:rsidR="00CB762D" w:rsidRPr="00523D66" w:rsidRDefault="00CB762D" w:rsidP="00523D66">
            <w:pPr>
              <w:spacing w:before="60" w:after="60"/>
              <w:jc w:val="center"/>
              <w:rPr>
                <w:rFonts w:ascii="Arial" w:eastAsia="Arial" w:hAnsi="Arial" w:cs="Arial"/>
                <w:sz w:val="18"/>
                <w:szCs w:val="18"/>
              </w:rPr>
            </w:pPr>
            <w:r w:rsidRPr="00523D66">
              <w:rPr>
                <w:rFonts w:ascii="Arial" w:hAnsi="Arial" w:cs="Arial"/>
                <w:sz w:val="18"/>
                <w:szCs w:val="18"/>
              </w:rPr>
              <w:t>3</w:t>
            </w:r>
          </w:p>
        </w:tc>
        <w:tc>
          <w:tcPr>
            <w:tcW w:w="7218" w:type="dxa"/>
          </w:tcPr>
          <w:p w14:paraId="622D508D" w14:textId="77777777" w:rsidR="00CB762D" w:rsidRPr="00523D66" w:rsidRDefault="00CB762D" w:rsidP="00523D66">
            <w:pPr>
              <w:spacing w:before="60" w:after="60"/>
              <w:rPr>
                <w:rFonts w:ascii="Arial" w:eastAsia="Arial" w:hAnsi="Arial" w:cs="Arial"/>
                <w:sz w:val="18"/>
                <w:szCs w:val="18"/>
              </w:rPr>
            </w:pPr>
            <w:r w:rsidRPr="00523D66">
              <w:rPr>
                <w:rFonts w:ascii="Arial" w:hAnsi="Arial" w:cs="Arial"/>
                <w:bCs/>
                <w:sz w:val="18"/>
                <w:szCs w:val="18"/>
              </w:rPr>
              <w:t>The response is satisfactory and supported by an acceptable standard of relevant evidence but with some reservations/issues not addressed.  The Authority is satisfied with the Bidder’s experience, capacity and capability to meet its requirements.</w:t>
            </w:r>
          </w:p>
        </w:tc>
      </w:tr>
      <w:tr w:rsidR="00CB762D" w:rsidRPr="008C5DB3" w14:paraId="2B7155BE" w14:textId="77777777" w:rsidTr="00523D66">
        <w:tc>
          <w:tcPr>
            <w:tcW w:w="817" w:type="dxa"/>
          </w:tcPr>
          <w:p w14:paraId="3D6F74EA" w14:textId="77777777" w:rsidR="00CB762D" w:rsidRPr="00523D66" w:rsidRDefault="00CB762D" w:rsidP="00523D66">
            <w:pPr>
              <w:spacing w:before="60" w:after="60"/>
              <w:jc w:val="center"/>
              <w:rPr>
                <w:rFonts w:ascii="Arial" w:eastAsia="Arial" w:hAnsi="Arial" w:cs="Arial"/>
                <w:sz w:val="18"/>
                <w:szCs w:val="18"/>
              </w:rPr>
            </w:pPr>
            <w:r w:rsidRPr="00523D66">
              <w:rPr>
                <w:rFonts w:ascii="Arial" w:hAnsi="Arial" w:cs="Arial"/>
                <w:sz w:val="18"/>
                <w:szCs w:val="18"/>
              </w:rPr>
              <w:t>4</w:t>
            </w:r>
          </w:p>
        </w:tc>
        <w:tc>
          <w:tcPr>
            <w:tcW w:w="7218" w:type="dxa"/>
          </w:tcPr>
          <w:p w14:paraId="77E51C08" w14:textId="77777777" w:rsidR="00CB762D" w:rsidRPr="00523D66" w:rsidRDefault="00CB762D" w:rsidP="00523D66">
            <w:pPr>
              <w:spacing w:before="60" w:after="60"/>
              <w:rPr>
                <w:rFonts w:ascii="Arial" w:eastAsia="Arial" w:hAnsi="Arial" w:cs="Arial"/>
                <w:sz w:val="18"/>
                <w:szCs w:val="18"/>
              </w:rPr>
            </w:pPr>
            <w:r w:rsidRPr="00523D66">
              <w:rPr>
                <w:rFonts w:ascii="Arial" w:hAnsi="Arial" w:cs="Arial"/>
                <w:bCs/>
                <w:sz w:val="18"/>
                <w:szCs w:val="18"/>
              </w:rPr>
              <w:t>The response is comprehensive and supported by a good standard of relevant evidence and provides the Authority with a good standard of confidence in the Bidder’s experience, capacity and capability to meet its requirements.</w:t>
            </w:r>
          </w:p>
        </w:tc>
      </w:tr>
      <w:tr w:rsidR="00CB762D" w:rsidRPr="008C5DB3" w14:paraId="360FA195" w14:textId="77777777" w:rsidTr="00523D66">
        <w:tc>
          <w:tcPr>
            <w:tcW w:w="817" w:type="dxa"/>
          </w:tcPr>
          <w:p w14:paraId="35F33729" w14:textId="77777777" w:rsidR="00CB762D" w:rsidRPr="00523D66" w:rsidRDefault="00CB762D" w:rsidP="00523D66">
            <w:pPr>
              <w:spacing w:before="60" w:after="60"/>
              <w:jc w:val="center"/>
              <w:rPr>
                <w:rFonts w:ascii="Arial" w:hAnsi="Arial" w:cs="Arial"/>
                <w:sz w:val="18"/>
                <w:szCs w:val="18"/>
              </w:rPr>
            </w:pPr>
            <w:r w:rsidRPr="00523D66">
              <w:rPr>
                <w:rFonts w:ascii="Arial" w:hAnsi="Arial" w:cs="Arial"/>
                <w:sz w:val="18"/>
                <w:szCs w:val="18"/>
              </w:rPr>
              <w:t>5</w:t>
            </w:r>
          </w:p>
        </w:tc>
        <w:tc>
          <w:tcPr>
            <w:tcW w:w="7218" w:type="dxa"/>
          </w:tcPr>
          <w:p w14:paraId="4E97F144" w14:textId="77777777" w:rsidR="00CB762D" w:rsidRPr="00523D66" w:rsidRDefault="00CB762D" w:rsidP="00523D66">
            <w:pPr>
              <w:spacing w:before="60" w:after="60"/>
              <w:rPr>
                <w:rFonts w:ascii="Arial" w:eastAsia="Arial" w:hAnsi="Arial" w:cs="Arial"/>
                <w:sz w:val="18"/>
                <w:szCs w:val="18"/>
              </w:rPr>
            </w:pPr>
            <w:r w:rsidRPr="00523D66">
              <w:rPr>
                <w:rFonts w:ascii="Arial" w:hAnsi="Arial" w:cs="Arial"/>
                <w:bCs/>
                <w:sz w:val="18"/>
                <w:szCs w:val="18"/>
              </w:rPr>
              <w:t>The standard of the response is very high, and the relevance of the response and the supporting evidence is very comprehensive and provides the Authority with a very high level of confidence in the Bidder’s experience, capacity and capability to meet the Authority’s requirements.</w:t>
            </w:r>
          </w:p>
        </w:tc>
      </w:tr>
    </w:tbl>
    <w:p w14:paraId="5B5912B8" w14:textId="676417ED" w:rsidR="00CB762D" w:rsidRPr="00523D66" w:rsidRDefault="00CB762D" w:rsidP="00523D66">
      <w:pPr>
        <w:pStyle w:val="ListParagraph"/>
        <w:spacing w:before="60" w:after="360" w:line="276" w:lineRule="auto"/>
        <w:ind w:left="567"/>
        <w:contextualSpacing w:val="0"/>
        <w:rPr>
          <w:rFonts w:ascii="Arial" w:hAnsi="Arial" w:cs="Arial"/>
          <w:sz w:val="16"/>
          <w:szCs w:val="16"/>
        </w:rPr>
      </w:pPr>
      <w:r w:rsidRPr="00523D66">
        <w:rPr>
          <w:rFonts w:ascii="Arial" w:hAnsi="Arial" w:cs="Arial"/>
          <w:i/>
          <w:iCs/>
          <w:sz w:val="16"/>
          <w:szCs w:val="16"/>
        </w:rPr>
        <w:t>Source</w:t>
      </w:r>
      <w:r w:rsidRPr="00523D66">
        <w:rPr>
          <w:rFonts w:ascii="Arial" w:hAnsi="Arial" w:cs="Arial"/>
          <w:sz w:val="16"/>
          <w:szCs w:val="16"/>
        </w:rPr>
        <w:t xml:space="preserve">: </w:t>
      </w:r>
      <w:r w:rsidR="0079082F" w:rsidRPr="00523D66">
        <w:rPr>
          <w:rFonts w:ascii="Arial" w:eastAsia="Arial" w:hAnsi="Arial" w:cs="Arial"/>
          <w:sz w:val="16"/>
          <w:szCs w:val="16"/>
        </w:rPr>
        <w:t>B&amp;NES Council</w:t>
      </w:r>
      <w:r w:rsidR="0079082F">
        <w:rPr>
          <w:rFonts w:ascii="Arial" w:eastAsia="Arial" w:hAnsi="Arial" w:cs="Arial"/>
          <w:sz w:val="16"/>
          <w:szCs w:val="16"/>
        </w:rPr>
        <w:t>,</w:t>
      </w:r>
      <w:r w:rsidR="0079082F" w:rsidRPr="00523D66">
        <w:rPr>
          <w:rFonts w:ascii="Arial" w:eastAsia="Arial" w:hAnsi="Arial" w:cs="Arial"/>
          <w:sz w:val="16"/>
          <w:szCs w:val="16"/>
        </w:rPr>
        <w:t xml:space="preserve"> </w:t>
      </w:r>
      <w:r w:rsidRPr="00523D66">
        <w:rPr>
          <w:rFonts w:ascii="Arial" w:eastAsia="Arial" w:hAnsi="Arial" w:cs="Arial"/>
          <w:sz w:val="16"/>
          <w:szCs w:val="16"/>
        </w:rPr>
        <w:t>Stage 2 ITT Volume 1 Guidance Document.</w:t>
      </w:r>
    </w:p>
    <w:p w14:paraId="04E0A8E0" w14:textId="75791BD9" w:rsidR="00FC4D21" w:rsidRPr="00254AB3" w:rsidRDefault="00F83604" w:rsidP="00CB762D">
      <w:pPr>
        <w:pStyle w:val="ListParagraph"/>
        <w:numPr>
          <w:ilvl w:val="0"/>
          <w:numId w:val="2"/>
        </w:numPr>
        <w:spacing w:line="276" w:lineRule="auto"/>
        <w:ind w:left="567" w:hanging="567"/>
        <w:contextualSpacing w:val="0"/>
        <w:rPr>
          <w:rFonts w:ascii="Arial" w:hAnsi="Arial" w:cs="Arial"/>
        </w:rPr>
      </w:pPr>
      <w:r w:rsidRPr="00254AB3">
        <w:rPr>
          <w:rFonts w:ascii="Arial" w:hAnsi="Arial" w:cs="Arial"/>
        </w:rPr>
        <w:t>The Council</w:t>
      </w:r>
      <w:r w:rsidR="009430AF" w:rsidRPr="00254AB3">
        <w:rPr>
          <w:rFonts w:ascii="Arial" w:hAnsi="Arial" w:cs="Arial"/>
        </w:rPr>
        <w:t xml:space="preserve">’s tender documentation </w:t>
      </w:r>
      <w:r w:rsidR="00B526EA" w:rsidRPr="00254AB3">
        <w:rPr>
          <w:rFonts w:ascii="Arial" w:hAnsi="Arial" w:cs="Arial"/>
        </w:rPr>
        <w:t xml:space="preserve">also </w:t>
      </w:r>
      <w:r w:rsidR="00FC4D21" w:rsidRPr="00254AB3">
        <w:rPr>
          <w:rFonts w:ascii="Arial" w:hAnsi="Arial" w:cs="Arial"/>
        </w:rPr>
        <w:t xml:space="preserve">set out sub-criteria </w:t>
      </w:r>
      <w:r w:rsidR="00902322" w:rsidRPr="00254AB3">
        <w:rPr>
          <w:rFonts w:ascii="Arial" w:hAnsi="Arial" w:cs="Arial"/>
        </w:rPr>
        <w:t xml:space="preserve">and weightings </w:t>
      </w:r>
      <w:r w:rsidR="00FC4D21" w:rsidRPr="00254AB3">
        <w:rPr>
          <w:rFonts w:ascii="Arial" w:hAnsi="Arial" w:cs="Arial"/>
        </w:rPr>
        <w:t xml:space="preserve">for each </w:t>
      </w:r>
      <w:r w:rsidR="00B208E6">
        <w:rPr>
          <w:rFonts w:ascii="Arial" w:hAnsi="Arial" w:cs="Arial"/>
        </w:rPr>
        <w:t xml:space="preserve">of the </w:t>
      </w:r>
      <w:r w:rsidR="00D37A99">
        <w:rPr>
          <w:rFonts w:ascii="Arial" w:hAnsi="Arial" w:cs="Arial"/>
        </w:rPr>
        <w:t>Q</w:t>
      </w:r>
      <w:r w:rsidR="00B208E6">
        <w:rPr>
          <w:rFonts w:ascii="Arial" w:hAnsi="Arial" w:cs="Arial"/>
        </w:rPr>
        <w:t xml:space="preserve">uality </w:t>
      </w:r>
      <w:r w:rsidR="00FC4D21" w:rsidRPr="00254AB3">
        <w:rPr>
          <w:rFonts w:ascii="Arial" w:hAnsi="Arial" w:cs="Arial"/>
        </w:rPr>
        <w:t>question</w:t>
      </w:r>
      <w:r w:rsidR="00B208E6">
        <w:rPr>
          <w:rFonts w:ascii="Arial" w:hAnsi="Arial" w:cs="Arial"/>
        </w:rPr>
        <w:t>s</w:t>
      </w:r>
      <w:r w:rsidR="00344735" w:rsidRPr="00254AB3">
        <w:rPr>
          <w:rFonts w:ascii="Arial" w:hAnsi="Arial" w:cs="Arial"/>
        </w:rPr>
        <w:t>.</w:t>
      </w:r>
      <w:r w:rsidR="00F62432" w:rsidRPr="00254AB3">
        <w:rPr>
          <w:rStyle w:val="FootnoteReference"/>
          <w:rFonts w:ascii="Arial" w:hAnsi="Arial" w:cs="Arial"/>
        </w:rPr>
        <w:footnoteReference w:id="32"/>
      </w:r>
    </w:p>
    <w:p w14:paraId="676341D7" w14:textId="76D0A1E6" w:rsidR="00A070CD" w:rsidRPr="00AC044B" w:rsidRDefault="00A070CD" w:rsidP="00AC044B">
      <w:pPr>
        <w:pStyle w:val="ListParagraph"/>
        <w:numPr>
          <w:ilvl w:val="0"/>
          <w:numId w:val="2"/>
        </w:numPr>
        <w:spacing w:line="276" w:lineRule="auto"/>
        <w:ind w:left="567" w:hanging="567"/>
        <w:contextualSpacing w:val="0"/>
        <w:rPr>
          <w:rFonts w:ascii="Arial" w:hAnsi="Arial" w:cs="Arial"/>
        </w:rPr>
      </w:pPr>
      <w:r w:rsidRPr="00AC044B">
        <w:rPr>
          <w:rFonts w:ascii="Arial" w:hAnsi="Arial" w:cs="Arial"/>
        </w:rPr>
        <w:t xml:space="preserve">DHI told the Panel that </w:t>
      </w:r>
      <w:r w:rsidR="00140DFC" w:rsidRPr="00AC044B">
        <w:rPr>
          <w:rFonts w:ascii="Arial" w:hAnsi="Arial" w:cs="Arial"/>
        </w:rPr>
        <w:t>it was “not satisfied with the Council’s feedback repeatedly citing a ‘lack of detail’ but fails to satisfactorily explain why responses were allegedly insufficient to meet higher scoring criteria</w:t>
      </w:r>
      <w:r w:rsidR="00AC044B" w:rsidRPr="00AC044B">
        <w:rPr>
          <w:rFonts w:ascii="Arial" w:hAnsi="Arial" w:cs="Arial"/>
        </w:rPr>
        <w:t xml:space="preserve">. Further, </w:t>
      </w:r>
      <w:r w:rsidR="003428C1" w:rsidRPr="00AC044B">
        <w:rPr>
          <w:rFonts w:ascii="Arial" w:eastAsia="Aptos" w:hAnsi="Arial" w:cs="Arial"/>
        </w:rPr>
        <w:t>the Council has not adequately addressed DHI’s concerns with respect to why similar elements in the successful bidder’s proposal appear to have been scored more favourably, highlighting inconsistencies in the application of evaluation criteria”</w:t>
      </w:r>
      <w:r w:rsidR="00D74EB1">
        <w:rPr>
          <w:rFonts w:ascii="Arial" w:eastAsia="Aptos" w:hAnsi="Arial" w:cs="Arial"/>
        </w:rPr>
        <w:t xml:space="preserve"> (see paragraph </w:t>
      </w:r>
      <w:r w:rsidR="00D74EB1">
        <w:rPr>
          <w:rFonts w:ascii="Arial" w:eastAsia="Aptos" w:hAnsi="Arial" w:cs="Arial"/>
        </w:rPr>
        <w:fldChar w:fldCharType="begin"/>
      </w:r>
      <w:r w:rsidR="00D74EB1">
        <w:rPr>
          <w:rFonts w:ascii="Arial" w:eastAsia="Aptos" w:hAnsi="Arial" w:cs="Arial"/>
        </w:rPr>
        <w:instrText xml:space="preserve"> REF _Ref189120944 \r \h </w:instrText>
      </w:r>
      <w:r w:rsidR="00D74EB1">
        <w:rPr>
          <w:rFonts w:ascii="Arial" w:eastAsia="Aptos" w:hAnsi="Arial" w:cs="Arial"/>
        </w:rPr>
      </w:r>
      <w:r w:rsidR="00D74EB1">
        <w:rPr>
          <w:rFonts w:ascii="Arial" w:eastAsia="Aptos" w:hAnsi="Arial" w:cs="Arial"/>
        </w:rPr>
        <w:fldChar w:fldCharType="separate"/>
      </w:r>
      <w:r w:rsidR="0023016C">
        <w:rPr>
          <w:rFonts w:ascii="Arial" w:eastAsia="Aptos" w:hAnsi="Arial" w:cs="Arial"/>
        </w:rPr>
        <w:t>40</w:t>
      </w:r>
      <w:r w:rsidR="00D74EB1">
        <w:rPr>
          <w:rFonts w:ascii="Arial" w:eastAsia="Aptos" w:hAnsi="Arial" w:cs="Arial"/>
        </w:rPr>
        <w:fldChar w:fldCharType="end"/>
      </w:r>
      <w:r w:rsidR="00D74EB1">
        <w:rPr>
          <w:rFonts w:ascii="Arial" w:eastAsia="Aptos" w:hAnsi="Arial" w:cs="Arial"/>
        </w:rPr>
        <w:t>)</w:t>
      </w:r>
      <w:r w:rsidR="00B526EA" w:rsidRPr="00AC044B">
        <w:rPr>
          <w:rFonts w:ascii="Arial" w:eastAsia="Aptos" w:hAnsi="Arial" w:cs="Arial"/>
        </w:rPr>
        <w:t>.</w:t>
      </w:r>
    </w:p>
    <w:p w14:paraId="5BCDCAED" w14:textId="678CE8CB" w:rsidR="00CB762D" w:rsidRPr="0068553A" w:rsidRDefault="00D564EA" w:rsidP="0068553A">
      <w:pPr>
        <w:pStyle w:val="ListParagraph"/>
        <w:numPr>
          <w:ilvl w:val="0"/>
          <w:numId w:val="2"/>
        </w:numPr>
        <w:spacing w:line="276" w:lineRule="auto"/>
        <w:ind w:left="567" w:hanging="567"/>
        <w:contextualSpacing w:val="0"/>
        <w:rPr>
          <w:rFonts w:ascii="Arial" w:hAnsi="Arial" w:cs="Arial"/>
        </w:rPr>
      </w:pPr>
      <w:r w:rsidRPr="0068553A">
        <w:rPr>
          <w:rFonts w:ascii="Arial" w:hAnsi="Arial" w:cs="Arial"/>
        </w:rPr>
        <w:t xml:space="preserve">This followed on from DHI’s earlier </w:t>
      </w:r>
      <w:r w:rsidR="00CB762D" w:rsidRPr="0068553A">
        <w:rPr>
          <w:rFonts w:ascii="Arial" w:hAnsi="Arial" w:cs="Arial"/>
        </w:rPr>
        <w:t xml:space="preserve">representations to the Council </w:t>
      </w:r>
      <w:r w:rsidRPr="0068553A">
        <w:rPr>
          <w:rFonts w:ascii="Arial" w:hAnsi="Arial" w:cs="Arial"/>
        </w:rPr>
        <w:t xml:space="preserve">where it </w:t>
      </w:r>
      <w:r w:rsidR="00CB762D" w:rsidRPr="0068553A">
        <w:rPr>
          <w:rFonts w:ascii="Arial" w:hAnsi="Arial" w:cs="Arial"/>
        </w:rPr>
        <w:t xml:space="preserve">suggested that “the Council appears to have consistently failed to apply the scoring methodology as set out in the Award Criteria”. DHI </w:t>
      </w:r>
      <w:r w:rsidR="00604B0C" w:rsidRPr="0068553A">
        <w:rPr>
          <w:rFonts w:ascii="Arial" w:hAnsi="Arial" w:cs="Arial"/>
        </w:rPr>
        <w:t xml:space="preserve">said that </w:t>
      </w:r>
      <w:r w:rsidR="00CB762D" w:rsidRPr="0068553A">
        <w:rPr>
          <w:rFonts w:ascii="Arial" w:hAnsi="Arial" w:cs="Arial"/>
        </w:rPr>
        <w:t xml:space="preserve">there were multiple instances </w:t>
      </w:r>
      <w:r w:rsidR="6AA4AC4D" w:rsidRPr="0068553A">
        <w:rPr>
          <w:rFonts w:ascii="Arial" w:hAnsi="Arial" w:cs="Arial"/>
        </w:rPr>
        <w:t>where it was</w:t>
      </w:r>
      <w:r w:rsidR="00CB762D" w:rsidRPr="0068553A">
        <w:rPr>
          <w:rFonts w:ascii="Arial" w:hAnsi="Arial" w:cs="Arial"/>
        </w:rPr>
        <w:t xml:space="preserve"> awarded a score of 3, </w:t>
      </w:r>
      <w:r w:rsidR="14DD9CEB" w:rsidRPr="0068553A">
        <w:rPr>
          <w:rFonts w:ascii="Arial" w:hAnsi="Arial" w:cs="Arial"/>
        </w:rPr>
        <w:t xml:space="preserve">but </w:t>
      </w:r>
      <w:r w:rsidR="00CB762D" w:rsidRPr="0068553A">
        <w:rPr>
          <w:rFonts w:ascii="Arial" w:hAnsi="Arial" w:cs="Arial"/>
        </w:rPr>
        <w:t xml:space="preserve">where </w:t>
      </w:r>
      <w:r w:rsidR="4AA359FD" w:rsidRPr="0068553A">
        <w:rPr>
          <w:rFonts w:ascii="Arial" w:hAnsi="Arial" w:cs="Arial"/>
        </w:rPr>
        <w:t>it</w:t>
      </w:r>
      <w:r w:rsidR="00CB762D" w:rsidRPr="0068553A">
        <w:rPr>
          <w:rFonts w:ascii="Arial" w:hAnsi="Arial" w:cs="Arial"/>
        </w:rPr>
        <w:t xml:space="preserve"> believed its response satisfied the criteria for a score of at least 4</w:t>
      </w:r>
      <w:r w:rsidR="006F68A3" w:rsidRPr="0068553A">
        <w:rPr>
          <w:rFonts w:ascii="Arial" w:hAnsi="Arial" w:cs="Arial"/>
        </w:rPr>
        <w:t>,</w:t>
      </w:r>
      <w:r w:rsidR="00CB762D" w:rsidRPr="0068553A">
        <w:rPr>
          <w:rFonts w:ascii="Arial" w:hAnsi="Arial" w:cs="Arial"/>
        </w:rPr>
        <w:t xml:space="preserve"> if not 5, </w:t>
      </w:r>
      <w:r w:rsidR="006F68A3" w:rsidRPr="0068553A">
        <w:rPr>
          <w:rFonts w:ascii="Arial" w:hAnsi="Arial" w:cs="Arial"/>
        </w:rPr>
        <w:t xml:space="preserve">as a result of it </w:t>
      </w:r>
      <w:r w:rsidR="00CB762D" w:rsidRPr="0068553A">
        <w:rPr>
          <w:rFonts w:ascii="Arial" w:hAnsi="Arial" w:cs="Arial"/>
        </w:rPr>
        <w:t xml:space="preserve">consistently </w:t>
      </w:r>
      <w:r w:rsidR="006F68A3" w:rsidRPr="0068553A">
        <w:rPr>
          <w:rFonts w:ascii="Arial" w:hAnsi="Arial" w:cs="Arial"/>
        </w:rPr>
        <w:t xml:space="preserve">offering </w:t>
      </w:r>
      <w:r w:rsidR="00323D02" w:rsidRPr="0068553A">
        <w:rPr>
          <w:rFonts w:ascii="Arial" w:hAnsi="Arial" w:cs="Arial"/>
        </w:rPr>
        <w:t>“</w:t>
      </w:r>
      <w:r w:rsidR="00CB762D" w:rsidRPr="0068553A">
        <w:rPr>
          <w:rFonts w:ascii="Arial" w:hAnsi="Arial" w:cs="Arial"/>
        </w:rPr>
        <w:t>comprehensive detail and strong supporting evidence</w:t>
      </w:r>
      <w:r w:rsidR="54EAA9C7" w:rsidRPr="0068553A">
        <w:rPr>
          <w:rFonts w:ascii="Arial" w:hAnsi="Arial" w:cs="Arial"/>
        </w:rPr>
        <w:t>”</w:t>
      </w:r>
      <w:r w:rsidR="00CB762D" w:rsidRPr="0068553A">
        <w:rPr>
          <w:rFonts w:ascii="Arial" w:hAnsi="Arial" w:cs="Arial"/>
        </w:rPr>
        <w:t>.</w:t>
      </w:r>
      <w:r w:rsidR="0068553A" w:rsidRPr="0068553A">
        <w:rPr>
          <w:rFonts w:ascii="Arial" w:hAnsi="Arial" w:cs="Arial"/>
        </w:rPr>
        <w:t xml:space="preserve"> </w:t>
      </w:r>
      <w:r w:rsidR="00CB762D" w:rsidRPr="0068553A">
        <w:rPr>
          <w:rFonts w:ascii="Arial" w:hAnsi="Arial" w:cs="Arial"/>
        </w:rPr>
        <w:t xml:space="preserve">DHI further stated that it believed that errors in </w:t>
      </w:r>
      <w:r w:rsidR="00175B12" w:rsidRPr="0068553A">
        <w:rPr>
          <w:rFonts w:ascii="Arial" w:hAnsi="Arial" w:cs="Arial"/>
        </w:rPr>
        <w:t xml:space="preserve">the Council’s </w:t>
      </w:r>
      <w:r w:rsidR="00CB762D" w:rsidRPr="0068553A">
        <w:rPr>
          <w:rFonts w:ascii="Arial" w:hAnsi="Arial" w:cs="Arial"/>
        </w:rPr>
        <w:t>scoring could be attributed to a combination of factors, namely undisclosed criteria, inconsistency in scoring, and failure to take into account all material considerations</w:t>
      </w:r>
      <w:r w:rsidR="00175B12" w:rsidRPr="0068553A">
        <w:rPr>
          <w:rFonts w:ascii="Arial" w:hAnsi="Arial" w:cs="Arial"/>
        </w:rPr>
        <w:t>.</w:t>
      </w:r>
      <w:r w:rsidR="006C37E0" w:rsidRPr="00254AB3">
        <w:rPr>
          <w:rStyle w:val="FootnoteReference"/>
          <w:rFonts w:ascii="Arial" w:hAnsi="Arial" w:cs="Arial"/>
        </w:rPr>
        <w:footnoteReference w:id="33"/>
      </w:r>
    </w:p>
    <w:p w14:paraId="00EEC03E" w14:textId="35056D2C" w:rsidR="00CB762D" w:rsidRPr="00254AB3" w:rsidRDefault="00CB762D" w:rsidP="00CB762D">
      <w:pPr>
        <w:pStyle w:val="ListParagraph"/>
        <w:numPr>
          <w:ilvl w:val="0"/>
          <w:numId w:val="2"/>
        </w:numPr>
        <w:spacing w:line="276" w:lineRule="auto"/>
        <w:ind w:left="567" w:hanging="567"/>
        <w:contextualSpacing w:val="0"/>
        <w:rPr>
          <w:rFonts w:ascii="Arial" w:hAnsi="Arial" w:cs="Arial"/>
        </w:rPr>
      </w:pPr>
      <w:r w:rsidRPr="00254AB3">
        <w:rPr>
          <w:rFonts w:ascii="Arial" w:hAnsi="Arial" w:cs="Arial"/>
        </w:rPr>
        <w:t>The Council</w:t>
      </w:r>
      <w:r w:rsidR="00262583">
        <w:rPr>
          <w:rFonts w:ascii="Arial" w:hAnsi="Arial" w:cs="Arial"/>
        </w:rPr>
        <w:t xml:space="preserve">, in </w:t>
      </w:r>
      <w:r w:rsidRPr="00254AB3">
        <w:rPr>
          <w:rFonts w:ascii="Arial" w:hAnsi="Arial" w:cs="Arial"/>
        </w:rPr>
        <w:t>respon</w:t>
      </w:r>
      <w:r w:rsidR="00262583">
        <w:rPr>
          <w:rFonts w:ascii="Arial" w:hAnsi="Arial" w:cs="Arial"/>
        </w:rPr>
        <w:t>ding</w:t>
      </w:r>
      <w:r w:rsidR="00FC799E">
        <w:rPr>
          <w:rFonts w:ascii="Arial" w:hAnsi="Arial" w:cs="Arial"/>
        </w:rPr>
        <w:t xml:space="preserve"> to DHI</w:t>
      </w:r>
      <w:r w:rsidR="00262583">
        <w:rPr>
          <w:rFonts w:ascii="Arial" w:hAnsi="Arial" w:cs="Arial"/>
        </w:rPr>
        <w:t xml:space="preserve">, </w:t>
      </w:r>
      <w:r w:rsidRPr="00254AB3">
        <w:rPr>
          <w:rFonts w:ascii="Arial" w:hAnsi="Arial" w:cs="Arial"/>
        </w:rPr>
        <w:t>stat</w:t>
      </w:r>
      <w:r w:rsidR="00254AB3" w:rsidRPr="00254AB3">
        <w:rPr>
          <w:rFonts w:ascii="Arial" w:hAnsi="Arial" w:cs="Arial"/>
        </w:rPr>
        <w:t xml:space="preserve">ed </w:t>
      </w:r>
      <w:r w:rsidRPr="00254AB3">
        <w:rPr>
          <w:rFonts w:ascii="Arial" w:hAnsi="Arial" w:cs="Arial"/>
        </w:rPr>
        <w:t>that “The evaluation panel have considered each of the published evaluation criteria and considered the appropriate score in accordance with the scoring matrix. During this process the evaluation panel reach</w:t>
      </w:r>
      <w:r w:rsidR="007F6129">
        <w:rPr>
          <w:rFonts w:ascii="Arial" w:hAnsi="Arial" w:cs="Arial"/>
        </w:rPr>
        <w:t>ed</w:t>
      </w:r>
      <w:r w:rsidRPr="00254AB3">
        <w:rPr>
          <w:rFonts w:ascii="Arial" w:hAnsi="Arial" w:cs="Arial"/>
        </w:rPr>
        <w:t xml:space="preserve"> a balanced view on the appropriate score; the moderated score is not determined by evidence of one specific factor or the lack of. A score of 3 is awarded where, overall, </w:t>
      </w:r>
      <w:r w:rsidRPr="00254AB3">
        <w:rPr>
          <w:rFonts w:ascii="Arial" w:hAnsi="Arial" w:cs="Arial"/>
        </w:rPr>
        <w:lastRenderedPageBreak/>
        <w:t>the response is satisfactory, but the panel have identified reservations / issues, which affected their level of confidence regarding the proposal”</w:t>
      </w:r>
      <w:r w:rsidR="00254AB3" w:rsidRPr="00254AB3">
        <w:rPr>
          <w:rFonts w:ascii="Arial" w:hAnsi="Arial" w:cs="Arial"/>
        </w:rPr>
        <w:t>.</w:t>
      </w:r>
      <w:r w:rsidRPr="00523D66">
        <w:rPr>
          <w:rFonts w:ascii="Arial" w:hAnsi="Arial" w:cs="Arial"/>
          <w:vertAlign w:val="superscript"/>
        </w:rPr>
        <w:footnoteReference w:id="34"/>
      </w:r>
    </w:p>
    <w:p w14:paraId="1C35A435" w14:textId="5FB45D16" w:rsidR="00EC4102" w:rsidRDefault="008E65F7" w:rsidP="00EE410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w:t>
      </w:r>
      <w:r w:rsidR="004236E6">
        <w:rPr>
          <w:rFonts w:ascii="Arial" w:hAnsi="Arial" w:cs="Arial"/>
        </w:rPr>
        <w:t>considering</w:t>
      </w:r>
      <w:r w:rsidR="00E251D3">
        <w:rPr>
          <w:rFonts w:ascii="Arial" w:hAnsi="Arial" w:cs="Arial"/>
        </w:rPr>
        <w:t xml:space="preserve"> DHI’s concerns,</w:t>
      </w:r>
      <w:r>
        <w:rPr>
          <w:rFonts w:ascii="Arial" w:hAnsi="Arial" w:cs="Arial"/>
        </w:rPr>
        <w:t xml:space="preserve"> </w:t>
      </w:r>
      <w:r w:rsidR="00EC4102">
        <w:rPr>
          <w:rFonts w:ascii="Arial" w:hAnsi="Arial" w:cs="Arial"/>
        </w:rPr>
        <w:t>t</w:t>
      </w:r>
      <w:r w:rsidR="0045395E">
        <w:rPr>
          <w:rFonts w:ascii="Arial" w:hAnsi="Arial" w:cs="Arial"/>
        </w:rPr>
        <w:t>he Panel</w:t>
      </w:r>
      <w:r w:rsidR="00B07875">
        <w:rPr>
          <w:rFonts w:ascii="Arial" w:hAnsi="Arial" w:cs="Arial"/>
        </w:rPr>
        <w:t>:</w:t>
      </w:r>
      <w:r w:rsidR="00A14802">
        <w:rPr>
          <w:rFonts w:ascii="Arial" w:hAnsi="Arial" w:cs="Arial"/>
        </w:rPr>
        <w:t xml:space="preserve"> (i)</w:t>
      </w:r>
      <w:r w:rsidR="0045395E">
        <w:rPr>
          <w:rFonts w:ascii="Arial" w:hAnsi="Arial" w:cs="Arial"/>
        </w:rPr>
        <w:t xml:space="preserve"> </w:t>
      </w:r>
      <w:r w:rsidR="008C65A4">
        <w:rPr>
          <w:rFonts w:ascii="Arial" w:hAnsi="Arial" w:cs="Arial"/>
        </w:rPr>
        <w:t xml:space="preserve">reviewed the Council’s processes for evaluating </w:t>
      </w:r>
      <w:r>
        <w:rPr>
          <w:rFonts w:ascii="Arial" w:hAnsi="Arial" w:cs="Arial"/>
        </w:rPr>
        <w:t>bidders’ proposals</w:t>
      </w:r>
      <w:r w:rsidR="00F628F1">
        <w:rPr>
          <w:rFonts w:ascii="Arial" w:hAnsi="Arial" w:cs="Arial"/>
        </w:rPr>
        <w:t xml:space="preserve"> with particular reference </w:t>
      </w:r>
      <w:r w:rsidR="00A14802">
        <w:rPr>
          <w:rFonts w:ascii="Arial" w:hAnsi="Arial" w:cs="Arial"/>
        </w:rPr>
        <w:t xml:space="preserve">to how this </w:t>
      </w:r>
      <w:r w:rsidR="001F4CCD">
        <w:rPr>
          <w:rFonts w:ascii="Arial" w:hAnsi="Arial" w:cs="Arial"/>
        </w:rPr>
        <w:t>supported</w:t>
      </w:r>
      <w:r w:rsidR="00A14802">
        <w:rPr>
          <w:rFonts w:ascii="Arial" w:hAnsi="Arial" w:cs="Arial"/>
        </w:rPr>
        <w:t xml:space="preserve"> a consistent approach</w:t>
      </w:r>
      <w:r w:rsidR="001F4CCD">
        <w:rPr>
          <w:rFonts w:ascii="Arial" w:hAnsi="Arial" w:cs="Arial"/>
        </w:rPr>
        <w:t xml:space="preserve"> to scoring</w:t>
      </w:r>
      <w:r w:rsidR="00A14802">
        <w:rPr>
          <w:rFonts w:ascii="Arial" w:hAnsi="Arial" w:cs="Arial"/>
        </w:rPr>
        <w:t>;</w:t>
      </w:r>
      <w:r w:rsidR="00EC4102">
        <w:rPr>
          <w:rFonts w:ascii="Arial" w:hAnsi="Arial" w:cs="Arial"/>
        </w:rPr>
        <w:t xml:space="preserve"> </w:t>
      </w:r>
      <w:r w:rsidR="00A14802">
        <w:rPr>
          <w:rFonts w:ascii="Arial" w:hAnsi="Arial" w:cs="Arial"/>
        </w:rPr>
        <w:t xml:space="preserve">(ii) </w:t>
      </w:r>
      <w:r w:rsidR="0045395E">
        <w:rPr>
          <w:rFonts w:ascii="Arial" w:hAnsi="Arial" w:cs="Arial"/>
        </w:rPr>
        <w:t xml:space="preserve">asked the Council </w:t>
      </w:r>
      <w:r w:rsidR="008A366A">
        <w:rPr>
          <w:rFonts w:ascii="Arial" w:hAnsi="Arial" w:cs="Arial"/>
        </w:rPr>
        <w:t xml:space="preserve">how it had </w:t>
      </w:r>
      <w:r w:rsidR="009A3FB7">
        <w:rPr>
          <w:rFonts w:ascii="Arial" w:hAnsi="Arial" w:cs="Arial"/>
        </w:rPr>
        <w:t>ensure</w:t>
      </w:r>
      <w:r w:rsidR="008A366A">
        <w:rPr>
          <w:rFonts w:ascii="Arial" w:hAnsi="Arial" w:cs="Arial"/>
        </w:rPr>
        <w:t>d</w:t>
      </w:r>
      <w:r w:rsidR="009A3FB7">
        <w:rPr>
          <w:rFonts w:ascii="Arial" w:hAnsi="Arial" w:cs="Arial"/>
        </w:rPr>
        <w:t xml:space="preserve"> a robust </w:t>
      </w:r>
      <w:r w:rsidR="00375931">
        <w:rPr>
          <w:rFonts w:ascii="Arial" w:hAnsi="Arial" w:cs="Arial"/>
        </w:rPr>
        <w:t xml:space="preserve">process </w:t>
      </w:r>
      <w:r w:rsidR="00B74D39">
        <w:rPr>
          <w:rFonts w:ascii="Arial" w:hAnsi="Arial" w:cs="Arial"/>
        </w:rPr>
        <w:t>that delivered consistency in evaluati</w:t>
      </w:r>
      <w:r w:rsidR="007674B0">
        <w:rPr>
          <w:rFonts w:ascii="Arial" w:hAnsi="Arial" w:cs="Arial"/>
        </w:rPr>
        <w:t xml:space="preserve">ng </w:t>
      </w:r>
      <w:r w:rsidR="00B74D39">
        <w:rPr>
          <w:rFonts w:ascii="Arial" w:hAnsi="Arial" w:cs="Arial"/>
        </w:rPr>
        <w:t>different bidder’s proposals</w:t>
      </w:r>
      <w:r w:rsidR="00A14802">
        <w:rPr>
          <w:rFonts w:ascii="Arial" w:hAnsi="Arial" w:cs="Arial"/>
        </w:rPr>
        <w:t>;</w:t>
      </w:r>
      <w:r w:rsidR="00EC4102">
        <w:rPr>
          <w:rFonts w:ascii="Arial" w:hAnsi="Arial" w:cs="Arial"/>
        </w:rPr>
        <w:t xml:space="preserve"> and </w:t>
      </w:r>
      <w:r w:rsidR="00A14802">
        <w:rPr>
          <w:rFonts w:ascii="Arial" w:hAnsi="Arial" w:cs="Arial"/>
        </w:rPr>
        <w:t xml:space="preserve">(iii) </w:t>
      </w:r>
      <w:r w:rsidR="00EC4102">
        <w:rPr>
          <w:rFonts w:ascii="Arial" w:hAnsi="Arial" w:cs="Arial"/>
        </w:rPr>
        <w:t xml:space="preserve">carried out a high-level review of </w:t>
      </w:r>
      <w:r w:rsidR="00727747">
        <w:rPr>
          <w:rFonts w:ascii="Arial" w:hAnsi="Arial" w:cs="Arial"/>
        </w:rPr>
        <w:t>the proposals submitted by DHI and TPS</w:t>
      </w:r>
      <w:r w:rsidR="00923C0E">
        <w:rPr>
          <w:rFonts w:ascii="Arial" w:hAnsi="Arial" w:cs="Arial"/>
        </w:rPr>
        <w:t xml:space="preserve"> focused on </w:t>
      </w:r>
      <w:r w:rsidR="005E640B">
        <w:rPr>
          <w:rFonts w:ascii="Arial" w:hAnsi="Arial" w:cs="Arial"/>
        </w:rPr>
        <w:t xml:space="preserve">DHI’s concern </w:t>
      </w:r>
      <w:r w:rsidR="004C695F">
        <w:rPr>
          <w:rFonts w:ascii="Arial" w:hAnsi="Arial" w:cs="Arial"/>
        </w:rPr>
        <w:t xml:space="preserve">that </w:t>
      </w:r>
      <w:r w:rsidR="005E640B">
        <w:rPr>
          <w:rFonts w:ascii="Arial" w:hAnsi="Arial" w:cs="Arial"/>
        </w:rPr>
        <w:t>the Council’s feedback repeatedly cited a ‘lack of detail</w:t>
      </w:r>
      <w:r w:rsidR="00B6690D">
        <w:rPr>
          <w:rFonts w:ascii="Arial" w:hAnsi="Arial" w:cs="Arial"/>
        </w:rPr>
        <w:t>’</w:t>
      </w:r>
      <w:r w:rsidR="00FA6088">
        <w:rPr>
          <w:rFonts w:ascii="Arial" w:hAnsi="Arial" w:cs="Arial"/>
        </w:rPr>
        <w:t>.</w:t>
      </w:r>
    </w:p>
    <w:p w14:paraId="44BCAD40" w14:textId="7A622A64" w:rsidR="00C81DCF" w:rsidRPr="00766956" w:rsidRDefault="00FE4305" w:rsidP="00002624">
      <w:pPr>
        <w:pStyle w:val="ListParagraph"/>
        <w:numPr>
          <w:ilvl w:val="0"/>
          <w:numId w:val="2"/>
        </w:numPr>
        <w:spacing w:line="276" w:lineRule="auto"/>
        <w:ind w:left="567" w:hanging="567"/>
        <w:contextualSpacing w:val="0"/>
        <w:rPr>
          <w:rFonts w:ascii="Arial" w:hAnsi="Arial" w:cs="Arial"/>
        </w:rPr>
      </w:pPr>
      <w:r w:rsidRPr="00002624">
        <w:rPr>
          <w:rFonts w:ascii="Arial" w:hAnsi="Arial" w:cs="Arial"/>
        </w:rPr>
        <w:t xml:space="preserve">The Council provided the Panel with </w:t>
      </w:r>
      <w:r w:rsidR="005B2FD4" w:rsidRPr="00002624">
        <w:rPr>
          <w:rFonts w:ascii="Arial" w:hAnsi="Arial" w:cs="Arial"/>
        </w:rPr>
        <w:t>a description of its evaluation process</w:t>
      </w:r>
      <w:r w:rsidR="006931CA" w:rsidRPr="00002624">
        <w:rPr>
          <w:rFonts w:ascii="Arial" w:hAnsi="Arial" w:cs="Arial"/>
        </w:rPr>
        <w:t xml:space="preserve"> and a copy of the guidance that was supplied to </w:t>
      </w:r>
      <w:r w:rsidR="0047003D" w:rsidRPr="00002624">
        <w:rPr>
          <w:rFonts w:ascii="Arial" w:hAnsi="Arial" w:cs="Arial"/>
        </w:rPr>
        <w:t xml:space="preserve">evaluators. </w:t>
      </w:r>
      <w:r w:rsidR="0039324A" w:rsidRPr="00002624">
        <w:rPr>
          <w:rFonts w:ascii="Arial" w:hAnsi="Arial" w:cs="Arial"/>
        </w:rPr>
        <w:t xml:space="preserve">The </w:t>
      </w:r>
      <w:r w:rsidR="002C3E13" w:rsidRPr="00002624">
        <w:rPr>
          <w:rFonts w:ascii="Arial" w:hAnsi="Arial" w:cs="Arial"/>
        </w:rPr>
        <w:t xml:space="preserve">Council </w:t>
      </w:r>
      <w:r w:rsidR="00083CD4" w:rsidRPr="00002624">
        <w:rPr>
          <w:rFonts w:ascii="Arial" w:hAnsi="Arial" w:cs="Arial"/>
        </w:rPr>
        <w:t>told the Panel that</w:t>
      </w:r>
      <w:r w:rsidR="0039324A" w:rsidRPr="00002624">
        <w:rPr>
          <w:rFonts w:ascii="Arial" w:hAnsi="Arial" w:cs="Arial"/>
        </w:rPr>
        <w:t xml:space="preserve"> </w:t>
      </w:r>
      <w:r w:rsidR="003E49BA">
        <w:rPr>
          <w:rFonts w:ascii="Arial" w:hAnsi="Arial" w:cs="Arial"/>
        </w:rPr>
        <w:t xml:space="preserve">two </w:t>
      </w:r>
      <w:r w:rsidR="00083CD4" w:rsidRPr="00002624">
        <w:rPr>
          <w:rFonts w:ascii="Arial" w:hAnsi="Arial" w:cs="Arial"/>
        </w:rPr>
        <w:t>briefing sessions were held for evaluation panel members ahead of the evaluation, and that these briefing sessions</w:t>
      </w:r>
      <w:r w:rsidR="009A3AE8" w:rsidRPr="00002624">
        <w:rPr>
          <w:rFonts w:ascii="Arial" w:hAnsi="Arial" w:cs="Arial"/>
        </w:rPr>
        <w:t xml:space="preserve"> </w:t>
      </w:r>
      <w:r w:rsidR="00E35F31" w:rsidRPr="00002624">
        <w:rPr>
          <w:rFonts w:ascii="Arial" w:hAnsi="Arial" w:cs="Arial"/>
        </w:rPr>
        <w:t>“</w:t>
      </w:r>
      <w:r w:rsidR="009A3AE8" w:rsidRPr="00002624">
        <w:rPr>
          <w:rFonts w:ascii="Arial" w:hAnsi="Arial" w:cs="Arial"/>
        </w:rPr>
        <w:t>covered a walk through of the evaluation process and the issues highlighted in the evaluation guidance</w:t>
      </w:r>
      <w:r w:rsidR="00A663C0" w:rsidRPr="00002624">
        <w:rPr>
          <w:rFonts w:ascii="Arial" w:hAnsi="Arial" w:cs="Arial"/>
        </w:rPr>
        <w:t>”</w:t>
      </w:r>
      <w:r w:rsidR="009A3AE8" w:rsidRPr="00002624">
        <w:rPr>
          <w:rFonts w:ascii="Arial" w:hAnsi="Arial" w:cs="Arial"/>
        </w:rPr>
        <w:t>.</w:t>
      </w:r>
      <w:r w:rsidR="002C6C69">
        <w:rPr>
          <w:rStyle w:val="FootnoteReference"/>
          <w:rFonts w:ascii="Arial" w:hAnsi="Arial" w:cs="Arial"/>
        </w:rPr>
        <w:footnoteReference w:id="35"/>
      </w:r>
      <w:r w:rsidR="00002624" w:rsidRPr="00002624">
        <w:rPr>
          <w:rFonts w:ascii="Arial" w:hAnsi="Arial" w:cs="Arial"/>
        </w:rPr>
        <w:t xml:space="preserve"> </w:t>
      </w:r>
      <w:r w:rsidR="00D90787">
        <w:rPr>
          <w:rFonts w:ascii="Arial" w:hAnsi="Arial" w:cs="Arial"/>
        </w:rPr>
        <w:t>The Panel notes that t</w:t>
      </w:r>
      <w:r w:rsidR="00A663C0" w:rsidRPr="00002624">
        <w:rPr>
          <w:rFonts w:ascii="Arial" w:hAnsi="Arial" w:cs="Arial"/>
        </w:rPr>
        <w:t xml:space="preserve">he evaluation guidance </w:t>
      </w:r>
      <w:r w:rsidR="00CE170A" w:rsidRPr="00002624">
        <w:rPr>
          <w:rFonts w:ascii="Arial" w:hAnsi="Arial" w:cs="Arial"/>
        </w:rPr>
        <w:t xml:space="preserve">addressed various areas relevant to ensuring a robust </w:t>
      </w:r>
      <w:r w:rsidR="002200E6" w:rsidRPr="00002624">
        <w:rPr>
          <w:rFonts w:ascii="Arial" w:hAnsi="Arial" w:cs="Arial"/>
        </w:rPr>
        <w:t>evaluation process</w:t>
      </w:r>
      <w:r w:rsidR="003B741C" w:rsidRPr="00002624">
        <w:rPr>
          <w:rFonts w:ascii="Arial" w:hAnsi="Arial" w:cs="Arial"/>
        </w:rPr>
        <w:t>, including how proposals should be scored</w:t>
      </w:r>
      <w:r w:rsidR="00002624" w:rsidRPr="00002624">
        <w:rPr>
          <w:rFonts w:ascii="Arial" w:hAnsi="Arial" w:cs="Arial"/>
        </w:rPr>
        <w:t>, and specifically referenced the importance of evaluators being consistent in their approach.</w:t>
      </w:r>
      <w:r w:rsidR="00002624">
        <w:rPr>
          <w:rStyle w:val="FootnoteReference"/>
          <w:rFonts w:ascii="Arial" w:hAnsi="Arial" w:cs="Arial"/>
        </w:rPr>
        <w:footnoteReference w:id="36"/>
      </w:r>
    </w:p>
    <w:p w14:paraId="694386BB" w14:textId="63E8D8D0" w:rsidR="00D04A53" w:rsidRDefault="00FD4AB2" w:rsidP="00EE410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At its meeting with the Panel, the Council said that </w:t>
      </w:r>
      <w:r w:rsidR="008B772B">
        <w:rPr>
          <w:rFonts w:ascii="Arial" w:hAnsi="Arial" w:cs="Arial"/>
        </w:rPr>
        <w:t>achieving consisten</w:t>
      </w:r>
      <w:r w:rsidR="002E60F4">
        <w:rPr>
          <w:rFonts w:ascii="Arial" w:hAnsi="Arial" w:cs="Arial"/>
        </w:rPr>
        <w:t>cy in i</w:t>
      </w:r>
      <w:r w:rsidR="008B772B">
        <w:rPr>
          <w:rFonts w:ascii="Arial" w:hAnsi="Arial" w:cs="Arial"/>
        </w:rPr>
        <w:t>t</w:t>
      </w:r>
      <w:r w:rsidR="00B5690D">
        <w:rPr>
          <w:rFonts w:ascii="Arial" w:hAnsi="Arial" w:cs="Arial"/>
        </w:rPr>
        <w:t>s</w:t>
      </w:r>
      <w:r w:rsidR="008B772B">
        <w:rPr>
          <w:rFonts w:ascii="Arial" w:hAnsi="Arial" w:cs="Arial"/>
        </w:rPr>
        <w:t xml:space="preserve"> approach to scoring </w:t>
      </w:r>
      <w:r w:rsidR="00B5690D">
        <w:rPr>
          <w:rFonts w:ascii="Arial" w:hAnsi="Arial" w:cs="Arial"/>
        </w:rPr>
        <w:t xml:space="preserve">different proposals </w:t>
      </w:r>
      <w:r w:rsidR="008B772B">
        <w:rPr>
          <w:rFonts w:ascii="Arial" w:hAnsi="Arial" w:cs="Arial"/>
        </w:rPr>
        <w:t xml:space="preserve">was </w:t>
      </w:r>
      <w:r w:rsidR="00B5690D">
        <w:rPr>
          <w:rFonts w:ascii="Arial" w:hAnsi="Arial" w:cs="Arial"/>
        </w:rPr>
        <w:t>aided by having a dedicated procurement and commissioning manager</w:t>
      </w:r>
      <w:r w:rsidR="0042299F">
        <w:rPr>
          <w:rFonts w:ascii="Arial" w:hAnsi="Arial" w:cs="Arial"/>
        </w:rPr>
        <w:t xml:space="preserve">. This manager </w:t>
      </w:r>
      <w:r w:rsidR="006B4272">
        <w:rPr>
          <w:rFonts w:ascii="Arial" w:hAnsi="Arial" w:cs="Arial"/>
        </w:rPr>
        <w:t>ensured that evaluation members had a consistent understanding of the scoring methodology</w:t>
      </w:r>
      <w:r w:rsidR="0042299F">
        <w:rPr>
          <w:rFonts w:ascii="Arial" w:hAnsi="Arial" w:cs="Arial"/>
        </w:rPr>
        <w:t xml:space="preserve"> </w:t>
      </w:r>
      <w:r w:rsidR="003F1AF1">
        <w:rPr>
          <w:rFonts w:ascii="Arial" w:hAnsi="Arial" w:cs="Arial"/>
        </w:rPr>
        <w:t>(</w:t>
      </w:r>
      <w:r w:rsidR="0042299F">
        <w:rPr>
          <w:rFonts w:ascii="Arial" w:hAnsi="Arial" w:cs="Arial"/>
        </w:rPr>
        <w:t>via the briefing sessions</w:t>
      </w:r>
      <w:r w:rsidR="003F1AF1">
        <w:rPr>
          <w:rFonts w:ascii="Arial" w:hAnsi="Arial" w:cs="Arial"/>
        </w:rPr>
        <w:t>)</w:t>
      </w:r>
      <w:r w:rsidR="0042299F">
        <w:rPr>
          <w:rFonts w:ascii="Arial" w:hAnsi="Arial" w:cs="Arial"/>
        </w:rPr>
        <w:t xml:space="preserve"> </w:t>
      </w:r>
      <w:r w:rsidR="00577CEE">
        <w:rPr>
          <w:rFonts w:ascii="Arial" w:hAnsi="Arial" w:cs="Arial"/>
        </w:rPr>
        <w:t>and through the</w:t>
      </w:r>
      <w:r w:rsidR="003E49BA">
        <w:rPr>
          <w:rFonts w:ascii="Arial" w:hAnsi="Arial" w:cs="Arial"/>
        </w:rPr>
        <w:t xml:space="preserve"> manager’s</w:t>
      </w:r>
      <w:r w:rsidR="00577CEE">
        <w:rPr>
          <w:rFonts w:ascii="Arial" w:hAnsi="Arial" w:cs="Arial"/>
        </w:rPr>
        <w:t xml:space="preserve"> role in facilitating the scoring moderation meetings</w:t>
      </w:r>
      <w:r w:rsidR="00952ABD">
        <w:rPr>
          <w:rFonts w:ascii="Arial" w:hAnsi="Arial" w:cs="Arial"/>
        </w:rPr>
        <w:t>. As part of this role the manager would provide challenge to evaluators to ensure that they were applying the scoring methodology consistently and appropriately.</w:t>
      </w:r>
      <w:r w:rsidR="00952ABD">
        <w:rPr>
          <w:rStyle w:val="FootnoteReference"/>
          <w:rFonts w:ascii="Arial" w:hAnsi="Arial" w:cs="Arial"/>
        </w:rPr>
        <w:footnoteReference w:id="37"/>
      </w:r>
    </w:p>
    <w:p w14:paraId="570A4467" w14:textId="3AD4DF8E" w:rsidR="00873C8F" w:rsidRPr="00F73C4D" w:rsidRDefault="004D30EB" w:rsidP="6E857ABD">
      <w:pPr>
        <w:pStyle w:val="ListParagraph"/>
        <w:numPr>
          <w:ilvl w:val="0"/>
          <w:numId w:val="2"/>
        </w:numPr>
        <w:spacing w:line="276" w:lineRule="auto"/>
        <w:ind w:left="567" w:hanging="567"/>
        <w:contextualSpacing w:val="0"/>
        <w:rPr>
          <w:rFonts w:ascii="Arial" w:hAnsi="Arial" w:cs="Arial"/>
        </w:rPr>
      </w:pPr>
      <w:r w:rsidRPr="00F73C4D">
        <w:rPr>
          <w:rFonts w:ascii="Arial" w:hAnsi="Arial" w:cs="Arial"/>
        </w:rPr>
        <w:t xml:space="preserve">The Panel </w:t>
      </w:r>
      <w:r w:rsidR="00A2066B">
        <w:rPr>
          <w:rFonts w:ascii="Arial" w:hAnsi="Arial" w:cs="Arial"/>
        </w:rPr>
        <w:t xml:space="preserve">also </w:t>
      </w:r>
      <w:r w:rsidR="005606A6">
        <w:rPr>
          <w:rFonts w:ascii="Arial" w:hAnsi="Arial" w:cs="Arial"/>
        </w:rPr>
        <w:t xml:space="preserve">conducted a high-level comparison of </w:t>
      </w:r>
      <w:r w:rsidR="00AB5C21" w:rsidRPr="00F73C4D">
        <w:rPr>
          <w:rFonts w:ascii="Arial" w:hAnsi="Arial" w:cs="Arial"/>
        </w:rPr>
        <w:t xml:space="preserve">the </w:t>
      </w:r>
      <w:r w:rsidR="00FD7CE6">
        <w:rPr>
          <w:rFonts w:ascii="Arial" w:hAnsi="Arial" w:cs="Arial"/>
        </w:rPr>
        <w:t xml:space="preserve">DHI and TPS </w:t>
      </w:r>
      <w:r w:rsidR="00AB5C21" w:rsidRPr="00F73C4D">
        <w:rPr>
          <w:rFonts w:ascii="Arial" w:hAnsi="Arial" w:cs="Arial"/>
        </w:rPr>
        <w:t xml:space="preserve">proposals </w:t>
      </w:r>
      <w:r w:rsidR="00F73C4D" w:rsidRPr="00F73C4D">
        <w:rPr>
          <w:rFonts w:ascii="Arial" w:hAnsi="Arial" w:cs="Arial"/>
        </w:rPr>
        <w:t>to assess</w:t>
      </w:r>
      <w:r w:rsidR="00FA3767">
        <w:rPr>
          <w:rFonts w:ascii="Arial" w:hAnsi="Arial" w:cs="Arial"/>
        </w:rPr>
        <w:t xml:space="preserve"> </w:t>
      </w:r>
      <w:r w:rsidR="00F070F3" w:rsidRPr="00F73C4D">
        <w:rPr>
          <w:rFonts w:ascii="Arial" w:hAnsi="Arial" w:cs="Arial"/>
        </w:rPr>
        <w:t xml:space="preserve">whether </w:t>
      </w:r>
      <w:r w:rsidR="00557B59">
        <w:rPr>
          <w:rFonts w:ascii="Arial" w:hAnsi="Arial" w:cs="Arial"/>
        </w:rPr>
        <w:t>the</w:t>
      </w:r>
      <w:r w:rsidR="00212052">
        <w:rPr>
          <w:rFonts w:ascii="Arial" w:hAnsi="Arial" w:cs="Arial"/>
        </w:rPr>
        <w:t>ir</w:t>
      </w:r>
      <w:r w:rsidR="00557B59">
        <w:rPr>
          <w:rFonts w:ascii="Arial" w:hAnsi="Arial" w:cs="Arial"/>
        </w:rPr>
        <w:t xml:space="preserve"> level of detail </w:t>
      </w:r>
      <w:r w:rsidR="00782901">
        <w:rPr>
          <w:rFonts w:ascii="Arial" w:hAnsi="Arial" w:cs="Arial"/>
        </w:rPr>
        <w:t>w</w:t>
      </w:r>
      <w:r w:rsidR="00277BF0">
        <w:rPr>
          <w:rFonts w:ascii="Arial" w:hAnsi="Arial" w:cs="Arial"/>
        </w:rPr>
        <w:t xml:space="preserve">as </w:t>
      </w:r>
      <w:r w:rsidR="00782901">
        <w:rPr>
          <w:rFonts w:ascii="Arial" w:hAnsi="Arial" w:cs="Arial"/>
        </w:rPr>
        <w:t xml:space="preserve">such </w:t>
      </w:r>
      <w:r w:rsidR="00471A28">
        <w:rPr>
          <w:rFonts w:ascii="Arial" w:hAnsi="Arial" w:cs="Arial"/>
        </w:rPr>
        <w:t xml:space="preserve">that the Council’s feedback </w:t>
      </w:r>
      <w:r w:rsidR="00F673F2">
        <w:rPr>
          <w:rFonts w:ascii="Arial" w:hAnsi="Arial" w:cs="Arial"/>
        </w:rPr>
        <w:t xml:space="preserve">to DHI </w:t>
      </w:r>
      <w:r w:rsidR="00BD1BD7">
        <w:rPr>
          <w:rFonts w:ascii="Arial" w:hAnsi="Arial" w:cs="Arial"/>
        </w:rPr>
        <w:t xml:space="preserve">on the level of detail in its proposal </w:t>
      </w:r>
      <w:r w:rsidR="00894EC1">
        <w:rPr>
          <w:rFonts w:ascii="Arial" w:hAnsi="Arial" w:cs="Arial"/>
        </w:rPr>
        <w:t xml:space="preserve">might be considered </w:t>
      </w:r>
      <w:r w:rsidR="00782901">
        <w:rPr>
          <w:rFonts w:ascii="Arial" w:hAnsi="Arial" w:cs="Arial"/>
        </w:rPr>
        <w:t>unreasonable</w:t>
      </w:r>
      <w:r w:rsidR="00E2270A" w:rsidRPr="00F73C4D">
        <w:rPr>
          <w:rFonts w:ascii="Arial" w:hAnsi="Arial" w:cs="Arial"/>
        </w:rPr>
        <w:t xml:space="preserve">. </w:t>
      </w:r>
      <w:r w:rsidR="00091DA7" w:rsidRPr="00F73C4D">
        <w:rPr>
          <w:rFonts w:ascii="Arial" w:hAnsi="Arial" w:cs="Arial"/>
        </w:rPr>
        <w:t>The Panel</w:t>
      </w:r>
      <w:r w:rsidR="00565517">
        <w:rPr>
          <w:rFonts w:ascii="Arial" w:hAnsi="Arial" w:cs="Arial"/>
        </w:rPr>
        <w:t xml:space="preserve">’s view is that </w:t>
      </w:r>
      <w:r w:rsidR="00357EEB">
        <w:rPr>
          <w:rFonts w:ascii="Arial" w:hAnsi="Arial" w:cs="Arial"/>
        </w:rPr>
        <w:t xml:space="preserve">the Council’s </w:t>
      </w:r>
      <w:r w:rsidR="005B2DA9">
        <w:rPr>
          <w:rFonts w:ascii="Arial" w:hAnsi="Arial" w:cs="Arial"/>
        </w:rPr>
        <w:t xml:space="preserve">feedback to </w:t>
      </w:r>
      <w:r w:rsidR="00357EEB">
        <w:rPr>
          <w:rFonts w:ascii="Arial" w:hAnsi="Arial" w:cs="Arial"/>
        </w:rPr>
        <w:t>DHI</w:t>
      </w:r>
      <w:r w:rsidR="005E5B11">
        <w:rPr>
          <w:rFonts w:ascii="Arial" w:hAnsi="Arial" w:cs="Arial"/>
        </w:rPr>
        <w:t xml:space="preserve"> </w:t>
      </w:r>
      <w:r w:rsidR="00894EC1">
        <w:rPr>
          <w:rFonts w:ascii="Arial" w:hAnsi="Arial" w:cs="Arial"/>
        </w:rPr>
        <w:t xml:space="preserve">on this point </w:t>
      </w:r>
      <w:r w:rsidR="005B2DA9">
        <w:rPr>
          <w:rFonts w:ascii="Arial" w:hAnsi="Arial" w:cs="Arial"/>
        </w:rPr>
        <w:t>was</w:t>
      </w:r>
      <w:r w:rsidR="00572E7E">
        <w:rPr>
          <w:rFonts w:ascii="Arial" w:hAnsi="Arial" w:cs="Arial"/>
        </w:rPr>
        <w:t xml:space="preserve"> not unreasonable</w:t>
      </w:r>
      <w:r w:rsidR="000A43AF" w:rsidRPr="00F73C4D">
        <w:rPr>
          <w:rFonts w:ascii="Arial" w:hAnsi="Arial" w:cs="Arial"/>
        </w:rPr>
        <w:t>.</w:t>
      </w:r>
    </w:p>
    <w:p w14:paraId="26C987B5" w14:textId="4D67825D" w:rsidR="009713D4" w:rsidRPr="0048632C" w:rsidRDefault="3DFE7D66" w:rsidP="00EB77D7">
      <w:pPr>
        <w:pStyle w:val="ListParagraph"/>
        <w:numPr>
          <w:ilvl w:val="0"/>
          <w:numId w:val="2"/>
        </w:numPr>
        <w:spacing w:line="276" w:lineRule="auto"/>
        <w:ind w:left="567" w:hanging="567"/>
        <w:contextualSpacing w:val="0"/>
        <w:rPr>
          <w:rFonts w:ascii="Arial" w:hAnsi="Arial" w:cs="Arial"/>
        </w:rPr>
      </w:pPr>
      <w:r w:rsidRPr="551E1DED">
        <w:rPr>
          <w:rFonts w:ascii="Arial" w:hAnsi="Arial" w:cs="Arial"/>
        </w:rPr>
        <w:t>The Panel</w:t>
      </w:r>
      <w:r w:rsidR="00D07D22">
        <w:rPr>
          <w:rFonts w:ascii="Arial" w:hAnsi="Arial" w:cs="Arial"/>
        </w:rPr>
        <w:t xml:space="preserve">’s view is that the </w:t>
      </w:r>
      <w:r w:rsidR="009D21FE">
        <w:rPr>
          <w:rFonts w:ascii="Arial" w:hAnsi="Arial" w:cs="Arial"/>
        </w:rPr>
        <w:t>Council</w:t>
      </w:r>
      <w:r w:rsidR="0074791C">
        <w:rPr>
          <w:rFonts w:ascii="Arial" w:hAnsi="Arial" w:cs="Arial"/>
        </w:rPr>
        <w:t xml:space="preserve"> put in place </w:t>
      </w:r>
      <w:r w:rsidR="009D21FE">
        <w:rPr>
          <w:rFonts w:ascii="Arial" w:hAnsi="Arial" w:cs="Arial"/>
        </w:rPr>
        <w:t xml:space="preserve">processes </w:t>
      </w:r>
      <w:r w:rsidR="00DE00C1">
        <w:rPr>
          <w:rFonts w:ascii="Arial" w:hAnsi="Arial" w:cs="Arial"/>
        </w:rPr>
        <w:t xml:space="preserve">that were sufficiently robust </w:t>
      </w:r>
      <w:r w:rsidR="0074791C">
        <w:rPr>
          <w:rFonts w:ascii="Arial" w:hAnsi="Arial" w:cs="Arial"/>
        </w:rPr>
        <w:t xml:space="preserve">to ensure </w:t>
      </w:r>
      <w:r w:rsidR="00F0183F">
        <w:rPr>
          <w:rFonts w:ascii="Arial" w:hAnsi="Arial" w:cs="Arial"/>
        </w:rPr>
        <w:t xml:space="preserve">that </w:t>
      </w:r>
      <w:r w:rsidR="00395C18">
        <w:rPr>
          <w:rFonts w:ascii="Arial" w:hAnsi="Arial" w:cs="Arial"/>
        </w:rPr>
        <w:t>its</w:t>
      </w:r>
      <w:r w:rsidR="001B1A9B">
        <w:rPr>
          <w:rFonts w:ascii="Arial" w:hAnsi="Arial" w:cs="Arial"/>
        </w:rPr>
        <w:t xml:space="preserve"> evaluation</w:t>
      </w:r>
      <w:r w:rsidR="00051CE5">
        <w:rPr>
          <w:rFonts w:ascii="Arial" w:hAnsi="Arial" w:cs="Arial"/>
        </w:rPr>
        <w:t xml:space="preserve"> </w:t>
      </w:r>
      <w:r w:rsidR="00292924">
        <w:rPr>
          <w:rFonts w:ascii="Arial" w:hAnsi="Arial" w:cs="Arial"/>
        </w:rPr>
        <w:t xml:space="preserve">delivered </w:t>
      </w:r>
      <w:r w:rsidR="00051CE5">
        <w:rPr>
          <w:rFonts w:ascii="Arial" w:hAnsi="Arial" w:cs="Arial"/>
        </w:rPr>
        <w:t xml:space="preserve">a </w:t>
      </w:r>
      <w:r w:rsidR="00C27ABE">
        <w:rPr>
          <w:rFonts w:ascii="Arial" w:hAnsi="Arial" w:cs="Arial"/>
        </w:rPr>
        <w:t>consisten</w:t>
      </w:r>
      <w:r w:rsidR="00051CE5">
        <w:rPr>
          <w:rFonts w:ascii="Arial" w:hAnsi="Arial" w:cs="Arial"/>
        </w:rPr>
        <w:t xml:space="preserve">t approach to </w:t>
      </w:r>
      <w:r w:rsidR="00C27ABE">
        <w:rPr>
          <w:rFonts w:ascii="Arial" w:hAnsi="Arial" w:cs="Arial"/>
        </w:rPr>
        <w:t>evaluati</w:t>
      </w:r>
      <w:r w:rsidR="00051CE5">
        <w:rPr>
          <w:rFonts w:ascii="Arial" w:hAnsi="Arial" w:cs="Arial"/>
        </w:rPr>
        <w:t>ng</w:t>
      </w:r>
      <w:r w:rsidR="00C27ABE">
        <w:rPr>
          <w:rFonts w:ascii="Arial" w:hAnsi="Arial" w:cs="Arial"/>
        </w:rPr>
        <w:t xml:space="preserve"> bidders’ proposals. Further, </w:t>
      </w:r>
      <w:r w:rsidR="0058747D">
        <w:rPr>
          <w:rFonts w:ascii="Arial" w:hAnsi="Arial" w:cs="Arial"/>
        </w:rPr>
        <w:t>the</w:t>
      </w:r>
      <w:r w:rsidR="00A2066B">
        <w:rPr>
          <w:rFonts w:ascii="Arial" w:hAnsi="Arial" w:cs="Arial"/>
        </w:rPr>
        <w:t xml:space="preserve"> Panel’s view is that </w:t>
      </w:r>
      <w:r w:rsidR="00944386">
        <w:rPr>
          <w:rFonts w:ascii="Arial" w:hAnsi="Arial" w:cs="Arial"/>
        </w:rPr>
        <w:t xml:space="preserve">the </w:t>
      </w:r>
      <w:r w:rsidR="00313CCB">
        <w:rPr>
          <w:rFonts w:ascii="Arial" w:hAnsi="Arial" w:cs="Arial"/>
        </w:rPr>
        <w:t>Council</w:t>
      </w:r>
      <w:r w:rsidR="00944386">
        <w:rPr>
          <w:rFonts w:ascii="Arial" w:hAnsi="Arial" w:cs="Arial"/>
        </w:rPr>
        <w:t xml:space="preserve">’s </w:t>
      </w:r>
      <w:r w:rsidR="00AC7DF8">
        <w:rPr>
          <w:rFonts w:ascii="Arial" w:hAnsi="Arial" w:cs="Arial"/>
        </w:rPr>
        <w:t>feedback to DHI about the level of detail in its proposal</w:t>
      </w:r>
      <w:r w:rsidR="00944386">
        <w:rPr>
          <w:rFonts w:ascii="Arial" w:hAnsi="Arial" w:cs="Arial"/>
        </w:rPr>
        <w:t xml:space="preserve"> was not unreasonable</w:t>
      </w:r>
      <w:r w:rsidR="00AC7DF8">
        <w:rPr>
          <w:rFonts w:ascii="Arial" w:hAnsi="Arial" w:cs="Arial"/>
        </w:rPr>
        <w:t xml:space="preserve">. </w:t>
      </w:r>
      <w:r w:rsidR="00357C5C" w:rsidRPr="551E1DED">
        <w:rPr>
          <w:rFonts w:ascii="Arial" w:hAnsi="Arial" w:cs="Arial"/>
        </w:rPr>
        <w:t>As a result, the Panel finds that the Council</w:t>
      </w:r>
      <w:r w:rsidR="00C50A51" w:rsidRPr="551E1DED">
        <w:rPr>
          <w:rFonts w:ascii="Arial" w:hAnsi="Arial" w:cs="Arial"/>
        </w:rPr>
        <w:t>, in</w:t>
      </w:r>
      <w:r w:rsidR="00357C5C" w:rsidRPr="551E1DED">
        <w:rPr>
          <w:rFonts w:ascii="Arial" w:hAnsi="Arial" w:cs="Arial"/>
        </w:rPr>
        <w:t xml:space="preserve"> </w:t>
      </w:r>
      <w:r w:rsidR="00C50A51" w:rsidRPr="551E1DED">
        <w:rPr>
          <w:rFonts w:ascii="Arial" w:hAnsi="Arial" w:cs="Arial"/>
        </w:rPr>
        <w:t xml:space="preserve">evaluating responses to the Quality </w:t>
      </w:r>
      <w:r w:rsidR="001026CA">
        <w:rPr>
          <w:rFonts w:ascii="Arial" w:hAnsi="Arial" w:cs="Arial"/>
        </w:rPr>
        <w:t>questions</w:t>
      </w:r>
      <w:r w:rsidR="00C50A51" w:rsidRPr="551E1DED">
        <w:rPr>
          <w:rFonts w:ascii="Arial" w:hAnsi="Arial" w:cs="Arial"/>
        </w:rPr>
        <w:t xml:space="preserve">, </w:t>
      </w:r>
      <w:r w:rsidR="00357C5C" w:rsidRPr="551E1DED">
        <w:rPr>
          <w:rFonts w:ascii="Arial" w:hAnsi="Arial" w:cs="Arial"/>
        </w:rPr>
        <w:t>did not breach the PSR regulations</w:t>
      </w:r>
      <w:r w:rsidR="007C1D8B" w:rsidRPr="551E1DED">
        <w:rPr>
          <w:rFonts w:ascii="Arial" w:hAnsi="Arial" w:cs="Arial"/>
        </w:rPr>
        <w:t xml:space="preserve"> and</w:t>
      </w:r>
      <w:r w:rsidR="00637C58">
        <w:rPr>
          <w:rFonts w:ascii="Arial" w:hAnsi="Arial" w:cs="Arial"/>
        </w:rPr>
        <w:t>,</w:t>
      </w:r>
      <w:r w:rsidR="007C1D8B" w:rsidRPr="551E1DED">
        <w:rPr>
          <w:rFonts w:ascii="Arial" w:hAnsi="Arial" w:cs="Arial"/>
        </w:rPr>
        <w:t xml:space="preserve"> in particular</w:t>
      </w:r>
      <w:r w:rsidR="00637C58">
        <w:rPr>
          <w:rFonts w:ascii="Arial" w:hAnsi="Arial" w:cs="Arial"/>
        </w:rPr>
        <w:t>,</w:t>
      </w:r>
      <w:r w:rsidR="007C1D8B" w:rsidRPr="551E1DED">
        <w:rPr>
          <w:rFonts w:ascii="Arial" w:hAnsi="Arial" w:cs="Arial"/>
        </w:rPr>
        <w:t xml:space="preserve"> the obligation</w:t>
      </w:r>
      <w:r w:rsidR="00357C5C" w:rsidRPr="551E1DED">
        <w:rPr>
          <w:rFonts w:ascii="Arial" w:hAnsi="Arial" w:cs="Arial"/>
        </w:rPr>
        <w:t xml:space="preserve"> </w:t>
      </w:r>
      <w:r w:rsidR="00C50A51" w:rsidRPr="551E1DED">
        <w:rPr>
          <w:rFonts w:ascii="Arial" w:hAnsi="Arial" w:cs="Arial"/>
        </w:rPr>
        <w:t>to act fairly</w:t>
      </w:r>
      <w:r w:rsidR="002B3996" w:rsidRPr="551E1DED">
        <w:rPr>
          <w:rFonts w:ascii="Arial" w:hAnsi="Arial" w:cs="Arial"/>
        </w:rPr>
        <w:t xml:space="preserve"> and transparently</w:t>
      </w:r>
      <w:r w:rsidR="00357C5C" w:rsidRPr="551E1DED">
        <w:rPr>
          <w:rFonts w:ascii="Arial" w:hAnsi="Arial" w:cs="Arial"/>
        </w:rPr>
        <w:t>.</w:t>
      </w:r>
    </w:p>
    <w:p w14:paraId="5278CE35" w14:textId="792611A5" w:rsidR="000E5CF7" w:rsidRPr="00766956" w:rsidRDefault="00A15083" w:rsidP="00237E63">
      <w:pPr>
        <w:pStyle w:val="Heading2"/>
        <w:numPr>
          <w:ilvl w:val="1"/>
          <w:numId w:val="1"/>
        </w:numPr>
        <w:spacing w:before="240" w:after="160"/>
        <w:ind w:left="0" w:firstLine="0"/>
        <w:rPr>
          <w:rFonts w:ascii="Arial" w:hAnsi="Arial" w:cs="Arial"/>
          <w:b/>
          <w:bCs/>
          <w:color w:val="000000" w:themeColor="text1"/>
          <w:sz w:val="24"/>
          <w:szCs w:val="24"/>
        </w:rPr>
      </w:pPr>
      <w:bookmarkStart w:id="18" w:name="_Toc189662756"/>
      <w:r w:rsidRPr="00766956">
        <w:rPr>
          <w:rFonts w:ascii="Arial" w:hAnsi="Arial" w:cs="Arial"/>
          <w:b/>
          <w:bCs/>
          <w:color w:val="000000" w:themeColor="text1"/>
          <w:sz w:val="24"/>
          <w:szCs w:val="24"/>
        </w:rPr>
        <w:t>Evaluat</w:t>
      </w:r>
      <w:r w:rsidR="00E575B0">
        <w:rPr>
          <w:rFonts w:ascii="Arial" w:hAnsi="Arial" w:cs="Arial"/>
          <w:b/>
          <w:bCs/>
          <w:color w:val="000000" w:themeColor="text1"/>
          <w:sz w:val="24"/>
          <w:szCs w:val="24"/>
        </w:rPr>
        <w:t xml:space="preserve">ion panel </w:t>
      </w:r>
      <w:r w:rsidRPr="00766956">
        <w:rPr>
          <w:rFonts w:ascii="Arial" w:hAnsi="Arial" w:cs="Arial"/>
          <w:b/>
          <w:bCs/>
          <w:color w:val="000000" w:themeColor="text1"/>
          <w:sz w:val="24"/>
          <w:szCs w:val="24"/>
        </w:rPr>
        <w:t>e</w:t>
      </w:r>
      <w:r w:rsidR="000E5CF7" w:rsidRPr="00766956">
        <w:rPr>
          <w:rFonts w:ascii="Arial" w:hAnsi="Arial" w:cs="Arial"/>
          <w:b/>
          <w:bCs/>
          <w:color w:val="000000" w:themeColor="text1"/>
          <w:sz w:val="24"/>
          <w:szCs w:val="24"/>
        </w:rPr>
        <w:t>xpertise</w:t>
      </w:r>
      <w:bookmarkEnd w:id="18"/>
    </w:p>
    <w:p w14:paraId="7F8BA74F" w14:textId="7B79D9BD" w:rsidR="000E5CF7" w:rsidRPr="008A2EB1" w:rsidRDefault="00FF759F" w:rsidP="008A2EB1">
      <w:pPr>
        <w:pStyle w:val="ListParagraph"/>
        <w:numPr>
          <w:ilvl w:val="0"/>
          <w:numId w:val="2"/>
        </w:numPr>
        <w:spacing w:line="276" w:lineRule="auto"/>
        <w:ind w:left="567" w:hanging="567"/>
        <w:contextualSpacing w:val="0"/>
        <w:rPr>
          <w:rFonts w:ascii="Arial" w:hAnsi="Arial" w:cs="Arial"/>
        </w:rPr>
      </w:pPr>
      <w:r w:rsidRPr="008A2EB1">
        <w:rPr>
          <w:rFonts w:ascii="Arial" w:hAnsi="Arial" w:cs="Arial"/>
        </w:rPr>
        <w:t xml:space="preserve">This section sets out the Panel’s assessment of DHI’s concerns about </w:t>
      </w:r>
      <w:r w:rsidR="00A77D02" w:rsidRPr="008A2EB1">
        <w:rPr>
          <w:rFonts w:ascii="Arial" w:hAnsi="Arial" w:cs="Arial"/>
        </w:rPr>
        <w:t xml:space="preserve">the </w:t>
      </w:r>
      <w:r w:rsidR="00354B4B">
        <w:rPr>
          <w:rFonts w:ascii="Arial" w:hAnsi="Arial" w:cs="Arial"/>
        </w:rPr>
        <w:t xml:space="preserve">level of expertise available on the </w:t>
      </w:r>
      <w:r w:rsidR="00A77D02" w:rsidRPr="008A2EB1">
        <w:rPr>
          <w:rFonts w:ascii="Arial" w:hAnsi="Arial" w:cs="Arial"/>
        </w:rPr>
        <w:t>evaluation panel</w:t>
      </w:r>
      <w:r w:rsidR="008A2EB1" w:rsidRPr="008A2EB1">
        <w:rPr>
          <w:rFonts w:ascii="Arial" w:hAnsi="Arial" w:cs="Arial"/>
        </w:rPr>
        <w:t xml:space="preserve">. </w:t>
      </w:r>
      <w:r w:rsidR="000E5CF7" w:rsidRPr="008A2EB1">
        <w:rPr>
          <w:rFonts w:ascii="Arial" w:hAnsi="Arial" w:cs="Arial"/>
        </w:rPr>
        <w:t xml:space="preserve">DHI </w:t>
      </w:r>
      <w:r w:rsidR="004174CD" w:rsidRPr="008A2EB1">
        <w:rPr>
          <w:rFonts w:ascii="Arial" w:hAnsi="Arial" w:cs="Arial"/>
        </w:rPr>
        <w:t xml:space="preserve">told </w:t>
      </w:r>
      <w:r w:rsidR="000E5CF7" w:rsidRPr="008A2EB1">
        <w:rPr>
          <w:rFonts w:ascii="Arial" w:hAnsi="Arial" w:cs="Arial"/>
        </w:rPr>
        <w:t xml:space="preserve">the Panel that </w:t>
      </w:r>
      <w:r w:rsidR="007A07A9">
        <w:rPr>
          <w:rFonts w:ascii="Arial" w:hAnsi="Arial" w:cs="Arial"/>
        </w:rPr>
        <w:t>it had concerns about “the inexperience of evalu</w:t>
      </w:r>
      <w:r w:rsidR="005E428C">
        <w:rPr>
          <w:rFonts w:ascii="Arial" w:hAnsi="Arial" w:cs="Arial"/>
        </w:rPr>
        <w:t>ators”</w:t>
      </w:r>
      <w:r w:rsidR="001279F6">
        <w:rPr>
          <w:rFonts w:ascii="Arial" w:hAnsi="Arial" w:cs="Arial"/>
        </w:rPr>
        <w:t xml:space="preserve"> (see paragraph </w:t>
      </w:r>
      <w:r w:rsidR="00572CD3">
        <w:rPr>
          <w:rFonts w:ascii="Arial" w:hAnsi="Arial" w:cs="Arial"/>
        </w:rPr>
        <w:fldChar w:fldCharType="begin"/>
      </w:r>
      <w:r w:rsidR="00572CD3">
        <w:rPr>
          <w:rFonts w:ascii="Arial" w:hAnsi="Arial" w:cs="Arial"/>
        </w:rPr>
        <w:instrText xml:space="preserve"> REF _Ref189120944 \r \h </w:instrText>
      </w:r>
      <w:r w:rsidR="00572CD3">
        <w:rPr>
          <w:rFonts w:ascii="Arial" w:hAnsi="Arial" w:cs="Arial"/>
        </w:rPr>
      </w:r>
      <w:r w:rsidR="00572CD3">
        <w:rPr>
          <w:rFonts w:ascii="Arial" w:hAnsi="Arial" w:cs="Arial"/>
        </w:rPr>
        <w:fldChar w:fldCharType="separate"/>
      </w:r>
      <w:r w:rsidR="0023016C">
        <w:rPr>
          <w:rFonts w:ascii="Arial" w:hAnsi="Arial" w:cs="Arial"/>
        </w:rPr>
        <w:t>40</w:t>
      </w:r>
      <w:r w:rsidR="00572CD3">
        <w:rPr>
          <w:rFonts w:ascii="Arial" w:hAnsi="Arial" w:cs="Arial"/>
        </w:rPr>
        <w:fldChar w:fldCharType="end"/>
      </w:r>
      <w:r w:rsidR="001279F6">
        <w:rPr>
          <w:rFonts w:ascii="Arial" w:hAnsi="Arial" w:cs="Arial"/>
        </w:rPr>
        <w:fldChar w:fldCharType="begin"/>
      </w:r>
      <w:r w:rsidR="001279F6">
        <w:rPr>
          <w:rFonts w:ascii="Arial" w:hAnsi="Arial" w:cs="Arial"/>
        </w:rPr>
        <w:instrText xml:space="preserve"> REF _Ref189120944 \r \h </w:instrText>
      </w:r>
      <w:r w:rsidR="001279F6">
        <w:rPr>
          <w:rFonts w:ascii="Arial" w:hAnsi="Arial" w:cs="Arial"/>
        </w:rPr>
      </w:r>
      <w:r w:rsidR="001279F6">
        <w:rPr>
          <w:rFonts w:ascii="Arial" w:hAnsi="Arial" w:cs="Arial"/>
        </w:rPr>
        <w:fldChar w:fldCharType="separate"/>
      </w:r>
      <w:r w:rsidR="0023016C">
        <w:rPr>
          <w:rFonts w:ascii="Arial" w:hAnsi="Arial" w:cs="Arial"/>
        </w:rPr>
        <w:t>40</w:t>
      </w:r>
      <w:r w:rsidR="001279F6">
        <w:rPr>
          <w:rFonts w:ascii="Arial" w:hAnsi="Arial" w:cs="Arial"/>
        </w:rPr>
        <w:fldChar w:fldCharType="end"/>
      </w:r>
      <w:r w:rsidR="001279F6">
        <w:rPr>
          <w:rFonts w:ascii="Arial" w:hAnsi="Arial" w:cs="Arial"/>
        </w:rPr>
        <w:t>)</w:t>
      </w:r>
      <w:r w:rsidR="0032233F">
        <w:rPr>
          <w:rFonts w:ascii="Arial" w:hAnsi="Arial" w:cs="Arial"/>
        </w:rPr>
        <w:t xml:space="preserve"> and their spread of expertise</w:t>
      </w:r>
      <w:r w:rsidR="0055558A">
        <w:rPr>
          <w:rFonts w:ascii="Arial" w:hAnsi="Arial" w:cs="Arial"/>
        </w:rPr>
        <w:t xml:space="preserve">, </w:t>
      </w:r>
      <w:r w:rsidR="00AE526E">
        <w:rPr>
          <w:rFonts w:ascii="Arial" w:hAnsi="Arial" w:cs="Arial"/>
        </w:rPr>
        <w:t>and in particular the lack of representatives from criminal justice services</w:t>
      </w:r>
      <w:r w:rsidR="0055558A">
        <w:rPr>
          <w:rFonts w:ascii="Arial" w:hAnsi="Arial" w:cs="Arial"/>
        </w:rPr>
        <w:t>. E</w:t>
      </w:r>
      <w:r w:rsidR="00D35AC9" w:rsidRPr="008A2EB1">
        <w:rPr>
          <w:rFonts w:ascii="Arial" w:hAnsi="Arial" w:cs="Arial"/>
        </w:rPr>
        <w:t>arlier</w:t>
      </w:r>
      <w:r w:rsidR="0055558A">
        <w:rPr>
          <w:rFonts w:ascii="Arial" w:hAnsi="Arial" w:cs="Arial"/>
        </w:rPr>
        <w:t>, DHI</w:t>
      </w:r>
      <w:r w:rsidR="00D35AC9" w:rsidRPr="008A2EB1">
        <w:rPr>
          <w:rFonts w:ascii="Arial" w:hAnsi="Arial" w:cs="Arial"/>
        </w:rPr>
        <w:t xml:space="preserve"> </w:t>
      </w:r>
      <w:r w:rsidR="000E5CF7" w:rsidRPr="008A2EB1">
        <w:rPr>
          <w:rFonts w:ascii="Arial" w:hAnsi="Arial" w:cs="Arial"/>
        </w:rPr>
        <w:t xml:space="preserve">told the Council that </w:t>
      </w:r>
      <w:r w:rsidR="00D35AC9" w:rsidRPr="008A2EB1">
        <w:rPr>
          <w:rFonts w:ascii="Arial" w:hAnsi="Arial" w:cs="Arial"/>
        </w:rPr>
        <w:t xml:space="preserve">it had </w:t>
      </w:r>
      <w:r w:rsidR="000E5CF7" w:rsidRPr="008A2EB1">
        <w:rPr>
          <w:rFonts w:ascii="Arial" w:hAnsi="Arial" w:cs="Arial"/>
        </w:rPr>
        <w:t xml:space="preserve">“concerns about whether the bid was evaluated </w:t>
      </w:r>
      <w:r w:rsidR="000E5CF7" w:rsidRPr="008A2EB1">
        <w:rPr>
          <w:rFonts w:ascii="Arial" w:hAnsi="Arial" w:cs="Arial"/>
        </w:rPr>
        <w:lastRenderedPageBreak/>
        <w:t>by individuals with the necessary knowledge to assess complex and specialised proposals effectively”</w:t>
      </w:r>
      <w:r w:rsidR="00CE72BB" w:rsidRPr="008A2EB1">
        <w:rPr>
          <w:rFonts w:ascii="Arial" w:hAnsi="Arial" w:cs="Arial"/>
        </w:rPr>
        <w:t>.</w:t>
      </w:r>
      <w:r w:rsidR="000E5CF7" w:rsidRPr="00523D66">
        <w:rPr>
          <w:rFonts w:ascii="Arial" w:hAnsi="Arial" w:cs="Arial"/>
          <w:vertAlign w:val="superscript"/>
        </w:rPr>
        <w:footnoteReference w:id="38"/>
      </w:r>
    </w:p>
    <w:p w14:paraId="3A7B693A" w14:textId="0B4C7949" w:rsidR="00FD6B62" w:rsidRPr="00CE72BB" w:rsidRDefault="005100D9" w:rsidP="00CE72B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At its meeting with </w:t>
      </w:r>
      <w:r w:rsidR="00FD6B62" w:rsidRPr="00CE72BB">
        <w:rPr>
          <w:rFonts w:ascii="Arial" w:hAnsi="Arial" w:cs="Arial"/>
        </w:rPr>
        <w:t>the Panel</w:t>
      </w:r>
      <w:r w:rsidR="008A7C35">
        <w:rPr>
          <w:rFonts w:ascii="Arial" w:hAnsi="Arial" w:cs="Arial"/>
        </w:rPr>
        <w:t xml:space="preserve"> during this review</w:t>
      </w:r>
      <w:r>
        <w:rPr>
          <w:rFonts w:ascii="Arial" w:hAnsi="Arial" w:cs="Arial"/>
        </w:rPr>
        <w:t>, DHI said</w:t>
      </w:r>
      <w:r w:rsidR="00FD6B62" w:rsidRPr="00CE72BB">
        <w:rPr>
          <w:rFonts w:ascii="Arial" w:hAnsi="Arial" w:cs="Arial"/>
        </w:rPr>
        <w:t xml:space="preserve"> that it believed the Council did</w:t>
      </w:r>
      <w:r w:rsidR="580B6068" w:rsidRPr="00CE72BB">
        <w:rPr>
          <w:rFonts w:ascii="Arial" w:hAnsi="Arial" w:cs="Arial"/>
        </w:rPr>
        <w:t xml:space="preserve"> </w:t>
      </w:r>
      <w:r w:rsidR="00FD6B62" w:rsidRPr="00CE72BB">
        <w:rPr>
          <w:rFonts w:ascii="Arial" w:hAnsi="Arial" w:cs="Arial"/>
        </w:rPr>
        <w:t>n</w:t>
      </w:r>
      <w:r w:rsidR="0E615D9C" w:rsidRPr="00CE72BB">
        <w:rPr>
          <w:rFonts w:ascii="Arial" w:hAnsi="Arial" w:cs="Arial"/>
        </w:rPr>
        <w:t>o</w:t>
      </w:r>
      <w:r w:rsidR="00FD6B62" w:rsidRPr="00CE72BB">
        <w:rPr>
          <w:rFonts w:ascii="Arial" w:hAnsi="Arial" w:cs="Arial"/>
        </w:rPr>
        <w:t>t have experienced commissioners</w:t>
      </w:r>
      <w:r w:rsidR="00B326F4" w:rsidRPr="00CE72BB">
        <w:rPr>
          <w:rFonts w:ascii="Arial" w:hAnsi="Arial" w:cs="Arial"/>
        </w:rPr>
        <w:t xml:space="preserve"> leading the procurement</w:t>
      </w:r>
      <w:r w:rsidR="00EC5C85">
        <w:rPr>
          <w:rFonts w:ascii="Arial" w:hAnsi="Arial" w:cs="Arial"/>
        </w:rPr>
        <w:t xml:space="preserve"> </w:t>
      </w:r>
      <w:r w:rsidR="003755D4">
        <w:rPr>
          <w:rFonts w:ascii="Arial" w:hAnsi="Arial" w:cs="Arial"/>
        </w:rPr>
        <w:t>as HC</w:t>
      </w:r>
      <w:r w:rsidR="00A03198">
        <w:rPr>
          <w:rFonts w:ascii="Arial" w:hAnsi="Arial" w:cs="Arial"/>
        </w:rPr>
        <w:t>R</w:t>
      </w:r>
      <w:r w:rsidR="003755D4">
        <w:rPr>
          <w:rFonts w:ascii="Arial" w:hAnsi="Arial" w:cs="Arial"/>
        </w:rPr>
        <w:t xml:space="preserve">G had been responsible for </w:t>
      </w:r>
      <w:r w:rsidR="003852BF" w:rsidRPr="00CE72BB">
        <w:rPr>
          <w:rFonts w:ascii="Arial" w:hAnsi="Arial" w:cs="Arial"/>
        </w:rPr>
        <w:t xml:space="preserve">commissioning drug and alcohol services </w:t>
      </w:r>
      <w:r w:rsidR="2CA104A9" w:rsidRPr="00CE72BB">
        <w:rPr>
          <w:rFonts w:ascii="Arial" w:hAnsi="Arial" w:cs="Arial"/>
        </w:rPr>
        <w:t xml:space="preserve">under </w:t>
      </w:r>
      <w:r w:rsidR="00B86171">
        <w:rPr>
          <w:rFonts w:ascii="Arial" w:hAnsi="Arial" w:cs="Arial"/>
        </w:rPr>
        <w:t xml:space="preserve">its </w:t>
      </w:r>
      <w:r w:rsidR="2CA104A9" w:rsidRPr="00CE72BB">
        <w:rPr>
          <w:rFonts w:ascii="Arial" w:hAnsi="Arial" w:cs="Arial"/>
        </w:rPr>
        <w:t xml:space="preserve">prime provider </w:t>
      </w:r>
      <w:r w:rsidR="00B86171">
        <w:rPr>
          <w:rFonts w:ascii="Arial" w:hAnsi="Arial" w:cs="Arial"/>
        </w:rPr>
        <w:t>contract</w:t>
      </w:r>
      <w:r w:rsidR="00EC5C85" w:rsidRPr="00EC5C85">
        <w:rPr>
          <w:rFonts w:ascii="Arial" w:hAnsi="Arial" w:cs="Arial"/>
        </w:rPr>
        <w:t xml:space="preserve"> </w:t>
      </w:r>
      <w:r w:rsidR="004F7E9E">
        <w:rPr>
          <w:rFonts w:ascii="Arial" w:hAnsi="Arial" w:cs="Arial"/>
        </w:rPr>
        <w:t xml:space="preserve">since 2017 </w:t>
      </w:r>
      <w:r w:rsidR="00FD6B62" w:rsidRPr="00CE72BB">
        <w:rPr>
          <w:rFonts w:ascii="Arial" w:hAnsi="Arial" w:cs="Arial"/>
        </w:rPr>
        <w:t>and</w:t>
      </w:r>
      <w:r w:rsidR="00C178C9">
        <w:rPr>
          <w:rFonts w:ascii="Arial" w:hAnsi="Arial" w:cs="Arial"/>
        </w:rPr>
        <w:t>,</w:t>
      </w:r>
      <w:r w:rsidR="00FD6B62" w:rsidRPr="00CE72BB">
        <w:rPr>
          <w:rFonts w:ascii="Arial" w:hAnsi="Arial" w:cs="Arial"/>
        </w:rPr>
        <w:t xml:space="preserve"> </w:t>
      </w:r>
      <w:r w:rsidR="00C178C9">
        <w:rPr>
          <w:rFonts w:ascii="Arial" w:hAnsi="Arial" w:cs="Arial"/>
        </w:rPr>
        <w:t xml:space="preserve">as a result, </w:t>
      </w:r>
      <w:r w:rsidR="00FD6B62" w:rsidRPr="00CE72BB">
        <w:rPr>
          <w:rFonts w:ascii="Arial" w:hAnsi="Arial" w:cs="Arial"/>
        </w:rPr>
        <w:t xml:space="preserve">there </w:t>
      </w:r>
      <w:r w:rsidR="00C178C9">
        <w:rPr>
          <w:rFonts w:ascii="Arial" w:hAnsi="Arial" w:cs="Arial"/>
        </w:rPr>
        <w:t>were</w:t>
      </w:r>
      <w:r w:rsidR="00FD6B62" w:rsidRPr="00CE72BB">
        <w:rPr>
          <w:rFonts w:ascii="Arial" w:hAnsi="Arial" w:cs="Arial"/>
        </w:rPr>
        <w:t xml:space="preserve"> gap</w:t>
      </w:r>
      <w:r w:rsidR="00C178C9">
        <w:rPr>
          <w:rFonts w:ascii="Arial" w:hAnsi="Arial" w:cs="Arial"/>
        </w:rPr>
        <w:t>s</w:t>
      </w:r>
      <w:r w:rsidR="00FD6B62" w:rsidRPr="00CE72BB">
        <w:rPr>
          <w:rFonts w:ascii="Arial" w:hAnsi="Arial" w:cs="Arial"/>
        </w:rPr>
        <w:t xml:space="preserve"> in </w:t>
      </w:r>
      <w:r w:rsidR="00C178C9">
        <w:rPr>
          <w:rFonts w:ascii="Arial" w:hAnsi="Arial" w:cs="Arial"/>
        </w:rPr>
        <w:t xml:space="preserve">the Council’s </w:t>
      </w:r>
      <w:r w:rsidR="00FD6B62" w:rsidRPr="00CE72BB">
        <w:rPr>
          <w:rFonts w:ascii="Arial" w:hAnsi="Arial" w:cs="Arial"/>
        </w:rPr>
        <w:t xml:space="preserve">knowledge of </w:t>
      </w:r>
      <w:r w:rsidR="003E57E7">
        <w:rPr>
          <w:rFonts w:ascii="Arial" w:hAnsi="Arial" w:cs="Arial"/>
        </w:rPr>
        <w:t xml:space="preserve">adults and </w:t>
      </w:r>
      <w:r w:rsidR="00FD6B62" w:rsidRPr="00CE72BB">
        <w:rPr>
          <w:rFonts w:ascii="Arial" w:hAnsi="Arial" w:cs="Arial"/>
        </w:rPr>
        <w:t xml:space="preserve">young </w:t>
      </w:r>
      <w:r w:rsidR="003E57E7">
        <w:rPr>
          <w:rFonts w:ascii="Arial" w:hAnsi="Arial" w:cs="Arial"/>
        </w:rPr>
        <w:t>persons substance misuse commissioning and related fields</w:t>
      </w:r>
      <w:r w:rsidR="00FD6B62" w:rsidRPr="00CE72BB">
        <w:rPr>
          <w:rFonts w:ascii="Arial" w:hAnsi="Arial" w:cs="Arial"/>
        </w:rPr>
        <w:t>.</w:t>
      </w:r>
      <w:r w:rsidR="00B326F4" w:rsidRPr="00523D66">
        <w:rPr>
          <w:rFonts w:ascii="Arial" w:hAnsi="Arial" w:cs="Arial"/>
          <w:vertAlign w:val="superscript"/>
        </w:rPr>
        <w:footnoteReference w:id="39"/>
      </w:r>
    </w:p>
    <w:p w14:paraId="2B9E7CA8" w14:textId="2D631BC5" w:rsidR="000E5CF7" w:rsidRPr="00CE72BB" w:rsidRDefault="000E5CF7" w:rsidP="00CE72BB">
      <w:pPr>
        <w:pStyle w:val="ListParagraph"/>
        <w:numPr>
          <w:ilvl w:val="0"/>
          <w:numId w:val="2"/>
        </w:numPr>
        <w:spacing w:line="276" w:lineRule="auto"/>
        <w:ind w:left="567" w:hanging="567"/>
        <w:contextualSpacing w:val="0"/>
        <w:rPr>
          <w:rFonts w:ascii="Arial" w:hAnsi="Arial" w:cs="Arial"/>
        </w:rPr>
      </w:pPr>
      <w:r w:rsidRPr="00CE72BB">
        <w:rPr>
          <w:rFonts w:ascii="Arial" w:hAnsi="Arial" w:cs="Arial"/>
        </w:rPr>
        <w:t xml:space="preserve">The Council </w:t>
      </w:r>
      <w:r w:rsidR="00471E7C">
        <w:rPr>
          <w:rFonts w:ascii="Arial" w:hAnsi="Arial" w:cs="Arial"/>
        </w:rPr>
        <w:t xml:space="preserve">in responding to </w:t>
      </w:r>
      <w:r w:rsidRPr="00CE72BB">
        <w:rPr>
          <w:rFonts w:ascii="Arial" w:hAnsi="Arial" w:cs="Arial"/>
        </w:rPr>
        <w:t xml:space="preserve">DHI’s </w:t>
      </w:r>
      <w:r w:rsidR="00471E7C">
        <w:rPr>
          <w:rFonts w:ascii="Arial" w:hAnsi="Arial" w:cs="Arial"/>
        </w:rPr>
        <w:t xml:space="preserve">initial </w:t>
      </w:r>
      <w:r w:rsidRPr="00CE72BB">
        <w:rPr>
          <w:rFonts w:ascii="Arial" w:hAnsi="Arial" w:cs="Arial"/>
        </w:rPr>
        <w:t xml:space="preserve">representations </w:t>
      </w:r>
      <w:r w:rsidR="0029193D">
        <w:rPr>
          <w:rFonts w:ascii="Arial" w:hAnsi="Arial" w:cs="Arial"/>
        </w:rPr>
        <w:t xml:space="preserve">said </w:t>
      </w:r>
      <w:r w:rsidRPr="00CE72BB">
        <w:rPr>
          <w:rFonts w:ascii="Arial" w:hAnsi="Arial" w:cs="Arial"/>
        </w:rPr>
        <w:t>that “members of the evaluation panel were selected due to their combined experience and expertise of commissioning and the subject matter of the contract, including how it impacts the wider system”</w:t>
      </w:r>
      <w:r w:rsidR="00B41DC6">
        <w:rPr>
          <w:rFonts w:ascii="Arial" w:hAnsi="Arial" w:cs="Arial"/>
        </w:rPr>
        <w:t xml:space="preserve"> and that it was </w:t>
      </w:r>
      <w:r w:rsidR="00B41DC6" w:rsidRPr="00CE72BB">
        <w:rPr>
          <w:rFonts w:ascii="Arial" w:hAnsi="Arial" w:cs="Arial"/>
        </w:rPr>
        <w:t xml:space="preserve">satisfied </w:t>
      </w:r>
      <w:r w:rsidR="00B41DC6">
        <w:rPr>
          <w:rFonts w:ascii="Arial" w:hAnsi="Arial" w:cs="Arial"/>
        </w:rPr>
        <w:t>with</w:t>
      </w:r>
      <w:r w:rsidR="00B41DC6" w:rsidRPr="00CE72BB">
        <w:rPr>
          <w:rFonts w:ascii="Arial" w:hAnsi="Arial" w:cs="Arial"/>
        </w:rPr>
        <w:t xml:space="preserve"> the selection of panel members</w:t>
      </w:r>
      <w:r w:rsidR="00B41DC6">
        <w:rPr>
          <w:rFonts w:ascii="Arial" w:hAnsi="Arial" w:cs="Arial"/>
        </w:rPr>
        <w:t>.</w:t>
      </w:r>
      <w:r w:rsidR="0029193D" w:rsidRPr="003F1F10">
        <w:rPr>
          <w:rFonts w:ascii="Arial" w:hAnsi="Arial" w:cs="Arial"/>
          <w:vertAlign w:val="superscript"/>
        </w:rPr>
        <w:footnoteReference w:id="40"/>
      </w:r>
    </w:p>
    <w:p w14:paraId="1D90FC95" w14:textId="7F7F0AC1" w:rsidR="006A5C19" w:rsidRPr="00871E8F" w:rsidRDefault="00246F2C" w:rsidP="00871E8F">
      <w:pPr>
        <w:pStyle w:val="ListParagraph"/>
        <w:numPr>
          <w:ilvl w:val="0"/>
          <w:numId w:val="2"/>
        </w:numPr>
        <w:spacing w:line="276" w:lineRule="auto"/>
        <w:ind w:left="567" w:hanging="567"/>
        <w:contextualSpacing w:val="0"/>
        <w:rPr>
          <w:rFonts w:ascii="Arial" w:hAnsi="Arial" w:cs="Arial"/>
        </w:rPr>
      </w:pPr>
      <w:r w:rsidRPr="00766956">
        <w:rPr>
          <w:rFonts w:ascii="Arial" w:hAnsi="Arial" w:cs="Arial"/>
        </w:rPr>
        <w:t>In response to questions from the Panel</w:t>
      </w:r>
      <w:r w:rsidR="00E66520" w:rsidRPr="00AE4B9F">
        <w:rPr>
          <w:rFonts w:ascii="Arial" w:hAnsi="Arial" w:cs="Arial"/>
        </w:rPr>
        <w:t>,</w:t>
      </w:r>
      <w:r w:rsidRPr="00AE4B9F">
        <w:rPr>
          <w:rFonts w:ascii="Arial" w:hAnsi="Arial" w:cs="Arial"/>
        </w:rPr>
        <w:t xml:space="preserve"> t</w:t>
      </w:r>
      <w:r w:rsidR="000E5CF7" w:rsidRPr="00AE4B9F">
        <w:rPr>
          <w:rFonts w:ascii="Arial" w:hAnsi="Arial" w:cs="Arial"/>
        </w:rPr>
        <w:t>he</w:t>
      </w:r>
      <w:r w:rsidR="000E5CF7" w:rsidRPr="00871E8F">
        <w:rPr>
          <w:rFonts w:ascii="Arial" w:hAnsi="Arial" w:cs="Arial"/>
        </w:rPr>
        <w:t xml:space="preserve"> Council provided </w:t>
      </w:r>
      <w:r w:rsidR="00964A11" w:rsidRPr="00871E8F">
        <w:rPr>
          <w:rFonts w:ascii="Arial" w:hAnsi="Arial" w:cs="Arial"/>
        </w:rPr>
        <w:t xml:space="preserve">biographies </w:t>
      </w:r>
      <w:r w:rsidR="00EF773D" w:rsidRPr="00871E8F">
        <w:rPr>
          <w:rFonts w:ascii="Arial" w:hAnsi="Arial" w:cs="Arial"/>
        </w:rPr>
        <w:t>of e</w:t>
      </w:r>
      <w:r w:rsidR="000E5CF7" w:rsidRPr="00871E8F">
        <w:rPr>
          <w:rFonts w:ascii="Arial" w:hAnsi="Arial" w:cs="Arial"/>
        </w:rPr>
        <w:t xml:space="preserve">valuation </w:t>
      </w:r>
      <w:r w:rsidR="00EF773D" w:rsidRPr="00871E8F">
        <w:rPr>
          <w:rFonts w:ascii="Arial" w:hAnsi="Arial" w:cs="Arial"/>
        </w:rPr>
        <w:t>p</w:t>
      </w:r>
      <w:r w:rsidR="000E5CF7" w:rsidRPr="00871E8F">
        <w:rPr>
          <w:rFonts w:ascii="Arial" w:hAnsi="Arial" w:cs="Arial"/>
        </w:rPr>
        <w:t xml:space="preserve">anel members, </w:t>
      </w:r>
      <w:r w:rsidR="00EF773D" w:rsidRPr="00871E8F">
        <w:rPr>
          <w:rFonts w:ascii="Arial" w:hAnsi="Arial" w:cs="Arial"/>
        </w:rPr>
        <w:t>the questions assessed by each panel member</w:t>
      </w:r>
      <w:r w:rsidR="000E5CF7" w:rsidRPr="00871E8F">
        <w:rPr>
          <w:rFonts w:ascii="Arial" w:hAnsi="Arial" w:cs="Arial"/>
        </w:rPr>
        <w:t xml:space="preserve"> and </w:t>
      </w:r>
      <w:r w:rsidR="00EF773D" w:rsidRPr="00871E8F">
        <w:rPr>
          <w:rFonts w:ascii="Arial" w:hAnsi="Arial" w:cs="Arial"/>
        </w:rPr>
        <w:t xml:space="preserve">the </w:t>
      </w:r>
      <w:r w:rsidR="000E5CF7" w:rsidRPr="00871E8F">
        <w:rPr>
          <w:rFonts w:ascii="Arial" w:hAnsi="Arial" w:cs="Arial"/>
        </w:rPr>
        <w:t xml:space="preserve">rationale for </w:t>
      </w:r>
      <w:r w:rsidR="00EF773D" w:rsidRPr="00871E8F">
        <w:rPr>
          <w:rFonts w:ascii="Arial" w:hAnsi="Arial" w:cs="Arial"/>
        </w:rPr>
        <w:t>allocati</w:t>
      </w:r>
      <w:r w:rsidR="005B7043" w:rsidRPr="00871E8F">
        <w:rPr>
          <w:rFonts w:ascii="Arial" w:hAnsi="Arial" w:cs="Arial"/>
        </w:rPr>
        <w:t xml:space="preserve">ng </w:t>
      </w:r>
      <w:r w:rsidR="000E5CF7" w:rsidRPr="00871E8F">
        <w:rPr>
          <w:rFonts w:ascii="Arial" w:hAnsi="Arial" w:cs="Arial"/>
        </w:rPr>
        <w:t>question</w:t>
      </w:r>
      <w:r w:rsidR="00EF773D" w:rsidRPr="00871E8F">
        <w:rPr>
          <w:rFonts w:ascii="Arial" w:hAnsi="Arial" w:cs="Arial"/>
        </w:rPr>
        <w:t>s to panel members</w:t>
      </w:r>
      <w:r w:rsidR="000E5CF7" w:rsidRPr="00871E8F">
        <w:rPr>
          <w:rFonts w:ascii="Arial" w:hAnsi="Arial" w:cs="Arial"/>
        </w:rPr>
        <w:t>.</w:t>
      </w:r>
      <w:r w:rsidR="000E5CF7" w:rsidRPr="00523D66">
        <w:rPr>
          <w:rFonts w:ascii="Arial" w:hAnsi="Arial" w:cs="Arial"/>
          <w:vertAlign w:val="superscript"/>
        </w:rPr>
        <w:footnoteReference w:id="41"/>
      </w:r>
      <w:r w:rsidR="000E5CF7" w:rsidRPr="00871E8F">
        <w:rPr>
          <w:rFonts w:ascii="Arial" w:hAnsi="Arial" w:cs="Arial"/>
        </w:rPr>
        <w:t xml:space="preserve"> </w:t>
      </w:r>
      <w:r w:rsidR="00E66520" w:rsidRPr="00871E8F">
        <w:rPr>
          <w:rFonts w:ascii="Arial" w:hAnsi="Arial" w:cs="Arial"/>
        </w:rPr>
        <w:t xml:space="preserve">The Council </w:t>
      </w:r>
      <w:r w:rsidR="00686ED6" w:rsidRPr="00871E8F">
        <w:rPr>
          <w:rFonts w:ascii="Arial" w:hAnsi="Arial" w:cs="Arial"/>
        </w:rPr>
        <w:t>told the Panel that it had ensured</w:t>
      </w:r>
      <w:r w:rsidR="00930D2C" w:rsidRPr="00871E8F">
        <w:rPr>
          <w:rFonts w:ascii="Arial" w:hAnsi="Arial" w:cs="Arial"/>
        </w:rPr>
        <w:t xml:space="preserve"> that there </w:t>
      </w:r>
      <w:r w:rsidR="0016503C" w:rsidRPr="00871E8F">
        <w:rPr>
          <w:rFonts w:ascii="Arial" w:hAnsi="Arial" w:cs="Arial"/>
        </w:rPr>
        <w:t>were</w:t>
      </w:r>
      <w:r w:rsidR="00930D2C" w:rsidRPr="00871E8F">
        <w:rPr>
          <w:rFonts w:ascii="Arial" w:hAnsi="Arial" w:cs="Arial"/>
        </w:rPr>
        <w:t xml:space="preserve"> </w:t>
      </w:r>
      <w:r w:rsidR="000C5D84" w:rsidRPr="00871E8F">
        <w:rPr>
          <w:rFonts w:ascii="Arial" w:hAnsi="Arial" w:cs="Arial"/>
        </w:rPr>
        <w:t xml:space="preserve">varied </w:t>
      </w:r>
      <w:r w:rsidR="0016503C" w:rsidRPr="00871E8F">
        <w:rPr>
          <w:rFonts w:ascii="Arial" w:hAnsi="Arial" w:cs="Arial"/>
        </w:rPr>
        <w:t>backgrounds</w:t>
      </w:r>
      <w:r w:rsidR="000C5D84" w:rsidRPr="00871E8F">
        <w:rPr>
          <w:rFonts w:ascii="Arial" w:hAnsi="Arial" w:cs="Arial"/>
        </w:rPr>
        <w:t xml:space="preserve"> amongst the evaluators</w:t>
      </w:r>
      <w:r w:rsidR="00326D2E" w:rsidRPr="00871E8F">
        <w:rPr>
          <w:rFonts w:ascii="Arial" w:hAnsi="Arial" w:cs="Arial"/>
        </w:rPr>
        <w:t xml:space="preserve"> relevant to the key elements of the service specification</w:t>
      </w:r>
      <w:r w:rsidR="00C57FDC" w:rsidRPr="00871E8F">
        <w:rPr>
          <w:rFonts w:ascii="Arial" w:hAnsi="Arial" w:cs="Arial"/>
        </w:rPr>
        <w:t>, including an evaluator from Children’s Early Help services</w:t>
      </w:r>
      <w:r w:rsidR="00326D2E" w:rsidRPr="00871E8F">
        <w:rPr>
          <w:rFonts w:ascii="Arial" w:hAnsi="Arial" w:cs="Arial"/>
        </w:rPr>
        <w:t xml:space="preserve">, and that the </w:t>
      </w:r>
      <w:r w:rsidR="008251C5" w:rsidRPr="00871E8F">
        <w:rPr>
          <w:rFonts w:ascii="Arial" w:hAnsi="Arial" w:cs="Arial"/>
        </w:rPr>
        <w:t>evaluators had a</w:t>
      </w:r>
      <w:r w:rsidR="0002766B" w:rsidRPr="00871E8F">
        <w:rPr>
          <w:rFonts w:ascii="Arial" w:hAnsi="Arial" w:cs="Arial"/>
        </w:rPr>
        <w:t xml:space="preserve"> </w:t>
      </w:r>
      <w:r w:rsidR="008251C5" w:rsidRPr="00871E8F">
        <w:rPr>
          <w:rFonts w:ascii="Arial" w:hAnsi="Arial" w:cs="Arial"/>
        </w:rPr>
        <w:t>good understanding</w:t>
      </w:r>
      <w:r w:rsidR="00686ED6" w:rsidRPr="00871E8F">
        <w:rPr>
          <w:rFonts w:ascii="Arial" w:hAnsi="Arial" w:cs="Arial"/>
        </w:rPr>
        <w:t xml:space="preserve"> </w:t>
      </w:r>
      <w:r w:rsidR="0002766B" w:rsidRPr="00871E8F">
        <w:rPr>
          <w:rFonts w:ascii="Arial" w:hAnsi="Arial" w:cs="Arial"/>
        </w:rPr>
        <w:t>of the service</w:t>
      </w:r>
      <w:r w:rsidR="00CF130A" w:rsidRPr="00871E8F">
        <w:rPr>
          <w:rFonts w:ascii="Arial" w:hAnsi="Arial" w:cs="Arial"/>
        </w:rPr>
        <w:t>’s</w:t>
      </w:r>
      <w:r w:rsidR="0002766B" w:rsidRPr="00871E8F">
        <w:rPr>
          <w:rFonts w:ascii="Arial" w:hAnsi="Arial" w:cs="Arial"/>
        </w:rPr>
        <w:t xml:space="preserve"> aims.</w:t>
      </w:r>
      <w:r w:rsidR="00871E8F" w:rsidRPr="00871E8F">
        <w:rPr>
          <w:rFonts w:ascii="Arial" w:hAnsi="Arial" w:cs="Arial"/>
        </w:rPr>
        <w:t xml:space="preserve"> </w:t>
      </w:r>
      <w:r w:rsidR="006A5C19" w:rsidRPr="00871E8F">
        <w:rPr>
          <w:rFonts w:ascii="Arial" w:hAnsi="Arial" w:cs="Arial"/>
        </w:rPr>
        <w:t xml:space="preserve">The Council </w:t>
      </w:r>
      <w:r w:rsidR="00884008" w:rsidRPr="00871E8F">
        <w:rPr>
          <w:rFonts w:ascii="Arial" w:hAnsi="Arial" w:cs="Arial"/>
        </w:rPr>
        <w:t xml:space="preserve">further </w:t>
      </w:r>
      <w:r w:rsidR="00EF1646" w:rsidRPr="00871E8F">
        <w:rPr>
          <w:rFonts w:ascii="Arial" w:hAnsi="Arial" w:cs="Arial"/>
        </w:rPr>
        <w:t>explained to the Panel that</w:t>
      </w:r>
      <w:r w:rsidR="00C624CB" w:rsidRPr="00871E8F">
        <w:rPr>
          <w:rFonts w:ascii="Arial" w:hAnsi="Arial" w:cs="Arial"/>
        </w:rPr>
        <w:t>, notwithstanding the prime provider contract with HCRG</w:t>
      </w:r>
      <w:r w:rsidR="00D2081B" w:rsidRPr="00871E8F">
        <w:rPr>
          <w:rFonts w:ascii="Arial" w:hAnsi="Arial" w:cs="Arial"/>
        </w:rPr>
        <w:t>,</w:t>
      </w:r>
      <w:r w:rsidR="00C624CB" w:rsidRPr="00871E8F">
        <w:rPr>
          <w:rFonts w:ascii="Arial" w:hAnsi="Arial" w:cs="Arial"/>
        </w:rPr>
        <w:t xml:space="preserve"> it had maintained in-house commissioning expertise </w:t>
      </w:r>
      <w:r w:rsidR="00C07DD4" w:rsidRPr="00871E8F">
        <w:rPr>
          <w:rFonts w:ascii="Arial" w:hAnsi="Arial" w:cs="Arial"/>
        </w:rPr>
        <w:t xml:space="preserve">through its </w:t>
      </w:r>
      <w:r w:rsidR="00EF1646" w:rsidRPr="00871E8F">
        <w:rPr>
          <w:rFonts w:ascii="Arial" w:hAnsi="Arial" w:cs="Arial"/>
        </w:rPr>
        <w:t>strategic commissioning function</w:t>
      </w:r>
      <w:r w:rsidR="00A430DE" w:rsidRPr="00871E8F">
        <w:rPr>
          <w:rFonts w:ascii="Arial" w:hAnsi="Arial" w:cs="Arial"/>
        </w:rPr>
        <w:t xml:space="preserve">s and </w:t>
      </w:r>
      <w:r w:rsidR="00C07DD4" w:rsidRPr="00871E8F">
        <w:rPr>
          <w:rFonts w:ascii="Arial" w:hAnsi="Arial" w:cs="Arial"/>
        </w:rPr>
        <w:t>through its direct commissioning of services outside the HCRG contract</w:t>
      </w:r>
      <w:r w:rsidR="005E2DA6" w:rsidRPr="00871E8F">
        <w:rPr>
          <w:rFonts w:ascii="Arial" w:hAnsi="Arial" w:cs="Arial"/>
        </w:rPr>
        <w:t>.</w:t>
      </w:r>
      <w:r w:rsidR="00FC3BFC">
        <w:rPr>
          <w:rStyle w:val="FootnoteReference"/>
          <w:rFonts w:ascii="Arial" w:hAnsi="Arial" w:cs="Arial"/>
        </w:rPr>
        <w:footnoteReference w:id="42"/>
      </w:r>
      <w:r w:rsidR="002F102F">
        <w:rPr>
          <w:rFonts w:ascii="Arial" w:hAnsi="Arial" w:cs="Arial"/>
        </w:rPr>
        <w:t xml:space="preserve"> </w:t>
      </w:r>
      <w:r w:rsidR="008109D5">
        <w:rPr>
          <w:rFonts w:ascii="Arial" w:hAnsi="Arial" w:cs="Arial"/>
        </w:rPr>
        <w:t>(</w:t>
      </w:r>
      <w:r w:rsidR="001522E2">
        <w:rPr>
          <w:rFonts w:ascii="Arial" w:hAnsi="Arial" w:cs="Arial"/>
        </w:rPr>
        <w:t xml:space="preserve">It also said that it maintained robust regular performance monitoring </w:t>
      </w:r>
      <w:r w:rsidR="00AC5506">
        <w:rPr>
          <w:rFonts w:ascii="Arial" w:hAnsi="Arial" w:cs="Arial"/>
        </w:rPr>
        <w:t xml:space="preserve">and a governance structure </w:t>
      </w:r>
      <w:r w:rsidR="00A928BE">
        <w:rPr>
          <w:rFonts w:ascii="Arial" w:hAnsi="Arial" w:cs="Arial"/>
        </w:rPr>
        <w:t>which</w:t>
      </w:r>
      <w:r w:rsidR="00AC5506">
        <w:rPr>
          <w:rFonts w:ascii="Arial" w:hAnsi="Arial" w:cs="Arial"/>
        </w:rPr>
        <w:t xml:space="preserve"> ensure</w:t>
      </w:r>
      <w:r w:rsidR="00A928BE">
        <w:rPr>
          <w:rFonts w:ascii="Arial" w:hAnsi="Arial" w:cs="Arial"/>
        </w:rPr>
        <w:t>d</w:t>
      </w:r>
      <w:r w:rsidR="00AC5506">
        <w:rPr>
          <w:rFonts w:ascii="Arial" w:hAnsi="Arial" w:cs="Arial"/>
        </w:rPr>
        <w:t xml:space="preserve"> that it continued to have the required oversight around needs, outcomes and quality of services.</w:t>
      </w:r>
      <w:r w:rsidR="008109D5">
        <w:rPr>
          <w:rFonts w:ascii="Arial" w:hAnsi="Arial" w:cs="Arial"/>
        </w:rPr>
        <w:t>)</w:t>
      </w:r>
      <w:r w:rsidR="008109D5">
        <w:rPr>
          <w:rStyle w:val="FootnoteReference"/>
          <w:rFonts w:ascii="Arial" w:hAnsi="Arial" w:cs="Arial"/>
        </w:rPr>
        <w:footnoteReference w:id="43"/>
      </w:r>
    </w:p>
    <w:p w14:paraId="16AB1454" w14:textId="130864BE" w:rsidR="00FD6B62" w:rsidRPr="00CE72BB" w:rsidRDefault="00B03573" w:rsidP="00CE72B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Having reviewed </w:t>
      </w:r>
      <w:r w:rsidR="009E2303">
        <w:rPr>
          <w:rFonts w:ascii="Arial" w:hAnsi="Arial" w:cs="Arial"/>
        </w:rPr>
        <w:t xml:space="preserve">evaluation </w:t>
      </w:r>
      <w:r>
        <w:rPr>
          <w:rFonts w:ascii="Arial" w:hAnsi="Arial" w:cs="Arial"/>
        </w:rPr>
        <w:t>panel member</w:t>
      </w:r>
      <w:r w:rsidR="003F0028">
        <w:rPr>
          <w:rFonts w:ascii="Arial" w:hAnsi="Arial" w:cs="Arial"/>
        </w:rPr>
        <w:t>ship</w:t>
      </w:r>
      <w:r>
        <w:rPr>
          <w:rFonts w:ascii="Arial" w:hAnsi="Arial" w:cs="Arial"/>
        </w:rPr>
        <w:t xml:space="preserve"> </w:t>
      </w:r>
      <w:r w:rsidR="00DF2219">
        <w:rPr>
          <w:rFonts w:ascii="Arial" w:hAnsi="Arial" w:cs="Arial"/>
        </w:rPr>
        <w:t xml:space="preserve">and considered </w:t>
      </w:r>
      <w:r w:rsidR="00111C75">
        <w:rPr>
          <w:rFonts w:ascii="Arial" w:hAnsi="Arial" w:cs="Arial"/>
        </w:rPr>
        <w:t xml:space="preserve">the way in which evaluation panel responsibilities were </w:t>
      </w:r>
      <w:r w:rsidR="003B239B">
        <w:rPr>
          <w:rFonts w:ascii="Arial" w:hAnsi="Arial" w:cs="Arial"/>
        </w:rPr>
        <w:t>carried out</w:t>
      </w:r>
      <w:r w:rsidR="00111C75">
        <w:rPr>
          <w:rFonts w:ascii="Arial" w:hAnsi="Arial" w:cs="Arial"/>
        </w:rPr>
        <w:t xml:space="preserve">, </w:t>
      </w:r>
      <w:r w:rsidR="00FD6B62" w:rsidRPr="00CE72BB">
        <w:rPr>
          <w:rFonts w:ascii="Arial" w:hAnsi="Arial" w:cs="Arial"/>
        </w:rPr>
        <w:t xml:space="preserve">the Panel is not persuaded that the </w:t>
      </w:r>
      <w:r w:rsidR="0095392C">
        <w:rPr>
          <w:rFonts w:ascii="Arial" w:hAnsi="Arial" w:cs="Arial"/>
        </w:rPr>
        <w:t xml:space="preserve">evaluation panel </w:t>
      </w:r>
      <w:r w:rsidR="00FD6B62" w:rsidRPr="00CE72BB">
        <w:rPr>
          <w:rFonts w:ascii="Arial" w:hAnsi="Arial" w:cs="Arial"/>
        </w:rPr>
        <w:t xml:space="preserve">lacked the expertise needed </w:t>
      </w:r>
      <w:r w:rsidR="003F4C19">
        <w:rPr>
          <w:rFonts w:ascii="Arial" w:hAnsi="Arial" w:cs="Arial"/>
        </w:rPr>
        <w:t>for</w:t>
      </w:r>
      <w:r w:rsidR="00F76A83">
        <w:rPr>
          <w:rFonts w:ascii="Arial" w:hAnsi="Arial" w:cs="Arial"/>
        </w:rPr>
        <w:t xml:space="preserve"> the Council to: (a)</w:t>
      </w:r>
      <w:r w:rsidR="003F4C19">
        <w:rPr>
          <w:rFonts w:ascii="Arial" w:hAnsi="Arial" w:cs="Arial"/>
        </w:rPr>
        <w:t xml:space="preserve"> </w:t>
      </w:r>
      <w:r w:rsidR="008771DA">
        <w:rPr>
          <w:rFonts w:ascii="Arial" w:hAnsi="Arial" w:cs="Arial"/>
        </w:rPr>
        <w:t xml:space="preserve">act fairly in </w:t>
      </w:r>
      <w:r w:rsidR="00FD6B62" w:rsidRPr="00CE72BB">
        <w:rPr>
          <w:rFonts w:ascii="Arial" w:hAnsi="Arial" w:cs="Arial"/>
        </w:rPr>
        <w:t>reach</w:t>
      </w:r>
      <w:r w:rsidR="008771DA">
        <w:rPr>
          <w:rFonts w:ascii="Arial" w:hAnsi="Arial" w:cs="Arial"/>
        </w:rPr>
        <w:t>ing</w:t>
      </w:r>
      <w:r w:rsidR="00FD6B62" w:rsidRPr="00CE72BB">
        <w:rPr>
          <w:rFonts w:ascii="Arial" w:hAnsi="Arial" w:cs="Arial"/>
        </w:rPr>
        <w:t xml:space="preserve"> </w:t>
      </w:r>
      <w:r w:rsidR="008771DA">
        <w:rPr>
          <w:rFonts w:ascii="Arial" w:hAnsi="Arial" w:cs="Arial"/>
        </w:rPr>
        <w:t xml:space="preserve">its </w:t>
      </w:r>
      <w:r w:rsidR="00981D59">
        <w:rPr>
          <w:rFonts w:ascii="Arial" w:hAnsi="Arial" w:cs="Arial"/>
        </w:rPr>
        <w:t xml:space="preserve">provider selection </w:t>
      </w:r>
      <w:r w:rsidR="00FD6B62" w:rsidRPr="00CE72BB">
        <w:rPr>
          <w:rFonts w:ascii="Arial" w:hAnsi="Arial" w:cs="Arial"/>
        </w:rPr>
        <w:t>decision</w:t>
      </w:r>
      <w:r w:rsidR="00F76A83">
        <w:rPr>
          <w:rFonts w:ascii="Arial" w:hAnsi="Arial" w:cs="Arial"/>
        </w:rPr>
        <w:t>;</w:t>
      </w:r>
      <w:r w:rsidR="008771DA">
        <w:rPr>
          <w:rFonts w:ascii="Arial" w:hAnsi="Arial" w:cs="Arial"/>
        </w:rPr>
        <w:t xml:space="preserve"> or </w:t>
      </w:r>
      <w:r w:rsidR="00F76A83">
        <w:rPr>
          <w:rFonts w:ascii="Arial" w:hAnsi="Arial" w:cs="Arial"/>
        </w:rPr>
        <w:t>(b)</w:t>
      </w:r>
      <w:r w:rsidR="000F6136">
        <w:rPr>
          <w:rFonts w:ascii="Arial" w:hAnsi="Arial" w:cs="Arial"/>
        </w:rPr>
        <w:t xml:space="preserve"> </w:t>
      </w:r>
      <w:r w:rsidR="007C33CE" w:rsidRPr="00F3506F">
        <w:rPr>
          <w:rFonts w:ascii="Arial" w:hAnsi="Arial" w:cs="Arial"/>
        </w:rPr>
        <w:t>secur</w:t>
      </w:r>
      <w:r w:rsidR="007C33CE">
        <w:rPr>
          <w:rFonts w:ascii="Arial" w:hAnsi="Arial" w:cs="Arial"/>
        </w:rPr>
        <w:t xml:space="preserve">e </w:t>
      </w:r>
      <w:r w:rsidR="007C33CE" w:rsidRPr="00F3506F">
        <w:rPr>
          <w:rFonts w:ascii="Arial" w:hAnsi="Arial" w:cs="Arial"/>
        </w:rPr>
        <w:t xml:space="preserve">the needs of people who use </w:t>
      </w:r>
      <w:r w:rsidR="00981D59">
        <w:rPr>
          <w:rFonts w:ascii="Arial" w:hAnsi="Arial" w:cs="Arial"/>
        </w:rPr>
        <w:t>its drug and alcohol</w:t>
      </w:r>
      <w:r w:rsidR="007C33CE" w:rsidRPr="00F3506F">
        <w:rPr>
          <w:rFonts w:ascii="Arial" w:hAnsi="Arial" w:cs="Arial"/>
        </w:rPr>
        <w:t xml:space="preserve"> services</w:t>
      </w:r>
      <w:r w:rsidR="00981D59">
        <w:rPr>
          <w:rFonts w:ascii="Arial" w:hAnsi="Arial" w:cs="Arial"/>
        </w:rPr>
        <w:t xml:space="preserve">. </w:t>
      </w:r>
      <w:r w:rsidR="00266948">
        <w:rPr>
          <w:rFonts w:ascii="Arial" w:hAnsi="Arial" w:cs="Arial"/>
        </w:rPr>
        <w:t xml:space="preserve">As a result, </w:t>
      </w:r>
      <w:r w:rsidR="007C27DF">
        <w:rPr>
          <w:rFonts w:ascii="Arial" w:hAnsi="Arial" w:cs="Arial"/>
        </w:rPr>
        <w:t xml:space="preserve">the Panel finds that the Council, in selecting the evaluation panel, did not breach the PSR regulations </w:t>
      </w:r>
      <w:r w:rsidR="007C27DF" w:rsidRPr="551E1DED">
        <w:rPr>
          <w:rFonts w:ascii="Arial" w:hAnsi="Arial" w:cs="Arial"/>
        </w:rPr>
        <w:t>and</w:t>
      </w:r>
      <w:r w:rsidR="007C27DF">
        <w:rPr>
          <w:rFonts w:ascii="Arial" w:hAnsi="Arial" w:cs="Arial"/>
        </w:rPr>
        <w:t>,</w:t>
      </w:r>
      <w:r w:rsidR="007C27DF" w:rsidRPr="551E1DED">
        <w:rPr>
          <w:rFonts w:ascii="Arial" w:hAnsi="Arial" w:cs="Arial"/>
        </w:rPr>
        <w:t xml:space="preserve"> in particular</w:t>
      </w:r>
      <w:r w:rsidR="007C27DF">
        <w:rPr>
          <w:rFonts w:ascii="Arial" w:hAnsi="Arial" w:cs="Arial"/>
        </w:rPr>
        <w:t>,</w:t>
      </w:r>
      <w:r w:rsidR="007C27DF" w:rsidRPr="551E1DED">
        <w:rPr>
          <w:rFonts w:ascii="Arial" w:hAnsi="Arial" w:cs="Arial"/>
        </w:rPr>
        <w:t xml:space="preserve"> the obligation to act fairly</w:t>
      </w:r>
      <w:r w:rsidR="0071698D">
        <w:rPr>
          <w:rFonts w:ascii="Arial" w:hAnsi="Arial" w:cs="Arial"/>
        </w:rPr>
        <w:t>.</w:t>
      </w:r>
    </w:p>
    <w:p w14:paraId="1BDD6E82" w14:textId="07AD4340" w:rsidR="00F85015" w:rsidRPr="00C7287D" w:rsidRDefault="00F85015" w:rsidP="00237E63">
      <w:pPr>
        <w:pStyle w:val="Heading2"/>
        <w:numPr>
          <w:ilvl w:val="1"/>
          <w:numId w:val="1"/>
        </w:numPr>
        <w:spacing w:before="240" w:after="160"/>
        <w:ind w:left="0" w:firstLine="0"/>
        <w:rPr>
          <w:rFonts w:ascii="Arial" w:hAnsi="Arial" w:cs="Arial"/>
          <w:b/>
          <w:bCs/>
          <w:color w:val="000000" w:themeColor="text1"/>
          <w:sz w:val="24"/>
          <w:szCs w:val="24"/>
        </w:rPr>
      </w:pPr>
      <w:bookmarkStart w:id="19" w:name="_Toc189662757"/>
      <w:r w:rsidRPr="00C7287D">
        <w:rPr>
          <w:rFonts w:ascii="Arial" w:hAnsi="Arial" w:cs="Arial"/>
          <w:b/>
          <w:bCs/>
          <w:color w:val="000000" w:themeColor="text1"/>
          <w:sz w:val="24"/>
          <w:szCs w:val="24"/>
        </w:rPr>
        <w:t>Stakeholder engagement</w:t>
      </w:r>
      <w:r w:rsidR="00B479E6">
        <w:rPr>
          <w:rFonts w:ascii="Arial" w:hAnsi="Arial" w:cs="Arial"/>
          <w:b/>
          <w:bCs/>
          <w:color w:val="000000" w:themeColor="text1"/>
          <w:sz w:val="24"/>
          <w:szCs w:val="24"/>
        </w:rPr>
        <w:t xml:space="preserve"> in formulating key criteria</w:t>
      </w:r>
      <w:bookmarkEnd w:id="19"/>
    </w:p>
    <w:p w14:paraId="557A9547" w14:textId="77777777" w:rsidR="00000A82" w:rsidRDefault="000C6116" w:rsidP="00000A82">
      <w:pPr>
        <w:pStyle w:val="ListParagraph"/>
        <w:numPr>
          <w:ilvl w:val="0"/>
          <w:numId w:val="2"/>
        </w:numPr>
        <w:spacing w:line="276" w:lineRule="auto"/>
        <w:ind w:left="567" w:hanging="567"/>
        <w:contextualSpacing w:val="0"/>
        <w:rPr>
          <w:rFonts w:ascii="Arial" w:hAnsi="Arial" w:cs="Arial"/>
        </w:rPr>
      </w:pPr>
      <w:r w:rsidRPr="00000A82">
        <w:rPr>
          <w:rFonts w:ascii="Arial" w:hAnsi="Arial" w:cs="Arial"/>
        </w:rPr>
        <w:t xml:space="preserve">This section sets out the Panel’s assessment of DHI’s concerns about </w:t>
      </w:r>
      <w:r w:rsidR="00A94923" w:rsidRPr="00000A82">
        <w:rPr>
          <w:rFonts w:ascii="Arial" w:hAnsi="Arial" w:cs="Arial"/>
        </w:rPr>
        <w:t xml:space="preserve">stakeholder engagement </w:t>
      </w:r>
      <w:r w:rsidR="00AF29A6" w:rsidRPr="00000A82">
        <w:rPr>
          <w:rFonts w:ascii="Arial" w:hAnsi="Arial" w:cs="Arial"/>
        </w:rPr>
        <w:t>in the design and conduct of the provider selection process.</w:t>
      </w:r>
    </w:p>
    <w:p w14:paraId="7AF4FF11" w14:textId="505EC964" w:rsidR="00061613" w:rsidRDefault="00267239" w:rsidP="000805D1">
      <w:pPr>
        <w:pStyle w:val="ListParagraph"/>
        <w:numPr>
          <w:ilvl w:val="0"/>
          <w:numId w:val="2"/>
        </w:numPr>
        <w:spacing w:line="276" w:lineRule="auto"/>
        <w:ind w:left="567" w:hanging="567"/>
        <w:contextualSpacing w:val="0"/>
        <w:rPr>
          <w:rFonts w:ascii="Arial" w:hAnsi="Arial" w:cs="Arial"/>
        </w:rPr>
      </w:pPr>
      <w:r w:rsidRPr="00000A82">
        <w:rPr>
          <w:rFonts w:ascii="Arial" w:hAnsi="Arial" w:cs="Arial"/>
        </w:rPr>
        <w:t xml:space="preserve">DHI, in </w:t>
      </w:r>
      <w:r w:rsidR="00C7287D" w:rsidRPr="00000A82">
        <w:rPr>
          <w:rFonts w:ascii="Arial" w:hAnsi="Arial" w:cs="Arial"/>
        </w:rPr>
        <w:t xml:space="preserve">its representations to the Council, </w:t>
      </w:r>
      <w:r w:rsidR="00C9520F" w:rsidRPr="008009E0">
        <w:rPr>
          <w:rFonts w:ascii="Arial" w:hAnsi="Arial" w:cs="Arial"/>
        </w:rPr>
        <w:t xml:space="preserve">said that it </w:t>
      </w:r>
      <w:r w:rsidR="00C7287D" w:rsidRPr="008009E0">
        <w:rPr>
          <w:rFonts w:ascii="Arial" w:hAnsi="Arial" w:cs="Arial"/>
        </w:rPr>
        <w:t>“questions how the Council has applied the key criteria to determine the contract award criteria in accordance with Step 1 of the Competitive Process under Regulation 11</w:t>
      </w:r>
      <w:r w:rsidR="00431256">
        <w:rPr>
          <w:rStyle w:val="FootnoteReference"/>
          <w:rFonts w:ascii="Arial" w:hAnsi="Arial" w:cs="Arial"/>
        </w:rPr>
        <w:footnoteReference w:id="44"/>
      </w:r>
      <w:r w:rsidR="00C7287D" w:rsidRPr="008009E0">
        <w:rPr>
          <w:rFonts w:ascii="Arial" w:hAnsi="Arial" w:cs="Arial"/>
        </w:rPr>
        <w:t xml:space="preserve"> if it has not conducted the </w:t>
      </w:r>
      <w:r w:rsidR="00C7287D" w:rsidRPr="008009E0">
        <w:rPr>
          <w:rFonts w:ascii="Arial" w:hAnsi="Arial" w:cs="Arial"/>
        </w:rPr>
        <w:lastRenderedPageBreak/>
        <w:t>required engagement”</w:t>
      </w:r>
      <w:r w:rsidR="004563E5" w:rsidRPr="008009E0">
        <w:rPr>
          <w:rFonts w:ascii="Arial" w:hAnsi="Arial" w:cs="Arial"/>
        </w:rPr>
        <w:t>.</w:t>
      </w:r>
      <w:r w:rsidR="004563E5" w:rsidRPr="003F1F10">
        <w:rPr>
          <w:rFonts w:ascii="Arial" w:hAnsi="Arial" w:cs="Arial"/>
          <w:vertAlign w:val="superscript"/>
        </w:rPr>
        <w:footnoteReference w:id="45"/>
      </w:r>
      <w:r w:rsidR="008009E0" w:rsidRPr="008009E0">
        <w:rPr>
          <w:rFonts w:ascii="Arial" w:hAnsi="Arial" w:cs="Arial"/>
        </w:rPr>
        <w:t xml:space="preserve"> </w:t>
      </w:r>
      <w:r w:rsidR="00061613" w:rsidRPr="008009E0">
        <w:rPr>
          <w:rFonts w:ascii="Arial" w:hAnsi="Arial" w:cs="Arial"/>
        </w:rPr>
        <w:t>DHI went on to say that “the failure to engage meaningfully with local stakeholders undermines the transparency, fairness, and overall effectiveness of the procurement process, and potentially jeopardises the success of the service for the local community”.</w:t>
      </w:r>
      <w:r w:rsidR="00061613" w:rsidRPr="003F1F10">
        <w:rPr>
          <w:rFonts w:ascii="Arial" w:hAnsi="Arial" w:cs="Arial"/>
          <w:vertAlign w:val="superscript"/>
        </w:rPr>
        <w:footnoteReference w:id="46"/>
      </w:r>
    </w:p>
    <w:p w14:paraId="7899F81B" w14:textId="1E5D8848" w:rsidR="00A12CF4" w:rsidRPr="00431256" w:rsidRDefault="00B71DA9" w:rsidP="00431256">
      <w:pPr>
        <w:pStyle w:val="ListParagraph"/>
        <w:numPr>
          <w:ilvl w:val="0"/>
          <w:numId w:val="2"/>
        </w:numPr>
        <w:spacing w:line="276" w:lineRule="auto"/>
        <w:ind w:left="567" w:hanging="567"/>
        <w:contextualSpacing w:val="0"/>
        <w:rPr>
          <w:rFonts w:ascii="Arial" w:hAnsi="Arial" w:cs="Arial"/>
        </w:rPr>
      </w:pPr>
      <w:r w:rsidRPr="00431256">
        <w:rPr>
          <w:rFonts w:ascii="Arial" w:hAnsi="Arial" w:cs="Arial"/>
        </w:rPr>
        <w:t>T</w:t>
      </w:r>
      <w:r w:rsidR="0070746E" w:rsidRPr="00431256">
        <w:rPr>
          <w:rFonts w:ascii="Arial" w:hAnsi="Arial" w:cs="Arial"/>
        </w:rPr>
        <w:t>he Council</w:t>
      </w:r>
      <w:r w:rsidRPr="00431256">
        <w:rPr>
          <w:rFonts w:ascii="Arial" w:hAnsi="Arial" w:cs="Arial"/>
        </w:rPr>
        <w:t xml:space="preserve">, in responding </w:t>
      </w:r>
      <w:r w:rsidR="00960176" w:rsidRPr="00431256">
        <w:rPr>
          <w:rFonts w:ascii="Arial" w:hAnsi="Arial" w:cs="Arial"/>
        </w:rPr>
        <w:t>to DHI</w:t>
      </w:r>
      <w:r w:rsidRPr="00431256">
        <w:rPr>
          <w:rFonts w:ascii="Arial" w:hAnsi="Arial" w:cs="Arial"/>
        </w:rPr>
        <w:t xml:space="preserve">, said </w:t>
      </w:r>
      <w:r w:rsidR="00C9520F" w:rsidRPr="00431256">
        <w:rPr>
          <w:rFonts w:ascii="Arial" w:hAnsi="Arial" w:cs="Arial"/>
        </w:rPr>
        <w:t>that “the development of the key award criteria for the future service was led by two Public Health Development and Commissioning Managers</w:t>
      </w:r>
      <w:r w:rsidR="00AF2D0D" w:rsidRPr="00431256">
        <w:rPr>
          <w:rFonts w:ascii="Arial" w:hAnsi="Arial" w:cs="Arial"/>
        </w:rPr>
        <w:t>”</w:t>
      </w:r>
      <w:r w:rsidR="0024479E" w:rsidRPr="00431256">
        <w:rPr>
          <w:rFonts w:ascii="Arial" w:hAnsi="Arial" w:cs="Arial"/>
        </w:rPr>
        <w:t xml:space="preserve"> and </w:t>
      </w:r>
      <w:r w:rsidR="597B8BB6" w:rsidRPr="00431256">
        <w:rPr>
          <w:rFonts w:ascii="Arial" w:hAnsi="Arial" w:cs="Arial"/>
        </w:rPr>
        <w:t>summar</w:t>
      </w:r>
      <w:r w:rsidR="00AF2D0D" w:rsidRPr="00431256">
        <w:rPr>
          <w:rFonts w:ascii="Arial" w:hAnsi="Arial" w:cs="Arial"/>
        </w:rPr>
        <w:t xml:space="preserve">ised </w:t>
      </w:r>
      <w:r w:rsidR="00C9520F" w:rsidRPr="00431256">
        <w:rPr>
          <w:rFonts w:ascii="Arial" w:hAnsi="Arial" w:cs="Arial"/>
        </w:rPr>
        <w:t xml:space="preserve">their experience. </w:t>
      </w:r>
      <w:r w:rsidR="000C20E0" w:rsidRPr="00431256">
        <w:rPr>
          <w:rFonts w:ascii="Arial" w:hAnsi="Arial" w:cs="Arial"/>
        </w:rPr>
        <w:t xml:space="preserve">It </w:t>
      </w:r>
      <w:r w:rsidR="440AA898" w:rsidRPr="00431256">
        <w:rPr>
          <w:rFonts w:ascii="Arial" w:hAnsi="Arial" w:cs="Arial"/>
        </w:rPr>
        <w:t>explained</w:t>
      </w:r>
      <w:r w:rsidR="00C9520F" w:rsidRPr="00431256">
        <w:rPr>
          <w:rFonts w:ascii="Arial" w:hAnsi="Arial" w:cs="Arial"/>
        </w:rPr>
        <w:t xml:space="preserve"> that the key criteria were “further informed by the Health Inequalities Manager, particularly to ensure relevance around improving access, reducing inequalities and facilitating choice</w:t>
      </w:r>
      <w:r w:rsidR="00A12CF4" w:rsidRPr="00431256">
        <w:rPr>
          <w:rFonts w:ascii="Arial" w:hAnsi="Arial" w:cs="Arial"/>
        </w:rPr>
        <w:t>”</w:t>
      </w:r>
      <w:r w:rsidR="00AF2D0D" w:rsidRPr="00431256">
        <w:rPr>
          <w:rFonts w:ascii="Arial" w:hAnsi="Arial" w:cs="Arial"/>
        </w:rPr>
        <w:t>.</w:t>
      </w:r>
    </w:p>
    <w:p w14:paraId="3714BDE4" w14:textId="51A3EC09" w:rsidR="00C9520F" w:rsidRDefault="00C9520F" w:rsidP="00523D66">
      <w:pPr>
        <w:pStyle w:val="ListParagraph"/>
        <w:numPr>
          <w:ilvl w:val="0"/>
          <w:numId w:val="2"/>
        </w:numPr>
        <w:spacing w:line="276" w:lineRule="auto"/>
        <w:ind w:left="567" w:hanging="567"/>
        <w:contextualSpacing w:val="0"/>
        <w:rPr>
          <w:rFonts w:ascii="Arial" w:hAnsi="Arial" w:cs="Arial"/>
        </w:rPr>
      </w:pPr>
      <w:r w:rsidRPr="00322FF1">
        <w:rPr>
          <w:rFonts w:ascii="Arial" w:hAnsi="Arial" w:cs="Arial"/>
        </w:rPr>
        <w:t xml:space="preserve">The Council </w:t>
      </w:r>
      <w:r w:rsidR="00AF2D0D">
        <w:rPr>
          <w:rFonts w:ascii="Arial" w:hAnsi="Arial" w:cs="Arial"/>
        </w:rPr>
        <w:t xml:space="preserve">went on to say </w:t>
      </w:r>
      <w:r w:rsidRPr="00322FF1">
        <w:rPr>
          <w:rFonts w:ascii="Arial" w:hAnsi="Arial" w:cs="Arial"/>
        </w:rPr>
        <w:t xml:space="preserve">that </w:t>
      </w:r>
      <w:r w:rsidR="00A12CF4">
        <w:rPr>
          <w:rFonts w:ascii="Arial" w:hAnsi="Arial" w:cs="Arial"/>
        </w:rPr>
        <w:t xml:space="preserve">the </w:t>
      </w:r>
      <w:r w:rsidRPr="00322FF1">
        <w:rPr>
          <w:rFonts w:ascii="Arial" w:hAnsi="Arial" w:cs="Arial"/>
        </w:rPr>
        <w:t>“key criteria were based on the Provider Selection Regime requirements; Quality and Innovation, Improving Access, Reducing Inequalities and Facilitating Choice, Integration, Collaboration and Sustainability, Social Value and Value”</w:t>
      </w:r>
      <w:r w:rsidR="00211D8E">
        <w:rPr>
          <w:rFonts w:ascii="Arial" w:hAnsi="Arial" w:cs="Arial"/>
        </w:rPr>
        <w:t>.</w:t>
      </w:r>
      <w:r w:rsidR="00322FF1" w:rsidRPr="00322FF1">
        <w:rPr>
          <w:rFonts w:ascii="Arial" w:hAnsi="Arial" w:cs="Arial"/>
        </w:rPr>
        <w:t xml:space="preserve"> </w:t>
      </w:r>
      <w:r w:rsidR="00A12CF4">
        <w:rPr>
          <w:rFonts w:ascii="Arial" w:hAnsi="Arial" w:cs="Arial"/>
        </w:rPr>
        <w:t xml:space="preserve">It </w:t>
      </w:r>
      <w:r w:rsidR="00322FF1" w:rsidRPr="00322FF1">
        <w:rPr>
          <w:rFonts w:ascii="Arial" w:hAnsi="Arial" w:cs="Arial"/>
        </w:rPr>
        <w:t xml:space="preserve">further said </w:t>
      </w:r>
      <w:r w:rsidRPr="00322FF1">
        <w:rPr>
          <w:rFonts w:ascii="Arial" w:hAnsi="Arial" w:cs="Arial"/>
        </w:rPr>
        <w:t>that “Due to their experience and from evidence gained from the stakeholder engagement undertaken to inform future service specification, the following criteria were agreed and weightings applied”</w:t>
      </w:r>
      <w:r w:rsidR="00663358">
        <w:rPr>
          <w:rFonts w:ascii="Arial" w:hAnsi="Arial" w:cs="Arial"/>
        </w:rPr>
        <w:t xml:space="preserve"> (and t</w:t>
      </w:r>
      <w:r w:rsidRPr="00322FF1">
        <w:rPr>
          <w:rFonts w:ascii="Arial" w:hAnsi="Arial" w:cs="Arial"/>
        </w:rPr>
        <w:t>he key award criteria and their weightings were then listed</w:t>
      </w:r>
      <w:r w:rsidR="00663358">
        <w:rPr>
          <w:rFonts w:ascii="Arial" w:hAnsi="Arial" w:cs="Arial"/>
        </w:rPr>
        <w:t>)</w:t>
      </w:r>
      <w:r w:rsidRPr="00322FF1">
        <w:rPr>
          <w:rFonts w:ascii="Arial" w:hAnsi="Arial" w:cs="Arial"/>
        </w:rPr>
        <w:t>.</w:t>
      </w:r>
      <w:r w:rsidR="00322FF1" w:rsidRPr="003F1F10">
        <w:rPr>
          <w:rFonts w:ascii="Arial" w:hAnsi="Arial" w:cs="Arial"/>
          <w:vertAlign w:val="superscript"/>
        </w:rPr>
        <w:footnoteReference w:id="47"/>
      </w:r>
    </w:p>
    <w:p w14:paraId="2FFC4E4E" w14:textId="60839186" w:rsidR="002A0EC7" w:rsidRDefault="001D5F0A" w:rsidP="00D267BE">
      <w:pPr>
        <w:pStyle w:val="ListParagraph"/>
        <w:numPr>
          <w:ilvl w:val="0"/>
          <w:numId w:val="2"/>
        </w:numPr>
        <w:spacing w:line="276" w:lineRule="auto"/>
        <w:ind w:left="567" w:hanging="567"/>
        <w:rPr>
          <w:rFonts w:ascii="Arial" w:hAnsi="Arial" w:cs="Arial"/>
        </w:rPr>
      </w:pPr>
      <w:r>
        <w:rPr>
          <w:rFonts w:ascii="Arial" w:hAnsi="Arial" w:cs="Arial"/>
        </w:rPr>
        <w:t>The Panel notes that c</w:t>
      </w:r>
      <w:r w:rsidR="007F1B51" w:rsidRPr="00ED438C">
        <w:rPr>
          <w:rFonts w:ascii="Arial" w:hAnsi="Arial" w:cs="Arial"/>
        </w:rPr>
        <w:t>ommissioners</w:t>
      </w:r>
      <w:r w:rsidR="007F1B51">
        <w:rPr>
          <w:rFonts w:ascii="Arial" w:hAnsi="Arial" w:cs="Arial"/>
        </w:rPr>
        <w:t xml:space="preserve"> are expected to develop and maintain their knowledge of relevant providers “including an understanding of their ability to deliver services” as part of their planning work.</w:t>
      </w:r>
      <w:r w:rsidR="007F1B51">
        <w:rPr>
          <w:rStyle w:val="FootnoteReference"/>
          <w:rFonts w:ascii="Arial" w:hAnsi="Arial" w:cs="Arial"/>
        </w:rPr>
        <w:footnoteReference w:id="48"/>
      </w:r>
      <w:r w:rsidR="007F1B51">
        <w:rPr>
          <w:rFonts w:ascii="Arial" w:hAnsi="Arial" w:cs="Arial"/>
        </w:rPr>
        <w:t xml:space="preserve"> However, </w:t>
      </w:r>
      <w:r w:rsidR="002A0EC7" w:rsidRPr="00766956">
        <w:rPr>
          <w:rFonts w:ascii="Arial" w:hAnsi="Arial" w:cs="Arial"/>
        </w:rPr>
        <w:t xml:space="preserve">there </w:t>
      </w:r>
      <w:r w:rsidR="00DA4365">
        <w:rPr>
          <w:rFonts w:ascii="Arial" w:hAnsi="Arial" w:cs="Arial"/>
        </w:rPr>
        <w:t>are</w:t>
      </w:r>
      <w:r w:rsidR="002A0EC7" w:rsidRPr="00766956">
        <w:rPr>
          <w:rFonts w:ascii="Arial" w:hAnsi="Arial" w:cs="Arial"/>
        </w:rPr>
        <w:t xml:space="preserve"> no </w:t>
      </w:r>
      <w:r w:rsidR="00147E9C" w:rsidRPr="00766956">
        <w:rPr>
          <w:rFonts w:ascii="Arial" w:hAnsi="Arial" w:cs="Arial"/>
        </w:rPr>
        <w:t xml:space="preserve">specific </w:t>
      </w:r>
      <w:r w:rsidR="00253AA3" w:rsidRPr="00766956">
        <w:rPr>
          <w:rFonts w:ascii="Arial" w:hAnsi="Arial" w:cs="Arial"/>
        </w:rPr>
        <w:t xml:space="preserve">stakeholder engagement </w:t>
      </w:r>
      <w:r w:rsidR="00147E9C" w:rsidRPr="00766956">
        <w:rPr>
          <w:rFonts w:ascii="Arial" w:hAnsi="Arial" w:cs="Arial"/>
        </w:rPr>
        <w:t>requirement</w:t>
      </w:r>
      <w:r w:rsidR="00253AA3" w:rsidRPr="00766956">
        <w:rPr>
          <w:rFonts w:ascii="Arial" w:hAnsi="Arial" w:cs="Arial"/>
        </w:rPr>
        <w:t>s</w:t>
      </w:r>
      <w:r w:rsidR="00147E9C" w:rsidRPr="00766956">
        <w:rPr>
          <w:rFonts w:ascii="Arial" w:hAnsi="Arial" w:cs="Arial"/>
        </w:rPr>
        <w:t xml:space="preserve"> </w:t>
      </w:r>
      <w:r w:rsidR="000A2182" w:rsidRPr="00766956">
        <w:rPr>
          <w:rFonts w:ascii="Arial" w:hAnsi="Arial" w:cs="Arial"/>
        </w:rPr>
        <w:t>in the PSR regulations</w:t>
      </w:r>
      <w:r w:rsidR="002A0EC7" w:rsidRPr="00766956">
        <w:rPr>
          <w:rFonts w:ascii="Arial" w:hAnsi="Arial" w:cs="Arial"/>
        </w:rPr>
        <w:t xml:space="preserve"> </w:t>
      </w:r>
      <w:r w:rsidR="008B190E" w:rsidRPr="00766956">
        <w:rPr>
          <w:rFonts w:ascii="Arial" w:hAnsi="Arial" w:cs="Arial"/>
        </w:rPr>
        <w:t xml:space="preserve">or statutory guidance </w:t>
      </w:r>
      <w:r w:rsidR="00147E9C" w:rsidRPr="00766956">
        <w:rPr>
          <w:rFonts w:ascii="Arial" w:hAnsi="Arial" w:cs="Arial"/>
        </w:rPr>
        <w:t xml:space="preserve">for </w:t>
      </w:r>
      <w:r w:rsidR="00DD446C" w:rsidRPr="00766956">
        <w:rPr>
          <w:rFonts w:ascii="Arial" w:hAnsi="Arial" w:cs="Arial"/>
        </w:rPr>
        <w:t xml:space="preserve">commissioners </w:t>
      </w:r>
      <w:r w:rsidR="000A2182" w:rsidRPr="00766956">
        <w:rPr>
          <w:rFonts w:ascii="Arial" w:hAnsi="Arial" w:cs="Arial"/>
        </w:rPr>
        <w:t xml:space="preserve">when </w:t>
      </w:r>
      <w:r w:rsidR="00DF3E3A" w:rsidRPr="00766956">
        <w:rPr>
          <w:rFonts w:ascii="Arial" w:hAnsi="Arial" w:cs="Arial"/>
        </w:rPr>
        <w:t>formulat</w:t>
      </w:r>
      <w:r w:rsidR="000A2182" w:rsidRPr="00766956">
        <w:rPr>
          <w:rFonts w:ascii="Arial" w:hAnsi="Arial" w:cs="Arial"/>
        </w:rPr>
        <w:t xml:space="preserve">ing </w:t>
      </w:r>
      <w:r w:rsidR="00DF3E3A" w:rsidRPr="00766956">
        <w:rPr>
          <w:rFonts w:ascii="Arial" w:hAnsi="Arial" w:cs="Arial"/>
        </w:rPr>
        <w:t xml:space="preserve">the key criteria </w:t>
      </w:r>
      <w:r w:rsidR="007F1B51">
        <w:rPr>
          <w:rFonts w:ascii="Arial" w:hAnsi="Arial" w:cs="Arial"/>
        </w:rPr>
        <w:t xml:space="preserve">to be used in a </w:t>
      </w:r>
      <w:r w:rsidR="00DF3E3A" w:rsidRPr="00766956">
        <w:rPr>
          <w:rFonts w:ascii="Arial" w:hAnsi="Arial" w:cs="Arial"/>
        </w:rPr>
        <w:t>competit</w:t>
      </w:r>
      <w:r w:rsidR="00E465CE" w:rsidRPr="00766956">
        <w:rPr>
          <w:rFonts w:ascii="Arial" w:hAnsi="Arial" w:cs="Arial"/>
        </w:rPr>
        <w:t>ive process</w:t>
      </w:r>
      <w:r w:rsidR="009B10EB" w:rsidRPr="00766956">
        <w:rPr>
          <w:rFonts w:ascii="Arial" w:hAnsi="Arial" w:cs="Arial"/>
        </w:rPr>
        <w:t>.</w:t>
      </w:r>
      <w:r w:rsidR="009B10EB" w:rsidRPr="00ED438C">
        <w:rPr>
          <w:rFonts w:ascii="Arial" w:hAnsi="Arial" w:cs="Arial"/>
        </w:rPr>
        <w:t xml:space="preserve"> </w:t>
      </w:r>
      <w:r w:rsidR="005F70DA">
        <w:rPr>
          <w:rFonts w:ascii="Arial" w:hAnsi="Arial" w:cs="Arial"/>
        </w:rPr>
        <w:t>Given this</w:t>
      </w:r>
      <w:r>
        <w:rPr>
          <w:rFonts w:ascii="Arial" w:hAnsi="Arial" w:cs="Arial"/>
        </w:rPr>
        <w:t>, t</w:t>
      </w:r>
      <w:r w:rsidR="00493066" w:rsidRPr="551E1DED">
        <w:rPr>
          <w:rFonts w:ascii="Arial" w:hAnsi="Arial" w:cs="Arial"/>
        </w:rPr>
        <w:t xml:space="preserve">he Panel’s view is that there is no evidence that the Council, in formulating the key criteria, breached </w:t>
      </w:r>
      <w:r>
        <w:rPr>
          <w:rFonts w:ascii="Arial" w:hAnsi="Arial" w:cs="Arial"/>
        </w:rPr>
        <w:t>any stakeholder engagement requirements</w:t>
      </w:r>
      <w:r w:rsidR="005F70DA">
        <w:rPr>
          <w:rFonts w:ascii="Arial" w:hAnsi="Arial" w:cs="Arial"/>
        </w:rPr>
        <w:t>. As a result, the Panel finds that the Council</w:t>
      </w:r>
      <w:r w:rsidR="009627C9">
        <w:rPr>
          <w:rFonts w:ascii="Arial" w:hAnsi="Arial" w:cs="Arial"/>
        </w:rPr>
        <w:t>, in formulating the key criteria,</w:t>
      </w:r>
      <w:r w:rsidR="005F70DA">
        <w:rPr>
          <w:rFonts w:ascii="Arial" w:hAnsi="Arial" w:cs="Arial"/>
        </w:rPr>
        <w:t xml:space="preserve"> did not breach </w:t>
      </w:r>
      <w:r w:rsidR="00493066" w:rsidRPr="551E1DED">
        <w:rPr>
          <w:rFonts w:ascii="Arial" w:hAnsi="Arial" w:cs="Arial"/>
        </w:rPr>
        <w:t>the PSR regulations</w:t>
      </w:r>
      <w:r w:rsidR="00C74C9F">
        <w:rPr>
          <w:rFonts w:ascii="Arial" w:hAnsi="Arial" w:cs="Arial"/>
        </w:rPr>
        <w:t xml:space="preserve"> and, in particular, the obligation to act </w:t>
      </w:r>
      <w:r w:rsidR="00474B37">
        <w:rPr>
          <w:rFonts w:ascii="Arial" w:hAnsi="Arial" w:cs="Arial"/>
        </w:rPr>
        <w:t xml:space="preserve">fairly and </w:t>
      </w:r>
      <w:r w:rsidR="00C74C9F">
        <w:rPr>
          <w:rFonts w:ascii="Arial" w:hAnsi="Arial" w:cs="Arial"/>
        </w:rPr>
        <w:t>transparently.</w:t>
      </w:r>
    </w:p>
    <w:p w14:paraId="4E0F3F4D" w14:textId="14AE9D61" w:rsidR="00F85015" w:rsidRPr="00C7287D" w:rsidRDefault="00C7287D" w:rsidP="00237E63">
      <w:pPr>
        <w:pStyle w:val="Heading2"/>
        <w:numPr>
          <w:ilvl w:val="1"/>
          <w:numId w:val="1"/>
        </w:numPr>
        <w:spacing w:before="240" w:after="160"/>
        <w:ind w:left="0" w:firstLine="0"/>
        <w:rPr>
          <w:rFonts w:ascii="Arial" w:hAnsi="Arial" w:cs="Arial"/>
          <w:b/>
          <w:bCs/>
          <w:color w:val="000000" w:themeColor="text1"/>
          <w:sz w:val="24"/>
          <w:szCs w:val="24"/>
        </w:rPr>
      </w:pPr>
      <w:bookmarkStart w:id="20" w:name="_Toc189662758"/>
      <w:r w:rsidRPr="551E1DED">
        <w:rPr>
          <w:rFonts w:ascii="Arial" w:hAnsi="Arial" w:cs="Arial"/>
          <w:b/>
          <w:bCs/>
          <w:color w:val="000000" w:themeColor="text1"/>
          <w:sz w:val="24"/>
          <w:szCs w:val="24"/>
        </w:rPr>
        <w:t>C</w:t>
      </w:r>
      <w:r w:rsidR="00F85015" w:rsidRPr="00766956">
        <w:rPr>
          <w:rFonts w:ascii="Arial" w:hAnsi="Arial" w:cs="Arial"/>
          <w:b/>
          <w:bCs/>
          <w:color w:val="000000" w:themeColor="text1"/>
          <w:sz w:val="24"/>
          <w:szCs w:val="24"/>
        </w:rPr>
        <w:t>hoice of procurement process</w:t>
      </w:r>
      <w:bookmarkEnd w:id="20"/>
    </w:p>
    <w:p w14:paraId="26A9B362" w14:textId="53B12FF0" w:rsidR="00343180" w:rsidRDefault="00343180" w:rsidP="00D547BC">
      <w:pPr>
        <w:pStyle w:val="ListParagraph"/>
        <w:numPr>
          <w:ilvl w:val="0"/>
          <w:numId w:val="2"/>
        </w:numPr>
        <w:spacing w:line="276" w:lineRule="auto"/>
        <w:ind w:left="567" w:hanging="567"/>
        <w:contextualSpacing w:val="0"/>
        <w:rPr>
          <w:rFonts w:ascii="Arial" w:hAnsi="Arial" w:cs="Arial"/>
        </w:rPr>
      </w:pPr>
      <w:r>
        <w:rPr>
          <w:rFonts w:ascii="Arial" w:hAnsi="Arial" w:cs="Arial"/>
        </w:rPr>
        <w:t>This section sets out the Panel’s assessment of DHI’s concerns about the Council’s choice of procurement process</w:t>
      </w:r>
      <w:r w:rsidR="00813E46">
        <w:rPr>
          <w:rFonts w:ascii="Arial" w:hAnsi="Arial" w:cs="Arial"/>
        </w:rPr>
        <w:t>.</w:t>
      </w:r>
    </w:p>
    <w:p w14:paraId="19A1E71D" w14:textId="4055968C" w:rsidR="004B2D0B" w:rsidRPr="00632F35" w:rsidRDefault="00830FE8" w:rsidP="00632F35">
      <w:pPr>
        <w:pStyle w:val="ListParagraph"/>
        <w:numPr>
          <w:ilvl w:val="0"/>
          <w:numId w:val="2"/>
        </w:numPr>
        <w:spacing w:line="276" w:lineRule="auto"/>
        <w:ind w:left="567" w:hanging="567"/>
        <w:contextualSpacing w:val="0"/>
        <w:rPr>
          <w:rFonts w:ascii="Arial" w:hAnsi="Arial" w:cs="Arial"/>
        </w:rPr>
      </w:pPr>
      <w:r w:rsidRPr="00632F35">
        <w:rPr>
          <w:rFonts w:ascii="Arial" w:hAnsi="Arial" w:cs="Arial"/>
        </w:rPr>
        <w:t>DHI, i</w:t>
      </w:r>
      <w:r w:rsidR="00C7287D" w:rsidRPr="00632F35">
        <w:rPr>
          <w:rFonts w:ascii="Arial" w:hAnsi="Arial" w:cs="Arial"/>
        </w:rPr>
        <w:t xml:space="preserve">n its representations to the Council, </w:t>
      </w:r>
      <w:r w:rsidRPr="00632F35">
        <w:rPr>
          <w:rFonts w:ascii="Arial" w:hAnsi="Arial" w:cs="Arial"/>
        </w:rPr>
        <w:t>said</w:t>
      </w:r>
      <w:r w:rsidR="00C7287D" w:rsidRPr="00632F35">
        <w:rPr>
          <w:rFonts w:ascii="Arial" w:hAnsi="Arial" w:cs="Arial"/>
        </w:rPr>
        <w:t xml:space="preserve"> that </w:t>
      </w:r>
      <w:r w:rsidR="00DD187F" w:rsidRPr="00632F35">
        <w:rPr>
          <w:rFonts w:ascii="Arial" w:hAnsi="Arial" w:cs="Arial"/>
        </w:rPr>
        <w:t xml:space="preserve">it was open to the Council to use </w:t>
      </w:r>
      <w:r w:rsidR="00C7287D" w:rsidRPr="00632F35">
        <w:rPr>
          <w:rFonts w:ascii="Arial" w:hAnsi="Arial" w:cs="Arial"/>
        </w:rPr>
        <w:t xml:space="preserve">Direct Award Process C (DAPC) instead of the </w:t>
      </w:r>
      <w:r w:rsidR="0017077D" w:rsidRPr="00632F35">
        <w:rPr>
          <w:rFonts w:ascii="Arial" w:hAnsi="Arial" w:cs="Arial"/>
        </w:rPr>
        <w:t>c</w:t>
      </w:r>
      <w:r w:rsidR="00C7287D" w:rsidRPr="00632F35">
        <w:rPr>
          <w:rFonts w:ascii="Arial" w:hAnsi="Arial" w:cs="Arial"/>
        </w:rPr>
        <w:t xml:space="preserve">ompetitive </w:t>
      </w:r>
      <w:r w:rsidR="008B17C7" w:rsidRPr="00632F35">
        <w:rPr>
          <w:rFonts w:ascii="Arial" w:hAnsi="Arial" w:cs="Arial"/>
        </w:rPr>
        <w:t>p</w:t>
      </w:r>
      <w:r w:rsidR="00C7287D" w:rsidRPr="00632F35">
        <w:rPr>
          <w:rFonts w:ascii="Arial" w:hAnsi="Arial" w:cs="Arial"/>
        </w:rPr>
        <w:t>rocess. It said that it “strongly believes that choosing the competitive process over DAPC is inconsistent with the PSR’s core principles and objectives”.</w:t>
      </w:r>
      <w:r w:rsidR="00217AC6" w:rsidRPr="00DD187F">
        <w:rPr>
          <w:rStyle w:val="FootnoteReference"/>
          <w:rFonts w:ascii="Arial" w:hAnsi="Arial" w:cs="Arial"/>
        </w:rPr>
        <w:footnoteReference w:id="49"/>
      </w:r>
      <w:r w:rsidR="00632F35" w:rsidRPr="00632F35">
        <w:rPr>
          <w:rFonts w:ascii="Arial" w:hAnsi="Arial" w:cs="Arial"/>
        </w:rPr>
        <w:t xml:space="preserve"> </w:t>
      </w:r>
      <w:r w:rsidR="00421C76" w:rsidRPr="00632F35">
        <w:rPr>
          <w:rFonts w:ascii="Arial" w:hAnsi="Arial" w:cs="Arial"/>
        </w:rPr>
        <w:t>In response, t</w:t>
      </w:r>
      <w:r w:rsidR="004B2D0B" w:rsidRPr="00632F35">
        <w:rPr>
          <w:rFonts w:ascii="Arial" w:hAnsi="Arial" w:cs="Arial"/>
        </w:rPr>
        <w:t xml:space="preserve">he Council </w:t>
      </w:r>
      <w:r w:rsidR="00421C76" w:rsidRPr="00632F35">
        <w:rPr>
          <w:rFonts w:ascii="Arial" w:hAnsi="Arial" w:cs="Arial"/>
        </w:rPr>
        <w:t xml:space="preserve">said </w:t>
      </w:r>
      <w:r w:rsidR="004B2D0B" w:rsidRPr="00632F35">
        <w:rPr>
          <w:rFonts w:ascii="Arial" w:hAnsi="Arial" w:cs="Arial"/>
        </w:rPr>
        <w:t xml:space="preserve">that </w:t>
      </w:r>
      <w:r w:rsidR="00421C76" w:rsidRPr="00632F35">
        <w:rPr>
          <w:rFonts w:ascii="Arial" w:hAnsi="Arial" w:cs="Arial"/>
        </w:rPr>
        <w:t>as</w:t>
      </w:r>
      <w:r w:rsidR="008B17C7" w:rsidRPr="00632F35">
        <w:rPr>
          <w:rFonts w:ascii="Arial" w:hAnsi="Arial" w:cs="Arial"/>
        </w:rPr>
        <w:t xml:space="preserve"> DHI was sub-contracted by </w:t>
      </w:r>
      <w:r w:rsidR="004B2D0B" w:rsidRPr="00632F35">
        <w:rPr>
          <w:rFonts w:ascii="Arial" w:hAnsi="Arial" w:cs="Arial"/>
        </w:rPr>
        <w:t>HCRG</w:t>
      </w:r>
      <w:r w:rsidR="00A748DA" w:rsidRPr="00632F35">
        <w:rPr>
          <w:rFonts w:ascii="Arial" w:hAnsi="Arial" w:cs="Arial"/>
        </w:rPr>
        <w:t>,</w:t>
      </w:r>
      <w:r w:rsidR="004B2D0B" w:rsidRPr="00632F35">
        <w:rPr>
          <w:rFonts w:ascii="Arial" w:hAnsi="Arial" w:cs="Arial"/>
        </w:rPr>
        <w:t xml:space="preserve"> </w:t>
      </w:r>
      <w:r w:rsidR="00421C76" w:rsidRPr="00632F35">
        <w:rPr>
          <w:rFonts w:ascii="Arial" w:hAnsi="Arial" w:cs="Arial"/>
        </w:rPr>
        <w:t xml:space="preserve">DHI </w:t>
      </w:r>
      <w:r w:rsidR="00A748DA" w:rsidRPr="00632F35">
        <w:rPr>
          <w:rFonts w:ascii="Arial" w:hAnsi="Arial" w:cs="Arial"/>
        </w:rPr>
        <w:t xml:space="preserve">was not </w:t>
      </w:r>
      <w:r w:rsidR="00421C76" w:rsidRPr="00632F35">
        <w:rPr>
          <w:rFonts w:ascii="Arial" w:hAnsi="Arial" w:cs="Arial"/>
        </w:rPr>
        <w:t xml:space="preserve">the Council’s existing provider and therefore </w:t>
      </w:r>
      <w:r w:rsidR="00A748DA" w:rsidRPr="00632F35">
        <w:rPr>
          <w:rFonts w:ascii="Arial" w:hAnsi="Arial" w:cs="Arial"/>
        </w:rPr>
        <w:t xml:space="preserve">awarding the new contract to DHI under </w:t>
      </w:r>
      <w:r w:rsidR="00421C76" w:rsidRPr="00632F35">
        <w:rPr>
          <w:rFonts w:ascii="Arial" w:hAnsi="Arial" w:cs="Arial"/>
        </w:rPr>
        <w:t xml:space="preserve">DAPC was not open to </w:t>
      </w:r>
      <w:r w:rsidR="00A748DA" w:rsidRPr="00632F35">
        <w:rPr>
          <w:rFonts w:ascii="Arial" w:hAnsi="Arial" w:cs="Arial"/>
        </w:rPr>
        <w:t>the Council</w:t>
      </w:r>
      <w:r w:rsidR="00DD187F" w:rsidRPr="00632F35">
        <w:rPr>
          <w:rFonts w:ascii="Arial" w:hAnsi="Arial" w:cs="Arial"/>
        </w:rPr>
        <w:t>.</w:t>
      </w:r>
      <w:r w:rsidR="00166859" w:rsidRPr="00523D66">
        <w:rPr>
          <w:rFonts w:ascii="Arial" w:hAnsi="Arial" w:cs="Arial"/>
          <w:vertAlign w:val="superscript"/>
        </w:rPr>
        <w:footnoteReference w:id="50"/>
      </w:r>
    </w:p>
    <w:p w14:paraId="500B4D2B" w14:textId="6B2BB05F" w:rsidR="005E2419" w:rsidRDefault="004B78BA" w:rsidP="004B78BA">
      <w:pPr>
        <w:pStyle w:val="ListParagraph"/>
        <w:numPr>
          <w:ilvl w:val="0"/>
          <w:numId w:val="2"/>
        </w:numPr>
        <w:spacing w:line="276" w:lineRule="auto"/>
        <w:ind w:left="567" w:hanging="567"/>
        <w:contextualSpacing w:val="0"/>
        <w:rPr>
          <w:rFonts w:ascii="Arial" w:hAnsi="Arial" w:cs="Arial"/>
        </w:rPr>
      </w:pPr>
      <w:r w:rsidRPr="003F1F10">
        <w:rPr>
          <w:rFonts w:ascii="Arial" w:hAnsi="Arial" w:cs="Arial"/>
        </w:rPr>
        <w:t>The Panel notes that</w:t>
      </w:r>
      <w:r w:rsidR="00995A23">
        <w:rPr>
          <w:rFonts w:ascii="Arial" w:hAnsi="Arial" w:cs="Arial"/>
        </w:rPr>
        <w:t xml:space="preserve"> </w:t>
      </w:r>
      <w:r w:rsidR="009D7FDF">
        <w:rPr>
          <w:rFonts w:ascii="Arial" w:hAnsi="Arial" w:cs="Arial"/>
        </w:rPr>
        <w:t xml:space="preserve">DAPC is </w:t>
      </w:r>
      <w:r w:rsidR="00AA1E5C">
        <w:rPr>
          <w:rFonts w:ascii="Arial" w:hAnsi="Arial" w:cs="Arial"/>
        </w:rPr>
        <w:t>not</w:t>
      </w:r>
      <w:r w:rsidR="009D7FDF">
        <w:rPr>
          <w:rFonts w:ascii="Arial" w:hAnsi="Arial" w:cs="Arial"/>
        </w:rPr>
        <w:t xml:space="preserve"> available </w:t>
      </w:r>
      <w:r w:rsidR="00276E1C">
        <w:rPr>
          <w:rFonts w:ascii="Arial" w:hAnsi="Arial" w:cs="Arial"/>
        </w:rPr>
        <w:t xml:space="preserve">where </w:t>
      </w:r>
      <w:r w:rsidR="00AA1E5C">
        <w:rPr>
          <w:rFonts w:ascii="Arial" w:hAnsi="Arial" w:cs="Arial"/>
        </w:rPr>
        <w:t xml:space="preserve">“the proposed contracting arrangements are </w:t>
      </w:r>
      <w:r w:rsidR="00955EA1">
        <w:rPr>
          <w:rFonts w:ascii="Arial" w:hAnsi="Arial" w:cs="Arial"/>
        </w:rPr>
        <w:t>materially different in character to the existing contract</w:t>
      </w:r>
      <w:r w:rsidR="00463B77">
        <w:rPr>
          <w:rFonts w:ascii="Arial" w:hAnsi="Arial" w:cs="Arial"/>
        </w:rPr>
        <w:t xml:space="preserve">” (as per Regulation </w:t>
      </w:r>
      <w:r w:rsidR="001C5EC2">
        <w:rPr>
          <w:rFonts w:ascii="Arial" w:hAnsi="Arial" w:cs="Arial"/>
        </w:rPr>
        <w:t xml:space="preserve">6(10)(a)). </w:t>
      </w:r>
      <w:r w:rsidR="007026F7">
        <w:rPr>
          <w:rFonts w:ascii="Arial" w:hAnsi="Arial" w:cs="Arial"/>
        </w:rPr>
        <w:t>The existing contract</w:t>
      </w:r>
      <w:r w:rsidR="00B90F33">
        <w:rPr>
          <w:rFonts w:ascii="Arial" w:hAnsi="Arial" w:cs="Arial"/>
        </w:rPr>
        <w:t>, f</w:t>
      </w:r>
      <w:r w:rsidR="000330A9">
        <w:rPr>
          <w:rFonts w:ascii="Arial" w:hAnsi="Arial" w:cs="Arial"/>
        </w:rPr>
        <w:t xml:space="preserve">or the purposes of </w:t>
      </w:r>
      <w:r w:rsidR="001B7A0A">
        <w:rPr>
          <w:rFonts w:ascii="Arial" w:hAnsi="Arial" w:cs="Arial"/>
        </w:rPr>
        <w:t xml:space="preserve">determining whether </w:t>
      </w:r>
      <w:r w:rsidR="00AC297D">
        <w:rPr>
          <w:rFonts w:ascii="Arial" w:hAnsi="Arial" w:cs="Arial"/>
        </w:rPr>
        <w:t xml:space="preserve">the DAPC process is available to </w:t>
      </w:r>
      <w:r w:rsidR="00B90F33">
        <w:rPr>
          <w:rFonts w:ascii="Arial" w:hAnsi="Arial" w:cs="Arial"/>
        </w:rPr>
        <w:t>the Council</w:t>
      </w:r>
      <w:r w:rsidR="00AC297D">
        <w:rPr>
          <w:rFonts w:ascii="Arial" w:hAnsi="Arial" w:cs="Arial"/>
        </w:rPr>
        <w:t xml:space="preserve">, </w:t>
      </w:r>
      <w:r w:rsidR="00B90F33">
        <w:rPr>
          <w:rFonts w:ascii="Arial" w:hAnsi="Arial" w:cs="Arial"/>
        </w:rPr>
        <w:t xml:space="preserve">is the </w:t>
      </w:r>
      <w:r w:rsidR="00DE1A58">
        <w:rPr>
          <w:rFonts w:ascii="Arial" w:hAnsi="Arial" w:cs="Arial"/>
        </w:rPr>
        <w:t xml:space="preserve">prime provider </w:t>
      </w:r>
      <w:r w:rsidR="00B90F33">
        <w:rPr>
          <w:rFonts w:ascii="Arial" w:hAnsi="Arial" w:cs="Arial"/>
        </w:rPr>
        <w:t xml:space="preserve">contract </w:t>
      </w:r>
      <w:r w:rsidR="00AC297D">
        <w:rPr>
          <w:rFonts w:ascii="Arial" w:hAnsi="Arial" w:cs="Arial"/>
        </w:rPr>
        <w:t xml:space="preserve">between </w:t>
      </w:r>
      <w:r w:rsidR="00AC297D">
        <w:rPr>
          <w:rFonts w:ascii="Arial" w:hAnsi="Arial" w:cs="Arial"/>
        </w:rPr>
        <w:lastRenderedPageBreak/>
        <w:t xml:space="preserve">the Council and </w:t>
      </w:r>
      <w:r w:rsidR="00B90F33">
        <w:rPr>
          <w:rFonts w:ascii="Arial" w:hAnsi="Arial" w:cs="Arial"/>
        </w:rPr>
        <w:t>HC</w:t>
      </w:r>
      <w:r w:rsidR="00A03198">
        <w:rPr>
          <w:rFonts w:ascii="Arial" w:hAnsi="Arial" w:cs="Arial"/>
        </w:rPr>
        <w:t>R</w:t>
      </w:r>
      <w:r w:rsidR="00B90F33">
        <w:rPr>
          <w:rFonts w:ascii="Arial" w:hAnsi="Arial" w:cs="Arial"/>
        </w:rPr>
        <w:t>G for the delivery of public health</w:t>
      </w:r>
      <w:r w:rsidR="00DE1A58">
        <w:rPr>
          <w:rFonts w:ascii="Arial" w:hAnsi="Arial" w:cs="Arial"/>
        </w:rPr>
        <w:t>, social care and housing</w:t>
      </w:r>
      <w:r w:rsidR="00B90F33">
        <w:rPr>
          <w:rFonts w:ascii="Arial" w:hAnsi="Arial" w:cs="Arial"/>
        </w:rPr>
        <w:t xml:space="preserve"> services, which encompasses drug and alcohol services</w:t>
      </w:r>
      <w:r w:rsidR="00560D64">
        <w:rPr>
          <w:rFonts w:ascii="Arial" w:hAnsi="Arial" w:cs="Arial"/>
        </w:rPr>
        <w:t xml:space="preserve"> (see paragraph </w:t>
      </w:r>
      <w:r w:rsidR="0059395C">
        <w:rPr>
          <w:rFonts w:ascii="Arial" w:hAnsi="Arial" w:cs="Arial"/>
        </w:rPr>
        <w:fldChar w:fldCharType="begin"/>
      </w:r>
      <w:r w:rsidR="0059395C">
        <w:rPr>
          <w:rFonts w:ascii="Arial" w:hAnsi="Arial" w:cs="Arial"/>
        </w:rPr>
        <w:instrText xml:space="preserve"> REF _Ref189569826 \r \h </w:instrText>
      </w:r>
      <w:r w:rsidR="0059395C">
        <w:rPr>
          <w:rFonts w:ascii="Arial" w:hAnsi="Arial" w:cs="Arial"/>
        </w:rPr>
      </w:r>
      <w:r w:rsidR="0059395C">
        <w:rPr>
          <w:rFonts w:ascii="Arial" w:hAnsi="Arial" w:cs="Arial"/>
        </w:rPr>
        <w:fldChar w:fldCharType="separate"/>
      </w:r>
      <w:r w:rsidR="0023016C">
        <w:rPr>
          <w:rFonts w:ascii="Arial" w:hAnsi="Arial" w:cs="Arial"/>
        </w:rPr>
        <w:t>30</w:t>
      </w:r>
      <w:r w:rsidR="0059395C">
        <w:rPr>
          <w:rFonts w:ascii="Arial" w:hAnsi="Arial" w:cs="Arial"/>
        </w:rPr>
        <w:fldChar w:fldCharType="end"/>
      </w:r>
      <w:r w:rsidR="00560D64">
        <w:rPr>
          <w:rFonts w:ascii="Arial" w:hAnsi="Arial" w:cs="Arial"/>
        </w:rPr>
        <w:t>).</w:t>
      </w:r>
      <w:r w:rsidR="00E47DAC">
        <w:rPr>
          <w:rFonts w:ascii="Arial" w:hAnsi="Arial" w:cs="Arial"/>
        </w:rPr>
        <w:t xml:space="preserve"> </w:t>
      </w:r>
      <w:r w:rsidR="0070192B">
        <w:rPr>
          <w:rFonts w:ascii="Arial" w:hAnsi="Arial" w:cs="Arial"/>
        </w:rPr>
        <w:t>(</w:t>
      </w:r>
      <w:r w:rsidR="00FC3F85">
        <w:rPr>
          <w:rFonts w:ascii="Arial" w:hAnsi="Arial" w:cs="Arial"/>
        </w:rPr>
        <w:t xml:space="preserve">The “existing contract” is not </w:t>
      </w:r>
      <w:r w:rsidR="0070192B">
        <w:rPr>
          <w:rFonts w:ascii="Arial" w:hAnsi="Arial" w:cs="Arial"/>
        </w:rPr>
        <w:t xml:space="preserve">the sub-contract between HCRG and DHI </w:t>
      </w:r>
      <w:r w:rsidR="00FC3F85">
        <w:rPr>
          <w:rFonts w:ascii="Arial" w:hAnsi="Arial" w:cs="Arial"/>
        </w:rPr>
        <w:t xml:space="preserve">for drug and alcohol services </w:t>
      </w:r>
      <w:r w:rsidR="0070192B">
        <w:rPr>
          <w:rFonts w:ascii="Arial" w:hAnsi="Arial" w:cs="Arial"/>
        </w:rPr>
        <w:t>because the Council is not a party to this contract.)</w:t>
      </w:r>
    </w:p>
    <w:p w14:paraId="555E3594" w14:textId="73EC1976" w:rsidR="001E5B0F" w:rsidRDefault="00006156" w:rsidP="6E857ABD">
      <w:pPr>
        <w:pStyle w:val="ListParagraph"/>
        <w:numPr>
          <w:ilvl w:val="0"/>
          <w:numId w:val="2"/>
        </w:numPr>
        <w:spacing w:line="276" w:lineRule="auto"/>
        <w:ind w:left="567" w:hanging="567"/>
        <w:contextualSpacing w:val="0"/>
        <w:rPr>
          <w:rFonts w:ascii="Arial" w:hAnsi="Arial" w:cs="Arial"/>
        </w:rPr>
      </w:pPr>
      <w:r w:rsidRPr="00980A58">
        <w:rPr>
          <w:rFonts w:ascii="Arial" w:hAnsi="Arial" w:cs="Arial"/>
        </w:rPr>
        <w:t xml:space="preserve">The Panel’s view is that the new contract for drug and alcohol services is </w:t>
      </w:r>
      <w:r w:rsidR="00A349AD">
        <w:rPr>
          <w:rFonts w:ascii="Arial" w:hAnsi="Arial" w:cs="Arial"/>
        </w:rPr>
        <w:t>“</w:t>
      </w:r>
      <w:r w:rsidRPr="00980A58">
        <w:rPr>
          <w:rFonts w:ascii="Arial" w:hAnsi="Arial" w:cs="Arial"/>
        </w:rPr>
        <w:t xml:space="preserve">materially different </w:t>
      </w:r>
      <w:r w:rsidR="00A349AD">
        <w:rPr>
          <w:rFonts w:ascii="Arial" w:hAnsi="Arial" w:cs="Arial"/>
        </w:rPr>
        <w:t xml:space="preserve">in character” </w:t>
      </w:r>
      <w:r w:rsidRPr="00980A58">
        <w:rPr>
          <w:rFonts w:ascii="Arial" w:hAnsi="Arial" w:cs="Arial"/>
        </w:rPr>
        <w:t xml:space="preserve">to the </w:t>
      </w:r>
      <w:r w:rsidR="003A40A2">
        <w:rPr>
          <w:rFonts w:ascii="Arial" w:hAnsi="Arial" w:cs="Arial"/>
        </w:rPr>
        <w:t xml:space="preserve">existing </w:t>
      </w:r>
      <w:r w:rsidR="00531BFF">
        <w:rPr>
          <w:rFonts w:ascii="Arial" w:hAnsi="Arial" w:cs="Arial"/>
        </w:rPr>
        <w:t xml:space="preserve">prime provider </w:t>
      </w:r>
      <w:r w:rsidR="00B56C8F" w:rsidRPr="00980A58">
        <w:rPr>
          <w:rFonts w:ascii="Arial" w:hAnsi="Arial" w:cs="Arial"/>
        </w:rPr>
        <w:t>contract held by HCRG</w:t>
      </w:r>
      <w:r w:rsidR="003A40A2">
        <w:rPr>
          <w:rFonts w:ascii="Arial" w:hAnsi="Arial" w:cs="Arial"/>
        </w:rPr>
        <w:t xml:space="preserve"> because of</w:t>
      </w:r>
      <w:r w:rsidR="00BE3177">
        <w:rPr>
          <w:rFonts w:ascii="Arial" w:hAnsi="Arial" w:cs="Arial"/>
        </w:rPr>
        <w:t xml:space="preserve"> the</w:t>
      </w:r>
      <w:r w:rsidR="003A40A2">
        <w:rPr>
          <w:rFonts w:ascii="Arial" w:hAnsi="Arial" w:cs="Arial"/>
        </w:rPr>
        <w:t xml:space="preserve"> </w:t>
      </w:r>
      <w:r w:rsidR="00531BFF">
        <w:rPr>
          <w:rFonts w:ascii="Arial" w:hAnsi="Arial" w:cs="Arial"/>
        </w:rPr>
        <w:t>wide range of services included in the prime provider contract and the more narrowly focused new contract for drug and alcohol services</w:t>
      </w:r>
      <w:r w:rsidR="00B56C8F" w:rsidRPr="00980A58">
        <w:rPr>
          <w:rFonts w:ascii="Arial" w:hAnsi="Arial" w:cs="Arial"/>
        </w:rPr>
        <w:t>.</w:t>
      </w:r>
      <w:r w:rsidR="00015823" w:rsidRPr="00980A58">
        <w:rPr>
          <w:rFonts w:ascii="Arial" w:hAnsi="Arial" w:cs="Arial"/>
        </w:rPr>
        <w:t xml:space="preserve"> Moreover, as </w:t>
      </w:r>
      <w:r w:rsidR="002A3E31" w:rsidRPr="00980A58">
        <w:rPr>
          <w:rFonts w:ascii="Arial" w:hAnsi="Arial" w:cs="Arial"/>
        </w:rPr>
        <w:t xml:space="preserve">noted by the Council, </w:t>
      </w:r>
      <w:r w:rsidR="00516858" w:rsidRPr="00980A58">
        <w:rPr>
          <w:rFonts w:ascii="Arial" w:hAnsi="Arial" w:cs="Arial"/>
        </w:rPr>
        <w:t>it is HC</w:t>
      </w:r>
      <w:r w:rsidR="00A03198">
        <w:rPr>
          <w:rFonts w:ascii="Arial" w:hAnsi="Arial" w:cs="Arial"/>
        </w:rPr>
        <w:t>R</w:t>
      </w:r>
      <w:r w:rsidR="00516858" w:rsidRPr="00980A58">
        <w:rPr>
          <w:rFonts w:ascii="Arial" w:hAnsi="Arial" w:cs="Arial"/>
        </w:rPr>
        <w:t xml:space="preserve">G, not DHI, that </w:t>
      </w:r>
      <w:r w:rsidR="00366974" w:rsidRPr="00980A58">
        <w:rPr>
          <w:rFonts w:ascii="Arial" w:hAnsi="Arial" w:cs="Arial"/>
        </w:rPr>
        <w:t>hold</w:t>
      </w:r>
      <w:r w:rsidR="002560C7" w:rsidRPr="00980A58">
        <w:rPr>
          <w:rFonts w:ascii="Arial" w:hAnsi="Arial" w:cs="Arial"/>
        </w:rPr>
        <w:t>s</w:t>
      </w:r>
      <w:r w:rsidR="00366974" w:rsidRPr="00980A58">
        <w:rPr>
          <w:rFonts w:ascii="Arial" w:hAnsi="Arial" w:cs="Arial"/>
        </w:rPr>
        <w:t xml:space="preserve"> the existing </w:t>
      </w:r>
      <w:r w:rsidR="006226EE">
        <w:rPr>
          <w:rFonts w:ascii="Arial" w:hAnsi="Arial" w:cs="Arial"/>
        </w:rPr>
        <w:t xml:space="preserve">prime provider </w:t>
      </w:r>
      <w:r w:rsidR="00366974" w:rsidRPr="00980A58">
        <w:rPr>
          <w:rFonts w:ascii="Arial" w:hAnsi="Arial" w:cs="Arial"/>
        </w:rPr>
        <w:t>contract</w:t>
      </w:r>
      <w:r w:rsidR="00E36586" w:rsidRPr="00980A58">
        <w:rPr>
          <w:rFonts w:ascii="Arial" w:hAnsi="Arial" w:cs="Arial"/>
        </w:rPr>
        <w:t>.</w:t>
      </w:r>
      <w:r w:rsidR="002026F8" w:rsidRPr="00980A58">
        <w:rPr>
          <w:rFonts w:ascii="Arial" w:hAnsi="Arial" w:cs="Arial"/>
        </w:rPr>
        <w:t xml:space="preserve"> For these reasons, </w:t>
      </w:r>
      <w:r w:rsidR="00980A58" w:rsidRPr="00980A58">
        <w:rPr>
          <w:rFonts w:ascii="Arial" w:hAnsi="Arial" w:cs="Arial"/>
        </w:rPr>
        <w:t xml:space="preserve">DAPC was not </w:t>
      </w:r>
      <w:r w:rsidR="006226EE">
        <w:rPr>
          <w:rFonts w:ascii="Arial" w:hAnsi="Arial" w:cs="Arial"/>
        </w:rPr>
        <w:t xml:space="preserve">an option that was </w:t>
      </w:r>
      <w:r w:rsidR="00980A58" w:rsidRPr="00980A58">
        <w:rPr>
          <w:rFonts w:ascii="Arial" w:hAnsi="Arial" w:cs="Arial"/>
        </w:rPr>
        <w:t xml:space="preserve">available to the Council when selecting </w:t>
      </w:r>
      <w:r w:rsidR="005E5ECC">
        <w:rPr>
          <w:rFonts w:ascii="Arial" w:hAnsi="Arial" w:cs="Arial"/>
        </w:rPr>
        <w:t>the</w:t>
      </w:r>
      <w:r w:rsidR="00980A58" w:rsidRPr="00980A58">
        <w:rPr>
          <w:rFonts w:ascii="Arial" w:hAnsi="Arial" w:cs="Arial"/>
        </w:rPr>
        <w:t xml:space="preserve"> provider </w:t>
      </w:r>
      <w:r w:rsidR="005E5ECC">
        <w:rPr>
          <w:rFonts w:ascii="Arial" w:hAnsi="Arial" w:cs="Arial"/>
        </w:rPr>
        <w:t xml:space="preserve">selection process to be used </w:t>
      </w:r>
      <w:r w:rsidR="00980A58" w:rsidRPr="00980A58">
        <w:rPr>
          <w:rFonts w:ascii="Arial" w:hAnsi="Arial" w:cs="Arial"/>
        </w:rPr>
        <w:t>for the new Drug and Alcohol Services contract.</w:t>
      </w:r>
      <w:r w:rsidR="00574134">
        <w:rPr>
          <w:rFonts w:ascii="Arial" w:hAnsi="Arial" w:cs="Arial"/>
        </w:rPr>
        <w:t xml:space="preserve"> </w:t>
      </w:r>
      <w:r w:rsidR="00034E71">
        <w:rPr>
          <w:rFonts w:ascii="Arial" w:hAnsi="Arial" w:cs="Arial"/>
        </w:rPr>
        <w:t>That is, the Panel’s view is that the Council did not err when deciding that DAPC was not available to it.</w:t>
      </w:r>
    </w:p>
    <w:p w14:paraId="1710A914" w14:textId="598D2F54" w:rsidR="00C7287D" w:rsidRPr="00DD187F" w:rsidRDefault="00F71C5E" w:rsidP="005C22D5">
      <w:pPr>
        <w:pStyle w:val="ListParagraph"/>
        <w:numPr>
          <w:ilvl w:val="0"/>
          <w:numId w:val="2"/>
        </w:numPr>
        <w:spacing w:line="276" w:lineRule="auto"/>
        <w:ind w:left="567" w:hanging="567"/>
        <w:contextualSpacing w:val="0"/>
        <w:rPr>
          <w:rFonts w:ascii="Arial" w:hAnsi="Arial" w:cs="Arial"/>
        </w:rPr>
      </w:pPr>
      <w:r w:rsidRPr="00980A58">
        <w:rPr>
          <w:rFonts w:ascii="Arial" w:hAnsi="Arial" w:cs="Arial"/>
        </w:rPr>
        <w:t xml:space="preserve">As a result, </w:t>
      </w:r>
      <w:r w:rsidR="0089339E">
        <w:rPr>
          <w:rFonts w:ascii="Arial" w:hAnsi="Arial" w:cs="Arial"/>
        </w:rPr>
        <w:t>the Panel finds that the Council</w:t>
      </w:r>
      <w:r w:rsidR="003465B8">
        <w:rPr>
          <w:rFonts w:ascii="Arial" w:hAnsi="Arial" w:cs="Arial"/>
        </w:rPr>
        <w:t>,</w:t>
      </w:r>
      <w:r w:rsidR="0089339E">
        <w:rPr>
          <w:rFonts w:ascii="Arial" w:hAnsi="Arial" w:cs="Arial"/>
        </w:rPr>
        <w:t xml:space="preserve"> </w:t>
      </w:r>
      <w:r w:rsidR="00980A58">
        <w:rPr>
          <w:rFonts w:ascii="Arial" w:hAnsi="Arial" w:cs="Arial"/>
        </w:rPr>
        <w:t>in</w:t>
      </w:r>
      <w:r w:rsidR="003465B8">
        <w:rPr>
          <w:rFonts w:ascii="Arial" w:hAnsi="Arial" w:cs="Arial"/>
        </w:rPr>
        <w:t xml:space="preserve"> </w:t>
      </w:r>
      <w:r w:rsidR="0007041E">
        <w:rPr>
          <w:rFonts w:ascii="Arial" w:hAnsi="Arial" w:cs="Arial"/>
        </w:rPr>
        <w:t xml:space="preserve">using the competitive process to select </w:t>
      </w:r>
      <w:r w:rsidR="00D36A83">
        <w:rPr>
          <w:rFonts w:ascii="Arial" w:hAnsi="Arial" w:cs="Arial"/>
        </w:rPr>
        <w:t xml:space="preserve">a provider </w:t>
      </w:r>
      <w:r w:rsidR="0089339E">
        <w:rPr>
          <w:rFonts w:ascii="Arial" w:hAnsi="Arial" w:cs="Arial"/>
        </w:rPr>
        <w:t xml:space="preserve">did not breach </w:t>
      </w:r>
      <w:r w:rsidR="00400207">
        <w:rPr>
          <w:rFonts w:ascii="Arial" w:hAnsi="Arial" w:cs="Arial"/>
        </w:rPr>
        <w:t>the PSR regulations</w:t>
      </w:r>
      <w:r w:rsidR="00C00C4D">
        <w:rPr>
          <w:rFonts w:ascii="Arial" w:hAnsi="Arial" w:cs="Arial"/>
        </w:rPr>
        <w:t xml:space="preserve"> and</w:t>
      </w:r>
      <w:r w:rsidR="00FB1228">
        <w:rPr>
          <w:rFonts w:ascii="Arial" w:hAnsi="Arial" w:cs="Arial"/>
        </w:rPr>
        <w:t>,</w:t>
      </w:r>
      <w:r w:rsidR="00C00C4D">
        <w:rPr>
          <w:rFonts w:ascii="Arial" w:hAnsi="Arial" w:cs="Arial"/>
        </w:rPr>
        <w:t xml:space="preserve"> in particular</w:t>
      </w:r>
      <w:r w:rsidR="00FB1228">
        <w:rPr>
          <w:rFonts w:ascii="Arial" w:hAnsi="Arial" w:cs="Arial"/>
        </w:rPr>
        <w:t>,</w:t>
      </w:r>
      <w:r w:rsidR="00C00C4D">
        <w:rPr>
          <w:rFonts w:ascii="Arial" w:hAnsi="Arial" w:cs="Arial"/>
        </w:rPr>
        <w:t xml:space="preserve"> the obligation to act fairly, transparently </w:t>
      </w:r>
      <w:r w:rsidR="00FB1228">
        <w:rPr>
          <w:rFonts w:ascii="Arial" w:hAnsi="Arial" w:cs="Arial"/>
        </w:rPr>
        <w:t>and</w:t>
      </w:r>
      <w:r w:rsidR="00C00C4D">
        <w:rPr>
          <w:rFonts w:ascii="Arial" w:hAnsi="Arial" w:cs="Arial"/>
        </w:rPr>
        <w:t xml:space="preserve"> proportionately.</w:t>
      </w:r>
    </w:p>
    <w:p w14:paraId="3B0F21BC" w14:textId="1C4BC440" w:rsidR="00686E64" w:rsidRDefault="00686E64" w:rsidP="00237E63">
      <w:pPr>
        <w:pStyle w:val="Heading2"/>
        <w:numPr>
          <w:ilvl w:val="1"/>
          <w:numId w:val="1"/>
        </w:numPr>
        <w:spacing w:before="240" w:after="160"/>
        <w:ind w:left="0" w:firstLine="0"/>
        <w:rPr>
          <w:rFonts w:ascii="Arial" w:hAnsi="Arial" w:cs="Arial"/>
          <w:b/>
          <w:bCs/>
          <w:color w:val="000000" w:themeColor="text1"/>
          <w:sz w:val="24"/>
          <w:szCs w:val="24"/>
        </w:rPr>
      </w:pPr>
      <w:bookmarkStart w:id="21" w:name="_Toc189662759"/>
      <w:r w:rsidRPr="00C10491">
        <w:rPr>
          <w:rFonts w:ascii="Arial" w:hAnsi="Arial" w:cs="Arial"/>
          <w:b/>
          <w:bCs/>
          <w:color w:val="000000" w:themeColor="text1"/>
          <w:sz w:val="24"/>
          <w:szCs w:val="24"/>
        </w:rPr>
        <w:t xml:space="preserve">Service </w:t>
      </w:r>
      <w:r w:rsidR="0016493E">
        <w:rPr>
          <w:rFonts w:ascii="Arial" w:hAnsi="Arial" w:cs="Arial"/>
          <w:b/>
          <w:bCs/>
          <w:color w:val="000000" w:themeColor="text1"/>
          <w:sz w:val="24"/>
          <w:szCs w:val="24"/>
        </w:rPr>
        <w:t xml:space="preserve">and provider </w:t>
      </w:r>
      <w:r w:rsidRPr="00C10491">
        <w:rPr>
          <w:rFonts w:ascii="Arial" w:hAnsi="Arial" w:cs="Arial"/>
          <w:b/>
          <w:bCs/>
          <w:color w:val="000000" w:themeColor="text1"/>
          <w:sz w:val="24"/>
          <w:szCs w:val="24"/>
        </w:rPr>
        <w:t>sustainability</w:t>
      </w:r>
      <w:bookmarkEnd w:id="21"/>
    </w:p>
    <w:p w14:paraId="567FB092" w14:textId="080CD1D7" w:rsidR="00A932FB" w:rsidRDefault="00A932FB" w:rsidP="00B8449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assessment of DHI’s concerns about the </w:t>
      </w:r>
      <w:r w:rsidR="00653784">
        <w:rPr>
          <w:rFonts w:ascii="Arial" w:hAnsi="Arial" w:cs="Arial"/>
        </w:rPr>
        <w:t xml:space="preserve">impact of the Council’s provider selection decision on </w:t>
      </w:r>
      <w:r w:rsidR="00A61A6F">
        <w:rPr>
          <w:rFonts w:ascii="Arial" w:hAnsi="Arial" w:cs="Arial"/>
        </w:rPr>
        <w:t>the</w:t>
      </w:r>
      <w:r w:rsidR="00653784">
        <w:rPr>
          <w:rFonts w:ascii="Arial" w:hAnsi="Arial" w:cs="Arial"/>
        </w:rPr>
        <w:t xml:space="preserve"> sustainability</w:t>
      </w:r>
      <w:r w:rsidR="00A61A6F">
        <w:rPr>
          <w:rFonts w:ascii="Arial" w:hAnsi="Arial" w:cs="Arial"/>
        </w:rPr>
        <w:t xml:space="preserve"> of other services and on providers</w:t>
      </w:r>
      <w:r w:rsidR="00653784">
        <w:rPr>
          <w:rFonts w:ascii="Arial" w:hAnsi="Arial" w:cs="Arial"/>
        </w:rPr>
        <w:t>.</w:t>
      </w:r>
    </w:p>
    <w:p w14:paraId="294F11E8" w14:textId="33D25EF7" w:rsidR="00B8449B" w:rsidRPr="00766956" w:rsidRDefault="00B8449B" w:rsidP="00B8449B">
      <w:pPr>
        <w:pStyle w:val="ListParagraph"/>
        <w:numPr>
          <w:ilvl w:val="0"/>
          <w:numId w:val="2"/>
        </w:numPr>
        <w:spacing w:line="276" w:lineRule="auto"/>
        <w:ind w:left="567" w:hanging="567"/>
        <w:contextualSpacing w:val="0"/>
        <w:rPr>
          <w:rFonts w:ascii="Arial" w:hAnsi="Arial" w:cs="Arial"/>
        </w:rPr>
      </w:pPr>
      <w:bookmarkStart w:id="22" w:name="_Ref189213380"/>
      <w:r w:rsidRPr="00766956">
        <w:rPr>
          <w:rFonts w:ascii="Arial" w:hAnsi="Arial" w:cs="Arial"/>
        </w:rPr>
        <w:t>DHI told the Panel the outcome of the procurement “will have a very significant impact on the whole charity”</w:t>
      </w:r>
      <w:r w:rsidRPr="00766956">
        <w:rPr>
          <w:rStyle w:val="FootnoteReference"/>
          <w:rFonts w:ascii="Arial" w:hAnsi="Arial" w:cs="Arial"/>
        </w:rPr>
        <w:footnoteReference w:id="51"/>
      </w:r>
      <w:r w:rsidRPr="00766956">
        <w:rPr>
          <w:rFonts w:ascii="Arial" w:hAnsi="Arial" w:cs="Arial"/>
        </w:rPr>
        <w:t xml:space="preserve"> as a result of the loss in income, and that it could affect its ability to deliver community detox and supported housing services. DHI also said that the loss of this contract </w:t>
      </w:r>
      <w:r w:rsidR="00FC5D42">
        <w:rPr>
          <w:rFonts w:ascii="Arial" w:hAnsi="Arial" w:cs="Arial"/>
        </w:rPr>
        <w:t>w</w:t>
      </w:r>
      <w:r w:rsidRPr="00766956">
        <w:rPr>
          <w:rFonts w:ascii="Arial" w:hAnsi="Arial" w:cs="Arial"/>
        </w:rPr>
        <w:t xml:space="preserve">ould result in a fractured provision of </w:t>
      </w:r>
      <w:r w:rsidR="00FF00A0">
        <w:rPr>
          <w:rFonts w:ascii="Arial" w:hAnsi="Arial" w:cs="Arial"/>
        </w:rPr>
        <w:t>M</w:t>
      </w:r>
      <w:r w:rsidRPr="00766956">
        <w:rPr>
          <w:rFonts w:ascii="Arial" w:hAnsi="Arial" w:cs="Arial"/>
        </w:rPr>
        <w:t xml:space="preserve">ental </w:t>
      </w:r>
      <w:r w:rsidR="00FF00A0">
        <w:rPr>
          <w:rFonts w:ascii="Arial" w:hAnsi="Arial" w:cs="Arial"/>
        </w:rPr>
        <w:t>H</w:t>
      </w:r>
      <w:r w:rsidRPr="00766956">
        <w:rPr>
          <w:rFonts w:ascii="Arial" w:hAnsi="Arial" w:cs="Arial"/>
        </w:rPr>
        <w:t xml:space="preserve">ealth </w:t>
      </w:r>
      <w:r w:rsidR="00FF00A0">
        <w:rPr>
          <w:rFonts w:ascii="Arial" w:hAnsi="Arial" w:cs="Arial"/>
        </w:rPr>
        <w:t>T</w:t>
      </w:r>
      <w:r w:rsidRPr="00766956">
        <w:rPr>
          <w:rFonts w:ascii="Arial" w:hAnsi="Arial" w:cs="Arial"/>
        </w:rPr>
        <w:t xml:space="preserve">reatment </w:t>
      </w:r>
      <w:r w:rsidR="00FF00A0">
        <w:rPr>
          <w:rFonts w:ascii="Arial" w:hAnsi="Arial" w:cs="Arial"/>
        </w:rPr>
        <w:t xml:space="preserve">Requirements (i.e. statutory court orders for those with a dual </w:t>
      </w:r>
      <w:r w:rsidR="00EB3AA3">
        <w:rPr>
          <w:rFonts w:ascii="Arial" w:hAnsi="Arial" w:cs="Arial"/>
        </w:rPr>
        <w:t xml:space="preserve">mental health and substance misuse issue) for </w:t>
      </w:r>
      <w:r w:rsidRPr="00766956">
        <w:rPr>
          <w:rFonts w:ascii="Arial" w:hAnsi="Arial" w:cs="Arial"/>
        </w:rPr>
        <w:t>patients in the criminal justice system who are returning to the community given that DHI is the current supplier of these other services.</w:t>
      </w:r>
      <w:r w:rsidRPr="00766956">
        <w:rPr>
          <w:rStyle w:val="FootnoteReference"/>
          <w:rFonts w:ascii="Arial" w:hAnsi="Arial" w:cs="Arial"/>
        </w:rPr>
        <w:footnoteReference w:id="52"/>
      </w:r>
      <w:bookmarkEnd w:id="22"/>
    </w:p>
    <w:p w14:paraId="387A2EA1" w14:textId="40FDB6C3" w:rsidR="00686E64" w:rsidRPr="00766956" w:rsidRDefault="00381DD2" w:rsidP="00B8449B">
      <w:pPr>
        <w:pStyle w:val="ListParagraph"/>
        <w:numPr>
          <w:ilvl w:val="0"/>
          <w:numId w:val="2"/>
        </w:numPr>
        <w:spacing w:line="276" w:lineRule="auto"/>
        <w:ind w:left="567" w:hanging="567"/>
        <w:contextualSpacing w:val="0"/>
        <w:rPr>
          <w:rFonts w:ascii="Arial" w:hAnsi="Arial" w:cs="Arial"/>
        </w:rPr>
      </w:pPr>
      <w:bookmarkStart w:id="23" w:name="_Ref189213382"/>
      <w:r w:rsidRPr="00766956">
        <w:rPr>
          <w:rFonts w:ascii="Arial" w:hAnsi="Arial" w:cs="Arial"/>
        </w:rPr>
        <w:t>DHI</w:t>
      </w:r>
      <w:r w:rsidR="004347C6">
        <w:rPr>
          <w:rFonts w:ascii="Arial" w:hAnsi="Arial" w:cs="Arial"/>
        </w:rPr>
        <w:t xml:space="preserve">, in </w:t>
      </w:r>
      <w:r w:rsidR="00686E64" w:rsidRPr="00766956">
        <w:rPr>
          <w:rFonts w:ascii="Arial" w:hAnsi="Arial" w:cs="Arial"/>
        </w:rPr>
        <w:t xml:space="preserve">its </w:t>
      </w:r>
      <w:r w:rsidR="00B8449B" w:rsidRPr="00766956">
        <w:rPr>
          <w:rFonts w:ascii="Arial" w:hAnsi="Arial" w:cs="Arial"/>
        </w:rPr>
        <w:t xml:space="preserve">earlier </w:t>
      </w:r>
      <w:r w:rsidR="00686E64" w:rsidRPr="00766956">
        <w:rPr>
          <w:rFonts w:ascii="Arial" w:hAnsi="Arial" w:cs="Arial"/>
        </w:rPr>
        <w:t>representations to the Council, said that “the loss of this contract places DHI in a precarious position, which will have far-reaching implications for the wider community and other public services, including probation, police and health authorities. It will also affect several partner charities who rely on DHI’s facilities, often provided free of charge”.</w:t>
      </w:r>
      <w:r w:rsidR="005C22D5" w:rsidRPr="00766956">
        <w:rPr>
          <w:rStyle w:val="FootnoteReference"/>
          <w:rFonts w:ascii="Arial" w:hAnsi="Arial" w:cs="Arial"/>
        </w:rPr>
        <w:footnoteReference w:id="53"/>
      </w:r>
      <w:bookmarkEnd w:id="23"/>
    </w:p>
    <w:p w14:paraId="433C9349" w14:textId="1EEB59E2" w:rsidR="00AB3989" w:rsidRPr="00850839" w:rsidRDefault="003C5B1C" w:rsidP="004B0C50">
      <w:pPr>
        <w:pStyle w:val="ListParagraph"/>
        <w:numPr>
          <w:ilvl w:val="0"/>
          <w:numId w:val="2"/>
        </w:numPr>
        <w:spacing w:line="276" w:lineRule="auto"/>
        <w:ind w:left="567" w:hanging="567"/>
        <w:contextualSpacing w:val="0"/>
        <w:rPr>
          <w:rFonts w:ascii="Arial" w:hAnsi="Arial" w:cs="Arial"/>
        </w:rPr>
      </w:pPr>
      <w:r w:rsidRPr="00850839">
        <w:rPr>
          <w:rFonts w:ascii="Arial" w:hAnsi="Arial" w:cs="Arial"/>
        </w:rPr>
        <w:t>Commissioners must consider five key criteria w</w:t>
      </w:r>
      <w:r w:rsidR="00633539" w:rsidRPr="00850839">
        <w:rPr>
          <w:rFonts w:ascii="Arial" w:hAnsi="Arial" w:cs="Arial"/>
        </w:rPr>
        <w:t xml:space="preserve">hen </w:t>
      </w:r>
      <w:r w:rsidRPr="00850839">
        <w:rPr>
          <w:rFonts w:ascii="Arial" w:hAnsi="Arial" w:cs="Arial"/>
        </w:rPr>
        <w:t xml:space="preserve">selecting </w:t>
      </w:r>
      <w:r w:rsidR="00633539" w:rsidRPr="00850839">
        <w:rPr>
          <w:rFonts w:ascii="Arial" w:hAnsi="Arial" w:cs="Arial"/>
        </w:rPr>
        <w:t>provider</w:t>
      </w:r>
      <w:r w:rsidRPr="00850839">
        <w:rPr>
          <w:rFonts w:ascii="Arial" w:hAnsi="Arial" w:cs="Arial"/>
        </w:rPr>
        <w:t>s</w:t>
      </w:r>
      <w:r w:rsidR="00633539" w:rsidRPr="00850839">
        <w:rPr>
          <w:rFonts w:ascii="Arial" w:hAnsi="Arial" w:cs="Arial"/>
        </w:rPr>
        <w:t xml:space="preserve"> under the competitive process</w:t>
      </w:r>
      <w:r w:rsidR="00816594" w:rsidRPr="00850839">
        <w:rPr>
          <w:rFonts w:ascii="Arial" w:hAnsi="Arial" w:cs="Arial"/>
        </w:rPr>
        <w:t xml:space="preserve">, one of which is </w:t>
      </w:r>
      <w:r w:rsidR="001A4C86" w:rsidRPr="00850839">
        <w:rPr>
          <w:rFonts w:ascii="Arial" w:hAnsi="Arial" w:cs="Arial"/>
        </w:rPr>
        <w:t>“</w:t>
      </w:r>
      <w:r w:rsidR="00816594" w:rsidRPr="00850839">
        <w:rPr>
          <w:rFonts w:ascii="Arial" w:hAnsi="Arial" w:cs="Arial"/>
        </w:rPr>
        <w:t>Integration, collaboration and service sustainability</w:t>
      </w:r>
      <w:r w:rsidR="001A4C86" w:rsidRPr="00850839">
        <w:rPr>
          <w:rFonts w:ascii="Arial" w:hAnsi="Arial" w:cs="Arial"/>
        </w:rPr>
        <w:t>, that is the extent to which services can be provided in: (i) an integrated way (including with other health care services</w:t>
      </w:r>
      <w:r w:rsidR="00BA05A3" w:rsidRPr="00850839">
        <w:rPr>
          <w:rFonts w:ascii="Arial" w:hAnsi="Arial" w:cs="Arial"/>
        </w:rPr>
        <w:t xml:space="preserve">, health-related services or social care services); (ii) a collaborative way (including with providers and with persons providing health-related services or social care services); </w:t>
      </w:r>
      <w:r w:rsidR="00200676" w:rsidRPr="00850839">
        <w:rPr>
          <w:rFonts w:ascii="Arial" w:hAnsi="Arial" w:cs="Arial"/>
        </w:rPr>
        <w:t xml:space="preserve">and (iii) a sustainable way (which </w:t>
      </w:r>
      <w:r w:rsidR="00200676" w:rsidRPr="00850839">
        <w:rPr>
          <w:rFonts w:ascii="Arial" w:hAnsi="Arial" w:cs="Arial"/>
        </w:rPr>
        <w:lastRenderedPageBreak/>
        <w:t>includes the stability of good quality health care services or service continuity of health care services)</w:t>
      </w:r>
      <w:r w:rsidR="00A974D0" w:rsidRPr="00850839">
        <w:rPr>
          <w:rFonts w:ascii="Arial" w:hAnsi="Arial" w:cs="Arial"/>
        </w:rPr>
        <w:t>”</w:t>
      </w:r>
      <w:r w:rsidR="00FE12C9" w:rsidRPr="00850839">
        <w:rPr>
          <w:rFonts w:ascii="Arial" w:hAnsi="Arial" w:cs="Arial"/>
        </w:rPr>
        <w:t>.</w:t>
      </w:r>
      <w:r w:rsidR="00A974D0" w:rsidRPr="00850839">
        <w:rPr>
          <w:rStyle w:val="FootnoteReference"/>
          <w:rFonts w:ascii="Arial" w:hAnsi="Arial" w:cs="Arial"/>
        </w:rPr>
        <w:footnoteReference w:id="54"/>
      </w:r>
    </w:p>
    <w:p w14:paraId="24837117" w14:textId="09FAC700" w:rsidR="0003655A" w:rsidRPr="00CE61D9" w:rsidRDefault="005C169F" w:rsidP="00384A8F">
      <w:pPr>
        <w:pStyle w:val="ListParagraph"/>
        <w:numPr>
          <w:ilvl w:val="0"/>
          <w:numId w:val="2"/>
        </w:numPr>
        <w:spacing w:line="276" w:lineRule="auto"/>
        <w:ind w:left="567" w:hanging="567"/>
        <w:contextualSpacing w:val="0"/>
        <w:rPr>
          <w:rFonts w:ascii="Arial" w:hAnsi="Arial" w:cs="Arial"/>
        </w:rPr>
      </w:pPr>
      <w:r w:rsidRPr="00CE61D9">
        <w:rPr>
          <w:rFonts w:ascii="Arial" w:hAnsi="Arial" w:cs="Arial"/>
        </w:rPr>
        <w:t>T</w:t>
      </w:r>
      <w:r w:rsidR="00593855" w:rsidRPr="00CE61D9">
        <w:rPr>
          <w:rFonts w:ascii="Arial" w:hAnsi="Arial" w:cs="Arial"/>
        </w:rPr>
        <w:t xml:space="preserve">he </w:t>
      </w:r>
      <w:r w:rsidR="00FD7D39" w:rsidRPr="00CE61D9">
        <w:rPr>
          <w:rFonts w:ascii="Arial" w:hAnsi="Arial" w:cs="Arial"/>
        </w:rPr>
        <w:t xml:space="preserve">PSR </w:t>
      </w:r>
      <w:r w:rsidR="008A05C8" w:rsidRPr="00CE61D9">
        <w:rPr>
          <w:rFonts w:ascii="Arial" w:hAnsi="Arial" w:cs="Arial"/>
        </w:rPr>
        <w:t xml:space="preserve">statutory </w:t>
      </w:r>
      <w:r w:rsidR="00593855" w:rsidRPr="00CE61D9">
        <w:rPr>
          <w:rFonts w:ascii="Arial" w:hAnsi="Arial" w:cs="Arial"/>
        </w:rPr>
        <w:t>guidance</w:t>
      </w:r>
      <w:r w:rsidRPr="00CE61D9">
        <w:rPr>
          <w:rFonts w:ascii="Arial" w:hAnsi="Arial" w:cs="Arial"/>
        </w:rPr>
        <w:t xml:space="preserve"> </w:t>
      </w:r>
      <w:r w:rsidR="00C72C9A" w:rsidRPr="00CE61D9">
        <w:rPr>
          <w:rFonts w:ascii="Arial" w:hAnsi="Arial" w:cs="Arial"/>
        </w:rPr>
        <w:t xml:space="preserve">sets out additional detail on </w:t>
      </w:r>
      <w:r w:rsidR="001F1F3B" w:rsidRPr="00CE61D9">
        <w:rPr>
          <w:rFonts w:ascii="Arial" w:hAnsi="Arial" w:cs="Arial"/>
        </w:rPr>
        <w:t xml:space="preserve">the </w:t>
      </w:r>
      <w:r w:rsidR="00F81804" w:rsidRPr="00CE61D9">
        <w:rPr>
          <w:rFonts w:ascii="Arial" w:hAnsi="Arial" w:cs="Arial"/>
        </w:rPr>
        <w:t>Integration, collaboration and service sustainability</w:t>
      </w:r>
      <w:r w:rsidR="00593855" w:rsidRPr="00CE61D9">
        <w:rPr>
          <w:rFonts w:ascii="Arial" w:hAnsi="Arial" w:cs="Arial"/>
        </w:rPr>
        <w:t xml:space="preserve"> </w:t>
      </w:r>
      <w:r w:rsidR="001F1F3B" w:rsidRPr="00CE61D9">
        <w:rPr>
          <w:rFonts w:ascii="Arial" w:hAnsi="Arial" w:cs="Arial"/>
        </w:rPr>
        <w:t>criterion. I</w:t>
      </w:r>
      <w:r w:rsidR="00593855" w:rsidRPr="00CE61D9">
        <w:rPr>
          <w:rFonts w:ascii="Arial" w:hAnsi="Arial" w:cs="Arial"/>
        </w:rPr>
        <w:t>t says that</w:t>
      </w:r>
      <w:r w:rsidR="00EB3214" w:rsidRPr="00CE61D9">
        <w:rPr>
          <w:rFonts w:ascii="Arial" w:hAnsi="Arial" w:cs="Arial"/>
        </w:rPr>
        <w:t xml:space="preserve"> </w:t>
      </w:r>
      <w:r w:rsidR="00BF79F6" w:rsidRPr="00CE61D9">
        <w:rPr>
          <w:rFonts w:ascii="Arial" w:hAnsi="Arial" w:cs="Arial"/>
        </w:rPr>
        <w:t>relevant authorities “</w:t>
      </w:r>
      <w:r w:rsidR="00EB3214" w:rsidRPr="00CE61D9">
        <w:rPr>
          <w:rFonts w:ascii="Arial" w:hAnsi="Arial" w:cs="Arial"/>
        </w:rPr>
        <w:t xml:space="preserve">must </w:t>
      </w:r>
      <w:r w:rsidR="00BF79F6" w:rsidRPr="00CE61D9">
        <w:rPr>
          <w:rFonts w:ascii="Arial" w:eastAsia="Aptos" w:hAnsi="Arial" w:cs="Arial"/>
          <w:bCs/>
        </w:rPr>
        <w:t xml:space="preserve">consider whether and how the decisions </w:t>
      </w:r>
      <w:r w:rsidR="00BF79F6" w:rsidRPr="00CE61D9">
        <w:rPr>
          <w:rFonts w:ascii="Arial" w:hAnsi="Arial" w:cs="Arial"/>
        </w:rPr>
        <w:t>they make about which providers should provide services might impact on the stability and sustainability of the NHS locally”</w:t>
      </w:r>
      <w:r w:rsidR="00355FC5" w:rsidRPr="00CE61D9">
        <w:rPr>
          <w:rFonts w:ascii="Arial" w:hAnsi="Arial" w:cs="Arial"/>
        </w:rPr>
        <w:t>.</w:t>
      </w:r>
      <w:r w:rsidR="00BF79F6" w:rsidRPr="00CE61D9">
        <w:rPr>
          <w:rFonts w:ascii="Arial" w:hAnsi="Arial" w:cs="Arial"/>
          <w:vertAlign w:val="superscript"/>
        </w:rPr>
        <w:footnoteReference w:id="55"/>
      </w:r>
      <w:r w:rsidR="00355FC5" w:rsidRPr="00CE61D9">
        <w:rPr>
          <w:rFonts w:ascii="Arial" w:hAnsi="Arial" w:cs="Arial"/>
        </w:rPr>
        <w:t xml:space="preserve"> In the following paragraphs, the Panel considers, first, the </w:t>
      </w:r>
      <w:r w:rsidR="003918F2" w:rsidRPr="00CE61D9">
        <w:rPr>
          <w:rFonts w:ascii="Arial" w:hAnsi="Arial" w:cs="Arial"/>
        </w:rPr>
        <w:t xml:space="preserve">potential impact on other services (paragraphs </w:t>
      </w:r>
      <w:r w:rsidR="00CE61D9">
        <w:rPr>
          <w:rFonts w:ascii="Arial" w:hAnsi="Arial" w:cs="Arial"/>
        </w:rPr>
        <w:fldChar w:fldCharType="begin"/>
      </w:r>
      <w:r w:rsidR="00CE61D9">
        <w:rPr>
          <w:rFonts w:ascii="Arial" w:hAnsi="Arial" w:cs="Arial"/>
        </w:rPr>
        <w:instrText xml:space="preserve"> REF _Ref189493986 \r \h </w:instrText>
      </w:r>
      <w:r w:rsidR="00CE61D9">
        <w:rPr>
          <w:rFonts w:ascii="Arial" w:hAnsi="Arial" w:cs="Arial"/>
        </w:rPr>
      </w:r>
      <w:r w:rsidR="00CE61D9">
        <w:rPr>
          <w:rFonts w:ascii="Arial" w:hAnsi="Arial" w:cs="Arial"/>
        </w:rPr>
        <w:fldChar w:fldCharType="separate"/>
      </w:r>
      <w:r w:rsidR="0023016C">
        <w:rPr>
          <w:rFonts w:ascii="Arial" w:hAnsi="Arial" w:cs="Arial"/>
        </w:rPr>
        <w:t>106</w:t>
      </w:r>
      <w:r w:rsidR="00CE61D9">
        <w:rPr>
          <w:rFonts w:ascii="Arial" w:hAnsi="Arial" w:cs="Arial"/>
        </w:rPr>
        <w:fldChar w:fldCharType="end"/>
      </w:r>
      <w:r w:rsidR="003918F2" w:rsidRPr="00CE61D9">
        <w:rPr>
          <w:rFonts w:ascii="Arial" w:hAnsi="Arial" w:cs="Arial"/>
        </w:rPr>
        <w:fldChar w:fldCharType="begin"/>
      </w:r>
      <w:r w:rsidR="003918F2" w:rsidRPr="00CE61D9">
        <w:rPr>
          <w:rFonts w:ascii="Arial" w:hAnsi="Arial" w:cs="Arial"/>
        </w:rPr>
        <w:instrText xml:space="preserve"> REF _Ref189493986 \r \h </w:instrText>
      </w:r>
      <w:r w:rsidR="001C5B33" w:rsidRPr="00CE61D9">
        <w:rPr>
          <w:rFonts w:ascii="Arial" w:hAnsi="Arial" w:cs="Arial"/>
        </w:rPr>
        <w:instrText xml:space="preserve"> \* MERGEFORMAT </w:instrText>
      </w:r>
      <w:r w:rsidR="003918F2" w:rsidRPr="00CE61D9">
        <w:rPr>
          <w:rFonts w:ascii="Arial" w:hAnsi="Arial" w:cs="Arial"/>
        </w:rPr>
      </w:r>
      <w:r w:rsidR="003918F2" w:rsidRPr="00CE61D9">
        <w:rPr>
          <w:rFonts w:ascii="Arial" w:hAnsi="Arial" w:cs="Arial"/>
        </w:rPr>
        <w:fldChar w:fldCharType="separate"/>
      </w:r>
      <w:r w:rsidR="0023016C">
        <w:rPr>
          <w:rFonts w:ascii="Arial" w:hAnsi="Arial" w:cs="Arial"/>
        </w:rPr>
        <w:t>106</w:t>
      </w:r>
      <w:r w:rsidR="003918F2" w:rsidRPr="00CE61D9">
        <w:rPr>
          <w:rFonts w:ascii="Arial" w:hAnsi="Arial" w:cs="Arial"/>
        </w:rPr>
        <w:fldChar w:fldCharType="end"/>
      </w:r>
      <w:r w:rsidR="00AA0E1B" w:rsidRPr="00CE61D9">
        <w:rPr>
          <w:rFonts w:ascii="Arial" w:hAnsi="Arial" w:cs="Arial"/>
        </w:rPr>
        <w:t xml:space="preserve"> to</w:t>
      </w:r>
      <w:r w:rsidR="00B85A9C" w:rsidRPr="00CE61D9">
        <w:rPr>
          <w:rFonts w:ascii="Arial" w:hAnsi="Arial" w:cs="Arial"/>
        </w:rPr>
        <w:t xml:space="preserve"> </w:t>
      </w:r>
      <w:r w:rsidR="007A0A49">
        <w:rPr>
          <w:rFonts w:ascii="Arial" w:hAnsi="Arial" w:cs="Arial"/>
        </w:rPr>
        <w:fldChar w:fldCharType="begin"/>
      </w:r>
      <w:r w:rsidR="007A0A49">
        <w:rPr>
          <w:rFonts w:ascii="Arial" w:hAnsi="Arial" w:cs="Arial"/>
        </w:rPr>
        <w:instrText xml:space="preserve"> REF _Ref189494619 \r \h </w:instrText>
      </w:r>
      <w:r w:rsidR="007A0A49">
        <w:rPr>
          <w:rFonts w:ascii="Arial" w:hAnsi="Arial" w:cs="Arial"/>
        </w:rPr>
      </w:r>
      <w:r w:rsidR="007A0A49">
        <w:rPr>
          <w:rFonts w:ascii="Arial" w:hAnsi="Arial" w:cs="Arial"/>
        </w:rPr>
        <w:fldChar w:fldCharType="separate"/>
      </w:r>
      <w:r w:rsidR="0023016C">
        <w:rPr>
          <w:rFonts w:ascii="Arial" w:hAnsi="Arial" w:cs="Arial"/>
        </w:rPr>
        <w:t>110</w:t>
      </w:r>
      <w:r w:rsidR="007A0A49">
        <w:rPr>
          <w:rFonts w:ascii="Arial" w:hAnsi="Arial" w:cs="Arial"/>
        </w:rPr>
        <w:fldChar w:fldCharType="end"/>
      </w:r>
      <w:r w:rsidR="00B85A9C" w:rsidRPr="00CE61D9">
        <w:rPr>
          <w:rFonts w:ascii="Arial" w:hAnsi="Arial" w:cs="Arial"/>
        </w:rPr>
        <w:fldChar w:fldCharType="begin"/>
      </w:r>
      <w:r w:rsidR="00B85A9C" w:rsidRPr="00CE61D9">
        <w:rPr>
          <w:rFonts w:ascii="Arial" w:hAnsi="Arial" w:cs="Arial"/>
        </w:rPr>
        <w:instrText xml:space="preserve"> REF _Ref189494619 \r \h </w:instrText>
      </w:r>
      <w:r w:rsidR="001C5B33" w:rsidRPr="00CE61D9">
        <w:rPr>
          <w:rFonts w:ascii="Arial" w:hAnsi="Arial" w:cs="Arial"/>
        </w:rPr>
        <w:instrText xml:space="preserve"> \* MERGEFORMAT </w:instrText>
      </w:r>
      <w:r w:rsidR="00B85A9C" w:rsidRPr="00CE61D9">
        <w:rPr>
          <w:rFonts w:ascii="Arial" w:hAnsi="Arial" w:cs="Arial"/>
        </w:rPr>
      </w:r>
      <w:r w:rsidR="00B85A9C" w:rsidRPr="00CE61D9">
        <w:rPr>
          <w:rFonts w:ascii="Arial" w:hAnsi="Arial" w:cs="Arial"/>
        </w:rPr>
        <w:fldChar w:fldCharType="separate"/>
      </w:r>
      <w:r w:rsidR="0023016C">
        <w:rPr>
          <w:rFonts w:ascii="Arial" w:hAnsi="Arial" w:cs="Arial"/>
        </w:rPr>
        <w:t>110</w:t>
      </w:r>
      <w:r w:rsidR="00B85A9C" w:rsidRPr="00CE61D9">
        <w:rPr>
          <w:rFonts w:ascii="Arial" w:hAnsi="Arial" w:cs="Arial"/>
        </w:rPr>
        <w:fldChar w:fldCharType="end"/>
      </w:r>
      <w:r w:rsidR="00AA0E1B" w:rsidRPr="00CE61D9">
        <w:rPr>
          <w:rFonts w:ascii="Arial" w:hAnsi="Arial" w:cs="Arial"/>
        </w:rPr>
        <w:t>)</w:t>
      </w:r>
      <w:r w:rsidR="003918F2" w:rsidRPr="00CE61D9">
        <w:rPr>
          <w:rFonts w:ascii="Arial" w:hAnsi="Arial" w:cs="Arial"/>
        </w:rPr>
        <w:t>, and second, the potential impact on providers</w:t>
      </w:r>
      <w:r w:rsidR="00AA0E1B" w:rsidRPr="00CE61D9">
        <w:rPr>
          <w:rFonts w:ascii="Arial" w:hAnsi="Arial" w:cs="Arial"/>
        </w:rPr>
        <w:t xml:space="preserve"> (paragraphs </w:t>
      </w:r>
      <w:r w:rsidR="007A0A49">
        <w:rPr>
          <w:rFonts w:ascii="Arial" w:hAnsi="Arial" w:cs="Arial"/>
        </w:rPr>
        <w:fldChar w:fldCharType="begin"/>
      </w:r>
      <w:r w:rsidR="007A0A49">
        <w:rPr>
          <w:rFonts w:ascii="Arial" w:hAnsi="Arial" w:cs="Arial"/>
        </w:rPr>
        <w:instrText xml:space="preserve"> REF _Ref189494723 \r \h </w:instrText>
      </w:r>
      <w:r w:rsidR="007A0A49">
        <w:rPr>
          <w:rFonts w:ascii="Arial" w:hAnsi="Arial" w:cs="Arial"/>
        </w:rPr>
      </w:r>
      <w:r w:rsidR="007A0A49">
        <w:rPr>
          <w:rFonts w:ascii="Arial" w:hAnsi="Arial" w:cs="Arial"/>
        </w:rPr>
        <w:fldChar w:fldCharType="separate"/>
      </w:r>
      <w:r w:rsidR="0023016C">
        <w:rPr>
          <w:rFonts w:ascii="Arial" w:hAnsi="Arial" w:cs="Arial"/>
        </w:rPr>
        <w:t>111</w:t>
      </w:r>
      <w:r w:rsidR="007A0A49">
        <w:rPr>
          <w:rFonts w:ascii="Arial" w:hAnsi="Arial" w:cs="Arial"/>
        </w:rPr>
        <w:fldChar w:fldCharType="end"/>
      </w:r>
      <w:r w:rsidR="00BF4715" w:rsidRPr="00CE61D9">
        <w:rPr>
          <w:rFonts w:ascii="Arial" w:hAnsi="Arial" w:cs="Arial"/>
        </w:rPr>
        <w:fldChar w:fldCharType="begin"/>
      </w:r>
      <w:r w:rsidR="00BF4715" w:rsidRPr="00CE61D9">
        <w:rPr>
          <w:rFonts w:ascii="Arial" w:hAnsi="Arial" w:cs="Arial"/>
        </w:rPr>
        <w:instrText xml:space="preserve"> REF _Ref189494723 \r \h </w:instrText>
      </w:r>
      <w:r w:rsidR="005F4DAA" w:rsidRPr="00CE61D9">
        <w:rPr>
          <w:rFonts w:ascii="Arial" w:hAnsi="Arial" w:cs="Arial"/>
        </w:rPr>
        <w:instrText xml:space="preserve"> \* MERGEFORMAT </w:instrText>
      </w:r>
      <w:r w:rsidR="00BF4715" w:rsidRPr="00CE61D9">
        <w:rPr>
          <w:rFonts w:ascii="Arial" w:hAnsi="Arial" w:cs="Arial"/>
        </w:rPr>
      </w:r>
      <w:r w:rsidR="00BF4715" w:rsidRPr="00CE61D9">
        <w:rPr>
          <w:rFonts w:ascii="Arial" w:hAnsi="Arial" w:cs="Arial"/>
        </w:rPr>
        <w:fldChar w:fldCharType="separate"/>
      </w:r>
      <w:r w:rsidR="0023016C">
        <w:rPr>
          <w:rFonts w:ascii="Arial" w:hAnsi="Arial" w:cs="Arial"/>
        </w:rPr>
        <w:t>111</w:t>
      </w:r>
      <w:r w:rsidR="00BF4715" w:rsidRPr="00CE61D9">
        <w:rPr>
          <w:rFonts w:ascii="Arial" w:hAnsi="Arial" w:cs="Arial"/>
        </w:rPr>
        <w:fldChar w:fldCharType="end"/>
      </w:r>
      <w:r w:rsidR="00FC1017" w:rsidRPr="00CE61D9">
        <w:rPr>
          <w:rFonts w:ascii="Arial" w:hAnsi="Arial" w:cs="Arial"/>
        </w:rPr>
        <w:t xml:space="preserve"> to</w:t>
      </w:r>
      <w:r w:rsidR="00BF4715" w:rsidRPr="00CE61D9">
        <w:rPr>
          <w:rFonts w:ascii="Arial" w:hAnsi="Arial" w:cs="Arial"/>
        </w:rPr>
        <w:t xml:space="preserve"> </w:t>
      </w:r>
      <w:r w:rsidR="001971AF">
        <w:rPr>
          <w:rFonts w:ascii="Arial" w:hAnsi="Arial" w:cs="Arial"/>
        </w:rPr>
        <w:fldChar w:fldCharType="begin"/>
      </w:r>
      <w:r w:rsidR="001971AF">
        <w:rPr>
          <w:rFonts w:ascii="Arial" w:hAnsi="Arial" w:cs="Arial"/>
        </w:rPr>
        <w:instrText xml:space="preserve"> REF _Ref189494736 \r \h </w:instrText>
      </w:r>
      <w:r w:rsidR="001971AF">
        <w:rPr>
          <w:rFonts w:ascii="Arial" w:hAnsi="Arial" w:cs="Arial"/>
        </w:rPr>
      </w:r>
      <w:r w:rsidR="001971AF">
        <w:rPr>
          <w:rFonts w:ascii="Arial" w:hAnsi="Arial" w:cs="Arial"/>
        </w:rPr>
        <w:fldChar w:fldCharType="separate"/>
      </w:r>
      <w:r w:rsidR="0023016C">
        <w:rPr>
          <w:rFonts w:ascii="Arial" w:hAnsi="Arial" w:cs="Arial"/>
        </w:rPr>
        <w:t>115</w:t>
      </w:r>
      <w:r w:rsidR="001971AF">
        <w:rPr>
          <w:rFonts w:ascii="Arial" w:hAnsi="Arial" w:cs="Arial"/>
        </w:rPr>
        <w:fldChar w:fldCharType="end"/>
      </w:r>
      <w:r w:rsidR="00BF4715" w:rsidRPr="00CE61D9">
        <w:rPr>
          <w:rFonts w:ascii="Arial" w:hAnsi="Arial" w:cs="Arial"/>
        </w:rPr>
        <w:fldChar w:fldCharType="begin"/>
      </w:r>
      <w:r w:rsidR="00BF4715" w:rsidRPr="00CE61D9">
        <w:rPr>
          <w:rFonts w:ascii="Arial" w:hAnsi="Arial" w:cs="Arial"/>
        </w:rPr>
        <w:instrText xml:space="preserve"> REF _Ref189494736 \r \h </w:instrText>
      </w:r>
      <w:r w:rsidR="005F4DAA" w:rsidRPr="00CE61D9">
        <w:rPr>
          <w:rFonts w:ascii="Arial" w:hAnsi="Arial" w:cs="Arial"/>
        </w:rPr>
        <w:instrText xml:space="preserve"> \* MERGEFORMAT </w:instrText>
      </w:r>
      <w:r w:rsidR="00BF4715" w:rsidRPr="00CE61D9">
        <w:rPr>
          <w:rFonts w:ascii="Arial" w:hAnsi="Arial" w:cs="Arial"/>
        </w:rPr>
      </w:r>
      <w:r w:rsidR="00BF4715" w:rsidRPr="00CE61D9">
        <w:rPr>
          <w:rFonts w:ascii="Arial" w:hAnsi="Arial" w:cs="Arial"/>
        </w:rPr>
        <w:fldChar w:fldCharType="separate"/>
      </w:r>
      <w:r w:rsidR="0023016C">
        <w:rPr>
          <w:rFonts w:ascii="Arial" w:hAnsi="Arial" w:cs="Arial"/>
        </w:rPr>
        <w:t>115</w:t>
      </w:r>
      <w:r w:rsidR="00BF4715" w:rsidRPr="00CE61D9">
        <w:rPr>
          <w:rFonts w:ascii="Arial" w:hAnsi="Arial" w:cs="Arial"/>
        </w:rPr>
        <w:fldChar w:fldCharType="end"/>
      </w:r>
      <w:r w:rsidR="00FC1017" w:rsidRPr="00CE61D9">
        <w:rPr>
          <w:rFonts w:ascii="Arial" w:hAnsi="Arial" w:cs="Arial"/>
        </w:rPr>
        <w:t>)</w:t>
      </w:r>
      <w:r w:rsidR="003918F2" w:rsidRPr="00CE61D9">
        <w:rPr>
          <w:rFonts w:ascii="Arial" w:hAnsi="Arial" w:cs="Arial"/>
        </w:rPr>
        <w:t>.</w:t>
      </w:r>
    </w:p>
    <w:p w14:paraId="4ACB7625" w14:textId="5793BF10" w:rsidR="00A14E41" w:rsidRPr="00766956" w:rsidRDefault="00084B4C" w:rsidP="00523D66">
      <w:pPr>
        <w:pStyle w:val="ListParagraph"/>
        <w:numPr>
          <w:ilvl w:val="0"/>
          <w:numId w:val="2"/>
        </w:numPr>
        <w:spacing w:line="276" w:lineRule="auto"/>
        <w:ind w:left="567" w:hanging="567"/>
        <w:rPr>
          <w:rFonts w:ascii="Arial" w:hAnsi="Arial" w:cs="Arial"/>
        </w:rPr>
      </w:pPr>
      <w:bookmarkStart w:id="24" w:name="_Ref189493986"/>
      <w:r>
        <w:rPr>
          <w:rFonts w:ascii="Arial" w:hAnsi="Arial" w:cs="Arial"/>
        </w:rPr>
        <w:t xml:space="preserve">In relation to the </w:t>
      </w:r>
      <w:r w:rsidR="00BB6285">
        <w:rPr>
          <w:rFonts w:ascii="Arial" w:hAnsi="Arial" w:cs="Arial"/>
        </w:rPr>
        <w:t xml:space="preserve">potential impact on other services, the statutory guidance </w:t>
      </w:r>
      <w:r w:rsidR="00A14E41" w:rsidRPr="00766956">
        <w:rPr>
          <w:rFonts w:ascii="Arial" w:hAnsi="Arial" w:cs="Arial"/>
        </w:rPr>
        <w:t>say</w:t>
      </w:r>
      <w:r w:rsidR="00BB6285">
        <w:rPr>
          <w:rFonts w:ascii="Arial" w:hAnsi="Arial" w:cs="Arial"/>
        </w:rPr>
        <w:t>s</w:t>
      </w:r>
      <w:r w:rsidR="00A14E41" w:rsidRPr="00766956">
        <w:rPr>
          <w:rFonts w:ascii="Arial" w:hAnsi="Arial" w:cs="Arial"/>
        </w:rPr>
        <w:t xml:space="preserve"> that</w:t>
      </w:r>
      <w:r w:rsidR="003C1073" w:rsidRPr="00766956">
        <w:rPr>
          <w:rFonts w:ascii="Arial" w:hAnsi="Arial" w:cs="Arial"/>
        </w:rPr>
        <w:t xml:space="preserve"> “When assessing service sustainability, relevant authorities are expected to consider several factors, including but not limited to the:</w:t>
      </w:r>
      <w:bookmarkEnd w:id="24"/>
    </w:p>
    <w:p w14:paraId="6CD559EE" w14:textId="247C6F77" w:rsidR="003C1073" w:rsidRPr="00766956" w:rsidRDefault="00384A8F" w:rsidP="00523D66">
      <w:pPr>
        <w:pStyle w:val="ListParagraph"/>
        <w:numPr>
          <w:ilvl w:val="0"/>
          <w:numId w:val="11"/>
        </w:numPr>
        <w:spacing w:line="276" w:lineRule="auto"/>
        <w:ind w:left="1208" w:hanging="357"/>
        <w:rPr>
          <w:rFonts w:ascii="Arial" w:hAnsi="Arial" w:cs="Arial"/>
        </w:rPr>
      </w:pPr>
      <w:r w:rsidRPr="00766956">
        <w:rPr>
          <w:rFonts w:ascii="Arial" w:hAnsi="Arial" w:cs="Arial"/>
        </w:rPr>
        <w:t>f</w:t>
      </w:r>
      <w:r w:rsidR="003C1073" w:rsidRPr="00766956">
        <w:rPr>
          <w:rFonts w:ascii="Arial" w:hAnsi="Arial" w:cs="Arial"/>
        </w:rPr>
        <w:t>inancial impact on other services</w:t>
      </w:r>
      <w:r w:rsidRPr="00766956">
        <w:rPr>
          <w:rFonts w:ascii="Arial" w:hAnsi="Arial" w:cs="Arial"/>
        </w:rPr>
        <w:t>;</w:t>
      </w:r>
    </w:p>
    <w:p w14:paraId="2DBE7CA8" w14:textId="69E35919" w:rsidR="003C1073" w:rsidRPr="00766956" w:rsidRDefault="00384A8F" w:rsidP="00523D66">
      <w:pPr>
        <w:pStyle w:val="ListParagraph"/>
        <w:numPr>
          <w:ilvl w:val="0"/>
          <w:numId w:val="11"/>
        </w:numPr>
        <w:spacing w:line="276" w:lineRule="auto"/>
        <w:ind w:left="1208" w:hanging="357"/>
        <w:rPr>
          <w:rFonts w:ascii="Arial" w:hAnsi="Arial" w:cs="Arial"/>
        </w:rPr>
      </w:pPr>
      <w:r w:rsidRPr="00766956">
        <w:rPr>
          <w:rFonts w:ascii="Arial" w:hAnsi="Arial" w:cs="Arial"/>
        </w:rPr>
        <w:t>i</w:t>
      </w:r>
      <w:r w:rsidR="003C1073" w:rsidRPr="00766956">
        <w:rPr>
          <w:rFonts w:ascii="Arial" w:hAnsi="Arial" w:cs="Arial"/>
        </w:rPr>
        <w:t>mpacts on continuity of related services</w:t>
      </w:r>
      <w:r w:rsidR="00003D9C" w:rsidRPr="00766956">
        <w:rPr>
          <w:rFonts w:ascii="Arial" w:hAnsi="Arial" w:cs="Arial"/>
        </w:rPr>
        <w:t>;</w:t>
      </w:r>
    </w:p>
    <w:p w14:paraId="0FB7D53A" w14:textId="64F63675" w:rsidR="003C1073" w:rsidRPr="00766956" w:rsidRDefault="00384A8F" w:rsidP="00523D66">
      <w:pPr>
        <w:pStyle w:val="ListParagraph"/>
        <w:numPr>
          <w:ilvl w:val="0"/>
          <w:numId w:val="11"/>
        </w:numPr>
        <w:spacing w:line="276" w:lineRule="auto"/>
        <w:ind w:left="1208" w:hanging="357"/>
        <w:contextualSpacing w:val="0"/>
        <w:rPr>
          <w:rFonts w:ascii="Arial" w:hAnsi="Arial" w:cs="Arial"/>
        </w:rPr>
      </w:pPr>
      <w:r w:rsidRPr="00766956">
        <w:rPr>
          <w:rFonts w:ascii="Arial" w:hAnsi="Arial" w:cs="Arial"/>
        </w:rPr>
        <w:t>p</w:t>
      </w:r>
      <w:r w:rsidR="003C1073" w:rsidRPr="00766956">
        <w:rPr>
          <w:rFonts w:ascii="Arial" w:hAnsi="Arial" w:cs="Arial"/>
        </w:rPr>
        <w:t>otential impact on quality of other related and/or dependent services (including those arranged by other bodies)</w:t>
      </w:r>
      <w:r w:rsidR="00117C94" w:rsidRPr="008E628B">
        <w:rPr>
          <w:rFonts w:ascii="Arial" w:hAnsi="Arial" w:cs="Arial"/>
        </w:rPr>
        <w:t xml:space="preserve"> …</w:t>
      </w:r>
      <w:r w:rsidR="00A776CE" w:rsidRPr="00766956">
        <w:rPr>
          <w:rFonts w:ascii="Arial" w:hAnsi="Arial" w:cs="Arial"/>
        </w:rPr>
        <w:t>”</w:t>
      </w:r>
      <w:r w:rsidR="00003D9C" w:rsidRPr="00766956">
        <w:rPr>
          <w:rFonts w:ascii="Arial" w:hAnsi="Arial" w:cs="Arial"/>
        </w:rPr>
        <w:t>.</w:t>
      </w:r>
      <w:r w:rsidR="00785039">
        <w:rPr>
          <w:rStyle w:val="FootnoteReference"/>
          <w:rFonts w:ascii="Arial" w:hAnsi="Arial" w:cs="Arial"/>
        </w:rPr>
        <w:footnoteReference w:id="56"/>
      </w:r>
    </w:p>
    <w:p w14:paraId="4A2FB93B" w14:textId="1947A520" w:rsidR="005B22B0" w:rsidRPr="00D6752D" w:rsidRDefault="00A44B9D" w:rsidP="005B22B0">
      <w:pPr>
        <w:pStyle w:val="ListParagraph"/>
        <w:numPr>
          <w:ilvl w:val="0"/>
          <w:numId w:val="2"/>
        </w:numPr>
        <w:spacing w:line="276" w:lineRule="auto"/>
        <w:ind w:left="567" w:hanging="567"/>
        <w:contextualSpacing w:val="0"/>
        <w:rPr>
          <w:rFonts w:ascii="Arial" w:hAnsi="Arial" w:cs="Arial"/>
        </w:rPr>
      </w:pPr>
      <w:r>
        <w:rPr>
          <w:rFonts w:ascii="Arial" w:hAnsi="Arial" w:cs="Arial"/>
        </w:rPr>
        <w:t>In response to the Panel’s questions, t</w:t>
      </w:r>
      <w:r w:rsidR="005B22B0" w:rsidRPr="00D6752D">
        <w:rPr>
          <w:rFonts w:ascii="Arial" w:hAnsi="Arial" w:cs="Arial"/>
        </w:rPr>
        <w:t xml:space="preserve">he Council </w:t>
      </w:r>
      <w:r w:rsidR="00254A96">
        <w:rPr>
          <w:rFonts w:ascii="Arial" w:hAnsi="Arial" w:cs="Arial"/>
        </w:rPr>
        <w:t xml:space="preserve">said </w:t>
      </w:r>
      <w:r w:rsidR="005B22B0" w:rsidRPr="00D6752D">
        <w:rPr>
          <w:rFonts w:ascii="Arial" w:hAnsi="Arial" w:cs="Arial"/>
        </w:rPr>
        <w:t xml:space="preserve">that </w:t>
      </w:r>
      <w:r w:rsidR="002B76D7">
        <w:rPr>
          <w:rFonts w:ascii="Arial" w:hAnsi="Arial" w:cs="Arial"/>
        </w:rPr>
        <w:t xml:space="preserve">in preparing the business case </w:t>
      </w:r>
      <w:r w:rsidR="00DF34E5">
        <w:rPr>
          <w:rFonts w:ascii="Arial" w:hAnsi="Arial" w:cs="Arial"/>
        </w:rPr>
        <w:t>for the new contract</w:t>
      </w:r>
      <w:r w:rsidR="005B22B0" w:rsidRPr="00D6752D">
        <w:rPr>
          <w:rFonts w:ascii="Arial" w:hAnsi="Arial" w:cs="Arial"/>
        </w:rPr>
        <w:t xml:space="preserve">, </w:t>
      </w:r>
      <w:r w:rsidR="00DF34E5">
        <w:rPr>
          <w:rFonts w:ascii="Arial" w:hAnsi="Arial" w:cs="Arial"/>
        </w:rPr>
        <w:t xml:space="preserve">it </w:t>
      </w:r>
      <w:r w:rsidR="005B22B0" w:rsidRPr="00D6752D">
        <w:rPr>
          <w:rFonts w:ascii="Arial" w:hAnsi="Arial" w:cs="Arial"/>
        </w:rPr>
        <w:t xml:space="preserve">identified </w:t>
      </w:r>
      <w:r w:rsidR="00783C74">
        <w:rPr>
          <w:rFonts w:ascii="Arial" w:hAnsi="Arial" w:cs="Arial"/>
        </w:rPr>
        <w:t xml:space="preserve">several </w:t>
      </w:r>
      <w:r w:rsidR="005B22B0" w:rsidRPr="00D6752D">
        <w:rPr>
          <w:rFonts w:ascii="Arial" w:hAnsi="Arial" w:cs="Arial"/>
        </w:rPr>
        <w:t>inter-dependent, but separately commissioned, drug and alcohol services</w:t>
      </w:r>
      <w:r w:rsidR="00DE53A9">
        <w:rPr>
          <w:rFonts w:ascii="Arial" w:hAnsi="Arial" w:cs="Arial"/>
        </w:rPr>
        <w:t>. I</w:t>
      </w:r>
      <w:r w:rsidR="005B22B0" w:rsidRPr="00D6752D">
        <w:rPr>
          <w:rFonts w:ascii="Arial" w:hAnsi="Arial" w:cs="Arial"/>
        </w:rPr>
        <w:t>t</w:t>
      </w:r>
      <w:r w:rsidR="00F35DF1">
        <w:rPr>
          <w:rFonts w:ascii="Arial" w:hAnsi="Arial" w:cs="Arial"/>
        </w:rPr>
        <w:t xml:space="preserve"> said that </w:t>
      </w:r>
      <w:r w:rsidR="005B22B0" w:rsidRPr="00D6752D">
        <w:rPr>
          <w:rFonts w:ascii="Arial" w:hAnsi="Arial" w:cs="Arial"/>
        </w:rPr>
        <w:t>mov</w:t>
      </w:r>
      <w:r w:rsidR="000F7820">
        <w:rPr>
          <w:rFonts w:ascii="Arial" w:hAnsi="Arial" w:cs="Arial"/>
        </w:rPr>
        <w:t>ing to</w:t>
      </w:r>
      <w:r w:rsidR="005B22B0" w:rsidRPr="00D6752D">
        <w:rPr>
          <w:rFonts w:ascii="Arial" w:hAnsi="Arial" w:cs="Arial"/>
        </w:rPr>
        <w:t xml:space="preserve"> a single contract </w:t>
      </w:r>
      <w:r w:rsidR="00DE53A9">
        <w:rPr>
          <w:rFonts w:ascii="Arial" w:hAnsi="Arial" w:cs="Arial"/>
        </w:rPr>
        <w:t>for</w:t>
      </w:r>
      <w:r w:rsidR="005B22B0" w:rsidRPr="00D6752D">
        <w:rPr>
          <w:rFonts w:ascii="Arial" w:hAnsi="Arial" w:cs="Arial"/>
        </w:rPr>
        <w:t xml:space="preserve"> these services </w:t>
      </w:r>
      <w:r w:rsidR="00DC0CFE">
        <w:rPr>
          <w:rFonts w:ascii="Arial" w:hAnsi="Arial" w:cs="Arial"/>
        </w:rPr>
        <w:t>would</w:t>
      </w:r>
      <w:r w:rsidR="00B44C97">
        <w:rPr>
          <w:rFonts w:ascii="Arial" w:hAnsi="Arial" w:cs="Arial"/>
        </w:rPr>
        <w:t>,</w:t>
      </w:r>
      <w:r w:rsidR="00DC50D1">
        <w:rPr>
          <w:rFonts w:ascii="Arial" w:hAnsi="Arial" w:cs="Arial"/>
        </w:rPr>
        <w:t xml:space="preserve"> </w:t>
      </w:r>
      <w:r w:rsidR="00B44C97" w:rsidRPr="00D6752D">
        <w:rPr>
          <w:rFonts w:ascii="Arial" w:hAnsi="Arial" w:cs="Arial"/>
        </w:rPr>
        <w:t>given the inter-related nature</w:t>
      </w:r>
      <w:r w:rsidR="00B44C97">
        <w:rPr>
          <w:rFonts w:ascii="Arial" w:hAnsi="Arial" w:cs="Arial"/>
        </w:rPr>
        <w:t xml:space="preserve"> of these services,</w:t>
      </w:r>
      <w:r w:rsidR="00B44C97" w:rsidRPr="00D6752D" w:rsidDel="00DC50D1">
        <w:rPr>
          <w:rFonts w:ascii="Arial" w:hAnsi="Arial" w:cs="Arial"/>
        </w:rPr>
        <w:t xml:space="preserve"> </w:t>
      </w:r>
      <w:r w:rsidR="005B22B0" w:rsidRPr="00D6752D">
        <w:rPr>
          <w:rFonts w:ascii="Arial" w:hAnsi="Arial" w:cs="Arial"/>
        </w:rPr>
        <w:t>ensur</w:t>
      </w:r>
      <w:r w:rsidR="00DC50D1">
        <w:rPr>
          <w:rFonts w:ascii="Arial" w:hAnsi="Arial" w:cs="Arial"/>
        </w:rPr>
        <w:t>e</w:t>
      </w:r>
      <w:r w:rsidR="005B22B0" w:rsidRPr="00D6752D">
        <w:rPr>
          <w:rFonts w:ascii="Arial" w:hAnsi="Arial" w:cs="Arial"/>
        </w:rPr>
        <w:t xml:space="preserve"> </w:t>
      </w:r>
      <w:r w:rsidR="00090EC9">
        <w:rPr>
          <w:rFonts w:ascii="Arial" w:hAnsi="Arial" w:cs="Arial"/>
        </w:rPr>
        <w:t>the</w:t>
      </w:r>
      <w:r w:rsidR="00221169">
        <w:rPr>
          <w:rFonts w:ascii="Arial" w:hAnsi="Arial" w:cs="Arial"/>
        </w:rPr>
        <w:t>ir</w:t>
      </w:r>
      <w:r w:rsidR="00090EC9">
        <w:rPr>
          <w:rFonts w:ascii="Arial" w:hAnsi="Arial" w:cs="Arial"/>
        </w:rPr>
        <w:t xml:space="preserve"> </w:t>
      </w:r>
      <w:r w:rsidR="00DE53A9" w:rsidRPr="00D6752D">
        <w:rPr>
          <w:rFonts w:ascii="Arial" w:hAnsi="Arial" w:cs="Arial"/>
        </w:rPr>
        <w:t>sustainability</w:t>
      </w:r>
      <w:r w:rsidR="00013C1C">
        <w:rPr>
          <w:rFonts w:ascii="Arial" w:hAnsi="Arial" w:cs="Arial"/>
        </w:rPr>
        <w:t xml:space="preserve">, </w:t>
      </w:r>
      <w:r w:rsidR="00E52046">
        <w:rPr>
          <w:rFonts w:ascii="Arial" w:hAnsi="Arial" w:cs="Arial"/>
        </w:rPr>
        <w:t>the</w:t>
      </w:r>
      <w:r w:rsidR="00D72139">
        <w:rPr>
          <w:rFonts w:ascii="Arial" w:hAnsi="Arial" w:cs="Arial"/>
        </w:rPr>
        <w:t>ir continuity, and the</w:t>
      </w:r>
      <w:r w:rsidR="00E52046">
        <w:rPr>
          <w:rFonts w:ascii="Arial" w:hAnsi="Arial" w:cs="Arial"/>
        </w:rPr>
        <w:t xml:space="preserve"> </w:t>
      </w:r>
      <w:r w:rsidR="00DE53A9" w:rsidRPr="00D6752D">
        <w:rPr>
          <w:rFonts w:ascii="Arial" w:hAnsi="Arial" w:cs="Arial"/>
        </w:rPr>
        <w:t xml:space="preserve">stability of </w:t>
      </w:r>
      <w:r w:rsidR="00DC50D1">
        <w:rPr>
          <w:rFonts w:ascii="Arial" w:hAnsi="Arial" w:cs="Arial"/>
        </w:rPr>
        <w:t xml:space="preserve">service </w:t>
      </w:r>
      <w:r w:rsidR="00DE53A9" w:rsidRPr="00D6752D">
        <w:rPr>
          <w:rFonts w:ascii="Arial" w:hAnsi="Arial" w:cs="Arial"/>
        </w:rPr>
        <w:t>provision</w:t>
      </w:r>
      <w:r w:rsidR="005B22B0" w:rsidRPr="00D6752D">
        <w:rPr>
          <w:rFonts w:ascii="Arial" w:hAnsi="Arial" w:cs="Arial"/>
        </w:rPr>
        <w:t xml:space="preserve">. The Panel </w:t>
      </w:r>
      <w:r w:rsidR="00E13563">
        <w:rPr>
          <w:rFonts w:ascii="Arial" w:hAnsi="Arial" w:cs="Arial"/>
        </w:rPr>
        <w:t xml:space="preserve">notes that the Council’s </w:t>
      </w:r>
      <w:r w:rsidR="005B22B0" w:rsidRPr="00D6752D">
        <w:rPr>
          <w:rFonts w:ascii="Arial" w:hAnsi="Arial" w:cs="Arial"/>
        </w:rPr>
        <w:t>outline business case on substance use, dated November 2023, says that the business case was prepared “to ensure all and any interdependencies are managed”.</w:t>
      </w:r>
      <w:r w:rsidR="005B22B0" w:rsidRPr="00D6752D">
        <w:rPr>
          <w:rStyle w:val="FootnoteReference"/>
          <w:rFonts w:ascii="Arial" w:hAnsi="Arial" w:cs="Arial"/>
        </w:rPr>
        <w:footnoteReference w:id="57"/>
      </w:r>
    </w:p>
    <w:p w14:paraId="23E1F08A" w14:textId="64C44B2E" w:rsidR="005B22B0" w:rsidRPr="00D6752D" w:rsidRDefault="005B22B0" w:rsidP="005B22B0">
      <w:pPr>
        <w:pStyle w:val="ListParagraph"/>
        <w:numPr>
          <w:ilvl w:val="0"/>
          <w:numId w:val="2"/>
        </w:numPr>
        <w:spacing w:line="276" w:lineRule="auto"/>
        <w:ind w:left="567" w:hanging="567"/>
        <w:contextualSpacing w:val="0"/>
        <w:rPr>
          <w:rFonts w:ascii="Arial" w:hAnsi="Arial" w:cs="Arial"/>
        </w:rPr>
      </w:pPr>
      <w:bookmarkStart w:id="25" w:name="_Ref189494000"/>
      <w:r w:rsidRPr="00D6752D">
        <w:rPr>
          <w:rFonts w:ascii="Arial" w:hAnsi="Arial" w:cs="Arial"/>
        </w:rPr>
        <w:t xml:space="preserve">The Council also said that the impact on the quality of drug and alcohol services </w:t>
      </w:r>
      <w:r w:rsidR="00073176">
        <w:rPr>
          <w:rFonts w:ascii="Arial" w:hAnsi="Arial" w:cs="Arial"/>
        </w:rPr>
        <w:t>from</w:t>
      </w:r>
      <w:r w:rsidR="00073176" w:rsidRPr="00D6752D">
        <w:rPr>
          <w:rFonts w:ascii="Arial" w:hAnsi="Arial" w:cs="Arial"/>
        </w:rPr>
        <w:t xml:space="preserve"> </w:t>
      </w:r>
      <w:r w:rsidR="00073176">
        <w:rPr>
          <w:rFonts w:ascii="Arial" w:hAnsi="Arial" w:cs="Arial"/>
        </w:rPr>
        <w:t xml:space="preserve">moving </w:t>
      </w:r>
      <w:r w:rsidR="00073176" w:rsidRPr="00D6752D">
        <w:rPr>
          <w:rFonts w:ascii="Arial" w:hAnsi="Arial" w:cs="Arial"/>
        </w:rPr>
        <w:t xml:space="preserve">to a single contract </w:t>
      </w:r>
      <w:r w:rsidR="00AF5560">
        <w:rPr>
          <w:rFonts w:ascii="Arial" w:hAnsi="Arial" w:cs="Arial"/>
        </w:rPr>
        <w:t xml:space="preserve">was </w:t>
      </w:r>
      <w:r w:rsidRPr="00D6752D">
        <w:rPr>
          <w:rFonts w:ascii="Arial" w:hAnsi="Arial" w:cs="Arial"/>
        </w:rPr>
        <w:t xml:space="preserve">assessed </w:t>
      </w:r>
      <w:r w:rsidR="00AF5560">
        <w:rPr>
          <w:rFonts w:ascii="Arial" w:hAnsi="Arial" w:cs="Arial"/>
        </w:rPr>
        <w:t xml:space="preserve">in the provider selection process by asking </w:t>
      </w:r>
      <w:r w:rsidR="00783C74">
        <w:rPr>
          <w:rFonts w:ascii="Arial" w:hAnsi="Arial" w:cs="Arial"/>
        </w:rPr>
        <w:t xml:space="preserve">bidders </w:t>
      </w:r>
      <w:r w:rsidR="00AF7837">
        <w:rPr>
          <w:rFonts w:ascii="Arial" w:hAnsi="Arial" w:cs="Arial"/>
        </w:rPr>
        <w:t>questions</w:t>
      </w:r>
      <w:r w:rsidRPr="00D6752D" w:rsidDel="00783C74">
        <w:rPr>
          <w:rFonts w:ascii="Arial" w:hAnsi="Arial" w:cs="Arial"/>
        </w:rPr>
        <w:t xml:space="preserve"> </w:t>
      </w:r>
      <w:r w:rsidR="00636345">
        <w:rPr>
          <w:rFonts w:ascii="Arial" w:hAnsi="Arial" w:cs="Arial"/>
        </w:rPr>
        <w:t>about</w:t>
      </w:r>
      <w:r w:rsidR="004A4C47">
        <w:rPr>
          <w:rFonts w:ascii="Arial" w:hAnsi="Arial" w:cs="Arial"/>
        </w:rPr>
        <w:t xml:space="preserve"> their</w:t>
      </w:r>
      <w:r w:rsidR="00A81D7E">
        <w:rPr>
          <w:rFonts w:ascii="Arial" w:hAnsi="Arial" w:cs="Arial"/>
        </w:rPr>
        <w:t xml:space="preserve"> </w:t>
      </w:r>
      <w:r w:rsidRPr="00D6752D">
        <w:rPr>
          <w:rFonts w:ascii="Arial" w:hAnsi="Arial" w:cs="Arial"/>
        </w:rPr>
        <w:t xml:space="preserve">service delivery models and governance arrangements for quality assurance. The Council </w:t>
      </w:r>
      <w:r w:rsidR="004F6EFF">
        <w:rPr>
          <w:rFonts w:ascii="Arial" w:hAnsi="Arial" w:cs="Arial"/>
        </w:rPr>
        <w:t xml:space="preserve">further said that once the new contract is in place it </w:t>
      </w:r>
      <w:r w:rsidRPr="00D6752D">
        <w:rPr>
          <w:rFonts w:ascii="Arial" w:hAnsi="Arial" w:cs="Arial"/>
        </w:rPr>
        <w:t>would monitor service quality on an ongoing basis through its quality assurance arrangements that encompass monitoring, evaluation and continuous improvement.</w:t>
      </w:r>
      <w:bookmarkEnd w:id="25"/>
    </w:p>
    <w:p w14:paraId="0D320CCF" w14:textId="77777777" w:rsidR="00A71C70" w:rsidRDefault="00A71C70" w:rsidP="00A71C70">
      <w:pPr>
        <w:pStyle w:val="ListParagraph"/>
        <w:numPr>
          <w:ilvl w:val="0"/>
          <w:numId w:val="2"/>
        </w:numPr>
        <w:spacing w:line="276" w:lineRule="auto"/>
        <w:ind w:left="567" w:hanging="567"/>
        <w:contextualSpacing w:val="0"/>
        <w:rPr>
          <w:rFonts w:ascii="Arial" w:hAnsi="Arial" w:cs="Arial"/>
        </w:rPr>
      </w:pPr>
      <w:bookmarkStart w:id="26" w:name="_Ref189494039"/>
      <w:r w:rsidRPr="00A57F96">
        <w:rPr>
          <w:rFonts w:ascii="Arial" w:hAnsi="Arial" w:cs="Arial"/>
        </w:rPr>
        <w:t>The Panel’s view is that th</w:t>
      </w:r>
      <w:r>
        <w:rPr>
          <w:rFonts w:ascii="Arial" w:hAnsi="Arial" w:cs="Arial"/>
        </w:rPr>
        <w:t>e</w:t>
      </w:r>
      <w:r w:rsidRPr="00A57F96">
        <w:rPr>
          <w:rFonts w:ascii="Arial" w:hAnsi="Arial" w:cs="Arial"/>
        </w:rPr>
        <w:t xml:space="preserve"> evidence shows that the Council </w:t>
      </w:r>
      <w:r>
        <w:rPr>
          <w:rFonts w:ascii="Arial" w:hAnsi="Arial" w:cs="Arial"/>
        </w:rPr>
        <w:t xml:space="preserve">considered </w:t>
      </w:r>
      <w:r w:rsidRPr="00A57F96">
        <w:rPr>
          <w:rFonts w:ascii="Arial" w:hAnsi="Arial" w:cs="Arial"/>
        </w:rPr>
        <w:t>the potential impact on other services</w:t>
      </w:r>
      <w:r>
        <w:rPr>
          <w:rFonts w:ascii="Arial" w:hAnsi="Arial" w:cs="Arial"/>
        </w:rPr>
        <w:t xml:space="preserve"> as part of its decision-making in relation to the provider selection process for the Drug and Alcohol Service</w:t>
      </w:r>
      <w:r w:rsidRPr="00A57F96">
        <w:rPr>
          <w:rFonts w:ascii="Arial" w:hAnsi="Arial" w:cs="Arial"/>
        </w:rPr>
        <w:t>.</w:t>
      </w:r>
    </w:p>
    <w:p w14:paraId="542216C6" w14:textId="294D1420" w:rsidR="00A71C70" w:rsidRDefault="00A71C70" w:rsidP="00A71C70">
      <w:pPr>
        <w:pStyle w:val="ListParagraph"/>
        <w:numPr>
          <w:ilvl w:val="0"/>
          <w:numId w:val="2"/>
        </w:numPr>
        <w:spacing w:line="276" w:lineRule="auto"/>
        <w:ind w:left="567" w:hanging="567"/>
        <w:contextualSpacing w:val="0"/>
        <w:rPr>
          <w:rFonts w:ascii="Arial" w:hAnsi="Arial" w:cs="Arial"/>
        </w:rPr>
      </w:pPr>
      <w:bookmarkStart w:id="27" w:name="_Ref189494619"/>
      <w:r w:rsidRPr="00A57F96">
        <w:rPr>
          <w:rFonts w:ascii="Arial" w:hAnsi="Arial" w:cs="Arial"/>
        </w:rPr>
        <w:t xml:space="preserve">The Panel </w:t>
      </w:r>
      <w:r>
        <w:rPr>
          <w:rFonts w:ascii="Arial" w:hAnsi="Arial" w:cs="Arial"/>
        </w:rPr>
        <w:t xml:space="preserve">also </w:t>
      </w:r>
      <w:r w:rsidRPr="00A57F96">
        <w:rPr>
          <w:rFonts w:ascii="Arial" w:hAnsi="Arial" w:cs="Arial"/>
        </w:rPr>
        <w:t xml:space="preserve">considered </w:t>
      </w:r>
      <w:r>
        <w:rPr>
          <w:rFonts w:ascii="Arial" w:hAnsi="Arial" w:cs="Arial"/>
        </w:rPr>
        <w:t xml:space="preserve">whether the potential impacts on other services that were identified </w:t>
      </w:r>
      <w:r w:rsidRPr="00A57F96">
        <w:rPr>
          <w:rFonts w:ascii="Arial" w:hAnsi="Arial" w:cs="Arial"/>
        </w:rPr>
        <w:t>by DHI</w:t>
      </w:r>
      <w:r>
        <w:rPr>
          <w:rFonts w:ascii="Arial" w:hAnsi="Arial" w:cs="Arial"/>
        </w:rPr>
        <w:t xml:space="preserve"> (see paragraphs </w:t>
      </w:r>
      <w:r w:rsidR="007C2FF2">
        <w:rPr>
          <w:rFonts w:ascii="Arial" w:hAnsi="Arial" w:cs="Arial"/>
        </w:rPr>
        <w:fldChar w:fldCharType="begin"/>
      </w:r>
      <w:r w:rsidR="007C2FF2">
        <w:rPr>
          <w:rFonts w:ascii="Arial" w:hAnsi="Arial" w:cs="Arial"/>
        </w:rPr>
        <w:instrText xml:space="preserve"> REF _Ref189213380 \r \h </w:instrText>
      </w:r>
      <w:r w:rsidR="007C2FF2">
        <w:rPr>
          <w:rFonts w:ascii="Arial" w:hAnsi="Arial" w:cs="Arial"/>
        </w:rPr>
      </w:r>
      <w:r w:rsidR="007C2FF2">
        <w:rPr>
          <w:rFonts w:ascii="Arial" w:hAnsi="Arial" w:cs="Arial"/>
        </w:rPr>
        <w:fldChar w:fldCharType="separate"/>
      </w:r>
      <w:r w:rsidR="0023016C">
        <w:rPr>
          <w:rFonts w:ascii="Arial" w:hAnsi="Arial" w:cs="Arial"/>
        </w:rPr>
        <w:t>102</w:t>
      </w:r>
      <w:r w:rsidR="007C2FF2">
        <w:rPr>
          <w:rFonts w:ascii="Arial" w:hAnsi="Arial" w:cs="Arial"/>
        </w:rPr>
        <w:fldChar w:fldCharType="end"/>
      </w:r>
      <w:r>
        <w:rPr>
          <w:rFonts w:ascii="Arial" w:hAnsi="Arial" w:cs="Arial"/>
        </w:rPr>
        <w:fldChar w:fldCharType="begin"/>
      </w:r>
      <w:r>
        <w:rPr>
          <w:rFonts w:ascii="Arial" w:hAnsi="Arial" w:cs="Arial"/>
        </w:rPr>
        <w:instrText xml:space="preserve"> REF _Ref189213380 \r \h </w:instrText>
      </w:r>
      <w:r>
        <w:rPr>
          <w:rFonts w:ascii="Arial" w:hAnsi="Arial" w:cs="Arial"/>
        </w:rPr>
      </w:r>
      <w:r>
        <w:rPr>
          <w:rFonts w:ascii="Arial" w:hAnsi="Arial" w:cs="Arial"/>
        </w:rPr>
        <w:fldChar w:fldCharType="separate"/>
      </w:r>
      <w:r w:rsidR="0023016C">
        <w:rPr>
          <w:rFonts w:ascii="Arial" w:hAnsi="Arial" w:cs="Arial"/>
        </w:rPr>
        <w:t>102</w:t>
      </w:r>
      <w:r>
        <w:rPr>
          <w:rFonts w:ascii="Arial" w:hAnsi="Arial" w:cs="Arial"/>
        </w:rPr>
        <w:fldChar w:fldCharType="end"/>
      </w:r>
      <w:r>
        <w:rPr>
          <w:rFonts w:ascii="Arial" w:hAnsi="Arial" w:cs="Arial"/>
        </w:rPr>
        <w:t xml:space="preserve"> and </w:t>
      </w:r>
      <w:r w:rsidR="007C2FF2">
        <w:rPr>
          <w:rFonts w:ascii="Arial" w:hAnsi="Arial" w:cs="Arial"/>
        </w:rPr>
        <w:fldChar w:fldCharType="begin"/>
      </w:r>
      <w:r w:rsidR="007C2FF2">
        <w:rPr>
          <w:rFonts w:ascii="Arial" w:hAnsi="Arial" w:cs="Arial"/>
        </w:rPr>
        <w:instrText xml:space="preserve"> REF _Ref189213382 \r \h </w:instrText>
      </w:r>
      <w:r w:rsidR="007C2FF2">
        <w:rPr>
          <w:rFonts w:ascii="Arial" w:hAnsi="Arial" w:cs="Arial"/>
        </w:rPr>
      </w:r>
      <w:r w:rsidR="007C2FF2">
        <w:rPr>
          <w:rFonts w:ascii="Arial" w:hAnsi="Arial" w:cs="Arial"/>
        </w:rPr>
        <w:fldChar w:fldCharType="separate"/>
      </w:r>
      <w:r w:rsidR="0023016C">
        <w:rPr>
          <w:rFonts w:ascii="Arial" w:hAnsi="Arial" w:cs="Arial"/>
        </w:rPr>
        <w:t>103</w:t>
      </w:r>
      <w:r w:rsidR="007C2FF2">
        <w:rPr>
          <w:rFonts w:ascii="Arial" w:hAnsi="Arial" w:cs="Arial"/>
        </w:rPr>
        <w:fldChar w:fldCharType="end"/>
      </w:r>
      <w:r>
        <w:rPr>
          <w:rFonts w:ascii="Arial" w:hAnsi="Arial" w:cs="Arial"/>
        </w:rPr>
        <w:fldChar w:fldCharType="begin"/>
      </w:r>
      <w:r>
        <w:rPr>
          <w:rFonts w:ascii="Arial" w:hAnsi="Arial" w:cs="Arial"/>
        </w:rPr>
        <w:instrText xml:space="preserve"> REF _Ref189213382 \r \h </w:instrText>
      </w:r>
      <w:r>
        <w:rPr>
          <w:rFonts w:ascii="Arial" w:hAnsi="Arial" w:cs="Arial"/>
        </w:rPr>
      </w:r>
      <w:r>
        <w:rPr>
          <w:rFonts w:ascii="Arial" w:hAnsi="Arial" w:cs="Arial"/>
        </w:rPr>
        <w:fldChar w:fldCharType="separate"/>
      </w:r>
      <w:r w:rsidR="0023016C">
        <w:rPr>
          <w:rFonts w:ascii="Arial" w:hAnsi="Arial" w:cs="Arial"/>
        </w:rPr>
        <w:t>103</w:t>
      </w:r>
      <w:r>
        <w:rPr>
          <w:rFonts w:ascii="Arial" w:hAnsi="Arial" w:cs="Arial"/>
        </w:rPr>
        <w:fldChar w:fldCharType="end"/>
      </w:r>
      <w:r>
        <w:rPr>
          <w:rFonts w:ascii="Arial" w:hAnsi="Arial" w:cs="Arial"/>
        </w:rPr>
        <w:t xml:space="preserve">) indicated any serious flaws in the Council’s assessment. The Panel’s view is that the impacts identified by DHI are either unlikely to be material (e.g. any effects on other providers that use DHI facilities) or are capable of being mitigated by the Council or other commissioners (e.g. any effects on other services supplied by DHI). In this latter regard, the Council told the Panel about the financial monitoring arrangements it has in place with providers so that it has early warning of any possible impacts on other services, and the options </w:t>
      </w:r>
      <w:r>
        <w:rPr>
          <w:rFonts w:ascii="Arial" w:hAnsi="Arial" w:cs="Arial"/>
        </w:rPr>
        <w:lastRenderedPageBreak/>
        <w:t>available to it to ensure service continuity, such as taking services in-house and novating contracts to another provider.</w:t>
      </w:r>
      <w:r>
        <w:rPr>
          <w:rStyle w:val="FootnoteReference"/>
          <w:rFonts w:ascii="Arial" w:hAnsi="Arial" w:cs="Arial"/>
        </w:rPr>
        <w:footnoteReference w:id="58"/>
      </w:r>
      <w:bookmarkEnd w:id="27"/>
    </w:p>
    <w:p w14:paraId="58BCEDCE" w14:textId="77777777" w:rsidR="008A2A0C" w:rsidRDefault="008A2A0C" w:rsidP="008A2A0C">
      <w:pPr>
        <w:pStyle w:val="ListParagraph"/>
        <w:numPr>
          <w:ilvl w:val="0"/>
          <w:numId w:val="2"/>
        </w:numPr>
        <w:spacing w:line="276" w:lineRule="auto"/>
        <w:ind w:left="567" w:hanging="567"/>
        <w:rPr>
          <w:rFonts w:ascii="Arial" w:hAnsi="Arial" w:cs="Arial"/>
        </w:rPr>
      </w:pPr>
      <w:bookmarkStart w:id="28" w:name="_Ref189494723"/>
      <w:r w:rsidRPr="00E159FB">
        <w:rPr>
          <w:rFonts w:ascii="Arial" w:hAnsi="Arial" w:cs="Arial"/>
        </w:rPr>
        <w:t xml:space="preserve">In relation to the potential impact on providers, </w:t>
      </w:r>
      <w:r>
        <w:rPr>
          <w:rFonts w:ascii="Arial" w:hAnsi="Arial" w:cs="Arial"/>
        </w:rPr>
        <w:t>t</w:t>
      </w:r>
      <w:r w:rsidRPr="003F1F10">
        <w:rPr>
          <w:rFonts w:ascii="Arial" w:hAnsi="Arial" w:cs="Arial"/>
        </w:rPr>
        <w:t>he statutory guidance says that “When assessing service sustainability, relevant authorities are expected to consider several factors, including but not limited to the</w:t>
      </w:r>
      <w:r>
        <w:rPr>
          <w:rFonts w:ascii="Arial" w:hAnsi="Arial" w:cs="Arial"/>
        </w:rPr>
        <w:t>:</w:t>
      </w:r>
      <w:bookmarkEnd w:id="28"/>
    </w:p>
    <w:p w14:paraId="62FBDAAA" w14:textId="77777777" w:rsidR="008A2A0C" w:rsidRDefault="008A2A0C" w:rsidP="008A2A0C">
      <w:pPr>
        <w:pStyle w:val="ListParagraph"/>
        <w:spacing w:line="276" w:lineRule="auto"/>
        <w:ind w:left="851"/>
        <w:rPr>
          <w:rFonts w:ascii="Arial" w:hAnsi="Arial" w:cs="Arial"/>
        </w:rPr>
      </w:pPr>
      <w:r>
        <w:rPr>
          <w:rFonts w:ascii="Arial" w:hAnsi="Arial" w:cs="Arial"/>
        </w:rPr>
        <w:t>…</w:t>
      </w:r>
    </w:p>
    <w:p w14:paraId="73009BFF" w14:textId="77777777" w:rsidR="008A2A0C" w:rsidRPr="003F1F10" w:rsidRDefault="008A2A0C" w:rsidP="008A2A0C">
      <w:pPr>
        <w:pStyle w:val="ListParagraph"/>
        <w:numPr>
          <w:ilvl w:val="0"/>
          <w:numId w:val="11"/>
        </w:numPr>
        <w:spacing w:line="276" w:lineRule="auto"/>
        <w:ind w:left="1208" w:hanging="357"/>
        <w:rPr>
          <w:rFonts w:ascii="Arial" w:hAnsi="Arial" w:cs="Arial"/>
        </w:rPr>
      </w:pPr>
      <w:r w:rsidRPr="003F1F10">
        <w:rPr>
          <w:rFonts w:ascii="Arial" w:hAnsi="Arial" w:cs="Arial"/>
        </w:rPr>
        <w:t>stability and sustainability of other providers in the short, medium and long term;</w:t>
      </w:r>
    </w:p>
    <w:p w14:paraId="796D8995" w14:textId="77777777" w:rsidR="008A2A0C" w:rsidRPr="003F1F10" w:rsidRDefault="008A2A0C" w:rsidP="008A2A0C">
      <w:pPr>
        <w:pStyle w:val="ListParagraph"/>
        <w:numPr>
          <w:ilvl w:val="0"/>
          <w:numId w:val="11"/>
        </w:numPr>
        <w:spacing w:line="276" w:lineRule="auto"/>
        <w:ind w:left="1208" w:hanging="357"/>
        <w:contextualSpacing w:val="0"/>
        <w:rPr>
          <w:rFonts w:ascii="Arial" w:hAnsi="Arial" w:cs="Arial"/>
        </w:rPr>
      </w:pPr>
      <w:r w:rsidRPr="003F1F10">
        <w:rPr>
          <w:rFonts w:ascii="Arial" w:hAnsi="Arial" w:cs="Arial"/>
        </w:rPr>
        <w:t>impact on the ability of the wider market to provide required services in the future”.</w:t>
      </w:r>
      <w:r>
        <w:rPr>
          <w:rStyle w:val="FootnoteReference"/>
          <w:rFonts w:ascii="Arial" w:hAnsi="Arial" w:cs="Arial"/>
        </w:rPr>
        <w:footnoteReference w:id="59"/>
      </w:r>
    </w:p>
    <w:p w14:paraId="5B55D4AD" w14:textId="275BB40A" w:rsidR="00FF2E7F" w:rsidRPr="00766956" w:rsidDel="002370A6" w:rsidRDefault="008A2A0C">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D12E0F">
        <w:rPr>
          <w:rFonts w:ascii="Arial" w:hAnsi="Arial" w:cs="Arial"/>
        </w:rPr>
        <w:t xml:space="preserve">he statutory guidance goes on to say that </w:t>
      </w:r>
      <w:r w:rsidR="00A776CE" w:rsidRPr="00E83F10">
        <w:rPr>
          <w:rFonts w:ascii="Arial" w:hAnsi="Arial" w:cs="Arial"/>
        </w:rPr>
        <w:t xml:space="preserve">“Relevant authorities are expected to avoid destabilising providers through their decision making. If the proposals are likely to have a </w:t>
      </w:r>
      <w:r w:rsidR="003F7DB0" w:rsidRPr="00E83F10">
        <w:rPr>
          <w:rFonts w:ascii="Arial" w:hAnsi="Arial" w:cs="Arial"/>
        </w:rPr>
        <w:t xml:space="preserve">negative impact on the stability, viability or quality of other </w:t>
      </w:r>
      <w:r w:rsidR="00384A8F" w:rsidRPr="00E83F10">
        <w:rPr>
          <w:rFonts w:ascii="Arial" w:hAnsi="Arial" w:cs="Arial"/>
        </w:rPr>
        <w:t>good quality services immediately or over time, relevant authorities are advised to consider whether this is justified by the wider benefits of the proposal”.</w:t>
      </w:r>
      <w:r w:rsidR="001718FC">
        <w:rPr>
          <w:rStyle w:val="FootnoteReference"/>
          <w:rFonts w:ascii="Arial" w:hAnsi="Arial" w:cs="Arial"/>
        </w:rPr>
        <w:footnoteReference w:id="60"/>
      </w:r>
      <w:bookmarkEnd w:id="26"/>
    </w:p>
    <w:p w14:paraId="7E329E1D" w14:textId="11536609" w:rsidR="00B1468B" w:rsidRDefault="00B1468B" w:rsidP="00B1468B">
      <w:pPr>
        <w:pStyle w:val="ListParagraph"/>
        <w:numPr>
          <w:ilvl w:val="0"/>
          <w:numId w:val="2"/>
        </w:numPr>
        <w:spacing w:line="276" w:lineRule="auto"/>
        <w:ind w:left="567" w:hanging="567"/>
        <w:contextualSpacing w:val="0"/>
        <w:rPr>
          <w:rFonts w:ascii="Arial" w:hAnsi="Arial" w:cs="Arial"/>
        </w:rPr>
      </w:pPr>
      <w:r w:rsidRPr="002370A6">
        <w:rPr>
          <w:rFonts w:ascii="Arial" w:hAnsi="Arial" w:cs="Arial"/>
        </w:rPr>
        <w:t xml:space="preserve">The Panel notes that the impact on providers was specifically taken into account by the Council in </w:t>
      </w:r>
      <w:r w:rsidR="002740EB">
        <w:rPr>
          <w:rFonts w:ascii="Arial" w:hAnsi="Arial" w:cs="Arial"/>
        </w:rPr>
        <w:t xml:space="preserve">its assessment of </w:t>
      </w:r>
      <w:r w:rsidRPr="002370A6">
        <w:rPr>
          <w:rFonts w:ascii="Arial" w:hAnsi="Arial" w:cs="Arial"/>
        </w:rPr>
        <w:t>risk</w:t>
      </w:r>
      <w:r w:rsidR="00AB745E">
        <w:rPr>
          <w:rFonts w:ascii="Arial" w:hAnsi="Arial" w:cs="Arial"/>
        </w:rPr>
        <w:t>s</w:t>
      </w:r>
      <w:r w:rsidRPr="002370A6">
        <w:rPr>
          <w:rFonts w:ascii="Arial" w:hAnsi="Arial" w:cs="Arial"/>
        </w:rPr>
        <w:t xml:space="preserve"> </w:t>
      </w:r>
      <w:r w:rsidR="00AB745E">
        <w:rPr>
          <w:rFonts w:ascii="Arial" w:hAnsi="Arial" w:cs="Arial"/>
        </w:rPr>
        <w:t>for the outline business case</w:t>
      </w:r>
      <w:r w:rsidRPr="002370A6">
        <w:rPr>
          <w:rFonts w:ascii="Arial" w:hAnsi="Arial" w:cs="Arial"/>
        </w:rPr>
        <w:t xml:space="preserve">. In particular, the risk of “Destabilisation of market providers and existing third-sector organisations” was scored against each of the options </w:t>
      </w:r>
      <w:r w:rsidR="00151D87">
        <w:rPr>
          <w:rFonts w:ascii="Arial" w:hAnsi="Arial" w:cs="Arial"/>
        </w:rPr>
        <w:t xml:space="preserve">for commissioning the Drug and Alcohol Service that were </w:t>
      </w:r>
      <w:r w:rsidRPr="002370A6">
        <w:rPr>
          <w:rFonts w:ascii="Arial" w:hAnsi="Arial" w:cs="Arial"/>
        </w:rPr>
        <w:t>considered</w:t>
      </w:r>
      <w:r w:rsidR="00151D87">
        <w:rPr>
          <w:rFonts w:ascii="Arial" w:hAnsi="Arial" w:cs="Arial"/>
        </w:rPr>
        <w:t xml:space="preserve"> in the business case</w:t>
      </w:r>
      <w:r w:rsidRPr="002370A6">
        <w:rPr>
          <w:rFonts w:ascii="Arial" w:hAnsi="Arial" w:cs="Arial"/>
        </w:rPr>
        <w:t>.</w:t>
      </w:r>
      <w:r>
        <w:rPr>
          <w:rStyle w:val="FootnoteReference"/>
          <w:rFonts w:ascii="Arial" w:hAnsi="Arial" w:cs="Arial"/>
        </w:rPr>
        <w:footnoteReference w:id="61"/>
      </w:r>
      <w:r w:rsidRPr="002370A6">
        <w:rPr>
          <w:rFonts w:ascii="Arial" w:hAnsi="Arial" w:cs="Arial"/>
        </w:rPr>
        <w:t xml:space="preserve"> </w:t>
      </w:r>
      <w:r w:rsidRPr="003F1F10">
        <w:rPr>
          <w:rFonts w:ascii="Arial" w:hAnsi="Arial" w:cs="Arial"/>
        </w:rPr>
        <w:t>The Council further told the Panel that it believed that its analysis in the lead up to its commissioning decision was reasonable and proportionate, and said that “it would not be possible, reasonable or proportionate for us have analysed the specific impact of our commissioning decision on every local provider”.</w:t>
      </w:r>
      <w:r w:rsidRPr="003F1F10">
        <w:rPr>
          <w:rStyle w:val="FootnoteReference"/>
          <w:rFonts w:ascii="Arial" w:hAnsi="Arial" w:cs="Arial"/>
        </w:rPr>
        <w:footnoteReference w:id="62"/>
      </w:r>
    </w:p>
    <w:p w14:paraId="76E8AE7A" w14:textId="77777777" w:rsidR="00B1468B" w:rsidRDefault="00B1468B" w:rsidP="00B1468B">
      <w:pPr>
        <w:pStyle w:val="ListParagraph"/>
        <w:numPr>
          <w:ilvl w:val="0"/>
          <w:numId w:val="2"/>
        </w:numPr>
        <w:spacing w:line="276" w:lineRule="auto"/>
        <w:ind w:left="567" w:hanging="567"/>
        <w:contextualSpacing w:val="0"/>
        <w:rPr>
          <w:rFonts w:ascii="Arial" w:hAnsi="Arial" w:cs="Arial"/>
        </w:rPr>
      </w:pPr>
      <w:r>
        <w:rPr>
          <w:rFonts w:ascii="Arial" w:hAnsi="Arial" w:cs="Arial"/>
        </w:rPr>
        <w:t>The Panel’s view is that the evidence shows that the Council considered the potential impact on providers as part of its decision-making in relation to the provider selection process for the Drug and Alcohol Service.</w:t>
      </w:r>
    </w:p>
    <w:p w14:paraId="577A668B" w14:textId="4A82A12E" w:rsidR="00B1468B" w:rsidRPr="003F1F10" w:rsidRDefault="00B1468B" w:rsidP="00B1468B">
      <w:pPr>
        <w:pStyle w:val="ListParagraph"/>
        <w:numPr>
          <w:ilvl w:val="0"/>
          <w:numId w:val="2"/>
        </w:numPr>
        <w:spacing w:line="276" w:lineRule="auto"/>
        <w:ind w:left="567" w:hanging="567"/>
        <w:contextualSpacing w:val="0"/>
        <w:rPr>
          <w:rFonts w:ascii="Arial" w:hAnsi="Arial" w:cs="Arial"/>
        </w:rPr>
      </w:pPr>
      <w:bookmarkStart w:id="29" w:name="_Ref189494736"/>
      <w:r>
        <w:rPr>
          <w:rFonts w:ascii="Arial" w:hAnsi="Arial" w:cs="Arial"/>
        </w:rPr>
        <w:t xml:space="preserve">The Panel also considered whether the potential impact on DHI of the Council’s provider selection </w:t>
      </w:r>
      <w:r w:rsidRPr="00F774CD">
        <w:rPr>
          <w:rFonts w:ascii="Arial" w:hAnsi="Arial" w:cs="Arial"/>
        </w:rPr>
        <w:t xml:space="preserve">decision (see paragraphs </w:t>
      </w:r>
      <w:r w:rsidR="00F774CD" w:rsidRPr="00F774CD">
        <w:rPr>
          <w:rFonts w:ascii="Arial" w:hAnsi="Arial" w:cs="Arial"/>
        </w:rPr>
        <w:fldChar w:fldCharType="begin"/>
      </w:r>
      <w:r w:rsidR="00F774CD" w:rsidRPr="00F774CD">
        <w:rPr>
          <w:rFonts w:ascii="Arial" w:hAnsi="Arial" w:cs="Arial"/>
        </w:rPr>
        <w:instrText xml:space="preserve"> REF _Ref189213380 \r \h </w:instrText>
      </w:r>
      <w:r w:rsidR="00F774CD">
        <w:rPr>
          <w:rFonts w:ascii="Arial" w:hAnsi="Arial" w:cs="Arial"/>
        </w:rPr>
        <w:instrText xml:space="preserve"> \* MERGEFORMAT </w:instrText>
      </w:r>
      <w:r w:rsidR="00F774CD" w:rsidRPr="00F774CD">
        <w:rPr>
          <w:rFonts w:ascii="Arial" w:hAnsi="Arial" w:cs="Arial"/>
        </w:rPr>
      </w:r>
      <w:r w:rsidR="00F774CD" w:rsidRPr="00F774CD">
        <w:rPr>
          <w:rFonts w:ascii="Arial" w:hAnsi="Arial" w:cs="Arial"/>
        </w:rPr>
        <w:fldChar w:fldCharType="separate"/>
      </w:r>
      <w:r w:rsidR="0023016C">
        <w:rPr>
          <w:rFonts w:ascii="Arial" w:hAnsi="Arial" w:cs="Arial"/>
        </w:rPr>
        <w:t>102</w:t>
      </w:r>
      <w:r w:rsidR="00F774CD" w:rsidRPr="00F774CD">
        <w:rPr>
          <w:rFonts w:ascii="Arial" w:hAnsi="Arial" w:cs="Arial"/>
        </w:rPr>
        <w:fldChar w:fldCharType="end"/>
      </w:r>
      <w:r w:rsidRPr="00F774CD">
        <w:rPr>
          <w:rFonts w:ascii="Arial" w:hAnsi="Arial" w:cs="Arial"/>
        </w:rPr>
        <w:fldChar w:fldCharType="begin"/>
      </w:r>
      <w:r w:rsidRPr="00F774CD">
        <w:rPr>
          <w:rFonts w:ascii="Arial" w:hAnsi="Arial" w:cs="Arial"/>
        </w:rPr>
        <w:instrText xml:space="preserve"> REF _Ref189213380 \r \h </w:instrText>
      </w:r>
      <w:r w:rsidR="00F214A3" w:rsidRPr="00F774CD">
        <w:rPr>
          <w:rFonts w:ascii="Arial" w:hAnsi="Arial" w:cs="Arial"/>
        </w:rPr>
        <w:instrText xml:space="preserve"> \* MERGEFORMAT </w:instrText>
      </w:r>
      <w:r w:rsidRPr="00F774CD">
        <w:rPr>
          <w:rFonts w:ascii="Arial" w:hAnsi="Arial" w:cs="Arial"/>
        </w:rPr>
      </w:r>
      <w:r w:rsidRPr="00F774CD">
        <w:rPr>
          <w:rFonts w:ascii="Arial" w:hAnsi="Arial" w:cs="Arial"/>
        </w:rPr>
        <w:fldChar w:fldCharType="separate"/>
      </w:r>
      <w:r w:rsidR="0023016C">
        <w:rPr>
          <w:rFonts w:ascii="Arial" w:hAnsi="Arial" w:cs="Arial"/>
        </w:rPr>
        <w:t>102</w:t>
      </w:r>
      <w:r w:rsidRPr="00F774CD">
        <w:rPr>
          <w:rFonts w:ascii="Arial" w:hAnsi="Arial" w:cs="Arial"/>
        </w:rPr>
        <w:fldChar w:fldCharType="end"/>
      </w:r>
      <w:r w:rsidRPr="00F774CD">
        <w:rPr>
          <w:rFonts w:ascii="Arial" w:hAnsi="Arial" w:cs="Arial"/>
        </w:rPr>
        <w:t xml:space="preserve"> and </w:t>
      </w:r>
      <w:r w:rsidR="00F774CD" w:rsidRPr="00F774CD">
        <w:rPr>
          <w:rFonts w:ascii="Arial" w:hAnsi="Arial" w:cs="Arial"/>
        </w:rPr>
        <w:fldChar w:fldCharType="begin"/>
      </w:r>
      <w:r w:rsidR="00F774CD" w:rsidRPr="00F774CD">
        <w:rPr>
          <w:rFonts w:ascii="Arial" w:hAnsi="Arial" w:cs="Arial"/>
        </w:rPr>
        <w:instrText xml:space="preserve"> REF _Ref189213382 \r \h </w:instrText>
      </w:r>
      <w:r w:rsidR="00F774CD">
        <w:rPr>
          <w:rFonts w:ascii="Arial" w:hAnsi="Arial" w:cs="Arial"/>
        </w:rPr>
        <w:instrText xml:space="preserve"> \* MERGEFORMAT </w:instrText>
      </w:r>
      <w:r w:rsidR="00F774CD" w:rsidRPr="00F774CD">
        <w:rPr>
          <w:rFonts w:ascii="Arial" w:hAnsi="Arial" w:cs="Arial"/>
        </w:rPr>
      </w:r>
      <w:r w:rsidR="00F774CD" w:rsidRPr="00F774CD">
        <w:rPr>
          <w:rFonts w:ascii="Arial" w:hAnsi="Arial" w:cs="Arial"/>
        </w:rPr>
        <w:fldChar w:fldCharType="separate"/>
      </w:r>
      <w:r w:rsidR="0023016C">
        <w:rPr>
          <w:rFonts w:ascii="Arial" w:hAnsi="Arial" w:cs="Arial"/>
        </w:rPr>
        <w:t>103</w:t>
      </w:r>
      <w:r w:rsidR="00F774CD" w:rsidRPr="00F774CD">
        <w:rPr>
          <w:rFonts w:ascii="Arial" w:hAnsi="Arial" w:cs="Arial"/>
        </w:rPr>
        <w:fldChar w:fldCharType="end"/>
      </w:r>
      <w:r w:rsidRPr="00F774CD">
        <w:rPr>
          <w:rFonts w:ascii="Arial" w:hAnsi="Arial" w:cs="Arial"/>
        </w:rPr>
        <w:fldChar w:fldCharType="begin"/>
      </w:r>
      <w:r w:rsidRPr="00F774CD">
        <w:rPr>
          <w:rFonts w:ascii="Arial" w:hAnsi="Arial" w:cs="Arial"/>
        </w:rPr>
        <w:instrText xml:space="preserve"> REF _Ref189213382 \r \h </w:instrText>
      </w:r>
      <w:r w:rsidR="00F774CD">
        <w:rPr>
          <w:rFonts w:ascii="Arial" w:hAnsi="Arial" w:cs="Arial"/>
        </w:rPr>
        <w:instrText xml:space="preserve"> \* MERGEFORMAT </w:instrText>
      </w:r>
      <w:r w:rsidRPr="00F774CD">
        <w:rPr>
          <w:rFonts w:ascii="Arial" w:hAnsi="Arial" w:cs="Arial"/>
        </w:rPr>
      </w:r>
      <w:r w:rsidRPr="00F774CD">
        <w:rPr>
          <w:rFonts w:ascii="Arial" w:hAnsi="Arial" w:cs="Arial"/>
        </w:rPr>
        <w:fldChar w:fldCharType="separate"/>
      </w:r>
      <w:r w:rsidR="0023016C">
        <w:rPr>
          <w:rFonts w:ascii="Arial" w:hAnsi="Arial" w:cs="Arial"/>
        </w:rPr>
        <w:t>103</w:t>
      </w:r>
      <w:r w:rsidRPr="00F774CD">
        <w:rPr>
          <w:rFonts w:ascii="Arial" w:hAnsi="Arial" w:cs="Arial"/>
        </w:rPr>
        <w:fldChar w:fldCharType="end"/>
      </w:r>
      <w:r w:rsidRPr="00F774CD">
        <w:rPr>
          <w:rFonts w:ascii="Arial" w:hAnsi="Arial" w:cs="Arial"/>
        </w:rPr>
        <w:t>) indicated</w:t>
      </w:r>
      <w:r>
        <w:rPr>
          <w:rFonts w:ascii="Arial" w:hAnsi="Arial" w:cs="Arial"/>
        </w:rPr>
        <w:t xml:space="preserve"> any serious flaws in the Council’s assessment. The Panel notes that the impact </w:t>
      </w:r>
      <w:r w:rsidRPr="00FE0B8E">
        <w:rPr>
          <w:rFonts w:ascii="Arial" w:hAnsi="Arial" w:cs="Arial"/>
        </w:rPr>
        <w:t xml:space="preserve">identified by DHI is </w:t>
      </w:r>
      <w:r w:rsidR="00346FE6" w:rsidRPr="00FE0B8E">
        <w:rPr>
          <w:rFonts w:ascii="Arial" w:hAnsi="Arial" w:cs="Arial"/>
        </w:rPr>
        <w:t>acknowledged in</w:t>
      </w:r>
      <w:r w:rsidRPr="00FE0B8E">
        <w:rPr>
          <w:rFonts w:ascii="Arial" w:hAnsi="Arial" w:cs="Arial"/>
        </w:rPr>
        <w:t xml:space="preserve"> the </w:t>
      </w:r>
      <w:r w:rsidR="00FC0709">
        <w:rPr>
          <w:rFonts w:ascii="Arial" w:hAnsi="Arial" w:cs="Arial"/>
        </w:rPr>
        <w:t xml:space="preserve">Council’s </w:t>
      </w:r>
      <w:r w:rsidRPr="00FE0B8E">
        <w:rPr>
          <w:rFonts w:ascii="Arial" w:hAnsi="Arial" w:cs="Arial"/>
        </w:rPr>
        <w:t xml:space="preserve">assessment </w:t>
      </w:r>
      <w:r w:rsidR="00FC0709">
        <w:rPr>
          <w:rFonts w:ascii="Arial" w:hAnsi="Arial" w:cs="Arial"/>
        </w:rPr>
        <w:t>of risk</w:t>
      </w:r>
      <w:r w:rsidR="00E2025E">
        <w:rPr>
          <w:rFonts w:ascii="Arial" w:hAnsi="Arial" w:cs="Arial"/>
        </w:rPr>
        <w:t>s for the outline business case</w:t>
      </w:r>
      <w:r>
        <w:rPr>
          <w:rFonts w:ascii="Arial" w:hAnsi="Arial" w:cs="Arial"/>
        </w:rPr>
        <w:t>. The Panel also notes the loss of another significant contract by DHI with another Council mean</w:t>
      </w:r>
      <w:r w:rsidR="00E2025E">
        <w:rPr>
          <w:rFonts w:ascii="Arial" w:hAnsi="Arial" w:cs="Arial"/>
        </w:rPr>
        <w:t>ing</w:t>
      </w:r>
      <w:r>
        <w:rPr>
          <w:rFonts w:ascii="Arial" w:hAnsi="Arial" w:cs="Arial"/>
        </w:rPr>
        <w:t xml:space="preserve"> that any financial challenges faced by DHI do not solely result from the Council’s provider selection decision in relation to drug and alcohol services in Bath and North East Somerset. As a result, the Panel’s view is that the impacts identified by DHI do not indicate any serious flaws in the Council’s assessment.</w:t>
      </w:r>
      <w:bookmarkEnd w:id="29"/>
    </w:p>
    <w:p w14:paraId="0DBCD5D0" w14:textId="1F9CE3D7" w:rsidR="00B1468B" w:rsidRDefault="00B1468B" w:rsidP="00B1468B">
      <w:pPr>
        <w:pStyle w:val="ListParagraph"/>
        <w:numPr>
          <w:ilvl w:val="0"/>
          <w:numId w:val="2"/>
        </w:numPr>
        <w:spacing w:line="276" w:lineRule="auto"/>
        <w:ind w:left="567" w:hanging="567"/>
        <w:contextualSpacing w:val="0"/>
        <w:rPr>
          <w:rFonts w:ascii="Arial" w:hAnsi="Arial" w:cs="Arial"/>
        </w:rPr>
      </w:pPr>
      <w:r w:rsidRPr="003F1F10">
        <w:rPr>
          <w:rFonts w:ascii="Arial" w:hAnsi="Arial" w:cs="Arial"/>
        </w:rPr>
        <w:t>Given th</w:t>
      </w:r>
      <w:r>
        <w:rPr>
          <w:rFonts w:ascii="Arial" w:hAnsi="Arial" w:cs="Arial"/>
        </w:rPr>
        <w:t>e considerations set out above</w:t>
      </w:r>
      <w:r w:rsidRPr="003F1F10">
        <w:rPr>
          <w:rFonts w:ascii="Arial" w:hAnsi="Arial" w:cs="Arial"/>
        </w:rPr>
        <w:t>, the Panel finds that the Council, in its conduct of a competitive process</w:t>
      </w:r>
      <w:r w:rsidR="00361E9A">
        <w:rPr>
          <w:rFonts w:ascii="Arial" w:hAnsi="Arial" w:cs="Arial"/>
        </w:rPr>
        <w:t>,</w:t>
      </w:r>
      <w:r w:rsidRPr="003F1F10">
        <w:rPr>
          <w:rFonts w:ascii="Arial" w:hAnsi="Arial" w:cs="Arial"/>
        </w:rPr>
        <w:t xml:space="preserve"> did not breach the PSR regulations and</w:t>
      </w:r>
      <w:r w:rsidR="002B4171">
        <w:rPr>
          <w:rFonts w:ascii="Arial" w:hAnsi="Arial" w:cs="Arial"/>
        </w:rPr>
        <w:t>,</w:t>
      </w:r>
      <w:r w:rsidRPr="003F1F10">
        <w:rPr>
          <w:rFonts w:ascii="Arial" w:hAnsi="Arial" w:cs="Arial"/>
        </w:rPr>
        <w:t xml:space="preserve"> in particular</w:t>
      </w:r>
      <w:r w:rsidR="002B4171">
        <w:rPr>
          <w:rFonts w:ascii="Arial" w:hAnsi="Arial" w:cs="Arial"/>
        </w:rPr>
        <w:t>,</w:t>
      </w:r>
      <w:r w:rsidRPr="003F1F10">
        <w:rPr>
          <w:rFonts w:ascii="Arial" w:hAnsi="Arial" w:cs="Arial"/>
        </w:rPr>
        <w:t xml:space="preserve"> the requirements of Regulation</w:t>
      </w:r>
      <w:r>
        <w:rPr>
          <w:rFonts w:ascii="Arial" w:hAnsi="Arial" w:cs="Arial"/>
        </w:rPr>
        <w:t> </w:t>
      </w:r>
      <w:r w:rsidRPr="003F1F10">
        <w:rPr>
          <w:rFonts w:ascii="Arial" w:hAnsi="Arial" w:cs="Arial"/>
        </w:rPr>
        <w:t>11 which govern the conduct of a competitive process.</w:t>
      </w:r>
    </w:p>
    <w:p w14:paraId="78CFC7AD" w14:textId="650ADD00" w:rsidR="00F5340F" w:rsidRPr="00E7501E" w:rsidRDefault="00E7501E" w:rsidP="007D28A9">
      <w:pPr>
        <w:pStyle w:val="Heading1"/>
        <w:numPr>
          <w:ilvl w:val="0"/>
          <w:numId w:val="1"/>
        </w:numPr>
        <w:spacing w:before="360" w:after="240"/>
        <w:ind w:left="0" w:firstLine="0"/>
        <w:rPr>
          <w:rFonts w:ascii="Arial" w:hAnsi="Arial" w:cs="Arial"/>
          <w:b/>
          <w:bCs/>
          <w:color w:val="000000" w:themeColor="text1"/>
          <w:sz w:val="28"/>
          <w:szCs w:val="28"/>
        </w:rPr>
      </w:pPr>
      <w:bookmarkStart w:id="30" w:name="_Toc166083481"/>
      <w:bookmarkStart w:id="31" w:name="_Toc189662760"/>
      <w:r w:rsidRPr="00E7501E">
        <w:rPr>
          <w:rFonts w:ascii="Arial" w:hAnsi="Arial" w:cs="Arial"/>
          <w:b/>
          <w:bCs/>
          <w:color w:val="000000" w:themeColor="text1"/>
          <w:sz w:val="28"/>
          <w:szCs w:val="28"/>
        </w:rPr>
        <w:lastRenderedPageBreak/>
        <w:t xml:space="preserve">Panel </w:t>
      </w:r>
      <w:r w:rsidR="00F5340F" w:rsidRPr="00E7501E">
        <w:rPr>
          <w:rFonts w:ascii="Arial" w:hAnsi="Arial" w:cs="Arial"/>
          <w:b/>
          <w:bCs/>
          <w:color w:val="000000" w:themeColor="text1"/>
          <w:sz w:val="28"/>
          <w:szCs w:val="28"/>
        </w:rPr>
        <w:t>Advice</w:t>
      </w:r>
      <w:bookmarkEnd w:id="30"/>
      <w:bookmarkEnd w:id="31"/>
    </w:p>
    <w:p w14:paraId="0D1DE04C" w14:textId="2C7693A6" w:rsidR="00F750D2" w:rsidRDefault="00877A6B" w:rsidP="00C41D46">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summary, the Panel’s findings on the provider selection process carried out by </w:t>
      </w:r>
      <w:r w:rsidR="000B20C0">
        <w:rPr>
          <w:rFonts w:ascii="Arial" w:hAnsi="Arial" w:cs="Arial"/>
        </w:rPr>
        <w:t xml:space="preserve">B&amp;NES Council </w:t>
      </w:r>
      <w:r>
        <w:rPr>
          <w:rFonts w:ascii="Arial" w:hAnsi="Arial" w:cs="Arial"/>
        </w:rPr>
        <w:t xml:space="preserve">for </w:t>
      </w:r>
      <w:r w:rsidR="003E5DC9">
        <w:rPr>
          <w:rFonts w:ascii="Arial" w:hAnsi="Arial" w:cs="Arial"/>
        </w:rPr>
        <w:t xml:space="preserve">its </w:t>
      </w:r>
      <w:r w:rsidR="007D5D23">
        <w:rPr>
          <w:rFonts w:ascii="Arial" w:hAnsi="Arial" w:cs="Arial"/>
        </w:rPr>
        <w:t>Drug and Alcohol S</w:t>
      </w:r>
      <w:r w:rsidR="00E9011F">
        <w:rPr>
          <w:rFonts w:ascii="Arial" w:hAnsi="Arial" w:cs="Arial"/>
        </w:rPr>
        <w:t>ervice</w:t>
      </w:r>
      <w:r w:rsidR="00865192">
        <w:rPr>
          <w:rFonts w:ascii="Arial" w:hAnsi="Arial" w:cs="Arial"/>
        </w:rPr>
        <w:t xml:space="preserve"> </w:t>
      </w:r>
      <w:r>
        <w:rPr>
          <w:rFonts w:ascii="Arial" w:hAnsi="Arial" w:cs="Arial"/>
        </w:rPr>
        <w:t>are as follows:</w:t>
      </w:r>
    </w:p>
    <w:p w14:paraId="30C581DC" w14:textId="22EF094D" w:rsidR="00877A6B" w:rsidRPr="00DA1B29" w:rsidRDefault="00C41D46"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F</w:t>
      </w:r>
      <w:r w:rsidR="00AB6235">
        <w:rPr>
          <w:rFonts w:ascii="Arial" w:hAnsi="Arial" w:cs="Arial"/>
        </w:rPr>
        <w:t xml:space="preserve">irst, </w:t>
      </w:r>
      <w:r w:rsidR="005F21CE">
        <w:rPr>
          <w:rFonts w:ascii="Arial" w:hAnsi="Arial" w:cs="Arial"/>
        </w:rPr>
        <w:t xml:space="preserve">the Panel </w:t>
      </w:r>
      <w:r w:rsidR="00865192">
        <w:rPr>
          <w:rFonts w:ascii="Arial" w:hAnsi="Arial" w:cs="Arial"/>
        </w:rPr>
        <w:t xml:space="preserve">finds that </w:t>
      </w:r>
      <w:r w:rsidR="007E067D">
        <w:rPr>
          <w:rFonts w:ascii="Arial" w:hAnsi="Arial" w:cs="Arial"/>
        </w:rPr>
        <w:t>that the Council, in calculating the overall weighted score for DHI’s proposal, did not breach the PSR regulations and, in particular, the obligation to act fairly.</w:t>
      </w:r>
    </w:p>
    <w:p w14:paraId="4A7D0AD1" w14:textId="35B9C02B" w:rsidR="000C76F3" w:rsidRDefault="00C41D46"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S</w:t>
      </w:r>
      <w:r w:rsidR="00AB6235" w:rsidRPr="00DA1B29">
        <w:rPr>
          <w:rFonts w:ascii="Arial" w:hAnsi="Arial" w:cs="Arial"/>
        </w:rPr>
        <w:t xml:space="preserve">econd, </w:t>
      </w:r>
      <w:r w:rsidR="001E02BC" w:rsidRPr="006D54E4">
        <w:rPr>
          <w:rFonts w:ascii="Arial" w:hAnsi="Arial" w:cs="Arial"/>
        </w:rPr>
        <w:t>the Panel finds that</w:t>
      </w:r>
      <w:r w:rsidR="00B63948">
        <w:rPr>
          <w:rFonts w:ascii="Arial" w:hAnsi="Arial" w:cs="Arial"/>
        </w:rPr>
        <w:t xml:space="preserve"> the Council</w:t>
      </w:r>
      <w:r w:rsidR="009F1668">
        <w:rPr>
          <w:rFonts w:ascii="Arial" w:hAnsi="Arial" w:cs="Arial"/>
        </w:rPr>
        <w:t>,</w:t>
      </w:r>
      <w:r w:rsidR="00B63948">
        <w:rPr>
          <w:rFonts w:ascii="Arial" w:hAnsi="Arial" w:cs="Arial"/>
        </w:rPr>
        <w:t xml:space="preserve"> </w:t>
      </w:r>
      <w:r w:rsidR="00AB399C" w:rsidRPr="00A56CC5">
        <w:rPr>
          <w:rFonts w:ascii="Arial" w:hAnsi="Arial" w:cs="Arial"/>
        </w:rPr>
        <w:t xml:space="preserve">in evaluating bidders’ responses to the </w:t>
      </w:r>
      <w:r w:rsidR="00AB399C">
        <w:rPr>
          <w:rFonts w:ascii="Arial" w:hAnsi="Arial" w:cs="Arial"/>
        </w:rPr>
        <w:t>s</w:t>
      </w:r>
      <w:r w:rsidR="00AB399C" w:rsidRPr="00A56CC5">
        <w:rPr>
          <w:rFonts w:ascii="Arial" w:hAnsi="Arial" w:cs="Arial"/>
        </w:rPr>
        <w:t xml:space="preserve">ocial </w:t>
      </w:r>
      <w:r w:rsidR="00AB399C">
        <w:rPr>
          <w:rFonts w:ascii="Arial" w:hAnsi="Arial" w:cs="Arial"/>
        </w:rPr>
        <w:t>v</w:t>
      </w:r>
      <w:r w:rsidR="00AB399C" w:rsidRPr="00A56CC5">
        <w:rPr>
          <w:rFonts w:ascii="Arial" w:hAnsi="Arial" w:cs="Arial"/>
        </w:rPr>
        <w:t xml:space="preserve">alue questions, </w:t>
      </w:r>
      <w:r w:rsidR="00531D4E">
        <w:rPr>
          <w:rFonts w:ascii="Arial" w:hAnsi="Arial" w:cs="Arial"/>
        </w:rPr>
        <w:t>correct</w:t>
      </w:r>
      <w:r w:rsidR="001E652F">
        <w:rPr>
          <w:rFonts w:ascii="Arial" w:hAnsi="Arial" w:cs="Arial"/>
        </w:rPr>
        <w:t xml:space="preserve">ing </w:t>
      </w:r>
      <w:r w:rsidR="00531D4E">
        <w:rPr>
          <w:rFonts w:ascii="Arial" w:hAnsi="Arial" w:cs="Arial"/>
        </w:rPr>
        <w:t xml:space="preserve">the scoring formula for Q7 </w:t>
      </w:r>
      <w:r w:rsidR="001E652F">
        <w:rPr>
          <w:rFonts w:ascii="Arial" w:hAnsi="Arial" w:cs="Arial"/>
        </w:rPr>
        <w:t xml:space="preserve">and </w:t>
      </w:r>
      <w:r w:rsidR="003F5B27">
        <w:rPr>
          <w:rFonts w:ascii="Arial" w:hAnsi="Arial" w:cs="Arial"/>
        </w:rPr>
        <w:t>not excluding the successful bidder based on its response to the social value questions</w:t>
      </w:r>
      <w:r w:rsidR="009F27A8">
        <w:rPr>
          <w:rFonts w:ascii="Arial" w:hAnsi="Arial" w:cs="Arial"/>
        </w:rPr>
        <w:t>,</w:t>
      </w:r>
      <w:r w:rsidR="003F5B27">
        <w:rPr>
          <w:rFonts w:ascii="Arial" w:hAnsi="Arial" w:cs="Arial"/>
        </w:rPr>
        <w:t xml:space="preserve"> </w:t>
      </w:r>
      <w:r w:rsidR="00AB399C" w:rsidRPr="00A56CC5">
        <w:rPr>
          <w:rFonts w:ascii="Arial" w:hAnsi="Arial" w:cs="Arial"/>
        </w:rPr>
        <w:t>did not breach the PSR regulations and</w:t>
      </w:r>
      <w:r w:rsidR="00AB399C">
        <w:rPr>
          <w:rFonts w:ascii="Arial" w:hAnsi="Arial" w:cs="Arial"/>
        </w:rPr>
        <w:t>,</w:t>
      </w:r>
      <w:r w:rsidR="00AB399C" w:rsidRPr="00A56CC5">
        <w:rPr>
          <w:rFonts w:ascii="Arial" w:hAnsi="Arial" w:cs="Arial"/>
        </w:rPr>
        <w:t xml:space="preserve"> in particular</w:t>
      </w:r>
      <w:r w:rsidR="00AB399C">
        <w:rPr>
          <w:rFonts w:ascii="Arial" w:hAnsi="Arial" w:cs="Arial"/>
        </w:rPr>
        <w:t>,</w:t>
      </w:r>
      <w:r w:rsidR="00AB399C" w:rsidRPr="00A56CC5">
        <w:rPr>
          <w:rFonts w:ascii="Arial" w:hAnsi="Arial" w:cs="Arial"/>
        </w:rPr>
        <w:t xml:space="preserve"> the obligation to act fairly</w:t>
      </w:r>
      <w:r w:rsidR="00AB399C">
        <w:rPr>
          <w:rFonts w:ascii="Arial" w:hAnsi="Arial" w:cs="Arial"/>
        </w:rPr>
        <w:t>, transparently</w:t>
      </w:r>
      <w:r w:rsidR="00AB399C" w:rsidRPr="00A56CC5">
        <w:rPr>
          <w:rFonts w:ascii="Arial" w:hAnsi="Arial" w:cs="Arial"/>
        </w:rPr>
        <w:t xml:space="preserve"> and proportionately</w:t>
      </w:r>
      <w:r w:rsidR="002B350A">
        <w:rPr>
          <w:rFonts w:ascii="Arial" w:hAnsi="Arial" w:cs="Arial"/>
        </w:rPr>
        <w:t>.</w:t>
      </w:r>
    </w:p>
    <w:p w14:paraId="289E2BF4" w14:textId="1A7A0629" w:rsidR="00D23D9B" w:rsidRDefault="00D23D9B"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Third,</w:t>
      </w:r>
      <w:r w:rsidR="00C270FF">
        <w:rPr>
          <w:rFonts w:ascii="Arial" w:hAnsi="Arial" w:cs="Arial"/>
        </w:rPr>
        <w:t xml:space="preserve"> </w:t>
      </w:r>
      <w:r w:rsidR="002B350A" w:rsidRPr="551E1DED">
        <w:rPr>
          <w:rFonts w:ascii="Arial" w:hAnsi="Arial" w:cs="Arial"/>
        </w:rPr>
        <w:t xml:space="preserve">the Panel finds that the Council, in evaluating responses to the Quality </w:t>
      </w:r>
      <w:r w:rsidR="006B6E63">
        <w:rPr>
          <w:rFonts w:ascii="Arial" w:hAnsi="Arial" w:cs="Arial"/>
        </w:rPr>
        <w:t>questions</w:t>
      </w:r>
      <w:r w:rsidR="002B350A" w:rsidRPr="551E1DED">
        <w:rPr>
          <w:rFonts w:ascii="Arial" w:hAnsi="Arial" w:cs="Arial"/>
        </w:rPr>
        <w:t>, did not breach the PSR regulations and</w:t>
      </w:r>
      <w:r w:rsidR="002B350A">
        <w:rPr>
          <w:rFonts w:ascii="Arial" w:hAnsi="Arial" w:cs="Arial"/>
        </w:rPr>
        <w:t>,</w:t>
      </w:r>
      <w:r w:rsidR="002B350A" w:rsidRPr="551E1DED">
        <w:rPr>
          <w:rFonts w:ascii="Arial" w:hAnsi="Arial" w:cs="Arial"/>
        </w:rPr>
        <w:t xml:space="preserve"> in particular</w:t>
      </w:r>
      <w:r w:rsidR="002B350A">
        <w:rPr>
          <w:rFonts w:ascii="Arial" w:hAnsi="Arial" w:cs="Arial"/>
        </w:rPr>
        <w:t>,</w:t>
      </w:r>
      <w:r w:rsidR="002B350A" w:rsidRPr="551E1DED">
        <w:rPr>
          <w:rFonts w:ascii="Arial" w:hAnsi="Arial" w:cs="Arial"/>
        </w:rPr>
        <w:t xml:space="preserve"> the obligation to act fairly and transparently</w:t>
      </w:r>
      <w:r w:rsidR="009D497C">
        <w:rPr>
          <w:rFonts w:ascii="Arial" w:hAnsi="Arial" w:cs="Arial"/>
        </w:rPr>
        <w:t>.</w:t>
      </w:r>
    </w:p>
    <w:p w14:paraId="464FF139" w14:textId="122BE6A3" w:rsidR="00D23D9B" w:rsidRDefault="00D23D9B"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Fourth,</w:t>
      </w:r>
      <w:r w:rsidR="00AF4313">
        <w:rPr>
          <w:rFonts w:ascii="Arial" w:hAnsi="Arial" w:cs="Arial"/>
        </w:rPr>
        <w:t xml:space="preserve"> </w:t>
      </w:r>
      <w:r w:rsidR="001466F7">
        <w:rPr>
          <w:rFonts w:ascii="Arial" w:hAnsi="Arial" w:cs="Arial"/>
        </w:rPr>
        <w:t>the Panel finds that the Council</w:t>
      </w:r>
      <w:r w:rsidR="00641A9B">
        <w:rPr>
          <w:rFonts w:ascii="Arial" w:hAnsi="Arial" w:cs="Arial"/>
        </w:rPr>
        <w:t xml:space="preserve">, in selecting </w:t>
      </w:r>
      <w:r w:rsidR="001C2B32">
        <w:rPr>
          <w:rFonts w:ascii="Arial" w:hAnsi="Arial" w:cs="Arial"/>
        </w:rPr>
        <w:t>the evaluation panel</w:t>
      </w:r>
      <w:r w:rsidR="00897AC0">
        <w:rPr>
          <w:rFonts w:ascii="Arial" w:hAnsi="Arial" w:cs="Arial"/>
        </w:rPr>
        <w:t>,</w:t>
      </w:r>
      <w:r w:rsidR="001466F7">
        <w:rPr>
          <w:rFonts w:ascii="Arial" w:hAnsi="Arial" w:cs="Arial"/>
        </w:rPr>
        <w:t xml:space="preserve"> did not breach the PSR regulations </w:t>
      </w:r>
      <w:r w:rsidR="001A7167" w:rsidRPr="551E1DED">
        <w:rPr>
          <w:rFonts w:ascii="Arial" w:hAnsi="Arial" w:cs="Arial"/>
        </w:rPr>
        <w:t>and</w:t>
      </w:r>
      <w:r w:rsidR="001A7167">
        <w:rPr>
          <w:rFonts w:ascii="Arial" w:hAnsi="Arial" w:cs="Arial"/>
        </w:rPr>
        <w:t>,</w:t>
      </w:r>
      <w:r w:rsidR="001A7167" w:rsidRPr="551E1DED">
        <w:rPr>
          <w:rFonts w:ascii="Arial" w:hAnsi="Arial" w:cs="Arial"/>
        </w:rPr>
        <w:t xml:space="preserve"> in particular</w:t>
      </w:r>
      <w:r w:rsidR="001A7167">
        <w:rPr>
          <w:rFonts w:ascii="Arial" w:hAnsi="Arial" w:cs="Arial"/>
        </w:rPr>
        <w:t>,</w:t>
      </w:r>
      <w:r w:rsidR="001A7167" w:rsidRPr="551E1DED">
        <w:rPr>
          <w:rFonts w:ascii="Arial" w:hAnsi="Arial" w:cs="Arial"/>
        </w:rPr>
        <w:t xml:space="preserve"> the obligation to act fairly</w:t>
      </w:r>
      <w:r w:rsidR="003405D6">
        <w:rPr>
          <w:rFonts w:ascii="Arial" w:hAnsi="Arial" w:cs="Arial"/>
        </w:rPr>
        <w:t>.</w:t>
      </w:r>
    </w:p>
    <w:p w14:paraId="0FFA2627" w14:textId="3C72B8DB" w:rsidR="00D23D9B" w:rsidRDefault="00D23D9B"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Fifth,</w:t>
      </w:r>
      <w:r w:rsidR="00A86F31" w:rsidRPr="00A86F31">
        <w:rPr>
          <w:rFonts w:ascii="Arial" w:hAnsi="Arial" w:cs="Arial"/>
        </w:rPr>
        <w:t xml:space="preserve"> </w:t>
      </w:r>
      <w:r w:rsidR="009627C9">
        <w:rPr>
          <w:rFonts w:ascii="Arial" w:hAnsi="Arial" w:cs="Arial"/>
        </w:rPr>
        <w:t xml:space="preserve">the Panel finds that the Council, in formulating the key criteria, did not breach </w:t>
      </w:r>
      <w:r w:rsidR="009627C9" w:rsidRPr="551E1DED">
        <w:rPr>
          <w:rFonts w:ascii="Arial" w:hAnsi="Arial" w:cs="Arial"/>
        </w:rPr>
        <w:t>the PSR regulations</w:t>
      </w:r>
      <w:r w:rsidR="009627C9">
        <w:rPr>
          <w:rFonts w:ascii="Arial" w:hAnsi="Arial" w:cs="Arial"/>
        </w:rPr>
        <w:t xml:space="preserve"> and, in particular, the obligation to act fairly and transparently</w:t>
      </w:r>
      <w:r w:rsidR="00AF4313">
        <w:rPr>
          <w:rFonts w:ascii="Arial" w:hAnsi="Arial" w:cs="Arial"/>
        </w:rPr>
        <w:t>.</w:t>
      </w:r>
    </w:p>
    <w:p w14:paraId="75D02752" w14:textId="416A0AA5" w:rsidR="00D23D9B" w:rsidRPr="00DA1B29" w:rsidRDefault="00D23D9B" w:rsidP="00D72A53">
      <w:pPr>
        <w:pStyle w:val="ListParagraph"/>
        <w:numPr>
          <w:ilvl w:val="0"/>
          <w:numId w:val="4"/>
        </w:numPr>
        <w:spacing w:after="120" w:line="276" w:lineRule="auto"/>
        <w:ind w:left="1276" w:hanging="425"/>
        <w:contextualSpacing w:val="0"/>
        <w:rPr>
          <w:rFonts w:ascii="Arial" w:hAnsi="Arial" w:cs="Arial"/>
        </w:rPr>
      </w:pPr>
      <w:r>
        <w:rPr>
          <w:rFonts w:ascii="Arial" w:hAnsi="Arial" w:cs="Arial"/>
        </w:rPr>
        <w:t xml:space="preserve">Sixth, </w:t>
      </w:r>
      <w:r w:rsidR="009627C9">
        <w:rPr>
          <w:rFonts w:ascii="Arial" w:hAnsi="Arial" w:cs="Arial"/>
        </w:rPr>
        <w:t>the Panel finds that the Council, in using the competitive process to select a provider did not breach the PSR regulations and</w:t>
      </w:r>
      <w:r w:rsidR="00FB1228">
        <w:rPr>
          <w:rFonts w:ascii="Arial" w:hAnsi="Arial" w:cs="Arial"/>
        </w:rPr>
        <w:t>,</w:t>
      </w:r>
      <w:r w:rsidR="009627C9">
        <w:rPr>
          <w:rFonts w:ascii="Arial" w:hAnsi="Arial" w:cs="Arial"/>
        </w:rPr>
        <w:t xml:space="preserve"> in particular</w:t>
      </w:r>
      <w:r w:rsidR="00FB1228">
        <w:rPr>
          <w:rFonts w:ascii="Arial" w:hAnsi="Arial" w:cs="Arial"/>
        </w:rPr>
        <w:t>,</w:t>
      </w:r>
      <w:r w:rsidR="009627C9">
        <w:rPr>
          <w:rFonts w:ascii="Arial" w:hAnsi="Arial" w:cs="Arial"/>
        </w:rPr>
        <w:t xml:space="preserve"> the obligation to act fairly, transparently </w:t>
      </w:r>
      <w:r w:rsidR="00FB1228">
        <w:rPr>
          <w:rFonts w:ascii="Arial" w:hAnsi="Arial" w:cs="Arial"/>
        </w:rPr>
        <w:t>and</w:t>
      </w:r>
      <w:r w:rsidR="009627C9">
        <w:rPr>
          <w:rFonts w:ascii="Arial" w:hAnsi="Arial" w:cs="Arial"/>
        </w:rPr>
        <w:t xml:space="preserve"> proportionately</w:t>
      </w:r>
      <w:r w:rsidR="00A86F31">
        <w:rPr>
          <w:rFonts w:ascii="Arial" w:hAnsi="Arial" w:cs="Arial"/>
        </w:rPr>
        <w:t>.</w:t>
      </w:r>
    </w:p>
    <w:p w14:paraId="0D5AEBA5" w14:textId="5C343149" w:rsidR="000A33DD" w:rsidRPr="00FB1228" w:rsidRDefault="00C41D46" w:rsidP="00D72A53">
      <w:pPr>
        <w:pStyle w:val="ListParagraph"/>
        <w:numPr>
          <w:ilvl w:val="0"/>
          <w:numId w:val="4"/>
        </w:numPr>
        <w:spacing w:line="276" w:lineRule="auto"/>
        <w:ind w:left="1276" w:hanging="425"/>
        <w:contextualSpacing w:val="0"/>
        <w:rPr>
          <w:rFonts w:ascii="Arial" w:hAnsi="Arial" w:cs="Arial"/>
        </w:rPr>
      </w:pPr>
      <w:r w:rsidRPr="007F0A58">
        <w:rPr>
          <w:rFonts w:ascii="Arial" w:hAnsi="Arial" w:cs="Arial"/>
        </w:rPr>
        <w:t>F</w:t>
      </w:r>
      <w:r w:rsidR="000A33DD" w:rsidRPr="007F0A58">
        <w:rPr>
          <w:rFonts w:ascii="Arial" w:hAnsi="Arial" w:cs="Arial"/>
        </w:rPr>
        <w:t>inally</w:t>
      </w:r>
      <w:r w:rsidR="000A33DD" w:rsidRPr="00FB1228">
        <w:rPr>
          <w:rFonts w:ascii="Arial" w:hAnsi="Arial" w:cs="Arial"/>
        </w:rPr>
        <w:t xml:space="preserve">, </w:t>
      </w:r>
      <w:r w:rsidR="002B4171" w:rsidRPr="003F1F10">
        <w:rPr>
          <w:rFonts w:ascii="Arial" w:hAnsi="Arial" w:cs="Arial"/>
        </w:rPr>
        <w:t>the Panel finds that the Council, in its conduct of a competitive process</w:t>
      </w:r>
      <w:r w:rsidR="00361E9A">
        <w:rPr>
          <w:rFonts w:ascii="Arial" w:hAnsi="Arial" w:cs="Arial"/>
        </w:rPr>
        <w:t>,</w:t>
      </w:r>
      <w:r w:rsidR="002B4171" w:rsidRPr="003F1F10">
        <w:rPr>
          <w:rFonts w:ascii="Arial" w:hAnsi="Arial" w:cs="Arial"/>
        </w:rPr>
        <w:t xml:space="preserve"> did not breach the PSR regulations and</w:t>
      </w:r>
      <w:r w:rsidR="002B4171">
        <w:rPr>
          <w:rFonts w:ascii="Arial" w:hAnsi="Arial" w:cs="Arial"/>
        </w:rPr>
        <w:t>,</w:t>
      </w:r>
      <w:r w:rsidR="002B4171" w:rsidRPr="003F1F10">
        <w:rPr>
          <w:rFonts w:ascii="Arial" w:hAnsi="Arial" w:cs="Arial"/>
        </w:rPr>
        <w:t xml:space="preserve"> in particular</w:t>
      </w:r>
      <w:r w:rsidR="002B4171">
        <w:rPr>
          <w:rFonts w:ascii="Arial" w:hAnsi="Arial" w:cs="Arial"/>
        </w:rPr>
        <w:t>,</w:t>
      </w:r>
      <w:r w:rsidR="002B4171" w:rsidRPr="003F1F10">
        <w:rPr>
          <w:rFonts w:ascii="Arial" w:hAnsi="Arial" w:cs="Arial"/>
        </w:rPr>
        <w:t xml:space="preserve"> the requirements of Regulation</w:t>
      </w:r>
      <w:r w:rsidR="002B4171">
        <w:rPr>
          <w:rFonts w:ascii="Arial" w:hAnsi="Arial" w:cs="Arial"/>
        </w:rPr>
        <w:t> </w:t>
      </w:r>
      <w:r w:rsidR="002B4171" w:rsidRPr="003F1F10">
        <w:rPr>
          <w:rFonts w:ascii="Arial" w:hAnsi="Arial" w:cs="Arial"/>
        </w:rPr>
        <w:t>11 which govern the conduct of a competitive process.</w:t>
      </w:r>
    </w:p>
    <w:p w14:paraId="58DE75DF" w14:textId="7A30CC83" w:rsidR="00301AC1" w:rsidRPr="000024A4" w:rsidRDefault="00301AC1" w:rsidP="00301AC1">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0024A4">
        <w:rPr>
          <w:rFonts w:ascii="Arial" w:hAnsi="Arial" w:cs="Arial"/>
        </w:rPr>
        <w:t xml:space="preserve">Given the Panel’s </w:t>
      </w:r>
      <w:r w:rsidR="002F682D" w:rsidRPr="000024A4">
        <w:rPr>
          <w:rFonts w:ascii="Arial" w:hAnsi="Arial" w:cs="Arial"/>
        </w:rPr>
        <w:t xml:space="preserve">findings </w:t>
      </w:r>
      <w:r w:rsidRPr="000024A4">
        <w:rPr>
          <w:rFonts w:ascii="Arial" w:hAnsi="Arial" w:cs="Arial"/>
        </w:rPr>
        <w:t xml:space="preserve">that </w:t>
      </w:r>
      <w:r w:rsidR="002F682D" w:rsidRPr="000024A4">
        <w:rPr>
          <w:rFonts w:ascii="Arial" w:hAnsi="Arial" w:cs="Arial"/>
        </w:rPr>
        <w:t xml:space="preserve">B&amp;NES Council </w:t>
      </w:r>
      <w:r w:rsidR="00266A4F" w:rsidRPr="000024A4">
        <w:rPr>
          <w:rFonts w:ascii="Arial" w:hAnsi="Arial" w:cs="Arial"/>
        </w:rPr>
        <w:t xml:space="preserve">did not breach </w:t>
      </w:r>
      <w:r w:rsidRPr="000024A4">
        <w:rPr>
          <w:rFonts w:ascii="Arial" w:eastAsiaTheme="majorEastAsia" w:hAnsi="Arial" w:cs="Arial"/>
          <w:color w:val="000000" w:themeColor="text1"/>
        </w:rPr>
        <w:t xml:space="preserve">the PSR </w:t>
      </w:r>
      <w:r w:rsidR="00380AAE" w:rsidRPr="000024A4">
        <w:rPr>
          <w:rFonts w:ascii="Arial" w:eastAsiaTheme="majorEastAsia" w:hAnsi="Arial" w:cs="Arial"/>
          <w:color w:val="000000" w:themeColor="text1"/>
        </w:rPr>
        <w:t>r</w:t>
      </w:r>
      <w:r w:rsidRPr="000024A4">
        <w:rPr>
          <w:rFonts w:ascii="Arial" w:eastAsiaTheme="majorEastAsia" w:hAnsi="Arial" w:cs="Arial"/>
          <w:color w:val="000000" w:themeColor="text1"/>
        </w:rPr>
        <w:t>egulations</w:t>
      </w:r>
      <w:r w:rsidR="00266A4F" w:rsidRPr="000024A4">
        <w:rPr>
          <w:rFonts w:ascii="Arial" w:eastAsiaTheme="majorEastAsia" w:hAnsi="Arial" w:cs="Arial"/>
          <w:color w:val="000000" w:themeColor="text1"/>
        </w:rPr>
        <w:t xml:space="preserve"> in selecting a provider for its Drug and Alcohol Service</w:t>
      </w:r>
      <w:r w:rsidRPr="000024A4">
        <w:rPr>
          <w:rFonts w:ascii="Arial" w:eastAsiaTheme="majorEastAsia" w:hAnsi="Arial" w:cs="Arial"/>
          <w:color w:val="000000" w:themeColor="text1"/>
        </w:rPr>
        <w:t>, the Panel</w:t>
      </w:r>
      <w:r w:rsidR="000024A4" w:rsidRPr="000024A4">
        <w:rPr>
          <w:rFonts w:ascii="Arial" w:eastAsiaTheme="majorEastAsia" w:hAnsi="Arial" w:cs="Arial"/>
          <w:color w:val="000000" w:themeColor="text1"/>
        </w:rPr>
        <w:t xml:space="preserve"> has found no reason to advise the Council against continuing with the proposed contract award as originally intended</w:t>
      </w:r>
      <w:r w:rsidRPr="000024A4">
        <w:rPr>
          <w:rFonts w:ascii="Arial" w:eastAsiaTheme="majorEastAsia" w:hAnsi="Arial" w:cs="Arial"/>
          <w:color w:val="000000" w:themeColor="text1"/>
        </w:rPr>
        <w:t>.</w:t>
      </w:r>
    </w:p>
    <w:p w14:paraId="703B60DD" w14:textId="77777777" w:rsidR="000024A4" w:rsidRDefault="000024A4" w:rsidP="000024A4">
      <w:pPr>
        <w:spacing w:line="276" w:lineRule="auto"/>
        <w:rPr>
          <w:rFonts w:ascii="Arial" w:eastAsiaTheme="majorEastAsia" w:hAnsi="Arial" w:cs="Arial"/>
        </w:rPr>
      </w:pPr>
    </w:p>
    <w:p w14:paraId="79F4B6BB" w14:textId="77777777" w:rsidR="000024A4" w:rsidRPr="000024A4" w:rsidRDefault="000024A4" w:rsidP="000024A4">
      <w:pPr>
        <w:spacing w:line="276" w:lineRule="auto"/>
        <w:rPr>
          <w:rFonts w:ascii="Arial" w:eastAsiaTheme="majorEastAsia" w:hAnsi="Arial" w:cs="Arial"/>
          <w:color w:val="000000" w:themeColor="text1"/>
        </w:rPr>
      </w:pPr>
    </w:p>
    <w:sectPr w:rsidR="000024A4" w:rsidRPr="000024A4" w:rsidSect="0032522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D0CF" w14:textId="77777777" w:rsidR="00AD4A25" w:rsidRDefault="00AD4A25" w:rsidP="005744EB">
      <w:pPr>
        <w:spacing w:after="0" w:line="240" w:lineRule="auto"/>
      </w:pPr>
      <w:r>
        <w:separator/>
      </w:r>
    </w:p>
  </w:endnote>
  <w:endnote w:type="continuationSeparator" w:id="0">
    <w:p w14:paraId="0C52C596" w14:textId="77777777" w:rsidR="00AD4A25" w:rsidRDefault="00AD4A25" w:rsidP="005744EB">
      <w:pPr>
        <w:spacing w:after="0" w:line="240" w:lineRule="auto"/>
      </w:pPr>
      <w:r>
        <w:continuationSeparator/>
      </w:r>
    </w:p>
  </w:endnote>
  <w:endnote w:type="continuationNotice" w:id="1">
    <w:p w14:paraId="72712922" w14:textId="77777777" w:rsidR="00AD4A25" w:rsidRDefault="00AD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6E0E85C3"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6C63D6" w14:paraId="214C004F" w14:textId="77777777" w:rsidTr="516C63D6">
      <w:trPr>
        <w:trHeight w:val="300"/>
      </w:trPr>
      <w:tc>
        <w:tcPr>
          <w:tcW w:w="3005" w:type="dxa"/>
        </w:tcPr>
        <w:p w14:paraId="4AA14805" w14:textId="20828D97" w:rsidR="516C63D6" w:rsidRDefault="516C63D6" w:rsidP="516C63D6">
          <w:pPr>
            <w:pStyle w:val="Header"/>
            <w:ind w:left="-115"/>
          </w:pPr>
        </w:p>
      </w:tc>
      <w:tc>
        <w:tcPr>
          <w:tcW w:w="3005" w:type="dxa"/>
        </w:tcPr>
        <w:p w14:paraId="00F42DAB" w14:textId="15544EC2" w:rsidR="516C63D6" w:rsidRDefault="516C63D6" w:rsidP="516C63D6">
          <w:pPr>
            <w:pStyle w:val="Header"/>
            <w:jc w:val="center"/>
          </w:pPr>
        </w:p>
      </w:tc>
      <w:tc>
        <w:tcPr>
          <w:tcW w:w="3005" w:type="dxa"/>
        </w:tcPr>
        <w:p w14:paraId="5ECC3E18" w14:textId="029E5A38" w:rsidR="516C63D6" w:rsidRDefault="516C63D6" w:rsidP="516C63D6">
          <w:pPr>
            <w:pStyle w:val="Header"/>
            <w:ind w:right="-115"/>
            <w:jc w:val="right"/>
          </w:pPr>
        </w:p>
      </w:tc>
    </w:tr>
  </w:tbl>
  <w:p w14:paraId="0FFECB5C" w14:textId="68939F8F" w:rsidR="516C63D6" w:rsidRDefault="516C63D6" w:rsidP="516C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0F44" w14:textId="77777777" w:rsidR="00AD4A25" w:rsidRDefault="00AD4A25" w:rsidP="005744EB">
      <w:pPr>
        <w:spacing w:after="0" w:line="240" w:lineRule="auto"/>
      </w:pPr>
      <w:r>
        <w:separator/>
      </w:r>
    </w:p>
  </w:footnote>
  <w:footnote w:type="continuationSeparator" w:id="0">
    <w:p w14:paraId="2AB41A9B" w14:textId="77777777" w:rsidR="00AD4A25" w:rsidRDefault="00AD4A25" w:rsidP="005744EB">
      <w:pPr>
        <w:spacing w:after="0" w:line="240" w:lineRule="auto"/>
      </w:pPr>
      <w:r>
        <w:continuationSeparator/>
      </w:r>
    </w:p>
  </w:footnote>
  <w:footnote w:type="continuationNotice" w:id="1">
    <w:p w14:paraId="3639178E" w14:textId="77777777" w:rsidR="00AD4A25" w:rsidRDefault="00AD4A25">
      <w:pPr>
        <w:spacing w:after="0" w:line="240" w:lineRule="auto"/>
      </w:pPr>
    </w:p>
  </w:footnote>
  <w:footnote w:id="2">
    <w:p w14:paraId="534611C9" w14:textId="77777777" w:rsidR="00262282" w:rsidRPr="00C24BCE" w:rsidRDefault="00262282" w:rsidP="00262282">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DHI is a charitable organisation that provides specialist services in Bath and North East Somerset, Bristol, Wiltshire, South Gloucestershire and Somerset for people who experience social exclusion or multiple disadvantage as a result of poverty, deprivation, abuse or neglect. Further information on DHI can be found on its website at </w:t>
      </w:r>
      <w:hyperlink r:id="rId1" w:history="1">
        <w:r w:rsidRPr="00C24BCE">
          <w:rPr>
            <w:rStyle w:val="Hyperlink"/>
            <w:rFonts w:ascii="Arial" w:hAnsi="Arial" w:cs="Arial"/>
            <w:sz w:val="16"/>
            <w:szCs w:val="16"/>
          </w:rPr>
          <w:t>https://www.dhi-online.org.uk/</w:t>
        </w:r>
      </w:hyperlink>
      <w:r w:rsidRPr="00C24BCE">
        <w:rPr>
          <w:rFonts w:ascii="Arial" w:hAnsi="Arial" w:cs="Arial"/>
          <w:sz w:val="16"/>
          <w:szCs w:val="16"/>
        </w:rPr>
        <w:t>.</w:t>
      </w:r>
    </w:p>
  </w:footnote>
  <w:footnote w:id="3">
    <w:p w14:paraId="770531B6" w14:textId="77777777" w:rsidR="00592B7E" w:rsidRPr="00C24BCE" w:rsidRDefault="00592B7E" w:rsidP="00592B7E">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The Panel’s case acceptance criteria are available at </w:t>
      </w:r>
      <w:hyperlink r:id="rId2" w:history="1">
        <w:r w:rsidRPr="00C24BCE">
          <w:rPr>
            <w:rStyle w:val="Hyperlink"/>
            <w:rFonts w:ascii="Arial" w:hAnsi="Arial" w:cs="Arial"/>
            <w:sz w:val="16"/>
            <w:szCs w:val="16"/>
          </w:rPr>
          <w:t>https://www.england.nhs.uk/commissioning/how-commissioning-is-changing/nhs-provider-selection-regime/independent-patient-choice-and-procurement-panel/</w:t>
        </w:r>
      </w:hyperlink>
      <w:r w:rsidRPr="00C24BCE">
        <w:rPr>
          <w:rFonts w:ascii="Arial" w:hAnsi="Arial" w:cs="Arial"/>
          <w:sz w:val="16"/>
          <w:szCs w:val="16"/>
        </w:rPr>
        <w:t>.</w:t>
      </w:r>
    </w:p>
  </w:footnote>
  <w:footnote w:id="4">
    <w:p w14:paraId="6182711F" w14:textId="77777777" w:rsidR="005371BE" w:rsidRPr="00C24BCE" w:rsidRDefault="005371BE" w:rsidP="005371BE">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Biographies of Panel members are available at </w:t>
      </w:r>
      <w:hyperlink r:id="rId3" w:history="1">
        <w:r w:rsidRPr="00C24BCE">
          <w:rPr>
            <w:rStyle w:val="Hyperlink"/>
            <w:rFonts w:ascii="Arial" w:hAnsi="Arial" w:cs="Arial"/>
            <w:sz w:val="16"/>
            <w:szCs w:val="16"/>
          </w:rPr>
          <w:t>https://www.england.nhs.uk/commissioning/how-commissioning-is-changing/nhs-provider-selection-regime/independent-patient-choice-and-procurement-panel/panel-members/</w:t>
        </w:r>
      </w:hyperlink>
      <w:r w:rsidRPr="00C24BCE">
        <w:rPr>
          <w:rFonts w:ascii="Arial" w:hAnsi="Arial" w:cs="Arial"/>
          <w:sz w:val="16"/>
          <w:szCs w:val="16"/>
        </w:rPr>
        <w:t>.</w:t>
      </w:r>
    </w:p>
  </w:footnote>
  <w:footnote w:id="5">
    <w:p w14:paraId="413CE41A" w14:textId="77777777" w:rsidR="00B54100" w:rsidRPr="00C24BCE" w:rsidRDefault="00B54100" w:rsidP="00B54100">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The Panel’s Standard Operating Procedures are available at </w:t>
      </w:r>
      <w:hyperlink r:id="rId4" w:history="1">
        <w:r w:rsidRPr="00C24BCE">
          <w:rPr>
            <w:rStyle w:val="Hyperlink"/>
            <w:rFonts w:ascii="Arial" w:hAnsi="Arial" w:cs="Arial"/>
            <w:sz w:val="16"/>
            <w:szCs w:val="16"/>
          </w:rPr>
          <w:t>https://www.england.nhs.uk/commissioning/how-commissioning-is-changing/nhs-provider-selection-regime/independent-patient-choice-and-procurement-panel/</w:t>
        </w:r>
      </w:hyperlink>
      <w:r w:rsidRPr="00C24BCE">
        <w:rPr>
          <w:rFonts w:ascii="Arial" w:hAnsi="Arial" w:cs="Arial"/>
          <w:sz w:val="16"/>
          <w:szCs w:val="16"/>
        </w:rPr>
        <w:t>.</w:t>
      </w:r>
    </w:p>
  </w:footnote>
  <w:footnote w:id="6">
    <w:p w14:paraId="2AE9CC6D" w14:textId="77777777" w:rsidR="002D4D85" w:rsidRPr="00C24BCE" w:rsidRDefault="002D4D85" w:rsidP="002D4D85">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T</w:t>
      </w:r>
      <w:r w:rsidRPr="00C24BCE">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7">
    <w:p w14:paraId="3926EC17" w14:textId="77777777" w:rsidR="00235498" w:rsidRPr="00C24BCE" w:rsidRDefault="00235498" w:rsidP="00235498">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The PSR Regulations are available at </w:t>
      </w:r>
      <w:hyperlink r:id="rId5" w:history="1">
        <w:r w:rsidRPr="00C24BCE">
          <w:rPr>
            <w:rStyle w:val="Hyperlink"/>
            <w:rFonts w:ascii="Arial" w:hAnsi="Arial" w:cs="Arial"/>
            <w:sz w:val="16"/>
            <w:szCs w:val="16"/>
          </w:rPr>
          <w:t>https://www.legislation.gov.uk/uksi/2023/1348/contents/made</w:t>
        </w:r>
      </w:hyperlink>
      <w:r w:rsidRPr="00C24BCE">
        <w:rPr>
          <w:rFonts w:ascii="Arial" w:hAnsi="Arial" w:cs="Arial"/>
          <w:sz w:val="16"/>
          <w:szCs w:val="16"/>
        </w:rPr>
        <w:t xml:space="preserve"> and the accompanying statutory guidance is available at NHS England, </w:t>
      </w:r>
      <w:r w:rsidRPr="00C24BCE">
        <w:rPr>
          <w:rFonts w:ascii="Arial" w:hAnsi="Arial" w:cs="Arial"/>
          <w:i/>
          <w:iCs/>
          <w:sz w:val="16"/>
          <w:szCs w:val="16"/>
        </w:rPr>
        <w:t>The Provider Selection Regime: statutory guidance</w:t>
      </w:r>
      <w:r w:rsidRPr="00C24BCE">
        <w:rPr>
          <w:rFonts w:ascii="Arial" w:hAnsi="Arial" w:cs="Arial"/>
          <w:sz w:val="16"/>
          <w:szCs w:val="16"/>
        </w:rPr>
        <w:t xml:space="preserve">, </w:t>
      </w:r>
      <w:hyperlink r:id="rId6" w:history="1">
        <w:r w:rsidRPr="00C24BCE">
          <w:rPr>
            <w:rStyle w:val="Hyperlink"/>
            <w:rFonts w:ascii="Arial" w:hAnsi="Arial" w:cs="Arial"/>
            <w:sz w:val="16"/>
            <w:szCs w:val="16"/>
          </w:rPr>
          <w:t>https://www.england.nhs.uk/long-read/the-provider-selection-regime-statutory-guidance/</w:t>
        </w:r>
      </w:hyperlink>
      <w:r w:rsidRPr="00C24BCE">
        <w:rPr>
          <w:rFonts w:ascii="Arial" w:hAnsi="Arial" w:cs="Arial"/>
          <w:sz w:val="16"/>
          <w:szCs w:val="16"/>
        </w:rPr>
        <w:t>.</w:t>
      </w:r>
    </w:p>
  </w:footnote>
  <w:footnote w:id="8">
    <w:p w14:paraId="62806006" w14:textId="77777777" w:rsidR="00614906" w:rsidRPr="00C24BCE" w:rsidRDefault="00614906" w:rsidP="00614906">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Further information on Bath &amp; North East Somerset Council can be found on its website at </w:t>
      </w:r>
      <w:hyperlink r:id="rId7" w:history="1">
        <w:r w:rsidRPr="00C24BCE">
          <w:rPr>
            <w:rStyle w:val="Hyperlink"/>
            <w:rFonts w:ascii="Arial" w:hAnsi="Arial" w:cs="Arial"/>
            <w:sz w:val="16"/>
            <w:szCs w:val="16"/>
          </w:rPr>
          <w:t>https://www.bathnes.gov.uk/</w:t>
        </w:r>
      </w:hyperlink>
      <w:r w:rsidRPr="00C24BCE">
        <w:rPr>
          <w:rFonts w:ascii="Arial" w:hAnsi="Arial" w:cs="Arial"/>
          <w:sz w:val="16"/>
          <w:szCs w:val="16"/>
        </w:rPr>
        <w:t>.</w:t>
      </w:r>
    </w:p>
  </w:footnote>
  <w:footnote w:id="9">
    <w:p w14:paraId="1CA4FA65" w14:textId="77777777" w:rsidR="00614906" w:rsidRPr="00C24BCE" w:rsidRDefault="00614906" w:rsidP="00614906">
      <w:pPr>
        <w:pStyle w:val="FootnoteText"/>
        <w:rPr>
          <w:rFonts w:ascii="Arial" w:hAnsi="Arial" w:cs="Arial"/>
          <w:sz w:val="16"/>
          <w:szCs w:val="16"/>
        </w:rPr>
      </w:pPr>
      <w:r w:rsidRPr="00C24BCE">
        <w:rPr>
          <w:rStyle w:val="FootnoteReference"/>
          <w:rFonts w:ascii="Arial" w:hAnsi="Arial" w:cs="Arial"/>
          <w:sz w:val="16"/>
          <w:szCs w:val="16"/>
        </w:rPr>
        <w:footnoteRef/>
      </w:r>
      <w:r w:rsidRPr="00C24BCE">
        <w:rPr>
          <w:rFonts w:ascii="Arial" w:hAnsi="Arial" w:cs="Arial"/>
          <w:sz w:val="16"/>
          <w:szCs w:val="16"/>
        </w:rPr>
        <w:t xml:space="preserve"> Further information on BSW Together can be found on its website at </w:t>
      </w:r>
      <w:hyperlink r:id="rId8" w:history="1">
        <w:r w:rsidRPr="00C24BCE">
          <w:rPr>
            <w:rStyle w:val="Hyperlink"/>
            <w:rFonts w:ascii="Arial" w:hAnsi="Arial" w:cs="Arial"/>
            <w:sz w:val="16"/>
            <w:szCs w:val="16"/>
          </w:rPr>
          <w:t>https://bswtogether.org.uk/</w:t>
        </w:r>
      </w:hyperlink>
      <w:r w:rsidRPr="00C24BCE">
        <w:rPr>
          <w:rFonts w:ascii="Arial" w:hAnsi="Arial" w:cs="Arial"/>
          <w:sz w:val="16"/>
          <w:szCs w:val="16"/>
        </w:rPr>
        <w:t>.</w:t>
      </w:r>
    </w:p>
  </w:footnote>
  <w:footnote w:id="10">
    <w:p w14:paraId="39C10EC3" w14:textId="434FB535" w:rsidR="00895085" w:rsidRPr="00282F35" w:rsidRDefault="00895085">
      <w:pPr>
        <w:pStyle w:val="FootnoteText"/>
        <w:rPr>
          <w:rFonts w:ascii="Arial" w:hAnsi="Arial" w:cs="Arial"/>
          <w:sz w:val="16"/>
          <w:szCs w:val="16"/>
        </w:rPr>
      </w:pPr>
      <w:r w:rsidRPr="00282F35">
        <w:rPr>
          <w:rStyle w:val="FootnoteReference"/>
          <w:rFonts w:ascii="Arial" w:hAnsi="Arial" w:cs="Arial"/>
          <w:sz w:val="16"/>
          <w:szCs w:val="16"/>
        </w:rPr>
        <w:footnoteRef/>
      </w:r>
      <w:r w:rsidRPr="00282F35">
        <w:rPr>
          <w:rFonts w:ascii="Arial" w:hAnsi="Arial" w:cs="Arial"/>
          <w:sz w:val="16"/>
          <w:szCs w:val="16"/>
        </w:rPr>
        <w:t xml:space="preserve"> B&amp;NES Council, </w:t>
      </w:r>
      <w:r w:rsidRPr="00282F35">
        <w:rPr>
          <w:rFonts w:ascii="Arial" w:hAnsi="Arial" w:cs="Arial"/>
          <w:i/>
          <w:iCs/>
          <w:sz w:val="16"/>
          <w:szCs w:val="16"/>
        </w:rPr>
        <w:t>Rationale for combining the separate D&amp;A services into one integrated service</w:t>
      </w:r>
      <w:r w:rsidR="00C8130B" w:rsidRPr="00282F35">
        <w:rPr>
          <w:rFonts w:ascii="Arial" w:hAnsi="Arial" w:cs="Arial"/>
          <w:sz w:val="16"/>
          <w:szCs w:val="16"/>
        </w:rPr>
        <w:t xml:space="preserve">, briefing to the Panel, </w:t>
      </w:r>
      <w:r w:rsidR="008B3E7B" w:rsidRPr="00282F35">
        <w:rPr>
          <w:rFonts w:ascii="Arial" w:hAnsi="Arial" w:cs="Arial"/>
          <w:sz w:val="16"/>
          <w:szCs w:val="16"/>
        </w:rPr>
        <w:t>January 2025.</w:t>
      </w:r>
    </w:p>
  </w:footnote>
  <w:footnote w:id="11">
    <w:p w14:paraId="64F8B375" w14:textId="77777777" w:rsidR="00C721F1" w:rsidRPr="00282F35" w:rsidRDefault="00C721F1" w:rsidP="00C721F1">
      <w:pPr>
        <w:pStyle w:val="FootnoteText"/>
        <w:rPr>
          <w:rFonts w:ascii="Arial" w:hAnsi="Arial" w:cs="Arial"/>
          <w:sz w:val="16"/>
          <w:szCs w:val="16"/>
        </w:rPr>
      </w:pPr>
      <w:r w:rsidRPr="00282F35">
        <w:rPr>
          <w:rStyle w:val="FootnoteReference"/>
          <w:rFonts w:ascii="Arial" w:hAnsi="Arial" w:cs="Arial"/>
          <w:sz w:val="16"/>
          <w:szCs w:val="16"/>
        </w:rPr>
        <w:footnoteRef/>
      </w:r>
      <w:r w:rsidRPr="00282F35">
        <w:rPr>
          <w:rFonts w:ascii="Arial" w:hAnsi="Arial" w:cs="Arial"/>
          <w:sz w:val="16"/>
          <w:szCs w:val="16"/>
        </w:rPr>
        <w:t xml:space="preserve"> B&amp;NES Council, </w:t>
      </w:r>
      <w:r w:rsidRPr="00282F35">
        <w:rPr>
          <w:rFonts w:ascii="Arial" w:hAnsi="Arial" w:cs="Arial"/>
          <w:i/>
          <w:iCs/>
          <w:sz w:val="16"/>
          <w:szCs w:val="16"/>
        </w:rPr>
        <w:t>Contract Notice published on Find a Tender Service</w:t>
      </w:r>
      <w:r w:rsidRPr="00282F35">
        <w:rPr>
          <w:rFonts w:ascii="Arial" w:hAnsi="Arial" w:cs="Arial"/>
          <w:sz w:val="16"/>
          <w:szCs w:val="16"/>
        </w:rPr>
        <w:t>, 5 August 2024.</w:t>
      </w:r>
    </w:p>
  </w:footnote>
  <w:footnote w:id="12">
    <w:p w14:paraId="75186AFB" w14:textId="14577BE2" w:rsidR="00725926" w:rsidRPr="00282F35" w:rsidRDefault="00725926">
      <w:pPr>
        <w:pStyle w:val="FootnoteText"/>
        <w:rPr>
          <w:rFonts w:ascii="Arial" w:hAnsi="Arial" w:cs="Arial"/>
          <w:sz w:val="16"/>
          <w:szCs w:val="16"/>
        </w:rPr>
      </w:pPr>
      <w:r w:rsidRPr="00282F35">
        <w:rPr>
          <w:rStyle w:val="FootnoteReference"/>
          <w:rFonts w:ascii="Arial" w:hAnsi="Arial" w:cs="Arial"/>
          <w:sz w:val="16"/>
          <w:szCs w:val="16"/>
        </w:rPr>
        <w:footnoteRef/>
      </w:r>
      <w:r w:rsidRPr="00282F35">
        <w:rPr>
          <w:rFonts w:ascii="Arial" w:hAnsi="Arial" w:cs="Arial"/>
          <w:sz w:val="16"/>
          <w:szCs w:val="16"/>
        </w:rPr>
        <w:t xml:space="preserve"> TPS is a social enterprise, designing and delivering health and social care services across England. Further information on TPS can be found on its website at </w:t>
      </w:r>
      <w:hyperlink r:id="rId9" w:history="1">
        <w:r w:rsidRPr="00282F35">
          <w:rPr>
            <w:rStyle w:val="Hyperlink"/>
            <w:rFonts w:ascii="Arial" w:hAnsi="Arial" w:cs="Arial"/>
            <w:sz w:val="16"/>
            <w:szCs w:val="16"/>
          </w:rPr>
          <w:t>https://www.turning-point.co.uk/</w:t>
        </w:r>
      </w:hyperlink>
    </w:p>
  </w:footnote>
  <w:footnote w:id="13">
    <w:p w14:paraId="0D969DEA" w14:textId="2DC5BCDA" w:rsidR="005116A4" w:rsidRPr="00773BFD" w:rsidRDefault="005116A4">
      <w:pPr>
        <w:pStyle w:val="FootnoteText"/>
        <w:rPr>
          <w:rFonts w:ascii="Arial" w:hAnsi="Arial" w:cs="Arial"/>
          <w:sz w:val="16"/>
          <w:szCs w:val="16"/>
        </w:rPr>
      </w:pPr>
      <w:r w:rsidRPr="00773BFD">
        <w:rPr>
          <w:rStyle w:val="FootnoteReference"/>
          <w:rFonts w:ascii="Arial" w:hAnsi="Arial" w:cs="Arial"/>
          <w:sz w:val="16"/>
          <w:szCs w:val="16"/>
        </w:rPr>
        <w:footnoteRef/>
      </w:r>
      <w:r w:rsidRPr="00773BFD">
        <w:rPr>
          <w:rFonts w:ascii="Arial" w:hAnsi="Arial" w:cs="Arial"/>
          <w:sz w:val="16"/>
          <w:szCs w:val="16"/>
        </w:rPr>
        <w:t xml:space="preserve"> </w:t>
      </w:r>
      <w:r w:rsidR="00773BFD" w:rsidRPr="00773BFD">
        <w:rPr>
          <w:rFonts w:ascii="Arial" w:hAnsi="Arial" w:cs="Arial"/>
          <w:sz w:val="16"/>
          <w:szCs w:val="16"/>
        </w:rPr>
        <w:t xml:space="preserve">B&amp;NES Council, </w:t>
      </w:r>
      <w:r w:rsidR="00773BFD" w:rsidRPr="00773BFD">
        <w:rPr>
          <w:rFonts w:ascii="Arial" w:hAnsi="Arial" w:cs="Arial"/>
          <w:i/>
          <w:iCs/>
          <w:sz w:val="16"/>
          <w:szCs w:val="16"/>
        </w:rPr>
        <w:t>Further Decision letter</w:t>
      </w:r>
      <w:r w:rsidR="00773BFD" w:rsidRPr="00773BFD">
        <w:rPr>
          <w:rFonts w:ascii="Arial" w:hAnsi="Arial" w:cs="Arial"/>
          <w:sz w:val="16"/>
          <w:szCs w:val="16"/>
        </w:rPr>
        <w:t>, 9 December 2024.</w:t>
      </w:r>
    </w:p>
  </w:footnote>
  <w:footnote w:id="14">
    <w:p w14:paraId="320A6E14" w14:textId="3279EB6A" w:rsidR="008122A1" w:rsidRPr="006F3CFF" w:rsidRDefault="008122A1" w:rsidP="008122A1">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DHI, </w:t>
      </w:r>
      <w:r w:rsidR="00C71933" w:rsidRPr="00766956">
        <w:rPr>
          <w:rFonts w:ascii="Arial" w:hAnsi="Arial" w:cs="Arial"/>
          <w:i/>
          <w:iCs/>
          <w:sz w:val="16"/>
          <w:szCs w:val="16"/>
        </w:rPr>
        <w:t>P</w:t>
      </w:r>
      <w:r w:rsidRPr="00766956">
        <w:rPr>
          <w:rFonts w:ascii="Arial" w:hAnsi="Arial" w:cs="Arial"/>
          <w:i/>
          <w:iCs/>
          <w:sz w:val="16"/>
          <w:szCs w:val="16"/>
        </w:rPr>
        <w:t>ro forma submission to the Panel</w:t>
      </w:r>
      <w:r w:rsidRPr="00766956">
        <w:rPr>
          <w:rFonts w:ascii="Arial" w:hAnsi="Arial" w:cs="Arial"/>
          <w:sz w:val="16"/>
          <w:szCs w:val="16"/>
        </w:rPr>
        <w:t>, 13 December 2024.</w:t>
      </w:r>
    </w:p>
  </w:footnote>
  <w:footnote w:id="15">
    <w:p w14:paraId="4E825585" w14:textId="77777777" w:rsidR="00DD7B5F" w:rsidRPr="007C4FDF" w:rsidRDefault="00DD7B5F" w:rsidP="00DD7B5F">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21 February 2024, p.2.</w:t>
      </w:r>
    </w:p>
  </w:footnote>
  <w:footnote w:id="16">
    <w:p w14:paraId="7D70656C" w14:textId="13974EBE" w:rsidR="00021765" w:rsidRPr="00680CBA" w:rsidRDefault="00021765">
      <w:pPr>
        <w:pStyle w:val="FootnoteText"/>
        <w:rPr>
          <w:rFonts w:ascii="Arial" w:hAnsi="Arial" w:cs="Arial"/>
          <w:sz w:val="16"/>
          <w:szCs w:val="16"/>
        </w:rPr>
      </w:pPr>
      <w:r w:rsidRPr="00680CBA">
        <w:rPr>
          <w:rStyle w:val="FootnoteReference"/>
          <w:rFonts w:ascii="Arial" w:hAnsi="Arial" w:cs="Arial"/>
          <w:sz w:val="16"/>
          <w:szCs w:val="16"/>
        </w:rPr>
        <w:footnoteRef/>
      </w:r>
      <w:r w:rsidRPr="00680CBA">
        <w:rPr>
          <w:rFonts w:ascii="Arial" w:hAnsi="Arial" w:cs="Arial"/>
          <w:sz w:val="16"/>
          <w:szCs w:val="16"/>
        </w:rPr>
        <w:t xml:space="preserve"> DHI, </w:t>
      </w:r>
      <w:r w:rsidR="00680CBA" w:rsidRPr="00766956">
        <w:rPr>
          <w:rFonts w:ascii="Arial" w:hAnsi="Arial" w:cs="Arial"/>
          <w:i/>
          <w:iCs/>
          <w:sz w:val="16"/>
          <w:szCs w:val="16"/>
        </w:rPr>
        <w:t>Representations letter to the Council</w:t>
      </w:r>
      <w:r w:rsidR="00680CBA" w:rsidRPr="00680CBA">
        <w:rPr>
          <w:rFonts w:ascii="Arial" w:hAnsi="Arial" w:cs="Arial"/>
          <w:sz w:val="16"/>
          <w:szCs w:val="16"/>
        </w:rPr>
        <w:t>, 25 November 2024.</w:t>
      </w:r>
    </w:p>
  </w:footnote>
  <w:footnote w:id="17">
    <w:p w14:paraId="1717E778" w14:textId="0DEE9A35" w:rsidR="001E5EE2" w:rsidRPr="00F9138F" w:rsidRDefault="001E5EE2">
      <w:pPr>
        <w:pStyle w:val="FootnoteText"/>
        <w:rPr>
          <w:rFonts w:ascii="Arial" w:hAnsi="Arial" w:cs="Arial"/>
          <w:sz w:val="16"/>
          <w:szCs w:val="16"/>
        </w:rPr>
      </w:pPr>
      <w:r w:rsidRPr="00F9138F">
        <w:rPr>
          <w:rStyle w:val="FootnoteReference"/>
          <w:rFonts w:ascii="Arial" w:hAnsi="Arial" w:cs="Arial"/>
          <w:sz w:val="16"/>
          <w:szCs w:val="16"/>
        </w:rPr>
        <w:footnoteRef/>
      </w:r>
      <w:r w:rsidRPr="00F9138F">
        <w:rPr>
          <w:rFonts w:ascii="Arial" w:hAnsi="Arial" w:cs="Arial"/>
          <w:sz w:val="16"/>
          <w:szCs w:val="16"/>
        </w:rPr>
        <w:t xml:space="preserve"> B&amp;NES Council, </w:t>
      </w:r>
      <w:r w:rsidRPr="00766956">
        <w:rPr>
          <w:rFonts w:ascii="Arial" w:hAnsi="Arial" w:cs="Arial"/>
          <w:i/>
          <w:iCs/>
          <w:sz w:val="16"/>
          <w:szCs w:val="16"/>
        </w:rPr>
        <w:t>Further Decision letter</w:t>
      </w:r>
      <w:r w:rsidR="00F9138F" w:rsidRPr="00F9138F">
        <w:rPr>
          <w:rFonts w:ascii="Arial" w:hAnsi="Arial" w:cs="Arial"/>
          <w:sz w:val="16"/>
          <w:szCs w:val="16"/>
        </w:rPr>
        <w:t>, 9 December 2024.</w:t>
      </w:r>
    </w:p>
  </w:footnote>
  <w:footnote w:id="18">
    <w:p w14:paraId="2574B73C" w14:textId="77777777" w:rsidR="00CC6373" w:rsidRPr="00D50194" w:rsidRDefault="00CC6373" w:rsidP="00CC6373">
      <w:pPr>
        <w:pStyle w:val="FootnoteText"/>
        <w:rPr>
          <w:rFonts w:ascii="Arial" w:hAnsi="Arial" w:cs="Arial"/>
          <w:sz w:val="16"/>
          <w:szCs w:val="16"/>
        </w:rPr>
      </w:pPr>
      <w:r w:rsidRPr="00D50194">
        <w:rPr>
          <w:rStyle w:val="FootnoteReference"/>
          <w:rFonts w:ascii="Arial" w:hAnsi="Arial" w:cs="Arial"/>
          <w:sz w:val="16"/>
          <w:szCs w:val="16"/>
        </w:rPr>
        <w:footnoteRef/>
      </w:r>
      <w:r w:rsidRPr="00D50194">
        <w:rPr>
          <w:rFonts w:ascii="Arial" w:hAnsi="Arial" w:cs="Arial"/>
          <w:sz w:val="16"/>
          <w:szCs w:val="16"/>
        </w:rPr>
        <w:t xml:space="preserve"> B&amp;NES Council, </w:t>
      </w:r>
      <w:r w:rsidRPr="00766956">
        <w:rPr>
          <w:rFonts w:ascii="Arial" w:hAnsi="Arial" w:cs="Arial"/>
          <w:i/>
          <w:iCs/>
          <w:sz w:val="16"/>
          <w:szCs w:val="16"/>
        </w:rPr>
        <w:t>Stage 2 Invitation to Tender Volume 1 (Guidance Document)</w:t>
      </w:r>
      <w:r w:rsidRPr="00D50194">
        <w:rPr>
          <w:rFonts w:ascii="Arial" w:hAnsi="Arial" w:cs="Arial"/>
          <w:sz w:val="16"/>
          <w:szCs w:val="16"/>
        </w:rPr>
        <w:t>, 6 September 2024.</w:t>
      </w:r>
    </w:p>
  </w:footnote>
  <w:footnote w:id="19">
    <w:p w14:paraId="2D0A60AF" w14:textId="77777777" w:rsidR="0076672E" w:rsidRPr="009B2D21" w:rsidRDefault="0076672E" w:rsidP="0076672E">
      <w:pPr>
        <w:pStyle w:val="FootnoteText"/>
        <w:rPr>
          <w:rFonts w:ascii="Arial" w:hAnsi="Arial" w:cs="Arial"/>
          <w:sz w:val="16"/>
          <w:szCs w:val="16"/>
        </w:rPr>
      </w:pPr>
      <w:r w:rsidRPr="009B2D21">
        <w:rPr>
          <w:rStyle w:val="FootnoteReference"/>
          <w:rFonts w:ascii="Arial" w:hAnsi="Arial" w:cs="Arial"/>
          <w:sz w:val="16"/>
          <w:szCs w:val="16"/>
        </w:rPr>
        <w:footnoteRef/>
      </w:r>
      <w:r w:rsidRPr="009B2D21">
        <w:rPr>
          <w:rFonts w:ascii="Arial" w:hAnsi="Arial" w:cs="Arial"/>
          <w:sz w:val="16"/>
          <w:szCs w:val="16"/>
        </w:rPr>
        <w:t xml:space="preserve"> B&amp;NES Council, </w:t>
      </w:r>
      <w:r w:rsidRPr="00766956">
        <w:rPr>
          <w:rFonts w:ascii="Arial" w:hAnsi="Arial" w:cs="Arial"/>
          <w:i/>
          <w:iCs/>
          <w:sz w:val="16"/>
          <w:szCs w:val="16"/>
        </w:rPr>
        <w:t>Stage 2 Volume 1 Appendix 4 D&amp;A Scoring Methodology</w:t>
      </w:r>
      <w:r>
        <w:rPr>
          <w:rFonts w:ascii="Arial" w:hAnsi="Arial" w:cs="Arial"/>
          <w:sz w:val="16"/>
          <w:szCs w:val="16"/>
        </w:rPr>
        <w:t xml:space="preserve">, </w:t>
      </w:r>
      <w:r w:rsidRPr="009B2D21">
        <w:rPr>
          <w:rFonts w:ascii="Arial" w:hAnsi="Arial" w:cs="Arial"/>
          <w:sz w:val="16"/>
          <w:szCs w:val="16"/>
        </w:rPr>
        <w:t>6 September 2024</w:t>
      </w:r>
      <w:r>
        <w:rPr>
          <w:rFonts w:ascii="Arial" w:hAnsi="Arial" w:cs="Arial"/>
          <w:sz w:val="16"/>
          <w:szCs w:val="16"/>
        </w:rPr>
        <w:t>.</w:t>
      </w:r>
    </w:p>
  </w:footnote>
  <w:footnote w:id="20">
    <w:p w14:paraId="4A42FCAE" w14:textId="30EF3C59" w:rsidR="003D0D86" w:rsidRPr="00EF0422" w:rsidRDefault="003D0D86">
      <w:pPr>
        <w:pStyle w:val="FootnoteText"/>
        <w:rPr>
          <w:rFonts w:ascii="Arial" w:hAnsi="Arial" w:cs="Arial"/>
          <w:sz w:val="16"/>
          <w:szCs w:val="16"/>
        </w:rPr>
      </w:pPr>
      <w:r w:rsidRPr="00EF0422">
        <w:rPr>
          <w:rStyle w:val="FootnoteReference"/>
          <w:rFonts w:ascii="Arial" w:hAnsi="Arial" w:cs="Arial"/>
          <w:sz w:val="16"/>
          <w:szCs w:val="16"/>
        </w:rPr>
        <w:footnoteRef/>
      </w:r>
      <w:r w:rsidRPr="00EF0422">
        <w:rPr>
          <w:rFonts w:ascii="Arial" w:hAnsi="Arial" w:cs="Arial"/>
          <w:sz w:val="16"/>
          <w:szCs w:val="16"/>
        </w:rPr>
        <w:t xml:space="preserve"> </w:t>
      </w:r>
      <w:r w:rsidR="00B06CCF" w:rsidRPr="00766956">
        <w:rPr>
          <w:rFonts w:ascii="Arial" w:hAnsi="Arial" w:cs="Arial"/>
          <w:sz w:val="16"/>
          <w:szCs w:val="16"/>
        </w:rPr>
        <w:t xml:space="preserve">Setting out this calculation in more detail, </w:t>
      </w:r>
      <w:r w:rsidR="00BE0A24" w:rsidRPr="00766956">
        <w:rPr>
          <w:rFonts w:ascii="Arial" w:hAnsi="Arial" w:cs="Arial"/>
          <w:sz w:val="16"/>
          <w:szCs w:val="16"/>
        </w:rPr>
        <w:t xml:space="preserve">for sub-criteria (a) </w:t>
      </w:r>
      <w:r w:rsidR="00B06CCF" w:rsidRPr="00766956">
        <w:rPr>
          <w:rFonts w:ascii="Arial" w:hAnsi="Arial" w:cs="Arial"/>
          <w:sz w:val="16"/>
          <w:szCs w:val="16"/>
        </w:rPr>
        <w:t xml:space="preserve">a </w:t>
      </w:r>
      <w:r w:rsidR="007866F4" w:rsidRPr="00766956">
        <w:rPr>
          <w:rFonts w:ascii="Arial" w:hAnsi="Arial" w:cs="Arial"/>
          <w:sz w:val="16"/>
          <w:szCs w:val="16"/>
        </w:rPr>
        <w:t xml:space="preserve">score of </w:t>
      </w:r>
      <w:r w:rsidR="00184006">
        <w:rPr>
          <w:rFonts w:ascii="Arial" w:hAnsi="Arial" w:cs="Arial"/>
          <w:sz w:val="16"/>
          <w:szCs w:val="16"/>
        </w:rPr>
        <w:t>3</w:t>
      </w:r>
      <w:r w:rsidR="00BE6431" w:rsidRPr="00766956">
        <w:rPr>
          <w:rFonts w:ascii="Arial" w:hAnsi="Arial" w:cs="Arial"/>
          <w:sz w:val="16"/>
          <w:szCs w:val="16"/>
        </w:rPr>
        <w:t>/</w:t>
      </w:r>
      <w:r w:rsidR="007866F4" w:rsidRPr="00766956">
        <w:rPr>
          <w:rFonts w:ascii="Arial" w:hAnsi="Arial" w:cs="Arial"/>
          <w:sz w:val="16"/>
          <w:szCs w:val="16"/>
        </w:rPr>
        <w:t xml:space="preserve">5 </w:t>
      </w:r>
      <w:r w:rsidR="00BE6431" w:rsidRPr="00766956">
        <w:rPr>
          <w:rFonts w:ascii="Arial" w:hAnsi="Arial" w:cs="Arial"/>
          <w:sz w:val="16"/>
          <w:szCs w:val="16"/>
        </w:rPr>
        <w:t xml:space="preserve">is the equivalent of </w:t>
      </w:r>
      <w:r w:rsidR="00184006">
        <w:rPr>
          <w:rFonts w:ascii="Arial" w:hAnsi="Arial" w:cs="Arial"/>
          <w:sz w:val="16"/>
          <w:szCs w:val="16"/>
        </w:rPr>
        <w:t>6</w:t>
      </w:r>
      <w:r w:rsidR="00BE6431" w:rsidRPr="00766956">
        <w:rPr>
          <w:rFonts w:ascii="Arial" w:hAnsi="Arial" w:cs="Arial"/>
          <w:sz w:val="16"/>
          <w:szCs w:val="16"/>
        </w:rPr>
        <w:t>/10</w:t>
      </w:r>
      <w:r w:rsidR="0094628E" w:rsidRPr="00766956">
        <w:rPr>
          <w:rFonts w:ascii="Arial" w:hAnsi="Arial" w:cs="Arial"/>
          <w:sz w:val="16"/>
          <w:szCs w:val="16"/>
        </w:rPr>
        <w:t xml:space="preserve"> (given the 10% weighting for the </w:t>
      </w:r>
      <w:r w:rsidR="00D549C4" w:rsidRPr="00766956">
        <w:rPr>
          <w:rFonts w:ascii="Arial" w:hAnsi="Arial" w:cs="Arial"/>
          <w:sz w:val="16"/>
          <w:szCs w:val="16"/>
        </w:rPr>
        <w:t>question)</w:t>
      </w:r>
      <w:r w:rsidR="007866F4" w:rsidRPr="00766956">
        <w:rPr>
          <w:rFonts w:ascii="Arial" w:hAnsi="Arial" w:cs="Arial"/>
          <w:sz w:val="16"/>
          <w:szCs w:val="16"/>
        </w:rPr>
        <w:t xml:space="preserve"> </w:t>
      </w:r>
      <w:r w:rsidR="007746D9">
        <w:rPr>
          <w:rFonts w:ascii="Arial" w:hAnsi="Arial" w:cs="Arial"/>
          <w:sz w:val="16"/>
          <w:szCs w:val="16"/>
        </w:rPr>
        <w:t xml:space="preserve">and </w:t>
      </w:r>
      <w:r w:rsidR="007866F4" w:rsidRPr="00766956">
        <w:rPr>
          <w:rFonts w:ascii="Arial" w:hAnsi="Arial" w:cs="Arial"/>
          <w:sz w:val="16"/>
          <w:szCs w:val="16"/>
        </w:rPr>
        <w:t>multipl</w:t>
      </w:r>
      <w:r w:rsidR="007746D9">
        <w:rPr>
          <w:rFonts w:ascii="Arial" w:hAnsi="Arial" w:cs="Arial"/>
          <w:sz w:val="16"/>
          <w:szCs w:val="16"/>
        </w:rPr>
        <w:t xml:space="preserve">ying this </w:t>
      </w:r>
      <w:r w:rsidR="007866F4" w:rsidRPr="00766956">
        <w:rPr>
          <w:rFonts w:ascii="Arial" w:hAnsi="Arial" w:cs="Arial"/>
          <w:sz w:val="16"/>
          <w:szCs w:val="16"/>
        </w:rPr>
        <w:t xml:space="preserve">by </w:t>
      </w:r>
      <w:r w:rsidR="007746D9">
        <w:rPr>
          <w:rFonts w:ascii="Arial" w:hAnsi="Arial" w:cs="Arial"/>
          <w:sz w:val="16"/>
          <w:szCs w:val="16"/>
        </w:rPr>
        <w:t xml:space="preserve">the sub-criteria </w:t>
      </w:r>
      <w:r w:rsidR="007866F4" w:rsidRPr="00766956">
        <w:rPr>
          <w:rFonts w:ascii="Arial" w:hAnsi="Arial" w:cs="Arial"/>
          <w:sz w:val="16"/>
          <w:szCs w:val="16"/>
        </w:rPr>
        <w:t xml:space="preserve">weighting of 33% gives a score </w:t>
      </w:r>
      <w:r w:rsidR="00D549C4" w:rsidRPr="00766956">
        <w:rPr>
          <w:rFonts w:ascii="Arial" w:hAnsi="Arial" w:cs="Arial"/>
          <w:sz w:val="16"/>
          <w:szCs w:val="16"/>
        </w:rPr>
        <w:t xml:space="preserve">for this sub-criteria answer </w:t>
      </w:r>
      <w:r w:rsidR="007866F4" w:rsidRPr="00766956">
        <w:rPr>
          <w:rFonts w:ascii="Arial" w:hAnsi="Arial" w:cs="Arial"/>
          <w:sz w:val="16"/>
          <w:szCs w:val="16"/>
        </w:rPr>
        <w:t>of 1</w:t>
      </w:r>
      <w:r w:rsidR="00CF5F14" w:rsidRPr="00766956">
        <w:rPr>
          <w:rFonts w:ascii="Arial" w:hAnsi="Arial" w:cs="Arial"/>
          <w:sz w:val="16"/>
          <w:szCs w:val="16"/>
        </w:rPr>
        <w:t>.</w:t>
      </w:r>
      <w:r w:rsidR="00184006">
        <w:rPr>
          <w:rFonts w:ascii="Arial" w:hAnsi="Arial" w:cs="Arial"/>
          <w:sz w:val="16"/>
          <w:szCs w:val="16"/>
        </w:rPr>
        <w:t>98</w:t>
      </w:r>
      <w:r w:rsidR="00EF0422" w:rsidRPr="00766956">
        <w:rPr>
          <w:rFonts w:ascii="Arial" w:hAnsi="Arial" w:cs="Arial"/>
          <w:sz w:val="16"/>
          <w:szCs w:val="16"/>
        </w:rPr>
        <w:t>%</w:t>
      </w:r>
      <w:r w:rsidR="00FE2F99" w:rsidRPr="00766956">
        <w:rPr>
          <w:rFonts w:ascii="Arial" w:hAnsi="Arial" w:cs="Arial"/>
          <w:sz w:val="16"/>
          <w:szCs w:val="16"/>
        </w:rPr>
        <w:t>.</w:t>
      </w:r>
      <w:r w:rsidR="00D41C66">
        <w:rPr>
          <w:rFonts w:ascii="Arial" w:hAnsi="Arial" w:cs="Arial"/>
          <w:sz w:val="16"/>
          <w:szCs w:val="16"/>
        </w:rPr>
        <w:t xml:space="preserve"> </w:t>
      </w:r>
      <w:r w:rsidR="00BE0A24" w:rsidRPr="00766956">
        <w:rPr>
          <w:rFonts w:ascii="Arial" w:hAnsi="Arial" w:cs="Arial"/>
          <w:sz w:val="16"/>
          <w:szCs w:val="16"/>
        </w:rPr>
        <w:t xml:space="preserve">Similarly, the scores </w:t>
      </w:r>
      <w:r w:rsidR="00CF5F14" w:rsidRPr="00766956">
        <w:rPr>
          <w:rFonts w:ascii="Arial" w:hAnsi="Arial" w:cs="Arial"/>
          <w:sz w:val="16"/>
          <w:szCs w:val="16"/>
        </w:rPr>
        <w:t>for</w:t>
      </w:r>
      <w:r w:rsidR="00BE0A24" w:rsidRPr="00766956">
        <w:rPr>
          <w:rFonts w:ascii="Arial" w:hAnsi="Arial" w:cs="Arial"/>
          <w:sz w:val="16"/>
          <w:szCs w:val="16"/>
        </w:rPr>
        <w:t xml:space="preserve"> sub-criteria (b) and (c) are </w:t>
      </w:r>
      <w:r w:rsidR="00184006">
        <w:rPr>
          <w:rFonts w:ascii="Arial" w:hAnsi="Arial" w:cs="Arial"/>
          <w:sz w:val="16"/>
          <w:szCs w:val="16"/>
        </w:rPr>
        <w:t>4</w:t>
      </w:r>
      <w:r w:rsidR="000D46B8">
        <w:rPr>
          <w:rFonts w:ascii="Arial" w:hAnsi="Arial" w:cs="Arial"/>
          <w:sz w:val="16"/>
          <w:szCs w:val="16"/>
        </w:rPr>
        <w:t xml:space="preserve">/10 </w:t>
      </w:r>
      <w:r w:rsidR="00184006">
        <w:rPr>
          <w:rFonts w:ascii="Arial" w:hAnsi="Arial" w:cs="Arial"/>
          <w:sz w:val="16"/>
          <w:szCs w:val="16"/>
        </w:rPr>
        <w:t>and 6/10 respectively</w:t>
      </w:r>
      <w:r w:rsidR="000D46B8">
        <w:rPr>
          <w:rFonts w:ascii="Arial" w:hAnsi="Arial" w:cs="Arial"/>
          <w:sz w:val="16"/>
          <w:szCs w:val="16"/>
        </w:rPr>
        <w:t xml:space="preserve">, which equates to </w:t>
      </w:r>
      <w:r w:rsidR="00BE0A24" w:rsidRPr="00766956">
        <w:rPr>
          <w:rFonts w:ascii="Arial" w:hAnsi="Arial" w:cs="Arial"/>
          <w:sz w:val="16"/>
          <w:szCs w:val="16"/>
        </w:rPr>
        <w:t>1</w:t>
      </w:r>
      <w:r w:rsidR="00F9693F" w:rsidRPr="00766956">
        <w:rPr>
          <w:rFonts w:ascii="Arial" w:hAnsi="Arial" w:cs="Arial"/>
          <w:sz w:val="16"/>
          <w:szCs w:val="16"/>
        </w:rPr>
        <w:t>.</w:t>
      </w:r>
      <w:r w:rsidR="00184006">
        <w:rPr>
          <w:rFonts w:ascii="Arial" w:hAnsi="Arial" w:cs="Arial"/>
          <w:sz w:val="16"/>
          <w:szCs w:val="16"/>
        </w:rPr>
        <w:t>32</w:t>
      </w:r>
      <w:r w:rsidR="00EF0422" w:rsidRPr="00766956">
        <w:rPr>
          <w:rFonts w:ascii="Arial" w:hAnsi="Arial" w:cs="Arial"/>
          <w:sz w:val="16"/>
          <w:szCs w:val="16"/>
        </w:rPr>
        <w:t>%</w:t>
      </w:r>
      <w:r w:rsidR="00BE0A24" w:rsidRPr="00766956">
        <w:rPr>
          <w:rFonts w:ascii="Arial" w:hAnsi="Arial" w:cs="Arial"/>
          <w:sz w:val="16"/>
          <w:szCs w:val="16"/>
        </w:rPr>
        <w:t xml:space="preserve"> and 2</w:t>
      </w:r>
      <w:r w:rsidR="00F9693F" w:rsidRPr="00766956">
        <w:rPr>
          <w:rFonts w:ascii="Arial" w:hAnsi="Arial" w:cs="Arial"/>
          <w:sz w:val="16"/>
          <w:szCs w:val="16"/>
        </w:rPr>
        <w:t>.</w:t>
      </w:r>
      <w:r w:rsidR="00BE0A24" w:rsidRPr="00766956">
        <w:rPr>
          <w:rFonts w:ascii="Arial" w:hAnsi="Arial" w:cs="Arial"/>
          <w:sz w:val="16"/>
          <w:szCs w:val="16"/>
        </w:rPr>
        <w:t>04</w:t>
      </w:r>
      <w:r w:rsidR="00EF0422" w:rsidRPr="00766956">
        <w:rPr>
          <w:rFonts w:ascii="Arial" w:hAnsi="Arial" w:cs="Arial"/>
          <w:sz w:val="16"/>
          <w:szCs w:val="16"/>
        </w:rPr>
        <w:t>%</w:t>
      </w:r>
      <w:r w:rsidR="001452DA">
        <w:rPr>
          <w:rFonts w:ascii="Arial" w:hAnsi="Arial" w:cs="Arial"/>
          <w:sz w:val="16"/>
          <w:szCs w:val="16"/>
        </w:rPr>
        <w:t xml:space="preserve"> </w:t>
      </w:r>
      <w:r w:rsidR="000D46B8">
        <w:rPr>
          <w:rFonts w:ascii="Arial" w:hAnsi="Arial" w:cs="Arial"/>
          <w:sz w:val="16"/>
          <w:szCs w:val="16"/>
        </w:rPr>
        <w:t>w</w:t>
      </w:r>
      <w:r w:rsidR="00882612">
        <w:rPr>
          <w:rFonts w:ascii="Arial" w:hAnsi="Arial" w:cs="Arial"/>
          <w:sz w:val="16"/>
          <w:szCs w:val="16"/>
        </w:rPr>
        <w:t>hen applying the sub-criteria weighting</w:t>
      </w:r>
      <w:r w:rsidR="008B398C">
        <w:rPr>
          <w:rFonts w:ascii="Arial" w:hAnsi="Arial" w:cs="Arial"/>
          <w:sz w:val="16"/>
          <w:szCs w:val="16"/>
        </w:rPr>
        <w:t>s</w:t>
      </w:r>
      <w:r w:rsidR="00BE0A24" w:rsidRPr="00766956">
        <w:rPr>
          <w:rFonts w:ascii="Arial" w:hAnsi="Arial" w:cs="Arial"/>
          <w:sz w:val="16"/>
          <w:szCs w:val="16"/>
        </w:rPr>
        <w:t>. Adding the</w:t>
      </w:r>
      <w:r w:rsidR="00882612">
        <w:rPr>
          <w:rFonts w:ascii="Arial" w:hAnsi="Arial" w:cs="Arial"/>
          <w:sz w:val="16"/>
          <w:szCs w:val="16"/>
        </w:rPr>
        <w:t xml:space="preserve"> three sub-criteria scores</w:t>
      </w:r>
      <w:r w:rsidR="00BE0A24" w:rsidRPr="00766956">
        <w:rPr>
          <w:rFonts w:ascii="Arial" w:hAnsi="Arial" w:cs="Arial"/>
          <w:sz w:val="16"/>
          <w:szCs w:val="16"/>
        </w:rPr>
        <w:t xml:space="preserve"> together </w:t>
      </w:r>
      <w:r w:rsidR="00037B69" w:rsidRPr="00766956">
        <w:rPr>
          <w:rFonts w:ascii="Arial" w:hAnsi="Arial" w:cs="Arial"/>
          <w:sz w:val="16"/>
          <w:szCs w:val="16"/>
        </w:rPr>
        <w:t xml:space="preserve">gives </w:t>
      </w:r>
      <w:r w:rsidR="00882612">
        <w:rPr>
          <w:rFonts w:ascii="Arial" w:hAnsi="Arial" w:cs="Arial"/>
          <w:sz w:val="16"/>
          <w:szCs w:val="16"/>
        </w:rPr>
        <w:t xml:space="preserve">an </w:t>
      </w:r>
      <w:r w:rsidR="00037B69" w:rsidRPr="00766956">
        <w:rPr>
          <w:rFonts w:ascii="Arial" w:hAnsi="Arial" w:cs="Arial"/>
          <w:sz w:val="16"/>
          <w:szCs w:val="16"/>
        </w:rPr>
        <w:t>overall score of 5.34%</w:t>
      </w:r>
      <w:r w:rsidR="00882612" w:rsidRPr="00882612">
        <w:rPr>
          <w:rFonts w:ascii="Arial" w:hAnsi="Arial" w:cs="Arial"/>
          <w:sz w:val="16"/>
          <w:szCs w:val="16"/>
        </w:rPr>
        <w:t xml:space="preserve"> </w:t>
      </w:r>
      <w:r w:rsidR="00882612" w:rsidRPr="003F1F10">
        <w:rPr>
          <w:rFonts w:ascii="Arial" w:hAnsi="Arial" w:cs="Arial"/>
          <w:sz w:val="16"/>
          <w:szCs w:val="16"/>
        </w:rPr>
        <w:t xml:space="preserve">for the </w:t>
      </w:r>
      <w:r w:rsidR="00882612">
        <w:rPr>
          <w:rFonts w:ascii="Arial" w:hAnsi="Arial" w:cs="Arial"/>
          <w:sz w:val="16"/>
          <w:szCs w:val="16"/>
        </w:rPr>
        <w:t>answer to Q</w:t>
      </w:r>
      <w:r w:rsidR="00882612" w:rsidRPr="003F1F10">
        <w:rPr>
          <w:rFonts w:ascii="Arial" w:hAnsi="Arial" w:cs="Arial"/>
          <w:sz w:val="16"/>
          <w:szCs w:val="16"/>
        </w:rPr>
        <w:t xml:space="preserve">uestion </w:t>
      </w:r>
      <w:r w:rsidR="00882612">
        <w:rPr>
          <w:rFonts w:ascii="Arial" w:hAnsi="Arial" w:cs="Arial"/>
          <w:sz w:val="16"/>
          <w:szCs w:val="16"/>
        </w:rPr>
        <w:t>2</w:t>
      </w:r>
      <w:r w:rsidR="00037B69" w:rsidRPr="00766956">
        <w:rPr>
          <w:rFonts w:ascii="Arial" w:hAnsi="Arial" w:cs="Arial"/>
          <w:sz w:val="16"/>
          <w:szCs w:val="16"/>
        </w:rPr>
        <w:t>.</w:t>
      </w:r>
    </w:p>
  </w:footnote>
  <w:footnote w:id="21">
    <w:p w14:paraId="27F43620" w14:textId="77777777" w:rsidR="00296A1E" w:rsidRPr="002A71F2" w:rsidRDefault="00296A1E" w:rsidP="00296A1E">
      <w:pPr>
        <w:pStyle w:val="FootnoteText"/>
        <w:rPr>
          <w:rFonts w:ascii="Arial" w:hAnsi="Arial" w:cs="Arial"/>
          <w:sz w:val="16"/>
          <w:szCs w:val="16"/>
        </w:rPr>
      </w:pPr>
      <w:r w:rsidRPr="002A71F2">
        <w:rPr>
          <w:rStyle w:val="FootnoteReference"/>
          <w:rFonts w:ascii="Arial" w:hAnsi="Arial" w:cs="Arial"/>
          <w:sz w:val="16"/>
          <w:szCs w:val="16"/>
        </w:rPr>
        <w:footnoteRef/>
      </w:r>
      <w:r w:rsidRPr="002A71F2">
        <w:rPr>
          <w:rFonts w:ascii="Arial" w:hAnsi="Arial" w:cs="Arial"/>
          <w:sz w:val="16"/>
          <w:szCs w:val="16"/>
        </w:rPr>
        <w:t xml:space="preserve"> B&amp;NES Council, </w:t>
      </w:r>
      <w:r w:rsidRPr="00766956">
        <w:rPr>
          <w:rFonts w:ascii="Arial" w:hAnsi="Arial" w:cs="Arial"/>
          <w:i/>
          <w:iCs/>
          <w:sz w:val="16"/>
          <w:szCs w:val="16"/>
        </w:rPr>
        <w:t>Stage 2 Invitation to Tender Volume 2 (Response Document)</w:t>
      </w:r>
      <w:r w:rsidRPr="002A71F2">
        <w:rPr>
          <w:rFonts w:ascii="Arial" w:hAnsi="Arial" w:cs="Arial"/>
          <w:sz w:val="16"/>
          <w:szCs w:val="16"/>
        </w:rPr>
        <w:t>, 6 September 2024.</w:t>
      </w:r>
    </w:p>
  </w:footnote>
  <w:footnote w:id="22">
    <w:p w14:paraId="55B64E34" w14:textId="77777777" w:rsidR="00F45125" w:rsidRPr="00523D66" w:rsidRDefault="00F45125" w:rsidP="00F45125">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Regulation 5 describes the social value key criteria as follows: “(e) social value, that is whether what is proposed might improve economic, social and environmental well-being in the geographical area relevant to a proposed contracting arrangement”.</w:t>
      </w:r>
    </w:p>
  </w:footnote>
  <w:footnote w:id="23">
    <w:p w14:paraId="0ED93B89" w14:textId="68B3E09C" w:rsidR="0086584F" w:rsidRPr="006422D6" w:rsidRDefault="0086584F">
      <w:pPr>
        <w:pStyle w:val="FootnoteText"/>
        <w:rPr>
          <w:rFonts w:ascii="Arial" w:hAnsi="Arial" w:cs="Arial"/>
          <w:sz w:val="16"/>
          <w:szCs w:val="16"/>
        </w:rPr>
      </w:pPr>
      <w:r w:rsidRPr="006422D6">
        <w:rPr>
          <w:rStyle w:val="FootnoteReference"/>
          <w:rFonts w:ascii="Arial" w:hAnsi="Arial" w:cs="Arial"/>
          <w:sz w:val="16"/>
          <w:szCs w:val="16"/>
        </w:rPr>
        <w:footnoteRef/>
      </w:r>
      <w:r w:rsidRPr="006422D6">
        <w:rPr>
          <w:rFonts w:ascii="Arial" w:hAnsi="Arial" w:cs="Arial"/>
          <w:sz w:val="16"/>
          <w:szCs w:val="16"/>
        </w:rPr>
        <w:t xml:space="preserve"> DHI, </w:t>
      </w:r>
      <w:r w:rsidRPr="00766956">
        <w:rPr>
          <w:rFonts w:ascii="Arial" w:hAnsi="Arial" w:cs="Arial"/>
          <w:i/>
          <w:iCs/>
          <w:sz w:val="16"/>
          <w:szCs w:val="16"/>
        </w:rPr>
        <w:t>Representations letter</w:t>
      </w:r>
      <w:r w:rsidR="00ED05CA" w:rsidRPr="00ED05CA">
        <w:rPr>
          <w:rFonts w:ascii="Arial" w:hAnsi="Arial" w:cs="Arial"/>
          <w:i/>
          <w:iCs/>
          <w:sz w:val="16"/>
          <w:szCs w:val="16"/>
        </w:rPr>
        <w:t xml:space="preserve"> </w:t>
      </w:r>
      <w:r w:rsidR="00ED05CA" w:rsidRPr="003F1F10">
        <w:rPr>
          <w:rFonts w:ascii="Arial" w:hAnsi="Arial" w:cs="Arial"/>
          <w:i/>
          <w:iCs/>
          <w:sz w:val="16"/>
          <w:szCs w:val="16"/>
        </w:rPr>
        <w:t>to the Council</w:t>
      </w:r>
      <w:r w:rsidRPr="006422D6">
        <w:rPr>
          <w:rFonts w:ascii="Arial" w:hAnsi="Arial" w:cs="Arial"/>
          <w:sz w:val="16"/>
          <w:szCs w:val="16"/>
        </w:rPr>
        <w:t>, 25 November 2024.</w:t>
      </w:r>
    </w:p>
  </w:footnote>
  <w:footnote w:id="24">
    <w:p w14:paraId="6A361B96" w14:textId="2FFF87B9" w:rsidR="00630536" w:rsidRPr="006422D6" w:rsidRDefault="00630536" w:rsidP="00630536">
      <w:pPr>
        <w:pStyle w:val="FootnoteText"/>
        <w:rPr>
          <w:rFonts w:ascii="Arial" w:hAnsi="Arial" w:cs="Arial"/>
          <w:sz w:val="16"/>
          <w:szCs w:val="16"/>
        </w:rPr>
      </w:pPr>
      <w:r w:rsidRPr="006422D6">
        <w:rPr>
          <w:rStyle w:val="FootnoteReference"/>
          <w:rFonts w:ascii="Arial" w:hAnsi="Arial" w:cs="Arial"/>
          <w:sz w:val="16"/>
          <w:szCs w:val="16"/>
        </w:rPr>
        <w:footnoteRef/>
      </w:r>
      <w:r w:rsidRPr="006422D6">
        <w:rPr>
          <w:rFonts w:ascii="Arial" w:hAnsi="Arial" w:cs="Arial"/>
          <w:sz w:val="16"/>
          <w:szCs w:val="16"/>
        </w:rPr>
        <w:t xml:space="preserve"> DHI, </w:t>
      </w:r>
      <w:r w:rsidRPr="00766956">
        <w:rPr>
          <w:rFonts w:ascii="Arial" w:hAnsi="Arial" w:cs="Arial"/>
          <w:i/>
          <w:iCs/>
          <w:sz w:val="16"/>
          <w:szCs w:val="16"/>
        </w:rPr>
        <w:t>Representations letter</w:t>
      </w:r>
      <w:r w:rsidR="00ED05CA" w:rsidRPr="00ED05CA">
        <w:rPr>
          <w:rFonts w:ascii="Arial" w:hAnsi="Arial" w:cs="Arial"/>
          <w:i/>
          <w:iCs/>
          <w:sz w:val="16"/>
          <w:szCs w:val="16"/>
        </w:rPr>
        <w:t xml:space="preserve"> </w:t>
      </w:r>
      <w:r w:rsidR="00ED05CA" w:rsidRPr="003F1F10">
        <w:rPr>
          <w:rFonts w:ascii="Arial" w:hAnsi="Arial" w:cs="Arial"/>
          <w:i/>
          <w:iCs/>
          <w:sz w:val="16"/>
          <w:szCs w:val="16"/>
        </w:rPr>
        <w:t>to the Council</w:t>
      </w:r>
      <w:r w:rsidRPr="006422D6">
        <w:rPr>
          <w:rFonts w:ascii="Arial" w:hAnsi="Arial" w:cs="Arial"/>
          <w:sz w:val="16"/>
          <w:szCs w:val="16"/>
        </w:rPr>
        <w:t>, 25 November 2024.</w:t>
      </w:r>
    </w:p>
  </w:footnote>
  <w:footnote w:id="25">
    <w:p w14:paraId="52A92F1C" w14:textId="08A9D3C8" w:rsidR="0086584F" w:rsidRPr="0086584F" w:rsidRDefault="0086584F">
      <w:pPr>
        <w:pStyle w:val="FootnoteText"/>
        <w:rPr>
          <w:rFonts w:ascii="Arial" w:hAnsi="Arial" w:cs="Arial"/>
          <w:sz w:val="16"/>
          <w:szCs w:val="16"/>
        </w:rPr>
      </w:pPr>
      <w:r w:rsidRPr="0086584F">
        <w:rPr>
          <w:rStyle w:val="FootnoteReference"/>
          <w:rFonts w:ascii="Arial" w:hAnsi="Arial" w:cs="Arial"/>
          <w:sz w:val="16"/>
          <w:szCs w:val="16"/>
        </w:rPr>
        <w:footnoteRef/>
      </w:r>
      <w:r w:rsidRPr="0086584F">
        <w:rPr>
          <w:rFonts w:ascii="Arial" w:hAnsi="Arial" w:cs="Arial"/>
          <w:sz w:val="16"/>
          <w:szCs w:val="16"/>
        </w:rPr>
        <w:t xml:space="preserve"> B&amp;NES Council, </w:t>
      </w:r>
      <w:r w:rsidRPr="00766956">
        <w:rPr>
          <w:rFonts w:ascii="Arial" w:hAnsi="Arial" w:cs="Arial"/>
          <w:i/>
          <w:iCs/>
          <w:sz w:val="16"/>
          <w:szCs w:val="16"/>
        </w:rPr>
        <w:t xml:space="preserve">Further </w:t>
      </w:r>
      <w:r w:rsidR="007F53BA">
        <w:rPr>
          <w:rFonts w:ascii="Arial" w:hAnsi="Arial" w:cs="Arial"/>
          <w:i/>
          <w:iCs/>
          <w:sz w:val="16"/>
          <w:szCs w:val="16"/>
        </w:rPr>
        <w:t>d</w:t>
      </w:r>
      <w:r w:rsidRPr="00766956">
        <w:rPr>
          <w:rFonts w:ascii="Arial" w:hAnsi="Arial" w:cs="Arial"/>
          <w:i/>
          <w:iCs/>
          <w:sz w:val="16"/>
          <w:szCs w:val="16"/>
        </w:rPr>
        <w:t>ecision letter</w:t>
      </w:r>
      <w:r w:rsidRPr="0086584F">
        <w:rPr>
          <w:rFonts w:ascii="Arial" w:hAnsi="Arial" w:cs="Arial"/>
          <w:sz w:val="16"/>
          <w:szCs w:val="16"/>
        </w:rPr>
        <w:t>, 9 December 2024.</w:t>
      </w:r>
    </w:p>
  </w:footnote>
  <w:footnote w:id="26">
    <w:p w14:paraId="0AE2BCE3" w14:textId="28BB3973" w:rsidR="00AE6CD4" w:rsidRPr="007D704A" w:rsidRDefault="00AE6CD4">
      <w:pPr>
        <w:pStyle w:val="FootnoteText"/>
        <w:rPr>
          <w:rFonts w:ascii="Arial" w:hAnsi="Arial" w:cs="Arial"/>
          <w:sz w:val="16"/>
          <w:szCs w:val="16"/>
        </w:rPr>
      </w:pPr>
      <w:r w:rsidRPr="007D704A">
        <w:rPr>
          <w:rStyle w:val="FootnoteReference"/>
          <w:rFonts w:ascii="Arial" w:hAnsi="Arial" w:cs="Arial"/>
          <w:sz w:val="16"/>
          <w:szCs w:val="16"/>
        </w:rPr>
        <w:footnoteRef/>
      </w:r>
      <w:r w:rsidRPr="007D704A">
        <w:rPr>
          <w:rFonts w:ascii="Arial" w:hAnsi="Arial" w:cs="Arial"/>
          <w:sz w:val="16"/>
          <w:szCs w:val="16"/>
        </w:rPr>
        <w:t xml:space="preserve"> B&amp;NES Council, </w:t>
      </w:r>
      <w:r w:rsidR="007B3C8F" w:rsidRPr="00F93BEF">
        <w:rPr>
          <w:rFonts w:ascii="Arial" w:hAnsi="Arial" w:cs="Arial"/>
          <w:i/>
          <w:iCs/>
          <w:sz w:val="16"/>
          <w:szCs w:val="16"/>
        </w:rPr>
        <w:t>Post SV Re-Eval.xlsx</w:t>
      </w:r>
      <w:r w:rsidR="00F93BEF">
        <w:rPr>
          <w:rFonts w:ascii="Arial" w:hAnsi="Arial" w:cs="Arial"/>
          <w:sz w:val="16"/>
          <w:szCs w:val="16"/>
        </w:rPr>
        <w:t>.</w:t>
      </w:r>
    </w:p>
  </w:footnote>
  <w:footnote w:id="27">
    <w:p w14:paraId="13F53DAE" w14:textId="2FF9A43B" w:rsidR="00B8647D" w:rsidRPr="003F1F10" w:rsidRDefault="00B8647D" w:rsidP="00B8647D">
      <w:pPr>
        <w:pStyle w:val="FootnoteText"/>
        <w:rPr>
          <w:rFonts w:ascii="Arial" w:hAnsi="Arial" w:cs="Arial"/>
          <w:sz w:val="16"/>
          <w:szCs w:val="16"/>
        </w:rPr>
      </w:pPr>
      <w:r w:rsidRPr="003F1F10">
        <w:rPr>
          <w:rStyle w:val="FootnoteReference"/>
          <w:rFonts w:ascii="Arial" w:hAnsi="Arial" w:cs="Arial"/>
          <w:sz w:val="16"/>
          <w:szCs w:val="16"/>
        </w:rPr>
        <w:footnoteRef/>
      </w:r>
      <w:r w:rsidRPr="003F1F10">
        <w:rPr>
          <w:rFonts w:ascii="Arial" w:hAnsi="Arial" w:cs="Arial"/>
          <w:sz w:val="16"/>
          <w:szCs w:val="16"/>
        </w:rPr>
        <w:t xml:space="preserve"> B&amp;NES Council, </w:t>
      </w:r>
      <w:r w:rsidR="003113C9">
        <w:rPr>
          <w:rFonts w:ascii="Arial" w:hAnsi="Arial" w:cs="Arial"/>
          <w:i/>
          <w:sz w:val="16"/>
          <w:szCs w:val="16"/>
        </w:rPr>
        <w:t>Review of Drug and Alcohol Community Service – under PSR Regulations Contract Reference: DN7</w:t>
      </w:r>
      <w:r w:rsidR="00611598">
        <w:rPr>
          <w:rFonts w:ascii="Arial" w:hAnsi="Arial" w:cs="Arial"/>
          <w:i/>
          <w:sz w:val="16"/>
          <w:szCs w:val="16"/>
        </w:rPr>
        <w:t>19522</w:t>
      </w:r>
      <w:r w:rsidRPr="003F1F10">
        <w:rPr>
          <w:rFonts w:ascii="Arial" w:hAnsi="Arial" w:cs="Arial"/>
          <w:sz w:val="16"/>
          <w:szCs w:val="16"/>
        </w:rPr>
        <w:t xml:space="preserve">, </w:t>
      </w:r>
      <w:r w:rsidR="00611598">
        <w:rPr>
          <w:rFonts w:ascii="Arial" w:hAnsi="Arial" w:cs="Arial"/>
          <w:sz w:val="16"/>
          <w:szCs w:val="16"/>
        </w:rPr>
        <w:t>6 December 2024</w:t>
      </w:r>
      <w:r w:rsidR="004731A1">
        <w:rPr>
          <w:rFonts w:ascii="Arial" w:hAnsi="Arial" w:cs="Arial"/>
          <w:sz w:val="16"/>
          <w:szCs w:val="16"/>
        </w:rPr>
        <w:t>.</w:t>
      </w:r>
    </w:p>
  </w:footnote>
  <w:footnote w:id="28">
    <w:p w14:paraId="424C0019" w14:textId="0D04C26E" w:rsidR="00B8647D" w:rsidRPr="003F1F10" w:rsidRDefault="00B8647D" w:rsidP="00B8647D">
      <w:pPr>
        <w:pStyle w:val="FootnoteText"/>
        <w:rPr>
          <w:rFonts w:ascii="Arial" w:hAnsi="Arial" w:cs="Arial"/>
          <w:sz w:val="16"/>
          <w:szCs w:val="16"/>
        </w:rPr>
      </w:pPr>
      <w:r w:rsidRPr="003F1F10">
        <w:rPr>
          <w:rStyle w:val="FootnoteReference"/>
          <w:rFonts w:ascii="Arial" w:hAnsi="Arial" w:cs="Arial"/>
          <w:sz w:val="16"/>
          <w:szCs w:val="16"/>
        </w:rPr>
        <w:footnoteRef/>
      </w:r>
      <w:r w:rsidRPr="003F1F10">
        <w:rPr>
          <w:rFonts w:ascii="Arial" w:hAnsi="Arial" w:cs="Arial"/>
          <w:sz w:val="16"/>
          <w:szCs w:val="16"/>
        </w:rPr>
        <w:t xml:space="preserve"> B&amp;NES Council</w:t>
      </w:r>
      <w:r w:rsidRPr="003F1F10">
        <w:rPr>
          <w:rFonts w:ascii="Arial" w:hAnsi="Arial" w:cs="Arial"/>
          <w:i/>
          <w:sz w:val="16"/>
          <w:szCs w:val="16"/>
        </w:rPr>
        <w:t>, Evaluation records</w:t>
      </w:r>
      <w:r w:rsidRPr="003F1F10">
        <w:rPr>
          <w:rFonts w:ascii="Arial" w:hAnsi="Arial" w:cs="Arial"/>
          <w:sz w:val="16"/>
          <w:szCs w:val="16"/>
        </w:rPr>
        <w:t xml:space="preserve">, </w:t>
      </w:r>
      <w:r w:rsidR="00E80196">
        <w:rPr>
          <w:rFonts w:ascii="Arial" w:hAnsi="Arial" w:cs="Arial"/>
          <w:sz w:val="16"/>
          <w:szCs w:val="16"/>
        </w:rPr>
        <w:t>November</w:t>
      </w:r>
      <w:r w:rsidRPr="003F1F10">
        <w:rPr>
          <w:rFonts w:ascii="Arial" w:hAnsi="Arial" w:cs="Arial"/>
          <w:sz w:val="16"/>
          <w:szCs w:val="16"/>
        </w:rPr>
        <w:t xml:space="preserve"> 2024.</w:t>
      </w:r>
    </w:p>
  </w:footnote>
  <w:footnote w:id="29">
    <w:p w14:paraId="78AC8849" w14:textId="77777777" w:rsidR="00B8647D" w:rsidRPr="00766956" w:rsidRDefault="00B8647D" w:rsidP="00B8647D">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B&amp;NES Council, </w:t>
      </w:r>
      <w:r w:rsidRPr="00766956">
        <w:rPr>
          <w:rFonts w:ascii="Arial" w:hAnsi="Arial" w:cs="Arial"/>
          <w:i/>
          <w:sz w:val="16"/>
          <w:szCs w:val="16"/>
        </w:rPr>
        <w:t>Appendix 4 D&amp;A Scoring Methodology</w:t>
      </w:r>
      <w:r w:rsidRPr="00766956">
        <w:rPr>
          <w:rFonts w:ascii="Arial" w:hAnsi="Arial" w:cs="Arial"/>
          <w:sz w:val="16"/>
          <w:szCs w:val="16"/>
        </w:rPr>
        <w:t xml:space="preserve">, </w:t>
      </w:r>
      <w:r>
        <w:rPr>
          <w:rFonts w:ascii="Arial" w:hAnsi="Arial" w:cs="Arial"/>
          <w:sz w:val="16"/>
          <w:szCs w:val="16"/>
        </w:rPr>
        <w:t>6 September 2024.</w:t>
      </w:r>
    </w:p>
  </w:footnote>
  <w:footnote w:id="30">
    <w:p w14:paraId="140F758D" w14:textId="76BDA4FD" w:rsidR="000E5CF7" w:rsidRPr="0048632C" w:rsidRDefault="000E5CF7">
      <w:pPr>
        <w:pStyle w:val="FootnoteText"/>
        <w:rPr>
          <w:rFonts w:ascii="Arial" w:hAnsi="Arial" w:cs="Arial"/>
          <w:sz w:val="16"/>
          <w:szCs w:val="16"/>
        </w:rPr>
      </w:pPr>
      <w:r w:rsidRPr="0048632C">
        <w:rPr>
          <w:rStyle w:val="FootnoteReference"/>
          <w:rFonts w:ascii="Arial" w:hAnsi="Arial" w:cs="Arial"/>
          <w:sz w:val="16"/>
          <w:szCs w:val="16"/>
        </w:rPr>
        <w:footnoteRef/>
      </w:r>
      <w:r w:rsidRPr="0048632C">
        <w:rPr>
          <w:rFonts w:ascii="Arial" w:hAnsi="Arial" w:cs="Arial"/>
          <w:sz w:val="16"/>
          <w:szCs w:val="16"/>
        </w:rPr>
        <w:t xml:space="preserve"> DHI, </w:t>
      </w:r>
      <w:r w:rsidRPr="00766956">
        <w:rPr>
          <w:rFonts w:ascii="Arial" w:hAnsi="Arial" w:cs="Arial"/>
          <w:i/>
          <w:iCs/>
          <w:sz w:val="16"/>
          <w:szCs w:val="16"/>
        </w:rPr>
        <w:t>Representations letter to the Council</w:t>
      </w:r>
      <w:r w:rsidRPr="0048632C">
        <w:rPr>
          <w:rFonts w:ascii="Arial" w:hAnsi="Arial" w:cs="Arial"/>
          <w:sz w:val="16"/>
          <w:szCs w:val="16"/>
        </w:rPr>
        <w:t>, 25 November 2024.</w:t>
      </w:r>
    </w:p>
  </w:footnote>
  <w:footnote w:id="31">
    <w:p w14:paraId="3897E322" w14:textId="762E5693" w:rsidR="008309EF" w:rsidRPr="008309EF" w:rsidRDefault="008309EF">
      <w:pPr>
        <w:pStyle w:val="FootnoteText"/>
        <w:rPr>
          <w:rFonts w:ascii="Arial" w:hAnsi="Arial" w:cs="Arial"/>
          <w:sz w:val="16"/>
          <w:szCs w:val="16"/>
        </w:rPr>
      </w:pPr>
      <w:r w:rsidRPr="008309EF">
        <w:rPr>
          <w:rStyle w:val="FootnoteReference"/>
          <w:rFonts w:ascii="Arial" w:hAnsi="Arial" w:cs="Arial"/>
          <w:sz w:val="16"/>
          <w:szCs w:val="16"/>
        </w:rPr>
        <w:footnoteRef/>
      </w:r>
      <w:r w:rsidRPr="008309EF">
        <w:rPr>
          <w:rFonts w:ascii="Arial" w:hAnsi="Arial" w:cs="Arial"/>
          <w:sz w:val="16"/>
          <w:szCs w:val="16"/>
        </w:rPr>
        <w:t xml:space="preserve"> B&amp;NES Council, </w:t>
      </w:r>
      <w:r w:rsidRPr="00766956">
        <w:rPr>
          <w:rFonts w:ascii="Arial" w:hAnsi="Arial" w:cs="Arial"/>
          <w:i/>
          <w:iCs/>
          <w:sz w:val="16"/>
          <w:szCs w:val="16"/>
        </w:rPr>
        <w:t xml:space="preserve">Further </w:t>
      </w:r>
      <w:r w:rsidR="007F53BA" w:rsidRPr="00766956">
        <w:rPr>
          <w:rFonts w:ascii="Arial" w:hAnsi="Arial" w:cs="Arial"/>
          <w:i/>
          <w:iCs/>
          <w:sz w:val="16"/>
          <w:szCs w:val="16"/>
        </w:rPr>
        <w:t>d</w:t>
      </w:r>
      <w:r w:rsidRPr="00766956">
        <w:rPr>
          <w:rFonts w:ascii="Arial" w:hAnsi="Arial" w:cs="Arial"/>
          <w:i/>
          <w:iCs/>
          <w:sz w:val="16"/>
          <w:szCs w:val="16"/>
        </w:rPr>
        <w:t>ecision letter</w:t>
      </w:r>
      <w:r w:rsidRPr="008309EF">
        <w:rPr>
          <w:rFonts w:ascii="Arial" w:hAnsi="Arial" w:cs="Arial"/>
          <w:sz w:val="16"/>
          <w:szCs w:val="16"/>
        </w:rPr>
        <w:t>, 9 December 2024.</w:t>
      </w:r>
    </w:p>
  </w:footnote>
  <w:footnote w:id="32">
    <w:p w14:paraId="323C3F62" w14:textId="5498F38A" w:rsidR="00F62432" w:rsidRPr="005050CB" w:rsidRDefault="00F62432">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B&amp;NES Council, </w:t>
      </w:r>
      <w:r w:rsidRPr="00AD7E09">
        <w:rPr>
          <w:rFonts w:ascii="Arial" w:hAnsi="Arial" w:cs="Arial"/>
          <w:i/>
          <w:sz w:val="16"/>
          <w:szCs w:val="16"/>
        </w:rPr>
        <w:t>Appendix 4</w:t>
      </w:r>
      <w:r w:rsidR="00AD7E09" w:rsidRPr="00AD7E09">
        <w:rPr>
          <w:rFonts w:ascii="Arial" w:hAnsi="Arial" w:cs="Arial"/>
          <w:i/>
          <w:iCs/>
          <w:sz w:val="16"/>
          <w:szCs w:val="16"/>
        </w:rPr>
        <w:t xml:space="preserve"> D&amp;A Scoring Methodology</w:t>
      </w:r>
      <w:r w:rsidR="00AD7E09" w:rsidRPr="00AD7E09">
        <w:rPr>
          <w:rFonts w:ascii="Arial" w:hAnsi="Arial" w:cs="Arial"/>
          <w:sz w:val="16"/>
          <w:szCs w:val="16"/>
        </w:rPr>
        <w:t>, 6 September 2024.</w:t>
      </w:r>
    </w:p>
  </w:footnote>
  <w:footnote w:id="33">
    <w:p w14:paraId="2BCEE659" w14:textId="3F2B849B" w:rsidR="006C37E0" w:rsidRPr="00523D66" w:rsidRDefault="006C37E0">
      <w:pPr>
        <w:pStyle w:val="FootnoteText"/>
        <w:rPr>
          <w:rFonts w:ascii="Arial" w:hAnsi="Arial" w:cs="Arial"/>
          <w:sz w:val="16"/>
          <w:szCs w:val="16"/>
        </w:rPr>
      </w:pPr>
      <w:r w:rsidRPr="005050CB">
        <w:rPr>
          <w:rStyle w:val="FootnoteReference"/>
          <w:rFonts w:ascii="Arial" w:hAnsi="Arial" w:cs="Arial"/>
          <w:sz w:val="16"/>
          <w:szCs w:val="16"/>
        </w:rPr>
        <w:footnoteRef/>
      </w:r>
      <w:r w:rsidRPr="005050CB">
        <w:rPr>
          <w:rFonts w:ascii="Arial" w:hAnsi="Arial" w:cs="Arial"/>
          <w:sz w:val="16"/>
          <w:szCs w:val="16"/>
        </w:rPr>
        <w:t xml:space="preserve"> DHI, </w:t>
      </w:r>
      <w:r w:rsidRPr="00766956">
        <w:rPr>
          <w:rFonts w:ascii="Arial" w:hAnsi="Arial" w:cs="Arial"/>
          <w:i/>
          <w:iCs/>
          <w:sz w:val="16"/>
          <w:szCs w:val="16"/>
        </w:rPr>
        <w:t>Representations letter</w:t>
      </w:r>
      <w:r w:rsidR="00893606">
        <w:rPr>
          <w:rFonts w:ascii="Arial" w:hAnsi="Arial" w:cs="Arial"/>
          <w:i/>
          <w:iCs/>
          <w:sz w:val="16"/>
          <w:szCs w:val="16"/>
        </w:rPr>
        <w:t xml:space="preserve"> to the Council</w:t>
      </w:r>
      <w:r w:rsidRPr="005050CB">
        <w:rPr>
          <w:rFonts w:ascii="Arial" w:hAnsi="Arial" w:cs="Arial"/>
          <w:sz w:val="16"/>
          <w:szCs w:val="16"/>
        </w:rPr>
        <w:t>, 25 November 2024.</w:t>
      </w:r>
    </w:p>
  </w:footnote>
  <w:footnote w:id="34">
    <w:p w14:paraId="722717DF" w14:textId="15BF8E6F" w:rsidR="00CB762D" w:rsidRPr="005050CB" w:rsidRDefault="00CB762D" w:rsidP="00CB762D">
      <w:pPr>
        <w:pStyle w:val="FootnoteText"/>
        <w:rPr>
          <w:rFonts w:ascii="Arial" w:hAnsi="Arial" w:cs="Arial"/>
          <w:sz w:val="16"/>
          <w:szCs w:val="16"/>
        </w:rPr>
      </w:pPr>
      <w:r w:rsidRPr="005050CB">
        <w:rPr>
          <w:rStyle w:val="FootnoteReference"/>
          <w:rFonts w:ascii="Arial" w:hAnsi="Arial" w:cs="Arial"/>
          <w:sz w:val="16"/>
          <w:szCs w:val="16"/>
        </w:rPr>
        <w:footnoteRef/>
      </w:r>
      <w:r w:rsidRPr="005050CB">
        <w:rPr>
          <w:rFonts w:ascii="Arial" w:hAnsi="Arial" w:cs="Arial"/>
          <w:sz w:val="16"/>
          <w:szCs w:val="16"/>
        </w:rPr>
        <w:t xml:space="preserve"> B&amp;NES Council, </w:t>
      </w:r>
      <w:r w:rsidRPr="00766956">
        <w:rPr>
          <w:rFonts w:ascii="Arial" w:hAnsi="Arial" w:cs="Arial"/>
          <w:i/>
          <w:iCs/>
          <w:sz w:val="16"/>
          <w:szCs w:val="16"/>
        </w:rPr>
        <w:t xml:space="preserve">Further </w:t>
      </w:r>
      <w:r w:rsidR="003A22D9">
        <w:rPr>
          <w:rFonts w:ascii="Arial" w:hAnsi="Arial" w:cs="Arial"/>
          <w:i/>
          <w:iCs/>
          <w:sz w:val="16"/>
          <w:szCs w:val="16"/>
        </w:rPr>
        <w:t>d</w:t>
      </w:r>
      <w:r w:rsidRPr="00766956">
        <w:rPr>
          <w:rFonts w:ascii="Arial" w:hAnsi="Arial" w:cs="Arial"/>
          <w:i/>
          <w:iCs/>
          <w:sz w:val="16"/>
          <w:szCs w:val="16"/>
        </w:rPr>
        <w:t>ecision letter</w:t>
      </w:r>
      <w:r w:rsidRPr="005050CB">
        <w:rPr>
          <w:rFonts w:ascii="Arial" w:hAnsi="Arial" w:cs="Arial"/>
          <w:sz w:val="16"/>
          <w:szCs w:val="16"/>
        </w:rPr>
        <w:t>, 9 December 2024.</w:t>
      </w:r>
    </w:p>
  </w:footnote>
  <w:footnote w:id="35">
    <w:p w14:paraId="6427C178" w14:textId="4C0A1227" w:rsidR="002C6C69" w:rsidRPr="00766956" w:rsidRDefault="002C6C69">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B&amp;NES</w:t>
      </w:r>
      <w:r w:rsidR="00A36A99">
        <w:rPr>
          <w:rFonts w:ascii="Arial" w:hAnsi="Arial" w:cs="Arial"/>
          <w:sz w:val="16"/>
          <w:szCs w:val="16"/>
        </w:rPr>
        <w:t xml:space="preserve"> Council</w:t>
      </w:r>
      <w:r w:rsidRPr="00766956">
        <w:rPr>
          <w:rFonts w:ascii="Arial" w:hAnsi="Arial" w:cs="Arial"/>
          <w:sz w:val="16"/>
          <w:szCs w:val="16"/>
        </w:rPr>
        <w:t xml:space="preserve">, </w:t>
      </w:r>
      <w:r w:rsidRPr="00766956">
        <w:rPr>
          <w:rFonts w:ascii="Arial" w:hAnsi="Arial" w:cs="Arial"/>
          <w:i/>
          <w:iCs/>
          <w:sz w:val="16"/>
          <w:szCs w:val="16"/>
        </w:rPr>
        <w:t>Response to Q9</w:t>
      </w:r>
      <w:r w:rsidRPr="00766956">
        <w:rPr>
          <w:rFonts w:ascii="Arial" w:hAnsi="Arial" w:cs="Arial"/>
          <w:sz w:val="16"/>
          <w:szCs w:val="16"/>
        </w:rPr>
        <w:t xml:space="preserve">, </w:t>
      </w:r>
      <w:r w:rsidR="00CC5692" w:rsidRPr="00766956">
        <w:rPr>
          <w:rFonts w:ascii="Arial" w:hAnsi="Arial" w:cs="Arial"/>
          <w:sz w:val="16"/>
          <w:szCs w:val="16"/>
        </w:rPr>
        <w:t xml:space="preserve">13 </w:t>
      </w:r>
      <w:r w:rsidRPr="00766956">
        <w:rPr>
          <w:rFonts w:ascii="Arial" w:hAnsi="Arial" w:cs="Arial"/>
          <w:sz w:val="16"/>
          <w:szCs w:val="16"/>
        </w:rPr>
        <w:t>January 2025</w:t>
      </w:r>
      <w:r w:rsidR="00CC5692">
        <w:rPr>
          <w:rFonts w:ascii="Arial" w:hAnsi="Arial" w:cs="Arial"/>
          <w:sz w:val="16"/>
          <w:szCs w:val="16"/>
        </w:rPr>
        <w:t>.</w:t>
      </w:r>
    </w:p>
  </w:footnote>
  <w:footnote w:id="36">
    <w:p w14:paraId="4363CB00" w14:textId="25F9CD90" w:rsidR="00002624" w:rsidRPr="00766956" w:rsidRDefault="00002624">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B&amp;NES</w:t>
      </w:r>
      <w:r w:rsidR="00A36A99">
        <w:rPr>
          <w:rFonts w:ascii="Arial" w:hAnsi="Arial" w:cs="Arial"/>
          <w:sz w:val="16"/>
          <w:szCs w:val="16"/>
        </w:rPr>
        <w:t xml:space="preserve"> Council</w:t>
      </w:r>
      <w:r w:rsidRPr="00766956">
        <w:rPr>
          <w:rFonts w:ascii="Arial" w:hAnsi="Arial" w:cs="Arial"/>
          <w:sz w:val="16"/>
          <w:szCs w:val="16"/>
        </w:rPr>
        <w:t xml:space="preserve">, </w:t>
      </w:r>
      <w:r w:rsidRPr="00766956">
        <w:rPr>
          <w:rFonts w:ascii="Arial" w:hAnsi="Arial" w:cs="Arial"/>
          <w:i/>
          <w:iCs/>
          <w:sz w:val="16"/>
          <w:szCs w:val="16"/>
        </w:rPr>
        <w:t>Scoring and Moderation Thoughts</w:t>
      </w:r>
      <w:r w:rsidRPr="00766956">
        <w:rPr>
          <w:rFonts w:ascii="Arial" w:hAnsi="Arial" w:cs="Arial"/>
          <w:sz w:val="16"/>
          <w:szCs w:val="16"/>
        </w:rPr>
        <w:t>, Guidance document for evaluators</w:t>
      </w:r>
      <w:r w:rsidR="001B2731" w:rsidRPr="00766956">
        <w:rPr>
          <w:rFonts w:ascii="Arial" w:hAnsi="Arial" w:cs="Arial"/>
          <w:sz w:val="16"/>
          <w:szCs w:val="16"/>
        </w:rPr>
        <w:t>, undated.</w:t>
      </w:r>
    </w:p>
  </w:footnote>
  <w:footnote w:id="37">
    <w:p w14:paraId="76D290CE" w14:textId="68F6A1FD" w:rsidR="00952ABD" w:rsidRPr="00766956" w:rsidRDefault="00952ABD">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w:t>
      </w:r>
      <w:r w:rsidR="00226EAE">
        <w:rPr>
          <w:rFonts w:ascii="Arial" w:hAnsi="Arial" w:cs="Arial"/>
          <w:sz w:val="16"/>
          <w:szCs w:val="16"/>
        </w:rPr>
        <w:t>M</w:t>
      </w:r>
      <w:r w:rsidR="00D9210D" w:rsidRPr="00766956">
        <w:rPr>
          <w:rFonts w:ascii="Arial" w:hAnsi="Arial" w:cs="Arial"/>
          <w:sz w:val="16"/>
          <w:szCs w:val="16"/>
        </w:rPr>
        <w:t>eeting between the Panel and B&amp;NES</w:t>
      </w:r>
      <w:r w:rsidR="00CC5832">
        <w:rPr>
          <w:rFonts w:ascii="Arial" w:hAnsi="Arial" w:cs="Arial"/>
          <w:sz w:val="16"/>
          <w:szCs w:val="16"/>
        </w:rPr>
        <w:t xml:space="preserve"> Council</w:t>
      </w:r>
      <w:r w:rsidR="00D9210D" w:rsidRPr="00766956">
        <w:rPr>
          <w:rFonts w:ascii="Arial" w:hAnsi="Arial" w:cs="Arial"/>
          <w:sz w:val="16"/>
          <w:szCs w:val="16"/>
        </w:rPr>
        <w:t xml:space="preserve">, </w:t>
      </w:r>
      <w:r w:rsidR="00434D44" w:rsidRPr="00766956">
        <w:rPr>
          <w:rFonts w:ascii="Arial" w:hAnsi="Arial" w:cs="Arial"/>
          <w:sz w:val="16"/>
          <w:szCs w:val="16"/>
        </w:rPr>
        <w:t>21 January 2025.</w:t>
      </w:r>
    </w:p>
  </w:footnote>
  <w:footnote w:id="38">
    <w:p w14:paraId="64E5D62E" w14:textId="79AB36A4" w:rsidR="000E5CF7" w:rsidRPr="00494036" w:rsidRDefault="000E5CF7" w:rsidP="000E5CF7">
      <w:pPr>
        <w:pStyle w:val="FootnoteText"/>
        <w:rPr>
          <w:rFonts w:ascii="Arial" w:hAnsi="Arial" w:cs="Arial"/>
          <w:sz w:val="16"/>
          <w:szCs w:val="16"/>
        </w:rPr>
      </w:pPr>
      <w:r w:rsidRPr="00494036">
        <w:rPr>
          <w:rStyle w:val="FootnoteReference"/>
          <w:rFonts w:ascii="Arial" w:hAnsi="Arial" w:cs="Arial"/>
          <w:sz w:val="16"/>
          <w:szCs w:val="16"/>
        </w:rPr>
        <w:footnoteRef/>
      </w:r>
      <w:r w:rsidRPr="00494036">
        <w:rPr>
          <w:rFonts w:ascii="Arial" w:hAnsi="Arial" w:cs="Arial"/>
          <w:sz w:val="16"/>
          <w:szCs w:val="16"/>
        </w:rPr>
        <w:t xml:space="preserve"> DHI, </w:t>
      </w:r>
      <w:r w:rsidRPr="00766956">
        <w:rPr>
          <w:rFonts w:ascii="Arial" w:hAnsi="Arial" w:cs="Arial"/>
          <w:i/>
          <w:iCs/>
          <w:sz w:val="16"/>
          <w:szCs w:val="16"/>
        </w:rPr>
        <w:t>Representations letter</w:t>
      </w:r>
      <w:r w:rsidR="00893606">
        <w:rPr>
          <w:rFonts w:ascii="Arial" w:hAnsi="Arial" w:cs="Arial"/>
          <w:i/>
          <w:iCs/>
          <w:sz w:val="16"/>
          <w:szCs w:val="16"/>
        </w:rPr>
        <w:t xml:space="preserve"> to the Council</w:t>
      </w:r>
      <w:r w:rsidRPr="00494036">
        <w:rPr>
          <w:rFonts w:ascii="Arial" w:hAnsi="Arial" w:cs="Arial"/>
          <w:sz w:val="16"/>
          <w:szCs w:val="16"/>
        </w:rPr>
        <w:t>, 25 November 2024.</w:t>
      </w:r>
    </w:p>
  </w:footnote>
  <w:footnote w:id="39">
    <w:p w14:paraId="0A59180E" w14:textId="70C7E92D" w:rsidR="00B326F4" w:rsidRPr="0048632C" w:rsidRDefault="00B326F4" w:rsidP="009D0602">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w:t>
      </w:r>
      <w:r w:rsidR="00226EAE" w:rsidRPr="00226EAE">
        <w:rPr>
          <w:rFonts w:ascii="Arial" w:hAnsi="Arial" w:cs="Arial"/>
          <w:sz w:val="16"/>
          <w:szCs w:val="16"/>
        </w:rPr>
        <w:t>Meeting between the Panel and B&amp;NES Council, 21 January 2025</w:t>
      </w:r>
      <w:r w:rsidRPr="00766956">
        <w:rPr>
          <w:rFonts w:ascii="Arial" w:hAnsi="Arial" w:cs="Arial"/>
          <w:sz w:val="16"/>
          <w:szCs w:val="16"/>
        </w:rPr>
        <w:t>.</w:t>
      </w:r>
    </w:p>
  </w:footnote>
  <w:footnote w:id="40">
    <w:p w14:paraId="713E82C2" w14:textId="5CA8596D" w:rsidR="0029193D" w:rsidRPr="00FC4D21" w:rsidRDefault="0029193D" w:rsidP="009D0602">
      <w:pPr>
        <w:pStyle w:val="FootnoteText"/>
        <w:rPr>
          <w:rFonts w:ascii="Arial" w:hAnsi="Arial" w:cs="Arial"/>
          <w:sz w:val="16"/>
          <w:szCs w:val="16"/>
        </w:rPr>
      </w:pPr>
      <w:r w:rsidRPr="00FC4D21">
        <w:rPr>
          <w:rStyle w:val="FootnoteReference"/>
          <w:rFonts w:ascii="Arial" w:hAnsi="Arial" w:cs="Arial"/>
          <w:sz w:val="16"/>
          <w:szCs w:val="16"/>
        </w:rPr>
        <w:footnoteRef/>
      </w:r>
      <w:r w:rsidRPr="00FC4D21">
        <w:rPr>
          <w:rFonts w:ascii="Arial" w:hAnsi="Arial" w:cs="Arial"/>
          <w:sz w:val="16"/>
          <w:szCs w:val="16"/>
        </w:rPr>
        <w:t xml:space="preserve"> </w:t>
      </w:r>
      <w:r w:rsidR="004731A1" w:rsidRPr="003F1F10">
        <w:rPr>
          <w:rFonts w:ascii="Arial" w:hAnsi="Arial" w:cs="Arial"/>
          <w:sz w:val="16"/>
          <w:szCs w:val="16"/>
        </w:rPr>
        <w:t xml:space="preserve">B&amp;NES Council, </w:t>
      </w:r>
      <w:r w:rsidR="004731A1">
        <w:rPr>
          <w:rFonts w:ascii="Arial" w:hAnsi="Arial" w:cs="Arial"/>
          <w:i/>
          <w:sz w:val="16"/>
          <w:szCs w:val="16"/>
        </w:rPr>
        <w:t>Review of Drug and Alcohol Community Service – under PSR Regulations Contract Reference: DN719522</w:t>
      </w:r>
      <w:r w:rsidR="004731A1" w:rsidRPr="003F1F10">
        <w:rPr>
          <w:rFonts w:ascii="Arial" w:hAnsi="Arial" w:cs="Arial"/>
          <w:sz w:val="16"/>
          <w:szCs w:val="16"/>
        </w:rPr>
        <w:t xml:space="preserve">, </w:t>
      </w:r>
      <w:r w:rsidR="004731A1">
        <w:rPr>
          <w:rFonts w:ascii="Arial" w:hAnsi="Arial" w:cs="Arial"/>
          <w:sz w:val="16"/>
          <w:szCs w:val="16"/>
        </w:rPr>
        <w:t>6 December 2024.</w:t>
      </w:r>
    </w:p>
  </w:footnote>
  <w:footnote w:id="41">
    <w:p w14:paraId="74BAD370" w14:textId="40494DAC" w:rsidR="000E5CF7" w:rsidRPr="00FC4D21" w:rsidRDefault="000E5CF7" w:rsidP="009D0602">
      <w:pPr>
        <w:pStyle w:val="FootnoteText"/>
        <w:rPr>
          <w:rFonts w:ascii="Arial" w:hAnsi="Arial" w:cs="Arial"/>
          <w:sz w:val="16"/>
          <w:szCs w:val="16"/>
        </w:rPr>
      </w:pPr>
      <w:r w:rsidRPr="00FC4D21">
        <w:rPr>
          <w:rStyle w:val="FootnoteReference"/>
          <w:rFonts w:ascii="Arial" w:hAnsi="Arial" w:cs="Arial"/>
          <w:sz w:val="16"/>
          <w:szCs w:val="16"/>
        </w:rPr>
        <w:footnoteRef/>
      </w:r>
      <w:r w:rsidRPr="00FC4D21">
        <w:rPr>
          <w:rFonts w:ascii="Arial" w:hAnsi="Arial" w:cs="Arial"/>
          <w:sz w:val="16"/>
          <w:szCs w:val="16"/>
        </w:rPr>
        <w:t xml:space="preserve"> B&amp;NES Council, </w:t>
      </w:r>
      <w:r w:rsidR="00881F93" w:rsidRPr="00766956">
        <w:rPr>
          <w:rFonts w:ascii="Arial" w:hAnsi="Arial" w:cs="Arial"/>
          <w:i/>
          <w:iCs/>
          <w:sz w:val="16"/>
          <w:szCs w:val="16"/>
        </w:rPr>
        <w:t>Drug and Alcohol Service Evaluation Panel Members</w:t>
      </w:r>
      <w:r w:rsidR="00881F93">
        <w:rPr>
          <w:rFonts w:ascii="Arial" w:hAnsi="Arial" w:cs="Arial"/>
          <w:sz w:val="16"/>
          <w:szCs w:val="16"/>
        </w:rPr>
        <w:t>, undated.</w:t>
      </w:r>
    </w:p>
  </w:footnote>
  <w:footnote w:id="42">
    <w:p w14:paraId="0F3D1650" w14:textId="41D4440A" w:rsidR="00FC3BFC" w:rsidRPr="00523D66" w:rsidRDefault="00FC3BFC" w:rsidP="009D0602">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sidR="00BB1DEF" w:rsidRPr="00226EAE">
        <w:rPr>
          <w:rFonts w:ascii="Arial" w:hAnsi="Arial" w:cs="Arial"/>
          <w:sz w:val="16"/>
          <w:szCs w:val="16"/>
        </w:rPr>
        <w:t>Meeting between the Panel and B&amp;NES Council, 21 January 2025</w:t>
      </w:r>
      <w:r w:rsidR="00BB1DEF" w:rsidRPr="003F1F10">
        <w:rPr>
          <w:rFonts w:ascii="Arial" w:hAnsi="Arial" w:cs="Arial"/>
          <w:sz w:val="16"/>
          <w:szCs w:val="16"/>
        </w:rPr>
        <w:t>.</w:t>
      </w:r>
    </w:p>
  </w:footnote>
  <w:footnote w:id="43">
    <w:p w14:paraId="5B5CF0E1" w14:textId="0C1FD22F" w:rsidR="008109D5" w:rsidRPr="00117179" w:rsidRDefault="008109D5" w:rsidP="009D0602">
      <w:pPr>
        <w:pStyle w:val="FootnoteText"/>
        <w:rPr>
          <w:rFonts w:ascii="Arial" w:hAnsi="Arial" w:cs="Arial"/>
          <w:sz w:val="16"/>
          <w:szCs w:val="16"/>
        </w:rPr>
      </w:pPr>
      <w:r w:rsidRPr="00117179">
        <w:rPr>
          <w:rStyle w:val="FootnoteReference"/>
          <w:rFonts w:ascii="Arial" w:hAnsi="Arial" w:cs="Arial"/>
          <w:sz w:val="16"/>
          <w:szCs w:val="16"/>
        </w:rPr>
        <w:footnoteRef/>
      </w:r>
      <w:r w:rsidRPr="00117179">
        <w:rPr>
          <w:rFonts w:ascii="Arial" w:hAnsi="Arial" w:cs="Arial"/>
          <w:sz w:val="16"/>
          <w:szCs w:val="16"/>
        </w:rPr>
        <w:t xml:space="preserve"> </w:t>
      </w:r>
      <w:r w:rsidR="00117179" w:rsidRPr="00117179">
        <w:rPr>
          <w:rFonts w:ascii="Arial" w:hAnsi="Arial" w:cs="Arial"/>
          <w:sz w:val="16"/>
          <w:szCs w:val="16"/>
        </w:rPr>
        <w:t xml:space="preserve">B&amp;NES Council, </w:t>
      </w:r>
      <w:r w:rsidR="00117179" w:rsidRPr="00117179">
        <w:rPr>
          <w:rFonts w:ascii="Arial" w:hAnsi="Arial" w:cs="Arial"/>
          <w:i/>
          <w:iCs/>
          <w:sz w:val="16"/>
          <w:szCs w:val="16"/>
        </w:rPr>
        <w:t>Response to putback</w:t>
      </w:r>
      <w:r w:rsidR="00117179" w:rsidRPr="00117179">
        <w:rPr>
          <w:rFonts w:ascii="Arial" w:hAnsi="Arial" w:cs="Arial"/>
          <w:sz w:val="16"/>
          <w:szCs w:val="16"/>
        </w:rPr>
        <w:t>, 4 February 2025.</w:t>
      </w:r>
    </w:p>
  </w:footnote>
  <w:footnote w:id="44">
    <w:p w14:paraId="00A10C11" w14:textId="4886A4FA" w:rsidR="00431256" w:rsidRPr="00766956" w:rsidRDefault="00431256" w:rsidP="009D0602">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PSR Regulation 11(2) states that “Step 1 is that the relevant authority determines the contract or framework award criteria, taking into account the key criteria and applying the basic selection criteria”.</w:t>
      </w:r>
    </w:p>
  </w:footnote>
  <w:footnote w:id="45">
    <w:p w14:paraId="782674BB" w14:textId="59F5FAC0" w:rsidR="004563E5" w:rsidRPr="00494036" w:rsidRDefault="004563E5" w:rsidP="009D0602">
      <w:pPr>
        <w:pStyle w:val="FootnoteText"/>
        <w:rPr>
          <w:rFonts w:ascii="Arial" w:hAnsi="Arial" w:cs="Arial"/>
          <w:sz w:val="16"/>
          <w:szCs w:val="16"/>
        </w:rPr>
      </w:pPr>
      <w:r w:rsidRPr="00494036">
        <w:rPr>
          <w:rStyle w:val="FootnoteReference"/>
          <w:rFonts w:ascii="Arial" w:hAnsi="Arial" w:cs="Arial"/>
          <w:sz w:val="16"/>
          <w:szCs w:val="16"/>
        </w:rPr>
        <w:footnoteRef/>
      </w:r>
      <w:r w:rsidRPr="00494036">
        <w:rPr>
          <w:rFonts w:ascii="Arial" w:hAnsi="Arial" w:cs="Arial"/>
          <w:sz w:val="16"/>
          <w:szCs w:val="16"/>
        </w:rPr>
        <w:t xml:space="preserve"> DHI, </w:t>
      </w:r>
      <w:r w:rsidRPr="00766956">
        <w:rPr>
          <w:rFonts w:ascii="Arial" w:hAnsi="Arial" w:cs="Arial"/>
          <w:i/>
          <w:iCs/>
          <w:sz w:val="16"/>
          <w:szCs w:val="16"/>
        </w:rPr>
        <w:t>Representations letter</w:t>
      </w:r>
      <w:r w:rsidR="00893606" w:rsidRPr="00766956">
        <w:rPr>
          <w:rFonts w:ascii="Arial" w:hAnsi="Arial" w:cs="Arial"/>
          <w:i/>
          <w:iCs/>
          <w:sz w:val="16"/>
          <w:szCs w:val="16"/>
        </w:rPr>
        <w:t xml:space="preserve"> to the Council</w:t>
      </w:r>
      <w:r w:rsidRPr="00494036">
        <w:rPr>
          <w:rFonts w:ascii="Arial" w:hAnsi="Arial" w:cs="Arial"/>
          <w:sz w:val="16"/>
          <w:szCs w:val="16"/>
        </w:rPr>
        <w:t>, 25 November 2024.</w:t>
      </w:r>
    </w:p>
  </w:footnote>
  <w:footnote w:id="46">
    <w:p w14:paraId="2430B58F" w14:textId="77777777" w:rsidR="00061613" w:rsidRPr="00494036" w:rsidRDefault="00061613" w:rsidP="00061613">
      <w:pPr>
        <w:pStyle w:val="FootnoteText"/>
        <w:rPr>
          <w:rFonts w:ascii="Arial" w:hAnsi="Arial" w:cs="Arial"/>
          <w:sz w:val="16"/>
          <w:szCs w:val="16"/>
        </w:rPr>
      </w:pPr>
      <w:r w:rsidRPr="00494036">
        <w:rPr>
          <w:rStyle w:val="FootnoteReference"/>
          <w:rFonts w:ascii="Arial" w:hAnsi="Arial" w:cs="Arial"/>
          <w:sz w:val="16"/>
          <w:szCs w:val="16"/>
        </w:rPr>
        <w:footnoteRef/>
      </w:r>
      <w:r w:rsidRPr="00494036">
        <w:rPr>
          <w:rFonts w:ascii="Arial" w:hAnsi="Arial" w:cs="Arial"/>
          <w:sz w:val="16"/>
          <w:szCs w:val="16"/>
        </w:rPr>
        <w:t xml:space="preserve"> DHI, </w:t>
      </w:r>
      <w:r w:rsidRPr="00AB3344">
        <w:rPr>
          <w:rFonts w:ascii="Arial" w:hAnsi="Arial" w:cs="Arial"/>
          <w:i/>
          <w:iCs/>
          <w:sz w:val="16"/>
          <w:szCs w:val="16"/>
        </w:rPr>
        <w:t>Representations letter to the Council</w:t>
      </w:r>
      <w:r w:rsidRPr="00494036">
        <w:rPr>
          <w:rFonts w:ascii="Arial" w:hAnsi="Arial" w:cs="Arial"/>
          <w:sz w:val="16"/>
          <w:szCs w:val="16"/>
        </w:rPr>
        <w:t>, 25 November 2024.</w:t>
      </w:r>
    </w:p>
  </w:footnote>
  <w:footnote w:id="47">
    <w:p w14:paraId="763E836A" w14:textId="30DC8A66" w:rsidR="00322FF1" w:rsidRPr="00C9520F" w:rsidRDefault="00322FF1" w:rsidP="00322FF1">
      <w:pPr>
        <w:pStyle w:val="FootnoteText"/>
        <w:rPr>
          <w:rFonts w:ascii="Arial" w:hAnsi="Arial" w:cs="Arial"/>
          <w:sz w:val="16"/>
          <w:szCs w:val="16"/>
        </w:rPr>
      </w:pPr>
      <w:r w:rsidRPr="00532150">
        <w:rPr>
          <w:rStyle w:val="FootnoteReference"/>
          <w:rFonts w:ascii="Arial" w:hAnsi="Arial" w:cs="Arial"/>
          <w:sz w:val="16"/>
          <w:szCs w:val="16"/>
        </w:rPr>
        <w:footnoteRef/>
      </w:r>
      <w:r w:rsidRPr="00532150">
        <w:rPr>
          <w:rFonts w:ascii="Arial" w:hAnsi="Arial" w:cs="Arial"/>
          <w:sz w:val="16"/>
          <w:szCs w:val="16"/>
        </w:rPr>
        <w:t xml:space="preserve"> B&amp;NES Council, </w:t>
      </w:r>
      <w:r w:rsidR="00532150" w:rsidRPr="00532150">
        <w:rPr>
          <w:rFonts w:ascii="Arial" w:hAnsi="Arial" w:cs="Arial"/>
          <w:i/>
          <w:iCs/>
          <w:sz w:val="16"/>
          <w:szCs w:val="16"/>
        </w:rPr>
        <w:t>Further Decision</w:t>
      </w:r>
      <w:r w:rsidR="00532150" w:rsidRPr="00532150">
        <w:rPr>
          <w:rFonts w:ascii="Arial" w:hAnsi="Arial" w:cs="Arial"/>
          <w:sz w:val="16"/>
          <w:szCs w:val="16"/>
        </w:rPr>
        <w:t xml:space="preserve">, </w:t>
      </w:r>
      <w:r w:rsidRPr="00532150">
        <w:rPr>
          <w:rFonts w:ascii="Arial" w:hAnsi="Arial" w:cs="Arial"/>
          <w:sz w:val="16"/>
          <w:szCs w:val="16"/>
        </w:rPr>
        <w:t>9 December 2024.</w:t>
      </w:r>
    </w:p>
  </w:footnote>
  <w:footnote w:id="48">
    <w:p w14:paraId="4742058A" w14:textId="77777777" w:rsidR="007F1B51" w:rsidRPr="00583B58" w:rsidRDefault="007F1B51" w:rsidP="007F1B51">
      <w:pPr>
        <w:pStyle w:val="FootnoteText"/>
        <w:rPr>
          <w:rFonts w:ascii="Arial" w:hAnsi="Arial" w:cs="Arial"/>
          <w:sz w:val="16"/>
          <w:szCs w:val="16"/>
        </w:rPr>
      </w:pPr>
      <w:r w:rsidRPr="00583B58">
        <w:rPr>
          <w:rStyle w:val="FootnoteReference"/>
          <w:rFonts w:ascii="Arial" w:hAnsi="Arial" w:cs="Arial"/>
          <w:sz w:val="16"/>
          <w:szCs w:val="16"/>
        </w:rPr>
        <w:footnoteRef/>
      </w:r>
      <w:r w:rsidRPr="00583B58">
        <w:rPr>
          <w:rFonts w:ascii="Arial" w:hAnsi="Arial" w:cs="Arial"/>
          <w:sz w:val="16"/>
          <w:szCs w:val="16"/>
        </w:rPr>
        <w:t xml:space="preserve"> NHS England, </w:t>
      </w:r>
      <w:r w:rsidRPr="00583B58">
        <w:rPr>
          <w:rFonts w:ascii="Arial" w:hAnsi="Arial" w:cs="Arial"/>
          <w:i/>
          <w:iCs/>
          <w:sz w:val="16"/>
          <w:szCs w:val="16"/>
        </w:rPr>
        <w:t>PSR Statutory Guidance</w:t>
      </w:r>
      <w:r w:rsidRPr="00583B58">
        <w:rPr>
          <w:rFonts w:ascii="Arial" w:hAnsi="Arial" w:cs="Arial"/>
          <w:sz w:val="16"/>
          <w:szCs w:val="16"/>
        </w:rPr>
        <w:t>, p.9.</w:t>
      </w:r>
    </w:p>
  </w:footnote>
  <w:footnote w:id="49">
    <w:p w14:paraId="77D1C9D2" w14:textId="375BA965" w:rsidR="00217AC6" w:rsidRPr="00523D66" w:rsidRDefault="00217AC6">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sidRPr="001855B4">
        <w:rPr>
          <w:rFonts w:ascii="Arial" w:hAnsi="Arial" w:cs="Arial"/>
          <w:sz w:val="16"/>
          <w:szCs w:val="16"/>
        </w:rPr>
        <w:t>DHI</w:t>
      </w:r>
      <w:r w:rsidR="00C96295" w:rsidRPr="001855B4">
        <w:rPr>
          <w:rFonts w:ascii="Arial" w:hAnsi="Arial" w:cs="Arial"/>
          <w:sz w:val="16"/>
          <w:szCs w:val="16"/>
        </w:rPr>
        <w:t xml:space="preserve">, </w:t>
      </w:r>
      <w:r w:rsidR="00C96295" w:rsidRPr="00766956">
        <w:rPr>
          <w:rFonts w:ascii="Arial" w:hAnsi="Arial" w:cs="Arial"/>
          <w:i/>
          <w:iCs/>
          <w:sz w:val="16"/>
          <w:szCs w:val="16"/>
        </w:rPr>
        <w:t>Representations letter to the Council</w:t>
      </w:r>
      <w:r w:rsidR="00C96295" w:rsidRPr="001855B4">
        <w:rPr>
          <w:rFonts w:ascii="Arial" w:hAnsi="Arial" w:cs="Arial"/>
          <w:sz w:val="16"/>
          <w:szCs w:val="16"/>
        </w:rPr>
        <w:t>, 25 November 2024</w:t>
      </w:r>
      <w:r w:rsidR="00893606">
        <w:rPr>
          <w:rFonts w:ascii="Arial" w:hAnsi="Arial" w:cs="Arial"/>
          <w:sz w:val="16"/>
          <w:szCs w:val="16"/>
        </w:rPr>
        <w:t>.</w:t>
      </w:r>
    </w:p>
  </w:footnote>
  <w:footnote w:id="50">
    <w:p w14:paraId="542AD213" w14:textId="344572CF" w:rsidR="00166859" w:rsidRPr="00523D66" w:rsidRDefault="00166859">
      <w:pPr>
        <w:pStyle w:val="FootnoteText"/>
        <w:rPr>
          <w:rFonts w:ascii="Arial" w:hAnsi="Arial" w:cs="Arial"/>
          <w:sz w:val="16"/>
          <w:szCs w:val="16"/>
        </w:rPr>
      </w:pPr>
      <w:r w:rsidRPr="00D255E3">
        <w:rPr>
          <w:rStyle w:val="FootnoteReference"/>
          <w:rFonts w:ascii="Arial" w:hAnsi="Arial" w:cs="Arial"/>
          <w:sz w:val="16"/>
          <w:szCs w:val="16"/>
        </w:rPr>
        <w:footnoteRef/>
      </w:r>
      <w:r w:rsidRPr="00D255E3">
        <w:rPr>
          <w:rFonts w:ascii="Arial" w:hAnsi="Arial" w:cs="Arial"/>
          <w:sz w:val="16"/>
          <w:szCs w:val="16"/>
        </w:rPr>
        <w:t xml:space="preserve"> B&amp;NES</w:t>
      </w:r>
      <w:r w:rsidR="00A36A99" w:rsidRPr="00D255E3">
        <w:rPr>
          <w:rFonts w:ascii="Arial" w:hAnsi="Arial" w:cs="Arial"/>
          <w:sz w:val="16"/>
          <w:szCs w:val="16"/>
        </w:rPr>
        <w:t xml:space="preserve"> Council</w:t>
      </w:r>
      <w:r w:rsidRPr="00D255E3">
        <w:rPr>
          <w:rFonts w:ascii="Arial" w:hAnsi="Arial" w:cs="Arial"/>
          <w:sz w:val="16"/>
          <w:szCs w:val="16"/>
        </w:rPr>
        <w:t>, Further Decision, 9 December 2024.</w:t>
      </w:r>
    </w:p>
  </w:footnote>
  <w:footnote w:id="51">
    <w:p w14:paraId="080C119D" w14:textId="77777777" w:rsidR="00B8449B" w:rsidRPr="001855B4" w:rsidRDefault="00B8449B" w:rsidP="00B8449B">
      <w:pPr>
        <w:pStyle w:val="FootnoteText"/>
        <w:rPr>
          <w:rFonts w:ascii="Arial" w:hAnsi="Arial" w:cs="Arial"/>
          <w:sz w:val="16"/>
          <w:szCs w:val="16"/>
        </w:rPr>
      </w:pPr>
      <w:r w:rsidRPr="009D6DBA">
        <w:rPr>
          <w:rStyle w:val="FootnoteReference"/>
          <w:rFonts w:ascii="Arial" w:hAnsi="Arial" w:cs="Arial"/>
          <w:sz w:val="16"/>
          <w:szCs w:val="16"/>
        </w:rPr>
        <w:footnoteRef/>
      </w:r>
      <w:r w:rsidRPr="009D6DBA">
        <w:rPr>
          <w:rFonts w:ascii="Arial" w:hAnsi="Arial" w:cs="Arial"/>
          <w:sz w:val="16"/>
          <w:szCs w:val="16"/>
        </w:rPr>
        <w:t xml:space="preserve"> DHI, </w:t>
      </w:r>
      <w:r w:rsidRPr="009D6DBA">
        <w:rPr>
          <w:rFonts w:ascii="Arial" w:hAnsi="Arial" w:cs="Arial"/>
          <w:i/>
          <w:iCs/>
          <w:sz w:val="16"/>
          <w:szCs w:val="16"/>
        </w:rPr>
        <w:t>Information Sheet to the Panel</w:t>
      </w:r>
      <w:r w:rsidRPr="009D6DBA">
        <w:rPr>
          <w:rFonts w:ascii="Arial" w:hAnsi="Arial" w:cs="Arial"/>
          <w:sz w:val="16"/>
          <w:szCs w:val="16"/>
        </w:rPr>
        <w:t>, 13 January 2025.</w:t>
      </w:r>
    </w:p>
  </w:footnote>
  <w:footnote w:id="52">
    <w:p w14:paraId="7DF04739" w14:textId="0CDC66D3" w:rsidR="00B8449B" w:rsidRPr="00523D66" w:rsidRDefault="00B8449B">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sidR="00FE23EE" w:rsidRPr="00226EAE">
        <w:rPr>
          <w:rFonts w:ascii="Arial" w:hAnsi="Arial" w:cs="Arial"/>
          <w:sz w:val="16"/>
          <w:szCs w:val="16"/>
        </w:rPr>
        <w:t xml:space="preserve">Meeting between the Panel and </w:t>
      </w:r>
      <w:r w:rsidR="00FE23EE">
        <w:rPr>
          <w:rFonts w:ascii="Arial" w:hAnsi="Arial" w:cs="Arial"/>
          <w:sz w:val="16"/>
          <w:szCs w:val="16"/>
        </w:rPr>
        <w:t>DHI</w:t>
      </w:r>
      <w:r w:rsidR="00FE23EE" w:rsidRPr="00226EAE">
        <w:rPr>
          <w:rFonts w:ascii="Arial" w:hAnsi="Arial" w:cs="Arial"/>
          <w:sz w:val="16"/>
          <w:szCs w:val="16"/>
        </w:rPr>
        <w:t>, 21 January 2025</w:t>
      </w:r>
      <w:r w:rsidR="00FE23EE" w:rsidRPr="003F1F10">
        <w:rPr>
          <w:rFonts w:ascii="Arial" w:hAnsi="Arial" w:cs="Arial"/>
          <w:sz w:val="16"/>
          <w:szCs w:val="16"/>
        </w:rPr>
        <w:t>.</w:t>
      </w:r>
    </w:p>
  </w:footnote>
  <w:footnote w:id="53">
    <w:p w14:paraId="7672194D" w14:textId="77777777" w:rsidR="005C22D5" w:rsidRPr="001855B4" w:rsidRDefault="005C22D5" w:rsidP="005C22D5">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sidRPr="001855B4">
        <w:rPr>
          <w:rFonts w:ascii="Arial" w:hAnsi="Arial" w:cs="Arial"/>
          <w:sz w:val="16"/>
          <w:szCs w:val="16"/>
        </w:rPr>
        <w:t xml:space="preserve">DHI, </w:t>
      </w:r>
      <w:r w:rsidRPr="00766956">
        <w:rPr>
          <w:rFonts w:ascii="Arial" w:hAnsi="Arial" w:cs="Arial"/>
          <w:i/>
          <w:iCs/>
          <w:sz w:val="16"/>
          <w:szCs w:val="16"/>
        </w:rPr>
        <w:t>Representations letter to the Council</w:t>
      </w:r>
      <w:r w:rsidRPr="001855B4">
        <w:rPr>
          <w:rFonts w:ascii="Arial" w:hAnsi="Arial" w:cs="Arial"/>
          <w:sz w:val="16"/>
          <w:szCs w:val="16"/>
        </w:rPr>
        <w:t>, 25 November 2024.</w:t>
      </w:r>
    </w:p>
  </w:footnote>
  <w:footnote w:id="54">
    <w:p w14:paraId="0804BB85" w14:textId="784FE80E" w:rsidR="00A974D0" w:rsidRPr="00523D66" w:rsidRDefault="00A974D0">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sidR="000459EF">
        <w:rPr>
          <w:rFonts w:ascii="Arial" w:hAnsi="Arial" w:cs="Arial"/>
          <w:sz w:val="16"/>
          <w:szCs w:val="16"/>
        </w:rPr>
        <w:t xml:space="preserve">PSR </w:t>
      </w:r>
      <w:r w:rsidR="0000226E">
        <w:rPr>
          <w:rFonts w:ascii="Arial" w:hAnsi="Arial" w:cs="Arial"/>
          <w:sz w:val="16"/>
          <w:szCs w:val="16"/>
        </w:rPr>
        <w:t xml:space="preserve">Regulation </w:t>
      </w:r>
      <w:r w:rsidR="000459EF">
        <w:rPr>
          <w:rFonts w:ascii="Arial" w:hAnsi="Arial" w:cs="Arial"/>
          <w:sz w:val="16"/>
          <w:szCs w:val="16"/>
        </w:rPr>
        <w:t>5(c)</w:t>
      </w:r>
      <w:r w:rsidRPr="00523D66">
        <w:rPr>
          <w:rFonts w:ascii="Arial" w:hAnsi="Arial" w:cs="Arial"/>
          <w:sz w:val="16"/>
          <w:szCs w:val="16"/>
        </w:rPr>
        <w:t>.</w:t>
      </w:r>
    </w:p>
  </w:footnote>
  <w:footnote w:id="55">
    <w:p w14:paraId="36645791" w14:textId="529F939D" w:rsidR="00BF79F6" w:rsidRPr="00864496" w:rsidRDefault="00BF79F6" w:rsidP="00BF79F6">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w:t>
      </w:r>
      <w:r w:rsidR="00ED438C" w:rsidRPr="00ED438C">
        <w:rPr>
          <w:rFonts w:ascii="Arial" w:hAnsi="Arial" w:cs="Arial"/>
          <w:sz w:val="16"/>
          <w:szCs w:val="16"/>
        </w:rPr>
        <w:t xml:space="preserve">NHS England, </w:t>
      </w:r>
      <w:r w:rsidRPr="00766956">
        <w:rPr>
          <w:rFonts w:ascii="Arial" w:hAnsi="Arial" w:cs="Arial"/>
          <w:i/>
          <w:iCs/>
          <w:sz w:val="16"/>
          <w:szCs w:val="16"/>
        </w:rPr>
        <w:t>PSR Statutory Guidance</w:t>
      </w:r>
      <w:r w:rsidRPr="00766956">
        <w:rPr>
          <w:rFonts w:ascii="Arial" w:hAnsi="Arial" w:cs="Arial"/>
          <w:sz w:val="16"/>
          <w:szCs w:val="16"/>
        </w:rPr>
        <w:t>, Annex D</w:t>
      </w:r>
      <w:r w:rsidR="00A75560">
        <w:rPr>
          <w:rFonts w:ascii="Arial" w:hAnsi="Arial" w:cs="Arial"/>
          <w:sz w:val="16"/>
          <w:szCs w:val="16"/>
        </w:rPr>
        <w:t>, p.55</w:t>
      </w:r>
      <w:r w:rsidR="00864496" w:rsidRPr="00766956">
        <w:rPr>
          <w:rFonts w:ascii="Arial" w:hAnsi="Arial" w:cs="Arial"/>
          <w:sz w:val="16"/>
          <w:szCs w:val="16"/>
        </w:rPr>
        <w:t>.</w:t>
      </w:r>
    </w:p>
  </w:footnote>
  <w:footnote w:id="56">
    <w:p w14:paraId="4AC5DE92" w14:textId="499F973A" w:rsidR="00785039" w:rsidRPr="00766956" w:rsidRDefault="00785039">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w:t>
      </w:r>
      <w:r w:rsidR="00BC2A7C">
        <w:rPr>
          <w:rFonts w:ascii="Arial" w:hAnsi="Arial" w:cs="Arial"/>
          <w:sz w:val="16"/>
          <w:szCs w:val="16"/>
        </w:rPr>
        <w:t xml:space="preserve">NHS England, </w:t>
      </w:r>
      <w:r w:rsidRPr="00BC2A7C">
        <w:rPr>
          <w:rFonts w:ascii="Arial" w:hAnsi="Arial" w:cs="Arial"/>
          <w:i/>
          <w:iCs/>
          <w:sz w:val="16"/>
          <w:szCs w:val="16"/>
        </w:rPr>
        <w:t>PSR Statutory Guidance</w:t>
      </w:r>
      <w:r w:rsidRPr="00766956">
        <w:rPr>
          <w:rFonts w:ascii="Arial" w:hAnsi="Arial" w:cs="Arial"/>
          <w:sz w:val="16"/>
          <w:szCs w:val="16"/>
        </w:rPr>
        <w:t>, Annex D, p.55.</w:t>
      </w:r>
    </w:p>
  </w:footnote>
  <w:footnote w:id="57">
    <w:p w14:paraId="573AB979" w14:textId="77777777" w:rsidR="005B22B0" w:rsidRPr="00523D66" w:rsidRDefault="005B22B0" w:rsidP="005B22B0">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w:t>
      </w:r>
      <w:r>
        <w:rPr>
          <w:rFonts w:ascii="Arial" w:hAnsi="Arial" w:cs="Arial"/>
          <w:sz w:val="16"/>
          <w:szCs w:val="16"/>
        </w:rPr>
        <w:t>B&amp;NES</w:t>
      </w:r>
      <w:r w:rsidRPr="00523D66">
        <w:rPr>
          <w:rFonts w:ascii="Arial" w:hAnsi="Arial" w:cs="Arial"/>
          <w:sz w:val="16"/>
          <w:szCs w:val="16"/>
        </w:rPr>
        <w:t xml:space="preserve"> Council, </w:t>
      </w:r>
      <w:r w:rsidRPr="00D6752D">
        <w:rPr>
          <w:rFonts w:ascii="Arial" w:hAnsi="Arial" w:cs="Arial"/>
          <w:i/>
          <w:iCs/>
          <w:sz w:val="16"/>
          <w:szCs w:val="16"/>
        </w:rPr>
        <w:t>Outline Business Case Substance Abuse</w:t>
      </w:r>
      <w:r w:rsidRPr="00523D66">
        <w:rPr>
          <w:rFonts w:ascii="Arial" w:hAnsi="Arial" w:cs="Arial"/>
          <w:sz w:val="16"/>
          <w:szCs w:val="16"/>
        </w:rPr>
        <w:t>, November 2023, p.9.</w:t>
      </w:r>
    </w:p>
  </w:footnote>
  <w:footnote w:id="58">
    <w:p w14:paraId="3AD07EE6" w14:textId="77777777" w:rsidR="00A71C70" w:rsidRPr="003F1F10" w:rsidRDefault="00A71C70" w:rsidP="00A71C70">
      <w:pPr>
        <w:pStyle w:val="FootnoteText"/>
        <w:rPr>
          <w:rFonts w:ascii="Arial" w:hAnsi="Arial" w:cs="Arial"/>
          <w:sz w:val="16"/>
          <w:szCs w:val="16"/>
        </w:rPr>
      </w:pPr>
      <w:r w:rsidRPr="003F1F10">
        <w:rPr>
          <w:rStyle w:val="FootnoteReference"/>
          <w:rFonts w:ascii="Arial" w:hAnsi="Arial" w:cs="Arial"/>
          <w:sz w:val="16"/>
          <w:szCs w:val="16"/>
        </w:rPr>
        <w:footnoteRef/>
      </w:r>
      <w:r w:rsidRPr="003F1F10">
        <w:rPr>
          <w:rFonts w:ascii="Arial" w:hAnsi="Arial" w:cs="Arial"/>
          <w:sz w:val="16"/>
          <w:szCs w:val="16"/>
        </w:rPr>
        <w:t xml:space="preserve"> </w:t>
      </w:r>
      <w:r w:rsidRPr="00B4213A">
        <w:rPr>
          <w:rFonts w:ascii="Arial" w:hAnsi="Arial" w:cs="Arial"/>
          <w:sz w:val="16"/>
          <w:szCs w:val="16"/>
        </w:rPr>
        <w:t>Meeting between the Panel and B&amp;NES Council, 21 January 2025.</w:t>
      </w:r>
    </w:p>
  </w:footnote>
  <w:footnote w:id="59">
    <w:p w14:paraId="7A441462" w14:textId="50D9B5ED" w:rsidR="008A2A0C" w:rsidRPr="003F1F10" w:rsidRDefault="008A2A0C" w:rsidP="008A2A0C">
      <w:pPr>
        <w:pStyle w:val="FootnoteText"/>
        <w:rPr>
          <w:rFonts w:ascii="Arial" w:hAnsi="Arial" w:cs="Arial"/>
          <w:sz w:val="16"/>
          <w:szCs w:val="16"/>
        </w:rPr>
      </w:pPr>
      <w:r w:rsidRPr="003F1F10">
        <w:rPr>
          <w:rStyle w:val="FootnoteReference"/>
          <w:rFonts w:ascii="Arial" w:hAnsi="Arial" w:cs="Arial"/>
          <w:sz w:val="16"/>
          <w:szCs w:val="16"/>
        </w:rPr>
        <w:footnoteRef/>
      </w:r>
      <w:r w:rsidRPr="003F1F10">
        <w:rPr>
          <w:rFonts w:ascii="Arial" w:hAnsi="Arial" w:cs="Arial"/>
          <w:sz w:val="16"/>
          <w:szCs w:val="16"/>
        </w:rPr>
        <w:t xml:space="preserve"> </w:t>
      </w:r>
      <w:r w:rsidR="00D25E78">
        <w:rPr>
          <w:rFonts w:ascii="Arial" w:hAnsi="Arial" w:cs="Arial"/>
          <w:sz w:val="16"/>
          <w:szCs w:val="16"/>
        </w:rPr>
        <w:t xml:space="preserve">NHS England, </w:t>
      </w:r>
      <w:r w:rsidRPr="00D25E78">
        <w:rPr>
          <w:rFonts w:ascii="Arial" w:hAnsi="Arial" w:cs="Arial"/>
          <w:i/>
          <w:iCs/>
          <w:sz w:val="16"/>
          <w:szCs w:val="16"/>
        </w:rPr>
        <w:t>PSR Statutory Guidance</w:t>
      </w:r>
      <w:r w:rsidRPr="003F1F10">
        <w:rPr>
          <w:rFonts w:ascii="Arial" w:hAnsi="Arial" w:cs="Arial"/>
          <w:sz w:val="16"/>
          <w:szCs w:val="16"/>
        </w:rPr>
        <w:t>, Annex D, p.55.</w:t>
      </w:r>
    </w:p>
  </w:footnote>
  <w:footnote w:id="60">
    <w:p w14:paraId="00EAAE52" w14:textId="1FDE1474" w:rsidR="001718FC" w:rsidRPr="00766956" w:rsidRDefault="001718FC">
      <w:pPr>
        <w:pStyle w:val="FootnoteText"/>
        <w:rPr>
          <w:rFonts w:ascii="Arial" w:hAnsi="Arial" w:cs="Arial"/>
          <w:sz w:val="16"/>
          <w:szCs w:val="16"/>
        </w:rPr>
      </w:pPr>
      <w:r w:rsidRPr="00766956">
        <w:rPr>
          <w:rStyle w:val="FootnoteReference"/>
          <w:rFonts w:ascii="Arial" w:hAnsi="Arial" w:cs="Arial"/>
          <w:sz w:val="16"/>
          <w:szCs w:val="16"/>
        </w:rPr>
        <w:footnoteRef/>
      </w:r>
      <w:r w:rsidRPr="00766956">
        <w:rPr>
          <w:rFonts w:ascii="Arial" w:hAnsi="Arial" w:cs="Arial"/>
          <w:sz w:val="16"/>
          <w:szCs w:val="16"/>
        </w:rPr>
        <w:t xml:space="preserve"> </w:t>
      </w:r>
      <w:r w:rsidR="00D25E78">
        <w:rPr>
          <w:rFonts w:ascii="Arial" w:hAnsi="Arial" w:cs="Arial"/>
          <w:sz w:val="16"/>
          <w:szCs w:val="16"/>
        </w:rPr>
        <w:t xml:space="preserve">NHS England, </w:t>
      </w:r>
      <w:r w:rsidRPr="00D25E78">
        <w:rPr>
          <w:rFonts w:ascii="Arial" w:hAnsi="Arial" w:cs="Arial"/>
          <w:i/>
          <w:iCs/>
          <w:sz w:val="16"/>
          <w:szCs w:val="16"/>
        </w:rPr>
        <w:t>PSR Statutory Guidance</w:t>
      </w:r>
      <w:r w:rsidRPr="001718FC">
        <w:rPr>
          <w:rFonts w:ascii="Arial" w:hAnsi="Arial" w:cs="Arial"/>
          <w:sz w:val="16"/>
          <w:szCs w:val="16"/>
        </w:rPr>
        <w:t>, Annex D, p.56.</w:t>
      </w:r>
    </w:p>
  </w:footnote>
  <w:footnote w:id="61">
    <w:p w14:paraId="206354F2" w14:textId="77777777" w:rsidR="00B1468B" w:rsidRPr="003F1F10" w:rsidRDefault="00B1468B" w:rsidP="00B1468B">
      <w:pPr>
        <w:pStyle w:val="FootnoteText"/>
        <w:rPr>
          <w:rFonts w:ascii="Arial" w:hAnsi="Arial" w:cs="Arial"/>
          <w:sz w:val="16"/>
          <w:szCs w:val="16"/>
        </w:rPr>
      </w:pPr>
      <w:r w:rsidRPr="003F1F10">
        <w:rPr>
          <w:rStyle w:val="FootnoteReference"/>
          <w:rFonts w:ascii="Arial" w:hAnsi="Arial" w:cs="Arial"/>
          <w:sz w:val="16"/>
          <w:szCs w:val="16"/>
        </w:rPr>
        <w:footnoteRef/>
      </w:r>
      <w:r w:rsidRPr="003F1F10">
        <w:rPr>
          <w:rFonts w:ascii="Arial" w:hAnsi="Arial" w:cs="Arial"/>
          <w:sz w:val="16"/>
          <w:szCs w:val="16"/>
        </w:rPr>
        <w:t xml:space="preserve"> </w:t>
      </w:r>
      <w:r w:rsidRPr="002370A6">
        <w:rPr>
          <w:rFonts w:ascii="Arial" w:hAnsi="Arial" w:cs="Arial"/>
          <w:sz w:val="16"/>
          <w:szCs w:val="16"/>
        </w:rPr>
        <w:t xml:space="preserve">B&amp;NES Council, </w:t>
      </w:r>
      <w:r w:rsidRPr="002370A6">
        <w:rPr>
          <w:rFonts w:ascii="Arial" w:hAnsi="Arial" w:cs="Arial"/>
          <w:i/>
          <w:iCs/>
          <w:sz w:val="16"/>
          <w:szCs w:val="16"/>
        </w:rPr>
        <w:t>Outline Business Case Substance Abuse</w:t>
      </w:r>
      <w:r w:rsidRPr="002370A6">
        <w:rPr>
          <w:rFonts w:ascii="Arial" w:hAnsi="Arial" w:cs="Arial"/>
          <w:sz w:val="16"/>
          <w:szCs w:val="16"/>
        </w:rPr>
        <w:t>, November 2023, p.47.</w:t>
      </w:r>
    </w:p>
  </w:footnote>
  <w:footnote w:id="62">
    <w:p w14:paraId="1DBE8D3A" w14:textId="77777777" w:rsidR="00B1468B" w:rsidRPr="00523D66" w:rsidRDefault="00B1468B" w:rsidP="00B1468B">
      <w:pPr>
        <w:pStyle w:val="FootnoteText"/>
        <w:rPr>
          <w:rFonts w:ascii="Arial" w:hAnsi="Arial" w:cs="Arial"/>
          <w:sz w:val="16"/>
          <w:szCs w:val="16"/>
        </w:rPr>
      </w:pPr>
      <w:r w:rsidRPr="00523D66">
        <w:rPr>
          <w:rStyle w:val="FootnoteReference"/>
          <w:rFonts w:ascii="Arial" w:hAnsi="Arial" w:cs="Arial"/>
          <w:sz w:val="16"/>
          <w:szCs w:val="16"/>
        </w:rPr>
        <w:footnoteRef/>
      </w:r>
      <w:r w:rsidRPr="00523D66">
        <w:rPr>
          <w:rFonts w:ascii="Arial" w:hAnsi="Arial" w:cs="Arial"/>
          <w:sz w:val="16"/>
          <w:szCs w:val="16"/>
        </w:rPr>
        <w:t xml:space="preserve"> B&amp;NES Council, </w:t>
      </w:r>
      <w:r w:rsidRPr="003F1F10">
        <w:rPr>
          <w:rFonts w:ascii="Arial" w:hAnsi="Arial" w:cs="Arial"/>
          <w:i/>
          <w:iCs/>
          <w:sz w:val="16"/>
          <w:szCs w:val="16"/>
        </w:rPr>
        <w:t>Response to Q7</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6C63D6" w14:paraId="1395514B" w14:textId="77777777" w:rsidTr="516C63D6">
      <w:trPr>
        <w:trHeight w:val="300"/>
      </w:trPr>
      <w:tc>
        <w:tcPr>
          <w:tcW w:w="3005" w:type="dxa"/>
        </w:tcPr>
        <w:p w14:paraId="2761AD14" w14:textId="5D3AB6D3" w:rsidR="516C63D6" w:rsidRDefault="516C63D6" w:rsidP="516C63D6">
          <w:pPr>
            <w:pStyle w:val="Header"/>
            <w:ind w:left="-115"/>
          </w:pPr>
        </w:p>
      </w:tc>
      <w:tc>
        <w:tcPr>
          <w:tcW w:w="3005" w:type="dxa"/>
        </w:tcPr>
        <w:p w14:paraId="270D12D1" w14:textId="727B848E" w:rsidR="516C63D6" w:rsidRDefault="516C63D6" w:rsidP="516C63D6">
          <w:pPr>
            <w:pStyle w:val="Header"/>
            <w:jc w:val="center"/>
          </w:pPr>
        </w:p>
      </w:tc>
      <w:tc>
        <w:tcPr>
          <w:tcW w:w="3005" w:type="dxa"/>
        </w:tcPr>
        <w:p w14:paraId="37936452" w14:textId="4B75CF20" w:rsidR="516C63D6" w:rsidRDefault="516C63D6" w:rsidP="516C63D6">
          <w:pPr>
            <w:pStyle w:val="Header"/>
            <w:ind w:right="-115"/>
            <w:jc w:val="right"/>
          </w:pPr>
        </w:p>
      </w:tc>
    </w:tr>
  </w:tbl>
  <w:p w14:paraId="1A375203" w14:textId="2D06CBCF" w:rsidR="516C63D6" w:rsidRDefault="516C63D6" w:rsidP="516C6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6C63D6" w14:paraId="3DF262ED" w14:textId="77777777" w:rsidTr="516C63D6">
      <w:trPr>
        <w:trHeight w:val="300"/>
      </w:trPr>
      <w:tc>
        <w:tcPr>
          <w:tcW w:w="3005" w:type="dxa"/>
        </w:tcPr>
        <w:p w14:paraId="00FF4DB7" w14:textId="2840412B" w:rsidR="516C63D6" w:rsidRDefault="516C63D6" w:rsidP="516C63D6">
          <w:pPr>
            <w:pStyle w:val="Header"/>
            <w:ind w:left="-115"/>
          </w:pPr>
        </w:p>
      </w:tc>
      <w:tc>
        <w:tcPr>
          <w:tcW w:w="3005" w:type="dxa"/>
        </w:tcPr>
        <w:p w14:paraId="469FC8E0" w14:textId="7E183273" w:rsidR="516C63D6" w:rsidRDefault="516C63D6" w:rsidP="516C63D6">
          <w:pPr>
            <w:pStyle w:val="Header"/>
            <w:jc w:val="center"/>
          </w:pPr>
        </w:p>
      </w:tc>
      <w:tc>
        <w:tcPr>
          <w:tcW w:w="3005" w:type="dxa"/>
        </w:tcPr>
        <w:p w14:paraId="2D0B827F" w14:textId="41AFD500" w:rsidR="516C63D6" w:rsidRDefault="516C63D6" w:rsidP="516C63D6">
          <w:pPr>
            <w:pStyle w:val="Header"/>
            <w:ind w:right="-115"/>
            <w:jc w:val="right"/>
          </w:pPr>
        </w:p>
      </w:tc>
    </w:tr>
  </w:tbl>
  <w:p w14:paraId="70758D80" w14:textId="6FAC3DDC" w:rsidR="516C63D6" w:rsidRDefault="516C63D6" w:rsidP="516C6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66A7"/>
    <w:multiLevelType w:val="hybridMultilevel"/>
    <w:tmpl w:val="724C56D2"/>
    <w:lvl w:ilvl="0" w:tplc="3FD650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2992298"/>
    <w:multiLevelType w:val="hybridMultilevel"/>
    <w:tmpl w:val="B50040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2D5B2A77"/>
    <w:multiLevelType w:val="multilevel"/>
    <w:tmpl w:val="A8FA1FB6"/>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80239F"/>
    <w:multiLevelType w:val="hybridMultilevel"/>
    <w:tmpl w:val="21F2B8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A53873"/>
    <w:multiLevelType w:val="hybridMultilevel"/>
    <w:tmpl w:val="C8EA2BE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7" w15:restartNumberingAfterBreak="0">
    <w:nsid w:val="2ED566FE"/>
    <w:multiLevelType w:val="hybridMultilevel"/>
    <w:tmpl w:val="E604CFA6"/>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A7B56"/>
    <w:multiLevelType w:val="hybridMultilevel"/>
    <w:tmpl w:val="DFF427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D550795"/>
    <w:multiLevelType w:val="hybridMultilevel"/>
    <w:tmpl w:val="C6EAA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713A4A"/>
    <w:multiLevelType w:val="hybridMultilevel"/>
    <w:tmpl w:val="C83E796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48165">
    <w:abstractNumId w:val="3"/>
  </w:num>
  <w:num w:numId="2" w16cid:durableId="1711148116">
    <w:abstractNumId w:val="7"/>
  </w:num>
  <w:num w:numId="3" w16cid:durableId="528419737">
    <w:abstractNumId w:val="2"/>
  </w:num>
  <w:num w:numId="4" w16cid:durableId="875046486">
    <w:abstractNumId w:val="11"/>
  </w:num>
  <w:num w:numId="5" w16cid:durableId="893737560">
    <w:abstractNumId w:val="6"/>
  </w:num>
  <w:num w:numId="6" w16cid:durableId="1752968028">
    <w:abstractNumId w:val="5"/>
  </w:num>
  <w:num w:numId="7" w16cid:durableId="2108308023">
    <w:abstractNumId w:val="1"/>
  </w:num>
  <w:num w:numId="8" w16cid:durableId="1262226497">
    <w:abstractNumId w:val="9"/>
  </w:num>
  <w:num w:numId="9" w16cid:durableId="588584786">
    <w:abstractNumId w:val="10"/>
  </w:num>
  <w:num w:numId="10" w16cid:durableId="572089508">
    <w:abstractNumId w:val="8"/>
  </w:num>
  <w:num w:numId="11" w16cid:durableId="1504011741">
    <w:abstractNumId w:val="0"/>
  </w:num>
  <w:num w:numId="12" w16cid:durableId="18740346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odJ72zNR5kRUV937Ow786Pyffd/HRHDbvTycuorA8iwjnPNzvDB3fa+RpPEWmg2zcUcpAsGHnw0I2h1l9grMA==" w:salt="m9V7BjjJel1BHRF3neT/0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3E3"/>
    <w:rsid w:val="000004DA"/>
    <w:rsid w:val="000005A3"/>
    <w:rsid w:val="0000063B"/>
    <w:rsid w:val="00000A82"/>
    <w:rsid w:val="00000D94"/>
    <w:rsid w:val="000010E2"/>
    <w:rsid w:val="000010FB"/>
    <w:rsid w:val="000012DB"/>
    <w:rsid w:val="0000158F"/>
    <w:rsid w:val="00001761"/>
    <w:rsid w:val="000018FD"/>
    <w:rsid w:val="00001985"/>
    <w:rsid w:val="00001B11"/>
    <w:rsid w:val="00001FB0"/>
    <w:rsid w:val="000020B8"/>
    <w:rsid w:val="0000226E"/>
    <w:rsid w:val="000024A4"/>
    <w:rsid w:val="00002624"/>
    <w:rsid w:val="0000262F"/>
    <w:rsid w:val="00002851"/>
    <w:rsid w:val="000028BC"/>
    <w:rsid w:val="00002B22"/>
    <w:rsid w:val="00002BA3"/>
    <w:rsid w:val="00002DBC"/>
    <w:rsid w:val="00002DC0"/>
    <w:rsid w:val="00002E0C"/>
    <w:rsid w:val="000032DA"/>
    <w:rsid w:val="000038E8"/>
    <w:rsid w:val="00003B75"/>
    <w:rsid w:val="00003C90"/>
    <w:rsid w:val="00003D9C"/>
    <w:rsid w:val="00003EFC"/>
    <w:rsid w:val="00003F58"/>
    <w:rsid w:val="000043EF"/>
    <w:rsid w:val="0000458E"/>
    <w:rsid w:val="00004645"/>
    <w:rsid w:val="00004650"/>
    <w:rsid w:val="000046BF"/>
    <w:rsid w:val="00004DD9"/>
    <w:rsid w:val="0000562C"/>
    <w:rsid w:val="00005C49"/>
    <w:rsid w:val="00005C55"/>
    <w:rsid w:val="00006126"/>
    <w:rsid w:val="00006156"/>
    <w:rsid w:val="00006588"/>
    <w:rsid w:val="0000680C"/>
    <w:rsid w:val="0000694E"/>
    <w:rsid w:val="00006CD9"/>
    <w:rsid w:val="00006F0F"/>
    <w:rsid w:val="0000714F"/>
    <w:rsid w:val="00007494"/>
    <w:rsid w:val="000074E2"/>
    <w:rsid w:val="0000756B"/>
    <w:rsid w:val="000075D8"/>
    <w:rsid w:val="00007C68"/>
    <w:rsid w:val="00007D97"/>
    <w:rsid w:val="00007E07"/>
    <w:rsid w:val="00010A86"/>
    <w:rsid w:val="000112EE"/>
    <w:rsid w:val="00011665"/>
    <w:rsid w:val="00011CAD"/>
    <w:rsid w:val="000126AD"/>
    <w:rsid w:val="00012845"/>
    <w:rsid w:val="00012F66"/>
    <w:rsid w:val="0001318E"/>
    <w:rsid w:val="00013C1C"/>
    <w:rsid w:val="00014048"/>
    <w:rsid w:val="00014870"/>
    <w:rsid w:val="000150A8"/>
    <w:rsid w:val="00015132"/>
    <w:rsid w:val="00015548"/>
    <w:rsid w:val="00015823"/>
    <w:rsid w:val="000158C8"/>
    <w:rsid w:val="00015E87"/>
    <w:rsid w:val="000167F6"/>
    <w:rsid w:val="00016834"/>
    <w:rsid w:val="000169BC"/>
    <w:rsid w:val="00020315"/>
    <w:rsid w:val="00020779"/>
    <w:rsid w:val="00020A02"/>
    <w:rsid w:val="00020E8B"/>
    <w:rsid w:val="00021474"/>
    <w:rsid w:val="000216CE"/>
    <w:rsid w:val="000216EC"/>
    <w:rsid w:val="00021765"/>
    <w:rsid w:val="000224A9"/>
    <w:rsid w:val="00022A82"/>
    <w:rsid w:val="00022C1C"/>
    <w:rsid w:val="000230BF"/>
    <w:rsid w:val="000239A3"/>
    <w:rsid w:val="00023A68"/>
    <w:rsid w:val="00023D86"/>
    <w:rsid w:val="00024921"/>
    <w:rsid w:val="000249BD"/>
    <w:rsid w:val="0002502E"/>
    <w:rsid w:val="00025281"/>
    <w:rsid w:val="000254B7"/>
    <w:rsid w:val="000257AC"/>
    <w:rsid w:val="000257E9"/>
    <w:rsid w:val="00025803"/>
    <w:rsid w:val="00026580"/>
    <w:rsid w:val="00026887"/>
    <w:rsid w:val="00026A48"/>
    <w:rsid w:val="00026C49"/>
    <w:rsid w:val="00026D87"/>
    <w:rsid w:val="00026D88"/>
    <w:rsid w:val="00027041"/>
    <w:rsid w:val="00027364"/>
    <w:rsid w:val="000273B8"/>
    <w:rsid w:val="0002766B"/>
    <w:rsid w:val="000277F0"/>
    <w:rsid w:val="0002788B"/>
    <w:rsid w:val="00027DB3"/>
    <w:rsid w:val="00030707"/>
    <w:rsid w:val="000307DD"/>
    <w:rsid w:val="00030833"/>
    <w:rsid w:val="00030C3B"/>
    <w:rsid w:val="00030C44"/>
    <w:rsid w:val="00030D6D"/>
    <w:rsid w:val="00031B6F"/>
    <w:rsid w:val="00031EF5"/>
    <w:rsid w:val="000326B9"/>
    <w:rsid w:val="0003282E"/>
    <w:rsid w:val="000329F2"/>
    <w:rsid w:val="00032EE7"/>
    <w:rsid w:val="000330A9"/>
    <w:rsid w:val="00033453"/>
    <w:rsid w:val="0003370E"/>
    <w:rsid w:val="00033716"/>
    <w:rsid w:val="000339B3"/>
    <w:rsid w:val="00033C75"/>
    <w:rsid w:val="00033C77"/>
    <w:rsid w:val="00033CFA"/>
    <w:rsid w:val="00033D4D"/>
    <w:rsid w:val="00033D63"/>
    <w:rsid w:val="000344E6"/>
    <w:rsid w:val="000346EE"/>
    <w:rsid w:val="00034840"/>
    <w:rsid w:val="000349D6"/>
    <w:rsid w:val="00034CCE"/>
    <w:rsid w:val="00034E71"/>
    <w:rsid w:val="0003509F"/>
    <w:rsid w:val="000350B5"/>
    <w:rsid w:val="000356EC"/>
    <w:rsid w:val="00035C0D"/>
    <w:rsid w:val="00035D69"/>
    <w:rsid w:val="000361FE"/>
    <w:rsid w:val="00036340"/>
    <w:rsid w:val="00036349"/>
    <w:rsid w:val="00036404"/>
    <w:rsid w:val="00036468"/>
    <w:rsid w:val="0003655A"/>
    <w:rsid w:val="000367B7"/>
    <w:rsid w:val="00036B38"/>
    <w:rsid w:val="000370F5"/>
    <w:rsid w:val="00037682"/>
    <w:rsid w:val="00037B69"/>
    <w:rsid w:val="00037C55"/>
    <w:rsid w:val="000403BE"/>
    <w:rsid w:val="00040DBB"/>
    <w:rsid w:val="00041237"/>
    <w:rsid w:val="00041DB6"/>
    <w:rsid w:val="0004215D"/>
    <w:rsid w:val="000422BA"/>
    <w:rsid w:val="00042613"/>
    <w:rsid w:val="000429A0"/>
    <w:rsid w:val="0004301B"/>
    <w:rsid w:val="00043022"/>
    <w:rsid w:val="00043025"/>
    <w:rsid w:val="000435FC"/>
    <w:rsid w:val="000440F9"/>
    <w:rsid w:val="00044960"/>
    <w:rsid w:val="00045107"/>
    <w:rsid w:val="0004517D"/>
    <w:rsid w:val="000459EF"/>
    <w:rsid w:val="000461A8"/>
    <w:rsid w:val="00046214"/>
    <w:rsid w:val="0004629E"/>
    <w:rsid w:val="00046697"/>
    <w:rsid w:val="00046FAA"/>
    <w:rsid w:val="0004799D"/>
    <w:rsid w:val="00050288"/>
    <w:rsid w:val="000502DA"/>
    <w:rsid w:val="00050462"/>
    <w:rsid w:val="000505CD"/>
    <w:rsid w:val="00050D17"/>
    <w:rsid w:val="00050DA9"/>
    <w:rsid w:val="00050F04"/>
    <w:rsid w:val="00051CE5"/>
    <w:rsid w:val="00051E71"/>
    <w:rsid w:val="00052483"/>
    <w:rsid w:val="000526DF"/>
    <w:rsid w:val="00053289"/>
    <w:rsid w:val="00053EE7"/>
    <w:rsid w:val="000542FF"/>
    <w:rsid w:val="000549A7"/>
    <w:rsid w:val="00054B8F"/>
    <w:rsid w:val="00054F83"/>
    <w:rsid w:val="0005500F"/>
    <w:rsid w:val="00055268"/>
    <w:rsid w:val="000559DD"/>
    <w:rsid w:val="00055A1E"/>
    <w:rsid w:val="00055B5D"/>
    <w:rsid w:val="00055C4D"/>
    <w:rsid w:val="00056305"/>
    <w:rsid w:val="0005759A"/>
    <w:rsid w:val="00057B65"/>
    <w:rsid w:val="00060137"/>
    <w:rsid w:val="0006020D"/>
    <w:rsid w:val="0006030C"/>
    <w:rsid w:val="00060377"/>
    <w:rsid w:val="0006046F"/>
    <w:rsid w:val="0006076D"/>
    <w:rsid w:val="000607B3"/>
    <w:rsid w:val="00060863"/>
    <w:rsid w:val="00060D7D"/>
    <w:rsid w:val="00060E07"/>
    <w:rsid w:val="00060EB0"/>
    <w:rsid w:val="00060F80"/>
    <w:rsid w:val="000611CE"/>
    <w:rsid w:val="00061613"/>
    <w:rsid w:val="00061AE2"/>
    <w:rsid w:val="000620DD"/>
    <w:rsid w:val="000628F8"/>
    <w:rsid w:val="000630DE"/>
    <w:rsid w:val="0006316C"/>
    <w:rsid w:val="000638D3"/>
    <w:rsid w:val="00063ACD"/>
    <w:rsid w:val="00063B13"/>
    <w:rsid w:val="00063CC3"/>
    <w:rsid w:val="00063E9B"/>
    <w:rsid w:val="00064D17"/>
    <w:rsid w:val="00065086"/>
    <w:rsid w:val="000651BE"/>
    <w:rsid w:val="00065287"/>
    <w:rsid w:val="0006544B"/>
    <w:rsid w:val="0006553B"/>
    <w:rsid w:val="00065A9D"/>
    <w:rsid w:val="000666D4"/>
    <w:rsid w:val="00066B5C"/>
    <w:rsid w:val="00066F69"/>
    <w:rsid w:val="0006722C"/>
    <w:rsid w:val="00067608"/>
    <w:rsid w:val="00067673"/>
    <w:rsid w:val="00067840"/>
    <w:rsid w:val="00067870"/>
    <w:rsid w:val="00067AC0"/>
    <w:rsid w:val="00067B7B"/>
    <w:rsid w:val="00067C0E"/>
    <w:rsid w:val="00067DAC"/>
    <w:rsid w:val="00067E15"/>
    <w:rsid w:val="000700C9"/>
    <w:rsid w:val="0007010D"/>
    <w:rsid w:val="0007041E"/>
    <w:rsid w:val="00071111"/>
    <w:rsid w:val="00071246"/>
    <w:rsid w:val="00071913"/>
    <w:rsid w:val="00071BF4"/>
    <w:rsid w:val="00072025"/>
    <w:rsid w:val="0007202E"/>
    <w:rsid w:val="00072069"/>
    <w:rsid w:val="0007295C"/>
    <w:rsid w:val="00072B80"/>
    <w:rsid w:val="00072BDB"/>
    <w:rsid w:val="00072D41"/>
    <w:rsid w:val="00072DA5"/>
    <w:rsid w:val="00072F05"/>
    <w:rsid w:val="00073038"/>
    <w:rsid w:val="00073136"/>
    <w:rsid w:val="00073176"/>
    <w:rsid w:val="000731D5"/>
    <w:rsid w:val="00073226"/>
    <w:rsid w:val="0007397A"/>
    <w:rsid w:val="00073CDD"/>
    <w:rsid w:val="00073ECB"/>
    <w:rsid w:val="00073F93"/>
    <w:rsid w:val="00074409"/>
    <w:rsid w:val="00074A1E"/>
    <w:rsid w:val="00074AC8"/>
    <w:rsid w:val="00074AE5"/>
    <w:rsid w:val="00074CE9"/>
    <w:rsid w:val="00074E8B"/>
    <w:rsid w:val="0007502B"/>
    <w:rsid w:val="000756F9"/>
    <w:rsid w:val="00075759"/>
    <w:rsid w:val="00075786"/>
    <w:rsid w:val="00075DE3"/>
    <w:rsid w:val="00076537"/>
    <w:rsid w:val="0007665F"/>
    <w:rsid w:val="00076846"/>
    <w:rsid w:val="0007763B"/>
    <w:rsid w:val="0007777A"/>
    <w:rsid w:val="00077882"/>
    <w:rsid w:val="000779AF"/>
    <w:rsid w:val="00077D9B"/>
    <w:rsid w:val="00080305"/>
    <w:rsid w:val="000805D1"/>
    <w:rsid w:val="0008062D"/>
    <w:rsid w:val="00080906"/>
    <w:rsid w:val="00080A85"/>
    <w:rsid w:val="00080AD7"/>
    <w:rsid w:val="00080CE2"/>
    <w:rsid w:val="000812BE"/>
    <w:rsid w:val="000813BF"/>
    <w:rsid w:val="000814A4"/>
    <w:rsid w:val="00081712"/>
    <w:rsid w:val="00081AE5"/>
    <w:rsid w:val="00082033"/>
    <w:rsid w:val="00082446"/>
    <w:rsid w:val="00082903"/>
    <w:rsid w:val="00082919"/>
    <w:rsid w:val="00082DC7"/>
    <w:rsid w:val="00082ED6"/>
    <w:rsid w:val="00082EEC"/>
    <w:rsid w:val="00082FC2"/>
    <w:rsid w:val="000837E3"/>
    <w:rsid w:val="000839F8"/>
    <w:rsid w:val="00083CD4"/>
    <w:rsid w:val="0008420A"/>
    <w:rsid w:val="000845E0"/>
    <w:rsid w:val="000846D7"/>
    <w:rsid w:val="00084B4C"/>
    <w:rsid w:val="00084C6C"/>
    <w:rsid w:val="00085640"/>
    <w:rsid w:val="0008582A"/>
    <w:rsid w:val="000858C1"/>
    <w:rsid w:val="00085E1E"/>
    <w:rsid w:val="00085F2F"/>
    <w:rsid w:val="000861AC"/>
    <w:rsid w:val="00086219"/>
    <w:rsid w:val="00086A48"/>
    <w:rsid w:val="00086B7A"/>
    <w:rsid w:val="00086BC6"/>
    <w:rsid w:val="00087153"/>
    <w:rsid w:val="000879CA"/>
    <w:rsid w:val="00087A0F"/>
    <w:rsid w:val="00087AEB"/>
    <w:rsid w:val="00090174"/>
    <w:rsid w:val="000902A6"/>
    <w:rsid w:val="00090A45"/>
    <w:rsid w:val="00090D9A"/>
    <w:rsid w:val="00090DAB"/>
    <w:rsid w:val="00090E32"/>
    <w:rsid w:val="00090EC9"/>
    <w:rsid w:val="000916EA"/>
    <w:rsid w:val="00091AC2"/>
    <w:rsid w:val="00091C12"/>
    <w:rsid w:val="00091CB2"/>
    <w:rsid w:val="00091D47"/>
    <w:rsid w:val="00091DA3"/>
    <w:rsid w:val="00091DA7"/>
    <w:rsid w:val="00091F05"/>
    <w:rsid w:val="00092115"/>
    <w:rsid w:val="0009237A"/>
    <w:rsid w:val="00092BD8"/>
    <w:rsid w:val="0009323A"/>
    <w:rsid w:val="000947BC"/>
    <w:rsid w:val="00094A15"/>
    <w:rsid w:val="00094CC2"/>
    <w:rsid w:val="0009507A"/>
    <w:rsid w:val="000952E4"/>
    <w:rsid w:val="0009536A"/>
    <w:rsid w:val="0009585E"/>
    <w:rsid w:val="00095B92"/>
    <w:rsid w:val="00096179"/>
    <w:rsid w:val="000961C2"/>
    <w:rsid w:val="000966C1"/>
    <w:rsid w:val="00096E8D"/>
    <w:rsid w:val="000A0737"/>
    <w:rsid w:val="000A09E4"/>
    <w:rsid w:val="000A0A7E"/>
    <w:rsid w:val="000A14BE"/>
    <w:rsid w:val="000A1535"/>
    <w:rsid w:val="000A1939"/>
    <w:rsid w:val="000A1991"/>
    <w:rsid w:val="000A1D84"/>
    <w:rsid w:val="000A1F4A"/>
    <w:rsid w:val="000A2182"/>
    <w:rsid w:val="000A22AE"/>
    <w:rsid w:val="000A23F7"/>
    <w:rsid w:val="000A26F7"/>
    <w:rsid w:val="000A2823"/>
    <w:rsid w:val="000A2881"/>
    <w:rsid w:val="000A2A59"/>
    <w:rsid w:val="000A2B65"/>
    <w:rsid w:val="000A2CA6"/>
    <w:rsid w:val="000A2E71"/>
    <w:rsid w:val="000A2F9E"/>
    <w:rsid w:val="000A2FBE"/>
    <w:rsid w:val="000A33DD"/>
    <w:rsid w:val="000A34D7"/>
    <w:rsid w:val="000A3599"/>
    <w:rsid w:val="000A37C4"/>
    <w:rsid w:val="000A3EC6"/>
    <w:rsid w:val="000A421C"/>
    <w:rsid w:val="000A42F3"/>
    <w:rsid w:val="000A43AF"/>
    <w:rsid w:val="000A4F75"/>
    <w:rsid w:val="000A5A3A"/>
    <w:rsid w:val="000A5CBD"/>
    <w:rsid w:val="000A608C"/>
    <w:rsid w:val="000A6458"/>
    <w:rsid w:val="000A6834"/>
    <w:rsid w:val="000A6D93"/>
    <w:rsid w:val="000A6E61"/>
    <w:rsid w:val="000A75B2"/>
    <w:rsid w:val="000A7C43"/>
    <w:rsid w:val="000A7D6C"/>
    <w:rsid w:val="000B0369"/>
    <w:rsid w:val="000B0C58"/>
    <w:rsid w:val="000B0C97"/>
    <w:rsid w:val="000B0CD3"/>
    <w:rsid w:val="000B1401"/>
    <w:rsid w:val="000B1FFD"/>
    <w:rsid w:val="000B20C0"/>
    <w:rsid w:val="000B2268"/>
    <w:rsid w:val="000B26E3"/>
    <w:rsid w:val="000B2817"/>
    <w:rsid w:val="000B2C54"/>
    <w:rsid w:val="000B3339"/>
    <w:rsid w:val="000B3A8F"/>
    <w:rsid w:val="000B3B33"/>
    <w:rsid w:val="000B3E9F"/>
    <w:rsid w:val="000B407F"/>
    <w:rsid w:val="000B4098"/>
    <w:rsid w:val="000B422E"/>
    <w:rsid w:val="000B4300"/>
    <w:rsid w:val="000B4621"/>
    <w:rsid w:val="000B48E6"/>
    <w:rsid w:val="000B4B30"/>
    <w:rsid w:val="000B50D4"/>
    <w:rsid w:val="000B5C65"/>
    <w:rsid w:val="000B5F46"/>
    <w:rsid w:val="000B6487"/>
    <w:rsid w:val="000B6840"/>
    <w:rsid w:val="000B6872"/>
    <w:rsid w:val="000B699C"/>
    <w:rsid w:val="000B6A74"/>
    <w:rsid w:val="000B6B57"/>
    <w:rsid w:val="000B6DEA"/>
    <w:rsid w:val="000B6FC0"/>
    <w:rsid w:val="000B723D"/>
    <w:rsid w:val="000B73C2"/>
    <w:rsid w:val="000B7772"/>
    <w:rsid w:val="000C0158"/>
    <w:rsid w:val="000C042D"/>
    <w:rsid w:val="000C0475"/>
    <w:rsid w:val="000C058F"/>
    <w:rsid w:val="000C090E"/>
    <w:rsid w:val="000C0C3E"/>
    <w:rsid w:val="000C10B6"/>
    <w:rsid w:val="000C14D7"/>
    <w:rsid w:val="000C1625"/>
    <w:rsid w:val="000C1CDB"/>
    <w:rsid w:val="000C1F30"/>
    <w:rsid w:val="000C20E0"/>
    <w:rsid w:val="000C221B"/>
    <w:rsid w:val="000C265C"/>
    <w:rsid w:val="000C2BDF"/>
    <w:rsid w:val="000C2DAC"/>
    <w:rsid w:val="000C2E02"/>
    <w:rsid w:val="000C2E96"/>
    <w:rsid w:val="000C2F26"/>
    <w:rsid w:val="000C35DB"/>
    <w:rsid w:val="000C38E4"/>
    <w:rsid w:val="000C3B49"/>
    <w:rsid w:val="000C3B89"/>
    <w:rsid w:val="000C3C05"/>
    <w:rsid w:val="000C4646"/>
    <w:rsid w:val="000C4709"/>
    <w:rsid w:val="000C47A7"/>
    <w:rsid w:val="000C4EFF"/>
    <w:rsid w:val="000C5D84"/>
    <w:rsid w:val="000C6116"/>
    <w:rsid w:val="000C6207"/>
    <w:rsid w:val="000C6583"/>
    <w:rsid w:val="000C6A3E"/>
    <w:rsid w:val="000C6C8D"/>
    <w:rsid w:val="000C6D85"/>
    <w:rsid w:val="000C6F0E"/>
    <w:rsid w:val="000C7350"/>
    <w:rsid w:val="000C76F3"/>
    <w:rsid w:val="000C7811"/>
    <w:rsid w:val="000C7A07"/>
    <w:rsid w:val="000D0348"/>
    <w:rsid w:val="000D0428"/>
    <w:rsid w:val="000D09DA"/>
    <w:rsid w:val="000D0A00"/>
    <w:rsid w:val="000D1160"/>
    <w:rsid w:val="000D12E4"/>
    <w:rsid w:val="000D1843"/>
    <w:rsid w:val="000D1918"/>
    <w:rsid w:val="000D19C1"/>
    <w:rsid w:val="000D19F1"/>
    <w:rsid w:val="000D2234"/>
    <w:rsid w:val="000D22AB"/>
    <w:rsid w:val="000D2657"/>
    <w:rsid w:val="000D2B84"/>
    <w:rsid w:val="000D2FB0"/>
    <w:rsid w:val="000D36B0"/>
    <w:rsid w:val="000D3849"/>
    <w:rsid w:val="000D3F9E"/>
    <w:rsid w:val="000D3FF1"/>
    <w:rsid w:val="000D4587"/>
    <w:rsid w:val="000D4590"/>
    <w:rsid w:val="000D46B8"/>
    <w:rsid w:val="000D4D6A"/>
    <w:rsid w:val="000D51FF"/>
    <w:rsid w:val="000D5289"/>
    <w:rsid w:val="000D54C4"/>
    <w:rsid w:val="000D5524"/>
    <w:rsid w:val="000D5765"/>
    <w:rsid w:val="000D5D16"/>
    <w:rsid w:val="000D604A"/>
    <w:rsid w:val="000D6209"/>
    <w:rsid w:val="000D65F4"/>
    <w:rsid w:val="000D662D"/>
    <w:rsid w:val="000D6A5A"/>
    <w:rsid w:val="000D6F15"/>
    <w:rsid w:val="000D6FC1"/>
    <w:rsid w:val="000D70AF"/>
    <w:rsid w:val="000D7133"/>
    <w:rsid w:val="000D7619"/>
    <w:rsid w:val="000D7CA4"/>
    <w:rsid w:val="000E00B2"/>
    <w:rsid w:val="000E0376"/>
    <w:rsid w:val="000E07AE"/>
    <w:rsid w:val="000E0BA3"/>
    <w:rsid w:val="000E0BEF"/>
    <w:rsid w:val="000E0DB8"/>
    <w:rsid w:val="000E1035"/>
    <w:rsid w:val="000E1338"/>
    <w:rsid w:val="000E1583"/>
    <w:rsid w:val="000E197C"/>
    <w:rsid w:val="000E1BB9"/>
    <w:rsid w:val="000E1D3F"/>
    <w:rsid w:val="000E1F97"/>
    <w:rsid w:val="000E255C"/>
    <w:rsid w:val="000E26F1"/>
    <w:rsid w:val="000E28DC"/>
    <w:rsid w:val="000E2A5F"/>
    <w:rsid w:val="000E2B94"/>
    <w:rsid w:val="000E2C59"/>
    <w:rsid w:val="000E2DC4"/>
    <w:rsid w:val="000E32E6"/>
    <w:rsid w:val="000E35F7"/>
    <w:rsid w:val="000E3614"/>
    <w:rsid w:val="000E3BA0"/>
    <w:rsid w:val="000E3D8C"/>
    <w:rsid w:val="000E3DBF"/>
    <w:rsid w:val="000E453D"/>
    <w:rsid w:val="000E45B0"/>
    <w:rsid w:val="000E462E"/>
    <w:rsid w:val="000E5BEC"/>
    <w:rsid w:val="000E5CF7"/>
    <w:rsid w:val="000E61F8"/>
    <w:rsid w:val="000E6240"/>
    <w:rsid w:val="000E644C"/>
    <w:rsid w:val="000E6720"/>
    <w:rsid w:val="000E6C23"/>
    <w:rsid w:val="000E6CC2"/>
    <w:rsid w:val="000E728A"/>
    <w:rsid w:val="000E72AE"/>
    <w:rsid w:val="000E77B9"/>
    <w:rsid w:val="000E7D7E"/>
    <w:rsid w:val="000F06BE"/>
    <w:rsid w:val="000F08EF"/>
    <w:rsid w:val="000F1506"/>
    <w:rsid w:val="000F1B02"/>
    <w:rsid w:val="000F1D16"/>
    <w:rsid w:val="000F1D42"/>
    <w:rsid w:val="000F1ED5"/>
    <w:rsid w:val="000F1F9B"/>
    <w:rsid w:val="000F2218"/>
    <w:rsid w:val="000F2264"/>
    <w:rsid w:val="000F2A32"/>
    <w:rsid w:val="000F2CCF"/>
    <w:rsid w:val="000F2F92"/>
    <w:rsid w:val="000F3264"/>
    <w:rsid w:val="000F3C35"/>
    <w:rsid w:val="000F3CF0"/>
    <w:rsid w:val="000F4537"/>
    <w:rsid w:val="000F499C"/>
    <w:rsid w:val="000F4B4C"/>
    <w:rsid w:val="000F4C25"/>
    <w:rsid w:val="000F4F2B"/>
    <w:rsid w:val="000F504B"/>
    <w:rsid w:val="000F52A3"/>
    <w:rsid w:val="000F550F"/>
    <w:rsid w:val="000F58B8"/>
    <w:rsid w:val="000F5D81"/>
    <w:rsid w:val="000F6136"/>
    <w:rsid w:val="000F66E9"/>
    <w:rsid w:val="000F6A2E"/>
    <w:rsid w:val="000F6C48"/>
    <w:rsid w:val="000F72A0"/>
    <w:rsid w:val="000F747D"/>
    <w:rsid w:val="000F7716"/>
    <w:rsid w:val="000F7820"/>
    <w:rsid w:val="000F78B0"/>
    <w:rsid w:val="000F78FA"/>
    <w:rsid w:val="000F7978"/>
    <w:rsid w:val="000F7C5E"/>
    <w:rsid w:val="00100121"/>
    <w:rsid w:val="00100B83"/>
    <w:rsid w:val="00100E38"/>
    <w:rsid w:val="0010114F"/>
    <w:rsid w:val="00101188"/>
    <w:rsid w:val="0010140C"/>
    <w:rsid w:val="00101530"/>
    <w:rsid w:val="00101790"/>
    <w:rsid w:val="00101873"/>
    <w:rsid w:val="00101976"/>
    <w:rsid w:val="001020CC"/>
    <w:rsid w:val="00102183"/>
    <w:rsid w:val="001026C2"/>
    <w:rsid w:val="001026CA"/>
    <w:rsid w:val="00102ECA"/>
    <w:rsid w:val="00103272"/>
    <w:rsid w:val="00103643"/>
    <w:rsid w:val="0010391D"/>
    <w:rsid w:val="00103A9F"/>
    <w:rsid w:val="00103F5F"/>
    <w:rsid w:val="001040D9"/>
    <w:rsid w:val="001041D6"/>
    <w:rsid w:val="00104607"/>
    <w:rsid w:val="00104B02"/>
    <w:rsid w:val="00105426"/>
    <w:rsid w:val="00105626"/>
    <w:rsid w:val="001056FF"/>
    <w:rsid w:val="00105C07"/>
    <w:rsid w:val="00105F52"/>
    <w:rsid w:val="00106487"/>
    <w:rsid w:val="001067DF"/>
    <w:rsid w:val="00106DB7"/>
    <w:rsid w:val="00107132"/>
    <w:rsid w:val="0010721B"/>
    <w:rsid w:val="0010747E"/>
    <w:rsid w:val="001077F0"/>
    <w:rsid w:val="00107BAB"/>
    <w:rsid w:val="00107BED"/>
    <w:rsid w:val="001100BD"/>
    <w:rsid w:val="0011063F"/>
    <w:rsid w:val="00110665"/>
    <w:rsid w:val="001108DB"/>
    <w:rsid w:val="00110D96"/>
    <w:rsid w:val="00110FF7"/>
    <w:rsid w:val="001111A4"/>
    <w:rsid w:val="001112C1"/>
    <w:rsid w:val="001113E0"/>
    <w:rsid w:val="0011148E"/>
    <w:rsid w:val="00111B2C"/>
    <w:rsid w:val="00111C75"/>
    <w:rsid w:val="001121BC"/>
    <w:rsid w:val="0011220D"/>
    <w:rsid w:val="0011222F"/>
    <w:rsid w:val="00112785"/>
    <w:rsid w:val="0011287F"/>
    <w:rsid w:val="00112ECF"/>
    <w:rsid w:val="00112F63"/>
    <w:rsid w:val="00113411"/>
    <w:rsid w:val="001134F4"/>
    <w:rsid w:val="00113562"/>
    <w:rsid w:val="00114332"/>
    <w:rsid w:val="001145E5"/>
    <w:rsid w:val="00115385"/>
    <w:rsid w:val="00115696"/>
    <w:rsid w:val="001157B1"/>
    <w:rsid w:val="001158BB"/>
    <w:rsid w:val="00115E75"/>
    <w:rsid w:val="00115EB9"/>
    <w:rsid w:val="001162A0"/>
    <w:rsid w:val="001164C6"/>
    <w:rsid w:val="0011691A"/>
    <w:rsid w:val="00116F50"/>
    <w:rsid w:val="001170C8"/>
    <w:rsid w:val="00117179"/>
    <w:rsid w:val="00117524"/>
    <w:rsid w:val="00117684"/>
    <w:rsid w:val="00117934"/>
    <w:rsid w:val="00117C2A"/>
    <w:rsid w:val="00117C94"/>
    <w:rsid w:val="00117D39"/>
    <w:rsid w:val="00120235"/>
    <w:rsid w:val="00120650"/>
    <w:rsid w:val="00120885"/>
    <w:rsid w:val="001215AA"/>
    <w:rsid w:val="001216DD"/>
    <w:rsid w:val="0012172F"/>
    <w:rsid w:val="00121970"/>
    <w:rsid w:val="00121A21"/>
    <w:rsid w:val="0012245A"/>
    <w:rsid w:val="00122835"/>
    <w:rsid w:val="0012308D"/>
    <w:rsid w:val="00123716"/>
    <w:rsid w:val="00123773"/>
    <w:rsid w:val="0012397F"/>
    <w:rsid w:val="00123B7B"/>
    <w:rsid w:val="00123CC3"/>
    <w:rsid w:val="00124058"/>
    <w:rsid w:val="001240DF"/>
    <w:rsid w:val="0012424A"/>
    <w:rsid w:val="0012473D"/>
    <w:rsid w:val="0012502A"/>
    <w:rsid w:val="0012528D"/>
    <w:rsid w:val="0012531B"/>
    <w:rsid w:val="001254E2"/>
    <w:rsid w:val="00125926"/>
    <w:rsid w:val="001260D7"/>
    <w:rsid w:val="00126210"/>
    <w:rsid w:val="00126729"/>
    <w:rsid w:val="00126979"/>
    <w:rsid w:val="00126A93"/>
    <w:rsid w:val="0012715A"/>
    <w:rsid w:val="00127169"/>
    <w:rsid w:val="001271D8"/>
    <w:rsid w:val="00127630"/>
    <w:rsid w:val="001277EA"/>
    <w:rsid w:val="0012789C"/>
    <w:rsid w:val="001279F6"/>
    <w:rsid w:val="00127B6B"/>
    <w:rsid w:val="00130005"/>
    <w:rsid w:val="00130B71"/>
    <w:rsid w:val="00130F10"/>
    <w:rsid w:val="00131230"/>
    <w:rsid w:val="00131692"/>
    <w:rsid w:val="00131726"/>
    <w:rsid w:val="00132188"/>
    <w:rsid w:val="00132387"/>
    <w:rsid w:val="0013263F"/>
    <w:rsid w:val="00132669"/>
    <w:rsid w:val="00132ED4"/>
    <w:rsid w:val="00133675"/>
    <w:rsid w:val="00134AD4"/>
    <w:rsid w:val="00134C15"/>
    <w:rsid w:val="00134E5F"/>
    <w:rsid w:val="00134FBF"/>
    <w:rsid w:val="0013518A"/>
    <w:rsid w:val="00135480"/>
    <w:rsid w:val="00135863"/>
    <w:rsid w:val="00135BF8"/>
    <w:rsid w:val="00135CD3"/>
    <w:rsid w:val="00135D94"/>
    <w:rsid w:val="001360D6"/>
    <w:rsid w:val="00136225"/>
    <w:rsid w:val="0013668F"/>
    <w:rsid w:val="00136995"/>
    <w:rsid w:val="00136B0D"/>
    <w:rsid w:val="00136F72"/>
    <w:rsid w:val="0013704B"/>
    <w:rsid w:val="001371DD"/>
    <w:rsid w:val="0013772F"/>
    <w:rsid w:val="00137A62"/>
    <w:rsid w:val="00137B5F"/>
    <w:rsid w:val="00137DEA"/>
    <w:rsid w:val="00140528"/>
    <w:rsid w:val="00140795"/>
    <w:rsid w:val="00140AA8"/>
    <w:rsid w:val="00140DFC"/>
    <w:rsid w:val="00140E96"/>
    <w:rsid w:val="00140FB4"/>
    <w:rsid w:val="00140FBC"/>
    <w:rsid w:val="00140FBE"/>
    <w:rsid w:val="0014119F"/>
    <w:rsid w:val="00141429"/>
    <w:rsid w:val="001414D8"/>
    <w:rsid w:val="001416F9"/>
    <w:rsid w:val="00141CCE"/>
    <w:rsid w:val="00141CFE"/>
    <w:rsid w:val="001423A6"/>
    <w:rsid w:val="00142851"/>
    <w:rsid w:val="001428C3"/>
    <w:rsid w:val="00142AE7"/>
    <w:rsid w:val="001431C1"/>
    <w:rsid w:val="001437B2"/>
    <w:rsid w:val="00144004"/>
    <w:rsid w:val="00144EDC"/>
    <w:rsid w:val="001452DA"/>
    <w:rsid w:val="00145A2B"/>
    <w:rsid w:val="00145CD5"/>
    <w:rsid w:val="00145D04"/>
    <w:rsid w:val="00145D43"/>
    <w:rsid w:val="00145D6B"/>
    <w:rsid w:val="001466F7"/>
    <w:rsid w:val="00146754"/>
    <w:rsid w:val="0014675B"/>
    <w:rsid w:val="001469F1"/>
    <w:rsid w:val="00146C25"/>
    <w:rsid w:val="00146E30"/>
    <w:rsid w:val="00146F99"/>
    <w:rsid w:val="00147327"/>
    <w:rsid w:val="001474AE"/>
    <w:rsid w:val="00147908"/>
    <w:rsid w:val="00147A8C"/>
    <w:rsid w:val="00147E9C"/>
    <w:rsid w:val="00150353"/>
    <w:rsid w:val="001503F8"/>
    <w:rsid w:val="0015126C"/>
    <w:rsid w:val="001515B2"/>
    <w:rsid w:val="00151C71"/>
    <w:rsid w:val="00151D87"/>
    <w:rsid w:val="001522E2"/>
    <w:rsid w:val="00152DEB"/>
    <w:rsid w:val="00152F2F"/>
    <w:rsid w:val="00152FF6"/>
    <w:rsid w:val="00153305"/>
    <w:rsid w:val="00153E1A"/>
    <w:rsid w:val="00154582"/>
    <w:rsid w:val="001550D9"/>
    <w:rsid w:val="0015581F"/>
    <w:rsid w:val="00155D3B"/>
    <w:rsid w:val="00155D94"/>
    <w:rsid w:val="00156073"/>
    <w:rsid w:val="0015635A"/>
    <w:rsid w:val="00156942"/>
    <w:rsid w:val="00157016"/>
    <w:rsid w:val="0015765E"/>
    <w:rsid w:val="001576E9"/>
    <w:rsid w:val="00157C42"/>
    <w:rsid w:val="00157E36"/>
    <w:rsid w:val="00160409"/>
    <w:rsid w:val="00160930"/>
    <w:rsid w:val="00160975"/>
    <w:rsid w:val="00161452"/>
    <w:rsid w:val="00161B73"/>
    <w:rsid w:val="00162536"/>
    <w:rsid w:val="001625B7"/>
    <w:rsid w:val="0016280D"/>
    <w:rsid w:val="00162A38"/>
    <w:rsid w:val="00162CA1"/>
    <w:rsid w:val="00162D42"/>
    <w:rsid w:val="00163095"/>
    <w:rsid w:val="00163BA4"/>
    <w:rsid w:val="00163C7A"/>
    <w:rsid w:val="00163F7D"/>
    <w:rsid w:val="001644A6"/>
    <w:rsid w:val="0016493E"/>
    <w:rsid w:val="0016503C"/>
    <w:rsid w:val="001650B2"/>
    <w:rsid w:val="001653DD"/>
    <w:rsid w:val="001654A5"/>
    <w:rsid w:val="001654B7"/>
    <w:rsid w:val="0016562E"/>
    <w:rsid w:val="0016592B"/>
    <w:rsid w:val="00165EAA"/>
    <w:rsid w:val="00165EEE"/>
    <w:rsid w:val="00166413"/>
    <w:rsid w:val="0016666B"/>
    <w:rsid w:val="00166859"/>
    <w:rsid w:val="001674A1"/>
    <w:rsid w:val="001676FD"/>
    <w:rsid w:val="0016786E"/>
    <w:rsid w:val="00167A8D"/>
    <w:rsid w:val="00167D65"/>
    <w:rsid w:val="00167DE6"/>
    <w:rsid w:val="00167E82"/>
    <w:rsid w:val="00167F70"/>
    <w:rsid w:val="0017019C"/>
    <w:rsid w:val="001704FB"/>
    <w:rsid w:val="0017077D"/>
    <w:rsid w:val="0017098A"/>
    <w:rsid w:val="00170A4F"/>
    <w:rsid w:val="00170C70"/>
    <w:rsid w:val="001713C9"/>
    <w:rsid w:val="001718FC"/>
    <w:rsid w:val="001722CF"/>
    <w:rsid w:val="00172D02"/>
    <w:rsid w:val="0017377F"/>
    <w:rsid w:val="00173962"/>
    <w:rsid w:val="0017431A"/>
    <w:rsid w:val="001748B3"/>
    <w:rsid w:val="001748D4"/>
    <w:rsid w:val="00174AC7"/>
    <w:rsid w:val="00174ED6"/>
    <w:rsid w:val="00175191"/>
    <w:rsid w:val="001751D5"/>
    <w:rsid w:val="001753E7"/>
    <w:rsid w:val="001753F4"/>
    <w:rsid w:val="00175501"/>
    <w:rsid w:val="00175723"/>
    <w:rsid w:val="001758DF"/>
    <w:rsid w:val="00175B12"/>
    <w:rsid w:val="001762A1"/>
    <w:rsid w:val="0017652F"/>
    <w:rsid w:val="001766FB"/>
    <w:rsid w:val="00176DC1"/>
    <w:rsid w:val="00176DC8"/>
    <w:rsid w:val="00176DF4"/>
    <w:rsid w:val="00177059"/>
    <w:rsid w:val="0017748C"/>
    <w:rsid w:val="001775DB"/>
    <w:rsid w:val="0018057B"/>
    <w:rsid w:val="0018058D"/>
    <w:rsid w:val="00180D78"/>
    <w:rsid w:val="00180DF3"/>
    <w:rsid w:val="001810D3"/>
    <w:rsid w:val="001811F0"/>
    <w:rsid w:val="00181907"/>
    <w:rsid w:val="00181946"/>
    <w:rsid w:val="00181D92"/>
    <w:rsid w:val="00182496"/>
    <w:rsid w:val="00182550"/>
    <w:rsid w:val="00182794"/>
    <w:rsid w:val="00182AB0"/>
    <w:rsid w:val="00182C23"/>
    <w:rsid w:val="00182F61"/>
    <w:rsid w:val="00183103"/>
    <w:rsid w:val="001831C1"/>
    <w:rsid w:val="00183C7E"/>
    <w:rsid w:val="00183DD8"/>
    <w:rsid w:val="00183F58"/>
    <w:rsid w:val="00184006"/>
    <w:rsid w:val="00184023"/>
    <w:rsid w:val="001840BD"/>
    <w:rsid w:val="001841C9"/>
    <w:rsid w:val="0018426F"/>
    <w:rsid w:val="00184E41"/>
    <w:rsid w:val="00185195"/>
    <w:rsid w:val="001851D3"/>
    <w:rsid w:val="001855B4"/>
    <w:rsid w:val="00185715"/>
    <w:rsid w:val="001857EB"/>
    <w:rsid w:val="00185F69"/>
    <w:rsid w:val="00186595"/>
    <w:rsid w:val="001867D6"/>
    <w:rsid w:val="00186B5B"/>
    <w:rsid w:val="00186DFE"/>
    <w:rsid w:val="001871CA"/>
    <w:rsid w:val="001871E4"/>
    <w:rsid w:val="001871E8"/>
    <w:rsid w:val="00187347"/>
    <w:rsid w:val="00187A42"/>
    <w:rsid w:val="00187AFC"/>
    <w:rsid w:val="00187F70"/>
    <w:rsid w:val="00190638"/>
    <w:rsid w:val="0019082F"/>
    <w:rsid w:val="00190DE7"/>
    <w:rsid w:val="00190F08"/>
    <w:rsid w:val="00191B10"/>
    <w:rsid w:val="00191C10"/>
    <w:rsid w:val="0019210D"/>
    <w:rsid w:val="001921F2"/>
    <w:rsid w:val="00192528"/>
    <w:rsid w:val="001927E0"/>
    <w:rsid w:val="001935CE"/>
    <w:rsid w:val="001938D6"/>
    <w:rsid w:val="00193BC8"/>
    <w:rsid w:val="00193C5A"/>
    <w:rsid w:val="00193D40"/>
    <w:rsid w:val="00194249"/>
    <w:rsid w:val="00194692"/>
    <w:rsid w:val="0019471F"/>
    <w:rsid w:val="00194745"/>
    <w:rsid w:val="0019482F"/>
    <w:rsid w:val="00194AFE"/>
    <w:rsid w:val="00194BEB"/>
    <w:rsid w:val="00194CEC"/>
    <w:rsid w:val="00194DD5"/>
    <w:rsid w:val="00194F40"/>
    <w:rsid w:val="00194F5C"/>
    <w:rsid w:val="00194F73"/>
    <w:rsid w:val="001952FE"/>
    <w:rsid w:val="00195338"/>
    <w:rsid w:val="00195648"/>
    <w:rsid w:val="00195662"/>
    <w:rsid w:val="00195B5B"/>
    <w:rsid w:val="00195C64"/>
    <w:rsid w:val="00195F9C"/>
    <w:rsid w:val="0019665E"/>
    <w:rsid w:val="00196C83"/>
    <w:rsid w:val="001971AF"/>
    <w:rsid w:val="001A0655"/>
    <w:rsid w:val="001A0E2A"/>
    <w:rsid w:val="001A17A0"/>
    <w:rsid w:val="001A190E"/>
    <w:rsid w:val="001A22AA"/>
    <w:rsid w:val="001A238E"/>
    <w:rsid w:val="001A244A"/>
    <w:rsid w:val="001A276D"/>
    <w:rsid w:val="001A2A81"/>
    <w:rsid w:val="001A2F23"/>
    <w:rsid w:val="001A3088"/>
    <w:rsid w:val="001A3173"/>
    <w:rsid w:val="001A3404"/>
    <w:rsid w:val="001A358C"/>
    <w:rsid w:val="001A40C1"/>
    <w:rsid w:val="001A451B"/>
    <w:rsid w:val="001A4AC2"/>
    <w:rsid w:val="001A4C86"/>
    <w:rsid w:val="001A4ED3"/>
    <w:rsid w:val="001A5332"/>
    <w:rsid w:val="001A5BE9"/>
    <w:rsid w:val="001A6241"/>
    <w:rsid w:val="001A6374"/>
    <w:rsid w:val="001A68E7"/>
    <w:rsid w:val="001A6BE7"/>
    <w:rsid w:val="001A6CBE"/>
    <w:rsid w:val="001A7167"/>
    <w:rsid w:val="001A7287"/>
    <w:rsid w:val="001A72F0"/>
    <w:rsid w:val="001A73B9"/>
    <w:rsid w:val="001A78B7"/>
    <w:rsid w:val="001A7FF7"/>
    <w:rsid w:val="001B0364"/>
    <w:rsid w:val="001B0381"/>
    <w:rsid w:val="001B0DD5"/>
    <w:rsid w:val="001B0EC8"/>
    <w:rsid w:val="001B13AA"/>
    <w:rsid w:val="001B1662"/>
    <w:rsid w:val="001B1A9B"/>
    <w:rsid w:val="001B22F1"/>
    <w:rsid w:val="001B26F8"/>
    <w:rsid w:val="001B2731"/>
    <w:rsid w:val="001B2788"/>
    <w:rsid w:val="001B289E"/>
    <w:rsid w:val="001B35FC"/>
    <w:rsid w:val="001B38B2"/>
    <w:rsid w:val="001B3E01"/>
    <w:rsid w:val="001B4EBF"/>
    <w:rsid w:val="001B507B"/>
    <w:rsid w:val="001B52D6"/>
    <w:rsid w:val="001B5517"/>
    <w:rsid w:val="001B583B"/>
    <w:rsid w:val="001B5A4A"/>
    <w:rsid w:val="001B5F2D"/>
    <w:rsid w:val="001B6034"/>
    <w:rsid w:val="001B6313"/>
    <w:rsid w:val="001B6344"/>
    <w:rsid w:val="001B6839"/>
    <w:rsid w:val="001B68DC"/>
    <w:rsid w:val="001B6AFF"/>
    <w:rsid w:val="001B6D0D"/>
    <w:rsid w:val="001B6F1D"/>
    <w:rsid w:val="001B7624"/>
    <w:rsid w:val="001B79D1"/>
    <w:rsid w:val="001B7A0A"/>
    <w:rsid w:val="001B7B99"/>
    <w:rsid w:val="001B7F11"/>
    <w:rsid w:val="001B7F7F"/>
    <w:rsid w:val="001C0541"/>
    <w:rsid w:val="001C0768"/>
    <w:rsid w:val="001C0E07"/>
    <w:rsid w:val="001C0F50"/>
    <w:rsid w:val="001C16AE"/>
    <w:rsid w:val="001C195E"/>
    <w:rsid w:val="001C1A9C"/>
    <w:rsid w:val="001C1AD4"/>
    <w:rsid w:val="001C2422"/>
    <w:rsid w:val="001C261A"/>
    <w:rsid w:val="001C2940"/>
    <w:rsid w:val="001C2B32"/>
    <w:rsid w:val="001C2FE6"/>
    <w:rsid w:val="001C30B5"/>
    <w:rsid w:val="001C3FAB"/>
    <w:rsid w:val="001C4271"/>
    <w:rsid w:val="001C4711"/>
    <w:rsid w:val="001C485D"/>
    <w:rsid w:val="001C49F0"/>
    <w:rsid w:val="001C4ABB"/>
    <w:rsid w:val="001C4B07"/>
    <w:rsid w:val="001C4B33"/>
    <w:rsid w:val="001C50B9"/>
    <w:rsid w:val="001C50FC"/>
    <w:rsid w:val="001C51F8"/>
    <w:rsid w:val="001C568F"/>
    <w:rsid w:val="001C5828"/>
    <w:rsid w:val="001C5B33"/>
    <w:rsid w:val="001C5DDA"/>
    <w:rsid w:val="001C5EC2"/>
    <w:rsid w:val="001C5F84"/>
    <w:rsid w:val="001C618C"/>
    <w:rsid w:val="001C66FA"/>
    <w:rsid w:val="001C7115"/>
    <w:rsid w:val="001C727E"/>
    <w:rsid w:val="001C7305"/>
    <w:rsid w:val="001C753A"/>
    <w:rsid w:val="001C7FB1"/>
    <w:rsid w:val="001D0114"/>
    <w:rsid w:val="001D01EE"/>
    <w:rsid w:val="001D0472"/>
    <w:rsid w:val="001D04E1"/>
    <w:rsid w:val="001D0970"/>
    <w:rsid w:val="001D09D9"/>
    <w:rsid w:val="001D0DE3"/>
    <w:rsid w:val="001D0DE9"/>
    <w:rsid w:val="001D1632"/>
    <w:rsid w:val="001D2066"/>
    <w:rsid w:val="001D2D5C"/>
    <w:rsid w:val="001D2DA6"/>
    <w:rsid w:val="001D2FF7"/>
    <w:rsid w:val="001D38DF"/>
    <w:rsid w:val="001D3D57"/>
    <w:rsid w:val="001D406A"/>
    <w:rsid w:val="001D409E"/>
    <w:rsid w:val="001D4452"/>
    <w:rsid w:val="001D4525"/>
    <w:rsid w:val="001D478A"/>
    <w:rsid w:val="001D50EF"/>
    <w:rsid w:val="001D5472"/>
    <w:rsid w:val="001D5739"/>
    <w:rsid w:val="001D5753"/>
    <w:rsid w:val="001D5794"/>
    <w:rsid w:val="001D57D4"/>
    <w:rsid w:val="001D5A59"/>
    <w:rsid w:val="001D5BFD"/>
    <w:rsid w:val="001D5C5D"/>
    <w:rsid w:val="001D5E50"/>
    <w:rsid w:val="001D5F0A"/>
    <w:rsid w:val="001D627B"/>
    <w:rsid w:val="001D67AF"/>
    <w:rsid w:val="001D6841"/>
    <w:rsid w:val="001D6C20"/>
    <w:rsid w:val="001E02BC"/>
    <w:rsid w:val="001E090F"/>
    <w:rsid w:val="001E0ADB"/>
    <w:rsid w:val="001E0B4E"/>
    <w:rsid w:val="001E0C5A"/>
    <w:rsid w:val="001E16E3"/>
    <w:rsid w:val="001E1916"/>
    <w:rsid w:val="001E19EB"/>
    <w:rsid w:val="001E1DEB"/>
    <w:rsid w:val="001E22A4"/>
    <w:rsid w:val="001E2442"/>
    <w:rsid w:val="001E25DC"/>
    <w:rsid w:val="001E267B"/>
    <w:rsid w:val="001E26A9"/>
    <w:rsid w:val="001E2A0F"/>
    <w:rsid w:val="001E2B1B"/>
    <w:rsid w:val="001E2D87"/>
    <w:rsid w:val="001E2DAF"/>
    <w:rsid w:val="001E320B"/>
    <w:rsid w:val="001E42B9"/>
    <w:rsid w:val="001E4344"/>
    <w:rsid w:val="001E4824"/>
    <w:rsid w:val="001E4BAD"/>
    <w:rsid w:val="001E50F2"/>
    <w:rsid w:val="001E5359"/>
    <w:rsid w:val="001E5B0F"/>
    <w:rsid w:val="001E5CE1"/>
    <w:rsid w:val="001E5EE2"/>
    <w:rsid w:val="001E6179"/>
    <w:rsid w:val="001E6282"/>
    <w:rsid w:val="001E630A"/>
    <w:rsid w:val="001E63DA"/>
    <w:rsid w:val="001E652F"/>
    <w:rsid w:val="001E67D2"/>
    <w:rsid w:val="001E69C3"/>
    <w:rsid w:val="001E6BDA"/>
    <w:rsid w:val="001E6CC3"/>
    <w:rsid w:val="001E6DD1"/>
    <w:rsid w:val="001E6F82"/>
    <w:rsid w:val="001E71FE"/>
    <w:rsid w:val="001E7230"/>
    <w:rsid w:val="001E7283"/>
    <w:rsid w:val="001E736A"/>
    <w:rsid w:val="001E73DE"/>
    <w:rsid w:val="001E7570"/>
    <w:rsid w:val="001E7A07"/>
    <w:rsid w:val="001E7D29"/>
    <w:rsid w:val="001E7D9A"/>
    <w:rsid w:val="001E7F49"/>
    <w:rsid w:val="001F05CE"/>
    <w:rsid w:val="001F10A4"/>
    <w:rsid w:val="001F1494"/>
    <w:rsid w:val="001F14CA"/>
    <w:rsid w:val="001F1523"/>
    <w:rsid w:val="001F1907"/>
    <w:rsid w:val="001F1A28"/>
    <w:rsid w:val="001F1AA9"/>
    <w:rsid w:val="001F1E40"/>
    <w:rsid w:val="001F1F3B"/>
    <w:rsid w:val="001F1F4E"/>
    <w:rsid w:val="001F1FB6"/>
    <w:rsid w:val="001F2228"/>
    <w:rsid w:val="001F23B3"/>
    <w:rsid w:val="001F28DF"/>
    <w:rsid w:val="001F2C02"/>
    <w:rsid w:val="001F2CC9"/>
    <w:rsid w:val="001F2D72"/>
    <w:rsid w:val="001F3220"/>
    <w:rsid w:val="001F3320"/>
    <w:rsid w:val="001F3434"/>
    <w:rsid w:val="001F37BE"/>
    <w:rsid w:val="001F3B04"/>
    <w:rsid w:val="001F3F49"/>
    <w:rsid w:val="001F4194"/>
    <w:rsid w:val="001F42FA"/>
    <w:rsid w:val="001F4403"/>
    <w:rsid w:val="001F4653"/>
    <w:rsid w:val="001F4806"/>
    <w:rsid w:val="001F4CCD"/>
    <w:rsid w:val="001F4EE2"/>
    <w:rsid w:val="001F4F81"/>
    <w:rsid w:val="001F53C0"/>
    <w:rsid w:val="001F5518"/>
    <w:rsid w:val="001F56DA"/>
    <w:rsid w:val="001F5A23"/>
    <w:rsid w:val="001F5AEA"/>
    <w:rsid w:val="001F5BE4"/>
    <w:rsid w:val="001F5DDD"/>
    <w:rsid w:val="001F5FBD"/>
    <w:rsid w:val="001F63F4"/>
    <w:rsid w:val="001F6858"/>
    <w:rsid w:val="001F68AA"/>
    <w:rsid w:val="001F69B3"/>
    <w:rsid w:val="001F6B89"/>
    <w:rsid w:val="001F6C85"/>
    <w:rsid w:val="001F7919"/>
    <w:rsid w:val="002003B7"/>
    <w:rsid w:val="002004C5"/>
    <w:rsid w:val="00200676"/>
    <w:rsid w:val="002006C1"/>
    <w:rsid w:val="002007C7"/>
    <w:rsid w:val="00200951"/>
    <w:rsid w:val="002009E5"/>
    <w:rsid w:val="00200DA8"/>
    <w:rsid w:val="00201230"/>
    <w:rsid w:val="00201507"/>
    <w:rsid w:val="00201523"/>
    <w:rsid w:val="00201698"/>
    <w:rsid w:val="002018C1"/>
    <w:rsid w:val="002018EF"/>
    <w:rsid w:val="002018F2"/>
    <w:rsid w:val="0020214D"/>
    <w:rsid w:val="0020258E"/>
    <w:rsid w:val="002026F8"/>
    <w:rsid w:val="00202C51"/>
    <w:rsid w:val="00202C56"/>
    <w:rsid w:val="00202F90"/>
    <w:rsid w:val="0020303B"/>
    <w:rsid w:val="002031EC"/>
    <w:rsid w:val="00204924"/>
    <w:rsid w:val="00204B23"/>
    <w:rsid w:val="00204E8E"/>
    <w:rsid w:val="00205191"/>
    <w:rsid w:val="00205403"/>
    <w:rsid w:val="002054AE"/>
    <w:rsid w:val="00205B91"/>
    <w:rsid w:val="00206614"/>
    <w:rsid w:val="002067C4"/>
    <w:rsid w:val="00206821"/>
    <w:rsid w:val="0020708E"/>
    <w:rsid w:val="0020733D"/>
    <w:rsid w:val="00207470"/>
    <w:rsid w:val="002077A3"/>
    <w:rsid w:val="00207895"/>
    <w:rsid w:val="002079DE"/>
    <w:rsid w:val="00207BAF"/>
    <w:rsid w:val="00207E22"/>
    <w:rsid w:val="002102CD"/>
    <w:rsid w:val="002107E9"/>
    <w:rsid w:val="002109A6"/>
    <w:rsid w:val="00211155"/>
    <w:rsid w:val="0021118B"/>
    <w:rsid w:val="00211618"/>
    <w:rsid w:val="00211714"/>
    <w:rsid w:val="002118A5"/>
    <w:rsid w:val="00211D8E"/>
    <w:rsid w:val="00211E21"/>
    <w:rsid w:val="00212052"/>
    <w:rsid w:val="002122AE"/>
    <w:rsid w:val="00212301"/>
    <w:rsid w:val="002124FE"/>
    <w:rsid w:val="002125F0"/>
    <w:rsid w:val="00212702"/>
    <w:rsid w:val="00212A0B"/>
    <w:rsid w:val="00212BB6"/>
    <w:rsid w:val="00212CA5"/>
    <w:rsid w:val="00212D5A"/>
    <w:rsid w:val="00212D7E"/>
    <w:rsid w:val="00212EEB"/>
    <w:rsid w:val="0021304D"/>
    <w:rsid w:val="002131EA"/>
    <w:rsid w:val="002134EF"/>
    <w:rsid w:val="00213771"/>
    <w:rsid w:val="00213CE1"/>
    <w:rsid w:val="002140A8"/>
    <w:rsid w:val="002147E8"/>
    <w:rsid w:val="00214B7E"/>
    <w:rsid w:val="00214D03"/>
    <w:rsid w:val="00214EA2"/>
    <w:rsid w:val="00214F20"/>
    <w:rsid w:val="002151CB"/>
    <w:rsid w:val="0021531E"/>
    <w:rsid w:val="00215549"/>
    <w:rsid w:val="002162B8"/>
    <w:rsid w:val="002162D1"/>
    <w:rsid w:val="002163E8"/>
    <w:rsid w:val="0021685B"/>
    <w:rsid w:val="0021699A"/>
    <w:rsid w:val="00216C95"/>
    <w:rsid w:val="00216D0E"/>
    <w:rsid w:val="002170E8"/>
    <w:rsid w:val="00217A23"/>
    <w:rsid w:val="00217AC6"/>
    <w:rsid w:val="00217ADC"/>
    <w:rsid w:val="00217AF9"/>
    <w:rsid w:val="0021ADF9"/>
    <w:rsid w:val="002200E6"/>
    <w:rsid w:val="002203D4"/>
    <w:rsid w:val="0022069E"/>
    <w:rsid w:val="00221169"/>
    <w:rsid w:val="00221360"/>
    <w:rsid w:val="002216B8"/>
    <w:rsid w:val="00221943"/>
    <w:rsid w:val="00221BA9"/>
    <w:rsid w:val="002222F8"/>
    <w:rsid w:val="002227C7"/>
    <w:rsid w:val="00222922"/>
    <w:rsid w:val="0022309E"/>
    <w:rsid w:val="002230C4"/>
    <w:rsid w:val="002233A0"/>
    <w:rsid w:val="00223638"/>
    <w:rsid w:val="0022369A"/>
    <w:rsid w:val="002240C4"/>
    <w:rsid w:val="00225B01"/>
    <w:rsid w:val="00225EDE"/>
    <w:rsid w:val="00226D4B"/>
    <w:rsid w:val="00226EAE"/>
    <w:rsid w:val="00226F0B"/>
    <w:rsid w:val="00227502"/>
    <w:rsid w:val="00227508"/>
    <w:rsid w:val="0022753D"/>
    <w:rsid w:val="002275D0"/>
    <w:rsid w:val="002276DC"/>
    <w:rsid w:val="00227956"/>
    <w:rsid w:val="00227ABF"/>
    <w:rsid w:val="00227D91"/>
    <w:rsid w:val="0023016C"/>
    <w:rsid w:val="0023016D"/>
    <w:rsid w:val="0023039D"/>
    <w:rsid w:val="00230ADB"/>
    <w:rsid w:val="00230DF0"/>
    <w:rsid w:val="00230E92"/>
    <w:rsid w:val="00230FD6"/>
    <w:rsid w:val="002310E0"/>
    <w:rsid w:val="002310FE"/>
    <w:rsid w:val="002311CB"/>
    <w:rsid w:val="002311DA"/>
    <w:rsid w:val="002313C5"/>
    <w:rsid w:val="00231628"/>
    <w:rsid w:val="00231E06"/>
    <w:rsid w:val="002324CD"/>
    <w:rsid w:val="002325BF"/>
    <w:rsid w:val="002329B0"/>
    <w:rsid w:val="00233367"/>
    <w:rsid w:val="00233918"/>
    <w:rsid w:val="00233919"/>
    <w:rsid w:val="00233E7E"/>
    <w:rsid w:val="00233F4C"/>
    <w:rsid w:val="00234369"/>
    <w:rsid w:val="002346EA"/>
    <w:rsid w:val="00234B0A"/>
    <w:rsid w:val="00234B24"/>
    <w:rsid w:val="00235498"/>
    <w:rsid w:val="0023559F"/>
    <w:rsid w:val="00235709"/>
    <w:rsid w:val="00235AA3"/>
    <w:rsid w:val="00235AEF"/>
    <w:rsid w:val="0023632C"/>
    <w:rsid w:val="002363F1"/>
    <w:rsid w:val="0023640C"/>
    <w:rsid w:val="00236D6F"/>
    <w:rsid w:val="002370A6"/>
    <w:rsid w:val="00237786"/>
    <w:rsid w:val="002379C5"/>
    <w:rsid w:val="00237E63"/>
    <w:rsid w:val="00237F90"/>
    <w:rsid w:val="00240315"/>
    <w:rsid w:val="00240550"/>
    <w:rsid w:val="00240B9A"/>
    <w:rsid w:val="002410C8"/>
    <w:rsid w:val="00241667"/>
    <w:rsid w:val="0024166F"/>
    <w:rsid w:val="002416F8"/>
    <w:rsid w:val="0024186E"/>
    <w:rsid w:val="00241D62"/>
    <w:rsid w:val="00242547"/>
    <w:rsid w:val="00242EC9"/>
    <w:rsid w:val="00243634"/>
    <w:rsid w:val="00243693"/>
    <w:rsid w:val="002446A3"/>
    <w:rsid w:val="0024479E"/>
    <w:rsid w:val="00244FC8"/>
    <w:rsid w:val="002456C5"/>
    <w:rsid w:val="00245895"/>
    <w:rsid w:val="00245BF7"/>
    <w:rsid w:val="00245D6C"/>
    <w:rsid w:val="002460CF"/>
    <w:rsid w:val="002460E1"/>
    <w:rsid w:val="002466DC"/>
    <w:rsid w:val="00246A9F"/>
    <w:rsid w:val="00246AF1"/>
    <w:rsid w:val="00246CF5"/>
    <w:rsid w:val="00246D11"/>
    <w:rsid w:val="00246F28"/>
    <w:rsid w:val="00246F2C"/>
    <w:rsid w:val="00247084"/>
    <w:rsid w:val="002470EB"/>
    <w:rsid w:val="00247111"/>
    <w:rsid w:val="002474CC"/>
    <w:rsid w:val="002478E6"/>
    <w:rsid w:val="00247909"/>
    <w:rsid w:val="00247B46"/>
    <w:rsid w:val="00247E82"/>
    <w:rsid w:val="0025042F"/>
    <w:rsid w:val="0025077F"/>
    <w:rsid w:val="00250953"/>
    <w:rsid w:val="00251108"/>
    <w:rsid w:val="0025149E"/>
    <w:rsid w:val="002515D8"/>
    <w:rsid w:val="0025178F"/>
    <w:rsid w:val="0025194E"/>
    <w:rsid w:val="00251AEE"/>
    <w:rsid w:val="002524DD"/>
    <w:rsid w:val="002528FC"/>
    <w:rsid w:val="0025290B"/>
    <w:rsid w:val="0025298A"/>
    <w:rsid w:val="0025310B"/>
    <w:rsid w:val="00253184"/>
    <w:rsid w:val="00253438"/>
    <w:rsid w:val="0025399A"/>
    <w:rsid w:val="00253AA3"/>
    <w:rsid w:val="00253B3A"/>
    <w:rsid w:val="00254867"/>
    <w:rsid w:val="00254A96"/>
    <w:rsid w:val="00254AB3"/>
    <w:rsid w:val="00254C56"/>
    <w:rsid w:val="00254ECB"/>
    <w:rsid w:val="00254EE6"/>
    <w:rsid w:val="00255D54"/>
    <w:rsid w:val="002560C7"/>
    <w:rsid w:val="00256394"/>
    <w:rsid w:val="002563D2"/>
    <w:rsid w:val="00256B28"/>
    <w:rsid w:val="00256D24"/>
    <w:rsid w:val="00257920"/>
    <w:rsid w:val="00257D7B"/>
    <w:rsid w:val="002604F5"/>
    <w:rsid w:val="0026055D"/>
    <w:rsid w:val="002607E5"/>
    <w:rsid w:val="002609A9"/>
    <w:rsid w:val="00260C46"/>
    <w:rsid w:val="00260C47"/>
    <w:rsid w:val="00260C77"/>
    <w:rsid w:val="00260EA6"/>
    <w:rsid w:val="0026100F"/>
    <w:rsid w:val="00261140"/>
    <w:rsid w:val="00261243"/>
    <w:rsid w:val="00261884"/>
    <w:rsid w:val="00261DB1"/>
    <w:rsid w:val="00261FEA"/>
    <w:rsid w:val="00262282"/>
    <w:rsid w:val="002623E6"/>
    <w:rsid w:val="002624CC"/>
    <w:rsid w:val="00262583"/>
    <w:rsid w:val="00262694"/>
    <w:rsid w:val="0026295A"/>
    <w:rsid w:val="0026313E"/>
    <w:rsid w:val="002632C7"/>
    <w:rsid w:val="00263B3F"/>
    <w:rsid w:val="00264107"/>
    <w:rsid w:val="002645DB"/>
    <w:rsid w:val="00264BBD"/>
    <w:rsid w:val="00264F83"/>
    <w:rsid w:val="00264FC0"/>
    <w:rsid w:val="00265047"/>
    <w:rsid w:val="0026554C"/>
    <w:rsid w:val="00265F0F"/>
    <w:rsid w:val="00265FC7"/>
    <w:rsid w:val="0026620C"/>
    <w:rsid w:val="00266522"/>
    <w:rsid w:val="00266948"/>
    <w:rsid w:val="00266A4F"/>
    <w:rsid w:val="00267239"/>
    <w:rsid w:val="00270000"/>
    <w:rsid w:val="0027047D"/>
    <w:rsid w:val="00270500"/>
    <w:rsid w:val="00270894"/>
    <w:rsid w:val="00270E76"/>
    <w:rsid w:val="00270F32"/>
    <w:rsid w:val="0027129E"/>
    <w:rsid w:val="0027169E"/>
    <w:rsid w:val="0027274E"/>
    <w:rsid w:val="00272FD4"/>
    <w:rsid w:val="00273228"/>
    <w:rsid w:val="00273CE6"/>
    <w:rsid w:val="002740EB"/>
    <w:rsid w:val="00274156"/>
    <w:rsid w:val="00274169"/>
    <w:rsid w:val="00274538"/>
    <w:rsid w:val="0027455B"/>
    <w:rsid w:val="00274AA3"/>
    <w:rsid w:val="00274AAA"/>
    <w:rsid w:val="00274B3E"/>
    <w:rsid w:val="002755B9"/>
    <w:rsid w:val="002757F9"/>
    <w:rsid w:val="002758C5"/>
    <w:rsid w:val="00275C81"/>
    <w:rsid w:val="0027630B"/>
    <w:rsid w:val="00276719"/>
    <w:rsid w:val="0027673D"/>
    <w:rsid w:val="002767B6"/>
    <w:rsid w:val="00276B99"/>
    <w:rsid w:val="00276BA2"/>
    <w:rsid w:val="00276C27"/>
    <w:rsid w:val="00276E1C"/>
    <w:rsid w:val="002774F3"/>
    <w:rsid w:val="0027753C"/>
    <w:rsid w:val="00277770"/>
    <w:rsid w:val="00277BF0"/>
    <w:rsid w:val="00277EC8"/>
    <w:rsid w:val="00280A78"/>
    <w:rsid w:val="00280CFA"/>
    <w:rsid w:val="00280D9B"/>
    <w:rsid w:val="00280E6D"/>
    <w:rsid w:val="0028106F"/>
    <w:rsid w:val="0028130D"/>
    <w:rsid w:val="00281C59"/>
    <w:rsid w:val="00281DBE"/>
    <w:rsid w:val="00281DFF"/>
    <w:rsid w:val="00282754"/>
    <w:rsid w:val="00282F35"/>
    <w:rsid w:val="002834BF"/>
    <w:rsid w:val="002836A8"/>
    <w:rsid w:val="002837D9"/>
    <w:rsid w:val="002839D0"/>
    <w:rsid w:val="00283D69"/>
    <w:rsid w:val="0028402E"/>
    <w:rsid w:val="0028406F"/>
    <w:rsid w:val="002841BF"/>
    <w:rsid w:val="002843CE"/>
    <w:rsid w:val="00284487"/>
    <w:rsid w:val="002844C9"/>
    <w:rsid w:val="002848F6"/>
    <w:rsid w:val="00285080"/>
    <w:rsid w:val="0028533F"/>
    <w:rsid w:val="00285985"/>
    <w:rsid w:val="00285B6E"/>
    <w:rsid w:val="00285B8C"/>
    <w:rsid w:val="00285EA4"/>
    <w:rsid w:val="00285F6E"/>
    <w:rsid w:val="00285FE4"/>
    <w:rsid w:val="00286402"/>
    <w:rsid w:val="00286534"/>
    <w:rsid w:val="00286D30"/>
    <w:rsid w:val="00286E2B"/>
    <w:rsid w:val="002870A8"/>
    <w:rsid w:val="002871E7"/>
    <w:rsid w:val="00287450"/>
    <w:rsid w:val="0029023E"/>
    <w:rsid w:val="002904FD"/>
    <w:rsid w:val="00290571"/>
    <w:rsid w:val="002907E9"/>
    <w:rsid w:val="00290D23"/>
    <w:rsid w:val="00290F89"/>
    <w:rsid w:val="0029147A"/>
    <w:rsid w:val="00291537"/>
    <w:rsid w:val="002917A7"/>
    <w:rsid w:val="0029193D"/>
    <w:rsid w:val="00291B51"/>
    <w:rsid w:val="00291BC9"/>
    <w:rsid w:val="0029208F"/>
    <w:rsid w:val="00292137"/>
    <w:rsid w:val="002924CD"/>
    <w:rsid w:val="002924D1"/>
    <w:rsid w:val="00292834"/>
    <w:rsid w:val="0029290F"/>
    <w:rsid w:val="00292924"/>
    <w:rsid w:val="00292D33"/>
    <w:rsid w:val="00292D3B"/>
    <w:rsid w:val="00292D96"/>
    <w:rsid w:val="00292E97"/>
    <w:rsid w:val="00293555"/>
    <w:rsid w:val="002937DD"/>
    <w:rsid w:val="002939BD"/>
    <w:rsid w:val="00293C57"/>
    <w:rsid w:val="002948FD"/>
    <w:rsid w:val="00294B4C"/>
    <w:rsid w:val="00294F45"/>
    <w:rsid w:val="00294FC5"/>
    <w:rsid w:val="0029564B"/>
    <w:rsid w:val="0029571A"/>
    <w:rsid w:val="00295995"/>
    <w:rsid w:val="00295ABC"/>
    <w:rsid w:val="00295B96"/>
    <w:rsid w:val="00295BA8"/>
    <w:rsid w:val="00295C97"/>
    <w:rsid w:val="00295EE3"/>
    <w:rsid w:val="00296A1E"/>
    <w:rsid w:val="00296D72"/>
    <w:rsid w:val="00296DC3"/>
    <w:rsid w:val="0029759C"/>
    <w:rsid w:val="002975B0"/>
    <w:rsid w:val="002975D0"/>
    <w:rsid w:val="002A01F9"/>
    <w:rsid w:val="002A06FE"/>
    <w:rsid w:val="002A0984"/>
    <w:rsid w:val="002A0B60"/>
    <w:rsid w:val="002A0C87"/>
    <w:rsid w:val="002A0DF2"/>
    <w:rsid w:val="002A0EC7"/>
    <w:rsid w:val="002A0F36"/>
    <w:rsid w:val="002A123C"/>
    <w:rsid w:val="002A196C"/>
    <w:rsid w:val="002A1986"/>
    <w:rsid w:val="002A1C37"/>
    <w:rsid w:val="002A1D00"/>
    <w:rsid w:val="002A26E2"/>
    <w:rsid w:val="002A2721"/>
    <w:rsid w:val="002A275D"/>
    <w:rsid w:val="002A2C27"/>
    <w:rsid w:val="002A328B"/>
    <w:rsid w:val="002A32B0"/>
    <w:rsid w:val="002A35BA"/>
    <w:rsid w:val="002A36E2"/>
    <w:rsid w:val="002A38B9"/>
    <w:rsid w:val="002A3ABB"/>
    <w:rsid w:val="002A3BA1"/>
    <w:rsid w:val="002A3C5C"/>
    <w:rsid w:val="002A3C6B"/>
    <w:rsid w:val="002A3E14"/>
    <w:rsid w:val="002A3E31"/>
    <w:rsid w:val="002A40EF"/>
    <w:rsid w:val="002A4144"/>
    <w:rsid w:val="002A4CA4"/>
    <w:rsid w:val="002A4D39"/>
    <w:rsid w:val="002A4EEE"/>
    <w:rsid w:val="002A4F78"/>
    <w:rsid w:val="002A5182"/>
    <w:rsid w:val="002A52DB"/>
    <w:rsid w:val="002A5D1E"/>
    <w:rsid w:val="002A6433"/>
    <w:rsid w:val="002A66E0"/>
    <w:rsid w:val="002A695E"/>
    <w:rsid w:val="002A6A07"/>
    <w:rsid w:val="002A70EF"/>
    <w:rsid w:val="002A71BE"/>
    <w:rsid w:val="002A71F2"/>
    <w:rsid w:val="002A7994"/>
    <w:rsid w:val="002A7F62"/>
    <w:rsid w:val="002B0179"/>
    <w:rsid w:val="002B05B4"/>
    <w:rsid w:val="002B093A"/>
    <w:rsid w:val="002B095F"/>
    <w:rsid w:val="002B0A87"/>
    <w:rsid w:val="002B0F10"/>
    <w:rsid w:val="002B0F73"/>
    <w:rsid w:val="002B123E"/>
    <w:rsid w:val="002B1491"/>
    <w:rsid w:val="002B160A"/>
    <w:rsid w:val="002B1C4E"/>
    <w:rsid w:val="002B1E30"/>
    <w:rsid w:val="002B215F"/>
    <w:rsid w:val="002B2160"/>
    <w:rsid w:val="002B22BF"/>
    <w:rsid w:val="002B22D9"/>
    <w:rsid w:val="002B2610"/>
    <w:rsid w:val="002B28CA"/>
    <w:rsid w:val="002B3190"/>
    <w:rsid w:val="002B3476"/>
    <w:rsid w:val="002B350A"/>
    <w:rsid w:val="002B3996"/>
    <w:rsid w:val="002B3B71"/>
    <w:rsid w:val="002B3FBC"/>
    <w:rsid w:val="002B40AB"/>
    <w:rsid w:val="002B4171"/>
    <w:rsid w:val="002B43F1"/>
    <w:rsid w:val="002B4820"/>
    <w:rsid w:val="002B4B5B"/>
    <w:rsid w:val="002B4BD5"/>
    <w:rsid w:val="002B4CD3"/>
    <w:rsid w:val="002B51FE"/>
    <w:rsid w:val="002B561F"/>
    <w:rsid w:val="002B5642"/>
    <w:rsid w:val="002B5FF9"/>
    <w:rsid w:val="002B6172"/>
    <w:rsid w:val="002B63E1"/>
    <w:rsid w:val="002B6503"/>
    <w:rsid w:val="002B73BE"/>
    <w:rsid w:val="002B75C5"/>
    <w:rsid w:val="002B76D7"/>
    <w:rsid w:val="002C00B3"/>
    <w:rsid w:val="002C08B2"/>
    <w:rsid w:val="002C0A09"/>
    <w:rsid w:val="002C0A44"/>
    <w:rsid w:val="002C0C9D"/>
    <w:rsid w:val="002C0D0A"/>
    <w:rsid w:val="002C0D0F"/>
    <w:rsid w:val="002C1056"/>
    <w:rsid w:val="002C1914"/>
    <w:rsid w:val="002C1FB4"/>
    <w:rsid w:val="002C2210"/>
    <w:rsid w:val="002C22DA"/>
    <w:rsid w:val="002C294E"/>
    <w:rsid w:val="002C2F58"/>
    <w:rsid w:val="002C378B"/>
    <w:rsid w:val="002C389D"/>
    <w:rsid w:val="002C3DD6"/>
    <w:rsid w:val="002C3E13"/>
    <w:rsid w:val="002C3EA4"/>
    <w:rsid w:val="002C4171"/>
    <w:rsid w:val="002C4902"/>
    <w:rsid w:val="002C4A0C"/>
    <w:rsid w:val="002C4C86"/>
    <w:rsid w:val="002C5235"/>
    <w:rsid w:val="002C54BB"/>
    <w:rsid w:val="002C632C"/>
    <w:rsid w:val="002C6C69"/>
    <w:rsid w:val="002C7055"/>
    <w:rsid w:val="002C7AC7"/>
    <w:rsid w:val="002D0493"/>
    <w:rsid w:val="002D1D0C"/>
    <w:rsid w:val="002D1E6F"/>
    <w:rsid w:val="002D22CB"/>
    <w:rsid w:val="002D22D1"/>
    <w:rsid w:val="002D269E"/>
    <w:rsid w:val="002D29C8"/>
    <w:rsid w:val="002D2EBF"/>
    <w:rsid w:val="002D2F19"/>
    <w:rsid w:val="002D30AE"/>
    <w:rsid w:val="002D3AFC"/>
    <w:rsid w:val="002D3C54"/>
    <w:rsid w:val="002D3FB5"/>
    <w:rsid w:val="002D45BF"/>
    <w:rsid w:val="002D489C"/>
    <w:rsid w:val="002D4BA2"/>
    <w:rsid w:val="002D4C09"/>
    <w:rsid w:val="002D4D85"/>
    <w:rsid w:val="002D4F13"/>
    <w:rsid w:val="002D5305"/>
    <w:rsid w:val="002D53FB"/>
    <w:rsid w:val="002D55F1"/>
    <w:rsid w:val="002D59D6"/>
    <w:rsid w:val="002D5A52"/>
    <w:rsid w:val="002D5AFE"/>
    <w:rsid w:val="002D5DDF"/>
    <w:rsid w:val="002D63B4"/>
    <w:rsid w:val="002D6530"/>
    <w:rsid w:val="002D6705"/>
    <w:rsid w:val="002D6B3B"/>
    <w:rsid w:val="002D71AF"/>
    <w:rsid w:val="002D778E"/>
    <w:rsid w:val="002D7996"/>
    <w:rsid w:val="002D7B58"/>
    <w:rsid w:val="002D7D91"/>
    <w:rsid w:val="002E0512"/>
    <w:rsid w:val="002E05C1"/>
    <w:rsid w:val="002E0BFE"/>
    <w:rsid w:val="002E0C55"/>
    <w:rsid w:val="002E0C61"/>
    <w:rsid w:val="002E0D4E"/>
    <w:rsid w:val="002E0E8E"/>
    <w:rsid w:val="002E0FF3"/>
    <w:rsid w:val="002E13CC"/>
    <w:rsid w:val="002E18D6"/>
    <w:rsid w:val="002E1A26"/>
    <w:rsid w:val="002E21E1"/>
    <w:rsid w:val="002E2421"/>
    <w:rsid w:val="002E2568"/>
    <w:rsid w:val="002E2593"/>
    <w:rsid w:val="002E292A"/>
    <w:rsid w:val="002E2CC1"/>
    <w:rsid w:val="002E2E40"/>
    <w:rsid w:val="002E2FA7"/>
    <w:rsid w:val="002E3113"/>
    <w:rsid w:val="002E34BD"/>
    <w:rsid w:val="002E37E0"/>
    <w:rsid w:val="002E3826"/>
    <w:rsid w:val="002E39C0"/>
    <w:rsid w:val="002E3B85"/>
    <w:rsid w:val="002E4D19"/>
    <w:rsid w:val="002E4DAE"/>
    <w:rsid w:val="002E4EF6"/>
    <w:rsid w:val="002E5229"/>
    <w:rsid w:val="002E5566"/>
    <w:rsid w:val="002E5B17"/>
    <w:rsid w:val="002E5BA8"/>
    <w:rsid w:val="002E60F4"/>
    <w:rsid w:val="002E6168"/>
    <w:rsid w:val="002E6547"/>
    <w:rsid w:val="002E6687"/>
    <w:rsid w:val="002E66AE"/>
    <w:rsid w:val="002E6EAF"/>
    <w:rsid w:val="002E7288"/>
    <w:rsid w:val="002E733F"/>
    <w:rsid w:val="002E7E0A"/>
    <w:rsid w:val="002F0098"/>
    <w:rsid w:val="002F0276"/>
    <w:rsid w:val="002F0503"/>
    <w:rsid w:val="002F0B30"/>
    <w:rsid w:val="002F0C0A"/>
    <w:rsid w:val="002F0DF4"/>
    <w:rsid w:val="002F102F"/>
    <w:rsid w:val="002F12EB"/>
    <w:rsid w:val="002F18FC"/>
    <w:rsid w:val="002F1B50"/>
    <w:rsid w:val="002F223E"/>
    <w:rsid w:val="002F28C7"/>
    <w:rsid w:val="002F39F6"/>
    <w:rsid w:val="002F3C12"/>
    <w:rsid w:val="002F3EAD"/>
    <w:rsid w:val="002F3F7A"/>
    <w:rsid w:val="002F3F9F"/>
    <w:rsid w:val="002F3FD6"/>
    <w:rsid w:val="002F4387"/>
    <w:rsid w:val="002F45EC"/>
    <w:rsid w:val="002F537F"/>
    <w:rsid w:val="002F5BBF"/>
    <w:rsid w:val="002F5D32"/>
    <w:rsid w:val="002F66A5"/>
    <w:rsid w:val="002F682D"/>
    <w:rsid w:val="002F6A5C"/>
    <w:rsid w:val="002F6B56"/>
    <w:rsid w:val="002F6E4C"/>
    <w:rsid w:val="002F7230"/>
    <w:rsid w:val="002F7C24"/>
    <w:rsid w:val="002F7C3C"/>
    <w:rsid w:val="002F7CC7"/>
    <w:rsid w:val="002F7F7A"/>
    <w:rsid w:val="00300397"/>
    <w:rsid w:val="0030083C"/>
    <w:rsid w:val="003009A8"/>
    <w:rsid w:val="00300F3B"/>
    <w:rsid w:val="00301602"/>
    <w:rsid w:val="00301AC1"/>
    <w:rsid w:val="00301AC9"/>
    <w:rsid w:val="00302221"/>
    <w:rsid w:val="00302A9B"/>
    <w:rsid w:val="00302ADB"/>
    <w:rsid w:val="00302DA4"/>
    <w:rsid w:val="00302E7B"/>
    <w:rsid w:val="0030302C"/>
    <w:rsid w:val="003030B1"/>
    <w:rsid w:val="003036BF"/>
    <w:rsid w:val="00303A4D"/>
    <w:rsid w:val="00303A78"/>
    <w:rsid w:val="00303B9B"/>
    <w:rsid w:val="00303CF7"/>
    <w:rsid w:val="00303D72"/>
    <w:rsid w:val="0030440D"/>
    <w:rsid w:val="003045D8"/>
    <w:rsid w:val="00304DC2"/>
    <w:rsid w:val="00304E85"/>
    <w:rsid w:val="00304EE5"/>
    <w:rsid w:val="00304F8B"/>
    <w:rsid w:val="00305070"/>
    <w:rsid w:val="0030554B"/>
    <w:rsid w:val="00306017"/>
    <w:rsid w:val="003060BC"/>
    <w:rsid w:val="0030668B"/>
    <w:rsid w:val="00306BEA"/>
    <w:rsid w:val="00306EBF"/>
    <w:rsid w:val="00306FB0"/>
    <w:rsid w:val="0030728B"/>
    <w:rsid w:val="003073A6"/>
    <w:rsid w:val="003073AE"/>
    <w:rsid w:val="00307636"/>
    <w:rsid w:val="00307B39"/>
    <w:rsid w:val="00310454"/>
    <w:rsid w:val="003113C9"/>
    <w:rsid w:val="003113E4"/>
    <w:rsid w:val="003119F7"/>
    <w:rsid w:val="003120D4"/>
    <w:rsid w:val="00312169"/>
    <w:rsid w:val="0031264F"/>
    <w:rsid w:val="0031322C"/>
    <w:rsid w:val="0031334C"/>
    <w:rsid w:val="00313394"/>
    <w:rsid w:val="003133E9"/>
    <w:rsid w:val="003139B5"/>
    <w:rsid w:val="00313CCB"/>
    <w:rsid w:val="00313D6F"/>
    <w:rsid w:val="003141E7"/>
    <w:rsid w:val="0031423B"/>
    <w:rsid w:val="00314267"/>
    <w:rsid w:val="0031427F"/>
    <w:rsid w:val="003143A0"/>
    <w:rsid w:val="00314EF3"/>
    <w:rsid w:val="00314FA1"/>
    <w:rsid w:val="003151DF"/>
    <w:rsid w:val="003153D9"/>
    <w:rsid w:val="00315516"/>
    <w:rsid w:val="00315E57"/>
    <w:rsid w:val="00316820"/>
    <w:rsid w:val="00316A5F"/>
    <w:rsid w:val="00316BB6"/>
    <w:rsid w:val="003171EB"/>
    <w:rsid w:val="003174AE"/>
    <w:rsid w:val="003174F8"/>
    <w:rsid w:val="00317624"/>
    <w:rsid w:val="0032035D"/>
    <w:rsid w:val="00320A41"/>
    <w:rsid w:val="00320BE4"/>
    <w:rsid w:val="00320D54"/>
    <w:rsid w:val="00320FCC"/>
    <w:rsid w:val="0032150F"/>
    <w:rsid w:val="0032162F"/>
    <w:rsid w:val="00321A52"/>
    <w:rsid w:val="00321B0C"/>
    <w:rsid w:val="00321E37"/>
    <w:rsid w:val="00321FBB"/>
    <w:rsid w:val="0032226C"/>
    <w:rsid w:val="0032233F"/>
    <w:rsid w:val="003226BC"/>
    <w:rsid w:val="00322DA1"/>
    <w:rsid w:val="00322F7A"/>
    <w:rsid w:val="00322FF1"/>
    <w:rsid w:val="0032307E"/>
    <w:rsid w:val="00323B15"/>
    <w:rsid w:val="00323D02"/>
    <w:rsid w:val="00323F5B"/>
    <w:rsid w:val="00324197"/>
    <w:rsid w:val="00324479"/>
    <w:rsid w:val="0032457D"/>
    <w:rsid w:val="00324806"/>
    <w:rsid w:val="00324D93"/>
    <w:rsid w:val="00325220"/>
    <w:rsid w:val="0032557E"/>
    <w:rsid w:val="003255CD"/>
    <w:rsid w:val="00325695"/>
    <w:rsid w:val="003257F3"/>
    <w:rsid w:val="003258B5"/>
    <w:rsid w:val="00325DD2"/>
    <w:rsid w:val="00326224"/>
    <w:rsid w:val="003266D9"/>
    <w:rsid w:val="00326D2E"/>
    <w:rsid w:val="003277EC"/>
    <w:rsid w:val="00327A58"/>
    <w:rsid w:val="00327A9B"/>
    <w:rsid w:val="00327ED9"/>
    <w:rsid w:val="00327F3C"/>
    <w:rsid w:val="00330103"/>
    <w:rsid w:val="00330159"/>
    <w:rsid w:val="00330DAB"/>
    <w:rsid w:val="003310DE"/>
    <w:rsid w:val="0033155E"/>
    <w:rsid w:val="00331905"/>
    <w:rsid w:val="00331AF9"/>
    <w:rsid w:val="00331B30"/>
    <w:rsid w:val="00331BB2"/>
    <w:rsid w:val="00331C9B"/>
    <w:rsid w:val="00331CF2"/>
    <w:rsid w:val="00331E21"/>
    <w:rsid w:val="00331F50"/>
    <w:rsid w:val="00331F71"/>
    <w:rsid w:val="0033210A"/>
    <w:rsid w:val="00332178"/>
    <w:rsid w:val="00332389"/>
    <w:rsid w:val="003328AF"/>
    <w:rsid w:val="003329B0"/>
    <w:rsid w:val="00332CB5"/>
    <w:rsid w:val="003333D5"/>
    <w:rsid w:val="003335E2"/>
    <w:rsid w:val="003336F4"/>
    <w:rsid w:val="003337B2"/>
    <w:rsid w:val="00333B8B"/>
    <w:rsid w:val="00333B8F"/>
    <w:rsid w:val="00334B2A"/>
    <w:rsid w:val="00334CE8"/>
    <w:rsid w:val="00334DCD"/>
    <w:rsid w:val="00334E8D"/>
    <w:rsid w:val="0033538E"/>
    <w:rsid w:val="00335EDD"/>
    <w:rsid w:val="00336693"/>
    <w:rsid w:val="00336D2E"/>
    <w:rsid w:val="0033740F"/>
    <w:rsid w:val="003376A1"/>
    <w:rsid w:val="00337DF5"/>
    <w:rsid w:val="0034002A"/>
    <w:rsid w:val="00340382"/>
    <w:rsid w:val="003405D4"/>
    <w:rsid w:val="003405D6"/>
    <w:rsid w:val="003407ED"/>
    <w:rsid w:val="003409A9"/>
    <w:rsid w:val="00340B3A"/>
    <w:rsid w:val="00340FDC"/>
    <w:rsid w:val="00341262"/>
    <w:rsid w:val="00341592"/>
    <w:rsid w:val="003416C0"/>
    <w:rsid w:val="00341919"/>
    <w:rsid w:val="00341941"/>
    <w:rsid w:val="00341B0A"/>
    <w:rsid w:val="00341B10"/>
    <w:rsid w:val="00341E83"/>
    <w:rsid w:val="0034206B"/>
    <w:rsid w:val="003423DB"/>
    <w:rsid w:val="003425EC"/>
    <w:rsid w:val="003426F7"/>
    <w:rsid w:val="003428C1"/>
    <w:rsid w:val="00342B0F"/>
    <w:rsid w:val="00343180"/>
    <w:rsid w:val="00343200"/>
    <w:rsid w:val="003434F9"/>
    <w:rsid w:val="003438C5"/>
    <w:rsid w:val="0034412C"/>
    <w:rsid w:val="0034456B"/>
    <w:rsid w:val="00344613"/>
    <w:rsid w:val="00344735"/>
    <w:rsid w:val="00344A7B"/>
    <w:rsid w:val="00344DA2"/>
    <w:rsid w:val="00345018"/>
    <w:rsid w:val="003451FF"/>
    <w:rsid w:val="0034547B"/>
    <w:rsid w:val="003457D7"/>
    <w:rsid w:val="0034583C"/>
    <w:rsid w:val="003459C7"/>
    <w:rsid w:val="00345DD3"/>
    <w:rsid w:val="003464CA"/>
    <w:rsid w:val="003465B8"/>
    <w:rsid w:val="003465E5"/>
    <w:rsid w:val="00346931"/>
    <w:rsid w:val="003469E4"/>
    <w:rsid w:val="00346A03"/>
    <w:rsid w:val="00346FE6"/>
    <w:rsid w:val="003470DF"/>
    <w:rsid w:val="00347A31"/>
    <w:rsid w:val="00347BCF"/>
    <w:rsid w:val="00347F5B"/>
    <w:rsid w:val="003515EB"/>
    <w:rsid w:val="0035181A"/>
    <w:rsid w:val="003519CD"/>
    <w:rsid w:val="00351A58"/>
    <w:rsid w:val="00352059"/>
    <w:rsid w:val="0035246E"/>
    <w:rsid w:val="00352A47"/>
    <w:rsid w:val="00352C77"/>
    <w:rsid w:val="0035320C"/>
    <w:rsid w:val="0035391B"/>
    <w:rsid w:val="003544BF"/>
    <w:rsid w:val="00354B40"/>
    <w:rsid w:val="00354B4B"/>
    <w:rsid w:val="00354D14"/>
    <w:rsid w:val="00355115"/>
    <w:rsid w:val="00355140"/>
    <w:rsid w:val="00355373"/>
    <w:rsid w:val="003555C5"/>
    <w:rsid w:val="00355A24"/>
    <w:rsid w:val="00355FC5"/>
    <w:rsid w:val="0035603D"/>
    <w:rsid w:val="00356041"/>
    <w:rsid w:val="00356075"/>
    <w:rsid w:val="0035625B"/>
    <w:rsid w:val="00356720"/>
    <w:rsid w:val="00356B9A"/>
    <w:rsid w:val="00356BD7"/>
    <w:rsid w:val="00356D41"/>
    <w:rsid w:val="003570A4"/>
    <w:rsid w:val="00357137"/>
    <w:rsid w:val="0035718F"/>
    <w:rsid w:val="003572AB"/>
    <w:rsid w:val="00357819"/>
    <w:rsid w:val="00357C5C"/>
    <w:rsid w:val="00357EEB"/>
    <w:rsid w:val="00360080"/>
    <w:rsid w:val="00360476"/>
    <w:rsid w:val="00360A80"/>
    <w:rsid w:val="00360AFC"/>
    <w:rsid w:val="00360B12"/>
    <w:rsid w:val="00360CBB"/>
    <w:rsid w:val="003611A9"/>
    <w:rsid w:val="0036138D"/>
    <w:rsid w:val="00361503"/>
    <w:rsid w:val="0036152F"/>
    <w:rsid w:val="00361C22"/>
    <w:rsid w:val="00361E9A"/>
    <w:rsid w:val="00362043"/>
    <w:rsid w:val="00362D80"/>
    <w:rsid w:val="00363051"/>
    <w:rsid w:val="0036359A"/>
    <w:rsid w:val="00363AA3"/>
    <w:rsid w:val="00363BA3"/>
    <w:rsid w:val="00363C5F"/>
    <w:rsid w:val="00363D0E"/>
    <w:rsid w:val="003641C8"/>
    <w:rsid w:val="0036496E"/>
    <w:rsid w:val="003649BB"/>
    <w:rsid w:val="00364C59"/>
    <w:rsid w:val="0036513A"/>
    <w:rsid w:val="0036556D"/>
    <w:rsid w:val="0036570D"/>
    <w:rsid w:val="003659BF"/>
    <w:rsid w:val="00365A15"/>
    <w:rsid w:val="00365A82"/>
    <w:rsid w:val="00365E50"/>
    <w:rsid w:val="00366151"/>
    <w:rsid w:val="00366319"/>
    <w:rsid w:val="00366974"/>
    <w:rsid w:val="003669D5"/>
    <w:rsid w:val="00366DE9"/>
    <w:rsid w:val="0036709C"/>
    <w:rsid w:val="00367151"/>
    <w:rsid w:val="003671F1"/>
    <w:rsid w:val="00367262"/>
    <w:rsid w:val="003675AE"/>
    <w:rsid w:val="0036776E"/>
    <w:rsid w:val="0036791B"/>
    <w:rsid w:val="00367CC9"/>
    <w:rsid w:val="00370213"/>
    <w:rsid w:val="00370AE5"/>
    <w:rsid w:val="00370B84"/>
    <w:rsid w:val="00371482"/>
    <w:rsid w:val="00371C90"/>
    <w:rsid w:val="00371D7B"/>
    <w:rsid w:val="003722DB"/>
    <w:rsid w:val="00372BDD"/>
    <w:rsid w:val="00372C8E"/>
    <w:rsid w:val="00373481"/>
    <w:rsid w:val="00373611"/>
    <w:rsid w:val="00373780"/>
    <w:rsid w:val="00373871"/>
    <w:rsid w:val="0037397D"/>
    <w:rsid w:val="00373BE8"/>
    <w:rsid w:val="00373CC5"/>
    <w:rsid w:val="00373EED"/>
    <w:rsid w:val="00374249"/>
    <w:rsid w:val="003746A0"/>
    <w:rsid w:val="003747B1"/>
    <w:rsid w:val="00374BA4"/>
    <w:rsid w:val="0037517D"/>
    <w:rsid w:val="003753C8"/>
    <w:rsid w:val="0037552A"/>
    <w:rsid w:val="003755D4"/>
    <w:rsid w:val="00375618"/>
    <w:rsid w:val="003757A8"/>
    <w:rsid w:val="0037590C"/>
    <w:rsid w:val="00375931"/>
    <w:rsid w:val="00375B13"/>
    <w:rsid w:val="003765DD"/>
    <w:rsid w:val="003769C1"/>
    <w:rsid w:val="00376E4A"/>
    <w:rsid w:val="00377EBD"/>
    <w:rsid w:val="00380271"/>
    <w:rsid w:val="00380A55"/>
    <w:rsid w:val="00380A61"/>
    <w:rsid w:val="00380AAE"/>
    <w:rsid w:val="00380CE4"/>
    <w:rsid w:val="00380DA3"/>
    <w:rsid w:val="00381DD2"/>
    <w:rsid w:val="00382143"/>
    <w:rsid w:val="003824E1"/>
    <w:rsid w:val="003826D4"/>
    <w:rsid w:val="003829A2"/>
    <w:rsid w:val="00382E99"/>
    <w:rsid w:val="0038389B"/>
    <w:rsid w:val="00383974"/>
    <w:rsid w:val="00383FA3"/>
    <w:rsid w:val="00384164"/>
    <w:rsid w:val="003841CE"/>
    <w:rsid w:val="00384A8F"/>
    <w:rsid w:val="00384C78"/>
    <w:rsid w:val="00384CCE"/>
    <w:rsid w:val="00384EA8"/>
    <w:rsid w:val="003850D5"/>
    <w:rsid w:val="0038525C"/>
    <w:rsid w:val="003852BF"/>
    <w:rsid w:val="00385354"/>
    <w:rsid w:val="00385874"/>
    <w:rsid w:val="00385EAA"/>
    <w:rsid w:val="003860FC"/>
    <w:rsid w:val="00386271"/>
    <w:rsid w:val="0038655A"/>
    <w:rsid w:val="00386C08"/>
    <w:rsid w:val="00386CF3"/>
    <w:rsid w:val="00386E41"/>
    <w:rsid w:val="0038719F"/>
    <w:rsid w:val="00387314"/>
    <w:rsid w:val="0038779B"/>
    <w:rsid w:val="0039071D"/>
    <w:rsid w:val="00390C56"/>
    <w:rsid w:val="00390DD1"/>
    <w:rsid w:val="0039112A"/>
    <w:rsid w:val="003913B7"/>
    <w:rsid w:val="003918F2"/>
    <w:rsid w:val="00391919"/>
    <w:rsid w:val="00392204"/>
    <w:rsid w:val="003923FD"/>
    <w:rsid w:val="00392C13"/>
    <w:rsid w:val="00392C5F"/>
    <w:rsid w:val="00392DA3"/>
    <w:rsid w:val="00392EC2"/>
    <w:rsid w:val="00392F57"/>
    <w:rsid w:val="0039324A"/>
    <w:rsid w:val="003935DB"/>
    <w:rsid w:val="00393789"/>
    <w:rsid w:val="003938BF"/>
    <w:rsid w:val="00394023"/>
    <w:rsid w:val="00394049"/>
    <w:rsid w:val="003946DB"/>
    <w:rsid w:val="0039491F"/>
    <w:rsid w:val="00394E8C"/>
    <w:rsid w:val="00395C18"/>
    <w:rsid w:val="00395D76"/>
    <w:rsid w:val="003960B8"/>
    <w:rsid w:val="0039622E"/>
    <w:rsid w:val="00396699"/>
    <w:rsid w:val="003966F7"/>
    <w:rsid w:val="0039699F"/>
    <w:rsid w:val="00396C0C"/>
    <w:rsid w:val="003976B6"/>
    <w:rsid w:val="00397AAB"/>
    <w:rsid w:val="00397D0D"/>
    <w:rsid w:val="003A044B"/>
    <w:rsid w:val="003A1431"/>
    <w:rsid w:val="003A1A78"/>
    <w:rsid w:val="003A1F98"/>
    <w:rsid w:val="003A214F"/>
    <w:rsid w:val="003A22D9"/>
    <w:rsid w:val="003A26DF"/>
    <w:rsid w:val="003A272C"/>
    <w:rsid w:val="003A31A6"/>
    <w:rsid w:val="003A40A2"/>
    <w:rsid w:val="003A4868"/>
    <w:rsid w:val="003A492F"/>
    <w:rsid w:val="003A4ADB"/>
    <w:rsid w:val="003A52EB"/>
    <w:rsid w:val="003A54C0"/>
    <w:rsid w:val="003A5717"/>
    <w:rsid w:val="003A5B58"/>
    <w:rsid w:val="003A5B65"/>
    <w:rsid w:val="003A5CD2"/>
    <w:rsid w:val="003A5E40"/>
    <w:rsid w:val="003A604A"/>
    <w:rsid w:val="003A6199"/>
    <w:rsid w:val="003A6623"/>
    <w:rsid w:val="003A6FA5"/>
    <w:rsid w:val="003A709F"/>
    <w:rsid w:val="003A755F"/>
    <w:rsid w:val="003A756F"/>
    <w:rsid w:val="003A7A48"/>
    <w:rsid w:val="003A7AF9"/>
    <w:rsid w:val="003A7FC0"/>
    <w:rsid w:val="003B0089"/>
    <w:rsid w:val="003B01F7"/>
    <w:rsid w:val="003B0BF9"/>
    <w:rsid w:val="003B0D0F"/>
    <w:rsid w:val="003B0F45"/>
    <w:rsid w:val="003B0FDF"/>
    <w:rsid w:val="003B106A"/>
    <w:rsid w:val="003B1427"/>
    <w:rsid w:val="003B14C7"/>
    <w:rsid w:val="003B15D5"/>
    <w:rsid w:val="003B1701"/>
    <w:rsid w:val="003B1CC7"/>
    <w:rsid w:val="003B1D1C"/>
    <w:rsid w:val="003B21B7"/>
    <w:rsid w:val="003B239B"/>
    <w:rsid w:val="003B2427"/>
    <w:rsid w:val="003B26F2"/>
    <w:rsid w:val="003B29CD"/>
    <w:rsid w:val="003B2F66"/>
    <w:rsid w:val="003B310F"/>
    <w:rsid w:val="003B4039"/>
    <w:rsid w:val="003B4066"/>
    <w:rsid w:val="003B4069"/>
    <w:rsid w:val="003B490B"/>
    <w:rsid w:val="003B49CC"/>
    <w:rsid w:val="003B4A7E"/>
    <w:rsid w:val="003B4AF3"/>
    <w:rsid w:val="003B4C52"/>
    <w:rsid w:val="003B5120"/>
    <w:rsid w:val="003B5293"/>
    <w:rsid w:val="003B540C"/>
    <w:rsid w:val="003B5A9C"/>
    <w:rsid w:val="003B5BFC"/>
    <w:rsid w:val="003B643B"/>
    <w:rsid w:val="003B6490"/>
    <w:rsid w:val="003B6736"/>
    <w:rsid w:val="003B6C76"/>
    <w:rsid w:val="003B6CDF"/>
    <w:rsid w:val="003B72AE"/>
    <w:rsid w:val="003B741C"/>
    <w:rsid w:val="003B774C"/>
    <w:rsid w:val="003B7AC3"/>
    <w:rsid w:val="003C0136"/>
    <w:rsid w:val="003C01F6"/>
    <w:rsid w:val="003C0973"/>
    <w:rsid w:val="003C1073"/>
    <w:rsid w:val="003C1177"/>
    <w:rsid w:val="003C1242"/>
    <w:rsid w:val="003C1A53"/>
    <w:rsid w:val="003C1B60"/>
    <w:rsid w:val="003C1F15"/>
    <w:rsid w:val="003C23AF"/>
    <w:rsid w:val="003C2A8A"/>
    <w:rsid w:val="003C2FA3"/>
    <w:rsid w:val="003C3154"/>
    <w:rsid w:val="003C33A7"/>
    <w:rsid w:val="003C3DB4"/>
    <w:rsid w:val="003C418C"/>
    <w:rsid w:val="003C41E6"/>
    <w:rsid w:val="003C47D4"/>
    <w:rsid w:val="003C49BE"/>
    <w:rsid w:val="003C49EB"/>
    <w:rsid w:val="003C55A0"/>
    <w:rsid w:val="003C55B9"/>
    <w:rsid w:val="003C55F0"/>
    <w:rsid w:val="003C5757"/>
    <w:rsid w:val="003C5ABE"/>
    <w:rsid w:val="003C5B1C"/>
    <w:rsid w:val="003C5DCF"/>
    <w:rsid w:val="003C62B2"/>
    <w:rsid w:val="003C6685"/>
    <w:rsid w:val="003C6825"/>
    <w:rsid w:val="003C69F6"/>
    <w:rsid w:val="003C6AD1"/>
    <w:rsid w:val="003C6C3C"/>
    <w:rsid w:val="003C78FB"/>
    <w:rsid w:val="003C7A33"/>
    <w:rsid w:val="003D0D86"/>
    <w:rsid w:val="003D1339"/>
    <w:rsid w:val="003D13B1"/>
    <w:rsid w:val="003D1D5D"/>
    <w:rsid w:val="003D266C"/>
    <w:rsid w:val="003D2A1C"/>
    <w:rsid w:val="003D2B9C"/>
    <w:rsid w:val="003D2CE7"/>
    <w:rsid w:val="003D38B8"/>
    <w:rsid w:val="003D3A15"/>
    <w:rsid w:val="003D3C74"/>
    <w:rsid w:val="003D3E5A"/>
    <w:rsid w:val="003D400A"/>
    <w:rsid w:val="003D406C"/>
    <w:rsid w:val="003D412A"/>
    <w:rsid w:val="003D46DA"/>
    <w:rsid w:val="003D4815"/>
    <w:rsid w:val="003D4C1F"/>
    <w:rsid w:val="003D4C81"/>
    <w:rsid w:val="003D4F05"/>
    <w:rsid w:val="003D5914"/>
    <w:rsid w:val="003D5AF6"/>
    <w:rsid w:val="003D6459"/>
    <w:rsid w:val="003D690D"/>
    <w:rsid w:val="003D6989"/>
    <w:rsid w:val="003D6E9B"/>
    <w:rsid w:val="003D7036"/>
    <w:rsid w:val="003D7077"/>
    <w:rsid w:val="003D73DA"/>
    <w:rsid w:val="003D7434"/>
    <w:rsid w:val="003D745A"/>
    <w:rsid w:val="003D74BB"/>
    <w:rsid w:val="003D78CB"/>
    <w:rsid w:val="003D7EE1"/>
    <w:rsid w:val="003E03FE"/>
    <w:rsid w:val="003E099D"/>
    <w:rsid w:val="003E09F6"/>
    <w:rsid w:val="003E0CB6"/>
    <w:rsid w:val="003E0E5E"/>
    <w:rsid w:val="003E0F71"/>
    <w:rsid w:val="003E114E"/>
    <w:rsid w:val="003E17E9"/>
    <w:rsid w:val="003E193D"/>
    <w:rsid w:val="003E1B5C"/>
    <w:rsid w:val="003E1B8E"/>
    <w:rsid w:val="003E22B1"/>
    <w:rsid w:val="003E29C4"/>
    <w:rsid w:val="003E2AE4"/>
    <w:rsid w:val="003E3CE4"/>
    <w:rsid w:val="003E3E4F"/>
    <w:rsid w:val="003E3FBC"/>
    <w:rsid w:val="003E409C"/>
    <w:rsid w:val="003E49BA"/>
    <w:rsid w:val="003E55D2"/>
    <w:rsid w:val="003E57E7"/>
    <w:rsid w:val="003E5DC9"/>
    <w:rsid w:val="003E636E"/>
    <w:rsid w:val="003E639C"/>
    <w:rsid w:val="003E6CEE"/>
    <w:rsid w:val="003E7595"/>
    <w:rsid w:val="003E7B11"/>
    <w:rsid w:val="003F0028"/>
    <w:rsid w:val="003F011F"/>
    <w:rsid w:val="003F0245"/>
    <w:rsid w:val="003F04D5"/>
    <w:rsid w:val="003F0D3A"/>
    <w:rsid w:val="003F0D3D"/>
    <w:rsid w:val="003F0F9D"/>
    <w:rsid w:val="003F14F7"/>
    <w:rsid w:val="003F157A"/>
    <w:rsid w:val="003F1606"/>
    <w:rsid w:val="003F195C"/>
    <w:rsid w:val="003F1AF1"/>
    <w:rsid w:val="003F1E69"/>
    <w:rsid w:val="003F1F13"/>
    <w:rsid w:val="003F2460"/>
    <w:rsid w:val="003F2C2D"/>
    <w:rsid w:val="003F2F40"/>
    <w:rsid w:val="003F3426"/>
    <w:rsid w:val="003F3578"/>
    <w:rsid w:val="003F35AE"/>
    <w:rsid w:val="003F35B0"/>
    <w:rsid w:val="003F3878"/>
    <w:rsid w:val="003F3932"/>
    <w:rsid w:val="003F3994"/>
    <w:rsid w:val="003F3ADE"/>
    <w:rsid w:val="003F3B13"/>
    <w:rsid w:val="003F3C55"/>
    <w:rsid w:val="003F3F67"/>
    <w:rsid w:val="003F403A"/>
    <w:rsid w:val="003F49F1"/>
    <w:rsid w:val="003F4C19"/>
    <w:rsid w:val="003F4C47"/>
    <w:rsid w:val="003F4FCA"/>
    <w:rsid w:val="003F5215"/>
    <w:rsid w:val="003F57B7"/>
    <w:rsid w:val="003F582B"/>
    <w:rsid w:val="003F5B27"/>
    <w:rsid w:val="003F5BC9"/>
    <w:rsid w:val="003F64FB"/>
    <w:rsid w:val="003F6E54"/>
    <w:rsid w:val="003F6FBB"/>
    <w:rsid w:val="003F709B"/>
    <w:rsid w:val="003F72F5"/>
    <w:rsid w:val="003F745D"/>
    <w:rsid w:val="003F746A"/>
    <w:rsid w:val="003F7833"/>
    <w:rsid w:val="003F7886"/>
    <w:rsid w:val="003F7D8E"/>
    <w:rsid w:val="003F7DB0"/>
    <w:rsid w:val="003F7E60"/>
    <w:rsid w:val="003F7E8C"/>
    <w:rsid w:val="00400207"/>
    <w:rsid w:val="0040088C"/>
    <w:rsid w:val="0040180D"/>
    <w:rsid w:val="00401ACD"/>
    <w:rsid w:val="00401C10"/>
    <w:rsid w:val="00401D93"/>
    <w:rsid w:val="00402157"/>
    <w:rsid w:val="004027D5"/>
    <w:rsid w:val="00403B85"/>
    <w:rsid w:val="00403C21"/>
    <w:rsid w:val="00403CF1"/>
    <w:rsid w:val="00403D1F"/>
    <w:rsid w:val="00403EA4"/>
    <w:rsid w:val="004042D8"/>
    <w:rsid w:val="004043B3"/>
    <w:rsid w:val="004047B5"/>
    <w:rsid w:val="0040485A"/>
    <w:rsid w:val="00404869"/>
    <w:rsid w:val="004048C8"/>
    <w:rsid w:val="004050D0"/>
    <w:rsid w:val="00405153"/>
    <w:rsid w:val="00405601"/>
    <w:rsid w:val="00405B59"/>
    <w:rsid w:val="00405C83"/>
    <w:rsid w:val="00406531"/>
    <w:rsid w:val="0040665E"/>
    <w:rsid w:val="004067EA"/>
    <w:rsid w:val="00406968"/>
    <w:rsid w:val="00407056"/>
    <w:rsid w:val="0040733B"/>
    <w:rsid w:val="004077D3"/>
    <w:rsid w:val="004077F9"/>
    <w:rsid w:val="004078B6"/>
    <w:rsid w:val="00410026"/>
    <w:rsid w:val="004101A1"/>
    <w:rsid w:val="0041059B"/>
    <w:rsid w:val="00410A21"/>
    <w:rsid w:val="00410D51"/>
    <w:rsid w:val="00410E9F"/>
    <w:rsid w:val="004114DC"/>
    <w:rsid w:val="00411773"/>
    <w:rsid w:val="00411C4C"/>
    <w:rsid w:val="00411E9D"/>
    <w:rsid w:val="0041220C"/>
    <w:rsid w:val="00412900"/>
    <w:rsid w:val="0041294C"/>
    <w:rsid w:val="00412C4D"/>
    <w:rsid w:val="0041328A"/>
    <w:rsid w:val="00413C24"/>
    <w:rsid w:val="00414D39"/>
    <w:rsid w:val="00414E12"/>
    <w:rsid w:val="00414E65"/>
    <w:rsid w:val="00414E66"/>
    <w:rsid w:val="00414F11"/>
    <w:rsid w:val="00415153"/>
    <w:rsid w:val="00415188"/>
    <w:rsid w:val="0041546B"/>
    <w:rsid w:val="0041565C"/>
    <w:rsid w:val="00415690"/>
    <w:rsid w:val="0041584A"/>
    <w:rsid w:val="00415A72"/>
    <w:rsid w:val="00415CDA"/>
    <w:rsid w:val="00415FF2"/>
    <w:rsid w:val="004164AA"/>
    <w:rsid w:val="0041661C"/>
    <w:rsid w:val="00416687"/>
    <w:rsid w:val="004166B0"/>
    <w:rsid w:val="004168AE"/>
    <w:rsid w:val="004168B7"/>
    <w:rsid w:val="0041698B"/>
    <w:rsid w:val="00416BFF"/>
    <w:rsid w:val="0041706C"/>
    <w:rsid w:val="0041749D"/>
    <w:rsid w:val="004174CD"/>
    <w:rsid w:val="00417C5C"/>
    <w:rsid w:val="0042067C"/>
    <w:rsid w:val="00420929"/>
    <w:rsid w:val="00420C66"/>
    <w:rsid w:val="0042101C"/>
    <w:rsid w:val="00421234"/>
    <w:rsid w:val="00421B1B"/>
    <w:rsid w:val="00421B4B"/>
    <w:rsid w:val="00421C76"/>
    <w:rsid w:val="00421E71"/>
    <w:rsid w:val="004224BA"/>
    <w:rsid w:val="004224FE"/>
    <w:rsid w:val="004226C3"/>
    <w:rsid w:val="0042299F"/>
    <w:rsid w:val="004231B2"/>
    <w:rsid w:val="00423328"/>
    <w:rsid w:val="0042357B"/>
    <w:rsid w:val="004235D7"/>
    <w:rsid w:val="004236E6"/>
    <w:rsid w:val="00423ED8"/>
    <w:rsid w:val="0042442D"/>
    <w:rsid w:val="00424569"/>
    <w:rsid w:val="00424796"/>
    <w:rsid w:val="00424E4B"/>
    <w:rsid w:val="0042519D"/>
    <w:rsid w:val="00425233"/>
    <w:rsid w:val="00425245"/>
    <w:rsid w:val="004253A6"/>
    <w:rsid w:val="0042551E"/>
    <w:rsid w:val="00425AFB"/>
    <w:rsid w:val="004262DA"/>
    <w:rsid w:val="004268EE"/>
    <w:rsid w:val="00426B65"/>
    <w:rsid w:val="00426DA9"/>
    <w:rsid w:val="00426E7A"/>
    <w:rsid w:val="004271ED"/>
    <w:rsid w:val="004273F2"/>
    <w:rsid w:val="00427601"/>
    <w:rsid w:val="00427646"/>
    <w:rsid w:val="004277FF"/>
    <w:rsid w:val="00427A30"/>
    <w:rsid w:val="00427B25"/>
    <w:rsid w:val="00427CA0"/>
    <w:rsid w:val="00427D63"/>
    <w:rsid w:val="00427EF9"/>
    <w:rsid w:val="00430167"/>
    <w:rsid w:val="00430432"/>
    <w:rsid w:val="004304AB"/>
    <w:rsid w:val="004305EB"/>
    <w:rsid w:val="00430E65"/>
    <w:rsid w:val="00430E7B"/>
    <w:rsid w:val="00431256"/>
    <w:rsid w:val="00431405"/>
    <w:rsid w:val="004316C2"/>
    <w:rsid w:val="00431725"/>
    <w:rsid w:val="00431C86"/>
    <w:rsid w:val="00431C95"/>
    <w:rsid w:val="00432450"/>
    <w:rsid w:val="004325C2"/>
    <w:rsid w:val="004329FC"/>
    <w:rsid w:val="00432E30"/>
    <w:rsid w:val="00432EEB"/>
    <w:rsid w:val="004330F2"/>
    <w:rsid w:val="00433146"/>
    <w:rsid w:val="00433818"/>
    <w:rsid w:val="00433931"/>
    <w:rsid w:val="00433A46"/>
    <w:rsid w:val="00433B27"/>
    <w:rsid w:val="00433BB2"/>
    <w:rsid w:val="00433E9F"/>
    <w:rsid w:val="004342D5"/>
    <w:rsid w:val="0043447B"/>
    <w:rsid w:val="004347C6"/>
    <w:rsid w:val="00434D44"/>
    <w:rsid w:val="00434FAD"/>
    <w:rsid w:val="00435D0D"/>
    <w:rsid w:val="00436378"/>
    <w:rsid w:val="004376CB"/>
    <w:rsid w:val="00437DD2"/>
    <w:rsid w:val="00437FEB"/>
    <w:rsid w:val="004402B9"/>
    <w:rsid w:val="00440530"/>
    <w:rsid w:val="00440FE1"/>
    <w:rsid w:val="00441282"/>
    <w:rsid w:val="0044167A"/>
    <w:rsid w:val="00441769"/>
    <w:rsid w:val="00441CFB"/>
    <w:rsid w:val="00441F6F"/>
    <w:rsid w:val="0044216D"/>
    <w:rsid w:val="0044219C"/>
    <w:rsid w:val="004421BA"/>
    <w:rsid w:val="0044282B"/>
    <w:rsid w:val="00442954"/>
    <w:rsid w:val="00442E3B"/>
    <w:rsid w:val="0044433F"/>
    <w:rsid w:val="00444541"/>
    <w:rsid w:val="00444936"/>
    <w:rsid w:val="00444976"/>
    <w:rsid w:val="00444C10"/>
    <w:rsid w:val="004450C5"/>
    <w:rsid w:val="0044629B"/>
    <w:rsid w:val="004463F2"/>
    <w:rsid w:val="00446F58"/>
    <w:rsid w:val="00446FD4"/>
    <w:rsid w:val="004473F4"/>
    <w:rsid w:val="00447424"/>
    <w:rsid w:val="0044778A"/>
    <w:rsid w:val="00447C04"/>
    <w:rsid w:val="00447D87"/>
    <w:rsid w:val="00447E4E"/>
    <w:rsid w:val="00447E77"/>
    <w:rsid w:val="004501A9"/>
    <w:rsid w:val="00450465"/>
    <w:rsid w:val="004506EB"/>
    <w:rsid w:val="00450B9A"/>
    <w:rsid w:val="0045134A"/>
    <w:rsid w:val="004513F8"/>
    <w:rsid w:val="0045159B"/>
    <w:rsid w:val="004519C8"/>
    <w:rsid w:val="00451AD4"/>
    <w:rsid w:val="00452197"/>
    <w:rsid w:val="00452572"/>
    <w:rsid w:val="00452B37"/>
    <w:rsid w:val="004531BB"/>
    <w:rsid w:val="0045395E"/>
    <w:rsid w:val="00453AF0"/>
    <w:rsid w:val="00453BCB"/>
    <w:rsid w:val="00453E03"/>
    <w:rsid w:val="00453ECD"/>
    <w:rsid w:val="0045414B"/>
    <w:rsid w:val="00454206"/>
    <w:rsid w:val="0045428F"/>
    <w:rsid w:val="0045444E"/>
    <w:rsid w:val="004544D6"/>
    <w:rsid w:val="00454E83"/>
    <w:rsid w:val="00455275"/>
    <w:rsid w:val="0045569B"/>
    <w:rsid w:val="00455A12"/>
    <w:rsid w:val="00455F47"/>
    <w:rsid w:val="004560C1"/>
    <w:rsid w:val="00456116"/>
    <w:rsid w:val="004561A1"/>
    <w:rsid w:val="004563E5"/>
    <w:rsid w:val="0045645D"/>
    <w:rsid w:val="00456809"/>
    <w:rsid w:val="004568E6"/>
    <w:rsid w:val="00457301"/>
    <w:rsid w:val="0045758A"/>
    <w:rsid w:val="00460271"/>
    <w:rsid w:val="0046041E"/>
    <w:rsid w:val="00460526"/>
    <w:rsid w:val="00460673"/>
    <w:rsid w:val="00460AA7"/>
    <w:rsid w:val="004615A5"/>
    <w:rsid w:val="004618DF"/>
    <w:rsid w:val="00461E01"/>
    <w:rsid w:val="00461F4B"/>
    <w:rsid w:val="0046209E"/>
    <w:rsid w:val="004621F0"/>
    <w:rsid w:val="004623EB"/>
    <w:rsid w:val="00462456"/>
    <w:rsid w:val="004626D5"/>
    <w:rsid w:val="00462E02"/>
    <w:rsid w:val="00462F26"/>
    <w:rsid w:val="00463035"/>
    <w:rsid w:val="00463152"/>
    <w:rsid w:val="004639BA"/>
    <w:rsid w:val="00463B77"/>
    <w:rsid w:val="00463E83"/>
    <w:rsid w:val="004640B6"/>
    <w:rsid w:val="004644C4"/>
    <w:rsid w:val="004644ED"/>
    <w:rsid w:val="00464BA6"/>
    <w:rsid w:val="00465027"/>
    <w:rsid w:val="004650B7"/>
    <w:rsid w:val="00465837"/>
    <w:rsid w:val="0046591B"/>
    <w:rsid w:val="00465B63"/>
    <w:rsid w:val="00465C56"/>
    <w:rsid w:val="004661FB"/>
    <w:rsid w:val="00466BD4"/>
    <w:rsid w:val="00467092"/>
    <w:rsid w:val="004674E3"/>
    <w:rsid w:val="00467EC0"/>
    <w:rsid w:val="0047003D"/>
    <w:rsid w:val="004700C7"/>
    <w:rsid w:val="00470650"/>
    <w:rsid w:val="004708D8"/>
    <w:rsid w:val="00470DD0"/>
    <w:rsid w:val="0047109B"/>
    <w:rsid w:val="004711E4"/>
    <w:rsid w:val="00471560"/>
    <w:rsid w:val="0047197B"/>
    <w:rsid w:val="00471A28"/>
    <w:rsid w:val="00471B9C"/>
    <w:rsid w:val="00471E7C"/>
    <w:rsid w:val="00472430"/>
    <w:rsid w:val="00472CFA"/>
    <w:rsid w:val="00472DAB"/>
    <w:rsid w:val="00472EB1"/>
    <w:rsid w:val="00472FFB"/>
    <w:rsid w:val="004731A1"/>
    <w:rsid w:val="00473264"/>
    <w:rsid w:val="004734FE"/>
    <w:rsid w:val="00473531"/>
    <w:rsid w:val="004737EF"/>
    <w:rsid w:val="00473E2E"/>
    <w:rsid w:val="0047402F"/>
    <w:rsid w:val="00474083"/>
    <w:rsid w:val="004740BE"/>
    <w:rsid w:val="0047454F"/>
    <w:rsid w:val="00474B37"/>
    <w:rsid w:val="0047518C"/>
    <w:rsid w:val="00475428"/>
    <w:rsid w:val="00475849"/>
    <w:rsid w:val="00476095"/>
    <w:rsid w:val="004761DB"/>
    <w:rsid w:val="0047674A"/>
    <w:rsid w:val="00476BBE"/>
    <w:rsid w:val="00476D5C"/>
    <w:rsid w:val="004770A5"/>
    <w:rsid w:val="004776F0"/>
    <w:rsid w:val="00477731"/>
    <w:rsid w:val="00477CB6"/>
    <w:rsid w:val="00477FEB"/>
    <w:rsid w:val="00480310"/>
    <w:rsid w:val="00480419"/>
    <w:rsid w:val="00480572"/>
    <w:rsid w:val="00480731"/>
    <w:rsid w:val="004808AE"/>
    <w:rsid w:val="00480B52"/>
    <w:rsid w:val="00481537"/>
    <w:rsid w:val="00481873"/>
    <w:rsid w:val="00481CA2"/>
    <w:rsid w:val="00481CC4"/>
    <w:rsid w:val="00481D61"/>
    <w:rsid w:val="00482259"/>
    <w:rsid w:val="00482333"/>
    <w:rsid w:val="00482482"/>
    <w:rsid w:val="004827D9"/>
    <w:rsid w:val="00482858"/>
    <w:rsid w:val="004828C6"/>
    <w:rsid w:val="004828C9"/>
    <w:rsid w:val="004829AB"/>
    <w:rsid w:val="00482E8F"/>
    <w:rsid w:val="00482FA9"/>
    <w:rsid w:val="0048309C"/>
    <w:rsid w:val="0048329E"/>
    <w:rsid w:val="004833E7"/>
    <w:rsid w:val="00483505"/>
    <w:rsid w:val="00483571"/>
    <w:rsid w:val="004837DB"/>
    <w:rsid w:val="00483BCD"/>
    <w:rsid w:val="004840B0"/>
    <w:rsid w:val="00484261"/>
    <w:rsid w:val="00484315"/>
    <w:rsid w:val="00484482"/>
    <w:rsid w:val="00484591"/>
    <w:rsid w:val="00484616"/>
    <w:rsid w:val="00484B8A"/>
    <w:rsid w:val="00484D57"/>
    <w:rsid w:val="00484E1A"/>
    <w:rsid w:val="00485426"/>
    <w:rsid w:val="00485571"/>
    <w:rsid w:val="004862EE"/>
    <w:rsid w:val="0048632C"/>
    <w:rsid w:val="004867B7"/>
    <w:rsid w:val="004868C3"/>
    <w:rsid w:val="00486B01"/>
    <w:rsid w:val="00486F48"/>
    <w:rsid w:val="0048723B"/>
    <w:rsid w:val="004877F6"/>
    <w:rsid w:val="00487A7F"/>
    <w:rsid w:val="00487DB8"/>
    <w:rsid w:val="004905CE"/>
    <w:rsid w:val="00490980"/>
    <w:rsid w:val="0049099C"/>
    <w:rsid w:val="00490EAE"/>
    <w:rsid w:val="00491562"/>
    <w:rsid w:val="004916B1"/>
    <w:rsid w:val="004919D9"/>
    <w:rsid w:val="00491AA8"/>
    <w:rsid w:val="00491CF1"/>
    <w:rsid w:val="00492201"/>
    <w:rsid w:val="00492211"/>
    <w:rsid w:val="004922B8"/>
    <w:rsid w:val="00493066"/>
    <w:rsid w:val="00493537"/>
    <w:rsid w:val="00493BA0"/>
    <w:rsid w:val="00494036"/>
    <w:rsid w:val="004942B0"/>
    <w:rsid w:val="00494597"/>
    <w:rsid w:val="00494678"/>
    <w:rsid w:val="004947B7"/>
    <w:rsid w:val="00494B62"/>
    <w:rsid w:val="00494F36"/>
    <w:rsid w:val="004950A1"/>
    <w:rsid w:val="004961B0"/>
    <w:rsid w:val="004962E7"/>
    <w:rsid w:val="00496337"/>
    <w:rsid w:val="0049656D"/>
    <w:rsid w:val="00496C25"/>
    <w:rsid w:val="00496F0A"/>
    <w:rsid w:val="004971A7"/>
    <w:rsid w:val="00497232"/>
    <w:rsid w:val="004974DE"/>
    <w:rsid w:val="00497530"/>
    <w:rsid w:val="00497883"/>
    <w:rsid w:val="004A097B"/>
    <w:rsid w:val="004A0BCA"/>
    <w:rsid w:val="004A0C08"/>
    <w:rsid w:val="004A1637"/>
    <w:rsid w:val="004A1BC4"/>
    <w:rsid w:val="004A1D68"/>
    <w:rsid w:val="004A1D75"/>
    <w:rsid w:val="004A1DF2"/>
    <w:rsid w:val="004A2082"/>
    <w:rsid w:val="004A2542"/>
    <w:rsid w:val="004A30D4"/>
    <w:rsid w:val="004A3381"/>
    <w:rsid w:val="004A35B2"/>
    <w:rsid w:val="004A379C"/>
    <w:rsid w:val="004A3A5F"/>
    <w:rsid w:val="004A3B67"/>
    <w:rsid w:val="004A3C1A"/>
    <w:rsid w:val="004A47C3"/>
    <w:rsid w:val="004A49B9"/>
    <w:rsid w:val="004A49C6"/>
    <w:rsid w:val="004A4C47"/>
    <w:rsid w:val="004A4D54"/>
    <w:rsid w:val="004A4D5B"/>
    <w:rsid w:val="004A5150"/>
    <w:rsid w:val="004A51C2"/>
    <w:rsid w:val="004A5473"/>
    <w:rsid w:val="004A54BB"/>
    <w:rsid w:val="004A5CFF"/>
    <w:rsid w:val="004A5D4D"/>
    <w:rsid w:val="004A5DAE"/>
    <w:rsid w:val="004A5F05"/>
    <w:rsid w:val="004A6AAC"/>
    <w:rsid w:val="004A6ACC"/>
    <w:rsid w:val="004A6ECD"/>
    <w:rsid w:val="004A7164"/>
    <w:rsid w:val="004A72A3"/>
    <w:rsid w:val="004A771B"/>
    <w:rsid w:val="004A7987"/>
    <w:rsid w:val="004A7A23"/>
    <w:rsid w:val="004A7AD8"/>
    <w:rsid w:val="004A7B17"/>
    <w:rsid w:val="004B00F6"/>
    <w:rsid w:val="004B02ED"/>
    <w:rsid w:val="004B074C"/>
    <w:rsid w:val="004B0ADD"/>
    <w:rsid w:val="004B0C50"/>
    <w:rsid w:val="004B0CA2"/>
    <w:rsid w:val="004B172E"/>
    <w:rsid w:val="004B197E"/>
    <w:rsid w:val="004B1AF4"/>
    <w:rsid w:val="004B1F4F"/>
    <w:rsid w:val="004B266F"/>
    <w:rsid w:val="004B2815"/>
    <w:rsid w:val="004B2AFD"/>
    <w:rsid w:val="004B2B6E"/>
    <w:rsid w:val="004B2D0B"/>
    <w:rsid w:val="004B2F38"/>
    <w:rsid w:val="004B3869"/>
    <w:rsid w:val="004B3B39"/>
    <w:rsid w:val="004B3D85"/>
    <w:rsid w:val="004B3EFF"/>
    <w:rsid w:val="004B412E"/>
    <w:rsid w:val="004B47B6"/>
    <w:rsid w:val="004B493F"/>
    <w:rsid w:val="004B4A13"/>
    <w:rsid w:val="004B4B32"/>
    <w:rsid w:val="004B4F3C"/>
    <w:rsid w:val="004B5242"/>
    <w:rsid w:val="004B54A2"/>
    <w:rsid w:val="004B5570"/>
    <w:rsid w:val="004B585A"/>
    <w:rsid w:val="004B5C6E"/>
    <w:rsid w:val="004B5D97"/>
    <w:rsid w:val="004B5FB2"/>
    <w:rsid w:val="004B63CC"/>
    <w:rsid w:val="004B69C9"/>
    <w:rsid w:val="004B69CC"/>
    <w:rsid w:val="004B7056"/>
    <w:rsid w:val="004B705E"/>
    <w:rsid w:val="004B720C"/>
    <w:rsid w:val="004B78BA"/>
    <w:rsid w:val="004B79C0"/>
    <w:rsid w:val="004B7DD8"/>
    <w:rsid w:val="004B7EF9"/>
    <w:rsid w:val="004B7FAF"/>
    <w:rsid w:val="004B7FCB"/>
    <w:rsid w:val="004C027C"/>
    <w:rsid w:val="004C0611"/>
    <w:rsid w:val="004C09B8"/>
    <w:rsid w:val="004C09CC"/>
    <w:rsid w:val="004C0E1A"/>
    <w:rsid w:val="004C0E9A"/>
    <w:rsid w:val="004C16EF"/>
    <w:rsid w:val="004C182B"/>
    <w:rsid w:val="004C1E5A"/>
    <w:rsid w:val="004C1EE7"/>
    <w:rsid w:val="004C1F2C"/>
    <w:rsid w:val="004C21EA"/>
    <w:rsid w:val="004C23C8"/>
    <w:rsid w:val="004C2599"/>
    <w:rsid w:val="004C264A"/>
    <w:rsid w:val="004C277F"/>
    <w:rsid w:val="004C2839"/>
    <w:rsid w:val="004C2DAB"/>
    <w:rsid w:val="004C3645"/>
    <w:rsid w:val="004C36ED"/>
    <w:rsid w:val="004C48D9"/>
    <w:rsid w:val="004C509F"/>
    <w:rsid w:val="004C5226"/>
    <w:rsid w:val="004C5317"/>
    <w:rsid w:val="004C60E6"/>
    <w:rsid w:val="004C631E"/>
    <w:rsid w:val="004C65FD"/>
    <w:rsid w:val="004C691A"/>
    <w:rsid w:val="004C692B"/>
    <w:rsid w:val="004C695F"/>
    <w:rsid w:val="004C6A3D"/>
    <w:rsid w:val="004C6E6F"/>
    <w:rsid w:val="004C7801"/>
    <w:rsid w:val="004C7E06"/>
    <w:rsid w:val="004D0011"/>
    <w:rsid w:val="004D0B93"/>
    <w:rsid w:val="004D0EEF"/>
    <w:rsid w:val="004D0F7F"/>
    <w:rsid w:val="004D1210"/>
    <w:rsid w:val="004D13D6"/>
    <w:rsid w:val="004D1D8D"/>
    <w:rsid w:val="004D1EB2"/>
    <w:rsid w:val="004D21EE"/>
    <w:rsid w:val="004D2CB8"/>
    <w:rsid w:val="004D2E05"/>
    <w:rsid w:val="004D30EB"/>
    <w:rsid w:val="004D3B46"/>
    <w:rsid w:val="004D3F62"/>
    <w:rsid w:val="004D474A"/>
    <w:rsid w:val="004D4971"/>
    <w:rsid w:val="004D4A95"/>
    <w:rsid w:val="004D5010"/>
    <w:rsid w:val="004D56BD"/>
    <w:rsid w:val="004D599B"/>
    <w:rsid w:val="004D5D23"/>
    <w:rsid w:val="004D5E8F"/>
    <w:rsid w:val="004D600A"/>
    <w:rsid w:val="004D60BE"/>
    <w:rsid w:val="004D644A"/>
    <w:rsid w:val="004D67F1"/>
    <w:rsid w:val="004D6817"/>
    <w:rsid w:val="004D68F1"/>
    <w:rsid w:val="004D6AD8"/>
    <w:rsid w:val="004D6BD9"/>
    <w:rsid w:val="004D6CAD"/>
    <w:rsid w:val="004D7131"/>
    <w:rsid w:val="004D7453"/>
    <w:rsid w:val="004D75E4"/>
    <w:rsid w:val="004D7664"/>
    <w:rsid w:val="004D78C8"/>
    <w:rsid w:val="004D7925"/>
    <w:rsid w:val="004D7CB9"/>
    <w:rsid w:val="004E006B"/>
    <w:rsid w:val="004E03E7"/>
    <w:rsid w:val="004E1327"/>
    <w:rsid w:val="004E142F"/>
    <w:rsid w:val="004E15BC"/>
    <w:rsid w:val="004E19D1"/>
    <w:rsid w:val="004E2098"/>
    <w:rsid w:val="004E23CD"/>
    <w:rsid w:val="004E2416"/>
    <w:rsid w:val="004E270B"/>
    <w:rsid w:val="004E28D4"/>
    <w:rsid w:val="004E296F"/>
    <w:rsid w:val="004E2FF2"/>
    <w:rsid w:val="004E333E"/>
    <w:rsid w:val="004E37F5"/>
    <w:rsid w:val="004E3AB6"/>
    <w:rsid w:val="004E3B01"/>
    <w:rsid w:val="004E4261"/>
    <w:rsid w:val="004E462A"/>
    <w:rsid w:val="004E466F"/>
    <w:rsid w:val="004E494B"/>
    <w:rsid w:val="004E4A05"/>
    <w:rsid w:val="004E4D68"/>
    <w:rsid w:val="004E4ED0"/>
    <w:rsid w:val="004E51CD"/>
    <w:rsid w:val="004E52F0"/>
    <w:rsid w:val="004E548F"/>
    <w:rsid w:val="004E54EA"/>
    <w:rsid w:val="004E5672"/>
    <w:rsid w:val="004E62A7"/>
    <w:rsid w:val="004E643A"/>
    <w:rsid w:val="004E6572"/>
    <w:rsid w:val="004E67C2"/>
    <w:rsid w:val="004E684F"/>
    <w:rsid w:val="004E6C8A"/>
    <w:rsid w:val="004E7234"/>
    <w:rsid w:val="004E7858"/>
    <w:rsid w:val="004E7CD8"/>
    <w:rsid w:val="004E7D67"/>
    <w:rsid w:val="004F0934"/>
    <w:rsid w:val="004F1631"/>
    <w:rsid w:val="004F19AF"/>
    <w:rsid w:val="004F1C84"/>
    <w:rsid w:val="004F1F0C"/>
    <w:rsid w:val="004F2549"/>
    <w:rsid w:val="004F2921"/>
    <w:rsid w:val="004F29C3"/>
    <w:rsid w:val="004F2A75"/>
    <w:rsid w:val="004F300C"/>
    <w:rsid w:val="004F31C6"/>
    <w:rsid w:val="004F342E"/>
    <w:rsid w:val="004F370A"/>
    <w:rsid w:val="004F3D32"/>
    <w:rsid w:val="004F3D6D"/>
    <w:rsid w:val="004F51E3"/>
    <w:rsid w:val="004F51F2"/>
    <w:rsid w:val="004F5566"/>
    <w:rsid w:val="004F5FA4"/>
    <w:rsid w:val="004F612B"/>
    <w:rsid w:val="004F6248"/>
    <w:rsid w:val="004F66F0"/>
    <w:rsid w:val="004F6956"/>
    <w:rsid w:val="004F6EFF"/>
    <w:rsid w:val="004F740F"/>
    <w:rsid w:val="004F7D75"/>
    <w:rsid w:val="004F7E9E"/>
    <w:rsid w:val="00500151"/>
    <w:rsid w:val="00500441"/>
    <w:rsid w:val="00500482"/>
    <w:rsid w:val="0050049A"/>
    <w:rsid w:val="0050050E"/>
    <w:rsid w:val="00500769"/>
    <w:rsid w:val="0050079F"/>
    <w:rsid w:val="005009A0"/>
    <w:rsid w:val="00500B18"/>
    <w:rsid w:val="00500B92"/>
    <w:rsid w:val="005010BE"/>
    <w:rsid w:val="0050147D"/>
    <w:rsid w:val="00501686"/>
    <w:rsid w:val="00501C3A"/>
    <w:rsid w:val="00501DF5"/>
    <w:rsid w:val="00502022"/>
    <w:rsid w:val="0050227F"/>
    <w:rsid w:val="0050249E"/>
    <w:rsid w:val="0050284F"/>
    <w:rsid w:val="00502A5D"/>
    <w:rsid w:val="00502AF3"/>
    <w:rsid w:val="00502B03"/>
    <w:rsid w:val="005031EA"/>
    <w:rsid w:val="00503378"/>
    <w:rsid w:val="0050348B"/>
    <w:rsid w:val="005034E4"/>
    <w:rsid w:val="005035B4"/>
    <w:rsid w:val="0050379D"/>
    <w:rsid w:val="005037E8"/>
    <w:rsid w:val="00503819"/>
    <w:rsid w:val="005039F6"/>
    <w:rsid w:val="005041F3"/>
    <w:rsid w:val="0050431A"/>
    <w:rsid w:val="00504A50"/>
    <w:rsid w:val="00504A6E"/>
    <w:rsid w:val="00504BFE"/>
    <w:rsid w:val="00504FF1"/>
    <w:rsid w:val="005050CB"/>
    <w:rsid w:val="0050556D"/>
    <w:rsid w:val="005059EB"/>
    <w:rsid w:val="00505B4E"/>
    <w:rsid w:val="00505B8B"/>
    <w:rsid w:val="005066DB"/>
    <w:rsid w:val="00506E25"/>
    <w:rsid w:val="00506F3E"/>
    <w:rsid w:val="005071A6"/>
    <w:rsid w:val="005071EA"/>
    <w:rsid w:val="00507C52"/>
    <w:rsid w:val="00507DFC"/>
    <w:rsid w:val="005100B1"/>
    <w:rsid w:val="005100D9"/>
    <w:rsid w:val="00510719"/>
    <w:rsid w:val="00510855"/>
    <w:rsid w:val="00510FE9"/>
    <w:rsid w:val="005113F7"/>
    <w:rsid w:val="005116A4"/>
    <w:rsid w:val="00511852"/>
    <w:rsid w:val="00511923"/>
    <w:rsid w:val="005120D7"/>
    <w:rsid w:val="00512105"/>
    <w:rsid w:val="005123F7"/>
    <w:rsid w:val="005125A3"/>
    <w:rsid w:val="00512F63"/>
    <w:rsid w:val="00512FB4"/>
    <w:rsid w:val="005130F7"/>
    <w:rsid w:val="00513A0E"/>
    <w:rsid w:val="0051454B"/>
    <w:rsid w:val="00514721"/>
    <w:rsid w:val="00514ABB"/>
    <w:rsid w:val="00514AFA"/>
    <w:rsid w:val="005152C3"/>
    <w:rsid w:val="005157BE"/>
    <w:rsid w:val="005157F6"/>
    <w:rsid w:val="00516075"/>
    <w:rsid w:val="0051607F"/>
    <w:rsid w:val="00516246"/>
    <w:rsid w:val="005162E6"/>
    <w:rsid w:val="00516858"/>
    <w:rsid w:val="00516D00"/>
    <w:rsid w:val="00516D58"/>
    <w:rsid w:val="00516F3E"/>
    <w:rsid w:val="005170F4"/>
    <w:rsid w:val="005172B7"/>
    <w:rsid w:val="00517698"/>
    <w:rsid w:val="00517B42"/>
    <w:rsid w:val="00517F40"/>
    <w:rsid w:val="0052033A"/>
    <w:rsid w:val="00520A62"/>
    <w:rsid w:val="00520C1F"/>
    <w:rsid w:val="00520CE2"/>
    <w:rsid w:val="00520EB8"/>
    <w:rsid w:val="005210C1"/>
    <w:rsid w:val="0052115F"/>
    <w:rsid w:val="005216DF"/>
    <w:rsid w:val="00521A3E"/>
    <w:rsid w:val="00521FA1"/>
    <w:rsid w:val="0052231C"/>
    <w:rsid w:val="00522B27"/>
    <w:rsid w:val="0052312D"/>
    <w:rsid w:val="005231B2"/>
    <w:rsid w:val="00523D66"/>
    <w:rsid w:val="00523DA5"/>
    <w:rsid w:val="0052409C"/>
    <w:rsid w:val="005240DA"/>
    <w:rsid w:val="0052459C"/>
    <w:rsid w:val="0052473E"/>
    <w:rsid w:val="0052485F"/>
    <w:rsid w:val="00524AF5"/>
    <w:rsid w:val="00524CE0"/>
    <w:rsid w:val="00524F0F"/>
    <w:rsid w:val="005252A2"/>
    <w:rsid w:val="005259C8"/>
    <w:rsid w:val="00525E30"/>
    <w:rsid w:val="005260D6"/>
    <w:rsid w:val="00526BC3"/>
    <w:rsid w:val="00526DE3"/>
    <w:rsid w:val="00526E05"/>
    <w:rsid w:val="00526F4B"/>
    <w:rsid w:val="005277B2"/>
    <w:rsid w:val="00527B16"/>
    <w:rsid w:val="00527C4A"/>
    <w:rsid w:val="00527E7D"/>
    <w:rsid w:val="00527EBD"/>
    <w:rsid w:val="00527F00"/>
    <w:rsid w:val="00527F37"/>
    <w:rsid w:val="00530078"/>
    <w:rsid w:val="005300F8"/>
    <w:rsid w:val="005302BE"/>
    <w:rsid w:val="005304E6"/>
    <w:rsid w:val="00530B1B"/>
    <w:rsid w:val="00530EC4"/>
    <w:rsid w:val="00530ECB"/>
    <w:rsid w:val="005313C0"/>
    <w:rsid w:val="00531715"/>
    <w:rsid w:val="0053177F"/>
    <w:rsid w:val="005317BE"/>
    <w:rsid w:val="00531BFF"/>
    <w:rsid w:val="00531D4E"/>
    <w:rsid w:val="00531FC1"/>
    <w:rsid w:val="00532074"/>
    <w:rsid w:val="00532150"/>
    <w:rsid w:val="005329DB"/>
    <w:rsid w:val="00532B29"/>
    <w:rsid w:val="00532CD3"/>
    <w:rsid w:val="005331E5"/>
    <w:rsid w:val="00533598"/>
    <w:rsid w:val="00533A06"/>
    <w:rsid w:val="00533A30"/>
    <w:rsid w:val="00533F9A"/>
    <w:rsid w:val="00534662"/>
    <w:rsid w:val="0053489B"/>
    <w:rsid w:val="00534967"/>
    <w:rsid w:val="00534E0A"/>
    <w:rsid w:val="00534F04"/>
    <w:rsid w:val="0053528E"/>
    <w:rsid w:val="005352CD"/>
    <w:rsid w:val="005353EE"/>
    <w:rsid w:val="00535765"/>
    <w:rsid w:val="005357EB"/>
    <w:rsid w:val="00535C4A"/>
    <w:rsid w:val="005367C9"/>
    <w:rsid w:val="0053683A"/>
    <w:rsid w:val="00536B38"/>
    <w:rsid w:val="0053711F"/>
    <w:rsid w:val="005371BE"/>
    <w:rsid w:val="005372EF"/>
    <w:rsid w:val="00537B8D"/>
    <w:rsid w:val="00537DD6"/>
    <w:rsid w:val="00537EA9"/>
    <w:rsid w:val="00537F46"/>
    <w:rsid w:val="00540372"/>
    <w:rsid w:val="005405C3"/>
    <w:rsid w:val="00540633"/>
    <w:rsid w:val="005408B7"/>
    <w:rsid w:val="005410F4"/>
    <w:rsid w:val="0054115B"/>
    <w:rsid w:val="0054115D"/>
    <w:rsid w:val="0054124C"/>
    <w:rsid w:val="00541E4D"/>
    <w:rsid w:val="005426A8"/>
    <w:rsid w:val="00542D8A"/>
    <w:rsid w:val="00542EE0"/>
    <w:rsid w:val="00543F4D"/>
    <w:rsid w:val="00544378"/>
    <w:rsid w:val="0054442F"/>
    <w:rsid w:val="005444CD"/>
    <w:rsid w:val="005444D1"/>
    <w:rsid w:val="005447EC"/>
    <w:rsid w:val="00544DF0"/>
    <w:rsid w:val="0054502A"/>
    <w:rsid w:val="00545395"/>
    <w:rsid w:val="00545463"/>
    <w:rsid w:val="00545534"/>
    <w:rsid w:val="005456CB"/>
    <w:rsid w:val="00545D02"/>
    <w:rsid w:val="0054652C"/>
    <w:rsid w:val="00546B49"/>
    <w:rsid w:val="00546D56"/>
    <w:rsid w:val="0054710E"/>
    <w:rsid w:val="005472A5"/>
    <w:rsid w:val="005477DE"/>
    <w:rsid w:val="005478A5"/>
    <w:rsid w:val="00547923"/>
    <w:rsid w:val="00547FBD"/>
    <w:rsid w:val="00547FF0"/>
    <w:rsid w:val="00547FFE"/>
    <w:rsid w:val="00550793"/>
    <w:rsid w:val="00550C79"/>
    <w:rsid w:val="00550DBC"/>
    <w:rsid w:val="005517B7"/>
    <w:rsid w:val="005517CE"/>
    <w:rsid w:val="00551EF3"/>
    <w:rsid w:val="00552742"/>
    <w:rsid w:val="0055283D"/>
    <w:rsid w:val="00552874"/>
    <w:rsid w:val="005530FD"/>
    <w:rsid w:val="0055317B"/>
    <w:rsid w:val="00553306"/>
    <w:rsid w:val="00553751"/>
    <w:rsid w:val="00553913"/>
    <w:rsid w:val="00553F58"/>
    <w:rsid w:val="00554850"/>
    <w:rsid w:val="00554984"/>
    <w:rsid w:val="00554C11"/>
    <w:rsid w:val="00554DB2"/>
    <w:rsid w:val="0055558A"/>
    <w:rsid w:val="00555ED5"/>
    <w:rsid w:val="00556154"/>
    <w:rsid w:val="00556360"/>
    <w:rsid w:val="0055686F"/>
    <w:rsid w:val="005569B5"/>
    <w:rsid w:val="00556B12"/>
    <w:rsid w:val="005573CC"/>
    <w:rsid w:val="005573E7"/>
    <w:rsid w:val="00557485"/>
    <w:rsid w:val="00557B59"/>
    <w:rsid w:val="00557EA8"/>
    <w:rsid w:val="00560545"/>
    <w:rsid w:val="00560644"/>
    <w:rsid w:val="005606A6"/>
    <w:rsid w:val="00560AD8"/>
    <w:rsid w:val="00560CE0"/>
    <w:rsid w:val="00560D64"/>
    <w:rsid w:val="005611BC"/>
    <w:rsid w:val="0056128C"/>
    <w:rsid w:val="00561399"/>
    <w:rsid w:val="00561583"/>
    <w:rsid w:val="00561735"/>
    <w:rsid w:val="005629EB"/>
    <w:rsid w:val="00563F68"/>
    <w:rsid w:val="0056421C"/>
    <w:rsid w:val="00564932"/>
    <w:rsid w:val="00564952"/>
    <w:rsid w:val="005649F9"/>
    <w:rsid w:val="00564BB2"/>
    <w:rsid w:val="00565233"/>
    <w:rsid w:val="005653E5"/>
    <w:rsid w:val="00565517"/>
    <w:rsid w:val="005655A6"/>
    <w:rsid w:val="005667BC"/>
    <w:rsid w:val="0056682D"/>
    <w:rsid w:val="00566A74"/>
    <w:rsid w:val="0056717A"/>
    <w:rsid w:val="005671C0"/>
    <w:rsid w:val="005677CE"/>
    <w:rsid w:val="00567C80"/>
    <w:rsid w:val="00570257"/>
    <w:rsid w:val="0057076E"/>
    <w:rsid w:val="00570776"/>
    <w:rsid w:val="005708FC"/>
    <w:rsid w:val="00570982"/>
    <w:rsid w:val="00570DD1"/>
    <w:rsid w:val="0057113D"/>
    <w:rsid w:val="00571726"/>
    <w:rsid w:val="005717FF"/>
    <w:rsid w:val="00571D6E"/>
    <w:rsid w:val="00572122"/>
    <w:rsid w:val="005727F4"/>
    <w:rsid w:val="00572CD3"/>
    <w:rsid w:val="00572E7E"/>
    <w:rsid w:val="005734AE"/>
    <w:rsid w:val="00573678"/>
    <w:rsid w:val="00574134"/>
    <w:rsid w:val="005744EB"/>
    <w:rsid w:val="00574692"/>
    <w:rsid w:val="00574887"/>
    <w:rsid w:val="00575BED"/>
    <w:rsid w:val="00575D06"/>
    <w:rsid w:val="00575E1B"/>
    <w:rsid w:val="00576B82"/>
    <w:rsid w:val="00576D92"/>
    <w:rsid w:val="00576F3D"/>
    <w:rsid w:val="00576F53"/>
    <w:rsid w:val="00577CEE"/>
    <w:rsid w:val="00577FE6"/>
    <w:rsid w:val="0058037D"/>
    <w:rsid w:val="00580995"/>
    <w:rsid w:val="00580BA8"/>
    <w:rsid w:val="00580D37"/>
    <w:rsid w:val="00581085"/>
    <w:rsid w:val="00581091"/>
    <w:rsid w:val="00581097"/>
    <w:rsid w:val="005815A2"/>
    <w:rsid w:val="005815A3"/>
    <w:rsid w:val="005819C6"/>
    <w:rsid w:val="00581B15"/>
    <w:rsid w:val="00582839"/>
    <w:rsid w:val="005828A4"/>
    <w:rsid w:val="0058337E"/>
    <w:rsid w:val="00583640"/>
    <w:rsid w:val="0058367E"/>
    <w:rsid w:val="00583780"/>
    <w:rsid w:val="005839DA"/>
    <w:rsid w:val="00583E2E"/>
    <w:rsid w:val="005841C5"/>
    <w:rsid w:val="005843FB"/>
    <w:rsid w:val="00584423"/>
    <w:rsid w:val="005845AB"/>
    <w:rsid w:val="00584AC3"/>
    <w:rsid w:val="00584C2B"/>
    <w:rsid w:val="00584EFB"/>
    <w:rsid w:val="00584F22"/>
    <w:rsid w:val="0058516C"/>
    <w:rsid w:val="005852AC"/>
    <w:rsid w:val="0058577D"/>
    <w:rsid w:val="005858A3"/>
    <w:rsid w:val="005858FE"/>
    <w:rsid w:val="0058597A"/>
    <w:rsid w:val="005859F0"/>
    <w:rsid w:val="00585BFF"/>
    <w:rsid w:val="0058633C"/>
    <w:rsid w:val="005863F1"/>
    <w:rsid w:val="0058675D"/>
    <w:rsid w:val="00586A51"/>
    <w:rsid w:val="00586D95"/>
    <w:rsid w:val="00587377"/>
    <w:rsid w:val="0058747D"/>
    <w:rsid w:val="00587D49"/>
    <w:rsid w:val="005900AB"/>
    <w:rsid w:val="0059011E"/>
    <w:rsid w:val="00590166"/>
    <w:rsid w:val="0059025F"/>
    <w:rsid w:val="00590FCB"/>
    <w:rsid w:val="00591018"/>
    <w:rsid w:val="00591379"/>
    <w:rsid w:val="00591684"/>
    <w:rsid w:val="00591A49"/>
    <w:rsid w:val="00591D01"/>
    <w:rsid w:val="00592093"/>
    <w:rsid w:val="0059270E"/>
    <w:rsid w:val="0059276B"/>
    <w:rsid w:val="005927AC"/>
    <w:rsid w:val="00592B7E"/>
    <w:rsid w:val="00592E14"/>
    <w:rsid w:val="00593855"/>
    <w:rsid w:val="0059395C"/>
    <w:rsid w:val="00593A01"/>
    <w:rsid w:val="00593C7C"/>
    <w:rsid w:val="00594413"/>
    <w:rsid w:val="0059456D"/>
    <w:rsid w:val="0059462A"/>
    <w:rsid w:val="005948CB"/>
    <w:rsid w:val="00594973"/>
    <w:rsid w:val="00594FDC"/>
    <w:rsid w:val="00595175"/>
    <w:rsid w:val="0059592A"/>
    <w:rsid w:val="00595998"/>
    <w:rsid w:val="00595A98"/>
    <w:rsid w:val="00596EB1"/>
    <w:rsid w:val="00597383"/>
    <w:rsid w:val="00597953"/>
    <w:rsid w:val="00597A99"/>
    <w:rsid w:val="00597C5E"/>
    <w:rsid w:val="005A0870"/>
    <w:rsid w:val="005A0AA2"/>
    <w:rsid w:val="005A0E2C"/>
    <w:rsid w:val="005A1225"/>
    <w:rsid w:val="005A1325"/>
    <w:rsid w:val="005A1665"/>
    <w:rsid w:val="005A1A12"/>
    <w:rsid w:val="005A1A85"/>
    <w:rsid w:val="005A1AB2"/>
    <w:rsid w:val="005A1BF5"/>
    <w:rsid w:val="005A1E8F"/>
    <w:rsid w:val="005A2026"/>
    <w:rsid w:val="005A2759"/>
    <w:rsid w:val="005A2B66"/>
    <w:rsid w:val="005A2BD1"/>
    <w:rsid w:val="005A3216"/>
    <w:rsid w:val="005A3766"/>
    <w:rsid w:val="005A3C70"/>
    <w:rsid w:val="005A42FA"/>
    <w:rsid w:val="005A4368"/>
    <w:rsid w:val="005A4972"/>
    <w:rsid w:val="005A4A4D"/>
    <w:rsid w:val="005A4A4E"/>
    <w:rsid w:val="005A4F49"/>
    <w:rsid w:val="005A589E"/>
    <w:rsid w:val="005A5C76"/>
    <w:rsid w:val="005A6604"/>
    <w:rsid w:val="005A680A"/>
    <w:rsid w:val="005A7246"/>
    <w:rsid w:val="005A7719"/>
    <w:rsid w:val="005A7874"/>
    <w:rsid w:val="005A7B5C"/>
    <w:rsid w:val="005A7E28"/>
    <w:rsid w:val="005B008C"/>
    <w:rsid w:val="005B0892"/>
    <w:rsid w:val="005B0D15"/>
    <w:rsid w:val="005B1463"/>
    <w:rsid w:val="005B1B36"/>
    <w:rsid w:val="005B2052"/>
    <w:rsid w:val="005B22B0"/>
    <w:rsid w:val="005B2A18"/>
    <w:rsid w:val="005B2C57"/>
    <w:rsid w:val="005B2DA9"/>
    <w:rsid w:val="005B2F20"/>
    <w:rsid w:val="005B2F46"/>
    <w:rsid w:val="005B2FD4"/>
    <w:rsid w:val="005B2FFC"/>
    <w:rsid w:val="005B3767"/>
    <w:rsid w:val="005B3EE4"/>
    <w:rsid w:val="005B40A3"/>
    <w:rsid w:val="005B4111"/>
    <w:rsid w:val="005B47BE"/>
    <w:rsid w:val="005B4CD2"/>
    <w:rsid w:val="005B552A"/>
    <w:rsid w:val="005B5992"/>
    <w:rsid w:val="005B5AB6"/>
    <w:rsid w:val="005B5C53"/>
    <w:rsid w:val="005B5D38"/>
    <w:rsid w:val="005B61A3"/>
    <w:rsid w:val="005B66B7"/>
    <w:rsid w:val="005B66D5"/>
    <w:rsid w:val="005B6FDA"/>
    <w:rsid w:val="005B7043"/>
    <w:rsid w:val="005B7159"/>
    <w:rsid w:val="005B738E"/>
    <w:rsid w:val="005B74B9"/>
    <w:rsid w:val="005B7716"/>
    <w:rsid w:val="005B77B3"/>
    <w:rsid w:val="005B7C14"/>
    <w:rsid w:val="005B7CA0"/>
    <w:rsid w:val="005B7FA3"/>
    <w:rsid w:val="005C035F"/>
    <w:rsid w:val="005C03BE"/>
    <w:rsid w:val="005C0644"/>
    <w:rsid w:val="005C0BF2"/>
    <w:rsid w:val="005C106D"/>
    <w:rsid w:val="005C10F9"/>
    <w:rsid w:val="005C169F"/>
    <w:rsid w:val="005C1EC4"/>
    <w:rsid w:val="005C1F15"/>
    <w:rsid w:val="005C22D5"/>
    <w:rsid w:val="005C25C7"/>
    <w:rsid w:val="005C2B6A"/>
    <w:rsid w:val="005C2E49"/>
    <w:rsid w:val="005C36A3"/>
    <w:rsid w:val="005C375F"/>
    <w:rsid w:val="005C3C02"/>
    <w:rsid w:val="005C432E"/>
    <w:rsid w:val="005C4585"/>
    <w:rsid w:val="005C49C8"/>
    <w:rsid w:val="005C4D27"/>
    <w:rsid w:val="005C51E0"/>
    <w:rsid w:val="005C57E4"/>
    <w:rsid w:val="005C5ADB"/>
    <w:rsid w:val="005C64AD"/>
    <w:rsid w:val="005C6A13"/>
    <w:rsid w:val="005C741B"/>
    <w:rsid w:val="005C7B30"/>
    <w:rsid w:val="005D0345"/>
    <w:rsid w:val="005D098F"/>
    <w:rsid w:val="005D0CB0"/>
    <w:rsid w:val="005D127D"/>
    <w:rsid w:val="005D1834"/>
    <w:rsid w:val="005D1CB9"/>
    <w:rsid w:val="005D20D9"/>
    <w:rsid w:val="005D2101"/>
    <w:rsid w:val="005D22F8"/>
    <w:rsid w:val="005D255A"/>
    <w:rsid w:val="005D2D77"/>
    <w:rsid w:val="005D3060"/>
    <w:rsid w:val="005D3428"/>
    <w:rsid w:val="005D349C"/>
    <w:rsid w:val="005D3AD6"/>
    <w:rsid w:val="005D47A7"/>
    <w:rsid w:val="005D4AEF"/>
    <w:rsid w:val="005D4BE2"/>
    <w:rsid w:val="005D4C31"/>
    <w:rsid w:val="005D4F0F"/>
    <w:rsid w:val="005D52F4"/>
    <w:rsid w:val="005D54B6"/>
    <w:rsid w:val="005D551A"/>
    <w:rsid w:val="005D59B8"/>
    <w:rsid w:val="005D5A4D"/>
    <w:rsid w:val="005D5E61"/>
    <w:rsid w:val="005D6C69"/>
    <w:rsid w:val="005D7411"/>
    <w:rsid w:val="005D786A"/>
    <w:rsid w:val="005D7984"/>
    <w:rsid w:val="005D7B16"/>
    <w:rsid w:val="005D7EF3"/>
    <w:rsid w:val="005E0173"/>
    <w:rsid w:val="005E0382"/>
    <w:rsid w:val="005E0925"/>
    <w:rsid w:val="005E0AC2"/>
    <w:rsid w:val="005E1002"/>
    <w:rsid w:val="005E1138"/>
    <w:rsid w:val="005E1980"/>
    <w:rsid w:val="005E1B62"/>
    <w:rsid w:val="005E2419"/>
    <w:rsid w:val="005E281A"/>
    <w:rsid w:val="005E28AF"/>
    <w:rsid w:val="005E2993"/>
    <w:rsid w:val="005E2DA6"/>
    <w:rsid w:val="005E2DA9"/>
    <w:rsid w:val="005E2F72"/>
    <w:rsid w:val="005E3E6A"/>
    <w:rsid w:val="005E3FC1"/>
    <w:rsid w:val="005E428C"/>
    <w:rsid w:val="005E47E9"/>
    <w:rsid w:val="005E525C"/>
    <w:rsid w:val="005E58C4"/>
    <w:rsid w:val="005E59C6"/>
    <w:rsid w:val="005E59CC"/>
    <w:rsid w:val="005E5B11"/>
    <w:rsid w:val="005E5BDF"/>
    <w:rsid w:val="005E5D6D"/>
    <w:rsid w:val="005E5ECC"/>
    <w:rsid w:val="005E63AB"/>
    <w:rsid w:val="005E640B"/>
    <w:rsid w:val="005E6606"/>
    <w:rsid w:val="005E67D1"/>
    <w:rsid w:val="005E68A3"/>
    <w:rsid w:val="005E6901"/>
    <w:rsid w:val="005E6DF5"/>
    <w:rsid w:val="005E6EF9"/>
    <w:rsid w:val="005E7359"/>
    <w:rsid w:val="005E794D"/>
    <w:rsid w:val="005E7A62"/>
    <w:rsid w:val="005E7AA2"/>
    <w:rsid w:val="005E7B1E"/>
    <w:rsid w:val="005E7B95"/>
    <w:rsid w:val="005E7E11"/>
    <w:rsid w:val="005F01C8"/>
    <w:rsid w:val="005F02B2"/>
    <w:rsid w:val="005F0812"/>
    <w:rsid w:val="005F12D1"/>
    <w:rsid w:val="005F12FF"/>
    <w:rsid w:val="005F15E0"/>
    <w:rsid w:val="005F1A29"/>
    <w:rsid w:val="005F1B0F"/>
    <w:rsid w:val="005F20F1"/>
    <w:rsid w:val="005F2126"/>
    <w:rsid w:val="005F21CE"/>
    <w:rsid w:val="005F220E"/>
    <w:rsid w:val="005F2BC8"/>
    <w:rsid w:val="005F31C7"/>
    <w:rsid w:val="005F3647"/>
    <w:rsid w:val="005F3831"/>
    <w:rsid w:val="005F3FAC"/>
    <w:rsid w:val="005F442D"/>
    <w:rsid w:val="005F45CF"/>
    <w:rsid w:val="005F4747"/>
    <w:rsid w:val="005F4A05"/>
    <w:rsid w:val="005F4BB5"/>
    <w:rsid w:val="005F4CF1"/>
    <w:rsid w:val="005F4DAA"/>
    <w:rsid w:val="005F50D0"/>
    <w:rsid w:val="005F51EB"/>
    <w:rsid w:val="005F5476"/>
    <w:rsid w:val="005F55FB"/>
    <w:rsid w:val="005F5C09"/>
    <w:rsid w:val="005F5ED7"/>
    <w:rsid w:val="005F603C"/>
    <w:rsid w:val="005F670E"/>
    <w:rsid w:val="005F6777"/>
    <w:rsid w:val="005F69C3"/>
    <w:rsid w:val="005F6B11"/>
    <w:rsid w:val="005F70DA"/>
    <w:rsid w:val="005F7208"/>
    <w:rsid w:val="005F7273"/>
    <w:rsid w:val="005F729F"/>
    <w:rsid w:val="005F7A26"/>
    <w:rsid w:val="005F7CDA"/>
    <w:rsid w:val="005F7E91"/>
    <w:rsid w:val="0060060E"/>
    <w:rsid w:val="00600878"/>
    <w:rsid w:val="00600CA0"/>
    <w:rsid w:val="00600D0D"/>
    <w:rsid w:val="00601602"/>
    <w:rsid w:val="00601650"/>
    <w:rsid w:val="006018AF"/>
    <w:rsid w:val="00601B73"/>
    <w:rsid w:val="00601BDD"/>
    <w:rsid w:val="00601F13"/>
    <w:rsid w:val="00602125"/>
    <w:rsid w:val="00602622"/>
    <w:rsid w:val="00602AB9"/>
    <w:rsid w:val="0060322C"/>
    <w:rsid w:val="00603A22"/>
    <w:rsid w:val="00603B12"/>
    <w:rsid w:val="00603CFE"/>
    <w:rsid w:val="00604417"/>
    <w:rsid w:val="00604530"/>
    <w:rsid w:val="00604B0C"/>
    <w:rsid w:val="00604EB6"/>
    <w:rsid w:val="006050FD"/>
    <w:rsid w:val="0060587C"/>
    <w:rsid w:val="00605BB2"/>
    <w:rsid w:val="00606272"/>
    <w:rsid w:val="006067B6"/>
    <w:rsid w:val="00606968"/>
    <w:rsid w:val="00606AAB"/>
    <w:rsid w:val="00606B69"/>
    <w:rsid w:val="00606C67"/>
    <w:rsid w:val="00606C83"/>
    <w:rsid w:val="00607961"/>
    <w:rsid w:val="006102FA"/>
    <w:rsid w:val="006104C7"/>
    <w:rsid w:val="00610553"/>
    <w:rsid w:val="00610605"/>
    <w:rsid w:val="00610771"/>
    <w:rsid w:val="00610BCB"/>
    <w:rsid w:val="00610C7D"/>
    <w:rsid w:val="00611170"/>
    <w:rsid w:val="0061127E"/>
    <w:rsid w:val="0061150B"/>
    <w:rsid w:val="00611598"/>
    <w:rsid w:val="00611917"/>
    <w:rsid w:val="00612050"/>
    <w:rsid w:val="0061248F"/>
    <w:rsid w:val="00612B5E"/>
    <w:rsid w:val="0061306D"/>
    <w:rsid w:val="0061343E"/>
    <w:rsid w:val="00613525"/>
    <w:rsid w:val="00613606"/>
    <w:rsid w:val="006138AF"/>
    <w:rsid w:val="006144AA"/>
    <w:rsid w:val="006144EB"/>
    <w:rsid w:val="00614787"/>
    <w:rsid w:val="006148F5"/>
    <w:rsid w:val="00614906"/>
    <w:rsid w:val="006154AB"/>
    <w:rsid w:val="00615C7B"/>
    <w:rsid w:val="00615E49"/>
    <w:rsid w:val="00615EB1"/>
    <w:rsid w:val="006166D3"/>
    <w:rsid w:val="006167A0"/>
    <w:rsid w:val="006168F3"/>
    <w:rsid w:val="00616A46"/>
    <w:rsid w:val="00616A97"/>
    <w:rsid w:val="0061733D"/>
    <w:rsid w:val="00617453"/>
    <w:rsid w:val="006174BA"/>
    <w:rsid w:val="00617807"/>
    <w:rsid w:val="00620028"/>
    <w:rsid w:val="00620317"/>
    <w:rsid w:val="00620E13"/>
    <w:rsid w:val="0062144E"/>
    <w:rsid w:val="00621579"/>
    <w:rsid w:val="006219FA"/>
    <w:rsid w:val="00622236"/>
    <w:rsid w:val="0062237F"/>
    <w:rsid w:val="00622426"/>
    <w:rsid w:val="006226EE"/>
    <w:rsid w:val="00622B39"/>
    <w:rsid w:val="00622B99"/>
    <w:rsid w:val="00622E0D"/>
    <w:rsid w:val="00623608"/>
    <w:rsid w:val="00623761"/>
    <w:rsid w:val="0062421F"/>
    <w:rsid w:val="006243B5"/>
    <w:rsid w:val="00624875"/>
    <w:rsid w:val="00624D88"/>
    <w:rsid w:val="006252C8"/>
    <w:rsid w:val="0062575F"/>
    <w:rsid w:val="006258DB"/>
    <w:rsid w:val="00625CA4"/>
    <w:rsid w:val="0062607A"/>
    <w:rsid w:val="00626291"/>
    <w:rsid w:val="00626700"/>
    <w:rsid w:val="00626C89"/>
    <w:rsid w:val="006271AE"/>
    <w:rsid w:val="00627A8A"/>
    <w:rsid w:val="00627D8D"/>
    <w:rsid w:val="0063031D"/>
    <w:rsid w:val="00630443"/>
    <w:rsid w:val="00630536"/>
    <w:rsid w:val="00630CB4"/>
    <w:rsid w:val="00630F41"/>
    <w:rsid w:val="006310DE"/>
    <w:rsid w:val="006316F3"/>
    <w:rsid w:val="00631753"/>
    <w:rsid w:val="00631922"/>
    <w:rsid w:val="00631A7A"/>
    <w:rsid w:val="00631AA7"/>
    <w:rsid w:val="00631E68"/>
    <w:rsid w:val="00632101"/>
    <w:rsid w:val="006324FB"/>
    <w:rsid w:val="006326B1"/>
    <w:rsid w:val="00632F08"/>
    <w:rsid w:val="00632F35"/>
    <w:rsid w:val="00632F76"/>
    <w:rsid w:val="00632F8E"/>
    <w:rsid w:val="00632FE1"/>
    <w:rsid w:val="00633348"/>
    <w:rsid w:val="006334CF"/>
    <w:rsid w:val="00633539"/>
    <w:rsid w:val="0063356D"/>
    <w:rsid w:val="00633777"/>
    <w:rsid w:val="00633793"/>
    <w:rsid w:val="00633B2B"/>
    <w:rsid w:val="00633D6B"/>
    <w:rsid w:val="00634466"/>
    <w:rsid w:val="006345A4"/>
    <w:rsid w:val="00634609"/>
    <w:rsid w:val="00634B21"/>
    <w:rsid w:val="00634F60"/>
    <w:rsid w:val="00634FD5"/>
    <w:rsid w:val="006353B6"/>
    <w:rsid w:val="00635500"/>
    <w:rsid w:val="00635DF7"/>
    <w:rsid w:val="00635F3F"/>
    <w:rsid w:val="00636345"/>
    <w:rsid w:val="006363BB"/>
    <w:rsid w:val="006368F3"/>
    <w:rsid w:val="00636D96"/>
    <w:rsid w:val="00636E6E"/>
    <w:rsid w:val="006372A7"/>
    <w:rsid w:val="0063738C"/>
    <w:rsid w:val="006375A0"/>
    <w:rsid w:val="006375B4"/>
    <w:rsid w:val="0063764C"/>
    <w:rsid w:val="00637782"/>
    <w:rsid w:val="0063788C"/>
    <w:rsid w:val="0063790C"/>
    <w:rsid w:val="00637C58"/>
    <w:rsid w:val="00637FEF"/>
    <w:rsid w:val="006407ED"/>
    <w:rsid w:val="00640D59"/>
    <w:rsid w:val="0064113A"/>
    <w:rsid w:val="00641153"/>
    <w:rsid w:val="0064124D"/>
    <w:rsid w:val="00641472"/>
    <w:rsid w:val="00641A93"/>
    <w:rsid w:val="00641A9B"/>
    <w:rsid w:val="00641EF9"/>
    <w:rsid w:val="006422D6"/>
    <w:rsid w:val="00642350"/>
    <w:rsid w:val="006427BC"/>
    <w:rsid w:val="00642E83"/>
    <w:rsid w:val="00643AB6"/>
    <w:rsid w:val="00644035"/>
    <w:rsid w:val="0064406F"/>
    <w:rsid w:val="00644191"/>
    <w:rsid w:val="006441B9"/>
    <w:rsid w:val="00644249"/>
    <w:rsid w:val="00644865"/>
    <w:rsid w:val="00644869"/>
    <w:rsid w:val="00644933"/>
    <w:rsid w:val="00644F94"/>
    <w:rsid w:val="0064545F"/>
    <w:rsid w:val="00645944"/>
    <w:rsid w:val="006461F5"/>
    <w:rsid w:val="006469EB"/>
    <w:rsid w:val="00646D2A"/>
    <w:rsid w:val="00646FA6"/>
    <w:rsid w:val="006472C0"/>
    <w:rsid w:val="006473FD"/>
    <w:rsid w:val="0064750D"/>
    <w:rsid w:val="00647794"/>
    <w:rsid w:val="00647A7B"/>
    <w:rsid w:val="00647F6F"/>
    <w:rsid w:val="00650073"/>
    <w:rsid w:val="00650AB4"/>
    <w:rsid w:val="00650C51"/>
    <w:rsid w:val="006512B4"/>
    <w:rsid w:val="00651732"/>
    <w:rsid w:val="00651943"/>
    <w:rsid w:val="00652382"/>
    <w:rsid w:val="00652D79"/>
    <w:rsid w:val="0065307A"/>
    <w:rsid w:val="00653130"/>
    <w:rsid w:val="0065325F"/>
    <w:rsid w:val="0065345D"/>
    <w:rsid w:val="00653784"/>
    <w:rsid w:val="00653F7B"/>
    <w:rsid w:val="00654186"/>
    <w:rsid w:val="0065438E"/>
    <w:rsid w:val="00654490"/>
    <w:rsid w:val="006546A7"/>
    <w:rsid w:val="006547C0"/>
    <w:rsid w:val="00654839"/>
    <w:rsid w:val="0065495F"/>
    <w:rsid w:val="00655584"/>
    <w:rsid w:val="00656D12"/>
    <w:rsid w:val="00656F42"/>
    <w:rsid w:val="00656F85"/>
    <w:rsid w:val="006574CB"/>
    <w:rsid w:val="006577BF"/>
    <w:rsid w:val="0065781D"/>
    <w:rsid w:val="006579A8"/>
    <w:rsid w:val="00657C03"/>
    <w:rsid w:val="00657C0C"/>
    <w:rsid w:val="00657DDC"/>
    <w:rsid w:val="006603FE"/>
    <w:rsid w:val="00660686"/>
    <w:rsid w:val="00660AC6"/>
    <w:rsid w:val="00660DE6"/>
    <w:rsid w:val="00661E80"/>
    <w:rsid w:val="0066243C"/>
    <w:rsid w:val="00662486"/>
    <w:rsid w:val="0066271A"/>
    <w:rsid w:val="0066277B"/>
    <w:rsid w:val="00662C65"/>
    <w:rsid w:val="00663358"/>
    <w:rsid w:val="00663433"/>
    <w:rsid w:val="0066343E"/>
    <w:rsid w:val="00663694"/>
    <w:rsid w:val="00663B9A"/>
    <w:rsid w:val="00663F7C"/>
    <w:rsid w:val="006641E4"/>
    <w:rsid w:val="00664A5D"/>
    <w:rsid w:val="00664C97"/>
    <w:rsid w:val="00664D6B"/>
    <w:rsid w:val="00664F02"/>
    <w:rsid w:val="00664F7F"/>
    <w:rsid w:val="00664F8D"/>
    <w:rsid w:val="006656A6"/>
    <w:rsid w:val="006656CF"/>
    <w:rsid w:val="0066582C"/>
    <w:rsid w:val="00665CD6"/>
    <w:rsid w:val="00665FBD"/>
    <w:rsid w:val="00666195"/>
    <w:rsid w:val="0066629E"/>
    <w:rsid w:val="00666815"/>
    <w:rsid w:val="0066685F"/>
    <w:rsid w:val="00667057"/>
    <w:rsid w:val="006670F2"/>
    <w:rsid w:val="006674A3"/>
    <w:rsid w:val="006676DE"/>
    <w:rsid w:val="00667B2D"/>
    <w:rsid w:val="0067028F"/>
    <w:rsid w:val="006705C1"/>
    <w:rsid w:val="00670B35"/>
    <w:rsid w:val="00670E17"/>
    <w:rsid w:val="00670FD3"/>
    <w:rsid w:val="00671105"/>
    <w:rsid w:val="00671CD1"/>
    <w:rsid w:val="0067201F"/>
    <w:rsid w:val="00672213"/>
    <w:rsid w:val="006723DE"/>
    <w:rsid w:val="006724B2"/>
    <w:rsid w:val="006726E3"/>
    <w:rsid w:val="00672844"/>
    <w:rsid w:val="00672C4B"/>
    <w:rsid w:val="00673607"/>
    <w:rsid w:val="006736DC"/>
    <w:rsid w:val="00673C6E"/>
    <w:rsid w:val="00674D00"/>
    <w:rsid w:val="00675029"/>
    <w:rsid w:val="006751C5"/>
    <w:rsid w:val="006753EF"/>
    <w:rsid w:val="006754FA"/>
    <w:rsid w:val="00675556"/>
    <w:rsid w:val="0067565B"/>
    <w:rsid w:val="0067582A"/>
    <w:rsid w:val="00675A43"/>
    <w:rsid w:val="00675D46"/>
    <w:rsid w:val="00675F1F"/>
    <w:rsid w:val="00675F42"/>
    <w:rsid w:val="0067616F"/>
    <w:rsid w:val="00676390"/>
    <w:rsid w:val="006769A8"/>
    <w:rsid w:val="00676B79"/>
    <w:rsid w:val="00676E4F"/>
    <w:rsid w:val="0067759F"/>
    <w:rsid w:val="006775B2"/>
    <w:rsid w:val="006776AB"/>
    <w:rsid w:val="0067770B"/>
    <w:rsid w:val="006779D9"/>
    <w:rsid w:val="00677CB9"/>
    <w:rsid w:val="006805F1"/>
    <w:rsid w:val="00680CBA"/>
    <w:rsid w:val="00680E7A"/>
    <w:rsid w:val="006810C1"/>
    <w:rsid w:val="006810FF"/>
    <w:rsid w:val="006811F0"/>
    <w:rsid w:val="006814E6"/>
    <w:rsid w:val="0068160B"/>
    <w:rsid w:val="006817CD"/>
    <w:rsid w:val="00681919"/>
    <w:rsid w:val="00681D80"/>
    <w:rsid w:val="00681E85"/>
    <w:rsid w:val="00682707"/>
    <w:rsid w:val="006827A5"/>
    <w:rsid w:val="00682B11"/>
    <w:rsid w:val="00682B16"/>
    <w:rsid w:val="0068344D"/>
    <w:rsid w:val="006839F9"/>
    <w:rsid w:val="00683DF2"/>
    <w:rsid w:val="006840BA"/>
    <w:rsid w:val="006841CA"/>
    <w:rsid w:val="00684286"/>
    <w:rsid w:val="00684715"/>
    <w:rsid w:val="0068497F"/>
    <w:rsid w:val="00684A8E"/>
    <w:rsid w:val="00684B50"/>
    <w:rsid w:val="00684FE8"/>
    <w:rsid w:val="00685231"/>
    <w:rsid w:val="006852EF"/>
    <w:rsid w:val="00685441"/>
    <w:rsid w:val="00685463"/>
    <w:rsid w:val="0068553A"/>
    <w:rsid w:val="0068556A"/>
    <w:rsid w:val="00685B41"/>
    <w:rsid w:val="00685E13"/>
    <w:rsid w:val="00685FDC"/>
    <w:rsid w:val="006863F6"/>
    <w:rsid w:val="00686496"/>
    <w:rsid w:val="00686725"/>
    <w:rsid w:val="00686E64"/>
    <w:rsid w:val="00686EA9"/>
    <w:rsid w:val="00686ED6"/>
    <w:rsid w:val="00686F36"/>
    <w:rsid w:val="006870A0"/>
    <w:rsid w:val="00687E91"/>
    <w:rsid w:val="00687F0F"/>
    <w:rsid w:val="0069014F"/>
    <w:rsid w:val="006901A0"/>
    <w:rsid w:val="006908B7"/>
    <w:rsid w:val="006908EF"/>
    <w:rsid w:val="0069099C"/>
    <w:rsid w:val="0069099D"/>
    <w:rsid w:val="00691541"/>
    <w:rsid w:val="006917A4"/>
    <w:rsid w:val="00691C35"/>
    <w:rsid w:val="00691D81"/>
    <w:rsid w:val="00691F19"/>
    <w:rsid w:val="00691F7D"/>
    <w:rsid w:val="0069208B"/>
    <w:rsid w:val="006926A3"/>
    <w:rsid w:val="00692BFA"/>
    <w:rsid w:val="0069314E"/>
    <w:rsid w:val="006931CA"/>
    <w:rsid w:val="006932F8"/>
    <w:rsid w:val="00693477"/>
    <w:rsid w:val="006937EC"/>
    <w:rsid w:val="0069448B"/>
    <w:rsid w:val="006945D6"/>
    <w:rsid w:val="00694725"/>
    <w:rsid w:val="00695153"/>
    <w:rsid w:val="00695183"/>
    <w:rsid w:val="006951C1"/>
    <w:rsid w:val="006951E7"/>
    <w:rsid w:val="006954FB"/>
    <w:rsid w:val="00695792"/>
    <w:rsid w:val="00695852"/>
    <w:rsid w:val="00695984"/>
    <w:rsid w:val="00695B73"/>
    <w:rsid w:val="00695E64"/>
    <w:rsid w:val="00695EDC"/>
    <w:rsid w:val="00696073"/>
    <w:rsid w:val="00696112"/>
    <w:rsid w:val="00696CB4"/>
    <w:rsid w:val="00696DD2"/>
    <w:rsid w:val="006973FB"/>
    <w:rsid w:val="0069794C"/>
    <w:rsid w:val="00697F1E"/>
    <w:rsid w:val="006A1181"/>
    <w:rsid w:val="006A11D6"/>
    <w:rsid w:val="006A13F1"/>
    <w:rsid w:val="006A1540"/>
    <w:rsid w:val="006A15E1"/>
    <w:rsid w:val="006A180E"/>
    <w:rsid w:val="006A19FD"/>
    <w:rsid w:val="006A2311"/>
    <w:rsid w:val="006A26CA"/>
    <w:rsid w:val="006A29B3"/>
    <w:rsid w:val="006A2AE2"/>
    <w:rsid w:val="006A34E1"/>
    <w:rsid w:val="006A3FE7"/>
    <w:rsid w:val="006A4124"/>
    <w:rsid w:val="006A48F5"/>
    <w:rsid w:val="006A4D28"/>
    <w:rsid w:val="006A5019"/>
    <w:rsid w:val="006A517B"/>
    <w:rsid w:val="006A5363"/>
    <w:rsid w:val="006A53A1"/>
    <w:rsid w:val="006A5481"/>
    <w:rsid w:val="006A54D9"/>
    <w:rsid w:val="006A5AA1"/>
    <w:rsid w:val="006A5AA7"/>
    <w:rsid w:val="006A5C19"/>
    <w:rsid w:val="006A5C9D"/>
    <w:rsid w:val="006A60D1"/>
    <w:rsid w:val="006A6112"/>
    <w:rsid w:val="006A66C8"/>
    <w:rsid w:val="006A68A0"/>
    <w:rsid w:val="006A6B91"/>
    <w:rsid w:val="006A6D00"/>
    <w:rsid w:val="006A6DB5"/>
    <w:rsid w:val="006A7128"/>
    <w:rsid w:val="006A75A6"/>
    <w:rsid w:val="006A75E4"/>
    <w:rsid w:val="006A7638"/>
    <w:rsid w:val="006A7CDB"/>
    <w:rsid w:val="006A7FF5"/>
    <w:rsid w:val="006A7FF6"/>
    <w:rsid w:val="006B0388"/>
    <w:rsid w:val="006B0859"/>
    <w:rsid w:val="006B0B01"/>
    <w:rsid w:val="006B0CE6"/>
    <w:rsid w:val="006B0DFB"/>
    <w:rsid w:val="006B0FFB"/>
    <w:rsid w:val="006B1618"/>
    <w:rsid w:val="006B16A6"/>
    <w:rsid w:val="006B17AB"/>
    <w:rsid w:val="006B192A"/>
    <w:rsid w:val="006B1B36"/>
    <w:rsid w:val="006B1E71"/>
    <w:rsid w:val="006B200D"/>
    <w:rsid w:val="006B212B"/>
    <w:rsid w:val="006B225F"/>
    <w:rsid w:val="006B2A52"/>
    <w:rsid w:val="006B302E"/>
    <w:rsid w:val="006B3237"/>
    <w:rsid w:val="006B330A"/>
    <w:rsid w:val="006B4272"/>
    <w:rsid w:val="006B4BED"/>
    <w:rsid w:val="006B4DF9"/>
    <w:rsid w:val="006B4F90"/>
    <w:rsid w:val="006B5748"/>
    <w:rsid w:val="006B594C"/>
    <w:rsid w:val="006B6225"/>
    <w:rsid w:val="006B6782"/>
    <w:rsid w:val="006B696B"/>
    <w:rsid w:val="006B6E63"/>
    <w:rsid w:val="006B6F89"/>
    <w:rsid w:val="006B734D"/>
    <w:rsid w:val="006B7498"/>
    <w:rsid w:val="006B74AF"/>
    <w:rsid w:val="006B7510"/>
    <w:rsid w:val="006B7703"/>
    <w:rsid w:val="006B77F6"/>
    <w:rsid w:val="006C005C"/>
    <w:rsid w:val="006C01C1"/>
    <w:rsid w:val="006C07ED"/>
    <w:rsid w:val="006C09A4"/>
    <w:rsid w:val="006C0DCA"/>
    <w:rsid w:val="006C1240"/>
    <w:rsid w:val="006C16A6"/>
    <w:rsid w:val="006C1E12"/>
    <w:rsid w:val="006C1E2E"/>
    <w:rsid w:val="006C203A"/>
    <w:rsid w:val="006C2200"/>
    <w:rsid w:val="006C2EB4"/>
    <w:rsid w:val="006C338F"/>
    <w:rsid w:val="006C37E0"/>
    <w:rsid w:val="006C43A1"/>
    <w:rsid w:val="006C4541"/>
    <w:rsid w:val="006C4568"/>
    <w:rsid w:val="006C47F6"/>
    <w:rsid w:val="006C4A00"/>
    <w:rsid w:val="006C4CEE"/>
    <w:rsid w:val="006C4F25"/>
    <w:rsid w:val="006C4FA9"/>
    <w:rsid w:val="006C5644"/>
    <w:rsid w:val="006C594B"/>
    <w:rsid w:val="006C6185"/>
    <w:rsid w:val="006C66B6"/>
    <w:rsid w:val="006C6DC7"/>
    <w:rsid w:val="006C7458"/>
    <w:rsid w:val="006C7698"/>
    <w:rsid w:val="006C78E3"/>
    <w:rsid w:val="006C7B89"/>
    <w:rsid w:val="006C7DCB"/>
    <w:rsid w:val="006D008B"/>
    <w:rsid w:val="006D069B"/>
    <w:rsid w:val="006D0733"/>
    <w:rsid w:val="006D07C2"/>
    <w:rsid w:val="006D1E78"/>
    <w:rsid w:val="006D1EA3"/>
    <w:rsid w:val="006D2023"/>
    <w:rsid w:val="006D2194"/>
    <w:rsid w:val="006D23FE"/>
    <w:rsid w:val="006D27FB"/>
    <w:rsid w:val="006D2B49"/>
    <w:rsid w:val="006D2F0F"/>
    <w:rsid w:val="006D3158"/>
    <w:rsid w:val="006D318C"/>
    <w:rsid w:val="006D32A8"/>
    <w:rsid w:val="006D32C5"/>
    <w:rsid w:val="006D3BA2"/>
    <w:rsid w:val="006D3C32"/>
    <w:rsid w:val="006D3C96"/>
    <w:rsid w:val="006D3D2D"/>
    <w:rsid w:val="006D40FE"/>
    <w:rsid w:val="006D41F6"/>
    <w:rsid w:val="006D42F5"/>
    <w:rsid w:val="006D4681"/>
    <w:rsid w:val="006D4ABE"/>
    <w:rsid w:val="006D510F"/>
    <w:rsid w:val="006D518A"/>
    <w:rsid w:val="006D52DD"/>
    <w:rsid w:val="006D54E4"/>
    <w:rsid w:val="006D5852"/>
    <w:rsid w:val="006D5D36"/>
    <w:rsid w:val="006D64B4"/>
    <w:rsid w:val="006D6E27"/>
    <w:rsid w:val="006D70AA"/>
    <w:rsid w:val="006D7470"/>
    <w:rsid w:val="006D7BB7"/>
    <w:rsid w:val="006D7C48"/>
    <w:rsid w:val="006E0690"/>
    <w:rsid w:val="006E0BB2"/>
    <w:rsid w:val="006E1230"/>
    <w:rsid w:val="006E16AE"/>
    <w:rsid w:val="006E1E48"/>
    <w:rsid w:val="006E2033"/>
    <w:rsid w:val="006E2111"/>
    <w:rsid w:val="006E2116"/>
    <w:rsid w:val="006E213D"/>
    <w:rsid w:val="006E258C"/>
    <w:rsid w:val="006E274F"/>
    <w:rsid w:val="006E2752"/>
    <w:rsid w:val="006E2905"/>
    <w:rsid w:val="006E32B5"/>
    <w:rsid w:val="006E3310"/>
    <w:rsid w:val="006E3D96"/>
    <w:rsid w:val="006E401A"/>
    <w:rsid w:val="006E4388"/>
    <w:rsid w:val="006E5FE4"/>
    <w:rsid w:val="006E635F"/>
    <w:rsid w:val="006E68C4"/>
    <w:rsid w:val="006E7492"/>
    <w:rsid w:val="006E773C"/>
    <w:rsid w:val="006E79C2"/>
    <w:rsid w:val="006E7DB9"/>
    <w:rsid w:val="006F00E7"/>
    <w:rsid w:val="006F021D"/>
    <w:rsid w:val="006F03B7"/>
    <w:rsid w:val="006F093A"/>
    <w:rsid w:val="006F0C56"/>
    <w:rsid w:val="006F0C58"/>
    <w:rsid w:val="006F1075"/>
    <w:rsid w:val="006F1312"/>
    <w:rsid w:val="006F1D6D"/>
    <w:rsid w:val="006F242A"/>
    <w:rsid w:val="006F3227"/>
    <w:rsid w:val="006F325E"/>
    <w:rsid w:val="006F3324"/>
    <w:rsid w:val="006F34BF"/>
    <w:rsid w:val="006F3AD4"/>
    <w:rsid w:val="006F3C8E"/>
    <w:rsid w:val="006F3CFF"/>
    <w:rsid w:val="006F3FEF"/>
    <w:rsid w:val="006F41BE"/>
    <w:rsid w:val="006F474D"/>
    <w:rsid w:val="006F4B49"/>
    <w:rsid w:val="006F511E"/>
    <w:rsid w:val="006F54A6"/>
    <w:rsid w:val="006F5587"/>
    <w:rsid w:val="006F575E"/>
    <w:rsid w:val="006F57E3"/>
    <w:rsid w:val="006F5ECF"/>
    <w:rsid w:val="006F6184"/>
    <w:rsid w:val="006F68A3"/>
    <w:rsid w:val="006F73C0"/>
    <w:rsid w:val="006F74B7"/>
    <w:rsid w:val="006F76A6"/>
    <w:rsid w:val="006F7713"/>
    <w:rsid w:val="006F7816"/>
    <w:rsid w:val="00700891"/>
    <w:rsid w:val="00701393"/>
    <w:rsid w:val="007014E0"/>
    <w:rsid w:val="0070192B"/>
    <w:rsid w:val="00701A04"/>
    <w:rsid w:val="00701A80"/>
    <w:rsid w:val="007026F7"/>
    <w:rsid w:val="00702809"/>
    <w:rsid w:val="00702BC7"/>
    <w:rsid w:val="00703515"/>
    <w:rsid w:val="00703E88"/>
    <w:rsid w:val="00704059"/>
    <w:rsid w:val="0070425E"/>
    <w:rsid w:val="007043DE"/>
    <w:rsid w:val="00704679"/>
    <w:rsid w:val="00704914"/>
    <w:rsid w:val="00704B9E"/>
    <w:rsid w:val="00704DEA"/>
    <w:rsid w:val="007050E7"/>
    <w:rsid w:val="00705316"/>
    <w:rsid w:val="00705C29"/>
    <w:rsid w:val="007062F1"/>
    <w:rsid w:val="00706664"/>
    <w:rsid w:val="00706710"/>
    <w:rsid w:val="007068F6"/>
    <w:rsid w:val="007069B5"/>
    <w:rsid w:val="00706A5F"/>
    <w:rsid w:val="00706BCC"/>
    <w:rsid w:val="00706CF9"/>
    <w:rsid w:val="00706F62"/>
    <w:rsid w:val="00706FAD"/>
    <w:rsid w:val="007071B0"/>
    <w:rsid w:val="0070746E"/>
    <w:rsid w:val="00707A46"/>
    <w:rsid w:val="00707A80"/>
    <w:rsid w:val="00707B18"/>
    <w:rsid w:val="00707BC1"/>
    <w:rsid w:val="0071085F"/>
    <w:rsid w:val="00710E75"/>
    <w:rsid w:val="00710EC0"/>
    <w:rsid w:val="00711065"/>
    <w:rsid w:val="007111D9"/>
    <w:rsid w:val="00711D2B"/>
    <w:rsid w:val="00711E38"/>
    <w:rsid w:val="00711F46"/>
    <w:rsid w:val="00712091"/>
    <w:rsid w:val="007120F8"/>
    <w:rsid w:val="00712584"/>
    <w:rsid w:val="00713204"/>
    <w:rsid w:val="00713559"/>
    <w:rsid w:val="00713E23"/>
    <w:rsid w:val="00714645"/>
    <w:rsid w:val="007146EE"/>
    <w:rsid w:val="00714715"/>
    <w:rsid w:val="00715012"/>
    <w:rsid w:val="0071501B"/>
    <w:rsid w:val="00715D00"/>
    <w:rsid w:val="00715E4C"/>
    <w:rsid w:val="00715E5E"/>
    <w:rsid w:val="007164EC"/>
    <w:rsid w:val="0071698D"/>
    <w:rsid w:val="00716C14"/>
    <w:rsid w:val="00717196"/>
    <w:rsid w:val="0071742B"/>
    <w:rsid w:val="00717449"/>
    <w:rsid w:val="007174BA"/>
    <w:rsid w:val="0071771D"/>
    <w:rsid w:val="007178B0"/>
    <w:rsid w:val="00717AC4"/>
    <w:rsid w:val="00717AE5"/>
    <w:rsid w:val="00717D05"/>
    <w:rsid w:val="00717F04"/>
    <w:rsid w:val="007203D7"/>
    <w:rsid w:val="00720973"/>
    <w:rsid w:val="00720F34"/>
    <w:rsid w:val="00720FCD"/>
    <w:rsid w:val="007212D6"/>
    <w:rsid w:val="0072149A"/>
    <w:rsid w:val="007217C1"/>
    <w:rsid w:val="00721B0A"/>
    <w:rsid w:val="00721E82"/>
    <w:rsid w:val="007225EA"/>
    <w:rsid w:val="0072266D"/>
    <w:rsid w:val="007229F5"/>
    <w:rsid w:val="00722AD9"/>
    <w:rsid w:val="00722AE0"/>
    <w:rsid w:val="00722C61"/>
    <w:rsid w:val="00722E29"/>
    <w:rsid w:val="0072351A"/>
    <w:rsid w:val="00723987"/>
    <w:rsid w:val="00725111"/>
    <w:rsid w:val="00725407"/>
    <w:rsid w:val="00725926"/>
    <w:rsid w:val="00725972"/>
    <w:rsid w:val="00725A25"/>
    <w:rsid w:val="00725D45"/>
    <w:rsid w:val="00726087"/>
    <w:rsid w:val="0072645E"/>
    <w:rsid w:val="007264CF"/>
    <w:rsid w:val="00726E24"/>
    <w:rsid w:val="007274D9"/>
    <w:rsid w:val="00727747"/>
    <w:rsid w:val="00727750"/>
    <w:rsid w:val="00730791"/>
    <w:rsid w:val="00730FAB"/>
    <w:rsid w:val="00730FE3"/>
    <w:rsid w:val="00731111"/>
    <w:rsid w:val="0073143B"/>
    <w:rsid w:val="0073143E"/>
    <w:rsid w:val="00731F1E"/>
    <w:rsid w:val="0073203F"/>
    <w:rsid w:val="00732390"/>
    <w:rsid w:val="00732594"/>
    <w:rsid w:val="007325C6"/>
    <w:rsid w:val="0073269A"/>
    <w:rsid w:val="007329EB"/>
    <w:rsid w:val="00732CC4"/>
    <w:rsid w:val="00732F20"/>
    <w:rsid w:val="007330C4"/>
    <w:rsid w:val="00733494"/>
    <w:rsid w:val="00733734"/>
    <w:rsid w:val="00733738"/>
    <w:rsid w:val="00733B09"/>
    <w:rsid w:val="00733C7B"/>
    <w:rsid w:val="00733D1F"/>
    <w:rsid w:val="00734113"/>
    <w:rsid w:val="007341BA"/>
    <w:rsid w:val="0073495A"/>
    <w:rsid w:val="00734B70"/>
    <w:rsid w:val="00734C6A"/>
    <w:rsid w:val="00734F39"/>
    <w:rsid w:val="00735392"/>
    <w:rsid w:val="00735A46"/>
    <w:rsid w:val="0073611F"/>
    <w:rsid w:val="00736147"/>
    <w:rsid w:val="007361D7"/>
    <w:rsid w:val="007366D3"/>
    <w:rsid w:val="007368D1"/>
    <w:rsid w:val="00736A7F"/>
    <w:rsid w:val="00736DDB"/>
    <w:rsid w:val="00736E5D"/>
    <w:rsid w:val="00736E7F"/>
    <w:rsid w:val="007373D9"/>
    <w:rsid w:val="00737A46"/>
    <w:rsid w:val="00737AAF"/>
    <w:rsid w:val="00737ABD"/>
    <w:rsid w:val="00737B39"/>
    <w:rsid w:val="00737D6F"/>
    <w:rsid w:val="00737E89"/>
    <w:rsid w:val="00737F1B"/>
    <w:rsid w:val="007401A5"/>
    <w:rsid w:val="0074062F"/>
    <w:rsid w:val="0074101A"/>
    <w:rsid w:val="00741A00"/>
    <w:rsid w:val="00741AB9"/>
    <w:rsid w:val="00741B77"/>
    <w:rsid w:val="00741C21"/>
    <w:rsid w:val="00741FFA"/>
    <w:rsid w:val="007423CC"/>
    <w:rsid w:val="00742596"/>
    <w:rsid w:val="007425E1"/>
    <w:rsid w:val="00743576"/>
    <w:rsid w:val="007443EC"/>
    <w:rsid w:val="00744C85"/>
    <w:rsid w:val="00744F63"/>
    <w:rsid w:val="00745431"/>
    <w:rsid w:val="007455BA"/>
    <w:rsid w:val="00745601"/>
    <w:rsid w:val="00746333"/>
    <w:rsid w:val="00746457"/>
    <w:rsid w:val="0074671D"/>
    <w:rsid w:val="00746E15"/>
    <w:rsid w:val="0074704B"/>
    <w:rsid w:val="0074787B"/>
    <w:rsid w:val="0074791C"/>
    <w:rsid w:val="007501A0"/>
    <w:rsid w:val="00750401"/>
    <w:rsid w:val="0075080D"/>
    <w:rsid w:val="00750B12"/>
    <w:rsid w:val="00750DE8"/>
    <w:rsid w:val="00750DF6"/>
    <w:rsid w:val="007515EC"/>
    <w:rsid w:val="0075185F"/>
    <w:rsid w:val="007527D3"/>
    <w:rsid w:val="00752BFF"/>
    <w:rsid w:val="00752D69"/>
    <w:rsid w:val="00753032"/>
    <w:rsid w:val="007530B7"/>
    <w:rsid w:val="00753728"/>
    <w:rsid w:val="00753AAC"/>
    <w:rsid w:val="00754173"/>
    <w:rsid w:val="007541CB"/>
    <w:rsid w:val="00754200"/>
    <w:rsid w:val="0075437A"/>
    <w:rsid w:val="00754659"/>
    <w:rsid w:val="0075518C"/>
    <w:rsid w:val="0075520B"/>
    <w:rsid w:val="007554F6"/>
    <w:rsid w:val="00755727"/>
    <w:rsid w:val="00755F3C"/>
    <w:rsid w:val="00755F5F"/>
    <w:rsid w:val="0075651E"/>
    <w:rsid w:val="007566C6"/>
    <w:rsid w:val="00756A5A"/>
    <w:rsid w:val="00756E6F"/>
    <w:rsid w:val="00757125"/>
    <w:rsid w:val="00757172"/>
    <w:rsid w:val="00757CF8"/>
    <w:rsid w:val="00757DD2"/>
    <w:rsid w:val="00757FA3"/>
    <w:rsid w:val="007601B4"/>
    <w:rsid w:val="007602F6"/>
    <w:rsid w:val="00760390"/>
    <w:rsid w:val="007603D2"/>
    <w:rsid w:val="007604BE"/>
    <w:rsid w:val="00760B9A"/>
    <w:rsid w:val="00760CF8"/>
    <w:rsid w:val="00760D5D"/>
    <w:rsid w:val="00760E30"/>
    <w:rsid w:val="00760E5F"/>
    <w:rsid w:val="007610C0"/>
    <w:rsid w:val="00761382"/>
    <w:rsid w:val="007614F2"/>
    <w:rsid w:val="007614FF"/>
    <w:rsid w:val="0076159B"/>
    <w:rsid w:val="007615B2"/>
    <w:rsid w:val="007616AA"/>
    <w:rsid w:val="00761E8E"/>
    <w:rsid w:val="00762325"/>
    <w:rsid w:val="00762585"/>
    <w:rsid w:val="00762A8D"/>
    <w:rsid w:val="00762E41"/>
    <w:rsid w:val="007630AC"/>
    <w:rsid w:val="0076315D"/>
    <w:rsid w:val="007631FF"/>
    <w:rsid w:val="00763273"/>
    <w:rsid w:val="00763443"/>
    <w:rsid w:val="007634B6"/>
    <w:rsid w:val="0076383B"/>
    <w:rsid w:val="00763BE6"/>
    <w:rsid w:val="00763E59"/>
    <w:rsid w:val="00763F33"/>
    <w:rsid w:val="00763FF6"/>
    <w:rsid w:val="0076418B"/>
    <w:rsid w:val="007641FF"/>
    <w:rsid w:val="00764541"/>
    <w:rsid w:val="0076476A"/>
    <w:rsid w:val="0076478D"/>
    <w:rsid w:val="00764901"/>
    <w:rsid w:val="00764CF4"/>
    <w:rsid w:val="00765201"/>
    <w:rsid w:val="007653D9"/>
    <w:rsid w:val="00765905"/>
    <w:rsid w:val="00765BEE"/>
    <w:rsid w:val="00765D03"/>
    <w:rsid w:val="007661CC"/>
    <w:rsid w:val="0076634D"/>
    <w:rsid w:val="0076672E"/>
    <w:rsid w:val="00766956"/>
    <w:rsid w:val="00766DE9"/>
    <w:rsid w:val="007672E6"/>
    <w:rsid w:val="007673F4"/>
    <w:rsid w:val="007674B0"/>
    <w:rsid w:val="007679AB"/>
    <w:rsid w:val="00767F68"/>
    <w:rsid w:val="00770232"/>
    <w:rsid w:val="00770F3A"/>
    <w:rsid w:val="00771122"/>
    <w:rsid w:val="00771398"/>
    <w:rsid w:val="0077141B"/>
    <w:rsid w:val="007716DA"/>
    <w:rsid w:val="00771828"/>
    <w:rsid w:val="00771852"/>
    <w:rsid w:val="00771E79"/>
    <w:rsid w:val="00771F05"/>
    <w:rsid w:val="00772134"/>
    <w:rsid w:val="00772259"/>
    <w:rsid w:val="007725C9"/>
    <w:rsid w:val="007728BB"/>
    <w:rsid w:val="007729FA"/>
    <w:rsid w:val="00772EEE"/>
    <w:rsid w:val="007733F7"/>
    <w:rsid w:val="007737DC"/>
    <w:rsid w:val="00773B75"/>
    <w:rsid w:val="00773BFD"/>
    <w:rsid w:val="00774124"/>
    <w:rsid w:val="007746D9"/>
    <w:rsid w:val="0077470F"/>
    <w:rsid w:val="0077489E"/>
    <w:rsid w:val="007753CC"/>
    <w:rsid w:val="00775451"/>
    <w:rsid w:val="00775A2A"/>
    <w:rsid w:val="00775BB2"/>
    <w:rsid w:val="00775D43"/>
    <w:rsid w:val="00776060"/>
    <w:rsid w:val="00776509"/>
    <w:rsid w:val="00776899"/>
    <w:rsid w:val="00776934"/>
    <w:rsid w:val="007769D7"/>
    <w:rsid w:val="00776F2B"/>
    <w:rsid w:val="007770CF"/>
    <w:rsid w:val="007771A0"/>
    <w:rsid w:val="00777B11"/>
    <w:rsid w:val="00777B7E"/>
    <w:rsid w:val="00777E19"/>
    <w:rsid w:val="00777EFD"/>
    <w:rsid w:val="00780500"/>
    <w:rsid w:val="007807EA"/>
    <w:rsid w:val="00780E31"/>
    <w:rsid w:val="0078102C"/>
    <w:rsid w:val="0078109D"/>
    <w:rsid w:val="007812B3"/>
    <w:rsid w:val="007815F1"/>
    <w:rsid w:val="00781974"/>
    <w:rsid w:val="007819DD"/>
    <w:rsid w:val="00781C55"/>
    <w:rsid w:val="00781F9C"/>
    <w:rsid w:val="0078220D"/>
    <w:rsid w:val="00782296"/>
    <w:rsid w:val="00782901"/>
    <w:rsid w:val="007830F6"/>
    <w:rsid w:val="00783A4D"/>
    <w:rsid w:val="00783C74"/>
    <w:rsid w:val="007840D0"/>
    <w:rsid w:val="00784191"/>
    <w:rsid w:val="007843D1"/>
    <w:rsid w:val="00784926"/>
    <w:rsid w:val="00784AD8"/>
    <w:rsid w:val="00784D4D"/>
    <w:rsid w:val="00784E64"/>
    <w:rsid w:val="00785039"/>
    <w:rsid w:val="007851F2"/>
    <w:rsid w:val="00785309"/>
    <w:rsid w:val="007853A7"/>
    <w:rsid w:val="007854BF"/>
    <w:rsid w:val="00785692"/>
    <w:rsid w:val="00785925"/>
    <w:rsid w:val="007859F3"/>
    <w:rsid w:val="00786582"/>
    <w:rsid w:val="00786598"/>
    <w:rsid w:val="007866F4"/>
    <w:rsid w:val="00786820"/>
    <w:rsid w:val="00786C88"/>
    <w:rsid w:val="00787F37"/>
    <w:rsid w:val="0079082F"/>
    <w:rsid w:val="00790B7A"/>
    <w:rsid w:val="00790D37"/>
    <w:rsid w:val="0079107B"/>
    <w:rsid w:val="00791113"/>
    <w:rsid w:val="00791367"/>
    <w:rsid w:val="00791952"/>
    <w:rsid w:val="00792278"/>
    <w:rsid w:val="007923EF"/>
    <w:rsid w:val="0079265C"/>
    <w:rsid w:val="00792674"/>
    <w:rsid w:val="00793457"/>
    <w:rsid w:val="00793516"/>
    <w:rsid w:val="00794025"/>
    <w:rsid w:val="0079407B"/>
    <w:rsid w:val="007949CE"/>
    <w:rsid w:val="00794E3B"/>
    <w:rsid w:val="0079524E"/>
    <w:rsid w:val="00795710"/>
    <w:rsid w:val="0079579C"/>
    <w:rsid w:val="00795D24"/>
    <w:rsid w:val="00795E64"/>
    <w:rsid w:val="0079600E"/>
    <w:rsid w:val="007964E7"/>
    <w:rsid w:val="00796609"/>
    <w:rsid w:val="007966E5"/>
    <w:rsid w:val="00796844"/>
    <w:rsid w:val="00796F78"/>
    <w:rsid w:val="00797326"/>
    <w:rsid w:val="007975CA"/>
    <w:rsid w:val="0079773F"/>
    <w:rsid w:val="00797798"/>
    <w:rsid w:val="00797979"/>
    <w:rsid w:val="00797C42"/>
    <w:rsid w:val="00797CC7"/>
    <w:rsid w:val="00797D70"/>
    <w:rsid w:val="00797F73"/>
    <w:rsid w:val="00797F9D"/>
    <w:rsid w:val="007A0440"/>
    <w:rsid w:val="007A0581"/>
    <w:rsid w:val="007A05D2"/>
    <w:rsid w:val="007A07A9"/>
    <w:rsid w:val="007A0A49"/>
    <w:rsid w:val="007A0B38"/>
    <w:rsid w:val="007A0D23"/>
    <w:rsid w:val="007A114B"/>
    <w:rsid w:val="007A1795"/>
    <w:rsid w:val="007A1FD9"/>
    <w:rsid w:val="007A2DEE"/>
    <w:rsid w:val="007A3305"/>
    <w:rsid w:val="007A34A1"/>
    <w:rsid w:val="007A362A"/>
    <w:rsid w:val="007A3E24"/>
    <w:rsid w:val="007A478D"/>
    <w:rsid w:val="007A4C99"/>
    <w:rsid w:val="007A519F"/>
    <w:rsid w:val="007A537B"/>
    <w:rsid w:val="007A58CD"/>
    <w:rsid w:val="007A5C66"/>
    <w:rsid w:val="007A6138"/>
    <w:rsid w:val="007A6665"/>
    <w:rsid w:val="007A67B0"/>
    <w:rsid w:val="007A6929"/>
    <w:rsid w:val="007A69A2"/>
    <w:rsid w:val="007A6B4E"/>
    <w:rsid w:val="007A6E3E"/>
    <w:rsid w:val="007A6F67"/>
    <w:rsid w:val="007A702D"/>
    <w:rsid w:val="007A725D"/>
    <w:rsid w:val="007A7378"/>
    <w:rsid w:val="007A73F6"/>
    <w:rsid w:val="007A7826"/>
    <w:rsid w:val="007A7A24"/>
    <w:rsid w:val="007A7CA1"/>
    <w:rsid w:val="007B046E"/>
    <w:rsid w:val="007B0676"/>
    <w:rsid w:val="007B068D"/>
    <w:rsid w:val="007B0693"/>
    <w:rsid w:val="007B07E6"/>
    <w:rsid w:val="007B0976"/>
    <w:rsid w:val="007B0B77"/>
    <w:rsid w:val="007B0DF3"/>
    <w:rsid w:val="007B0E25"/>
    <w:rsid w:val="007B11DB"/>
    <w:rsid w:val="007B133C"/>
    <w:rsid w:val="007B142E"/>
    <w:rsid w:val="007B1A1B"/>
    <w:rsid w:val="007B1AAF"/>
    <w:rsid w:val="007B1E33"/>
    <w:rsid w:val="007B1EB6"/>
    <w:rsid w:val="007B221D"/>
    <w:rsid w:val="007B22E6"/>
    <w:rsid w:val="007B254C"/>
    <w:rsid w:val="007B2565"/>
    <w:rsid w:val="007B25ED"/>
    <w:rsid w:val="007B2B2C"/>
    <w:rsid w:val="007B2BE2"/>
    <w:rsid w:val="007B2C21"/>
    <w:rsid w:val="007B2D88"/>
    <w:rsid w:val="007B3BEB"/>
    <w:rsid w:val="007B3C8F"/>
    <w:rsid w:val="007B44E1"/>
    <w:rsid w:val="007B44E4"/>
    <w:rsid w:val="007B455E"/>
    <w:rsid w:val="007B4942"/>
    <w:rsid w:val="007B4DC4"/>
    <w:rsid w:val="007B517C"/>
    <w:rsid w:val="007B5DF0"/>
    <w:rsid w:val="007B6535"/>
    <w:rsid w:val="007B6722"/>
    <w:rsid w:val="007B6BE4"/>
    <w:rsid w:val="007B6F87"/>
    <w:rsid w:val="007B7182"/>
    <w:rsid w:val="007B792E"/>
    <w:rsid w:val="007B7EAA"/>
    <w:rsid w:val="007C01C5"/>
    <w:rsid w:val="007C0841"/>
    <w:rsid w:val="007C0F69"/>
    <w:rsid w:val="007C114A"/>
    <w:rsid w:val="007C144D"/>
    <w:rsid w:val="007C1713"/>
    <w:rsid w:val="007C196F"/>
    <w:rsid w:val="007C1D8B"/>
    <w:rsid w:val="007C23AB"/>
    <w:rsid w:val="007C27DF"/>
    <w:rsid w:val="007C2D0B"/>
    <w:rsid w:val="007C2DA5"/>
    <w:rsid w:val="007C2FB0"/>
    <w:rsid w:val="007C2FF2"/>
    <w:rsid w:val="007C3225"/>
    <w:rsid w:val="007C33CE"/>
    <w:rsid w:val="007C3513"/>
    <w:rsid w:val="007C386B"/>
    <w:rsid w:val="007C38E5"/>
    <w:rsid w:val="007C395B"/>
    <w:rsid w:val="007C3D97"/>
    <w:rsid w:val="007C459A"/>
    <w:rsid w:val="007C4DD5"/>
    <w:rsid w:val="007C4EA6"/>
    <w:rsid w:val="007C4FDF"/>
    <w:rsid w:val="007C53D2"/>
    <w:rsid w:val="007C5631"/>
    <w:rsid w:val="007C5701"/>
    <w:rsid w:val="007C57B6"/>
    <w:rsid w:val="007C582C"/>
    <w:rsid w:val="007C5A8B"/>
    <w:rsid w:val="007C5CCA"/>
    <w:rsid w:val="007C5F72"/>
    <w:rsid w:val="007C6251"/>
    <w:rsid w:val="007C6851"/>
    <w:rsid w:val="007C6B21"/>
    <w:rsid w:val="007C6B3E"/>
    <w:rsid w:val="007C6C92"/>
    <w:rsid w:val="007C6CAA"/>
    <w:rsid w:val="007C6CAC"/>
    <w:rsid w:val="007C7271"/>
    <w:rsid w:val="007C7AC4"/>
    <w:rsid w:val="007C7B90"/>
    <w:rsid w:val="007C7F09"/>
    <w:rsid w:val="007D00B1"/>
    <w:rsid w:val="007D0375"/>
    <w:rsid w:val="007D0450"/>
    <w:rsid w:val="007D07BE"/>
    <w:rsid w:val="007D0B49"/>
    <w:rsid w:val="007D0D21"/>
    <w:rsid w:val="007D0F2F"/>
    <w:rsid w:val="007D19F7"/>
    <w:rsid w:val="007D1BE5"/>
    <w:rsid w:val="007D1C65"/>
    <w:rsid w:val="007D204A"/>
    <w:rsid w:val="007D2154"/>
    <w:rsid w:val="007D250F"/>
    <w:rsid w:val="007D275F"/>
    <w:rsid w:val="007D28A9"/>
    <w:rsid w:val="007D2A38"/>
    <w:rsid w:val="007D2C63"/>
    <w:rsid w:val="007D2F15"/>
    <w:rsid w:val="007D2F38"/>
    <w:rsid w:val="007D3069"/>
    <w:rsid w:val="007D3B5E"/>
    <w:rsid w:val="007D41E5"/>
    <w:rsid w:val="007D4389"/>
    <w:rsid w:val="007D45CD"/>
    <w:rsid w:val="007D4E7C"/>
    <w:rsid w:val="007D52EC"/>
    <w:rsid w:val="007D56B8"/>
    <w:rsid w:val="007D5986"/>
    <w:rsid w:val="007D5BA6"/>
    <w:rsid w:val="007D5D23"/>
    <w:rsid w:val="007D692D"/>
    <w:rsid w:val="007D704A"/>
    <w:rsid w:val="007D75BD"/>
    <w:rsid w:val="007D7811"/>
    <w:rsid w:val="007D78EB"/>
    <w:rsid w:val="007D7DCB"/>
    <w:rsid w:val="007D7EAC"/>
    <w:rsid w:val="007E00EF"/>
    <w:rsid w:val="007E0193"/>
    <w:rsid w:val="007E067D"/>
    <w:rsid w:val="007E099F"/>
    <w:rsid w:val="007E0D09"/>
    <w:rsid w:val="007E1189"/>
    <w:rsid w:val="007E125D"/>
    <w:rsid w:val="007E14D9"/>
    <w:rsid w:val="007E1A89"/>
    <w:rsid w:val="007E2007"/>
    <w:rsid w:val="007E2386"/>
    <w:rsid w:val="007E2D37"/>
    <w:rsid w:val="007E34A8"/>
    <w:rsid w:val="007E37C1"/>
    <w:rsid w:val="007E3EAF"/>
    <w:rsid w:val="007E44DC"/>
    <w:rsid w:val="007E466E"/>
    <w:rsid w:val="007E46EB"/>
    <w:rsid w:val="007E49AC"/>
    <w:rsid w:val="007E4C66"/>
    <w:rsid w:val="007E4CC0"/>
    <w:rsid w:val="007E4E2E"/>
    <w:rsid w:val="007E4E48"/>
    <w:rsid w:val="007E5817"/>
    <w:rsid w:val="007E5E96"/>
    <w:rsid w:val="007E5F23"/>
    <w:rsid w:val="007E6093"/>
    <w:rsid w:val="007E60A5"/>
    <w:rsid w:val="007E6210"/>
    <w:rsid w:val="007E6370"/>
    <w:rsid w:val="007E642A"/>
    <w:rsid w:val="007E64C2"/>
    <w:rsid w:val="007E6C59"/>
    <w:rsid w:val="007E6E80"/>
    <w:rsid w:val="007E6F24"/>
    <w:rsid w:val="007E71CB"/>
    <w:rsid w:val="007E725E"/>
    <w:rsid w:val="007E7308"/>
    <w:rsid w:val="007E757B"/>
    <w:rsid w:val="007E7683"/>
    <w:rsid w:val="007E7C03"/>
    <w:rsid w:val="007F041B"/>
    <w:rsid w:val="007F04C1"/>
    <w:rsid w:val="007F05D6"/>
    <w:rsid w:val="007F074B"/>
    <w:rsid w:val="007F0A58"/>
    <w:rsid w:val="007F0FA4"/>
    <w:rsid w:val="007F130B"/>
    <w:rsid w:val="007F1358"/>
    <w:rsid w:val="007F1389"/>
    <w:rsid w:val="007F1B51"/>
    <w:rsid w:val="007F222C"/>
    <w:rsid w:val="007F233A"/>
    <w:rsid w:val="007F28C2"/>
    <w:rsid w:val="007F2A86"/>
    <w:rsid w:val="007F2C03"/>
    <w:rsid w:val="007F304A"/>
    <w:rsid w:val="007F3129"/>
    <w:rsid w:val="007F31FE"/>
    <w:rsid w:val="007F3266"/>
    <w:rsid w:val="007F331A"/>
    <w:rsid w:val="007F3501"/>
    <w:rsid w:val="007F39B7"/>
    <w:rsid w:val="007F3C52"/>
    <w:rsid w:val="007F3CDC"/>
    <w:rsid w:val="007F3E77"/>
    <w:rsid w:val="007F44FD"/>
    <w:rsid w:val="007F4897"/>
    <w:rsid w:val="007F4A3F"/>
    <w:rsid w:val="007F4E02"/>
    <w:rsid w:val="007F51B5"/>
    <w:rsid w:val="007F51CC"/>
    <w:rsid w:val="007F53BA"/>
    <w:rsid w:val="007F6129"/>
    <w:rsid w:val="007F75C6"/>
    <w:rsid w:val="007F77B8"/>
    <w:rsid w:val="007F79C2"/>
    <w:rsid w:val="007F7BA7"/>
    <w:rsid w:val="007F7DD4"/>
    <w:rsid w:val="007F7E2C"/>
    <w:rsid w:val="007F7EB7"/>
    <w:rsid w:val="008001F6"/>
    <w:rsid w:val="00800918"/>
    <w:rsid w:val="008009E0"/>
    <w:rsid w:val="00800D16"/>
    <w:rsid w:val="00801633"/>
    <w:rsid w:val="00801CA4"/>
    <w:rsid w:val="00801CD6"/>
    <w:rsid w:val="00801F98"/>
    <w:rsid w:val="008022A2"/>
    <w:rsid w:val="008024E4"/>
    <w:rsid w:val="00802889"/>
    <w:rsid w:val="00802999"/>
    <w:rsid w:val="00802A43"/>
    <w:rsid w:val="00802AA1"/>
    <w:rsid w:val="00802EBC"/>
    <w:rsid w:val="0080413D"/>
    <w:rsid w:val="0080498A"/>
    <w:rsid w:val="00805939"/>
    <w:rsid w:val="00805B67"/>
    <w:rsid w:val="00805F13"/>
    <w:rsid w:val="00806501"/>
    <w:rsid w:val="00806573"/>
    <w:rsid w:val="00806F1B"/>
    <w:rsid w:val="0080759A"/>
    <w:rsid w:val="0081062C"/>
    <w:rsid w:val="008107CE"/>
    <w:rsid w:val="008109D5"/>
    <w:rsid w:val="00810C9E"/>
    <w:rsid w:val="00810D9C"/>
    <w:rsid w:val="0081142B"/>
    <w:rsid w:val="008114B3"/>
    <w:rsid w:val="00811AE0"/>
    <w:rsid w:val="00811B17"/>
    <w:rsid w:val="00811BBC"/>
    <w:rsid w:val="00811CC7"/>
    <w:rsid w:val="00811FC8"/>
    <w:rsid w:val="008122A1"/>
    <w:rsid w:val="008122CE"/>
    <w:rsid w:val="008123FB"/>
    <w:rsid w:val="00812CBD"/>
    <w:rsid w:val="00812F67"/>
    <w:rsid w:val="0081324B"/>
    <w:rsid w:val="008134B5"/>
    <w:rsid w:val="00813E46"/>
    <w:rsid w:val="0081411D"/>
    <w:rsid w:val="008143D5"/>
    <w:rsid w:val="00814F37"/>
    <w:rsid w:val="0081519D"/>
    <w:rsid w:val="00815218"/>
    <w:rsid w:val="0081522C"/>
    <w:rsid w:val="0081526C"/>
    <w:rsid w:val="00815396"/>
    <w:rsid w:val="00815459"/>
    <w:rsid w:val="00815953"/>
    <w:rsid w:val="008159D4"/>
    <w:rsid w:val="00815B38"/>
    <w:rsid w:val="00816594"/>
    <w:rsid w:val="008165C5"/>
    <w:rsid w:val="008167C9"/>
    <w:rsid w:val="008169D5"/>
    <w:rsid w:val="00816D7B"/>
    <w:rsid w:val="00816EC2"/>
    <w:rsid w:val="00816F98"/>
    <w:rsid w:val="00817B14"/>
    <w:rsid w:val="00817D86"/>
    <w:rsid w:val="00817ED8"/>
    <w:rsid w:val="00820907"/>
    <w:rsid w:val="00820CAF"/>
    <w:rsid w:val="0082160B"/>
    <w:rsid w:val="008219B8"/>
    <w:rsid w:val="00821DFC"/>
    <w:rsid w:val="00821FA9"/>
    <w:rsid w:val="008222FF"/>
    <w:rsid w:val="008223B1"/>
    <w:rsid w:val="008223E1"/>
    <w:rsid w:val="008224F7"/>
    <w:rsid w:val="00822549"/>
    <w:rsid w:val="00822593"/>
    <w:rsid w:val="00822CE9"/>
    <w:rsid w:val="0082314E"/>
    <w:rsid w:val="0082379A"/>
    <w:rsid w:val="00823B22"/>
    <w:rsid w:val="008241EC"/>
    <w:rsid w:val="00824304"/>
    <w:rsid w:val="00824332"/>
    <w:rsid w:val="0082454F"/>
    <w:rsid w:val="008246E9"/>
    <w:rsid w:val="00824817"/>
    <w:rsid w:val="00824A14"/>
    <w:rsid w:val="00824A9F"/>
    <w:rsid w:val="00824EA6"/>
    <w:rsid w:val="008251C5"/>
    <w:rsid w:val="008254AE"/>
    <w:rsid w:val="0082579B"/>
    <w:rsid w:val="00825CD1"/>
    <w:rsid w:val="00825EC8"/>
    <w:rsid w:val="00826A3A"/>
    <w:rsid w:val="00826D4D"/>
    <w:rsid w:val="00826D9B"/>
    <w:rsid w:val="00827061"/>
    <w:rsid w:val="008272DD"/>
    <w:rsid w:val="00827531"/>
    <w:rsid w:val="00827712"/>
    <w:rsid w:val="00827829"/>
    <w:rsid w:val="00827AEC"/>
    <w:rsid w:val="00827F48"/>
    <w:rsid w:val="008300E5"/>
    <w:rsid w:val="008300FD"/>
    <w:rsid w:val="00830319"/>
    <w:rsid w:val="008309EF"/>
    <w:rsid w:val="00830FE8"/>
    <w:rsid w:val="00831159"/>
    <w:rsid w:val="008314E7"/>
    <w:rsid w:val="0083192E"/>
    <w:rsid w:val="008319BD"/>
    <w:rsid w:val="00831B93"/>
    <w:rsid w:val="00831D54"/>
    <w:rsid w:val="0083210F"/>
    <w:rsid w:val="00832316"/>
    <w:rsid w:val="00832A5E"/>
    <w:rsid w:val="008333FA"/>
    <w:rsid w:val="00833899"/>
    <w:rsid w:val="00833AE2"/>
    <w:rsid w:val="00833D67"/>
    <w:rsid w:val="00834000"/>
    <w:rsid w:val="008344E5"/>
    <w:rsid w:val="00834724"/>
    <w:rsid w:val="008347E8"/>
    <w:rsid w:val="0083483A"/>
    <w:rsid w:val="008351A8"/>
    <w:rsid w:val="0083520D"/>
    <w:rsid w:val="008353BE"/>
    <w:rsid w:val="008359D8"/>
    <w:rsid w:val="00835BC4"/>
    <w:rsid w:val="00835CF3"/>
    <w:rsid w:val="00835D38"/>
    <w:rsid w:val="00835FEB"/>
    <w:rsid w:val="00836045"/>
    <w:rsid w:val="008361C8"/>
    <w:rsid w:val="00836492"/>
    <w:rsid w:val="00836520"/>
    <w:rsid w:val="008368A3"/>
    <w:rsid w:val="00836940"/>
    <w:rsid w:val="008369AC"/>
    <w:rsid w:val="008371C3"/>
    <w:rsid w:val="0083735A"/>
    <w:rsid w:val="00837573"/>
    <w:rsid w:val="00840027"/>
    <w:rsid w:val="0084009D"/>
    <w:rsid w:val="0084024C"/>
    <w:rsid w:val="008403B5"/>
    <w:rsid w:val="008403E1"/>
    <w:rsid w:val="00840BB0"/>
    <w:rsid w:val="00840C41"/>
    <w:rsid w:val="00840F8A"/>
    <w:rsid w:val="0084186B"/>
    <w:rsid w:val="00842106"/>
    <w:rsid w:val="008425A8"/>
    <w:rsid w:val="008425AB"/>
    <w:rsid w:val="008427CA"/>
    <w:rsid w:val="00842CDA"/>
    <w:rsid w:val="00843221"/>
    <w:rsid w:val="00843262"/>
    <w:rsid w:val="0084340D"/>
    <w:rsid w:val="0084342E"/>
    <w:rsid w:val="00843BF9"/>
    <w:rsid w:val="008440B0"/>
    <w:rsid w:val="008441AC"/>
    <w:rsid w:val="00844468"/>
    <w:rsid w:val="00844700"/>
    <w:rsid w:val="0084476F"/>
    <w:rsid w:val="0084485D"/>
    <w:rsid w:val="008449B7"/>
    <w:rsid w:val="00844B87"/>
    <w:rsid w:val="00844E9C"/>
    <w:rsid w:val="00844F9B"/>
    <w:rsid w:val="0084575A"/>
    <w:rsid w:val="00846037"/>
    <w:rsid w:val="00846334"/>
    <w:rsid w:val="00846B30"/>
    <w:rsid w:val="00846C98"/>
    <w:rsid w:val="008471FD"/>
    <w:rsid w:val="00847309"/>
    <w:rsid w:val="00847993"/>
    <w:rsid w:val="00847C66"/>
    <w:rsid w:val="00847FC7"/>
    <w:rsid w:val="00850220"/>
    <w:rsid w:val="00850839"/>
    <w:rsid w:val="00850D02"/>
    <w:rsid w:val="00850F3F"/>
    <w:rsid w:val="0085135F"/>
    <w:rsid w:val="0085136E"/>
    <w:rsid w:val="0085184A"/>
    <w:rsid w:val="00851A31"/>
    <w:rsid w:val="00851DCA"/>
    <w:rsid w:val="0085203D"/>
    <w:rsid w:val="008523FF"/>
    <w:rsid w:val="008525E5"/>
    <w:rsid w:val="008526BA"/>
    <w:rsid w:val="00853324"/>
    <w:rsid w:val="00853645"/>
    <w:rsid w:val="00853A0D"/>
    <w:rsid w:val="00853B5E"/>
    <w:rsid w:val="00853B8C"/>
    <w:rsid w:val="00853CDC"/>
    <w:rsid w:val="00853D76"/>
    <w:rsid w:val="00854200"/>
    <w:rsid w:val="00854E60"/>
    <w:rsid w:val="00854EA8"/>
    <w:rsid w:val="008551BA"/>
    <w:rsid w:val="00855374"/>
    <w:rsid w:val="00855423"/>
    <w:rsid w:val="008554A3"/>
    <w:rsid w:val="00855656"/>
    <w:rsid w:val="008558E2"/>
    <w:rsid w:val="00855DA1"/>
    <w:rsid w:val="00855FD7"/>
    <w:rsid w:val="00856476"/>
    <w:rsid w:val="008565FF"/>
    <w:rsid w:val="00856843"/>
    <w:rsid w:val="00857038"/>
    <w:rsid w:val="008571CA"/>
    <w:rsid w:val="008576B6"/>
    <w:rsid w:val="00857BB8"/>
    <w:rsid w:val="00857D17"/>
    <w:rsid w:val="008600A3"/>
    <w:rsid w:val="0086010F"/>
    <w:rsid w:val="0086056B"/>
    <w:rsid w:val="008608F3"/>
    <w:rsid w:val="00860AF8"/>
    <w:rsid w:val="00860FBB"/>
    <w:rsid w:val="00861529"/>
    <w:rsid w:val="00861AEA"/>
    <w:rsid w:val="00861E47"/>
    <w:rsid w:val="008622BC"/>
    <w:rsid w:val="00862678"/>
    <w:rsid w:val="00862AC0"/>
    <w:rsid w:val="00862AFB"/>
    <w:rsid w:val="00862D55"/>
    <w:rsid w:val="00862E79"/>
    <w:rsid w:val="00862F0E"/>
    <w:rsid w:val="00862F53"/>
    <w:rsid w:val="0086312B"/>
    <w:rsid w:val="008632C4"/>
    <w:rsid w:val="00863370"/>
    <w:rsid w:val="008634E0"/>
    <w:rsid w:val="008637C6"/>
    <w:rsid w:val="00863B28"/>
    <w:rsid w:val="00863BA0"/>
    <w:rsid w:val="00863FB3"/>
    <w:rsid w:val="00864067"/>
    <w:rsid w:val="00864496"/>
    <w:rsid w:val="008648A3"/>
    <w:rsid w:val="00864B5F"/>
    <w:rsid w:val="00864E2F"/>
    <w:rsid w:val="00865192"/>
    <w:rsid w:val="0086584D"/>
    <w:rsid w:val="0086584F"/>
    <w:rsid w:val="00865D32"/>
    <w:rsid w:val="00865E15"/>
    <w:rsid w:val="00865F28"/>
    <w:rsid w:val="00866037"/>
    <w:rsid w:val="008660EB"/>
    <w:rsid w:val="00866560"/>
    <w:rsid w:val="008665EA"/>
    <w:rsid w:val="008669B3"/>
    <w:rsid w:val="00867051"/>
    <w:rsid w:val="008676C2"/>
    <w:rsid w:val="0086779A"/>
    <w:rsid w:val="008677D6"/>
    <w:rsid w:val="0087014A"/>
    <w:rsid w:val="00870855"/>
    <w:rsid w:val="0087099B"/>
    <w:rsid w:val="00870B90"/>
    <w:rsid w:val="00870D91"/>
    <w:rsid w:val="00871934"/>
    <w:rsid w:val="00871A7D"/>
    <w:rsid w:val="00871AD2"/>
    <w:rsid w:val="00871B45"/>
    <w:rsid w:val="00871E8F"/>
    <w:rsid w:val="008725C8"/>
    <w:rsid w:val="00873C8F"/>
    <w:rsid w:val="00873F38"/>
    <w:rsid w:val="00873F3E"/>
    <w:rsid w:val="008741C2"/>
    <w:rsid w:val="008741FF"/>
    <w:rsid w:val="00874CCB"/>
    <w:rsid w:val="00874DBC"/>
    <w:rsid w:val="00875315"/>
    <w:rsid w:val="00875410"/>
    <w:rsid w:val="008754A1"/>
    <w:rsid w:val="00875649"/>
    <w:rsid w:val="008761EB"/>
    <w:rsid w:val="00876514"/>
    <w:rsid w:val="008771DA"/>
    <w:rsid w:val="0087730B"/>
    <w:rsid w:val="00877661"/>
    <w:rsid w:val="00877A6B"/>
    <w:rsid w:val="00877CCA"/>
    <w:rsid w:val="00877DCD"/>
    <w:rsid w:val="00877E9D"/>
    <w:rsid w:val="00877F4E"/>
    <w:rsid w:val="008801E3"/>
    <w:rsid w:val="00880207"/>
    <w:rsid w:val="00880282"/>
    <w:rsid w:val="00880452"/>
    <w:rsid w:val="008804C5"/>
    <w:rsid w:val="00880965"/>
    <w:rsid w:val="00880DB9"/>
    <w:rsid w:val="008812E0"/>
    <w:rsid w:val="00881389"/>
    <w:rsid w:val="008815E9"/>
    <w:rsid w:val="00881C26"/>
    <w:rsid w:val="00881F93"/>
    <w:rsid w:val="0088202F"/>
    <w:rsid w:val="0088241B"/>
    <w:rsid w:val="00882612"/>
    <w:rsid w:val="0088279C"/>
    <w:rsid w:val="008827ED"/>
    <w:rsid w:val="00882ED0"/>
    <w:rsid w:val="00883521"/>
    <w:rsid w:val="008837F2"/>
    <w:rsid w:val="008839DE"/>
    <w:rsid w:val="00883E88"/>
    <w:rsid w:val="00884008"/>
    <w:rsid w:val="00884511"/>
    <w:rsid w:val="00884610"/>
    <w:rsid w:val="008847D5"/>
    <w:rsid w:val="00884C68"/>
    <w:rsid w:val="00885000"/>
    <w:rsid w:val="008856E8"/>
    <w:rsid w:val="008857C3"/>
    <w:rsid w:val="008864E6"/>
    <w:rsid w:val="008865EC"/>
    <w:rsid w:val="008878B7"/>
    <w:rsid w:val="00887D0A"/>
    <w:rsid w:val="00887DEA"/>
    <w:rsid w:val="00887E33"/>
    <w:rsid w:val="00887EB0"/>
    <w:rsid w:val="00887F5E"/>
    <w:rsid w:val="0089078A"/>
    <w:rsid w:val="00890AD7"/>
    <w:rsid w:val="00890E35"/>
    <w:rsid w:val="00890FCD"/>
    <w:rsid w:val="00891164"/>
    <w:rsid w:val="00891CA6"/>
    <w:rsid w:val="00891D62"/>
    <w:rsid w:val="00891F4F"/>
    <w:rsid w:val="00891FD6"/>
    <w:rsid w:val="00892046"/>
    <w:rsid w:val="00892B35"/>
    <w:rsid w:val="008930A8"/>
    <w:rsid w:val="0089339E"/>
    <w:rsid w:val="00893606"/>
    <w:rsid w:val="008936C0"/>
    <w:rsid w:val="00893987"/>
    <w:rsid w:val="00893D0D"/>
    <w:rsid w:val="008940EB"/>
    <w:rsid w:val="00894268"/>
    <w:rsid w:val="00894417"/>
    <w:rsid w:val="0089447D"/>
    <w:rsid w:val="008946B6"/>
    <w:rsid w:val="0089473F"/>
    <w:rsid w:val="00894988"/>
    <w:rsid w:val="00894D3B"/>
    <w:rsid w:val="00894EC1"/>
    <w:rsid w:val="00895085"/>
    <w:rsid w:val="008953B8"/>
    <w:rsid w:val="00895594"/>
    <w:rsid w:val="00895EE3"/>
    <w:rsid w:val="0089600F"/>
    <w:rsid w:val="008967BD"/>
    <w:rsid w:val="00896A16"/>
    <w:rsid w:val="0089709B"/>
    <w:rsid w:val="0089793E"/>
    <w:rsid w:val="00897A8D"/>
    <w:rsid w:val="00897AC0"/>
    <w:rsid w:val="00897EC1"/>
    <w:rsid w:val="00897F3C"/>
    <w:rsid w:val="008A0248"/>
    <w:rsid w:val="008A05C8"/>
    <w:rsid w:val="008A0F61"/>
    <w:rsid w:val="008A1123"/>
    <w:rsid w:val="008A1E57"/>
    <w:rsid w:val="008A2A0A"/>
    <w:rsid w:val="008A2A0C"/>
    <w:rsid w:val="008A2CDD"/>
    <w:rsid w:val="008A2EB1"/>
    <w:rsid w:val="008A34E0"/>
    <w:rsid w:val="008A366A"/>
    <w:rsid w:val="008A379B"/>
    <w:rsid w:val="008A3A76"/>
    <w:rsid w:val="008A3BF5"/>
    <w:rsid w:val="008A422E"/>
    <w:rsid w:val="008A4244"/>
    <w:rsid w:val="008A428F"/>
    <w:rsid w:val="008A43C1"/>
    <w:rsid w:val="008A4B5C"/>
    <w:rsid w:val="008A4CC2"/>
    <w:rsid w:val="008A5382"/>
    <w:rsid w:val="008A53AA"/>
    <w:rsid w:val="008A5887"/>
    <w:rsid w:val="008A5A34"/>
    <w:rsid w:val="008A62D3"/>
    <w:rsid w:val="008A6772"/>
    <w:rsid w:val="008A6CAF"/>
    <w:rsid w:val="008A6F24"/>
    <w:rsid w:val="008A7595"/>
    <w:rsid w:val="008A7649"/>
    <w:rsid w:val="008A7C35"/>
    <w:rsid w:val="008A7D4D"/>
    <w:rsid w:val="008A7DEE"/>
    <w:rsid w:val="008A7E3E"/>
    <w:rsid w:val="008A7E92"/>
    <w:rsid w:val="008B03D0"/>
    <w:rsid w:val="008B0C49"/>
    <w:rsid w:val="008B0C91"/>
    <w:rsid w:val="008B0F42"/>
    <w:rsid w:val="008B157E"/>
    <w:rsid w:val="008B169A"/>
    <w:rsid w:val="008B17C7"/>
    <w:rsid w:val="008B190E"/>
    <w:rsid w:val="008B194F"/>
    <w:rsid w:val="008B1960"/>
    <w:rsid w:val="008B1A12"/>
    <w:rsid w:val="008B1B2F"/>
    <w:rsid w:val="008B2747"/>
    <w:rsid w:val="008B282C"/>
    <w:rsid w:val="008B299C"/>
    <w:rsid w:val="008B313A"/>
    <w:rsid w:val="008B325D"/>
    <w:rsid w:val="008B3468"/>
    <w:rsid w:val="008B3819"/>
    <w:rsid w:val="008B38C1"/>
    <w:rsid w:val="008B398C"/>
    <w:rsid w:val="008B3C45"/>
    <w:rsid w:val="008B3E7B"/>
    <w:rsid w:val="008B40D8"/>
    <w:rsid w:val="008B45EF"/>
    <w:rsid w:val="008B4626"/>
    <w:rsid w:val="008B467E"/>
    <w:rsid w:val="008B4697"/>
    <w:rsid w:val="008B4774"/>
    <w:rsid w:val="008B4922"/>
    <w:rsid w:val="008B4A6D"/>
    <w:rsid w:val="008B4B04"/>
    <w:rsid w:val="008B4D33"/>
    <w:rsid w:val="008B4FFE"/>
    <w:rsid w:val="008B554F"/>
    <w:rsid w:val="008B56F6"/>
    <w:rsid w:val="008B61D8"/>
    <w:rsid w:val="008B6756"/>
    <w:rsid w:val="008B772B"/>
    <w:rsid w:val="008B7DEB"/>
    <w:rsid w:val="008B7DFD"/>
    <w:rsid w:val="008C03B4"/>
    <w:rsid w:val="008C0F88"/>
    <w:rsid w:val="008C1182"/>
    <w:rsid w:val="008C1443"/>
    <w:rsid w:val="008C14D3"/>
    <w:rsid w:val="008C1567"/>
    <w:rsid w:val="008C15F4"/>
    <w:rsid w:val="008C1A0D"/>
    <w:rsid w:val="008C1A34"/>
    <w:rsid w:val="008C1ED2"/>
    <w:rsid w:val="008C2059"/>
    <w:rsid w:val="008C2491"/>
    <w:rsid w:val="008C2649"/>
    <w:rsid w:val="008C2CB6"/>
    <w:rsid w:val="008C2D5E"/>
    <w:rsid w:val="008C2EAE"/>
    <w:rsid w:val="008C32E0"/>
    <w:rsid w:val="008C36BF"/>
    <w:rsid w:val="008C3956"/>
    <w:rsid w:val="008C4099"/>
    <w:rsid w:val="008C411B"/>
    <w:rsid w:val="008C472E"/>
    <w:rsid w:val="008C4902"/>
    <w:rsid w:val="008C4965"/>
    <w:rsid w:val="008C4B13"/>
    <w:rsid w:val="008C502A"/>
    <w:rsid w:val="008C5C25"/>
    <w:rsid w:val="008C5DB3"/>
    <w:rsid w:val="008C6134"/>
    <w:rsid w:val="008C65A4"/>
    <w:rsid w:val="008C6B6B"/>
    <w:rsid w:val="008C6B9E"/>
    <w:rsid w:val="008C6E40"/>
    <w:rsid w:val="008C77C8"/>
    <w:rsid w:val="008D03D6"/>
    <w:rsid w:val="008D069C"/>
    <w:rsid w:val="008D0795"/>
    <w:rsid w:val="008D0AF1"/>
    <w:rsid w:val="008D0D7F"/>
    <w:rsid w:val="008D1ABE"/>
    <w:rsid w:val="008D20BF"/>
    <w:rsid w:val="008D2A7D"/>
    <w:rsid w:val="008D3291"/>
    <w:rsid w:val="008D3363"/>
    <w:rsid w:val="008D3373"/>
    <w:rsid w:val="008D3976"/>
    <w:rsid w:val="008D3C44"/>
    <w:rsid w:val="008D446C"/>
    <w:rsid w:val="008D455F"/>
    <w:rsid w:val="008D543B"/>
    <w:rsid w:val="008D560A"/>
    <w:rsid w:val="008D6007"/>
    <w:rsid w:val="008D61A0"/>
    <w:rsid w:val="008D65EB"/>
    <w:rsid w:val="008D6B22"/>
    <w:rsid w:val="008D700A"/>
    <w:rsid w:val="008D7821"/>
    <w:rsid w:val="008D7CA8"/>
    <w:rsid w:val="008D7E03"/>
    <w:rsid w:val="008E030C"/>
    <w:rsid w:val="008E08B4"/>
    <w:rsid w:val="008E181D"/>
    <w:rsid w:val="008E19F7"/>
    <w:rsid w:val="008E1C4D"/>
    <w:rsid w:val="008E1C7A"/>
    <w:rsid w:val="008E1CAD"/>
    <w:rsid w:val="008E1F3F"/>
    <w:rsid w:val="008E200F"/>
    <w:rsid w:val="008E23FD"/>
    <w:rsid w:val="008E310E"/>
    <w:rsid w:val="008E365C"/>
    <w:rsid w:val="008E383A"/>
    <w:rsid w:val="008E3D65"/>
    <w:rsid w:val="008E40F2"/>
    <w:rsid w:val="008E413C"/>
    <w:rsid w:val="008E4163"/>
    <w:rsid w:val="008E41ED"/>
    <w:rsid w:val="008E4448"/>
    <w:rsid w:val="008E450F"/>
    <w:rsid w:val="008E510C"/>
    <w:rsid w:val="008E588F"/>
    <w:rsid w:val="008E5B56"/>
    <w:rsid w:val="008E6190"/>
    <w:rsid w:val="008E6281"/>
    <w:rsid w:val="008E628B"/>
    <w:rsid w:val="008E636D"/>
    <w:rsid w:val="008E6517"/>
    <w:rsid w:val="008E65F7"/>
    <w:rsid w:val="008E6630"/>
    <w:rsid w:val="008E66B2"/>
    <w:rsid w:val="008E6882"/>
    <w:rsid w:val="008E7310"/>
    <w:rsid w:val="008E7410"/>
    <w:rsid w:val="008E7617"/>
    <w:rsid w:val="008E7972"/>
    <w:rsid w:val="008E7ADE"/>
    <w:rsid w:val="008E7BF9"/>
    <w:rsid w:val="008F0352"/>
    <w:rsid w:val="008F097D"/>
    <w:rsid w:val="008F0C13"/>
    <w:rsid w:val="008F0E76"/>
    <w:rsid w:val="008F1452"/>
    <w:rsid w:val="008F150F"/>
    <w:rsid w:val="008F1520"/>
    <w:rsid w:val="008F15A2"/>
    <w:rsid w:val="008F16ED"/>
    <w:rsid w:val="008F1AD4"/>
    <w:rsid w:val="008F1BC5"/>
    <w:rsid w:val="008F1DCE"/>
    <w:rsid w:val="008F1EE7"/>
    <w:rsid w:val="008F1FE2"/>
    <w:rsid w:val="008F1FE9"/>
    <w:rsid w:val="008F2725"/>
    <w:rsid w:val="008F3032"/>
    <w:rsid w:val="008F31EE"/>
    <w:rsid w:val="008F3770"/>
    <w:rsid w:val="008F3841"/>
    <w:rsid w:val="008F4188"/>
    <w:rsid w:val="008F44CE"/>
    <w:rsid w:val="008F467B"/>
    <w:rsid w:val="008F4D6E"/>
    <w:rsid w:val="008F51CA"/>
    <w:rsid w:val="008F5603"/>
    <w:rsid w:val="008F59C4"/>
    <w:rsid w:val="008F5AC0"/>
    <w:rsid w:val="008F5ADC"/>
    <w:rsid w:val="008F5B26"/>
    <w:rsid w:val="008F5C46"/>
    <w:rsid w:val="008F5CEB"/>
    <w:rsid w:val="008F5DA6"/>
    <w:rsid w:val="008F5FB2"/>
    <w:rsid w:val="008F6512"/>
    <w:rsid w:val="008F6A07"/>
    <w:rsid w:val="008F6C07"/>
    <w:rsid w:val="008F775C"/>
    <w:rsid w:val="008F77CC"/>
    <w:rsid w:val="008F7BAC"/>
    <w:rsid w:val="008F7BFA"/>
    <w:rsid w:val="008F7D70"/>
    <w:rsid w:val="00900073"/>
    <w:rsid w:val="009002D7"/>
    <w:rsid w:val="0090044A"/>
    <w:rsid w:val="00900894"/>
    <w:rsid w:val="0090093F"/>
    <w:rsid w:val="00900AF0"/>
    <w:rsid w:val="00900BA7"/>
    <w:rsid w:val="00901497"/>
    <w:rsid w:val="009014E5"/>
    <w:rsid w:val="00902322"/>
    <w:rsid w:val="0090276B"/>
    <w:rsid w:val="00902776"/>
    <w:rsid w:val="00902A1A"/>
    <w:rsid w:val="00902EDB"/>
    <w:rsid w:val="009039B3"/>
    <w:rsid w:val="009039E7"/>
    <w:rsid w:val="009043BB"/>
    <w:rsid w:val="00904B49"/>
    <w:rsid w:val="00904CD4"/>
    <w:rsid w:val="00905653"/>
    <w:rsid w:val="00905954"/>
    <w:rsid w:val="00905D38"/>
    <w:rsid w:val="00906090"/>
    <w:rsid w:val="009064B5"/>
    <w:rsid w:val="00906673"/>
    <w:rsid w:val="009066B8"/>
    <w:rsid w:val="00906F07"/>
    <w:rsid w:val="00907437"/>
    <w:rsid w:val="00907886"/>
    <w:rsid w:val="00907DCE"/>
    <w:rsid w:val="0091036B"/>
    <w:rsid w:val="00910759"/>
    <w:rsid w:val="00911077"/>
    <w:rsid w:val="00911118"/>
    <w:rsid w:val="0091159F"/>
    <w:rsid w:val="009120B7"/>
    <w:rsid w:val="009120FE"/>
    <w:rsid w:val="0091220B"/>
    <w:rsid w:val="009129D4"/>
    <w:rsid w:val="00912B65"/>
    <w:rsid w:val="00913634"/>
    <w:rsid w:val="00913AF2"/>
    <w:rsid w:val="00913D10"/>
    <w:rsid w:val="00913D45"/>
    <w:rsid w:val="00913F5E"/>
    <w:rsid w:val="00913F9D"/>
    <w:rsid w:val="0091461F"/>
    <w:rsid w:val="00915530"/>
    <w:rsid w:val="0091569F"/>
    <w:rsid w:val="009156F2"/>
    <w:rsid w:val="00915FFC"/>
    <w:rsid w:val="0091607A"/>
    <w:rsid w:val="009172EB"/>
    <w:rsid w:val="00917584"/>
    <w:rsid w:val="00917C2E"/>
    <w:rsid w:val="00920ACE"/>
    <w:rsid w:val="00920B90"/>
    <w:rsid w:val="00920D58"/>
    <w:rsid w:val="00920DB3"/>
    <w:rsid w:val="0092105F"/>
    <w:rsid w:val="009211C5"/>
    <w:rsid w:val="009212BB"/>
    <w:rsid w:val="00921652"/>
    <w:rsid w:val="009217BA"/>
    <w:rsid w:val="0092224D"/>
    <w:rsid w:val="00922637"/>
    <w:rsid w:val="009226D6"/>
    <w:rsid w:val="0092280B"/>
    <w:rsid w:val="009229CD"/>
    <w:rsid w:val="009235FD"/>
    <w:rsid w:val="009238A4"/>
    <w:rsid w:val="00923C0E"/>
    <w:rsid w:val="00923FCA"/>
    <w:rsid w:val="00924B90"/>
    <w:rsid w:val="009250B7"/>
    <w:rsid w:val="00925152"/>
    <w:rsid w:val="009254F5"/>
    <w:rsid w:val="0092569C"/>
    <w:rsid w:val="0092590E"/>
    <w:rsid w:val="00925A05"/>
    <w:rsid w:val="00925E75"/>
    <w:rsid w:val="0092603E"/>
    <w:rsid w:val="009262A9"/>
    <w:rsid w:val="009263FA"/>
    <w:rsid w:val="00926696"/>
    <w:rsid w:val="00926EA5"/>
    <w:rsid w:val="009273A0"/>
    <w:rsid w:val="0092776A"/>
    <w:rsid w:val="00927788"/>
    <w:rsid w:val="00930116"/>
    <w:rsid w:val="00930269"/>
    <w:rsid w:val="009309B7"/>
    <w:rsid w:val="00930D2C"/>
    <w:rsid w:val="00930DA2"/>
    <w:rsid w:val="0093109A"/>
    <w:rsid w:val="009311E9"/>
    <w:rsid w:val="0093127D"/>
    <w:rsid w:val="0093149B"/>
    <w:rsid w:val="009315CF"/>
    <w:rsid w:val="0093173B"/>
    <w:rsid w:val="0093175E"/>
    <w:rsid w:val="009319AB"/>
    <w:rsid w:val="00931B2B"/>
    <w:rsid w:val="00931F6D"/>
    <w:rsid w:val="00931FB7"/>
    <w:rsid w:val="00932A2B"/>
    <w:rsid w:val="00932FDD"/>
    <w:rsid w:val="00933172"/>
    <w:rsid w:val="0093320B"/>
    <w:rsid w:val="00933435"/>
    <w:rsid w:val="00933839"/>
    <w:rsid w:val="00934268"/>
    <w:rsid w:val="00934413"/>
    <w:rsid w:val="00934776"/>
    <w:rsid w:val="00934C80"/>
    <w:rsid w:val="009353A4"/>
    <w:rsid w:val="009353DC"/>
    <w:rsid w:val="0093540D"/>
    <w:rsid w:val="00935482"/>
    <w:rsid w:val="00935791"/>
    <w:rsid w:val="00935B53"/>
    <w:rsid w:val="00935BCB"/>
    <w:rsid w:val="00935DD4"/>
    <w:rsid w:val="009363A1"/>
    <w:rsid w:val="009363A2"/>
    <w:rsid w:val="00936562"/>
    <w:rsid w:val="009365A7"/>
    <w:rsid w:val="00936838"/>
    <w:rsid w:val="00936B7A"/>
    <w:rsid w:val="009375D3"/>
    <w:rsid w:val="009378BA"/>
    <w:rsid w:val="009379F9"/>
    <w:rsid w:val="00937B2C"/>
    <w:rsid w:val="00937E21"/>
    <w:rsid w:val="009400C6"/>
    <w:rsid w:val="009403E4"/>
    <w:rsid w:val="0094060D"/>
    <w:rsid w:val="00940689"/>
    <w:rsid w:val="0094096A"/>
    <w:rsid w:val="00940A60"/>
    <w:rsid w:val="00940C41"/>
    <w:rsid w:val="00940D2A"/>
    <w:rsid w:val="00940ECE"/>
    <w:rsid w:val="009410A6"/>
    <w:rsid w:val="009412CF"/>
    <w:rsid w:val="0094137C"/>
    <w:rsid w:val="009417CE"/>
    <w:rsid w:val="00941E61"/>
    <w:rsid w:val="00941ECB"/>
    <w:rsid w:val="0094241D"/>
    <w:rsid w:val="009424C0"/>
    <w:rsid w:val="009427F4"/>
    <w:rsid w:val="00942A44"/>
    <w:rsid w:val="00942A45"/>
    <w:rsid w:val="00942F80"/>
    <w:rsid w:val="009430AF"/>
    <w:rsid w:val="009432B4"/>
    <w:rsid w:val="0094344B"/>
    <w:rsid w:val="0094356D"/>
    <w:rsid w:val="00943AAB"/>
    <w:rsid w:val="00943C7F"/>
    <w:rsid w:val="00944150"/>
    <w:rsid w:val="00944386"/>
    <w:rsid w:val="009446EF"/>
    <w:rsid w:val="00944C4C"/>
    <w:rsid w:val="00944E4B"/>
    <w:rsid w:val="00944F29"/>
    <w:rsid w:val="009452D2"/>
    <w:rsid w:val="00945DA4"/>
    <w:rsid w:val="00946079"/>
    <w:rsid w:val="0094628E"/>
    <w:rsid w:val="009462D7"/>
    <w:rsid w:val="00946403"/>
    <w:rsid w:val="00946562"/>
    <w:rsid w:val="00946590"/>
    <w:rsid w:val="0094674C"/>
    <w:rsid w:val="009467FE"/>
    <w:rsid w:val="00946824"/>
    <w:rsid w:val="00947907"/>
    <w:rsid w:val="00947A21"/>
    <w:rsid w:val="009502B0"/>
    <w:rsid w:val="009506D3"/>
    <w:rsid w:val="00950C76"/>
    <w:rsid w:val="00950F90"/>
    <w:rsid w:val="0095143C"/>
    <w:rsid w:val="00951589"/>
    <w:rsid w:val="009516D0"/>
    <w:rsid w:val="00951CBE"/>
    <w:rsid w:val="00951F6A"/>
    <w:rsid w:val="00952193"/>
    <w:rsid w:val="0095261E"/>
    <w:rsid w:val="00952ABD"/>
    <w:rsid w:val="009531CD"/>
    <w:rsid w:val="009537CB"/>
    <w:rsid w:val="0095392C"/>
    <w:rsid w:val="00953F4C"/>
    <w:rsid w:val="00954377"/>
    <w:rsid w:val="0095460C"/>
    <w:rsid w:val="0095463E"/>
    <w:rsid w:val="00954664"/>
    <w:rsid w:val="0095523C"/>
    <w:rsid w:val="009554D5"/>
    <w:rsid w:val="00955869"/>
    <w:rsid w:val="00955D81"/>
    <w:rsid w:val="00955EA1"/>
    <w:rsid w:val="00955FAB"/>
    <w:rsid w:val="0095659E"/>
    <w:rsid w:val="009567C2"/>
    <w:rsid w:val="009568FC"/>
    <w:rsid w:val="0095691C"/>
    <w:rsid w:val="00956E05"/>
    <w:rsid w:val="00956FD8"/>
    <w:rsid w:val="00957520"/>
    <w:rsid w:val="00957D70"/>
    <w:rsid w:val="00960058"/>
    <w:rsid w:val="00960176"/>
    <w:rsid w:val="0096090F"/>
    <w:rsid w:val="00960A7B"/>
    <w:rsid w:val="00961DB4"/>
    <w:rsid w:val="00961EDE"/>
    <w:rsid w:val="0096238E"/>
    <w:rsid w:val="009627C9"/>
    <w:rsid w:val="00962835"/>
    <w:rsid w:val="00962894"/>
    <w:rsid w:val="00962C7A"/>
    <w:rsid w:val="00962DD0"/>
    <w:rsid w:val="00962E72"/>
    <w:rsid w:val="009635C9"/>
    <w:rsid w:val="00963877"/>
    <w:rsid w:val="00963B19"/>
    <w:rsid w:val="009647A6"/>
    <w:rsid w:val="0096480F"/>
    <w:rsid w:val="00964899"/>
    <w:rsid w:val="009649B3"/>
    <w:rsid w:val="00964A11"/>
    <w:rsid w:val="00964A79"/>
    <w:rsid w:val="00966086"/>
    <w:rsid w:val="0096678F"/>
    <w:rsid w:val="00966F2E"/>
    <w:rsid w:val="0096720D"/>
    <w:rsid w:val="0096736A"/>
    <w:rsid w:val="009676C3"/>
    <w:rsid w:val="00967886"/>
    <w:rsid w:val="009678E1"/>
    <w:rsid w:val="00967A09"/>
    <w:rsid w:val="00967AA6"/>
    <w:rsid w:val="00967C44"/>
    <w:rsid w:val="00967DD5"/>
    <w:rsid w:val="00970123"/>
    <w:rsid w:val="009702DA"/>
    <w:rsid w:val="009706C0"/>
    <w:rsid w:val="00970C26"/>
    <w:rsid w:val="00970F23"/>
    <w:rsid w:val="00970FF2"/>
    <w:rsid w:val="00971323"/>
    <w:rsid w:val="009713D4"/>
    <w:rsid w:val="009719F6"/>
    <w:rsid w:val="00971A64"/>
    <w:rsid w:val="00971AB3"/>
    <w:rsid w:val="00971AE2"/>
    <w:rsid w:val="00971B4D"/>
    <w:rsid w:val="00971D94"/>
    <w:rsid w:val="00971FC7"/>
    <w:rsid w:val="0097211D"/>
    <w:rsid w:val="0097220F"/>
    <w:rsid w:val="00972228"/>
    <w:rsid w:val="00972742"/>
    <w:rsid w:val="009732CF"/>
    <w:rsid w:val="0097360B"/>
    <w:rsid w:val="009736FF"/>
    <w:rsid w:val="009741E6"/>
    <w:rsid w:val="009743C5"/>
    <w:rsid w:val="009747D9"/>
    <w:rsid w:val="00974CA0"/>
    <w:rsid w:val="00974D44"/>
    <w:rsid w:val="00974D83"/>
    <w:rsid w:val="00974F21"/>
    <w:rsid w:val="00975029"/>
    <w:rsid w:val="0097505B"/>
    <w:rsid w:val="0097517F"/>
    <w:rsid w:val="009758FA"/>
    <w:rsid w:val="00975A6C"/>
    <w:rsid w:val="00975ADC"/>
    <w:rsid w:val="00975DD4"/>
    <w:rsid w:val="009764D2"/>
    <w:rsid w:val="00976638"/>
    <w:rsid w:val="00976B93"/>
    <w:rsid w:val="00976BD4"/>
    <w:rsid w:val="00976E59"/>
    <w:rsid w:val="009771B9"/>
    <w:rsid w:val="00977E8A"/>
    <w:rsid w:val="009803F9"/>
    <w:rsid w:val="00980401"/>
    <w:rsid w:val="00980A58"/>
    <w:rsid w:val="00980CC0"/>
    <w:rsid w:val="00981051"/>
    <w:rsid w:val="00981141"/>
    <w:rsid w:val="0098122A"/>
    <w:rsid w:val="00981338"/>
    <w:rsid w:val="009813BA"/>
    <w:rsid w:val="009817F1"/>
    <w:rsid w:val="00981D59"/>
    <w:rsid w:val="009825B8"/>
    <w:rsid w:val="00982713"/>
    <w:rsid w:val="00982ADE"/>
    <w:rsid w:val="00982E1C"/>
    <w:rsid w:val="00983212"/>
    <w:rsid w:val="00983748"/>
    <w:rsid w:val="00983B7C"/>
    <w:rsid w:val="00983F58"/>
    <w:rsid w:val="0098461D"/>
    <w:rsid w:val="0098494F"/>
    <w:rsid w:val="00984A9E"/>
    <w:rsid w:val="00984AEE"/>
    <w:rsid w:val="00984B38"/>
    <w:rsid w:val="00984B3E"/>
    <w:rsid w:val="00985057"/>
    <w:rsid w:val="0098511D"/>
    <w:rsid w:val="00985D09"/>
    <w:rsid w:val="00985E5D"/>
    <w:rsid w:val="00985ECF"/>
    <w:rsid w:val="00986050"/>
    <w:rsid w:val="009860D2"/>
    <w:rsid w:val="009868D9"/>
    <w:rsid w:val="00986BF5"/>
    <w:rsid w:val="00986DD2"/>
    <w:rsid w:val="00986E07"/>
    <w:rsid w:val="00986E3E"/>
    <w:rsid w:val="00986F7B"/>
    <w:rsid w:val="00986FCF"/>
    <w:rsid w:val="009870F2"/>
    <w:rsid w:val="00987267"/>
    <w:rsid w:val="009872FC"/>
    <w:rsid w:val="00987AD9"/>
    <w:rsid w:val="00987C18"/>
    <w:rsid w:val="00987E1A"/>
    <w:rsid w:val="00990A7F"/>
    <w:rsid w:val="00990FC4"/>
    <w:rsid w:val="00991CBB"/>
    <w:rsid w:val="009922EC"/>
    <w:rsid w:val="009924ED"/>
    <w:rsid w:val="009928BF"/>
    <w:rsid w:val="00992B0D"/>
    <w:rsid w:val="00992D58"/>
    <w:rsid w:val="00993206"/>
    <w:rsid w:val="00993516"/>
    <w:rsid w:val="00993863"/>
    <w:rsid w:val="00994066"/>
    <w:rsid w:val="00994745"/>
    <w:rsid w:val="009947F4"/>
    <w:rsid w:val="00994E4D"/>
    <w:rsid w:val="00995056"/>
    <w:rsid w:val="00995A21"/>
    <w:rsid w:val="00995A23"/>
    <w:rsid w:val="00996150"/>
    <w:rsid w:val="00996179"/>
    <w:rsid w:val="009961AC"/>
    <w:rsid w:val="009961EB"/>
    <w:rsid w:val="009964DA"/>
    <w:rsid w:val="0099712A"/>
    <w:rsid w:val="00997B78"/>
    <w:rsid w:val="00997C5B"/>
    <w:rsid w:val="00997FE8"/>
    <w:rsid w:val="009A0314"/>
    <w:rsid w:val="009A04A6"/>
    <w:rsid w:val="009A0655"/>
    <w:rsid w:val="009A0A1C"/>
    <w:rsid w:val="009A0D61"/>
    <w:rsid w:val="009A0D7F"/>
    <w:rsid w:val="009A102F"/>
    <w:rsid w:val="009A1151"/>
    <w:rsid w:val="009A11A8"/>
    <w:rsid w:val="009A1359"/>
    <w:rsid w:val="009A175A"/>
    <w:rsid w:val="009A1A61"/>
    <w:rsid w:val="009A26D1"/>
    <w:rsid w:val="009A295B"/>
    <w:rsid w:val="009A3268"/>
    <w:rsid w:val="009A3AE8"/>
    <w:rsid w:val="009A3B38"/>
    <w:rsid w:val="009A3B6B"/>
    <w:rsid w:val="009A3FB7"/>
    <w:rsid w:val="009A4261"/>
    <w:rsid w:val="009A48E6"/>
    <w:rsid w:val="009A5298"/>
    <w:rsid w:val="009A54D5"/>
    <w:rsid w:val="009A58B4"/>
    <w:rsid w:val="009A5CEB"/>
    <w:rsid w:val="009A5D52"/>
    <w:rsid w:val="009A6030"/>
    <w:rsid w:val="009A60C4"/>
    <w:rsid w:val="009A66F1"/>
    <w:rsid w:val="009A6B55"/>
    <w:rsid w:val="009A6C92"/>
    <w:rsid w:val="009A6E9B"/>
    <w:rsid w:val="009A725B"/>
    <w:rsid w:val="009A73A4"/>
    <w:rsid w:val="009A7A47"/>
    <w:rsid w:val="009B0C95"/>
    <w:rsid w:val="009B10EB"/>
    <w:rsid w:val="009B1CFC"/>
    <w:rsid w:val="009B1FEF"/>
    <w:rsid w:val="009B25A8"/>
    <w:rsid w:val="009B27A1"/>
    <w:rsid w:val="009B2B2A"/>
    <w:rsid w:val="009B2BD2"/>
    <w:rsid w:val="009B2D19"/>
    <w:rsid w:val="009B2D21"/>
    <w:rsid w:val="009B37A9"/>
    <w:rsid w:val="009B38F4"/>
    <w:rsid w:val="009B3D3E"/>
    <w:rsid w:val="009B42EA"/>
    <w:rsid w:val="009B4390"/>
    <w:rsid w:val="009B45C0"/>
    <w:rsid w:val="009B4922"/>
    <w:rsid w:val="009B4A49"/>
    <w:rsid w:val="009B5795"/>
    <w:rsid w:val="009B5F23"/>
    <w:rsid w:val="009B604D"/>
    <w:rsid w:val="009B6168"/>
    <w:rsid w:val="009B65B7"/>
    <w:rsid w:val="009B66C1"/>
    <w:rsid w:val="009B6DC2"/>
    <w:rsid w:val="009B6DC4"/>
    <w:rsid w:val="009B7228"/>
    <w:rsid w:val="009B727F"/>
    <w:rsid w:val="009B7A73"/>
    <w:rsid w:val="009B7FA3"/>
    <w:rsid w:val="009C0446"/>
    <w:rsid w:val="009C0497"/>
    <w:rsid w:val="009C0BEC"/>
    <w:rsid w:val="009C12BE"/>
    <w:rsid w:val="009C1343"/>
    <w:rsid w:val="009C1786"/>
    <w:rsid w:val="009C1B69"/>
    <w:rsid w:val="009C1E07"/>
    <w:rsid w:val="009C1EF1"/>
    <w:rsid w:val="009C225A"/>
    <w:rsid w:val="009C246D"/>
    <w:rsid w:val="009C24B5"/>
    <w:rsid w:val="009C2791"/>
    <w:rsid w:val="009C27C5"/>
    <w:rsid w:val="009C28EC"/>
    <w:rsid w:val="009C2B69"/>
    <w:rsid w:val="009C2B97"/>
    <w:rsid w:val="009C2C93"/>
    <w:rsid w:val="009C2E85"/>
    <w:rsid w:val="009C2F9F"/>
    <w:rsid w:val="009C3715"/>
    <w:rsid w:val="009C3DC5"/>
    <w:rsid w:val="009C3EC2"/>
    <w:rsid w:val="009C4106"/>
    <w:rsid w:val="009C438A"/>
    <w:rsid w:val="009C43FB"/>
    <w:rsid w:val="009C44C5"/>
    <w:rsid w:val="009C4720"/>
    <w:rsid w:val="009C4D13"/>
    <w:rsid w:val="009C4DC8"/>
    <w:rsid w:val="009C5A70"/>
    <w:rsid w:val="009C5A9E"/>
    <w:rsid w:val="009C5B16"/>
    <w:rsid w:val="009C5D4E"/>
    <w:rsid w:val="009C681D"/>
    <w:rsid w:val="009C6A23"/>
    <w:rsid w:val="009C6BDF"/>
    <w:rsid w:val="009C6E0D"/>
    <w:rsid w:val="009C721A"/>
    <w:rsid w:val="009C7563"/>
    <w:rsid w:val="009C78FD"/>
    <w:rsid w:val="009C7B27"/>
    <w:rsid w:val="009C7CDB"/>
    <w:rsid w:val="009D04EC"/>
    <w:rsid w:val="009D0602"/>
    <w:rsid w:val="009D0711"/>
    <w:rsid w:val="009D096A"/>
    <w:rsid w:val="009D0AED"/>
    <w:rsid w:val="009D0B03"/>
    <w:rsid w:val="009D1028"/>
    <w:rsid w:val="009D143E"/>
    <w:rsid w:val="009D15D4"/>
    <w:rsid w:val="009D174B"/>
    <w:rsid w:val="009D1B14"/>
    <w:rsid w:val="009D21FE"/>
    <w:rsid w:val="009D277C"/>
    <w:rsid w:val="009D354B"/>
    <w:rsid w:val="009D3847"/>
    <w:rsid w:val="009D4355"/>
    <w:rsid w:val="009D473C"/>
    <w:rsid w:val="009D4794"/>
    <w:rsid w:val="009D47A1"/>
    <w:rsid w:val="009D497C"/>
    <w:rsid w:val="009D4A8A"/>
    <w:rsid w:val="009D4B78"/>
    <w:rsid w:val="009D51DC"/>
    <w:rsid w:val="009D5706"/>
    <w:rsid w:val="009D575F"/>
    <w:rsid w:val="009D5ECF"/>
    <w:rsid w:val="009D60DE"/>
    <w:rsid w:val="009D64ED"/>
    <w:rsid w:val="009D6B75"/>
    <w:rsid w:val="009D6BC5"/>
    <w:rsid w:val="009D6DBA"/>
    <w:rsid w:val="009D763C"/>
    <w:rsid w:val="009D7708"/>
    <w:rsid w:val="009D79DA"/>
    <w:rsid w:val="009D7C49"/>
    <w:rsid w:val="009D7FDF"/>
    <w:rsid w:val="009E0443"/>
    <w:rsid w:val="009E0A45"/>
    <w:rsid w:val="009E0B32"/>
    <w:rsid w:val="009E0E5F"/>
    <w:rsid w:val="009E0EBF"/>
    <w:rsid w:val="009E1511"/>
    <w:rsid w:val="009E185B"/>
    <w:rsid w:val="009E1A4E"/>
    <w:rsid w:val="009E1A7C"/>
    <w:rsid w:val="009E1D2F"/>
    <w:rsid w:val="009E2303"/>
    <w:rsid w:val="009E2AA2"/>
    <w:rsid w:val="009E2BD0"/>
    <w:rsid w:val="009E3109"/>
    <w:rsid w:val="009E3BBD"/>
    <w:rsid w:val="009E3C66"/>
    <w:rsid w:val="009E3CA5"/>
    <w:rsid w:val="009E43A0"/>
    <w:rsid w:val="009E4AC1"/>
    <w:rsid w:val="009E4BEB"/>
    <w:rsid w:val="009E4FF4"/>
    <w:rsid w:val="009E52EE"/>
    <w:rsid w:val="009E5968"/>
    <w:rsid w:val="009E596C"/>
    <w:rsid w:val="009E59DD"/>
    <w:rsid w:val="009E5B89"/>
    <w:rsid w:val="009E5C81"/>
    <w:rsid w:val="009E6230"/>
    <w:rsid w:val="009E675F"/>
    <w:rsid w:val="009E6771"/>
    <w:rsid w:val="009E699D"/>
    <w:rsid w:val="009E6A0C"/>
    <w:rsid w:val="009E714E"/>
    <w:rsid w:val="009E7404"/>
    <w:rsid w:val="009E7496"/>
    <w:rsid w:val="009E7772"/>
    <w:rsid w:val="009F000D"/>
    <w:rsid w:val="009F0558"/>
    <w:rsid w:val="009F0A5D"/>
    <w:rsid w:val="009F0BA0"/>
    <w:rsid w:val="009F0C32"/>
    <w:rsid w:val="009F0C8D"/>
    <w:rsid w:val="009F0CF8"/>
    <w:rsid w:val="009F13C6"/>
    <w:rsid w:val="009F1590"/>
    <w:rsid w:val="009F1668"/>
    <w:rsid w:val="009F1904"/>
    <w:rsid w:val="009F1A91"/>
    <w:rsid w:val="009F1CC8"/>
    <w:rsid w:val="009F1F02"/>
    <w:rsid w:val="009F27A8"/>
    <w:rsid w:val="009F2DF1"/>
    <w:rsid w:val="009F34BD"/>
    <w:rsid w:val="009F3CF8"/>
    <w:rsid w:val="009F3FCC"/>
    <w:rsid w:val="009F42BF"/>
    <w:rsid w:val="009F4421"/>
    <w:rsid w:val="009F46BF"/>
    <w:rsid w:val="009F4A66"/>
    <w:rsid w:val="009F4DB0"/>
    <w:rsid w:val="009F4E4A"/>
    <w:rsid w:val="009F4FE3"/>
    <w:rsid w:val="009F5074"/>
    <w:rsid w:val="009F50E7"/>
    <w:rsid w:val="009F546D"/>
    <w:rsid w:val="009F546E"/>
    <w:rsid w:val="009F572E"/>
    <w:rsid w:val="009F59B3"/>
    <w:rsid w:val="009F59D7"/>
    <w:rsid w:val="009F5A20"/>
    <w:rsid w:val="009F5CA3"/>
    <w:rsid w:val="009F5EB4"/>
    <w:rsid w:val="009F5F85"/>
    <w:rsid w:val="009F6284"/>
    <w:rsid w:val="009F681D"/>
    <w:rsid w:val="009F6D4E"/>
    <w:rsid w:val="009F77AB"/>
    <w:rsid w:val="009F7B40"/>
    <w:rsid w:val="009F7BEC"/>
    <w:rsid w:val="009F7C12"/>
    <w:rsid w:val="00A00680"/>
    <w:rsid w:val="00A0116F"/>
    <w:rsid w:val="00A013DF"/>
    <w:rsid w:val="00A01450"/>
    <w:rsid w:val="00A0159E"/>
    <w:rsid w:val="00A01654"/>
    <w:rsid w:val="00A0180E"/>
    <w:rsid w:val="00A01DC7"/>
    <w:rsid w:val="00A01EAE"/>
    <w:rsid w:val="00A02161"/>
    <w:rsid w:val="00A026DB"/>
    <w:rsid w:val="00A02740"/>
    <w:rsid w:val="00A02C48"/>
    <w:rsid w:val="00A03007"/>
    <w:rsid w:val="00A03198"/>
    <w:rsid w:val="00A035EA"/>
    <w:rsid w:val="00A03865"/>
    <w:rsid w:val="00A039E1"/>
    <w:rsid w:val="00A03D8E"/>
    <w:rsid w:val="00A03E93"/>
    <w:rsid w:val="00A04060"/>
    <w:rsid w:val="00A042CD"/>
    <w:rsid w:val="00A043DB"/>
    <w:rsid w:val="00A04A59"/>
    <w:rsid w:val="00A0555E"/>
    <w:rsid w:val="00A05D39"/>
    <w:rsid w:val="00A06016"/>
    <w:rsid w:val="00A061C4"/>
    <w:rsid w:val="00A06AD8"/>
    <w:rsid w:val="00A070CD"/>
    <w:rsid w:val="00A0718F"/>
    <w:rsid w:val="00A072E0"/>
    <w:rsid w:val="00A072EE"/>
    <w:rsid w:val="00A07384"/>
    <w:rsid w:val="00A074D2"/>
    <w:rsid w:val="00A077A0"/>
    <w:rsid w:val="00A079EB"/>
    <w:rsid w:val="00A07A95"/>
    <w:rsid w:val="00A07E69"/>
    <w:rsid w:val="00A1064B"/>
    <w:rsid w:val="00A107B5"/>
    <w:rsid w:val="00A10C8A"/>
    <w:rsid w:val="00A10DD4"/>
    <w:rsid w:val="00A10E20"/>
    <w:rsid w:val="00A110B5"/>
    <w:rsid w:val="00A11ABC"/>
    <w:rsid w:val="00A11AC1"/>
    <w:rsid w:val="00A121D2"/>
    <w:rsid w:val="00A121DC"/>
    <w:rsid w:val="00A12228"/>
    <w:rsid w:val="00A12828"/>
    <w:rsid w:val="00A129AD"/>
    <w:rsid w:val="00A12ABC"/>
    <w:rsid w:val="00A12CF4"/>
    <w:rsid w:val="00A1318E"/>
    <w:rsid w:val="00A1322C"/>
    <w:rsid w:val="00A13250"/>
    <w:rsid w:val="00A137CB"/>
    <w:rsid w:val="00A13D98"/>
    <w:rsid w:val="00A13E5D"/>
    <w:rsid w:val="00A141D4"/>
    <w:rsid w:val="00A1467F"/>
    <w:rsid w:val="00A14802"/>
    <w:rsid w:val="00A14929"/>
    <w:rsid w:val="00A14D39"/>
    <w:rsid w:val="00A14E41"/>
    <w:rsid w:val="00A15083"/>
    <w:rsid w:val="00A152DC"/>
    <w:rsid w:val="00A15ACC"/>
    <w:rsid w:val="00A1685A"/>
    <w:rsid w:val="00A16A11"/>
    <w:rsid w:val="00A16BAF"/>
    <w:rsid w:val="00A17040"/>
    <w:rsid w:val="00A172BA"/>
    <w:rsid w:val="00A1733D"/>
    <w:rsid w:val="00A17517"/>
    <w:rsid w:val="00A1760A"/>
    <w:rsid w:val="00A17A0B"/>
    <w:rsid w:val="00A17CD1"/>
    <w:rsid w:val="00A17CF8"/>
    <w:rsid w:val="00A17D15"/>
    <w:rsid w:val="00A2066B"/>
    <w:rsid w:val="00A20D3D"/>
    <w:rsid w:val="00A20E03"/>
    <w:rsid w:val="00A20FAF"/>
    <w:rsid w:val="00A21112"/>
    <w:rsid w:val="00A212E6"/>
    <w:rsid w:val="00A214C4"/>
    <w:rsid w:val="00A217D5"/>
    <w:rsid w:val="00A21BD2"/>
    <w:rsid w:val="00A21F01"/>
    <w:rsid w:val="00A2218B"/>
    <w:rsid w:val="00A22255"/>
    <w:rsid w:val="00A22397"/>
    <w:rsid w:val="00A231BA"/>
    <w:rsid w:val="00A233A3"/>
    <w:rsid w:val="00A23914"/>
    <w:rsid w:val="00A239BC"/>
    <w:rsid w:val="00A239CF"/>
    <w:rsid w:val="00A23E73"/>
    <w:rsid w:val="00A242E3"/>
    <w:rsid w:val="00A2434F"/>
    <w:rsid w:val="00A25722"/>
    <w:rsid w:val="00A257FE"/>
    <w:rsid w:val="00A25B22"/>
    <w:rsid w:val="00A25C0D"/>
    <w:rsid w:val="00A2641D"/>
    <w:rsid w:val="00A26465"/>
    <w:rsid w:val="00A269B5"/>
    <w:rsid w:val="00A26B7A"/>
    <w:rsid w:val="00A2728A"/>
    <w:rsid w:val="00A2770D"/>
    <w:rsid w:val="00A30069"/>
    <w:rsid w:val="00A3030B"/>
    <w:rsid w:val="00A30374"/>
    <w:rsid w:val="00A30647"/>
    <w:rsid w:val="00A30884"/>
    <w:rsid w:val="00A309DE"/>
    <w:rsid w:val="00A309E7"/>
    <w:rsid w:val="00A30CA2"/>
    <w:rsid w:val="00A3101B"/>
    <w:rsid w:val="00A31338"/>
    <w:rsid w:val="00A313CE"/>
    <w:rsid w:val="00A31704"/>
    <w:rsid w:val="00A31A84"/>
    <w:rsid w:val="00A322E3"/>
    <w:rsid w:val="00A32406"/>
    <w:rsid w:val="00A32446"/>
    <w:rsid w:val="00A3245B"/>
    <w:rsid w:val="00A3245D"/>
    <w:rsid w:val="00A324F4"/>
    <w:rsid w:val="00A32C36"/>
    <w:rsid w:val="00A32C9D"/>
    <w:rsid w:val="00A32D13"/>
    <w:rsid w:val="00A32E52"/>
    <w:rsid w:val="00A332EB"/>
    <w:rsid w:val="00A33353"/>
    <w:rsid w:val="00A33449"/>
    <w:rsid w:val="00A33459"/>
    <w:rsid w:val="00A337B5"/>
    <w:rsid w:val="00A33D84"/>
    <w:rsid w:val="00A33DCF"/>
    <w:rsid w:val="00A349AD"/>
    <w:rsid w:val="00A34B67"/>
    <w:rsid w:val="00A35060"/>
    <w:rsid w:val="00A35254"/>
    <w:rsid w:val="00A354CC"/>
    <w:rsid w:val="00A354CD"/>
    <w:rsid w:val="00A358CC"/>
    <w:rsid w:val="00A359B5"/>
    <w:rsid w:val="00A359F4"/>
    <w:rsid w:val="00A360ED"/>
    <w:rsid w:val="00A36114"/>
    <w:rsid w:val="00A364C9"/>
    <w:rsid w:val="00A3657F"/>
    <w:rsid w:val="00A368E9"/>
    <w:rsid w:val="00A36A99"/>
    <w:rsid w:val="00A36BF3"/>
    <w:rsid w:val="00A36DE4"/>
    <w:rsid w:val="00A36F15"/>
    <w:rsid w:val="00A3712C"/>
    <w:rsid w:val="00A373BE"/>
    <w:rsid w:val="00A37438"/>
    <w:rsid w:val="00A3748D"/>
    <w:rsid w:val="00A4042A"/>
    <w:rsid w:val="00A40445"/>
    <w:rsid w:val="00A40620"/>
    <w:rsid w:val="00A407A6"/>
    <w:rsid w:val="00A40D41"/>
    <w:rsid w:val="00A412D2"/>
    <w:rsid w:val="00A4143A"/>
    <w:rsid w:val="00A4153C"/>
    <w:rsid w:val="00A41995"/>
    <w:rsid w:val="00A41BAC"/>
    <w:rsid w:val="00A42002"/>
    <w:rsid w:val="00A42248"/>
    <w:rsid w:val="00A424CA"/>
    <w:rsid w:val="00A42807"/>
    <w:rsid w:val="00A42F29"/>
    <w:rsid w:val="00A430C5"/>
    <w:rsid w:val="00A430DE"/>
    <w:rsid w:val="00A4350B"/>
    <w:rsid w:val="00A43520"/>
    <w:rsid w:val="00A4368E"/>
    <w:rsid w:val="00A43716"/>
    <w:rsid w:val="00A43CD9"/>
    <w:rsid w:val="00A43E7E"/>
    <w:rsid w:val="00A441CE"/>
    <w:rsid w:val="00A44395"/>
    <w:rsid w:val="00A44B27"/>
    <w:rsid w:val="00A44B6C"/>
    <w:rsid w:val="00A44B9D"/>
    <w:rsid w:val="00A44F48"/>
    <w:rsid w:val="00A44F6F"/>
    <w:rsid w:val="00A4525B"/>
    <w:rsid w:val="00A4539F"/>
    <w:rsid w:val="00A45F58"/>
    <w:rsid w:val="00A460CF"/>
    <w:rsid w:val="00A46185"/>
    <w:rsid w:val="00A46245"/>
    <w:rsid w:val="00A462CF"/>
    <w:rsid w:val="00A46E6F"/>
    <w:rsid w:val="00A47292"/>
    <w:rsid w:val="00A47757"/>
    <w:rsid w:val="00A506FC"/>
    <w:rsid w:val="00A507C7"/>
    <w:rsid w:val="00A5163A"/>
    <w:rsid w:val="00A52227"/>
    <w:rsid w:val="00A522BE"/>
    <w:rsid w:val="00A5237E"/>
    <w:rsid w:val="00A5256B"/>
    <w:rsid w:val="00A52979"/>
    <w:rsid w:val="00A533F7"/>
    <w:rsid w:val="00A53AAF"/>
    <w:rsid w:val="00A53BFF"/>
    <w:rsid w:val="00A53F5E"/>
    <w:rsid w:val="00A5401F"/>
    <w:rsid w:val="00A541D2"/>
    <w:rsid w:val="00A549AB"/>
    <w:rsid w:val="00A549E4"/>
    <w:rsid w:val="00A55297"/>
    <w:rsid w:val="00A553BE"/>
    <w:rsid w:val="00A55498"/>
    <w:rsid w:val="00A5562D"/>
    <w:rsid w:val="00A5564E"/>
    <w:rsid w:val="00A55AE5"/>
    <w:rsid w:val="00A55E04"/>
    <w:rsid w:val="00A55E1B"/>
    <w:rsid w:val="00A560AA"/>
    <w:rsid w:val="00A561F0"/>
    <w:rsid w:val="00A56253"/>
    <w:rsid w:val="00A568A1"/>
    <w:rsid w:val="00A56CC5"/>
    <w:rsid w:val="00A56DA2"/>
    <w:rsid w:val="00A574EF"/>
    <w:rsid w:val="00A576D4"/>
    <w:rsid w:val="00A57F96"/>
    <w:rsid w:val="00A57FE3"/>
    <w:rsid w:val="00A6003E"/>
    <w:rsid w:val="00A6017F"/>
    <w:rsid w:val="00A607BF"/>
    <w:rsid w:val="00A60B42"/>
    <w:rsid w:val="00A60C57"/>
    <w:rsid w:val="00A60FF0"/>
    <w:rsid w:val="00A61069"/>
    <w:rsid w:val="00A61234"/>
    <w:rsid w:val="00A617CC"/>
    <w:rsid w:val="00A61826"/>
    <w:rsid w:val="00A61A40"/>
    <w:rsid w:val="00A61A6F"/>
    <w:rsid w:val="00A61C20"/>
    <w:rsid w:val="00A61C2D"/>
    <w:rsid w:val="00A621FA"/>
    <w:rsid w:val="00A6353F"/>
    <w:rsid w:val="00A63901"/>
    <w:rsid w:val="00A63BE2"/>
    <w:rsid w:val="00A63CD1"/>
    <w:rsid w:val="00A64633"/>
    <w:rsid w:val="00A64B01"/>
    <w:rsid w:val="00A6505F"/>
    <w:rsid w:val="00A65147"/>
    <w:rsid w:val="00A65D97"/>
    <w:rsid w:val="00A66386"/>
    <w:rsid w:val="00A663C0"/>
    <w:rsid w:val="00A66678"/>
    <w:rsid w:val="00A666DF"/>
    <w:rsid w:val="00A668D0"/>
    <w:rsid w:val="00A66FCB"/>
    <w:rsid w:val="00A67929"/>
    <w:rsid w:val="00A67C37"/>
    <w:rsid w:val="00A7049F"/>
    <w:rsid w:val="00A704A0"/>
    <w:rsid w:val="00A70656"/>
    <w:rsid w:val="00A7083A"/>
    <w:rsid w:val="00A7104D"/>
    <w:rsid w:val="00A71272"/>
    <w:rsid w:val="00A71366"/>
    <w:rsid w:val="00A715DC"/>
    <w:rsid w:val="00A71697"/>
    <w:rsid w:val="00A71899"/>
    <w:rsid w:val="00A7191E"/>
    <w:rsid w:val="00A71C70"/>
    <w:rsid w:val="00A7205B"/>
    <w:rsid w:val="00A7212A"/>
    <w:rsid w:val="00A7281B"/>
    <w:rsid w:val="00A72959"/>
    <w:rsid w:val="00A72CDB"/>
    <w:rsid w:val="00A732A1"/>
    <w:rsid w:val="00A73A55"/>
    <w:rsid w:val="00A73A79"/>
    <w:rsid w:val="00A740D6"/>
    <w:rsid w:val="00A743D1"/>
    <w:rsid w:val="00A74865"/>
    <w:rsid w:val="00A748DA"/>
    <w:rsid w:val="00A74C2F"/>
    <w:rsid w:val="00A75560"/>
    <w:rsid w:val="00A757B5"/>
    <w:rsid w:val="00A75D08"/>
    <w:rsid w:val="00A75D8D"/>
    <w:rsid w:val="00A75ECC"/>
    <w:rsid w:val="00A75FA2"/>
    <w:rsid w:val="00A7685D"/>
    <w:rsid w:val="00A76914"/>
    <w:rsid w:val="00A77052"/>
    <w:rsid w:val="00A77419"/>
    <w:rsid w:val="00A77576"/>
    <w:rsid w:val="00A776CE"/>
    <w:rsid w:val="00A777A2"/>
    <w:rsid w:val="00A778B2"/>
    <w:rsid w:val="00A77D02"/>
    <w:rsid w:val="00A800DD"/>
    <w:rsid w:val="00A80195"/>
    <w:rsid w:val="00A801F7"/>
    <w:rsid w:val="00A806F4"/>
    <w:rsid w:val="00A80A0D"/>
    <w:rsid w:val="00A80C87"/>
    <w:rsid w:val="00A811C0"/>
    <w:rsid w:val="00A814EB"/>
    <w:rsid w:val="00A815B9"/>
    <w:rsid w:val="00A81D7E"/>
    <w:rsid w:val="00A827D3"/>
    <w:rsid w:val="00A82BD0"/>
    <w:rsid w:val="00A82EE2"/>
    <w:rsid w:val="00A8307C"/>
    <w:rsid w:val="00A83155"/>
    <w:rsid w:val="00A83625"/>
    <w:rsid w:val="00A83981"/>
    <w:rsid w:val="00A83991"/>
    <w:rsid w:val="00A83B83"/>
    <w:rsid w:val="00A84408"/>
    <w:rsid w:val="00A84461"/>
    <w:rsid w:val="00A84BE1"/>
    <w:rsid w:val="00A84C5E"/>
    <w:rsid w:val="00A850A1"/>
    <w:rsid w:val="00A8562E"/>
    <w:rsid w:val="00A85660"/>
    <w:rsid w:val="00A85928"/>
    <w:rsid w:val="00A85AD5"/>
    <w:rsid w:val="00A85C77"/>
    <w:rsid w:val="00A85DB1"/>
    <w:rsid w:val="00A861FE"/>
    <w:rsid w:val="00A86345"/>
    <w:rsid w:val="00A86408"/>
    <w:rsid w:val="00A86F31"/>
    <w:rsid w:val="00A8700C"/>
    <w:rsid w:val="00A875A5"/>
    <w:rsid w:val="00A8764C"/>
    <w:rsid w:val="00A877E3"/>
    <w:rsid w:val="00A878F5"/>
    <w:rsid w:val="00A87ABA"/>
    <w:rsid w:val="00A87B67"/>
    <w:rsid w:val="00A87E46"/>
    <w:rsid w:val="00A90286"/>
    <w:rsid w:val="00A9084C"/>
    <w:rsid w:val="00A90AED"/>
    <w:rsid w:val="00A90D95"/>
    <w:rsid w:val="00A91101"/>
    <w:rsid w:val="00A916DD"/>
    <w:rsid w:val="00A91743"/>
    <w:rsid w:val="00A91F5C"/>
    <w:rsid w:val="00A921D2"/>
    <w:rsid w:val="00A9234E"/>
    <w:rsid w:val="00A92540"/>
    <w:rsid w:val="00A928BE"/>
    <w:rsid w:val="00A92D8E"/>
    <w:rsid w:val="00A92F16"/>
    <w:rsid w:val="00A932FB"/>
    <w:rsid w:val="00A938F0"/>
    <w:rsid w:val="00A93D3C"/>
    <w:rsid w:val="00A940F7"/>
    <w:rsid w:val="00A9437C"/>
    <w:rsid w:val="00A948E2"/>
    <w:rsid w:val="00A94923"/>
    <w:rsid w:val="00A9533F"/>
    <w:rsid w:val="00A95454"/>
    <w:rsid w:val="00A959DA"/>
    <w:rsid w:val="00A959F2"/>
    <w:rsid w:val="00A96492"/>
    <w:rsid w:val="00A9667A"/>
    <w:rsid w:val="00A9692E"/>
    <w:rsid w:val="00A969F4"/>
    <w:rsid w:val="00A96E69"/>
    <w:rsid w:val="00A974D0"/>
    <w:rsid w:val="00A9760A"/>
    <w:rsid w:val="00A97D91"/>
    <w:rsid w:val="00A97E08"/>
    <w:rsid w:val="00A97E77"/>
    <w:rsid w:val="00AA0161"/>
    <w:rsid w:val="00AA061C"/>
    <w:rsid w:val="00AA0839"/>
    <w:rsid w:val="00AA0E05"/>
    <w:rsid w:val="00AA0E1B"/>
    <w:rsid w:val="00AA0EFF"/>
    <w:rsid w:val="00AA16EC"/>
    <w:rsid w:val="00AA16F4"/>
    <w:rsid w:val="00AA196F"/>
    <w:rsid w:val="00AA1E5C"/>
    <w:rsid w:val="00AA2103"/>
    <w:rsid w:val="00AA2244"/>
    <w:rsid w:val="00AA267C"/>
    <w:rsid w:val="00AA26C1"/>
    <w:rsid w:val="00AA2804"/>
    <w:rsid w:val="00AA3410"/>
    <w:rsid w:val="00AA346F"/>
    <w:rsid w:val="00AA4647"/>
    <w:rsid w:val="00AA46E4"/>
    <w:rsid w:val="00AA47F3"/>
    <w:rsid w:val="00AA4870"/>
    <w:rsid w:val="00AA4BDB"/>
    <w:rsid w:val="00AA4BFA"/>
    <w:rsid w:val="00AA5084"/>
    <w:rsid w:val="00AA5455"/>
    <w:rsid w:val="00AA58CA"/>
    <w:rsid w:val="00AA5ED4"/>
    <w:rsid w:val="00AA63C0"/>
    <w:rsid w:val="00AA6565"/>
    <w:rsid w:val="00AA6672"/>
    <w:rsid w:val="00AA698D"/>
    <w:rsid w:val="00AA6A21"/>
    <w:rsid w:val="00AA6C24"/>
    <w:rsid w:val="00AA6C99"/>
    <w:rsid w:val="00AA714D"/>
    <w:rsid w:val="00AA735D"/>
    <w:rsid w:val="00AA76A9"/>
    <w:rsid w:val="00AA77AD"/>
    <w:rsid w:val="00AB008D"/>
    <w:rsid w:val="00AB00C9"/>
    <w:rsid w:val="00AB0254"/>
    <w:rsid w:val="00AB0285"/>
    <w:rsid w:val="00AB032C"/>
    <w:rsid w:val="00AB05E0"/>
    <w:rsid w:val="00AB089F"/>
    <w:rsid w:val="00AB0A1E"/>
    <w:rsid w:val="00AB0F2F"/>
    <w:rsid w:val="00AB14B0"/>
    <w:rsid w:val="00AB15C9"/>
    <w:rsid w:val="00AB1862"/>
    <w:rsid w:val="00AB1989"/>
    <w:rsid w:val="00AB1DF6"/>
    <w:rsid w:val="00AB28DD"/>
    <w:rsid w:val="00AB2C7A"/>
    <w:rsid w:val="00AB316D"/>
    <w:rsid w:val="00AB341F"/>
    <w:rsid w:val="00AB3989"/>
    <w:rsid w:val="00AB399C"/>
    <w:rsid w:val="00AB3C4B"/>
    <w:rsid w:val="00AB405F"/>
    <w:rsid w:val="00AB40D7"/>
    <w:rsid w:val="00AB4467"/>
    <w:rsid w:val="00AB4673"/>
    <w:rsid w:val="00AB49AB"/>
    <w:rsid w:val="00AB52BE"/>
    <w:rsid w:val="00AB535E"/>
    <w:rsid w:val="00AB56B0"/>
    <w:rsid w:val="00AB5881"/>
    <w:rsid w:val="00AB58A6"/>
    <w:rsid w:val="00AB5A28"/>
    <w:rsid w:val="00AB5BAD"/>
    <w:rsid w:val="00AB5BF5"/>
    <w:rsid w:val="00AB5C21"/>
    <w:rsid w:val="00AB6168"/>
    <w:rsid w:val="00AB6235"/>
    <w:rsid w:val="00AB6B95"/>
    <w:rsid w:val="00AB6DBD"/>
    <w:rsid w:val="00AB7275"/>
    <w:rsid w:val="00AB745E"/>
    <w:rsid w:val="00AB7AE5"/>
    <w:rsid w:val="00AB7B31"/>
    <w:rsid w:val="00AB7B78"/>
    <w:rsid w:val="00AC044B"/>
    <w:rsid w:val="00AC071B"/>
    <w:rsid w:val="00AC0B53"/>
    <w:rsid w:val="00AC0C52"/>
    <w:rsid w:val="00AC0D82"/>
    <w:rsid w:val="00AC0F80"/>
    <w:rsid w:val="00AC136E"/>
    <w:rsid w:val="00AC1BA6"/>
    <w:rsid w:val="00AC1D4A"/>
    <w:rsid w:val="00AC220E"/>
    <w:rsid w:val="00AC297D"/>
    <w:rsid w:val="00AC2CB3"/>
    <w:rsid w:val="00AC2D6E"/>
    <w:rsid w:val="00AC2FD8"/>
    <w:rsid w:val="00AC39F2"/>
    <w:rsid w:val="00AC4315"/>
    <w:rsid w:val="00AC4738"/>
    <w:rsid w:val="00AC47B1"/>
    <w:rsid w:val="00AC49B9"/>
    <w:rsid w:val="00AC5506"/>
    <w:rsid w:val="00AC56D5"/>
    <w:rsid w:val="00AC58D9"/>
    <w:rsid w:val="00AC5F20"/>
    <w:rsid w:val="00AC627F"/>
    <w:rsid w:val="00AC6B97"/>
    <w:rsid w:val="00AC7552"/>
    <w:rsid w:val="00AC7D83"/>
    <w:rsid w:val="00AC7DF8"/>
    <w:rsid w:val="00AC7F9A"/>
    <w:rsid w:val="00AD05F5"/>
    <w:rsid w:val="00AD0C6F"/>
    <w:rsid w:val="00AD0D39"/>
    <w:rsid w:val="00AD0F19"/>
    <w:rsid w:val="00AD118A"/>
    <w:rsid w:val="00AD15B5"/>
    <w:rsid w:val="00AD1A39"/>
    <w:rsid w:val="00AD20D5"/>
    <w:rsid w:val="00AD22B7"/>
    <w:rsid w:val="00AD2328"/>
    <w:rsid w:val="00AD2803"/>
    <w:rsid w:val="00AD2822"/>
    <w:rsid w:val="00AD2C47"/>
    <w:rsid w:val="00AD2E67"/>
    <w:rsid w:val="00AD335E"/>
    <w:rsid w:val="00AD43AB"/>
    <w:rsid w:val="00AD451C"/>
    <w:rsid w:val="00AD4A25"/>
    <w:rsid w:val="00AD4A85"/>
    <w:rsid w:val="00AD4B53"/>
    <w:rsid w:val="00AD4D31"/>
    <w:rsid w:val="00AD5138"/>
    <w:rsid w:val="00AD5236"/>
    <w:rsid w:val="00AD530A"/>
    <w:rsid w:val="00AD59D2"/>
    <w:rsid w:val="00AD5B92"/>
    <w:rsid w:val="00AD5DAE"/>
    <w:rsid w:val="00AD5E54"/>
    <w:rsid w:val="00AD6022"/>
    <w:rsid w:val="00AD673F"/>
    <w:rsid w:val="00AD6828"/>
    <w:rsid w:val="00AD6A25"/>
    <w:rsid w:val="00AD6A4D"/>
    <w:rsid w:val="00AD6CB3"/>
    <w:rsid w:val="00AD7496"/>
    <w:rsid w:val="00AD7532"/>
    <w:rsid w:val="00AD7712"/>
    <w:rsid w:val="00AD7A0B"/>
    <w:rsid w:val="00AD7B37"/>
    <w:rsid w:val="00AD7E09"/>
    <w:rsid w:val="00AE0524"/>
    <w:rsid w:val="00AE0653"/>
    <w:rsid w:val="00AE067F"/>
    <w:rsid w:val="00AE10DF"/>
    <w:rsid w:val="00AE19F0"/>
    <w:rsid w:val="00AE1BD1"/>
    <w:rsid w:val="00AE1EC8"/>
    <w:rsid w:val="00AE2BA5"/>
    <w:rsid w:val="00AE2CFD"/>
    <w:rsid w:val="00AE3C04"/>
    <w:rsid w:val="00AE406D"/>
    <w:rsid w:val="00AE4548"/>
    <w:rsid w:val="00AE4AB5"/>
    <w:rsid w:val="00AE4B9F"/>
    <w:rsid w:val="00AE4C72"/>
    <w:rsid w:val="00AE4D9D"/>
    <w:rsid w:val="00AE526E"/>
    <w:rsid w:val="00AE588E"/>
    <w:rsid w:val="00AE58E6"/>
    <w:rsid w:val="00AE5941"/>
    <w:rsid w:val="00AE5E3B"/>
    <w:rsid w:val="00AE62F1"/>
    <w:rsid w:val="00AE6CD4"/>
    <w:rsid w:val="00AE6E96"/>
    <w:rsid w:val="00AE6F32"/>
    <w:rsid w:val="00AE6F79"/>
    <w:rsid w:val="00AE73CC"/>
    <w:rsid w:val="00AE742C"/>
    <w:rsid w:val="00AE74F7"/>
    <w:rsid w:val="00AE7902"/>
    <w:rsid w:val="00AE79A5"/>
    <w:rsid w:val="00AE7B7E"/>
    <w:rsid w:val="00AE7CEA"/>
    <w:rsid w:val="00AF05FC"/>
    <w:rsid w:val="00AF0647"/>
    <w:rsid w:val="00AF0920"/>
    <w:rsid w:val="00AF0B20"/>
    <w:rsid w:val="00AF0E98"/>
    <w:rsid w:val="00AF0EDF"/>
    <w:rsid w:val="00AF1167"/>
    <w:rsid w:val="00AF1634"/>
    <w:rsid w:val="00AF190F"/>
    <w:rsid w:val="00AF1916"/>
    <w:rsid w:val="00AF2833"/>
    <w:rsid w:val="00AF29A6"/>
    <w:rsid w:val="00AF2AA8"/>
    <w:rsid w:val="00AF2C55"/>
    <w:rsid w:val="00AF2D0D"/>
    <w:rsid w:val="00AF328E"/>
    <w:rsid w:val="00AF39B5"/>
    <w:rsid w:val="00AF39E2"/>
    <w:rsid w:val="00AF39FF"/>
    <w:rsid w:val="00AF3A4C"/>
    <w:rsid w:val="00AF3D94"/>
    <w:rsid w:val="00AF3EF0"/>
    <w:rsid w:val="00AF3FC0"/>
    <w:rsid w:val="00AF4313"/>
    <w:rsid w:val="00AF434C"/>
    <w:rsid w:val="00AF460A"/>
    <w:rsid w:val="00AF4719"/>
    <w:rsid w:val="00AF4A7E"/>
    <w:rsid w:val="00AF4B38"/>
    <w:rsid w:val="00AF4D66"/>
    <w:rsid w:val="00AF52EE"/>
    <w:rsid w:val="00AF5560"/>
    <w:rsid w:val="00AF569D"/>
    <w:rsid w:val="00AF5DED"/>
    <w:rsid w:val="00AF5E1C"/>
    <w:rsid w:val="00AF60BA"/>
    <w:rsid w:val="00AF6227"/>
    <w:rsid w:val="00AF62FE"/>
    <w:rsid w:val="00AF633B"/>
    <w:rsid w:val="00AF6ADC"/>
    <w:rsid w:val="00AF6B3B"/>
    <w:rsid w:val="00AF6CED"/>
    <w:rsid w:val="00AF6FA0"/>
    <w:rsid w:val="00AF6FBA"/>
    <w:rsid w:val="00AF7200"/>
    <w:rsid w:val="00AF7223"/>
    <w:rsid w:val="00AF74CE"/>
    <w:rsid w:val="00AF7837"/>
    <w:rsid w:val="00AF7C5B"/>
    <w:rsid w:val="00AF7CFC"/>
    <w:rsid w:val="00B000C5"/>
    <w:rsid w:val="00B0014A"/>
    <w:rsid w:val="00B00955"/>
    <w:rsid w:val="00B00AB2"/>
    <w:rsid w:val="00B00B66"/>
    <w:rsid w:val="00B01533"/>
    <w:rsid w:val="00B01E29"/>
    <w:rsid w:val="00B02879"/>
    <w:rsid w:val="00B02910"/>
    <w:rsid w:val="00B02A2A"/>
    <w:rsid w:val="00B02C84"/>
    <w:rsid w:val="00B02F7E"/>
    <w:rsid w:val="00B03573"/>
    <w:rsid w:val="00B03578"/>
    <w:rsid w:val="00B037FD"/>
    <w:rsid w:val="00B039A9"/>
    <w:rsid w:val="00B03AEC"/>
    <w:rsid w:val="00B03EE1"/>
    <w:rsid w:val="00B042CB"/>
    <w:rsid w:val="00B0438B"/>
    <w:rsid w:val="00B047E9"/>
    <w:rsid w:val="00B04B8E"/>
    <w:rsid w:val="00B04E7C"/>
    <w:rsid w:val="00B05167"/>
    <w:rsid w:val="00B05544"/>
    <w:rsid w:val="00B056C2"/>
    <w:rsid w:val="00B0578E"/>
    <w:rsid w:val="00B059B7"/>
    <w:rsid w:val="00B05C73"/>
    <w:rsid w:val="00B05F28"/>
    <w:rsid w:val="00B05F38"/>
    <w:rsid w:val="00B05F9E"/>
    <w:rsid w:val="00B06CCF"/>
    <w:rsid w:val="00B07875"/>
    <w:rsid w:val="00B07C6C"/>
    <w:rsid w:val="00B07E73"/>
    <w:rsid w:val="00B101F8"/>
    <w:rsid w:val="00B1045F"/>
    <w:rsid w:val="00B106B4"/>
    <w:rsid w:val="00B110A0"/>
    <w:rsid w:val="00B11622"/>
    <w:rsid w:val="00B11D0C"/>
    <w:rsid w:val="00B127BA"/>
    <w:rsid w:val="00B12A83"/>
    <w:rsid w:val="00B1343B"/>
    <w:rsid w:val="00B135E8"/>
    <w:rsid w:val="00B13891"/>
    <w:rsid w:val="00B13F15"/>
    <w:rsid w:val="00B1468B"/>
    <w:rsid w:val="00B149D7"/>
    <w:rsid w:val="00B14B78"/>
    <w:rsid w:val="00B14B99"/>
    <w:rsid w:val="00B14CA8"/>
    <w:rsid w:val="00B151FD"/>
    <w:rsid w:val="00B152DD"/>
    <w:rsid w:val="00B1567D"/>
    <w:rsid w:val="00B160B7"/>
    <w:rsid w:val="00B1638F"/>
    <w:rsid w:val="00B1660D"/>
    <w:rsid w:val="00B168C9"/>
    <w:rsid w:val="00B16C09"/>
    <w:rsid w:val="00B16D66"/>
    <w:rsid w:val="00B17360"/>
    <w:rsid w:val="00B17424"/>
    <w:rsid w:val="00B17456"/>
    <w:rsid w:val="00B17C52"/>
    <w:rsid w:val="00B17DB3"/>
    <w:rsid w:val="00B17EAE"/>
    <w:rsid w:val="00B20072"/>
    <w:rsid w:val="00B204F9"/>
    <w:rsid w:val="00B206AB"/>
    <w:rsid w:val="00B206AC"/>
    <w:rsid w:val="00B20771"/>
    <w:rsid w:val="00B208E6"/>
    <w:rsid w:val="00B20CD9"/>
    <w:rsid w:val="00B20D62"/>
    <w:rsid w:val="00B212F0"/>
    <w:rsid w:val="00B21B57"/>
    <w:rsid w:val="00B21EC8"/>
    <w:rsid w:val="00B22426"/>
    <w:rsid w:val="00B224A9"/>
    <w:rsid w:val="00B22539"/>
    <w:rsid w:val="00B22783"/>
    <w:rsid w:val="00B22A84"/>
    <w:rsid w:val="00B22FDE"/>
    <w:rsid w:val="00B23166"/>
    <w:rsid w:val="00B23424"/>
    <w:rsid w:val="00B237D1"/>
    <w:rsid w:val="00B237D5"/>
    <w:rsid w:val="00B23966"/>
    <w:rsid w:val="00B239A2"/>
    <w:rsid w:val="00B23ADD"/>
    <w:rsid w:val="00B23E2A"/>
    <w:rsid w:val="00B23FFC"/>
    <w:rsid w:val="00B24C89"/>
    <w:rsid w:val="00B24DAD"/>
    <w:rsid w:val="00B24FE4"/>
    <w:rsid w:val="00B25455"/>
    <w:rsid w:val="00B25853"/>
    <w:rsid w:val="00B25B1A"/>
    <w:rsid w:val="00B25C79"/>
    <w:rsid w:val="00B25E2D"/>
    <w:rsid w:val="00B26070"/>
    <w:rsid w:val="00B26586"/>
    <w:rsid w:val="00B265D2"/>
    <w:rsid w:val="00B26A2E"/>
    <w:rsid w:val="00B26A92"/>
    <w:rsid w:val="00B26BF8"/>
    <w:rsid w:val="00B26DC1"/>
    <w:rsid w:val="00B26F86"/>
    <w:rsid w:val="00B275A8"/>
    <w:rsid w:val="00B275F6"/>
    <w:rsid w:val="00B27707"/>
    <w:rsid w:val="00B277E0"/>
    <w:rsid w:val="00B27AFF"/>
    <w:rsid w:val="00B300F1"/>
    <w:rsid w:val="00B3055A"/>
    <w:rsid w:val="00B30755"/>
    <w:rsid w:val="00B30AD0"/>
    <w:rsid w:val="00B30B43"/>
    <w:rsid w:val="00B31076"/>
    <w:rsid w:val="00B31463"/>
    <w:rsid w:val="00B31915"/>
    <w:rsid w:val="00B31AAD"/>
    <w:rsid w:val="00B31C56"/>
    <w:rsid w:val="00B31C5D"/>
    <w:rsid w:val="00B3241F"/>
    <w:rsid w:val="00B32624"/>
    <w:rsid w:val="00B326F4"/>
    <w:rsid w:val="00B3282E"/>
    <w:rsid w:val="00B32947"/>
    <w:rsid w:val="00B32BA0"/>
    <w:rsid w:val="00B32CC7"/>
    <w:rsid w:val="00B32E48"/>
    <w:rsid w:val="00B3328C"/>
    <w:rsid w:val="00B332D9"/>
    <w:rsid w:val="00B33A18"/>
    <w:rsid w:val="00B343D1"/>
    <w:rsid w:val="00B344A6"/>
    <w:rsid w:val="00B34AEF"/>
    <w:rsid w:val="00B34B7A"/>
    <w:rsid w:val="00B34C04"/>
    <w:rsid w:val="00B34CDB"/>
    <w:rsid w:val="00B34D4B"/>
    <w:rsid w:val="00B35028"/>
    <w:rsid w:val="00B3507A"/>
    <w:rsid w:val="00B35289"/>
    <w:rsid w:val="00B35963"/>
    <w:rsid w:val="00B35D41"/>
    <w:rsid w:val="00B35E93"/>
    <w:rsid w:val="00B36380"/>
    <w:rsid w:val="00B363E0"/>
    <w:rsid w:val="00B36BD7"/>
    <w:rsid w:val="00B3777C"/>
    <w:rsid w:val="00B37B99"/>
    <w:rsid w:val="00B37E03"/>
    <w:rsid w:val="00B37EE0"/>
    <w:rsid w:val="00B40047"/>
    <w:rsid w:val="00B40252"/>
    <w:rsid w:val="00B40622"/>
    <w:rsid w:val="00B40736"/>
    <w:rsid w:val="00B40792"/>
    <w:rsid w:val="00B40935"/>
    <w:rsid w:val="00B40A66"/>
    <w:rsid w:val="00B415B8"/>
    <w:rsid w:val="00B4175F"/>
    <w:rsid w:val="00B41BC1"/>
    <w:rsid w:val="00B41C38"/>
    <w:rsid w:val="00B41DC6"/>
    <w:rsid w:val="00B4208B"/>
    <w:rsid w:val="00B4213A"/>
    <w:rsid w:val="00B421CB"/>
    <w:rsid w:val="00B4267E"/>
    <w:rsid w:val="00B42AF4"/>
    <w:rsid w:val="00B431EC"/>
    <w:rsid w:val="00B43760"/>
    <w:rsid w:val="00B43ABB"/>
    <w:rsid w:val="00B43F11"/>
    <w:rsid w:val="00B44587"/>
    <w:rsid w:val="00B44B15"/>
    <w:rsid w:val="00B44C97"/>
    <w:rsid w:val="00B45751"/>
    <w:rsid w:val="00B458E6"/>
    <w:rsid w:val="00B45ABA"/>
    <w:rsid w:val="00B45EB4"/>
    <w:rsid w:val="00B46055"/>
    <w:rsid w:val="00B46151"/>
    <w:rsid w:val="00B461A2"/>
    <w:rsid w:val="00B465E3"/>
    <w:rsid w:val="00B46653"/>
    <w:rsid w:val="00B46761"/>
    <w:rsid w:val="00B46BDF"/>
    <w:rsid w:val="00B4753C"/>
    <w:rsid w:val="00B475DC"/>
    <w:rsid w:val="00B479E6"/>
    <w:rsid w:val="00B47C4C"/>
    <w:rsid w:val="00B47DDD"/>
    <w:rsid w:val="00B47ECA"/>
    <w:rsid w:val="00B50286"/>
    <w:rsid w:val="00B50869"/>
    <w:rsid w:val="00B50ABF"/>
    <w:rsid w:val="00B510CB"/>
    <w:rsid w:val="00B526BF"/>
    <w:rsid w:val="00B526EA"/>
    <w:rsid w:val="00B5276A"/>
    <w:rsid w:val="00B5286B"/>
    <w:rsid w:val="00B52CA5"/>
    <w:rsid w:val="00B53D58"/>
    <w:rsid w:val="00B53F70"/>
    <w:rsid w:val="00B54100"/>
    <w:rsid w:val="00B54906"/>
    <w:rsid w:val="00B549CE"/>
    <w:rsid w:val="00B54BF1"/>
    <w:rsid w:val="00B5549F"/>
    <w:rsid w:val="00B5588E"/>
    <w:rsid w:val="00B55941"/>
    <w:rsid w:val="00B55B52"/>
    <w:rsid w:val="00B55B5B"/>
    <w:rsid w:val="00B5643A"/>
    <w:rsid w:val="00B5664B"/>
    <w:rsid w:val="00B56883"/>
    <w:rsid w:val="00B5690D"/>
    <w:rsid w:val="00B56C8F"/>
    <w:rsid w:val="00B572D0"/>
    <w:rsid w:val="00B5762D"/>
    <w:rsid w:val="00B57A4D"/>
    <w:rsid w:val="00B57D59"/>
    <w:rsid w:val="00B57F3C"/>
    <w:rsid w:val="00B6011E"/>
    <w:rsid w:val="00B60177"/>
    <w:rsid w:val="00B6079F"/>
    <w:rsid w:val="00B607AE"/>
    <w:rsid w:val="00B607E3"/>
    <w:rsid w:val="00B608B1"/>
    <w:rsid w:val="00B608F1"/>
    <w:rsid w:val="00B60B27"/>
    <w:rsid w:val="00B60DAD"/>
    <w:rsid w:val="00B6184C"/>
    <w:rsid w:val="00B61A08"/>
    <w:rsid w:val="00B61AFF"/>
    <w:rsid w:val="00B61E0C"/>
    <w:rsid w:val="00B62508"/>
    <w:rsid w:val="00B6299D"/>
    <w:rsid w:val="00B62A7C"/>
    <w:rsid w:val="00B62E39"/>
    <w:rsid w:val="00B62F6E"/>
    <w:rsid w:val="00B6340D"/>
    <w:rsid w:val="00B63948"/>
    <w:rsid w:val="00B64016"/>
    <w:rsid w:val="00B641CD"/>
    <w:rsid w:val="00B649C9"/>
    <w:rsid w:val="00B650F5"/>
    <w:rsid w:val="00B6514B"/>
    <w:rsid w:val="00B65607"/>
    <w:rsid w:val="00B6563E"/>
    <w:rsid w:val="00B65A6A"/>
    <w:rsid w:val="00B65F2C"/>
    <w:rsid w:val="00B6605D"/>
    <w:rsid w:val="00B66091"/>
    <w:rsid w:val="00B6689F"/>
    <w:rsid w:val="00B6690D"/>
    <w:rsid w:val="00B6697C"/>
    <w:rsid w:val="00B6756F"/>
    <w:rsid w:val="00B675B4"/>
    <w:rsid w:val="00B6785F"/>
    <w:rsid w:val="00B678BD"/>
    <w:rsid w:val="00B67C7A"/>
    <w:rsid w:val="00B67C8E"/>
    <w:rsid w:val="00B67E83"/>
    <w:rsid w:val="00B67FF8"/>
    <w:rsid w:val="00B70778"/>
    <w:rsid w:val="00B70B39"/>
    <w:rsid w:val="00B71279"/>
    <w:rsid w:val="00B7152F"/>
    <w:rsid w:val="00B7189D"/>
    <w:rsid w:val="00B71906"/>
    <w:rsid w:val="00B7191D"/>
    <w:rsid w:val="00B71B06"/>
    <w:rsid w:val="00B71B34"/>
    <w:rsid w:val="00B71CAE"/>
    <w:rsid w:val="00B71DA9"/>
    <w:rsid w:val="00B72015"/>
    <w:rsid w:val="00B72170"/>
    <w:rsid w:val="00B721DD"/>
    <w:rsid w:val="00B72511"/>
    <w:rsid w:val="00B72D01"/>
    <w:rsid w:val="00B73397"/>
    <w:rsid w:val="00B74379"/>
    <w:rsid w:val="00B74542"/>
    <w:rsid w:val="00B74C38"/>
    <w:rsid w:val="00B74D39"/>
    <w:rsid w:val="00B75631"/>
    <w:rsid w:val="00B75728"/>
    <w:rsid w:val="00B75786"/>
    <w:rsid w:val="00B75859"/>
    <w:rsid w:val="00B758DD"/>
    <w:rsid w:val="00B75A6F"/>
    <w:rsid w:val="00B75CB2"/>
    <w:rsid w:val="00B76133"/>
    <w:rsid w:val="00B76138"/>
    <w:rsid w:val="00B76259"/>
    <w:rsid w:val="00B76398"/>
    <w:rsid w:val="00B768C1"/>
    <w:rsid w:val="00B77146"/>
    <w:rsid w:val="00B771B9"/>
    <w:rsid w:val="00B777D4"/>
    <w:rsid w:val="00B77F41"/>
    <w:rsid w:val="00B800A1"/>
    <w:rsid w:val="00B800D3"/>
    <w:rsid w:val="00B80F37"/>
    <w:rsid w:val="00B80FE2"/>
    <w:rsid w:val="00B813ED"/>
    <w:rsid w:val="00B81987"/>
    <w:rsid w:val="00B823E6"/>
    <w:rsid w:val="00B82877"/>
    <w:rsid w:val="00B82BE6"/>
    <w:rsid w:val="00B82CA3"/>
    <w:rsid w:val="00B8449B"/>
    <w:rsid w:val="00B8519F"/>
    <w:rsid w:val="00B8522C"/>
    <w:rsid w:val="00B855D5"/>
    <w:rsid w:val="00B857A8"/>
    <w:rsid w:val="00B8582D"/>
    <w:rsid w:val="00B85832"/>
    <w:rsid w:val="00B85A9C"/>
    <w:rsid w:val="00B8604E"/>
    <w:rsid w:val="00B860B5"/>
    <w:rsid w:val="00B86171"/>
    <w:rsid w:val="00B8647D"/>
    <w:rsid w:val="00B86B69"/>
    <w:rsid w:val="00B8735F"/>
    <w:rsid w:val="00B87898"/>
    <w:rsid w:val="00B87AE1"/>
    <w:rsid w:val="00B87CA1"/>
    <w:rsid w:val="00B90648"/>
    <w:rsid w:val="00B90BD3"/>
    <w:rsid w:val="00B90F20"/>
    <w:rsid w:val="00B90F33"/>
    <w:rsid w:val="00B9140E"/>
    <w:rsid w:val="00B91564"/>
    <w:rsid w:val="00B91805"/>
    <w:rsid w:val="00B91B7A"/>
    <w:rsid w:val="00B92920"/>
    <w:rsid w:val="00B93564"/>
    <w:rsid w:val="00B93752"/>
    <w:rsid w:val="00B937B5"/>
    <w:rsid w:val="00B94036"/>
    <w:rsid w:val="00B9418F"/>
    <w:rsid w:val="00B94237"/>
    <w:rsid w:val="00B948A4"/>
    <w:rsid w:val="00B94CB9"/>
    <w:rsid w:val="00B94FEE"/>
    <w:rsid w:val="00B94FFF"/>
    <w:rsid w:val="00B95077"/>
    <w:rsid w:val="00B950BB"/>
    <w:rsid w:val="00B9513A"/>
    <w:rsid w:val="00B957D6"/>
    <w:rsid w:val="00B95862"/>
    <w:rsid w:val="00B958D3"/>
    <w:rsid w:val="00B95C92"/>
    <w:rsid w:val="00B9607A"/>
    <w:rsid w:val="00B961DC"/>
    <w:rsid w:val="00B965E1"/>
    <w:rsid w:val="00B969BB"/>
    <w:rsid w:val="00B96D87"/>
    <w:rsid w:val="00B96E95"/>
    <w:rsid w:val="00B96FE4"/>
    <w:rsid w:val="00B97B11"/>
    <w:rsid w:val="00BA0004"/>
    <w:rsid w:val="00BA05A3"/>
    <w:rsid w:val="00BA0B75"/>
    <w:rsid w:val="00BA1918"/>
    <w:rsid w:val="00BA1F34"/>
    <w:rsid w:val="00BA25B0"/>
    <w:rsid w:val="00BA301B"/>
    <w:rsid w:val="00BA399F"/>
    <w:rsid w:val="00BA3B3B"/>
    <w:rsid w:val="00BA3C04"/>
    <w:rsid w:val="00BA3D89"/>
    <w:rsid w:val="00BA3E77"/>
    <w:rsid w:val="00BA40EE"/>
    <w:rsid w:val="00BA42E4"/>
    <w:rsid w:val="00BA4366"/>
    <w:rsid w:val="00BA43E7"/>
    <w:rsid w:val="00BA45C2"/>
    <w:rsid w:val="00BA4D60"/>
    <w:rsid w:val="00BA4D84"/>
    <w:rsid w:val="00BA560C"/>
    <w:rsid w:val="00BA595C"/>
    <w:rsid w:val="00BA5BC7"/>
    <w:rsid w:val="00BA606C"/>
    <w:rsid w:val="00BA6115"/>
    <w:rsid w:val="00BA6538"/>
    <w:rsid w:val="00BA65D1"/>
    <w:rsid w:val="00BA6641"/>
    <w:rsid w:val="00BA6921"/>
    <w:rsid w:val="00BA6948"/>
    <w:rsid w:val="00BA6FF9"/>
    <w:rsid w:val="00BA7639"/>
    <w:rsid w:val="00BA7667"/>
    <w:rsid w:val="00BA7A35"/>
    <w:rsid w:val="00BB0499"/>
    <w:rsid w:val="00BB052C"/>
    <w:rsid w:val="00BB06F4"/>
    <w:rsid w:val="00BB0C77"/>
    <w:rsid w:val="00BB1178"/>
    <w:rsid w:val="00BB11A2"/>
    <w:rsid w:val="00BB1483"/>
    <w:rsid w:val="00BB16BC"/>
    <w:rsid w:val="00BB179E"/>
    <w:rsid w:val="00BB1DEF"/>
    <w:rsid w:val="00BB239C"/>
    <w:rsid w:val="00BB33B9"/>
    <w:rsid w:val="00BB35D1"/>
    <w:rsid w:val="00BB395F"/>
    <w:rsid w:val="00BB3ADC"/>
    <w:rsid w:val="00BB3AFC"/>
    <w:rsid w:val="00BB3E0C"/>
    <w:rsid w:val="00BB3E68"/>
    <w:rsid w:val="00BB40AC"/>
    <w:rsid w:val="00BB4129"/>
    <w:rsid w:val="00BB46C0"/>
    <w:rsid w:val="00BB46FF"/>
    <w:rsid w:val="00BB55E1"/>
    <w:rsid w:val="00BB5828"/>
    <w:rsid w:val="00BB5B8B"/>
    <w:rsid w:val="00BB5C4C"/>
    <w:rsid w:val="00BB5FC0"/>
    <w:rsid w:val="00BB61E4"/>
    <w:rsid w:val="00BB625E"/>
    <w:rsid w:val="00BB6285"/>
    <w:rsid w:val="00BB6477"/>
    <w:rsid w:val="00BB649D"/>
    <w:rsid w:val="00BB6A48"/>
    <w:rsid w:val="00BB6CEC"/>
    <w:rsid w:val="00BB6E44"/>
    <w:rsid w:val="00BB7603"/>
    <w:rsid w:val="00BB7681"/>
    <w:rsid w:val="00BB786B"/>
    <w:rsid w:val="00BBC627"/>
    <w:rsid w:val="00BC06AF"/>
    <w:rsid w:val="00BC096A"/>
    <w:rsid w:val="00BC09CE"/>
    <w:rsid w:val="00BC09E1"/>
    <w:rsid w:val="00BC1319"/>
    <w:rsid w:val="00BC1C56"/>
    <w:rsid w:val="00BC2348"/>
    <w:rsid w:val="00BC29CF"/>
    <w:rsid w:val="00BC2A7C"/>
    <w:rsid w:val="00BC3188"/>
    <w:rsid w:val="00BC3780"/>
    <w:rsid w:val="00BC37FA"/>
    <w:rsid w:val="00BC3B0A"/>
    <w:rsid w:val="00BC3D50"/>
    <w:rsid w:val="00BC418B"/>
    <w:rsid w:val="00BC445A"/>
    <w:rsid w:val="00BC47D2"/>
    <w:rsid w:val="00BC49DC"/>
    <w:rsid w:val="00BC4B64"/>
    <w:rsid w:val="00BC4F17"/>
    <w:rsid w:val="00BC4FA5"/>
    <w:rsid w:val="00BC54B3"/>
    <w:rsid w:val="00BC557C"/>
    <w:rsid w:val="00BC5704"/>
    <w:rsid w:val="00BC5BC6"/>
    <w:rsid w:val="00BC5C32"/>
    <w:rsid w:val="00BC5E71"/>
    <w:rsid w:val="00BC612E"/>
    <w:rsid w:val="00BC670B"/>
    <w:rsid w:val="00BC6A35"/>
    <w:rsid w:val="00BC7228"/>
    <w:rsid w:val="00BC7230"/>
    <w:rsid w:val="00BC760B"/>
    <w:rsid w:val="00BC77DD"/>
    <w:rsid w:val="00BC7819"/>
    <w:rsid w:val="00BD03AF"/>
    <w:rsid w:val="00BD03EA"/>
    <w:rsid w:val="00BD05D1"/>
    <w:rsid w:val="00BD06C5"/>
    <w:rsid w:val="00BD07C2"/>
    <w:rsid w:val="00BD0A4A"/>
    <w:rsid w:val="00BD0CF6"/>
    <w:rsid w:val="00BD108E"/>
    <w:rsid w:val="00BD1248"/>
    <w:rsid w:val="00BD180E"/>
    <w:rsid w:val="00BD1AA6"/>
    <w:rsid w:val="00BD1BD7"/>
    <w:rsid w:val="00BD23F2"/>
    <w:rsid w:val="00BD2799"/>
    <w:rsid w:val="00BD297B"/>
    <w:rsid w:val="00BD2A32"/>
    <w:rsid w:val="00BD2CA5"/>
    <w:rsid w:val="00BD2D54"/>
    <w:rsid w:val="00BD2D56"/>
    <w:rsid w:val="00BD358A"/>
    <w:rsid w:val="00BD35D0"/>
    <w:rsid w:val="00BD3761"/>
    <w:rsid w:val="00BD3DBE"/>
    <w:rsid w:val="00BD44A1"/>
    <w:rsid w:val="00BD4565"/>
    <w:rsid w:val="00BD57DE"/>
    <w:rsid w:val="00BD59FE"/>
    <w:rsid w:val="00BD5E0E"/>
    <w:rsid w:val="00BD5E72"/>
    <w:rsid w:val="00BD5FB2"/>
    <w:rsid w:val="00BD6501"/>
    <w:rsid w:val="00BD65BD"/>
    <w:rsid w:val="00BD68E6"/>
    <w:rsid w:val="00BD68F9"/>
    <w:rsid w:val="00BD6ED8"/>
    <w:rsid w:val="00BD6F12"/>
    <w:rsid w:val="00BD7486"/>
    <w:rsid w:val="00BD78C8"/>
    <w:rsid w:val="00BD7900"/>
    <w:rsid w:val="00BD794F"/>
    <w:rsid w:val="00BD7AFB"/>
    <w:rsid w:val="00BE001C"/>
    <w:rsid w:val="00BE0210"/>
    <w:rsid w:val="00BE042D"/>
    <w:rsid w:val="00BE053A"/>
    <w:rsid w:val="00BE0A24"/>
    <w:rsid w:val="00BE10DD"/>
    <w:rsid w:val="00BE1193"/>
    <w:rsid w:val="00BE138C"/>
    <w:rsid w:val="00BE1812"/>
    <w:rsid w:val="00BE18DF"/>
    <w:rsid w:val="00BE19BB"/>
    <w:rsid w:val="00BE1E07"/>
    <w:rsid w:val="00BE1ED9"/>
    <w:rsid w:val="00BE220D"/>
    <w:rsid w:val="00BE3004"/>
    <w:rsid w:val="00BE3177"/>
    <w:rsid w:val="00BE31DD"/>
    <w:rsid w:val="00BE32C3"/>
    <w:rsid w:val="00BE33A5"/>
    <w:rsid w:val="00BE35AB"/>
    <w:rsid w:val="00BE3817"/>
    <w:rsid w:val="00BE449A"/>
    <w:rsid w:val="00BE44D5"/>
    <w:rsid w:val="00BE4D91"/>
    <w:rsid w:val="00BE4E36"/>
    <w:rsid w:val="00BE5A49"/>
    <w:rsid w:val="00BE5DFF"/>
    <w:rsid w:val="00BE610B"/>
    <w:rsid w:val="00BE63D3"/>
    <w:rsid w:val="00BE6431"/>
    <w:rsid w:val="00BE6C92"/>
    <w:rsid w:val="00BE7AF5"/>
    <w:rsid w:val="00BE7C4B"/>
    <w:rsid w:val="00BE7FAE"/>
    <w:rsid w:val="00BF000E"/>
    <w:rsid w:val="00BF01F3"/>
    <w:rsid w:val="00BF0257"/>
    <w:rsid w:val="00BF060B"/>
    <w:rsid w:val="00BF064E"/>
    <w:rsid w:val="00BF075E"/>
    <w:rsid w:val="00BF084B"/>
    <w:rsid w:val="00BF0B76"/>
    <w:rsid w:val="00BF0CF3"/>
    <w:rsid w:val="00BF0EF2"/>
    <w:rsid w:val="00BF11EA"/>
    <w:rsid w:val="00BF137E"/>
    <w:rsid w:val="00BF16A4"/>
    <w:rsid w:val="00BF17C5"/>
    <w:rsid w:val="00BF2080"/>
    <w:rsid w:val="00BF2084"/>
    <w:rsid w:val="00BF23E6"/>
    <w:rsid w:val="00BF264D"/>
    <w:rsid w:val="00BF26E2"/>
    <w:rsid w:val="00BF2766"/>
    <w:rsid w:val="00BF2A7C"/>
    <w:rsid w:val="00BF2DCA"/>
    <w:rsid w:val="00BF31B9"/>
    <w:rsid w:val="00BF34DF"/>
    <w:rsid w:val="00BF3605"/>
    <w:rsid w:val="00BF387E"/>
    <w:rsid w:val="00BF3C27"/>
    <w:rsid w:val="00BF3F1E"/>
    <w:rsid w:val="00BF4183"/>
    <w:rsid w:val="00BF41BF"/>
    <w:rsid w:val="00BF4569"/>
    <w:rsid w:val="00BF4715"/>
    <w:rsid w:val="00BF48E6"/>
    <w:rsid w:val="00BF50E9"/>
    <w:rsid w:val="00BF54CC"/>
    <w:rsid w:val="00BF5705"/>
    <w:rsid w:val="00BF57DA"/>
    <w:rsid w:val="00BF5F1A"/>
    <w:rsid w:val="00BF61ED"/>
    <w:rsid w:val="00BF663F"/>
    <w:rsid w:val="00BF6697"/>
    <w:rsid w:val="00BF6881"/>
    <w:rsid w:val="00BF6A30"/>
    <w:rsid w:val="00BF6C6F"/>
    <w:rsid w:val="00BF6D75"/>
    <w:rsid w:val="00BF6F50"/>
    <w:rsid w:val="00BF7233"/>
    <w:rsid w:val="00BF73AD"/>
    <w:rsid w:val="00BF7409"/>
    <w:rsid w:val="00BF7701"/>
    <w:rsid w:val="00BF7722"/>
    <w:rsid w:val="00BF79F6"/>
    <w:rsid w:val="00C00447"/>
    <w:rsid w:val="00C0047C"/>
    <w:rsid w:val="00C005D9"/>
    <w:rsid w:val="00C008B9"/>
    <w:rsid w:val="00C00C4D"/>
    <w:rsid w:val="00C00EA2"/>
    <w:rsid w:val="00C014A7"/>
    <w:rsid w:val="00C01AB5"/>
    <w:rsid w:val="00C01B06"/>
    <w:rsid w:val="00C01DCF"/>
    <w:rsid w:val="00C022FC"/>
    <w:rsid w:val="00C03028"/>
    <w:rsid w:val="00C031B3"/>
    <w:rsid w:val="00C032A3"/>
    <w:rsid w:val="00C03702"/>
    <w:rsid w:val="00C03DB2"/>
    <w:rsid w:val="00C03F33"/>
    <w:rsid w:val="00C04228"/>
    <w:rsid w:val="00C043D7"/>
    <w:rsid w:val="00C04556"/>
    <w:rsid w:val="00C046F9"/>
    <w:rsid w:val="00C04835"/>
    <w:rsid w:val="00C04C4D"/>
    <w:rsid w:val="00C04C50"/>
    <w:rsid w:val="00C04D61"/>
    <w:rsid w:val="00C04E4B"/>
    <w:rsid w:val="00C05365"/>
    <w:rsid w:val="00C057A1"/>
    <w:rsid w:val="00C05980"/>
    <w:rsid w:val="00C05E80"/>
    <w:rsid w:val="00C05F10"/>
    <w:rsid w:val="00C06D51"/>
    <w:rsid w:val="00C06D78"/>
    <w:rsid w:val="00C070A1"/>
    <w:rsid w:val="00C07351"/>
    <w:rsid w:val="00C078CB"/>
    <w:rsid w:val="00C07CA6"/>
    <w:rsid w:val="00C07DD4"/>
    <w:rsid w:val="00C07EF8"/>
    <w:rsid w:val="00C07F5C"/>
    <w:rsid w:val="00C1019D"/>
    <w:rsid w:val="00C1043F"/>
    <w:rsid w:val="00C10491"/>
    <w:rsid w:val="00C104AF"/>
    <w:rsid w:val="00C1063B"/>
    <w:rsid w:val="00C1064F"/>
    <w:rsid w:val="00C106FA"/>
    <w:rsid w:val="00C1141B"/>
    <w:rsid w:val="00C11CFC"/>
    <w:rsid w:val="00C12087"/>
    <w:rsid w:val="00C128EC"/>
    <w:rsid w:val="00C139A4"/>
    <w:rsid w:val="00C139B2"/>
    <w:rsid w:val="00C1425F"/>
    <w:rsid w:val="00C1492E"/>
    <w:rsid w:val="00C14AD6"/>
    <w:rsid w:val="00C14DBB"/>
    <w:rsid w:val="00C14EC1"/>
    <w:rsid w:val="00C14FBF"/>
    <w:rsid w:val="00C15093"/>
    <w:rsid w:val="00C155B4"/>
    <w:rsid w:val="00C15640"/>
    <w:rsid w:val="00C15AFA"/>
    <w:rsid w:val="00C161C6"/>
    <w:rsid w:val="00C16738"/>
    <w:rsid w:val="00C169CD"/>
    <w:rsid w:val="00C174D3"/>
    <w:rsid w:val="00C178C9"/>
    <w:rsid w:val="00C17A65"/>
    <w:rsid w:val="00C17D66"/>
    <w:rsid w:val="00C2039C"/>
    <w:rsid w:val="00C2050E"/>
    <w:rsid w:val="00C20C90"/>
    <w:rsid w:val="00C20C9E"/>
    <w:rsid w:val="00C212AC"/>
    <w:rsid w:val="00C212BB"/>
    <w:rsid w:val="00C21369"/>
    <w:rsid w:val="00C213F8"/>
    <w:rsid w:val="00C21879"/>
    <w:rsid w:val="00C21988"/>
    <w:rsid w:val="00C219B3"/>
    <w:rsid w:val="00C21DD4"/>
    <w:rsid w:val="00C2200A"/>
    <w:rsid w:val="00C227AE"/>
    <w:rsid w:val="00C22802"/>
    <w:rsid w:val="00C22990"/>
    <w:rsid w:val="00C23180"/>
    <w:rsid w:val="00C23411"/>
    <w:rsid w:val="00C23E9F"/>
    <w:rsid w:val="00C24187"/>
    <w:rsid w:val="00C24BCE"/>
    <w:rsid w:val="00C24C21"/>
    <w:rsid w:val="00C2597A"/>
    <w:rsid w:val="00C25ABB"/>
    <w:rsid w:val="00C25BAC"/>
    <w:rsid w:val="00C26BAA"/>
    <w:rsid w:val="00C26DCC"/>
    <w:rsid w:val="00C270FF"/>
    <w:rsid w:val="00C27114"/>
    <w:rsid w:val="00C2759E"/>
    <w:rsid w:val="00C279E8"/>
    <w:rsid w:val="00C27ABE"/>
    <w:rsid w:val="00C30CCE"/>
    <w:rsid w:val="00C30E66"/>
    <w:rsid w:val="00C31116"/>
    <w:rsid w:val="00C311E6"/>
    <w:rsid w:val="00C311ED"/>
    <w:rsid w:val="00C31A27"/>
    <w:rsid w:val="00C31C47"/>
    <w:rsid w:val="00C31CF0"/>
    <w:rsid w:val="00C32938"/>
    <w:rsid w:val="00C32BDA"/>
    <w:rsid w:val="00C32D25"/>
    <w:rsid w:val="00C332A9"/>
    <w:rsid w:val="00C33783"/>
    <w:rsid w:val="00C33BE8"/>
    <w:rsid w:val="00C33E1E"/>
    <w:rsid w:val="00C347E2"/>
    <w:rsid w:val="00C34CA0"/>
    <w:rsid w:val="00C351C9"/>
    <w:rsid w:val="00C353A9"/>
    <w:rsid w:val="00C35534"/>
    <w:rsid w:val="00C355DE"/>
    <w:rsid w:val="00C357F8"/>
    <w:rsid w:val="00C35942"/>
    <w:rsid w:val="00C35DC7"/>
    <w:rsid w:val="00C3625F"/>
    <w:rsid w:val="00C36453"/>
    <w:rsid w:val="00C36458"/>
    <w:rsid w:val="00C36524"/>
    <w:rsid w:val="00C36A0D"/>
    <w:rsid w:val="00C36E2E"/>
    <w:rsid w:val="00C3763A"/>
    <w:rsid w:val="00C37EDA"/>
    <w:rsid w:val="00C37F35"/>
    <w:rsid w:val="00C37FC4"/>
    <w:rsid w:val="00C4034A"/>
    <w:rsid w:val="00C40351"/>
    <w:rsid w:val="00C4068D"/>
    <w:rsid w:val="00C40C10"/>
    <w:rsid w:val="00C412A5"/>
    <w:rsid w:val="00C4143F"/>
    <w:rsid w:val="00C415F2"/>
    <w:rsid w:val="00C41D46"/>
    <w:rsid w:val="00C41F88"/>
    <w:rsid w:val="00C41FEF"/>
    <w:rsid w:val="00C42CAF"/>
    <w:rsid w:val="00C42F17"/>
    <w:rsid w:val="00C42F7A"/>
    <w:rsid w:val="00C430D0"/>
    <w:rsid w:val="00C4316E"/>
    <w:rsid w:val="00C432CB"/>
    <w:rsid w:val="00C43634"/>
    <w:rsid w:val="00C4368B"/>
    <w:rsid w:val="00C436F3"/>
    <w:rsid w:val="00C43B8A"/>
    <w:rsid w:val="00C43E74"/>
    <w:rsid w:val="00C43F54"/>
    <w:rsid w:val="00C441EB"/>
    <w:rsid w:val="00C451A8"/>
    <w:rsid w:val="00C4532A"/>
    <w:rsid w:val="00C453C4"/>
    <w:rsid w:val="00C45FA8"/>
    <w:rsid w:val="00C46172"/>
    <w:rsid w:val="00C46223"/>
    <w:rsid w:val="00C4642C"/>
    <w:rsid w:val="00C46ACC"/>
    <w:rsid w:val="00C46AF0"/>
    <w:rsid w:val="00C4701B"/>
    <w:rsid w:val="00C47056"/>
    <w:rsid w:val="00C474D5"/>
    <w:rsid w:val="00C474E6"/>
    <w:rsid w:val="00C47552"/>
    <w:rsid w:val="00C478CB"/>
    <w:rsid w:val="00C47D9B"/>
    <w:rsid w:val="00C504F4"/>
    <w:rsid w:val="00C50552"/>
    <w:rsid w:val="00C50852"/>
    <w:rsid w:val="00C50A51"/>
    <w:rsid w:val="00C50F95"/>
    <w:rsid w:val="00C510E3"/>
    <w:rsid w:val="00C5130E"/>
    <w:rsid w:val="00C5149E"/>
    <w:rsid w:val="00C5162D"/>
    <w:rsid w:val="00C51A5C"/>
    <w:rsid w:val="00C5204E"/>
    <w:rsid w:val="00C52280"/>
    <w:rsid w:val="00C522F0"/>
    <w:rsid w:val="00C52565"/>
    <w:rsid w:val="00C52C42"/>
    <w:rsid w:val="00C52CBC"/>
    <w:rsid w:val="00C53265"/>
    <w:rsid w:val="00C53A18"/>
    <w:rsid w:val="00C53E77"/>
    <w:rsid w:val="00C53FA2"/>
    <w:rsid w:val="00C54148"/>
    <w:rsid w:val="00C54161"/>
    <w:rsid w:val="00C5464F"/>
    <w:rsid w:val="00C5485F"/>
    <w:rsid w:val="00C54AE1"/>
    <w:rsid w:val="00C54BA1"/>
    <w:rsid w:val="00C5597D"/>
    <w:rsid w:val="00C55EDA"/>
    <w:rsid w:val="00C56050"/>
    <w:rsid w:val="00C5625B"/>
    <w:rsid w:val="00C5697B"/>
    <w:rsid w:val="00C56B69"/>
    <w:rsid w:val="00C56FA0"/>
    <w:rsid w:val="00C57CC0"/>
    <w:rsid w:val="00C57DF2"/>
    <w:rsid w:val="00C57FDC"/>
    <w:rsid w:val="00C57FED"/>
    <w:rsid w:val="00C60035"/>
    <w:rsid w:val="00C6013B"/>
    <w:rsid w:val="00C61270"/>
    <w:rsid w:val="00C617F2"/>
    <w:rsid w:val="00C61CF1"/>
    <w:rsid w:val="00C61F2F"/>
    <w:rsid w:val="00C62020"/>
    <w:rsid w:val="00C6202B"/>
    <w:rsid w:val="00C624CB"/>
    <w:rsid w:val="00C627A8"/>
    <w:rsid w:val="00C62DE0"/>
    <w:rsid w:val="00C63EAE"/>
    <w:rsid w:val="00C64184"/>
    <w:rsid w:val="00C65225"/>
    <w:rsid w:val="00C654CE"/>
    <w:rsid w:val="00C65590"/>
    <w:rsid w:val="00C66083"/>
    <w:rsid w:val="00C66281"/>
    <w:rsid w:val="00C6661A"/>
    <w:rsid w:val="00C66B17"/>
    <w:rsid w:val="00C67926"/>
    <w:rsid w:val="00C67A54"/>
    <w:rsid w:val="00C67C9C"/>
    <w:rsid w:val="00C67FA9"/>
    <w:rsid w:val="00C7011B"/>
    <w:rsid w:val="00C70390"/>
    <w:rsid w:val="00C706B0"/>
    <w:rsid w:val="00C70763"/>
    <w:rsid w:val="00C70FF4"/>
    <w:rsid w:val="00C71933"/>
    <w:rsid w:val="00C71B5F"/>
    <w:rsid w:val="00C721CC"/>
    <w:rsid w:val="00C721F1"/>
    <w:rsid w:val="00C72463"/>
    <w:rsid w:val="00C72708"/>
    <w:rsid w:val="00C7287D"/>
    <w:rsid w:val="00C72A0C"/>
    <w:rsid w:val="00C72C9A"/>
    <w:rsid w:val="00C72C9F"/>
    <w:rsid w:val="00C730E9"/>
    <w:rsid w:val="00C7311C"/>
    <w:rsid w:val="00C731DE"/>
    <w:rsid w:val="00C735E6"/>
    <w:rsid w:val="00C736B0"/>
    <w:rsid w:val="00C7386C"/>
    <w:rsid w:val="00C738C7"/>
    <w:rsid w:val="00C73AC8"/>
    <w:rsid w:val="00C73B34"/>
    <w:rsid w:val="00C73E8D"/>
    <w:rsid w:val="00C73F15"/>
    <w:rsid w:val="00C74556"/>
    <w:rsid w:val="00C74643"/>
    <w:rsid w:val="00C74ACD"/>
    <w:rsid w:val="00C74C9F"/>
    <w:rsid w:val="00C74D4C"/>
    <w:rsid w:val="00C74E91"/>
    <w:rsid w:val="00C7521F"/>
    <w:rsid w:val="00C7545D"/>
    <w:rsid w:val="00C75563"/>
    <w:rsid w:val="00C756D4"/>
    <w:rsid w:val="00C758B4"/>
    <w:rsid w:val="00C75C67"/>
    <w:rsid w:val="00C76186"/>
    <w:rsid w:val="00C7655F"/>
    <w:rsid w:val="00C76ACD"/>
    <w:rsid w:val="00C76D89"/>
    <w:rsid w:val="00C7702C"/>
    <w:rsid w:val="00C77199"/>
    <w:rsid w:val="00C779EB"/>
    <w:rsid w:val="00C77A03"/>
    <w:rsid w:val="00C77A4A"/>
    <w:rsid w:val="00C77B93"/>
    <w:rsid w:val="00C77BD7"/>
    <w:rsid w:val="00C77ED6"/>
    <w:rsid w:val="00C800A8"/>
    <w:rsid w:val="00C80160"/>
    <w:rsid w:val="00C80E0B"/>
    <w:rsid w:val="00C8130B"/>
    <w:rsid w:val="00C81792"/>
    <w:rsid w:val="00C81836"/>
    <w:rsid w:val="00C81A65"/>
    <w:rsid w:val="00C81CD5"/>
    <w:rsid w:val="00C81DCF"/>
    <w:rsid w:val="00C826C0"/>
    <w:rsid w:val="00C82A15"/>
    <w:rsid w:val="00C82A97"/>
    <w:rsid w:val="00C82CD6"/>
    <w:rsid w:val="00C83357"/>
    <w:rsid w:val="00C83921"/>
    <w:rsid w:val="00C84286"/>
    <w:rsid w:val="00C843B5"/>
    <w:rsid w:val="00C84A09"/>
    <w:rsid w:val="00C84C15"/>
    <w:rsid w:val="00C850FB"/>
    <w:rsid w:val="00C8527F"/>
    <w:rsid w:val="00C8535D"/>
    <w:rsid w:val="00C8579A"/>
    <w:rsid w:val="00C85947"/>
    <w:rsid w:val="00C85BCA"/>
    <w:rsid w:val="00C85CCE"/>
    <w:rsid w:val="00C85D62"/>
    <w:rsid w:val="00C86223"/>
    <w:rsid w:val="00C8643A"/>
    <w:rsid w:val="00C8676D"/>
    <w:rsid w:val="00C877EB"/>
    <w:rsid w:val="00C87B15"/>
    <w:rsid w:val="00C87D0B"/>
    <w:rsid w:val="00C90043"/>
    <w:rsid w:val="00C900FB"/>
    <w:rsid w:val="00C90192"/>
    <w:rsid w:val="00C9075B"/>
    <w:rsid w:val="00C90E90"/>
    <w:rsid w:val="00C90EA9"/>
    <w:rsid w:val="00C90F3C"/>
    <w:rsid w:val="00C910DD"/>
    <w:rsid w:val="00C914C8"/>
    <w:rsid w:val="00C919E0"/>
    <w:rsid w:val="00C91A55"/>
    <w:rsid w:val="00C91CA7"/>
    <w:rsid w:val="00C920E4"/>
    <w:rsid w:val="00C9277D"/>
    <w:rsid w:val="00C928AE"/>
    <w:rsid w:val="00C92BD1"/>
    <w:rsid w:val="00C93001"/>
    <w:rsid w:val="00C93475"/>
    <w:rsid w:val="00C934DB"/>
    <w:rsid w:val="00C935D9"/>
    <w:rsid w:val="00C93A83"/>
    <w:rsid w:val="00C93D12"/>
    <w:rsid w:val="00C94461"/>
    <w:rsid w:val="00C94B0C"/>
    <w:rsid w:val="00C94D4A"/>
    <w:rsid w:val="00C9520F"/>
    <w:rsid w:val="00C954AD"/>
    <w:rsid w:val="00C95572"/>
    <w:rsid w:val="00C9570E"/>
    <w:rsid w:val="00C96061"/>
    <w:rsid w:val="00C96295"/>
    <w:rsid w:val="00C962F9"/>
    <w:rsid w:val="00C96A7B"/>
    <w:rsid w:val="00C9771F"/>
    <w:rsid w:val="00C9773D"/>
    <w:rsid w:val="00C977C4"/>
    <w:rsid w:val="00C979B8"/>
    <w:rsid w:val="00C97E43"/>
    <w:rsid w:val="00CA00E4"/>
    <w:rsid w:val="00CA01B6"/>
    <w:rsid w:val="00CA041B"/>
    <w:rsid w:val="00CA0BFC"/>
    <w:rsid w:val="00CA108A"/>
    <w:rsid w:val="00CA2290"/>
    <w:rsid w:val="00CA22B8"/>
    <w:rsid w:val="00CA29C9"/>
    <w:rsid w:val="00CA4701"/>
    <w:rsid w:val="00CA4975"/>
    <w:rsid w:val="00CA4E96"/>
    <w:rsid w:val="00CA55EF"/>
    <w:rsid w:val="00CA560A"/>
    <w:rsid w:val="00CA5BBF"/>
    <w:rsid w:val="00CA5CE1"/>
    <w:rsid w:val="00CA5E4A"/>
    <w:rsid w:val="00CA5E53"/>
    <w:rsid w:val="00CA656C"/>
    <w:rsid w:val="00CA6600"/>
    <w:rsid w:val="00CA6715"/>
    <w:rsid w:val="00CA6B45"/>
    <w:rsid w:val="00CA6FD6"/>
    <w:rsid w:val="00CA75A7"/>
    <w:rsid w:val="00CA7E96"/>
    <w:rsid w:val="00CB00CD"/>
    <w:rsid w:val="00CB02B8"/>
    <w:rsid w:val="00CB02DE"/>
    <w:rsid w:val="00CB0784"/>
    <w:rsid w:val="00CB0913"/>
    <w:rsid w:val="00CB0E44"/>
    <w:rsid w:val="00CB1150"/>
    <w:rsid w:val="00CB12C9"/>
    <w:rsid w:val="00CB16E4"/>
    <w:rsid w:val="00CB1850"/>
    <w:rsid w:val="00CB1C0E"/>
    <w:rsid w:val="00CB1D1A"/>
    <w:rsid w:val="00CB2234"/>
    <w:rsid w:val="00CB2A0B"/>
    <w:rsid w:val="00CB2C33"/>
    <w:rsid w:val="00CB2ED6"/>
    <w:rsid w:val="00CB3077"/>
    <w:rsid w:val="00CB32DA"/>
    <w:rsid w:val="00CB36BE"/>
    <w:rsid w:val="00CB3A92"/>
    <w:rsid w:val="00CB43C6"/>
    <w:rsid w:val="00CB4515"/>
    <w:rsid w:val="00CB4BBC"/>
    <w:rsid w:val="00CB58A0"/>
    <w:rsid w:val="00CB59BD"/>
    <w:rsid w:val="00CB5EFD"/>
    <w:rsid w:val="00CB609D"/>
    <w:rsid w:val="00CB6638"/>
    <w:rsid w:val="00CB67F1"/>
    <w:rsid w:val="00CB6B83"/>
    <w:rsid w:val="00CB6D81"/>
    <w:rsid w:val="00CB6DE8"/>
    <w:rsid w:val="00CB72AA"/>
    <w:rsid w:val="00CB762D"/>
    <w:rsid w:val="00CB76D7"/>
    <w:rsid w:val="00CB7D40"/>
    <w:rsid w:val="00CC0255"/>
    <w:rsid w:val="00CC0343"/>
    <w:rsid w:val="00CC0A01"/>
    <w:rsid w:val="00CC14B6"/>
    <w:rsid w:val="00CC18E0"/>
    <w:rsid w:val="00CC1C5B"/>
    <w:rsid w:val="00CC1EDE"/>
    <w:rsid w:val="00CC340B"/>
    <w:rsid w:val="00CC34B0"/>
    <w:rsid w:val="00CC3A7F"/>
    <w:rsid w:val="00CC3ADA"/>
    <w:rsid w:val="00CC3AE8"/>
    <w:rsid w:val="00CC3CCC"/>
    <w:rsid w:val="00CC3D14"/>
    <w:rsid w:val="00CC3D67"/>
    <w:rsid w:val="00CC3E41"/>
    <w:rsid w:val="00CC4166"/>
    <w:rsid w:val="00CC497B"/>
    <w:rsid w:val="00CC4B68"/>
    <w:rsid w:val="00CC54D2"/>
    <w:rsid w:val="00CC5511"/>
    <w:rsid w:val="00CC5692"/>
    <w:rsid w:val="00CC5832"/>
    <w:rsid w:val="00CC5B56"/>
    <w:rsid w:val="00CC5D14"/>
    <w:rsid w:val="00CC5D98"/>
    <w:rsid w:val="00CC5DA6"/>
    <w:rsid w:val="00CC60E1"/>
    <w:rsid w:val="00CC61F8"/>
    <w:rsid w:val="00CC6373"/>
    <w:rsid w:val="00CC66C6"/>
    <w:rsid w:val="00CC6997"/>
    <w:rsid w:val="00CC6D2F"/>
    <w:rsid w:val="00CC7010"/>
    <w:rsid w:val="00CC7414"/>
    <w:rsid w:val="00CC7440"/>
    <w:rsid w:val="00CC7649"/>
    <w:rsid w:val="00CC7794"/>
    <w:rsid w:val="00CC77FD"/>
    <w:rsid w:val="00CC7836"/>
    <w:rsid w:val="00CC7974"/>
    <w:rsid w:val="00CC7AF3"/>
    <w:rsid w:val="00CC7CAA"/>
    <w:rsid w:val="00CD017B"/>
    <w:rsid w:val="00CD0692"/>
    <w:rsid w:val="00CD10FE"/>
    <w:rsid w:val="00CD1551"/>
    <w:rsid w:val="00CD162A"/>
    <w:rsid w:val="00CD2998"/>
    <w:rsid w:val="00CD2B87"/>
    <w:rsid w:val="00CD3141"/>
    <w:rsid w:val="00CD3837"/>
    <w:rsid w:val="00CD3CB6"/>
    <w:rsid w:val="00CD3CD0"/>
    <w:rsid w:val="00CD420C"/>
    <w:rsid w:val="00CD47AE"/>
    <w:rsid w:val="00CD54A5"/>
    <w:rsid w:val="00CD5744"/>
    <w:rsid w:val="00CD5B38"/>
    <w:rsid w:val="00CD5EE3"/>
    <w:rsid w:val="00CD60B5"/>
    <w:rsid w:val="00CD61B9"/>
    <w:rsid w:val="00CD61C0"/>
    <w:rsid w:val="00CD62E6"/>
    <w:rsid w:val="00CD63A1"/>
    <w:rsid w:val="00CD64AB"/>
    <w:rsid w:val="00CD6A5D"/>
    <w:rsid w:val="00CD71C3"/>
    <w:rsid w:val="00CD722F"/>
    <w:rsid w:val="00CD763E"/>
    <w:rsid w:val="00CE0397"/>
    <w:rsid w:val="00CE06FD"/>
    <w:rsid w:val="00CE08F9"/>
    <w:rsid w:val="00CE0D01"/>
    <w:rsid w:val="00CE0FDB"/>
    <w:rsid w:val="00CE1022"/>
    <w:rsid w:val="00CE1158"/>
    <w:rsid w:val="00CE170A"/>
    <w:rsid w:val="00CE1A5E"/>
    <w:rsid w:val="00CE1B7A"/>
    <w:rsid w:val="00CE1D39"/>
    <w:rsid w:val="00CE1E02"/>
    <w:rsid w:val="00CE225D"/>
    <w:rsid w:val="00CE2266"/>
    <w:rsid w:val="00CE2395"/>
    <w:rsid w:val="00CE26D4"/>
    <w:rsid w:val="00CE2D2E"/>
    <w:rsid w:val="00CE3080"/>
    <w:rsid w:val="00CE310B"/>
    <w:rsid w:val="00CE321D"/>
    <w:rsid w:val="00CE3542"/>
    <w:rsid w:val="00CE38BA"/>
    <w:rsid w:val="00CE3B78"/>
    <w:rsid w:val="00CE40EE"/>
    <w:rsid w:val="00CE500F"/>
    <w:rsid w:val="00CE519C"/>
    <w:rsid w:val="00CE5739"/>
    <w:rsid w:val="00CE57BD"/>
    <w:rsid w:val="00CE5CB2"/>
    <w:rsid w:val="00CE61D9"/>
    <w:rsid w:val="00CE6919"/>
    <w:rsid w:val="00CE6A14"/>
    <w:rsid w:val="00CE7204"/>
    <w:rsid w:val="00CE72BB"/>
    <w:rsid w:val="00CE7778"/>
    <w:rsid w:val="00CE77D6"/>
    <w:rsid w:val="00CE7909"/>
    <w:rsid w:val="00CE79B6"/>
    <w:rsid w:val="00CE7A82"/>
    <w:rsid w:val="00CE7EC4"/>
    <w:rsid w:val="00CF0044"/>
    <w:rsid w:val="00CF0193"/>
    <w:rsid w:val="00CF08CC"/>
    <w:rsid w:val="00CF0B44"/>
    <w:rsid w:val="00CF0DA1"/>
    <w:rsid w:val="00CF0FF4"/>
    <w:rsid w:val="00CF108A"/>
    <w:rsid w:val="00CF125D"/>
    <w:rsid w:val="00CF1276"/>
    <w:rsid w:val="00CF1282"/>
    <w:rsid w:val="00CF130A"/>
    <w:rsid w:val="00CF17C0"/>
    <w:rsid w:val="00CF1B20"/>
    <w:rsid w:val="00CF22F1"/>
    <w:rsid w:val="00CF2349"/>
    <w:rsid w:val="00CF25D3"/>
    <w:rsid w:val="00CF292C"/>
    <w:rsid w:val="00CF2DCC"/>
    <w:rsid w:val="00CF322C"/>
    <w:rsid w:val="00CF35E3"/>
    <w:rsid w:val="00CF363F"/>
    <w:rsid w:val="00CF38D7"/>
    <w:rsid w:val="00CF3E4D"/>
    <w:rsid w:val="00CF47F2"/>
    <w:rsid w:val="00CF48E1"/>
    <w:rsid w:val="00CF49F7"/>
    <w:rsid w:val="00CF517F"/>
    <w:rsid w:val="00CF5F14"/>
    <w:rsid w:val="00CF6161"/>
    <w:rsid w:val="00CF69CC"/>
    <w:rsid w:val="00CF701A"/>
    <w:rsid w:val="00CF71BA"/>
    <w:rsid w:val="00CF741E"/>
    <w:rsid w:val="00CF7441"/>
    <w:rsid w:val="00CF7470"/>
    <w:rsid w:val="00CF79F5"/>
    <w:rsid w:val="00CF7DC6"/>
    <w:rsid w:val="00D00152"/>
    <w:rsid w:val="00D00597"/>
    <w:rsid w:val="00D00BB0"/>
    <w:rsid w:val="00D00D90"/>
    <w:rsid w:val="00D00F28"/>
    <w:rsid w:val="00D00F4A"/>
    <w:rsid w:val="00D012CE"/>
    <w:rsid w:val="00D0165C"/>
    <w:rsid w:val="00D01668"/>
    <w:rsid w:val="00D0179B"/>
    <w:rsid w:val="00D0183E"/>
    <w:rsid w:val="00D01B2D"/>
    <w:rsid w:val="00D01D7F"/>
    <w:rsid w:val="00D01F3A"/>
    <w:rsid w:val="00D01F92"/>
    <w:rsid w:val="00D02219"/>
    <w:rsid w:val="00D02286"/>
    <w:rsid w:val="00D022E8"/>
    <w:rsid w:val="00D02493"/>
    <w:rsid w:val="00D024EF"/>
    <w:rsid w:val="00D0274E"/>
    <w:rsid w:val="00D02895"/>
    <w:rsid w:val="00D02A70"/>
    <w:rsid w:val="00D02D29"/>
    <w:rsid w:val="00D032E1"/>
    <w:rsid w:val="00D0342A"/>
    <w:rsid w:val="00D034C7"/>
    <w:rsid w:val="00D0459F"/>
    <w:rsid w:val="00D04A51"/>
    <w:rsid w:val="00D04A53"/>
    <w:rsid w:val="00D04E9E"/>
    <w:rsid w:val="00D0590C"/>
    <w:rsid w:val="00D059DC"/>
    <w:rsid w:val="00D05AC0"/>
    <w:rsid w:val="00D05D39"/>
    <w:rsid w:val="00D05E00"/>
    <w:rsid w:val="00D05E16"/>
    <w:rsid w:val="00D05F74"/>
    <w:rsid w:val="00D0619D"/>
    <w:rsid w:val="00D061FC"/>
    <w:rsid w:val="00D06908"/>
    <w:rsid w:val="00D069B0"/>
    <w:rsid w:val="00D06A58"/>
    <w:rsid w:val="00D06E50"/>
    <w:rsid w:val="00D06F98"/>
    <w:rsid w:val="00D070F2"/>
    <w:rsid w:val="00D072CE"/>
    <w:rsid w:val="00D07446"/>
    <w:rsid w:val="00D07CF4"/>
    <w:rsid w:val="00D07D22"/>
    <w:rsid w:val="00D07E09"/>
    <w:rsid w:val="00D107C3"/>
    <w:rsid w:val="00D109DF"/>
    <w:rsid w:val="00D10CAF"/>
    <w:rsid w:val="00D113AF"/>
    <w:rsid w:val="00D11A87"/>
    <w:rsid w:val="00D11A9F"/>
    <w:rsid w:val="00D11CEF"/>
    <w:rsid w:val="00D12630"/>
    <w:rsid w:val="00D12B6B"/>
    <w:rsid w:val="00D12DF9"/>
    <w:rsid w:val="00D12E0F"/>
    <w:rsid w:val="00D1341D"/>
    <w:rsid w:val="00D1371F"/>
    <w:rsid w:val="00D137EA"/>
    <w:rsid w:val="00D1386A"/>
    <w:rsid w:val="00D147FE"/>
    <w:rsid w:val="00D14A74"/>
    <w:rsid w:val="00D14B64"/>
    <w:rsid w:val="00D14E67"/>
    <w:rsid w:val="00D1512E"/>
    <w:rsid w:val="00D151FC"/>
    <w:rsid w:val="00D154C2"/>
    <w:rsid w:val="00D15667"/>
    <w:rsid w:val="00D15736"/>
    <w:rsid w:val="00D15927"/>
    <w:rsid w:val="00D15AB7"/>
    <w:rsid w:val="00D15AC6"/>
    <w:rsid w:val="00D15BE2"/>
    <w:rsid w:val="00D160B4"/>
    <w:rsid w:val="00D162F1"/>
    <w:rsid w:val="00D1645F"/>
    <w:rsid w:val="00D1661C"/>
    <w:rsid w:val="00D176AF"/>
    <w:rsid w:val="00D17845"/>
    <w:rsid w:val="00D178CA"/>
    <w:rsid w:val="00D17F62"/>
    <w:rsid w:val="00D20242"/>
    <w:rsid w:val="00D2081B"/>
    <w:rsid w:val="00D2193F"/>
    <w:rsid w:val="00D21B35"/>
    <w:rsid w:val="00D21C85"/>
    <w:rsid w:val="00D21DA8"/>
    <w:rsid w:val="00D220AF"/>
    <w:rsid w:val="00D22101"/>
    <w:rsid w:val="00D2224A"/>
    <w:rsid w:val="00D22359"/>
    <w:rsid w:val="00D22C7A"/>
    <w:rsid w:val="00D22CD1"/>
    <w:rsid w:val="00D230EF"/>
    <w:rsid w:val="00D23288"/>
    <w:rsid w:val="00D232B2"/>
    <w:rsid w:val="00D23623"/>
    <w:rsid w:val="00D236A6"/>
    <w:rsid w:val="00D23C0E"/>
    <w:rsid w:val="00D23CC7"/>
    <w:rsid w:val="00D23D9B"/>
    <w:rsid w:val="00D24047"/>
    <w:rsid w:val="00D2444D"/>
    <w:rsid w:val="00D24E89"/>
    <w:rsid w:val="00D24F92"/>
    <w:rsid w:val="00D253CF"/>
    <w:rsid w:val="00D254B5"/>
    <w:rsid w:val="00D254E8"/>
    <w:rsid w:val="00D255E3"/>
    <w:rsid w:val="00D2573B"/>
    <w:rsid w:val="00D25B9F"/>
    <w:rsid w:val="00D25E78"/>
    <w:rsid w:val="00D25EC4"/>
    <w:rsid w:val="00D25F69"/>
    <w:rsid w:val="00D260FC"/>
    <w:rsid w:val="00D26192"/>
    <w:rsid w:val="00D26210"/>
    <w:rsid w:val="00D266A1"/>
    <w:rsid w:val="00D267BE"/>
    <w:rsid w:val="00D267CB"/>
    <w:rsid w:val="00D26B1D"/>
    <w:rsid w:val="00D26BD5"/>
    <w:rsid w:val="00D26F45"/>
    <w:rsid w:val="00D2741E"/>
    <w:rsid w:val="00D2742D"/>
    <w:rsid w:val="00D27525"/>
    <w:rsid w:val="00D27E06"/>
    <w:rsid w:val="00D27F62"/>
    <w:rsid w:val="00D3031F"/>
    <w:rsid w:val="00D304D0"/>
    <w:rsid w:val="00D30773"/>
    <w:rsid w:val="00D30C62"/>
    <w:rsid w:val="00D30E58"/>
    <w:rsid w:val="00D30F88"/>
    <w:rsid w:val="00D31205"/>
    <w:rsid w:val="00D312D7"/>
    <w:rsid w:val="00D312FA"/>
    <w:rsid w:val="00D3159D"/>
    <w:rsid w:val="00D3162E"/>
    <w:rsid w:val="00D3164F"/>
    <w:rsid w:val="00D31A02"/>
    <w:rsid w:val="00D31F23"/>
    <w:rsid w:val="00D32173"/>
    <w:rsid w:val="00D322F0"/>
    <w:rsid w:val="00D325C6"/>
    <w:rsid w:val="00D32B46"/>
    <w:rsid w:val="00D32C4B"/>
    <w:rsid w:val="00D32C9A"/>
    <w:rsid w:val="00D32EB4"/>
    <w:rsid w:val="00D32F00"/>
    <w:rsid w:val="00D32F4F"/>
    <w:rsid w:val="00D33BBB"/>
    <w:rsid w:val="00D33C6C"/>
    <w:rsid w:val="00D33D50"/>
    <w:rsid w:val="00D33DB9"/>
    <w:rsid w:val="00D33EAC"/>
    <w:rsid w:val="00D34708"/>
    <w:rsid w:val="00D34A28"/>
    <w:rsid w:val="00D34A87"/>
    <w:rsid w:val="00D34C28"/>
    <w:rsid w:val="00D34E4B"/>
    <w:rsid w:val="00D34F37"/>
    <w:rsid w:val="00D35314"/>
    <w:rsid w:val="00D35846"/>
    <w:rsid w:val="00D35AC9"/>
    <w:rsid w:val="00D35DA8"/>
    <w:rsid w:val="00D35F5D"/>
    <w:rsid w:val="00D360C8"/>
    <w:rsid w:val="00D3637C"/>
    <w:rsid w:val="00D36A83"/>
    <w:rsid w:val="00D371EE"/>
    <w:rsid w:val="00D37888"/>
    <w:rsid w:val="00D3795E"/>
    <w:rsid w:val="00D379F4"/>
    <w:rsid w:val="00D37A99"/>
    <w:rsid w:val="00D37B1C"/>
    <w:rsid w:val="00D404BB"/>
    <w:rsid w:val="00D4079A"/>
    <w:rsid w:val="00D40DC7"/>
    <w:rsid w:val="00D40E17"/>
    <w:rsid w:val="00D40E5A"/>
    <w:rsid w:val="00D410E6"/>
    <w:rsid w:val="00D41607"/>
    <w:rsid w:val="00D41C66"/>
    <w:rsid w:val="00D4299F"/>
    <w:rsid w:val="00D429F6"/>
    <w:rsid w:val="00D42AE6"/>
    <w:rsid w:val="00D42DBC"/>
    <w:rsid w:val="00D42E5E"/>
    <w:rsid w:val="00D43023"/>
    <w:rsid w:val="00D4304A"/>
    <w:rsid w:val="00D432A3"/>
    <w:rsid w:val="00D4339C"/>
    <w:rsid w:val="00D435A6"/>
    <w:rsid w:val="00D435F6"/>
    <w:rsid w:val="00D43807"/>
    <w:rsid w:val="00D439FD"/>
    <w:rsid w:val="00D44055"/>
    <w:rsid w:val="00D448BA"/>
    <w:rsid w:val="00D44B5E"/>
    <w:rsid w:val="00D44C8F"/>
    <w:rsid w:val="00D44D41"/>
    <w:rsid w:val="00D44E6D"/>
    <w:rsid w:val="00D4519B"/>
    <w:rsid w:val="00D451EF"/>
    <w:rsid w:val="00D45219"/>
    <w:rsid w:val="00D4543E"/>
    <w:rsid w:val="00D4548A"/>
    <w:rsid w:val="00D4589E"/>
    <w:rsid w:val="00D458C1"/>
    <w:rsid w:val="00D45F6E"/>
    <w:rsid w:val="00D4604B"/>
    <w:rsid w:val="00D461F8"/>
    <w:rsid w:val="00D46EA8"/>
    <w:rsid w:val="00D46F3F"/>
    <w:rsid w:val="00D46F68"/>
    <w:rsid w:val="00D47147"/>
    <w:rsid w:val="00D4731D"/>
    <w:rsid w:val="00D473C6"/>
    <w:rsid w:val="00D50194"/>
    <w:rsid w:val="00D50628"/>
    <w:rsid w:val="00D50AC6"/>
    <w:rsid w:val="00D50DE5"/>
    <w:rsid w:val="00D51032"/>
    <w:rsid w:val="00D515A3"/>
    <w:rsid w:val="00D516DB"/>
    <w:rsid w:val="00D516FE"/>
    <w:rsid w:val="00D518A7"/>
    <w:rsid w:val="00D51C5F"/>
    <w:rsid w:val="00D51CDB"/>
    <w:rsid w:val="00D5219B"/>
    <w:rsid w:val="00D52273"/>
    <w:rsid w:val="00D5281F"/>
    <w:rsid w:val="00D52D01"/>
    <w:rsid w:val="00D52EFB"/>
    <w:rsid w:val="00D531A3"/>
    <w:rsid w:val="00D53213"/>
    <w:rsid w:val="00D53815"/>
    <w:rsid w:val="00D538BA"/>
    <w:rsid w:val="00D53A6C"/>
    <w:rsid w:val="00D54103"/>
    <w:rsid w:val="00D5465A"/>
    <w:rsid w:val="00D547BC"/>
    <w:rsid w:val="00D54989"/>
    <w:rsid w:val="00D549C4"/>
    <w:rsid w:val="00D54A9C"/>
    <w:rsid w:val="00D54DE3"/>
    <w:rsid w:val="00D54E00"/>
    <w:rsid w:val="00D55208"/>
    <w:rsid w:val="00D557BB"/>
    <w:rsid w:val="00D55903"/>
    <w:rsid w:val="00D55AFC"/>
    <w:rsid w:val="00D55FF2"/>
    <w:rsid w:val="00D562AA"/>
    <w:rsid w:val="00D564EA"/>
    <w:rsid w:val="00D5667B"/>
    <w:rsid w:val="00D56EE7"/>
    <w:rsid w:val="00D572F8"/>
    <w:rsid w:val="00D57A79"/>
    <w:rsid w:val="00D57C0E"/>
    <w:rsid w:val="00D57EAB"/>
    <w:rsid w:val="00D6034F"/>
    <w:rsid w:val="00D6077F"/>
    <w:rsid w:val="00D60B3E"/>
    <w:rsid w:val="00D619D7"/>
    <w:rsid w:val="00D62427"/>
    <w:rsid w:val="00D6243D"/>
    <w:rsid w:val="00D62BA9"/>
    <w:rsid w:val="00D63147"/>
    <w:rsid w:val="00D6339A"/>
    <w:rsid w:val="00D6380E"/>
    <w:rsid w:val="00D6398F"/>
    <w:rsid w:val="00D641B8"/>
    <w:rsid w:val="00D642C4"/>
    <w:rsid w:val="00D6475C"/>
    <w:rsid w:val="00D6478A"/>
    <w:rsid w:val="00D64AFB"/>
    <w:rsid w:val="00D654D9"/>
    <w:rsid w:val="00D6566E"/>
    <w:rsid w:val="00D65703"/>
    <w:rsid w:val="00D658D4"/>
    <w:rsid w:val="00D659B9"/>
    <w:rsid w:val="00D65A93"/>
    <w:rsid w:val="00D65BB6"/>
    <w:rsid w:val="00D65C32"/>
    <w:rsid w:val="00D6616A"/>
    <w:rsid w:val="00D66256"/>
    <w:rsid w:val="00D66318"/>
    <w:rsid w:val="00D6664D"/>
    <w:rsid w:val="00D666AC"/>
    <w:rsid w:val="00D667C5"/>
    <w:rsid w:val="00D66C76"/>
    <w:rsid w:val="00D66CD3"/>
    <w:rsid w:val="00D66DB5"/>
    <w:rsid w:val="00D66ED1"/>
    <w:rsid w:val="00D67215"/>
    <w:rsid w:val="00D6748A"/>
    <w:rsid w:val="00D67DE5"/>
    <w:rsid w:val="00D70673"/>
    <w:rsid w:val="00D71887"/>
    <w:rsid w:val="00D71D8B"/>
    <w:rsid w:val="00D72139"/>
    <w:rsid w:val="00D72332"/>
    <w:rsid w:val="00D72370"/>
    <w:rsid w:val="00D7295F"/>
    <w:rsid w:val="00D72A53"/>
    <w:rsid w:val="00D72C02"/>
    <w:rsid w:val="00D72D6B"/>
    <w:rsid w:val="00D730D1"/>
    <w:rsid w:val="00D7315D"/>
    <w:rsid w:val="00D733EA"/>
    <w:rsid w:val="00D7356D"/>
    <w:rsid w:val="00D73845"/>
    <w:rsid w:val="00D73A0C"/>
    <w:rsid w:val="00D73B6B"/>
    <w:rsid w:val="00D73E6D"/>
    <w:rsid w:val="00D73EF5"/>
    <w:rsid w:val="00D7471B"/>
    <w:rsid w:val="00D749E9"/>
    <w:rsid w:val="00D74BAC"/>
    <w:rsid w:val="00D74C16"/>
    <w:rsid w:val="00D74C1A"/>
    <w:rsid w:val="00D74C8E"/>
    <w:rsid w:val="00D74EB1"/>
    <w:rsid w:val="00D74F34"/>
    <w:rsid w:val="00D74F5D"/>
    <w:rsid w:val="00D74F70"/>
    <w:rsid w:val="00D7500D"/>
    <w:rsid w:val="00D75210"/>
    <w:rsid w:val="00D75BDB"/>
    <w:rsid w:val="00D75E33"/>
    <w:rsid w:val="00D762F5"/>
    <w:rsid w:val="00D764A0"/>
    <w:rsid w:val="00D76ABC"/>
    <w:rsid w:val="00D76B4E"/>
    <w:rsid w:val="00D76FF7"/>
    <w:rsid w:val="00D772CC"/>
    <w:rsid w:val="00D774A1"/>
    <w:rsid w:val="00D7754F"/>
    <w:rsid w:val="00D778B3"/>
    <w:rsid w:val="00D77E65"/>
    <w:rsid w:val="00D80206"/>
    <w:rsid w:val="00D803C7"/>
    <w:rsid w:val="00D80A98"/>
    <w:rsid w:val="00D80BE0"/>
    <w:rsid w:val="00D80FF0"/>
    <w:rsid w:val="00D81684"/>
    <w:rsid w:val="00D816B0"/>
    <w:rsid w:val="00D81C3A"/>
    <w:rsid w:val="00D81DE7"/>
    <w:rsid w:val="00D82408"/>
    <w:rsid w:val="00D8251C"/>
    <w:rsid w:val="00D82AFA"/>
    <w:rsid w:val="00D82F39"/>
    <w:rsid w:val="00D831AC"/>
    <w:rsid w:val="00D83425"/>
    <w:rsid w:val="00D8350C"/>
    <w:rsid w:val="00D837D2"/>
    <w:rsid w:val="00D83943"/>
    <w:rsid w:val="00D83AB8"/>
    <w:rsid w:val="00D83ADA"/>
    <w:rsid w:val="00D840FB"/>
    <w:rsid w:val="00D84824"/>
    <w:rsid w:val="00D84AFD"/>
    <w:rsid w:val="00D8513A"/>
    <w:rsid w:val="00D85394"/>
    <w:rsid w:val="00D85592"/>
    <w:rsid w:val="00D85B33"/>
    <w:rsid w:val="00D85F50"/>
    <w:rsid w:val="00D863CF"/>
    <w:rsid w:val="00D86938"/>
    <w:rsid w:val="00D86ECD"/>
    <w:rsid w:val="00D86F3F"/>
    <w:rsid w:val="00D86F92"/>
    <w:rsid w:val="00D8703F"/>
    <w:rsid w:val="00D8729A"/>
    <w:rsid w:val="00D877F8"/>
    <w:rsid w:val="00D879DA"/>
    <w:rsid w:val="00D87F35"/>
    <w:rsid w:val="00D903E1"/>
    <w:rsid w:val="00D90787"/>
    <w:rsid w:val="00D90BD9"/>
    <w:rsid w:val="00D90F9A"/>
    <w:rsid w:val="00D91235"/>
    <w:rsid w:val="00D9164B"/>
    <w:rsid w:val="00D916BB"/>
    <w:rsid w:val="00D91A30"/>
    <w:rsid w:val="00D91B66"/>
    <w:rsid w:val="00D91E22"/>
    <w:rsid w:val="00D9210D"/>
    <w:rsid w:val="00D922C7"/>
    <w:rsid w:val="00D9235E"/>
    <w:rsid w:val="00D927C8"/>
    <w:rsid w:val="00D9291F"/>
    <w:rsid w:val="00D93055"/>
    <w:rsid w:val="00D93681"/>
    <w:rsid w:val="00D9370E"/>
    <w:rsid w:val="00D937C5"/>
    <w:rsid w:val="00D938F2"/>
    <w:rsid w:val="00D93B1B"/>
    <w:rsid w:val="00D93EE1"/>
    <w:rsid w:val="00D940B0"/>
    <w:rsid w:val="00D9434C"/>
    <w:rsid w:val="00D94433"/>
    <w:rsid w:val="00D94964"/>
    <w:rsid w:val="00D94B25"/>
    <w:rsid w:val="00D94E8B"/>
    <w:rsid w:val="00D94F2E"/>
    <w:rsid w:val="00D95042"/>
    <w:rsid w:val="00D95810"/>
    <w:rsid w:val="00D95AE4"/>
    <w:rsid w:val="00D95E3A"/>
    <w:rsid w:val="00D95F4E"/>
    <w:rsid w:val="00D9648D"/>
    <w:rsid w:val="00D966BC"/>
    <w:rsid w:val="00D97094"/>
    <w:rsid w:val="00D973C9"/>
    <w:rsid w:val="00DA004A"/>
    <w:rsid w:val="00DA0627"/>
    <w:rsid w:val="00DA080A"/>
    <w:rsid w:val="00DA0AEE"/>
    <w:rsid w:val="00DA0DFC"/>
    <w:rsid w:val="00DA113E"/>
    <w:rsid w:val="00DA1394"/>
    <w:rsid w:val="00DA1AF1"/>
    <w:rsid w:val="00DA1B29"/>
    <w:rsid w:val="00DA1E54"/>
    <w:rsid w:val="00DA2358"/>
    <w:rsid w:val="00DA23B5"/>
    <w:rsid w:val="00DA29D9"/>
    <w:rsid w:val="00DA2D04"/>
    <w:rsid w:val="00DA3221"/>
    <w:rsid w:val="00DA3373"/>
    <w:rsid w:val="00DA3779"/>
    <w:rsid w:val="00DA3A01"/>
    <w:rsid w:val="00DA3B7D"/>
    <w:rsid w:val="00DA3CA4"/>
    <w:rsid w:val="00DA3F15"/>
    <w:rsid w:val="00DA3F96"/>
    <w:rsid w:val="00DA4063"/>
    <w:rsid w:val="00DA4365"/>
    <w:rsid w:val="00DA45DE"/>
    <w:rsid w:val="00DA47A2"/>
    <w:rsid w:val="00DA5228"/>
    <w:rsid w:val="00DA5459"/>
    <w:rsid w:val="00DA5C3F"/>
    <w:rsid w:val="00DA613F"/>
    <w:rsid w:val="00DA689C"/>
    <w:rsid w:val="00DA68D2"/>
    <w:rsid w:val="00DA68F5"/>
    <w:rsid w:val="00DA7435"/>
    <w:rsid w:val="00DA79C2"/>
    <w:rsid w:val="00DA7A4B"/>
    <w:rsid w:val="00DA7DF9"/>
    <w:rsid w:val="00DA7FC0"/>
    <w:rsid w:val="00DB00BE"/>
    <w:rsid w:val="00DB0B1B"/>
    <w:rsid w:val="00DB0CBD"/>
    <w:rsid w:val="00DB1273"/>
    <w:rsid w:val="00DB131D"/>
    <w:rsid w:val="00DB19C2"/>
    <w:rsid w:val="00DB1D7C"/>
    <w:rsid w:val="00DB1F2A"/>
    <w:rsid w:val="00DB20EC"/>
    <w:rsid w:val="00DB2A53"/>
    <w:rsid w:val="00DB361D"/>
    <w:rsid w:val="00DB3B2C"/>
    <w:rsid w:val="00DB4011"/>
    <w:rsid w:val="00DB481A"/>
    <w:rsid w:val="00DB4C1E"/>
    <w:rsid w:val="00DB4D21"/>
    <w:rsid w:val="00DB523C"/>
    <w:rsid w:val="00DB52F4"/>
    <w:rsid w:val="00DB55A6"/>
    <w:rsid w:val="00DB6182"/>
    <w:rsid w:val="00DB64B1"/>
    <w:rsid w:val="00DB64B9"/>
    <w:rsid w:val="00DB6F80"/>
    <w:rsid w:val="00DB70E6"/>
    <w:rsid w:val="00DB7566"/>
    <w:rsid w:val="00DB75BB"/>
    <w:rsid w:val="00DB76C1"/>
    <w:rsid w:val="00DB7902"/>
    <w:rsid w:val="00DB7AFE"/>
    <w:rsid w:val="00DB7FE0"/>
    <w:rsid w:val="00DC011A"/>
    <w:rsid w:val="00DC01EF"/>
    <w:rsid w:val="00DC04F3"/>
    <w:rsid w:val="00DC0620"/>
    <w:rsid w:val="00DC0CFE"/>
    <w:rsid w:val="00DC0F04"/>
    <w:rsid w:val="00DC1724"/>
    <w:rsid w:val="00DC1C39"/>
    <w:rsid w:val="00DC1DD4"/>
    <w:rsid w:val="00DC2145"/>
    <w:rsid w:val="00DC2D01"/>
    <w:rsid w:val="00DC35A8"/>
    <w:rsid w:val="00DC3A09"/>
    <w:rsid w:val="00DC3C13"/>
    <w:rsid w:val="00DC3C9E"/>
    <w:rsid w:val="00DC447F"/>
    <w:rsid w:val="00DC4658"/>
    <w:rsid w:val="00DC4B15"/>
    <w:rsid w:val="00DC4EC7"/>
    <w:rsid w:val="00DC50D1"/>
    <w:rsid w:val="00DC5505"/>
    <w:rsid w:val="00DC5A56"/>
    <w:rsid w:val="00DC5D92"/>
    <w:rsid w:val="00DC5F59"/>
    <w:rsid w:val="00DC6267"/>
    <w:rsid w:val="00DC67F4"/>
    <w:rsid w:val="00DC74DE"/>
    <w:rsid w:val="00DC7A0A"/>
    <w:rsid w:val="00DD0130"/>
    <w:rsid w:val="00DD048B"/>
    <w:rsid w:val="00DD1150"/>
    <w:rsid w:val="00DD1675"/>
    <w:rsid w:val="00DD17AC"/>
    <w:rsid w:val="00DD187F"/>
    <w:rsid w:val="00DD1EB8"/>
    <w:rsid w:val="00DD2555"/>
    <w:rsid w:val="00DD25F8"/>
    <w:rsid w:val="00DD2774"/>
    <w:rsid w:val="00DD29A9"/>
    <w:rsid w:val="00DD2C61"/>
    <w:rsid w:val="00DD307D"/>
    <w:rsid w:val="00DD3672"/>
    <w:rsid w:val="00DD3750"/>
    <w:rsid w:val="00DD3B21"/>
    <w:rsid w:val="00DD4017"/>
    <w:rsid w:val="00DD446C"/>
    <w:rsid w:val="00DD4549"/>
    <w:rsid w:val="00DD5017"/>
    <w:rsid w:val="00DD522B"/>
    <w:rsid w:val="00DD52DA"/>
    <w:rsid w:val="00DD5335"/>
    <w:rsid w:val="00DD5623"/>
    <w:rsid w:val="00DD5C59"/>
    <w:rsid w:val="00DD6244"/>
    <w:rsid w:val="00DD6696"/>
    <w:rsid w:val="00DD6C02"/>
    <w:rsid w:val="00DD7279"/>
    <w:rsid w:val="00DD7415"/>
    <w:rsid w:val="00DD756B"/>
    <w:rsid w:val="00DD7B5F"/>
    <w:rsid w:val="00DE00C1"/>
    <w:rsid w:val="00DE045E"/>
    <w:rsid w:val="00DE07F7"/>
    <w:rsid w:val="00DE089C"/>
    <w:rsid w:val="00DE0D10"/>
    <w:rsid w:val="00DE0EFF"/>
    <w:rsid w:val="00DE1635"/>
    <w:rsid w:val="00DE1A58"/>
    <w:rsid w:val="00DE1AF7"/>
    <w:rsid w:val="00DE244B"/>
    <w:rsid w:val="00DE246E"/>
    <w:rsid w:val="00DE2630"/>
    <w:rsid w:val="00DE266F"/>
    <w:rsid w:val="00DE28A5"/>
    <w:rsid w:val="00DE2A08"/>
    <w:rsid w:val="00DE2BAF"/>
    <w:rsid w:val="00DE31A5"/>
    <w:rsid w:val="00DE32D0"/>
    <w:rsid w:val="00DE38DD"/>
    <w:rsid w:val="00DE39CA"/>
    <w:rsid w:val="00DE3A7D"/>
    <w:rsid w:val="00DE3AC9"/>
    <w:rsid w:val="00DE3B06"/>
    <w:rsid w:val="00DE4485"/>
    <w:rsid w:val="00DE475E"/>
    <w:rsid w:val="00DE486D"/>
    <w:rsid w:val="00DE4937"/>
    <w:rsid w:val="00DE4C5A"/>
    <w:rsid w:val="00DE4D31"/>
    <w:rsid w:val="00DE5183"/>
    <w:rsid w:val="00DE5334"/>
    <w:rsid w:val="00DE5372"/>
    <w:rsid w:val="00DE53A9"/>
    <w:rsid w:val="00DE5495"/>
    <w:rsid w:val="00DE54CC"/>
    <w:rsid w:val="00DE5ACB"/>
    <w:rsid w:val="00DE5B8C"/>
    <w:rsid w:val="00DE5FCC"/>
    <w:rsid w:val="00DE5FE5"/>
    <w:rsid w:val="00DE609C"/>
    <w:rsid w:val="00DE611A"/>
    <w:rsid w:val="00DE6910"/>
    <w:rsid w:val="00DE6E55"/>
    <w:rsid w:val="00DE6F6E"/>
    <w:rsid w:val="00DE7470"/>
    <w:rsid w:val="00DE74D4"/>
    <w:rsid w:val="00DE76AF"/>
    <w:rsid w:val="00DE7783"/>
    <w:rsid w:val="00DE7A41"/>
    <w:rsid w:val="00DE7E55"/>
    <w:rsid w:val="00DE7EFE"/>
    <w:rsid w:val="00DE7F0F"/>
    <w:rsid w:val="00DE7FBA"/>
    <w:rsid w:val="00DF09B2"/>
    <w:rsid w:val="00DF0B6E"/>
    <w:rsid w:val="00DF0CAA"/>
    <w:rsid w:val="00DF0CDE"/>
    <w:rsid w:val="00DF1001"/>
    <w:rsid w:val="00DF1A71"/>
    <w:rsid w:val="00DF1E1D"/>
    <w:rsid w:val="00DF21A4"/>
    <w:rsid w:val="00DF2219"/>
    <w:rsid w:val="00DF24B6"/>
    <w:rsid w:val="00DF2CD8"/>
    <w:rsid w:val="00DF2D22"/>
    <w:rsid w:val="00DF2FFF"/>
    <w:rsid w:val="00DF34E5"/>
    <w:rsid w:val="00DF3BDF"/>
    <w:rsid w:val="00DF3E3A"/>
    <w:rsid w:val="00DF410F"/>
    <w:rsid w:val="00DF45C0"/>
    <w:rsid w:val="00DF4704"/>
    <w:rsid w:val="00DF4B7A"/>
    <w:rsid w:val="00DF55BA"/>
    <w:rsid w:val="00DF5C2E"/>
    <w:rsid w:val="00DF5EE5"/>
    <w:rsid w:val="00DF6114"/>
    <w:rsid w:val="00DF61DC"/>
    <w:rsid w:val="00DF67A9"/>
    <w:rsid w:val="00DF686A"/>
    <w:rsid w:val="00DF6D73"/>
    <w:rsid w:val="00DF722F"/>
    <w:rsid w:val="00DF7287"/>
    <w:rsid w:val="00DF751E"/>
    <w:rsid w:val="00E00079"/>
    <w:rsid w:val="00E003C4"/>
    <w:rsid w:val="00E004FC"/>
    <w:rsid w:val="00E006E8"/>
    <w:rsid w:val="00E00E0E"/>
    <w:rsid w:val="00E01247"/>
    <w:rsid w:val="00E01559"/>
    <w:rsid w:val="00E0170C"/>
    <w:rsid w:val="00E01774"/>
    <w:rsid w:val="00E01CF8"/>
    <w:rsid w:val="00E02586"/>
    <w:rsid w:val="00E02881"/>
    <w:rsid w:val="00E02D68"/>
    <w:rsid w:val="00E03957"/>
    <w:rsid w:val="00E03EFA"/>
    <w:rsid w:val="00E042D7"/>
    <w:rsid w:val="00E046A2"/>
    <w:rsid w:val="00E04878"/>
    <w:rsid w:val="00E0492B"/>
    <w:rsid w:val="00E04AF2"/>
    <w:rsid w:val="00E04D4B"/>
    <w:rsid w:val="00E0507D"/>
    <w:rsid w:val="00E05678"/>
    <w:rsid w:val="00E05721"/>
    <w:rsid w:val="00E05956"/>
    <w:rsid w:val="00E05BC5"/>
    <w:rsid w:val="00E05BD7"/>
    <w:rsid w:val="00E05CA9"/>
    <w:rsid w:val="00E06120"/>
    <w:rsid w:val="00E0676E"/>
    <w:rsid w:val="00E0685A"/>
    <w:rsid w:val="00E073C2"/>
    <w:rsid w:val="00E074FC"/>
    <w:rsid w:val="00E0780F"/>
    <w:rsid w:val="00E07CCF"/>
    <w:rsid w:val="00E100A0"/>
    <w:rsid w:val="00E10454"/>
    <w:rsid w:val="00E10517"/>
    <w:rsid w:val="00E10846"/>
    <w:rsid w:val="00E10C82"/>
    <w:rsid w:val="00E10E5F"/>
    <w:rsid w:val="00E10FBA"/>
    <w:rsid w:val="00E116E2"/>
    <w:rsid w:val="00E11C40"/>
    <w:rsid w:val="00E11F27"/>
    <w:rsid w:val="00E1220B"/>
    <w:rsid w:val="00E12385"/>
    <w:rsid w:val="00E12482"/>
    <w:rsid w:val="00E12634"/>
    <w:rsid w:val="00E12993"/>
    <w:rsid w:val="00E12E9B"/>
    <w:rsid w:val="00E1328F"/>
    <w:rsid w:val="00E132C0"/>
    <w:rsid w:val="00E13563"/>
    <w:rsid w:val="00E136B5"/>
    <w:rsid w:val="00E1374F"/>
    <w:rsid w:val="00E1388A"/>
    <w:rsid w:val="00E138D7"/>
    <w:rsid w:val="00E13DFB"/>
    <w:rsid w:val="00E1426A"/>
    <w:rsid w:val="00E1430B"/>
    <w:rsid w:val="00E1440A"/>
    <w:rsid w:val="00E14638"/>
    <w:rsid w:val="00E14B90"/>
    <w:rsid w:val="00E14CC4"/>
    <w:rsid w:val="00E15239"/>
    <w:rsid w:val="00E1548A"/>
    <w:rsid w:val="00E159FB"/>
    <w:rsid w:val="00E15A72"/>
    <w:rsid w:val="00E15C69"/>
    <w:rsid w:val="00E16F93"/>
    <w:rsid w:val="00E17309"/>
    <w:rsid w:val="00E174A8"/>
    <w:rsid w:val="00E1761B"/>
    <w:rsid w:val="00E176D6"/>
    <w:rsid w:val="00E17B22"/>
    <w:rsid w:val="00E17DA0"/>
    <w:rsid w:val="00E17E1A"/>
    <w:rsid w:val="00E17E70"/>
    <w:rsid w:val="00E2025E"/>
    <w:rsid w:val="00E20265"/>
    <w:rsid w:val="00E20303"/>
    <w:rsid w:val="00E205CB"/>
    <w:rsid w:val="00E208DB"/>
    <w:rsid w:val="00E20B67"/>
    <w:rsid w:val="00E20E3A"/>
    <w:rsid w:val="00E213AB"/>
    <w:rsid w:val="00E2159B"/>
    <w:rsid w:val="00E21832"/>
    <w:rsid w:val="00E21951"/>
    <w:rsid w:val="00E21974"/>
    <w:rsid w:val="00E21C5F"/>
    <w:rsid w:val="00E22379"/>
    <w:rsid w:val="00E2270A"/>
    <w:rsid w:val="00E2276C"/>
    <w:rsid w:val="00E23177"/>
    <w:rsid w:val="00E239C2"/>
    <w:rsid w:val="00E23B84"/>
    <w:rsid w:val="00E240E7"/>
    <w:rsid w:val="00E245F1"/>
    <w:rsid w:val="00E2463F"/>
    <w:rsid w:val="00E247CA"/>
    <w:rsid w:val="00E24AD6"/>
    <w:rsid w:val="00E251D3"/>
    <w:rsid w:val="00E2544F"/>
    <w:rsid w:val="00E254FD"/>
    <w:rsid w:val="00E2575A"/>
    <w:rsid w:val="00E2587D"/>
    <w:rsid w:val="00E25A14"/>
    <w:rsid w:val="00E25AC8"/>
    <w:rsid w:val="00E25D01"/>
    <w:rsid w:val="00E25D16"/>
    <w:rsid w:val="00E25D3C"/>
    <w:rsid w:val="00E261F8"/>
    <w:rsid w:val="00E268BE"/>
    <w:rsid w:val="00E275FF"/>
    <w:rsid w:val="00E27CC3"/>
    <w:rsid w:val="00E302D4"/>
    <w:rsid w:val="00E3043D"/>
    <w:rsid w:val="00E3052F"/>
    <w:rsid w:val="00E30898"/>
    <w:rsid w:val="00E30995"/>
    <w:rsid w:val="00E30A75"/>
    <w:rsid w:val="00E31493"/>
    <w:rsid w:val="00E31857"/>
    <w:rsid w:val="00E31BA1"/>
    <w:rsid w:val="00E31E95"/>
    <w:rsid w:val="00E325D5"/>
    <w:rsid w:val="00E3268E"/>
    <w:rsid w:val="00E3274F"/>
    <w:rsid w:val="00E32AD3"/>
    <w:rsid w:val="00E32BAA"/>
    <w:rsid w:val="00E32EA7"/>
    <w:rsid w:val="00E32FD9"/>
    <w:rsid w:val="00E334E6"/>
    <w:rsid w:val="00E335EC"/>
    <w:rsid w:val="00E33673"/>
    <w:rsid w:val="00E339CD"/>
    <w:rsid w:val="00E33A5F"/>
    <w:rsid w:val="00E33B50"/>
    <w:rsid w:val="00E340AF"/>
    <w:rsid w:val="00E34233"/>
    <w:rsid w:val="00E3477A"/>
    <w:rsid w:val="00E35A4A"/>
    <w:rsid w:val="00E35A85"/>
    <w:rsid w:val="00E35C6C"/>
    <w:rsid w:val="00E35D7E"/>
    <w:rsid w:val="00E35E44"/>
    <w:rsid w:val="00E35F31"/>
    <w:rsid w:val="00E36586"/>
    <w:rsid w:val="00E367FA"/>
    <w:rsid w:val="00E3686C"/>
    <w:rsid w:val="00E3700E"/>
    <w:rsid w:val="00E37249"/>
    <w:rsid w:val="00E3737F"/>
    <w:rsid w:val="00E373B0"/>
    <w:rsid w:val="00E37479"/>
    <w:rsid w:val="00E377F4"/>
    <w:rsid w:val="00E3786A"/>
    <w:rsid w:val="00E37A6E"/>
    <w:rsid w:val="00E37EB0"/>
    <w:rsid w:val="00E4010F"/>
    <w:rsid w:val="00E4033F"/>
    <w:rsid w:val="00E40655"/>
    <w:rsid w:val="00E4125F"/>
    <w:rsid w:val="00E4211D"/>
    <w:rsid w:val="00E42279"/>
    <w:rsid w:val="00E422B2"/>
    <w:rsid w:val="00E42343"/>
    <w:rsid w:val="00E423FC"/>
    <w:rsid w:val="00E427F4"/>
    <w:rsid w:val="00E43212"/>
    <w:rsid w:val="00E434FB"/>
    <w:rsid w:val="00E435C8"/>
    <w:rsid w:val="00E435EF"/>
    <w:rsid w:val="00E43AE7"/>
    <w:rsid w:val="00E43B29"/>
    <w:rsid w:val="00E43C50"/>
    <w:rsid w:val="00E43F18"/>
    <w:rsid w:val="00E44091"/>
    <w:rsid w:val="00E4457A"/>
    <w:rsid w:val="00E44DC8"/>
    <w:rsid w:val="00E4513C"/>
    <w:rsid w:val="00E45542"/>
    <w:rsid w:val="00E45661"/>
    <w:rsid w:val="00E457EE"/>
    <w:rsid w:val="00E458A4"/>
    <w:rsid w:val="00E45AFC"/>
    <w:rsid w:val="00E4637B"/>
    <w:rsid w:val="00E4641B"/>
    <w:rsid w:val="00E4649A"/>
    <w:rsid w:val="00E4654A"/>
    <w:rsid w:val="00E465CE"/>
    <w:rsid w:val="00E4665E"/>
    <w:rsid w:val="00E46E43"/>
    <w:rsid w:val="00E47566"/>
    <w:rsid w:val="00E47DAC"/>
    <w:rsid w:val="00E501B4"/>
    <w:rsid w:val="00E502EB"/>
    <w:rsid w:val="00E5049B"/>
    <w:rsid w:val="00E505EB"/>
    <w:rsid w:val="00E5063B"/>
    <w:rsid w:val="00E506BF"/>
    <w:rsid w:val="00E50B10"/>
    <w:rsid w:val="00E50C05"/>
    <w:rsid w:val="00E50C5F"/>
    <w:rsid w:val="00E5141D"/>
    <w:rsid w:val="00E51661"/>
    <w:rsid w:val="00E51F24"/>
    <w:rsid w:val="00E52046"/>
    <w:rsid w:val="00E5211E"/>
    <w:rsid w:val="00E5229D"/>
    <w:rsid w:val="00E526F1"/>
    <w:rsid w:val="00E529A6"/>
    <w:rsid w:val="00E52C39"/>
    <w:rsid w:val="00E53035"/>
    <w:rsid w:val="00E530E9"/>
    <w:rsid w:val="00E53101"/>
    <w:rsid w:val="00E53761"/>
    <w:rsid w:val="00E538EE"/>
    <w:rsid w:val="00E53CB7"/>
    <w:rsid w:val="00E53E3E"/>
    <w:rsid w:val="00E53FB2"/>
    <w:rsid w:val="00E54027"/>
    <w:rsid w:val="00E540CE"/>
    <w:rsid w:val="00E54B66"/>
    <w:rsid w:val="00E54CE2"/>
    <w:rsid w:val="00E54E74"/>
    <w:rsid w:val="00E55954"/>
    <w:rsid w:val="00E55B66"/>
    <w:rsid w:val="00E56380"/>
    <w:rsid w:val="00E56D89"/>
    <w:rsid w:val="00E56DE8"/>
    <w:rsid w:val="00E56E94"/>
    <w:rsid w:val="00E573F0"/>
    <w:rsid w:val="00E57412"/>
    <w:rsid w:val="00E575B0"/>
    <w:rsid w:val="00E57ACD"/>
    <w:rsid w:val="00E57B16"/>
    <w:rsid w:val="00E57C8F"/>
    <w:rsid w:val="00E57F4B"/>
    <w:rsid w:val="00E600F7"/>
    <w:rsid w:val="00E601B2"/>
    <w:rsid w:val="00E61240"/>
    <w:rsid w:val="00E61739"/>
    <w:rsid w:val="00E617D0"/>
    <w:rsid w:val="00E61C57"/>
    <w:rsid w:val="00E61C89"/>
    <w:rsid w:val="00E61F13"/>
    <w:rsid w:val="00E62019"/>
    <w:rsid w:val="00E622B5"/>
    <w:rsid w:val="00E62984"/>
    <w:rsid w:val="00E636F0"/>
    <w:rsid w:val="00E63A87"/>
    <w:rsid w:val="00E64418"/>
    <w:rsid w:val="00E6452E"/>
    <w:rsid w:val="00E6477F"/>
    <w:rsid w:val="00E64AF9"/>
    <w:rsid w:val="00E64ED4"/>
    <w:rsid w:val="00E64EE7"/>
    <w:rsid w:val="00E65005"/>
    <w:rsid w:val="00E650EB"/>
    <w:rsid w:val="00E6521C"/>
    <w:rsid w:val="00E65735"/>
    <w:rsid w:val="00E65A60"/>
    <w:rsid w:val="00E65E62"/>
    <w:rsid w:val="00E66520"/>
    <w:rsid w:val="00E66CA3"/>
    <w:rsid w:val="00E671AF"/>
    <w:rsid w:val="00E672DB"/>
    <w:rsid w:val="00E6742E"/>
    <w:rsid w:val="00E67FB9"/>
    <w:rsid w:val="00E70400"/>
    <w:rsid w:val="00E704D3"/>
    <w:rsid w:val="00E7073D"/>
    <w:rsid w:val="00E7107C"/>
    <w:rsid w:val="00E7136C"/>
    <w:rsid w:val="00E7173E"/>
    <w:rsid w:val="00E71A40"/>
    <w:rsid w:val="00E71BC3"/>
    <w:rsid w:val="00E71BE1"/>
    <w:rsid w:val="00E71FFA"/>
    <w:rsid w:val="00E720E6"/>
    <w:rsid w:val="00E724F7"/>
    <w:rsid w:val="00E72819"/>
    <w:rsid w:val="00E7289F"/>
    <w:rsid w:val="00E72C79"/>
    <w:rsid w:val="00E72CF1"/>
    <w:rsid w:val="00E72D1B"/>
    <w:rsid w:val="00E731C5"/>
    <w:rsid w:val="00E7383F"/>
    <w:rsid w:val="00E73A8B"/>
    <w:rsid w:val="00E73EAE"/>
    <w:rsid w:val="00E7429B"/>
    <w:rsid w:val="00E749B8"/>
    <w:rsid w:val="00E74B26"/>
    <w:rsid w:val="00E74D80"/>
    <w:rsid w:val="00E7501E"/>
    <w:rsid w:val="00E75239"/>
    <w:rsid w:val="00E75B82"/>
    <w:rsid w:val="00E7617C"/>
    <w:rsid w:val="00E7675B"/>
    <w:rsid w:val="00E768CF"/>
    <w:rsid w:val="00E76A4D"/>
    <w:rsid w:val="00E76C11"/>
    <w:rsid w:val="00E76F4F"/>
    <w:rsid w:val="00E77316"/>
    <w:rsid w:val="00E77E2E"/>
    <w:rsid w:val="00E77F93"/>
    <w:rsid w:val="00E80196"/>
    <w:rsid w:val="00E80B1A"/>
    <w:rsid w:val="00E811C2"/>
    <w:rsid w:val="00E81E47"/>
    <w:rsid w:val="00E81EB4"/>
    <w:rsid w:val="00E82542"/>
    <w:rsid w:val="00E825D3"/>
    <w:rsid w:val="00E82D37"/>
    <w:rsid w:val="00E82F9B"/>
    <w:rsid w:val="00E834C1"/>
    <w:rsid w:val="00E836A8"/>
    <w:rsid w:val="00E83800"/>
    <w:rsid w:val="00E83AC6"/>
    <w:rsid w:val="00E83ADF"/>
    <w:rsid w:val="00E83C7A"/>
    <w:rsid w:val="00E83F10"/>
    <w:rsid w:val="00E83F66"/>
    <w:rsid w:val="00E84143"/>
    <w:rsid w:val="00E84463"/>
    <w:rsid w:val="00E84654"/>
    <w:rsid w:val="00E848ED"/>
    <w:rsid w:val="00E84E14"/>
    <w:rsid w:val="00E84EC9"/>
    <w:rsid w:val="00E8566D"/>
    <w:rsid w:val="00E8595B"/>
    <w:rsid w:val="00E85BDA"/>
    <w:rsid w:val="00E862F2"/>
    <w:rsid w:val="00E864AB"/>
    <w:rsid w:val="00E8686C"/>
    <w:rsid w:val="00E869F4"/>
    <w:rsid w:val="00E86E15"/>
    <w:rsid w:val="00E86ECA"/>
    <w:rsid w:val="00E87013"/>
    <w:rsid w:val="00E875AE"/>
    <w:rsid w:val="00E9011F"/>
    <w:rsid w:val="00E90188"/>
    <w:rsid w:val="00E9066A"/>
    <w:rsid w:val="00E91F12"/>
    <w:rsid w:val="00E922EF"/>
    <w:rsid w:val="00E92631"/>
    <w:rsid w:val="00E92676"/>
    <w:rsid w:val="00E92719"/>
    <w:rsid w:val="00E928CB"/>
    <w:rsid w:val="00E92966"/>
    <w:rsid w:val="00E930AC"/>
    <w:rsid w:val="00E93809"/>
    <w:rsid w:val="00E93B3A"/>
    <w:rsid w:val="00E93B6A"/>
    <w:rsid w:val="00E93E90"/>
    <w:rsid w:val="00E940A9"/>
    <w:rsid w:val="00E94F33"/>
    <w:rsid w:val="00E95149"/>
    <w:rsid w:val="00E9554D"/>
    <w:rsid w:val="00E95AA2"/>
    <w:rsid w:val="00E95AAD"/>
    <w:rsid w:val="00E95B67"/>
    <w:rsid w:val="00E95EAA"/>
    <w:rsid w:val="00E9664C"/>
    <w:rsid w:val="00E96B3F"/>
    <w:rsid w:val="00E96BA2"/>
    <w:rsid w:val="00E96E16"/>
    <w:rsid w:val="00E9703E"/>
    <w:rsid w:val="00E9755C"/>
    <w:rsid w:val="00E97B14"/>
    <w:rsid w:val="00E97ED6"/>
    <w:rsid w:val="00EA0074"/>
    <w:rsid w:val="00EA04D6"/>
    <w:rsid w:val="00EA0773"/>
    <w:rsid w:val="00EA095F"/>
    <w:rsid w:val="00EA0C2E"/>
    <w:rsid w:val="00EA0CEB"/>
    <w:rsid w:val="00EA0D31"/>
    <w:rsid w:val="00EA1715"/>
    <w:rsid w:val="00EA18AB"/>
    <w:rsid w:val="00EA19AB"/>
    <w:rsid w:val="00EA1A71"/>
    <w:rsid w:val="00EA1ED2"/>
    <w:rsid w:val="00EA2806"/>
    <w:rsid w:val="00EA28DA"/>
    <w:rsid w:val="00EA2904"/>
    <w:rsid w:val="00EA2F3E"/>
    <w:rsid w:val="00EA32B9"/>
    <w:rsid w:val="00EA413A"/>
    <w:rsid w:val="00EA4339"/>
    <w:rsid w:val="00EA441C"/>
    <w:rsid w:val="00EA56F7"/>
    <w:rsid w:val="00EA5A71"/>
    <w:rsid w:val="00EA5CB0"/>
    <w:rsid w:val="00EA600E"/>
    <w:rsid w:val="00EA630C"/>
    <w:rsid w:val="00EA63F1"/>
    <w:rsid w:val="00EA6A35"/>
    <w:rsid w:val="00EA6E98"/>
    <w:rsid w:val="00EA72B7"/>
    <w:rsid w:val="00EA7591"/>
    <w:rsid w:val="00EA7872"/>
    <w:rsid w:val="00EA7E43"/>
    <w:rsid w:val="00EA7FC8"/>
    <w:rsid w:val="00EB03D4"/>
    <w:rsid w:val="00EB0CBB"/>
    <w:rsid w:val="00EB0CCD"/>
    <w:rsid w:val="00EB0FA5"/>
    <w:rsid w:val="00EB1022"/>
    <w:rsid w:val="00EB1BEA"/>
    <w:rsid w:val="00EB25AB"/>
    <w:rsid w:val="00EB277B"/>
    <w:rsid w:val="00EB2892"/>
    <w:rsid w:val="00EB3214"/>
    <w:rsid w:val="00EB32E7"/>
    <w:rsid w:val="00EB3467"/>
    <w:rsid w:val="00EB3AA3"/>
    <w:rsid w:val="00EB3C32"/>
    <w:rsid w:val="00EB3C8E"/>
    <w:rsid w:val="00EB3FDF"/>
    <w:rsid w:val="00EB4330"/>
    <w:rsid w:val="00EB439E"/>
    <w:rsid w:val="00EB46DA"/>
    <w:rsid w:val="00EB4772"/>
    <w:rsid w:val="00EB4A15"/>
    <w:rsid w:val="00EB4A1A"/>
    <w:rsid w:val="00EB57D5"/>
    <w:rsid w:val="00EB5CC5"/>
    <w:rsid w:val="00EB5E1C"/>
    <w:rsid w:val="00EB73ED"/>
    <w:rsid w:val="00EB77D7"/>
    <w:rsid w:val="00EB7CA7"/>
    <w:rsid w:val="00EC025E"/>
    <w:rsid w:val="00EC055F"/>
    <w:rsid w:val="00EC082A"/>
    <w:rsid w:val="00EC0861"/>
    <w:rsid w:val="00EC0F4A"/>
    <w:rsid w:val="00EC1185"/>
    <w:rsid w:val="00EC19C5"/>
    <w:rsid w:val="00EC1A51"/>
    <w:rsid w:val="00EC1B33"/>
    <w:rsid w:val="00EC1CC9"/>
    <w:rsid w:val="00EC21F7"/>
    <w:rsid w:val="00EC2978"/>
    <w:rsid w:val="00EC2AE1"/>
    <w:rsid w:val="00EC3616"/>
    <w:rsid w:val="00EC39B4"/>
    <w:rsid w:val="00EC3A7D"/>
    <w:rsid w:val="00EC3D7E"/>
    <w:rsid w:val="00EC4102"/>
    <w:rsid w:val="00EC4574"/>
    <w:rsid w:val="00EC4788"/>
    <w:rsid w:val="00EC49BB"/>
    <w:rsid w:val="00EC4ED2"/>
    <w:rsid w:val="00EC4F92"/>
    <w:rsid w:val="00EC5327"/>
    <w:rsid w:val="00EC5C25"/>
    <w:rsid w:val="00EC5C85"/>
    <w:rsid w:val="00EC5F7E"/>
    <w:rsid w:val="00EC5FF7"/>
    <w:rsid w:val="00EC61C6"/>
    <w:rsid w:val="00EC62DE"/>
    <w:rsid w:val="00EC66CD"/>
    <w:rsid w:val="00EC674A"/>
    <w:rsid w:val="00EC71BE"/>
    <w:rsid w:val="00EC73E2"/>
    <w:rsid w:val="00ED010A"/>
    <w:rsid w:val="00ED05CA"/>
    <w:rsid w:val="00ED0B6A"/>
    <w:rsid w:val="00ED0C68"/>
    <w:rsid w:val="00ED1094"/>
    <w:rsid w:val="00ED10D1"/>
    <w:rsid w:val="00ED1384"/>
    <w:rsid w:val="00ED1881"/>
    <w:rsid w:val="00ED1C58"/>
    <w:rsid w:val="00ED1D14"/>
    <w:rsid w:val="00ED26F5"/>
    <w:rsid w:val="00ED438C"/>
    <w:rsid w:val="00ED4628"/>
    <w:rsid w:val="00ED5415"/>
    <w:rsid w:val="00ED568F"/>
    <w:rsid w:val="00ED5A26"/>
    <w:rsid w:val="00ED5A77"/>
    <w:rsid w:val="00ED5BF8"/>
    <w:rsid w:val="00ED5C88"/>
    <w:rsid w:val="00ED5F52"/>
    <w:rsid w:val="00ED603C"/>
    <w:rsid w:val="00ED627D"/>
    <w:rsid w:val="00ED6613"/>
    <w:rsid w:val="00ED6B07"/>
    <w:rsid w:val="00ED6D2B"/>
    <w:rsid w:val="00ED6F6A"/>
    <w:rsid w:val="00ED7C03"/>
    <w:rsid w:val="00ED7F2E"/>
    <w:rsid w:val="00EE00E5"/>
    <w:rsid w:val="00EE05CC"/>
    <w:rsid w:val="00EE07BC"/>
    <w:rsid w:val="00EE083D"/>
    <w:rsid w:val="00EE08A1"/>
    <w:rsid w:val="00EE187D"/>
    <w:rsid w:val="00EE2001"/>
    <w:rsid w:val="00EE27E1"/>
    <w:rsid w:val="00EE28AE"/>
    <w:rsid w:val="00EE33C1"/>
    <w:rsid w:val="00EE33CF"/>
    <w:rsid w:val="00EE3775"/>
    <w:rsid w:val="00EE3B32"/>
    <w:rsid w:val="00EE3BEE"/>
    <w:rsid w:val="00EE3D51"/>
    <w:rsid w:val="00EE4103"/>
    <w:rsid w:val="00EE43F5"/>
    <w:rsid w:val="00EE5641"/>
    <w:rsid w:val="00EE56D1"/>
    <w:rsid w:val="00EE5EB7"/>
    <w:rsid w:val="00EE65CC"/>
    <w:rsid w:val="00EE6861"/>
    <w:rsid w:val="00EE7012"/>
    <w:rsid w:val="00EE7522"/>
    <w:rsid w:val="00EE7728"/>
    <w:rsid w:val="00EE7961"/>
    <w:rsid w:val="00EE7C7A"/>
    <w:rsid w:val="00EE7D4D"/>
    <w:rsid w:val="00EF03A6"/>
    <w:rsid w:val="00EF0422"/>
    <w:rsid w:val="00EF043B"/>
    <w:rsid w:val="00EF0632"/>
    <w:rsid w:val="00EF0783"/>
    <w:rsid w:val="00EF0AC5"/>
    <w:rsid w:val="00EF0C20"/>
    <w:rsid w:val="00EF1646"/>
    <w:rsid w:val="00EF1D8E"/>
    <w:rsid w:val="00EF1DA9"/>
    <w:rsid w:val="00EF1FF6"/>
    <w:rsid w:val="00EF2002"/>
    <w:rsid w:val="00EF246D"/>
    <w:rsid w:val="00EF279A"/>
    <w:rsid w:val="00EF2CBB"/>
    <w:rsid w:val="00EF2E06"/>
    <w:rsid w:val="00EF2E50"/>
    <w:rsid w:val="00EF2EA6"/>
    <w:rsid w:val="00EF33A0"/>
    <w:rsid w:val="00EF3618"/>
    <w:rsid w:val="00EF4635"/>
    <w:rsid w:val="00EF47FA"/>
    <w:rsid w:val="00EF48B9"/>
    <w:rsid w:val="00EF4E02"/>
    <w:rsid w:val="00EF5564"/>
    <w:rsid w:val="00EF5661"/>
    <w:rsid w:val="00EF5C8B"/>
    <w:rsid w:val="00EF62AD"/>
    <w:rsid w:val="00EF6362"/>
    <w:rsid w:val="00EF66AC"/>
    <w:rsid w:val="00EF6A1D"/>
    <w:rsid w:val="00EF6E86"/>
    <w:rsid w:val="00EF6F4B"/>
    <w:rsid w:val="00EF6FE5"/>
    <w:rsid w:val="00EF7467"/>
    <w:rsid w:val="00EF773D"/>
    <w:rsid w:val="00F00083"/>
    <w:rsid w:val="00F004A1"/>
    <w:rsid w:val="00F006F1"/>
    <w:rsid w:val="00F00B71"/>
    <w:rsid w:val="00F01367"/>
    <w:rsid w:val="00F0146F"/>
    <w:rsid w:val="00F0168B"/>
    <w:rsid w:val="00F0183F"/>
    <w:rsid w:val="00F019AF"/>
    <w:rsid w:val="00F01C93"/>
    <w:rsid w:val="00F02086"/>
    <w:rsid w:val="00F02101"/>
    <w:rsid w:val="00F021D4"/>
    <w:rsid w:val="00F029F1"/>
    <w:rsid w:val="00F02F6B"/>
    <w:rsid w:val="00F02FEF"/>
    <w:rsid w:val="00F0328B"/>
    <w:rsid w:val="00F0392A"/>
    <w:rsid w:val="00F056F5"/>
    <w:rsid w:val="00F05A77"/>
    <w:rsid w:val="00F0609E"/>
    <w:rsid w:val="00F061C1"/>
    <w:rsid w:val="00F0630C"/>
    <w:rsid w:val="00F063F4"/>
    <w:rsid w:val="00F0646C"/>
    <w:rsid w:val="00F0650A"/>
    <w:rsid w:val="00F070F0"/>
    <w:rsid w:val="00F070F3"/>
    <w:rsid w:val="00F07504"/>
    <w:rsid w:val="00F07528"/>
    <w:rsid w:val="00F07991"/>
    <w:rsid w:val="00F07C8C"/>
    <w:rsid w:val="00F1042E"/>
    <w:rsid w:val="00F10455"/>
    <w:rsid w:val="00F105E6"/>
    <w:rsid w:val="00F11587"/>
    <w:rsid w:val="00F11594"/>
    <w:rsid w:val="00F11683"/>
    <w:rsid w:val="00F11739"/>
    <w:rsid w:val="00F11745"/>
    <w:rsid w:val="00F11EB3"/>
    <w:rsid w:val="00F1201B"/>
    <w:rsid w:val="00F12241"/>
    <w:rsid w:val="00F1263C"/>
    <w:rsid w:val="00F12757"/>
    <w:rsid w:val="00F128B6"/>
    <w:rsid w:val="00F128E6"/>
    <w:rsid w:val="00F12F66"/>
    <w:rsid w:val="00F130E7"/>
    <w:rsid w:val="00F1356B"/>
    <w:rsid w:val="00F1379D"/>
    <w:rsid w:val="00F13C86"/>
    <w:rsid w:val="00F14245"/>
    <w:rsid w:val="00F148F6"/>
    <w:rsid w:val="00F1497B"/>
    <w:rsid w:val="00F14A1F"/>
    <w:rsid w:val="00F14D23"/>
    <w:rsid w:val="00F15190"/>
    <w:rsid w:val="00F151A3"/>
    <w:rsid w:val="00F1546D"/>
    <w:rsid w:val="00F15875"/>
    <w:rsid w:val="00F1602E"/>
    <w:rsid w:val="00F16485"/>
    <w:rsid w:val="00F16980"/>
    <w:rsid w:val="00F16B28"/>
    <w:rsid w:val="00F16E9C"/>
    <w:rsid w:val="00F17380"/>
    <w:rsid w:val="00F17684"/>
    <w:rsid w:val="00F17825"/>
    <w:rsid w:val="00F20055"/>
    <w:rsid w:val="00F202FD"/>
    <w:rsid w:val="00F20329"/>
    <w:rsid w:val="00F206CA"/>
    <w:rsid w:val="00F209E3"/>
    <w:rsid w:val="00F20AF4"/>
    <w:rsid w:val="00F20C4F"/>
    <w:rsid w:val="00F20E29"/>
    <w:rsid w:val="00F20E32"/>
    <w:rsid w:val="00F21080"/>
    <w:rsid w:val="00F214A3"/>
    <w:rsid w:val="00F216B7"/>
    <w:rsid w:val="00F21829"/>
    <w:rsid w:val="00F219B4"/>
    <w:rsid w:val="00F21CC1"/>
    <w:rsid w:val="00F21F8F"/>
    <w:rsid w:val="00F22436"/>
    <w:rsid w:val="00F22617"/>
    <w:rsid w:val="00F2277E"/>
    <w:rsid w:val="00F22D29"/>
    <w:rsid w:val="00F22E79"/>
    <w:rsid w:val="00F22F19"/>
    <w:rsid w:val="00F22F4F"/>
    <w:rsid w:val="00F22F6B"/>
    <w:rsid w:val="00F233C1"/>
    <w:rsid w:val="00F234DB"/>
    <w:rsid w:val="00F239D7"/>
    <w:rsid w:val="00F23BA6"/>
    <w:rsid w:val="00F23C81"/>
    <w:rsid w:val="00F24020"/>
    <w:rsid w:val="00F2404D"/>
    <w:rsid w:val="00F242DF"/>
    <w:rsid w:val="00F24686"/>
    <w:rsid w:val="00F252EF"/>
    <w:rsid w:val="00F2535C"/>
    <w:rsid w:val="00F2580D"/>
    <w:rsid w:val="00F25927"/>
    <w:rsid w:val="00F25A89"/>
    <w:rsid w:val="00F25FF0"/>
    <w:rsid w:val="00F26067"/>
    <w:rsid w:val="00F26160"/>
    <w:rsid w:val="00F26244"/>
    <w:rsid w:val="00F2630E"/>
    <w:rsid w:val="00F26F5C"/>
    <w:rsid w:val="00F27066"/>
    <w:rsid w:val="00F27491"/>
    <w:rsid w:val="00F27574"/>
    <w:rsid w:val="00F27675"/>
    <w:rsid w:val="00F27E6A"/>
    <w:rsid w:val="00F27FC2"/>
    <w:rsid w:val="00F300CB"/>
    <w:rsid w:val="00F30357"/>
    <w:rsid w:val="00F30B2C"/>
    <w:rsid w:val="00F30D86"/>
    <w:rsid w:val="00F31367"/>
    <w:rsid w:val="00F31589"/>
    <w:rsid w:val="00F31E8B"/>
    <w:rsid w:val="00F31EB5"/>
    <w:rsid w:val="00F31F18"/>
    <w:rsid w:val="00F3253A"/>
    <w:rsid w:val="00F3282C"/>
    <w:rsid w:val="00F32B0E"/>
    <w:rsid w:val="00F32C51"/>
    <w:rsid w:val="00F32ECD"/>
    <w:rsid w:val="00F32EEA"/>
    <w:rsid w:val="00F3319B"/>
    <w:rsid w:val="00F33212"/>
    <w:rsid w:val="00F33627"/>
    <w:rsid w:val="00F33751"/>
    <w:rsid w:val="00F33D96"/>
    <w:rsid w:val="00F33DD0"/>
    <w:rsid w:val="00F34A10"/>
    <w:rsid w:val="00F34D29"/>
    <w:rsid w:val="00F34DA6"/>
    <w:rsid w:val="00F3506F"/>
    <w:rsid w:val="00F3529F"/>
    <w:rsid w:val="00F35311"/>
    <w:rsid w:val="00F35395"/>
    <w:rsid w:val="00F3540F"/>
    <w:rsid w:val="00F35536"/>
    <w:rsid w:val="00F35B8B"/>
    <w:rsid w:val="00F35DF1"/>
    <w:rsid w:val="00F35E7E"/>
    <w:rsid w:val="00F35F1E"/>
    <w:rsid w:val="00F36561"/>
    <w:rsid w:val="00F3664C"/>
    <w:rsid w:val="00F367BE"/>
    <w:rsid w:val="00F370F2"/>
    <w:rsid w:val="00F3745D"/>
    <w:rsid w:val="00F37585"/>
    <w:rsid w:val="00F3781A"/>
    <w:rsid w:val="00F37B1E"/>
    <w:rsid w:val="00F37D7A"/>
    <w:rsid w:val="00F4023C"/>
    <w:rsid w:val="00F4065B"/>
    <w:rsid w:val="00F4079D"/>
    <w:rsid w:val="00F40903"/>
    <w:rsid w:val="00F40A21"/>
    <w:rsid w:val="00F40C5D"/>
    <w:rsid w:val="00F4136F"/>
    <w:rsid w:val="00F4142A"/>
    <w:rsid w:val="00F41D06"/>
    <w:rsid w:val="00F42712"/>
    <w:rsid w:val="00F4284A"/>
    <w:rsid w:val="00F43076"/>
    <w:rsid w:val="00F433EB"/>
    <w:rsid w:val="00F4346A"/>
    <w:rsid w:val="00F439EE"/>
    <w:rsid w:val="00F443AD"/>
    <w:rsid w:val="00F44656"/>
    <w:rsid w:val="00F4466F"/>
    <w:rsid w:val="00F448B3"/>
    <w:rsid w:val="00F44AD5"/>
    <w:rsid w:val="00F44E0C"/>
    <w:rsid w:val="00F45125"/>
    <w:rsid w:val="00F4570A"/>
    <w:rsid w:val="00F45C28"/>
    <w:rsid w:val="00F462C4"/>
    <w:rsid w:val="00F46577"/>
    <w:rsid w:val="00F467B4"/>
    <w:rsid w:val="00F4706D"/>
    <w:rsid w:val="00F4718E"/>
    <w:rsid w:val="00F47FE7"/>
    <w:rsid w:val="00F5047F"/>
    <w:rsid w:val="00F50A6C"/>
    <w:rsid w:val="00F50AD4"/>
    <w:rsid w:val="00F513C4"/>
    <w:rsid w:val="00F51802"/>
    <w:rsid w:val="00F518F9"/>
    <w:rsid w:val="00F51A69"/>
    <w:rsid w:val="00F51D89"/>
    <w:rsid w:val="00F52128"/>
    <w:rsid w:val="00F5286B"/>
    <w:rsid w:val="00F532F7"/>
    <w:rsid w:val="00F5340F"/>
    <w:rsid w:val="00F53525"/>
    <w:rsid w:val="00F535A7"/>
    <w:rsid w:val="00F535CE"/>
    <w:rsid w:val="00F53B44"/>
    <w:rsid w:val="00F53D4A"/>
    <w:rsid w:val="00F5417F"/>
    <w:rsid w:val="00F54455"/>
    <w:rsid w:val="00F5481A"/>
    <w:rsid w:val="00F55023"/>
    <w:rsid w:val="00F55253"/>
    <w:rsid w:val="00F55D4A"/>
    <w:rsid w:val="00F56A3C"/>
    <w:rsid w:val="00F57408"/>
    <w:rsid w:val="00F57DE6"/>
    <w:rsid w:val="00F601D2"/>
    <w:rsid w:val="00F60ACE"/>
    <w:rsid w:val="00F61505"/>
    <w:rsid w:val="00F6184A"/>
    <w:rsid w:val="00F61B9E"/>
    <w:rsid w:val="00F61F27"/>
    <w:rsid w:val="00F61F44"/>
    <w:rsid w:val="00F62432"/>
    <w:rsid w:val="00F628F1"/>
    <w:rsid w:val="00F629F5"/>
    <w:rsid w:val="00F62BEC"/>
    <w:rsid w:val="00F62F8A"/>
    <w:rsid w:val="00F6304B"/>
    <w:rsid w:val="00F63494"/>
    <w:rsid w:val="00F63B41"/>
    <w:rsid w:val="00F6440C"/>
    <w:rsid w:val="00F64465"/>
    <w:rsid w:val="00F64CD9"/>
    <w:rsid w:val="00F64E0B"/>
    <w:rsid w:val="00F64E52"/>
    <w:rsid w:val="00F64E96"/>
    <w:rsid w:val="00F64EC1"/>
    <w:rsid w:val="00F64FB8"/>
    <w:rsid w:val="00F64FD9"/>
    <w:rsid w:val="00F6581F"/>
    <w:rsid w:val="00F65845"/>
    <w:rsid w:val="00F6592E"/>
    <w:rsid w:val="00F65B76"/>
    <w:rsid w:val="00F65B93"/>
    <w:rsid w:val="00F65E0F"/>
    <w:rsid w:val="00F664A7"/>
    <w:rsid w:val="00F66CAC"/>
    <w:rsid w:val="00F66F7B"/>
    <w:rsid w:val="00F6708C"/>
    <w:rsid w:val="00F67187"/>
    <w:rsid w:val="00F671BA"/>
    <w:rsid w:val="00F67359"/>
    <w:rsid w:val="00F673F2"/>
    <w:rsid w:val="00F673FA"/>
    <w:rsid w:val="00F674B2"/>
    <w:rsid w:val="00F70309"/>
    <w:rsid w:val="00F703EB"/>
    <w:rsid w:val="00F704E0"/>
    <w:rsid w:val="00F704E9"/>
    <w:rsid w:val="00F70DFD"/>
    <w:rsid w:val="00F71171"/>
    <w:rsid w:val="00F711DE"/>
    <w:rsid w:val="00F71582"/>
    <w:rsid w:val="00F717D0"/>
    <w:rsid w:val="00F71973"/>
    <w:rsid w:val="00F71A87"/>
    <w:rsid w:val="00F71BFF"/>
    <w:rsid w:val="00F71C5E"/>
    <w:rsid w:val="00F71FCB"/>
    <w:rsid w:val="00F72002"/>
    <w:rsid w:val="00F7228A"/>
    <w:rsid w:val="00F72291"/>
    <w:rsid w:val="00F724B9"/>
    <w:rsid w:val="00F72A64"/>
    <w:rsid w:val="00F72C2F"/>
    <w:rsid w:val="00F731E9"/>
    <w:rsid w:val="00F731EE"/>
    <w:rsid w:val="00F7363D"/>
    <w:rsid w:val="00F7378E"/>
    <w:rsid w:val="00F7385C"/>
    <w:rsid w:val="00F73B09"/>
    <w:rsid w:val="00F73C2F"/>
    <w:rsid w:val="00F73C4D"/>
    <w:rsid w:val="00F73E7F"/>
    <w:rsid w:val="00F74040"/>
    <w:rsid w:val="00F742C4"/>
    <w:rsid w:val="00F7467D"/>
    <w:rsid w:val="00F74DCF"/>
    <w:rsid w:val="00F7503F"/>
    <w:rsid w:val="00F750D2"/>
    <w:rsid w:val="00F756CA"/>
    <w:rsid w:val="00F75927"/>
    <w:rsid w:val="00F75F4B"/>
    <w:rsid w:val="00F76052"/>
    <w:rsid w:val="00F76153"/>
    <w:rsid w:val="00F76479"/>
    <w:rsid w:val="00F767D3"/>
    <w:rsid w:val="00F76868"/>
    <w:rsid w:val="00F769B2"/>
    <w:rsid w:val="00F76A83"/>
    <w:rsid w:val="00F770C1"/>
    <w:rsid w:val="00F774CD"/>
    <w:rsid w:val="00F77510"/>
    <w:rsid w:val="00F7765A"/>
    <w:rsid w:val="00F8056E"/>
    <w:rsid w:val="00F805A8"/>
    <w:rsid w:val="00F811D9"/>
    <w:rsid w:val="00F81804"/>
    <w:rsid w:val="00F818BD"/>
    <w:rsid w:val="00F8298A"/>
    <w:rsid w:val="00F83185"/>
    <w:rsid w:val="00F832C2"/>
    <w:rsid w:val="00F83604"/>
    <w:rsid w:val="00F83785"/>
    <w:rsid w:val="00F83AFC"/>
    <w:rsid w:val="00F842CA"/>
    <w:rsid w:val="00F842EB"/>
    <w:rsid w:val="00F843E9"/>
    <w:rsid w:val="00F846A3"/>
    <w:rsid w:val="00F84CB9"/>
    <w:rsid w:val="00F85015"/>
    <w:rsid w:val="00F8503F"/>
    <w:rsid w:val="00F85977"/>
    <w:rsid w:val="00F85B19"/>
    <w:rsid w:val="00F85C57"/>
    <w:rsid w:val="00F86237"/>
    <w:rsid w:val="00F86253"/>
    <w:rsid w:val="00F8630A"/>
    <w:rsid w:val="00F8681B"/>
    <w:rsid w:val="00F86B08"/>
    <w:rsid w:val="00F86B09"/>
    <w:rsid w:val="00F87453"/>
    <w:rsid w:val="00F87BC1"/>
    <w:rsid w:val="00F904BA"/>
    <w:rsid w:val="00F90566"/>
    <w:rsid w:val="00F906CA"/>
    <w:rsid w:val="00F90B53"/>
    <w:rsid w:val="00F90C4A"/>
    <w:rsid w:val="00F90EE7"/>
    <w:rsid w:val="00F911A9"/>
    <w:rsid w:val="00F912A5"/>
    <w:rsid w:val="00F9138F"/>
    <w:rsid w:val="00F915F6"/>
    <w:rsid w:val="00F92A3E"/>
    <w:rsid w:val="00F92B01"/>
    <w:rsid w:val="00F93BEF"/>
    <w:rsid w:val="00F940A9"/>
    <w:rsid w:val="00F94359"/>
    <w:rsid w:val="00F94F34"/>
    <w:rsid w:val="00F95A68"/>
    <w:rsid w:val="00F95D06"/>
    <w:rsid w:val="00F960EA"/>
    <w:rsid w:val="00F96458"/>
    <w:rsid w:val="00F9693F"/>
    <w:rsid w:val="00F96B68"/>
    <w:rsid w:val="00F97A07"/>
    <w:rsid w:val="00F97A67"/>
    <w:rsid w:val="00FA03EC"/>
    <w:rsid w:val="00FA0404"/>
    <w:rsid w:val="00FA0A1A"/>
    <w:rsid w:val="00FA11E5"/>
    <w:rsid w:val="00FA1371"/>
    <w:rsid w:val="00FA177F"/>
    <w:rsid w:val="00FA178F"/>
    <w:rsid w:val="00FA19B0"/>
    <w:rsid w:val="00FA1E5A"/>
    <w:rsid w:val="00FA2612"/>
    <w:rsid w:val="00FA2BB5"/>
    <w:rsid w:val="00FA2D41"/>
    <w:rsid w:val="00FA3428"/>
    <w:rsid w:val="00FA3521"/>
    <w:rsid w:val="00FA3767"/>
    <w:rsid w:val="00FA3D45"/>
    <w:rsid w:val="00FA4118"/>
    <w:rsid w:val="00FA4A3D"/>
    <w:rsid w:val="00FA4BD0"/>
    <w:rsid w:val="00FA57A0"/>
    <w:rsid w:val="00FA5C22"/>
    <w:rsid w:val="00FA6088"/>
    <w:rsid w:val="00FA680D"/>
    <w:rsid w:val="00FA6833"/>
    <w:rsid w:val="00FA687E"/>
    <w:rsid w:val="00FA68DE"/>
    <w:rsid w:val="00FA6D6D"/>
    <w:rsid w:val="00FA6FD7"/>
    <w:rsid w:val="00FA73D2"/>
    <w:rsid w:val="00FA76B4"/>
    <w:rsid w:val="00FA7779"/>
    <w:rsid w:val="00FA7840"/>
    <w:rsid w:val="00FB03C4"/>
    <w:rsid w:val="00FB05BF"/>
    <w:rsid w:val="00FB07D4"/>
    <w:rsid w:val="00FB08CD"/>
    <w:rsid w:val="00FB0CBE"/>
    <w:rsid w:val="00FB0EB9"/>
    <w:rsid w:val="00FB1228"/>
    <w:rsid w:val="00FB1645"/>
    <w:rsid w:val="00FB17C6"/>
    <w:rsid w:val="00FB17DC"/>
    <w:rsid w:val="00FB23D7"/>
    <w:rsid w:val="00FB2622"/>
    <w:rsid w:val="00FB27C3"/>
    <w:rsid w:val="00FB29B3"/>
    <w:rsid w:val="00FB2B7D"/>
    <w:rsid w:val="00FB2F9F"/>
    <w:rsid w:val="00FB32B0"/>
    <w:rsid w:val="00FB3B66"/>
    <w:rsid w:val="00FB3BC5"/>
    <w:rsid w:val="00FB40FE"/>
    <w:rsid w:val="00FB435C"/>
    <w:rsid w:val="00FB45FD"/>
    <w:rsid w:val="00FB4B75"/>
    <w:rsid w:val="00FB4DDE"/>
    <w:rsid w:val="00FB659E"/>
    <w:rsid w:val="00FB68A3"/>
    <w:rsid w:val="00FB6B99"/>
    <w:rsid w:val="00FB6CB5"/>
    <w:rsid w:val="00FB6CC4"/>
    <w:rsid w:val="00FB772D"/>
    <w:rsid w:val="00FB7D21"/>
    <w:rsid w:val="00FB7DA6"/>
    <w:rsid w:val="00FB7DAC"/>
    <w:rsid w:val="00FB7DDF"/>
    <w:rsid w:val="00FC0348"/>
    <w:rsid w:val="00FC0661"/>
    <w:rsid w:val="00FC0709"/>
    <w:rsid w:val="00FC0F02"/>
    <w:rsid w:val="00FC1017"/>
    <w:rsid w:val="00FC1497"/>
    <w:rsid w:val="00FC156F"/>
    <w:rsid w:val="00FC15BC"/>
    <w:rsid w:val="00FC15D6"/>
    <w:rsid w:val="00FC1CE0"/>
    <w:rsid w:val="00FC1F84"/>
    <w:rsid w:val="00FC207B"/>
    <w:rsid w:val="00FC226E"/>
    <w:rsid w:val="00FC2477"/>
    <w:rsid w:val="00FC2940"/>
    <w:rsid w:val="00FC2B82"/>
    <w:rsid w:val="00FC2C4E"/>
    <w:rsid w:val="00FC2C7D"/>
    <w:rsid w:val="00FC31F4"/>
    <w:rsid w:val="00FC3512"/>
    <w:rsid w:val="00FC3807"/>
    <w:rsid w:val="00FC3900"/>
    <w:rsid w:val="00FC3BEF"/>
    <w:rsid w:val="00FC3BFC"/>
    <w:rsid w:val="00FC3CC6"/>
    <w:rsid w:val="00FC3F85"/>
    <w:rsid w:val="00FC414B"/>
    <w:rsid w:val="00FC4336"/>
    <w:rsid w:val="00FC433B"/>
    <w:rsid w:val="00FC4683"/>
    <w:rsid w:val="00FC4993"/>
    <w:rsid w:val="00FC4D21"/>
    <w:rsid w:val="00FC4D8C"/>
    <w:rsid w:val="00FC4E9C"/>
    <w:rsid w:val="00FC50EE"/>
    <w:rsid w:val="00FC520B"/>
    <w:rsid w:val="00FC5266"/>
    <w:rsid w:val="00FC53E6"/>
    <w:rsid w:val="00FC5427"/>
    <w:rsid w:val="00FC5488"/>
    <w:rsid w:val="00FC5D42"/>
    <w:rsid w:val="00FC5F8C"/>
    <w:rsid w:val="00FC6135"/>
    <w:rsid w:val="00FC6393"/>
    <w:rsid w:val="00FC68A3"/>
    <w:rsid w:val="00FC68D7"/>
    <w:rsid w:val="00FC6F46"/>
    <w:rsid w:val="00FC70DC"/>
    <w:rsid w:val="00FC710E"/>
    <w:rsid w:val="00FC7364"/>
    <w:rsid w:val="00FC799E"/>
    <w:rsid w:val="00FC79B6"/>
    <w:rsid w:val="00FC7C2F"/>
    <w:rsid w:val="00FC7D4E"/>
    <w:rsid w:val="00FD0079"/>
    <w:rsid w:val="00FD03BB"/>
    <w:rsid w:val="00FD10A4"/>
    <w:rsid w:val="00FD1743"/>
    <w:rsid w:val="00FD177E"/>
    <w:rsid w:val="00FD1927"/>
    <w:rsid w:val="00FD1AC4"/>
    <w:rsid w:val="00FD2226"/>
    <w:rsid w:val="00FD2B1E"/>
    <w:rsid w:val="00FD2C5F"/>
    <w:rsid w:val="00FD2CD8"/>
    <w:rsid w:val="00FD3649"/>
    <w:rsid w:val="00FD3694"/>
    <w:rsid w:val="00FD3D6A"/>
    <w:rsid w:val="00FD490C"/>
    <w:rsid w:val="00FD49ED"/>
    <w:rsid w:val="00FD4A83"/>
    <w:rsid w:val="00FD4AB2"/>
    <w:rsid w:val="00FD584C"/>
    <w:rsid w:val="00FD596E"/>
    <w:rsid w:val="00FD5CEF"/>
    <w:rsid w:val="00FD5E38"/>
    <w:rsid w:val="00FD5E74"/>
    <w:rsid w:val="00FD631F"/>
    <w:rsid w:val="00FD636E"/>
    <w:rsid w:val="00FD64F9"/>
    <w:rsid w:val="00FD6828"/>
    <w:rsid w:val="00FD6A44"/>
    <w:rsid w:val="00FD6AB6"/>
    <w:rsid w:val="00FD6B12"/>
    <w:rsid w:val="00FD6B62"/>
    <w:rsid w:val="00FD6D22"/>
    <w:rsid w:val="00FD706B"/>
    <w:rsid w:val="00FD75B9"/>
    <w:rsid w:val="00FD7952"/>
    <w:rsid w:val="00FD79EB"/>
    <w:rsid w:val="00FD7CE6"/>
    <w:rsid w:val="00FD7D39"/>
    <w:rsid w:val="00FD7FA2"/>
    <w:rsid w:val="00FE0392"/>
    <w:rsid w:val="00FE052E"/>
    <w:rsid w:val="00FE08E6"/>
    <w:rsid w:val="00FE0B55"/>
    <w:rsid w:val="00FE0B8E"/>
    <w:rsid w:val="00FE0C61"/>
    <w:rsid w:val="00FE12C9"/>
    <w:rsid w:val="00FE19CF"/>
    <w:rsid w:val="00FE1B4D"/>
    <w:rsid w:val="00FE200F"/>
    <w:rsid w:val="00FE204F"/>
    <w:rsid w:val="00FE218D"/>
    <w:rsid w:val="00FE23EE"/>
    <w:rsid w:val="00FE2807"/>
    <w:rsid w:val="00FE2890"/>
    <w:rsid w:val="00FE289B"/>
    <w:rsid w:val="00FE2BA9"/>
    <w:rsid w:val="00FE2C77"/>
    <w:rsid w:val="00FE2F99"/>
    <w:rsid w:val="00FE30B8"/>
    <w:rsid w:val="00FE3529"/>
    <w:rsid w:val="00FE3C43"/>
    <w:rsid w:val="00FE4305"/>
    <w:rsid w:val="00FE4AC3"/>
    <w:rsid w:val="00FE4BC2"/>
    <w:rsid w:val="00FE4C63"/>
    <w:rsid w:val="00FE4D6D"/>
    <w:rsid w:val="00FE4E20"/>
    <w:rsid w:val="00FE5178"/>
    <w:rsid w:val="00FE589C"/>
    <w:rsid w:val="00FE589D"/>
    <w:rsid w:val="00FE5B38"/>
    <w:rsid w:val="00FE6412"/>
    <w:rsid w:val="00FE66A3"/>
    <w:rsid w:val="00FE6896"/>
    <w:rsid w:val="00FE6FC6"/>
    <w:rsid w:val="00FE7335"/>
    <w:rsid w:val="00FE7346"/>
    <w:rsid w:val="00FE7362"/>
    <w:rsid w:val="00FE77B4"/>
    <w:rsid w:val="00FE7A92"/>
    <w:rsid w:val="00FE7B41"/>
    <w:rsid w:val="00FE7E91"/>
    <w:rsid w:val="00FF00A0"/>
    <w:rsid w:val="00FF0126"/>
    <w:rsid w:val="00FF068D"/>
    <w:rsid w:val="00FF06A7"/>
    <w:rsid w:val="00FF074A"/>
    <w:rsid w:val="00FF0791"/>
    <w:rsid w:val="00FF07C3"/>
    <w:rsid w:val="00FF0A0B"/>
    <w:rsid w:val="00FF0BF2"/>
    <w:rsid w:val="00FF1795"/>
    <w:rsid w:val="00FF19C1"/>
    <w:rsid w:val="00FF1B5B"/>
    <w:rsid w:val="00FF1D35"/>
    <w:rsid w:val="00FF2200"/>
    <w:rsid w:val="00FF2459"/>
    <w:rsid w:val="00FF262E"/>
    <w:rsid w:val="00FF29B2"/>
    <w:rsid w:val="00FF2CB2"/>
    <w:rsid w:val="00FF2E7F"/>
    <w:rsid w:val="00FF3220"/>
    <w:rsid w:val="00FF3521"/>
    <w:rsid w:val="00FF382A"/>
    <w:rsid w:val="00FF3868"/>
    <w:rsid w:val="00FF3B50"/>
    <w:rsid w:val="00FF3E1C"/>
    <w:rsid w:val="00FF3EC5"/>
    <w:rsid w:val="00FF4E51"/>
    <w:rsid w:val="00FF4FF9"/>
    <w:rsid w:val="00FF524D"/>
    <w:rsid w:val="00FF52C2"/>
    <w:rsid w:val="00FF555D"/>
    <w:rsid w:val="00FF56B7"/>
    <w:rsid w:val="00FF5957"/>
    <w:rsid w:val="00FF5963"/>
    <w:rsid w:val="00FF5A62"/>
    <w:rsid w:val="00FF5AF1"/>
    <w:rsid w:val="00FF67EB"/>
    <w:rsid w:val="00FF6A2F"/>
    <w:rsid w:val="00FF6AA4"/>
    <w:rsid w:val="00FF72A1"/>
    <w:rsid w:val="00FF759F"/>
    <w:rsid w:val="011CA3C4"/>
    <w:rsid w:val="028D91D4"/>
    <w:rsid w:val="02C10242"/>
    <w:rsid w:val="02E65BA2"/>
    <w:rsid w:val="0351D511"/>
    <w:rsid w:val="04094C70"/>
    <w:rsid w:val="0420AF1A"/>
    <w:rsid w:val="04B2F3F0"/>
    <w:rsid w:val="04E95FA4"/>
    <w:rsid w:val="0529609B"/>
    <w:rsid w:val="0540EC58"/>
    <w:rsid w:val="05AA768E"/>
    <w:rsid w:val="05E28DF7"/>
    <w:rsid w:val="061BCDD5"/>
    <w:rsid w:val="0643EC28"/>
    <w:rsid w:val="065CFBCD"/>
    <w:rsid w:val="0689ABF4"/>
    <w:rsid w:val="06987ACB"/>
    <w:rsid w:val="06CDF68F"/>
    <w:rsid w:val="0798CE7B"/>
    <w:rsid w:val="079A7EE2"/>
    <w:rsid w:val="07B36939"/>
    <w:rsid w:val="07E055BE"/>
    <w:rsid w:val="07E3B81C"/>
    <w:rsid w:val="0853AEC4"/>
    <w:rsid w:val="08BC28C9"/>
    <w:rsid w:val="08C256AB"/>
    <w:rsid w:val="090E739F"/>
    <w:rsid w:val="0996F0BB"/>
    <w:rsid w:val="0A0C8269"/>
    <w:rsid w:val="0A1691A7"/>
    <w:rsid w:val="0A6D73A7"/>
    <w:rsid w:val="0B254F59"/>
    <w:rsid w:val="0B57AABE"/>
    <w:rsid w:val="0BC45545"/>
    <w:rsid w:val="0BC89D7B"/>
    <w:rsid w:val="0BEA08A3"/>
    <w:rsid w:val="0C421B5B"/>
    <w:rsid w:val="0C5AE5D6"/>
    <w:rsid w:val="0C6FB8CE"/>
    <w:rsid w:val="0D002B6F"/>
    <w:rsid w:val="0E1F6345"/>
    <w:rsid w:val="0E5C8B56"/>
    <w:rsid w:val="0E615D9C"/>
    <w:rsid w:val="0EBB0CA5"/>
    <w:rsid w:val="0EBC8715"/>
    <w:rsid w:val="0EE01FFE"/>
    <w:rsid w:val="0EED460F"/>
    <w:rsid w:val="0F2FCF10"/>
    <w:rsid w:val="0F456871"/>
    <w:rsid w:val="0F65E8A9"/>
    <w:rsid w:val="0F669C5D"/>
    <w:rsid w:val="0FC278AD"/>
    <w:rsid w:val="1097A7D5"/>
    <w:rsid w:val="10FF88F4"/>
    <w:rsid w:val="11703E17"/>
    <w:rsid w:val="118B69CB"/>
    <w:rsid w:val="118C2BAD"/>
    <w:rsid w:val="11DE3A15"/>
    <w:rsid w:val="11E8BE2A"/>
    <w:rsid w:val="121DD1A7"/>
    <w:rsid w:val="1287CCA6"/>
    <w:rsid w:val="12CA798C"/>
    <w:rsid w:val="1390B18F"/>
    <w:rsid w:val="13C76870"/>
    <w:rsid w:val="1464A406"/>
    <w:rsid w:val="146C0B4C"/>
    <w:rsid w:val="14DD9CEB"/>
    <w:rsid w:val="14E3D2D7"/>
    <w:rsid w:val="1562167D"/>
    <w:rsid w:val="15A39E83"/>
    <w:rsid w:val="15A4A956"/>
    <w:rsid w:val="15A4FA2C"/>
    <w:rsid w:val="176656DE"/>
    <w:rsid w:val="17D2B965"/>
    <w:rsid w:val="187B9C79"/>
    <w:rsid w:val="195B38AB"/>
    <w:rsid w:val="1975FEED"/>
    <w:rsid w:val="1987D49B"/>
    <w:rsid w:val="198CC3DD"/>
    <w:rsid w:val="1A12450E"/>
    <w:rsid w:val="1A4C84E4"/>
    <w:rsid w:val="1A52AC72"/>
    <w:rsid w:val="1B150E72"/>
    <w:rsid w:val="1C702E35"/>
    <w:rsid w:val="1CCB74EA"/>
    <w:rsid w:val="1CD426AE"/>
    <w:rsid w:val="1CE881FA"/>
    <w:rsid w:val="1CEE8618"/>
    <w:rsid w:val="1D4067EE"/>
    <w:rsid w:val="1D4C13DE"/>
    <w:rsid w:val="1D5AB2F6"/>
    <w:rsid w:val="1D5F7CAD"/>
    <w:rsid w:val="1D6849F6"/>
    <w:rsid w:val="1D89BF49"/>
    <w:rsid w:val="1DB9D85D"/>
    <w:rsid w:val="1DD14DDB"/>
    <w:rsid w:val="1E033F68"/>
    <w:rsid w:val="1E28EFBC"/>
    <w:rsid w:val="1E508BDA"/>
    <w:rsid w:val="1E7B7E08"/>
    <w:rsid w:val="1E94D638"/>
    <w:rsid w:val="1EAE1E9D"/>
    <w:rsid w:val="1EAF80CD"/>
    <w:rsid w:val="1EE3BB30"/>
    <w:rsid w:val="1F1FECE1"/>
    <w:rsid w:val="1F34C100"/>
    <w:rsid w:val="1F369D0E"/>
    <w:rsid w:val="1F3EC4F4"/>
    <w:rsid w:val="1F4DA7D3"/>
    <w:rsid w:val="1F61DF39"/>
    <w:rsid w:val="1F762120"/>
    <w:rsid w:val="1F7ABC9B"/>
    <w:rsid w:val="1F87E1B7"/>
    <w:rsid w:val="1FB006ED"/>
    <w:rsid w:val="203BE4C1"/>
    <w:rsid w:val="20576EE6"/>
    <w:rsid w:val="20A28905"/>
    <w:rsid w:val="21080EBD"/>
    <w:rsid w:val="219641F3"/>
    <w:rsid w:val="21AEC7AA"/>
    <w:rsid w:val="21B86E74"/>
    <w:rsid w:val="21CBD936"/>
    <w:rsid w:val="222ECA1F"/>
    <w:rsid w:val="22FA7A9A"/>
    <w:rsid w:val="233165AB"/>
    <w:rsid w:val="23B1309F"/>
    <w:rsid w:val="240A20DB"/>
    <w:rsid w:val="240C1C57"/>
    <w:rsid w:val="2435DC4D"/>
    <w:rsid w:val="24399090"/>
    <w:rsid w:val="24984006"/>
    <w:rsid w:val="24C15C1D"/>
    <w:rsid w:val="253002E0"/>
    <w:rsid w:val="253F95A8"/>
    <w:rsid w:val="2555DCD6"/>
    <w:rsid w:val="256D1B65"/>
    <w:rsid w:val="259D14F9"/>
    <w:rsid w:val="26009EE7"/>
    <w:rsid w:val="26061326"/>
    <w:rsid w:val="2612B7C9"/>
    <w:rsid w:val="26CE177B"/>
    <w:rsid w:val="278E23D9"/>
    <w:rsid w:val="280FB93C"/>
    <w:rsid w:val="294E5C79"/>
    <w:rsid w:val="29C0E5C1"/>
    <w:rsid w:val="29C40A60"/>
    <w:rsid w:val="29D01AE7"/>
    <w:rsid w:val="29E82ECA"/>
    <w:rsid w:val="2A0A192E"/>
    <w:rsid w:val="2A0DB101"/>
    <w:rsid w:val="2A33F446"/>
    <w:rsid w:val="2AED5CEB"/>
    <w:rsid w:val="2B568D50"/>
    <w:rsid w:val="2B6B5DB4"/>
    <w:rsid w:val="2B9E39B8"/>
    <w:rsid w:val="2BD0036A"/>
    <w:rsid w:val="2C402D66"/>
    <w:rsid w:val="2C67EDA9"/>
    <w:rsid w:val="2C9D884A"/>
    <w:rsid w:val="2CA104A9"/>
    <w:rsid w:val="2CA2875E"/>
    <w:rsid w:val="2D10E1D6"/>
    <w:rsid w:val="2D5C0F87"/>
    <w:rsid w:val="2D91F8F7"/>
    <w:rsid w:val="2D948373"/>
    <w:rsid w:val="2D961AC1"/>
    <w:rsid w:val="2DBC616B"/>
    <w:rsid w:val="2DC8BDA1"/>
    <w:rsid w:val="2DF01B48"/>
    <w:rsid w:val="2E0885CA"/>
    <w:rsid w:val="2E6A6B06"/>
    <w:rsid w:val="2E75F9CC"/>
    <w:rsid w:val="2E9C38AC"/>
    <w:rsid w:val="2EE39C96"/>
    <w:rsid w:val="2EEBAD6F"/>
    <w:rsid w:val="2F9A02A4"/>
    <w:rsid w:val="2FA2859E"/>
    <w:rsid w:val="2FDC6A6F"/>
    <w:rsid w:val="304944F6"/>
    <w:rsid w:val="3071DF70"/>
    <w:rsid w:val="307D1243"/>
    <w:rsid w:val="307F2217"/>
    <w:rsid w:val="30EED003"/>
    <w:rsid w:val="30FB3873"/>
    <w:rsid w:val="31A97E5F"/>
    <w:rsid w:val="31BBB27A"/>
    <w:rsid w:val="320772F3"/>
    <w:rsid w:val="32546866"/>
    <w:rsid w:val="32547FFF"/>
    <w:rsid w:val="32909823"/>
    <w:rsid w:val="32D596D8"/>
    <w:rsid w:val="32E7868A"/>
    <w:rsid w:val="32EB52A7"/>
    <w:rsid w:val="33075D20"/>
    <w:rsid w:val="339BF8FA"/>
    <w:rsid w:val="33FE1383"/>
    <w:rsid w:val="34051D81"/>
    <w:rsid w:val="3407F180"/>
    <w:rsid w:val="341D25C1"/>
    <w:rsid w:val="343A247D"/>
    <w:rsid w:val="343E0898"/>
    <w:rsid w:val="3499E4A3"/>
    <w:rsid w:val="34A79C2D"/>
    <w:rsid w:val="3579C47C"/>
    <w:rsid w:val="359044DB"/>
    <w:rsid w:val="35B0DF59"/>
    <w:rsid w:val="35BC302F"/>
    <w:rsid w:val="35C82BBB"/>
    <w:rsid w:val="35E34AD6"/>
    <w:rsid w:val="36F5D5BD"/>
    <w:rsid w:val="36FB8A81"/>
    <w:rsid w:val="3719715A"/>
    <w:rsid w:val="3719977B"/>
    <w:rsid w:val="3727DCE1"/>
    <w:rsid w:val="37C0126E"/>
    <w:rsid w:val="381A7C60"/>
    <w:rsid w:val="391F8992"/>
    <w:rsid w:val="394A0BF5"/>
    <w:rsid w:val="399F7A62"/>
    <w:rsid w:val="39D1F4B6"/>
    <w:rsid w:val="3AA12864"/>
    <w:rsid w:val="3AFEEDD0"/>
    <w:rsid w:val="3B5FAD2A"/>
    <w:rsid w:val="3BD031DD"/>
    <w:rsid w:val="3BF6D1DA"/>
    <w:rsid w:val="3C44E5AA"/>
    <w:rsid w:val="3C6149E5"/>
    <w:rsid w:val="3CAF6B53"/>
    <w:rsid w:val="3CB7EAB7"/>
    <w:rsid w:val="3D1ACAAF"/>
    <w:rsid w:val="3D3CD16C"/>
    <w:rsid w:val="3D6651ED"/>
    <w:rsid w:val="3D6A11E3"/>
    <w:rsid w:val="3D9929B8"/>
    <w:rsid w:val="3DFE7D66"/>
    <w:rsid w:val="3E0EEDDC"/>
    <w:rsid w:val="3EA375D1"/>
    <w:rsid w:val="3EB3364F"/>
    <w:rsid w:val="3EF42C3A"/>
    <w:rsid w:val="3F1D245A"/>
    <w:rsid w:val="3F296143"/>
    <w:rsid w:val="3F83C35C"/>
    <w:rsid w:val="3FB32F00"/>
    <w:rsid w:val="40032F01"/>
    <w:rsid w:val="401C222E"/>
    <w:rsid w:val="404EC57A"/>
    <w:rsid w:val="404FA35C"/>
    <w:rsid w:val="40B5E007"/>
    <w:rsid w:val="40D7654F"/>
    <w:rsid w:val="40EA25A9"/>
    <w:rsid w:val="41D2693B"/>
    <w:rsid w:val="41FB8951"/>
    <w:rsid w:val="42726911"/>
    <w:rsid w:val="4299758C"/>
    <w:rsid w:val="434CD19C"/>
    <w:rsid w:val="43B964CF"/>
    <w:rsid w:val="440318F4"/>
    <w:rsid w:val="440AA898"/>
    <w:rsid w:val="44B17B67"/>
    <w:rsid w:val="44E31D84"/>
    <w:rsid w:val="45191885"/>
    <w:rsid w:val="454C5E5C"/>
    <w:rsid w:val="45D00143"/>
    <w:rsid w:val="4711F92D"/>
    <w:rsid w:val="473B54D9"/>
    <w:rsid w:val="4773EB36"/>
    <w:rsid w:val="47779E15"/>
    <w:rsid w:val="47BD13B3"/>
    <w:rsid w:val="488A499E"/>
    <w:rsid w:val="48A0E0C6"/>
    <w:rsid w:val="48D64163"/>
    <w:rsid w:val="492019DD"/>
    <w:rsid w:val="4929C66B"/>
    <w:rsid w:val="4945B692"/>
    <w:rsid w:val="49C6DC9C"/>
    <w:rsid w:val="4A28ED77"/>
    <w:rsid w:val="4A51E147"/>
    <w:rsid w:val="4A81FA44"/>
    <w:rsid w:val="4AA359FD"/>
    <w:rsid w:val="4ADA23DA"/>
    <w:rsid w:val="4AE855A7"/>
    <w:rsid w:val="4AFC49AC"/>
    <w:rsid w:val="4B09CF76"/>
    <w:rsid w:val="4BD0426D"/>
    <w:rsid w:val="4BFC9737"/>
    <w:rsid w:val="4C066D8B"/>
    <w:rsid w:val="4C0BA08D"/>
    <w:rsid w:val="4CF53A62"/>
    <w:rsid w:val="4D620D6F"/>
    <w:rsid w:val="4E03C22E"/>
    <w:rsid w:val="4E0EA9CE"/>
    <w:rsid w:val="4E1ED140"/>
    <w:rsid w:val="4E35D195"/>
    <w:rsid w:val="4E5D8630"/>
    <w:rsid w:val="4E696D76"/>
    <w:rsid w:val="4EA3AE68"/>
    <w:rsid w:val="4EAC87B4"/>
    <w:rsid w:val="4EAF6CCF"/>
    <w:rsid w:val="4F0B31D8"/>
    <w:rsid w:val="4F6CEAC6"/>
    <w:rsid w:val="4F79901B"/>
    <w:rsid w:val="4FAEC92C"/>
    <w:rsid w:val="4FF569B5"/>
    <w:rsid w:val="500A57B8"/>
    <w:rsid w:val="5052B8AC"/>
    <w:rsid w:val="5061E5D2"/>
    <w:rsid w:val="50709EAD"/>
    <w:rsid w:val="510AD8CA"/>
    <w:rsid w:val="5128AE08"/>
    <w:rsid w:val="5158E4DE"/>
    <w:rsid w:val="516C63D6"/>
    <w:rsid w:val="51EC2DD2"/>
    <w:rsid w:val="51FC0B7F"/>
    <w:rsid w:val="52533F43"/>
    <w:rsid w:val="52CB9730"/>
    <w:rsid w:val="52DC10B4"/>
    <w:rsid w:val="530E9435"/>
    <w:rsid w:val="534B72D7"/>
    <w:rsid w:val="53615D6D"/>
    <w:rsid w:val="5381AD57"/>
    <w:rsid w:val="53B99CD7"/>
    <w:rsid w:val="541A744F"/>
    <w:rsid w:val="54EAA9C7"/>
    <w:rsid w:val="551E1DED"/>
    <w:rsid w:val="55390F18"/>
    <w:rsid w:val="553E77A8"/>
    <w:rsid w:val="55853558"/>
    <w:rsid w:val="55E2A671"/>
    <w:rsid w:val="55F61188"/>
    <w:rsid w:val="5617EC26"/>
    <w:rsid w:val="5622D0E8"/>
    <w:rsid w:val="56CE3E04"/>
    <w:rsid w:val="56D0F9F7"/>
    <w:rsid w:val="56F8FB5E"/>
    <w:rsid w:val="576BA275"/>
    <w:rsid w:val="57CC6330"/>
    <w:rsid w:val="580B6068"/>
    <w:rsid w:val="583FA0A4"/>
    <w:rsid w:val="584B1E48"/>
    <w:rsid w:val="584D05FB"/>
    <w:rsid w:val="58CD33CB"/>
    <w:rsid w:val="595961B6"/>
    <w:rsid w:val="597B8BB6"/>
    <w:rsid w:val="597EBDCC"/>
    <w:rsid w:val="59BF6B07"/>
    <w:rsid w:val="5A3D3924"/>
    <w:rsid w:val="5A619E7F"/>
    <w:rsid w:val="5A8FF7AE"/>
    <w:rsid w:val="5AA01D4D"/>
    <w:rsid w:val="5AB7C34B"/>
    <w:rsid w:val="5AC5467A"/>
    <w:rsid w:val="5B08D3B7"/>
    <w:rsid w:val="5B2B31E3"/>
    <w:rsid w:val="5B3DF735"/>
    <w:rsid w:val="5BCE56BC"/>
    <w:rsid w:val="5BD88DC8"/>
    <w:rsid w:val="5C2CE096"/>
    <w:rsid w:val="5C4398A5"/>
    <w:rsid w:val="5C574BD6"/>
    <w:rsid w:val="5C6FC82A"/>
    <w:rsid w:val="5C8222E9"/>
    <w:rsid w:val="5CD91346"/>
    <w:rsid w:val="5D5FADB2"/>
    <w:rsid w:val="5DE33C39"/>
    <w:rsid w:val="5E5CC661"/>
    <w:rsid w:val="5EB4697C"/>
    <w:rsid w:val="5ED10806"/>
    <w:rsid w:val="5ED91AFC"/>
    <w:rsid w:val="5EFE6A00"/>
    <w:rsid w:val="5F0A9622"/>
    <w:rsid w:val="5F21C2D7"/>
    <w:rsid w:val="608660F6"/>
    <w:rsid w:val="60B8F342"/>
    <w:rsid w:val="611667BA"/>
    <w:rsid w:val="61A37652"/>
    <w:rsid w:val="61A77B30"/>
    <w:rsid w:val="62018E00"/>
    <w:rsid w:val="6219133E"/>
    <w:rsid w:val="62A7DE55"/>
    <w:rsid w:val="62BABC23"/>
    <w:rsid w:val="630F545D"/>
    <w:rsid w:val="63305AC9"/>
    <w:rsid w:val="633D9C81"/>
    <w:rsid w:val="636B7383"/>
    <w:rsid w:val="638C385B"/>
    <w:rsid w:val="63C07EEA"/>
    <w:rsid w:val="64A568CE"/>
    <w:rsid w:val="64C6A73D"/>
    <w:rsid w:val="64CD38E4"/>
    <w:rsid w:val="64E0D20B"/>
    <w:rsid w:val="64F7C694"/>
    <w:rsid w:val="656E43BD"/>
    <w:rsid w:val="657A88AE"/>
    <w:rsid w:val="662407F1"/>
    <w:rsid w:val="66423957"/>
    <w:rsid w:val="664F11C3"/>
    <w:rsid w:val="66D12C39"/>
    <w:rsid w:val="673A383B"/>
    <w:rsid w:val="6741C935"/>
    <w:rsid w:val="674BA1D8"/>
    <w:rsid w:val="68012154"/>
    <w:rsid w:val="680670F3"/>
    <w:rsid w:val="682522E1"/>
    <w:rsid w:val="682BE56F"/>
    <w:rsid w:val="685163B0"/>
    <w:rsid w:val="68A9C819"/>
    <w:rsid w:val="68AA502F"/>
    <w:rsid w:val="698F5C6C"/>
    <w:rsid w:val="69E8E936"/>
    <w:rsid w:val="69F806E4"/>
    <w:rsid w:val="69FB4239"/>
    <w:rsid w:val="6A224462"/>
    <w:rsid w:val="6A3F2496"/>
    <w:rsid w:val="6A41B3B6"/>
    <w:rsid w:val="6AA4AC4D"/>
    <w:rsid w:val="6C1A8660"/>
    <w:rsid w:val="6C5AF61C"/>
    <w:rsid w:val="6C663866"/>
    <w:rsid w:val="6CC3D557"/>
    <w:rsid w:val="6D91C291"/>
    <w:rsid w:val="6E857ABD"/>
    <w:rsid w:val="6EBFB6ED"/>
    <w:rsid w:val="6EC0D658"/>
    <w:rsid w:val="6EDBA421"/>
    <w:rsid w:val="6F09B112"/>
    <w:rsid w:val="6FD9C059"/>
    <w:rsid w:val="6FFACAE4"/>
    <w:rsid w:val="704739D8"/>
    <w:rsid w:val="70759D4D"/>
    <w:rsid w:val="70792BCC"/>
    <w:rsid w:val="710AA860"/>
    <w:rsid w:val="7172527B"/>
    <w:rsid w:val="71A97F32"/>
    <w:rsid w:val="71C1B5C3"/>
    <w:rsid w:val="71EA8BCC"/>
    <w:rsid w:val="72321753"/>
    <w:rsid w:val="7284B489"/>
    <w:rsid w:val="72EA31E8"/>
    <w:rsid w:val="7336DE4D"/>
    <w:rsid w:val="73794DA0"/>
    <w:rsid w:val="7388C556"/>
    <w:rsid w:val="73B96569"/>
    <w:rsid w:val="745DADAA"/>
    <w:rsid w:val="74DEE13C"/>
    <w:rsid w:val="7535A791"/>
    <w:rsid w:val="75482ADC"/>
    <w:rsid w:val="7562F46C"/>
    <w:rsid w:val="7671EF78"/>
    <w:rsid w:val="76AC85C4"/>
    <w:rsid w:val="776DF710"/>
    <w:rsid w:val="77797084"/>
    <w:rsid w:val="778EAE8D"/>
    <w:rsid w:val="77ADF6CE"/>
    <w:rsid w:val="77CD2054"/>
    <w:rsid w:val="78B39D19"/>
    <w:rsid w:val="791BB2A4"/>
    <w:rsid w:val="79D0F986"/>
    <w:rsid w:val="7A960ACE"/>
    <w:rsid w:val="7AE2F92D"/>
    <w:rsid w:val="7B0A4071"/>
    <w:rsid w:val="7B361899"/>
    <w:rsid w:val="7BAA0952"/>
    <w:rsid w:val="7BB294F9"/>
    <w:rsid w:val="7BC582D2"/>
    <w:rsid w:val="7BCF23B4"/>
    <w:rsid w:val="7C4117F2"/>
    <w:rsid w:val="7CCFA512"/>
    <w:rsid w:val="7CDEA36D"/>
    <w:rsid w:val="7CE57F20"/>
    <w:rsid w:val="7D29F157"/>
    <w:rsid w:val="7D74CE42"/>
    <w:rsid w:val="7DD5C8A1"/>
    <w:rsid w:val="7DDEA243"/>
    <w:rsid w:val="7E1C1887"/>
    <w:rsid w:val="7E722176"/>
    <w:rsid w:val="7E7F0BAE"/>
    <w:rsid w:val="7E9D0A7A"/>
    <w:rsid w:val="7F294837"/>
    <w:rsid w:val="7F422DC2"/>
    <w:rsid w:val="7F5DCC51"/>
    <w:rsid w:val="7FE8F5A3"/>
    <w:rsid w:val="7FF83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EF894C6D-66FB-436B-8966-514C5779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850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8503F"/>
  </w:style>
  <w:style w:type="character" w:customStyle="1" w:styleId="eop">
    <w:name w:val="eop"/>
    <w:basedOn w:val="DefaultParagraphFont"/>
    <w:rsid w:val="00F8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1709">
      <w:bodyDiv w:val="1"/>
      <w:marLeft w:val="0"/>
      <w:marRight w:val="0"/>
      <w:marTop w:val="0"/>
      <w:marBottom w:val="0"/>
      <w:divBdr>
        <w:top w:val="none" w:sz="0" w:space="0" w:color="auto"/>
        <w:left w:val="none" w:sz="0" w:space="0" w:color="auto"/>
        <w:bottom w:val="none" w:sz="0" w:space="0" w:color="auto"/>
        <w:right w:val="none" w:sz="0" w:space="0" w:color="auto"/>
      </w:divBdr>
      <w:divsChild>
        <w:div w:id="33966649">
          <w:marLeft w:val="0"/>
          <w:marRight w:val="0"/>
          <w:marTop w:val="0"/>
          <w:marBottom w:val="0"/>
          <w:divBdr>
            <w:top w:val="none" w:sz="0" w:space="0" w:color="auto"/>
            <w:left w:val="none" w:sz="0" w:space="0" w:color="auto"/>
            <w:bottom w:val="none" w:sz="0" w:space="0" w:color="auto"/>
            <w:right w:val="none" w:sz="0" w:space="0" w:color="auto"/>
          </w:divBdr>
          <w:divsChild>
            <w:div w:id="1767921763">
              <w:marLeft w:val="0"/>
              <w:marRight w:val="0"/>
              <w:marTop w:val="0"/>
              <w:marBottom w:val="0"/>
              <w:divBdr>
                <w:top w:val="none" w:sz="0" w:space="0" w:color="auto"/>
                <w:left w:val="none" w:sz="0" w:space="0" w:color="auto"/>
                <w:bottom w:val="none" w:sz="0" w:space="0" w:color="auto"/>
                <w:right w:val="none" w:sz="0" w:space="0" w:color="auto"/>
              </w:divBdr>
            </w:div>
          </w:divsChild>
        </w:div>
        <w:div w:id="140119578">
          <w:marLeft w:val="0"/>
          <w:marRight w:val="0"/>
          <w:marTop w:val="0"/>
          <w:marBottom w:val="0"/>
          <w:divBdr>
            <w:top w:val="none" w:sz="0" w:space="0" w:color="auto"/>
            <w:left w:val="none" w:sz="0" w:space="0" w:color="auto"/>
            <w:bottom w:val="none" w:sz="0" w:space="0" w:color="auto"/>
            <w:right w:val="none" w:sz="0" w:space="0" w:color="auto"/>
          </w:divBdr>
          <w:divsChild>
            <w:div w:id="1870486718">
              <w:marLeft w:val="0"/>
              <w:marRight w:val="0"/>
              <w:marTop w:val="0"/>
              <w:marBottom w:val="0"/>
              <w:divBdr>
                <w:top w:val="none" w:sz="0" w:space="0" w:color="auto"/>
                <w:left w:val="none" w:sz="0" w:space="0" w:color="auto"/>
                <w:bottom w:val="none" w:sz="0" w:space="0" w:color="auto"/>
                <w:right w:val="none" w:sz="0" w:space="0" w:color="auto"/>
              </w:divBdr>
            </w:div>
          </w:divsChild>
        </w:div>
        <w:div w:id="388044076">
          <w:marLeft w:val="0"/>
          <w:marRight w:val="0"/>
          <w:marTop w:val="0"/>
          <w:marBottom w:val="0"/>
          <w:divBdr>
            <w:top w:val="none" w:sz="0" w:space="0" w:color="auto"/>
            <w:left w:val="none" w:sz="0" w:space="0" w:color="auto"/>
            <w:bottom w:val="none" w:sz="0" w:space="0" w:color="auto"/>
            <w:right w:val="none" w:sz="0" w:space="0" w:color="auto"/>
          </w:divBdr>
          <w:divsChild>
            <w:div w:id="430781045">
              <w:marLeft w:val="0"/>
              <w:marRight w:val="0"/>
              <w:marTop w:val="0"/>
              <w:marBottom w:val="0"/>
              <w:divBdr>
                <w:top w:val="none" w:sz="0" w:space="0" w:color="auto"/>
                <w:left w:val="none" w:sz="0" w:space="0" w:color="auto"/>
                <w:bottom w:val="none" w:sz="0" w:space="0" w:color="auto"/>
                <w:right w:val="none" w:sz="0" w:space="0" w:color="auto"/>
              </w:divBdr>
            </w:div>
            <w:div w:id="1257860498">
              <w:marLeft w:val="0"/>
              <w:marRight w:val="0"/>
              <w:marTop w:val="0"/>
              <w:marBottom w:val="0"/>
              <w:divBdr>
                <w:top w:val="none" w:sz="0" w:space="0" w:color="auto"/>
                <w:left w:val="none" w:sz="0" w:space="0" w:color="auto"/>
                <w:bottom w:val="none" w:sz="0" w:space="0" w:color="auto"/>
                <w:right w:val="none" w:sz="0" w:space="0" w:color="auto"/>
              </w:divBdr>
            </w:div>
          </w:divsChild>
        </w:div>
        <w:div w:id="468133134">
          <w:marLeft w:val="0"/>
          <w:marRight w:val="0"/>
          <w:marTop w:val="0"/>
          <w:marBottom w:val="0"/>
          <w:divBdr>
            <w:top w:val="none" w:sz="0" w:space="0" w:color="auto"/>
            <w:left w:val="none" w:sz="0" w:space="0" w:color="auto"/>
            <w:bottom w:val="none" w:sz="0" w:space="0" w:color="auto"/>
            <w:right w:val="none" w:sz="0" w:space="0" w:color="auto"/>
          </w:divBdr>
          <w:divsChild>
            <w:div w:id="1835799924">
              <w:marLeft w:val="0"/>
              <w:marRight w:val="0"/>
              <w:marTop w:val="0"/>
              <w:marBottom w:val="0"/>
              <w:divBdr>
                <w:top w:val="none" w:sz="0" w:space="0" w:color="auto"/>
                <w:left w:val="none" w:sz="0" w:space="0" w:color="auto"/>
                <w:bottom w:val="none" w:sz="0" w:space="0" w:color="auto"/>
                <w:right w:val="none" w:sz="0" w:space="0" w:color="auto"/>
              </w:divBdr>
            </w:div>
          </w:divsChild>
        </w:div>
        <w:div w:id="526143647">
          <w:marLeft w:val="0"/>
          <w:marRight w:val="0"/>
          <w:marTop w:val="0"/>
          <w:marBottom w:val="0"/>
          <w:divBdr>
            <w:top w:val="none" w:sz="0" w:space="0" w:color="auto"/>
            <w:left w:val="none" w:sz="0" w:space="0" w:color="auto"/>
            <w:bottom w:val="none" w:sz="0" w:space="0" w:color="auto"/>
            <w:right w:val="none" w:sz="0" w:space="0" w:color="auto"/>
          </w:divBdr>
          <w:divsChild>
            <w:div w:id="1772237625">
              <w:marLeft w:val="0"/>
              <w:marRight w:val="0"/>
              <w:marTop w:val="0"/>
              <w:marBottom w:val="0"/>
              <w:divBdr>
                <w:top w:val="none" w:sz="0" w:space="0" w:color="auto"/>
                <w:left w:val="none" w:sz="0" w:space="0" w:color="auto"/>
                <w:bottom w:val="none" w:sz="0" w:space="0" w:color="auto"/>
                <w:right w:val="none" w:sz="0" w:space="0" w:color="auto"/>
              </w:divBdr>
            </w:div>
          </w:divsChild>
        </w:div>
        <w:div w:id="542058335">
          <w:marLeft w:val="0"/>
          <w:marRight w:val="0"/>
          <w:marTop w:val="0"/>
          <w:marBottom w:val="0"/>
          <w:divBdr>
            <w:top w:val="none" w:sz="0" w:space="0" w:color="auto"/>
            <w:left w:val="none" w:sz="0" w:space="0" w:color="auto"/>
            <w:bottom w:val="none" w:sz="0" w:space="0" w:color="auto"/>
            <w:right w:val="none" w:sz="0" w:space="0" w:color="auto"/>
          </w:divBdr>
          <w:divsChild>
            <w:div w:id="168252299">
              <w:marLeft w:val="0"/>
              <w:marRight w:val="0"/>
              <w:marTop w:val="0"/>
              <w:marBottom w:val="0"/>
              <w:divBdr>
                <w:top w:val="none" w:sz="0" w:space="0" w:color="auto"/>
                <w:left w:val="none" w:sz="0" w:space="0" w:color="auto"/>
                <w:bottom w:val="none" w:sz="0" w:space="0" w:color="auto"/>
                <w:right w:val="none" w:sz="0" w:space="0" w:color="auto"/>
              </w:divBdr>
            </w:div>
          </w:divsChild>
        </w:div>
        <w:div w:id="569267114">
          <w:marLeft w:val="0"/>
          <w:marRight w:val="0"/>
          <w:marTop w:val="0"/>
          <w:marBottom w:val="0"/>
          <w:divBdr>
            <w:top w:val="none" w:sz="0" w:space="0" w:color="auto"/>
            <w:left w:val="none" w:sz="0" w:space="0" w:color="auto"/>
            <w:bottom w:val="none" w:sz="0" w:space="0" w:color="auto"/>
            <w:right w:val="none" w:sz="0" w:space="0" w:color="auto"/>
          </w:divBdr>
          <w:divsChild>
            <w:div w:id="256445258">
              <w:marLeft w:val="0"/>
              <w:marRight w:val="0"/>
              <w:marTop w:val="0"/>
              <w:marBottom w:val="0"/>
              <w:divBdr>
                <w:top w:val="none" w:sz="0" w:space="0" w:color="auto"/>
                <w:left w:val="none" w:sz="0" w:space="0" w:color="auto"/>
                <w:bottom w:val="none" w:sz="0" w:space="0" w:color="auto"/>
                <w:right w:val="none" w:sz="0" w:space="0" w:color="auto"/>
              </w:divBdr>
            </w:div>
          </w:divsChild>
        </w:div>
        <w:div w:id="593632895">
          <w:marLeft w:val="0"/>
          <w:marRight w:val="0"/>
          <w:marTop w:val="0"/>
          <w:marBottom w:val="0"/>
          <w:divBdr>
            <w:top w:val="none" w:sz="0" w:space="0" w:color="auto"/>
            <w:left w:val="none" w:sz="0" w:space="0" w:color="auto"/>
            <w:bottom w:val="none" w:sz="0" w:space="0" w:color="auto"/>
            <w:right w:val="none" w:sz="0" w:space="0" w:color="auto"/>
          </w:divBdr>
          <w:divsChild>
            <w:div w:id="999963943">
              <w:marLeft w:val="0"/>
              <w:marRight w:val="0"/>
              <w:marTop w:val="0"/>
              <w:marBottom w:val="0"/>
              <w:divBdr>
                <w:top w:val="none" w:sz="0" w:space="0" w:color="auto"/>
                <w:left w:val="none" w:sz="0" w:space="0" w:color="auto"/>
                <w:bottom w:val="none" w:sz="0" w:space="0" w:color="auto"/>
                <w:right w:val="none" w:sz="0" w:space="0" w:color="auto"/>
              </w:divBdr>
            </w:div>
          </w:divsChild>
        </w:div>
        <w:div w:id="656299448">
          <w:marLeft w:val="0"/>
          <w:marRight w:val="0"/>
          <w:marTop w:val="0"/>
          <w:marBottom w:val="0"/>
          <w:divBdr>
            <w:top w:val="none" w:sz="0" w:space="0" w:color="auto"/>
            <w:left w:val="none" w:sz="0" w:space="0" w:color="auto"/>
            <w:bottom w:val="none" w:sz="0" w:space="0" w:color="auto"/>
            <w:right w:val="none" w:sz="0" w:space="0" w:color="auto"/>
          </w:divBdr>
          <w:divsChild>
            <w:div w:id="2147113961">
              <w:marLeft w:val="0"/>
              <w:marRight w:val="0"/>
              <w:marTop w:val="0"/>
              <w:marBottom w:val="0"/>
              <w:divBdr>
                <w:top w:val="none" w:sz="0" w:space="0" w:color="auto"/>
                <w:left w:val="none" w:sz="0" w:space="0" w:color="auto"/>
                <w:bottom w:val="none" w:sz="0" w:space="0" w:color="auto"/>
                <w:right w:val="none" w:sz="0" w:space="0" w:color="auto"/>
              </w:divBdr>
            </w:div>
          </w:divsChild>
        </w:div>
        <w:div w:id="782848093">
          <w:marLeft w:val="0"/>
          <w:marRight w:val="0"/>
          <w:marTop w:val="0"/>
          <w:marBottom w:val="0"/>
          <w:divBdr>
            <w:top w:val="none" w:sz="0" w:space="0" w:color="auto"/>
            <w:left w:val="none" w:sz="0" w:space="0" w:color="auto"/>
            <w:bottom w:val="none" w:sz="0" w:space="0" w:color="auto"/>
            <w:right w:val="none" w:sz="0" w:space="0" w:color="auto"/>
          </w:divBdr>
          <w:divsChild>
            <w:div w:id="219634125">
              <w:marLeft w:val="0"/>
              <w:marRight w:val="0"/>
              <w:marTop w:val="0"/>
              <w:marBottom w:val="0"/>
              <w:divBdr>
                <w:top w:val="none" w:sz="0" w:space="0" w:color="auto"/>
                <w:left w:val="none" w:sz="0" w:space="0" w:color="auto"/>
                <w:bottom w:val="none" w:sz="0" w:space="0" w:color="auto"/>
                <w:right w:val="none" w:sz="0" w:space="0" w:color="auto"/>
              </w:divBdr>
            </w:div>
          </w:divsChild>
        </w:div>
        <w:div w:id="935986716">
          <w:marLeft w:val="0"/>
          <w:marRight w:val="0"/>
          <w:marTop w:val="0"/>
          <w:marBottom w:val="0"/>
          <w:divBdr>
            <w:top w:val="none" w:sz="0" w:space="0" w:color="auto"/>
            <w:left w:val="none" w:sz="0" w:space="0" w:color="auto"/>
            <w:bottom w:val="none" w:sz="0" w:space="0" w:color="auto"/>
            <w:right w:val="none" w:sz="0" w:space="0" w:color="auto"/>
          </w:divBdr>
          <w:divsChild>
            <w:div w:id="181819459">
              <w:marLeft w:val="0"/>
              <w:marRight w:val="0"/>
              <w:marTop w:val="0"/>
              <w:marBottom w:val="0"/>
              <w:divBdr>
                <w:top w:val="none" w:sz="0" w:space="0" w:color="auto"/>
                <w:left w:val="none" w:sz="0" w:space="0" w:color="auto"/>
                <w:bottom w:val="none" w:sz="0" w:space="0" w:color="auto"/>
                <w:right w:val="none" w:sz="0" w:space="0" w:color="auto"/>
              </w:divBdr>
            </w:div>
            <w:div w:id="205026556">
              <w:marLeft w:val="0"/>
              <w:marRight w:val="0"/>
              <w:marTop w:val="0"/>
              <w:marBottom w:val="0"/>
              <w:divBdr>
                <w:top w:val="none" w:sz="0" w:space="0" w:color="auto"/>
                <w:left w:val="none" w:sz="0" w:space="0" w:color="auto"/>
                <w:bottom w:val="none" w:sz="0" w:space="0" w:color="auto"/>
                <w:right w:val="none" w:sz="0" w:space="0" w:color="auto"/>
              </w:divBdr>
            </w:div>
          </w:divsChild>
        </w:div>
        <w:div w:id="1134786138">
          <w:marLeft w:val="0"/>
          <w:marRight w:val="0"/>
          <w:marTop w:val="0"/>
          <w:marBottom w:val="0"/>
          <w:divBdr>
            <w:top w:val="none" w:sz="0" w:space="0" w:color="auto"/>
            <w:left w:val="none" w:sz="0" w:space="0" w:color="auto"/>
            <w:bottom w:val="none" w:sz="0" w:space="0" w:color="auto"/>
            <w:right w:val="none" w:sz="0" w:space="0" w:color="auto"/>
          </w:divBdr>
          <w:divsChild>
            <w:div w:id="1158303301">
              <w:marLeft w:val="0"/>
              <w:marRight w:val="0"/>
              <w:marTop w:val="0"/>
              <w:marBottom w:val="0"/>
              <w:divBdr>
                <w:top w:val="none" w:sz="0" w:space="0" w:color="auto"/>
                <w:left w:val="none" w:sz="0" w:space="0" w:color="auto"/>
                <w:bottom w:val="none" w:sz="0" w:space="0" w:color="auto"/>
                <w:right w:val="none" w:sz="0" w:space="0" w:color="auto"/>
              </w:divBdr>
            </w:div>
          </w:divsChild>
        </w:div>
        <w:div w:id="1292203413">
          <w:marLeft w:val="0"/>
          <w:marRight w:val="0"/>
          <w:marTop w:val="0"/>
          <w:marBottom w:val="0"/>
          <w:divBdr>
            <w:top w:val="none" w:sz="0" w:space="0" w:color="auto"/>
            <w:left w:val="none" w:sz="0" w:space="0" w:color="auto"/>
            <w:bottom w:val="none" w:sz="0" w:space="0" w:color="auto"/>
            <w:right w:val="none" w:sz="0" w:space="0" w:color="auto"/>
          </w:divBdr>
          <w:divsChild>
            <w:div w:id="130486208">
              <w:marLeft w:val="0"/>
              <w:marRight w:val="0"/>
              <w:marTop w:val="0"/>
              <w:marBottom w:val="0"/>
              <w:divBdr>
                <w:top w:val="none" w:sz="0" w:space="0" w:color="auto"/>
                <w:left w:val="none" w:sz="0" w:space="0" w:color="auto"/>
                <w:bottom w:val="none" w:sz="0" w:space="0" w:color="auto"/>
                <w:right w:val="none" w:sz="0" w:space="0" w:color="auto"/>
              </w:divBdr>
            </w:div>
          </w:divsChild>
        </w:div>
        <w:div w:id="1507398140">
          <w:marLeft w:val="0"/>
          <w:marRight w:val="0"/>
          <w:marTop w:val="0"/>
          <w:marBottom w:val="0"/>
          <w:divBdr>
            <w:top w:val="none" w:sz="0" w:space="0" w:color="auto"/>
            <w:left w:val="none" w:sz="0" w:space="0" w:color="auto"/>
            <w:bottom w:val="none" w:sz="0" w:space="0" w:color="auto"/>
            <w:right w:val="none" w:sz="0" w:space="0" w:color="auto"/>
          </w:divBdr>
          <w:divsChild>
            <w:div w:id="1253395433">
              <w:marLeft w:val="0"/>
              <w:marRight w:val="0"/>
              <w:marTop w:val="0"/>
              <w:marBottom w:val="0"/>
              <w:divBdr>
                <w:top w:val="none" w:sz="0" w:space="0" w:color="auto"/>
                <w:left w:val="none" w:sz="0" w:space="0" w:color="auto"/>
                <w:bottom w:val="none" w:sz="0" w:space="0" w:color="auto"/>
                <w:right w:val="none" w:sz="0" w:space="0" w:color="auto"/>
              </w:divBdr>
            </w:div>
          </w:divsChild>
        </w:div>
        <w:div w:id="1558974384">
          <w:marLeft w:val="0"/>
          <w:marRight w:val="0"/>
          <w:marTop w:val="0"/>
          <w:marBottom w:val="0"/>
          <w:divBdr>
            <w:top w:val="none" w:sz="0" w:space="0" w:color="auto"/>
            <w:left w:val="none" w:sz="0" w:space="0" w:color="auto"/>
            <w:bottom w:val="none" w:sz="0" w:space="0" w:color="auto"/>
            <w:right w:val="none" w:sz="0" w:space="0" w:color="auto"/>
          </w:divBdr>
          <w:divsChild>
            <w:div w:id="835195933">
              <w:marLeft w:val="0"/>
              <w:marRight w:val="0"/>
              <w:marTop w:val="0"/>
              <w:marBottom w:val="0"/>
              <w:divBdr>
                <w:top w:val="none" w:sz="0" w:space="0" w:color="auto"/>
                <w:left w:val="none" w:sz="0" w:space="0" w:color="auto"/>
                <w:bottom w:val="none" w:sz="0" w:space="0" w:color="auto"/>
                <w:right w:val="none" w:sz="0" w:space="0" w:color="auto"/>
              </w:divBdr>
            </w:div>
            <w:div w:id="967012102">
              <w:marLeft w:val="0"/>
              <w:marRight w:val="0"/>
              <w:marTop w:val="0"/>
              <w:marBottom w:val="0"/>
              <w:divBdr>
                <w:top w:val="none" w:sz="0" w:space="0" w:color="auto"/>
                <w:left w:val="none" w:sz="0" w:space="0" w:color="auto"/>
                <w:bottom w:val="none" w:sz="0" w:space="0" w:color="auto"/>
                <w:right w:val="none" w:sz="0" w:space="0" w:color="auto"/>
              </w:divBdr>
            </w:div>
          </w:divsChild>
        </w:div>
        <w:div w:id="1613709446">
          <w:marLeft w:val="0"/>
          <w:marRight w:val="0"/>
          <w:marTop w:val="0"/>
          <w:marBottom w:val="0"/>
          <w:divBdr>
            <w:top w:val="none" w:sz="0" w:space="0" w:color="auto"/>
            <w:left w:val="none" w:sz="0" w:space="0" w:color="auto"/>
            <w:bottom w:val="none" w:sz="0" w:space="0" w:color="auto"/>
            <w:right w:val="none" w:sz="0" w:space="0" w:color="auto"/>
          </w:divBdr>
          <w:divsChild>
            <w:div w:id="1905331390">
              <w:marLeft w:val="0"/>
              <w:marRight w:val="0"/>
              <w:marTop w:val="0"/>
              <w:marBottom w:val="0"/>
              <w:divBdr>
                <w:top w:val="none" w:sz="0" w:space="0" w:color="auto"/>
                <w:left w:val="none" w:sz="0" w:space="0" w:color="auto"/>
                <w:bottom w:val="none" w:sz="0" w:space="0" w:color="auto"/>
                <w:right w:val="none" w:sz="0" w:space="0" w:color="auto"/>
              </w:divBdr>
            </w:div>
          </w:divsChild>
        </w:div>
        <w:div w:id="1719160076">
          <w:marLeft w:val="0"/>
          <w:marRight w:val="0"/>
          <w:marTop w:val="0"/>
          <w:marBottom w:val="0"/>
          <w:divBdr>
            <w:top w:val="none" w:sz="0" w:space="0" w:color="auto"/>
            <w:left w:val="none" w:sz="0" w:space="0" w:color="auto"/>
            <w:bottom w:val="none" w:sz="0" w:space="0" w:color="auto"/>
            <w:right w:val="none" w:sz="0" w:space="0" w:color="auto"/>
          </w:divBdr>
          <w:divsChild>
            <w:div w:id="990867283">
              <w:marLeft w:val="0"/>
              <w:marRight w:val="0"/>
              <w:marTop w:val="0"/>
              <w:marBottom w:val="0"/>
              <w:divBdr>
                <w:top w:val="none" w:sz="0" w:space="0" w:color="auto"/>
                <w:left w:val="none" w:sz="0" w:space="0" w:color="auto"/>
                <w:bottom w:val="none" w:sz="0" w:space="0" w:color="auto"/>
                <w:right w:val="none" w:sz="0" w:space="0" w:color="auto"/>
              </w:divBdr>
            </w:div>
            <w:div w:id="1792239715">
              <w:marLeft w:val="0"/>
              <w:marRight w:val="0"/>
              <w:marTop w:val="0"/>
              <w:marBottom w:val="0"/>
              <w:divBdr>
                <w:top w:val="none" w:sz="0" w:space="0" w:color="auto"/>
                <w:left w:val="none" w:sz="0" w:space="0" w:color="auto"/>
                <w:bottom w:val="none" w:sz="0" w:space="0" w:color="auto"/>
                <w:right w:val="none" w:sz="0" w:space="0" w:color="auto"/>
              </w:divBdr>
            </w:div>
          </w:divsChild>
        </w:div>
        <w:div w:id="1784837925">
          <w:marLeft w:val="0"/>
          <w:marRight w:val="0"/>
          <w:marTop w:val="0"/>
          <w:marBottom w:val="0"/>
          <w:divBdr>
            <w:top w:val="none" w:sz="0" w:space="0" w:color="auto"/>
            <w:left w:val="none" w:sz="0" w:space="0" w:color="auto"/>
            <w:bottom w:val="none" w:sz="0" w:space="0" w:color="auto"/>
            <w:right w:val="none" w:sz="0" w:space="0" w:color="auto"/>
          </w:divBdr>
          <w:divsChild>
            <w:div w:id="775903151">
              <w:marLeft w:val="0"/>
              <w:marRight w:val="0"/>
              <w:marTop w:val="0"/>
              <w:marBottom w:val="0"/>
              <w:divBdr>
                <w:top w:val="none" w:sz="0" w:space="0" w:color="auto"/>
                <w:left w:val="none" w:sz="0" w:space="0" w:color="auto"/>
                <w:bottom w:val="none" w:sz="0" w:space="0" w:color="auto"/>
                <w:right w:val="none" w:sz="0" w:space="0" w:color="auto"/>
              </w:divBdr>
            </w:div>
          </w:divsChild>
        </w:div>
        <w:div w:id="1983923590">
          <w:marLeft w:val="0"/>
          <w:marRight w:val="0"/>
          <w:marTop w:val="0"/>
          <w:marBottom w:val="0"/>
          <w:divBdr>
            <w:top w:val="none" w:sz="0" w:space="0" w:color="auto"/>
            <w:left w:val="none" w:sz="0" w:space="0" w:color="auto"/>
            <w:bottom w:val="none" w:sz="0" w:space="0" w:color="auto"/>
            <w:right w:val="none" w:sz="0" w:space="0" w:color="auto"/>
          </w:divBdr>
          <w:divsChild>
            <w:div w:id="782848472">
              <w:marLeft w:val="0"/>
              <w:marRight w:val="0"/>
              <w:marTop w:val="0"/>
              <w:marBottom w:val="0"/>
              <w:divBdr>
                <w:top w:val="none" w:sz="0" w:space="0" w:color="auto"/>
                <w:left w:val="none" w:sz="0" w:space="0" w:color="auto"/>
                <w:bottom w:val="none" w:sz="0" w:space="0" w:color="auto"/>
                <w:right w:val="none" w:sz="0" w:space="0" w:color="auto"/>
              </w:divBdr>
            </w:div>
            <w:div w:id="1012561576">
              <w:marLeft w:val="0"/>
              <w:marRight w:val="0"/>
              <w:marTop w:val="0"/>
              <w:marBottom w:val="0"/>
              <w:divBdr>
                <w:top w:val="none" w:sz="0" w:space="0" w:color="auto"/>
                <w:left w:val="none" w:sz="0" w:space="0" w:color="auto"/>
                <w:bottom w:val="none" w:sz="0" w:space="0" w:color="auto"/>
                <w:right w:val="none" w:sz="0" w:space="0" w:color="auto"/>
              </w:divBdr>
            </w:div>
          </w:divsChild>
        </w:div>
        <w:div w:id="1993948697">
          <w:marLeft w:val="0"/>
          <w:marRight w:val="0"/>
          <w:marTop w:val="0"/>
          <w:marBottom w:val="0"/>
          <w:divBdr>
            <w:top w:val="none" w:sz="0" w:space="0" w:color="auto"/>
            <w:left w:val="none" w:sz="0" w:space="0" w:color="auto"/>
            <w:bottom w:val="none" w:sz="0" w:space="0" w:color="auto"/>
            <w:right w:val="none" w:sz="0" w:space="0" w:color="auto"/>
          </w:divBdr>
          <w:divsChild>
            <w:div w:id="1957101744">
              <w:marLeft w:val="0"/>
              <w:marRight w:val="0"/>
              <w:marTop w:val="0"/>
              <w:marBottom w:val="0"/>
              <w:divBdr>
                <w:top w:val="none" w:sz="0" w:space="0" w:color="auto"/>
                <w:left w:val="none" w:sz="0" w:space="0" w:color="auto"/>
                <w:bottom w:val="none" w:sz="0" w:space="0" w:color="auto"/>
                <w:right w:val="none" w:sz="0" w:space="0" w:color="auto"/>
              </w:divBdr>
            </w:div>
          </w:divsChild>
        </w:div>
        <w:div w:id="2124184383">
          <w:marLeft w:val="0"/>
          <w:marRight w:val="0"/>
          <w:marTop w:val="0"/>
          <w:marBottom w:val="0"/>
          <w:divBdr>
            <w:top w:val="none" w:sz="0" w:space="0" w:color="auto"/>
            <w:left w:val="none" w:sz="0" w:space="0" w:color="auto"/>
            <w:bottom w:val="none" w:sz="0" w:space="0" w:color="auto"/>
            <w:right w:val="none" w:sz="0" w:space="0" w:color="auto"/>
          </w:divBdr>
          <w:divsChild>
            <w:div w:id="1627152510">
              <w:marLeft w:val="0"/>
              <w:marRight w:val="0"/>
              <w:marTop w:val="0"/>
              <w:marBottom w:val="0"/>
              <w:divBdr>
                <w:top w:val="none" w:sz="0" w:space="0" w:color="auto"/>
                <w:left w:val="none" w:sz="0" w:space="0" w:color="auto"/>
                <w:bottom w:val="none" w:sz="0" w:space="0" w:color="auto"/>
                <w:right w:val="none" w:sz="0" w:space="0" w:color="auto"/>
              </w:divBdr>
            </w:div>
            <w:div w:id="16973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19670034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420759280">
      <w:bodyDiv w:val="1"/>
      <w:marLeft w:val="0"/>
      <w:marRight w:val="0"/>
      <w:marTop w:val="0"/>
      <w:marBottom w:val="0"/>
      <w:divBdr>
        <w:top w:val="none" w:sz="0" w:space="0" w:color="auto"/>
        <w:left w:val="none" w:sz="0" w:space="0" w:color="auto"/>
        <w:bottom w:val="none" w:sz="0" w:space="0" w:color="auto"/>
        <w:right w:val="none" w:sz="0" w:space="0" w:color="auto"/>
      </w:divBdr>
      <w:divsChild>
        <w:div w:id="465976608">
          <w:marLeft w:val="0"/>
          <w:marRight w:val="0"/>
          <w:marTop w:val="0"/>
          <w:marBottom w:val="0"/>
          <w:divBdr>
            <w:top w:val="none" w:sz="0" w:space="0" w:color="auto"/>
            <w:left w:val="none" w:sz="0" w:space="0" w:color="auto"/>
            <w:bottom w:val="none" w:sz="0" w:space="0" w:color="auto"/>
            <w:right w:val="none" w:sz="0" w:space="0" w:color="auto"/>
          </w:divBdr>
        </w:div>
        <w:div w:id="2058432196">
          <w:marLeft w:val="0"/>
          <w:marRight w:val="0"/>
          <w:marTop w:val="0"/>
          <w:marBottom w:val="0"/>
          <w:divBdr>
            <w:top w:val="none" w:sz="0" w:space="0" w:color="auto"/>
            <w:left w:val="none" w:sz="0" w:space="0" w:color="auto"/>
            <w:bottom w:val="none" w:sz="0" w:space="0" w:color="auto"/>
            <w:right w:val="none" w:sz="0" w:space="0" w:color="auto"/>
          </w:divBdr>
        </w:div>
        <w:div w:id="2109230125">
          <w:marLeft w:val="0"/>
          <w:marRight w:val="0"/>
          <w:marTop w:val="0"/>
          <w:marBottom w:val="0"/>
          <w:divBdr>
            <w:top w:val="none" w:sz="0" w:space="0" w:color="auto"/>
            <w:left w:val="none" w:sz="0" w:space="0" w:color="auto"/>
            <w:bottom w:val="none" w:sz="0" w:space="0" w:color="auto"/>
            <w:right w:val="none" w:sz="0" w:space="0" w:color="auto"/>
          </w:divBdr>
        </w:div>
      </w:divsChild>
    </w:div>
    <w:div w:id="777329683">
      <w:bodyDiv w:val="1"/>
      <w:marLeft w:val="0"/>
      <w:marRight w:val="0"/>
      <w:marTop w:val="0"/>
      <w:marBottom w:val="0"/>
      <w:divBdr>
        <w:top w:val="none" w:sz="0" w:space="0" w:color="auto"/>
        <w:left w:val="none" w:sz="0" w:space="0" w:color="auto"/>
        <w:bottom w:val="none" w:sz="0" w:space="0" w:color="auto"/>
        <w:right w:val="none" w:sz="0" w:space="0" w:color="auto"/>
      </w:divBdr>
      <w:divsChild>
        <w:div w:id="632636856">
          <w:marLeft w:val="0"/>
          <w:marRight w:val="0"/>
          <w:marTop w:val="0"/>
          <w:marBottom w:val="0"/>
          <w:divBdr>
            <w:top w:val="none" w:sz="0" w:space="0" w:color="auto"/>
            <w:left w:val="none" w:sz="0" w:space="0" w:color="auto"/>
            <w:bottom w:val="none" w:sz="0" w:space="0" w:color="auto"/>
            <w:right w:val="none" w:sz="0" w:space="0" w:color="auto"/>
          </w:divBdr>
        </w:div>
        <w:div w:id="871235692">
          <w:marLeft w:val="0"/>
          <w:marRight w:val="0"/>
          <w:marTop w:val="0"/>
          <w:marBottom w:val="0"/>
          <w:divBdr>
            <w:top w:val="none" w:sz="0" w:space="0" w:color="auto"/>
            <w:left w:val="none" w:sz="0" w:space="0" w:color="auto"/>
            <w:bottom w:val="none" w:sz="0" w:space="0" w:color="auto"/>
            <w:right w:val="none" w:sz="0" w:space="0" w:color="auto"/>
          </w:divBdr>
        </w:div>
      </w:divsChild>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940336447">
      <w:bodyDiv w:val="1"/>
      <w:marLeft w:val="0"/>
      <w:marRight w:val="0"/>
      <w:marTop w:val="0"/>
      <w:marBottom w:val="0"/>
      <w:divBdr>
        <w:top w:val="none" w:sz="0" w:space="0" w:color="auto"/>
        <w:left w:val="none" w:sz="0" w:space="0" w:color="auto"/>
        <w:bottom w:val="none" w:sz="0" w:space="0" w:color="auto"/>
        <w:right w:val="none" w:sz="0" w:space="0" w:color="auto"/>
      </w:divBdr>
      <w:divsChild>
        <w:div w:id="66926388">
          <w:marLeft w:val="0"/>
          <w:marRight w:val="0"/>
          <w:marTop w:val="0"/>
          <w:marBottom w:val="0"/>
          <w:divBdr>
            <w:top w:val="none" w:sz="0" w:space="0" w:color="auto"/>
            <w:left w:val="none" w:sz="0" w:space="0" w:color="auto"/>
            <w:bottom w:val="none" w:sz="0" w:space="0" w:color="auto"/>
            <w:right w:val="none" w:sz="0" w:space="0" w:color="auto"/>
          </w:divBdr>
          <w:divsChild>
            <w:div w:id="822619369">
              <w:marLeft w:val="0"/>
              <w:marRight w:val="0"/>
              <w:marTop w:val="0"/>
              <w:marBottom w:val="0"/>
              <w:divBdr>
                <w:top w:val="none" w:sz="0" w:space="0" w:color="auto"/>
                <w:left w:val="none" w:sz="0" w:space="0" w:color="auto"/>
                <w:bottom w:val="none" w:sz="0" w:space="0" w:color="auto"/>
                <w:right w:val="none" w:sz="0" w:space="0" w:color="auto"/>
              </w:divBdr>
            </w:div>
          </w:divsChild>
        </w:div>
        <w:div w:id="105001614">
          <w:marLeft w:val="0"/>
          <w:marRight w:val="0"/>
          <w:marTop w:val="0"/>
          <w:marBottom w:val="0"/>
          <w:divBdr>
            <w:top w:val="none" w:sz="0" w:space="0" w:color="auto"/>
            <w:left w:val="none" w:sz="0" w:space="0" w:color="auto"/>
            <w:bottom w:val="none" w:sz="0" w:space="0" w:color="auto"/>
            <w:right w:val="none" w:sz="0" w:space="0" w:color="auto"/>
          </w:divBdr>
          <w:divsChild>
            <w:div w:id="803737671">
              <w:marLeft w:val="0"/>
              <w:marRight w:val="0"/>
              <w:marTop w:val="0"/>
              <w:marBottom w:val="0"/>
              <w:divBdr>
                <w:top w:val="none" w:sz="0" w:space="0" w:color="auto"/>
                <w:left w:val="none" w:sz="0" w:space="0" w:color="auto"/>
                <w:bottom w:val="none" w:sz="0" w:space="0" w:color="auto"/>
                <w:right w:val="none" w:sz="0" w:space="0" w:color="auto"/>
              </w:divBdr>
            </w:div>
            <w:div w:id="2022969937">
              <w:marLeft w:val="0"/>
              <w:marRight w:val="0"/>
              <w:marTop w:val="0"/>
              <w:marBottom w:val="0"/>
              <w:divBdr>
                <w:top w:val="none" w:sz="0" w:space="0" w:color="auto"/>
                <w:left w:val="none" w:sz="0" w:space="0" w:color="auto"/>
                <w:bottom w:val="none" w:sz="0" w:space="0" w:color="auto"/>
                <w:right w:val="none" w:sz="0" w:space="0" w:color="auto"/>
              </w:divBdr>
            </w:div>
          </w:divsChild>
        </w:div>
        <w:div w:id="241447861">
          <w:marLeft w:val="0"/>
          <w:marRight w:val="0"/>
          <w:marTop w:val="0"/>
          <w:marBottom w:val="0"/>
          <w:divBdr>
            <w:top w:val="none" w:sz="0" w:space="0" w:color="auto"/>
            <w:left w:val="none" w:sz="0" w:space="0" w:color="auto"/>
            <w:bottom w:val="none" w:sz="0" w:space="0" w:color="auto"/>
            <w:right w:val="none" w:sz="0" w:space="0" w:color="auto"/>
          </w:divBdr>
          <w:divsChild>
            <w:div w:id="2100904785">
              <w:marLeft w:val="0"/>
              <w:marRight w:val="0"/>
              <w:marTop w:val="0"/>
              <w:marBottom w:val="0"/>
              <w:divBdr>
                <w:top w:val="none" w:sz="0" w:space="0" w:color="auto"/>
                <w:left w:val="none" w:sz="0" w:space="0" w:color="auto"/>
                <w:bottom w:val="none" w:sz="0" w:space="0" w:color="auto"/>
                <w:right w:val="none" w:sz="0" w:space="0" w:color="auto"/>
              </w:divBdr>
            </w:div>
          </w:divsChild>
        </w:div>
        <w:div w:id="353073578">
          <w:marLeft w:val="0"/>
          <w:marRight w:val="0"/>
          <w:marTop w:val="0"/>
          <w:marBottom w:val="0"/>
          <w:divBdr>
            <w:top w:val="none" w:sz="0" w:space="0" w:color="auto"/>
            <w:left w:val="none" w:sz="0" w:space="0" w:color="auto"/>
            <w:bottom w:val="none" w:sz="0" w:space="0" w:color="auto"/>
            <w:right w:val="none" w:sz="0" w:space="0" w:color="auto"/>
          </w:divBdr>
          <w:divsChild>
            <w:div w:id="341712792">
              <w:marLeft w:val="0"/>
              <w:marRight w:val="0"/>
              <w:marTop w:val="0"/>
              <w:marBottom w:val="0"/>
              <w:divBdr>
                <w:top w:val="none" w:sz="0" w:space="0" w:color="auto"/>
                <w:left w:val="none" w:sz="0" w:space="0" w:color="auto"/>
                <w:bottom w:val="none" w:sz="0" w:space="0" w:color="auto"/>
                <w:right w:val="none" w:sz="0" w:space="0" w:color="auto"/>
              </w:divBdr>
            </w:div>
            <w:div w:id="1563590502">
              <w:marLeft w:val="0"/>
              <w:marRight w:val="0"/>
              <w:marTop w:val="0"/>
              <w:marBottom w:val="0"/>
              <w:divBdr>
                <w:top w:val="none" w:sz="0" w:space="0" w:color="auto"/>
                <w:left w:val="none" w:sz="0" w:space="0" w:color="auto"/>
                <w:bottom w:val="none" w:sz="0" w:space="0" w:color="auto"/>
                <w:right w:val="none" w:sz="0" w:space="0" w:color="auto"/>
              </w:divBdr>
            </w:div>
          </w:divsChild>
        </w:div>
        <w:div w:id="523175346">
          <w:marLeft w:val="0"/>
          <w:marRight w:val="0"/>
          <w:marTop w:val="0"/>
          <w:marBottom w:val="0"/>
          <w:divBdr>
            <w:top w:val="none" w:sz="0" w:space="0" w:color="auto"/>
            <w:left w:val="none" w:sz="0" w:space="0" w:color="auto"/>
            <w:bottom w:val="none" w:sz="0" w:space="0" w:color="auto"/>
            <w:right w:val="none" w:sz="0" w:space="0" w:color="auto"/>
          </w:divBdr>
          <w:divsChild>
            <w:div w:id="1422801464">
              <w:marLeft w:val="0"/>
              <w:marRight w:val="0"/>
              <w:marTop w:val="0"/>
              <w:marBottom w:val="0"/>
              <w:divBdr>
                <w:top w:val="none" w:sz="0" w:space="0" w:color="auto"/>
                <w:left w:val="none" w:sz="0" w:space="0" w:color="auto"/>
                <w:bottom w:val="none" w:sz="0" w:space="0" w:color="auto"/>
                <w:right w:val="none" w:sz="0" w:space="0" w:color="auto"/>
              </w:divBdr>
            </w:div>
          </w:divsChild>
        </w:div>
        <w:div w:id="596716260">
          <w:marLeft w:val="0"/>
          <w:marRight w:val="0"/>
          <w:marTop w:val="0"/>
          <w:marBottom w:val="0"/>
          <w:divBdr>
            <w:top w:val="none" w:sz="0" w:space="0" w:color="auto"/>
            <w:left w:val="none" w:sz="0" w:space="0" w:color="auto"/>
            <w:bottom w:val="none" w:sz="0" w:space="0" w:color="auto"/>
            <w:right w:val="none" w:sz="0" w:space="0" w:color="auto"/>
          </w:divBdr>
          <w:divsChild>
            <w:div w:id="1254972460">
              <w:marLeft w:val="0"/>
              <w:marRight w:val="0"/>
              <w:marTop w:val="0"/>
              <w:marBottom w:val="0"/>
              <w:divBdr>
                <w:top w:val="none" w:sz="0" w:space="0" w:color="auto"/>
                <w:left w:val="none" w:sz="0" w:space="0" w:color="auto"/>
                <w:bottom w:val="none" w:sz="0" w:space="0" w:color="auto"/>
                <w:right w:val="none" w:sz="0" w:space="0" w:color="auto"/>
              </w:divBdr>
            </w:div>
          </w:divsChild>
        </w:div>
        <w:div w:id="636569683">
          <w:marLeft w:val="0"/>
          <w:marRight w:val="0"/>
          <w:marTop w:val="0"/>
          <w:marBottom w:val="0"/>
          <w:divBdr>
            <w:top w:val="none" w:sz="0" w:space="0" w:color="auto"/>
            <w:left w:val="none" w:sz="0" w:space="0" w:color="auto"/>
            <w:bottom w:val="none" w:sz="0" w:space="0" w:color="auto"/>
            <w:right w:val="none" w:sz="0" w:space="0" w:color="auto"/>
          </w:divBdr>
          <w:divsChild>
            <w:div w:id="460462690">
              <w:marLeft w:val="0"/>
              <w:marRight w:val="0"/>
              <w:marTop w:val="0"/>
              <w:marBottom w:val="0"/>
              <w:divBdr>
                <w:top w:val="none" w:sz="0" w:space="0" w:color="auto"/>
                <w:left w:val="none" w:sz="0" w:space="0" w:color="auto"/>
                <w:bottom w:val="none" w:sz="0" w:space="0" w:color="auto"/>
                <w:right w:val="none" w:sz="0" w:space="0" w:color="auto"/>
              </w:divBdr>
            </w:div>
          </w:divsChild>
        </w:div>
        <w:div w:id="771702350">
          <w:marLeft w:val="0"/>
          <w:marRight w:val="0"/>
          <w:marTop w:val="0"/>
          <w:marBottom w:val="0"/>
          <w:divBdr>
            <w:top w:val="none" w:sz="0" w:space="0" w:color="auto"/>
            <w:left w:val="none" w:sz="0" w:space="0" w:color="auto"/>
            <w:bottom w:val="none" w:sz="0" w:space="0" w:color="auto"/>
            <w:right w:val="none" w:sz="0" w:space="0" w:color="auto"/>
          </w:divBdr>
          <w:divsChild>
            <w:div w:id="1286539526">
              <w:marLeft w:val="0"/>
              <w:marRight w:val="0"/>
              <w:marTop w:val="0"/>
              <w:marBottom w:val="0"/>
              <w:divBdr>
                <w:top w:val="none" w:sz="0" w:space="0" w:color="auto"/>
                <w:left w:val="none" w:sz="0" w:space="0" w:color="auto"/>
                <w:bottom w:val="none" w:sz="0" w:space="0" w:color="auto"/>
                <w:right w:val="none" w:sz="0" w:space="0" w:color="auto"/>
              </w:divBdr>
            </w:div>
          </w:divsChild>
        </w:div>
        <w:div w:id="791050647">
          <w:marLeft w:val="0"/>
          <w:marRight w:val="0"/>
          <w:marTop w:val="0"/>
          <w:marBottom w:val="0"/>
          <w:divBdr>
            <w:top w:val="none" w:sz="0" w:space="0" w:color="auto"/>
            <w:left w:val="none" w:sz="0" w:space="0" w:color="auto"/>
            <w:bottom w:val="none" w:sz="0" w:space="0" w:color="auto"/>
            <w:right w:val="none" w:sz="0" w:space="0" w:color="auto"/>
          </w:divBdr>
          <w:divsChild>
            <w:div w:id="246816304">
              <w:marLeft w:val="0"/>
              <w:marRight w:val="0"/>
              <w:marTop w:val="0"/>
              <w:marBottom w:val="0"/>
              <w:divBdr>
                <w:top w:val="none" w:sz="0" w:space="0" w:color="auto"/>
                <w:left w:val="none" w:sz="0" w:space="0" w:color="auto"/>
                <w:bottom w:val="none" w:sz="0" w:space="0" w:color="auto"/>
                <w:right w:val="none" w:sz="0" w:space="0" w:color="auto"/>
              </w:divBdr>
            </w:div>
          </w:divsChild>
        </w:div>
        <w:div w:id="887841183">
          <w:marLeft w:val="0"/>
          <w:marRight w:val="0"/>
          <w:marTop w:val="0"/>
          <w:marBottom w:val="0"/>
          <w:divBdr>
            <w:top w:val="none" w:sz="0" w:space="0" w:color="auto"/>
            <w:left w:val="none" w:sz="0" w:space="0" w:color="auto"/>
            <w:bottom w:val="none" w:sz="0" w:space="0" w:color="auto"/>
            <w:right w:val="none" w:sz="0" w:space="0" w:color="auto"/>
          </w:divBdr>
          <w:divsChild>
            <w:div w:id="618414930">
              <w:marLeft w:val="0"/>
              <w:marRight w:val="0"/>
              <w:marTop w:val="0"/>
              <w:marBottom w:val="0"/>
              <w:divBdr>
                <w:top w:val="none" w:sz="0" w:space="0" w:color="auto"/>
                <w:left w:val="none" w:sz="0" w:space="0" w:color="auto"/>
                <w:bottom w:val="none" w:sz="0" w:space="0" w:color="auto"/>
                <w:right w:val="none" w:sz="0" w:space="0" w:color="auto"/>
              </w:divBdr>
            </w:div>
            <w:div w:id="1553884979">
              <w:marLeft w:val="0"/>
              <w:marRight w:val="0"/>
              <w:marTop w:val="0"/>
              <w:marBottom w:val="0"/>
              <w:divBdr>
                <w:top w:val="none" w:sz="0" w:space="0" w:color="auto"/>
                <w:left w:val="none" w:sz="0" w:space="0" w:color="auto"/>
                <w:bottom w:val="none" w:sz="0" w:space="0" w:color="auto"/>
                <w:right w:val="none" w:sz="0" w:space="0" w:color="auto"/>
              </w:divBdr>
            </w:div>
          </w:divsChild>
        </w:div>
        <w:div w:id="927889159">
          <w:marLeft w:val="0"/>
          <w:marRight w:val="0"/>
          <w:marTop w:val="0"/>
          <w:marBottom w:val="0"/>
          <w:divBdr>
            <w:top w:val="none" w:sz="0" w:space="0" w:color="auto"/>
            <w:left w:val="none" w:sz="0" w:space="0" w:color="auto"/>
            <w:bottom w:val="none" w:sz="0" w:space="0" w:color="auto"/>
            <w:right w:val="none" w:sz="0" w:space="0" w:color="auto"/>
          </w:divBdr>
          <w:divsChild>
            <w:div w:id="1341395627">
              <w:marLeft w:val="0"/>
              <w:marRight w:val="0"/>
              <w:marTop w:val="0"/>
              <w:marBottom w:val="0"/>
              <w:divBdr>
                <w:top w:val="none" w:sz="0" w:space="0" w:color="auto"/>
                <w:left w:val="none" w:sz="0" w:space="0" w:color="auto"/>
                <w:bottom w:val="none" w:sz="0" w:space="0" w:color="auto"/>
                <w:right w:val="none" w:sz="0" w:space="0" w:color="auto"/>
              </w:divBdr>
            </w:div>
          </w:divsChild>
        </w:div>
        <w:div w:id="941181136">
          <w:marLeft w:val="0"/>
          <w:marRight w:val="0"/>
          <w:marTop w:val="0"/>
          <w:marBottom w:val="0"/>
          <w:divBdr>
            <w:top w:val="none" w:sz="0" w:space="0" w:color="auto"/>
            <w:left w:val="none" w:sz="0" w:space="0" w:color="auto"/>
            <w:bottom w:val="none" w:sz="0" w:space="0" w:color="auto"/>
            <w:right w:val="none" w:sz="0" w:space="0" w:color="auto"/>
          </w:divBdr>
          <w:divsChild>
            <w:div w:id="693502520">
              <w:marLeft w:val="0"/>
              <w:marRight w:val="0"/>
              <w:marTop w:val="0"/>
              <w:marBottom w:val="0"/>
              <w:divBdr>
                <w:top w:val="none" w:sz="0" w:space="0" w:color="auto"/>
                <w:left w:val="none" w:sz="0" w:space="0" w:color="auto"/>
                <w:bottom w:val="none" w:sz="0" w:space="0" w:color="auto"/>
                <w:right w:val="none" w:sz="0" w:space="0" w:color="auto"/>
              </w:divBdr>
            </w:div>
          </w:divsChild>
        </w:div>
        <w:div w:id="954213020">
          <w:marLeft w:val="0"/>
          <w:marRight w:val="0"/>
          <w:marTop w:val="0"/>
          <w:marBottom w:val="0"/>
          <w:divBdr>
            <w:top w:val="none" w:sz="0" w:space="0" w:color="auto"/>
            <w:left w:val="none" w:sz="0" w:space="0" w:color="auto"/>
            <w:bottom w:val="none" w:sz="0" w:space="0" w:color="auto"/>
            <w:right w:val="none" w:sz="0" w:space="0" w:color="auto"/>
          </w:divBdr>
          <w:divsChild>
            <w:div w:id="1626932169">
              <w:marLeft w:val="0"/>
              <w:marRight w:val="0"/>
              <w:marTop w:val="0"/>
              <w:marBottom w:val="0"/>
              <w:divBdr>
                <w:top w:val="none" w:sz="0" w:space="0" w:color="auto"/>
                <w:left w:val="none" w:sz="0" w:space="0" w:color="auto"/>
                <w:bottom w:val="none" w:sz="0" w:space="0" w:color="auto"/>
                <w:right w:val="none" w:sz="0" w:space="0" w:color="auto"/>
              </w:divBdr>
            </w:div>
          </w:divsChild>
        </w:div>
        <w:div w:id="1265309114">
          <w:marLeft w:val="0"/>
          <w:marRight w:val="0"/>
          <w:marTop w:val="0"/>
          <w:marBottom w:val="0"/>
          <w:divBdr>
            <w:top w:val="none" w:sz="0" w:space="0" w:color="auto"/>
            <w:left w:val="none" w:sz="0" w:space="0" w:color="auto"/>
            <w:bottom w:val="none" w:sz="0" w:space="0" w:color="auto"/>
            <w:right w:val="none" w:sz="0" w:space="0" w:color="auto"/>
          </w:divBdr>
          <w:divsChild>
            <w:div w:id="375391998">
              <w:marLeft w:val="0"/>
              <w:marRight w:val="0"/>
              <w:marTop w:val="0"/>
              <w:marBottom w:val="0"/>
              <w:divBdr>
                <w:top w:val="none" w:sz="0" w:space="0" w:color="auto"/>
                <w:left w:val="none" w:sz="0" w:space="0" w:color="auto"/>
                <w:bottom w:val="none" w:sz="0" w:space="0" w:color="auto"/>
                <w:right w:val="none" w:sz="0" w:space="0" w:color="auto"/>
              </w:divBdr>
            </w:div>
            <w:div w:id="926615167">
              <w:marLeft w:val="0"/>
              <w:marRight w:val="0"/>
              <w:marTop w:val="0"/>
              <w:marBottom w:val="0"/>
              <w:divBdr>
                <w:top w:val="none" w:sz="0" w:space="0" w:color="auto"/>
                <w:left w:val="none" w:sz="0" w:space="0" w:color="auto"/>
                <w:bottom w:val="none" w:sz="0" w:space="0" w:color="auto"/>
                <w:right w:val="none" w:sz="0" w:space="0" w:color="auto"/>
              </w:divBdr>
            </w:div>
          </w:divsChild>
        </w:div>
        <w:div w:id="1292400517">
          <w:marLeft w:val="0"/>
          <w:marRight w:val="0"/>
          <w:marTop w:val="0"/>
          <w:marBottom w:val="0"/>
          <w:divBdr>
            <w:top w:val="none" w:sz="0" w:space="0" w:color="auto"/>
            <w:left w:val="none" w:sz="0" w:space="0" w:color="auto"/>
            <w:bottom w:val="none" w:sz="0" w:space="0" w:color="auto"/>
            <w:right w:val="none" w:sz="0" w:space="0" w:color="auto"/>
          </w:divBdr>
          <w:divsChild>
            <w:div w:id="2095737378">
              <w:marLeft w:val="0"/>
              <w:marRight w:val="0"/>
              <w:marTop w:val="0"/>
              <w:marBottom w:val="0"/>
              <w:divBdr>
                <w:top w:val="none" w:sz="0" w:space="0" w:color="auto"/>
                <w:left w:val="none" w:sz="0" w:space="0" w:color="auto"/>
                <w:bottom w:val="none" w:sz="0" w:space="0" w:color="auto"/>
                <w:right w:val="none" w:sz="0" w:space="0" w:color="auto"/>
              </w:divBdr>
            </w:div>
          </w:divsChild>
        </w:div>
        <w:div w:id="1329795605">
          <w:marLeft w:val="0"/>
          <w:marRight w:val="0"/>
          <w:marTop w:val="0"/>
          <w:marBottom w:val="0"/>
          <w:divBdr>
            <w:top w:val="none" w:sz="0" w:space="0" w:color="auto"/>
            <w:left w:val="none" w:sz="0" w:space="0" w:color="auto"/>
            <w:bottom w:val="none" w:sz="0" w:space="0" w:color="auto"/>
            <w:right w:val="none" w:sz="0" w:space="0" w:color="auto"/>
          </w:divBdr>
          <w:divsChild>
            <w:div w:id="2126384771">
              <w:marLeft w:val="0"/>
              <w:marRight w:val="0"/>
              <w:marTop w:val="0"/>
              <w:marBottom w:val="0"/>
              <w:divBdr>
                <w:top w:val="none" w:sz="0" w:space="0" w:color="auto"/>
                <w:left w:val="none" w:sz="0" w:space="0" w:color="auto"/>
                <w:bottom w:val="none" w:sz="0" w:space="0" w:color="auto"/>
                <w:right w:val="none" w:sz="0" w:space="0" w:color="auto"/>
              </w:divBdr>
            </w:div>
          </w:divsChild>
        </w:div>
        <w:div w:id="1432895311">
          <w:marLeft w:val="0"/>
          <w:marRight w:val="0"/>
          <w:marTop w:val="0"/>
          <w:marBottom w:val="0"/>
          <w:divBdr>
            <w:top w:val="none" w:sz="0" w:space="0" w:color="auto"/>
            <w:left w:val="none" w:sz="0" w:space="0" w:color="auto"/>
            <w:bottom w:val="none" w:sz="0" w:space="0" w:color="auto"/>
            <w:right w:val="none" w:sz="0" w:space="0" w:color="auto"/>
          </w:divBdr>
          <w:divsChild>
            <w:div w:id="1061909267">
              <w:marLeft w:val="0"/>
              <w:marRight w:val="0"/>
              <w:marTop w:val="0"/>
              <w:marBottom w:val="0"/>
              <w:divBdr>
                <w:top w:val="none" w:sz="0" w:space="0" w:color="auto"/>
                <w:left w:val="none" w:sz="0" w:space="0" w:color="auto"/>
                <w:bottom w:val="none" w:sz="0" w:space="0" w:color="auto"/>
                <w:right w:val="none" w:sz="0" w:space="0" w:color="auto"/>
              </w:divBdr>
            </w:div>
          </w:divsChild>
        </w:div>
        <w:div w:id="1522938506">
          <w:marLeft w:val="0"/>
          <w:marRight w:val="0"/>
          <w:marTop w:val="0"/>
          <w:marBottom w:val="0"/>
          <w:divBdr>
            <w:top w:val="none" w:sz="0" w:space="0" w:color="auto"/>
            <w:left w:val="none" w:sz="0" w:space="0" w:color="auto"/>
            <w:bottom w:val="none" w:sz="0" w:space="0" w:color="auto"/>
            <w:right w:val="none" w:sz="0" w:space="0" w:color="auto"/>
          </w:divBdr>
          <w:divsChild>
            <w:div w:id="548032536">
              <w:marLeft w:val="0"/>
              <w:marRight w:val="0"/>
              <w:marTop w:val="0"/>
              <w:marBottom w:val="0"/>
              <w:divBdr>
                <w:top w:val="none" w:sz="0" w:space="0" w:color="auto"/>
                <w:left w:val="none" w:sz="0" w:space="0" w:color="auto"/>
                <w:bottom w:val="none" w:sz="0" w:space="0" w:color="auto"/>
                <w:right w:val="none" w:sz="0" w:space="0" w:color="auto"/>
              </w:divBdr>
            </w:div>
            <w:div w:id="936985565">
              <w:marLeft w:val="0"/>
              <w:marRight w:val="0"/>
              <w:marTop w:val="0"/>
              <w:marBottom w:val="0"/>
              <w:divBdr>
                <w:top w:val="none" w:sz="0" w:space="0" w:color="auto"/>
                <w:left w:val="none" w:sz="0" w:space="0" w:color="auto"/>
                <w:bottom w:val="none" w:sz="0" w:space="0" w:color="auto"/>
                <w:right w:val="none" w:sz="0" w:space="0" w:color="auto"/>
              </w:divBdr>
            </w:div>
          </w:divsChild>
        </w:div>
        <w:div w:id="1733966284">
          <w:marLeft w:val="0"/>
          <w:marRight w:val="0"/>
          <w:marTop w:val="0"/>
          <w:marBottom w:val="0"/>
          <w:divBdr>
            <w:top w:val="none" w:sz="0" w:space="0" w:color="auto"/>
            <w:left w:val="none" w:sz="0" w:space="0" w:color="auto"/>
            <w:bottom w:val="none" w:sz="0" w:space="0" w:color="auto"/>
            <w:right w:val="none" w:sz="0" w:space="0" w:color="auto"/>
          </w:divBdr>
          <w:divsChild>
            <w:div w:id="1050153668">
              <w:marLeft w:val="0"/>
              <w:marRight w:val="0"/>
              <w:marTop w:val="0"/>
              <w:marBottom w:val="0"/>
              <w:divBdr>
                <w:top w:val="none" w:sz="0" w:space="0" w:color="auto"/>
                <w:left w:val="none" w:sz="0" w:space="0" w:color="auto"/>
                <w:bottom w:val="none" w:sz="0" w:space="0" w:color="auto"/>
                <w:right w:val="none" w:sz="0" w:space="0" w:color="auto"/>
              </w:divBdr>
            </w:div>
            <w:div w:id="1561790169">
              <w:marLeft w:val="0"/>
              <w:marRight w:val="0"/>
              <w:marTop w:val="0"/>
              <w:marBottom w:val="0"/>
              <w:divBdr>
                <w:top w:val="none" w:sz="0" w:space="0" w:color="auto"/>
                <w:left w:val="none" w:sz="0" w:space="0" w:color="auto"/>
                <w:bottom w:val="none" w:sz="0" w:space="0" w:color="auto"/>
                <w:right w:val="none" w:sz="0" w:space="0" w:color="auto"/>
              </w:divBdr>
            </w:div>
          </w:divsChild>
        </w:div>
        <w:div w:id="1811165785">
          <w:marLeft w:val="0"/>
          <w:marRight w:val="0"/>
          <w:marTop w:val="0"/>
          <w:marBottom w:val="0"/>
          <w:divBdr>
            <w:top w:val="none" w:sz="0" w:space="0" w:color="auto"/>
            <w:left w:val="none" w:sz="0" w:space="0" w:color="auto"/>
            <w:bottom w:val="none" w:sz="0" w:space="0" w:color="auto"/>
            <w:right w:val="none" w:sz="0" w:space="0" w:color="auto"/>
          </w:divBdr>
          <w:divsChild>
            <w:div w:id="1773016709">
              <w:marLeft w:val="0"/>
              <w:marRight w:val="0"/>
              <w:marTop w:val="0"/>
              <w:marBottom w:val="0"/>
              <w:divBdr>
                <w:top w:val="none" w:sz="0" w:space="0" w:color="auto"/>
                <w:left w:val="none" w:sz="0" w:space="0" w:color="auto"/>
                <w:bottom w:val="none" w:sz="0" w:space="0" w:color="auto"/>
                <w:right w:val="none" w:sz="0" w:space="0" w:color="auto"/>
              </w:divBdr>
            </w:div>
          </w:divsChild>
        </w:div>
        <w:div w:id="1832871556">
          <w:marLeft w:val="0"/>
          <w:marRight w:val="0"/>
          <w:marTop w:val="0"/>
          <w:marBottom w:val="0"/>
          <w:divBdr>
            <w:top w:val="none" w:sz="0" w:space="0" w:color="auto"/>
            <w:left w:val="none" w:sz="0" w:space="0" w:color="auto"/>
            <w:bottom w:val="none" w:sz="0" w:space="0" w:color="auto"/>
            <w:right w:val="none" w:sz="0" w:space="0" w:color="auto"/>
          </w:divBdr>
          <w:divsChild>
            <w:div w:id="116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6318">
      <w:bodyDiv w:val="1"/>
      <w:marLeft w:val="0"/>
      <w:marRight w:val="0"/>
      <w:marTop w:val="0"/>
      <w:marBottom w:val="0"/>
      <w:divBdr>
        <w:top w:val="none" w:sz="0" w:space="0" w:color="auto"/>
        <w:left w:val="none" w:sz="0" w:space="0" w:color="auto"/>
        <w:bottom w:val="none" w:sz="0" w:space="0" w:color="auto"/>
        <w:right w:val="none" w:sz="0" w:space="0" w:color="auto"/>
      </w:divBdr>
      <w:divsChild>
        <w:div w:id="108819863">
          <w:marLeft w:val="0"/>
          <w:marRight w:val="0"/>
          <w:marTop w:val="0"/>
          <w:marBottom w:val="0"/>
          <w:divBdr>
            <w:top w:val="none" w:sz="0" w:space="0" w:color="auto"/>
            <w:left w:val="none" w:sz="0" w:space="0" w:color="auto"/>
            <w:bottom w:val="none" w:sz="0" w:space="0" w:color="auto"/>
            <w:right w:val="none" w:sz="0" w:space="0" w:color="auto"/>
          </w:divBdr>
          <w:divsChild>
            <w:div w:id="572279169">
              <w:marLeft w:val="0"/>
              <w:marRight w:val="0"/>
              <w:marTop w:val="0"/>
              <w:marBottom w:val="0"/>
              <w:divBdr>
                <w:top w:val="none" w:sz="0" w:space="0" w:color="auto"/>
                <w:left w:val="none" w:sz="0" w:space="0" w:color="auto"/>
                <w:bottom w:val="none" w:sz="0" w:space="0" w:color="auto"/>
                <w:right w:val="none" w:sz="0" w:space="0" w:color="auto"/>
              </w:divBdr>
            </w:div>
          </w:divsChild>
        </w:div>
        <w:div w:id="110320566">
          <w:marLeft w:val="0"/>
          <w:marRight w:val="0"/>
          <w:marTop w:val="0"/>
          <w:marBottom w:val="0"/>
          <w:divBdr>
            <w:top w:val="none" w:sz="0" w:space="0" w:color="auto"/>
            <w:left w:val="none" w:sz="0" w:space="0" w:color="auto"/>
            <w:bottom w:val="none" w:sz="0" w:space="0" w:color="auto"/>
            <w:right w:val="none" w:sz="0" w:space="0" w:color="auto"/>
          </w:divBdr>
          <w:divsChild>
            <w:div w:id="81344659">
              <w:marLeft w:val="0"/>
              <w:marRight w:val="0"/>
              <w:marTop w:val="0"/>
              <w:marBottom w:val="0"/>
              <w:divBdr>
                <w:top w:val="none" w:sz="0" w:space="0" w:color="auto"/>
                <w:left w:val="none" w:sz="0" w:space="0" w:color="auto"/>
                <w:bottom w:val="none" w:sz="0" w:space="0" w:color="auto"/>
                <w:right w:val="none" w:sz="0" w:space="0" w:color="auto"/>
              </w:divBdr>
            </w:div>
          </w:divsChild>
        </w:div>
        <w:div w:id="120461648">
          <w:marLeft w:val="0"/>
          <w:marRight w:val="0"/>
          <w:marTop w:val="0"/>
          <w:marBottom w:val="0"/>
          <w:divBdr>
            <w:top w:val="none" w:sz="0" w:space="0" w:color="auto"/>
            <w:left w:val="none" w:sz="0" w:space="0" w:color="auto"/>
            <w:bottom w:val="none" w:sz="0" w:space="0" w:color="auto"/>
            <w:right w:val="none" w:sz="0" w:space="0" w:color="auto"/>
          </w:divBdr>
          <w:divsChild>
            <w:div w:id="1242372982">
              <w:marLeft w:val="0"/>
              <w:marRight w:val="0"/>
              <w:marTop w:val="0"/>
              <w:marBottom w:val="0"/>
              <w:divBdr>
                <w:top w:val="none" w:sz="0" w:space="0" w:color="auto"/>
                <w:left w:val="none" w:sz="0" w:space="0" w:color="auto"/>
                <w:bottom w:val="none" w:sz="0" w:space="0" w:color="auto"/>
                <w:right w:val="none" w:sz="0" w:space="0" w:color="auto"/>
              </w:divBdr>
            </w:div>
          </w:divsChild>
        </w:div>
        <w:div w:id="129829010">
          <w:marLeft w:val="0"/>
          <w:marRight w:val="0"/>
          <w:marTop w:val="0"/>
          <w:marBottom w:val="0"/>
          <w:divBdr>
            <w:top w:val="none" w:sz="0" w:space="0" w:color="auto"/>
            <w:left w:val="none" w:sz="0" w:space="0" w:color="auto"/>
            <w:bottom w:val="none" w:sz="0" w:space="0" w:color="auto"/>
            <w:right w:val="none" w:sz="0" w:space="0" w:color="auto"/>
          </w:divBdr>
          <w:divsChild>
            <w:div w:id="1897163950">
              <w:marLeft w:val="0"/>
              <w:marRight w:val="0"/>
              <w:marTop w:val="0"/>
              <w:marBottom w:val="0"/>
              <w:divBdr>
                <w:top w:val="none" w:sz="0" w:space="0" w:color="auto"/>
                <w:left w:val="none" w:sz="0" w:space="0" w:color="auto"/>
                <w:bottom w:val="none" w:sz="0" w:space="0" w:color="auto"/>
                <w:right w:val="none" w:sz="0" w:space="0" w:color="auto"/>
              </w:divBdr>
            </w:div>
          </w:divsChild>
        </w:div>
        <w:div w:id="158695190">
          <w:marLeft w:val="0"/>
          <w:marRight w:val="0"/>
          <w:marTop w:val="0"/>
          <w:marBottom w:val="0"/>
          <w:divBdr>
            <w:top w:val="none" w:sz="0" w:space="0" w:color="auto"/>
            <w:left w:val="none" w:sz="0" w:space="0" w:color="auto"/>
            <w:bottom w:val="none" w:sz="0" w:space="0" w:color="auto"/>
            <w:right w:val="none" w:sz="0" w:space="0" w:color="auto"/>
          </w:divBdr>
          <w:divsChild>
            <w:div w:id="980504041">
              <w:marLeft w:val="0"/>
              <w:marRight w:val="0"/>
              <w:marTop w:val="0"/>
              <w:marBottom w:val="0"/>
              <w:divBdr>
                <w:top w:val="none" w:sz="0" w:space="0" w:color="auto"/>
                <w:left w:val="none" w:sz="0" w:space="0" w:color="auto"/>
                <w:bottom w:val="none" w:sz="0" w:space="0" w:color="auto"/>
                <w:right w:val="none" w:sz="0" w:space="0" w:color="auto"/>
              </w:divBdr>
            </w:div>
          </w:divsChild>
        </w:div>
        <w:div w:id="214662751">
          <w:marLeft w:val="0"/>
          <w:marRight w:val="0"/>
          <w:marTop w:val="0"/>
          <w:marBottom w:val="0"/>
          <w:divBdr>
            <w:top w:val="none" w:sz="0" w:space="0" w:color="auto"/>
            <w:left w:val="none" w:sz="0" w:space="0" w:color="auto"/>
            <w:bottom w:val="none" w:sz="0" w:space="0" w:color="auto"/>
            <w:right w:val="none" w:sz="0" w:space="0" w:color="auto"/>
          </w:divBdr>
          <w:divsChild>
            <w:div w:id="1294605224">
              <w:marLeft w:val="0"/>
              <w:marRight w:val="0"/>
              <w:marTop w:val="0"/>
              <w:marBottom w:val="0"/>
              <w:divBdr>
                <w:top w:val="none" w:sz="0" w:space="0" w:color="auto"/>
                <w:left w:val="none" w:sz="0" w:space="0" w:color="auto"/>
                <w:bottom w:val="none" w:sz="0" w:space="0" w:color="auto"/>
                <w:right w:val="none" w:sz="0" w:space="0" w:color="auto"/>
              </w:divBdr>
            </w:div>
          </w:divsChild>
        </w:div>
        <w:div w:id="216166413">
          <w:marLeft w:val="0"/>
          <w:marRight w:val="0"/>
          <w:marTop w:val="0"/>
          <w:marBottom w:val="0"/>
          <w:divBdr>
            <w:top w:val="none" w:sz="0" w:space="0" w:color="auto"/>
            <w:left w:val="none" w:sz="0" w:space="0" w:color="auto"/>
            <w:bottom w:val="none" w:sz="0" w:space="0" w:color="auto"/>
            <w:right w:val="none" w:sz="0" w:space="0" w:color="auto"/>
          </w:divBdr>
          <w:divsChild>
            <w:div w:id="2126535186">
              <w:marLeft w:val="0"/>
              <w:marRight w:val="0"/>
              <w:marTop w:val="0"/>
              <w:marBottom w:val="0"/>
              <w:divBdr>
                <w:top w:val="none" w:sz="0" w:space="0" w:color="auto"/>
                <w:left w:val="none" w:sz="0" w:space="0" w:color="auto"/>
                <w:bottom w:val="none" w:sz="0" w:space="0" w:color="auto"/>
                <w:right w:val="none" w:sz="0" w:space="0" w:color="auto"/>
              </w:divBdr>
            </w:div>
          </w:divsChild>
        </w:div>
        <w:div w:id="340354571">
          <w:marLeft w:val="0"/>
          <w:marRight w:val="0"/>
          <w:marTop w:val="0"/>
          <w:marBottom w:val="0"/>
          <w:divBdr>
            <w:top w:val="none" w:sz="0" w:space="0" w:color="auto"/>
            <w:left w:val="none" w:sz="0" w:space="0" w:color="auto"/>
            <w:bottom w:val="none" w:sz="0" w:space="0" w:color="auto"/>
            <w:right w:val="none" w:sz="0" w:space="0" w:color="auto"/>
          </w:divBdr>
          <w:divsChild>
            <w:div w:id="444927421">
              <w:marLeft w:val="0"/>
              <w:marRight w:val="0"/>
              <w:marTop w:val="0"/>
              <w:marBottom w:val="0"/>
              <w:divBdr>
                <w:top w:val="none" w:sz="0" w:space="0" w:color="auto"/>
                <w:left w:val="none" w:sz="0" w:space="0" w:color="auto"/>
                <w:bottom w:val="none" w:sz="0" w:space="0" w:color="auto"/>
                <w:right w:val="none" w:sz="0" w:space="0" w:color="auto"/>
              </w:divBdr>
            </w:div>
          </w:divsChild>
        </w:div>
        <w:div w:id="474683537">
          <w:marLeft w:val="0"/>
          <w:marRight w:val="0"/>
          <w:marTop w:val="0"/>
          <w:marBottom w:val="0"/>
          <w:divBdr>
            <w:top w:val="none" w:sz="0" w:space="0" w:color="auto"/>
            <w:left w:val="none" w:sz="0" w:space="0" w:color="auto"/>
            <w:bottom w:val="none" w:sz="0" w:space="0" w:color="auto"/>
            <w:right w:val="none" w:sz="0" w:space="0" w:color="auto"/>
          </w:divBdr>
          <w:divsChild>
            <w:div w:id="1518620782">
              <w:marLeft w:val="0"/>
              <w:marRight w:val="0"/>
              <w:marTop w:val="0"/>
              <w:marBottom w:val="0"/>
              <w:divBdr>
                <w:top w:val="none" w:sz="0" w:space="0" w:color="auto"/>
                <w:left w:val="none" w:sz="0" w:space="0" w:color="auto"/>
                <w:bottom w:val="none" w:sz="0" w:space="0" w:color="auto"/>
                <w:right w:val="none" w:sz="0" w:space="0" w:color="auto"/>
              </w:divBdr>
            </w:div>
          </w:divsChild>
        </w:div>
        <w:div w:id="532618693">
          <w:marLeft w:val="0"/>
          <w:marRight w:val="0"/>
          <w:marTop w:val="0"/>
          <w:marBottom w:val="0"/>
          <w:divBdr>
            <w:top w:val="none" w:sz="0" w:space="0" w:color="auto"/>
            <w:left w:val="none" w:sz="0" w:space="0" w:color="auto"/>
            <w:bottom w:val="none" w:sz="0" w:space="0" w:color="auto"/>
            <w:right w:val="none" w:sz="0" w:space="0" w:color="auto"/>
          </w:divBdr>
          <w:divsChild>
            <w:div w:id="433020201">
              <w:marLeft w:val="0"/>
              <w:marRight w:val="0"/>
              <w:marTop w:val="0"/>
              <w:marBottom w:val="0"/>
              <w:divBdr>
                <w:top w:val="none" w:sz="0" w:space="0" w:color="auto"/>
                <w:left w:val="none" w:sz="0" w:space="0" w:color="auto"/>
                <w:bottom w:val="none" w:sz="0" w:space="0" w:color="auto"/>
                <w:right w:val="none" w:sz="0" w:space="0" w:color="auto"/>
              </w:divBdr>
            </w:div>
          </w:divsChild>
        </w:div>
        <w:div w:id="626854027">
          <w:marLeft w:val="0"/>
          <w:marRight w:val="0"/>
          <w:marTop w:val="0"/>
          <w:marBottom w:val="0"/>
          <w:divBdr>
            <w:top w:val="none" w:sz="0" w:space="0" w:color="auto"/>
            <w:left w:val="none" w:sz="0" w:space="0" w:color="auto"/>
            <w:bottom w:val="none" w:sz="0" w:space="0" w:color="auto"/>
            <w:right w:val="none" w:sz="0" w:space="0" w:color="auto"/>
          </w:divBdr>
          <w:divsChild>
            <w:div w:id="1866014496">
              <w:marLeft w:val="0"/>
              <w:marRight w:val="0"/>
              <w:marTop w:val="0"/>
              <w:marBottom w:val="0"/>
              <w:divBdr>
                <w:top w:val="none" w:sz="0" w:space="0" w:color="auto"/>
                <w:left w:val="none" w:sz="0" w:space="0" w:color="auto"/>
                <w:bottom w:val="none" w:sz="0" w:space="0" w:color="auto"/>
                <w:right w:val="none" w:sz="0" w:space="0" w:color="auto"/>
              </w:divBdr>
            </w:div>
          </w:divsChild>
        </w:div>
        <w:div w:id="628362469">
          <w:marLeft w:val="0"/>
          <w:marRight w:val="0"/>
          <w:marTop w:val="0"/>
          <w:marBottom w:val="0"/>
          <w:divBdr>
            <w:top w:val="none" w:sz="0" w:space="0" w:color="auto"/>
            <w:left w:val="none" w:sz="0" w:space="0" w:color="auto"/>
            <w:bottom w:val="none" w:sz="0" w:space="0" w:color="auto"/>
            <w:right w:val="none" w:sz="0" w:space="0" w:color="auto"/>
          </w:divBdr>
          <w:divsChild>
            <w:div w:id="1033573475">
              <w:marLeft w:val="0"/>
              <w:marRight w:val="0"/>
              <w:marTop w:val="0"/>
              <w:marBottom w:val="0"/>
              <w:divBdr>
                <w:top w:val="none" w:sz="0" w:space="0" w:color="auto"/>
                <w:left w:val="none" w:sz="0" w:space="0" w:color="auto"/>
                <w:bottom w:val="none" w:sz="0" w:space="0" w:color="auto"/>
                <w:right w:val="none" w:sz="0" w:space="0" w:color="auto"/>
              </w:divBdr>
            </w:div>
          </w:divsChild>
        </w:div>
        <w:div w:id="685593139">
          <w:marLeft w:val="0"/>
          <w:marRight w:val="0"/>
          <w:marTop w:val="0"/>
          <w:marBottom w:val="0"/>
          <w:divBdr>
            <w:top w:val="none" w:sz="0" w:space="0" w:color="auto"/>
            <w:left w:val="none" w:sz="0" w:space="0" w:color="auto"/>
            <w:bottom w:val="none" w:sz="0" w:space="0" w:color="auto"/>
            <w:right w:val="none" w:sz="0" w:space="0" w:color="auto"/>
          </w:divBdr>
          <w:divsChild>
            <w:div w:id="317811390">
              <w:marLeft w:val="0"/>
              <w:marRight w:val="0"/>
              <w:marTop w:val="0"/>
              <w:marBottom w:val="0"/>
              <w:divBdr>
                <w:top w:val="none" w:sz="0" w:space="0" w:color="auto"/>
                <w:left w:val="none" w:sz="0" w:space="0" w:color="auto"/>
                <w:bottom w:val="none" w:sz="0" w:space="0" w:color="auto"/>
                <w:right w:val="none" w:sz="0" w:space="0" w:color="auto"/>
              </w:divBdr>
            </w:div>
          </w:divsChild>
        </w:div>
        <w:div w:id="766466352">
          <w:marLeft w:val="0"/>
          <w:marRight w:val="0"/>
          <w:marTop w:val="0"/>
          <w:marBottom w:val="0"/>
          <w:divBdr>
            <w:top w:val="none" w:sz="0" w:space="0" w:color="auto"/>
            <w:left w:val="none" w:sz="0" w:space="0" w:color="auto"/>
            <w:bottom w:val="none" w:sz="0" w:space="0" w:color="auto"/>
            <w:right w:val="none" w:sz="0" w:space="0" w:color="auto"/>
          </w:divBdr>
          <w:divsChild>
            <w:div w:id="216403146">
              <w:marLeft w:val="0"/>
              <w:marRight w:val="0"/>
              <w:marTop w:val="0"/>
              <w:marBottom w:val="0"/>
              <w:divBdr>
                <w:top w:val="none" w:sz="0" w:space="0" w:color="auto"/>
                <w:left w:val="none" w:sz="0" w:space="0" w:color="auto"/>
                <w:bottom w:val="none" w:sz="0" w:space="0" w:color="auto"/>
                <w:right w:val="none" w:sz="0" w:space="0" w:color="auto"/>
              </w:divBdr>
            </w:div>
          </w:divsChild>
        </w:div>
        <w:div w:id="785388145">
          <w:marLeft w:val="0"/>
          <w:marRight w:val="0"/>
          <w:marTop w:val="0"/>
          <w:marBottom w:val="0"/>
          <w:divBdr>
            <w:top w:val="none" w:sz="0" w:space="0" w:color="auto"/>
            <w:left w:val="none" w:sz="0" w:space="0" w:color="auto"/>
            <w:bottom w:val="none" w:sz="0" w:space="0" w:color="auto"/>
            <w:right w:val="none" w:sz="0" w:space="0" w:color="auto"/>
          </w:divBdr>
          <w:divsChild>
            <w:div w:id="1274288781">
              <w:marLeft w:val="0"/>
              <w:marRight w:val="0"/>
              <w:marTop w:val="0"/>
              <w:marBottom w:val="0"/>
              <w:divBdr>
                <w:top w:val="none" w:sz="0" w:space="0" w:color="auto"/>
                <w:left w:val="none" w:sz="0" w:space="0" w:color="auto"/>
                <w:bottom w:val="none" w:sz="0" w:space="0" w:color="auto"/>
                <w:right w:val="none" w:sz="0" w:space="0" w:color="auto"/>
              </w:divBdr>
            </w:div>
          </w:divsChild>
        </w:div>
        <w:div w:id="813641764">
          <w:marLeft w:val="0"/>
          <w:marRight w:val="0"/>
          <w:marTop w:val="0"/>
          <w:marBottom w:val="0"/>
          <w:divBdr>
            <w:top w:val="none" w:sz="0" w:space="0" w:color="auto"/>
            <w:left w:val="none" w:sz="0" w:space="0" w:color="auto"/>
            <w:bottom w:val="none" w:sz="0" w:space="0" w:color="auto"/>
            <w:right w:val="none" w:sz="0" w:space="0" w:color="auto"/>
          </w:divBdr>
          <w:divsChild>
            <w:div w:id="68578226">
              <w:marLeft w:val="0"/>
              <w:marRight w:val="0"/>
              <w:marTop w:val="0"/>
              <w:marBottom w:val="0"/>
              <w:divBdr>
                <w:top w:val="none" w:sz="0" w:space="0" w:color="auto"/>
                <w:left w:val="none" w:sz="0" w:space="0" w:color="auto"/>
                <w:bottom w:val="none" w:sz="0" w:space="0" w:color="auto"/>
                <w:right w:val="none" w:sz="0" w:space="0" w:color="auto"/>
              </w:divBdr>
            </w:div>
          </w:divsChild>
        </w:div>
        <w:div w:id="814839952">
          <w:marLeft w:val="0"/>
          <w:marRight w:val="0"/>
          <w:marTop w:val="0"/>
          <w:marBottom w:val="0"/>
          <w:divBdr>
            <w:top w:val="none" w:sz="0" w:space="0" w:color="auto"/>
            <w:left w:val="none" w:sz="0" w:space="0" w:color="auto"/>
            <w:bottom w:val="none" w:sz="0" w:space="0" w:color="auto"/>
            <w:right w:val="none" w:sz="0" w:space="0" w:color="auto"/>
          </w:divBdr>
          <w:divsChild>
            <w:div w:id="1484926063">
              <w:marLeft w:val="0"/>
              <w:marRight w:val="0"/>
              <w:marTop w:val="0"/>
              <w:marBottom w:val="0"/>
              <w:divBdr>
                <w:top w:val="none" w:sz="0" w:space="0" w:color="auto"/>
                <w:left w:val="none" w:sz="0" w:space="0" w:color="auto"/>
                <w:bottom w:val="none" w:sz="0" w:space="0" w:color="auto"/>
                <w:right w:val="none" w:sz="0" w:space="0" w:color="auto"/>
              </w:divBdr>
            </w:div>
          </w:divsChild>
        </w:div>
        <w:div w:id="831723222">
          <w:marLeft w:val="0"/>
          <w:marRight w:val="0"/>
          <w:marTop w:val="0"/>
          <w:marBottom w:val="0"/>
          <w:divBdr>
            <w:top w:val="none" w:sz="0" w:space="0" w:color="auto"/>
            <w:left w:val="none" w:sz="0" w:space="0" w:color="auto"/>
            <w:bottom w:val="none" w:sz="0" w:space="0" w:color="auto"/>
            <w:right w:val="none" w:sz="0" w:space="0" w:color="auto"/>
          </w:divBdr>
          <w:divsChild>
            <w:div w:id="1980109790">
              <w:marLeft w:val="0"/>
              <w:marRight w:val="0"/>
              <w:marTop w:val="0"/>
              <w:marBottom w:val="0"/>
              <w:divBdr>
                <w:top w:val="none" w:sz="0" w:space="0" w:color="auto"/>
                <w:left w:val="none" w:sz="0" w:space="0" w:color="auto"/>
                <w:bottom w:val="none" w:sz="0" w:space="0" w:color="auto"/>
                <w:right w:val="none" w:sz="0" w:space="0" w:color="auto"/>
              </w:divBdr>
            </w:div>
          </w:divsChild>
        </w:div>
        <w:div w:id="832066967">
          <w:marLeft w:val="0"/>
          <w:marRight w:val="0"/>
          <w:marTop w:val="0"/>
          <w:marBottom w:val="0"/>
          <w:divBdr>
            <w:top w:val="none" w:sz="0" w:space="0" w:color="auto"/>
            <w:left w:val="none" w:sz="0" w:space="0" w:color="auto"/>
            <w:bottom w:val="none" w:sz="0" w:space="0" w:color="auto"/>
            <w:right w:val="none" w:sz="0" w:space="0" w:color="auto"/>
          </w:divBdr>
          <w:divsChild>
            <w:div w:id="181670104">
              <w:marLeft w:val="0"/>
              <w:marRight w:val="0"/>
              <w:marTop w:val="0"/>
              <w:marBottom w:val="0"/>
              <w:divBdr>
                <w:top w:val="none" w:sz="0" w:space="0" w:color="auto"/>
                <w:left w:val="none" w:sz="0" w:space="0" w:color="auto"/>
                <w:bottom w:val="none" w:sz="0" w:space="0" w:color="auto"/>
                <w:right w:val="none" w:sz="0" w:space="0" w:color="auto"/>
              </w:divBdr>
            </w:div>
          </w:divsChild>
        </w:div>
        <w:div w:id="846866511">
          <w:marLeft w:val="0"/>
          <w:marRight w:val="0"/>
          <w:marTop w:val="0"/>
          <w:marBottom w:val="0"/>
          <w:divBdr>
            <w:top w:val="none" w:sz="0" w:space="0" w:color="auto"/>
            <w:left w:val="none" w:sz="0" w:space="0" w:color="auto"/>
            <w:bottom w:val="none" w:sz="0" w:space="0" w:color="auto"/>
            <w:right w:val="none" w:sz="0" w:space="0" w:color="auto"/>
          </w:divBdr>
          <w:divsChild>
            <w:div w:id="863710012">
              <w:marLeft w:val="0"/>
              <w:marRight w:val="0"/>
              <w:marTop w:val="0"/>
              <w:marBottom w:val="0"/>
              <w:divBdr>
                <w:top w:val="none" w:sz="0" w:space="0" w:color="auto"/>
                <w:left w:val="none" w:sz="0" w:space="0" w:color="auto"/>
                <w:bottom w:val="none" w:sz="0" w:space="0" w:color="auto"/>
                <w:right w:val="none" w:sz="0" w:space="0" w:color="auto"/>
              </w:divBdr>
            </w:div>
          </w:divsChild>
        </w:div>
        <w:div w:id="851605217">
          <w:marLeft w:val="0"/>
          <w:marRight w:val="0"/>
          <w:marTop w:val="0"/>
          <w:marBottom w:val="0"/>
          <w:divBdr>
            <w:top w:val="none" w:sz="0" w:space="0" w:color="auto"/>
            <w:left w:val="none" w:sz="0" w:space="0" w:color="auto"/>
            <w:bottom w:val="none" w:sz="0" w:space="0" w:color="auto"/>
            <w:right w:val="none" w:sz="0" w:space="0" w:color="auto"/>
          </w:divBdr>
          <w:divsChild>
            <w:div w:id="1563518934">
              <w:marLeft w:val="0"/>
              <w:marRight w:val="0"/>
              <w:marTop w:val="0"/>
              <w:marBottom w:val="0"/>
              <w:divBdr>
                <w:top w:val="none" w:sz="0" w:space="0" w:color="auto"/>
                <w:left w:val="none" w:sz="0" w:space="0" w:color="auto"/>
                <w:bottom w:val="none" w:sz="0" w:space="0" w:color="auto"/>
                <w:right w:val="none" w:sz="0" w:space="0" w:color="auto"/>
              </w:divBdr>
            </w:div>
          </w:divsChild>
        </w:div>
        <w:div w:id="854077276">
          <w:marLeft w:val="0"/>
          <w:marRight w:val="0"/>
          <w:marTop w:val="0"/>
          <w:marBottom w:val="0"/>
          <w:divBdr>
            <w:top w:val="none" w:sz="0" w:space="0" w:color="auto"/>
            <w:left w:val="none" w:sz="0" w:space="0" w:color="auto"/>
            <w:bottom w:val="none" w:sz="0" w:space="0" w:color="auto"/>
            <w:right w:val="none" w:sz="0" w:space="0" w:color="auto"/>
          </w:divBdr>
          <w:divsChild>
            <w:div w:id="1700935151">
              <w:marLeft w:val="0"/>
              <w:marRight w:val="0"/>
              <w:marTop w:val="0"/>
              <w:marBottom w:val="0"/>
              <w:divBdr>
                <w:top w:val="none" w:sz="0" w:space="0" w:color="auto"/>
                <w:left w:val="none" w:sz="0" w:space="0" w:color="auto"/>
                <w:bottom w:val="none" w:sz="0" w:space="0" w:color="auto"/>
                <w:right w:val="none" w:sz="0" w:space="0" w:color="auto"/>
              </w:divBdr>
            </w:div>
          </w:divsChild>
        </w:div>
        <w:div w:id="954866016">
          <w:marLeft w:val="0"/>
          <w:marRight w:val="0"/>
          <w:marTop w:val="0"/>
          <w:marBottom w:val="0"/>
          <w:divBdr>
            <w:top w:val="none" w:sz="0" w:space="0" w:color="auto"/>
            <w:left w:val="none" w:sz="0" w:space="0" w:color="auto"/>
            <w:bottom w:val="none" w:sz="0" w:space="0" w:color="auto"/>
            <w:right w:val="none" w:sz="0" w:space="0" w:color="auto"/>
          </w:divBdr>
          <w:divsChild>
            <w:div w:id="910315490">
              <w:marLeft w:val="0"/>
              <w:marRight w:val="0"/>
              <w:marTop w:val="0"/>
              <w:marBottom w:val="0"/>
              <w:divBdr>
                <w:top w:val="none" w:sz="0" w:space="0" w:color="auto"/>
                <w:left w:val="none" w:sz="0" w:space="0" w:color="auto"/>
                <w:bottom w:val="none" w:sz="0" w:space="0" w:color="auto"/>
                <w:right w:val="none" w:sz="0" w:space="0" w:color="auto"/>
              </w:divBdr>
            </w:div>
          </w:divsChild>
        </w:div>
        <w:div w:id="965280009">
          <w:marLeft w:val="0"/>
          <w:marRight w:val="0"/>
          <w:marTop w:val="0"/>
          <w:marBottom w:val="0"/>
          <w:divBdr>
            <w:top w:val="none" w:sz="0" w:space="0" w:color="auto"/>
            <w:left w:val="none" w:sz="0" w:space="0" w:color="auto"/>
            <w:bottom w:val="none" w:sz="0" w:space="0" w:color="auto"/>
            <w:right w:val="none" w:sz="0" w:space="0" w:color="auto"/>
          </w:divBdr>
          <w:divsChild>
            <w:div w:id="1011906873">
              <w:marLeft w:val="0"/>
              <w:marRight w:val="0"/>
              <w:marTop w:val="0"/>
              <w:marBottom w:val="0"/>
              <w:divBdr>
                <w:top w:val="none" w:sz="0" w:space="0" w:color="auto"/>
                <w:left w:val="none" w:sz="0" w:space="0" w:color="auto"/>
                <w:bottom w:val="none" w:sz="0" w:space="0" w:color="auto"/>
                <w:right w:val="none" w:sz="0" w:space="0" w:color="auto"/>
              </w:divBdr>
            </w:div>
          </w:divsChild>
        </w:div>
        <w:div w:id="998994627">
          <w:marLeft w:val="0"/>
          <w:marRight w:val="0"/>
          <w:marTop w:val="0"/>
          <w:marBottom w:val="0"/>
          <w:divBdr>
            <w:top w:val="none" w:sz="0" w:space="0" w:color="auto"/>
            <w:left w:val="none" w:sz="0" w:space="0" w:color="auto"/>
            <w:bottom w:val="none" w:sz="0" w:space="0" w:color="auto"/>
            <w:right w:val="none" w:sz="0" w:space="0" w:color="auto"/>
          </w:divBdr>
          <w:divsChild>
            <w:div w:id="1201357250">
              <w:marLeft w:val="0"/>
              <w:marRight w:val="0"/>
              <w:marTop w:val="0"/>
              <w:marBottom w:val="0"/>
              <w:divBdr>
                <w:top w:val="none" w:sz="0" w:space="0" w:color="auto"/>
                <w:left w:val="none" w:sz="0" w:space="0" w:color="auto"/>
                <w:bottom w:val="none" w:sz="0" w:space="0" w:color="auto"/>
                <w:right w:val="none" w:sz="0" w:space="0" w:color="auto"/>
              </w:divBdr>
            </w:div>
          </w:divsChild>
        </w:div>
        <w:div w:id="1067454654">
          <w:marLeft w:val="0"/>
          <w:marRight w:val="0"/>
          <w:marTop w:val="0"/>
          <w:marBottom w:val="0"/>
          <w:divBdr>
            <w:top w:val="none" w:sz="0" w:space="0" w:color="auto"/>
            <w:left w:val="none" w:sz="0" w:space="0" w:color="auto"/>
            <w:bottom w:val="none" w:sz="0" w:space="0" w:color="auto"/>
            <w:right w:val="none" w:sz="0" w:space="0" w:color="auto"/>
          </w:divBdr>
          <w:divsChild>
            <w:div w:id="646130272">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sChild>
            <w:div w:id="920717347">
              <w:marLeft w:val="0"/>
              <w:marRight w:val="0"/>
              <w:marTop w:val="0"/>
              <w:marBottom w:val="0"/>
              <w:divBdr>
                <w:top w:val="none" w:sz="0" w:space="0" w:color="auto"/>
                <w:left w:val="none" w:sz="0" w:space="0" w:color="auto"/>
                <w:bottom w:val="none" w:sz="0" w:space="0" w:color="auto"/>
                <w:right w:val="none" w:sz="0" w:space="0" w:color="auto"/>
              </w:divBdr>
            </w:div>
          </w:divsChild>
        </w:div>
        <w:div w:id="1180046324">
          <w:marLeft w:val="0"/>
          <w:marRight w:val="0"/>
          <w:marTop w:val="0"/>
          <w:marBottom w:val="0"/>
          <w:divBdr>
            <w:top w:val="none" w:sz="0" w:space="0" w:color="auto"/>
            <w:left w:val="none" w:sz="0" w:space="0" w:color="auto"/>
            <w:bottom w:val="none" w:sz="0" w:space="0" w:color="auto"/>
            <w:right w:val="none" w:sz="0" w:space="0" w:color="auto"/>
          </w:divBdr>
          <w:divsChild>
            <w:div w:id="1587421495">
              <w:marLeft w:val="0"/>
              <w:marRight w:val="0"/>
              <w:marTop w:val="0"/>
              <w:marBottom w:val="0"/>
              <w:divBdr>
                <w:top w:val="none" w:sz="0" w:space="0" w:color="auto"/>
                <w:left w:val="none" w:sz="0" w:space="0" w:color="auto"/>
                <w:bottom w:val="none" w:sz="0" w:space="0" w:color="auto"/>
                <w:right w:val="none" w:sz="0" w:space="0" w:color="auto"/>
              </w:divBdr>
            </w:div>
          </w:divsChild>
        </w:div>
        <w:div w:id="1308777815">
          <w:marLeft w:val="0"/>
          <w:marRight w:val="0"/>
          <w:marTop w:val="0"/>
          <w:marBottom w:val="0"/>
          <w:divBdr>
            <w:top w:val="none" w:sz="0" w:space="0" w:color="auto"/>
            <w:left w:val="none" w:sz="0" w:space="0" w:color="auto"/>
            <w:bottom w:val="none" w:sz="0" w:space="0" w:color="auto"/>
            <w:right w:val="none" w:sz="0" w:space="0" w:color="auto"/>
          </w:divBdr>
          <w:divsChild>
            <w:div w:id="1255551769">
              <w:marLeft w:val="0"/>
              <w:marRight w:val="0"/>
              <w:marTop w:val="0"/>
              <w:marBottom w:val="0"/>
              <w:divBdr>
                <w:top w:val="none" w:sz="0" w:space="0" w:color="auto"/>
                <w:left w:val="none" w:sz="0" w:space="0" w:color="auto"/>
                <w:bottom w:val="none" w:sz="0" w:space="0" w:color="auto"/>
                <w:right w:val="none" w:sz="0" w:space="0" w:color="auto"/>
              </w:divBdr>
            </w:div>
          </w:divsChild>
        </w:div>
        <w:div w:id="1310474749">
          <w:marLeft w:val="0"/>
          <w:marRight w:val="0"/>
          <w:marTop w:val="0"/>
          <w:marBottom w:val="0"/>
          <w:divBdr>
            <w:top w:val="none" w:sz="0" w:space="0" w:color="auto"/>
            <w:left w:val="none" w:sz="0" w:space="0" w:color="auto"/>
            <w:bottom w:val="none" w:sz="0" w:space="0" w:color="auto"/>
            <w:right w:val="none" w:sz="0" w:space="0" w:color="auto"/>
          </w:divBdr>
          <w:divsChild>
            <w:div w:id="475344658">
              <w:marLeft w:val="0"/>
              <w:marRight w:val="0"/>
              <w:marTop w:val="0"/>
              <w:marBottom w:val="0"/>
              <w:divBdr>
                <w:top w:val="none" w:sz="0" w:space="0" w:color="auto"/>
                <w:left w:val="none" w:sz="0" w:space="0" w:color="auto"/>
                <w:bottom w:val="none" w:sz="0" w:space="0" w:color="auto"/>
                <w:right w:val="none" w:sz="0" w:space="0" w:color="auto"/>
              </w:divBdr>
            </w:div>
          </w:divsChild>
        </w:div>
        <w:div w:id="1457526667">
          <w:marLeft w:val="0"/>
          <w:marRight w:val="0"/>
          <w:marTop w:val="0"/>
          <w:marBottom w:val="0"/>
          <w:divBdr>
            <w:top w:val="none" w:sz="0" w:space="0" w:color="auto"/>
            <w:left w:val="none" w:sz="0" w:space="0" w:color="auto"/>
            <w:bottom w:val="none" w:sz="0" w:space="0" w:color="auto"/>
            <w:right w:val="none" w:sz="0" w:space="0" w:color="auto"/>
          </w:divBdr>
          <w:divsChild>
            <w:div w:id="2028361009">
              <w:marLeft w:val="0"/>
              <w:marRight w:val="0"/>
              <w:marTop w:val="0"/>
              <w:marBottom w:val="0"/>
              <w:divBdr>
                <w:top w:val="none" w:sz="0" w:space="0" w:color="auto"/>
                <w:left w:val="none" w:sz="0" w:space="0" w:color="auto"/>
                <w:bottom w:val="none" w:sz="0" w:space="0" w:color="auto"/>
                <w:right w:val="none" w:sz="0" w:space="0" w:color="auto"/>
              </w:divBdr>
            </w:div>
          </w:divsChild>
        </w:div>
        <w:div w:id="1485856792">
          <w:marLeft w:val="0"/>
          <w:marRight w:val="0"/>
          <w:marTop w:val="0"/>
          <w:marBottom w:val="0"/>
          <w:divBdr>
            <w:top w:val="none" w:sz="0" w:space="0" w:color="auto"/>
            <w:left w:val="none" w:sz="0" w:space="0" w:color="auto"/>
            <w:bottom w:val="none" w:sz="0" w:space="0" w:color="auto"/>
            <w:right w:val="none" w:sz="0" w:space="0" w:color="auto"/>
          </w:divBdr>
          <w:divsChild>
            <w:div w:id="1401978874">
              <w:marLeft w:val="0"/>
              <w:marRight w:val="0"/>
              <w:marTop w:val="0"/>
              <w:marBottom w:val="0"/>
              <w:divBdr>
                <w:top w:val="none" w:sz="0" w:space="0" w:color="auto"/>
                <w:left w:val="none" w:sz="0" w:space="0" w:color="auto"/>
                <w:bottom w:val="none" w:sz="0" w:space="0" w:color="auto"/>
                <w:right w:val="none" w:sz="0" w:space="0" w:color="auto"/>
              </w:divBdr>
            </w:div>
          </w:divsChild>
        </w:div>
        <w:div w:id="1663585714">
          <w:marLeft w:val="0"/>
          <w:marRight w:val="0"/>
          <w:marTop w:val="0"/>
          <w:marBottom w:val="0"/>
          <w:divBdr>
            <w:top w:val="none" w:sz="0" w:space="0" w:color="auto"/>
            <w:left w:val="none" w:sz="0" w:space="0" w:color="auto"/>
            <w:bottom w:val="none" w:sz="0" w:space="0" w:color="auto"/>
            <w:right w:val="none" w:sz="0" w:space="0" w:color="auto"/>
          </w:divBdr>
          <w:divsChild>
            <w:div w:id="1599021781">
              <w:marLeft w:val="0"/>
              <w:marRight w:val="0"/>
              <w:marTop w:val="0"/>
              <w:marBottom w:val="0"/>
              <w:divBdr>
                <w:top w:val="none" w:sz="0" w:space="0" w:color="auto"/>
                <w:left w:val="none" w:sz="0" w:space="0" w:color="auto"/>
                <w:bottom w:val="none" w:sz="0" w:space="0" w:color="auto"/>
                <w:right w:val="none" w:sz="0" w:space="0" w:color="auto"/>
              </w:divBdr>
            </w:div>
          </w:divsChild>
        </w:div>
        <w:div w:id="1864131430">
          <w:marLeft w:val="0"/>
          <w:marRight w:val="0"/>
          <w:marTop w:val="0"/>
          <w:marBottom w:val="0"/>
          <w:divBdr>
            <w:top w:val="none" w:sz="0" w:space="0" w:color="auto"/>
            <w:left w:val="none" w:sz="0" w:space="0" w:color="auto"/>
            <w:bottom w:val="none" w:sz="0" w:space="0" w:color="auto"/>
            <w:right w:val="none" w:sz="0" w:space="0" w:color="auto"/>
          </w:divBdr>
          <w:divsChild>
            <w:div w:id="2062435162">
              <w:marLeft w:val="0"/>
              <w:marRight w:val="0"/>
              <w:marTop w:val="0"/>
              <w:marBottom w:val="0"/>
              <w:divBdr>
                <w:top w:val="none" w:sz="0" w:space="0" w:color="auto"/>
                <w:left w:val="none" w:sz="0" w:space="0" w:color="auto"/>
                <w:bottom w:val="none" w:sz="0" w:space="0" w:color="auto"/>
                <w:right w:val="none" w:sz="0" w:space="0" w:color="auto"/>
              </w:divBdr>
            </w:div>
          </w:divsChild>
        </w:div>
        <w:div w:id="1901791318">
          <w:marLeft w:val="0"/>
          <w:marRight w:val="0"/>
          <w:marTop w:val="0"/>
          <w:marBottom w:val="0"/>
          <w:divBdr>
            <w:top w:val="none" w:sz="0" w:space="0" w:color="auto"/>
            <w:left w:val="none" w:sz="0" w:space="0" w:color="auto"/>
            <w:bottom w:val="none" w:sz="0" w:space="0" w:color="auto"/>
            <w:right w:val="none" w:sz="0" w:space="0" w:color="auto"/>
          </w:divBdr>
          <w:divsChild>
            <w:div w:id="35473883">
              <w:marLeft w:val="0"/>
              <w:marRight w:val="0"/>
              <w:marTop w:val="0"/>
              <w:marBottom w:val="0"/>
              <w:divBdr>
                <w:top w:val="none" w:sz="0" w:space="0" w:color="auto"/>
                <w:left w:val="none" w:sz="0" w:space="0" w:color="auto"/>
                <w:bottom w:val="none" w:sz="0" w:space="0" w:color="auto"/>
                <w:right w:val="none" w:sz="0" w:space="0" w:color="auto"/>
              </w:divBdr>
            </w:div>
          </w:divsChild>
        </w:div>
        <w:div w:id="1930380877">
          <w:marLeft w:val="0"/>
          <w:marRight w:val="0"/>
          <w:marTop w:val="0"/>
          <w:marBottom w:val="0"/>
          <w:divBdr>
            <w:top w:val="none" w:sz="0" w:space="0" w:color="auto"/>
            <w:left w:val="none" w:sz="0" w:space="0" w:color="auto"/>
            <w:bottom w:val="none" w:sz="0" w:space="0" w:color="auto"/>
            <w:right w:val="none" w:sz="0" w:space="0" w:color="auto"/>
          </w:divBdr>
          <w:divsChild>
            <w:div w:id="125854403">
              <w:marLeft w:val="0"/>
              <w:marRight w:val="0"/>
              <w:marTop w:val="0"/>
              <w:marBottom w:val="0"/>
              <w:divBdr>
                <w:top w:val="none" w:sz="0" w:space="0" w:color="auto"/>
                <w:left w:val="none" w:sz="0" w:space="0" w:color="auto"/>
                <w:bottom w:val="none" w:sz="0" w:space="0" w:color="auto"/>
                <w:right w:val="none" w:sz="0" w:space="0" w:color="auto"/>
              </w:divBdr>
            </w:div>
          </w:divsChild>
        </w:div>
        <w:div w:id="1948540875">
          <w:marLeft w:val="0"/>
          <w:marRight w:val="0"/>
          <w:marTop w:val="0"/>
          <w:marBottom w:val="0"/>
          <w:divBdr>
            <w:top w:val="none" w:sz="0" w:space="0" w:color="auto"/>
            <w:left w:val="none" w:sz="0" w:space="0" w:color="auto"/>
            <w:bottom w:val="none" w:sz="0" w:space="0" w:color="auto"/>
            <w:right w:val="none" w:sz="0" w:space="0" w:color="auto"/>
          </w:divBdr>
          <w:divsChild>
            <w:div w:id="632910909">
              <w:marLeft w:val="0"/>
              <w:marRight w:val="0"/>
              <w:marTop w:val="0"/>
              <w:marBottom w:val="0"/>
              <w:divBdr>
                <w:top w:val="none" w:sz="0" w:space="0" w:color="auto"/>
                <w:left w:val="none" w:sz="0" w:space="0" w:color="auto"/>
                <w:bottom w:val="none" w:sz="0" w:space="0" w:color="auto"/>
                <w:right w:val="none" w:sz="0" w:space="0" w:color="auto"/>
              </w:divBdr>
            </w:div>
          </w:divsChild>
        </w:div>
        <w:div w:id="2029060472">
          <w:marLeft w:val="0"/>
          <w:marRight w:val="0"/>
          <w:marTop w:val="0"/>
          <w:marBottom w:val="0"/>
          <w:divBdr>
            <w:top w:val="none" w:sz="0" w:space="0" w:color="auto"/>
            <w:left w:val="none" w:sz="0" w:space="0" w:color="auto"/>
            <w:bottom w:val="none" w:sz="0" w:space="0" w:color="auto"/>
            <w:right w:val="none" w:sz="0" w:space="0" w:color="auto"/>
          </w:divBdr>
          <w:divsChild>
            <w:div w:id="382995230">
              <w:marLeft w:val="0"/>
              <w:marRight w:val="0"/>
              <w:marTop w:val="0"/>
              <w:marBottom w:val="0"/>
              <w:divBdr>
                <w:top w:val="none" w:sz="0" w:space="0" w:color="auto"/>
                <w:left w:val="none" w:sz="0" w:space="0" w:color="auto"/>
                <w:bottom w:val="none" w:sz="0" w:space="0" w:color="auto"/>
                <w:right w:val="none" w:sz="0" w:space="0" w:color="auto"/>
              </w:divBdr>
            </w:div>
          </w:divsChild>
        </w:div>
        <w:div w:id="2064867890">
          <w:marLeft w:val="0"/>
          <w:marRight w:val="0"/>
          <w:marTop w:val="0"/>
          <w:marBottom w:val="0"/>
          <w:divBdr>
            <w:top w:val="none" w:sz="0" w:space="0" w:color="auto"/>
            <w:left w:val="none" w:sz="0" w:space="0" w:color="auto"/>
            <w:bottom w:val="none" w:sz="0" w:space="0" w:color="auto"/>
            <w:right w:val="none" w:sz="0" w:space="0" w:color="auto"/>
          </w:divBdr>
          <w:divsChild>
            <w:div w:id="4081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873">
      <w:bodyDiv w:val="1"/>
      <w:marLeft w:val="0"/>
      <w:marRight w:val="0"/>
      <w:marTop w:val="0"/>
      <w:marBottom w:val="0"/>
      <w:divBdr>
        <w:top w:val="none" w:sz="0" w:space="0" w:color="auto"/>
        <w:left w:val="none" w:sz="0" w:space="0" w:color="auto"/>
        <w:bottom w:val="none" w:sz="0" w:space="0" w:color="auto"/>
        <w:right w:val="none" w:sz="0" w:space="0" w:color="auto"/>
      </w:divBdr>
      <w:divsChild>
        <w:div w:id="1298027564">
          <w:marLeft w:val="0"/>
          <w:marRight w:val="0"/>
          <w:marTop w:val="0"/>
          <w:marBottom w:val="0"/>
          <w:divBdr>
            <w:top w:val="none" w:sz="0" w:space="0" w:color="auto"/>
            <w:left w:val="none" w:sz="0" w:space="0" w:color="auto"/>
            <w:bottom w:val="none" w:sz="0" w:space="0" w:color="auto"/>
            <w:right w:val="none" w:sz="0" w:space="0" w:color="auto"/>
          </w:divBdr>
        </w:div>
        <w:div w:id="1381707909">
          <w:marLeft w:val="0"/>
          <w:marRight w:val="0"/>
          <w:marTop w:val="0"/>
          <w:marBottom w:val="0"/>
          <w:divBdr>
            <w:top w:val="none" w:sz="0" w:space="0" w:color="auto"/>
            <w:left w:val="none" w:sz="0" w:space="0" w:color="auto"/>
            <w:bottom w:val="none" w:sz="0" w:space="0" w:color="auto"/>
            <w:right w:val="none" w:sz="0" w:space="0" w:color="auto"/>
          </w:divBdr>
        </w:div>
        <w:div w:id="1775595299">
          <w:marLeft w:val="0"/>
          <w:marRight w:val="0"/>
          <w:marTop w:val="0"/>
          <w:marBottom w:val="0"/>
          <w:divBdr>
            <w:top w:val="none" w:sz="0" w:space="0" w:color="auto"/>
            <w:left w:val="none" w:sz="0" w:space="0" w:color="auto"/>
            <w:bottom w:val="none" w:sz="0" w:space="0" w:color="auto"/>
            <w:right w:val="none" w:sz="0" w:space="0" w:color="auto"/>
          </w:divBdr>
        </w:div>
      </w:divsChild>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46233532">
      <w:bodyDiv w:val="1"/>
      <w:marLeft w:val="0"/>
      <w:marRight w:val="0"/>
      <w:marTop w:val="0"/>
      <w:marBottom w:val="0"/>
      <w:divBdr>
        <w:top w:val="none" w:sz="0" w:space="0" w:color="auto"/>
        <w:left w:val="none" w:sz="0" w:space="0" w:color="auto"/>
        <w:bottom w:val="none" w:sz="0" w:space="0" w:color="auto"/>
        <w:right w:val="none" w:sz="0" w:space="0" w:color="auto"/>
      </w:divBdr>
      <w:divsChild>
        <w:div w:id="1068381117">
          <w:marLeft w:val="0"/>
          <w:marRight w:val="0"/>
          <w:marTop w:val="0"/>
          <w:marBottom w:val="0"/>
          <w:divBdr>
            <w:top w:val="none" w:sz="0" w:space="0" w:color="auto"/>
            <w:left w:val="none" w:sz="0" w:space="0" w:color="auto"/>
            <w:bottom w:val="none" w:sz="0" w:space="0" w:color="auto"/>
            <w:right w:val="none" w:sz="0" w:space="0" w:color="auto"/>
          </w:divBdr>
        </w:div>
        <w:div w:id="1315798194">
          <w:marLeft w:val="0"/>
          <w:marRight w:val="0"/>
          <w:marTop w:val="0"/>
          <w:marBottom w:val="0"/>
          <w:divBdr>
            <w:top w:val="none" w:sz="0" w:space="0" w:color="auto"/>
            <w:left w:val="none" w:sz="0" w:space="0" w:color="auto"/>
            <w:bottom w:val="none" w:sz="0" w:space="0" w:color="auto"/>
            <w:right w:val="none" w:sz="0" w:space="0" w:color="auto"/>
          </w:divBdr>
        </w:div>
        <w:div w:id="1350910545">
          <w:marLeft w:val="0"/>
          <w:marRight w:val="0"/>
          <w:marTop w:val="0"/>
          <w:marBottom w:val="0"/>
          <w:divBdr>
            <w:top w:val="none" w:sz="0" w:space="0" w:color="auto"/>
            <w:left w:val="none" w:sz="0" w:space="0" w:color="auto"/>
            <w:bottom w:val="none" w:sz="0" w:space="0" w:color="auto"/>
            <w:right w:val="none" w:sz="0" w:space="0" w:color="auto"/>
          </w:divBdr>
        </w:div>
        <w:div w:id="1508592113">
          <w:marLeft w:val="0"/>
          <w:marRight w:val="0"/>
          <w:marTop w:val="0"/>
          <w:marBottom w:val="0"/>
          <w:divBdr>
            <w:top w:val="none" w:sz="0" w:space="0" w:color="auto"/>
            <w:left w:val="none" w:sz="0" w:space="0" w:color="auto"/>
            <w:bottom w:val="none" w:sz="0" w:space="0" w:color="auto"/>
            <w:right w:val="none" w:sz="0" w:space="0" w:color="auto"/>
          </w:divBdr>
        </w:div>
        <w:div w:id="1608737378">
          <w:marLeft w:val="0"/>
          <w:marRight w:val="0"/>
          <w:marTop w:val="0"/>
          <w:marBottom w:val="0"/>
          <w:divBdr>
            <w:top w:val="none" w:sz="0" w:space="0" w:color="auto"/>
            <w:left w:val="none" w:sz="0" w:space="0" w:color="auto"/>
            <w:bottom w:val="none" w:sz="0" w:space="0" w:color="auto"/>
            <w:right w:val="none" w:sz="0" w:space="0" w:color="auto"/>
          </w:divBdr>
        </w:div>
        <w:div w:id="1943103988">
          <w:marLeft w:val="0"/>
          <w:marRight w:val="0"/>
          <w:marTop w:val="0"/>
          <w:marBottom w:val="0"/>
          <w:divBdr>
            <w:top w:val="none" w:sz="0" w:space="0" w:color="auto"/>
            <w:left w:val="none" w:sz="0" w:space="0" w:color="auto"/>
            <w:bottom w:val="none" w:sz="0" w:space="0" w:color="auto"/>
            <w:right w:val="none" w:sz="0" w:space="0" w:color="auto"/>
          </w:divBdr>
        </w:div>
      </w:divsChild>
    </w:div>
    <w:div w:id="1266033599">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
        <w:div w:id="963468370">
          <w:marLeft w:val="0"/>
          <w:marRight w:val="0"/>
          <w:marTop w:val="0"/>
          <w:marBottom w:val="0"/>
          <w:divBdr>
            <w:top w:val="none" w:sz="0" w:space="0" w:color="auto"/>
            <w:left w:val="none" w:sz="0" w:space="0" w:color="auto"/>
            <w:bottom w:val="none" w:sz="0" w:space="0" w:color="auto"/>
            <w:right w:val="none" w:sz="0" w:space="0" w:color="auto"/>
          </w:divBdr>
        </w:div>
      </w:divsChild>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10226835">
      <w:bodyDiv w:val="1"/>
      <w:marLeft w:val="0"/>
      <w:marRight w:val="0"/>
      <w:marTop w:val="0"/>
      <w:marBottom w:val="0"/>
      <w:divBdr>
        <w:top w:val="none" w:sz="0" w:space="0" w:color="auto"/>
        <w:left w:val="none" w:sz="0" w:space="0" w:color="auto"/>
        <w:bottom w:val="none" w:sz="0" w:space="0" w:color="auto"/>
        <w:right w:val="none" w:sz="0" w:space="0" w:color="auto"/>
      </w:divBdr>
      <w:divsChild>
        <w:div w:id="492646023">
          <w:marLeft w:val="0"/>
          <w:marRight w:val="0"/>
          <w:marTop w:val="0"/>
          <w:marBottom w:val="0"/>
          <w:divBdr>
            <w:top w:val="none" w:sz="0" w:space="0" w:color="auto"/>
            <w:left w:val="none" w:sz="0" w:space="0" w:color="auto"/>
            <w:bottom w:val="none" w:sz="0" w:space="0" w:color="auto"/>
            <w:right w:val="none" w:sz="0" w:space="0" w:color="auto"/>
          </w:divBdr>
          <w:divsChild>
            <w:div w:id="456526463">
              <w:marLeft w:val="0"/>
              <w:marRight w:val="0"/>
              <w:marTop w:val="0"/>
              <w:marBottom w:val="0"/>
              <w:divBdr>
                <w:top w:val="none" w:sz="0" w:space="0" w:color="auto"/>
                <w:left w:val="none" w:sz="0" w:space="0" w:color="auto"/>
                <w:bottom w:val="none" w:sz="0" w:space="0" w:color="auto"/>
                <w:right w:val="none" w:sz="0" w:space="0" w:color="auto"/>
              </w:divBdr>
            </w:div>
          </w:divsChild>
        </w:div>
        <w:div w:id="512231465">
          <w:marLeft w:val="0"/>
          <w:marRight w:val="0"/>
          <w:marTop w:val="0"/>
          <w:marBottom w:val="0"/>
          <w:divBdr>
            <w:top w:val="none" w:sz="0" w:space="0" w:color="auto"/>
            <w:left w:val="none" w:sz="0" w:space="0" w:color="auto"/>
            <w:bottom w:val="none" w:sz="0" w:space="0" w:color="auto"/>
            <w:right w:val="none" w:sz="0" w:space="0" w:color="auto"/>
          </w:divBdr>
          <w:divsChild>
            <w:div w:id="666861302">
              <w:marLeft w:val="0"/>
              <w:marRight w:val="0"/>
              <w:marTop w:val="0"/>
              <w:marBottom w:val="0"/>
              <w:divBdr>
                <w:top w:val="none" w:sz="0" w:space="0" w:color="auto"/>
                <w:left w:val="none" w:sz="0" w:space="0" w:color="auto"/>
                <w:bottom w:val="none" w:sz="0" w:space="0" w:color="auto"/>
                <w:right w:val="none" w:sz="0" w:space="0" w:color="auto"/>
              </w:divBdr>
            </w:div>
          </w:divsChild>
        </w:div>
        <w:div w:id="622734166">
          <w:marLeft w:val="0"/>
          <w:marRight w:val="0"/>
          <w:marTop w:val="0"/>
          <w:marBottom w:val="0"/>
          <w:divBdr>
            <w:top w:val="none" w:sz="0" w:space="0" w:color="auto"/>
            <w:left w:val="none" w:sz="0" w:space="0" w:color="auto"/>
            <w:bottom w:val="none" w:sz="0" w:space="0" w:color="auto"/>
            <w:right w:val="none" w:sz="0" w:space="0" w:color="auto"/>
          </w:divBdr>
          <w:divsChild>
            <w:div w:id="1202549844">
              <w:marLeft w:val="0"/>
              <w:marRight w:val="0"/>
              <w:marTop w:val="0"/>
              <w:marBottom w:val="0"/>
              <w:divBdr>
                <w:top w:val="none" w:sz="0" w:space="0" w:color="auto"/>
                <w:left w:val="none" w:sz="0" w:space="0" w:color="auto"/>
                <w:bottom w:val="none" w:sz="0" w:space="0" w:color="auto"/>
                <w:right w:val="none" w:sz="0" w:space="0" w:color="auto"/>
              </w:divBdr>
            </w:div>
          </w:divsChild>
        </w:div>
        <w:div w:id="734357998">
          <w:marLeft w:val="0"/>
          <w:marRight w:val="0"/>
          <w:marTop w:val="0"/>
          <w:marBottom w:val="0"/>
          <w:divBdr>
            <w:top w:val="none" w:sz="0" w:space="0" w:color="auto"/>
            <w:left w:val="none" w:sz="0" w:space="0" w:color="auto"/>
            <w:bottom w:val="none" w:sz="0" w:space="0" w:color="auto"/>
            <w:right w:val="none" w:sz="0" w:space="0" w:color="auto"/>
          </w:divBdr>
          <w:divsChild>
            <w:div w:id="1987316141">
              <w:marLeft w:val="0"/>
              <w:marRight w:val="0"/>
              <w:marTop w:val="0"/>
              <w:marBottom w:val="0"/>
              <w:divBdr>
                <w:top w:val="none" w:sz="0" w:space="0" w:color="auto"/>
                <w:left w:val="none" w:sz="0" w:space="0" w:color="auto"/>
                <w:bottom w:val="none" w:sz="0" w:space="0" w:color="auto"/>
                <w:right w:val="none" w:sz="0" w:space="0" w:color="auto"/>
              </w:divBdr>
            </w:div>
          </w:divsChild>
        </w:div>
        <w:div w:id="1334409019">
          <w:marLeft w:val="0"/>
          <w:marRight w:val="0"/>
          <w:marTop w:val="0"/>
          <w:marBottom w:val="0"/>
          <w:divBdr>
            <w:top w:val="none" w:sz="0" w:space="0" w:color="auto"/>
            <w:left w:val="none" w:sz="0" w:space="0" w:color="auto"/>
            <w:bottom w:val="none" w:sz="0" w:space="0" w:color="auto"/>
            <w:right w:val="none" w:sz="0" w:space="0" w:color="auto"/>
          </w:divBdr>
          <w:divsChild>
            <w:div w:id="1766144788">
              <w:marLeft w:val="0"/>
              <w:marRight w:val="0"/>
              <w:marTop w:val="0"/>
              <w:marBottom w:val="0"/>
              <w:divBdr>
                <w:top w:val="none" w:sz="0" w:space="0" w:color="auto"/>
                <w:left w:val="none" w:sz="0" w:space="0" w:color="auto"/>
                <w:bottom w:val="none" w:sz="0" w:space="0" w:color="auto"/>
                <w:right w:val="none" w:sz="0" w:space="0" w:color="auto"/>
              </w:divBdr>
            </w:div>
          </w:divsChild>
        </w:div>
        <w:div w:id="1875187576">
          <w:marLeft w:val="0"/>
          <w:marRight w:val="0"/>
          <w:marTop w:val="0"/>
          <w:marBottom w:val="0"/>
          <w:divBdr>
            <w:top w:val="none" w:sz="0" w:space="0" w:color="auto"/>
            <w:left w:val="none" w:sz="0" w:space="0" w:color="auto"/>
            <w:bottom w:val="none" w:sz="0" w:space="0" w:color="auto"/>
            <w:right w:val="none" w:sz="0" w:space="0" w:color="auto"/>
          </w:divBdr>
          <w:divsChild>
            <w:div w:id="20561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1190">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40044821">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08199625">
      <w:bodyDiv w:val="1"/>
      <w:marLeft w:val="0"/>
      <w:marRight w:val="0"/>
      <w:marTop w:val="0"/>
      <w:marBottom w:val="0"/>
      <w:divBdr>
        <w:top w:val="none" w:sz="0" w:space="0" w:color="auto"/>
        <w:left w:val="none" w:sz="0" w:space="0" w:color="auto"/>
        <w:bottom w:val="none" w:sz="0" w:space="0" w:color="auto"/>
        <w:right w:val="none" w:sz="0" w:space="0" w:color="auto"/>
      </w:divBdr>
      <w:divsChild>
        <w:div w:id="48382395">
          <w:marLeft w:val="0"/>
          <w:marRight w:val="0"/>
          <w:marTop w:val="0"/>
          <w:marBottom w:val="0"/>
          <w:divBdr>
            <w:top w:val="none" w:sz="0" w:space="0" w:color="auto"/>
            <w:left w:val="none" w:sz="0" w:space="0" w:color="auto"/>
            <w:bottom w:val="none" w:sz="0" w:space="0" w:color="auto"/>
            <w:right w:val="none" w:sz="0" w:space="0" w:color="auto"/>
          </w:divBdr>
          <w:divsChild>
            <w:div w:id="741148652">
              <w:marLeft w:val="0"/>
              <w:marRight w:val="0"/>
              <w:marTop w:val="0"/>
              <w:marBottom w:val="0"/>
              <w:divBdr>
                <w:top w:val="none" w:sz="0" w:space="0" w:color="auto"/>
                <w:left w:val="none" w:sz="0" w:space="0" w:color="auto"/>
                <w:bottom w:val="none" w:sz="0" w:space="0" w:color="auto"/>
                <w:right w:val="none" w:sz="0" w:space="0" w:color="auto"/>
              </w:divBdr>
            </w:div>
          </w:divsChild>
        </w:div>
        <w:div w:id="177165410">
          <w:marLeft w:val="0"/>
          <w:marRight w:val="0"/>
          <w:marTop w:val="0"/>
          <w:marBottom w:val="0"/>
          <w:divBdr>
            <w:top w:val="none" w:sz="0" w:space="0" w:color="auto"/>
            <w:left w:val="none" w:sz="0" w:space="0" w:color="auto"/>
            <w:bottom w:val="none" w:sz="0" w:space="0" w:color="auto"/>
            <w:right w:val="none" w:sz="0" w:space="0" w:color="auto"/>
          </w:divBdr>
          <w:divsChild>
            <w:div w:id="928271199">
              <w:marLeft w:val="0"/>
              <w:marRight w:val="0"/>
              <w:marTop w:val="0"/>
              <w:marBottom w:val="0"/>
              <w:divBdr>
                <w:top w:val="none" w:sz="0" w:space="0" w:color="auto"/>
                <w:left w:val="none" w:sz="0" w:space="0" w:color="auto"/>
                <w:bottom w:val="none" w:sz="0" w:space="0" w:color="auto"/>
                <w:right w:val="none" w:sz="0" w:space="0" w:color="auto"/>
              </w:divBdr>
            </w:div>
          </w:divsChild>
        </w:div>
        <w:div w:id="333189014">
          <w:marLeft w:val="0"/>
          <w:marRight w:val="0"/>
          <w:marTop w:val="0"/>
          <w:marBottom w:val="0"/>
          <w:divBdr>
            <w:top w:val="none" w:sz="0" w:space="0" w:color="auto"/>
            <w:left w:val="none" w:sz="0" w:space="0" w:color="auto"/>
            <w:bottom w:val="none" w:sz="0" w:space="0" w:color="auto"/>
            <w:right w:val="none" w:sz="0" w:space="0" w:color="auto"/>
          </w:divBdr>
          <w:divsChild>
            <w:div w:id="208493024">
              <w:marLeft w:val="0"/>
              <w:marRight w:val="0"/>
              <w:marTop w:val="0"/>
              <w:marBottom w:val="0"/>
              <w:divBdr>
                <w:top w:val="none" w:sz="0" w:space="0" w:color="auto"/>
                <w:left w:val="none" w:sz="0" w:space="0" w:color="auto"/>
                <w:bottom w:val="none" w:sz="0" w:space="0" w:color="auto"/>
                <w:right w:val="none" w:sz="0" w:space="0" w:color="auto"/>
              </w:divBdr>
            </w:div>
          </w:divsChild>
        </w:div>
        <w:div w:id="339504657">
          <w:marLeft w:val="0"/>
          <w:marRight w:val="0"/>
          <w:marTop w:val="0"/>
          <w:marBottom w:val="0"/>
          <w:divBdr>
            <w:top w:val="none" w:sz="0" w:space="0" w:color="auto"/>
            <w:left w:val="none" w:sz="0" w:space="0" w:color="auto"/>
            <w:bottom w:val="none" w:sz="0" w:space="0" w:color="auto"/>
            <w:right w:val="none" w:sz="0" w:space="0" w:color="auto"/>
          </w:divBdr>
          <w:divsChild>
            <w:div w:id="1112213044">
              <w:marLeft w:val="0"/>
              <w:marRight w:val="0"/>
              <w:marTop w:val="0"/>
              <w:marBottom w:val="0"/>
              <w:divBdr>
                <w:top w:val="none" w:sz="0" w:space="0" w:color="auto"/>
                <w:left w:val="none" w:sz="0" w:space="0" w:color="auto"/>
                <w:bottom w:val="none" w:sz="0" w:space="0" w:color="auto"/>
                <w:right w:val="none" w:sz="0" w:space="0" w:color="auto"/>
              </w:divBdr>
            </w:div>
          </w:divsChild>
        </w:div>
        <w:div w:id="350691396">
          <w:marLeft w:val="0"/>
          <w:marRight w:val="0"/>
          <w:marTop w:val="0"/>
          <w:marBottom w:val="0"/>
          <w:divBdr>
            <w:top w:val="none" w:sz="0" w:space="0" w:color="auto"/>
            <w:left w:val="none" w:sz="0" w:space="0" w:color="auto"/>
            <w:bottom w:val="none" w:sz="0" w:space="0" w:color="auto"/>
            <w:right w:val="none" w:sz="0" w:space="0" w:color="auto"/>
          </w:divBdr>
          <w:divsChild>
            <w:div w:id="442455480">
              <w:marLeft w:val="0"/>
              <w:marRight w:val="0"/>
              <w:marTop w:val="0"/>
              <w:marBottom w:val="0"/>
              <w:divBdr>
                <w:top w:val="none" w:sz="0" w:space="0" w:color="auto"/>
                <w:left w:val="none" w:sz="0" w:space="0" w:color="auto"/>
                <w:bottom w:val="none" w:sz="0" w:space="0" w:color="auto"/>
                <w:right w:val="none" w:sz="0" w:space="0" w:color="auto"/>
              </w:divBdr>
            </w:div>
          </w:divsChild>
        </w:div>
        <w:div w:id="361516264">
          <w:marLeft w:val="0"/>
          <w:marRight w:val="0"/>
          <w:marTop w:val="0"/>
          <w:marBottom w:val="0"/>
          <w:divBdr>
            <w:top w:val="none" w:sz="0" w:space="0" w:color="auto"/>
            <w:left w:val="none" w:sz="0" w:space="0" w:color="auto"/>
            <w:bottom w:val="none" w:sz="0" w:space="0" w:color="auto"/>
            <w:right w:val="none" w:sz="0" w:space="0" w:color="auto"/>
          </w:divBdr>
          <w:divsChild>
            <w:div w:id="568004296">
              <w:marLeft w:val="0"/>
              <w:marRight w:val="0"/>
              <w:marTop w:val="0"/>
              <w:marBottom w:val="0"/>
              <w:divBdr>
                <w:top w:val="none" w:sz="0" w:space="0" w:color="auto"/>
                <w:left w:val="none" w:sz="0" w:space="0" w:color="auto"/>
                <w:bottom w:val="none" w:sz="0" w:space="0" w:color="auto"/>
                <w:right w:val="none" w:sz="0" w:space="0" w:color="auto"/>
              </w:divBdr>
            </w:div>
          </w:divsChild>
        </w:div>
        <w:div w:id="397020564">
          <w:marLeft w:val="0"/>
          <w:marRight w:val="0"/>
          <w:marTop w:val="0"/>
          <w:marBottom w:val="0"/>
          <w:divBdr>
            <w:top w:val="none" w:sz="0" w:space="0" w:color="auto"/>
            <w:left w:val="none" w:sz="0" w:space="0" w:color="auto"/>
            <w:bottom w:val="none" w:sz="0" w:space="0" w:color="auto"/>
            <w:right w:val="none" w:sz="0" w:space="0" w:color="auto"/>
          </w:divBdr>
          <w:divsChild>
            <w:div w:id="2139176034">
              <w:marLeft w:val="0"/>
              <w:marRight w:val="0"/>
              <w:marTop w:val="0"/>
              <w:marBottom w:val="0"/>
              <w:divBdr>
                <w:top w:val="none" w:sz="0" w:space="0" w:color="auto"/>
                <w:left w:val="none" w:sz="0" w:space="0" w:color="auto"/>
                <w:bottom w:val="none" w:sz="0" w:space="0" w:color="auto"/>
                <w:right w:val="none" w:sz="0" w:space="0" w:color="auto"/>
              </w:divBdr>
            </w:div>
          </w:divsChild>
        </w:div>
        <w:div w:id="474564491">
          <w:marLeft w:val="0"/>
          <w:marRight w:val="0"/>
          <w:marTop w:val="0"/>
          <w:marBottom w:val="0"/>
          <w:divBdr>
            <w:top w:val="none" w:sz="0" w:space="0" w:color="auto"/>
            <w:left w:val="none" w:sz="0" w:space="0" w:color="auto"/>
            <w:bottom w:val="none" w:sz="0" w:space="0" w:color="auto"/>
            <w:right w:val="none" w:sz="0" w:space="0" w:color="auto"/>
          </w:divBdr>
          <w:divsChild>
            <w:div w:id="130483808">
              <w:marLeft w:val="0"/>
              <w:marRight w:val="0"/>
              <w:marTop w:val="0"/>
              <w:marBottom w:val="0"/>
              <w:divBdr>
                <w:top w:val="none" w:sz="0" w:space="0" w:color="auto"/>
                <w:left w:val="none" w:sz="0" w:space="0" w:color="auto"/>
                <w:bottom w:val="none" w:sz="0" w:space="0" w:color="auto"/>
                <w:right w:val="none" w:sz="0" w:space="0" w:color="auto"/>
              </w:divBdr>
            </w:div>
          </w:divsChild>
        </w:div>
        <w:div w:id="525368072">
          <w:marLeft w:val="0"/>
          <w:marRight w:val="0"/>
          <w:marTop w:val="0"/>
          <w:marBottom w:val="0"/>
          <w:divBdr>
            <w:top w:val="none" w:sz="0" w:space="0" w:color="auto"/>
            <w:left w:val="none" w:sz="0" w:space="0" w:color="auto"/>
            <w:bottom w:val="none" w:sz="0" w:space="0" w:color="auto"/>
            <w:right w:val="none" w:sz="0" w:space="0" w:color="auto"/>
          </w:divBdr>
          <w:divsChild>
            <w:div w:id="72972457">
              <w:marLeft w:val="0"/>
              <w:marRight w:val="0"/>
              <w:marTop w:val="0"/>
              <w:marBottom w:val="0"/>
              <w:divBdr>
                <w:top w:val="none" w:sz="0" w:space="0" w:color="auto"/>
                <w:left w:val="none" w:sz="0" w:space="0" w:color="auto"/>
                <w:bottom w:val="none" w:sz="0" w:space="0" w:color="auto"/>
                <w:right w:val="none" w:sz="0" w:space="0" w:color="auto"/>
              </w:divBdr>
            </w:div>
          </w:divsChild>
        </w:div>
        <w:div w:id="617369608">
          <w:marLeft w:val="0"/>
          <w:marRight w:val="0"/>
          <w:marTop w:val="0"/>
          <w:marBottom w:val="0"/>
          <w:divBdr>
            <w:top w:val="none" w:sz="0" w:space="0" w:color="auto"/>
            <w:left w:val="none" w:sz="0" w:space="0" w:color="auto"/>
            <w:bottom w:val="none" w:sz="0" w:space="0" w:color="auto"/>
            <w:right w:val="none" w:sz="0" w:space="0" w:color="auto"/>
          </w:divBdr>
          <w:divsChild>
            <w:div w:id="740366238">
              <w:marLeft w:val="0"/>
              <w:marRight w:val="0"/>
              <w:marTop w:val="0"/>
              <w:marBottom w:val="0"/>
              <w:divBdr>
                <w:top w:val="none" w:sz="0" w:space="0" w:color="auto"/>
                <w:left w:val="none" w:sz="0" w:space="0" w:color="auto"/>
                <w:bottom w:val="none" w:sz="0" w:space="0" w:color="auto"/>
                <w:right w:val="none" w:sz="0" w:space="0" w:color="auto"/>
              </w:divBdr>
            </w:div>
          </w:divsChild>
        </w:div>
        <w:div w:id="644970491">
          <w:marLeft w:val="0"/>
          <w:marRight w:val="0"/>
          <w:marTop w:val="0"/>
          <w:marBottom w:val="0"/>
          <w:divBdr>
            <w:top w:val="none" w:sz="0" w:space="0" w:color="auto"/>
            <w:left w:val="none" w:sz="0" w:space="0" w:color="auto"/>
            <w:bottom w:val="none" w:sz="0" w:space="0" w:color="auto"/>
            <w:right w:val="none" w:sz="0" w:space="0" w:color="auto"/>
          </w:divBdr>
          <w:divsChild>
            <w:div w:id="651832344">
              <w:marLeft w:val="0"/>
              <w:marRight w:val="0"/>
              <w:marTop w:val="0"/>
              <w:marBottom w:val="0"/>
              <w:divBdr>
                <w:top w:val="none" w:sz="0" w:space="0" w:color="auto"/>
                <w:left w:val="none" w:sz="0" w:space="0" w:color="auto"/>
                <w:bottom w:val="none" w:sz="0" w:space="0" w:color="auto"/>
                <w:right w:val="none" w:sz="0" w:space="0" w:color="auto"/>
              </w:divBdr>
            </w:div>
          </w:divsChild>
        </w:div>
        <w:div w:id="868757871">
          <w:marLeft w:val="0"/>
          <w:marRight w:val="0"/>
          <w:marTop w:val="0"/>
          <w:marBottom w:val="0"/>
          <w:divBdr>
            <w:top w:val="none" w:sz="0" w:space="0" w:color="auto"/>
            <w:left w:val="none" w:sz="0" w:space="0" w:color="auto"/>
            <w:bottom w:val="none" w:sz="0" w:space="0" w:color="auto"/>
            <w:right w:val="none" w:sz="0" w:space="0" w:color="auto"/>
          </w:divBdr>
          <w:divsChild>
            <w:div w:id="94984643">
              <w:marLeft w:val="0"/>
              <w:marRight w:val="0"/>
              <w:marTop w:val="0"/>
              <w:marBottom w:val="0"/>
              <w:divBdr>
                <w:top w:val="none" w:sz="0" w:space="0" w:color="auto"/>
                <w:left w:val="none" w:sz="0" w:space="0" w:color="auto"/>
                <w:bottom w:val="none" w:sz="0" w:space="0" w:color="auto"/>
                <w:right w:val="none" w:sz="0" w:space="0" w:color="auto"/>
              </w:divBdr>
            </w:div>
          </w:divsChild>
        </w:div>
        <w:div w:id="919800707">
          <w:marLeft w:val="0"/>
          <w:marRight w:val="0"/>
          <w:marTop w:val="0"/>
          <w:marBottom w:val="0"/>
          <w:divBdr>
            <w:top w:val="none" w:sz="0" w:space="0" w:color="auto"/>
            <w:left w:val="none" w:sz="0" w:space="0" w:color="auto"/>
            <w:bottom w:val="none" w:sz="0" w:space="0" w:color="auto"/>
            <w:right w:val="none" w:sz="0" w:space="0" w:color="auto"/>
          </w:divBdr>
          <w:divsChild>
            <w:div w:id="50738725">
              <w:marLeft w:val="0"/>
              <w:marRight w:val="0"/>
              <w:marTop w:val="0"/>
              <w:marBottom w:val="0"/>
              <w:divBdr>
                <w:top w:val="none" w:sz="0" w:space="0" w:color="auto"/>
                <w:left w:val="none" w:sz="0" w:space="0" w:color="auto"/>
                <w:bottom w:val="none" w:sz="0" w:space="0" w:color="auto"/>
                <w:right w:val="none" w:sz="0" w:space="0" w:color="auto"/>
              </w:divBdr>
            </w:div>
          </w:divsChild>
        </w:div>
        <w:div w:id="1023214870">
          <w:marLeft w:val="0"/>
          <w:marRight w:val="0"/>
          <w:marTop w:val="0"/>
          <w:marBottom w:val="0"/>
          <w:divBdr>
            <w:top w:val="none" w:sz="0" w:space="0" w:color="auto"/>
            <w:left w:val="none" w:sz="0" w:space="0" w:color="auto"/>
            <w:bottom w:val="none" w:sz="0" w:space="0" w:color="auto"/>
            <w:right w:val="none" w:sz="0" w:space="0" w:color="auto"/>
          </w:divBdr>
          <w:divsChild>
            <w:div w:id="425736291">
              <w:marLeft w:val="0"/>
              <w:marRight w:val="0"/>
              <w:marTop w:val="0"/>
              <w:marBottom w:val="0"/>
              <w:divBdr>
                <w:top w:val="none" w:sz="0" w:space="0" w:color="auto"/>
                <w:left w:val="none" w:sz="0" w:space="0" w:color="auto"/>
                <w:bottom w:val="none" w:sz="0" w:space="0" w:color="auto"/>
                <w:right w:val="none" w:sz="0" w:space="0" w:color="auto"/>
              </w:divBdr>
            </w:div>
          </w:divsChild>
        </w:div>
        <w:div w:id="1093282882">
          <w:marLeft w:val="0"/>
          <w:marRight w:val="0"/>
          <w:marTop w:val="0"/>
          <w:marBottom w:val="0"/>
          <w:divBdr>
            <w:top w:val="none" w:sz="0" w:space="0" w:color="auto"/>
            <w:left w:val="none" w:sz="0" w:space="0" w:color="auto"/>
            <w:bottom w:val="none" w:sz="0" w:space="0" w:color="auto"/>
            <w:right w:val="none" w:sz="0" w:space="0" w:color="auto"/>
          </w:divBdr>
          <w:divsChild>
            <w:div w:id="372534905">
              <w:marLeft w:val="0"/>
              <w:marRight w:val="0"/>
              <w:marTop w:val="0"/>
              <w:marBottom w:val="0"/>
              <w:divBdr>
                <w:top w:val="none" w:sz="0" w:space="0" w:color="auto"/>
                <w:left w:val="none" w:sz="0" w:space="0" w:color="auto"/>
                <w:bottom w:val="none" w:sz="0" w:space="0" w:color="auto"/>
                <w:right w:val="none" w:sz="0" w:space="0" w:color="auto"/>
              </w:divBdr>
            </w:div>
          </w:divsChild>
        </w:div>
        <w:div w:id="1146050566">
          <w:marLeft w:val="0"/>
          <w:marRight w:val="0"/>
          <w:marTop w:val="0"/>
          <w:marBottom w:val="0"/>
          <w:divBdr>
            <w:top w:val="none" w:sz="0" w:space="0" w:color="auto"/>
            <w:left w:val="none" w:sz="0" w:space="0" w:color="auto"/>
            <w:bottom w:val="none" w:sz="0" w:space="0" w:color="auto"/>
            <w:right w:val="none" w:sz="0" w:space="0" w:color="auto"/>
          </w:divBdr>
          <w:divsChild>
            <w:div w:id="628560208">
              <w:marLeft w:val="0"/>
              <w:marRight w:val="0"/>
              <w:marTop w:val="0"/>
              <w:marBottom w:val="0"/>
              <w:divBdr>
                <w:top w:val="none" w:sz="0" w:space="0" w:color="auto"/>
                <w:left w:val="none" w:sz="0" w:space="0" w:color="auto"/>
                <w:bottom w:val="none" w:sz="0" w:space="0" w:color="auto"/>
                <w:right w:val="none" w:sz="0" w:space="0" w:color="auto"/>
              </w:divBdr>
            </w:div>
          </w:divsChild>
        </w:div>
        <w:div w:id="1148326017">
          <w:marLeft w:val="0"/>
          <w:marRight w:val="0"/>
          <w:marTop w:val="0"/>
          <w:marBottom w:val="0"/>
          <w:divBdr>
            <w:top w:val="none" w:sz="0" w:space="0" w:color="auto"/>
            <w:left w:val="none" w:sz="0" w:space="0" w:color="auto"/>
            <w:bottom w:val="none" w:sz="0" w:space="0" w:color="auto"/>
            <w:right w:val="none" w:sz="0" w:space="0" w:color="auto"/>
          </w:divBdr>
          <w:divsChild>
            <w:div w:id="1294211339">
              <w:marLeft w:val="0"/>
              <w:marRight w:val="0"/>
              <w:marTop w:val="0"/>
              <w:marBottom w:val="0"/>
              <w:divBdr>
                <w:top w:val="none" w:sz="0" w:space="0" w:color="auto"/>
                <w:left w:val="none" w:sz="0" w:space="0" w:color="auto"/>
                <w:bottom w:val="none" w:sz="0" w:space="0" w:color="auto"/>
                <w:right w:val="none" w:sz="0" w:space="0" w:color="auto"/>
              </w:divBdr>
            </w:div>
          </w:divsChild>
        </w:div>
        <w:div w:id="1194223411">
          <w:marLeft w:val="0"/>
          <w:marRight w:val="0"/>
          <w:marTop w:val="0"/>
          <w:marBottom w:val="0"/>
          <w:divBdr>
            <w:top w:val="none" w:sz="0" w:space="0" w:color="auto"/>
            <w:left w:val="none" w:sz="0" w:space="0" w:color="auto"/>
            <w:bottom w:val="none" w:sz="0" w:space="0" w:color="auto"/>
            <w:right w:val="none" w:sz="0" w:space="0" w:color="auto"/>
          </w:divBdr>
          <w:divsChild>
            <w:div w:id="767965353">
              <w:marLeft w:val="0"/>
              <w:marRight w:val="0"/>
              <w:marTop w:val="0"/>
              <w:marBottom w:val="0"/>
              <w:divBdr>
                <w:top w:val="none" w:sz="0" w:space="0" w:color="auto"/>
                <w:left w:val="none" w:sz="0" w:space="0" w:color="auto"/>
                <w:bottom w:val="none" w:sz="0" w:space="0" w:color="auto"/>
                <w:right w:val="none" w:sz="0" w:space="0" w:color="auto"/>
              </w:divBdr>
            </w:div>
          </w:divsChild>
        </w:div>
        <w:div w:id="1243564579">
          <w:marLeft w:val="0"/>
          <w:marRight w:val="0"/>
          <w:marTop w:val="0"/>
          <w:marBottom w:val="0"/>
          <w:divBdr>
            <w:top w:val="none" w:sz="0" w:space="0" w:color="auto"/>
            <w:left w:val="none" w:sz="0" w:space="0" w:color="auto"/>
            <w:bottom w:val="none" w:sz="0" w:space="0" w:color="auto"/>
            <w:right w:val="none" w:sz="0" w:space="0" w:color="auto"/>
          </w:divBdr>
          <w:divsChild>
            <w:div w:id="86314123">
              <w:marLeft w:val="0"/>
              <w:marRight w:val="0"/>
              <w:marTop w:val="0"/>
              <w:marBottom w:val="0"/>
              <w:divBdr>
                <w:top w:val="none" w:sz="0" w:space="0" w:color="auto"/>
                <w:left w:val="none" w:sz="0" w:space="0" w:color="auto"/>
                <w:bottom w:val="none" w:sz="0" w:space="0" w:color="auto"/>
                <w:right w:val="none" w:sz="0" w:space="0" w:color="auto"/>
              </w:divBdr>
            </w:div>
          </w:divsChild>
        </w:div>
        <w:div w:id="1282883172">
          <w:marLeft w:val="0"/>
          <w:marRight w:val="0"/>
          <w:marTop w:val="0"/>
          <w:marBottom w:val="0"/>
          <w:divBdr>
            <w:top w:val="none" w:sz="0" w:space="0" w:color="auto"/>
            <w:left w:val="none" w:sz="0" w:space="0" w:color="auto"/>
            <w:bottom w:val="none" w:sz="0" w:space="0" w:color="auto"/>
            <w:right w:val="none" w:sz="0" w:space="0" w:color="auto"/>
          </w:divBdr>
          <w:divsChild>
            <w:div w:id="1263876148">
              <w:marLeft w:val="0"/>
              <w:marRight w:val="0"/>
              <w:marTop w:val="0"/>
              <w:marBottom w:val="0"/>
              <w:divBdr>
                <w:top w:val="none" w:sz="0" w:space="0" w:color="auto"/>
                <w:left w:val="none" w:sz="0" w:space="0" w:color="auto"/>
                <w:bottom w:val="none" w:sz="0" w:space="0" w:color="auto"/>
                <w:right w:val="none" w:sz="0" w:space="0" w:color="auto"/>
              </w:divBdr>
            </w:div>
          </w:divsChild>
        </w:div>
        <w:div w:id="1303001156">
          <w:marLeft w:val="0"/>
          <w:marRight w:val="0"/>
          <w:marTop w:val="0"/>
          <w:marBottom w:val="0"/>
          <w:divBdr>
            <w:top w:val="none" w:sz="0" w:space="0" w:color="auto"/>
            <w:left w:val="none" w:sz="0" w:space="0" w:color="auto"/>
            <w:bottom w:val="none" w:sz="0" w:space="0" w:color="auto"/>
            <w:right w:val="none" w:sz="0" w:space="0" w:color="auto"/>
          </w:divBdr>
          <w:divsChild>
            <w:div w:id="840317007">
              <w:marLeft w:val="0"/>
              <w:marRight w:val="0"/>
              <w:marTop w:val="0"/>
              <w:marBottom w:val="0"/>
              <w:divBdr>
                <w:top w:val="none" w:sz="0" w:space="0" w:color="auto"/>
                <w:left w:val="none" w:sz="0" w:space="0" w:color="auto"/>
                <w:bottom w:val="none" w:sz="0" w:space="0" w:color="auto"/>
                <w:right w:val="none" w:sz="0" w:space="0" w:color="auto"/>
              </w:divBdr>
            </w:div>
          </w:divsChild>
        </w:div>
        <w:div w:id="1322079374">
          <w:marLeft w:val="0"/>
          <w:marRight w:val="0"/>
          <w:marTop w:val="0"/>
          <w:marBottom w:val="0"/>
          <w:divBdr>
            <w:top w:val="none" w:sz="0" w:space="0" w:color="auto"/>
            <w:left w:val="none" w:sz="0" w:space="0" w:color="auto"/>
            <w:bottom w:val="none" w:sz="0" w:space="0" w:color="auto"/>
            <w:right w:val="none" w:sz="0" w:space="0" w:color="auto"/>
          </w:divBdr>
          <w:divsChild>
            <w:div w:id="445465937">
              <w:marLeft w:val="0"/>
              <w:marRight w:val="0"/>
              <w:marTop w:val="0"/>
              <w:marBottom w:val="0"/>
              <w:divBdr>
                <w:top w:val="none" w:sz="0" w:space="0" w:color="auto"/>
                <w:left w:val="none" w:sz="0" w:space="0" w:color="auto"/>
                <w:bottom w:val="none" w:sz="0" w:space="0" w:color="auto"/>
                <w:right w:val="none" w:sz="0" w:space="0" w:color="auto"/>
              </w:divBdr>
            </w:div>
          </w:divsChild>
        </w:div>
        <w:div w:id="1392653196">
          <w:marLeft w:val="0"/>
          <w:marRight w:val="0"/>
          <w:marTop w:val="0"/>
          <w:marBottom w:val="0"/>
          <w:divBdr>
            <w:top w:val="none" w:sz="0" w:space="0" w:color="auto"/>
            <w:left w:val="none" w:sz="0" w:space="0" w:color="auto"/>
            <w:bottom w:val="none" w:sz="0" w:space="0" w:color="auto"/>
            <w:right w:val="none" w:sz="0" w:space="0" w:color="auto"/>
          </w:divBdr>
          <w:divsChild>
            <w:div w:id="1017585595">
              <w:marLeft w:val="0"/>
              <w:marRight w:val="0"/>
              <w:marTop w:val="0"/>
              <w:marBottom w:val="0"/>
              <w:divBdr>
                <w:top w:val="none" w:sz="0" w:space="0" w:color="auto"/>
                <w:left w:val="none" w:sz="0" w:space="0" w:color="auto"/>
                <w:bottom w:val="none" w:sz="0" w:space="0" w:color="auto"/>
                <w:right w:val="none" w:sz="0" w:space="0" w:color="auto"/>
              </w:divBdr>
            </w:div>
          </w:divsChild>
        </w:div>
        <w:div w:id="1430850332">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sChild>
        </w:div>
        <w:div w:id="1533617493">
          <w:marLeft w:val="0"/>
          <w:marRight w:val="0"/>
          <w:marTop w:val="0"/>
          <w:marBottom w:val="0"/>
          <w:divBdr>
            <w:top w:val="none" w:sz="0" w:space="0" w:color="auto"/>
            <w:left w:val="none" w:sz="0" w:space="0" w:color="auto"/>
            <w:bottom w:val="none" w:sz="0" w:space="0" w:color="auto"/>
            <w:right w:val="none" w:sz="0" w:space="0" w:color="auto"/>
          </w:divBdr>
          <w:divsChild>
            <w:div w:id="1836147301">
              <w:marLeft w:val="0"/>
              <w:marRight w:val="0"/>
              <w:marTop w:val="0"/>
              <w:marBottom w:val="0"/>
              <w:divBdr>
                <w:top w:val="none" w:sz="0" w:space="0" w:color="auto"/>
                <w:left w:val="none" w:sz="0" w:space="0" w:color="auto"/>
                <w:bottom w:val="none" w:sz="0" w:space="0" w:color="auto"/>
                <w:right w:val="none" w:sz="0" w:space="0" w:color="auto"/>
              </w:divBdr>
            </w:div>
          </w:divsChild>
        </w:div>
        <w:div w:id="1556938992">
          <w:marLeft w:val="0"/>
          <w:marRight w:val="0"/>
          <w:marTop w:val="0"/>
          <w:marBottom w:val="0"/>
          <w:divBdr>
            <w:top w:val="none" w:sz="0" w:space="0" w:color="auto"/>
            <w:left w:val="none" w:sz="0" w:space="0" w:color="auto"/>
            <w:bottom w:val="none" w:sz="0" w:space="0" w:color="auto"/>
            <w:right w:val="none" w:sz="0" w:space="0" w:color="auto"/>
          </w:divBdr>
          <w:divsChild>
            <w:div w:id="1121343386">
              <w:marLeft w:val="0"/>
              <w:marRight w:val="0"/>
              <w:marTop w:val="0"/>
              <w:marBottom w:val="0"/>
              <w:divBdr>
                <w:top w:val="none" w:sz="0" w:space="0" w:color="auto"/>
                <w:left w:val="none" w:sz="0" w:space="0" w:color="auto"/>
                <w:bottom w:val="none" w:sz="0" w:space="0" w:color="auto"/>
                <w:right w:val="none" w:sz="0" w:space="0" w:color="auto"/>
              </w:divBdr>
            </w:div>
          </w:divsChild>
        </w:div>
        <w:div w:id="1566643924">
          <w:marLeft w:val="0"/>
          <w:marRight w:val="0"/>
          <w:marTop w:val="0"/>
          <w:marBottom w:val="0"/>
          <w:divBdr>
            <w:top w:val="none" w:sz="0" w:space="0" w:color="auto"/>
            <w:left w:val="none" w:sz="0" w:space="0" w:color="auto"/>
            <w:bottom w:val="none" w:sz="0" w:space="0" w:color="auto"/>
            <w:right w:val="none" w:sz="0" w:space="0" w:color="auto"/>
          </w:divBdr>
          <w:divsChild>
            <w:div w:id="1801799841">
              <w:marLeft w:val="0"/>
              <w:marRight w:val="0"/>
              <w:marTop w:val="0"/>
              <w:marBottom w:val="0"/>
              <w:divBdr>
                <w:top w:val="none" w:sz="0" w:space="0" w:color="auto"/>
                <w:left w:val="none" w:sz="0" w:space="0" w:color="auto"/>
                <w:bottom w:val="none" w:sz="0" w:space="0" w:color="auto"/>
                <w:right w:val="none" w:sz="0" w:space="0" w:color="auto"/>
              </w:divBdr>
            </w:div>
          </w:divsChild>
        </w:div>
        <w:div w:id="1634483728">
          <w:marLeft w:val="0"/>
          <w:marRight w:val="0"/>
          <w:marTop w:val="0"/>
          <w:marBottom w:val="0"/>
          <w:divBdr>
            <w:top w:val="none" w:sz="0" w:space="0" w:color="auto"/>
            <w:left w:val="none" w:sz="0" w:space="0" w:color="auto"/>
            <w:bottom w:val="none" w:sz="0" w:space="0" w:color="auto"/>
            <w:right w:val="none" w:sz="0" w:space="0" w:color="auto"/>
          </w:divBdr>
          <w:divsChild>
            <w:div w:id="2059157618">
              <w:marLeft w:val="0"/>
              <w:marRight w:val="0"/>
              <w:marTop w:val="0"/>
              <w:marBottom w:val="0"/>
              <w:divBdr>
                <w:top w:val="none" w:sz="0" w:space="0" w:color="auto"/>
                <w:left w:val="none" w:sz="0" w:space="0" w:color="auto"/>
                <w:bottom w:val="none" w:sz="0" w:space="0" w:color="auto"/>
                <w:right w:val="none" w:sz="0" w:space="0" w:color="auto"/>
              </w:divBdr>
            </w:div>
          </w:divsChild>
        </w:div>
        <w:div w:id="1644891851">
          <w:marLeft w:val="0"/>
          <w:marRight w:val="0"/>
          <w:marTop w:val="0"/>
          <w:marBottom w:val="0"/>
          <w:divBdr>
            <w:top w:val="none" w:sz="0" w:space="0" w:color="auto"/>
            <w:left w:val="none" w:sz="0" w:space="0" w:color="auto"/>
            <w:bottom w:val="none" w:sz="0" w:space="0" w:color="auto"/>
            <w:right w:val="none" w:sz="0" w:space="0" w:color="auto"/>
          </w:divBdr>
          <w:divsChild>
            <w:div w:id="240525720">
              <w:marLeft w:val="0"/>
              <w:marRight w:val="0"/>
              <w:marTop w:val="0"/>
              <w:marBottom w:val="0"/>
              <w:divBdr>
                <w:top w:val="none" w:sz="0" w:space="0" w:color="auto"/>
                <w:left w:val="none" w:sz="0" w:space="0" w:color="auto"/>
                <w:bottom w:val="none" w:sz="0" w:space="0" w:color="auto"/>
                <w:right w:val="none" w:sz="0" w:space="0" w:color="auto"/>
              </w:divBdr>
            </w:div>
          </w:divsChild>
        </w:div>
        <w:div w:id="1705474061">
          <w:marLeft w:val="0"/>
          <w:marRight w:val="0"/>
          <w:marTop w:val="0"/>
          <w:marBottom w:val="0"/>
          <w:divBdr>
            <w:top w:val="none" w:sz="0" w:space="0" w:color="auto"/>
            <w:left w:val="none" w:sz="0" w:space="0" w:color="auto"/>
            <w:bottom w:val="none" w:sz="0" w:space="0" w:color="auto"/>
            <w:right w:val="none" w:sz="0" w:space="0" w:color="auto"/>
          </w:divBdr>
          <w:divsChild>
            <w:div w:id="1450006780">
              <w:marLeft w:val="0"/>
              <w:marRight w:val="0"/>
              <w:marTop w:val="0"/>
              <w:marBottom w:val="0"/>
              <w:divBdr>
                <w:top w:val="none" w:sz="0" w:space="0" w:color="auto"/>
                <w:left w:val="none" w:sz="0" w:space="0" w:color="auto"/>
                <w:bottom w:val="none" w:sz="0" w:space="0" w:color="auto"/>
                <w:right w:val="none" w:sz="0" w:space="0" w:color="auto"/>
              </w:divBdr>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136677256">
              <w:marLeft w:val="0"/>
              <w:marRight w:val="0"/>
              <w:marTop w:val="0"/>
              <w:marBottom w:val="0"/>
              <w:divBdr>
                <w:top w:val="none" w:sz="0" w:space="0" w:color="auto"/>
                <w:left w:val="none" w:sz="0" w:space="0" w:color="auto"/>
                <w:bottom w:val="none" w:sz="0" w:space="0" w:color="auto"/>
                <w:right w:val="none" w:sz="0" w:space="0" w:color="auto"/>
              </w:divBdr>
            </w:div>
          </w:divsChild>
        </w:div>
        <w:div w:id="1751075111">
          <w:marLeft w:val="0"/>
          <w:marRight w:val="0"/>
          <w:marTop w:val="0"/>
          <w:marBottom w:val="0"/>
          <w:divBdr>
            <w:top w:val="none" w:sz="0" w:space="0" w:color="auto"/>
            <w:left w:val="none" w:sz="0" w:space="0" w:color="auto"/>
            <w:bottom w:val="none" w:sz="0" w:space="0" w:color="auto"/>
            <w:right w:val="none" w:sz="0" w:space="0" w:color="auto"/>
          </w:divBdr>
          <w:divsChild>
            <w:div w:id="2090079189">
              <w:marLeft w:val="0"/>
              <w:marRight w:val="0"/>
              <w:marTop w:val="0"/>
              <w:marBottom w:val="0"/>
              <w:divBdr>
                <w:top w:val="none" w:sz="0" w:space="0" w:color="auto"/>
                <w:left w:val="none" w:sz="0" w:space="0" w:color="auto"/>
                <w:bottom w:val="none" w:sz="0" w:space="0" w:color="auto"/>
                <w:right w:val="none" w:sz="0" w:space="0" w:color="auto"/>
              </w:divBdr>
            </w:div>
          </w:divsChild>
        </w:div>
        <w:div w:id="1779250545">
          <w:marLeft w:val="0"/>
          <w:marRight w:val="0"/>
          <w:marTop w:val="0"/>
          <w:marBottom w:val="0"/>
          <w:divBdr>
            <w:top w:val="none" w:sz="0" w:space="0" w:color="auto"/>
            <w:left w:val="none" w:sz="0" w:space="0" w:color="auto"/>
            <w:bottom w:val="none" w:sz="0" w:space="0" w:color="auto"/>
            <w:right w:val="none" w:sz="0" w:space="0" w:color="auto"/>
          </w:divBdr>
          <w:divsChild>
            <w:div w:id="408843622">
              <w:marLeft w:val="0"/>
              <w:marRight w:val="0"/>
              <w:marTop w:val="0"/>
              <w:marBottom w:val="0"/>
              <w:divBdr>
                <w:top w:val="none" w:sz="0" w:space="0" w:color="auto"/>
                <w:left w:val="none" w:sz="0" w:space="0" w:color="auto"/>
                <w:bottom w:val="none" w:sz="0" w:space="0" w:color="auto"/>
                <w:right w:val="none" w:sz="0" w:space="0" w:color="auto"/>
              </w:divBdr>
            </w:div>
          </w:divsChild>
        </w:div>
        <w:div w:id="1796438125">
          <w:marLeft w:val="0"/>
          <w:marRight w:val="0"/>
          <w:marTop w:val="0"/>
          <w:marBottom w:val="0"/>
          <w:divBdr>
            <w:top w:val="none" w:sz="0" w:space="0" w:color="auto"/>
            <w:left w:val="none" w:sz="0" w:space="0" w:color="auto"/>
            <w:bottom w:val="none" w:sz="0" w:space="0" w:color="auto"/>
            <w:right w:val="none" w:sz="0" w:space="0" w:color="auto"/>
          </w:divBdr>
          <w:divsChild>
            <w:div w:id="1309631267">
              <w:marLeft w:val="0"/>
              <w:marRight w:val="0"/>
              <w:marTop w:val="0"/>
              <w:marBottom w:val="0"/>
              <w:divBdr>
                <w:top w:val="none" w:sz="0" w:space="0" w:color="auto"/>
                <w:left w:val="none" w:sz="0" w:space="0" w:color="auto"/>
                <w:bottom w:val="none" w:sz="0" w:space="0" w:color="auto"/>
                <w:right w:val="none" w:sz="0" w:space="0" w:color="auto"/>
              </w:divBdr>
            </w:div>
          </w:divsChild>
        </w:div>
        <w:div w:id="1920365967">
          <w:marLeft w:val="0"/>
          <w:marRight w:val="0"/>
          <w:marTop w:val="0"/>
          <w:marBottom w:val="0"/>
          <w:divBdr>
            <w:top w:val="none" w:sz="0" w:space="0" w:color="auto"/>
            <w:left w:val="none" w:sz="0" w:space="0" w:color="auto"/>
            <w:bottom w:val="none" w:sz="0" w:space="0" w:color="auto"/>
            <w:right w:val="none" w:sz="0" w:space="0" w:color="auto"/>
          </w:divBdr>
          <w:divsChild>
            <w:div w:id="921598881">
              <w:marLeft w:val="0"/>
              <w:marRight w:val="0"/>
              <w:marTop w:val="0"/>
              <w:marBottom w:val="0"/>
              <w:divBdr>
                <w:top w:val="none" w:sz="0" w:space="0" w:color="auto"/>
                <w:left w:val="none" w:sz="0" w:space="0" w:color="auto"/>
                <w:bottom w:val="none" w:sz="0" w:space="0" w:color="auto"/>
                <w:right w:val="none" w:sz="0" w:space="0" w:color="auto"/>
              </w:divBdr>
            </w:div>
          </w:divsChild>
        </w:div>
        <w:div w:id="1975022968">
          <w:marLeft w:val="0"/>
          <w:marRight w:val="0"/>
          <w:marTop w:val="0"/>
          <w:marBottom w:val="0"/>
          <w:divBdr>
            <w:top w:val="none" w:sz="0" w:space="0" w:color="auto"/>
            <w:left w:val="none" w:sz="0" w:space="0" w:color="auto"/>
            <w:bottom w:val="none" w:sz="0" w:space="0" w:color="auto"/>
            <w:right w:val="none" w:sz="0" w:space="0" w:color="auto"/>
          </w:divBdr>
          <w:divsChild>
            <w:div w:id="2053842396">
              <w:marLeft w:val="0"/>
              <w:marRight w:val="0"/>
              <w:marTop w:val="0"/>
              <w:marBottom w:val="0"/>
              <w:divBdr>
                <w:top w:val="none" w:sz="0" w:space="0" w:color="auto"/>
                <w:left w:val="none" w:sz="0" w:space="0" w:color="auto"/>
                <w:bottom w:val="none" w:sz="0" w:space="0" w:color="auto"/>
                <w:right w:val="none" w:sz="0" w:space="0" w:color="auto"/>
              </w:divBdr>
            </w:div>
          </w:divsChild>
        </w:div>
        <w:div w:id="2015254240">
          <w:marLeft w:val="0"/>
          <w:marRight w:val="0"/>
          <w:marTop w:val="0"/>
          <w:marBottom w:val="0"/>
          <w:divBdr>
            <w:top w:val="none" w:sz="0" w:space="0" w:color="auto"/>
            <w:left w:val="none" w:sz="0" w:space="0" w:color="auto"/>
            <w:bottom w:val="none" w:sz="0" w:space="0" w:color="auto"/>
            <w:right w:val="none" w:sz="0" w:space="0" w:color="auto"/>
          </w:divBdr>
          <w:divsChild>
            <w:div w:id="1506438375">
              <w:marLeft w:val="0"/>
              <w:marRight w:val="0"/>
              <w:marTop w:val="0"/>
              <w:marBottom w:val="0"/>
              <w:divBdr>
                <w:top w:val="none" w:sz="0" w:space="0" w:color="auto"/>
                <w:left w:val="none" w:sz="0" w:space="0" w:color="auto"/>
                <w:bottom w:val="none" w:sz="0" w:space="0" w:color="auto"/>
                <w:right w:val="none" w:sz="0" w:space="0" w:color="auto"/>
              </w:divBdr>
            </w:div>
          </w:divsChild>
        </w:div>
        <w:div w:id="2054691833">
          <w:marLeft w:val="0"/>
          <w:marRight w:val="0"/>
          <w:marTop w:val="0"/>
          <w:marBottom w:val="0"/>
          <w:divBdr>
            <w:top w:val="none" w:sz="0" w:space="0" w:color="auto"/>
            <w:left w:val="none" w:sz="0" w:space="0" w:color="auto"/>
            <w:bottom w:val="none" w:sz="0" w:space="0" w:color="auto"/>
            <w:right w:val="none" w:sz="0" w:space="0" w:color="auto"/>
          </w:divBdr>
          <w:divsChild>
            <w:div w:id="2011058034">
              <w:marLeft w:val="0"/>
              <w:marRight w:val="0"/>
              <w:marTop w:val="0"/>
              <w:marBottom w:val="0"/>
              <w:divBdr>
                <w:top w:val="none" w:sz="0" w:space="0" w:color="auto"/>
                <w:left w:val="none" w:sz="0" w:space="0" w:color="auto"/>
                <w:bottom w:val="none" w:sz="0" w:space="0" w:color="auto"/>
                <w:right w:val="none" w:sz="0" w:space="0" w:color="auto"/>
              </w:divBdr>
            </w:div>
          </w:divsChild>
        </w:div>
        <w:div w:id="2100444036">
          <w:marLeft w:val="0"/>
          <w:marRight w:val="0"/>
          <w:marTop w:val="0"/>
          <w:marBottom w:val="0"/>
          <w:divBdr>
            <w:top w:val="none" w:sz="0" w:space="0" w:color="auto"/>
            <w:left w:val="none" w:sz="0" w:space="0" w:color="auto"/>
            <w:bottom w:val="none" w:sz="0" w:space="0" w:color="auto"/>
            <w:right w:val="none" w:sz="0" w:space="0" w:color="auto"/>
          </w:divBdr>
          <w:divsChild>
            <w:div w:id="10636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687514105">
      <w:bodyDiv w:val="1"/>
      <w:marLeft w:val="0"/>
      <w:marRight w:val="0"/>
      <w:marTop w:val="0"/>
      <w:marBottom w:val="0"/>
      <w:divBdr>
        <w:top w:val="none" w:sz="0" w:space="0" w:color="auto"/>
        <w:left w:val="none" w:sz="0" w:space="0" w:color="auto"/>
        <w:bottom w:val="none" w:sz="0" w:space="0" w:color="auto"/>
        <w:right w:val="none" w:sz="0" w:space="0" w:color="auto"/>
      </w:divBdr>
      <w:divsChild>
        <w:div w:id="153886919">
          <w:marLeft w:val="0"/>
          <w:marRight w:val="0"/>
          <w:marTop w:val="0"/>
          <w:marBottom w:val="0"/>
          <w:divBdr>
            <w:top w:val="none" w:sz="0" w:space="0" w:color="auto"/>
            <w:left w:val="none" w:sz="0" w:space="0" w:color="auto"/>
            <w:bottom w:val="none" w:sz="0" w:space="0" w:color="auto"/>
            <w:right w:val="none" w:sz="0" w:space="0" w:color="auto"/>
          </w:divBdr>
          <w:divsChild>
            <w:div w:id="1130124811">
              <w:marLeft w:val="0"/>
              <w:marRight w:val="0"/>
              <w:marTop w:val="0"/>
              <w:marBottom w:val="0"/>
              <w:divBdr>
                <w:top w:val="none" w:sz="0" w:space="0" w:color="auto"/>
                <w:left w:val="none" w:sz="0" w:space="0" w:color="auto"/>
                <w:bottom w:val="none" w:sz="0" w:space="0" w:color="auto"/>
                <w:right w:val="none" w:sz="0" w:space="0" w:color="auto"/>
              </w:divBdr>
            </w:div>
          </w:divsChild>
        </w:div>
        <w:div w:id="154227000">
          <w:marLeft w:val="0"/>
          <w:marRight w:val="0"/>
          <w:marTop w:val="0"/>
          <w:marBottom w:val="0"/>
          <w:divBdr>
            <w:top w:val="none" w:sz="0" w:space="0" w:color="auto"/>
            <w:left w:val="none" w:sz="0" w:space="0" w:color="auto"/>
            <w:bottom w:val="none" w:sz="0" w:space="0" w:color="auto"/>
            <w:right w:val="none" w:sz="0" w:space="0" w:color="auto"/>
          </w:divBdr>
          <w:divsChild>
            <w:div w:id="164443550">
              <w:marLeft w:val="0"/>
              <w:marRight w:val="0"/>
              <w:marTop w:val="0"/>
              <w:marBottom w:val="0"/>
              <w:divBdr>
                <w:top w:val="none" w:sz="0" w:space="0" w:color="auto"/>
                <w:left w:val="none" w:sz="0" w:space="0" w:color="auto"/>
                <w:bottom w:val="none" w:sz="0" w:space="0" w:color="auto"/>
                <w:right w:val="none" w:sz="0" w:space="0" w:color="auto"/>
              </w:divBdr>
            </w:div>
          </w:divsChild>
        </w:div>
        <w:div w:id="174461488">
          <w:marLeft w:val="0"/>
          <w:marRight w:val="0"/>
          <w:marTop w:val="0"/>
          <w:marBottom w:val="0"/>
          <w:divBdr>
            <w:top w:val="none" w:sz="0" w:space="0" w:color="auto"/>
            <w:left w:val="none" w:sz="0" w:space="0" w:color="auto"/>
            <w:bottom w:val="none" w:sz="0" w:space="0" w:color="auto"/>
            <w:right w:val="none" w:sz="0" w:space="0" w:color="auto"/>
          </w:divBdr>
          <w:divsChild>
            <w:div w:id="143814237">
              <w:marLeft w:val="0"/>
              <w:marRight w:val="0"/>
              <w:marTop w:val="0"/>
              <w:marBottom w:val="0"/>
              <w:divBdr>
                <w:top w:val="none" w:sz="0" w:space="0" w:color="auto"/>
                <w:left w:val="none" w:sz="0" w:space="0" w:color="auto"/>
                <w:bottom w:val="none" w:sz="0" w:space="0" w:color="auto"/>
                <w:right w:val="none" w:sz="0" w:space="0" w:color="auto"/>
              </w:divBdr>
            </w:div>
          </w:divsChild>
        </w:div>
        <w:div w:id="211845115">
          <w:marLeft w:val="0"/>
          <w:marRight w:val="0"/>
          <w:marTop w:val="0"/>
          <w:marBottom w:val="0"/>
          <w:divBdr>
            <w:top w:val="none" w:sz="0" w:space="0" w:color="auto"/>
            <w:left w:val="none" w:sz="0" w:space="0" w:color="auto"/>
            <w:bottom w:val="none" w:sz="0" w:space="0" w:color="auto"/>
            <w:right w:val="none" w:sz="0" w:space="0" w:color="auto"/>
          </w:divBdr>
          <w:divsChild>
            <w:div w:id="1889997632">
              <w:marLeft w:val="0"/>
              <w:marRight w:val="0"/>
              <w:marTop w:val="0"/>
              <w:marBottom w:val="0"/>
              <w:divBdr>
                <w:top w:val="none" w:sz="0" w:space="0" w:color="auto"/>
                <w:left w:val="none" w:sz="0" w:space="0" w:color="auto"/>
                <w:bottom w:val="none" w:sz="0" w:space="0" w:color="auto"/>
                <w:right w:val="none" w:sz="0" w:space="0" w:color="auto"/>
              </w:divBdr>
            </w:div>
          </w:divsChild>
        </w:div>
        <w:div w:id="218059148">
          <w:marLeft w:val="0"/>
          <w:marRight w:val="0"/>
          <w:marTop w:val="0"/>
          <w:marBottom w:val="0"/>
          <w:divBdr>
            <w:top w:val="none" w:sz="0" w:space="0" w:color="auto"/>
            <w:left w:val="none" w:sz="0" w:space="0" w:color="auto"/>
            <w:bottom w:val="none" w:sz="0" w:space="0" w:color="auto"/>
            <w:right w:val="none" w:sz="0" w:space="0" w:color="auto"/>
          </w:divBdr>
          <w:divsChild>
            <w:div w:id="1333265078">
              <w:marLeft w:val="0"/>
              <w:marRight w:val="0"/>
              <w:marTop w:val="0"/>
              <w:marBottom w:val="0"/>
              <w:divBdr>
                <w:top w:val="none" w:sz="0" w:space="0" w:color="auto"/>
                <w:left w:val="none" w:sz="0" w:space="0" w:color="auto"/>
                <w:bottom w:val="none" w:sz="0" w:space="0" w:color="auto"/>
                <w:right w:val="none" w:sz="0" w:space="0" w:color="auto"/>
              </w:divBdr>
            </w:div>
          </w:divsChild>
        </w:div>
        <w:div w:id="254628967">
          <w:marLeft w:val="0"/>
          <w:marRight w:val="0"/>
          <w:marTop w:val="0"/>
          <w:marBottom w:val="0"/>
          <w:divBdr>
            <w:top w:val="none" w:sz="0" w:space="0" w:color="auto"/>
            <w:left w:val="none" w:sz="0" w:space="0" w:color="auto"/>
            <w:bottom w:val="none" w:sz="0" w:space="0" w:color="auto"/>
            <w:right w:val="none" w:sz="0" w:space="0" w:color="auto"/>
          </w:divBdr>
          <w:divsChild>
            <w:div w:id="2170462">
              <w:marLeft w:val="0"/>
              <w:marRight w:val="0"/>
              <w:marTop w:val="0"/>
              <w:marBottom w:val="0"/>
              <w:divBdr>
                <w:top w:val="none" w:sz="0" w:space="0" w:color="auto"/>
                <w:left w:val="none" w:sz="0" w:space="0" w:color="auto"/>
                <w:bottom w:val="none" w:sz="0" w:space="0" w:color="auto"/>
                <w:right w:val="none" w:sz="0" w:space="0" w:color="auto"/>
              </w:divBdr>
            </w:div>
          </w:divsChild>
        </w:div>
        <w:div w:id="281811362">
          <w:marLeft w:val="0"/>
          <w:marRight w:val="0"/>
          <w:marTop w:val="0"/>
          <w:marBottom w:val="0"/>
          <w:divBdr>
            <w:top w:val="none" w:sz="0" w:space="0" w:color="auto"/>
            <w:left w:val="none" w:sz="0" w:space="0" w:color="auto"/>
            <w:bottom w:val="none" w:sz="0" w:space="0" w:color="auto"/>
            <w:right w:val="none" w:sz="0" w:space="0" w:color="auto"/>
          </w:divBdr>
          <w:divsChild>
            <w:div w:id="1987276841">
              <w:marLeft w:val="0"/>
              <w:marRight w:val="0"/>
              <w:marTop w:val="0"/>
              <w:marBottom w:val="0"/>
              <w:divBdr>
                <w:top w:val="none" w:sz="0" w:space="0" w:color="auto"/>
                <w:left w:val="none" w:sz="0" w:space="0" w:color="auto"/>
                <w:bottom w:val="none" w:sz="0" w:space="0" w:color="auto"/>
                <w:right w:val="none" w:sz="0" w:space="0" w:color="auto"/>
              </w:divBdr>
            </w:div>
          </w:divsChild>
        </w:div>
        <w:div w:id="284385865">
          <w:marLeft w:val="0"/>
          <w:marRight w:val="0"/>
          <w:marTop w:val="0"/>
          <w:marBottom w:val="0"/>
          <w:divBdr>
            <w:top w:val="none" w:sz="0" w:space="0" w:color="auto"/>
            <w:left w:val="none" w:sz="0" w:space="0" w:color="auto"/>
            <w:bottom w:val="none" w:sz="0" w:space="0" w:color="auto"/>
            <w:right w:val="none" w:sz="0" w:space="0" w:color="auto"/>
          </w:divBdr>
          <w:divsChild>
            <w:div w:id="1424183509">
              <w:marLeft w:val="0"/>
              <w:marRight w:val="0"/>
              <w:marTop w:val="0"/>
              <w:marBottom w:val="0"/>
              <w:divBdr>
                <w:top w:val="none" w:sz="0" w:space="0" w:color="auto"/>
                <w:left w:val="none" w:sz="0" w:space="0" w:color="auto"/>
                <w:bottom w:val="none" w:sz="0" w:space="0" w:color="auto"/>
                <w:right w:val="none" w:sz="0" w:space="0" w:color="auto"/>
              </w:divBdr>
            </w:div>
          </w:divsChild>
        </w:div>
        <w:div w:id="319432521">
          <w:marLeft w:val="0"/>
          <w:marRight w:val="0"/>
          <w:marTop w:val="0"/>
          <w:marBottom w:val="0"/>
          <w:divBdr>
            <w:top w:val="none" w:sz="0" w:space="0" w:color="auto"/>
            <w:left w:val="none" w:sz="0" w:space="0" w:color="auto"/>
            <w:bottom w:val="none" w:sz="0" w:space="0" w:color="auto"/>
            <w:right w:val="none" w:sz="0" w:space="0" w:color="auto"/>
          </w:divBdr>
          <w:divsChild>
            <w:div w:id="627130069">
              <w:marLeft w:val="0"/>
              <w:marRight w:val="0"/>
              <w:marTop w:val="0"/>
              <w:marBottom w:val="0"/>
              <w:divBdr>
                <w:top w:val="none" w:sz="0" w:space="0" w:color="auto"/>
                <w:left w:val="none" w:sz="0" w:space="0" w:color="auto"/>
                <w:bottom w:val="none" w:sz="0" w:space="0" w:color="auto"/>
                <w:right w:val="none" w:sz="0" w:space="0" w:color="auto"/>
              </w:divBdr>
            </w:div>
          </w:divsChild>
        </w:div>
        <w:div w:id="609046834">
          <w:marLeft w:val="0"/>
          <w:marRight w:val="0"/>
          <w:marTop w:val="0"/>
          <w:marBottom w:val="0"/>
          <w:divBdr>
            <w:top w:val="none" w:sz="0" w:space="0" w:color="auto"/>
            <w:left w:val="none" w:sz="0" w:space="0" w:color="auto"/>
            <w:bottom w:val="none" w:sz="0" w:space="0" w:color="auto"/>
            <w:right w:val="none" w:sz="0" w:space="0" w:color="auto"/>
          </w:divBdr>
          <w:divsChild>
            <w:div w:id="168715749">
              <w:marLeft w:val="0"/>
              <w:marRight w:val="0"/>
              <w:marTop w:val="0"/>
              <w:marBottom w:val="0"/>
              <w:divBdr>
                <w:top w:val="none" w:sz="0" w:space="0" w:color="auto"/>
                <w:left w:val="none" w:sz="0" w:space="0" w:color="auto"/>
                <w:bottom w:val="none" w:sz="0" w:space="0" w:color="auto"/>
                <w:right w:val="none" w:sz="0" w:space="0" w:color="auto"/>
              </w:divBdr>
            </w:div>
          </w:divsChild>
        </w:div>
        <w:div w:id="626279786">
          <w:marLeft w:val="0"/>
          <w:marRight w:val="0"/>
          <w:marTop w:val="0"/>
          <w:marBottom w:val="0"/>
          <w:divBdr>
            <w:top w:val="none" w:sz="0" w:space="0" w:color="auto"/>
            <w:left w:val="none" w:sz="0" w:space="0" w:color="auto"/>
            <w:bottom w:val="none" w:sz="0" w:space="0" w:color="auto"/>
            <w:right w:val="none" w:sz="0" w:space="0" w:color="auto"/>
          </w:divBdr>
          <w:divsChild>
            <w:div w:id="1368873634">
              <w:marLeft w:val="0"/>
              <w:marRight w:val="0"/>
              <w:marTop w:val="0"/>
              <w:marBottom w:val="0"/>
              <w:divBdr>
                <w:top w:val="none" w:sz="0" w:space="0" w:color="auto"/>
                <w:left w:val="none" w:sz="0" w:space="0" w:color="auto"/>
                <w:bottom w:val="none" w:sz="0" w:space="0" w:color="auto"/>
                <w:right w:val="none" w:sz="0" w:space="0" w:color="auto"/>
              </w:divBdr>
            </w:div>
          </w:divsChild>
        </w:div>
        <w:div w:id="643781865">
          <w:marLeft w:val="0"/>
          <w:marRight w:val="0"/>
          <w:marTop w:val="0"/>
          <w:marBottom w:val="0"/>
          <w:divBdr>
            <w:top w:val="none" w:sz="0" w:space="0" w:color="auto"/>
            <w:left w:val="none" w:sz="0" w:space="0" w:color="auto"/>
            <w:bottom w:val="none" w:sz="0" w:space="0" w:color="auto"/>
            <w:right w:val="none" w:sz="0" w:space="0" w:color="auto"/>
          </w:divBdr>
          <w:divsChild>
            <w:div w:id="402526510">
              <w:marLeft w:val="0"/>
              <w:marRight w:val="0"/>
              <w:marTop w:val="0"/>
              <w:marBottom w:val="0"/>
              <w:divBdr>
                <w:top w:val="none" w:sz="0" w:space="0" w:color="auto"/>
                <w:left w:val="none" w:sz="0" w:space="0" w:color="auto"/>
                <w:bottom w:val="none" w:sz="0" w:space="0" w:color="auto"/>
                <w:right w:val="none" w:sz="0" w:space="0" w:color="auto"/>
              </w:divBdr>
            </w:div>
          </w:divsChild>
        </w:div>
        <w:div w:id="666175180">
          <w:marLeft w:val="0"/>
          <w:marRight w:val="0"/>
          <w:marTop w:val="0"/>
          <w:marBottom w:val="0"/>
          <w:divBdr>
            <w:top w:val="none" w:sz="0" w:space="0" w:color="auto"/>
            <w:left w:val="none" w:sz="0" w:space="0" w:color="auto"/>
            <w:bottom w:val="none" w:sz="0" w:space="0" w:color="auto"/>
            <w:right w:val="none" w:sz="0" w:space="0" w:color="auto"/>
          </w:divBdr>
          <w:divsChild>
            <w:div w:id="1594052064">
              <w:marLeft w:val="0"/>
              <w:marRight w:val="0"/>
              <w:marTop w:val="0"/>
              <w:marBottom w:val="0"/>
              <w:divBdr>
                <w:top w:val="none" w:sz="0" w:space="0" w:color="auto"/>
                <w:left w:val="none" w:sz="0" w:space="0" w:color="auto"/>
                <w:bottom w:val="none" w:sz="0" w:space="0" w:color="auto"/>
                <w:right w:val="none" w:sz="0" w:space="0" w:color="auto"/>
              </w:divBdr>
            </w:div>
          </w:divsChild>
        </w:div>
        <w:div w:id="699207494">
          <w:marLeft w:val="0"/>
          <w:marRight w:val="0"/>
          <w:marTop w:val="0"/>
          <w:marBottom w:val="0"/>
          <w:divBdr>
            <w:top w:val="none" w:sz="0" w:space="0" w:color="auto"/>
            <w:left w:val="none" w:sz="0" w:space="0" w:color="auto"/>
            <w:bottom w:val="none" w:sz="0" w:space="0" w:color="auto"/>
            <w:right w:val="none" w:sz="0" w:space="0" w:color="auto"/>
          </w:divBdr>
          <w:divsChild>
            <w:div w:id="1762335400">
              <w:marLeft w:val="0"/>
              <w:marRight w:val="0"/>
              <w:marTop w:val="0"/>
              <w:marBottom w:val="0"/>
              <w:divBdr>
                <w:top w:val="none" w:sz="0" w:space="0" w:color="auto"/>
                <w:left w:val="none" w:sz="0" w:space="0" w:color="auto"/>
                <w:bottom w:val="none" w:sz="0" w:space="0" w:color="auto"/>
                <w:right w:val="none" w:sz="0" w:space="0" w:color="auto"/>
              </w:divBdr>
            </w:div>
          </w:divsChild>
        </w:div>
        <w:div w:id="737166598">
          <w:marLeft w:val="0"/>
          <w:marRight w:val="0"/>
          <w:marTop w:val="0"/>
          <w:marBottom w:val="0"/>
          <w:divBdr>
            <w:top w:val="none" w:sz="0" w:space="0" w:color="auto"/>
            <w:left w:val="none" w:sz="0" w:space="0" w:color="auto"/>
            <w:bottom w:val="none" w:sz="0" w:space="0" w:color="auto"/>
            <w:right w:val="none" w:sz="0" w:space="0" w:color="auto"/>
          </w:divBdr>
          <w:divsChild>
            <w:div w:id="1723400707">
              <w:marLeft w:val="0"/>
              <w:marRight w:val="0"/>
              <w:marTop w:val="0"/>
              <w:marBottom w:val="0"/>
              <w:divBdr>
                <w:top w:val="none" w:sz="0" w:space="0" w:color="auto"/>
                <w:left w:val="none" w:sz="0" w:space="0" w:color="auto"/>
                <w:bottom w:val="none" w:sz="0" w:space="0" w:color="auto"/>
                <w:right w:val="none" w:sz="0" w:space="0" w:color="auto"/>
              </w:divBdr>
            </w:div>
          </w:divsChild>
        </w:div>
        <w:div w:id="803931281">
          <w:marLeft w:val="0"/>
          <w:marRight w:val="0"/>
          <w:marTop w:val="0"/>
          <w:marBottom w:val="0"/>
          <w:divBdr>
            <w:top w:val="none" w:sz="0" w:space="0" w:color="auto"/>
            <w:left w:val="none" w:sz="0" w:space="0" w:color="auto"/>
            <w:bottom w:val="none" w:sz="0" w:space="0" w:color="auto"/>
            <w:right w:val="none" w:sz="0" w:space="0" w:color="auto"/>
          </w:divBdr>
          <w:divsChild>
            <w:div w:id="615066074">
              <w:marLeft w:val="0"/>
              <w:marRight w:val="0"/>
              <w:marTop w:val="0"/>
              <w:marBottom w:val="0"/>
              <w:divBdr>
                <w:top w:val="none" w:sz="0" w:space="0" w:color="auto"/>
                <w:left w:val="none" w:sz="0" w:space="0" w:color="auto"/>
                <w:bottom w:val="none" w:sz="0" w:space="0" w:color="auto"/>
                <w:right w:val="none" w:sz="0" w:space="0" w:color="auto"/>
              </w:divBdr>
            </w:div>
          </w:divsChild>
        </w:div>
        <w:div w:id="845093004">
          <w:marLeft w:val="0"/>
          <w:marRight w:val="0"/>
          <w:marTop w:val="0"/>
          <w:marBottom w:val="0"/>
          <w:divBdr>
            <w:top w:val="none" w:sz="0" w:space="0" w:color="auto"/>
            <w:left w:val="none" w:sz="0" w:space="0" w:color="auto"/>
            <w:bottom w:val="none" w:sz="0" w:space="0" w:color="auto"/>
            <w:right w:val="none" w:sz="0" w:space="0" w:color="auto"/>
          </w:divBdr>
          <w:divsChild>
            <w:div w:id="1141533768">
              <w:marLeft w:val="0"/>
              <w:marRight w:val="0"/>
              <w:marTop w:val="0"/>
              <w:marBottom w:val="0"/>
              <w:divBdr>
                <w:top w:val="none" w:sz="0" w:space="0" w:color="auto"/>
                <w:left w:val="none" w:sz="0" w:space="0" w:color="auto"/>
                <w:bottom w:val="none" w:sz="0" w:space="0" w:color="auto"/>
                <w:right w:val="none" w:sz="0" w:space="0" w:color="auto"/>
              </w:divBdr>
            </w:div>
          </w:divsChild>
        </w:div>
        <w:div w:id="910193705">
          <w:marLeft w:val="0"/>
          <w:marRight w:val="0"/>
          <w:marTop w:val="0"/>
          <w:marBottom w:val="0"/>
          <w:divBdr>
            <w:top w:val="none" w:sz="0" w:space="0" w:color="auto"/>
            <w:left w:val="none" w:sz="0" w:space="0" w:color="auto"/>
            <w:bottom w:val="none" w:sz="0" w:space="0" w:color="auto"/>
            <w:right w:val="none" w:sz="0" w:space="0" w:color="auto"/>
          </w:divBdr>
          <w:divsChild>
            <w:div w:id="1970014864">
              <w:marLeft w:val="0"/>
              <w:marRight w:val="0"/>
              <w:marTop w:val="0"/>
              <w:marBottom w:val="0"/>
              <w:divBdr>
                <w:top w:val="none" w:sz="0" w:space="0" w:color="auto"/>
                <w:left w:val="none" w:sz="0" w:space="0" w:color="auto"/>
                <w:bottom w:val="none" w:sz="0" w:space="0" w:color="auto"/>
                <w:right w:val="none" w:sz="0" w:space="0" w:color="auto"/>
              </w:divBdr>
            </w:div>
          </w:divsChild>
        </w:div>
        <w:div w:id="947589661">
          <w:marLeft w:val="0"/>
          <w:marRight w:val="0"/>
          <w:marTop w:val="0"/>
          <w:marBottom w:val="0"/>
          <w:divBdr>
            <w:top w:val="none" w:sz="0" w:space="0" w:color="auto"/>
            <w:left w:val="none" w:sz="0" w:space="0" w:color="auto"/>
            <w:bottom w:val="none" w:sz="0" w:space="0" w:color="auto"/>
            <w:right w:val="none" w:sz="0" w:space="0" w:color="auto"/>
          </w:divBdr>
          <w:divsChild>
            <w:div w:id="623582635">
              <w:marLeft w:val="0"/>
              <w:marRight w:val="0"/>
              <w:marTop w:val="0"/>
              <w:marBottom w:val="0"/>
              <w:divBdr>
                <w:top w:val="none" w:sz="0" w:space="0" w:color="auto"/>
                <w:left w:val="none" w:sz="0" w:space="0" w:color="auto"/>
                <w:bottom w:val="none" w:sz="0" w:space="0" w:color="auto"/>
                <w:right w:val="none" w:sz="0" w:space="0" w:color="auto"/>
              </w:divBdr>
            </w:div>
          </w:divsChild>
        </w:div>
        <w:div w:id="960845031">
          <w:marLeft w:val="0"/>
          <w:marRight w:val="0"/>
          <w:marTop w:val="0"/>
          <w:marBottom w:val="0"/>
          <w:divBdr>
            <w:top w:val="none" w:sz="0" w:space="0" w:color="auto"/>
            <w:left w:val="none" w:sz="0" w:space="0" w:color="auto"/>
            <w:bottom w:val="none" w:sz="0" w:space="0" w:color="auto"/>
            <w:right w:val="none" w:sz="0" w:space="0" w:color="auto"/>
          </w:divBdr>
          <w:divsChild>
            <w:div w:id="1251044678">
              <w:marLeft w:val="0"/>
              <w:marRight w:val="0"/>
              <w:marTop w:val="0"/>
              <w:marBottom w:val="0"/>
              <w:divBdr>
                <w:top w:val="none" w:sz="0" w:space="0" w:color="auto"/>
                <w:left w:val="none" w:sz="0" w:space="0" w:color="auto"/>
                <w:bottom w:val="none" w:sz="0" w:space="0" w:color="auto"/>
                <w:right w:val="none" w:sz="0" w:space="0" w:color="auto"/>
              </w:divBdr>
            </w:div>
          </w:divsChild>
        </w:div>
        <w:div w:id="999238632">
          <w:marLeft w:val="0"/>
          <w:marRight w:val="0"/>
          <w:marTop w:val="0"/>
          <w:marBottom w:val="0"/>
          <w:divBdr>
            <w:top w:val="none" w:sz="0" w:space="0" w:color="auto"/>
            <w:left w:val="none" w:sz="0" w:space="0" w:color="auto"/>
            <w:bottom w:val="none" w:sz="0" w:space="0" w:color="auto"/>
            <w:right w:val="none" w:sz="0" w:space="0" w:color="auto"/>
          </w:divBdr>
          <w:divsChild>
            <w:div w:id="232551714">
              <w:marLeft w:val="0"/>
              <w:marRight w:val="0"/>
              <w:marTop w:val="0"/>
              <w:marBottom w:val="0"/>
              <w:divBdr>
                <w:top w:val="none" w:sz="0" w:space="0" w:color="auto"/>
                <w:left w:val="none" w:sz="0" w:space="0" w:color="auto"/>
                <w:bottom w:val="none" w:sz="0" w:space="0" w:color="auto"/>
                <w:right w:val="none" w:sz="0" w:space="0" w:color="auto"/>
              </w:divBdr>
            </w:div>
          </w:divsChild>
        </w:div>
        <w:div w:id="1029990621">
          <w:marLeft w:val="0"/>
          <w:marRight w:val="0"/>
          <w:marTop w:val="0"/>
          <w:marBottom w:val="0"/>
          <w:divBdr>
            <w:top w:val="none" w:sz="0" w:space="0" w:color="auto"/>
            <w:left w:val="none" w:sz="0" w:space="0" w:color="auto"/>
            <w:bottom w:val="none" w:sz="0" w:space="0" w:color="auto"/>
            <w:right w:val="none" w:sz="0" w:space="0" w:color="auto"/>
          </w:divBdr>
          <w:divsChild>
            <w:div w:id="970477465">
              <w:marLeft w:val="0"/>
              <w:marRight w:val="0"/>
              <w:marTop w:val="0"/>
              <w:marBottom w:val="0"/>
              <w:divBdr>
                <w:top w:val="none" w:sz="0" w:space="0" w:color="auto"/>
                <w:left w:val="none" w:sz="0" w:space="0" w:color="auto"/>
                <w:bottom w:val="none" w:sz="0" w:space="0" w:color="auto"/>
                <w:right w:val="none" w:sz="0" w:space="0" w:color="auto"/>
              </w:divBdr>
            </w:div>
          </w:divsChild>
        </w:div>
        <w:div w:id="1052999676">
          <w:marLeft w:val="0"/>
          <w:marRight w:val="0"/>
          <w:marTop w:val="0"/>
          <w:marBottom w:val="0"/>
          <w:divBdr>
            <w:top w:val="none" w:sz="0" w:space="0" w:color="auto"/>
            <w:left w:val="none" w:sz="0" w:space="0" w:color="auto"/>
            <w:bottom w:val="none" w:sz="0" w:space="0" w:color="auto"/>
            <w:right w:val="none" w:sz="0" w:space="0" w:color="auto"/>
          </w:divBdr>
          <w:divsChild>
            <w:div w:id="543370632">
              <w:marLeft w:val="0"/>
              <w:marRight w:val="0"/>
              <w:marTop w:val="0"/>
              <w:marBottom w:val="0"/>
              <w:divBdr>
                <w:top w:val="none" w:sz="0" w:space="0" w:color="auto"/>
                <w:left w:val="none" w:sz="0" w:space="0" w:color="auto"/>
                <w:bottom w:val="none" w:sz="0" w:space="0" w:color="auto"/>
                <w:right w:val="none" w:sz="0" w:space="0" w:color="auto"/>
              </w:divBdr>
            </w:div>
          </w:divsChild>
        </w:div>
        <w:div w:id="1151024539">
          <w:marLeft w:val="0"/>
          <w:marRight w:val="0"/>
          <w:marTop w:val="0"/>
          <w:marBottom w:val="0"/>
          <w:divBdr>
            <w:top w:val="none" w:sz="0" w:space="0" w:color="auto"/>
            <w:left w:val="none" w:sz="0" w:space="0" w:color="auto"/>
            <w:bottom w:val="none" w:sz="0" w:space="0" w:color="auto"/>
            <w:right w:val="none" w:sz="0" w:space="0" w:color="auto"/>
          </w:divBdr>
          <w:divsChild>
            <w:div w:id="1105803740">
              <w:marLeft w:val="0"/>
              <w:marRight w:val="0"/>
              <w:marTop w:val="0"/>
              <w:marBottom w:val="0"/>
              <w:divBdr>
                <w:top w:val="none" w:sz="0" w:space="0" w:color="auto"/>
                <w:left w:val="none" w:sz="0" w:space="0" w:color="auto"/>
                <w:bottom w:val="none" w:sz="0" w:space="0" w:color="auto"/>
                <w:right w:val="none" w:sz="0" w:space="0" w:color="auto"/>
              </w:divBdr>
            </w:div>
          </w:divsChild>
        </w:div>
        <w:div w:id="1267154834">
          <w:marLeft w:val="0"/>
          <w:marRight w:val="0"/>
          <w:marTop w:val="0"/>
          <w:marBottom w:val="0"/>
          <w:divBdr>
            <w:top w:val="none" w:sz="0" w:space="0" w:color="auto"/>
            <w:left w:val="none" w:sz="0" w:space="0" w:color="auto"/>
            <w:bottom w:val="none" w:sz="0" w:space="0" w:color="auto"/>
            <w:right w:val="none" w:sz="0" w:space="0" w:color="auto"/>
          </w:divBdr>
          <w:divsChild>
            <w:div w:id="1069378926">
              <w:marLeft w:val="0"/>
              <w:marRight w:val="0"/>
              <w:marTop w:val="0"/>
              <w:marBottom w:val="0"/>
              <w:divBdr>
                <w:top w:val="none" w:sz="0" w:space="0" w:color="auto"/>
                <w:left w:val="none" w:sz="0" w:space="0" w:color="auto"/>
                <w:bottom w:val="none" w:sz="0" w:space="0" w:color="auto"/>
                <w:right w:val="none" w:sz="0" w:space="0" w:color="auto"/>
              </w:divBdr>
            </w:div>
          </w:divsChild>
        </w:div>
        <w:div w:id="1340813983">
          <w:marLeft w:val="0"/>
          <w:marRight w:val="0"/>
          <w:marTop w:val="0"/>
          <w:marBottom w:val="0"/>
          <w:divBdr>
            <w:top w:val="none" w:sz="0" w:space="0" w:color="auto"/>
            <w:left w:val="none" w:sz="0" w:space="0" w:color="auto"/>
            <w:bottom w:val="none" w:sz="0" w:space="0" w:color="auto"/>
            <w:right w:val="none" w:sz="0" w:space="0" w:color="auto"/>
          </w:divBdr>
          <w:divsChild>
            <w:div w:id="1897282386">
              <w:marLeft w:val="0"/>
              <w:marRight w:val="0"/>
              <w:marTop w:val="0"/>
              <w:marBottom w:val="0"/>
              <w:divBdr>
                <w:top w:val="none" w:sz="0" w:space="0" w:color="auto"/>
                <w:left w:val="none" w:sz="0" w:space="0" w:color="auto"/>
                <w:bottom w:val="none" w:sz="0" w:space="0" w:color="auto"/>
                <w:right w:val="none" w:sz="0" w:space="0" w:color="auto"/>
              </w:divBdr>
            </w:div>
          </w:divsChild>
        </w:div>
        <w:div w:id="1380327501">
          <w:marLeft w:val="0"/>
          <w:marRight w:val="0"/>
          <w:marTop w:val="0"/>
          <w:marBottom w:val="0"/>
          <w:divBdr>
            <w:top w:val="none" w:sz="0" w:space="0" w:color="auto"/>
            <w:left w:val="none" w:sz="0" w:space="0" w:color="auto"/>
            <w:bottom w:val="none" w:sz="0" w:space="0" w:color="auto"/>
            <w:right w:val="none" w:sz="0" w:space="0" w:color="auto"/>
          </w:divBdr>
          <w:divsChild>
            <w:div w:id="104887716">
              <w:marLeft w:val="0"/>
              <w:marRight w:val="0"/>
              <w:marTop w:val="0"/>
              <w:marBottom w:val="0"/>
              <w:divBdr>
                <w:top w:val="none" w:sz="0" w:space="0" w:color="auto"/>
                <w:left w:val="none" w:sz="0" w:space="0" w:color="auto"/>
                <w:bottom w:val="none" w:sz="0" w:space="0" w:color="auto"/>
                <w:right w:val="none" w:sz="0" w:space="0" w:color="auto"/>
              </w:divBdr>
            </w:div>
          </w:divsChild>
        </w:div>
        <w:div w:id="1445466302">
          <w:marLeft w:val="0"/>
          <w:marRight w:val="0"/>
          <w:marTop w:val="0"/>
          <w:marBottom w:val="0"/>
          <w:divBdr>
            <w:top w:val="none" w:sz="0" w:space="0" w:color="auto"/>
            <w:left w:val="none" w:sz="0" w:space="0" w:color="auto"/>
            <w:bottom w:val="none" w:sz="0" w:space="0" w:color="auto"/>
            <w:right w:val="none" w:sz="0" w:space="0" w:color="auto"/>
          </w:divBdr>
          <w:divsChild>
            <w:div w:id="298389677">
              <w:marLeft w:val="0"/>
              <w:marRight w:val="0"/>
              <w:marTop w:val="0"/>
              <w:marBottom w:val="0"/>
              <w:divBdr>
                <w:top w:val="none" w:sz="0" w:space="0" w:color="auto"/>
                <w:left w:val="none" w:sz="0" w:space="0" w:color="auto"/>
                <w:bottom w:val="none" w:sz="0" w:space="0" w:color="auto"/>
                <w:right w:val="none" w:sz="0" w:space="0" w:color="auto"/>
              </w:divBdr>
            </w:div>
          </w:divsChild>
        </w:div>
        <w:div w:id="1638604566">
          <w:marLeft w:val="0"/>
          <w:marRight w:val="0"/>
          <w:marTop w:val="0"/>
          <w:marBottom w:val="0"/>
          <w:divBdr>
            <w:top w:val="none" w:sz="0" w:space="0" w:color="auto"/>
            <w:left w:val="none" w:sz="0" w:space="0" w:color="auto"/>
            <w:bottom w:val="none" w:sz="0" w:space="0" w:color="auto"/>
            <w:right w:val="none" w:sz="0" w:space="0" w:color="auto"/>
          </w:divBdr>
          <w:divsChild>
            <w:div w:id="1774785440">
              <w:marLeft w:val="0"/>
              <w:marRight w:val="0"/>
              <w:marTop w:val="0"/>
              <w:marBottom w:val="0"/>
              <w:divBdr>
                <w:top w:val="none" w:sz="0" w:space="0" w:color="auto"/>
                <w:left w:val="none" w:sz="0" w:space="0" w:color="auto"/>
                <w:bottom w:val="none" w:sz="0" w:space="0" w:color="auto"/>
                <w:right w:val="none" w:sz="0" w:space="0" w:color="auto"/>
              </w:divBdr>
            </w:div>
          </w:divsChild>
        </w:div>
        <w:div w:id="1639332920">
          <w:marLeft w:val="0"/>
          <w:marRight w:val="0"/>
          <w:marTop w:val="0"/>
          <w:marBottom w:val="0"/>
          <w:divBdr>
            <w:top w:val="none" w:sz="0" w:space="0" w:color="auto"/>
            <w:left w:val="none" w:sz="0" w:space="0" w:color="auto"/>
            <w:bottom w:val="none" w:sz="0" w:space="0" w:color="auto"/>
            <w:right w:val="none" w:sz="0" w:space="0" w:color="auto"/>
          </w:divBdr>
          <w:divsChild>
            <w:div w:id="860246408">
              <w:marLeft w:val="0"/>
              <w:marRight w:val="0"/>
              <w:marTop w:val="0"/>
              <w:marBottom w:val="0"/>
              <w:divBdr>
                <w:top w:val="none" w:sz="0" w:space="0" w:color="auto"/>
                <w:left w:val="none" w:sz="0" w:space="0" w:color="auto"/>
                <w:bottom w:val="none" w:sz="0" w:space="0" w:color="auto"/>
                <w:right w:val="none" w:sz="0" w:space="0" w:color="auto"/>
              </w:divBdr>
            </w:div>
          </w:divsChild>
        </w:div>
        <w:div w:id="1653409231">
          <w:marLeft w:val="0"/>
          <w:marRight w:val="0"/>
          <w:marTop w:val="0"/>
          <w:marBottom w:val="0"/>
          <w:divBdr>
            <w:top w:val="none" w:sz="0" w:space="0" w:color="auto"/>
            <w:left w:val="none" w:sz="0" w:space="0" w:color="auto"/>
            <w:bottom w:val="none" w:sz="0" w:space="0" w:color="auto"/>
            <w:right w:val="none" w:sz="0" w:space="0" w:color="auto"/>
          </w:divBdr>
          <w:divsChild>
            <w:div w:id="54208908">
              <w:marLeft w:val="0"/>
              <w:marRight w:val="0"/>
              <w:marTop w:val="0"/>
              <w:marBottom w:val="0"/>
              <w:divBdr>
                <w:top w:val="none" w:sz="0" w:space="0" w:color="auto"/>
                <w:left w:val="none" w:sz="0" w:space="0" w:color="auto"/>
                <w:bottom w:val="none" w:sz="0" w:space="0" w:color="auto"/>
                <w:right w:val="none" w:sz="0" w:space="0" w:color="auto"/>
              </w:divBdr>
            </w:div>
          </w:divsChild>
        </w:div>
        <w:div w:id="1661155938">
          <w:marLeft w:val="0"/>
          <w:marRight w:val="0"/>
          <w:marTop w:val="0"/>
          <w:marBottom w:val="0"/>
          <w:divBdr>
            <w:top w:val="none" w:sz="0" w:space="0" w:color="auto"/>
            <w:left w:val="none" w:sz="0" w:space="0" w:color="auto"/>
            <w:bottom w:val="none" w:sz="0" w:space="0" w:color="auto"/>
            <w:right w:val="none" w:sz="0" w:space="0" w:color="auto"/>
          </w:divBdr>
          <w:divsChild>
            <w:div w:id="384722690">
              <w:marLeft w:val="0"/>
              <w:marRight w:val="0"/>
              <w:marTop w:val="0"/>
              <w:marBottom w:val="0"/>
              <w:divBdr>
                <w:top w:val="none" w:sz="0" w:space="0" w:color="auto"/>
                <w:left w:val="none" w:sz="0" w:space="0" w:color="auto"/>
                <w:bottom w:val="none" w:sz="0" w:space="0" w:color="auto"/>
                <w:right w:val="none" w:sz="0" w:space="0" w:color="auto"/>
              </w:divBdr>
            </w:div>
          </w:divsChild>
        </w:div>
        <w:div w:id="1681423372">
          <w:marLeft w:val="0"/>
          <w:marRight w:val="0"/>
          <w:marTop w:val="0"/>
          <w:marBottom w:val="0"/>
          <w:divBdr>
            <w:top w:val="none" w:sz="0" w:space="0" w:color="auto"/>
            <w:left w:val="none" w:sz="0" w:space="0" w:color="auto"/>
            <w:bottom w:val="none" w:sz="0" w:space="0" w:color="auto"/>
            <w:right w:val="none" w:sz="0" w:space="0" w:color="auto"/>
          </w:divBdr>
          <w:divsChild>
            <w:div w:id="965355462">
              <w:marLeft w:val="0"/>
              <w:marRight w:val="0"/>
              <w:marTop w:val="0"/>
              <w:marBottom w:val="0"/>
              <w:divBdr>
                <w:top w:val="none" w:sz="0" w:space="0" w:color="auto"/>
                <w:left w:val="none" w:sz="0" w:space="0" w:color="auto"/>
                <w:bottom w:val="none" w:sz="0" w:space="0" w:color="auto"/>
                <w:right w:val="none" w:sz="0" w:space="0" w:color="auto"/>
              </w:divBdr>
            </w:div>
          </w:divsChild>
        </w:div>
        <w:div w:id="1693458231">
          <w:marLeft w:val="0"/>
          <w:marRight w:val="0"/>
          <w:marTop w:val="0"/>
          <w:marBottom w:val="0"/>
          <w:divBdr>
            <w:top w:val="none" w:sz="0" w:space="0" w:color="auto"/>
            <w:left w:val="none" w:sz="0" w:space="0" w:color="auto"/>
            <w:bottom w:val="none" w:sz="0" w:space="0" w:color="auto"/>
            <w:right w:val="none" w:sz="0" w:space="0" w:color="auto"/>
          </w:divBdr>
          <w:divsChild>
            <w:div w:id="135728708">
              <w:marLeft w:val="0"/>
              <w:marRight w:val="0"/>
              <w:marTop w:val="0"/>
              <w:marBottom w:val="0"/>
              <w:divBdr>
                <w:top w:val="none" w:sz="0" w:space="0" w:color="auto"/>
                <w:left w:val="none" w:sz="0" w:space="0" w:color="auto"/>
                <w:bottom w:val="none" w:sz="0" w:space="0" w:color="auto"/>
                <w:right w:val="none" w:sz="0" w:space="0" w:color="auto"/>
              </w:divBdr>
            </w:div>
          </w:divsChild>
        </w:div>
        <w:div w:id="1703433375">
          <w:marLeft w:val="0"/>
          <w:marRight w:val="0"/>
          <w:marTop w:val="0"/>
          <w:marBottom w:val="0"/>
          <w:divBdr>
            <w:top w:val="none" w:sz="0" w:space="0" w:color="auto"/>
            <w:left w:val="none" w:sz="0" w:space="0" w:color="auto"/>
            <w:bottom w:val="none" w:sz="0" w:space="0" w:color="auto"/>
            <w:right w:val="none" w:sz="0" w:space="0" w:color="auto"/>
          </w:divBdr>
          <w:divsChild>
            <w:div w:id="1380276123">
              <w:marLeft w:val="0"/>
              <w:marRight w:val="0"/>
              <w:marTop w:val="0"/>
              <w:marBottom w:val="0"/>
              <w:divBdr>
                <w:top w:val="none" w:sz="0" w:space="0" w:color="auto"/>
                <w:left w:val="none" w:sz="0" w:space="0" w:color="auto"/>
                <w:bottom w:val="none" w:sz="0" w:space="0" w:color="auto"/>
                <w:right w:val="none" w:sz="0" w:space="0" w:color="auto"/>
              </w:divBdr>
            </w:div>
          </w:divsChild>
        </w:div>
        <w:div w:id="1729302004">
          <w:marLeft w:val="0"/>
          <w:marRight w:val="0"/>
          <w:marTop w:val="0"/>
          <w:marBottom w:val="0"/>
          <w:divBdr>
            <w:top w:val="none" w:sz="0" w:space="0" w:color="auto"/>
            <w:left w:val="none" w:sz="0" w:space="0" w:color="auto"/>
            <w:bottom w:val="none" w:sz="0" w:space="0" w:color="auto"/>
            <w:right w:val="none" w:sz="0" w:space="0" w:color="auto"/>
          </w:divBdr>
          <w:divsChild>
            <w:div w:id="1997537493">
              <w:marLeft w:val="0"/>
              <w:marRight w:val="0"/>
              <w:marTop w:val="0"/>
              <w:marBottom w:val="0"/>
              <w:divBdr>
                <w:top w:val="none" w:sz="0" w:space="0" w:color="auto"/>
                <w:left w:val="none" w:sz="0" w:space="0" w:color="auto"/>
                <w:bottom w:val="none" w:sz="0" w:space="0" w:color="auto"/>
                <w:right w:val="none" w:sz="0" w:space="0" w:color="auto"/>
              </w:divBdr>
            </w:div>
          </w:divsChild>
        </w:div>
        <w:div w:id="1775251098">
          <w:marLeft w:val="0"/>
          <w:marRight w:val="0"/>
          <w:marTop w:val="0"/>
          <w:marBottom w:val="0"/>
          <w:divBdr>
            <w:top w:val="none" w:sz="0" w:space="0" w:color="auto"/>
            <w:left w:val="none" w:sz="0" w:space="0" w:color="auto"/>
            <w:bottom w:val="none" w:sz="0" w:space="0" w:color="auto"/>
            <w:right w:val="none" w:sz="0" w:space="0" w:color="auto"/>
          </w:divBdr>
          <w:divsChild>
            <w:div w:id="603195872">
              <w:marLeft w:val="0"/>
              <w:marRight w:val="0"/>
              <w:marTop w:val="0"/>
              <w:marBottom w:val="0"/>
              <w:divBdr>
                <w:top w:val="none" w:sz="0" w:space="0" w:color="auto"/>
                <w:left w:val="none" w:sz="0" w:space="0" w:color="auto"/>
                <w:bottom w:val="none" w:sz="0" w:space="0" w:color="auto"/>
                <w:right w:val="none" w:sz="0" w:space="0" w:color="auto"/>
              </w:divBdr>
            </w:div>
          </w:divsChild>
        </w:div>
        <w:div w:id="1813592942">
          <w:marLeft w:val="0"/>
          <w:marRight w:val="0"/>
          <w:marTop w:val="0"/>
          <w:marBottom w:val="0"/>
          <w:divBdr>
            <w:top w:val="none" w:sz="0" w:space="0" w:color="auto"/>
            <w:left w:val="none" w:sz="0" w:space="0" w:color="auto"/>
            <w:bottom w:val="none" w:sz="0" w:space="0" w:color="auto"/>
            <w:right w:val="none" w:sz="0" w:space="0" w:color="auto"/>
          </w:divBdr>
          <w:divsChild>
            <w:div w:id="247426358">
              <w:marLeft w:val="0"/>
              <w:marRight w:val="0"/>
              <w:marTop w:val="0"/>
              <w:marBottom w:val="0"/>
              <w:divBdr>
                <w:top w:val="none" w:sz="0" w:space="0" w:color="auto"/>
                <w:left w:val="none" w:sz="0" w:space="0" w:color="auto"/>
                <w:bottom w:val="none" w:sz="0" w:space="0" w:color="auto"/>
                <w:right w:val="none" w:sz="0" w:space="0" w:color="auto"/>
              </w:divBdr>
            </w:div>
          </w:divsChild>
        </w:div>
        <w:div w:id="1849563268">
          <w:marLeft w:val="0"/>
          <w:marRight w:val="0"/>
          <w:marTop w:val="0"/>
          <w:marBottom w:val="0"/>
          <w:divBdr>
            <w:top w:val="none" w:sz="0" w:space="0" w:color="auto"/>
            <w:left w:val="none" w:sz="0" w:space="0" w:color="auto"/>
            <w:bottom w:val="none" w:sz="0" w:space="0" w:color="auto"/>
            <w:right w:val="none" w:sz="0" w:space="0" w:color="auto"/>
          </w:divBdr>
          <w:divsChild>
            <w:div w:id="868759789">
              <w:marLeft w:val="0"/>
              <w:marRight w:val="0"/>
              <w:marTop w:val="0"/>
              <w:marBottom w:val="0"/>
              <w:divBdr>
                <w:top w:val="none" w:sz="0" w:space="0" w:color="auto"/>
                <w:left w:val="none" w:sz="0" w:space="0" w:color="auto"/>
                <w:bottom w:val="none" w:sz="0" w:space="0" w:color="auto"/>
                <w:right w:val="none" w:sz="0" w:space="0" w:color="auto"/>
              </w:divBdr>
            </w:div>
          </w:divsChild>
        </w:div>
        <w:div w:id="1870950301">
          <w:marLeft w:val="0"/>
          <w:marRight w:val="0"/>
          <w:marTop w:val="0"/>
          <w:marBottom w:val="0"/>
          <w:divBdr>
            <w:top w:val="none" w:sz="0" w:space="0" w:color="auto"/>
            <w:left w:val="none" w:sz="0" w:space="0" w:color="auto"/>
            <w:bottom w:val="none" w:sz="0" w:space="0" w:color="auto"/>
            <w:right w:val="none" w:sz="0" w:space="0" w:color="auto"/>
          </w:divBdr>
          <w:divsChild>
            <w:div w:id="1100222091">
              <w:marLeft w:val="0"/>
              <w:marRight w:val="0"/>
              <w:marTop w:val="0"/>
              <w:marBottom w:val="0"/>
              <w:divBdr>
                <w:top w:val="none" w:sz="0" w:space="0" w:color="auto"/>
                <w:left w:val="none" w:sz="0" w:space="0" w:color="auto"/>
                <w:bottom w:val="none" w:sz="0" w:space="0" w:color="auto"/>
                <w:right w:val="none" w:sz="0" w:space="0" w:color="auto"/>
              </w:divBdr>
            </w:div>
          </w:divsChild>
        </w:div>
        <w:div w:id="1881941299">
          <w:marLeft w:val="0"/>
          <w:marRight w:val="0"/>
          <w:marTop w:val="0"/>
          <w:marBottom w:val="0"/>
          <w:divBdr>
            <w:top w:val="none" w:sz="0" w:space="0" w:color="auto"/>
            <w:left w:val="none" w:sz="0" w:space="0" w:color="auto"/>
            <w:bottom w:val="none" w:sz="0" w:space="0" w:color="auto"/>
            <w:right w:val="none" w:sz="0" w:space="0" w:color="auto"/>
          </w:divBdr>
          <w:divsChild>
            <w:div w:id="1550260796">
              <w:marLeft w:val="0"/>
              <w:marRight w:val="0"/>
              <w:marTop w:val="0"/>
              <w:marBottom w:val="0"/>
              <w:divBdr>
                <w:top w:val="none" w:sz="0" w:space="0" w:color="auto"/>
                <w:left w:val="none" w:sz="0" w:space="0" w:color="auto"/>
                <w:bottom w:val="none" w:sz="0" w:space="0" w:color="auto"/>
                <w:right w:val="none" w:sz="0" w:space="0" w:color="auto"/>
              </w:divBdr>
            </w:div>
          </w:divsChild>
        </w:div>
        <w:div w:id="1936982263">
          <w:marLeft w:val="0"/>
          <w:marRight w:val="0"/>
          <w:marTop w:val="0"/>
          <w:marBottom w:val="0"/>
          <w:divBdr>
            <w:top w:val="none" w:sz="0" w:space="0" w:color="auto"/>
            <w:left w:val="none" w:sz="0" w:space="0" w:color="auto"/>
            <w:bottom w:val="none" w:sz="0" w:space="0" w:color="auto"/>
            <w:right w:val="none" w:sz="0" w:space="0" w:color="auto"/>
          </w:divBdr>
          <w:divsChild>
            <w:div w:id="2628710">
              <w:marLeft w:val="0"/>
              <w:marRight w:val="0"/>
              <w:marTop w:val="0"/>
              <w:marBottom w:val="0"/>
              <w:divBdr>
                <w:top w:val="none" w:sz="0" w:space="0" w:color="auto"/>
                <w:left w:val="none" w:sz="0" w:space="0" w:color="auto"/>
                <w:bottom w:val="none" w:sz="0" w:space="0" w:color="auto"/>
                <w:right w:val="none" w:sz="0" w:space="0" w:color="auto"/>
              </w:divBdr>
            </w:div>
          </w:divsChild>
        </w:div>
        <w:div w:id="1982683979">
          <w:marLeft w:val="0"/>
          <w:marRight w:val="0"/>
          <w:marTop w:val="0"/>
          <w:marBottom w:val="0"/>
          <w:divBdr>
            <w:top w:val="none" w:sz="0" w:space="0" w:color="auto"/>
            <w:left w:val="none" w:sz="0" w:space="0" w:color="auto"/>
            <w:bottom w:val="none" w:sz="0" w:space="0" w:color="auto"/>
            <w:right w:val="none" w:sz="0" w:space="0" w:color="auto"/>
          </w:divBdr>
          <w:divsChild>
            <w:div w:id="259022020">
              <w:marLeft w:val="0"/>
              <w:marRight w:val="0"/>
              <w:marTop w:val="0"/>
              <w:marBottom w:val="0"/>
              <w:divBdr>
                <w:top w:val="none" w:sz="0" w:space="0" w:color="auto"/>
                <w:left w:val="none" w:sz="0" w:space="0" w:color="auto"/>
                <w:bottom w:val="none" w:sz="0" w:space="0" w:color="auto"/>
                <w:right w:val="none" w:sz="0" w:space="0" w:color="auto"/>
              </w:divBdr>
            </w:div>
          </w:divsChild>
        </w:div>
        <w:div w:id="1983541833">
          <w:marLeft w:val="0"/>
          <w:marRight w:val="0"/>
          <w:marTop w:val="0"/>
          <w:marBottom w:val="0"/>
          <w:divBdr>
            <w:top w:val="none" w:sz="0" w:space="0" w:color="auto"/>
            <w:left w:val="none" w:sz="0" w:space="0" w:color="auto"/>
            <w:bottom w:val="none" w:sz="0" w:space="0" w:color="auto"/>
            <w:right w:val="none" w:sz="0" w:space="0" w:color="auto"/>
          </w:divBdr>
          <w:divsChild>
            <w:div w:id="1381246758">
              <w:marLeft w:val="0"/>
              <w:marRight w:val="0"/>
              <w:marTop w:val="0"/>
              <w:marBottom w:val="0"/>
              <w:divBdr>
                <w:top w:val="none" w:sz="0" w:space="0" w:color="auto"/>
                <w:left w:val="none" w:sz="0" w:space="0" w:color="auto"/>
                <w:bottom w:val="none" w:sz="0" w:space="0" w:color="auto"/>
                <w:right w:val="none" w:sz="0" w:space="0" w:color="auto"/>
              </w:divBdr>
            </w:div>
          </w:divsChild>
        </w:div>
        <w:div w:id="2011836654">
          <w:marLeft w:val="0"/>
          <w:marRight w:val="0"/>
          <w:marTop w:val="0"/>
          <w:marBottom w:val="0"/>
          <w:divBdr>
            <w:top w:val="none" w:sz="0" w:space="0" w:color="auto"/>
            <w:left w:val="none" w:sz="0" w:space="0" w:color="auto"/>
            <w:bottom w:val="none" w:sz="0" w:space="0" w:color="auto"/>
            <w:right w:val="none" w:sz="0" w:space="0" w:color="auto"/>
          </w:divBdr>
          <w:divsChild>
            <w:div w:id="1407846220">
              <w:marLeft w:val="0"/>
              <w:marRight w:val="0"/>
              <w:marTop w:val="0"/>
              <w:marBottom w:val="0"/>
              <w:divBdr>
                <w:top w:val="none" w:sz="0" w:space="0" w:color="auto"/>
                <w:left w:val="none" w:sz="0" w:space="0" w:color="auto"/>
                <w:bottom w:val="none" w:sz="0" w:space="0" w:color="auto"/>
                <w:right w:val="none" w:sz="0" w:space="0" w:color="auto"/>
              </w:divBdr>
            </w:div>
          </w:divsChild>
        </w:div>
        <w:div w:id="2067415354">
          <w:marLeft w:val="0"/>
          <w:marRight w:val="0"/>
          <w:marTop w:val="0"/>
          <w:marBottom w:val="0"/>
          <w:divBdr>
            <w:top w:val="none" w:sz="0" w:space="0" w:color="auto"/>
            <w:left w:val="none" w:sz="0" w:space="0" w:color="auto"/>
            <w:bottom w:val="none" w:sz="0" w:space="0" w:color="auto"/>
            <w:right w:val="none" w:sz="0" w:space="0" w:color="auto"/>
          </w:divBdr>
          <w:divsChild>
            <w:div w:id="282420935">
              <w:marLeft w:val="0"/>
              <w:marRight w:val="0"/>
              <w:marTop w:val="0"/>
              <w:marBottom w:val="0"/>
              <w:divBdr>
                <w:top w:val="none" w:sz="0" w:space="0" w:color="auto"/>
                <w:left w:val="none" w:sz="0" w:space="0" w:color="auto"/>
                <w:bottom w:val="none" w:sz="0" w:space="0" w:color="auto"/>
                <w:right w:val="none" w:sz="0" w:space="0" w:color="auto"/>
              </w:divBdr>
            </w:div>
          </w:divsChild>
        </w:div>
        <w:div w:id="2098557412">
          <w:marLeft w:val="0"/>
          <w:marRight w:val="0"/>
          <w:marTop w:val="0"/>
          <w:marBottom w:val="0"/>
          <w:divBdr>
            <w:top w:val="none" w:sz="0" w:space="0" w:color="auto"/>
            <w:left w:val="none" w:sz="0" w:space="0" w:color="auto"/>
            <w:bottom w:val="none" w:sz="0" w:space="0" w:color="auto"/>
            <w:right w:val="none" w:sz="0" w:space="0" w:color="auto"/>
          </w:divBdr>
          <w:divsChild>
            <w:div w:id="1923679399">
              <w:marLeft w:val="0"/>
              <w:marRight w:val="0"/>
              <w:marTop w:val="0"/>
              <w:marBottom w:val="0"/>
              <w:divBdr>
                <w:top w:val="none" w:sz="0" w:space="0" w:color="auto"/>
                <w:left w:val="none" w:sz="0" w:space="0" w:color="auto"/>
                <w:bottom w:val="none" w:sz="0" w:space="0" w:color="auto"/>
                <w:right w:val="none" w:sz="0" w:space="0" w:color="auto"/>
              </w:divBdr>
            </w:div>
          </w:divsChild>
        </w:div>
        <w:div w:id="2141872751">
          <w:marLeft w:val="0"/>
          <w:marRight w:val="0"/>
          <w:marTop w:val="0"/>
          <w:marBottom w:val="0"/>
          <w:divBdr>
            <w:top w:val="none" w:sz="0" w:space="0" w:color="auto"/>
            <w:left w:val="none" w:sz="0" w:space="0" w:color="auto"/>
            <w:bottom w:val="none" w:sz="0" w:space="0" w:color="auto"/>
            <w:right w:val="none" w:sz="0" w:space="0" w:color="auto"/>
          </w:divBdr>
          <w:divsChild>
            <w:div w:id="20464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3121">
      <w:bodyDiv w:val="1"/>
      <w:marLeft w:val="0"/>
      <w:marRight w:val="0"/>
      <w:marTop w:val="0"/>
      <w:marBottom w:val="0"/>
      <w:divBdr>
        <w:top w:val="none" w:sz="0" w:space="0" w:color="auto"/>
        <w:left w:val="none" w:sz="0" w:space="0" w:color="auto"/>
        <w:bottom w:val="none" w:sz="0" w:space="0" w:color="auto"/>
        <w:right w:val="none" w:sz="0" w:space="0" w:color="auto"/>
      </w:divBdr>
      <w:divsChild>
        <w:div w:id="88163040">
          <w:marLeft w:val="0"/>
          <w:marRight w:val="0"/>
          <w:marTop w:val="0"/>
          <w:marBottom w:val="0"/>
          <w:divBdr>
            <w:top w:val="none" w:sz="0" w:space="0" w:color="auto"/>
            <w:left w:val="none" w:sz="0" w:space="0" w:color="auto"/>
            <w:bottom w:val="none" w:sz="0" w:space="0" w:color="auto"/>
            <w:right w:val="none" w:sz="0" w:space="0" w:color="auto"/>
          </w:divBdr>
        </w:div>
        <w:div w:id="558397131">
          <w:marLeft w:val="0"/>
          <w:marRight w:val="0"/>
          <w:marTop w:val="0"/>
          <w:marBottom w:val="0"/>
          <w:divBdr>
            <w:top w:val="none" w:sz="0" w:space="0" w:color="auto"/>
            <w:left w:val="none" w:sz="0" w:space="0" w:color="auto"/>
            <w:bottom w:val="none" w:sz="0" w:space="0" w:color="auto"/>
            <w:right w:val="none" w:sz="0" w:space="0" w:color="auto"/>
          </w:divBdr>
        </w:div>
        <w:div w:id="774791384">
          <w:marLeft w:val="0"/>
          <w:marRight w:val="0"/>
          <w:marTop w:val="0"/>
          <w:marBottom w:val="0"/>
          <w:divBdr>
            <w:top w:val="none" w:sz="0" w:space="0" w:color="auto"/>
            <w:left w:val="none" w:sz="0" w:space="0" w:color="auto"/>
            <w:bottom w:val="none" w:sz="0" w:space="0" w:color="auto"/>
            <w:right w:val="none" w:sz="0" w:space="0" w:color="auto"/>
          </w:divBdr>
        </w:div>
        <w:div w:id="843588251">
          <w:marLeft w:val="0"/>
          <w:marRight w:val="0"/>
          <w:marTop w:val="0"/>
          <w:marBottom w:val="0"/>
          <w:divBdr>
            <w:top w:val="none" w:sz="0" w:space="0" w:color="auto"/>
            <w:left w:val="none" w:sz="0" w:space="0" w:color="auto"/>
            <w:bottom w:val="none" w:sz="0" w:space="0" w:color="auto"/>
            <w:right w:val="none" w:sz="0" w:space="0" w:color="auto"/>
          </w:divBdr>
        </w:div>
        <w:div w:id="992680652">
          <w:marLeft w:val="0"/>
          <w:marRight w:val="0"/>
          <w:marTop w:val="0"/>
          <w:marBottom w:val="0"/>
          <w:divBdr>
            <w:top w:val="none" w:sz="0" w:space="0" w:color="auto"/>
            <w:left w:val="none" w:sz="0" w:space="0" w:color="auto"/>
            <w:bottom w:val="none" w:sz="0" w:space="0" w:color="auto"/>
            <w:right w:val="none" w:sz="0" w:space="0" w:color="auto"/>
          </w:divBdr>
        </w:div>
        <w:div w:id="1256210007">
          <w:marLeft w:val="0"/>
          <w:marRight w:val="0"/>
          <w:marTop w:val="0"/>
          <w:marBottom w:val="0"/>
          <w:divBdr>
            <w:top w:val="none" w:sz="0" w:space="0" w:color="auto"/>
            <w:left w:val="none" w:sz="0" w:space="0" w:color="auto"/>
            <w:bottom w:val="none" w:sz="0" w:space="0" w:color="auto"/>
            <w:right w:val="none" w:sz="0" w:space="0" w:color="auto"/>
          </w:divBdr>
        </w:div>
      </w:divsChild>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00685153">
      <w:bodyDiv w:val="1"/>
      <w:marLeft w:val="0"/>
      <w:marRight w:val="0"/>
      <w:marTop w:val="0"/>
      <w:marBottom w:val="0"/>
      <w:divBdr>
        <w:top w:val="none" w:sz="0" w:space="0" w:color="auto"/>
        <w:left w:val="none" w:sz="0" w:space="0" w:color="auto"/>
        <w:bottom w:val="none" w:sz="0" w:space="0" w:color="auto"/>
        <w:right w:val="none" w:sz="0" w:space="0" w:color="auto"/>
      </w:divBdr>
    </w:div>
    <w:div w:id="1834447941">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068337673">
      <w:bodyDiv w:val="1"/>
      <w:marLeft w:val="0"/>
      <w:marRight w:val="0"/>
      <w:marTop w:val="0"/>
      <w:marBottom w:val="0"/>
      <w:divBdr>
        <w:top w:val="none" w:sz="0" w:space="0" w:color="auto"/>
        <w:left w:val="none" w:sz="0" w:space="0" w:color="auto"/>
        <w:bottom w:val="none" w:sz="0" w:space="0" w:color="auto"/>
        <w:right w:val="none" w:sz="0" w:space="0" w:color="auto"/>
      </w:divBdr>
      <w:divsChild>
        <w:div w:id="84108304">
          <w:marLeft w:val="0"/>
          <w:marRight w:val="0"/>
          <w:marTop w:val="0"/>
          <w:marBottom w:val="0"/>
          <w:divBdr>
            <w:top w:val="none" w:sz="0" w:space="0" w:color="auto"/>
            <w:left w:val="none" w:sz="0" w:space="0" w:color="auto"/>
            <w:bottom w:val="none" w:sz="0" w:space="0" w:color="auto"/>
            <w:right w:val="none" w:sz="0" w:space="0" w:color="auto"/>
          </w:divBdr>
          <w:divsChild>
            <w:div w:id="262425358">
              <w:marLeft w:val="0"/>
              <w:marRight w:val="0"/>
              <w:marTop w:val="0"/>
              <w:marBottom w:val="0"/>
              <w:divBdr>
                <w:top w:val="none" w:sz="0" w:space="0" w:color="auto"/>
                <w:left w:val="none" w:sz="0" w:space="0" w:color="auto"/>
                <w:bottom w:val="none" w:sz="0" w:space="0" w:color="auto"/>
                <w:right w:val="none" w:sz="0" w:space="0" w:color="auto"/>
              </w:divBdr>
            </w:div>
          </w:divsChild>
        </w:div>
        <w:div w:id="132648354">
          <w:marLeft w:val="0"/>
          <w:marRight w:val="0"/>
          <w:marTop w:val="0"/>
          <w:marBottom w:val="0"/>
          <w:divBdr>
            <w:top w:val="none" w:sz="0" w:space="0" w:color="auto"/>
            <w:left w:val="none" w:sz="0" w:space="0" w:color="auto"/>
            <w:bottom w:val="none" w:sz="0" w:space="0" w:color="auto"/>
            <w:right w:val="none" w:sz="0" w:space="0" w:color="auto"/>
          </w:divBdr>
          <w:divsChild>
            <w:div w:id="1344236645">
              <w:marLeft w:val="0"/>
              <w:marRight w:val="0"/>
              <w:marTop w:val="0"/>
              <w:marBottom w:val="0"/>
              <w:divBdr>
                <w:top w:val="none" w:sz="0" w:space="0" w:color="auto"/>
                <w:left w:val="none" w:sz="0" w:space="0" w:color="auto"/>
                <w:bottom w:val="none" w:sz="0" w:space="0" w:color="auto"/>
                <w:right w:val="none" w:sz="0" w:space="0" w:color="auto"/>
              </w:divBdr>
            </w:div>
          </w:divsChild>
        </w:div>
        <w:div w:id="175778893">
          <w:marLeft w:val="0"/>
          <w:marRight w:val="0"/>
          <w:marTop w:val="0"/>
          <w:marBottom w:val="0"/>
          <w:divBdr>
            <w:top w:val="none" w:sz="0" w:space="0" w:color="auto"/>
            <w:left w:val="none" w:sz="0" w:space="0" w:color="auto"/>
            <w:bottom w:val="none" w:sz="0" w:space="0" w:color="auto"/>
            <w:right w:val="none" w:sz="0" w:space="0" w:color="auto"/>
          </w:divBdr>
          <w:divsChild>
            <w:div w:id="236982060">
              <w:marLeft w:val="0"/>
              <w:marRight w:val="0"/>
              <w:marTop w:val="0"/>
              <w:marBottom w:val="0"/>
              <w:divBdr>
                <w:top w:val="none" w:sz="0" w:space="0" w:color="auto"/>
                <w:left w:val="none" w:sz="0" w:space="0" w:color="auto"/>
                <w:bottom w:val="none" w:sz="0" w:space="0" w:color="auto"/>
                <w:right w:val="none" w:sz="0" w:space="0" w:color="auto"/>
              </w:divBdr>
            </w:div>
          </w:divsChild>
        </w:div>
        <w:div w:id="262148053">
          <w:marLeft w:val="0"/>
          <w:marRight w:val="0"/>
          <w:marTop w:val="0"/>
          <w:marBottom w:val="0"/>
          <w:divBdr>
            <w:top w:val="none" w:sz="0" w:space="0" w:color="auto"/>
            <w:left w:val="none" w:sz="0" w:space="0" w:color="auto"/>
            <w:bottom w:val="none" w:sz="0" w:space="0" w:color="auto"/>
            <w:right w:val="none" w:sz="0" w:space="0" w:color="auto"/>
          </w:divBdr>
          <w:divsChild>
            <w:div w:id="688142160">
              <w:marLeft w:val="0"/>
              <w:marRight w:val="0"/>
              <w:marTop w:val="0"/>
              <w:marBottom w:val="0"/>
              <w:divBdr>
                <w:top w:val="none" w:sz="0" w:space="0" w:color="auto"/>
                <w:left w:val="none" w:sz="0" w:space="0" w:color="auto"/>
                <w:bottom w:val="none" w:sz="0" w:space="0" w:color="auto"/>
                <w:right w:val="none" w:sz="0" w:space="0" w:color="auto"/>
              </w:divBdr>
            </w:div>
          </w:divsChild>
        </w:div>
        <w:div w:id="313067202">
          <w:marLeft w:val="0"/>
          <w:marRight w:val="0"/>
          <w:marTop w:val="0"/>
          <w:marBottom w:val="0"/>
          <w:divBdr>
            <w:top w:val="none" w:sz="0" w:space="0" w:color="auto"/>
            <w:left w:val="none" w:sz="0" w:space="0" w:color="auto"/>
            <w:bottom w:val="none" w:sz="0" w:space="0" w:color="auto"/>
            <w:right w:val="none" w:sz="0" w:space="0" w:color="auto"/>
          </w:divBdr>
          <w:divsChild>
            <w:div w:id="332880686">
              <w:marLeft w:val="0"/>
              <w:marRight w:val="0"/>
              <w:marTop w:val="0"/>
              <w:marBottom w:val="0"/>
              <w:divBdr>
                <w:top w:val="none" w:sz="0" w:space="0" w:color="auto"/>
                <w:left w:val="none" w:sz="0" w:space="0" w:color="auto"/>
                <w:bottom w:val="none" w:sz="0" w:space="0" w:color="auto"/>
                <w:right w:val="none" w:sz="0" w:space="0" w:color="auto"/>
              </w:divBdr>
            </w:div>
          </w:divsChild>
        </w:div>
        <w:div w:id="313990911">
          <w:marLeft w:val="0"/>
          <w:marRight w:val="0"/>
          <w:marTop w:val="0"/>
          <w:marBottom w:val="0"/>
          <w:divBdr>
            <w:top w:val="none" w:sz="0" w:space="0" w:color="auto"/>
            <w:left w:val="none" w:sz="0" w:space="0" w:color="auto"/>
            <w:bottom w:val="none" w:sz="0" w:space="0" w:color="auto"/>
            <w:right w:val="none" w:sz="0" w:space="0" w:color="auto"/>
          </w:divBdr>
          <w:divsChild>
            <w:div w:id="1847474113">
              <w:marLeft w:val="0"/>
              <w:marRight w:val="0"/>
              <w:marTop w:val="0"/>
              <w:marBottom w:val="0"/>
              <w:divBdr>
                <w:top w:val="none" w:sz="0" w:space="0" w:color="auto"/>
                <w:left w:val="none" w:sz="0" w:space="0" w:color="auto"/>
                <w:bottom w:val="none" w:sz="0" w:space="0" w:color="auto"/>
                <w:right w:val="none" w:sz="0" w:space="0" w:color="auto"/>
              </w:divBdr>
            </w:div>
          </w:divsChild>
        </w:div>
        <w:div w:id="379020355">
          <w:marLeft w:val="0"/>
          <w:marRight w:val="0"/>
          <w:marTop w:val="0"/>
          <w:marBottom w:val="0"/>
          <w:divBdr>
            <w:top w:val="none" w:sz="0" w:space="0" w:color="auto"/>
            <w:left w:val="none" w:sz="0" w:space="0" w:color="auto"/>
            <w:bottom w:val="none" w:sz="0" w:space="0" w:color="auto"/>
            <w:right w:val="none" w:sz="0" w:space="0" w:color="auto"/>
          </w:divBdr>
          <w:divsChild>
            <w:div w:id="1277718756">
              <w:marLeft w:val="0"/>
              <w:marRight w:val="0"/>
              <w:marTop w:val="0"/>
              <w:marBottom w:val="0"/>
              <w:divBdr>
                <w:top w:val="none" w:sz="0" w:space="0" w:color="auto"/>
                <w:left w:val="none" w:sz="0" w:space="0" w:color="auto"/>
                <w:bottom w:val="none" w:sz="0" w:space="0" w:color="auto"/>
                <w:right w:val="none" w:sz="0" w:space="0" w:color="auto"/>
              </w:divBdr>
            </w:div>
          </w:divsChild>
        </w:div>
        <w:div w:id="415135009">
          <w:marLeft w:val="0"/>
          <w:marRight w:val="0"/>
          <w:marTop w:val="0"/>
          <w:marBottom w:val="0"/>
          <w:divBdr>
            <w:top w:val="none" w:sz="0" w:space="0" w:color="auto"/>
            <w:left w:val="none" w:sz="0" w:space="0" w:color="auto"/>
            <w:bottom w:val="none" w:sz="0" w:space="0" w:color="auto"/>
            <w:right w:val="none" w:sz="0" w:space="0" w:color="auto"/>
          </w:divBdr>
          <w:divsChild>
            <w:div w:id="770513235">
              <w:marLeft w:val="0"/>
              <w:marRight w:val="0"/>
              <w:marTop w:val="0"/>
              <w:marBottom w:val="0"/>
              <w:divBdr>
                <w:top w:val="none" w:sz="0" w:space="0" w:color="auto"/>
                <w:left w:val="none" w:sz="0" w:space="0" w:color="auto"/>
                <w:bottom w:val="none" w:sz="0" w:space="0" w:color="auto"/>
                <w:right w:val="none" w:sz="0" w:space="0" w:color="auto"/>
              </w:divBdr>
            </w:div>
          </w:divsChild>
        </w:div>
        <w:div w:id="424618324">
          <w:marLeft w:val="0"/>
          <w:marRight w:val="0"/>
          <w:marTop w:val="0"/>
          <w:marBottom w:val="0"/>
          <w:divBdr>
            <w:top w:val="none" w:sz="0" w:space="0" w:color="auto"/>
            <w:left w:val="none" w:sz="0" w:space="0" w:color="auto"/>
            <w:bottom w:val="none" w:sz="0" w:space="0" w:color="auto"/>
            <w:right w:val="none" w:sz="0" w:space="0" w:color="auto"/>
          </w:divBdr>
          <w:divsChild>
            <w:div w:id="273565221">
              <w:marLeft w:val="0"/>
              <w:marRight w:val="0"/>
              <w:marTop w:val="0"/>
              <w:marBottom w:val="0"/>
              <w:divBdr>
                <w:top w:val="none" w:sz="0" w:space="0" w:color="auto"/>
                <w:left w:val="none" w:sz="0" w:space="0" w:color="auto"/>
                <w:bottom w:val="none" w:sz="0" w:space="0" w:color="auto"/>
                <w:right w:val="none" w:sz="0" w:space="0" w:color="auto"/>
              </w:divBdr>
            </w:div>
          </w:divsChild>
        </w:div>
        <w:div w:id="590089389">
          <w:marLeft w:val="0"/>
          <w:marRight w:val="0"/>
          <w:marTop w:val="0"/>
          <w:marBottom w:val="0"/>
          <w:divBdr>
            <w:top w:val="none" w:sz="0" w:space="0" w:color="auto"/>
            <w:left w:val="none" w:sz="0" w:space="0" w:color="auto"/>
            <w:bottom w:val="none" w:sz="0" w:space="0" w:color="auto"/>
            <w:right w:val="none" w:sz="0" w:space="0" w:color="auto"/>
          </w:divBdr>
          <w:divsChild>
            <w:div w:id="1713193155">
              <w:marLeft w:val="0"/>
              <w:marRight w:val="0"/>
              <w:marTop w:val="0"/>
              <w:marBottom w:val="0"/>
              <w:divBdr>
                <w:top w:val="none" w:sz="0" w:space="0" w:color="auto"/>
                <w:left w:val="none" w:sz="0" w:space="0" w:color="auto"/>
                <w:bottom w:val="none" w:sz="0" w:space="0" w:color="auto"/>
                <w:right w:val="none" w:sz="0" w:space="0" w:color="auto"/>
              </w:divBdr>
            </w:div>
          </w:divsChild>
        </w:div>
        <w:div w:id="602031937">
          <w:marLeft w:val="0"/>
          <w:marRight w:val="0"/>
          <w:marTop w:val="0"/>
          <w:marBottom w:val="0"/>
          <w:divBdr>
            <w:top w:val="none" w:sz="0" w:space="0" w:color="auto"/>
            <w:left w:val="none" w:sz="0" w:space="0" w:color="auto"/>
            <w:bottom w:val="none" w:sz="0" w:space="0" w:color="auto"/>
            <w:right w:val="none" w:sz="0" w:space="0" w:color="auto"/>
          </w:divBdr>
          <w:divsChild>
            <w:div w:id="945234864">
              <w:marLeft w:val="0"/>
              <w:marRight w:val="0"/>
              <w:marTop w:val="0"/>
              <w:marBottom w:val="0"/>
              <w:divBdr>
                <w:top w:val="none" w:sz="0" w:space="0" w:color="auto"/>
                <w:left w:val="none" w:sz="0" w:space="0" w:color="auto"/>
                <w:bottom w:val="none" w:sz="0" w:space="0" w:color="auto"/>
                <w:right w:val="none" w:sz="0" w:space="0" w:color="auto"/>
              </w:divBdr>
            </w:div>
          </w:divsChild>
        </w:div>
        <w:div w:id="649360574">
          <w:marLeft w:val="0"/>
          <w:marRight w:val="0"/>
          <w:marTop w:val="0"/>
          <w:marBottom w:val="0"/>
          <w:divBdr>
            <w:top w:val="none" w:sz="0" w:space="0" w:color="auto"/>
            <w:left w:val="none" w:sz="0" w:space="0" w:color="auto"/>
            <w:bottom w:val="none" w:sz="0" w:space="0" w:color="auto"/>
            <w:right w:val="none" w:sz="0" w:space="0" w:color="auto"/>
          </w:divBdr>
          <w:divsChild>
            <w:div w:id="1848788374">
              <w:marLeft w:val="0"/>
              <w:marRight w:val="0"/>
              <w:marTop w:val="0"/>
              <w:marBottom w:val="0"/>
              <w:divBdr>
                <w:top w:val="none" w:sz="0" w:space="0" w:color="auto"/>
                <w:left w:val="none" w:sz="0" w:space="0" w:color="auto"/>
                <w:bottom w:val="none" w:sz="0" w:space="0" w:color="auto"/>
                <w:right w:val="none" w:sz="0" w:space="0" w:color="auto"/>
              </w:divBdr>
            </w:div>
          </w:divsChild>
        </w:div>
        <w:div w:id="673145286">
          <w:marLeft w:val="0"/>
          <w:marRight w:val="0"/>
          <w:marTop w:val="0"/>
          <w:marBottom w:val="0"/>
          <w:divBdr>
            <w:top w:val="none" w:sz="0" w:space="0" w:color="auto"/>
            <w:left w:val="none" w:sz="0" w:space="0" w:color="auto"/>
            <w:bottom w:val="none" w:sz="0" w:space="0" w:color="auto"/>
            <w:right w:val="none" w:sz="0" w:space="0" w:color="auto"/>
          </w:divBdr>
          <w:divsChild>
            <w:div w:id="589898565">
              <w:marLeft w:val="0"/>
              <w:marRight w:val="0"/>
              <w:marTop w:val="0"/>
              <w:marBottom w:val="0"/>
              <w:divBdr>
                <w:top w:val="none" w:sz="0" w:space="0" w:color="auto"/>
                <w:left w:val="none" w:sz="0" w:space="0" w:color="auto"/>
                <w:bottom w:val="none" w:sz="0" w:space="0" w:color="auto"/>
                <w:right w:val="none" w:sz="0" w:space="0" w:color="auto"/>
              </w:divBdr>
            </w:div>
          </w:divsChild>
        </w:div>
        <w:div w:id="733815053">
          <w:marLeft w:val="0"/>
          <w:marRight w:val="0"/>
          <w:marTop w:val="0"/>
          <w:marBottom w:val="0"/>
          <w:divBdr>
            <w:top w:val="none" w:sz="0" w:space="0" w:color="auto"/>
            <w:left w:val="none" w:sz="0" w:space="0" w:color="auto"/>
            <w:bottom w:val="none" w:sz="0" w:space="0" w:color="auto"/>
            <w:right w:val="none" w:sz="0" w:space="0" w:color="auto"/>
          </w:divBdr>
          <w:divsChild>
            <w:div w:id="450369655">
              <w:marLeft w:val="0"/>
              <w:marRight w:val="0"/>
              <w:marTop w:val="0"/>
              <w:marBottom w:val="0"/>
              <w:divBdr>
                <w:top w:val="none" w:sz="0" w:space="0" w:color="auto"/>
                <w:left w:val="none" w:sz="0" w:space="0" w:color="auto"/>
                <w:bottom w:val="none" w:sz="0" w:space="0" w:color="auto"/>
                <w:right w:val="none" w:sz="0" w:space="0" w:color="auto"/>
              </w:divBdr>
            </w:div>
          </w:divsChild>
        </w:div>
        <w:div w:id="799542672">
          <w:marLeft w:val="0"/>
          <w:marRight w:val="0"/>
          <w:marTop w:val="0"/>
          <w:marBottom w:val="0"/>
          <w:divBdr>
            <w:top w:val="none" w:sz="0" w:space="0" w:color="auto"/>
            <w:left w:val="none" w:sz="0" w:space="0" w:color="auto"/>
            <w:bottom w:val="none" w:sz="0" w:space="0" w:color="auto"/>
            <w:right w:val="none" w:sz="0" w:space="0" w:color="auto"/>
          </w:divBdr>
          <w:divsChild>
            <w:div w:id="1170825708">
              <w:marLeft w:val="0"/>
              <w:marRight w:val="0"/>
              <w:marTop w:val="0"/>
              <w:marBottom w:val="0"/>
              <w:divBdr>
                <w:top w:val="none" w:sz="0" w:space="0" w:color="auto"/>
                <w:left w:val="none" w:sz="0" w:space="0" w:color="auto"/>
                <w:bottom w:val="none" w:sz="0" w:space="0" w:color="auto"/>
                <w:right w:val="none" w:sz="0" w:space="0" w:color="auto"/>
              </w:divBdr>
            </w:div>
          </w:divsChild>
        </w:div>
        <w:div w:id="945846390">
          <w:marLeft w:val="0"/>
          <w:marRight w:val="0"/>
          <w:marTop w:val="0"/>
          <w:marBottom w:val="0"/>
          <w:divBdr>
            <w:top w:val="none" w:sz="0" w:space="0" w:color="auto"/>
            <w:left w:val="none" w:sz="0" w:space="0" w:color="auto"/>
            <w:bottom w:val="none" w:sz="0" w:space="0" w:color="auto"/>
            <w:right w:val="none" w:sz="0" w:space="0" w:color="auto"/>
          </w:divBdr>
          <w:divsChild>
            <w:div w:id="176967453">
              <w:marLeft w:val="0"/>
              <w:marRight w:val="0"/>
              <w:marTop w:val="0"/>
              <w:marBottom w:val="0"/>
              <w:divBdr>
                <w:top w:val="none" w:sz="0" w:space="0" w:color="auto"/>
                <w:left w:val="none" w:sz="0" w:space="0" w:color="auto"/>
                <w:bottom w:val="none" w:sz="0" w:space="0" w:color="auto"/>
                <w:right w:val="none" w:sz="0" w:space="0" w:color="auto"/>
              </w:divBdr>
            </w:div>
          </w:divsChild>
        </w:div>
        <w:div w:id="1001396777">
          <w:marLeft w:val="0"/>
          <w:marRight w:val="0"/>
          <w:marTop w:val="0"/>
          <w:marBottom w:val="0"/>
          <w:divBdr>
            <w:top w:val="none" w:sz="0" w:space="0" w:color="auto"/>
            <w:left w:val="none" w:sz="0" w:space="0" w:color="auto"/>
            <w:bottom w:val="none" w:sz="0" w:space="0" w:color="auto"/>
            <w:right w:val="none" w:sz="0" w:space="0" w:color="auto"/>
          </w:divBdr>
          <w:divsChild>
            <w:div w:id="45490610">
              <w:marLeft w:val="0"/>
              <w:marRight w:val="0"/>
              <w:marTop w:val="0"/>
              <w:marBottom w:val="0"/>
              <w:divBdr>
                <w:top w:val="none" w:sz="0" w:space="0" w:color="auto"/>
                <w:left w:val="none" w:sz="0" w:space="0" w:color="auto"/>
                <w:bottom w:val="none" w:sz="0" w:space="0" w:color="auto"/>
                <w:right w:val="none" w:sz="0" w:space="0" w:color="auto"/>
              </w:divBdr>
            </w:div>
          </w:divsChild>
        </w:div>
        <w:div w:id="1006438331">
          <w:marLeft w:val="0"/>
          <w:marRight w:val="0"/>
          <w:marTop w:val="0"/>
          <w:marBottom w:val="0"/>
          <w:divBdr>
            <w:top w:val="none" w:sz="0" w:space="0" w:color="auto"/>
            <w:left w:val="none" w:sz="0" w:space="0" w:color="auto"/>
            <w:bottom w:val="none" w:sz="0" w:space="0" w:color="auto"/>
            <w:right w:val="none" w:sz="0" w:space="0" w:color="auto"/>
          </w:divBdr>
          <w:divsChild>
            <w:div w:id="1731078068">
              <w:marLeft w:val="0"/>
              <w:marRight w:val="0"/>
              <w:marTop w:val="0"/>
              <w:marBottom w:val="0"/>
              <w:divBdr>
                <w:top w:val="none" w:sz="0" w:space="0" w:color="auto"/>
                <w:left w:val="none" w:sz="0" w:space="0" w:color="auto"/>
                <w:bottom w:val="none" w:sz="0" w:space="0" w:color="auto"/>
                <w:right w:val="none" w:sz="0" w:space="0" w:color="auto"/>
              </w:divBdr>
            </w:div>
          </w:divsChild>
        </w:div>
        <w:div w:id="1036930224">
          <w:marLeft w:val="0"/>
          <w:marRight w:val="0"/>
          <w:marTop w:val="0"/>
          <w:marBottom w:val="0"/>
          <w:divBdr>
            <w:top w:val="none" w:sz="0" w:space="0" w:color="auto"/>
            <w:left w:val="none" w:sz="0" w:space="0" w:color="auto"/>
            <w:bottom w:val="none" w:sz="0" w:space="0" w:color="auto"/>
            <w:right w:val="none" w:sz="0" w:space="0" w:color="auto"/>
          </w:divBdr>
          <w:divsChild>
            <w:div w:id="716049334">
              <w:marLeft w:val="0"/>
              <w:marRight w:val="0"/>
              <w:marTop w:val="0"/>
              <w:marBottom w:val="0"/>
              <w:divBdr>
                <w:top w:val="none" w:sz="0" w:space="0" w:color="auto"/>
                <w:left w:val="none" w:sz="0" w:space="0" w:color="auto"/>
                <w:bottom w:val="none" w:sz="0" w:space="0" w:color="auto"/>
                <w:right w:val="none" w:sz="0" w:space="0" w:color="auto"/>
              </w:divBdr>
            </w:div>
          </w:divsChild>
        </w:div>
        <w:div w:id="1167944593">
          <w:marLeft w:val="0"/>
          <w:marRight w:val="0"/>
          <w:marTop w:val="0"/>
          <w:marBottom w:val="0"/>
          <w:divBdr>
            <w:top w:val="none" w:sz="0" w:space="0" w:color="auto"/>
            <w:left w:val="none" w:sz="0" w:space="0" w:color="auto"/>
            <w:bottom w:val="none" w:sz="0" w:space="0" w:color="auto"/>
            <w:right w:val="none" w:sz="0" w:space="0" w:color="auto"/>
          </w:divBdr>
          <w:divsChild>
            <w:div w:id="1463428187">
              <w:marLeft w:val="0"/>
              <w:marRight w:val="0"/>
              <w:marTop w:val="0"/>
              <w:marBottom w:val="0"/>
              <w:divBdr>
                <w:top w:val="none" w:sz="0" w:space="0" w:color="auto"/>
                <w:left w:val="none" w:sz="0" w:space="0" w:color="auto"/>
                <w:bottom w:val="none" w:sz="0" w:space="0" w:color="auto"/>
                <w:right w:val="none" w:sz="0" w:space="0" w:color="auto"/>
              </w:divBdr>
            </w:div>
          </w:divsChild>
        </w:div>
        <w:div w:id="1318219205">
          <w:marLeft w:val="0"/>
          <w:marRight w:val="0"/>
          <w:marTop w:val="0"/>
          <w:marBottom w:val="0"/>
          <w:divBdr>
            <w:top w:val="none" w:sz="0" w:space="0" w:color="auto"/>
            <w:left w:val="none" w:sz="0" w:space="0" w:color="auto"/>
            <w:bottom w:val="none" w:sz="0" w:space="0" w:color="auto"/>
            <w:right w:val="none" w:sz="0" w:space="0" w:color="auto"/>
          </w:divBdr>
          <w:divsChild>
            <w:div w:id="1643656548">
              <w:marLeft w:val="0"/>
              <w:marRight w:val="0"/>
              <w:marTop w:val="0"/>
              <w:marBottom w:val="0"/>
              <w:divBdr>
                <w:top w:val="none" w:sz="0" w:space="0" w:color="auto"/>
                <w:left w:val="none" w:sz="0" w:space="0" w:color="auto"/>
                <w:bottom w:val="none" w:sz="0" w:space="0" w:color="auto"/>
                <w:right w:val="none" w:sz="0" w:space="0" w:color="auto"/>
              </w:divBdr>
            </w:div>
          </w:divsChild>
        </w:div>
        <w:div w:id="1493643097">
          <w:marLeft w:val="0"/>
          <w:marRight w:val="0"/>
          <w:marTop w:val="0"/>
          <w:marBottom w:val="0"/>
          <w:divBdr>
            <w:top w:val="none" w:sz="0" w:space="0" w:color="auto"/>
            <w:left w:val="none" w:sz="0" w:space="0" w:color="auto"/>
            <w:bottom w:val="none" w:sz="0" w:space="0" w:color="auto"/>
            <w:right w:val="none" w:sz="0" w:space="0" w:color="auto"/>
          </w:divBdr>
          <w:divsChild>
            <w:div w:id="667489357">
              <w:marLeft w:val="0"/>
              <w:marRight w:val="0"/>
              <w:marTop w:val="0"/>
              <w:marBottom w:val="0"/>
              <w:divBdr>
                <w:top w:val="none" w:sz="0" w:space="0" w:color="auto"/>
                <w:left w:val="none" w:sz="0" w:space="0" w:color="auto"/>
                <w:bottom w:val="none" w:sz="0" w:space="0" w:color="auto"/>
                <w:right w:val="none" w:sz="0" w:space="0" w:color="auto"/>
              </w:divBdr>
            </w:div>
          </w:divsChild>
        </w:div>
        <w:div w:id="1645499289">
          <w:marLeft w:val="0"/>
          <w:marRight w:val="0"/>
          <w:marTop w:val="0"/>
          <w:marBottom w:val="0"/>
          <w:divBdr>
            <w:top w:val="none" w:sz="0" w:space="0" w:color="auto"/>
            <w:left w:val="none" w:sz="0" w:space="0" w:color="auto"/>
            <w:bottom w:val="none" w:sz="0" w:space="0" w:color="auto"/>
            <w:right w:val="none" w:sz="0" w:space="0" w:color="auto"/>
          </w:divBdr>
          <w:divsChild>
            <w:div w:id="1246374560">
              <w:marLeft w:val="0"/>
              <w:marRight w:val="0"/>
              <w:marTop w:val="0"/>
              <w:marBottom w:val="0"/>
              <w:divBdr>
                <w:top w:val="none" w:sz="0" w:space="0" w:color="auto"/>
                <w:left w:val="none" w:sz="0" w:space="0" w:color="auto"/>
                <w:bottom w:val="none" w:sz="0" w:space="0" w:color="auto"/>
                <w:right w:val="none" w:sz="0" w:space="0" w:color="auto"/>
              </w:divBdr>
            </w:div>
          </w:divsChild>
        </w:div>
        <w:div w:id="1734161207">
          <w:marLeft w:val="0"/>
          <w:marRight w:val="0"/>
          <w:marTop w:val="0"/>
          <w:marBottom w:val="0"/>
          <w:divBdr>
            <w:top w:val="none" w:sz="0" w:space="0" w:color="auto"/>
            <w:left w:val="none" w:sz="0" w:space="0" w:color="auto"/>
            <w:bottom w:val="none" w:sz="0" w:space="0" w:color="auto"/>
            <w:right w:val="none" w:sz="0" w:space="0" w:color="auto"/>
          </w:divBdr>
          <w:divsChild>
            <w:div w:id="492337490">
              <w:marLeft w:val="0"/>
              <w:marRight w:val="0"/>
              <w:marTop w:val="0"/>
              <w:marBottom w:val="0"/>
              <w:divBdr>
                <w:top w:val="none" w:sz="0" w:space="0" w:color="auto"/>
                <w:left w:val="none" w:sz="0" w:space="0" w:color="auto"/>
                <w:bottom w:val="none" w:sz="0" w:space="0" w:color="auto"/>
                <w:right w:val="none" w:sz="0" w:space="0" w:color="auto"/>
              </w:divBdr>
            </w:div>
          </w:divsChild>
        </w:div>
        <w:div w:id="1762067514">
          <w:marLeft w:val="0"/>
          <w:marRight w:val="0"/>
          <w:marTop w:val="0"/>
          <w:marBottom w:val="0"/>
          <w:divBdr>
            <w:top w:val="none" w:sz="0" w:space="0" w:color="auto"/>
            <w:left w:val="none" w:sz="0" w:space="0" w:color="auto"/>
            <w:bottom w:val="none" w:sz="0" w:space="0" w:color="auto"/>
            <w:right w:val="none" w:sz="0" w:space="0" w:color="auto"/>
          </w:divBdr>
          <w:divsChild>
            <w:div w:id="1656570023">
              <w:marLeft w:val="0"/>
              <w:marRight w:val="0"/>
              <w:marTop w:val="0"/>
              <w:marBottom w:val="0"/>
              <w:divBdr>
                <w:top w:val="none" w:sz="0" w:space="0" w:color="auto"/>
                <w:left w:val="none" w:sz="0" w:space="0" w:color="auto"/>
                <w:bottom w:val="none" w:sz="0" w:space="0" w:color="auto"/>
                <w:right w:val="none" w:sz="0" w:space="0" w:color="auto"/>
              </w:divBdr>
            </w:div>
          </w:divsChild>
        </w:div>
        <w:div w:id="1835298283">
          <w:marLeft w:val="0"/>
          <w:marRight w:val="0"/>
          <w:marTop w:val="0"/>
          <w:marBottom w:val="0"/>
          <w:divBdr>
            <w:top w:val="none" w:sz="0" w:space="0" w:color="auto"/>
            <w:left w:val="none" w:sz="0" w:space="0" w:color="auto"/>
            <w:bottom w:val="none" w:sz="0" w:space="0" w:color="auto"/>
            <w:right w:val="none" w:sz="0" w:space="0" w:color="auto"/>
          </w:divBdr>
          <w:divsChild>
            <w:div w:id="12538909">
              <w:marLeft w:val="0"/>
              <w:marRight w:val="0"/>
              <w:marTop w:val="0"/>
              <w:marBottom w:val="0"/>
              <w:divBdr>
                <w:top w:val="none" w:sz="0" w:space="0" w:color="auto"/>
                <w:left w:val="none" w:sz="0" w:space="0" w:color="auto"/>
                <w:bottom w:val="none" w:sz="0" w:space="0" w:color="auto"/>
                <w:right w:val="none" w:sz="0" w:space="0" w:color="auto"/>
              </w:divBdr>
            </w:div>
          </w:divsChild>
        </w:div>
        <w:div w:id="1864443757">
          <w:marLeft w:val="0"/>
          <w:marRight w:val="0"/>
          <w:marTop w:val="0"/>
          <w:marBottom w:val="0"/>
          <w:divBdr>
            <w:top w:val="none" w:sz="0" w:space="0" w:color="auto"/>
            <w:left w:val="none" w:sz="0" w:space="0" w:color="auto"/>
            <w:bottom w:val="none" w:sz="0" w:space="0" w:color="auto"/>
            <w:right w:val="none" w:sz="0" w:space="0" w:color="auto"/>
          </w:divBdr>
          <w:divsChild>
            <w:div w:id="639844172">
              <w:marLeft w:val="0"/>
              <w:marRight w:val="0"/>
              <w:marTop w:val="0"/>
              <w:marBottom w:val="0"/>
              <w:divBdr>
                <w:top w:val="none" w:sz="0" w:space="0" w:color="auto"/>
                <w:left w:val="none" w:sz="0" w:space="0" w:color="auto"/>
                <w:bottom w:val="none" w:sz="0" w:space="0" w:color="auto"/>
                <w:right w:val="none" w:sz="0" w:space="0" w:color="auto"/>
              </w:divBdr>
            </w:div>
          </w:divsChild>
        </w:div>
        <w:div w:id="1942761711">
          <w:marLeft w:val="0"/>
          <w:marRight w:val="0"/>
          <w:marTop w:val="0"/>
          <w:marBottom w:val="0"/>
          <w:divBdr>
            <w:top w:val="none" w:sz="0" w:space="0" w:color="auto"/>
            <w:left w:val="none" w:sz="0" w:space="0" w:color="auto"/>
            <w:bottom w:val="none" w:sz="0" w:space="0" w:color="auto"/>
            <w:right w:val="none" w:sz="0" w:space="0" w:color="auto"/>
          </w:divBdr>
          <w:divsChild>
            <w:div w:id="2129926275">
              <w:marLeft w:val="0"/>
              <w:marRight w:val="0"/>
              <w:marTop w:val="0"/>
              <w:marBottom w:val="0"/>
              <w:divBdr>
                <w:top w:val="none" w:sz="0" w:space="0" w:color="auto"/>
                <w:left w:val="none" w:sz="0" w:space="0" w:color="auto"/>
                <w:bottom w:val="none" w:sz="0" w:space="0" w:color="auto"/>
                <w:right w:val="none" w:sz="0" w:space="0" w:color="auto"/>
              </w:divBdr>
            </w:div>
          </w:divsChild>
        </w:div>
        <w:div w:id="2119444508">
          <w:marLeft w:val="0"/>
          <w:marRight w:val="0"/>
          <w:marTop w:val="0"/>
          <w:marBottom w:val="0"/>
          <w:divBdr>
            <w:top w:val="none" w:sz="0" w:space="0" w:color="auto"/>
            <w:left w:val="none" w:sz="0" w:space="0" w:color="auto"/>
            <w:bottom w:val="none" w:sz="0" w:space="0" w:color="auto"/>
            <w:right w:val="none" w:sz="0" w:space="0" w:color="auto"/>
          </w:divBdr>
          <w:divsChild>
            <w:div w:id="1421832330">
              <w:marLeft w:val="0"/>
              <w:marRight w:val="0"/>
              <w:marTop w:val="0"/>
              <w:marBottom w:val="0"/>
              <w:divBdr>
                <w:top w:val="none" w:sz="0" w:space="0" w:color="auto"/>
                <w:left w:val="none" w:sz="0" w:space="0" w:color="auto"/>
                <w:bottom w:val="none" w:sz="0" w:space="0" w:color="auto"/>
                <w:right w:val="none" w:sz="0" w:space="0" w:color="auto"/>
              </w:divBdr>
            </w:div>
          </w:divsChild>
        </w:div>
        <w:div w:id="2134060712">
          <w:marLeft w:val="0"/>
          <w:marRight w:val="0"/>
          <w:marTop w:val="0"/>
          <w:marBottom w:val="0"/>
          <w:divBdr>
            <w:top w:val="none" w:sz="0" w:space="0" w:color="auto"/>
            <w:left w:val="none" w:sz="0" w:space="0" w:color="auto"/>
            <w:bottom w:val="none" w:sz="0" w:space="0" w:color="auto"/>
            <w:right w:val="none" w:sz="0" w:space="0" w:color="auto"/>
          </w:divBdr>
          <w:divsChild>
            <w:div w:id="9848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swtogether.org.uk/" TargetMode="External"/><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www.bathnes.gov.uk/"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dhi-online.org.uk/" TargetMode="External"/><Relationship Id="rId6" Type="http://schemas.openxmlformats.org/officeDocument/2006/relationships/hyperlink" Target="https://www.england.nhs.uk/long-read/the-provider-selection-regime-statutory-guidance/" TargetMode="External"/><Relationship Id="rId5" Type="http://schemas.openxmlformats.org/officeDocument/2006/relationships/hyperlink" Target="https://www.legislation.gov.uk/uksi/2023/1348/contents/made" TargetMode="External"/><Relationship Id="rId4" Type="http://schemas.openxmlformats.org/officeDocument/2006/relationships/hyperlink" Target="https://www.england.nhs.uk/commissioning/how-commissioning-is-changing/nhs-provider-selection-regime/independent-patient-choice-and-procurement-panel/" TargetMode="External"/><Relationship Id="rId9" Type="http://schemas.openxmlformats.org/officeDocument/2006/relationships/hyperlink" Target="https://www.turning-poi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 xmlns="96410c0b-a514-402d-9462-ba76dadfba38">CMS07</DocumentN>
    <Category xmlns="96410c0b-a514-402d-9462-ba76dadfba38">Case Document</Category>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uplicateversions xmlns="96410c0b-a514-402d-9462-ba76dadfb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b597ce07bbff5d83fa09f6d39c5ecac8">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9880770f475ab290d29ae7030de2490e"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7BF3-8A39-4B53-BB5E-B23DD7C64490}">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2.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3.xml><?xml version="1.0" encoding="utf-8"?>
<ds:datastoreItem xmlns:ds="http://schemas.openxmlformats.org/officeDocument/2006/customXml" ds:itemID="{22ABE792-40BF-4AC5-A86B-B92DF844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25</Pages>
  <Words>10155</Words>
  <Characters>57890</Characters>
  <Application>Microsoft Office Word</Application>
  <DocSecurity>8</DocSecurity>
  <Lines>482</Lines>
  <Paragraphs>135</Paragraphs>
  <ScaleCrop>false</ScaleCrop>
  <Company/>
  <LinksUpToDate>false</LinksUpToDate>
  <CharactersWithSpaces>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431</cp:revision>
  <cp:lastPrinted>2025-02-06T12:17:00Z</cp:lastPrinted>
  <dcterms:created xsi:type="dcterms:W3CDTF">2025-02-03T17:29:00Z</dcterms:created>
  <dcterms:modified xsi:type="dcterms:W3CDTF">2025-02-06T12:17:00Z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Doctype">
    <vt:lpwstr>Case document</vt:lpwstr>
  </property>
</Properties>
</file>