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3867" w14:textId="77777777" w:rsidR="00327F0F" w:rsidRDefault="00327F0F" w:rsidP="00B72132">
      <w:pPr>
        <w:sectPr w:rsidR="00327F0F" w:rsidSect="00485C78">
          <w:headerReference w:type="even" r:id="rId12"/>
          <w:headerReference w:type="default" r:id="rId13"/>
          <w:footerReference w:type="even" r:id="rId14"/>
          <w:footerReference w:type="default" r:id="rId15"/>
          <w:headerReference w:type="first" r:id="rId16"/>
          <w:footerReference w:type="first" r:id="rId17"/>
          <w:pgSz w:w="11906" w:h="16838"/>
          <w:pgMar w:top="2268" w:right="1021" w:bottom="1021" w:left="1021" w:header="454" w:footer="556" w:gutter="0"/>
          <w:cols w:space="708"/>
          <w:titlePg/>
          <w:docGrid w:linePitch="360"/>
        </w:sectPr>
      </w:pPr>
    </w:p>
    <w:bookmarkStart w:id="0" w:name="_Toc142043216"/>
    <w:p w14:paraId="7218B5B6" w14:textId="5B032DC6" w:rsidR="00EE0481" w:rsidRPr="001E27F8" w:rsidRDefault="005454A5" w:rsidP="00031FD0">
      <w:pPr>
        <w:pStyle w:val="Heading1"/>
      </w:pPr>
      <w:sdt>
        <w:sdtPr>
          <w:rPr>
            <w:sz w:val="76"/>
            <w:szCs w:val="76"/>
          </w:rPr>
          <w:alias w:val="Title"/>
          <w:tag w:val="title"/>
          <w:id w:val="1036308880"/>
          <w:placeholder>
            <w:docPart w:val="30F4BFF6786E4A46856E46E0A788642A"/>
          </w:placeholder>
          <w:dataBinding w:prefixMappings="xmlns:ns0='http://purl.org/dc/elements/1.1/' xmlns:ns1='http://schemas.openxmlformats.org/package/2006/metadata/core-properties' " w:xpath="/ns1:coreProperties[1]/ns0:title[1]" w:storeItemID="{6C3C8BC8-F283-45AE-878A-BAB7291924A1}"/>
          <w:text/>
        </w:sdtPr>
        <w:sdtEndPr/>
        <w:sdtContent>
          <w:r w:rsidR="00584164">
            <w:rPr>
              <w:sz w:val="76"/>
              <w:szCs w:val="76"/>
            </w:rPr>
            <w:t>Network contract directed enhanced service</w:t>
          </w:r>
        </w:sdtContent>
      </w:sdt>
      <w:bookmarkEnd w:id="0"/>
    </w:p>
    <w:p w14:paraId="5322E0CF" w14:textId="73994D7C" w:rsidR="004C430B" w:rsidRPr="004C430B" w:rsidRDefault="004C430B" w:rsidP="004C430B">
      <w:pPr>
        <w:spacing w:before="240"/>
        <w:rPr>
          <w:color w:val="005EB8"/>
          <w:sz w:val="44"/>
          <w:szCs w:val="44"/>
        </w:rPr>
      </w:pPr>
      <w:r w:rsidRPr="004C430B">
        <w:rPr>
          <w:color w:val="005EB8"/>
          <w:sz w:val="44"/>
          <w:szCs w:val="44"/>
        </w:rPr>
        <w:t xml:space="preserve">Guidance for </w:t>
      </w:r>
      <w:r w:rsidR="006C4956" w:rsidRPr="002D72AA">
        <w:rPr>
          <w:color w:val="005EB8"/>
          <w:sz w:val="44"/>
          <w:szCs w:val="44"/>
          <w:highlight w:val="yellow"/>
        </w:rPr>
        <w:t>2025</w:t>
      </w:r>
      <w:r w:rsidRPr="002D72AA">
        <w:rPr>
          <w:color w:val="005EB8"/>
          <w:sz w:val="44"/>
          <w:szCs w:val="44"/>
          <w:highlight w:val="yellow"/>
        </w:rPr>
        <w:t>/</w:t>
      </w:r>
      <w:r w:rsidR="006C4956" w:rsidRPr="002D72AA">
        <w:rPr>
          <w:color w:val="005EB8"/>
          <w:sz w:val="44"/>
          <w:szCs w:val="44"/>
          <w:highlight w:val="yellow"/>
        </w:rPr>
        <w:t>26</w:t>
      </w:r>
      <w:r w:rsidR="006C4956" w:rsidRPr="004C430B">
        <w:rPr>
          <w:color w:val="005EB8"/>
          <w:sz w:val="44"/>
          <w:szCs w:val="44"/>
        </w:rPr>
        <w:t xml:space="preserve"> </w:t>
      </w:r>
      <w:r w:rsidRPr="004C430B">
        <w:rPr>
          <w:color w:val="005EB8"/>
          <w:sz w:val="44"/>
          <w:szCs w:val="44"/>
        </w:rPr>
        <w:t>in England</w:t>
      </w:r>
    </w:p>
    <w:p w14:paraId="38FFEF58" w14:textId="16D182EF" w:rsidR="00F126B3" w:rsidRPr="004C430B" w:rsidRDefault="004C430B" w:rsidP="004C430B">
      <w:pPr>
        <w:rPr>
          <w:color w:val="005EB8"/>
          <w:sz w:val="44"/>
          <w:szCs w:val="44"/>
        </w:rPr>
      </w:pPr>
      <w:r w:rsidRPr="004C430B">
        <w:rPr>
          <w:color w:val="005EB8"/>
          <w:sz w:val="44"/>
          <w:szCs w:val="44"/>
        </w:rPr>
        <w:t>Part A: Clinical and support services</w:t>
      </w:r>
      <w:r w:rsidR="00B72132" w:rsidRPr="004C430B">
        <w:rPr>
          <w:color w:val="005EB8"/>
          <w:sz w:val="44"/>
          <w:szCs w:val="44"/>
        </w:rPr>
        <w:t xml:space="preserve"> </w:t>
      </w:r>
      <w:r w:rsidRPr="004C430B">
        <w:rPr>
          <w:color w:val="005EB8"/>
          <w:sz w:val="44"/>
          <w:szCs w:val="44"/>
        </w:rPr>
        <w:t>(Section 8)</w:t>
      </w:r>
    </w:p>
    <w:p w14:paraId="4D8DCFEB" w14:textId="77777777" w:rsidR="007375BC" w:rsidRPr="007375BC" w:rsidRDefault="007375BC" w:rsidP="007375BC">
      <w:r w:rsidRPr="0053542E">
        <w:rPr>
          <w:noProof/>
        </w:rPr>
        <w:drawing>
          <wp:inline distT="0" distB="0" distL="0" distR="0" wp14:anchorId="0F2EFD98" wp14:editId="18C3687E">
            <wp:extent cx="6263640" cy="4720846"/>
            <wp:effectExtent l="0" t="0" r="3810" b="3810"/>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546E591D" w14:textId="77777777" w:rsidR="007375BC" w:rsidRPr="007375BC" w:rsidRDefault="007375BC" w:rsidP="007375BC">
      <w:pPr>
        <w:sectPr w:rsidR="007375BC" w:rsidRPr="007375BC" w:rsidSect="00485C78">
          <w:headerReference w:type="even" r:id="rId19"/>
          <w:headerReference w:type="default" r:id="rId20"/>
          <w:footerReference w:type="default" r:id="rId21"/>
          <w:headerReference w:type="first" r:id="rId22"/>
          <w:type w:val="continuous"/>
          <w:pgSz w:w="11906" w:h="16838"/>
          <w:pgMar w:top="1021" w:right="1021" w:bottom="1021" w:left="1021" w:header="454" w:footer="556" w:gutter="0"/>
          <w:cols w:space="708"/>
          <w:titlePg/>
          <w:docGrid w:linePitch="360"/>
        </w:sectPr>
      </w:pPr>
    </w:p>
    <w:p w14:paraId="285D9935" w14:textId="77777777" w:rsidR="00447E51" w:rsidRPr="00355C51" w:rsidRDefault="00447E51" w:rsidP="008A3E2F">
      <w:pPr>
        <w:pStyle w:val="TOCHeading"/>
        <w:spacing w:after="360"/>
      </w:pPr>
      <w:r w:rsidRPr="00355C51">
        <w:lastRenderedPageBreak/>
        <w:t>Contents</w:t>
      </w:r>
    </w:p>
    <w:p w14:paraId="21ABF553" w14:textId="4BC84227" w:rsidR="00F34EF9" w:rsidRDefault="00355C51">
      <w:pPr>
        <w:pStyle w:val="TOC1"/>
        <w:rPr>
          <w:rFonts w:asciiTheme="minorHAnsi" w:eastAsiaTheme="minorEastAsia" w:hAnsiTheme="minorHAnsi" w:cstheme="minorBidi"/>
          <w:color w:val="auto"/>
          <w:kern w:val="2"/>
          <w:sz w:val="24"/>
          <w:lang w:eastAsia="en-GB"/>
          <w14:ligatures w14:val="standardContextual"/>
        </w:rPr>
      </w:pPr>
      <w:r>
        <w:fldChar w:fldCharType="begin"/>
      </w:r>
      <w:r>
        <w:instrText xml:space="preserve"> TOC \h \z \t "Heading 2,1,Heading 3,2,Heading 4,3,h2 numbered,1,h3 numbered,2,h4 numbered,3" </w:instrText>
      </w:r>
      <w:r>
        <w:fldChar w:fldCharType="separate"/>
      </w:r>
      <w:hyperlink w:anchor="_Toc193808063" w:history="1">
        <w:r w:rsidR="00F34EF9" w:rsidRPr="00853C34">
          <w:rPr>
            <w:rStyle w:val="Hyperlink"/>
          </w:rPr>
          <w:t>1. Introduction</w:t>
        </w:r>
        <w:r w:rsidR="00F34EF9">
          <w:rPr>
            <w:webHidden/>
          </w:rPr>
          <w:tab/>
        </w:r>
        <w:r w:rsidR="00F34EF9">
          <w:rPr>
            <w:webHidden/>
          </w:rPr>
          <w:fldChar w:fldCharType="begin"/>
        </w:r>
        <w:r w:rsidR="00F34EF9">
          <w:rPr>
            <w:webHidden/>
          </w:rPr>
          <w:instrText xml:space="preserve"> PAGEREF _Toc193808063 \h </w:instrText>
        </w:r>
        <w:r w:rsidR="00F34EF9">
          <w:rPr>
            <w:webHidden/>
          </w:rPr>
        </w:r>
        <w:r w:rsidR="00F34EF9">
          <w:rPr>
            <w:webHidden/>
          </w:rPr>
          <w:fldChar w:fldCharType="separate"/>
        </w:r>
        <w:r w:rsidR="00F34EF9">
          <w:rPr>
            <w:webHidden/>
          </w:rPr>
          <w:t>3</w:t>
        </w:r>
        <w:r w:rsidR="00F34EF9">
          <w:rPr>
            <w:webHidden/>
          </w:rPr>
          <w:fldChar w:fldCharType="end"/>
        </w:r>
      </w:hyperlink>
    </w:p>
    <w:p w14:paraId="5CEF3C61" w14:textId="7526946A" w:rsidR="00F34EF9" w:rsidRDefault="00F34EF9">
      <w:pPr>
        <w:pStyle w:val="TOC1"/>
        <w:rPr>
          <w:rFonts w:asciiTheme="minorHAnsi" w:eastAsiaTheme="minorEastAsia" w:hAnsiTheme="minorHAnsi" w:cstheme="minorBidi"/>
          <w:color w:val="auto"/>
          <w:kern w:val="2"/>
          <w:sz w:val="24"/>
          <w:lang w:eastAsia="en-GB"/>
          <w14:ligatures w14:val="standardContextual"/>
        </w:rPr>
      </w:pPr>
      <w:hyperlink w:anchor="_Toc193808064" w:history="1">
        <w:r w:rsidRPr="00853C34">
          <w:rPr>
            <w:rStyle w:val="Hyperlink"/>
          </w:rPr>
          <w:t>2. Service requirements</w:t>
        </w:r>
        <w:r>
          <w:rPr>
            <w:webHidden/>
          </w:rPr>
          <w:tab/>
        </w:r>
        <w:r>
          <w:rPr>
            <w:webHidden/>
          </w:rPr>
          <w:fldChar w:fldCharType="begin"/>
        </w:r>
        <w:r>
          <w:rPr>
            <w:webHidden/>
          </w:rPr>
          <w:instrText xml:space="preserve"> PAGEREF _Toc193808064 \h </w:instrText>
        </w:r>
        <w:r>
          <w:rPr>
            <w:webHidden/>
          </w:rPr>
        </w:r>
        <w:r>
          <w:rPr>
            <w:webHidden/>
          </w:rPr>
          <w:fldChar w:fldCharType="separate"/>
        </w:r>
        <w:r>
          <w:rPr>
            <w:webHidden/>
          </w:rPr>
          <w:t>3</w:t>
        </w:r>
        <w:r>
          <w:rPr>
            <w:webHidden/>
          </w:rPr>
          <w:fldChar w:fldCharType="end"/>
        </w:r>
      </w:hyperlink>
    </w:p>
    <w:p w14:paraId="60EC3D2A" w14:textId="29E52A4F" w:rsidR="00F34EF9" w:rsidRDefault="00F34EF9">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93808065" w:history="1">
        <w:r w:rsidRPr="00853C34">
          <w:rPr>
            <w:rStyle w:val="Hyperlink"/>
          </w:rPr>
          <w:t>2.1</w:t>
        </w:r>
        <w:r>
          <w:rPr>
            <w:rFonts w:asciiTheme="minorHAnsi" w:eastAsiaTheme="minorEastAsia" w:hAnsiTheme="minorHAnsi" w:cstheme="minorBidi"/>
            <w:color w:val="auto"/>
            <w:kern w:val="2"/>
            <w:sz w:val="24"/>
            <w:lang w:eastAsia="en-GB"/>
            <w14:ligatures w14:val="standardContextual"/>
          </w:rPr>
          <w:tab/>
        </w:r>
        <w:r w:rsidRPr="00853C34">
          <w:rPr>
            <w:rStyle w:val="Hyperlink"/>
          </w:rPr>
          <w:t>Improving health outcomes and reducing health inequalities</w:t>
        </w:r>
        <w:r>
          <w:rPr>
            <w:webHidden/>
          </w:rPr>
          <w:tab/>
        </w:r>
        <w:r>
          <w:rPr>
            <w:webHidden/>
          </w:rPr>
          <w:fldChar w:fldCharType="begin"/>
        </w:r>
        <w:r>
          <w:rPr>
            <w:webHidden/>
          </w:rPr>
          <w:instrText xml:space="preserve"> PAGEREF _Toc193808065 \h </w:instrText>
        </w:r>
        <w:r>
          <w:rPr>
            <w:webHidden/>
          </w:rPr>
        </w:r>
        <w:r>
          <w:rPr>
            <w:webHidden/>
          </w:rPr>
          <w:fldChar w:fldCharType="separate"/>
        </w:r>
        <w:r>
          <w:rPr>
            <w:webHidden/>
          </w:rPr>
          <w:t>4</w:t>
        </w:r>
        <w:r>
          <w:rPr>
            <w:webHidden/>
          </w:rPr>
          <w:fldChar w:fldCharType="end"/>
        </w:r>
      </w:hyperlink>
    </w:p>
    <w:p w14:paraId="61F34B9F" w14:textId="1ED50E2F" w:rsidR="00F34EF9" w:rsidRDefault="00F34EF9">
      <w:pPr>
        <w:pStyle w:val="TOC3"/>
        <w:rPr>
          <w:noProof/>
          <w:color w:val="auto"/>
          <w:kern w:val="2"/>
          <w:szCs w:val="24"/>
          <w:lang w:val="en-GB" w:eastAsia="en-GB"/>
          <w14:ligatures w14:val="standardContextual"/>
        </w:rPr>
      </w:pPr>
      <w:hyperlink w:anchor="_Toc193808066" w:history="1">
        <w:r w:rsidRPr="00853C34">
          <w:rPr>
            <w:rStyle w:val="Hyperlink"/>
            <w:noProof/>
          </w:rPr>
          <w:t>Population health management</w:t>
        </w:r>
        <w:r>
          <w:rPr>
            <w:noProof/>
            <w:webHidden/>
          </w:rPr>
          <w:tab/>
        </w:r>
        <w:r>
          <w:rPr>
            <w:noProof/>
            <w:webHidden/>
          </w:rPr>
          <w:fldChar w:fldCharType="begin"/>
        </w:r>
        <w:r>
          <w:rPr>
            <w:noProof/>
            <w:webHidden/>
          </w:rPr>
          <w:instrText xml:space="preserve"> PAGEREF _Toc193808066 \h </w:instrText>
        </w:r>
        <w:r>
          <w:rPr>
            <w:noProof/>
            <w:webHidden/>
          </w:rPr>
        </w:r>
        <w:r>
          <w:rPr>
            <w:noProof/>
            <w:webHidden/>
          </w:rPr>
          <w:fldChar w:fldCharType="separate"/>
        </w:r>
        <w:r>
          <w:rPr>
            <w:noProof/>
            <w:webHidden/>
          </w:rPr>
          <w:t>4</w:t>
        </w:r>
        <w:r>
          <w:rPr>
            <w:noProof/>
            <w:webHidden/>
          </w:rPr>
          <w:fldChar w:fldCharType="end"/>
        </w:r>
      </w:hyperlink>
    </w:p>
    <w:p w14:paraId="4DA90B05" w14:textId="21258076" w:rsidR="00F34EF9" w:rsidRDefault="00F34EF9">
      <w:pPr>
        <w:pStyle w:val="TOC3"/>
        <w:rPr>
          <w:noProof/>
          <w:color w:val="auto"/>
          <w:kern w:val="2"/>
          <w:szCs w:val="24"/>
          <w:lang w:val="en-GB" w:eastAsia="en-GB"/>
          <w14:ligatures w14:val="standardContextual"/>
        </w:rPr>
      </w:pPr>
      <w:hyperlink w:anchor="_Toc193808067" w:history="1">
        <w:r w:rsidRPr="00853C34">
          <w:rPr>
            <w:rStyle w:val="Hyperlink"/>
            <w:noProof/>
          </w:rPr>
          <w:t>Health inequalities</w:t>
        </w:r>
        <w:r>
          <w:rPr>
            <w:noProof/>
            <w:webHidden/>
          </w:rPr>
          <w:tab/>
        </w:r>
        <w:r>
          <w:rPr>
            <w:noProof/>
            <w:webHidden/>
          </w:rPr>
          <w:fldChar w:fldCharType="begin"/>
        </w:r>
        <w:r>
          <w:rPr>
            <w:noProof/>
            <w:webHidden/>
          </w:rPr>
          <w:instrText xml:space="preserve"> PAGEREF _Toc193808067 \h </w:instrText>
        </w:r>
        <w:r>
          <w:rPr>
            <w:noProof/>
            <w:webHidden/>
          </w:rPr>
        </w:r>
        <w:r>
          <w:rPr>
            <w:noProof/>
            <w:webHidden/>
          </w:rPr>
          <w:fldChar w:fldCharType="separate"/>
        </w:r>
        <w:r>
          <w:rPr>
            <w:noProof/>
            <w:webHidden/>
          </w:rPr>
          <w:t>4</w:t>
        </w:r>
        <w:r>
          <w:rPr>
            <w:noProof/>
            <w:webHidden/>
          </w:rPr>
          <w:fldChar w:fldCharType="end"/>
        </w:r>
      </w:hyperlink>
    </w:p>
    <w:p w14:paraId="6918AD1C" w14:textId="0FFAA5C1" w:rsidR="00F34EF9" w:rsidRDefault="00F34EF9">
      <w:pPr>
        <w:pStyle w:val="TOC3"/>
        <w:rPr>
          <w:noProof/>
          <w:color w:val="auto"/>
          <w:kern w:val="2"/>
          <w:szCs w:val="24"/>
          <w:lang w:val="en-GB" w:eastAsia="en-GB"/>
          <w14:ligatures w14:val="standardContextual"/>
        </w:rPr>
      </w:pPr>
      <w:hyperlink w:anchor="_Toc193808068" w:history="1">
        <w:r w:rsidRPr="00853C34">
          <w:rPr>
            <w:rStyle w:val="Hyperlink"/>
            <w:noProof/>
          </w:rPr>
          <w:t>CVD prevention and diagnosis</w:t>
        </w:r>
        <w:r>
          <w:rPr>
            <w:noProof/>
            <w:webHidden/>
          </w:rPr>
          <w:tab/>
        </w:r>
        <w:r>
          <w:rPr>
            <w:noProof/>
            <w:webHidden/>
          </w:rPr>
          <w:fldChar w:fldCharType="begin"/>
        </w:r>
        <w:r>
          <w:rPr>
            <w:noProof/>
            <w:webHidden/>
          </w:rPr>
          <w:instrText xml:space="preserve"> PAGEREF _Toc193808068 \h </w:instrText>
        </w:r>
        <w:r>
          <w:rPr>
            <w:noProof/>
            <w:webHidden/>
          </w:rPr>
        </w:r>
        <w:r>
          <w:rPr>
            <w:noProof/>
            <w:webHidden/>
          </w:rPr>
          <w:fldChar w:fldCharType="separate"/>
        </w:r>
        <w:r>
          <w:rPr>
            <w:noProof/>
            <w:webHidden/>
          </w:rPr>
          <w:t>5</w:t>
        </w:r>
        <w:r>
          <w:rPr>
            <w:noProof/>
            <w:webHidden/>
          </w:rPr>
          <w:fldChar w:fldCharType="end"/>
        </w:r>
      </w:hyperlink>
    </w:p>
    <w:p w14:paraId="72B5F365" w14:textId="65586236" w:rsidR="00F34EF9" w:rsidRDefault="00F34EF9">
      <w:pPr>
        <w:pStyle w:val="TOC3"/>
        <w:rPr>
          <w:noProof/>
          <w:color w:val="auto"/>
          <w:kern w:val="2"/>
          <w:szCs w:val="24"/>
          <w:lang w:val="en-GB" w:eastAsia="en-GB"/>
          <w14:ligatures w14:val="standardContextual"/>
        </w:rPr>
      </w:pPr>
      <w:hyperlink w:anchor="_Toc193808069" w:history="1">
        <w:r w:rsidRPr="00853C34">
          <w:rPr>
            <w:rStyle w:val="Hyperlink"/>
            <w:noProof/>
          </w:rPr>
          <w:t>Early cancer diagnosis</w:t>
        </w:r>
        <w:r>
          <w:rPr>
            <w:noProof/>
            <w:webHidden/>
          </w:rPr>
          <w:tab/>
        </w:r>
        <w:r>
          <w:rPr>
            <w:noProof/>
            <w:webHidden/>
          </w:rPr>
          <w:fldChar w:fldCharType="begin"/>
        </w:r>
        <w:r>
          <w:rPr>
            <w:noProof/>
            <w:webHidden/>
          </w:rPr>
          <w:instrText xml:space="preserve"> PAGEREF _Toc193808069 \h </w:instrText>
        </w:r>
        <w:r>
          <w:rPr>
            <w:noProof/>
            <w:webHidden/>
          </w:rPr>
        </w:r>
        <w:r>
          <w:rPr>
            <w:noProof/>
            <w:webHidden/>
          </w:rPr>
          <w:fldChar w:fldCharType="separate"/>
        </w:r>
        <w:r>
          <w:rPr>
            <w:noProof/>
            <w:webHidden/>
          </w:rPr>
          <w:t>8</w:t>
        </w:r>
        <w:r>
          <w:rPr>
            <w:noProof/>
            <w:webHidden/>
          </w:rPr>
          <w:fldChar w:fldCharType="end"/>
        </w:r>
      </w:hyperlink>
    </w:p>
    <w:p w14:paraId="49475CEE" w14:textId="63103A9C" w:rsidR="00F34EF9" w:rsidRDefault="00F34EF9">
      <w:pPr>
        <w:pStyle w:val="TOC2"/>
        <w:tabs>
          <w:tab w:val="left" w:pos="960"/>
        </w:tabs>
        <w:rPr>
          <w:rFonts w:asciiTheme="minorHAnsi" w:eastAsiaTheme="minorEastAsia" w:hAnsiTheme="minorHAnsi" w:cstheme="minorBidi"/>
          <w:color w:val="auto"/>
          <w:kern w:val="2"/>
          <w:sz w:val="24"/>
          <w:lang w:eastAsia="en-GB"/>
          <w14:ligatures w14:val="standardContextual"/>
        </w:rPr>
      </w:pPr>
      <w:hyperlink w:anchor="_Toc193808070" w:history="1">
        <w:r w:rsidRPr="00853C34">
          <w:rPr>
            <w:rStyle w:val="Hyperlink"/>
          </w:rPr>
          <w:t>2.2</w:t>
        </w:r>
        <w:r>
          <w:rPr>
            <w:rFonts w:asciiTheme="minorHAnsi" w:eastAsiaTheme="minorEastAsia" w:hAnsiTheme="minorHAnsi" w:cstheme="minorBidi"/>
            <w:color w:val="auto"/>
            <w:kern w:val="2"/>
            <w:sz w:val="24"/>
            <w:lang w:eastAsia="en-GB"/>
            <w14:ligatures w14:val="standardContextual"/>
          </w:rPr>
          <w:tab/>
        </w:r>
        <w:r w:rsidRPr="00853C34">
          <w:rPr>
            <w:rStyle w:val="Hyperlink"/>
          </w:rPr>
          <w:t>Targeting resource and efforts</w:t>
        </w:r>
        <w:r>
          <w:rPr>
            <w:webHidden/>
          </w:rPr>
          <w:tab/>
        </w:r>
        <w:r>
          <w:rPr>
            <w:webHidden/>
          </w:rPr>
          <w:fldChar w:fldCharType="begin"/>
        </w:r>
        <w:r>
          <w:rPr>
            <w:webHidden/>
          </w:rPr>
          <w:instrText xml:space="preserve"> PAGEREF _Toc193808070 \h </w:instrText>
        </w:r>
        <w:r>
          <w:rPr>
            <w:webHidden/>
          </w:rPr>
        </w:r>
        <w:r>
          <w:rPr>
            <w:webHidden/>
          </w:rPr>
          <w:fldChar w:fldCharType="separate"/>
        </w:r>
        <w:r>
          <w:rPr>
            <w:webHidden/>
          </w:rPr>
          <w:t>10</w:t>
        </w:r>
        <w:r>
          <w:rPr>
            <w:webHidden/>
          </w:rPr>
          <w:fldChar w:fldCharType="end"/>
        </w:r>
      </w:hyperlink>
    </w:p>
    <w:p w14:paraId="51C4FE63" w14:textId="10E55F49" w:rsidR="00F34EF9" w:rsidRDefault="00F34EF9">
      <w:pPr>
        <w:pStyle w:val="TOC3"/>
        <w:rPr>
          <w:noProof/>
          <w:color w:val="auto"/>
          <w:kern w:val="2"/>
          <w:szCs w:val="24"/>
          <w:lang w:val="en-GB" w:eastAsia="en-GB"/>
          <w14:ligatures w14:val="standardContextual"/>
        </w:rPr>
      </w:pPr>
      <w:hyperlink w:anchor="_Toc193808071" w:history="1">
        <w:r w:rsidRPr="00853C34">
          <w:rPr>
            <w:rStyle w:val="Hyperlink"/>
            <w:noProof/>
          </w:rPr>
          <w:t>Proactive care (for frailty)</w:t>
        </w:r>
        <w:r>
          <w:rPr>
            <w:noProof/>
            <w:webHidden/>
          </w:rPr>
          <w:tab/>
        </w:r>
        <w:r>
          <w:rPr>
            <w:noProof/>
            <w:webHidden/>
          </w:rPr>
          <w:fldChar w:fldCharType="begin"/>
        </w:r>
        <w:r>
          <w:rPr>
            <w:noProof/>
            <w:webHidden/>
          </w:rPr>
          <w:instrText xml:space="preserve"> PAGEREF _Toc193808071 \h </w:instrText>
        </w:r>
        <w:r>
          <w:rPr>
            <w:noProof/>
            <w:webHidden/>
          </w:rPr>
        </w:r>
        <w:r>
          <w:rPr>
            <w:noProof/>
            <w:webHidden/>
          </w:rPr>
          <w:fldChar w:fldCharType="separate"/>
        </w:r>
        <w:r>
          <w:rPr>
            <w:noProof/>
            <w:webHidden/>
          </w:rPr>
          <w:t>10</w:t>
        </w:r>
        <w:r>
          <w:rPr>
            <w:noProof/>
            <w:webHidden/>
          </w:rPr>
          <w:fldChar w:fldCharType="end"/>
        </w:r>
      </w:hyperlink>
    </w:p>
    <w:p w14:paraId="0D5FF356" w14:textId="331B305D" w:rsidR="00F34EF9" w:rsidRDefault="00F34EF9">
      <w:pPr>
        <w:pStyle w:val="TOC3"/>
        <w:rPr>
          <w:noProof/>
          <w:color w:val="auto"/>
          <w:kern w:val="2"/>
          <w:szCs w:val="24"/>
          <w:lang w:val="en-GB" w:eastAsia="en-GB"/>
          <w14:ligatures w14:val="standardContextual"/>
        </w:rPr>
      </w:pPr>
      <w:hyperlink w:anchor="_Toc193808072" w:history="1">
        <w:r w:rsidRPr="00853C34">
          <w:rPr>
            <w:rStyle w:val="Hyperlink"/>
            <w:noProof/>
          </w:rPr>
          <w:t>Structured medication reviews (SMRs) and medicines optimisation</w:t>
        </w:r>
        <w:r>
          <w:rPr>
            <w:noProof/>
            <w:webHidden/>
          </w:rPr>
          <w:tab/>
        </w:r>
        <w:r>
          <w:rPr>
            <w:noProof/>
            <w:webHidden/>
          </w:rPr>
          <w:fldChar w:fldCharType="begin"/>
        </w:r>
        <w:r>
          <w:rPr>
            <w:noProof/>
            <w:webHidden/>
          </w:rPr>
          <w:instrText xml:space="preserve"> PAGEREF _Toc193808072 \h </w:instrText>
        </w:r>
        <w:r>
          <w:rPr>
            <w:noProof/>
            <w:webHidden/>
          </w:rPr>
        </w:r>
        <w:r>
          <w:rPr>
            <w:noProof/>
            <w:webHidden/>
          </w:rPr>
          <w:fldChar w:fldCharType="separate"/>
        </w:r>
        <w:r>
          <w:rPr>
            <w:noProof/>
            <w:webHidden/>
          </w:rPr>
          <w:t>10</w:t>
        </w:r>
        <w:r>
          <w:rPr>
            <w:noProof/>
            <w:webHidden/>
          </w:rPr>
          <w:fldChar w:fldCharType="end"/>
        </w:r>
      </w:hyperlink>
    </w:p>
    <w:p w14:paraId="3506D5C7" w14:textId="1ED1DD8F" w:rsidR="00F34EF9" w:rsidRDefault="00F34EF9">
      <w:pPr>
        <w:pStyle w:val="TOC3"/>
        <w:rPr>
          <w:noProof/>
          <w:color w:val="auto"/>
          <w:kern w:val="2"/>
          <w:szCs w:val="24"/>
          <w:lang w:val="en-GB" w:eastAsia="en-GB"/>
          <w14:ligatures w14:val="standardContextual"/>
        </w:rPr>
      </w:pPr>
      <w:hyperlink w:anchor="_Toc193808073" w:history="1">
        <w:r w:rsidRPr="00853C34">
          <w:rPr>
            <w:rStyle w:val="Hyperlink"/>
            <w:noProof/>
          </w:rPr>
          <w:t>Social prescribing</w:t>
        </w:r>
        <w:r>
          <w:rPr>
            <w:noProof/>
            <w:webHidden/>
          </w:rPr>
          <w:tab/>
        </w:r>
        <w:r>
          <w:rPr>
            <w:noProof/>
            <w:webHidden/>
          </w:rPr>
          <w:fldChar w:fldCharType="begin"/>
        </w:r>
        <w:r>
          <w:rPr>
            <w:noProof/>
            <w:webHidden/>
          </w:rPr>
          <w:instrText xml:space="preserve"> PAGEREF _Toc193808073 \h </w:instrText>
        </w:r>
        <w:r>
          <w:rPr>
            <w:noProof/>
            <w:webHidden/>
          </w:rPr>
        </w:r>
        <w:r>
          <w:rPr>
            <w:noProof/>
            <w:webHidden/>
          </w:rPr>
          <w:fldChar w:fldCharType="separate"/>
        </w:r>
        <w:r>
          <w:rPr>
            <w:noProof/>
            <w:webHidden/>
          </w:rPr>
          <w:t>13</w:t>
        </w:r>
        <w:r>
          <w:rPr>
            <w:noProof/>
            <w:webHidden/>
          </w:rPr>
          <w:fldChar w:fldCharType="end"/>
        </w:r>
      </w:hyperlink>
    </w:p>
    <w:p w14:paraId="6243FB39" w14:textId="3A282CA1" w:rsidR="00F34EF9" w:rsidRDefault="00F34EF9">
      <w:pPr>
        <w:pStyle w:val="TOC3"/>
        <w:rPr>
          <w:noProof/>
          <w:color w:val="auto"/>
          <w:kern w:val="2"/>
          <w:szCs w:val="24"/>
          <w:lang w:val="en-GB" w:eastAsia="en-GB"/>
          <w14:ligatures w14:val="standardContextual"/>
        </w:rPr>
      </w:pPr>
      <w:hyperlink w:anchor="_Toc193808074" w:history="1">
        <w:r w:rsidRPr="00853C34">
          <w:rPr>
            <w:rStyle w:val="Hyperlink"/>
            <w:noProof/>
          </w:rPr>
          <w:t>Enhanced health in care homes (EHCH)</w:t>
        </w:r>
        <w:r>
          <w:rPr>
            <w:noProof/>
            <w:webHidden/>
          </w:rPr>
          <w:tab/>
        </w:r>
        <w:r>
          <w:rPr>
            <w:noProof/>
            <w:webHidden/>
          </w:rPr>
          <w:fldChar w:fldCharType="begin"/>
        </w:r>
        <w:r>
          <w:rPr>
            <w:noProof/>
            <w:webHidden/>
          </w:rPr>
          <w:instrText xml:space="preserve"> PAGEREF _Toc193808074 \h </w:instrText>
        </w:r>
        <w:r>
          <w:rPr>
            <w:noProof/>
            <w:webHidden/>
          </w:rPr>
        </w:r>
        <w:r>
          <w:rPr>
            <w:noProof/>
            <w:webHidden/>
          </w:rPr>
          <w:fldChar w:fldCharType="separate"/>
        </w:r>
        <w:r>
          <w:rPr>
            <w:noProof/>
            <w:webHidden/>
          </w:rPr>
          <w:t>15</w:t>
        </w:r>
        <w:r>
          <w:rPr>
            <w:noProof/>
            <w:webHidden/>
          </w:rPr>
          <w:fldChar w:fldCharType="end"/>
        </w:r>
      </w:hyperlink>
    </w:p>
    <w:p w14:paraId="6509A1EE" w14:textId="3C6CAF8E" w:rsidR="00F34EF9" w:rsidRDefault="00F34EF9">
      <w:pPr>
        <w:pStyle w:val="TOC1"/>
        <w:rPr>
          <w:rFonts w:asciiTheme="minorHAnsi" w:eastAsiaTheme="minorEastAsia" w:hAnsiTheme="minorHAnsi" w:cstheme="minorBidi"/>
          <w:color w:val="auto"/>
          <w:kern w:val="2"/>
          <w:sz w:val="24"/>
          <w:lang w:eastAsia="en-GB"/>
          <w14:ligatures w14:val="standardContextual"/>
        </w:rPr>
      </w:pPr>
      <w:hyperlink w:anchor="_Toc193808075" w:history="1">
        <w:r w:rsidRPr="00853C34">
          <w:rPr>
            <w:rStyle w:val="Hyperlink"/>
          </w:rPr>
          <w:t>3. Enhanced access</w:t>
        </w:r>
        <w:r>
          <w:rPr>
            <w:webHidden/>
          </w:rPr>
          <w:tab/>
        </w:r>
        <w:r>
          <w:rPr>
            <w:webHidden/>
          </w:rPr>
          <w:fldChar w:fldCharType="begin"/>
        </w:r>
        <w:r>
          <w:rPr>
            <w:webHidden/>
          </w:rPr>
          <w:instrText xml:space="preserve"> PAGEREF _Toc193808075 \h </w:instrText>
        </w:r>
        <w:r>
          <w:rPr>
            <w:webHidden/>
          </w:rPr>
        </w:r>
        <w:r>
          <w:rPr>
            <w:webHidden/>
          </w:rPr>
          <w:fldChar w:fldCharType="separate"/>
        </w:r>
        <w:r>
          <w:rPr>
            <w:webHidden/>
          </w:rPr>
          <w:t>16</w:t>
        </w:r>
        <w:r>
          <w:rPr>
            <w:webHidden/>
          </w:rPr>
          <w:fldChar w:fldCharType="end"/>
        </w:r>
      </w:hyperlink>
    </w:p>
    <w:p w14:paraId="3D961AB3" w14:textId="0813B417" w:rsidR="00F34EF9" w:rsidRDefault="00F34EF9">
      <w:pPr>
        <w:pStyle w:val="TOC3"/>
        <w:rPr>
          <w:noProof/>
          <w:color w:val="auto"/>
          <w:kern w:val="2"/>
          <w:szCs w:val="24"/>
          <w:lang w:val="en-GB" w:eastAsia="en-GB"/>
          <w14:ligatures w14:val="standardContextual"/>
        </w:rPr>
      </w:pPr>
      <w:hyperlink w:anchor="_Toc193808076" w:history="1">
        <w:r w:rsidRPr="00853C34">
          <w:rPr>
            <w:rStyle w:val="Hyperlink"/>
            <w:noProof/>
          </w:rPr>
          <w:t>Delivery of enhanced access</w:t>
        </w:r>
        <w:r>
          <w:rPr>
            <w:noProof/>
            <w:webHidden/>
          </w:rPr>
          <w:tab/>
        </w:r>
        <w:r>
          <w:rPr>
            <w:noProof/>
            <w:webHidden/>
          </w:rPr>
          <w:fldChar w:fldCharType="begin"/>
        </w:r>
        <w:r>
          <w:rPr>
            <w:noProof/>
            <w:webHidden/>
          </w:rPr>
          <w:instrText xml:space="preserve"> PAGEREF _Toc193808076 \h </w:instrText>
        </w:r>
        <w:r>
          <w:rPr>
            <w:noProof/>
            <w:webHidden/>
          </w:rPr>
        </w:r>
        <w:r>
          <w:rPr>
            <w:noProof/>
            <w:webHidden/>
          </w:rPr>
          <w:fldChar w:fldCharType="separate"/>
        </w:r>
        <w:r>
          <w:rPr>
            <w:noProof/>
            <w:webHidden/>
          </w:rPr>
          <w:t>16</w:t>
        </w:r>
        <w:r>
          <w:rPr>
            <w:noProof/>
            <w:webHidden/>
          </w:rPr>
          <w:fldChar w:fldCharType="end"/>
        </w:r>
      </w:hyperlink>
    </w:p>
    <w:p w14:paraId="428B2CCE" w14:textId="7AEF3842" w:rsidR="00F34EF9" w:rsidRDefault="00F34EF9">
      <w:pPr>
        <w:pStyle w:val="TOC3"/>
        <w:rPr>
          <w:noProof/>
          <w:color w:val="auto"/>
          <w:kern w:val="2"/>
          <w:szCs w:val="24"/>
          <w:lang w:val="en-GB" w:eastAsia="en-GB"/>
          <w14:ligatures w14:val="standardContextual"/>
        </w:rPr>
      </w:pPr>
      <w:hyperlink w:anchor="_Toc193808077" w:history="1">
        <w:r w:rsidRPr="00853C34">
          <w:rPr>
            <w:rStyle w:val="Hyperlink"/>
            <w:noProof/>
          </w:rPr>
          <w:t>Funding for enhanced access in the Network Contract DES</w:t>
        </w:r>
        <w:r>
          <w:rPr>
            <w:noProof/>
            <w:webHidden/>
          </w:rPr>
          <w:tab/>
        </w:r>
        <w:r>
          <w:rPr>
            <w:noProof/>
            <w:webHidden/>
          </w:rPr>
          <w:fldChar w:fldCharType="begin"/>
        </w:r>
        <w:r>
          <w:rPr>
            <w:noProof/>
            <w:webHidden/>
          </w:rPr>
          <w:instrText xml:space="preserve"> PAGEREF _Toc193808077 \h </w:instrText>
        </w:r>
        <w:r>
          <w:rPr>
            <w:noProof/>
            <w:webHidden/>
          </w:rPr>
        </w:r>
        <w:r>
          <w:rPr>
            <w:noProof/>
            <w:webHidden/>
          </w:rPr>
          <w:fldChar w:fldCharType="separate"/>
        </w:r>
        <w:r>
          <w:rPr>
            <w:noProof/>
            <w:webHidden/>
          </w:rPr>
          <w:t>17</w:t>
        </w:r>
        <w:r>
          <w:rPr>
            <w:noProof/>
            <w:webHidden/>
          </w:rPr>
          <w:fldChar w:fldCharType="end"/>
        </w:r>
      </w:hyperlink>
    </w:p>
    <w:p w14:paraId="7042A443" w14:textId="57133852" w:rsidR="00F34EF9" w:rsidRDefault="00F34EF9">
      <w:pPr>
        <w:pStyle w:val="TOC1"/>
        <w:rPr>
          <w:rFonts w:asciiTheme="minorHAnsi" w:eastAsiaTheme="minorEastAsia" w:hAnsiTheme="minorHAnsi" w:cstheme="minorBidi"/>
          <w:color w:val="auto"/>
          <w:kern w:val="2"/>
          <w:sz w:val="24"/>
          <w:lang w:eastAsia="en-GB"/>
          <w14:ligatures w14:val="standardContextual"/>
        </w:rPr>
      </w:pPr>
      <w:hyperlink w:anchor="_Toc193808078" w:history="1">
        <w:r w:rsidRPr="00853C34">
          <w:rPr>
            <w:rStyle w:val="Hyperlink"/>
          </w:rPr>
          <w:t>4. Appendix</w:t>
        </w:r>
        <w:r>
          <w:rPr>
            <w:webHidden/>
          </w:rPr>
          <w:tab/>
        </w:r>
        <w:r>
          <w:rPr>
            <w:webHidden/>
          </w:rPr>
          <w:fldChar w:fldCharType="begin"/>
        </w:r>
        <w:r>
          <w:rPr>
            <w:webHidden/>
          </w:rPr>
          <w:instrText xml:space="preserve"> PAGEREF _Toc193808078 \h </w:instrText>
        </w:r>
        <w:r>
          <w:rPr>
            <w:webHidden/>
          </w:rPr>
        </w:r>
        <w:r>
          <w:rPr>
            <w:webHidden/>
          </w:rPr>
          <w:fldChar w:fldCharType="separate"/>
        </w:r>
        <w:r>
          <w:rPr>
            <w:webHidden/>
          </w:rPr>
          <w:t>17</w:t>
        </w:r>
        <w:r>
          <w:rPr>
            <w:webHidden/>
          </w:rPr>
          <w:fldChar w:fldCharType="end"/>
        </w:r>
      </w:hyperlink>
    </w:p>
    <w:p w14:paraId="47A49ED7" w14:textId="5CEA14E7" w:rsidR="00F34EF9" w:rsidRDefault="00F34EF9">
      <w:pPr>
        <w:pStyle w:val="TOC2"/>
        <w:rPr>
          <w:rFonts w:asciiTheme="minorHAnsi" w:eastAsiaTheme="minorEastAsia" w:hAnsiTheme="minorHAnsi" w:cstheme="minorBidi"/>
          <w:color w:val="auto"/>
          <w:kern w:val="2"/>
          <w:sz w:val="24"/>
          <w:lang w:eastAsia="en-GB"/>
          <w14:ligatures w14:val="standardContextual"/>
        </w:rPr>
      </w:pPr>
      <w:hyperlink w:anchor="_Toc193808079" w:history="1">
        <w:r w:rsidRPr="00853C34">
          <w:rPr>
            <w:rStyle w:val="Hyperlink"/>
          </w:rPr>
          <w:t>Coding requirements – SNOMED codes</w:t>
        </w:r>
        <w:r>
          <w:rPr>
            <w:webHidden/>
          </w:rPr>
          <w:tab/>
        </w:r>
        <w:r>
          <w:rPr>
            <w:webHidden/>
          </w:rPr>
          <w:fldChar w:fldCharType="begin"/>
        </w:r>
        <w:r>
          <w:rPr>
            <w:webHidden/>
          </w:rPr>
          <w:instrText xml:space="preserve"> PAGEREF _Toc193808079 \h </w:instrText>
        </w:r>
        <w:r>
          <w:rPr>
            <w:webHidden/>
          </w:rPr>
        </w:r>
        <w:r>
          <w:rPr>
            <w:webHidden/>
          </w:rPr>
          <w:fldChar w:fldCharType="separate"/>
        </w:r>
        <w:r>
          <w:rPr>
            <w:webHidden/>
          </w:rPr>
          <w:t>17</w:t>
        </w:r>
        <w:r>
          <w:rPr>
            <w:webHidden/>
          </w:rPr>
          <w:fldChar w:fldCharType="end"/>
        </w:r>
      </w:hyperlink>
    </w:p>
    <w:p w14:paraId="39AAB950" w14:textId="116E8BBB" w:rsidR="00603A2C" w:rsidRPr="002F45CE" w:rsidRDefault="00355C51" w:rsidP="00447E51">
      <w:r>
        <w:rPr>
          <w:noProof/>
          <w:color w:val="231F20" w:themeColor="background1"/>
          <w:sz w:val="28"/>
        </w:rPr>
        <w:fldChar w:fldCharType="end"/>
      </w:r>
    </w:p>
    <w:p w14:paraId="65940C20" w14:textId="77777777" w:rsidR="00F126B3" w:rsidRPr="00F126B3" w:rsidRDefault="00F126B3" w:rsidP="00F126B3"/>
    <w:p w14:paraId="7BA20E33" w14:textId="77777777" w:rsidR="00F126B3" w:rsidRDefault="00F126B3" w:rsidP="00F126B3">
      <w:pPr>
        <w:sectPr w:rsidR="00F126B3" w:rsidSect="00485C78">
          <w:headerReference w:type="even" r:id="rId23"/>
          <w:headerReference w:type="default" r:id="rId24"/>
          <w:headerReference w:type="first" r:id="rId25"/>
          <w:footerReference w:type="first" r:id="rId26"/>
          <w:pgSz w:w="11906" w:h="16838"/>
          <w:pgMar w:top="1021" w:right="1021" w:bottom="1021" w:left="1021" w:header="454" w:footer="556" w:gutter="0"/>
          <w:cols w:space="708"/>
          <w:docGrid w:linePitch="360"/>
        </w:sectPr>
      </w:pPr>
    </w:p>
    <w:p w14:paraId="4B7272E7" w14:textId="5A49A193" w:rsidR="001A70C0" w:rsidRPr="001A70C0" w:rsidRDefault="00B45BD6" w:rsidP="00BE3CED">
      <w:pPr>
        <w:pStyle w:val="h2numbered"/>
      </w:pPr>
      <w:bookmarkStart w:id="1" w:name="_Ref34823649"/>
      <w:bookmarkStart w:id="2" w:name="_Toc36557244"/>
      <w:bookmarkStart w:id="3" w:name="_Toc153872885"/>
      <w:bookmarkStart w:id="4" w:name="_Toc153872929"/>
      <w:bookmarkStart w:id="5" w:name="_Toc153902643"/>
      <w:bookmarkStart w:id="6" w:name="_Toc153990095"/>
      <w:r>
        <w:lastRenderedPageBreak/>
        <w:t xml:space="preserve"> </w:t>
      </w:r>
      <w:bookmarkStart w:id="7" w:name="_Toc193808063"/>
      <w:r w:rsidR="001A70C0" w:rsidRPr="001A70C0">
        <w:t>Introduction</w:t>
      </w:r>
      <w:bookmarkEnd w:id="1"/>
      <w:bookmarkEnd w:id="2"/>
      <w:bookmarkEnd w:id="3"/>
      <w:bookmarkEnd w:id="4"/>
      <w:bookmarkEnd w:id="5"/>
      <w:bookmarkEnd w:id="6"/>
      <w:bookmarkEnd w:id="7"/>
    </w:p>
    <w:p w14:paraId="00AEF4DE" w14:textId="7574651E" w:rsidR="001A70C0" w:rsidRPr="001A70C0" w:rsidRDefault="001A70C0" w:rsidP="00E90296">
      <w:pPr>
        <w:pStyle w:val="3digitpara"/>
        <w:numPr>
          <w:ilvl w:val="7"/>
          <w:numId w:val="15"/>
        </w:numPr>
      </w:pPr>
      <w:r w:rsidRPr="001A70C0">
        <w:t xml:space="preserve">The Network Contract Directed Enhanced Service (DES) was introduced during 2019. For </w:t>
      </w:r>
      <w:r w:rsidR="006C4956" w:rsidRPr="001A70C0">
        <w:t>20</w:t>
      </w:r>
      <w:r w:rsidR="006C4956" w:rsidRPr="00E90296">
        <w:rPr>
          <w:highlight w:val="yellow"/>
        </w:rPr>
        <w:t>25/26</w:t>
      </w:r>
      <w:r w:rsidRPr="001A70C0">
        <w:t xml:space="preserve">, </w:t>
      </w:r>
      <w:r w:rsidRPr="000F644C">
        <w:t xml:space="preserve">the Network Contract DES </w:t>
      </w:r>
      <w:r w:rsidR="008D27EC">
        <w:t>Specification</w:t>
      </w:r>
      <w:r w:rsidRPr="000F644C">
        <w:t xml:space="preserve"> come into force on 1 April 202</w:t>
      </w:r>
      <w:r w:rsidR="00E0422A" w:rsidRPr="00E90296">
        <w:rPr>
          <w:highlight w:val="yellow"/>
        </w:rPr>
        <w:t>5</w:t>
      </w:r>
      <w:r w:rsidRPr="000F644C">
        <w:t xml:space="preserve"> and, following participation in the DES, the requirements on practices and </w:t>
      </w:r>
      <w:r w:rsidR="00843024" w:rsidRPr="000F644C">
        <w:t>p</w:t>
      </w:r>
      <w:r w:rsidRPr="000F644C">
        <w:t xml:space="preserve">rimary </w:t>
      </w:r>
      <w:r w:rsidR="00843024" w:rsidRPr="000F644C">
        <w:t>c</w:t>
      </w:r>
      <w:r w:rsidRPr="000F644C">
        <w:t xml:space="preserve">are </w:t>
      </w:r>
      <w:r w:rsidR="00843024" w:rsidRPr="000F644C">
        <w:t>n</w:t>
      </w:r>
      <w:r w:rsidRPr="000F644C">
        <w:t>etworks (PCNs), as outlined in the DES specification, will</w:t>
      </w:r>
      <w:r w:rsidRPr="001A70C0">
        <w:t xml:space="preserve"> apply from that date.</w:t>
      </w:r>
    </w:p>
    <w:p w14:paraId="52F4A02B" w14:textId="4E5ACC90" w:rsidR="001A70C0" w:rsidRPr="001A70C0" w:rsidRDefault="001A70C0" w:rsidP="00186F35">
      <w:pPr>
        <w:pStyle w:val="3digitpara"/>
        <w:numPr>
          <w:ilvl w:val="7"/>
          <w:numId w:val="15"/>
        </w:numPr>
      </w:pPr>
      <w:r>
        <w:t xml:space="preserve">NHS England announced a number of changes to the DES </w:t>
      </w:r>
      <w:r w:rsidR="00B279AF">
        <w:t xml:space="preserve">from </w:t>
      </w:r>
      <w:r>
        <w:t>2024/2</w:t>
      </w:r>
      <w:r w:rsidR="5D4235AE">
        <w:t>5 in order to s</w:t>
      </w:r>
      <w:r w:rsidR="5D4235AE" w:rsidRPr="0039089C">
        <w:rPr>
          <w:rFonts w:eastAsia="Arial" w:cs="Arial"/>
        </w:rPr>
        <w:t>upport PCNs by streamlining requirements and increasing clinical autonomy over how to improve care</w:t>
      </w:r>
      <w:r>
        <w:t>.</w:t>
      </w:r>
      <w:r w:rsidR="00186F35">
        <w:t xml:space="preserve">  </w:t>
      </w:r>
      <w:r w:rsidR="557FFCC5">
        <w:t xml:space="preserve"> </w:t>
      </w:r>
    </w:p>
    <w:p w14:paraId="0DB18251" w14:textId="5FC4FA89" w:rsidR="001A70C0" w:rsidRDefault="001A70C0" w:rsidP="00CF77B1">
      <w:pPr>
        <w:pStyle w:val="3digitpara"/>
        <w:numPr>
          <w:ilvl w:val="7"/>
          <w:numId w:val="15"/>
        </w:numPr>
      </w:pPr>
      <w:r>
        <w:t xml:space="preserve">This document forms part of a ‘guidance’ package </w:t>
      </w:r>
      <w:r w:rsidR="00E945A9">
        <w:t xml:space="preserve">designed to support </w:t>
      </w:r>
      <w:r>
        <w:t>commissioners, PCNs and their constituent practices</w:t>
      </w:r>
      <w:r w:rsidR="00E945A9">
        <w:t xml:space="preserve"> to implement the DES</w:t>
      </w:r>
      <w:r>
        <w:t xml:space="preserve">. It does not take precedence over the DES </w:t>
      </w:r>
      <w:r w:rsidR="00ED1214">
        <w:t>s</w:t>
      </w:r>
      <w:r>
        <w:t>pecification.</w:t>
      </w:r>
      <w:r w:rsidR="00186F35">
        <w:t xml:space="preserve">  It includes:</w:t>
      </w:r>
    </w:p>
    <w:p w14:paraId="21B4C8C9" w14:textId="0F7489E2" w:rsidR="00AB3215" w:rsidRDefault="00CA4D7F" w:rsidP="008F7BDF">
      <w:pPr>
        <w:pStyle w:val="3digitpara"/>
        <w:numPr>
          <w:ilvl w:val="7"/>
          <w:numId w:val="42"/>
        </w:numPr>
      </w:pPr>
      <w:r>
        <w:t>d</w:t>
      </w:r>
      <w:r w:rsidR="00DF21BD">
        <w:t xml:space="preserve">escriptions of best practice </w:t>
      </w:r>
      <w:r w:rsidR="00264A70">
        <w:t xml:space="preserve">in support of the </w:t>
      </w:r>
      <w:r w:rsidR="00DF21BD">
        <w:t xml:space="preserve">delivery of the </w:t>
      </w:r>
      <w:r w:rsidR="00AB3215">
        <w:t>Section 8 ‘Service Requirements</w:t>
      </w:r>
      <w:r w:rsidR="00DE1D89">
        <w:t>’</w:t>
      </w:r>
      <w:r w:rsidR="00AB3215">
        <w:t xml:space="preserve"> in the DES</w:t>
      </w:r>
      <w:r w:rsidR="00DE1D89">
        <w:t>;</w:t>
      </w:r>
    </w:p>
    <w:p w14:paraId="26B569C0" w14:textId="4968C438" w:rsidR="007905F9" w:rsidRDefault="00CA4D7F" w:rsidP="008F7BDF">
      <w:pPr>
        <w:pStyle w:val="3digitpara"/>
        <w:numPr>
          <w:ilvl w:val="7"/>
          <w:numId w:val="42"/>
        </w:numPr>
      </w:pPr>
      <w:r>
        <w:t>l</w:t>
      </w:r>
      <w:r w:rsidR="00DE1D89">
        <w:t>inks</w:t>
      </w:r>
      <w:r w:rsidR="00AB3215">
        <w:t xml:space="preserve"> to additional resources </w:t>
      </w:r>
      <w:r w:rsidR="007905F9">
        <w:t>available to networks and practices</w:t>
      </w:r>
      <w:r w:rsidR="00BC4503">
        <w:t>;</w:t>
      </w:r>
    </w:p>
    <w:p w14:paraId="71C00555" w14:textId="3B69C808" w:rsidR="00186F35" w:rsidRPr="001A70C0" w:rsidRDefault="00CE115B" w:rsidP="008F7BDF">
      <w:pPr>
        <w:pStyle w:val="3digitpara"/>
        <w:numPr>
          <w:ilvl w:val="7"/>
          <w:numId w:val="42"/>
        </w:numPr>
      </w:pPr>
      <w:r>
        <w:t xml:space="preserve">an annex of SNOMED codes which should be used for recording of relevant activities </w:t>
      </w:r>
      <w:r w:rsidR="00DF21BD">
        <w:t xml:space="preserve"> </w:t>
      </w:r>
    </w:p>
    <w:p w14:paraId="711DFF63" w14:textId="5B7E69D6" w:rsidR="001A70C0" w:rsidRPr="001A70C0" w:rsidRDefault="001A70C0" w:rsidP="00CF77B1">
      <w:pPr>
        <w:pStyle w:val="3digitpara"/>
        <w:numPr>
          <w:ilvl w:val="7"/>
          <w:numId w:val="15"/>
        </w:numPr>
      </w:pPr>
      <w:r>
        <w:t>The part B guidance contains information on non-clinical service delivery matters for example, in relation to contract management and participation in the DES. This separate accompanying guidance can be found</w:t>
      </w:r>
      <w:r w:rsidR="000F644C">
        <w:t xml:space="preserve"> </w:t>
      </w:r>
      <w:hyperlink r:id="rId27" w:history="1">
        <w:r w:rsidR="00E773F0" w:rsidRPr="00E773F0">
          <w:rPr>
            <w:rStyle w:val="Hyperlink"/>
            <w:rFonts w:ascii="Arial" w:hAnsi="Arial"/>
          </w:rPr>
          <w:t>here</w:t>
        </w:r>
      </w:hyperlink>
      <w:r>
        <w:t>.</w:t>
      </w:r>
    </w:p>
    <w:p w14:paraId="3A27B416" w14:textId="704B3D49" w:rsidR="009C2BA6" w:rsidRPr="009C2BA6" w:rsidRDefault="009C2BA6" w:rsidP="009C2BA6">
      <w:pPr>
        <w:pStyle w:val="h2numbered"/>
      </w:pPr>
      <w:bookmarkStart w:id="8" w:name="_Toc36557289"/>
      <w:bookmarkStart w:id="9" w:name="_Toc153872886"/>
      <w:bookmarkStart w:id="10" w:name="_Toc153872930"/>
      <w:bookmarkStart w:id="11" w:name="_Toc153902644"/>
      <w:bookmarkStart w:id="12" w:name="_Toc153990096"/>
      <w:bookmarkStart w:id="13" w:name="_Toc193808064"/>
      <w:r w:rsidRPr="009C2BA6">
        <w:t>Service requirements</w:t>
      </w:r>
      <w:bookmarkEnd w:id="8"/>
      <w:bookmarkEnd w:id="9"/>
      <w:bookmarkEnd w:id="10"/>
      <w:bookmarkEnd w:id="11"/>
      <w:bookmarkEnd w:id="12"/>
      <w:bookmarkEnd w:id="13"/>
    </w:p>
    <w:p w14:paraId="203485FA" w14:textId="4B848B6C" w:rsidR="009C2BA6" w:rsidRPr="00E90296" w:rsidRDefault="009C2BA6" w:rsidP="00E90296">
      <w:pPr>
        <w:pStyle w:val="3digitpara"/>
        <w:numPr>
          <w:ilvl w:val="7"/>
          <w:numId w:val="17"/>
        </w:numPr>
        <w:rPr>
          <w:color w:val="auto"/>
        </w:rPr>
      </w:pPr>
      <w:bookmarkStart w:id="14" w:name="_Toc153872887"/>
      <w:bookmarkStart w:id="15" w:name="_Toc153872931"/>
      <w:bookmarkStart w:id="16" w:name="_Toc153902645"/>
      <w:bookmarkStart w:id="17" w:name="_Toc153990097"/>
      <w:r w:rsidRPr="00E90296">
        <w:rPr>
          <w:color w:val="auto"/>
        </w:rPr>
        <w:t xml:space="preserve">The DES specifies that </w:t>
      </w:r>
      <w:r w:rsidR="00ED1214" w:rsidRPr="00E90296">
        <w:rPr>
          <w:color w:val="auto"/>
        </w:rPr>
        <w:t xml:space="preserve">a </w:t>
      </w:r>
      <w:r w:rsidRPr="00E90296">
        <w:rPr>
          <w:color w:val="auto"/>
        </w:rPr>
        <w:t>PCN must deliver four key functions. Two of those functions relate to how the PCN organises and operates effectively:</w:t>
      </w:r>
      <w:bookmarkEnd w:id="14"/>
      <w:bookmarkEnd w:id="15"/>
      <w:bookmarkEnd w:id="16"/>
      <w:bookmarkEnd w:id="17"/>
    </w:p>
    <w:p w14:paraId="1A0478AD" w14:textId="0C66A0DC" w:rsidR="009C2BA6" w:rsidRPr="00156317" w:rsidRDefault="00512809" w:rsidP="00156317">
      <w:pPr>
        <w:pStyle w:val="Bulletlist"/>
        <w:numPr>
          <w:ilvl w:val="0"/>
          <w:numId w:val="41"/>
        </w:numPr>
        <w:rPr>
          <w:i/>
          <w:iCs/>
          <w:color w:val="auto"/>
        </w:rPr>
      </w:pPr>
      <w:bookmarkStart w:id="18" w:name="_Toc153872888"/>
      <w:bookmarkStart w:id="19" w:name="_Toc153872932"/>
      <w:bookmarkStart w:id="20" w:name="_Toc153902646"/>
      <w:bookmarkStart w:id="21" w:name="_Toc153990098"/>
      <w:r w:rsidRPr="00156317">
        <w:rPr>
          <w:i/>
          <w:iCs/>
          <w:color w:val="auto"/>
        </w:rPr>
        <w:t>“</w:t>
      </w:r>
      <w:r w:rsidR="00B77DF2">
        <w:rPr>
          <w:i/>
          <w:iCs/>
          <w:color w:val="auto"/>
        </w:rPr>
        <w:t>c</w:t>
      </w:r>
      <w:r w:rsidR="009C2BA6" w:rsidRPr="00156317">
        <w:rPr>
          <w:i/>
          <w:iCs/>
          <w:color w:val="auto"/>
        </w:rPr>
        <w:t>o-ordinate, organise and deploy shared resources to support and improve resilience and care delivery at both PCN and practice level</w:t>
      </w:r>
      <w:bookmarkEnd w:id="18"/>
      <w:bookmarkEnd w:id="19"/>
      <w:bookmarkEnd w:id="20"/>
      <w:bookmarkEnd w:id="21"/>
      <w:r w:rsidR="009C2BA6" w:rsidRPr="00156317">
        <w:rPr>
          <w:i/>
          <w:iCs/>
          <w:color w:val="auto"/>
        </w:rPr>
        <w:t>.</w:t>
      </w:r>
    </w:p>
    <w:p w14:paraId="5B2F8FA8" w14:textId="4E621F80" w:rsidR="00B77DF2" w:rsidRDefault="00B77DF2" w:rsidP="00B77DF2">
      <w:pPr>
        <w:pStyle w:val="Bulletlist"/>
        <w:keepNext/>
        <w:numPr>
          <w:ilvl w:val="0"/>
          <w:numId w:val="41"/>
        </w:numPr>
        <w:rPr>
          <w:i/>
          <w:iCs/>
          <w:color w:val="auto"/>
        </w:rPr>
      </w:pPr>
      <w:bookmarkStart w:id="22" w:name="_Toc153872889"/>
      <w:bookmarkStart w:id="23" w:name="_Toc153872933"/>
      <w:bookmarkStart w:id="24" w:name="_Toc153902647"/>
      <w:bookmarkStart w:id="25" w:name="_Toc153990099"/>
      <w:r>
        <w:rPr>
          <w:i/>
          <w:iCs/>
          <w:color w:val="auto"/>
        </w:rPr>
        <w:t>i</w:t>
      </w:r>
      <w:r w:rsidRPr="00156317">
        <w:rPr>
          <w:i/>
          <w:iCs/>
          <w:color w:val="auto"/>
        </w:rPr>
        <w:t>mprove health outcomes for its patients through effective population health management and reducing health inequalities.</w:t>
      </w:r>
    </w:p>
    <w:p w14:paraId="5D567CF9" w14:textId="0ECFE4C3" w:rsidR="00B77DF2" w:rsidRPr="00B77DF2" w:rsidRDefault="00B77DF2" w:rsidP="002D72AA">
      <w:pPr>
        <w:pStyle w:val="Bulletlist"/>
        <w:keepNext/>
        <w:numPr>
          <w:ilvl w:val="0"/>
          <w:numId w:val="41"/>
        </w:numPr>
        <w:rPr>
          <w:i/>
          <w:iCs/>
          <w:color w:val="auto"/>
        </w:rPr>
      </w:pPr>
      <w:r>
        <w:rPr>
          <w:i/>
          <w:iCs/>
          <w:color w:val="auto"/>
        </w:rPr>
        <w:t>t</w:t>
      </w:r>
      <w:r w:rsidRPr="00156317">
        <w:rPr>
          <w:i/>
          <w:iCs/>
          <w:color w:val="auto"/>
        </w:rPr>
        <w:t>arget resource and efforts in the most effective way to meet patient need, which includes delivering proactive care</w:t>
      </w:r>
      <w:r>
        <w:rPr>
          <w:i/>
          <w:iCs/>
          <w:color w:val="auto"/>
        </w:rPr>
        <w:t>; and</w:t>
      </w:r>
    </w:p>
    <w:p w14:paraId="389648CF" w14:textId="255F5A54" w:rsidR="009C2BA6" w:rsidRDefault="00B77DF2" w:rsidP="00156317">
      <w:pPr>
        <w:pStyle w:val="Bulletlist"/>
        <w:numPr>
          <w:ilvl w:val="0"/>
          <w:numId w:val="41"/>
        </w:numPr>
        <w:rPr>
          <w:i/>
          <w:iCs/>
          <w:color w:val="auto"/>
        </w:rPr>
      </w:pPr>
      <w:r>
        <w:rPr>
          <w:i/>
          <w:iCs/>
          <w:color w:val="auto"/>
        </w:rPr>
        <w:t>c</w:t>
      </w:r>
      <w:r w:rsidR="009C2BA6" w:rsidRPr="00156317">
        <w:rPr>
          <w:i/>
          <w:iCs/>
          <w:color w:val="auto"/>
        </w:rPr>
        <w:t>ollaborate with non-GP providers to provide better joined up care, as part of an integrated neighbourhood team</w:t>
      </w:r>
      <w:bookmarkEnd w:id="22"/>
      <w:bookmarkEnd w:id="23"/>
      <w:bookmarkEnd w:id="24"/>
      <w:bookmarkEnd w:id="25"/>
      <w:r w:rsidR="009C2BA6" w:rsidRPr="00156317">
        <w:rPr>
          <w:i/>
          <w:iCs/>
          <w:color w:val="auto"/>
        </w:rPr>
        <w:t>.</w:t>
      </w:r>
      <w:r>
        <w:rPr>
          <w:i/>
          <w:iCs/>
          <w:color w:val="auto"/>
        </w:rPr>
        <w:t>"</w:t>
      </w:r>
    </w:p>
    <w:p w14:paraId="45E4FEA4" w14:textId="77777777" w:rsidR="00B77DF2" w:rsidRPr="00156317" w:rsidRDefault="00B77DF2" w:rsidP="002D72AA">
      <w:pPr>
        <w:pStyle w:val="Bulletlist"/>
        <w:numPr>
          <w:ilvl w:val="0"/>
          <w:numId w:val="0"/>
        </w:numPr>
        <w:ind w:left="927"/>
        <w:rPr>
          <w:i/>
          <w:iCs/>
          <w:color w:val="auto"/>
        </w:rPr>
      </w:pPr>
    </w:p>
    <w:p w14:paraId="71BDA482" w14:textId="7CD8BC56" w:rsidR="009C2BA6" w:rsidRPr="009C2BA6" w:rsidRDefault="009C2BA6" w:rsidP="00CF77B1">
      <w:pPr>
        <w:pStyle w:val="3digitpara"/>
        <w:numPr>
          <w:ilvl w:val="7"/>
          <w:numId w:val="17"/>
        </w:numPr>
      </w:pPr>
      <w:bookmarkStart w:id="26" w:name="_Toc153872893"/>
      <w:bookmarkStart w:id="27" w:name="_Toc153872937"/>
      <w:bookmarkStart w:id="28" w:name="_Toc153902651"/>
      <w:bookmarkStart w:id="29" w:name="_Toc153990103"/>
      <w:r>
        <w:t xml:space="preserve">The rest of this section provides information in support of </w:t>
      </w:r>
      <w:bookmarkEnd w:id="26"/>
      <w:bookmarkEnd w:id="27"/>
      <w:bookmarkEnd w:id="28"/>
      <w:bookmarkEnd w:id="29"/>
      <w:r w:rsidR="00FD1602">
        <w:t xml:space="preserve">best practice delivery of the last two bullets.  It also provides guidance on delivery of the enhanced access service specification. </w:t>
      </w:r>
    </w:p>
    <w:p w14:paraId="135CF728" w14:textId="00821006" w:rsidR="009C2BA6" w:rsidRPr="009C2BA6" w:rsidRDefault="00E90296" w:rsidP="00472CCF">
      <w:pPr>
        <w:pStyle w:val="Heading3"/>
      </w:pPr>
      <w:bookmarkStart w:id="30" w:name="_Toc153872894"/>
      <w:bookmarkStart w:id="31" w:name="_Toc153872938"/>
      <w:bookmarkStart w:id="32" w:name="_Toc153902652"/>
      <w:bookmarkStart w:id="33" w:name="_Toc153990104"/>
      <w:bookmarkStart w:id="34" w:name="_Toc193808065"/>
      <w:r>
        <w:lastRenderedPageBreak/>
        <w:t xml:space="preserve">2.1 </w:t>
      </w:r>
      <w:r w:rsidR="009C2BA6" w:rsidRPr="00472CCF">
        <w:t>Improving</w:t>
      </w:r>
      <w:r w:rsidR="009C2BA6" w:rsidRPr="009C2BA6">
        <w:t xml:space="preserve"> health outcomes and reducing health inequalities</w:t>
      </w:r>
      <w:bookmarkEnd w:id="30"/>
      <w:bookmarkEnd w:id="31"/>
      <w:bookmarkEnd w:id="32"/>
      <w:bookmarkEnd w:id="33"/>
      <w:bookmarkEnd w:id="34"/>
    </w:p>
    <w:p w14:paraId="24871988" w14:textId="2C0F1EB4" w:rsidR="00A41C05" w:rsidRDefault="009C2BA6" w:rsidP="00A41C05">
      <w:pPr>
        <w:pStyle w:val="Heading4"/>
        <w:spacing w:before="240"/>
        <w:rPr>
          <w:rFonts w:hint="eastAsia"/>
        </w:rPr>
      </w:pPr>
      <w:bookmarkStart w:id="35" w:name="_Toc153872895"/>
      <w:bookmarkStart w:id="36" w:name="_Toc153872939"/>
      <w:bookmarkStart w:id="37" w:name="_Toc153902653"/>
      <w:bookmarkStart w:id="38" w:name="_Toc153990105"/>
      <w:bookmarkStart w:id="39" w:name="_Toc193808066"/>
      <w:r w:rsidRPr="009C2BA6">
        <w:t>Population health management</w:t>
      </w:r>
      <w:bookmarkEnd w:id="35"/>
      <w:bookmarkEnd w:id="36"/>
      <w:bookmarkEnd w:id="37"/>
      <w:bookmarkEnd w:id="38"/>
      <w:bookmarkEnd w:id="39"/>
    </w:p>
    <w:p w14:paraId="5640BB89" w14:textId="04483764" w:rsidR="009C2BA6" w:rsidRPr="00512809" w:rsidRDefault="00A41C05" w:rsidP="003211A5">
      <w:pPr>
        <w:ind w:left="1145" w:hanging="720"/>
      </w:pPr>
      <w:r>
        <w:t>2.1.1</w:t>
      </w:r>
      <w:r>
        <w:tab/>
      </w:r>
      <w:r w:rsidRPr="00512809">
        <w:t>The DES specification states that “</w:t>
      </w:r>
      <w:r w:rsidRPr="00512809">
        <w:rPr>
          <w:i/>
          <w:iCs/>
        </w:rPr>
        <w:t xml:space="preserve">a PCN must seek to improve health outcomes for its population using a data-driven approach and population health management techniques in line with </w:t>
      </w:r>
      <w:r w:rsidR="00CC2285">
        <w:rPr>
          <w:i/>
          <w:iCs/>
        </w:rPr>
        <w:t>g</w:t>
      </w:r>
      <w:r w:rsidRPr="00512809">
        <w:rPr>
          <w:i/>
          <w:iCs/>
        </w:rPr>
        <w:t>uidance and the CORE20PLUS5 approach.”</w:t>
      </w:r>
    </w:p>
    <w:p w14:paraId="7504A5E4" w14:textId="0E5A9DF1" w:rsidR="009C2BA6" w:rsidRPr="00F978CF" w:rsidRDefault="00512809" w:rsidP="00C5264A">
      <w:pPr>
        <w:ind w:left="1145" w:hanging="720"/>
      </w:pPr>
      <w:r>
        <w:t>2.1.2</w:t>
      </w:r>
      <w:r>
        <w:tab/>
      </w:r>
      <w:r w:rsidR="009C2BA6" w:rsidRPr="009C2BA6">
        <w:t>To achieve this</w:t>
      </w:r>
      <w:r w:rsidR="00032B52" w:rsidRPr="00032B52">
        <w:t xml:space="preserve"> </w:t>
      </w:r>
      <w:r w:rsidR="00032B52" w:rsidRPr="00AA24AF">
        <w:t>PCNs should consider applying a population health management approach to service delivery. It can be visualised as</w:t>
      </w:r>
      <w:r w:rsidR="00C57A17">
        <w:t xml:space="preserve"> improvement cycle</w:t>
      </w:r>
      <w:hyperlink r:id="rId28" w:history="1">
        <w:r w:rsidR="00756703" w:rsidRPr="00966D6A">
          <w:rPr>
            <w:rStyle w:val="Hyperlink"/>
            <w:u w:val="none"/>
          </w:rPr>
          <w:t xml:space="preserve"> </w:t>
        </w:r>
        <w:r w:rsidR="00756703">
          <w:rPr>
            <w:rStyle w:val="Hyperlink"/>
          </w:rPr>
          <w:t xml:space="preserve">as </w:t>
        </w:r>
        <w:r w:rsidR="00F63BC2">
          <w:rPr>
            <w:rStyle w:val="Hyperlink"/>
          </w:rPr>
          <w:t>shown</w:t>
        </w:r>
        <w:r w:rsidR="00756703">
          <w:rPr>
            <w:rStyle w:val="Hyperlink"/>
          </w:rPr>
          <w:t xml:space="preserve"> on the futures.nhs.uk web page.</w:t>
        </w:r>
      </w:hyperlink>
      <w:r w:rsidR="00C5264A">
        <w:t xml:space="preserve"> </w:t>
      </w:r>
    </w:p>
    <w:p w14:paraId="61549B54" w14:textId="087D2BEA" w:rsidR="009C2BA6" w:rsidRPr="009C2BA6" w:rsidRDefault="009C2BA6" w:rsidP="00F52A2F">
      <w:pPr>
        <w:pStyle w:val="3digitpara"/>
      </w:pPr>
      <w:r w:rsidRPr="009C2BA6">
        <w:t>PCNs are expected to engage</w:t>
      </w:r>
      <w:r w:rsidR="00492A6E">
        <w:t xml:space="preserve"> proactively</w:t>
      </w:r>
      <w:r w:rsidRPr="009C2BA6">
        <w:t xml:space="preserve"> </w:t>
      </w:r>
      <w:r w:rsidR="002B64CE">
        <w:t xml:space="preserve">with </w:t>
      </w:r>
      <w:r w:rsidR="0047012E" w:rsidRPr="009C2BA6">
        <w:t>wider delivery partners</w:t>
      </w:r>
      <w:r w:rsidR="0047012E">
        <w:t xml:space="preserve"> including secondary, community, and mental health services</w:t>
      </w:r>
      <w:r w:rsidR="002B64CE">
        <w:t xml:space="preserve"> partners</w:t>
      </w:r>
      <w:r w:rsidR="00BE37F4">
        <w:t xml:space="preserve"> </w:t>
      </w:r>
      <w:r w:rsidRPr="009C2BA6">
        <w:t xml:space="preserve">and agree formal data sharing arrangements with ICBs to support local integration of data in line with the </w:t>
      </w:r>
      <w:hyperlink r:id="rId29" w:history="1">
        <w:r w:rsidRPr="009C2BA6">
          <w:rPr>
            <w:rStyle w:val="Hyperlink"/>
            <w:rFonts w:ascii="Arial" w:hAnsi="Arial"/>
          </w:rPr>
          <w:t>What Good Looks Like Framework</w:t>
        </w:r>
      </w:hyperlink>
      <w:r w:rsidRPr="009C2BA6">
        <w:t>.</w:t>
      </w:r>
    </w:p>
    <w:p w14:paraId="05D7D71C" w14:textId="13981445" w:rsidR="009C2BA6" w:rsidRDefault="009C2BA6" w:rsidP="00F52A2F">
      <w:pPr>
        <w:pStyle w:val="3digitpara"/>
      </w:pPr>
      <w:r w:rsidRPr="009C2BA6">
        <w:t xml:space="preserve">To </w:t>
      </w:r>
      <w:r w:rsidR="00492A6E">
        <w:t>use</w:t>
      </w:r>
      <w:r w:rsidRPr="009C2BA6">
        <w:t xml:space="preserve"> the data, a range of techniques can be used to understand and assess the needs of different population groups (segmentation, risk prediction, opportunity analysis, gaps in care). These are explained in the NHS England </w:t>
      </w:r>
      <w:hyperlink r:id="rId30" w:history="1">
        <w:r w:rsidRPr="009C2BA6">
          <w:rPr>
            <w:rStyle w:val="Hyperlink"/>
            <w:rFonts w:ascii="Arial" w:hAnsi="Arial"/>
          </w:rPr>
          <w:t>Analytics Playbook</w:t>
        </w:r>
      </w:hyperlink>
      <w:r w:rsidRPr="009C2BA6">
        <w:t xml:space="preserve"> and Imperial College Health Partners </w:t>
      </w:r>
      <w:hyperlink r:id="rId31" w:history="1">
        <w:r w:rsidRPr="009C2BA6">
          <w:rPr>
            <w:rStyle w:val="Hyperlink"/>
            <w:rFonts w:ascii="Arial" w:hAnsi="Arial"/>
          </w:rPr>
          <w:t>How and Why to get started with Population Segmentation Analysis.</w:t>
        </w:r>
      </w:hyperlink>
      <w:r w:rsidRPr="009C2BA6">
        <w:t xml:space="preserve"> PCNs can expect to be supported by </w:t>
      </w:r>
      <w:hyperlink r:id="rId32" w:history="1">
        <w:r w:rsidRPr="00151A2A">
          <w:rPr>
            <w:rStyle w:val="Hyperlink"/>
            <w:rFonts w:ascii="Arial" w:hAnsi="Arial"/>
          </w:rPr>
          <w:t>ICB intelligence functions</w:t>
        </w:r>
      </w:hyperlink>
      <w:r w:rsidRPr="009C2BA6">
        <w:t xml:space="preserve"> in their approach and in using the data.</w:t>
      </w:r>
      <w:r w:rsidR="006641FC">
        <w:t xml:space="preserve"> </w:t>
      </w:r>
      <w:r w:rsidR="0088656B">
        <w:t>E</w:t>
      </w:r>
      <w:r w:rsidR="008B2681">
        <w:t>-learning modules</w:t>
      </w:r>
      <w:r w:rsidR="008B147F">
        <w:t xml:space="preserve"> on</w:t>
      </w:r>
      <w:r w:rsidR="006641FC">
        <w:t xml:space="preserve"> the principles of Population Health Management </w:t>
      </w:r>
      <w:r w:rsidR="0088656B">
        <w:t xml:space="preserve">can be accessed </w:t>
      </w:r>
      <w:r w:rsidR="008758DF">
        <w:t xml:space="preserve">at </w:t>
      </w:r>
      <w:hyperlink r:id="rId33" w:history="1">
        <w:r w:rsidR="008758DF" w:rsidRPr="008758DF">
          <w:rPr>
            <w:rStyle w:val="Hyperlink"/>
            <w:rFonts w:ascii="Arial" w:hAnsi="Arial"/>
          </w:rPr>
          <w:t>the E-Learning for Health Hub.</w:t>
        </w:r>
      </w:hyperlink>
      <w:r w:rsidR="008758DF">
        <w:t xml:space="preserve"> </w:t>
      </w:r>
    </w:p>
    <w:p w14:paraId="1849CE85" w14:textId="33827926" w:rsidR="00406D5C" w:rsidRPr="009C2BA6" w:rsidRDefault="00406D5C" w:rsidP="00F52A2F">
      <w:pPr>
        <w:pStyle w:val="3digitpara"/>
      </w:pPr>
      <w:r>
        <w:t xml:space="preserve">Additional resources include: </w:t>
      </w:r>
    </w:p>
    <w:p w14:paraId="44640EBC" w14:textId="450A6EF3" w:rsidR="009C2BA6" w:rsidRDefault="009C2BA6" w:rsidP="00953C89">
      <w:pPr>
        <w:pStyle w:val="3digitpara"/>
        <w:numPr>
          <w:ilvl w:val="0"/>
          <w:numId w:val="43"/>
        </w:numPr>
      </w:pPr>
      <w:r w:rsidRPr="009C2BA6">
        <w:t xml:space="preserve">The National Association of Primary Care (NAPC) describes a range of methods, including the </w:t>
      </w:r>
      <w:hyperlink r:id="rId34" w:history="1">
        <w:r w:rsidRPr="009C2BA6">
          <w:rPr>
            <w:rStyle w:val="Hyperlink"/>
            <w:rFonts w:ascii="Arial" w:hAnsi="Arial"/>
          </w:rPr>
          <w:t>population cube</w:t>
        </w:r>
      </w:hyperlink>
      <w:r w:rsidRPr="009C2BA6">
        <w:t>. This can provide ways to visualise how PCNs might take a life-course approach to understanding the needs of different population groups.</w:t>
      </w:r>
      <w:r w:rsidR="00E408CB">
        <w:t xml:space="preserve"> </w:t>
      </w:r>
    </w:p>
    <w:p w14:paraId="248B3737" w14:textId="6181B511" w:rsidR="00953C89" w:rsidRPr="009C2BA6" w:rsidRDefault="00953C89" w:rsidP="00953C89">
      <w:pPr>
        <w:pStyle w:val="3digitpara"/>
        <w:numPr>
          <w:ilvl w:val="0"/>
          <w:numId w:val="43"/>
        </w:numPr>
      </w:pPr>
      <w:r>
        <w:t xml:space="preserve">Guidance on </w:t>
      </w:r>
      <w:hyperlink r:id="rId35" w:history="1">
        <w:r w:rsidRPr="00E408CB">
          <w:rPr>
            <w:rStyle w:val="Hyperlink"/>
            <w:rFonts w:ascii="Arial" w:hAnsi="Arial"/>
          </w:rPr>
          <w:t>Logic Models</w:t>
        </w:r>
      </w:hyperlink>
      <w:r>
        <w:t xml:space="preserve"> which may aid PCNs with planning how best to impact on their populations. </w:t>
      </w:r>
    </w:p>
    <w:p w14:paraId="16AAD9B3" w14:textId="46CE9F6A" w:rsidR="00953C89" w:rsidRDefault="00953C89" w:rsidP="008F7BDF">
      <w:pPr>
        <w:pStyle w:val="3digitpara"/>
        <w:numPr>
          <w:ilvl w:val="0"/>
          <w:numId w:val="43"/>
        </w:numPr>
      </w:pPr>
      <w:r>
        <w:t>Additional tools</w:t>
      </w:r>
      <w:r w:rsidRPr="00953C89">
        <w:t xml:space="preserve"> </w:t>
      </w:r>
      <w:r w:rsidRPr="009C2BA6">
        <w:t xml:space="preserve">resources and case studies can be found at </w:t>
      </w:r>
      <w:hyperlink r:id="rId36" w:history="1">
        <w:r w:rsidRPr="009C2BA6">
          <w:rPr>
            <w:rStyle w:val="Hyperlink"/>
            <w:rFonts w:ascii="Arial" w:hAnsi="Arial"/>
          </w:rPr>
          <w:t>Population Health Academy - Integrated Care (future.nhs.uk)</w:t>
        </w:r>
      </w:hyperlink>
      <w:r w:rsidRPr="009C2BA6">
        <w:t>.</w:t>
      </w:r>
    </w:p>
    <w:p w14:paraId="126360A8" w14:textId="18ABAEEF" w:rsidR="009C2BA6" w:rsidRPr="009C2BA6" w:rsidRDefault="009C2BA6" w:rsidP="60140767">
      <w:pPr>
        <w:pStyle w:val="Heading4"/>
        <w:rPr>
          <w:rFonts w:hint="eastAsia"/>
        </w:rPr>
      </w:pPr>
      <w:bookmarkStart w:id="40" w:name="_Toc153872896"/>
      <w:bookmarkStart w:id="41" w:name="_Toc153872940"/>
      <w:bookmarkStart w:id="42" w:name="_Toc153902654"/>
      <w:bookmarkStart w:id="43" w:name="_Toc153990106"/>
      <w:bookmarkStart w:id="44" w:name="_Toc193808067"/>
      <w:r>
        <w:t xml:space="preserve">Health </w:t>
      </w:r>
      <w:r w:rsidR="6EEDA9A6">
        <w:t>i</w:t>
      </w:r>
      <w:r>
        <w:t>nequalities</w:t>
      </w:r>
      <w:bookmarkEnd w:id="40"/>
      <w:bookmarkEnd w:id="41"/>
      <w:bookmarkEnd w:id="42"/>
      <w:bookmarkEnd w:id="43"/>
      <w:bookmarkEnd w:id="44"/>
    </w:p>
    <w:p w14:paraId="097FD4F7" w14:textId="694CB05B" w:rsidR="009C2BA6" w:rsidRPr="009C2BA6" w:rsidRDefault="009C2BA6" w:rsidP="00F52A2F">
      <w:pPr>
        <w:pStyle w:val="3digitpara"/>
      </w:pPr>
      <w:r w:rsidRPr="009C2BA6">
        <w:t xml:space="preserve">The DES </w:t>
      </w:r>
      <w:r w:rsidR="00ED1214">
        <w:t xml:space="preserve">specification </w:t>
      </w:r>
      <w:r w:rsidRPr="009C2BA6">
        <w:t xml:space="preserve">states that a PCN should </w:t>
      </w:r>
      <w:r w:rsidR="00C957FC">
        <w:t>“</w:t>
      </w:r>
      <w:r w:rsidRPr="002D72AA">
        <w:rPr>
          <w:i/>
          <w:iCs/>
        </w:rPr>
        <w:t xml:space="preserve">actively seek to reduce health inequalities across its </w:t>
      </w:r>
      <w:r w:rsidR="00ED1214" w:rsidRPr="002D72AA">
        <w:rPr>
          <w:i/>
          <w:iCs/>
        </w:rPr>
        <w:t>C</w:t>
      </w:r>
      <w:r w:rsidRPr="002D72AA">
        <w:rPr>
          <w:i/>
          <w:iCs/>
        </w:rPr>
        <w:t xml:space="preserve">ore </w:t>
      </w:r>
      <w:r w:rsidR="00ED1214" w:rsidRPr="002D72AA">
        <w:rPr>
          <w:i/>
          <w:iCs/>
        </w:rPr>
        <w:t>N</w:t>
      </w:r>
      <w:r w:rsidRPr="002D72AA">
        <w:rPr>
          <w:i/>
          <w:iCs/>
        </w:rPr>
        <w:t xml:space="preserve">etwork </w:t>
      </w:r>
      <w:r w:rsidR="00ED1214" w:rsidRPr="002D72AA">
        <w:rPr>
          <w:i/>
          <w:iCs/>
        </w:rPr>
        <w:t>P</w:t>
      </w:r>
      <w:r w:rsidRPr="002D72AA">
        <w:rPr>
          <w:i/>
          <w:iCs/>
        </w:rPr>
        <w:t xml:space="preserve">ractices in line with guidance and the CORE20PLUS5 </w:t>
      </w:r>
      <w:r w:rsidR="00CC115C" w:rsidRPr="002D72AA">
        <w:rPr>
          <w:i/>
          <w:iCs/>
        </w:rPr>
        <w:t>approach</w:t>
      </w:r>
      <w:r w:rsidRPr="009C2BA6">
        <w:t>.</w:t>
      </w:r>
      <w:r w:rsidR="00C957FC">
        <w:t>”</w:t>
      </w:r>
    </w:p>
    <w:p w14:paraId="60579918" w14:textId="61128423" w:rsidR="009C2BA6" w:rsidRPr="009C2BA6" w:rsidRDefault="009C2BA6" w:rsidP="00696350">
      <w:pPr>
        <w:pStyle w:val="3digitpara"/>
      </w:pPr>
      <w:r>
        <w:lastRenderedPageBreak/>
        <w:t>To achieve this</w:t>
      </w:r>
      <w:r w:rsidR="00872D50">
        <w:t xml:space="preserve"> a</w:t>
      </w:r>
      <w:r>
        <w:t xml:space="preserve"> PCN should work in partnership within local communities to address health inequalities that are amenable to primary care intervention</w:t>
      </w:r>
      <w:r w:rsidR="008A4FAE">
        <w:t>s</w:t>
      </w:r>
      <w:r>
        <w:t xml:space="preserve">. The </w:t>
      </w:r>
      <w:hyperlink r:id="rId37">
        <w:r w:rsidR="00841A86" w:rsidRPr="0039089C">
          <w:rPr>
            <w:rStyle w:val="Hyperlink"/>
            <w:rFonts w:ascii="Arial" w:hAnsi="Arial"/>
          </w:rPr>
          <w:t>CORE20PLUS5 approach</w:t>
        </w:r>
      </w:hyperlink>
      <w:r w:rsidR="00841A86">
        <w:t xml:space="preserve"> </w:t>
      </w:r>
      <w:r>
        <w:t>provides a helpful focal point for galvanising action and guiding targeting and outreach</w:t>
      </w:r>
      <w:r w:rsidR="00B67535">
        <w:t xml:space="preserve"> regarding conditions which dispr</w:t>
      </w:r>
      <w:r w:rsidR="004265DF">
        <w:t>oportionately affect people from areas of greater deprivation</w:t>
      </w:r>
      <w:r>
        <w:t>.</w:t>
      </w:r>
      <w:r w:rsidR="00A579B1">
        <w:t xml:space="preserve"> There is also a CORE20PLUS5 approach for the issues affecting </w:t>
      </w:r>
      <w:hyperlink r:id="rId38" w:history="1">
        <w:r w:rsidR="00A579B1" w:rsidRPr="0039089C">
          <w:rPr>
            <w:rStyle w:val="Hyperlink"/>
            <w:rFonts w:ascii="Arial" w:hAnsi="Arial"/>
          </w:rPr>
          <w:t>children and young people.</w:t>
        </w:r>
      </w:hyperlink>
      <w:r w:rsidR="00A579B1">
        <w:t xml:space="preserve"> </w:t>
      </w:r>
    </w:p>
    <w:p w14:paraId="1B99157F" w14:textId="3445D601" w:rsidR="009C2BA6" w:rsidRPr="009C2BA6" w:rsidRDefault="009C2BA6">
      <w:pPr>
        <w:pStyle w:val="3digitpara"/>
      </w:pPr>
      <w:r w:rsidRPr="0039089C">
        <w:rPr>
          <w:rStyle w:val="3digitparaChar"/>
        </w:rPr>
        <w:t xml:space="preserve">Two of the </w:t>
      </w:r>
      <w:r w:rsidR="00D56129" w:rsidRPr="0039089C">
        <w:rPr>
          <w:rStyle w:val="3digitparaChar"/>
        </w:rPr>
        <w:t xml:space="preserve">five clinical </w:t>
      </w:r>
      <w:r w:rsidR="00026D88" w:rsidRPr="0039089C">
        <w:rPr>
          <w:rStyle w:val="3digitparaChar"/>
        </w:rPr>
        <w:t>areas</w:t>
      </w:r>
      <w:r w:rsidR="00D56129" w:rsidRPr="0039089C">
        <w:rPr>
          <w:rStyle w:val="3digitparaChar"/>
        </w:rPr>
        <w:t xml:space="preserve"> set out in the </w:t>
      </w:r>
      <w:r w:rsidRPr="0039089C">
        <w:rPr>
          <w:rStyle w:val="3digitparaChar"/>
        </w:rPr>
        <w:t xml:space="preserve">of CORE20PLUS5 </w:t>
      </w:r>
      <w:r w:rsidR="00D56129" w:rsidRPr="0039089C">
        <w:rPr>
          <w:rStyle w:val="3digitparaChar"/>
        </w:rPr>
        <w:t xml:space="preserve">approach for adults </w:t>
      </w:r>
      <w:r w:rsidRPr="0039089C">
        <w:rPr>
          <w:rStyle w:val="3digitparaChar"/>
        </w:rPr>
        <w:t xml:space="preserve">focus on improving </w:t>
      </w:r>
      <w:r w:rsidR="00020837" w:rsidRPr="0039089C">
        <w:rPr>
          <w:rStyle w:val="3digitparaChar"/>
        </w:rPr>
        <w:t>c</w:t>
      </w:r>
      <w:r w:rsidRPr="0039089C">
        <w:rPr>
          <w:rStyle w:val="3digitparaChar"/>
        </w:rPr>
        <w:t xml:space="preserve">ardiovascular </w:t>
      </w:r>
      <w:r w:rsidR="00020837" w:rsidRPr="0039089C">
        <w:rPr>
          <w:rStyle w:val="3digitparaChar"/>
        </w:rPr>
        <w:t>d</w:t>
      </w:r>
      <w:r w:rsidRPr="0039089C">
        <w:rPr>
          <w:rStyle w:val="3digitparaChar"/>
        </w:rPr>
        <w:t>isease</w:t>
      </w:r>
      <w:r w:rsidR="00020837" w:rsidRPr="0039089C">
        <w:rPr>
          <w:rStyle w:val="3digitparaChar"/>
        </w:rPr>
        <w:t xml:space="preserve"> (CVD)</w:t>
      </w:r>
      <w:r>
        <w:t xml:space="preserve"> </w:t>
      </w:r>
      <w:r w:rsidR="00020837">
        <w:t>p</w:t>
      </w:r>
      <w:r>
        <w:t xml:space="preserve">revention and </w:t>
      </w:r>
      <w:r w:rsidR="00020837">
        <w:t>d</w:t>
      </w:r>
      <w:r>
        <w:t xml:space="preserve">iagnosis, and </w:t>
      </w:r>
      <w:r w:rsidR="00020837">
        <w:t>e</w:t>
      </w:r>
      <w:r>
        <w:t xml:space="preserve">arly </w:t>
      </w:r>
      <w:r w:rsidR="00020837">
        <w:t>c</w:t>
      </w:r>
      <w:r>
        <w:t xml:space="preserve">ancer </w:t>
      </w:r>
      <w:r w:rsidR="00E33DE0">
        <w:t>diagnosis.</w:t>
      </w:r>
      <w:r w:rsidR="00E33DE0" w:rsidRPr="0039089C">
        <w:rPr>
          <w:rStyle w:val="3digitparaChar"/>
        </w:rPr>
        <w:t xml:space="preserve"> These</w:t>
      </w:r>
      <w:r w:rsidR="21BED139" w:rsidRPr="0039089C">
        <w:rPr>
          <w:rStyle w:val="3digitparaChar"/>
        </w:rPr>
        <w:t xml:space="preserve"> are covered in more detail in the following section. </w:t>
      </w:r>
    </w:p>
    <w:p w14:paraId="5ADA7291" w14:textId="34859C2D" w:rsidR="009C2BA6" w:rsidRPr="009C2BA6" w:rsidRDefault="00020837" w:rsidP="00BC4C90">
      <w:pPr>
        <w:pStyle w:val="Heading4"/>
        <w:rPr>
          <w:rFonts w:hint="eastAsia"/>
        </w:rPr>
      </w:pPr>
      <w:bookmarkStart w:id="45" w:name="_Toc153872897"/>
      <w:bookmarkStart w:id="46" w:name="_Toc153872941"/>
      <w:bookmarkStart w:id="47" w:name="_Toc153902655"/>
      <w:bookmarkStart w:id="48" w:name="_Toc153990107"/>
      <w:bookmarkStart w:id="49" w:name="_Toc193808068"/>
      <w:r>
        <w:t>CVD</w:t>
      </w:r>
      <w:r w:rsidR="009C2BA6" w:rsidRPr="009C2BA6">
        <w:t xml:space="preserve"> </w:t>
      </w:r>
      <w:r>
        <w:t>p</w:t>
      </w:r>
      <w:r w:rsidR="009C2BA6" w:rsidRPr="009C2BA6">
        <w:t xml:space="preserve">revention and </w:t>
      </w:r>
      <w:r>
        <w:t>d</w:t>
      </w:r>
      <w:r w:rsidR="009C2BA6" w:rsidRPr="009C2BA6">
        <w:t>iagnosis</w:t>
      </w:r>
      <w:bookmarkEnd w:id="45"/>
      <w:bookmarkEnd w:id="46"/>
      <w:bookmarkEnd w:id="47"/>
      <w:bookmarkEnd w:id="48"/>
      <w:bookmarkEnd w:id="49"/>
    </w:p>
    <w:p w14:paraId="0969FED1" w14:textId="03BCE46F" w:rsidR="009C2BA6" w:rsidRPr="009C2BA6" w:rsidRDefault="009C2BA6">
      <w:pPr>
        <w:pStyle w:val="3digitpara"/>
      </w:pPr>
      <w:r>
        <w:t xml:space="preserve">The DES </w:t>
      </w:r>
      <w:r w:rsidR="00ED1214">
        <w:t xml:space="preserve">specification </w:t>
      </w:r>
      <w:r w:rsidR="493927CC">
        <w:t>states</w:t>
      </w:r>
      <w:r w:rsidR="00335E1A">
        <w:t xml:space="preserve"> that </w:t>
      </w:r>
      <w:r w:rsidR="00CC2285">
        <w:t xml:space="preserve">a </w:t>
      </w:r>
      <w:r w:rsidR="00335E1A">
        <w:t>PCN</w:t>
      </w:r>
      <w:r w:rsidR="00CC2285">
        <w:t>'</w:t>
      </w:r>
      <w:r w:rsidR="00335E1A">
        <w:t xml:space="preserve">s </w:t>
      </w:r>
      <w:r w:rsidR="00CC2285">
        <w:t>approach must include:</w:t>
      </w:r>
      <w:r>
        <w:t xml:space="preserve"> </w:t>
      </w:r>
      <w:r w:rsidR="008C02B9">
        <w:t>“</w:t>
      </w:r>
      <w:r w:rsidRPr="009D02E0">
        <w:rPr>
          <w:i/>
          <w:iCs/>
        </w:rPr>
        <w:t xml:space="preserve">working with partners, including community pharmacy, </w:t>
      </w:r>
      <w:r w:rsidR="00CC2285">
        <w:rPr>
          <w:i/>
          <w:iCs/>
        </w:rPr>
        <w:t xml:space="preserve">to </w:t>
      </w:r>
      <w:r w:rsidRPr="009D02E0">
        <w:rPr>
          <w:i/>
          <w:iCs/>
        </w:rPr>
        <w:t>proactively identify and manage CVD risk</w:t>
      </w:r>
      <w:r w:rsidR="00CC2285">
        <w:rPr>
          <w:i/>
          <w:iCs/>
        </w:rPr>
        <w:t xml:space="preserve"> </w:t>
      </w:r>
      <w:r w:rsidRPr="009D02E0">
        <w:rPr>
          <w:i/>
          <w:iCs/>
        </w:rPr>
        <w:t>hypertension and raised lipids in line with national</w:t>
      </w:r>
      <w:r w:rsidR="00CC2285">
        <w:rPr>
          <w:i/>
          <w:iCs/>
        </w:rPr>
        <w:t>ly agreed</w:t>
      </w:r>
      <w:r w:rsidRPr="009D02E0">
        <w:rPr>
          <w:i/>
          <w:iCs/>
        </w:rPr>
        <w:t xml:space="preserve"> guidance and pathways.</w:t>
      </w:r>
      <w:r w:rsidR="008C02B9" w:rsidRPr="009D02E0">
        <w:rPr>
          <w:i/>
          <w:iCs/>
        </w:rPr>
        <w:t>”</w:t>
      </w:r>
    </w:p>
    <w:p w14:paraId="024791F2" w14:textId="282FF6E3" w:rsidR="009C2BA6" w:rsidRPr="009C2BA6" w:rsidRDefault="00B02725" w:rsidP="00696350">
      <w:pPr>
        <w:pStyle w:val="3digitpara"/>
        <w:keepNext/>
      </w:pPr>
      <w:r>
        <w:t xml:space="preserve">To achieve this, there </w:t>
      </w:r>
      <w:r w:rsidR="009C2BA6">
        <w:t>are practical actions and steps that PCNs can take:</w:t>
      </w:r>
    </w:p>
    <w:tbl>
      <w:tblPr>
        <w:tblStyle w:val="TableGrid"/>
        <w:tblW w:w="9776" w:type="dxa"/>
        <w:tblCellMar>
          <w:top w:w="113" w:type="dxa"/>
        </w:tblCellMar>
        <w:tblLook w:val="04A0" w:firstRow="1" w:lastRow="0" w:firstColumn="1" w:lastColumn="0" w:noHBand="0" w:noVBand="1"/>
      </w:tblPr>
      <w:tblGrid>
        <w:gridCol w:w="2263"/>
        <w:gridCol w:w="7513"/>
      </w:tblGrid>
      <w:tr w:rsidR="009C2BA6" w:rsidRPr="009C2BA6" w14:paraId="676B94ED" w14:textId="77777777" w:rsidTr="0039089C">
        <w:trPr>
          <w:cantSplit/>
          <w:tblHeader/>
        </w:trPr>
        <w:tc>
          <w:tcPr>
            <w:tcW w:w="2263" w:type="dxa"/>
          </w:tcPr>
          <w:p w14:paraId="0EB690D6" w14:textId="77777777" w:rsidR="009C2BA6" w:rsidRPr="009C2BA6" w:rsidRDefault="009C2BA6" w:rsidP="009D627C">
            <w:pPr>
              <w:spacing w:line="276" w:lineRule="auto"/>
              <w:rPr>
                <w:b/>
                <w:bCs/>
                <w:sz w:val="22"/>
                <w:szCs w:val="22"/>
              </w:rPr>
            </w:pPr>
            <w:r w:rsidRPr="009C2BA6">
              <w:rPr>
                <w:b/>
                <w:bCs/>
                <w:sz w:val="22"/>
                <w:szCs w:val="22"/>
              </w:rPr>
              <w:t>Outcome</w:t>
            </w:r>
          </w:p>
        </w:tc>
        <w:tc>
          <w:tcPr>
            <w:tcW w:w="7513" w:type="dxa"/>
          </w:tcPr>
          <w:p w14:paraId="0CDF23C3" w14:textId="77777777" w:rsidR="009C2BA6" w:rsidRPr="009C2BA6" w:rsidRDefault="009C2BA6" w:rsidP="009D627C">
            <w:pPr>
              <w:spacing w:line="276" w:lineRule="auto"/>
              <w:rPr>
                <w:b/>
                <w:bCs/>
                <w:sz w:val="22"/>
                <w:szCs w:val="22"/>
              </w:rPr>
            </w:pPr>
            <w:r w:rsidRPr="009C2BA6">
              <w:rPr>
                <w:b/>
                <w:bCs/>
                <w:sz w:val="22"/>
                <w:szCs w:val="22"/>
              </w:rPr>
              <w:t>A PCN should:</w:t>
            </w:r>
          </w:p>
        </w:tc>
      </w:tr>
      <w:tr w:rsidR="009C2BA6" w:rsidRPr="009C2BA6" w14:paraId="4F8CAD80" w14:textId="77777777" w:rsidTr="0039089C">
        <w:trPr>
          <w:cantSplit/>
        </w:trPr>
        <w:tc>
          <w:tcPr>
            <w:tcW w:w="2263" w:type="dxa"/>
          </w:tcPr>
          <w:p w14:paraId="253D44EE" w14:textId="531F308A" w:rsidR="009C2BA6" w:rsidRPr="009C2BA6" w:rsidRDefault="009C2BA6" w:rsidP="009D627C">
            <w:pPr>
              <w:spacing w:line="276" w:lineRule="auto"/>
              <w:rPr>
                <w:sz w:val="22"/>
                <w:szCs w:val="22"/>
              </w:rPr>
            </w:pPr>
            <w:r w:rsidRPr="009C2BA6">
              <w:rPr>
                <w:sz w:val="22"/>
                <w:szCs w:val="22"/>
              </w:rPr>
              <w:t>Improve detection and management of CVD risk factors.</w:t>
            </w:r>
          </w:p>
        </w:tc>
        <w:tc>
          <w:tcPr>
            <w:tcW w:w="7513" w:type="dxa"/>
          </w:tcPr>
          <w:p w14:paraId="3A8A2977" w14:textId="4ED5212E" w:rsidR="009C2BA6" w:rsidRPr="00EB2EEC" w:rsidRDefault="00020837" w:rsidP="009D627C">
            <w:pPr>
              <w:pStyle w:val="Bulletlist"/>
              <w:spacing w:after="80" w:line="276" w:lineRule="auto"/>
              <w:ind w:left="295" w:hanging="295"/>
              <w:contextualSpacing w:val="0"/>
              <w:rPr>
                <w:color w:val="auto"/>
                <w:sz w:val="22"/>
              </w:rPr>
            </w:pPr>
            <w:r w:rsidRPr="00EB2EEC">
              <w:rPr>
                <w:color w:val="auto"/>
                <w:sz w:val="22"/>
              </w:rPr>
              <w:t>r</w:t>
            </w:r>
            <w:r w:rsidR="009C2BA6" w:rsidRPr="00EB2EEC">
              <w:rPr>
                <w:color w:val="auto"/>
                <w:sz w:val="22"/>
              </w:rPr>
              <w:t xml:space="preserve">eview outputs from CVD intelligence tools (including </w:t>
            </w:r>
            <w:hyperlink r:id="rId39" w:history="1">
              <w:r w:rsidR="009C2BA6" w:rsidRPr="00EB2EEC">
                <w:rPr>
                  <w:rStyle w:val="Hyperlink"/>
                  <w:rFonts w:ascii="Arial" w:hAnsi="Arial"/>
                  <w:color w:val="auto"/>
                  <w:sz w:val="22"/>
                  <w:lang w:eastAsia="en-US"/>
                </w:rPr>
                <w:t>CVDPREVENT</w:t>
              </w:r>
            </w:hyperlink>
            <w:r w:rsidR="007B234A" w:rsidRPr="00EB2EEC">
              <w:rPr>
                <w:color w:val="auto"/>
                <w:sz w:val="22"/>
              </w:rPr>
              <w:t xml:space="preserve">) </w:t>
            </w:r>
            <w:r w:rsidR="009C2BA6" w:rsidRPr="00EB2EEC">
              <w:rPr>
                <w:color w:val="auto"/>
                <w:sz w:val="22"/>
              </w:rPr>
              <w:t>and local population health datasets and share key learning amongst PCN staff</w:t>
            </w:r>
            <w:r w:rsidR="00ED1214" w:rsidRPr="00EB2EEC">
              <w:rPr>
                <w:color w:val="auto"/>
                <w:sz w:val="22"/>
              </w:rPr>
              <w:t>;</w:t>
            </w:r>
          </w:p>
          <w:p w14:paraId="61658D40" w14:textId="0BE38B49" w:rsidR="009C2BA6" w:rsidRPr="00EB2EEC" w:rsidRDefault="00020837" w:rsidP="009D627C">
            <w:pPr>
              <w:pStyle w:val="Bulletlist"/>
              <w:spacing w:after="80" w:line="276" w:lineRule="auto"/>
              <w:ind w:left="295" w:hanging="295"/>
              <w:contextualSpacing w:val="0"/>
              <w:rPr>
                <w:color w:val="auto"/>
                <w:sz w:val="22"/>
              </w:rPr>
            </w:pPr>
            <w:r w:rsidRPr="00EB2EEC">
              <w:rPr>
                <w:color w:val="auto"/>
                <w:sz w:val="22"/>
              </w:rPr>
              <w:t>s</w:t>
            </w:r>
            <w:r w:rsidR="009C2BA6" w:rsidRPr="00EB2EEC">
              <w:rPr>
                <w:color w:val="auto"/>
                <w:sz w:val="22"/>
              </w:rPr>
              <w:t>upport the development of system pathways for people at risk of CVD through liaison with wider system partners</w:t>
            </w:r>
            <w:r w:rsidR="00EA4EF9" w:rsidRPr="00EB2EEC">
              <w:rPr>
                <w:color w:val="auto"/>
                <w:sz w:val="22"/>
              </w:rPr>
              <w:t>;</w:t>
            </w:r>
          </w:p>
          <w:p w14:paraId="0FE8B3FC" w14:textId="0F8987D2" w:rsidR="009C2BA6" w:rsidRPr="00EB2EEC" w:rsidRDefault="00020837" w:rsidP="009D627C">
            <w:pPr>
              <w:pStyle w:val="Bulletlist"/>
              <w:spacing w:after="80" w:line="276" w:lineRule="auto"/>
              <w:ind w:left="295" w:hanging="295"/>
              <w:contextualSpacing w:val="0"/>
              <w:rPr>
                <w:color w:val="auto"/>
                <w:sz w:val="22"/>
              </w:rPr>
            </w:pPr>
            <w:r w:rsidRPr="00EB2EEC">
              <w:rPr>
                <w:color w:val="auto"/>
                <w:sz w:val="22"/>
              </w:rPr>
              <w:t>c</w:t>
            </w:r>
            <w:r w:rsidR="009C2BA6" w:rsidRPr="00EB2EEC">
              <w:rPr>
                <w:color w:val="auto"/>
                <w:sz w:val="22"/>
              </w:rPr>
              <w:t>ollaborate with commissioners to improve levels of diagnostic capacity for</w:t>
            </w:r>
            <w:r w:rsidR="00AE2BD6" w:rsidRPr="00EB2EEC">
              <w:rPr>
                <w:color w:val="auto"/>
                <w:sz w:val="22"/>
              </w:rPr>
              <w:t xml:space="preserve"> </w:t>
            </w:r>
            <w:r w:rsidR="00AE2BD6" w:rsidRPr="00EB2EEC">
              <w:rPr>
                <w:b/>
                <w:bCs/>
                <w:color w:val="auto"/>
                <w:sz w:val="22"/>
              </w:rPr>
              <w:t>A</w:t>
            </w:r>
            <w:r w:rsidR="00AE2BD6" w:rsidRPr="00EB2EEC">
              <w:rPr>
                <w:color w:val="auto"/>
                <w:sz w:val="22"/>
              </w:rPr>
              <w:t xml:space="preserve">trial </w:t>
            </w:r>
            <w:r w:rsidR="00EA4EF9" w:rsidRPr="00EB2EEC">
              <w:rPr>
                <w:color w:val="auto"/>
                <w:sz w:val="22"/>
              </w:rPr>
              <w:t xml:space="preserve">fibrillation, </w:t>
            </w:r>
            <w:r w:rsidR="00EA4EF9" w:rsidRPr="00EB2EEC">
              <w:rPr>
                <w:b/>
                <w:bCs/>
                <w:color w:val="auto"/>
                <w:sz w:val="22"/>
              </w:rPr>
              <w:t>B</w:t>
            </w:r>
            <w:r w:rsidR="00EA4EF9" w:rsidRPr="00EB2EEC">
              <w:rPr>
                <w:color w:val="auto"/>
                <w:sz w:val="22"/>
              </w:rPr>
              <w:t xml:space="preserve">lood Pressure and </w:t>
            </w:r>
            <w:r w:rsidR="00EA4EF9" w:rsidRPr="00EB2EEC">
              <w:rPr>
                <w:b/>
                <w:bCs/>
                <w:color w:val="auto"/>
                <w:sz w:val="22"/>
              </w:rPr>
              <w:t>C</w:t>
            </w:r>
            <w:r w:rsidR="00EA4EF9" w:rsidRPr="00EB2EEC">
              <w:rPr>
                <w:color w:val="auto"/>
                <w:sz w:val="22"/>
              </w:rPr>
              <w:t>holesterol (know</w:t>
            </w:r>
            <w:r w:rsidR="00A30220">
              <w:rPr>
                <w:color w:val="auto"/>
                <w:sz w:val="22"/>
              </w:rPr>
              <w:t>n</w:t>
            </w:r>
            <w:r w:rsidR="00EA4EF9" w:rsidRPr="00EB2EEC">
              <w:rPr>
                <w:color w:val="auto"/>
                <w:sz w:val="22"/>
              </w:rPr>
              <w:t xml:space="preserve"> as </w:t>
            </w:r>
            <w:r w:rsidR="001A62F6" w:rsidRPr="00EB2EEC">
              <w:rPr>
                <w:color w:val="auto"/>
                <w:sz w:val="22"/>
              </w:rPr>
              <w:t xml:space="preserve">the </w:t>
            </w:r>
            <w:r w:rsidR="009C2BA6" w:rsidRPr="00EB2EEC">
              <w:rPr>
                <w:color w:val="auto"/>
                <w:sz w:val="22"/>
              </w:rPr>
              <w:t>‘ABC</w:t>
            </w:r>
            <w:r w:rsidR="0061329B" w:rsidRPr="00EB2EEC">
              <w:rPr>
                <w:color w:val="auto"/>
                <w:sz w:val="22"/>
              </w:rPr>
              <w:t>’</w:t>
            </w:r>
            <w:r w:rsidR="001A62F6" w:rsidRPr="00EB2EEC">
              <w:rPr>
                <w:color w:val="auto"/>
                <w:sz w:val="22"/>
              </w:rPr>
              <w:t xml:space="preserve"> o</w:t>
            </w:r>
            <w:r w:rsidR="003F642A" w:rsidRPr="00EB2EEC">
              <w:rPr>
                <w:color w:val="auto"/>
                <w:sz w:val="22"/>
              </w:rPr>
              <w:t>f CVD risk</w:t>
            </w:r>
            <w:r w:rsidR="0061329B" w:rsidRPr="00EB2EEC">
              <w:rPr>
                <w:color w:val="auto"/>
                <w:sz w:val="22"/>
              </w:rPr>
              <w:t>)</w:t>
            </w:r>
            <w:r w:rsidR="00B855A0">
              <w:rPr>
                <w:color w:val="auto"/>
                <w:sz w:val="22"/>
              </w:rPr>
              <w:t xml:space="preserve"> </w:t>
            </w:r>
            <w:r w:rsidR="009C2BA6" w:rsidRPr="00EB2EEC">
              <w:rPr>
                <w:color w:val="auto"/>
                <w:sz w:val="22"/>
              </w:rPr>
              <w:t>testing, including availability of ambulatory blood pressure monitors (ABPMs) and electrocardiogram (ECG) monitors</w:t>
            </w:r>
            <w:r w:rsidR="00966D6A">
              <w:rPr>
                <w:color w:val="auto"/>
                <w:sz w:val="22"/>
              </w:rPr>
              <w:t>;</w:t>
            </w:r>
          </w:p>
          <w:p w14:paraId="6D4D74F4" w14:textId="0CB50CAA" w:rsidR="009C2BA6" w:rsidRPr="00EB2EEC" w:rsidRDefault="009C2BA6" w:rsidP="009D627C">
            <w:pPr>
              <w:pStyle w:val="Bulletlist"/>
              <w:spacing w:after="80" w:line="276" w:lineRule="auto"/>
              <w:ind w:left="295" w:hanging="295"/>
              <w:contextualSpacing w:val="0"/>
              <w:rPr>
                <w:color w:val="auto"/>
                <w:sz w:val="22"/>
              </w:rPr>
            </w:pPr>
            <w:r w:rsidRPr="00EB2EEC">
              <w:rPr>
                <w:color w:val="auto"/>
                <w:sz w:val="22"/>
              </w:rPr>
              <w:t xml:space="preserve">ensure processes are in place to support the exchange of information with community pharmacies, including a process for accepting and documenting referrals between community pharmacies and GP practices for the </w:t>
            </w:r>
            <w:hyperlink r:id="rId40" w:history="1">
              <w:r w:rsidRPr="00B90CA6">
                <w:rPr>
                  <w:rStyle w:val="Hyperlink"/>
                  <w:rFonts w:ascii="Arial" w:hAnsi="Arial"/>
                  <w:sz w:val="22"/>
                  <w:lang w:eastAsia="en-US"/>
                </w:rPr>
                <w:t>Community Pharmacy Blood Pressure Check Service</w:t>
              </w:r>
            </w:hyperlink>
            <w:r w:rsidR="00020837" w:rsidRPr="00EB2EEC">
              <w:rPr>
                <w:color w:val="auto"/>
                <w:sz w:val="22"/>
              </w:rPr>
              <w:t>.</w:t>
            </w:r>
          </w:p>
        </w:tc>
      </w:tr>
      <w:tr w:rsidR="009C2BA6" w:rsidRPr="009C2BA6" w14:paraId="71FFE88E" w14:textId="77777777" w:rsidTr="0039089C">
        <w:trPr>
          <w:cantSplit/>
        </w:trPr>
        <w:tc>
          <w:tcPr>
            <w:tcW w:w="2263" w:type="dxa"/>
          </w:tcPr>
          <w:p w14:paraId="62E8E0E3" w14:textId="77777777" w:rsidR="009C2BA6" w:rsidRPr="009C2BA6" w:rsidRDefault="009C2BA6" w:rsidP="009D627C">
            <w:pPr>
              <w:spacing w:line="276" w:lineRule="auto"/>
              <w:rPr>
                <w:bCs/>
                <w:sz w:val="22"/>
                <w:szCs w:val="22"/>
              </w:rPr>
            </w:pPr>
            <w:bookmarkStart w:id="50" w:name="_Toc153902656"/>
            <w:bookmarkStart w:id="51" w:name="_Toc153990108"/>
            <w:r w:rsidRPr="009C2BA6">
              <w:rPr>
                <w:bCs/>
                <w:sz w:val="22"/>
                <w:szCs w:val="22"/>
              </w:rPr>
              <w:lastRenderedPageBreak/>
              <w:t>Improve the detection of hypertension</w:t>
            </w:r>
            <w:bookmarkEnd w:id="50"/>
            <w:bookmarkEnd w:id="51"/>
          </w:p>
        </w:tc>
        <w:tc>
          <w:tcPr>
            <w:tcW w:w="7513" w:type="dxa"/>
          </w:tcPr>
          <w:p w14:paraId="2A4D39D7" w14:textId="2A9B4E42" w:rsidR="009C2BA6" w:rsidRPr="00EB2EEC" w:rsidRDefault="153CB00F" w:rsidP="00696350">
            <w:pPr>
              <w:pStyle w:val="Bulletlist"/>
              <w:spacing w:after="80" w:line="276" w:lineRule="auto"/>
              <w:ind w:left="295" w:hanging="295"/>
              <w:rPr>
                <w:color w:val="auto"/>
                <w:sz w:val="22"/>
              </w:rPr>
            </w:pPr>
            <w:r w:rsidRPr="00EB2EEC">
              <w:rPr>
                <w:color w:val="auto"/>
                <w:sz w:val="22"/>
              </w:rPr>
              <w:t>o</w:t>
            </w:r>
            <w:r w:rsidR="009C2BA6" w:rsidRPr="00EB2EEC">
              <w:rPr>
                <w:color w:val="auto"/>
                <w:sz w:val="22"/>
              </w:rPr>
              <w:t>ffer appropriate follow</w:t>
            </w:r>
            <w:r w:rsidRPr="00EB2EEC">
              <w:rPr>
                <w:color w:val="auto"/>
                <w:sz w:val="22"/>
              </w:rPr>
              <w:t>-</w:t>
            </w:r>
            <w:r w:rsidR="009C2BA6" w:rsidRPr="00EB2EEC">
              <w:rPr>
                <w:color w:val="auto"/>
                <w:sz w:val="22"/>
              </w:rPr>
              <w:t>ups</w:t>
            </w:r>
            <w:r w:rsidR="7E82F13D" w:rsidRPr="00EB2EEC">
              <w:rPr>
                <w:color w:val="auto"/>
                <w:sz w:val="22"/>
              </w:rPr>
              <w:t>,</w:t>
            </w:r>
            <w:r w:rsidR="009C2BA6" w:rsidRPr="00EB2EEC">
              <w:rPr>
                <w:color w:val="auto"/>
                <w:sz w:val="22"/>
              </w:rPr>
              <w:t xml:space="preserve"> including</w:t>
            </w:r>
            <w:r w:rsidR="7E82F13D" w:rsidRPr="00EB2EEC">
              <w:rPr>
                <w:color w:val="auto"/>
                <w:sz w:val="22"/>
              </w:rPr>
              <w:t xml:space="preserve"> </w:t>
            </w:r>
            <w:r w:rsidR="009C2BA6" w:rsidRPr="00EB2EEC">
              <w:rPr>
                <w:color w:val="auto"/>
                <w:sz w:val="22"/>
              </w:rPr>
              <w:t xml:space="preserve">following </w:t>
            </w:r>
            <w:hyperlink r:id="rId41">
              <w:r w:rsidR="009C2BA6" w:rsidRPr="00EB2EEC">
                <w:rPr>
                  <w:rStyle w:val="Hyperlink"/>
                  <w:rFonts w:ascii="Arial" w:hAnsi="Arial"/>
                  <w:color w:val="auto"/>
                  <w:sz w:val="22"/>
                </w:rPr>
                <w:t>NICE guidance NG136</w:t>
              </w:r>
            </w:hyperlink>
            <w:r w:rsidR="0051597A" w:rsidRPr="00EB2EEC">
              <w:rPr>
                <w:rStyle w:val="Hyperlink"/>
                <w:rFonts w:ascii="Arial" w:hAnsi="Arial"/>
                <w:color w:val="auto"/>
                <w:sz w:val="22"/>
              </w:rPr>
              <w:t xml:space="preserve"> </w:t>
            </w:r>
            <w:r w:rsidR="19AD9D54" w:rsidRPr="00EB2EEC">
              <w:rPr>
                <w:color w:val="auto"/>
                <w:sz w:val="22"/>
              </w:rPr>
              <w:t>to ensure high bloo</w:t>
            </w:r>
            <w:r w:rsidR="0CAF2103" w:rsidRPr="00EB2EEC">
              <w:rPr>
                <w:color w:val="auto"/>
                <w:sz w:val="22"/>
              </w:rPr>
              <w:t>d</w:t>
            </w:r>
            <w:r w:rsidR="19AD9D54" w:rsidRPr="00EB2EEC">
              <w:rPr>
                <w:color w:val="auto"/>
                <w:sz w:val="22"/>
              </w:rPr>
              <w:t xml:space="preserve"> pressure is followed up, </w:t>
            </w:r>
            <w:r w:rsidR="5F01BF1E" w:rsidRPr="00EB2EEC">
              <w:rPr>
                <w:color w:val="auto"/>
                <w:sz w:val="22"/>
              </w:rPr>
              <w:t>and</w:t>
            </w:r>
            <w:r w:rsidR="19AD9D54" w:rsidRPr="00EB2EEC">
              <w:rPr>
                <w:color w:val="auto"/>
                <w:sz w:val="22"/>
              </w:rPr>
              <w:t xml:space="preserve"> also </w:t>
            </w:r>
            <w:r w:rsidR="009C2BA6" w:rsidRPr="00EB2EEC">
              <w:rPr>
                <w:color w:val="auto"/>
                <w:sz w:val="22"/>
              </w:rPr>
              <w:t xml:space="preserve">proactively review historical records to identify patients who are not on the hypertension register, but whose last recorded BP was equal or higher than 140/90mmHg. In these scenarios, patients are expected to be offered a new blood pressure test plus diagnostic procedure </w:t>
            </w:r>
            <w:r w:rsidR="00966D6A">
              <w:rPr>
                <w:color w:val="auto"/>
                <w:sz w:val="22"/>
              </w:rPr>
              <w:t>(</w:t>
            </w:r>
            <w:r w:rsidR="009C2BA6" w:rsidRPr="00EB2EEC">
              <w:rPr>
                <w:color w:val="auto"/>
                <w:sz w:val="22"/>
              </w:rPr>
              <w:t>if needed) to confirm or exclude diagnosis of hypertension.</w:t>
            </w:r>
          </w:p>
          <w:p w14:paraId="6FB0B915" w14:textId="3CF4F202" w:rsidR="009C2BA6" w:rsidRPr="00EB2EEC" w:rsidRDefault="005E0754" w:rsidP="009D627C">
            <w:pPr>
              <w:pStyle w:val="Bulletlist"/>
              <w:spacing w:after="80" w:line="276" w:lineRule="auto"/>
              <w:ind w:left="295" w:hanging="295"/>
              <w:contextualSpacing w:val="0"/>
              <w:rPr>
                <w:color w:val="auto"/>
                <w:sz w:val="22"/>
              </w:rPr>
            </w:pPr>
            <w:r w:rsidRPr="00EB2EEC">
              <w:rPr>
                <w:color w:val="auto"/>
                <w:sz w:val="22"/>
              </w:rPr>
              <w:t>u</w:t>
            </w:r>
            <w:r w:rsidR="009C2BA6" w:rsidRPr="00EB2EEC">
              <w:rPr>
                <w:color w:val="auto"/>
                <w:sz w:val="22"/>
              </w:rPr>
              <w:t>ndertake activity to improve the coverage of blood pressure checks including:</w:t>
            </w:r>
          </w:p>
          <w:p w14:paraId="69B93B82" w14:textId="47B1B08D" w:rsidR="009C2BA6" w:rsidRPr="00EB2EEC" w:rsidRDefault="005E0754" w:rsidP="00696350">
            <w:pPr>
              <w:numPr>
                <w:ilvl w:val="0"/>
                <w:numId w:val="20"/>
              </w:numPr>
              <w:spacing w:after="120" w:line="276" w:lineRule="auto"/>
              <w:rPr>
                <w:color w:val="auto"/>
                <w:sz w:val="22"/>
                <w:szCs w:val="22"/>
              </w:rPr>
            </w:pPr>
            <w:r w:rsidRPr="00EB2EEC">
              <w:rPr>
                <w:color w:val="auto"/>
                <w:sz w:val="22"/>
                <w:szCs w:val="22"/>
              </w:rPr>
              <w:t>i</w:t>
            </w:r>
            <w:r w:rsidR="009C2BA6" w:rsidRPr="00EB2EEC">
              <w:rPr>
                <w:color w:val="auto"/>
                <w:sz w:val="22"/>
                <w:szCs w:val="22"/>
              </w:rPr>
              <w:t>ncreasing opportunistic blood pressure testing where patients do not have a recently recorded BP reading</w:t>
            </w:r>
            <w:r w:rsidR="00080C5C">
              <w:rPr>
                <w:color w:val="auto"/>
                <w:sz w:val="22"/>
                <w:szCs w:val="22"/>
              </w:rPr>
              <w:t>;</w:t>
            </w:r>
          </w:p>
          <w:p w14:paraId="022CE530" w14:textId="2A2C48E6" w:rsidR="009C2BA6" w:rsidRPr="00EB2EEC" w:rsidRDefault="005E0754" w:rsidP="00696350">
            <w:pPr>
              <w:numPr>
                <w:ilvl w:val="0"/>
                <w:numId w:val="20"/>
              </w:numPr>
              <w:spacing w:after="120" w:line="276" w:lineRule="auto"/>
              <w:rPr>
                <w:color w:val="auto"/>
                <w:sz w:val="22"/>
                <w:szCs w:val="22"/>
              </w:rPr>
            </w:pPr>
            <w:r w:rsidRPr="00EB2EEC">
              <w:rPr>
                <w:color w:val="auto"/>
                <w:sz w:val="22"/>
                <w:szCs w:val="22"/>
              </w:rPr>
              <w:t>u</w:t>
            </w:r>
            <w:r w:rsidR="009C2BA6" w:rsidRPr="00EB2EEC">
              <w:rPr>
                <w:color w:val="auto"/>
                <w:sz w:val="22"/>
                <w:szCs w:val="22"/>
              </w:rPr>
              <w:t>ndertake blood pressure testing at suitable outreach venues, agreeing the approach with local partners and informed by local data on health inequalities</w:t>
            </w:r>
            <w:r w:rsidR="00080C5C">
              <w:rPr>
                <w:color w:val="auto"/>
                <w:sz w:val="22"/>
                <w:szCs w:val="22"/>
              </w:rPr>
              <w:t>;</w:t>
            </w:r>
          </w:p>
          <w:p w14:paraId="1AFCDEE6" w14:textId="3B814513" w:rsidR="009C2BA6" w:rsidRPr="00EB2EEC" w:rsidRDefault="005E0754" w:rsidP="00696350">
            <w:pPr>
              <w:numPr>
                <w:ilvl w:val="0"/>
                <w:numId w:val="20"/>
              </w:numPr>
              <w:spacing w:after="120" w:line="276" w:lineRule="auto"/>
              <w:rPr>
                <w:b/>
                <w:bCs/>
                <w:color w:val="auto"/>
                <w:sz w:val="22"/>
                <w:szCs w:val="22"/>
              </w:rPr>
            </w:pPr>
            <w:r w:rsidRPr="00EB2EEC">
              <w:rPr>
                <w:bCs/>
                <w:color w:val="auto"/>
                <w:sz w:val="22"/>
                <w:szCs w:val="22"/>
              </w:rPr>
              <w:t>w</w:t>
            </w:r>
            <w:r w:rsidR="009C2BA6" w:rsidRPr="00EB2EEC">
              <w:rPr>
                <w:bCs/>
                <w:color w:val="auto"/>
                <w:sz w:val="22"/>
                <w:szCs w:val="22"/>
              </w:rPr>
              <w:t>ork pro-actively with community pharmacies to improve access to blood pressure checks</w:t>
            </w:r>
            <w:r w:rsidR="00522027">
              <w:rPr>
                <w:bCs/>
                <w:color w:val="auto"/>
                <w:sz w:val="22"/>
                <w:szCs w:val="22"/>
              </w:rPr>
              <w:t>.</w:t>
            </w:r>
          </w:p>
        </w:tc>
      </w:tr>
      <w:tr w:rsidR="009C2BA6" w:rsidRPr="009C2BA6" w14:paraId="2F49A62F" w14:textId="77777777" w:rsidTr="0039089C">
        <w:trPr>
          <w:cantSplit/>
        </w:trPr>
        <w:tc>
          <w:tcPr>
            <w:tcW w:w="2263" w:type="dxa"/>
          </w:tcPr>
          <w:p w14:paraId="018988F9" w14:textId="77777777" w:rsidR="009C2BA6" w:rsidRPr="009C2BA6" w:rsidRDefault="009C2BA6" w:rsidP="009D627C">
            <w:pPr>
              <w:spacing w:line="276" w:lineRule="auto"/>
              <w:rPr>
                <w:sz w:val="22"/>
                <w:szCs w:val="22"/>
              </w:rPr>
            </w:pPr>
            <w:r w:rsidRPr="009C2BA6">
              <w:rPr>
                <w:sz w:val="22"/>
                <w:szCs w:val="22"/>
              </w:rPr>
              <w:t>Improve the detection of atrial fibrillation</w:t>
            </w:r>
          </w:p>
        </w:tc>
        <w:tc>
          <w:tcPr>
            <w:tcW w:w="7513" w:type="dxa"/>
          </w:tcPr>
          <w:p w14:paraId="145875D4" w14:textId="6943CF21" w:rsidR="009C2BA6" w:rsidRPr="00EB2EEC" w:rsidRDefault="005E0754" w:rsidP="009D627C">
            <w:pPr>
              <w:pStyle w:val="Bulletlist"/>
              <w:spacing w:after="80" w:line="276" w:lineRule="auto"/>
              <w:ind w:left="295" w:hanging="295"/>
              <w:contextualSpacing w:val="0"/>
              <w:rPr>
                <w:color w:val="auto"/>
                <w:sz w:val="22"/>
              </w:rPr>
            </w:pPr>
            <w:r w:rsidRPr="00EB2EEC">
              <w:rPr>
                <w:color w:val="auto"/>
                <w:sz w:val="22"/>
              </w:rPr>
              <w:t>f</w:t>
            </w:r>
            <w:r w:rsidR="009C2BA6" w:rsidRPr="00EB2EEC">
              <w:rPr>
                <w:color w:val="auto"/>
                <w:sz w:val="22"/>
              </w:rPr>
              <w:t xml:space="preserve">ollow </w:t>
            </w:r>
            <w:hyperlink r:id="rId42" w:history="1">
              <w:r w:rsidR="009C2BA6" w:rsidRPr="00EB2EEC">
                <w:rPr>
                  <w:rStyle w:val="Hyperlink"/>
                  <w:rFonts w:ascii="Arial" w:hAnsi="Arial"/>
                  <w:color w:val="auto"/>
                  <w:sz w:val="22"/>
                </w:rPr>
                <w:t>NICE guideline NG196,</w:t>
              </w:r>
            </w:hyperlink>
            <w:r w:rsidR="009C2BA6" w:rsidRPr="00EB2EEC">
              <w:rPr>
                <w:color w:val="auto"/>
                <w:sz w:val="22"/>
              </w:rPr>
              <w:t xml:space="preserve"> to improve the identification of those at risk of atrial fibrillation through opportunistic pulse checks alongside blood pressure checks undertaken in a clinical setting</w:t>
            </w:r>
            <w:r w:rsidR="00A6216F">
              <w:rPr>
                <w:color w:val="auto"/>
                <w:sz w:val="22"/>
              </w:rPr>
              <w:t xml:space="preserve">, and ensuring the results are recorded and communicated to the GP practice alongside the BP reading. </w:t>
            </w:r>
          </w:p>
          <w:p w14:paraId="25906399" w14:textId="08561D23" w:rsidR="009C2BA6" w:rsidRPr="00EB2EEC" w:rsidRDefault="009C2BA6" w:rsidP="00520740">
            <w:pPr>
              <w:pStyle w:val="Bulletlist"/>
              <w:numPr>
                <w:ilvl w:val="0"/>
                <w:numId w:val="0"/>
              </w:numPr>
              <w:spacing w:after="80" w:line="276" w:lineRule="auto"/>
              <w:contextualSpacing w:val="0"/>
              <w:rPr>
                <w:color w:val="auto"/>
                <w:sz w:val="22"/>
              </w:rPr>
            </w:pPr>
          </w:p>
        </w:tc>
      </w:tr>
      <w:tr w:rsidR="009C2BA6" w:rsidRPr="009C2BA6" w14:paraId="7183CDE2" w14:textId="77777777" w:rsidTr="0039089C">
        <w:trPr>
          <w:cantSplit/>
        </w:trPr>
        <w:tc>
          <w:tcPr>
            <w:tcW w:w="2263" w:type="dxa"/>
            <w:vMerge w:val="restart"/>
          </w:tcPr>
          <w:p w14:paraId="377920BE" w14:textId="77777777" w:rsidR="009C2BA6" w:rsidRPr="009C2BA6" w:rsidRDefault="009C2BA6" w:rsidP="009D627C">
            <w:pPr>
              <w:spacing w:line="276" w:lineRule="auto"/>
              <w:rPr>
                <w:sz w:val="22"/>
                <w:szCs w:val="22"/>
              </w:rPr>
            </w:pPr>
            <w:r w:rsidRPr="009C2BA6">
              <w:rPr>
                <w:sz w:val="22"/>
                <w:szCs w:val="22"/>
              </w:rPr>
              <w:lastRenderedPageBreak/>
              <w:t>Identify and manage raised lipids</w:t>
            </w:r>
          </w:p>
        </w:tc>
        <w:tc>
          <w:tcPr>
            <w:tcW w:w="7513" w:type="dxa"/>
          </w:tcPr>
          <w:p w14:paraId="3CE9FC0B" w14:textId="2EC7D9C7" w:rsidR="009C2BA6" w:rsidRPr="00EB2EEC" w:rsidRDefault="009C2BA6" w:rsidP="005E0754">
            <w:pPr>
              <w:spacing w:after="120" w:line="276" w:lineRule="auto"/>
              <w:rPr>
                <w:b/>
                <w:bCs/>
                <w:color w:val="auto"/>
                <w:sz w:val="22"/>
                <w:szCs w:val="22"/>
              </w:rPr>
            </w:pPr>
            <w:r w:rsidRPr="00EB2EEC">
              <w:rPr>
                <w:b/>
                <w:bCs/>
                <w:color w:val="auto"/>
                <w:sz w:val="22"/>
                <w:szCs w:val="22"/>
              </w:rPr>
              <w:t>Cholesterol – primary</w:t>
            </w:r>
            <w:r w:rsidR="00666CF7">
              <w:rPr>
                <w:b/>
                <w:bCs/>
                <w:color w:val="auto"/>
                <w:sz w:val="22"/>
                <w:szCs w:val="22"/>
              </w:rPr>
              <w:t xml:space="preserve"> </w:t>
            </w:r>
            <w:r w:rsidR="00666CF7" w:rsidRPr="002E6594">
              <w:rPr>
                <w:b/>
                <w:bCs/>
                <w:color w:val="auto"/>
                <w:sz w:val="22"/>
                <w:szCs w:val="22"/>
                <w:highlight w:val="yellow"/>
              </w:rPr>
              <w:t>and secondary</w:t>
            </w:r>
            <w:r w:rsidRPr="00EB2EEC">
              <w:rPr>
                <w:b/>
                <w:bCs/>
                <w:color w:val="auto"/>
                <w:sz w:val="22"/>
                <w:szCs w:val="22"/>
              </w:rPr>
              <w:t xml:space="preserve"> prevention</w:t>
            </w:r>
          </w:p>
          <w:p w14:paraId="02DB7692" w14:textId="7FB3D195" w:rsidR="00666CF7" w:rsidRPr="00611598" w:rsidRDefault="00666CF7" w:rsidP="00666CF7">
            <w:pPr>
              <w:pStyle w:val="Bulletlist"/>
              <w:rPr>
                <w:szCs w:val="24"/>
                <w:highlight w:val="yellow"/>
              </w:rPr>
            </w:pPr>
            <w:r w:rsidRPr="00611598">
              <w:rPr>
                <w:szCs w:val="24"/>
                <w:highlight w:val="yellow"/>
              </w:rPr>
              <w:t xml:space="preserve">In line with </w:t>
            </w:r>
            <w:hyperlink r:id="rId43" w:history="1">
              <w:r w:rsidR="002D4965" w:rsidRPr="00611598">
                <w:rPr>
                  <w:rStyle w:val="Hyperlink"/>
                  <w:szCs w:val="24"/>
                  <w:highlight w:val="yellow"/>
                </w:rPr>
                <w:t>NICE NG238</w:t>
              </w:r>
            </w:hyperlink>
            <w:r w:rsidRPr="00611598">
              <w:rPr>
                <w:szCs w:val="24"/>
                <w:highlight w:val="yellow"/>
              </w:rPr>
              <w:t xml:space="preserve">, where clinically appropriate and using a shared decision making approach, offer statin treatment </w:t>
            </w:r>
            <w:r w:rsidR="008C6D60" w:rsidRPr="00611598">
              <w:rPr>
                <w:szCs w:val="24"/>
                <w:highlight w:val="yellow"/>
              </w:rPr>
              <w:t xml:space="preserve">and/or </w:t>
            </w:r>
            <w:r w:rsidRPr="00611598">
              <w:rPr>
                <w:szCs w:val="24"/>
                <w:highlight w:val="yellow"/>
              </w:rPr>
              <w:t xml:space="preserve"> other lipid lowering therapies </w:t>
            </w:r>
            <w:r w:rsidR="008C6D60" w:rsidRPr="00611598">
              <w:rPr>
                <w:szCs w:val="24"/>
                <w:highlight w:val="yellow"/>
              </w:rPr>
              <w:t>in line with</w:t>
            </w:r>
            <w:r w:rsidRPr="00611598">
              <w:rPr>
                <w:szCs w:val="24"/>
                <w:highlight w:val="yellow"/>
              </w:rPr>
              <w:t xml:space="preserve"> </w:t>
            </w:r>
            <w:hyperlink r:id="rId44" w:history="1">
              <w:r w:rsidRPr="00611598">
                <w:rPr>
                  <w:rStyle w:val="Hyperlink"/>
                  <w:szCs w:val="24"/>
                  <w:highlight w:val="yellow"/>
                </w:rPr>
                <w:t>National Lipid Management Guidance</w:t>
              </w:r>
            </w:hyperlink>
            <w:r w:rsidRPr="00611598">
              <w:rPr>
                <w:szCs w:val="24"/>
                <w:highlight w:val="yellow"/>
              </w:rPr>
              <w:t>, e.g</w:t>
            </w:r>
            <w:r w:rsidR="00233DA4" w:rsidRPr="00611598">
              <w:rPr>
                <w:szCs w:val="24"/>
                <w:highlight w:val="yellow"/>
              </w:rPr>
              <w:t>.:</w:t>
            </w:r>
          </w:p>
          <w:p w14:paraId="386077FC" w14:textId="2681F2A1" w:rsidR="00666CF7" w:rsidRPr="00611598" w:rsidRDefault="008C6D60" w:rsidP="002D72AA">
            <w:pPr>
              <w:pStyle w:val="p1"/>
              <w:numPr>
                <w:ilvl w:val="2"/>
                <w:numId w:val="1"/>
              </w:numPr>
              <w:rPr>
                <w:sz w:val="24"/>
                <w:szCs w:val="24"/>
                <w:highlight w:val="yellow"/>
              </w:rPr>
            </w:pPr>
            <w:r w:rsidRPr="00611598">
              <w:rPr>
                <w:sz w:val="24"/>
                <w:szCs w:val="24"/>
                <w:highlight w:val="yellow"/>
              </w:rPr>
              <w:t>in</w:t>
            </w:r>
            <w:r w:rsidR="00666CF7" w:rsidRPr="00611598">
              <w:rPr>
                <w:sz w:val="24"/>
                <w:szCs w:val="24"/>
                <w:highlight w:val="yellow"/>
              </w:rPr>
              <w:t xml:space="preserve"> primary </w:t>
            </w:r>
            <w:r w:rsidRPr="00611598">
              <w:rPr>
                <w:sz w:val="24"/>
                <w:szCs w:val="24"/>
                <w:highlight w:val="yellow"/>
              </w:rPr>
              <w:t xml:space="preserve">prevention </w:t>
            </w:r>
            <w:r w:rsidR="00666CF7" w:rsidRPr="00611598">
              <w:rPr>
                <w:sz w:val="24"/>
                <w:szCs w:val="24"/>
                <w:highlight w:val="yellow"/>
              </w:rPr>
              <w:t>patients with a QRISK2</w:t>
            </w:r>
            <w:r w:rsidRPr="00611598">
              <w:rPr>
                <w:sz w:val="24"/>
                <w:szCs w:val="24"/>
                <w:highlight w:val="yellow"/>
              </w:rPr>
              <w:t>or</w:t>
            </w:r>
            <w:r w:rsidR="00666CF7" w:rsidRPr="00611598">
              <w:rPr>
                <w:sz w:val="24"/>
                <w:szCs w:val="24"/>
                <w:highlight w:val="yellow"/>
              </w:rPr>
              <w:t xml:space="preserve">3 score </w:t>
            </w:r>
            <w:r w:rsidR="00666CF7" w:rsidRPr="00611598">
              <w:rPr>
                <w:rFonts w:hint="eastAsia"/>
                <w:sz w:val="24"/>
                <w:szCs w:val="24"/>
                <w:highlight w:val="yellow"/>
              </w:rPr>
              <w:t>≥</w:t>
            </w:r>
            <w:r w:rsidR="00666CF7" w:rsidRPr="00611598">
              <w:rPr>
                <w:sz w:val="24"/>
                <w:szCs w:val="24"/>
                <w:highlight w:val="yellow"/>
              </w:rPr>
              <w:t xml:space="preserve"> 10%; </w:t>
            </w:r>
          </w:p>
          <w:p w14:paraId="67E7DA2F" w14:textId="639A10DE" w:rsidR="00666CF7" w:rsidRPr="00611598" w:rsidRDefault="008C6D60" w:rsidP="002D72AA">
            <w:pPr>
              <w:pStyle w:val="p1"/>
              <w:numPr>
                <w:ilvl w:val="2"/>
                <w:numId w:val="1"/>
              </w:numPr>
              <w:rPr>
                <w:sz w:val="24"/>
                <w:szCs w:val="24"/>
                <w:highlight w:val="yellow"/>
              </w:rPr>
            </w:pPr>
            <w:r w:rsidRPr="00611598">
              <w:rPr>
                <w:sz w:val="24"/>
                <w:szCs w:val="24"/>
                <w:highlight w:val="yellow"/>
              </w:rPr>
              <w:t>in all</w:t>
            </w:r>
            <w:r w:rsidR="00666CF7" w:rsidRPr="00611598">
              <w:rPr>
                <w:sz w:val="24"/>
                <w:szCs w:val="24"/>
                <w:highlight w:val="yellow"/>
              </w:rPr>
              <w:t xml:space="preserve"> secondary prevention patients</w:t>
            </w:r>
            <w:r w:rsidRPr="00611598">
              <w:rPr>
                <w:sz w:val="24"/>
                <w:szCs w:val="24"/>
                <w:highlight w:val="yellow"/>
              </w:rPr>
              <w:t>,</w:t>
            </w:r>
            <w:r w:rsidR="00666CF7" w:rsidRPr="00611598">
              <w:rPr>
                <w:sz w:val="24"/>
                <w:szCs w:val="24"/>
                <w:highlight w:val="yellow"/>
              </w:rPr>
              <w:t xml:space="preserve"> </w:t>
            </w:r>
            <w:r w:rsidRPr="00611598">
              <w:rPr>
                <w:sz w:val="24"/>
                <w:szCs w:val="24"/>
                <w:highlight w:val="yellow"/>
              </w:rPr>
              <w:t>aiming to achieve LDL-C&lt;/=2.0 mmol/l or</w:t>
            </w:r>
            <w:r w:rsidR="00666CF7" w:rsidRPr="00611598">
              <w:rPr>
                <w:sz w:val="24"/>
                <w:szCs w:val="24"/>
                <w:highlight w:val="yellow"/>
              </w:rPr>
              <w:t xml:space="preserve"> non-HDL-C</w:t>
            </w:r>
            <w:r w:rsidRPr="00611598">
              <w:rPr>
                <w:sz w:val="24"/>
                <w:szCs w:val="24"/>
                <w:highlight w:val="yellow"/>
              </w:rPr>
              <w:t xml:space="preserve"> &lt;/= 2.6mmol/l.</w:t>
            </w:r>
            <w:r w:rsidR="00666CF7" w:rsidRPr="00611598">
              <w:rPr>
                <w:sz w:val="24"/>
                <w:szCs w:val="24"/>
                <w:highlight w:val="yellow"/>
              </w:rPr>
              <w:t xml:space="preserve">  </w:t>
            </w:r>
          </w:p>
          <w:p w14:paraId="44AA3389" w14:textId="28D42BD7" w:rsidR="00666CF7" w:rsidRPr="00611598" w:rsidRDefault="00666CF7" w:rsidP="00666CF7">
            <w:pPr>
              <w:pStyle w:val="Bulletlist"/>
              <w:rPr>
                <w:szCs w:val="24"/>
                <w:highlight w:val="yellow"/>
              </w:rPr>
            </w:pPr>
            <w:r w:rsidRPr="00611598">
              <w:rPr>
                <w:szCs w:val="24"/>
                <w:highlight w:val="yellow"/>
              </w:rPr>
              <w:t xml:space="preserve">Statin intolerance is expected to be addressed in line with the </w:t>
            </w:r>
            <w:hyperlink r:id="rId45" w:history="1">
              <w:r w:rsidRPr="00611598">
                <w:rPr>
                  <w:rStyle w:val="Hyperlink"/>
                  <w:rFonts w:ascii="Arial" w:hAnsi="Arial"/>
                  <w:szCs w:val="24"/>
                  <w:highlight w:val="yellow"/>
                  <w:lang w:eastAsia="en-US"/>
                </w:rPr>
                <w:t>Statin Intolerance Pathway</w:t>
              </w:r>
            </w:hyperlink>
          </w:p>
          <w:p w14:paraId="25EA208A" w14:textId="35C1BB95" w:rsidR="00233DA4" w:rsidRPr="00611598" w:rsidRDefault="00233DA4" w:rsidP="00233DA4">
            <w:pPr>
              <w:pStyle w:val="Bulletlist"/>
              <w:rPr>
                <w:highlight w:val="yellow"/>
              </w:rPr>
            </w:pPr>
            <w:r w:rsidRPr="00611598">
              <w:rPr>
                <w:highlight w:val="yellow"/>
              </w:rPr>
              <w:t xml:space="preserve">work with the local authority to ensure uptake and delivery of the NHS Health Check is optimised for their population. Clinicians may identify patients using a range of validated tools, such as the </w:t>
            </w:r>
            <w:r w:rsidRPr="00611598">
              <w:rPr>
                <w:szCs w:val="24"/>
                <w:highlight w:val="yellow"/>
              </w:rPr>
              <w:t>UCL Partners</w:t>
            </w:r>
            <w:r w:rsidR="008C6D60" w:rsidRPr="00611598">
              <w:rPr>
                <w:highlight w:val="yellow"/>
              </w:rPr>
              <w:t xml:space="preserve"> Proactive</w:t>
            </w:r>
            <w:r w:rsidRPr="00611598">
              <w:rPr>
                <w:szCs w:val="24"/>
                <w:highlight w:val="yellow"/>
              </w:rPr>
              <w:t xml:space="preserve"> </w:t>
            </w:r>
            <w:r w:rsidR="008C6D60" w:rsidRPr="00611598">
              <w:rPr>
                <w:highlight w:val="yellow"/>
              </w:rPr>
              <w:t>Care Framework or CVDACTION</w:t>
            </w:r>
          </w:p>
          <w:p w14:paraId="2A64A111" w14:textId="2820CE4D" w:rsidR="00C24D5E" w:rsidRPr="00EB2EEC" w:rsidRDefault="00C24D5E" w:rsidP="002D72AA">
            <w:pPr>
              <w:pStyle w:val="Bulletlist"/>
              <w:numPr>
                <w:ilvl w:val="0"/>
                <w:numId w:val="0"/>
              </w:numPr>
              <w:ind w:left="1208"/>
            </w:pPr>
          </w:p>
        </w:tc>
      </w:tr>
      <w:tr w:rsidR="009C2BA6" w:rsidRPr="009C2BA6" w14:paraId="2B96C71B" w14:textId="77777777" w:rsidTr="0039089C">
        <w:trPr>
          <w:cantSplit/>
        </w:trPr>
        <w:tc>
          <w:tcPr>
            <w:tcW w:w="2263" w:type="dxa"/>
            <w:vMerge/>
          </w:tcPr>
          <w:p w14:paraId="687E4698" w14:textId="77777777" w:rsidR="009C2BA6" w:rsidRPr="009C2BA6" w:rsidRDefault="009C2BA6" w:rsidP="009D627C">
            <w:pPr>
              <w:spacing w:line="276" w:lineRule="auto"/>
              <w:rPr>
                <w:sz w:val="22"/>
                <w:szCs w:val="22"/>
              </w:rPr>
            </w:pPr>
          </w:p>
        </w:tc>
        <w:tc>
          <w:tcPr>
            <w:tcW w:w="7513" w:type="dxa"/>
          </w:tcPr>
          <w:p w14:paraId="4F6719D9" w14:textId="77777777" w:rsidR="009C2BA6" w:rsidRPr="00EB2EEC" w:rsidRDefault="009C2BA6" w:rsidP="00D46B01">
            <w:pPr>
              <w:spacing w:after="120" w:line="276" w:lineRule="auto"/>
              <w:rPr>
                <w:b/>
                <w:bCs/>
                <w:color w:val="auto"/>
                <w:sz w:val="22"/>
                <w:szCs w:val="22"/>
              </w:rPr>
            </w:pPr>
            <w:r w:rsidRPr="00EB2EEC">
              <w:rPr>
                <w:b/>
                <w:bCs/>
                <w:color w:val="auto"/>
                <w:sz w:val="22"/>
                <w:szCs w:val="22"/>
              </w:rPr>
              <w:t>Familial Hypercholesterolaemia (FH)</w:t>
            </w:r>
          </w:p>
          <w:p w14:paraId="60C6BB09" w14:textId="5A49655E" w:rsidR="005E0754" w:rsidRPr="00EB2EEC" w:rsidRDefault="005E0754" w:rsidP="009D627C">
            <w:pPr>
              <w:pStyle w:val="Bulletlist"/>
              <w:spacing w:after="80" w:line="276" w:lineRule="auto"/>
              <w:ind w:left="295" w:hanging="295"/>
              <w:contextualSpacing w:val="0"/>
              <w:rPr>
                <w:color w:val="auto"/>
                <w:sz w:val="22"/>
              </w:rPr>
            </w:pPr>
            <w:r w:rsidRPr="00EB2EEC">
              <w:rPr>
                <w:color w:val="auto"/>
                <w:sz w:val="22"/>
              </w:rPr>
              <w:t>u</w:t>
            </w:r>
            <w:r w:rsidR="009C2BA6" w:rsidRPr="00EB2EEC">
              <w:rPr>
                <w:color w:val="auto"/>
                <w:sz w:val="22"/>
              </w:rPr>
              <w:t xml:space="preserve">se </w:t>
            </w:r>
            <w:hyperlink r:id="rId46" w:history="1">
              <w:r w:rsidR="009C2BA6" w:rsidRPr="00EB2EEC">
                <w:rPr>
                  <w:rStyle w:val="Hyperlink"/>
                  <w:rFonts w:ascii="Arial" w:hAnsi="Arial"/>
                  <w:color w:val="auto"/>
                  <w:sz w:val="22"/>
                </w:rPr>
                <w:t xml:space="preserve">NICE guidance CG71 </w:t>
              </w:r>
            </w:hyperlink>
            <w:r w:rsidR="009C2BA6" w:rsidRPr="00EB2EEC">
              <w:rPr>
                <w:color w:val="auto"/>
                <w:sz w:val="22"/>
              </w:rPr>
              <w:t>to guide the identification of people at risk of familial hypercholesterolaemia</w:t>
            </w:r>
            <w:r w:rsidR="00ED1214" w:rsidRPr="00EB2EEC">
              <w:rPr>
                <w:color w:val="auto"/>
                <w:sz w:val="22"/>
              </w:rPr>
              <w:t>;</w:t>
            </w:r>
          </w:p>
          <w:p w14:paraId="52AA02E8" w14:textId="4492B5F4" w:rsidR="009C2BA6" w:rsidRPr="00EB2EEC" w:rsidRDefault="005E0754" w:rsidP="009D627C">
            <w:pPr>
              <w:pStyle w:val="Bulletlist"/>
              <w:spacing w:after="80" w:line="276" w:lineRule="auto"/>
              <w:ind w:left="295" w:hanging="295"/>
              <w:contextualSpacing w:val="0"/>
              <w:rPr>
                <w:color w:val="auto"/>
                <w:sz w:val="22"/>
              </w:rPr>
            </w:pPr>
            <w:r w:rsidRPr="00EB2EEC">
              <w:rPr>
                <w:color w:val="auto"/>
                <w:sz w:val="22"/>
              </w:rPr>
              <w:t>s</w:t>
            </w:r>
            <w:r w:rsidR="009C2BA6" w:rsidRPr="00EB2EEC">
              <w:rPr>
                <w:color w:val="auto"/>
                <w:sz w:val="22"/>
              </w:rPr>
              <w:t>ystematically search primary care records for those at highest risk, including people:</w:t>
            </w:r>
          </w:p>
          <w:p w14:paraId="5F3E5C17" w14:textId="1FEE0AD0" w:rsidR="009C2BA6" w:rsidRPr="00EB2EEC" w:rsidRDefault="009C2BA6" w:rsidP="00CF77B1">
            <w:pPr>
              <w:numPr>
                <w:ilvl w:val="0"/>
                <w:numId w:val="8"/>
              </w:numPr>
              <w:spacing w:after="120" w:line="276" w:lineRule="auto"/>
              <w:rPr>
                <w:bCs/>
                <w:color w:val="auto"/>
                <w:sz w:val="22"/>
                <w:szCs w:val="22"/>
              </w:rPr>
            </w:pPr>
            <w:r w:rsidRPr="00EB2EEC">
              <w:rPr>
                <w:bCs/>
                <w:color w:val="auto"/>
                <w:sz w:val="22"/>
                <w:szCs w:val="22"/>
              </w:rPr>
              <w:t xml:space="preserve"> younger than 30 years, with a total cholesterol concentration greater than 7.5 mmol/l</w:t>
            </w:r>
            <w:r w:rsidR="00ED1214" w:rsidRPr="00EB2EEC">
              <w:rPr>
                <w:bCs/>
                <w:color w:val="auto"/>
                <w:sz w:val="22"/>
                <w:szCs w:val="22"/>
              </w:rPr>
              <w:t>;</w:t>
            </w:r>
            <w:r w:rsidRPr="00EB2EEC">
              <w:rPr>
                <w:bCs/>
                <w:color w:val="auto"/>
                <w:sz w:val="22"/>
                <w:szCs w:val="22"/>
              </w:rPr>
              <w:t xml:space="preserve"> and</w:t>
            </w:r>
          </w:p>
          <w:p w14:paraId="765FC814" w14:textId="73C0A1E2" w:rsidR="009C2BA6" w:rsidRPr="00EB2EEC" w:rsidRDefault="009C2BA6" w:rsidP="00CF77B1">
            <w:pPr>
              <w:numPr>
                <w:ilvl w:val="0"/>
                <w:numId w:val="8"/>
              </w:numPr>
              <w:spacing w:after="120" w:line="276" w:lineRule="auto"/>
              <w:rPr>
                <w:bCs/>
                <w:color w:val="auto"/>
                <w:sz w:val="22"/>
                <w:szCs w:val="22"/>
              </w:rPr>
            </w:pPr>
            <w:r w:rsidRPr="00EB2EEC">
              <w:rPr>
                <w:bCs/>
                <w:color w:val="auto"/>
                <w:sz w:val="22"/>
                <w:szCs w:val="22"/>
              </w:rPr>
              <w:t xml:space="preserve"> 30 years or older, with a total cholesterol concentration greater than 9.0 mmol/l</w:t>
            </w:r>
            <w:r w:rsidR="00ED1214" w:rsidRPr="00EB2EEC">
              <w:rPr>
                <w:bCs/>
                <w:color w:val="auto"/>
                <w:sz w:val="22"/>
                <w:szCs w:val="22"/>
              </w:rPr>
              <w:t>;</w:t>
            </w:r>
          </w:p>
          <w:p w14:paraId="538B8C6B" w14:textId="44358A4E" w:rsidR="009C2BA6" w:rsidRPr="00EB2EEC" w:rsidRDefault="009C2BA6" w:rsidP="005E0754">
            <w:pPr>
              <w:pStyle w:val="Bulletlist"/>
              <w:numPr>
                <w:ilvl w:val="0"/>
                <w:numId w:val="0"/>
              </w:numPr>
              <w:spacing w:after="80" w:line="276" w:lineRule="auto"/>
              <w:ind w:left="295"/>
              <w:contextualSpacing w:val="0"/>
              <w:rPr>
                <w:color w:val="auto"/>
                <w:sz w:val="22"/>
              </w:rPr>
            </w:pPr>
            <w:r w:rsidRPr="00EB2EEC">
              <w:rPr>
                <w:color w:val="auto"/>
                <w:sz w:val="22"/>
              </w:rPr>
              <w:t xml:space="preserve">It is recommended that FH risk be assessed using Simon-Broome or Dutch Lipid Clinic Criteria; and where probable or possible FH is suspected, patients should be referred for further specialist assessment (where available) to include DNA testing in line with local pathways, which may be accessed via genomics hubs in some areas. </w:t>
            </w:r>
          </w:p>
        </w:tc>
      </w:tr>
      <w:tr w:rsidR="009C2BA6" w:rsidRPr="009C2BA6" w14:paraId="56B762AE" w14:textId="77777777" w:rsidTr="0039089C">
        <w:trPr>
          <w:cantSplit/>
        </w:trPr>
        <w:tc>
          <w:tcPr>
            <w:tcW w:w="2263" w:type="dxa"/>
          </w:tcPr>
          <w:p w14:paraId="52610F4E" w14:textId="77777777" w:rsidR="009C2BA6" w:rsidRPr="009C2BA6" w:rsidRDefault="009C2BA6" w:rsidP="009D627C">
            <w:pPr>
              <w:spacing w:line="276" w:lineRule="auto"/>
              <w:rPr>
                <w:sz w:val="22"/>
                <w:szCs w:val="22"/>
              </w:rPr>
            </w:pPr>
            <w:r w:rsidRPr="009C2BA6">
              <w:rPr>
                <w:sz w:val="22"/>
                <w:szCs w:val="22"/>
              </w:rPr>
              <w:lastRenderedPageBreak/>
              <w:t>Earlier identification of heart failure</w:t>
            </w:r>
          </w:p>
        </w:tc>
        <w:tc>
          <w:tcPr>
            <w:tcW w:w="7513" w:type="dxa"/>
          </w:tcPr>
          <w:p w14:paraId="7094FB86" w14:textId="5507A02F" w:rsidR="009C2BA6" w:rsidRPr="00EB2EEC" w:rsidRDefault="00D46B01" w:rsidP="005E0754">
            <w:pPr>
              <w:pStyle w:val="Bulletlist"/>
              <w:spacing w:after="80" w:line="276" w:lineRule="auto"/>
              <w:ind w:left="295" w:hanging="295"/>
              <w:contextualSpacing w:val="0"/>
              <w:rPr>
                <w:bCs/>
                <w:color w:val="auto"/>
                <w:sz w:val="22"/>
              </w:rPr>
            </w:pPr>
            <w:r w:rsidRPr="00EB2EEC">
              <w:rPr>
                <w:bCs/>
                <w:color w:val="auto"/>
                <w:sz w:val="22"/>
              </w:rPr>
              <w:t>p</w:t>
            </w:r>
            <w:r w:rsidR="009C2BA6" w:rsidRPr="00EB2EEC">
              <w:rPr>
                <w:bCs/>
                <w:color w:val="auto"/>
                <w:sz w:val="22"/>
              </w:rPr>
              <w:t>romote and facilitate the use of NT-</w:t>
            </w:r>
            <w:proofErr w:type="spellStart"/>
            <w:r w:rsidR="009C2BA6" w:rsidRPr="00EB2EEC">
              <w:rPr>
                <w:bCs/>
                <w:color w:val="auto"/>
                <w:sz w:val="22"/>
              </w:rPr>
              <w:t>proBNP</w:t>
            </w:r>
            <w:proofErr w:type="spellEnd"/>
            <w:r w:rsidR="009C2BA6" w:rsidRPr="00EB2EEC">
              <w:rPr>
                <w:bCs/>
                <w:color w:val="auto"/>
                <w:sz w:val="22"/>
              </w:rPr>
              <w:t xml:space="preserve"> amongst primary care clinicians, for people with symptoms or signs of heart failure, in line </w:t>
            </w:r>
            <w:r w:rsidR="009C2BA6" w:rsidRPr="00EB2EEC">
              <w:rPr>
                <w:color w:val="auto"/>
                <w:sz w:val="22"/>
              </w:rPr>
              <w:t>with</w:t>
            </w:r>
            <w:r w:rsidR="009C2BA6" w:rsidRPr="00EB2EEC">
              <w:rPr>
                <w:bCs/>
                <w:color w:val="auto"/>
                <w:sz w:val="22"/>
              </w:rPr>
              <w:t xml:space="preserve"> </w:t>
            </w:r>
            <w:hyperlink r:id="rId47" w:history="1">
              <w:r w:rsidR="0051597A" w:rsidRPr="00EB2EEC">
                <w:rPr>
                  <w:rStyle w:val="Hyperlink"/>
                  <w:rFonts w:ascii="Arial" w:hAnsi="Arial"/>
                  <w:bCs/>
                  <w:color w:val="auto"/>
                  <w:sz w:val="22"/>
                </w:rPr>
                <w:t>GPDA guidance;</w:t>
              </w:r>
            </w:hyperlink>
          </w:p>
          <w:p w14:paraId="7A9F2EC0" w14:textId="01154EE6" w:rsidR="000E6809" w:rsidRPr="00EB2EEC" w:rsidRDefault="000E6809" w:rsidP="000E6809">
            <w:pPr>
              <w:pStyle w:val="Bulletlist"/>
              <w:spacing w:after="80" w:line="276" w:lineRule="auto"/>
              <w:ind w:left="295" w:hanging="295"/>
              <w:contextualSpacing w:val="0"/>
              <w:rPr>
                <w:rStyle w:val="Hyperlink"/>
                <w:rFonts w:ascii="Arial" w:hAnsi="Arial"/>
                <w:color w:val="auto"/>
                <w:sz w:val="22"/>
                <w:u w:val="none"/>
              </w:rPr>
            </w:pPr>
            <w:r w:rsidRPr="00EB2EEC">
              <w:rPr>
                <w:color w:val="auto"/>
                <w:sz w:val="22"/>
              </w:rPr>
              <w:t>ensure</w:t>
            </w:r>
            <w:r w:rsidR="009C2BA6" w:rsidRPr="00EB2EEC">
              <w:rPr>
                <w:bCs/>
                <w:color w:val="auto"/>
                <w:sz w:val="22"/>
              </w:rPr>
              <w:t xml:space="preserve"> that patients with suspected heart failure and a raised NT-</w:t>
            </w:r>
            <w:proofErr w:type="spellStart"/>
            <w:r w:rsidR="009C2BA6" w:rsidRPr="00EB2EEC">
              <w:rPr>
                <w:bCs/>
                <w:color w:val="auto"/>
                <w:sz w:val="22"/>
              </w:rPr>
              <w:t>proBNP</w:t>
            </w:r>
            <w:proofErr w:type="spellEnd"/>
            <w:r w:rsidR="009C2BA6" w:rsidRPr="00EB2EEC">
              <w:rPr>
                <w:bCs/>
                <w:color w:val="auto"/>
                <w:sz w:val="22"/>
              </w:rPr>
              <w:t xml:space="preserve"> are referred urgently for further assessment, in line with </w:t>
            </w:r>
            <w:hyperlink r:id="rId48" w:history="1">
              <w:r w:rsidR="009C2BA6" w:rsidRPr="00EB2EEC">
                <w:rPr>
                  <w:rStyle w:val="Hyperlink"/>
                  <w:rFonts w:ascii="Arial" w:hAnsi="Arial"/>
                  <w:bCs/>
                  <w:color w:val="auto"/>
                  <w:sz w:val="22"/>
                </w:rPr>
                <w:t>NICE guideline NG106</w:t>
              </w:r>
            </w:hyperlink>
            <w:r w:rsidRPr="00EB2EEC">
              <w:rPr>
                <w:rStyle w:val="Hyperlink"/>
                <w:rFonts w:ascii="Arial" w:hAnsi="Arial"/>
                <w:bCs/>
                <w:color w:val="auto"/>
                <w:sz w:val="22"/>
              </w:rPr>
              <w:t>; and</w:t>
            </w:r>
          </w:p>
          <w:p w14:paraId="08AFAE1E" w14:textId="294E6EB7" w:rsidR="009C2BA6" w:rsidRPr="0051597A" w:rsidRDefault="0051597A" w:rsidP="000E6809">
            <w:pPr>
              <w:pStyle w:val="Bulletlist"/>
              <w:spacing w:after="80" w:line="276" w:lineRule="auto"/>
              <w:ind w:left="295" w:hanging="295"/>
              <w:contextualSpacing w:val="0"/>
              <w:rPr>
                <w:sz w:val="22"/>
              </w:rPr>
            </w:pPr>
            <w:r w:rsidRPr="00EB2EEC">
              <w:rPr>
                <w:bCs/>
                <w:color w:val="auto"/>
                <w:sz w:val="22"/>
              </w:rPr>
              <w:t xml:space="preserve">ensure </w:t>
            </w:r>
            <w:r w:rsidR="002F08C9" w:rsidRPr="00EB2EEC">
              <w:rPr>
                <w:bCs/>
                <w:color w:val="auto"/>
                <w:sz w:val="22"/>
              </w:rPr>
              <w:t>coding is used as outlined in the appendi</w:t>
            </w:r>
            <w:bookmarkStart w:id="52" w:name="_Hlk159841147"/>
            <w:r w:rsidR="003D00E8" w:rsidRPr="00EB2EEC">
              <w:rPr>
                <w:bCs/>
                <w:color w:val="auto"/>
                <w:sz w:val="22"/>
              </w:rPr>
              <w:t xml:space="preserve">x. </w:t>
            </w:r>
            <w:r w:rsidR="009C2BA6" w:rsidRPr="00EB2EEC">
              <w:rPr>
                <w:color w:val="auto"/>
                <w:sz w:val="22"/>
              </w:rPr>
              <w:t>Those who have confirmed heart failure should be coded according to accepted classification (following the results of an echocardiogram)</w:t>
            </w:r>
            <w:r w:rsidR="008B621D">
              <w:rPr>
                <w:color w:val="auto"/>
                <w:sz w:val="22"/>
              </w:rPr>
              <w:t>.</w:t>
            </w:r>
            <w:r w:rsidR="009C2BA6" w:rsidRPr="00EB2EEC">
              <w:rPr>
                <w:color w:val="auto"/>
                <w:sz w:val="22"/>
              </w:rPr>
              <w:t xml:space="preserve"> </w:t>
            </w:r>
            <w:bookmarkEnd w:id="52"/>
          </w:p>
        </w:tc>
      </w:tr>
    </w:tbl>
    <w:p w14:paraId="569CF08F" w14:textId="248D148E" w:rsidR="009C2BA6" w:rsidRPr="009C2BA6" w:rsidRDefault="009C2BA6" w:rsidP="00271C6C">
      <w:pPr>
        <w:pStyle w:val="Heading4"/>
        <w:rPr>
          <w:rFonts w:hint="eastAsia"/>
        </w:rPr>
      </w:pPr>
      <w:bookmarkStart w:id="53" w:name="_Toc153872901"/>
      <w:bookmarkStart w:id="54" w:name="_Toc153872945"/>
      <w:bookmarkStart w:id="55" w:name="_Toc153902657"/>
      <w:bookmarkStart w:id="56" w:name="_Toc153990109"/>
      <w:bookmarkStart w:id="57" w:name="_Toc193808069"/>
      <w:r w:rsidRPr="009C2BA6">
        <w:t xml:space="preserve">Early </w:t>
      </w:r>
      <w:r w:rsidR="00271C6C">
        <w:t>c</w:t>
      </w:r>
      <w:r w:rsidRPr="009C2BA6">
        <w:t xml:space="preserve">ancer </w:t>
      </w:r>
      <w:r w:rsidR="00271C6C">
        <w:t>d</w:t>
      </w:r>
      <w:r w:rsidRPr="009C2BA6">
        <w:t>iagnosis</w:t>
      </w:r>
      <w:bookmarkEnd w:id="53"/>
      <w:bookmarkEnd w:id="54"/>
      <w:bookmarkEnd w:id="55"/>
      <w:bookmarkEnd w:id="56"/>
      <w:bookmarkEnd w:id="57"/>
    </w:p>
    <w:p w14:paraId="28B238FE" w14:textId="7AACF626" w:rsidR="009C2BA6" w:rsidRPr="00E46491" w:rsidRDefault="009C2BA6" w:rsidP="00CC2285">
      <w:pPr>
        <w:pStyle w:val="3digitpara"/>
        <w:ind w:left="851"/>
      </w:pPr>
      <w:r>
        <w:t xml:space="preserve">The DES </w:t>
      </w:r>
      <w:r w:rsidR="00ED1214">
        <w:t xml:space="preserve">specification </w:t>
      </w:r>
      <w:r w:rsidR="00CC2285">
        <w:t xml:space="preserve">also </w:t>
      </w:r>
      <w:r w:rsidR="0C3EF2D5">
        <w:t>states</w:t>
      </w:r>
      <w:r>
        <w:t xml:space="preserve"> that </w:t>
      </w:r>
      <w:r w:rsidR="00CC2285">
        <w:t xml:space="preserve">a </w:t>
      </w:r>
      <w:r>
        <w:t>PCN</w:t>
      </w:r>
      <w:r w:rsidR="00CC2285">
        <w:t>'</w:t>
      </w:r>
      <w:r>
        <w:t xml:space="preserve">s </w:t>
      </w:r>
      <w:r w:rsidR="00CC2285">
        <w:t>approach must include</w:t>
      </w:r>
      <w:r>
        <w:t>:</w:t>
      </w:r>
      <w:r w:rsidR="00CC2285">
        <w:t xml:space="preserve"> </w:t>
      </w:r>
      <w:r w:rsidR="00250037" w:rsidRPr="00E46491">
        <w:t>“</w:t>
      </w:r>
      <w:r w:rsidR="00CC2285" w:rsidRPr="00CC2285">
        <w:rPr>
          <w:i/>
          <w:iCs/>
        </w:rPr>
        <w:t>r</w:t>
      </w:r>
      <w:r w:rsidRPr="00CC2285">
        <w:rPr>
          <w:i/>
          <w:iCs/>
        </w:rPr>
        <w:t xml:space="preserve">eviewing cancer referral practice in collaboration with partners and </w:t>
      </w:r>
      <w:r w:rsidR="00CC2285" w:rsidRPr="00CC2285">
        <w:rPr>
          <w:i/>
          <w:iCs/>
        </w:rPr>
        <w:t>working to improve</w:t>
      </w:r>
      <w:r w:rsidRPr="00CC2285">
        <w:rPr>
          <w:i/>
          <w:iCs/>
        </w:rPr>
        <w:t xml:space="preserve"> early diagnosis</w:t>
      </w:r>
      <w:r w:rsidR="00250037" w:rsidRPr="00E46491">
        <w:t>”</w:t>
      </w:r>
      <w:r w:rsidRPr="00E46491">
        <w:t xml:space="preserve"> and</w:t>
      </w:r>
      <w:r w:rsidR="00CC2285">
        <w:t xml:space="preserve"> "</w:t>
      </w:r>
      <w:r w:rsidR="00CC2285" w:rsidRPr="00CC2285">
        <w:rPr>
          <w:i/>
          <w:iCs/>
        </w:rPr>
        <w:t>w</w:t>
      </w:r>
      <w:r w:rsidRPr="00CC2285">
        <w:rPr>
          <w:i/>
          <w:iCs/>
        </w:rPr>
        <w:t xml:space="preserve">orking with partners to improve screening uptake, </w:t>
      </w:r>
      <w:r w:rsidR="00CC2285" w:rsidRPr="00CC2285">
        <w:rPr>
          <w:i/>
          <w:iCs/>
        </w:rPr>
        <w:t>inclusive of</w:t>
      </w:r>
      <w:r w:rsidRPr="00CC2285">
        <w:rPr>
          <w:i/>
          <w:iCs/>
        </w:rPr>
        <w:t xml:space="preserve"> breast, bowel and cervical cancer</w:t>
      </w:r>
      <w:r w:rsidRPr="00E46491">
        <w:t>.</w:t>
      </w:r>
      <w:r w:rsidR="00250037" w:rsidRPr="00E46491">
        <w:t>”</w:t>
      </w:r>
    </w:p>
    <w:p w14:paraId="58412E08" w14:textId="2ED002CC" w:rsidR="009C2BA6" w:rsidRPr="009C2BA6" w:rsidRDefault="009C2BA6" w:rsidP="003D00E8">
      <w:pPr>
        <w:pStyle w:val="3digitpara"/>
        <w:ind w:left="851"/>
      </w:pPr>
      <w:r>
        <w:t>To achieve this</w:t>
      </w:r>
      <w:r w:rsidR="003F214A">
        <w:t xml:space="preserve"> a PCN should take actions to improve in line with the guidance below.</w:t>
      </w:r>
    </w:p>
    <w:p w14:paraId="4409EC58" w14:textId="427A7667" w:rsidR="00184CF1" w:rsidRPr="00184CF1" w:rsidRDefault="009C2BA6" w:rsidP="00184CF1">
      <w:pPr>
        <w:pStyle w:val="Heading5"/>
        <w:ind w:left="357"/>
        <w:rPr>
          <w:rFonts w:hint="eastAsia"/>
        </w:rPr>
      </w:pPr>
      <w:r w:rsidRPr="009C2BA6">
        <w:t>Improving referral practice</w:t>
      </w:r>
    </w:p>
    <w:p w14:paraId="30EE23E0" w14:textId="77777777" w:rsidR="00184CF1" w:rsidRPr="001B20DC" w:rsidRDefault="00184CF1" w:rsidP="00184CF1">
      <w:pPr>
        <w:pStyle w:val="3digitpara"/>
        <w:ind w:left="851"/>
        <w:rPr>
          <w:rFonts w:cs="Arial"/>
          <w:color w:val="auto"/>
        </w:rPr>
      </w:pPr>
      <w:r w:rsidRPr="001B20DC">
        <w:rPr>
          <w:rFonts w:cs="Arial"/>
          <w:color w:val="auto"/>
        </w:rPr>
        <w:t xml:space="preserve">A PCN should work with Cancer Alliances to increase early diagnosis rates and improve referral practice. Alliances have been allocated funding to support this work. Together, PCNs and Alliances should develop a clear set of actions and milestones to improve referral practice for: </w:t>
      </w:r>
    </w:p>
    <w:p w14:paraId="3AE3255D" w14:textId="77777777" w:rsidR="00184CF1" w:rsidRPr="001B20DC" w:rsidRDefault="00184CF1" w:rsidP="00184CF1">
      <w:pPr>
        <w:pStyle w:val="Bulletlist"/>
        <w:rPr>
          <w:rFonts w:cs="Arial"/>
          <w:color w:val="auto"/>
        </w:rPr>
      </w:pPr>
      <w:r w:rsidRPr="001B20DC">
        <w:rPr>
          <w:rFonts w:cs="Arial"/>
          <w:bCs/>
          <w:color w:val="auto"/>
        </w:rPr>
        <w:t>Colorectal and lung cancer, which together account for nearly 40% of all late-stage cancer diagnoses; and,</w:t>
      </w:r>
    </w:p>
    <w:p w14:paraId="371D2439" w14:textId="77777777" w:rsidR="00184CF1" w:rsidRPr="001B20DC" w:rsidRDefault="00184CF1" w:rsidP="00184CF1">
      <w:pPr>
        <w:pStyle w:val="Bulletlist"/>
        <w:rPr>
          <w:rFonts w:cs="Arial"/>
          <w:color w:val="auto"/>
        </w:rPr>
      </w:pPr>
      <w:r w:rsidRPr="001B20DC">
        <w:rPr>
          <w:rFonts w:cs="Arial"/>
          <w:bCs/>
          <w:color w:val="auto"/>
        </w:rPr>
        <w:t xml:space="preserve">One other </w:t>
      </w:r>
      <w:r w:rsidRPr="001B20DC">
        <w:rPr>
          <w:rFonts w:cs="Arial"/>
          <w:color w:val="auto"/>
        </w:rPr>
        <w:t>cancer type</w:t>
      </w:r>
      <w:r w:rsidRPr="001B20DC">
        <w:rPr>
          <w:rFonts w:cs="Arial"/>
          <w:bCs/>
          <w:color w:val="auto"/>
        </w:rPr>
        <w:t xml:space="preserve"> determined locally</w:t>
      </w:r>
      <w:r w:rsidRPr="001B20DC">
        <w:rPr>
          <w:rFonts w:cs="Arial"/>
          <w:color w:val="auto"/>
        </w:rPr>
        <w:t>, based on burden of late-stage diagnoses and opportunities for timely and effective referral to support earlier diagnosis.</w:t>
      </w:r>
    </w:p>
    <w:p w14:paraId="477704A3" w14:textId="77777777" w:rsidR="00607985" w:rsidRDefault="00607985" w:rsidP="00607985">
      <w:pPr>
        <w:pStyle w:val="3digitpara"/>
        <w:keepNext/>
        <w:ind w:left="851"/>
        <w:rPr>
          <w:rFonts w:cs="Arial"/>
        </w:rPr>
      </w:pPr>
      <w:r w:rsidRPr="0039089C">
        <w:rPr>
          <w:rFonts w:cs="Arial"/>
        </w:rPr>
        <w:lastRenderedPageBreak/>
        <w:t xml:space="preserve">A PCN should also work with Alliances and its GP practices to: </w:t>
      </w:r>
    </w:p>
    <w:p w14:paraId="3BF9CAF1" w14:textId="77777777" w:rsidR="00607985" w:rsidRPr="00EB2EEC" w:rsidRDefault="00607985" w:rsidP="00607985">
      <w:pPr>
        <w:pStyle w:val="Bulletlist"/>
        <w:keepNext/>
        <w:ind w:left="924"/>
        <w:rPr>
          <w:rStyle w:val="Hyperlink"/>
          <w:rFonts w:eastAsia="MS Mincho" w:cs="Arial"/>
          <w:color w:val="auto"/>
        </w:rPr>
      </w:pPr>
      <w:r w:rsidRPr="00EB2EEC">
        <w:rPr>
          <w:rFonts w:cs="Arial"/>
          <w:color w:val="auto"/>
        </w:rPr>
        <w:t xml:space="preserve">review the recommendations of, and ensure local referral practice reflects, </w:t>
      </w:r>
      <w:hyperlink r:id="rId49">
        <w:r w:rsidRPr="00EB2EEC">
          <w:rPr>
            <w:rStyle w:val="Hyperlink"/>
            <w:rFonts w:eastAsia="MS Mincho" w:cs="Arial"/>
            <w:bCs/>
            <w:color w:val="auto"/>
          </w:rPr>
          <w:t>NICE Guideline NG12</w:t>
        </w:r>
      </w:hyperlink>
      <w:r w:rsidRPr="00EB2EEC">
        <w:rPr>
          <w:rStyle w:val="Hyperlink"/>
          <w:rFonts w:eastAsia="MS Mincho" w:cs="Arial"/>
          <w:bCs/>
          <w:color w:val="auto"/>
        </w:rPr>
        <w:t>;</w:t>
      </w:r>
    </w:p>
    <w:p w14:paraId="78EB49CD" w14:textId="77777777" w:rsidR="00607985" w:rsidRPr="00EB2EEC" w:rsidRDefault="00607985" w:rsidP="00607985">
      <w:pPr>
        <w:pStyle w:val="Bulletlist"/>
        <w:keepNext/>
        <w:ind w:left="924"/>
        <w:rPr>
          <w:rStyle w:val="Hyperlink"/>
          <w:rFonts w:eastAsia="MS Mincho" w:cs="Arial"/>
          <w:color w:val="auto"/>
        </w:rPr>
      </w:pPr>
      <w:r w:rsidRPr="00EB2EEC">
        <w:rPr>
          <w:rFonts w:cs="Arial"/>
          <w:color w:val="auto"/>
        </w:rPr>
        <w:t xml:space="preserve">audit referrals for people who have received a diagnosis of cancer. The following templates could be used to do this: </w:t>
      </w:r>
      <w:hyperlink r:id="rId50" w:tgtFrame="_blank" w:history="1">
        <w:r w:rsidRPr="00EB2EEC">
          <w:rPr>
            <w:rStyle w:val="Hyperlink"/>
            <w:rFonts w:eastAsia="MS Mincho" w:cs="Arial"/>
            <w:bCs/>
            <w:color w:val="auto"/>
            <w:lang w:val="en-US"/>
          </w:rPr>
          <w:t>NCDA Patient Proforma</w:t>
        </w:r>
      </w:hyperlink>
      <w:r w:rsidRPr="00EB2EEC">
        <w:rPr>
          <w:rFonts w:cs="Arial"/>
          <w:color w:val="auto"/>
          <w:lang w:val="en-US"/>
        </w:rPr>
        <w:t xml:space="preserve"> and </w:t>
      </w:r>
      <w:hyperlink r:id="rId51" w:tgtFrame="_blank" w:history="1">
        <w:r w:rsidRPr="00EB2EEC">
          <w:rPr>
            <w:rStyle w:val="Hyperlink"/>
            <w:rFonts w:eastAsia="MS Mincho" w:cs="Arial"/>
            <w:bCs/>
            <w:color w:val="auto"/>
            <w:lang w:val="en-US"/>
          </w:rPr>
          <w:t>NCDA Data collection template</w:t>
        </w:r>
      </w:hyperlink>
      <w:r w:rsidRPr="00EB2EEC">
        <w:rPr>
          <w:rStyle w:val="Hyperlink"/>
          <w:rFonts w:eastAsia="MS Mincho" w:cs="Arial"/>
          <w:bCs/>
          <w:color w:val="auto"/>
          <w:lang w:val="en-US"/>
        </w:rPr>
        <w:t>;</w:t>
      </w:r>
    </w:p>
    <w:p w14:paraId="757B3DE6" w14:textId="77777777" w:rsidR="00607985" w:rsidRPr="00EB2EEC" w:rsidRDefault="00607985" w:rsidP="00607985">
      <w:pPr>
        <w:pStyle w:val="Bulletlist"/>
        <w:keepNext/>
        <w:ind w:left="924"/>
        <w:rPr>
          <w:rFonts w:cs="Arial"/>
          <w:color w:val="auto"/>
        </w:rPr>
      </w:pPr>
      <w:r w:rsidRPr="00EB2EEC">
        <w:rPr>
          <w:rFonts w:cs="Arial"/>
          <w:color w:val="auto"/>
        </w:rPr>
        <w:t xml:space="preserve">use </w:t>
      </w:r>
      <w:hyperlink r:id="rId52" w:history="1">
        <w:r w:rsidRPr="00EB2EEC">
          <w:rPr>
            <w:rStyle w:val="Hyperlink"/>
            <w:rFonts w:eastAsia="MS Mincho" w:cs="Arial"/>
            <w:color w:val="auto"/>
          </w:rPr>
          <w:t>Office for Health Improvement and Disparities (OHID) Fingertips</w:t>
        </w:r>
      </w:hyperlink>
      <w:r w:rsidRPr="00EB2EEC">
        <w:rPr>
          <w:rFonts w:cs="Arial"/>
          <w:color w:val="auto"/>
          <w:u w:val="single"/>
        </w:rPr>
        <w:t>,</w:t>
      </w:r>
      <w:r w:rsidRPr="00EB2EEC">
        <w:rPr>
          <w:rFonts w:cs="Arial"/>
          <w:color w:val="auto"/>
        </w:rPr>
        <w:t xml:space="preserve"> which provides data on cancer services at GP practice and PCN level, to inform improvement actions; and, </w:t>
      </w:r>
    </w:p>
    <w:p w14:paraId="14028749" w14:textId="77777777" w:rsidR="00607985" w:rsidRPr="00EB2EEC" w:rsidRDefault="00607985" w:rsidP="00607985">
      <w:pPr>
        <w:pStyle w:val="Bulletlist"/>
        <w:keepNext/>
        <w:ind w:left="924"/>
        <w:rPr>
          <w:rFonts w:cs="Arial"/>
          <w:color w:val="auto"/>
        </w:rPr>
      </w:pPr>
      <w:r w:rsidRPr="00EB2EEC">
        <w:rPr>
          <w:rFonts w:cs="Arial"/>
          <w:color w:val="auto"/>
        </w:rPr>
        <w:t>assess different stages in the pathway for improvement, for example, the interval between first presentation and when an urgent suspected cancer referral is made and the number of appointments prior to urgent suspected cancer referral.</w:t>
      </w:r>
    </w:p>
    <w:p w14:paraId="400CB032" w14:textId="77777777" w:rsidR="00607985" w:rsidRDefault="00607985" w:rsidP="00607985">
      <w:pPr>
        <w:pStyle w:val="3digitpara"/>
        <w:keepNext/>
        <w:ind w:left="851"/>
        <w:rPr>
          <w:rFonts w:cs="Arial"/>
        </w:rPr>
      </w:pPr>
      <w:r w:rsidRPr="0039089C">
        <w:rPr>
          <w:rFonts w:cs="Arial"/>
        </w:rPr>
        <w:t xml:space="preserve">Guidance has been updated to support and streamline diagnosis and referral practice in primary care. A PCN should:   </w:t>
      </w:r>
    </w:p>
    <w:p w14:paraId="41D03C3D" w14:textId="77777777" w:rsidR="00607985" w:rsidRPr="008B3006" w:rsidRDefault="0C627A10" w:rsidP="2DB054E5">
      <w:pPr>
        <w:pStyle w:val="Bulletlist"/>
        <w:rPr>
          <w:rFonts w:cs="Arial"/>
          <w:color w:val="auto"/>
        </w:rPr>
      </w:pPr>
      <w:r w:rsidRPr="6302480B">
        <w:rPr>
          <w:rFonts w:cs="Arial"/>
          <w:color w:val="auto"/>
        </w:rPr>
        <w:t xml:space="preserve">promote use of direct access tests where GPs consider an urgent investigation is required but do not think an urgent suspected cancer referral, as per NICE NG12 guidance, is appropriate, as outlined in </w:t>
      </w:r>
      <w:hyperlink r:id="rId53">
        <w:r w:rsidRPr="6302480B">
          <w:rPr>
            <w:rStyle w:val="Hyperlink"/>
            <w:rFonts w:eastAsia="MS Mincho" w:cs="Arial"/>
            <w:color w:val="auto"/>
          </w:rPr>
          <w:t>NHS England GP Direct Access guidance</w:t>
        </w:r>
      </w:hyperlink>
      <w:r w:rsidRPr="6302480B">
        <w:rPr>
          <w:rFonts w:cs="Arial"/>
          <w:color w:val="auto"/>
        </w:rPr>
        <w:t xml:space="preserve">. </w:t>
      </w:r>
    </w:p>
    <w:p w14:paraId="6CA3D456" w14:textId="77777777" w:rsidR="00607985" w:rsidRDefault="5123645A" w:rsidP="2DB054E5">
      <w:pPr>
        <w:pStyle w:val="Bulletlist"/>
        <w:rPr>
          <w:rFonts w:cs="Arial"/>
          <w:color w:val="auto"/>
        </w:rPr>
      </w:pPr>
      <w:r w:rsidRPr="2DB054E5">
        <w:rPr>
          <w:rFonts w:cs="Arial"/>
          <w:color w:val="auto"/>
        </w:rPr>
        <w:t xml:space="preserve">promote use of Faecal Immunochemical Testing (FIT) to patients with signs and symptoms of colorectal cancer to identify those requiring a Lower GI Urgent Suspected Cancer referral. FIT testing should be delivered in accordance with </w:t>
      </w:r>
      <w:hyperlink r:id="rId54">
        <w:r w:rsidRPr="2DB054E5">
          <w:rPr>
            <w:rStyle w:val="Hyperlink"/>
            <w:rFonts w:eastAsia="MS Mincho" w:cs="Arial"/>
            <w:color w:val="auto"/>
          </w:rPr>
          <w:t>NICE Diagnostics Guidance 56</w:t>
        </w:r>
      </w:hyperlink>
      <w:r w:rsidRPr="2DB054E5">
        <w:rPr>
          <w:rFonts w:cs="Arial"/>
          <w:color w:val="auto"/>
        </w:rPr>
        <w:t>. Patients living in more deprived areas are more likely to be diagnosed with bowel cancer at a later stage and are less likely to complete a FIT test. PCNs should target action to address variation in completion of FIT tests in symptomatic patients by deprivation and develop patient education and safety netting approaches to follow up with those who have not returned their FIT test.</w:t>
      </w:r>
    </w:p>
    <w:p w14:paraId="6415E1D3" w14:textId="77777777" w:rsidR="00607985" w:rsidRPr="00476F0C" w:rsidRDefault="5123645A" w:rsidP="2DB054E5">
      <w:pPr>
        <w:pStyle w:val="Bulletlist"/>
        <w:rPr>
          <w:rFonts w:cs="Arial"/>
          <w:color w:val="auto"/>
        </w:rPr>
      </w:pPr>
      <w:r w:rsidRPr="2DB054E5">
        <w:rPr>
          <w:rFonts w:cs="Arial"/>
          <w:color w:val="auto"/>
        </w:rPr>
        <w:t>promote use of Non-Specific Symptom (NSS) pathways for patients with symptoms that could indicate cancer but who do not fit clearly into a single Urgent Suspected Cancer referral pathway. PCNs should</w:t>
      </w:r>
      <w:r w:rsidRPr="2DB054E5">
        <w:rPr>
          <w:rFonts w:eastAsiaTheme="minorEastAsia" w:cs="Arial"/>
          <w:color w:val="auto"/>
          <w:shd w:val="clear" w:color="auto" w:fill="FFFFFF"/>
        </w:rPr>
        <w:t xml:space="preserve"> support practices to undertake filter function tests for NSS patients</w:t>
      </w:r>
      <w:r w:rsidRPr="2DB054E5">
        <w:rPr>
          <w:rFonts w:cs="Arial"/>
          <w:color w:val="auto"/>
        </w:rPr>
        <w:t xml:space="preserve">, as outlined in Annex 1 of the </w:t>
      </w:r>
      <w:hyperlink r:id="rId55" w:history="1">
        <w:r w:rsidRPr="2DB054E5">
          <w:rPr>
            <w:rStyle w:val="Hyperlink"/>
            <w:rFonts w:eastAsia="MS Mincho" w:cs="Arial"/>
            <w:color w:val="auto"/>
          </w:rPr>
          <w:t>Faster Diagnosis Framework</w:t>
        </w:r>
      </w:hyperlink>
      <w:r w:rsidRPr="2DB054E5">
        <w:rPr>
          <w:rFonts w:cs="Arial"/>
          <w:color w:val="auto"/>
          <w:u w:val="single"/>
        </w:rPr>
        <w:t>.</w:t>
      </w:r>
    </w:p>
    <w:p w14:paraId="36853BC9" w14:textId="77777777" w:rsidR="00607985" w:rsidRPr="00476F0C" w:rsidRDefault="5123645A" w:rsidP="2DB054E5">
      <w:pPr>
        <w:pStyle w:val="Bulletlist"/>
        <w:rPr>
          <w:rFonts w:cs="Arial"/>
          <w:color w:val="auto"/>
        </w:rPr>
      </w:pPr>
      <w:r w:rsidRPr="2DB054E5">
        <w:rPr>
          <w:rFonts w:cs="Arial"/>
          <w:color w:val="auto"/>
        </w:rPr>
        <w:t xml:space="preserve">promote the use of </w:t>
      </w:r>
      <w:proofErr w:type="spellStart"/>
      <w:r w:rsidRPr="2DB054E5">
        <w:rPr>
          <w:rFonts w:cs="Arial"/>
          <w:color w:val="auto"/>
        </w:rPr>
        <w:t>teledermatology</w:t>
      </w:r>
      <w:proofErr w:type="spellEnd"/>
      <w:r w:rsidRPr="2DB054E5">
        <w:rPr>
          <w:rFonts w:cs="Arial"/>
          <w:color w:val="auto"/>
        </w:rPr>
        <w:t xml:space="preserve"> to support faster skin cancer referrals, with reference </w:t>
      </w:r>
      <w:r w:rsidRPr="2DB054E5">
        <w:rPr>
          <w:rStyle w:val="contentpasted15"/>
          <w:rFonts w:cs="Arial"/>
          <w:color w:val="auto"/>
          <w:shd w:val="clear" w:color="auto" w:fill="FFFFFF"/>
        </w:rPr>
        <w:t xml:space="preserve">to NHS England </w:t>
      </w:r>
      <w:hyperlink r:id="rId56" w:history="1">
        <w:r w:rsidRPr="2DB054E5">
          <w:rPr>
            <w:rStyle w:val="Hyperlink"/>
            <w:rFonts w:eastAsia="MS Mincho" w:cs="Arial"/>
            <w:color w:val="auto"/>
            <w:shd w:val="clear" w:color="auto" w:fill="FFFFFF"/>
          </w:rPr>
          <w:t>guidance</w:t>
        </w:r>
      </w:hyperlink>
      <w:r w:rsidRPr="2DB054E5">
        <w:rPr>
          <w:rStyle w:val="contentpasted15"/>
          <w:rFonts w:cs="Arial"/>
          <w:color w:val="auto"/>
          <w:shd w:val="clear" w:color="auto" w:fill="FFFFFF"/>
        </w:rPr>
        <w:t xml:space="preserve"> and </w:t>
      </w:r>
      <w:r w:rsidRPr="2DB054E5">
        <w:rPr>
          <w:rFonts w:cs="Arial"/>
          <w:color w:val="auto"/>
        </w:rPr>
        <w:t xml:space="preserve">the </w:t>
      </w:r>
      <w:hyperlink r:id="rId57" w:history="1">
        <w:r w:rsidRPr="2DB054E5">
          <w:rPr>
            <w:rStyle w:val="Hyperlink"/>
            <w:rFonts w:eastAsia="MS Mincho" w:cs="Arial"/>
            <w:color w:val="auto"/>
          </w:rPr>
          <w:t>Best Practice Timed Pathway</w:t>
        </w:r>
      </w:hyperlink>
      <w:r w:rsidRPr="2DB054E5">
        <w:rPr>
          <w:rFonts w:cs="Arial"/>
          <w:color w:val="auto"/>
        </w:rPr>
        <w:t>.</w:t>
      </w:r>
    </w:p>
    <w:p w14:paraId="3FA22202" w14:textId="77777777" w:rsidR="004A3C86" w:rsidRDefault="009C2BA6" w:rsidP="00BB3B47">
      <w:pPr>
        <w:pStyle w:val="Heading5"/>
        <w:ind w:left="357"/>
        <w:rPr>
          <w:rFonts w:hint="eastAsia"/>
        </w:rPr>
      </w:pPr>
      <w:r w:rsidRPr="009C2BA6">
        <w:t xml:space="preserve">Screening uptake </w:t>
      </w:r>
    </w:p>
    <w:p w14:paraId="3B35D83E" w14:textId="75D8E505" w:rsidR="009C2BA6" w:rsidRPr="009C2BA6" w:rsidRDefault="009C2BA6" w:rsidP="004C52F4">
      <w:pPr>
        <w:pStyle w:val="3digitpara"/>
      </w:pPr>
      <w:bookmarkStart w:id="58" w:name="_Toc153872902"/>
      <w:bookmarkStart w:id="59" w:name="_Toc153872946"/>
      <w:r>
        <w:t>Actions to improve screening uptake</w:t>
      </w:r>
      <w:r w:rsidR="00BB3B47">
        <w:t xml:space="preserve"> should</w:t>
      </w:r>
      <w:r>
        <w:t xml:space="preserve"> include:</w:t>
      </w:r>
      <w:bookmarkEnd w:id="58"/>
      <w:bookmarkEnd w:id="59"/>
    </w:p>
    <w:p w14:paraId="1BB5916D" w14:textId="39D6F9A0" w:rsidR="009C2BA6" w:rsidRPr="009C2BA6" w:rsidRDefault="20DE0190" w:rsidP="2DB054E5">
      <w:pPr>
        <w:pStyle w:val="Bulletlist"/>
        <w:rPr>
          <w:i/>
          <w:iCs/>
          <w:color w:val="auto"/>
        </w:rPr>
      </w:pPr>
      <w:r w:rsidRPr="2DB054E5">
        <w:rPr>
          <w:color w:val="auto"/>
        </w:rPr>
        <w:lastRenderedPageBreak/>
        <w:t>using</w:t>
      </w:r>
      <w:r w:rsidR="7539C9F6" w:rsidRPr="2DB054E5">
        <w:rPr>
          <w:color w:val="auto"/>
        </w:rPr>
        <w:t xml:space="preserve"> data on OHID </w:t>
      </w:r>
      <w:hyperlink r:id="rId58">
        <w:r w:rsidR="7539C9F6" w:rsidRPr="2DB054E5">
          <w:rPr>
            <w:rStyle w:val="Hyperlink"/>
            <w:rFonts w:ascii="Arial" w:hAnsi="Arial"/>
            <w:color w:val="auto"/>
          </w:rPr>
          <w:t>Fingertips</w:t>
        </w:r>
      </w:hyperlink>
      <w:r w:rsidR="7539C9F6" w:rsidRPr="2DB054E5">
        <w:rPr>
          <w:color w:val="auto"/>
        </w:rPr>
        <w:t xml:space="preserve"> to understand any variance in screening programme uptake and take corrective action</w:t>
      </w:r>
      <w:r w:rsidR="7331A60A" w:rsidRPr="2DB054E5">
        <w:rPr>
          <w:color w:val="auto"/>
        </w:rPr>
        <w:t>;</w:t>
      </w:r>
    </w:p>
    <w:p w14:paraId="1F98C057" w14:textId="07335149" w:rsidR="009C2BA6" w:rsidRPr="009C2BA6" w:rsidRDefault="20DE0190" w:rsidP="2DB054E5">
      <w:pPr>
        <w:pStyle w:val="Bulletlist"/>
        <w:rPr>
          <w:color w:val="auto"/>
        </w:rPr>
      </w:pPr>
      <w:r w:rsidRPr="2DB054E5">
        <w:rPr>
          <w:color w:val="auto"/>
        </w:rPr>
        <w:t>a</w:t>
      </w:r>
      <w:r w:rsidR="7539C9F6" w:rsidRPr="2DB054E5">
        <w:rPr>
          <w:color w:val="auto"/>
        </w:rPr>
        <w:t xml:space="preserve">uditing non responders to the cancer screening programme/s, </w:t>
      </w:r>
      <w:r w:rsidR="00016EED">
        <w:rPr>
          <w:color w:val="auto"/>
        </w:rPr>
        <w:t>including</w:t>
      </w:r>
      <w:r w:rsidR="7539C9F6" w:rsidRPr="2DB054E5">
        <w:rPr>
          <w:color w:val="auto"/>
        </w:rPr>
        <w:t xml:space="preserve"> breast, cervical and bowel, to analyse why uptake may be low and work with the NHS England regional public health commissioning teams, Cancer Alliances and ICBs to identify and action improvement priorities</w:t>
      </w:r>
      <w:r w:rsidR="7331A60A" w:rsidRPr="2DB054E5">
        <w:rPr>
          <w:color w:val="auto"/>
        </w:rPr>
        <w:t>;</w:t>
      </w:r>
    </w:p>
    <w:p w14:paraId="421796DB" w14:textId="167BC3D1" w:rsidR="009C2BA6" w:rsidRPr="009C2BA6" w:rsidRDefault="20DE0190" w:rsidP="2DB054E5">
      <w:pPr>
        <w:pStyle w:val="Bulletlist"/>
        <w:rPr>
          <w:color w:val="auto"/>
        </w:rPr>
      </w:pPr>
      <w:r w:rsidRPr="2DB054E5">
        <w:rPr>
          <w:color w:val="auto"/>
        </w:rPr>
        <w:t>a</w:t>
      </w:r>
      <w:r w:rsidR="7539C9F6" w:rsidRPr="2DB054E5">
        <w:rPr>
          <w:color w:val="auto"/>
        </w:rPr>
        <w:t xml:space="preserve">dopting an </w:t>
      </w:r>
      <w:hyperlink r:id="rId59">
        <w:r w:rsidR="7539C9F6" w:rsidRPr="2DB054E5">
          <w:rPr>
            <w:rStyle w:val="Hyperlink"/>
            <w:rFonts w:ascii="Arial" w:hAnsi="Arial"/>
            <w:color w:val="auto"/>
          </w:rPr>
          <w:t>‘Every Contact Counts’</w:t>
        </w:r>
      </w:hyperlink>
      <w:r w:rsidR="7539C9F6" w:rsidRPr="2DB054E5">
        <w:rPr>
          <w:color w:val="auto"/>
        </w:rPr>
        <w:t xml:space="preserve"> approach ensuring screening history is checked at every appointment</w:t>
      </w:r>
      <w:r w:rsidR="7331A60A" w:rsidRPr="2DB054E5">
        <w:rPr>
          <w:color w:val="auto"/>
        </w:rPr>
        <w:t>;</w:t>
      </w:r>
    </w:p>
    <w:p w14:paraId="1E0333D1" w14:textId="55FD29A4" w:rsidR="009C2BA6" w:rsidRPr="009C2BA6" w:rsidRDefault="20DE0190" w:rsidP="2DB054E5">
      <w:pPr>
        <w:pStyle w:val="Bulletlist"/>
        <w:rPr>
          <w:color w:val="auto"/>
        </w:rPr>
      </w:pPr>
      <w:r w:rsidRPr="2DB054E5">
        <w:rPr>
          <w:color w:val="auto"/>
        </w:rPr>
        <w:t>m</w:t>
      </w:r>
      <w:r w:rsidR="7539C9F6" w:rsidRPr="2DB054E5">
        <w:rPr>
          <w:color w:val="auto"/>
        </w:rPr>
        <w:t>aking use of resources available to identify initiatives, including:</w:t>
      </w:r>
    </w:p>
    <w:p w14:paraId="7BE78DBF" w14:textId="393BD855" w:rsidR="009C2BA6" w:rsidRPr="009C2BA6" w:rsidRDefault="7539C9F6" w:rsidP="2DB054E5">
      <w:pPr>
        <w:pStyle w:val="Bulletlist"/>
        <w:numPr>
          <w:ilvl w:val="1"/>
          <w:numId w:val="1"/>
        </w:numPr>
        <w:rPr>
          <w:rStyle w:val="Hyperlink"/>
          <w:rFonts w:ascii="Arial" w:hAnsi="Arial"/>
          <w:color w:val="auto"/>
        </w:rPr>
      </w:pPr>
      <w:hyperlink r:id="rId60">
        <w:r w:rsidRPr="2DB054E5">
          <w:rPr>
            <w:rStyle w:val="Hyperlink"/>
            <w:rFonts w:ascii="Arial" w:hAnsi="Arial"/>
            <w:color w:val="auto"/>
          </w:rPr>
          <w:t>CRUK Primary Care Good Practice Guide: Cervical Screening</w:t>
        </w:r>
      </w:hyperlink>
      <w:r w:rsidR="7331A60A" w:rsidRPr="2DB054E5">
        <w:rPr>
          <w:rStyle w:val="Hyperlink"/>
          <w:rFonts w:ascii="Arial" w:hAnsi="Arial"/>
          <w:color w:val="auto"/>
        </w:rPr>
        <w:t>;</w:t>
      </w:r>
    </w:p>
    <w:p w14:paraId="7D35DAC2" w14:textId="77777777" w:rsidR="009C2BA6" w:rsidRPr="009C2BA6" w:rsidRDefault="7539C9F6" w:rsidP="2DB054E5">
      <w:pPr>
        <w:pStyle w:val="Bulletlist"/>
        <w:numPr>
          <w:ilvl w:val="1"/>
          <w:numId w:val="1"/>
        </w:numPr>
        <w:rPr>
          <w:color w:val="auto"/>
        </w:rPr>
      </w:pPr>
      <w:hyperlink r:id="rId61">
        <w:r w:rsidRPr="2DB054E5">
          <w:rPr>
            <w:rStyle w:val="Hyperlink"/>
            <w:rFonts w:ascii="Arial" w:hAnsi="Arial"/>
            <w:color w:val="auto"/>
          </w:rPr>
          <w:t>Macmillan Cancer Screening Quality Improvement Toolkit.</w:t>
        </w:r>
      </w:hyperlink>
    </w:p>
    <w:p w14:paraId="161646C8" w14:textId="1663B809" w:rsidR="009C2BA6" w:rsidRPr="009C2BA6" w:rsidRDefault="7539C9F6" w:rsidP="2DB054E5">
      <w:pPr>
        <w:pStyle w:val="Bulletlist"/>
        <w:numPr>
          <w:ilvl w:val="1"/>
          <w:numId w:val="1"/>
        </w:numPr>
        <w:rPr>
          <w:rStyle w:val="Hyperlink"/>
          <w:rFonts w:ascii="Arial" w:hAnsi="Arial"/>
          <w:color w:val="auto"/>
        </w:rPr>
      </w:pPr>
      <w:hyperlink r:id="rId62">
        <w:r w:rsidRPr="2DB054E5">
          <w:rPr>
            <w:rStyle w:val="Hyperlink"/>
            <w:rFonts w:ascii="Arial" w:hAnsi="Arial"/>
            <w:color w:val="auto"/>
          </w:rPr>
          <w:t>Healthcare professionals | Breast Cancer Now Resources for health professionals and patients</w:t>
        </w:r>
      </w:hyperlink>
      <w:r w:rsidR="7331A60A" w:rsidRPr="2DB054E5">
        <w:rPr>
          <w:rStyle w:val="Hyperlink"/>
          <w:rFonts w:ascii="Arial" w:hAnsi="Arial"/>
          <w:color w:val="auto"/>
        </w:rPr>
        <w:t>;</w:t>
      </w:r>
    </w:p>
    <w:p w14:paraId="6FA61556" w14:textId="31EC9B96" w:rsidR="009C2BA6" w:rsidRPr="009C2BA6" w:rsidRDefault="7539C9F6" w:rsidP="2DB054E5">
      <w:pPr>
        <w:pStyle w:val="Bulletlist"/>
        <w:numPr>
          <w:ilvl w:val="1"/>
          <w:numId w:val="1"/>
        </w:numPr>
        <w:rPr>
          <w:color w:val="auto"/>
        </w:rPr>
      </w:pPr>
      <w:hyperlink r:id="rId63">
        <w:r w:rsidRPr="2DB054E5">
          <w:rPr>
            <w:rStyle w:val="Hyperlink"/>
            <w:rFonts w:ascii="Arial" w:hAnsi="Arial"/>
            <w:color w:val="auto"/>
          </w:rPr>
          <w:t>Help Us Help You</w:t>
        </w:r>
      </w:hyperlink>
      <w:r w:rsidRPr="2DB054E5">
        <w:rPr>
          <w:color w:val="auto"/>
        </w:rPr>
        <w:t xml:space="preserve"> cancer screening campaigns</w:t>
      </w:r>
      <w:r w:rsidR="7331A60A" w:rsidRPr="2DB054E5">
        <w:rPr>
          <w:color w:val="auto"/>
        </w:rPr>
        <w:t>;</w:t>
      </w:r>
    </w:p>
    <w:p w14:paraId="384DB2B8" w14:textId="73B50B64" w:rsidR="009C2BA6" w:rsidRPr="009C2BA6" w:rsidRDefault="7539C9F6" w:rsidP="2DB054E5">
      <w:pPr>
        <w:pStyle w:val="Bulletlist"/>
        <w:numPr>
          <w:ilvl w:val="1"/>
          <w:numId w:val="1"/>
        </w:numPr>
        <w:rPr>
          <w:color w:val="auto"/>
        </w:rPr>
      </w:pPr>
      <w:hyperlink r:id="rId64">
        <w:r w:rsidRPr="2DB054E5">
          <w:rPr>
            <w:rStyle w:val="Hyperlink"/>
            <w:rFonts w:ascii="Arial" w:hAnsi="Arial"/>
            <w:color w:val="auto"/>
          </w:rPr>
          <w:t>Screening Saves Lives</w:t>
        </w:r>
      </w:hyperlink>
      <w:r w:rsidRPr="2DB054E5">
        <w:rPr>
          <w:color w:val="auto"/>
        </w:rPr>
        <w:t xml:space="preserve"> which can be delivered locally</w:t>
      </w:r>
      <w:r w:rsidR="20DE0190" w:rsidRPr="2DB054E5">
        <w:rPr>
          <w:color w:val="auto"/>
        </w:rPr>
        <w:t>.</w:t>
      </w:r>
    </w:p>
    <w:p w14:paraId="17CE0108" w14:textId="4FAF5C84" w:rsidR="009C2BA6" w:rsidRPr="009C2BA6" w:rsidRDefault="009C2BA6" w:rsidP="001706BB">
      <w:pPr>
        <w:pStyle w:val="h3numbered"/>
        <w:numPr>
          <w:ilvl w:val="1"/>
          <w:numId w:val="48"/>
        </w:numPr>
      </w:pPr>
      <w:bookmarkStart w:id="60" w:name="_Toc153872903"/>
      <w:bookmarkStart w:id="61" w:name="_Toc153872947"/>
      <w:bookmarkStart w:id="62" w:name="_Toc153902658"/>
      <w:bookmarkStart w:id="63" w:name="_Toc153990110"/>
      <w:bookmarkStart w:id="64" w:name="_Toc193808070"/>
      <w:r w:rsidRPr="009C2BA6">
        <w:t xml:space="preserve">Targeting resource </w:t>
      </w:r>
      <w:bookmarkEnd w:id="60"/>
      <w:bookmarkEnd w:id="61"/>
      <w:bookmarkEnd w:id="62"/>
      <w:bookmarkEnd w:id="63"/>
      <w:r w:rsidR="005715ED">
        <w:t>and efforts</w:t>
      </w:r>
      <w:bookmarkEnd w:id="64"/>
      <w:r w:rsidR="005715ED">
        <w:t xml:space="preserve"> </w:t>
      </w:r>
    </w:p>
    <w:p w14:paraId="550A4E9F" w14:textId="1E7D9A42" w:rsidR="009C2BA6" w:rsidRPr="009C2BA6" w:rsidRDefault="009C2BA6" w:rsidP="004A3C86">
      <w:pPr>
        <w:pStyle w:val="Heading4"/>
        <w:rPr>
          <w:rFonts w:hint="eastAsia"/>
        </w:rPr>
      </w:pPr>
      <w:bookmarkStart w:id="65" w:name="_Toc153990111"/>
      <w:bookmarkStart w:id="66" w:name="_Toc193808071"/>
      <w:r w:rsidRPr="009C2BA6">
        <w:t xml:space="preserve">Proactive </w:t>
      </w:r>
      <w:r w:rsidR="004A3C86">
        <w:t>c</w:t>
      </w:r>
      <w:r w:rsidRPr="009C2BA6">
        <w:t xml:space="preserve">are (for </w:t>
      </w:r>
      <w:r w:rsidR="004A3C86">
        <w:t>f</w:t>
      </w:r>
      <w:r w:rsidRPr="009C2BA6">
        <w:t>railty)</w:t>
      </w:r>
      <w:bookmarkEnd w:id="65"/>
      <w:bookmarkEnd w:id="66"/>
    </w:p>
    <w:p w14:paraId="077704E1" w14:textId="46191E2E" w:rsidR="009C2BA6" w:rsidRPr="00E46491" w:rsidRDefault="009C2BA6" w:rsidP="00887432">
      <w:pPr>
        <w:pStyle w:val="3digitpara"/>
        <w:numPr>
          <w:ilvl w:val="7"/>
          <w:numId w:val="45"/>
        </w:numPr>
      </w:pPr>
      <w:r w:rsidRPr="004A3C86">
        <w:t xml:space="preserve">The DES </w:t>
      </w:r>
      <w:r w:rsidR="00691400">
        <w:t xml:space="preserve">specification </w:t>
      </w:r>
      <w:r w:rsidRPr="004A3C86">
        <w:t xml:space="preserve">states that PCNs </w:t>
      </w:r>
      <w:r w:rsidR="00250037" w:rsidRPr="00E46491">
        <w:t>“</w:t>
      </w:r>
      <w:r w:rsidR="0025091F" w:rsidRPr="002D72AA">
        <w:rPr>
          <w:i/>
          <w:iCs/>
        </w:rPr>
        <w:t xml:space="preserve">must </w:t>
      </w:r>
      <w:r w:rsidRPr="002D72AA">
        <w:rPr>
          <w:i/>
          <w:iCs/>
        </w:rPr>
        <w:t xml:space="preserve">contribute to the delivery </w:t>
      </w:r>
      <w:hyperlink r:id="rId65" w:history="1">
        <w:r w:rsidRPr="002D72AA">
          <w:rPr>
            <w:rStyle w:val="Hyperlink"/>
            <w:rFonts w:ascii="Arial" w:hAnsi="Arial"/>
            <w:i/>
            <w:iCs/>
          </w:rPr>
          <w:t>of multi-disciplinary proactive care</w:t>
        </w:r>
      </w:hyperlink>
      <w:r w:rsidRPr="002D72AA">
        <w:rPr>
          <w:i/>
          <w:iCs/>
        </w:rPr>
        <w:t xml:space="preserve"> </w:t>
      </w:r>
      <w:r w:rsidR="00CC2285" w:rsidRPr="002D72AA">
        <w:rPr>
          <w:i/>
          <w:iCs/>
        </w:rPr>
        <w:t>for</w:t>
      </w:r>
      <w:r w:rsidRPr="002D72AA">
        <w:rPr>
          <w:i/>
          <w:iCs/>
        </w:rPr>
        <w:t xml:space="preserve"> complex patients at greatest risk of deterioration and hospital admission</w:t>
      </w:r>
      <w:r w:rsidR="00CC2285" w:rsidRPr="002D72AA">
        <w:rPr>
          <w:i/>
          <w:iCs/>
        </w:rPr>
        <w:t>,</w:t>
      </w:r>
      <w:r w:rsidRPr="002D72AA">
        <w:rPr>
          <w:i/>
          <w:iCs/>
        </w:rPr>
        <w:t xml:space="preserve"> by risk stratifying patients and offering care in </w:t>
      </w:r>
      <w:r w:rsidR="00281F8C" w:rsidRPr="002D72AA">
        <w:rPr>
          <w:i/>
          <w:iCs/>
        </w:rPr>
        <w:t>accord</w:t>
      </w:r>
      <w:r w:rsidR="00335F35" w:rsidRPr="002D72AA">
        <w:rPr>
          <w:i/>
          <w:iCs/>
        </w:rPr>
        <w:t>ance with the guidance</w:t>
      </w:r>
      <w:r w:rsidR="004D2E2F" w:rsidRPr="002D72AA">
        <w:rPr>
          <w:i/>
          <w:iCs/>
        </w:rPr>
        <w:t>. This must be done as part of</w:t>
      </w:r>
      <w:r w:rsidRPr="002D72AA">
        <w:rPr>
          <w:i/>
          <w:iCs/>
        </w:rPr>
        <w:t xml:space="preserve"> </w:t>
      </w:r>
      <w:r w:rsidR="004D2E2F" w:rsidRPr="002D72AA">
        <w:rPr>
          <w:i/>
          <w:iCs/>
        </w:rPr>
        <w:t>INTs</w:t>
      </w:r>
      <w:r w:rsidRPr="002D72AA">
        <w:rPr>
          <w:i/>
          <w:iCs/>
        </w:rPr>
        <w:t>, with the aim of reducing avoidable exacerbations of ill health</w:t>
      </w:r>
      <w:r w:rsidR="00CC2285" w:rsidRPr="002D72AA">
        <w:rPr>
          <w:i/>
          <w:iCs/>
        </w:rPr>
        <w:t xml:space="preserve">, </w:t>
      </w:r>
      <w:r w:rsidRPr="002D72AA">
        <w:rPr>
          <w:i/>
          <w:iCs/>
        </w:rPr>
        <w:t>improving quality of care and patient experience</w:t>
      </w:r>
      <w:r w:rsidR="00D54DA9" w:rsidRPr="002D72AA">
        <w:rPr>
          <w:i/>
          <w:iCs/>
        </w:rPr>
        <w:t>, and</w:t>
      </w:r>
      <w:r w:rsidRPr="002D72AA">
        <w:rPr>
          <w:i/>
          <w:iCs/>
        </w:rPr>
        <w:t xml:space="preserve"> reducing unnecessary hospital admission</w:t>
      </w:r>
      <w:r w:rsidRPr="00685255">
        <w:t>.</w:t>
      </w:r>
      <w:r w:rsidR="00250037" w:rsidRPr="00685255">
        <w:t>”</w:t>
      </w:r>
    </w:p>
    <w:p w14:paraId="5E155273" w14:textId="3B1D8C88" w:rsidR="006C71B5" w:rsidRPr="009C2BA6" w:rsidRDefault="009C2BA6" w:rsidP="00887432">
      <w:pPr>
        <w:pStyle w:val="3digitpara"/>
        <w:numPr>
          <w:ilvl w:val="7"/>
          <w:numId w:val="45"/>
        </w:numPr>
      </w:pPr>
      <w:bookmarkStart w:id="67" w:name="_Toc26957671"/>
      <w:r>
        <w:t>To achieve this</w:t>
      </w:r>
      <w:r w:rsidR="00E142CF">
        <w:t>,</w:t>
      </w:r>
      <w:r w:rsidR="00803196">
        <w:t xml:space="preserve"> </w:t>
      </w:r>
      <w:r w:rsidR="00E24739">
        <w:t>a</w:t>
      </w:r>
      <w:r w:rsidR="006C71B5">
        <w:t xml:space="preserve"> PCN should refer to the </w:t>
      </w:r>
      <w:hyperlink r:id="rId66" w:history="1">
        <w:r w:rsidR="006C71B5" w:rsidRPr="0039089C">
          <w:rPr>
            <w:rStyle w:val="Hyperlink"/>
            <w:rFonts w:ascii="Arial" w:hAnsi="Arial"/>
          </w:rPr>
          <w:t>proactive care guidance</w:t>
        </w:r>
      </w:hyperlink>
      <w:r w:rsidR="006C71B5">
        <w:t xml:space="preserve"> to identify and code the target cohort, develop a personalised care and support plan, deliver co-ordinated multi-professional interventions and provide a clear plan for continuity of care. Depending on local capacity to implement proactive care, further prioritisation may be needed based on risk of deterioration.</w:t>
      </w:r>
    </w:p>
    <w:p w14:paraId="5E4FF134" w14:textId="38DDD7D0" w:rsidR="009C2BA6" w:rsidRPr="009C2BA6" w:rsidRDefault="009C2BA6" w:rsidP="00887432">
      <w:pPr>
        <w:pStyle w:val="3digitpara"/>
        <w:numPr>
          <w:ilvl w:val="7"/>
          <w:numId w:val="45"/>
        </w:numPr>
      </w:pPr>
      <w:r>
        <w:t>A PCN should utilise analysis of local data sets</w:t>
      </w:r>
      <w:r w:rsidR="003A1518">
        <w:t xml:space="preserve"> (as developed by ICS analytical teams</w:t>
      </w:r>
      <w:r w:rsidR="00F61C00">
        <w:t xml:space="preserve"> where applicable</w:t>
      </w:r>
      <w:r w:rsidR="003A1518">
        <w:t>)</w:t>
      </w:r>
      <w:r>
        <w:t xml:space="preserve">, evidence-based risk prediction tools such as the </w:t>
      </w:r>
      <w:hyperlink r:id="rId67">
        <w:r w:rsidRPr="0039089C">
          <w:rPr>
            <w:rStyle w:val="Hyperlink"/>
            <w:rFonts w:ascii="Arial" w:hAnsi="Arial"/>
          </w:rPr>
          <w:t>electronic frailty index</w:t>
        </w:r>
      </w:hyperlink>
      <w:r>
        <w:t xml:space="preserve">, the </w:t>
      </w:r>
      <w:hyperlink r:id="rId68">
        <w:r w:rsidRPr="0039089C">
          <w:rPr>
            <w:rStyle w:val="Hyperlink"/>
            <w:rFonts w:ascii="Arial" w:hAnsi="Arial"/>
          </w:rPr>
          <w:t>EFI2 (when published</w:t>
        </w:r>
      </w:hyperlink>
      <w:r>
        <w:t>), clinical validation tools and local knowledge</w:t>
      </w:r>
      <w:r w:rsidR="00221B7B">
        <w:t xml:space="preserve">, and practitioners should use the SNOMED codes outlined in the appendix. </w:t>
      </w:r>
    </w:p>
    <w:p w14:paraId="206FC0A7" w14:textId="146587AD" w:rsidR="009C2BA6" w:rsidRPr="009C2BA6" w:rsidRDefault="009C2BA6" w:rsidP="004A3C86">
      <w:pPr>
        <w:pStyle w:val="Heading4"/>
        <w:rPr>
          <w:rFonts w:hint="eastAsia"/>
        </w:rPr>
      </w:pPr>
      <w:bookmarkStart w:id="68" w:name="_Toc153872905"/>
      <w:bookmarkStart w:id="69" w:name="_Toc153872949"/>
      <w:bookmarkStart w:id="70" w:name="_Toc153902660"/>
      <w:bookmarkStart w:id="71" w:name="_Toc153990112"/>
      <w:bookmarkStart w:id="72" w:name="_Toc193808072"/>
      <w:bookmarkEnd w:id="67"/>
      <w:r w:rsidRPr="009C2BA6">
        <w:t xml:space="preserve">Structured </w:t>
      </w:r>
      <w:r w:rsidR="004A3C86">
        <w:t>m</w:t>
      </w:r>
      <w:r w:rsidRPr="009C2BA6">
        <w:t xml:space="preserve">edication </w:t>
      </w:r>
      <w:r w:rsidR="004A3C86">
        <w:t>r</w:t>
      </w:r>
      <w:r w:rsidRPr="009C2BA6">
        <w:t>eviews</w:t>
      </w:r>
      <w:r w:rsidR="003032FC">
        <w:t xml:space="preserve"> (SMRs)</w:t>
      </w:r>
      <w:r w:rsidRPr="009C2BA6">
        <w:t xml:space="preserve"> and </w:t>
      </w:r>
      <w:r w:rsidR="004A3C86">
        <w:t>m</w:t>
      </w:r>
      <w:r w:rsidRPr="009C2BA6">
        <w:t xml:space="preserve">edicines </w:t>
      </w:r>
      <w:r w:rsidR="004A3C86">
        <w:t>o</w:t>
      </w:r>
      <w:r w:rsidRPr="009C2BA6">
        <w:t>ptimisation</w:t>
      </w:r>
      <w:bookmarkEnd w:id="68"/>
      <w:bookmarkEnd w:id="69"/>
      <w:bookmarkEnd w:id="70"/>
      <w:bookmarkEnd w:id="71"/>
      <w:bookmarkEnd w:id="72"/>
    </w:p>
    <w:p w14:paraId="7A3E9B42" w14:textId="4CA7968A" w:rsidR="009C2BA6" w:rsidRPr="00E46491" w:rsidRDefault="00D5206D" w:rsidP="00887432">
      <w:pPr>
        <w:pStyle w:val="3digitpara"/>
        <w:numPr>
          <w:ilvl w:val="7"/>
          <w:numId w:val="45"/>
        </w:numPr>
      </w:pPr>
      <w:r>
        <w:t xml:space="preserve">The DES specification states that PCNs must </w:t>
      </w:r>
      <w:r w:rsidRPr="00E46491">
        <w:t>“</w:t>
      </w:r>
      <w:r w:rsidRPr="002D72AA">
        <w:rPr>
          <w:i/>
          <w:iCs/>
        </w:rPr>
        <w:t xml:space="preserve">detail the measures a PCN will take to improve medicines optimisation and implement those measures, </w:t>
      </w:r>
      <w:r w:rsidRPr="002D72AA">
        <w:rPr>
          <w:i/>
          <w:iCs/>
        </w:rPr>
        <w:lastRenderedPageBreak/>
        <w:t xml:space="preserve">including ensuring medicines management and use of </w:t>
      </w:r>
      <w:hyperlink r:id="rId69" w:anchor=":~:text=Structured%20Medicine%20Reviews%20(SMRs)%20are,all%20aspects%20of%20their%20health." w:history="1">
        <w:r w:rsidRPr="002D72AA">
          <w:rPr>
            <w:rStyle w:val="Hyperlink"/>
            <w:rFonts w:ascii="Arial" w:hAnsi="Arial"/>
            <w:i/>
            <w:iCs/>
          </w:rPr>
          <w:t>Structured Medication Reviews</w:t>
        </w:r>
      </w:hyperlink>
      <w:r w:rsidRPr="002D72AA">
        <w:rPr>
          <w:i/>
          <w:iCs/>
        </w:rPr>
        <w:t xml:space="preserve"> for high-risk cohorts, as specified in the </w:t>
      </w:r>
      <w:r w:rsidR="0069200B" w:rsidRPr="002D72AA">
        <w:rPr>
          <w:i/>
          <w:iCs/>
        </w:rPr>
        <w:t>g</w:t>
      </w:r>
      <w:r w:rsidRPr="002D72AA">
        <w:rPr>
          <w:i/>
          <w:iCs/>
        </w:rPr>
        <w:t>uidance. This should include medicines optimisation strategies for reducing polypharmacy, minimising risk of prescribing harm, reducing over-prescribing and managing the risk of dependency on prescription drugs</w:t>
      </w:r>
      <w:r w:rsidR="00AF78F9" w:rsidRPr="00E46491">
        <w:t>”</w:t>
      </w:r>
      <w:r w:rsidR="00CC2285">
        <w:t>.</w:t>
      </w:r>
      <w:r w:rsidRPr="00E46491">
        <w:t xml:space="preserve"> </w:t>
      </w:r>
    </w:p>
    <w:p w14:paraId="313D9899" w14:textId="3C4024AA" w:rsidR="009C2BA6" w:rsidRPr="009C2BA6" w:rsidRDefault="00C85772" w:rsidP="00887432">
      <w:pPr>
        <w:pStyle w:val="3digitpara"/>
        <w:numPr>
          <w:ilvl w:val="7"/>
          <w:numId w:val="45"/>
        </w:numPr>
      </w:pPr>
      <w:r>
        <w:t>To achieve this a PCN can undertake three priority actions as described below:</w:t>
      </w:r>
    </w:p>
    <w:p w14:paraId="674ACAFF" w14:textId="77777777" w:rsidR="004A3C86" w:rsidRDefault="009C2BA6" w:rsidP="008D0C0F">
      <w:pPr>
        <w:pStyle w:val="Heading5"/>
        <w:ind w:left="357"/>
        <w:rPr>
          <w:rFonts w:hint="eastAsia"/>
        </w:rPr>
      </w:pPr>
      <w:r w:rsidRPr="009C2BA6">
        <w:t>Identify patients suitable for an SMR</w:t>
      </w:r>
    </w:p>
    <w:p w14:paraId="514EC300" w14:textId="42B47F07" w:rsidR="009C2BA6" w:rsidRPr="009C2BA6" w:rsidRDefault="009C2BA6" w:rsidP="00887432">
      <w:pPr>
        <w:pStyle w:val="3digitpara"/>
        <w:numPr>
          <w:ilvl w:val="7"/>
          <w:numId w:val="45"/>
        </w:numPr>
      </w:pPr>
      <w:r>
        <w:t xml:space="preserve">PCNs should use appropriate tools to identify and prioritise patients who </w:t>
      </w:r>
      <w:r w:rsidR="00ED2BD5">
        <w:t xml:space="preserve">they deem high risk from their population, </w:t>
      </w:r>
      <w:r w:rsidR="0043166F">
        <w:t>and would</w:t>
      </w:r>
      <w:r>
        <w:t xml:space="preserve"> benefit from a SMR, which is expected to include those people where there is evidence of benefit </w:t>
      </w:r>
      <w:r w:rsidR="00ED2BD5">
        <w:t>including</w:t>
      </w:r>
      <w:r w:rsidR="008C6D60">
        <w:t>,</w:t>
      </w:r>
      <w:r w:rsidR="00ED2BD5">
        <w:t xml:space="preserve"> but not restricted to</w:t>
      </w:r>
      <w:r w:rsidR="008C6D60">
        <w:t>,</w:t>
      </w:r>
      <w:r>
        <w:t xml:space="preserve"> those:</w:t>
      </w:r>
    </w:p>
    <w:p w14:paraId="559BB9E8" w14:textId="7177E160" w:rsidR="009C2BA6" w:rsidRDefault="7539C9F6" w:rsidP="2DB054E5">
      <w:pPr>
        <w:pStyle w:val="Bulletlist"/>
        <w:rPr>
          <w:color w:val="auto"/>
        </w:rPr>
      </w:pPr>
      <w:r w:rsidRPr="2DB054E5">
        <w:rPr>
          <w:color w:val="auto"/>
        </w:rPr>
        <w:t>in care homes</w:t>
      </w:r>
      <w:r w:rsidR="2CC6BC1C" w:rsidRPr="2DB054E5">
        <w:rPr>
          <w:color w:val="auto"/>
        </w:rPr>
        <w:t>;</w:t>
      </w:r>
    </w:p>
    <w:p w14:paraId="0EC93175" w14:textId="5FAE72A5" w:rsidR="00107B27" w:rsidRPr="009C2BA6" w:rsidRDefault="00087005" w:rsidP="2DB054E5">
      <w:pPr>
        <w:pStyle w:val="Bulletlist"/>
        <w:rPr>
          <w:color w:val="auto"/>
        </w:rPr>
      </w:pPr>
      <w:r>
        <w:rPr>
          <w:color w:val="auto"/>
        </w:rPr>
        <w:t>with learning disabilities;</w:t>
      </w:r>
    </w:p>
    <w:p w14:paraId="5237CA21" w14:textId="70477FAD" w:rsidR="009C2BA6" w:rsidRPr="009C2BA6" w:rsidRDefault="7539C9F6" w:rsidP="2DB054E5">
      <w:pPr>
        <w:pStyle w:val="Bulletlist"/>
        <w:rPr>
          <w:color w:val="auto"/>
        </w:rPr>
      </w:pPr>
      <w:r w:rsidRPr="2DB054E5">
        <w:rPr>
          <w:color w:val="auto"/>
        </w:rPr>
        <w:t>with complex and problematic polypharmacy, specifically those on 10 or more medications</w:t>
      </w:r>
      <w:r w:rsidR="2CC6BC1C" w:rsidRPr="2DB054E5">
        <w:rPr>
          <w:color w:val="auto"/>
        </w:rPr>
        <w:t>;</w:t>
      </w:r>
    </w:p>
    <w:p w14:paraId="41522D74" w14:textId="5D33DAC8" w:rsidR="009C2BA6" w:rsidRPr="009C2BA6" w:rsidRDefault="7539C9F6" w:rsidP="2DB054E5">
      <w:pPr>
        <w:pStyle w:val="Bulletlist"/>
        <w:rPr>
          <w:rStyle w:val="Hyperlink"/>
          <w:rFonts w:ascii="Arial" w:hAnsi="Arial"/>
          <w:color w:val="auto"/>
        </w:rPr>
      </w:pPr>
      <w:r w:rsidRPr="2DB054E5">
        <w:rPr>
          <w:color w:val="auto"/>
        </w:rPr>
        <w:t xml:space="preserve">on medicines commonly associated with </w:t>
      </w:r>
      <w:hyperlink r:id="rId70">
        <w:r w:rsidRPr="2DB054E5">
          <w:rPr>
            <w:rStyle w:val="Hyperlink"/>
            <w:rFonts w:ascii="Arial" w:hAnsi="Arial"/>
            <w:color w:val="auto"/>
          </w:rPr>
          <w:t>medication errors</w:t>
        </w:r>
      </w:hyperlink>
      <w:r w:rsidRPr="2DB054E5">
        <w:rPr>
          <w:color w:val="auto"/>
        </w:rPr>
        <w:t xml:space="preserve"> and </w:t>
      </w:r>
      <w:hyperlink r:id="rId71">
        <w:r w:rsidRPr="2DB054E5">
          <w:rPr>
            <w:rStyle w:val="Hyperlink"/>
            <w:rFonts w:ascii="Arial" w:hAnsi="Arial"/>
            <w:color w:val="auto"/>
          </w:rPr>
          <w:t>risk of harm</w:t>
        </w:r>
      </w:hyperlink>
      <w:r w:rsidR="2CC6BC1C" w:rsidRPr="2DB054E5">
        <w:rPr>
          <w:rStyle w:val="Hyperlink"/>
          <w:rFonts w:ascii="Arial" w:hAnsi="Arial"/>
          <w:color w:val="auto"/>
        </w:rPr>
        <w:t>;</w:t>
      </w:r>
    </w:p>
    <w:p w14:paraId="08A69056" w14:textId="6160B775" w:rsidR="009C2BA6" w:rsidRPr="009C2BA6" w:rsidRDefault="7539C9F6" w:rsidP="2DB054E5">
      <w:pPr>
        <w:pStyle w:val="Bulletlist"/>
        <w:rPr>
          <w:color w:val="auto"/>
        </w:rPr>
      </w:pPr>
      <w:r w:rsidRPr="2DB054E5">
        <w:rPr>
          <w:color w:val="auto"/>
        </w:rPr>
        <w:t xml:space="preserve">with </w:t>
      </w:r>
      <w:hyperlink r:id="rId72">
        <w:r w:rsidRPr="2DB054E5">
          <w:rPr>
            <w:rStyle w:val="Hyperlink"/>
            <w:rFonts w:ascii="Arial" w:hAnsi="Arial"/>
            <w:color w:val="auto"/>
          </w:rPr>
          <w:t>severe frailty</w:t>
        </w:r>
      </w:hyperlink>
      <w:r w:rsidRPr="2DB054E5">
        <w:rPr>
          <w:color w:val="auto"/>
        </w:rPr>
        <w:t xml:space="preserve"> who are particularly isolated or housebound or who have had recent hospital admissions and/or falls</w:t>
      </w:r>
      <w:r w:rsidR="2CC6BC1C" w:rsidRPr="2DB054E5">
        <w:rPr>
          <w:color w:val="auto"/>
        </w:rPr>
        <w:t>;</w:t>
      </w:r>
    </w:p>
    <w:p w14:paraId="663E4BCF" w14:textId="000A2365" w:rsidR="008D19FC" w:rsidRPr="002D72AA" w:rsidRDefault="7539C9F6" w:rsidP="2DB054E5">
      <w:pPr>
        <w:pStyle w:val="Bulletlist"/>
        <w:rPr>
          <w:color w:val="auto"/>
          <w:highlight w:val="yellow"/>
        </w:rPr>
      </w:pPr>
      <w:r w:rsidRPr="00BA6540">
        <w:rPr>
          <w:color w:val="auto"/>
        </w:rPr>
        <w:t xml:space="preserve">using one or </w:t>
      </w:r>
      <w:r w:rsidRPr="009C38C3">
        <w:rPr>
          <w:color w:val="auto"/>
          <w:highlight w:val="yellow"/>
        </w:rPr>
        <w:t>m</w:t>
      </w:r>
      <w:r w:rsidR="00C245F1" w:rsidRPr="009C38C3">
        <w:rPr>
          <w:color w:val="auto"/>
          <w:highlight w:val="yellow"/>
        </w:rPr>
        <w:t xml:space="preserve">ore </w:t>
      </w:r>
      <w:hyperlink r:id="rId73" w:history="1">
        <w:r w:rsidR="00C245F1" w:rsidRPr="009C38C3">
          <w:rPr>
            <w:rStyle w:val="Hyperlink"/>
            <w:rFonts w:ascii="Arial" w:hAnsi="Arial"/>
            <w:highlight w:val="yellow"/>
          </w:rPr>
          <w:t>medic</w:t>
        </w:r>
        <w:r w:rsidR="005E3801" w:rsidRPr="009C38C3">
          <w:rPr>
            <w:rStyle w:val="Hyperlink"/>
            <w:rFonts w:ascii="Arial" w:hAnsi="Arial"/>
            <w:highlight w:val="yellow"/>
          </w:rPr>
          <w:t>ines</w:t>
        </w:r>
        <w:r w:rsidR="00BD125E" w:rsidRPr="009C38C3">
          <w:rPr>
            <w:rStyle w:val="Hyperlink"/>
            <w:rFonts w:ascii="Arial" w:hAnsi="Arial"/>
            <w:highlight w:val="yellow"/>
          </w:rPr>
          <w:t xml:space="preserve"> associated with </w:t>
        </w:r>
        <w:r w:rsidR="00C245F1" w:rsidRPr="009C38C3">
          <w:rPr>
            <w:rStyle w:val="Hyperlink"/>
            <w:rFonts w:ascii="Arial" w:hAnsi="Arial"/>
            <w:highlight w:val="yellow"/>
          </w:rPr>
          <w:t>dependence or withdrawal symptoms</w:t>
        </w:r>
      </w:hyperlink>
      <w:r w:rsidR="00C245F1" w:rsidRPr="009C38C3">
        <w:rPr>
          <w:color w:val="auto"/>
          <w:highlight w:val="yellow"/>
        </w:rPr>
        <w:t xml:space="preserve">, </w:t>
      </w:r>
      <w:r w:rsidRPr="00BA6540">
        <w:rPr>
          <w:color w:val="auto"/>
        </w:rPr>
        <w:t xml:space="preserve">from the following groups: </w:t>
      </w:r>
      <w:r w:rsidR="00C245F1" w:rsidRPr="00BA6540">
        <w:rPr>
          <w:color w:val="auto"/>
          <w:highlight w:val="yellow"/>
        </w:rPr>
        <w:t xml:space="preserve">antidepressants; </w:t>
      </w:r>
      <w:r w:rsidRPr="00BA6540">
        <w:rPr>
          <w:color w:val="auto"/>
        </w:rPr>
        <w:t xml:space="preserve">opioids; </w:t>
      </w:r>
      <w:proofErr w:type="spellStart"/>
      <w:r w:rsidRPr="00BA6540">
        <w:rPr>
          <w:color w:val="auto"/>
        </w:rPr>
        <w:t>gabapentinoids</w:t>
      </w:r>
      <w:proofErr w:type="spellEnd"/>
      <w:r w:rsidRPr="00BA6540">
        <w:rPr>
          <w:color w:val="auto"/>
        </w:rPr>
        <w:t>; benzodiazepines; and Z-drugs.</w:t>
      </w:r>
    </w:p>
    <w:p w14:paraId="75D42FB9" w14:textId="77777777" w:rsidR="009C2BA6" w:rsidRPr="009C2BA6" w:rsidRDefault="009C2BA6" w:rsidP="00887432">
      <w:pPr>
        <w:pStyle w:val="3digitpara"/>
        <w:numPr>
          <w:ilvl w:val="7"/>
          <w:numId w:val="45"/>
        </w:numPr>
      </w:pPr>
      <w:r>
        <w:t>PCNs should also be alert to the needs of communities and individuals at particular risk of health inequalities (</w:t>
      </w:r>
      <w:proofErr w:type="spellStart"/>
      <w:r>
        <w:t>eg</w:t>
      </w:r>
      <w:proofErr w:type="spellEnd"/>
      <w:r>
        <w:t xml:space="preserve"> CORE-20PLUS5 population, BAME, those with learning disabilities), including by considering how complex prescribing regimens may be rationalised to improve their safety.</w:t>
      </w:r>
    </w:p>
    <w:p w14:paraId="5512AD72" w14:textId="77777777" w:rsidR="00E9178A" w:rsidRPr="009C2BA6" w:rsidRDefault="00E9178A" w:rsidP="00887432">
      <w:pPr>
        <w:pStyle w:val="3digitpara"/>
        <w:numPr>
          <w:ilvl w:val="7"/>
          <w:numId w:val="45"/>
        </w:numPr>
      </w:pPr>
      <w:r>
        <w:t xml:space="preserve">PCNs should consider </w:t>
      </w:r>
      <w:hyperlink r:id="rId74">
        <w:r w:rsidRPr="199281FE">
          <w:rPr>
            <w:rStyle w:val="Hyperlink"/>
            <w:rFonts w:ascii="Arial" w:hAnsi="Arial"/>
          </w:rPr>
          <w:t>NICE guidelines NG5</w:t>
        </w:r>
      </w:hyperlink>
      <w:r>
        <w:t xml:space="preserve"> and the </w:t>
      </w:r>
      <w:hyperlink r:id="rId75" w:history="1">
        <w:r w:rsidRPr="199281FE">
          <w:rPr>
            <w:rStyle w:val="Hyperlink"/>
          </w:rPr>
          <w:t>Royal Pharmaceutical Society’s polypharmacy guidance</w:t>
        </w:r>
      </w:hyperlink>
      <w:r>
        <w:t xml:space="preserve">, as well as the findings of </w:t>
      </w:r>
      <w:hyperlink r:id="rId76">
        <w:r w:rsidRPr="199281FE">
          <w:rPr>
            <w:rStyle w:val="Hyperlink"/>
            <w:rFonts w:ascii="Arial" w:hAnsi="Arial"/>
          </w:rPr>
          <w:t>the National Overprescribing Review</w:t>
        </w:r>
      </w:hyperlink>
      <w:r>
        <w:t>, in identifying patients and determining their approach.</w:t>
      </w:r>
    </w:p>
    <w:p w14:paraId="4033A3AF" w14:textId="77777777" w:rsidR="009C2BA6" w:rsidRPr="009C2BA6" w:rsidRDefault="009C2BA6" w:rsidP="00887432">
      <w:pPr>
        <w:pStyle w:val="3digitpara"/>
        <w:numPr>
          <w:ilvl w:val="7"/>
          <w:numId w:val="45"/>
        </w:numPr>
      </w:pPr>
      <w:r>
        <w:t>Once patients have been identified, PCNs should create a process for developing SMR caseloads so that those patients in greatest need of a SMR are seen in a timely manner.</w:t>
      </w:r>
    </w:p>
    <w:p w14:paraId="181B4AF1" w14:textId="77777777" w:rsidR="009C2BA6" w:rsidRDefault="009C2BA6" w:rsidP="00887432">
      <w:pPr>
        <w:pStyle w:val="3digitpara"/>
        <w:numPr>
          <w:ilvl w:val="7"/>
          <w:numId w:val="45"/>
        </w:numPr>
      </w:pPr>
      <w:r w:rsidRPr="009C2BA6">
        <w:t>The patient’s invitation to the SMR – whether oral or written – should explain what the SMR will involve, and that they will be coming in for a shared decision making conversation to review all their medications and make sure they are working well for them.</w:t>
      </w:r>
    </w:p>
    <w:p w14:paraId="5286ECE3" w14:textId="242981AC" w:rsidR="0084005A" w:rsidRDefault="0084005A" w:rsidP="000025D5">
      <w:pPr>
        <w:pStyle w:val="Heading5"/>
        <w:ind w:left="357"/>
        <w:rPr>
          <w:rFonts w:hint="eastAsia"/>
        </w:rPr>
      </w:pPr>
      <w:r w:rsidRPr="009C2BA6">
        <w:lastRenderedPageBreak/>
        <w:t>Conducting an SMR</w:t>
      </w:r>
    </w:p>
    <w:p w14:paraId="688AE798" w14:textId="217A0470" w:rsidR="00602149" w:rsidRPr="009C2BA6" w:rsidRDefault="61E30ABC" w:rsidP="00887432">
      <w:pPr>
        <w:pStyle w:val="3digitpara"/>
        <w:numPr>
          <w:ilvl w:val="7"/>
          <w:numId w:val="45"/>
        </w:numPr>
      </w:pPr>
      <w:r>
        <w:t xml:space="preserve">Clinicians should conduct SMRs in line with the principles of </w:t>
      </w:r>
      <w:hyperlink r:id="rId77">
        <w:r w:rsidRPr="6302480B">
          <w:rPr>
            <w:rStyle w:val="Hyperlink"/>
            <w:rFonts w:ascii="Arial" w:hAnsi="Arial"/>
          </w:rPr>
          <w:t>shared decision making and personalisation</w:t>
        </w:r>
      </w:hyperlink>
      <w:r>
        <w:t xml:space="preserve">: </w:t>
      </w:r>
      <w:hyperlink r:id="rId78">
        <w:r w:rsidR="53878BFB" w:rsidRPr="6302480B">
          <w:rPr>
            <w:rStyle w:val="Hyperlink"/>
            <w:rFonts w:ascii="Arial" w:hAnsi="Arial"/>
            <w:highlight w:val="yellow"/>
          </w:rPr>
          <w:t xml:space="preserve">ensure </w:t>
        </w:r>
        <w:r w:rsidR="5FC470E2" w:rsidRPr="6302480B">
          <w:rPr>
            <w:rStyle w:val="Hyperlink"/>
            <w:rFonts w:ascii="Arial" w:hAnsi="Arial"/>
            <w:highlight w:val="yellow"/>
          </w:rPr>
          <w:t xml:space="preserve">the </w:t>
        </w:r>
        <w:r w:rsidR="53878BFB" w:rsidRPr="6302480B">
          <w:rPr>
            <w:rStyle w:val="Hyperlink"/>
            <w:rFonts w:ascii="Arial" w:hAnsi="Arial"/>
            <w:highlight w:val="yellow"/>
          </w:rPr>
          <w:t>patient understands the purpose of the SMR appointment</w:t>
        </w:r>
      </w:hyperlink>
      <w:r w:rsidR="53878BFB" w:rsidRPr="6302480B">
        <w:rPr>
          <w:highlight w:val="yellow"/>
        </w:rPr>
        <w:t>,</w:t>
      </w:r>
      <w:r w:rsidR="53878BFB">
        <w:t xml:space="preserve"> </w:t>
      </w:r>
      <w:r w:rsidR="0705F9A9">
        <w:t>consider</w:t>
      </w:r>
      <w:r>
        <w:t xml:space="preserve"> the health literacy and holistic needs of the patient, provide advice and signpost, and make onward referrals where appropriate, including to community pharmacies who all deliver healthy living pharmacy services to advise on evidence-based alternatives to medicines if appropriate. Community pharmacies can also support people newly started on medicines through the </w:t>
      </w:r>
      <w:hyperlink r:id="rId79">
        <w:r w:rsidRPr="6302480B">
          <w:rPr>
            <w:rStyle w:val="Hyperlink"/>
            <w:rFonts w:ascii="Arial" w:hAnsi="Arial"/>
          </w:rPr>
          <w:t>NHS New Medicines Service</w:t>
        </w:r>
      </w:hyperlink>
      <w:r>
        <w:t>.</w:t>
      </w:r>
    </w:p>
    <w:p w14:paraId="4902F1F8" w14:textId="22A7E2A6" w:rsidR="003F051D" w:rsidRDefault="009C2BA6" w:rsidP="00887432">
      <w:pPr>
        <w:pStyle w:val="3digitpara"/>
        <w:numPr>
          <w:ilvl w:val="7"/>
          <w:numId w:val="45"/>
        </w:numPr>
        <w:rPr>
          <w:b/>
        </w:rPr>
      </w:pPr>
      <w:r w:rsidRPr="009C2BA6">
        <w:t>When undertaking an SMR, in addition to the principles of shared decision making and personalisation, clinicians should consider:</w:t>
      </w:r>
    </w:p>
    <w:p w14:paraId="50A0FC9B" w14:textId="77777777" w:rsidR="003F051D" w:rsidRPr="00696350" w:rsidRDefault="005A67BD" w:rsidP="00696350">
      <w:pPr>
        <w:pStyle w:val="3digitpara"/>
        <w:numPr>
          <w:ilvl w:val="1"/>
          <w:numId w:val="25"/>
        </w:numPr>
        <w:rPr>
          <w:b/>
        </w:rPr>
      </w:pPr>
      <w:r w:rsidRPr="00602149">
        <w:rPr>
          <w:b/>
        </w:rPr>
        <w:t>Safety</w:t>
      </w:r>
      <w:r w:rsidRPr="009C2BA6">
        <w:t xml:space="preserve"> – the balance of benefit and risk.</w:t>
      </w:r>
      <w:r>
        <w:t xml:space="preserve"> </w:t>
      </w:r>
      <w:r w:rsidRPr="009C2BA6">
        <w:t>Is the patient experiencing any side effects? Are these excessive when weighed against the benefits of the medicines? Is there any other risk of harm due to co-morbidities (high risk medicines, drug interactions, contraindications)?</w:t>
      </w:r>
    </w:p>
    <w:p w14:paraId="3196ADAE" w14:textId="66B345E7" w:rsidR="009C2BA6" w:rsidRPr="002D72AA" w:rsidRDefault="005A67BD" w:rsidP="00696350">
      <w:pPr>
        <w:pStyle w:val="3digitpara"/>
        <w:numPr>
          <w:ilvl w:val="1"/>
          <w:numId w:val="25"/>
        </w:numPr>
        <w:rPr>
          <w:b/>
        </w:rPr>
      </w:pPr>
      <w:r w:rsidRPr="00602149">
        <w:rPr>
          <w:b/>
        </w:rPr>
        <w:t xml:space="preserve">Effectiveness </w:t>
      </w:r>
      <w:r w:rsidRPr="009C2BA6">
        <w:t>What is each medicine for, and is that recorded in the patient’s record? Is it appropriate? Is it still indicated? Is it working? Does the patient still take or want it (patient opinion, objective evidence; see shared decision making above)? Are long-term condition(s) well controlled? Should anything be added to treatment?</w:t>
      </w:r>
    </w:p>
    <w:p w14:paraId="4B6D7B4D" w14:textId="0F209BB3" w:rsidR="00A5025F" w:rsidRPr="00C25837" w:rsidRDefault="00A5025F" w:rsidP="00A5025F">
      <w:pPr>
        <w:pStyle w:val="3digitpara"/>
        <w:numPr>
          <w:ilvl w:val="1"/>
          <w:numId w:val="25"/>
        </w:numPr>
        <w:rPr>
          <w:b/>
          <w:highlight w:val="yellow"/>
        </w:rPr>
      </w:pPr>
      <w:r w:rsidRPr="00C25837">
        <w:rPr>
          <w:b/>
          <w:highlight w:val="yellow"/>
        </w:rPr>
        <w:t>Alternatives to medicine</w:t>
      </w:r>
      <w:r w:rsidRPr="00C25837">
        <w:rPr>
          <w:bCs w:val="0"/>
          <w:highlight w:val="yellow"/>
        </w:rPr>
        <w:t xml:space="preserve"> – has the patient been given sufficient information about the available alternatives, which </w:t>
      </w:r>
      <w:r w:rsidR="00E43E25" w:rsidRPr="00C25837">
        <w:rPr>
          <w:bCs w:val="0"/>
          <w:highlight w:val="yellow"/>
        </w:rPr>
        <w:t xml:space="preserve">(where appropriate) </w:t>
      </w:r>
      <w:r w:rsidRPr="00C25837">
        <w:rPr>
          <w:bCs w:val="0"/>
          <w:highlight w:val="yellow"/>
        </w:rPr>
        <w:t>may not be a medicine, including for example social prescribing?</w:t>
      </w:r>
    </w:p>
    <w:p w14:paraId="3AF84DB3" w14:textId="77777777" w:rsidR="00A5025F" w:rsidRPr="00696350" w:rsidRDefault="00A5025F" w:rsidP="002D72AA">
      <w:pPr>
        <w:pStyle w:val="3digitpara"/>
        <w:numPr>
          <w:ilvl w:val="0"/>
          <w:numId w:val="0"/>
        </w:numPr>
        <w:ind w:left="1375"/>
        <w:rPr>
          <w:b/>
        </w:rPr>
      </w:pPr>
    </w:p>
    <w:p w14:paraId="7C91B88F" w14:textId="32ADA9CD" w:rsidR="009C2BA6" w:rsidRPr="009C2BA6" w:rsidRDefault="009C2BA6" w:rsidP="00887432">
      <w:pPr>
        <w:pStyle w:val="3digitpara"/>
        <w:numPr>
          <w:ilvl w:val="7"/>
          <w:numId w:val="45"/>
        </w:numPr>
      </w:pPr>
      <w:r>
        <w:t>Appropriate follow-up SMR appointments should be arranged to ensure the safety and effectiveness of any interventions. The clinician undertaking the SMR will determine the number of follow-ups needed in partnership with the patient; this will depend on complexity. It may be that other professionals could follow up the patient.</w:t>
      </w:r>
      <w:r w:rsidR="00843FFB">
        <w:t xml:space="preserve"> These should be coded as outlined in the appendix. </w:t>
      </w:r>
    </w:p>
    <w:p w14:paraId="3EB131E9" w14:textId="77777777" w:rsidR="009C2BA6" w:rsidRPr="009C2BA6" w:rsidRDefault="009C2BA6" w:rsidP="003F051D">
      <w:pPr>
        <w:pStyle w:val="Heading5"/>
        <w:ind w:left="357"/>
        <w:rPr>
          <w:rFonts w:hint="eastAsia"/>
        </w:rPr>
      </w:pPr>
      <w:r w:rsidRPr="009C2BA6">
        <w:t>Collaboration on wider medicines optimisation</w:t>
      </w:r>
    </w:p>
    <w:p w14:paraId="2ED49D2C" w14:textId="5DDC0A4D" w:rsidR="009C2BA6" w:rsidRPr="009C2BA6" w:rsidRDefault="009C2BA6" w:rsidP="00887432">
      <w:pPr>
        <w:pStyle w:val="3digitpara"/>
        <w:numPr>
          <w:ilvl w:val="7"/>
          <w:numId w:val="45"/>
        </w:numPr>
      </w:pPr>
      <w:r>
        <w:t xml:space="preserve">The national medicines optimisation </w:t>
      </w:r>
      <w:r w:rsidR="00606FB5">
        <w:t xml:space="preserve">opportunities </w:t>
      </w:r>
      <w:r>
        <w:t xml:space="preserve">dashboard on </w:t>
      </w:r>
      <w:hyperlink r:id="rId80">
        <w:r w:rsidRPr="0039089C">
          <w:rPr>
            <w:rStyle w:val="Hyperlink"/>
            <w:rFonts w:ascii="Arial" w:hAnsi="Arial"/>
          </w:rPr>
          <w:t>ePACT2</w:t>
        </w:r>
      </w:hyperlink>
      <w:r>
        <w:t xml:space="preserve"> provides data to determine where to focus efforts for the local population. PCNs should be aware of the opportunities that the ICB has prioritised for delivery. PCNs should take into account the </w:t>
      </w:r>
      <w:hyperlink r:id="rId81">
        <w:r w:rsidRPr="0039089C">
          <w:rPr>
            <w:rStyle w:val="Hyperlink"/>
            <w:rFonts w:ascii="Arial" w:hAnsi="Arial"/>
          </w:rPr>
          <w:t>National Medicines Optimisation Opportunities</w:t>
        </w:r>
      </w:hyperlink>
      <w:r>
        <w:t xml:space="preserve"> as part of their medicines optimisation stewardship plans. Due </w:t>
      </w:r>
      <w:r>
        <w:lastRenderedPageBreak/>
        <w:t xml:space="preserve">consideration should be given to national and local guidance on </w:t>
      </w:r>
      <w:hyperlink r:id="rId82">
        <w:r w:rsidRPr="0039089C">
          <w:rPr>
            <w:rStyle w:val="Hyperlink"/>
            <w:rFonts w:ascii="Arial" w:hAnsi="Arial"/>
          </w:rPr>
          <w:t>items which should not be routinely prescribed in primary care</w:t>
        </w:r>
      </w:hyperlink>
      <w:r>
        <w:t>.</w:t>
      </w:r>
    </w:p>
    <w:p w14:paraId="2D9E7F8C" w14:textId="61090ECF" w:rsidR="009C2BA6" w:rsidRPr="009C2BA6" w:rsidRDefault="00E11BB0" w:rsidP="00887432">
      <w:pPr>
        <w:pStyle w:val="3digitpara"/>
        <w:numPr>
          <w:ilvl w:val="7"/>
          <w:numId w:val="45"/>
        </w:numPr>
      </w:pPr>
      <w:r>
        <w:t xml:space="preserve">PCNs should also support the integration of national-level programmes, such as the, </w:t>
      </w:r>
      <w:hyperlink r:id="rId83">
        <w:r w:rsidRPr="4CB4DEEC">
          <w:rPr>
            <w:rStyle w:val="Hyperlink"/>
            <w:rFonts w:ascii="Arial" w:hAnsi="Arial"/>
          </w:rPr>
          <w:t>Net Zero report</w:t>
        </w:r>
      </w:hyperlink>
      <w:r>
        <w:t xml:space="preserve"> and </w:t>
      </w:r>
      <w:hyperlink r:id="rId84">
        <w:r w:rsidRPr="4CB4DEEC">
          <w:rPr>
            <w:rStyle w:val="Hyperlink"/>
            <w:rFonts w:ascii="Arial" w:hAnsi="Arial"/>
          </w:rPr>
          <w:t>STOMP</w:t>
        </w:r>
      </w:hyperlink>
      <w:r>
        <w:t xml:space="preserve"> (stopping over medication of people with a learning disability, autism or both with psychotropic medicines; </w:t>
      </w:r>
      <w:hyperlink r:id="rId85" w:history="1">
        <w:r w:rsidRPr="4CB4DEEC">
          <w:rPr>
            <w:rStyle w:val="Hyperlink"/>
          </w:rPr>
          <w:t>specific resources for PCNs</w:t>
        </w:r>
      </w:hyperlink>
      <w:r>
        <w:t xml:space="preserve">) set out in the Long Term Plan. Open data, </w:t>
      </w:r>
      <w:r w:rsidR="00DB262D">
        <w:t>e.g.</w:t>
      </w:r>
      <w:r>
        <w:t xml:space="preserve"> </w:t>
      </w:r>
      <w:r w:rsidR="00606FB5">
        <w:t xml:space="preserve">Model Health System, </w:t>
      </w:r>
      <w:hyperlink r:id="rId86">
        <w:r w:rsidRPr="4CB4DEEC">
          <w:rPr>
            <w:rStyle w:val="Hyperlink"/>
            <w:rFonts w:ascii="Arial" w:hAnsi="Arial"/>
          </w:rPr>
          <w:t>OpenPrescribing</w:t>
        </w:r>
      </w:hyperlink>
      <w:r w:rsidR="00CA18E0" w:rsidRPr="00617D36">
        <w:rPr>
          <w:rStyle w:val="Hyperlink"/>
          <w:rFonts w:ascii="Arial" w:hAnsi="Arial"/>
          <w:color w:val="auto"/>
          <w:u w:val="none"/>
        </w:rPr>
        <w:t>,</w:t>
      </w:r>
      <w:hyperlink r:id="rId87">
        <w:r w:rsidR="00606FB5">
          <w:rPr>
            <w:rStyle w:val="Hyperlink"/>
            <w:rFonts w:ascii="Arial" w:hAnsi="Arial"/>
          </w:rPr>
          <w:t>e</w:t>
        </w:r>
        <w:r w:rsidRPr="4CB4DEEC">
          <w:rPr>
            <w:rStyle w:val="Hyperlink"/>
            <w:rFonts w:ascii="Arial" w:hAnsi="Arial"/>
          </w:rPr>
          <w:t>PACT2</w:t>
        </w:r>
      </w:hyperlink>
      <w:r>
        <w:t xml:space="preserve"> and other tools can further support this work.</w:t>
      </w:r>
    </w:p>
    <w:p w14:paraId="348FDA2D" w14:textId="79D3AB59" w:rsidR="009C2BA6" w:rsidRPr="009C2BA6" w:rsidRDefault="009C2BA6" w:rsidP="00887432">
      <w:pPr>
        <w:pStyle w:val="3digitpara"/>
        <w:numPr>
          <w:ilvl w:val="7"/>
          <w:numId w:val="45"/>
        </w:numPr>
      </w:pPr>
      <w:r>
        <w:t>The NHS BSA Polypharmacy prescribing comparators, the NHS BSA Opioid comparators and the NHS BSA Antimicrobial Stewardship comparators are freely available to all GP practices and ICBs, at GP</w:t>
      </w:r>
      <w:r w:rsidR="00F25A13">
        <w:t xml:space="preserve"> practice</w:t>
      </w:r>
      <w:r>
        <w:t>, PCN, ICB and regional level. Developed by the NHS BSA and Health Innovation West of England, they have been shown to help PCN</w:t>
      </w:r>
      <w:r w:rsidR="00F25A13">
        <w:t>s</w:t>
      </w:r>
      <w:r>
        <w:t xml:space="preserve"> understand their polypharmacy prescribing in comparison to other PCN and national averages, help identify areas of polypharmacy to prioritise and monitor the impact of any local interventions. Developed with GPs and pharmacists, they have been designed to identify manageable numbers of patients to prioritise for a structured medication review.</w:t>
      </w:r>
    </w:p>
    <w:p w14:paraId="0DB1D2A8" w14:textId="77777777" w:rsidR="009C2BA6" w:rsidRDefault="009C2BA6" w:rsidP="00887432">
      <w:pPr>
        <w:pStyle w:val="3digitpara"/>
        <w:numPr>
          <w:ilvl w:val="7"/>
          <w:numId w:val="45"/>
        </w:numPr>
      </w:pPr>
      <w:r w:rsidRPr="009C2BA6">
        <w:t xml:space="preserve">Through the increased collaboration across the system and working with ICBs, there is a significant opportunity to support the meeting of global commitments on antimicrobial prescribing to reduce </w:t>
      </w:r>
      <w:hyperlink r:id="rId88" w:history="1">
        <w:r w:rsidRPr="009C2BA6">
          <w:rPr>
            <w:rStyle w:val="Hyperlink"/>
            <w:rFonts w:ascii="Arial" w:hAnsi="Arial"/>
          </w:rPr>
          <w:t>antimicrobial resistance</w:t>
        </w:r>
      </w:hyperlink>
      <w:r w:rsidRPr="009C2BA6">
        <w:t xml:space="preserve"> and the </w:t>
      </w:r>
      <w:hyperlink r:id="rId89" w:history="1">
        <w:r w:rsidRPr="009C2BA6">
          <w:rPr>
            <w:rStyle w:val="Hyperlink"/>
            <w:rFonts w:ascii="Arial" w:hAnsi="Arial"/>
          </w:rPr>
          <w:t>AMR action plan</w:t>
        </w:r>
      </w:hyperlink>
      <w:r w:rsidRPr="009C2BA6">
        <w:t>.</w:t>
      </w:r>
    </w:p>
    <w:p w14:paraId="568B3A84" w14:textId="77777777" w:rsidR="002365E0" w:rsidRPr="009C2BA6" w:rsidRDefault="002365E0" w:rsidP="00DC37EB">
      <w:pPr>
        <w:pStyle w:val="3digitpara"/>
        <w:numPr>
          <w:ilvl w:val="0"/>
          <w:numId w:val="0"/>
        </w:numPr>
      </w:pPr>
    </w:p>
    <w:p w14:paraId="79EB367E" w14:textId="7C592954" w:rsidR="009C2BA6" w:rsidRPr="009C2BA6" w:rsidRDefault="009C2BA6" w:rsidP="00624AC3">
      <w:pPr>
        <w:pStyle w:val="Heading4"/>
        <w:rPr>
          <w:rFonts w:hint="eastAsia"/>
        </w:rPr>
      </w:pPr>
      <w:bookmarkStart w:id="73" w:name="_Toc153872906"/>
      <w:bookmarkStart w:id="74" w:name="_Toc153872950"/>
      <w:bookmarkStart w:id="75" w:name="_Toc153902661"/>
      <w:bookmarkStart w:id="76" w:name="_Toc153990113"/>
      <w:bookmarkStart w:id="77" w:name="_Toc193808073"/>
      <w:r w:rsidRPr="009C2BA6">
        <w:t xml:space="preserve">Social </w:t>
      </w:r>
      <w:r w:rsidR="00624AC3">
        <w:t>p</w:t>
      </w:r>
      <w:r w:rsidRPr="009C2BA6">
        <w:t>rescribing</w:t>
      </w:r>
      <w:bookmarkEnd w:id="73"/>
      <w:bookmarkEnd w:id="74"/>
      <w:bookmarkEnd w:id="75"/>
      <w:bookmarkEnd w:id="76"/>
      <w:bookmarkEnd w:id="77"/>
    </w:p>
    <w:p w14:paraId="4F967A35" w14:textId="4EFD4D22" w:rsidR="009C2BA6" w:rsidRPr="00617D36" w:rsidRDefault="009C2BA6" w:rsidP="00887432">
      <w:pPr>
        <w:pStyle w:val="3digitpara"/>
        <w:numPr>
          <w:ilvl w:val="7"/>
          <w:numId w:val="45"/>
        </w:numPr>
        <w:rPr>
          <w:color w:val="auto"/>
        </w:rPr>
      </w:pPr>
      <w:r w:rsidRPr="001B20DC">
        <w:rPr>
          <w:color w:val="auto"/>
        </w:rPr>
        <w:t xml:space="preserve">The DES </w:t>
      </w:r>
      <w:r w:rsidR="00F25A13" w:rsidRPr="001B20DC">
        <w:rPr>
          <w:color w:val="auto"/>
        </w:rPr>
        <w:t xml:space="preserve">specification </w:t>
      </w:r>
      <w:r w:rsidRPr="001B20DC">
        <w:rPr>
          <w:color w:val="auto"/>
        </w:rPr>
        <w:t>states that</w:t>
      </w:r>
      <w:r w:rsidR="00CC2285">
        <w:rPr>
          <w:color w:val="auto"/>
        </w:rPr>
        <w:t xml:space="preserve"> it is a key requirement of</w:t>
      </w:r>
      <w:r w:rsidRPr="001B20DC">
        <w:rPr>
          <w:color w:val="auto"/>
        </w:rPr>
        <w:t xml:space="preserve"> a PCN </w:t>
      </w:r>
      <w:r w:rsidR="00CC2285">
        <w:rPr>
          <w:color w:val="auto"/>
        </w:rPr>
        <w:t>to</w:t>
      </w:r>
      <w:r w:rsidR="00CC2285" w:rsidRPr="00617D36">
        <w:rPr>
          <w:color w:val="auto"/>
        </w:rPr>
        <w:t xml:space="preserve"> </w:t>
      </w:r>
      <w:r w:rsidR="00624AC3" w:rsidRPr="00617D36">
        <w:rPr>
          <w:color w:val="auto"/>
        </w:rPr>
        <w:t>“</w:t>
      </w:r>
      <w:r w:rsidRPr="002D72AA">
        <w:rPr>
          <w:i/>
          <w:iCs/>
          <w:color w:val="auto"/>
        </w:rPr>
        <w:t>provide</w:t>
      </w:r>
      <w:r w:rsidR="009C1D91" w:rsidRPr="002D72AA">
        <w:rPr>
          <w:i/>
          <w:iCs/>
          <w:color w:val="auto"/>
        </w:rPr>
        <w:t xml:space="preserve"> access to a</w:t>
      </w:r>
      <w:r w:rsidRPr="002D72AA">
        <w:rPr>
          <w:i/>
          <w:iCs/>
          <w:color w:val="auto"/>
        </w:rPr>
        <w:t xml:space="preserve"> social prescribing service to those who </w:t>
      </w:r>
      <w:r w:rsidR="0002777D" w:rsidRPr="002D72AA">
        <w:rPr>
          <w:i/>
          <w:iCs/>
          <w:color w:val="auto"/>
        </w:rPr>
        <w:t>may</w:t>
      </w:r>
      <w:r w:rsidRPr="002D72AA">
        <w:rPr>
          <w:i/>
          <w:iCs/>
          <w:color w:val="auto"/>
        </w:rPr>
        <w:t xml:space="preserve"> benefit</w:t>
      </w:r>
      <w:r w:rsidR="003309B0" w:rsidRPr="002D72AA">
        <w:rPr>
          <w:i/>
          <w:iCs/>
          <w:color w:val="auto"/>
        </w:rPr>
        <w:t>, so as to help meet the practical, social and emotional needs that can otherwise affect health and wellbeing</w:t>
      </w:r>
      <w:r w:rsidR="00624AC3" w:rsidRPr="00617D36">
        <w:rPr>
          <w:color w:val="auto"/>
        </w:rPr>
        <w:t>”</w:t>
      </w:r>
    </w:p>
    <w:p w14:paraId="5ADB1599" w14:textId="64562267" w:rsidR="009C2BA6" w:rsidRPr="001B20DC" w:rsidRDefault="009C2BA6" w:rsidP="00887432">
      <w:pPr>
        <w:pStyle w:val="3digitpara"/>
        <w:numPr>
          <w:ilvl w:val="7"/>
          <w:numId w:val="45"/>
        </w:numPr>
        <w:rPr>
          <w:iCs/>
          <w:color w:val="auto"/>
        </w:rPr>
      </w:pPr>
      <w:r w:rsidRPr="001B20DC">
        <w:rPr>
          <w:color w:val="auto"/>
        </w:rPr>
        <w:t>To achieve this</w:t>
      </w:r>
      <w:r w:rsidR="009C4487" w:rsidRPr="001B20DC">
        <w:rPr>
          <w:color w:val="auto"/>
        </w:rPr>
        <w:t>, a PCN is expected to</w:t>
      </w:r>
      <w:r w:rsidR="00624AC3" w:rsidRPr="001B20DC">
        <w:rPr>
          <w:color w:val="auto"/>
        </w:rPr>
        <w:t>:</w:t>
      </w:r>
    </w:p>
    <w:p w14:paraId="09BFBFA8" w14:textId="0125E348" w:rsidR="009C2BA6" w:rsidRPr="001B20DC" w:rsidRDefault="00B25DCC" w:rsidP="00696350">
      <w:pPr>
        <w:pStyle w:val="Bulletlist"/>
        <w:numPr>
          <w:ilvl w:val="1"/>
          <w:numId w:val="33"/>
        </w:numPr>
        <w:rPr>
          <w:b/>
          <w:bCs/>
          <w:color w:val="auto"/>
        </w:rPr>
      </w:pPr>
      <w:r w:rsidRPr="001B20DC">
        <w:rPr>
          <w:color w:val="auto"/>
        </w:rPr>
        <w:t xml:space="preserve">either </w:t>
      </w:r>
      <w:r w:rsidR="009C2BA6" w:rsidRPr="001B20DC">
        <w:rPr>
          <w:color w:val="auto"/>
        </w:rPr>
        <w:t>directly employ link workers or subcontract provision of the service to another provider</w:t>
      </w:r>
      <w:r w:rsidR="00465C78" w:rsidRPr="001B20DC">
        <w:rPr>
          <w:color w:val="auto"/>
        </w:rPr>
        <w:t>;</w:t>
      </w:r>
    </w:p>
    <w:p w14:paraId="1C2838CB" w14:textId="0CC5E01F" w:rsidR="009C2BA6" w:rsidRPr="001B20DC" w:rsidRDefault="009C2BA6" w:rsidP="00696350">
      <w:pPr>
        <w:pStyle w:val="Bulletlist"/>
        <w:numPr>
          <w:ilvl w:val="1"/>
          <w:numId w:val="33"/>
        </w:numPr>
        <w:rPr>
          <w:color w:val="auto"/>
        </w:rPr>
      </w:pPr>
      <w:r w:rsidRPr="001B20DC">
        <w:rPr>
          <w:color w:val="auto"/>
        </w:rPr>
        <w:t>make social prescribing service accessible to the whole patient population and able to take referrals from GPs, PCNs and other agencies, such as pharmacies, hospital discharge teams, fire service, job centres, social care services, housing associations, and voluntary, community and social enterprise (VCSE) organisations, as well as self-referrals</w:t>
      </w:r>
      <w:r w:rsidR="00465C78" w:rsidRPr="001B20DC">
        <w:rPr>
          <w:color w:val="auto"/>
        </w:rPr>
        <w:t>;</w:t>
      </w:r>
    </w:p>
    <w:p w14:paraId="4E179664" w14:textId="32ECCABC" w:rsidR="009C2BA6" w:rsidRPr="001B20DC" w:rsidRDefault="009C2BA6" w:rsidP="00696350">
      <w:pPr>
        <w:pStyle w:val="Bulletlist"/>
        <w:numPr>
          <w:ilvl w:val="1"/>
          <w:numId w:val="33"/>
        </w:numPr>
        <w:rPr>
          <w:color w:val="auto"/>
        </w:rPr>
      </w:pPr>
      <w:r w:rsidRPr="001B20DC">
        <w:rPr>
          <w:color w:val="auto"/>
        </w:rPr>
        <w:lastRenderedPageBreak/>
        <w:t xml:space="preserve">use targeted and outreach approaches to ensure social prescribing services reach people who need them most, such as people in </w:t>
      </w:r>
      <w:hyperlink r:id="rId90" w:history="1">
        <w:r w:rsidRPr="001B20DC">
          <w:rPr>
            <w:rStyle w:val="Hyperlink"/>
            <w:rFonts w:ascii="Arial" w:hAnsi="Arial"/>
            <w:color w:val="auto"/>
          </w:rPr>
          <w:t>Core20PLUS5</w:t>
        </w:r>
      </w:hyperlink>
      <w:r w:rsidRPr="001B20DC">
        <w:rPr>
          <w:color w:val="auto"/>
        </w:rPr>
        <w:t xml:space="preserve"> populations</w:t>
      </w:r>
      <w:r w:rsidR="00465C78" w:rsidRPr="001B20DC">
        <w:rPr>
          <w:color w:val="auto"/>
        </w:rPr>
        <w:t>;</w:t>
      </w:r>
    </w:p>
    <w:p w14:paraId="79F16193" w14:textId="719F0023" w:rsidR="009C2BA6" w:rsidRPr="001B20DC" w:rsidRDefault="009C2BA6" w:rsidP="00696350">
      <w:pPr>
        <w:pStyle w:val="Bulletlist"/>
        <w:numPr>
          <w:ilvl w:val="1"/>
          <w:numId w:val="33"/>
        </w:numPr>
        <w:rPr>
          <w:color w:val="auto"/>
        </w:rPr>
      </w:pPr>
      <w:r w:rsidRPr="001B20DC">
        <w:rPr>
          <w:color w:val="auto"/>
        </w:rPr>
        <w:t>co</w:t>
      </w:r>
      <w:r w:rsidR="003032FC" w:rsidRPr="001B20DC">
        <w:rPr>
          <w:color w:val="auto"/>
        </w:rPr>
        <w:t>-</w:t>
      </w:r>
      <w:r w:rsidRPr="001B20DC">
        <w:rPr>
          <w:color w:val="auto"/>
        </w:rPr>
        <w:t xml:space="preserve">produce with partners (especially </w:t>
      </w:r>
      <w:r w:rsidR="00C41773" w:rsidRPr="001B20DC">
        <w:rPr>
          <w:color w:val="auto"/>
        </w:rPr>
        <w:t>Voluntary, Community and Social Enterprises</w:t>
      </w:r>
      <w:r w:rsidR="00372255" w:rsidRPr="001B20DC">
        <w:rPr>
          <w:color w:val="auto"/>
        </w:rPr>
        <w:t xml:space="preserve"> - V</w:t>
      </w:r>
      <w:r w:rsidRPr="001B20DC">
        <w:rPr>
          <w:color w:val="auto"/>
        </w:rPr>
        <w:t>CSE) and with people with lived experience</w:t>
      </w:r>
      <w:r w:rsidR="00465C78" w:rsidRPr="001B20DC">
        <w:rPr>
          <w:color w:val="auto"/>
        </w:rPr>
        <w:t>;</w:t>
      </w:r>
    </w:p>
    <w:p w14:paraId="3C395025" w14:textId="76562289" w:rsidR="009C2BA6" w:rsidRPr="001B20DC" w:rsidRDefault="009C2BA6" w:rsidP="00696350">
      <w:pPr>
        <w:pStyle w:val="Bulletlist"/>
        <w:numPr>
          <w:ilvl w:val="1"/>
          <w:numId w:val="33"/>
        </w:numPr>
        <w:rPr>
          <w:color w:val="auto"/>
        </w:rPr>
      </w:pPr>
      <w:r w:rsidRPr="001B20DC">
        <w:rPr>
          <w:color w:val="auto"/>
        </w:rPr>
        <w:t>ensure social prescribing link workers are fully integrated in multidisciplinary teams alongside Health and Wellbeing Coaches and Care Co</w:t>
      </w:r>
      <w:r w:rsidR="003032FC" w:rsidRPr="001B20DC">
        <w:rPr>
          <w:color w:val="auto"/>
        </w:rPr>
        <w:t>-</w:t>
      </w:r>
      <w:r w:rsidRPr="001B20DC">
        <w:rPr>
          <w:color w:val="auto"/>
        </w:rPr>
        <w:t xml:space="preserve">ordinators as described in Annex B of the DES </w:t>
      </w:r>
      <w:r w:rsidR="00465C78" w:rsidRPr="001B20DC">
        <w:rPr>
          <w:color w:val="auto"/>
        </w:rPr>
        <w:t>s</w:t>
      </w:r>
      <w:r w:rsidRPr="001B20DC">
        <w:rPr>
          <w:color w:val="auto"/>
        </w:rPr>
        <w:t>pecification</w:t>
      </w:r>
      <w:r w:rsidR="00465C78" w:rsidRPr="001B20DC">
        <w:rPr>
          <w:color w:val="auto"/>
        </w:rPr>
        <w:t>;</w:t>
      </w:r>
    </w:p>
    <w:p w14:paraId="7DC46C23" w14:textId="6177C712" w:rsidR="009C2BA6" w:rsidRPr="001B20DC" w:rsidRDefault="009C2BA6" w:rsidP="00696350">
      <w:pPr>
        <w:pStyle w:val="Bulletlist"/>
        <w:numPr>
          <w:ilvl w:val="1"/>
          <w:numId w:val="33"/>
        </w:numPr>
        <w:rPr>
          <w:color w:val="auto"/>
        </w:rPr>
      </w:pPr>
      <w:r w:rsidRPr="001B20DC">
        <w:rPr>
          <w:color w:val="auto"/>
        </w:rPr>
        <w:t xml:space="preserve">consider developing specialist social prescribing link worker roles to meet local needs, focused on specific cohorts, for example children </w:t>
      </w:r>
      <w:r w:rsidR="00465C78" w:rsidRPr="001B20DC">
        <w:rPr>
          <w:color w:val="auto"/>
        </w:rPr>
        <w:t>and</w:t>
      </w:r>
      <w:r w:rsidRPr="001B20DC">
        <w:rPr>
          <w:color w:val="auto"/>
        </w:rPr>
        <w:t xml:space="preserve"> young people with mental health needs; people with learning disabilities and/or autism; and people from inclusion health groups</w:t>
      </w:r>
    </w:p>
    <w:p w14:paraId="73756C9A" w14:textId="44CF8719" w:rsidR="009C2BA6" w:rsidRPr="001B20DC" w:rsidRDefault="009C2BA6" w:rsidP="00696350">
      <w:pPr>
        <w:pStyle w:val="Bulletlist"/>
        <w:numPr>
          <w:ilvl w:val="1"/>
          <w:numId w:val="33"/>
        </w:numPr>
        <w:rPr>
          <w:color w:val="auto"/>
        </w:rPr>
      </w:pPr>
      <w:r w:rsidRPr="001B20DC">
        <w:rPr>
          <w:color w:val="auto"/>
        </w:rPr>
        <w:t xml:space="preserve">give due regard to the </w:t>
      </w:r>
      <w:hyperlink r:id="rId91" w:history="1">
        <w:r w:rsidRPr="001B20DC">
          <w:rPr>
            <w:rStyle w:val="Hyperlink"/>
            <w:rFonts w:ascii="Arial" w:hAnsi="Arial"/>
            <w:color w:val="auto"/>
          </w:rPr>
          <w:t>Social Prescribing Information Standard</w:t>
        </w:r>
      </w:hyperlink>
      <w:r w:rsidRPr="001B20DC">
        <w:rPr>
          <w:color w:val="auto"/>
        </w:rPr>
        <w:t>. This will enable PCNs to evaluate the performance of the social prescribing service</w:t>
      </w:r>
      <w:r w:rsidR="00465C78" w:rsidRPr="001B20DC">
        <w:rPr>
          <w:color w:val="auto"/>
        </w:rPr>
        <w:t>;</w:t>
      </w:r>
    </w:p>
    <w:p w14:paraId="4DAD6942" w14:textId="77777777" w:rsidR="00CD39E4" w:rsidRPr="001B20DC" w:rsidRDefault="009C2BA6" w:rsidP="00DC37EB">
      <w:pPr>
        <w:pStyle w:val="Bulletlist"/>
        <w:numPr>
          <w:ilvl w:val="1"/>
          <w:numId w:val="33"/>
        </w:numPr>
        <w:rPr>
          <w:color w:val="auto"/>
        </w:rPr>
      </w:pPr>
      <w:r w:rsidRPr="001B20DC">
        <w:rPr>
          <w:color w:val="auto"/>
        </w:rPr>
        <w:t>work with partners in the ICS (such as Local Authorities and VCSE) to establish joined up approaches to developing social prescribing and community-based support</w:t>
      </w:r>
      <w:r w:rsidR="00465C78" w:rsidRPr="001B20DC">
        <w:rPr>
          <w:color w:val="auto"/>
        </w:rPr>
        <w:t>;</w:t>
      </w:r>
      <w:r w:rsidR="001A5B08" w:rsidRPr="001B20DC">
        <w:rPr>
          <w:color w:val="auto"/>
        </w:rPr>
        <w:t xml:space="preserve"> </w:t>
      </w:r>
      <w:r w:rsidR="00CD39E4" w:rsidRPr="001B20DC">
        <w:rPr>
          <w:color w:val="auto"/>
        </w:rPr>
        <w:t xml:space="preserve">and </w:t>
      </w:r>
    </w:p>
    <w:p w14:paraId="01DD1897" w14:textId="3166BEAB" w:rsidR="00E87F27" w:rsidRPr="001B20DC" w:rsidRDefault="009C2BA6" w:rsidP="00DC37EB">
      <w:pPr>
        <w:pStyle w:val="Bulletlist"/>
        <w:numPr>
          <w:ilvl w:val="1"/>
          <w:numId w:val="33"/>
        </w:numPr>
        <w:rPr>
          <w:color w:val="auto"/>
        </w:rPr>
      </w:pPr>
      <w:r w:rsidRPr="001B20DC">
        <w:rPr>
          <w:color w:val="auto"/>
        </w:rPr>
        <w:t>ensure all link workers to have access to the GP information system used within the PCN</w:t>
      </w:r>
      <w:r w:rsidR="00221B7B" w:rsidRPr="001B20DC">
        <w:rPr>
          <w:color w:val="auto"/>
        </w:rPr>
        <w:t xml:space="preserve"> and </w:t>
      </w:r>
      <w:r w:rsidR="00D71CB1" w:rsidRPr="001B20DC">
        <w:rPr>
          <w:color w:val="auto"/>
        </w:rPr>
        <w:t>code their work</w:t>
      </w:r>
      <w:r w:rsidR="00221B7B" w:rsidRPr="001B20DC">
        <w:rPr>
          <w:color w:val="auto"/>
        </w:rPr>
        <w:t xml:space="preserve"> as outlined in the appendix. </w:t>
      </w:r>
    </w:p>
    <w:p w14:paraId="3BB3C357" w14:textId="20AF5859" w:rsidR="009C2BA6" w:rsidRPr="009C2BA6" w:rsidRDefault="009C2BA6" w:rsidP="001B51F2">
      <w:pPr>
        <w:pStyle w:val="Heading5"/>
        <w:rPr>
          <w:rFonts w:hint="eastAsia"/>
        </w:rPr>
      </w:pPr>
      <w:r w:rsidRPr="009C2BA6">
        <w:t>Cohort selection</w:t>
      </w:r>
    </w:p>
    <w:p w14:paraId="7A59BD83" w14:textId="77777777" w:rsidR="009C2BA6" w:rsidRPr="009C2BA6" w:rsidRDefault="009C2BA6" w:rsidP="00887432">
      <w:pPr>
        <w:pStyle w:val="3digitpara"/>
        <w:numPr>
          <w:ilvl w:val="7"/>
          <w:numId w:val="45"/>
        </w:numPr>
      </w:pPr>
      <w:r>
        <w:t>A PCN can identify cohorts who would most benefit from social prescribing by working with local partners, using PHM data, health inequalities data (such as the Health Inequalities Improvement Dashboard) and community insights, to identify how best to target social prescribing services.</w:t>
      </w:r>
    </w:p>
    <w:p w14:paraId="5FC853C8" w14:textId="77777777" w:rsidR="009C2BA6" w:rsidRPr="009C2BA6" w:rsidRDefault="009C2BA6" w:rsidP="00887432">
      <w:pPr>
        <w:pStyle w:val="3digitpara"/>
        <w:numPr>
          <w:ilvl w:val="7"/>
          <w:numId w:val="45"/>
        </w:numPr>
      </w:pPr>
      <w:r>
        <w:t>Social prescribing can be particularly beneficial to people who:</w:t>
      </w:r>
    </w:p>
    <w:p w14:paraId="23430FFA" w14:textId="4DCCEA24" w:rsidR="009C2BA6" w:rsidRPr="009C2BA6" w:rsidRDefault="7539C9F6" w:rsidP="2DB054E5">
      <w:pPr>
        <w:pStyle w:val="Bulletlist"/>
        <w:numPr>
          <w:ilvl w:val="1"/>
          <w:numId w:val="38"/>
        </w:numPr>
        <w:rPr>
          <w:color w:val="auto"/>
        </w:rPr>
      </w:pPr>
      <w:r w:rsidRPr="2DB054E5">
        <w:rPr>
          <w:color w:val="auto"/>
        </w:rPr>
        <w:t>have complex social needs (this should include people in Core20PLUS communities)</w:t>
      </w:r>
      <w:r w:rsidR="08068742" w:rsidRPr="2DB054E5">
        <w:rPr>
          <w:color w:val="auto"/>
        </w:rPr>
        <w:t>;</w:t>
      </w:r>
    </w:p>
    <w:p w14:paraId="5EC8A802" w14:textId="1D3E0060" w:rsidR="009C2BA6" w:rsidRPr="009C2BA6" w:rsidRDefault="7539C9F6" w:rsidP="2DB054E5">
      <w:pPr>
        <w:pStyle w:val="Bulletlist"/>
        <w:numPr>
          <w:ilvl w:val="1"/>
          <w:numId w:val="38"/>
        </w:numPr>
        <w:rPr>
          <w:color w:val="auto"/>
        </w:rPr>
      </w:pPr>
      <w:r w:rsidRPr="2DB054E5">
        <w:rPr>
          <w:color w:val="auto"/>
        </w:rPr>
        <w:t>experience loneliness or isolation</w:t>
      </w:r>
      <w:r w:rsidR="08068742" w:rsidRPr="2DB054E5">
        <w:rPr>
          <w:color w:val="auto"/>
        </w:rPr>
        <w:t>;</w:t>
      </w:r>
    </w:p>
    <w:p w14:paraId="52E24BC9" w14:textId="4DF2C3BB" w:rsidR="009C2BA6" w:rsidRPr="009C2BA6" w:rsidRDefault="7539C9F6" w:rsidP="2DB054E5">
      <w:pPr>
        <w:pStyle w:val="Bulletlist"/>
        <w:numPr>
          <w:ilvl w:val="1"/>
          <w:numId w:val="38"/>
        </w:numPr>
        <w:rPr>
          <w:color w:val="auto"/>
        </w:rPr>
      </w:pPr>
      <w:r w:rsidRPr="2DB054E5">
        <w:rPr>
          <w:color w:val="auto"/>
        </w:rPr>
        <w:t>have multiple long-term conditions</w:t>
      </w:r>
      <w:r w:rsidR="08068742" w:rsidRPr="2DB054E5">
        <w:rPr>
          <w:color w:val="auto"/>
        </w:rPr>
        <w:t>;</w:t>
      </w:r>
    </w:p>
    <w:p w14:paraId="4E824FE9" w14:textId="216C4CA8" w:rsidR="009C2BA6" w:rsidRPr="009C2BA6" w:rsidRDefault="7539C9F6" w:rsidP="2DB054E5">
      <w:pPr>
        <w:pStyle w:val="Bulletlist"/>
        <w:numPr>
          <w:ilvl w:val="1"/>
          <w:numId w:val="38"/>
        </w:numPr>
        <w:rPr>
          <w:color w:val="auto"/>
        </w:rPr>
      </w:pPr>
      <w:r w:rsidRPr="2DB054E5">
        <w:rPr>
          <w:color w:val="auto"/>
        </w:rPr>
        <w:t>experience low level mental health issues</w:t>
      </w:r>
      <w:r w:rsidR="08068742" w:rsidRPr="2DB054E5">
        <w:rPr>
          <w:color w:val="auto"/>
        </w:rPr>
        <w:t>; and</w:t>
      </w:r>
    </w:p>
    <w:p w14:paraId="488F6186" w14:textId="288C2D1D" w:rsidR="004A3C86" w:rsidRDefault="7539C9F6" w:rsidP="2DB054E5">
      <w:pPr>
        <w:pStyle w:val="Bulletlist"/>
        <w:numPr>
          <w:ilvl w:val="1"/>
          <w:numId w:val="38"/>
        </w:numPr>
        <w:rPr>
          <w:color w:val="auto"/>
          <w:u w:val="single"/>
        </w:rPr>
      </w:pPr>
      <w:r w:rsidRPr="2DB054E5">
        <w:rPr>
          <w:color w:val="auto"/>
        </w:rPr>
        <w:t xml:space="preserve">are </w:t>
      </w:r>
      <w:hyperlink r:id="rId92">
        <w:r w:rsidRPr="2DB054E5">
          <w:rPr>
            <w:rStyle w:val="Hyperlink"/>
            <w:rFonts w:ascii="Arial" w:hAnsi="Arial"/>
            <w:color w:val="auto"/>
          </w:rPr>
          <w:t>high frequency users of primary, community or urgent and emergency care services</w:t>
        </w:r>
      </w:hyperlink>
      <w:r w:rsidRPr="2DB054E5">
        <w:rPr>
          <w:color w:val="auto"/>
        </w:rPr>
        <w:t>.</w:t>
      </w:r>
      <w:r w:rsidR="009C2BA6" w:rsidRPr="001B51F2">
        <w:t>.</w:t>
      </w:r>
    </w:p>
    <w:p w14:paraId="5CBE9B82" w14:textId="66448B9D" w:rsidR="009C2BA6" w:rsidRPr="009C2BA6" w:rsidRDefault="009C2BA6" w:rsidP="00887432">
      <w:pPr>
        <w:pStyle w:val="3digitpara"/>
        <w:numPr>
          <w:ilvl w:val="7"/>
          <w:numId w:val="45"/>
        </w:numPr>
      </w:pPr>
      <w:r>
        <w:t xml:space="preserve">A further range of tools, resources and case studies can be found on the NHS England </w:t>
      </w:r>
      <w:hyperlink r:id="rId93">
        <w:r w:rsidRPr="0039089C">
          <w:rPr>
            <w:rStyle w:val="Hyperlink"/>
            <w:rFonts w:ascii="Arial" w:hAnsi="Arial"/>
          </w:rPr>
          <w:t>social prescribing webpage</w:t>
        </w:r>
      </w:hyperlink>
      <w:r w:rsidRPr="0039089C">
        <w:rPr>
          <w:u w:val="single"/>
        </w:rPr>
        <w:t xml:space="preserve"> </w:t>
      </w:r>
      <w:r>
        <w:t xml:space="preserve">and </w:t>
      </w:r>
      <w:hyperlink r:id="rId94">
        <w:r w:rsidRPr="0039089C">
          <w:rPr>
            <w:rStyle w:val="Hyperlink"/>
            <w:rFonts w:ascii="Arial" w:hAnsi="Arial"/>
          </w:rPr>
          <w:t>PCN reference guide</w:t>
        </w:r>
      </w:hyperlink>
      <w:r>
        <w:t>.</w:t>
      </w:r>
    </w:p>
    <w:p w14:paraId="1760C423" w14:textId="717E0F8A" w:rsidR="009C2BA6" w:rsidRPr="009C2BA6" w:rsidRDefault="009C2BA6" w:rsidP="007536BE">
      <w:pPr>
        <w:pStyle w:val="Heading4"/>
        <w:rPr>
          <w:rFonts w:hint="eastAsia"/>
        </w:rPr>
      </w:pPr>
      <w:bookmarkStart w:id="78" w:name="_Toc193808074"/>
      <w:bookmarkStart w:id="79" w:name="_Toc153872907"/>
      <w:bookmarkStart w:id="80" w:name="_Toc153872951"/>
      <w:bookmarkStart w:id="81" w:name="_Toc153902662"/>
      <w:bookmarkStart w:id="82" w:name="_Toc153990114"/>
      <w:r w:rsidRPr="009C2BA6">
        <w:lastRenderedPageBreak/>
        <w:t xml:space="preserve">Enhanced </w:t>
      </w:r>
      <w:r w:rsidR="007536BE">
        <w:t>h</w:t>
      </w:r>
      <w:r w:rsidRPr="009C2BA6">
        <w:t xml:space="preserve">ealth in </w:t>
      </w:r>
      <w:r w:rsidR="007536BE">
        <w:t>c</w:t>
      </w:r>
      <w:r w:rsidRPr="009C2BA6">
        <w:t xml:space="preserve">are </w:t>
      </w:r>
      <w:r w:rsidR="007536BE">
        <w:t>h</w:t>
      </w:r>
      <w:r w:rsidRPr="009C2BA6">
        <w:t>omes</w:t>
      </w:r>
      <w:r w:rsidR="008F2901">
        <w:t xml:space="preserve"> (EHCH)</w:t>
      </w:r>
      <w:bookmarkEnd w:id="78"/>
      <w:r w:rsidRPr="009C2BA6">
        <w:t xml:space="preserve"> </w:t>
      </w:r>
      <w:bookmarkEnd w:id="79"/>
      <w:bookmarkEnd w:id="80"/>
      <w:bookmarkEnd w:id="81"/>
      <w:bookmarkEnd w:id="82"/>
    </w:p>
    <w:p w14:paraId="080A5466" w14:textId="4ACD9B85" w:rsidR="004A086D" w:rsidRPr="002D72AA" w:rsidRDefault="009C2BA6" w:rsidP="00887432">
      <w:pPr>
        <w:pStyle w:val="3digitpara"/>
        <w:numPr>
          <w:ilvl w:val="7"/>
          <w:numId w:val="45"/>
        </w:numPr>
        <w:spacing w:line="276" w:lineRule="auto"/>
        <w:ind w:left="851"/>
        <w:rPr>
          <w:i/>
          <w:iCs/>
          <w:color w:val="231F20" w:themeColor="background1"/>
        </w:rPr>
      </w:pPr>
      <w:r w:rsidRPr="009C2BA6">
        <w:t xml:space="preserve">The DES </w:t>
      </w:r>
      <w:r w:rsidR="00465C78">
        <w:t>specification states</w:t>
      </w:r>
      <w:r w:rsidR="00465C78" w:rsidRPr="009C2BA6">
        <w:t xml:space="preserve"> </w:t>
      </w:r>
      <w:r w:rsidRPr="009C2BA6">
        <w:t xml:space="preserve">that </w:t>
      </w:r>
      <w:r w:rsidR="00B77DF2">
        <w:t xml:space="preserve">it is a key requirement of </w:t>
      </w:r>
      <w:r w:rsidRPr="009C2BA6">
        <w:t>a</w:t>
      </w:r>
      <w:r w:rsidR="008766CB">
        <w:t xml:space="preserve"> </w:t>
      </w:r>
      <w:r w:rsidR="008766CB" w:rsidRPr="00695233">
        <w:t xml:space="preserve">PCN </w:t>
      </w:r>
      <w:r w:rsidR="00B77DF2">
        <w:t xml:space="preserve">to </w:t>
      </w:r>
      <w:r w:rsidR="00B77DF2" w:rsidRPr="00695233">
        <w:rPr>
          <w:color w:val="231F20" w:themeColor="background1"/>
        </w:rPr>
        <w:t xml:space="preserve"> </w:t>
      </w:r>
      <w:r w:rsidR="00B77DF2">
        <w:rPr>
          <w:color w:val="231F20" w:themeColor="background1"/>
        </w:rPr>
        <w:t>"</w:t>
      </w:r>
      <w:r w:rsidR="007B7ACB" w:rsidRPr="002D72AA">
        <w:rPr>
          <w:rStyle w:val="normaltextrun"/>
          <w:i/>
          <w:iCs/>
          <w:color w:val="231F20" w:themeColor="background1"/>
        </w:rPr>
        <w:t>d</w:t>
      </w:r>
      <w:r w:rsidR="007B7ACB" w:rsidRPr="002D72AA">
        <w:rPr>
          <w:rStyle w:val="normaltextrun"/>
          <w:i/>
          <w:iCs/>
          <w:strike/>
          <w:color w:val="231F20" w:themeColor="background1"/>
        </w:rPr>
        <w:t>e</w:t>
      </w:r>
      <w:r w:rsidR="007B7ACB" w:rsidRPr="002D72AA">
        <w:rPr>
          <w:rStyle w:val="normaltextrun"/>
          <w:i/>
          <w:iCs/>
          <w:color w:val="231F20" w:themeColor="background1"/>
        </w:rPr>
        <w:t>liver</w:t>
      </w:r>
      <w:r w:rsidR="004A086D" w:rsidRPr="002D72AA">
        <w:rPr>
          <w:rStyle w:val="normaltextrun"/>
          <w:i/>
          <w:iCs/>
          <w:color w:val="231F20" w:themeColor="background1"/>
        </w:rPr>
        <w:t xml:space="preserve"> an Enhanced Health in Care Homes service in accordance with the framework and guidance, including:</w:t>
      </w:r>
      <w:r w:rsidR="004A086D" w:rsidRPr="002D72AA">
        <w:rPr>
          <w:rStyle w:val="eop"/>
          <w:rFonts w:cs="Arial"/>
          <w:i/>
          <w:iCs/>
          <w:color w:val="231F20" w:themeColor="background1"/>
        </w:rPr>
        <w:t> </w:t>
      </w:r>
    </w:p>
    <w:p w14:paraId="0F549451" w14:textId="77777777" w:rsidR="004A086D" w:rsidRPr="002D72AA" w:rsidRDefault="004A086D" w:rsidP="001A5B08">
      <w:pPr>
        <w:pStyle w:val="paragraph"/>
        <w:numPr>
          <w:ilvl w:val="0"/>
          <w:numId w:val="32"/>
        </w:numPr>
        <w:spacing w:before="0" w:beforeAutospacing="0" w:after="0" w:afterAutospacing="0" w:line="276" w:lineRule="auto"/>
        <w:ind w:left="1375"/>
        <w:jc w:val="both"/>
        <w:textAlignment w:val="baseline"/>
        <w:rPr>
          <w:rFonts w:ascii="Arial" w:hAnsi="Arial" w:cs="Arial"/>
          <w:i/>
          <w:iCs/>
          <w:color w:val="231F20" w:themeColor="background1"/>
        </w:rPr>
      </w:pPr>
      <w:r w:rsidRPr="002D72AA">
        <w:rPr>
          <w:rStyle w:val="normaltextrun"/>
          <w:rFonts w:ascii="Arial" w:hAnsi="Arial" w:cs="Arial"/>
          <w:i/>
          <w:iCs/>
          <w:color w:val="231F20" w:themeColor="background1"/>
        </w:rPr>
        <w:t>agreement with the commissioner for which care homes the PCN is responsible;</w:t>
      </w:r>
      <w:r w:rsidRPr="002D72AA">
        <w:rPr>
          <w:rStyle w:val="eop"/>
          <w:rFonts w:ascii="Arial" w:hAnsi="Arial" w:cs="Arial"/>
          <w:i/>
          <w:iCs/>
          <w:color w:val="231F20" w:themeColor="background1"/>
        </w:rPr>
        <w:t> </w:t>
      </w:r>
    </w:p>
    <w:p w14:paraId="3ACA90F0" w14:textId="7452B400" w:rsidR="004A086D" w:rsidRPr="002D72AA" w:rsidRDefault="004A086D" w:rsidP="001A5B08">
      <w:pPr>
        <w:pStyle w:val="paragraph"/>
        <w:numPr>
          <w:ilvl w:val="0"/>
          <w:numId w:val="32"/>
        </w:numPr>
        <w:spacing w:before="0" w:beforeAutospacing="0" w:after="0" w:afterAutospacing="0" w:line="276" w:lineRule="auto"/>
        <w:ind w:left="1375"/>
        <w:jc w:val="both"/>
        <w:textAlignment w:val="baseline"/>
        <w:rPr>
          <w:rFonts w:ascii="Arial" w:hAnsi="Arial" w:cs="Arial"/>
          <w:i/>
          <w:iCs/>
          <w:color w:val="231F20" w:themeColor="background1"/>
        </w:rPr>
      </w:pPr>
      <w:r w:rsidRPr="002D72AA">
        <w:rPr>
          <w:rStyle w:val="normaltextrun"/>
          <w:rFonts w:ascii="Arial" w:hAnsi="Arial" w:cs="Arial"/>
          <w:i/>
          <w:iCs/>
          <w:color w:val="231F20" w:themeColor="background1"/>
        </w:rPr>
        <w:t xml:space="preserve">identifying a lead GP (or other senior clinician) with responsibility for the </w:t>
      </w:r>
      <w:r w:rsidR="007609B6" w:rsidRPr="002D72AA">
        <w:rPr>
          <w:rStyle w:val="normaltextrun"/>
          <w:rFonts w:ascii="Arial" w:hAnsi="Arial" w:cs="Arial"/>
          <w:i/>
          <w:iCs/>
          <w:color w:val="231F20" w:themeColor="background1"/>
        </w:rPr>
        <w:t xml:space="preserve">implementation of the </w:t>
      </w:r>
      <w:r w:rsidRPr="002D72AA">
        <w:rPr>
          <w:rStyle w:val="normaltextrun"/>
          <w:rFonts w:ascii="Arial" w:hAnsi="Arial" w:cs="Arial"/>
          <w:i/>
          <w:iCs/>
          <w:color w:val="231F20" w:themeColor="background1"/>
        </w:rPr>
        <w:t>EHCH framework for the agreed care homes, and to provide continuity of medical care;</w:t>
      </w:r>
      <w:r w:rsidRPr="002D72AA">
        <w:rPr>
          <w:rStyle w:val="eop"/>
          <w:rFonts w:ascii="Arial" w:hAnsi="Arial" w:cs="Arial"/>
          <w:i/>
          <w:iCs/>
          <w:color w:val="231F20" w:themeColor="background1"/>
        </w:rPr>
        <w:t> </w:t>
      </w:r>
    </w:p>
    <w:p w14:paraId="082712CB" w14:textId="77777777" w:rsidR="004A086D" w:rsidRPr="002D72AA" w:rsidRDefault="004A086D" w:rsidP="001A5B08">
      <w:pPr>
        <w:pStyle w:val="paragraph"/>
        <w:numPr>
          <w:ilvl w:val="0"/>
          <w:numId w:val="32"/>
        </w:numPr>
        <w:spacing w:before="0" w:beforeAutospacing="0" w:after="0" w:afterAutospacing="0" w:line="276" w:lineRule="auto"/>
        <w:ind w:left="1375"/>
        <w:jc w:val="both"/>
        <w:textAlignment w:val="baseline"/>
        <w:rPr>
          <w:rStyle w:val="eop"/>
          <w:rFonts w:ascii="Arial" w:hAnsi="Arial" w:cs="Arial"/>
          <w:i/>
          <w:iCs/>
          <w:color w:val="231F20" w:themeColor="background1"/>
        </w:rPr>
      </w:pPr>
      <w:r w:rsidRPr="002D72AA">
        <w:rPr>
          <w:rStyle w:val="normaltextrun"/>
          <w:rFonts w:ascii="Arial" w:hAnsi="Arial" w:cs="Arial"/>
          <w:i/>
          <w:iCs/>
          <w:color w:val="231F20" w:themeColor="background1"/>
        </w:rPr>
        <w:t>co-ordinating an MDT meeting and associated actions, including the lead GP or clinician and care home staff;</w:t>
      </w:r>
      <w:r w:rsidRPr="002D72AA">
        <w:rPr>
          <w:rStyle w:val="eop"/>
          <w:rFonts w:ascii="Arial" w:hAnsi="Arial" w:cs="Arial"/>
          <w:i/>
          <w:iCs/>
          <w:color w:val="231F20" w:themeColor="background1"/>
        </w:rPr>
        <w:t> </w:t>
      </w:r>
    </w:p>
    <w:p w14:paraId="111C711C" w14:textId="32A71A2D" w:rsidR="003D00E8" w:rsidRPr="002D72AA" w:rsidRDefault="003D00E8" w:rsidP="001A5B08">
      <w:pPr>
        <w:pStyle w:val="paragraph"/>
        <w:numPr>
          <w:ilvl w:val="0"/>
          <w:numId w:val="32"/>
        </w:numPr>
        <w:spacing w:before="0" w:beforeAutospacing="0" w:after="0" w:afterAutospacing="0" w:line="276" w:lineRule="auto"/>
        <w:ind w:left="1375"/>
        <w:jc w:val="both"/>
        <w:textAlignment w:val="baseline"/>
        <w:rPr>
          <w:rFonts w:ascii="Arial" w:hAnsi="Arial" w:cs="Arial"/>
          <w:i/>
          <w:iCs/>
          <w:color w:val="231F20" w:themeColor="background1"/>
        </w:rPr>
      </w:pPr>
      <w:r w:rsidRPr="002D72AA">
        <w:rPr>
          <w:rStyle w:val="normaltextrun"/>
          <w:rFonts w:ascii="Arial" w:hAnsi="Arial" w:cs="Arial"/>
          <w:i/>
          <w:iCs/>
          <w:color w:val="231F20" w:themeColor="background1"/>
        </w:rPr>
        <w:t>delivering a weekly care home round​; and</w:t>
      </w:r>
      <w:r w:rsidRPr="002D72AA">
        <w:rPr>
          <w:rStyle w:val="eop"/>
          <w:rFonts w:ascii="Arial" w:hAnsi="Arial" w:cs="Arial"/>
          <w:i/>
          <w:iCs/>
          <w:color w:val="231F20" w:themeColor="background1"/>
        </w:rPr>
        <w:t> </w:t>
      </w:r>
    </w:p>
    <w:p w14:paraId="5827488A" w14:textId="595C52DB" w:rsidR="00973F78" w:rsidRPr="00E46491" w:rsidRDefault="004A086D" w:rsidP="003D00E8">
      <w:pPr>
        <w:pStyle w:val="paragraph"/>
        <w:numPr>
          <w:ilvl w:val="0"/>
          <w:numId w:val="32"/>
        </w:numPr>
        <w:spacing w:before="0" w:beforeAutospacing="0" w:after="0" w:afterAutospacing="0" w:line="276" w:lineRule="auto"/>
        <w:ind w:left="1375"/>
        <w:jc w:val="both"/>
        <w:textAlignment w:val="baseline"/>
      </w:pPr>
      <w:r w:rsidRPr="002D72AA">
        <w:rPr>
          <w:rStyle w:val="normaltextrun"/>
          <w:rFonts w:ascii="Arial" w:hAnsi="Arial" w:cs="Arial"/>
          <w:i/>
          <w:iCs/>
          <w:color w:val="231F20" w:themeColor="background1"/>
        </w:rPr>
        <w:t>ensuring accurate coding of care</w:t>
      </w:r>
      <w:r w:rsidR="008766CB" w:rsidRPr="00695233">
        <w:rPr>
          <w:rStyle w:val="normaltextrun"/>
          <w:rFonts w:ascii="Arial" w:hAnsi="Arial" w:cs="Arial"/>
          <w:color w:val="231F20" w:themeColor="background1"/>
        </w:rPr>
        <w:t>.”</w:t>
      </w:r>
      <w:r w:rsidRPr="00695233">
        <w:rPr>
          <w:rStyle w:val="eop"/>
          <w:rFonts w:ascii="Arial" w:hAnsi="Arial" w:cs="Arial"/>
          <w:color w:val="231F20" w:themeColor="background1"/>
        </w:rPr>
        <w:t> </w:t>
      </w:r>
      <w:bookmarkStart w:id="83" w:name="_Hlk153322876"/>
    </w:p>
    <w:p w14:paraId="5DD4D442" w14:textId="72970370" w:rsidR="009C2BA6" w:rsidRPr="001A5B08" w:rsidRDefault="00EE33EA" w:rsidP="00887432">
      <w:pPr>
        <w:pStyle w:val="3digitpara"/>
        <w:numPr>
          <w:ilvl w:val="7"/>
          <w:numId w:val="45"/>
        </w:numPr>
        <w:ind w:left="851"/>
        <w:rPr>
          <w:lang w:val="en-US"/>
        </w:rPr>
      </w:pPr>
      <w:r w:rsidRPr="0039089C">
        <w:rPr>
          <w:lang w:val="en-US"/>
        </w:rPr>
        <w:t>To achieve this</w:t>
      </w:r>
      <w:r w:rsidRPr="00973F78">
        <w:t xml:space="preserve"> </w:t>
      </w:r>
      <w:r w:rsidRPr="009C2BA6">
        <w:t xml:space="preserve">PCNs should follow the </w:t>
      </w:r>
      <w:hyperlink r:id="rId95" w:history="1">
        <w:r w:rsidRPr="009C2BA6">
          <w:rPr>
            <w:rStyle w:val="Hyperlink"/>
            <w:rFonts w:ascii="Arial" w:hAnsi="Arial"/>
          </w:rPr>
          <w:t>Enhanced Health in Care Homes (EHCH) Framework</w:t>
        </w:r>
      </w:hyperlink>
      <w:r w:rsidRPr="009C2BA6">
        <w:t xml:space="preserve"> which describes the implementation model in detail, describing the inputs and responsibilities across the system, to ensure person-centred integrated care is delivered at the care home level, with an emphasis on multi-disciplinary support and shared care planning</w:t>
      </w:r>
      <w:r w:rsidR="00E07054">
        <w:t>.</w:t>
      </w:r>
    </w:p>
    <w:p w14:paraId="4AC2249B" w14:textId="28979885" w:rsidR="009C2BA6" w:rsidRPr="00E55E3E" w:rsidRDefault="009C2BA6" w:rsidP="00887432">
      <w:pPr>
        <w:pStyle w:val="3digitpara"/>
        <w:numPr>
          <w:ilvl w:val="7"/>
          <w:numId w:val="45"/>
        </w:numPr>
        <w:ind w:left="851"/>
        <w:rPr>
          <w:lang w:val="en-US"/>
        </w:rPr>
      </w:pPr>
      <w:r w:rsidRPr="00E55E3E">
        <w:rPr>
          <w:lang w:val="en-US"/>
        </w:rPr>
        <w:t>Additionally, a PCN is expected to:</w:t>
      </w:r>
    </w:p>
    <w:p w14:paraId="1503345D" w14:textId="5AC2E3FB" w:rsidR="009C2BA6" w:rsidRPr="009C2BA6" w:rsidRDefault="009C2BA6" w:rsidP="00696350">
      <w:pPr>
        <w:numPr>
          <w:ilvl w:val="0"/>
          <w:numId w:val="23"/>
        </w:numPr>
        <w:spacing w:after="120"/>
        <w:rPr>
          <w:bCs/>
          <w:lang w:val="en-US"/>
        </w:rPr>
      </w:pPr>
      <w:r w:rsidRPr="009C2BA6">
        <w:rPr>
          <w:bCs/>
          <w:lang w:val="en-US"/>
        </w:rPr>
        <w:t>support people entering, or already resident in the PCN’s Aligned Care Home, to register with a practice in the aligned PCN if this is not already the case; and ensure a lead GP (or GPs) is agreed for each of the PCN’s Aligned Care Homes. By exception, the clinical lead may be a non-GP clinician with appropriate experience of working with care homes, provided this is agreed by the practices in the PCN, the commissioner and the relevant community provider</w:t>
      </w:r>
      <w:r w:rsidR="00465C78">
        <w:rPr>
          <w:bCs/>
          <w:lang w:val="en-US"/>
        </w:rPr>
        <w:t>;</w:t>
      </w:r>
    </w:p>
    <w:p w14:paraId="36FC9666" w14:textId="39941D48" w:rsidR="009C2BA6" w:rsidRPr="009C2BA6" w:rsidRDefault="009C2BA6" w:rsidP="00696350">
      <w:pPr>
        <w:numPr>
          <w:ilvl w:val="0"/>
          <w:numId w:val="23"/>
        </w:numPr>
        <w:spacing w:after="120"/>
        <w:rPr>
          <w:bCs/>
          <w:lang w:val="en-US"/>
        </w:rPr>
      </w:pPr>
      <w:r w:rsidRPr="009C2BA6">
        <w:rPr>
          <w:bCs/>
          <w:lang w:val="en-US"/>
        </w:rPr>
        <w:t xml:space="preserve">work with community service providers (whose contracts will describe their responsibility in this respect) and other relevant partners to establish and coordinate a multidisciplinary team (“MDT”); and have established arrangements for the MDT to enable the development of </w:t>
      </w:r>
      <w:proofErr w:type="spellStart"/>
      <w:r w:rsidRPr="009C2BA6">
        <w:rPr>
          <w:bCs/>
          <w:lang w:val="en-US"/>
        </w:rPr>
        <w:t>personalised</w:t>
      </w:r>
      <w:proofErr w:type="spellEnd"/>
      <w:r w:rsidRPr="009C2BA6">
        <w:rPr>
          <w:bCs/>
          <w:lang w:val="en-US"/>
        </w:rPr>
        <w:t xml:space="preserve"> care and support plans, in line with the guidance in the EHCH framework [link]</w:t>
      </w:r>
      <w:r w:rsidR="00465C78">
        <w:rPr>
          <w:bCs/>
          <w:lang w:val="en-US"/>
        </w:rPr>
        <w:t>;</w:t>
      </w:r>
    </w:p>
    <w:p w14:paraId="13228CE4" w14:textId="267F5371" w:rsidR="009C2BA6" w:rsidRPr="009C2BA6" w:rsidRDefault="009C2BA6" w:rsidP="00696350">
      <w:pPr>
        <w:numPr>
          <w:ilvl w:val="0"/>
          <w:numId w:val="23"/>
        </w:numPr>
        <w:spacing w:after="120"/>
        <w:rPr>
          <w:bCs/>
          <w:lang w:val="en-US"/>
        </w:rPr>
      </w:pPr>
      <w:r w:rsidRPr="009C2BA6">
        <w:rPr>
          <w:bCs/>
          <w:lang w:val="en-US"/>
        </w:rPr>
        <w:t xml:space="preserve">identify and engage in locally </w:t>
      </w:r>
      <w:proofErr w:type="spellStart"/>
      <w:r w:rsidRPr="009C2BA6">
        <w:rPr>
          <w:bCs/>
          <w:lang w:val="en-US"/>
        </w:rPr>
        <w:t>organised</w:t>
      </w:r>
      <w:proofErr w:type="spellEnd"/>
      <w:r w:rsidRPr="009C2BA6">
        <w:rPr>
          <w:bCs/>
          <w:lang w:val="en-US"/>
        </w:rPr>
        <w:t xml:space="preserve"> shared learning opportunities as appropriate and as capacity allows; and support with a patient’s discharge from hospital and transfers of care between settings, including giving due regard to NICE Guideline 2756</w:t>
      </w:r>
      <w:r w:rsidR="00465C78">
        <w:rPr>
          <w:bCs/>
          <w:lang w:val="en-US"/>
        </w:rPr>
        <w:t>;</w:t>
      </w:r>
    </w:p>
    <w:p w14:paraId="2F83C565" w14:textId="06E322D6" w:rsidR="009C2BA6" w:rsidRPr="009C2BA6" w:rsidRDefault="009C2BA6" w:rsidP="00696350">
      <w:pPr>
        <w:numPr>
          <w:ilvl w:val="0"/>
          <w:numId w:val="23"/>
        </w:numPr>
        <w:rPr>
          <w:bCs/>
          <w:lang w:val="en-US"/>
        </w:rPr>
      </w:pPr>
      <w:r w:rsidRPr="009C2BA6">
        <w:rPr>
          <w:bCs/>
          <w:lang w:val="en-US"/>
        </w:rPr>
        <w:t>ensure the coding of care home residence is accurately recorded using the relevant SNOMED codes as published in the supporting Business Rules</w:t>
      </w:r>
      <w:r w:rsidR="00465C78">
        <w:rPr>
          <w:bCs/>
          <w:lang w:val="en-US"/>
        </w:rPr>
        <w:t>.</w:t>
      </w:r>
    </w:p>
    <w:p w14:paraId="6D3880DD" w14:textId="0CB8EFB3" w:rsidR="009C2BA6" w:rsidRPr="00645B47" w:rsidRDefault="009C2BA6" w:rsidP="00887432">
      <w:pPr>
        <w:pStyle w:val="h2numbered"/>
        <w:numPr>
          <w:ilvl w:val="0"/>
          <w:numId w:val="45"/>
        </w:numPr>
      </w:pPr>
      <w:bookmarkStart w:id="84" w:name="_Toc153872908"/>
      <w:bookmarkStart w:id="85" w:name="_Toc153872952"/>
      <w:bookmarkStart w:id="86" w:name="_Toc153902663"/>
      <w:bookmarkStart w:id="87" w:name="_Toc153990115"/>
      <w:bookmarkStart w:id="88" w:name="_Toc193808075"/>
      <w:bookmarkEnd w:id="83"/>
      <w:r w:rsidRPr="00645B47">
        <w:lastRenderedPageBreak/>
        <w:t xml:space="preserve">Enhanced </w:t>
      </w:r>
      <w:r w:rsidR="008F2901" w:rsidRPr="00645B47">
        <w:t>a</w:t>
      </w:r>
      <w:r w:rsidRPr="00645B47">
        <w:t>ccess</w:t>
      </w:r>
      <w:bookmarkEnd w:id="84"/>
      <w:bookmarkEnd w:id="85"/>
      <w:bookmarkEnd w:id="86"/>
      <w:bookmarkEnd w:id="87"/>
      <w:bookmarkEnd w:id="88"/>
    </w:p>
    <w:p w14:paraId="2BB4A1F0" w14:textId="37C74092" w:rsidR="009C2BA6" w:rsidRPr="009C2BA6" w:rsidRDefault="009C2BA6" w:rsidP="00CF77B1">
      <w:pPr>
        <w:pStyle w:val="3digitpara"/>
        <w:numPr>
          <w:ilvl w:val="7"/>
          <w:numId w:val="19"/>
        </w:numPr>
      </w:pPr>
      <w:r w:rsidRPr="00B64CF6">
        <w:t xml:space="preserve">Section </w:t>
      </w:r>
      <w:r w:rsidR="003211A5" w:rsidRPr="00B64CF6">
        <w:t>8.</w:t>
      </w:r>
      <w:r w:rsidR="00B77DF2">
        <w:t>6</w:t>
      </w:r>
      <w:r w:rsidR="003211A5" w:rsidRPr="00B64CF6">
        <w:t xml:space="preserve"> </w:t>
      </w:r>
      <w:r w:rsidRPr="00B64CF6">
        <w:t xml:space="preserve">of the DES </w:t>
      </w:r>
      <w:r w:rsidR="00465C78" w:rsidRPr="00B64CF6">
        <w:t>s</w:t>
      </w:r>
      <w:r w:rsidRPr="00B64CF6">
        <w:t>pecification sets o</w:t>
      </w:r>
      <w:r w:rsidRPr="009C2BA6">
        <w:t xml:space="preserve">ut the requirements for delivery of </w:t>
      </w:r>
      <w:r w:rsidR="00465C78">
        <w:t>e</w:t>
      </w:r>
      <w:r w:rsidRPr="009C2BA6">
        <w:t xml:space="preserve">nhanced </w:t>
      </w:r>
      <w:r w:rsidR="00465C78">
        <w:t>a</w:t>
      </w:r>
      <w:r w:rsidRPr="009C2BA6">
        <w:t>ccess.</w:t>
      </w:r>
    </w:p>
    <w:p w14:paraId="4BB52D35" w14:textId="6542FDED" w:rsidR="009C2BA6" w:rsidRPr="009C2BA6" w:rsidRDefault="009C2BA6" w:rsidP="00CF77B1">
      <w:pPr>
        <w:pStyle w:val="3digitpara"/>
        <w:numPr>
          <w:ilvl w:val="7"/>
          <w:numId w:val="19"/>
        </w:numPr>
      </w:pPr>
      <w:r w:rsidRPr="009C2BA6">
        <w:t>For enhanced access the Network Standard Hours cover 6.30pm-8pm during the week</w:t>
      </w:r>
      <w:r w:rsidR="00B77DF2">
        <w:t xml:space="preserve"> and between 9am and 5pm on Saturdays</w:t>
      </w:r>
      <w:r w:rsidRPr="009C2BA6">
        <w:t>. Where a Core Network Practice is required under a General Medical Services (GMS) contract to provide core services at its premises after 6.30pm, the patients of that practice must also have access to enhanced access appointments, and the enhanced access appointments must be in addition to the appointments offered as part of that practice’s core hours service offer.</w:t>
      </w:r>
    </w:p>
    <w:p w14:paraId="00942CDD" w14:textId="121D2603" w:rsidR="009C2BA6" w:rsidRPr="009C2BA6" w:rsidRDefault="009C2BA6" w:rsidP="00CF77B1">
      <w:pPr>
        <w:pStyle w:val="3digitpara"/>
        <w:numPr>
          <w:ilvl w:val="7"/>
          <w:numId w:val="19"/>
        </w:numPr>
      </w:pPr>
      <w:r w:rsidRPr="009C2BA6">
        <w:t>Core Network Practices within a PCN are collectively responsible for the delivery of enhanced access. In the event the commissioner is not satisfied that a PCN is delivering the requirements in accordance with the DES</w:t>
      </w:r>
      <w:r w:rsidR="00465C78">
        <w:t xml:space="preserve"> specification</w:t>
      </w:r>
      <w:r w:rsidRPr="009C2BA6">
        <w:t xml:space="preserve">, then the commissioner may take action as set out in section 9 of the DES </w:t>
      </w:r>
      <w:r w:rsidR="00465C78">
        <w:t>s</w:t>
      </w:r>
      <w:r w:rsidRPr="009C2BA6">
        <w:t>pecification. If a commissioner determines to withhold payment, the amount withheld will be an appropriate proportion of the enhanced access payment and the Core PCN funding payment.</w:t>
      </w:r>
    </w:p>
    <w:p w14:paraId="4F89CF42" w14:textId="77777777" w:rsidR="009C2BA6" w:rsidRDefault="009C2BA6" w:rsidP="00CF77B1">
      <w:pPr>
        <w:pStyle w:val="3digitpara"/>
        <w:numPr>
          <w:ilvl w:val="7"/>
          <w:numId w:val="19"/>
        </w:numPr>
      </w:pPr>
      <w:r w:rsidRPr="009C2BA6">
        <w:t>PCNs have the flexibility to sub-contract enhanced access services to other providers in accordance with any sub-contracting provisions of the GP practices’ primary medical services contracts.</w:t>
      </w:r>
    </w:p>
    <w:p w14:paraId="0B011985" w14:textId="02B1DE82" w:rsidR="005019BA" w:rsidRDefault="005019BA" w:rsidP="00CF77B1">
      <w:pPr>
        <w:pStyle w:val="3digitpara"/>
        <w:numPr>
          <w:ilvl w:val="7"/>
          <w:numId w:val="19"/>
        </w:numPr>
      </w:pPr>
      <w:r>
        <w:t>In relation to enhanced access, the DES specification sets out the minimum universal requirements for PCNs to deliver. It is expected that, where areas had additional patient services in place locally prior to the introduction of enhanced access in October 2022, commissioners will have made arrangements for these to continue (and any changes would be subject to local engagement). Where levels of capacity or funding as provided under the CCG Extended Access Service at 30 September 2022 exceed the minimum requirements for enhanced access set out in the DES specification, commissioners are expected to ensure these capacity and funding levels under the CCG Extended Access Service are maintained going forward.</w:t>
      </w:r>
    </w:p>
    <w:p w14:paraId="09FDE29D" w14:textId="686482FE" w:rsidR="00881129" w:rsidRDefault="00881129" w:rsidP="00881129">
      <w:pPr>
        <w:pStyle w:val="Heading4"/>
        <w:rPr>
          <w:rFonts w:hint="eastAsia"/>
        </w:rPr>
      </w:pPr>
      <w:bookmarkStart w:id="89" w:name="_Toc193808076"/>
      <w:r w:rsidRPr="009C2BA6">
        <w:t xml:space="preserve">Delivery of </w:t>
      </w:r>
      <w:r>
        <w:t>e</w:t>
      </w:r>
      <w:r w:rsidRPr="009C2BA6">
        <w:t xml:space="preserve">nhanced </w:t>
      </w:r>
      <w:r>
        <w:t>a</w:t>
      </w:r>
      <w:r w:rsidRPr="009C2BA6">
        <w:t>ccess</w:t>
      </w:r>
      <w:bookmarkEnd w:id="89"/>
      <w:r w:rsidRPr="009C2BA6">
        <w:t xml:space="preserve"> </w:t>
      </w:r>
    </w:p>
    <w:p w14:paraId="2D25D0EF" w14:textId="77777777" w:rsidR="00F84AF1" w:rsidRPr="00F84AF1" w:rsidRDefault="00F84AF1" w:rsidP="00F84AF1">
      <w:pPr>
        <w:pStyle w:val="3digitpara"/>
        <w:numPr>
          <w:ilvl w:val="7"/>
          <w:numId w:val="19"/>
        </w:numPr>
      </w:pPr>
      <w:r>
        <w:t xml:space="preserve">Enhanced </w:t>
      </w:r>
      <w:r w:rsidRPr="00F84AF1">
        <w:t xml:space="preserve">Access should be delivered in accordance with the </w:t>
      </w:r>
      <w:r w:rsidRPr="00F74177">
        <w:rPr>
          <w:highlight w:val="yellow"/>
        </w:rPr>
        <w:t>previously developed</w:t>
      </w:r>
      <w:r w:rsidRPr="00F84AF1">
        <w:t xml:space="preserve"> Enhanced Access Plan </w:t>
      </w:r>
      <w:r w:rsidRPr="00F74177">
        <w:rPr>
          <w:highlight w:val="yellow"/>
        </w:rPr>
        <w:t>that was</w:t>
      </w:r>
      <w:r w:rsidRPr="00F84AF1">
        <w:t xml:space="preserve"> agreed with the commissioner. </w:t>
      </w:r>
    </w:p>
    <w:p w14:paraId="2311A376" w14:textId="77777777" w:rsidR="009C2BA6" w:rsidRPr="009C2BA6" w:rsidRDefault="009C2BA6" w:rsidP="00CF77B1">
      <w:pPr>
        <w:pStyle w:val="3digitpara"/>
        <w:numPr>
          <w:ilvl w:val="7"/>
          <w:numId w:val="18"/>
        </w:numPr>
      </w:pPr>
      <w:r w:rsidRPr="009C2BA6">
        <w:t xml:space="preserve">It is up to the PCN to determine the delivery model for enhanced access as part of the Network Agreement, but PCNs will need to ensure this service is offered to the </w:t>
      </w:r>
      <w:r w:rsidRPr="009C2BA6">
        <w:lastRenderedPageBreak/>
        <w:t>entire PCN population. The exact model of delivery in each PCN may vary and could include:</w:t>
      </w:r>
    </w:p>
    <w:p w14:paraId="76B89D89" w14:textId="1600DB50" w:rsidR="009C2BA6" w:rsidRPr="009C2BA6" w:rsidRDefault="009C2BA6" w:rsidP="00785257">
      <w:pPr>
        <w:numPr>
          <w:ilvl w:val="0"/>
          <w:numId w:val="5"/>
        </w:numPr>
        <w:spacing w:after="120"/>
        <w:rPr>
          <w:bCs/>
        </w:rPr>
      </w:pPr>
      <w:r w:rsidRPr="009C2BA6">
        <w:rPr>
          <w:bCs/>
        </w:rPr>
        <w:t xml:space="preserve">All practices in the PCN offering enhanced access to </w:t>
      </w:r>
      <w:r w:rsidR="00404292">
        <w:rPr>
          <w:bCs/>
        </w:rPr>
        <w:t>their</w:t>
      </w:r>
      <w:r w:rsidR="00404292" w:rsidRPr="009C2BA6">
        <w:rPr>
          <w:bCs/>
        </w:rPr>
        <w:t xml:space="preserve"> </w:t>
      </w:r>
      <w:r w:rsidRPr="009C2BA6">
        <w:rPr>
          <w:bCs/>
        </w:rPr>
        <w:t>own registered list.</w:t>
      </w:r>
    </w:p>
    <w:p w14:paraId="23808F67" w14:textId="46938315" w:rsidR="009C2BA6" w:rsidRPr="009C2BA6" w:rsidRDefault="40A078DB" w:rsidP="00785257">
      <w:pPr>
        <w:numPr>
          <w:ilvl w:val="0"/>
          <w:numId w:val="5"/>
        </w:numPr>
        <w:spacing w:after="120"/>
      </w:pPr>
      <w:r>
        <w:t>One practice undertaking the majority of the enhanced access provision for the PCN’s population, with other practices participating less frequently (but those practices’ registered patients still having access to enhanced access at other sites)</w:t>
      </w:r>
      <w:r w:rsidR="6F81CCB0">
        <w:t>.</w:t>
      </w:r>
    </w:p>
    <w:p w14:paraId="160A14FF" w14:textId="77777777" w:rsidR="009C2BA6" w:rsidRPr="009C2BA6" w:rsidRDefault="009C2BA6" w:rsidP="00785257">
      <w:pPr>
        <w:numPr>
          <w:ilvl w:val="0"/>
          <w:numId w:val="5"/>
        </w:numPr>
        <w:spacing w:after="120"/>
        <w:rPr>
          <w:bCs/>
        </w:rPr>
      </w:pPr>
      <w:r w:rsidRPr="009C2BA6">
        <w:rPr>
          <w:bCs/>
        </w:rPr>
        <w:t>One practice offering enhanced access to its own registered list and the other practices sub-contracting delivery for their respective patients.</w:t>
      </w:r>
    </w:p>
    <w:p w14:paraId="1BD4456B" w14:textId="14428689" w:rsidR="009C2BA6" w:rsidRPr="009C2BA6" w:rsidRDefault="009C2BA6" w:rsidP="009C2BA6">
      <w:pPr>
        <w:numPr>
          <w:ilvl w:val="0"/>
          <w:numId w:val="5"/>
        </w:numPr>
        <w:rPr>
          <w:bCs/>
        </w:rPr>
      </w:pPr>
      <w:r w:rsidRPr="009C2BA6">
        <w:rPr>
          <w:bCs/>
        </w:rPr>
        <w:t xml:space="preserve">The PCN subcontracting delivery as a whole or elements of the service to another provider for its collective population. A PCN may decide to sub-contract delivery of </w:t>
      </w:r>
      <w:r w:rsidR="00C25E05">
        <w:rPr>
          <w:bCs/>
        </w:rPr>
        <w:t>e</w:t>
      </w:r>
      <w:r w:rsidRPr="009C2BA6">
        <w:rPr>
          <w:bCs/>
        </w:rPr>
        <w:t xml:space="preserve">nhanced </w:t>
      </w:r>
      <w:r w:rsidR="00C25E05">
        <w:rPr>
          <w:bCs/>
        </w:rPr>
        <w:t>a</w:t>
      </w:r>
      <w:r w:rsidRPr="009C2BA6">
        <w:rPr>
          <w:bCs/>
        </w:rPr>
        <w:t xml:space="preserve">ccess and if doing so this must have due regard to the requirements set out in the statutory regulations or directions that underpin each Core Network Practice’s primary medical services contracts in relation to sub-contracting, as set out in section 5.6 of the </w:t>
      </w:r>
      <w:r w:rsidR="00C25E05" w:rsidRPr="00696350">
        <w:rPr>
          <w:bCs/>
          <w:color w:val="231F20" w:themeColor="background1"/>
        </w:rPr>
        <w:t>DES specification.</w:t>
      </w:r>
      <w:r w:rsidRPr="009C2BA6">
        <w:rPr>
          <w:bCs/>
        </w:rPr>
        <w:t xml:space="preserve"> </w:t>
      </w:r>
    </w:p>
    <w:p w14:paraId="3977D7FD" w14:textId="1606EAC2" w:rsidR="009C2BA6" w:rsidRPr="009C2BA6" w:rsidRDefault="009C2BA6" w:rsidP="00CF77B1">
      <w:pPr>
        <w:pStyle w:val="3digitpara"/>
        <w:numPr>
          <w:ilvl w:val="7"/>
          <w:numId w:val="18"/>
        </w:numPr>
      </w:pPr>
      <w:r w:rsidRPr="009C2BA6">
        <w:t>Irrespective of the delivery model, the PCN should ensure all network patients have access to a comparable enhanced access service offer. PCNs should ensure any sub-contracting arrangements are in accordance with any sub-contracting provisions of the Core Network Practices’ primary medical services contracts.</w:t>
      </w:r>
    </w:p>
    <w:p w14:paraId="45A5CEA4" w14:textId="6FFD8BAA" w:rsidR="009C2BA6" w:rsidRPr="009C2BA6" w:rsidRDefault="009C2BA6" w:rsidP="009C3DDF">
      <w:pPr>
        <w:pStyle w:val="Heading4"/>
        <w:rPr>
          <w:rFonts w:hint="eastAsia"/>
        </w:rPr>
      </w:pPr>
      <w:bookmarkStart w:id="90" w:name="_Toc193808077"/>
      <w:r w:rsidRPr="009C2BA6">
        <w:t xml:space="preserve">Funding for </w:t>
      </w:r>
      <w:r w:rsidR="00785257">
        <w:t>e</w:t>
      </w:r>
      <w:r w:rsidRPr="009C2BA6">
        <w:t xml:space="preserve">nhanced </w:t>
      </w:r>
      <w:r w:rsidR="00785257">
        <w:t>a</w:t>
      </w:r>
      <w:r w:rsidRPr="009C2BA6">
        <w:t>ccess in the Network Contract DES</w:t>
      </w:r>
      <w:bookmarkEnd w:id="90"/>
    </w:p>
    <w:p w14:paraId="04F5393B" w14:textId="58558D07" w:rsidR="009C2BA6" w:rsidRPr="009C2BA6" w:rsidRDefault="009C2BA6" w:rsidP="00CF77B1">
      <w:pPr>
        <w:pStyle w:val="3digitpara"/>
        <w:numPr>
          <w:ilvl w:val="7"/>
          <w:numId w:val="18"/>
        </w:numPr>
      </w:pPr>
      <w:r w:rsidRPr="009C2BA6">
        <w:t xml:space="preserve">Enhanced </w:t>
      </w:r>
      <w:r w:rsidR="00C25E05">
        <w:t>a</w:t>
      </w:r>
      <w:r w:rsidRPr="009C2BA6">
        <w:t xml:space="preserve">ccess payments under the DES will be made using PCN Adjusted Populations, which are based on ICB Primary Medical Care allocations weighted populations. </w:t>
      </w:r>
    </w:p>
    <w:p w14:paraId="4B7367B6" w14:textId="6C9205F2" w:rsidR="00066B1F" w:rsidRDefault="009C2BA6" w:rsidP="00066B1F">
      <w:pPr>
        <w:pStyle w:val="3digitpara"/>
        <w:numPr>
          <w:ilvl w:val="7"/>
          <w:numId w:val="18"/>
        </w:numPr>
      </w:pPr>
      <w:r w:rsidRPr="009C2BA6">
        <w:t xml:space="preserve">PCNs can view their </w:t>
      </w:r>
      <w:r w:rsidR="00C25E05">
        <w:t>e</w:t>
      </w:r>
      <w:r w:rsidRPr="009C2BA6">
        <w:t xml:space="preserve">nhanced </w:t>
      </w:r>
      <w:r w:rsidR="00C25E05">
        <w:t>a</w:t>
      </w:r>
      <w:r w:rsidRPr="009C2BA6">
        <w:t xml:space="preserve">ccess funding here or in the </w:t>
      </w:r>
      <w:hyperlink r:id="rId96">
        <w:r w:rsidRPr="009E4A46">
          <w:rPr>
            <w:rStyle w:val="Hyperlink"/>
            <w:rFonts w:ascii="Arial" w:hAnsi="Arial"/>
          </w:rPr>
          <w:t>GP contract ready reckoner</w:t>
        </w:r>
      </w:hyperlink>
      <w:r w:rsidRPr="009C2BA6">
        <w:t>.</w:t>
      </w:r>
    </w:p>
    <w:p w14:paraId="0A8C4E37" w14:textId="5D906A75" w:rsidR="00066B1F" w:rsidRDefault="00066B1F" w:rsidP="00066B1F">
      <w:pPr>
        <w:pStyle w:val="h2numbered"/>
        <w:numPr>
          <w:ilvl w:val="0"/>
          <w:numId w:val="18"/>
        </w:numPr>
      </w:pPr>
      <w:bookmarkStart w:id="91" w:name="_Toc193808078"/>
      <w:r>
        <w:t>Appendix</w:t>
      </w:r>
      <w:bookmarkEnd w:id="91"/>
      <w:r>
        <w:t xml:space="preserve"> </w:t>
      </w:r>
    </w:p>
    <w:p w14:paraId="4B8C37DA" w14:textId="0EA89E0D" w:rsidR="002F08C9" w:rsidRDefault="00066B1F" w:rsidP="00472CCF">
      <w:pPr>
        <w:pStyle w:val="Heading3"/>
      </w:pPr>
      <w:bookmarkStart w:id="92" w:name="_Toc193808079"/>
      <w:r w:rsidRPr="000025D5">
        <w:t>Coding requirements</w:t>
      </w:r>
      <w:r w:rsidR="00EC00E6" w:rsidRPr="000025D5">
        <w:t xml:space="preserve"> – SNOMED codes</w:t>
      </w:r>
      <w:bookmarkEnd w:id="92"/>
      <w:r w:rsidR="00EC00E6">
        <w:br/>
      </w:r>
    </w:p>
    <w:tbl>
      <w:tblPr>
        <w:tblStyle w:val="TableGrid"/>
        <w:tblW w:w="0" w:type="auto"/>
        <w:tblLook w:val="04A0" w:firstRow="1" w:lastRow="0" w:firstColumn="1" w:lastColumn="0" w:noHBand="0" w:noVBand="1"/>
      </w:tblPr>
      <w:tblGrid>
        <w:gridCol w:w="4927"/>
        <w:gridCol w:w="4927"/>
      </w:tblGrid>
      <w:tr w:rsidR="005D5EB1" w14:paraId="6817DF86" w14:textId="77777777" w:rsidTr="005D5EB1">
        <w:tc>
          <w:tcPr>
            <w:tcW w:w="4927" w:type="dxa"/>
          </w:tcPr>
          <w:p w14:paraId="155125FB" w14:textId="77777777" w:rsidR="005D5EB1" w:rsidRPr="00AE55C6" w:rsidRDefault="005D5EB1" w:rsidP="005D5EB1">
            <w:pPr>
              <w:rPr>
                <w:b/>
                <w:bCs/>
                <w:color w:val="231F20" w:themeColor="background1"/>
              </w:rPr>
            </w:pPr>
            <w:r w:rsidRPr="00AE55C6">
              <w:rPr>
                <w:b/>
                <w:bCs/>
                <w:color w:val="231F20" w:themeColor="background1"/>
              </w:rPr>
              <w:t>Heart failure</w:t>
            </w:r>
          </w:p>
          <w:p w14:paraId="05EBFEFE" w14:textId="65241CD9" w:rsidR="005D5EB1" w:rsidRPr="004F49F3" w:rsidRDefault="005D5EB1" w:rsidP="00221B7B">
            <w:pPr>
              <w:rPr>
                <w:color w:val="231F20" w:themeColor="background1"/>
              </w:rPr>
            </w:pPr>
            <w:r w:rsidRPr="004F49F3">
              <w:rPr>
                <w:color w:val="231F20" w:themeColor="background1"/>
              </w:rPr>
              <w:t>To use following diagnosis</w:t>
            </w:r>
            <w:r w:rsidR="004F49F3" w:rsidRPr="004F49F3">
              <w:rPr>
                <w:color w:val="231F20" w:themeColor="background1"/>
              </w:rPr>
              <w:t>.</w:t>
            </w:r>
            <w:r w:rsidR="004F49F3" w:rsidRPr="004F49F3">
              <w:rPr>
                <w:color w:val="auto"/>
              </w:rPr>
              <w:t xml:space="preserve"> Knowing these classifications are important precursors to defining the appropriate evidence-based treatment.</w:t>
            </w:r>
          </w:p>
        </w:tc>
        <w:tc>
          <w:tcPr>
            <w:tcW w:w="4927" w:type="dxa"/>
          </w:tcPr>
          <w:p w14:paraId="08937D30" w14:textId="77777777" w:rsidR="005D5EB1" w:rsidRPr="00AE55C6" w:rsidRDefault="005D5EB1" w:rsidP="005D5EB1">
            <w:pPr>
              <w:pStyle w:val="Bulletlist"/>
              <w:spacing w:after="80" w:line="276" w:lineRule="auto"/>
              <w:ind w:left="881" w:hanging="295"/>
              <w:contextualSpacing w:val="0"/>
              <w:rPr>
                <w:color w:val="231F20" w:themeColor="background1"/>
                <w:sz w:val="22"/>
              </w:rPr>
            </w:pPr>
            <w:r w:rsidRPr="00AE55C6">
              <w:rPr>
                <w:color w:val="231F20" w:themeColor="background1"/>
                <w:sz w:val="22"/>
              </w:rPr>
              <w:t>HF with reduced ejection fraction– code as HFREF: 70327200</w:t>
            </w:r>
          </w:p>
          <w:p w14:paraId="1D364825" w14:textId="77777777" w:rsidR="005D5EB1" w:rsidRPr="00AE55C6" w:rsidRDefault="005D5EB1" w:rsidP="005D5EB1">
            <w:pPr>
              <w:pStyle w:val="Bulletlist"/>
              <w:spacing w:after="80" w:line="276" w:lineRule="auto"/>
              <w:ind w:left="881" w:hanging="295"/>
              <w:contextualSpacing w:val="0"/>
              <w:rPr>
                <w:color w:val="231F20" w:themeColor="background1"/>
                <w:sz w:val="22"/>
                <w:lang w:eastAsia="en-US"/>
              </w:rPr>
            </w:pPr>
            <w:r w:rsidRPr="00AE55C6">
              <w:rPr>
                <w:color w:val="231F20" w:themeColor="background1"/>
                <w:sz w:val="22"/>
              </w:rPr>
              <w:t>HF with mildly reduced ejection fraction – code as HFREF:788950000; and</w:t>
            </w:r>
          </w:p>
          <w:p w14:paraId="467A85A3" w14:textId="77777777" w:rsidR="005D5EB1" w:rsidRPr="00AE55C6" w:rsidRDefault="005D5EB1" w:rsidP="005D5EB1">
            <w:pPr>
              <w:pStyle w:val="Bulletlist"/>
              <w:spacing w:after="80" w:line="276" w:lineRule="auto"/>
              <w:ind w:left="881" w:hanging="295"/>
              <w:contextualSpacing w:val="0"/>
              <w:rPr>
                <w:color w:val="231F20" w:themeColor="background1"/>
                <w:sz w:val="22"/>
              </w:rPr>
            </w:pPr>
            <w:r w:rsidRPr="00AE55C6">
              <w:rPr>
                <w:color w:val="231F20" w:themeColor="background1"/>
                <w:sz w:val="22"/>
              </w:rPr>
              <w:t>HF with preserved ejection fraction – code as HFPEF: 446221000</w:t>
            </w:r>
          </w:p>
          <w:p w14:paraId="49A207F3" w14:textId="77777777" w:rsidR="005D5EB1" w:rsidRPr="00AE55C6" w:rsidRDefault="005D5EB1" w:rsidP="00221B7B">
            <w:pPr>
              <w:rPr>
                <w:color w:val="231F20" w:themeColor="background1"/>
              </w:rPr>
            </w:pPr>
          </w:p>
        </w:tc>
      </w:tr>
      <w:tr w:rsidR="005D5EB1" w14:paraId="68765397" w14:textId="77777777" w:rsidTr="005D5EB1">
        <w:tc>
          <w:tcPr>
            <w:tcW w:w="4927" w:type="dxa"/>
          </w:tcPr>
          <w:p w14:paraId="7D12B556" w14:textId="77777777" w:rsidR="005D5EB1" w:rsidRPr="00AE55C6" w:rsidRDefault="005D5EB1" w:rsidP="005D5EB1">
            <w:pPr>
              <w:rPr>
                <w:b/>
                <w:bCs/>
                <w:color w:val="231F20" w:themeColor="background1"/>
              </w:rPr>
            </w:pPr>
            <w:r w:rsidRPr="00AE55C6">
              <w:rPr>
                <w:b/>
                <w:bCs/>
                <w:color w:val="231F20" w:themeColor="background1"/>
              </w:rPr>
              <w:lastRenderedPageBreak/>
              <w:t>Social Prescribing</w:t>
            </w:r>
          </w:p>
          <w:p w14:paraId="2913232E" w14:textId="45215773" w:rsidR="005D5EB1" w:rsidRPr="00AE55C6" w:rsidRDefault="005D5EB1" w:rsidP="005D5EB1">
            <w:pPr>
              <w:rPr>
                <w:color w:val="231F20" w:themeColor="background1"/>
              </w:rPr>
            </w:pPr>
            <w:r w:rsidRPr="00AE55C6">
              <w:rPr>
                <w:color w:val="231F20" w:themeColor="background1"/>
              </w:rPr>
              <w:t xml:space="preserve">To use following social prescribing offer </w:t>
            </w:r>
          </w:p>
          <w:p w14:paraId="76E7073F" w14:textId="77777777" w:rsidR="005D5EB1" w:rsidRPr="00AE55C6" w:rsidRDefault="005D5EB1" w:rsidP="00221B7B">
            <w:pPr>
              <w:rPr>
                <w:color w:val="231F20" w:themeColor="background1"/>
              </w:rPr>
            </w:pPr>
          </w:p>
        </w:tc>
        <w:tc>
          <w:tcPr>
            <w:tcW w:w="4927" w:type="dxa"/>
          </w:tcPr>
          <w:p w14:paraId="4ECCB863" w14:textId="77777777" w:rsidR="008E1A9A" w:rsidRPr="00AE55C6" w:rsidRDefault="008E1A9A" w:rsidP="008E1A9A">
            <w:pPr>
              <w:pStyle w:val="Bulletlist"/>
              <w:numPr>
                <w:ilvl w:val="2"/>
                <w:numId w:val="35"/>
              </w:numPr>
              <w:rPr>
                <w:color w:val="231F20" w:themeColor="background1"/>
              </w:rPr>
            </w:pPr>
            <w:r w:rsidRPr="00AE55C6">
              <w:rPr>
                <w:color w:val="231F20" w:themeColor="background1"/>
              </w:rPr>
              <w:t>871731000000106 – Referral to social prescribing service (procedure).</w:t>
            </w:r>
          </w:p>
          <w:p w14:paraId="6493E1B6" w14:textId="5C754A91" w:rsidR="005D5EB1" w:rsidRPr="00AE55C6" w:rsidRDefault="005D5EB1" w:rsidP="005D5EB1">
            <w:pPr>
              <w:pStyle w:val="Bulletlist"/>
              <w:numPr>
                <w:ilvl w:val="2"/>
                <w:numId w:val="35"/>
              </w:numPr>
              <w:rPr>
                <w:color w:val="231F20" w:themeColor="background1"/>
              </w:rPr>
            </w:pPr>
            <w:r w:rsidRPr="00AE55C6">
              <w:rPr>
                <w:color w:val="231F20" w:themeColor="background1"/>
              </w:rPr>
              <w:t xml:space="preserve">871711000000103 – Social prescribing declined (situation); </w:t>
            </w:r>
          </w:p>
          <w:p w14:paraId="180DE77D" w14:textId="77777777" w:rsidR="005D5EB1" w:rsidRPr="00AE55C6" w:rsidRDefault="005D5EB1" w:rsidP="00696350">
            <w:pPr>
              <w:pStyle w:val="Bulletlist"/>
              <w:numPr>
                <w:ilvl w:val="0"/>
                <w:numId w:val="0"/>
              </w:numPr>
              <w:ind w:left="720"/>
              <w:rPr>
                <w:color w:val="231F20" w:themeColor="background1"/>
              </w:rPr>
            </w:pPr>
          </w:p>
        </w:tc>
      </w:tr>
      <w:tr w:rsidR="005D5EB1" w14:paraId="7BC503FF" w14:textId="77777777" w:rsidTr="005D5EB1">
        <w:tc>
          <w:tcPr>
            <w:tcW w:w="4927" w:type="dxa"/>
          </w:tcPr>
          <w:p w14:paraId="701E703F" w14:textId="77777777" w:rsidR="005D5EB1" w:rsidRPr="00AE55C6" w:rsidRDefault="005D5EB1" w:rsidP="005D5EB1">
            <w:pPr>
              <w:rPr>
                <w:b/>
                <w:bCs/>
                <w:color w:val="231F20" w:themeColor="background1"/>
              </w:rPr>
            </w:pPr>
            <w:r w:rsidRPr="00AE55C6">
              <w:rPr>
                <w:b/>
                <w:bCs/>
                <w:color w:val="231F20" w:themeColor="background1"/>
              </w:rPr>
              <w:t xml:space="preserve">Proactive Care </w:t>
            </w:r>
          </w:p>
          <w:p w14:paraId="1E71B601" w14:textId="20F1C56C" w:rsidR="005D5EB1" w:rsidRPr="00AE55C6" w:rsidRDefault="005D5EB1" w:rsidP="00221B7B">
            <w:pPr>
              <w:rPr>
                <w:color w:val="231F20" w:themeColor="background1"/>
              </w:rPr>
            </w:pPr>
            <w:r w:rsidRPr="00AE55C6">
              <w:rPr>
                <w:color w:val="231F20" w:themeColor="background1"/>
              </w:rPr>
              <w:t>To use in relation to commencement or ending of Proactive Care</w:t>
            </w:r>
            <w:r w:rsidR="006C475D" w:rsidRPr="00AE55C6">
              <w:rPr>
                <w:color w:val="231F20" w:themeColor="background1"/>
              </w:rPr>
              <w:t xml:space="preserve"> – supports the measurement of percentage of registered patients under the provision of Proactive Care [PR001]; and Percentage of registered patients discharged from Proactive Care service [PC003] using the count related clinical codes:</w:t>
            </w:r>
          </w:p>
        </w:tc>
        <w:tc>
          <w:tcPr>
            <w:tcW w:w="4927" w:type="dxa"/>
          </w:tcPr>
          <w:p w14:paraId="364676CC" w14:textId="0DE44228" w:rsidR="005D5EB1" w:rsidRPr="00AE55C6" w:rsidRDefault="008E1A9A" w:rsidP="005D5EB1">
            <w:pPr>
              <w:pStyle w:val="Numberedlist"/>
              <w:numPr>
                <w:ilvl w:val="0"/>
                <w:numId w:val="21"/>
              </w:numPr>
              <w:rPr>
                <w:color w:val="231F20" w:themeColor="background1"/>
              </w:rPr>
            </w:pPr>
            <w:r w:rsidRPr="00AE55C6">
              <w:rPr>
                <w:color w:val="231F20" w:themeColor="background1"/>
              </w:rPr>
              <w:t xml:space="preserve">934231000000106 </w:t>
            </w:r>
            <w:r w:rsidR="005D5EB1" w:rsidRPr="00AE55C6">
              <w:rPr>
                <w:color w:val="231F20" w:themeColor="background1"/>
              </w:rPr>
              <w:t>Provision of proactive care (regime/therapy)”; and</w:t>
            </w:r>
          </w:p>
          <w:p w14:paraId="484838C8" w14:textId="0AE3A85F" w:rsidR="005D5EB1" w:rsidRPr="00AE55C6" w:rsidDel="00CC4AC7" w:rsidRDefault="008E1A9A" w:rsidP="005D5EB1">
            <w:pPr>
              <w:pStyle w:val="Numberedlist"/>
              <w:numPr>
                <w:ilvl w:val="0"/>
                <w:numId w:val="22"/>
              </w:numPr>
              <w:rPr>
                <w:color w:val="231F20" w:themeColor="background1"/>
              </w:rPr>
            </w:pPr>
            <w:r w:rsidRPr="00AE55C6">
              <w:rPr>
                <w:color w:val="231F20" w:themeColor="background1"/>
              </w:rPr>
              <w:t>934691000000105.</w:t>
            </w:r>
            <w:r w:rsidR="005D5EB1" w:rsidRPr="00AE55C6">
              <w:rPr>
                <w:color w:val="231F20" w:themeColor="background1"/>
              </w:rPr>
              <w:t xml:space="preserve"> Proactive care ended (situation)” </w:t>
            </w:r>
          </w:p>
          <w:p w14:paraId="0B5FF84B" w14:textId="77777777" w:rsidR="005D5EB1" w:rsidRPr="00AE55C6" w:rsidRDefault="005D5EB1" w:rsidP="00221B7B">
            <w:pPr>
              <w:rPr>
                <w:color w:val="231F20" w:themeColor="background1"/>
              </w:rPr>
            </w:pPr>
          </w:p>
        </w:tc>
      </w:tr>
      <w:tr w:rsidR="005D5EB1" w14:paraId="3C8D124F" w14:textId="77777777" w:rsidTr="005D5EB1">
        <w:tc>
          <w:tcPr>
            <w:tcW w:w="4927" w:type="dxa"/>
          </w:tcPr>
          <w:p w14:paraId="65C9707E" w14:textId="77777777" w:rsidR="005D5EB1" w:rsidRPr="00AE55C6" w:rsidRDefault="005D5EB1" w:rsidP="005D5EB1">
            <w:pPr>
              <w:rPr>
                <w:b/>
                <w:bCs/>
                <w:color w:val="231F20" w:themeColor="background1"/>
              </w:rPr>
            </w:pPr>
            <w:r w:rsidRPr="00AE55C6">
              <w:rPr>
                <w:b/>
                <w:bCs/>
                <w:color w:val="231F20" w:themeColor="background1"/>
              </w:rPr>
              <w:t xml:space="preserve">SMRs </w:t>
            </w:r>
          </w:p>
          <w:p w14:paraId="0EB28A0D" w14:textId="097C4B55" w:rsidR="008E1A9A" w:rsidRPr="00AE55C6" w:rsidRDefault="008E1A9A" w:rsidP="005D5EB1">
            <w:pPr>
              <w:rPr>
                <w:color w:val="231F20" w:themeColor="background1"/>
              </w:rPr>
            </w:pPr>
            <w:r w:rsidRPr="00AE55C6">
              <w:rPr>
                <w:color w:val="231F20" w:themeColor="background1"/>
              </w:rPr>
              <w:t>To use in the administration of an SMR</w:t>
            </w:r>
            <w:r w:rsidR="00E201D9">
              <w:rPr>
                <w:color w:val="231F20" w:themeColor="background1"/>
              </w:rPr>
              <w:t>,</w:t>
            </w:r>
            <w:r w:rsidRPr="00AE55C6">
              <w:rPr>
                <w:color w:val="231F20" w:themeColor="background1"/>
              </w:rPr>
              <w:t xml:space="preserve"> or a follow up </w:t>
            </w:r>
          </w:p>
          <w:p w14:paraId="50375B07" w14:textId="77777777" w:rsidR="005D5EB1" w:rsidRPr="00AE55C6" w:rsidRDefault="005D5EB1" w:rsidP="00221B7B">
            <w:pPr>
              <w:rPr>
                <w:color w:val="231F20" w:themeColor="background1"/>
              </w:rPr>
            </w:pPr>
          </w:p>
        </w:tc>
        <w:tc>
          <w:tcPr>
            <w:tcW w:w="4927" w:type="dxa"/>
          </w:tcPr>
          <w:p w14:paraId="17C55C8D" w14:textId="77777777" w:rsidR="00E201D9" w:rsidRDefault="00E201D9" w:rsidP="00221B7B">
            <w:pPr>
              <w:rPr>
                <w:color w:val="231F20" w:themeColor="background1"/>
              </w:rPr>
            </w:pPr>
          </w:p>
          <w:p w14:paraId="76ABEC16" w14:textId="0453A3F3" w:rsidR="005D5EB1" w:rsidRPr="00AE55C6" w:rsidRDefault="008E1A9A" w:rsidP="00221B7B">
            <w:pPr>
              <w:rPr>
                <w:color w:val="231F20" w:themeColor="background1"/>
              </w:rPr>
            </w:pPr>
            <w:r w:rsidRPr="00AE55C6">
              <w:rPr>
                <w:color w:val="231F20" w:themeColor="background1"/>
              </w:rPr>
              <w:t xml:space="preserve">1239511000000100 </w:t>
            </w:r>
            <w:r w:rsidR="005D5EB1" w:rsidRPr="00AE55C6">
              <w:rPr>
                <w:color w:val="231F20" w:themeColor="background1"/>
              </w:rPr>
              <w:t xml:space="preserve">Structured Medication Review (procedure) </w:t>
            </w:r>
          </w:p>
        </w:tc>
      </w:tr>
    </w:tbl>
    <w:p w14:paraId="09944712" w14:textId="2F52E178" w:rsidR="005D5EB1" w:rsidRPr="007609B6" w:rsidRDefault="005D5EB1" w:rsidP="00221B7B">
      <w:r>
        <w:br/>
      </w:r>
    </w:p>
    <w:sectPr w:rsidR="005D5EB1" w:rsidRPr="007609B6" w:rsidSect="00F21299">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C61A1" w14:textId="77777777" w:rsidR="00231A16" w:rsidRDefault="00231A16" w:rsidP="000C24AF">
      <w:pPr>
        <w:spacing w:after="0"/>
      </w:pPr>
      <w:r>
        <w:separator/>
      </w:r>
    </w:p>
  </w:endnote>
  <w:endnote w:type="continuationSeparator" w:id="0">
    <w:p w14:paraId="310072B5" w14:textId="77777777" w:rsidR="00231A16" w:rsidRDefault="00231A16" w:rsidP="000C24AF">
      <w:pPr>
        <w:spacing w:after="0"/>
      </w:pPr>
      <w:r>
        <w:continuationSeparator/>
      </w:r>
    </w:p>
  </w:endnote>
  <w:endnote w:type="continuationNotice" w:id="1">
    <w:p w14:paraId="427057E9" w14:textId="77777777" w:rsidR="00231A16" w:rsidRDefault="00231A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A62D" w14:textId="77777777" w:rsidR="005454A5" w:rsidRDefault="00545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B976" w14:textId="77777777" w:rsidR="005454A5" w:rsidRDefault="00545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73F3" w14:textId="77777777" w:rsidR="00603A2C" w:rsidRDefault="00603A2C" w:rsidP="00603A2C">
    <w:pPr>
      <w:pStyle w:val="Footer"/>
      <w:pBdr>
        <w:top w:val="single" w:sz="4" w:space="1" w:color="005EB8"/>
      </w:pBdr>
    </w:pPr>
  </w:p>
  <w:p w14:paraId="7EDCF469" w14:textId="272E7089" w:rsidR="00B72132" w:rsidRDefault="00B72132">
    <w:pPr>
      <w:pStyle w:val="Footer"/>
    </w:pPr>
    <w:r>
      <w:t xml:space="preserve">Publication reference: </w:t>
    </w:r>
    <w:r w:rsidR="00867BAF">
      <w:t>PRN01903</w:t>
    </w:r>
    <w:r w:rsidR="005454A5">
      <w:t>_iii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EndPr/>
    <w:sdtContent>
      <w:p w14:paraId="005B54D3" w14:textId="77777777" w:rsidR="008A3E2F" w:rsidRDefault="008A3E2F" w:rsidP="008A3E2F">
        <w:pPr>
          <w:pStyle w:val="Footer"/>
          <w:pBdr>
            <w:top w:val="single" w:sz="4" w:space="1" w:color="005EB8"/>
          </w:pBdr>
        </w:pPr>
      </w:p>
      <w:p w14:paraId="4AD1C3D8" w14:textId="1E11C106" w:rsidR="00B72132" w:rsidRPr="008A3E2F" w:rsidRDefault="008A3E2F" w:rsidP="008A3E2F">
        <w:pPr>
          <w:pStyle w:val="Footer"/>
        </w:pPr>
        <w:r>
          <w:rPr>
            <w:szCs w:val="18"/>
          </w:rPr>
          <w:t xml:space="preserve">Copyright </w:t>
        </w:r>
        <w:r w:rsidRPr="008F6069">
          <w:rPr>
            <w:szCs w:val="18"/>
          </w:rPr>
          <w:t>© NHS England 202</w:t>
        </w:r>
        <w:r w:rsidR="008C6D60">
          <w:rPr>
            <w:szCs w:val="18"/>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6495"/>
      <w:docPartObj>
        <w:docPartGallery w:val="Page Numbers (Bottom of Page)"/>
        <w:docPartUnique/>
      </w:docPartObj>
    </w:sdtPr>
    <w:sdtEndPr/>
    <w:sdtContent>
      <w:p w14:paraId="2F9772E8" w14:textId="77777777" w:rsidR="00603A2C" w:rsidRDefault="00603A2C" w:rsidP="00603A2C">
        <w:pPr>
          <w:pStyle w:val="Footer"/>
          <w:pBdr>
            <w:top w:val="single" w:sz="4" w:space="1" w:color="005EB8"/>
          </w:pBdr>
        </w:pPr>
      </w:p>
      <w:p w14:paraId="60200126"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81701" w14:textId="77777777" w:rsidR="00231A16" w:rsidRDefault="00231A16" w:rsidP="000C24AF">
      <w:pPr>
        <w:spacing w:after="0"/>
      </w:pPr>
      <w:r>
        <w:separator/>
      </w:r>
    </w:p>
  </w:footnote>
  <w:footnote w:type="continuationSeparator" w:id="0">
    <w:p w14:paraId="3F8357B4" w14:textId="77777777" w:rsidR="00231A16" w:rsidRDefault="00231A16" w:rsidP="000C24AF">
      <w:pPr>
        <w:spacing w:after="0"/>
      </w:pPr>
      <w:r>
        <w:continuationSeparator/>
      </w:r>
    </w:p>
  </w:footnote>
  <w:footnote w:type="continuationNotice" w:id="1">
    <w:p w14:paraId="1FB844ED" w14:textId="77777777" w:rsidR="00231A16" w:rsidRDefault="00231A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14F6" w14:textId="77777777" w:rsidR="005454A5" w:rsidRDefault="00545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68DC" w14:textId="2042044D"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2FF9795A" wp14:editId="10B12BB1">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1237BCB" w14:textId="2551AAC0" w:rsidR="00F126B3" w:rsidRPr="009F3A1D" w:rsidRDefault="00D23360" w:rsidP="00F126B3">
    <w:pPr>
      <w:pStyle w:val="Header"/>
      <w:pBdr>
        <w:bottom w:val="single" w:sz="4" w:space="4" w:color="auto"/>
      </w:pBdr>
      <w:rPr>
        <w:sz w:val="24"/>
      </w:rPr>
    </w:pPr>
    <w:r w:rsidRPr="00D23360">
      <w:rPr>
        <w:b/>
        <w:bCs/>
        <w:color w:val="FF0000"/>
        <w:u w:val="single"/>
      </w:rPr>
      <w:t>DRAFT COPY</w:t>
    </w:r>
    <w:r>
      <w:t xml:space="preserve">  </w:t>
    </w:r>
    <w:r w:rsidR="008775E1">
      <w:t xml:space="preserve">Network contract </w:t>
    </w:r>
    <w:r w:rsidR="00584164">
      <w:t>DES guidance for 20</w:t>
    </w:r>
    <w:r w:rsidR="00D35BDC">
      <w:t>2</w:t>
    </w:r>
    <w:r w:rsidR="00D35BDC" w:rsidRPr="00657B63">
      <w:rPr>
        <w:highlight w:val="yellow"/>
      </w:rPr>
      <w:t>5/26</w:t>
    </w:r>
    <w:r w:rsidR="00584164">
      <w:t>: Part A – Clinical and support services (section 8)</w:t>
    </w:r>
    <w:r>
      <w:t xml:space="preserve"> </w:t>
    </w:r>
  </w:p>
  <w:p w14:paraId="4950D33E" w14:textId="77777777" w:rsidR="00F25CC7" w:rsidRPr="00F126B3" w:rsidRDefault="00F25CC7" w:rsidP="008A3E2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74ECED9D" w14:textId="77777777" w:rsidTr="00184C28">
      <w:trPr>
        <w:trHeight w:val="642"/>
      </w:trPr>
      <w:sdt>
        <w:sdtPr>
          <w:rPr>
            <w:color w:val="231F20" w:themeColor="background1"/>
          </w:rPr>
          <w:alias w:val="Protective Marking"/>
          <w:tag w:val="Protective Marking"/>
          <w:id w:val="-1097942897"/>
          <w:placeholder>
            <w:docPart w:val="93F7F659084644ACA2A51FDD4EEBFF55"/>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38717D9E" w14:textId="62D615FC" w:rsidR="00B72132" w:rsidRDefault="004C430B" w:rsidP="00B72132">
              <w:pPr>
                <w:pStyle w:val="Classification"/>
              </w:pPr>
              <w:r>
                <w:rPr>
                  <w:color w:val="231F20" w:themeColor="background1"/>
                </w:rPr>
                <w:t>Classification: Official</w:t>
              </w:r>
            </w:p>
          </w:tc>
        </w:sdtContent>
      </w:sdt>
    </w:tr>
  </w:tbl>
  <w:p w14:paraId="40648A5C" w14:textId="2F855628"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1" behindDoc="1" locked="0" layoutInCell="1" allowOverlap="1" wp14:anchorId="77E5EF67" wp14:editId="4B1E34E8">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6C1CBBAB" w14:textId="77777777" w:rsidR="00B72132" w:rsidRDefault="00B72132" w:rsidP="00B72132">
    <w:pPr>
      <w:pStyle w:val="Header"/>
      <w:pBdr>
        <w:bottom w:val="none" w:sz="0" w:space="0" w:color="auto"/>
      </w:pBdr>
    </w:pPr>
  </w:p>
  <w:p w14:paraId="25587D91" w14:textId="77777777" w:rsidR="00B72132" w:rsidRPr="001D243C" w:rsidRDefault="00B72132" w:rsidP="00B72132">
    <w:pPr>
      <w:pStyle w:val="Header"/>
      <w:pBdr>
        <w:bottom w:val="none" w:sz="0" w:space="0" w:color="auto"/>
      </w:pBdr>
    </w:pPr>
    <w:r w:rsidRPr="00DD3B24">
      <w:rPr>
        <w:noProof/>
      </w:rPr>
      <w:drawing>
        <wp:anchor distT="0" distB="0" distL="114300" distR="114300" simplePos="0" relativeHeight="251658240" behindDoc="1" locked="1" layoutInCell="1" allowOverlap="0" wp14:anchorId="60E09719" wp14:editId="23118CB9">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ED5F3A0" w14:textId="77777777" w:rsidR="00B72132" w:rsidRPr="00B72132" w:rsidRDefault="00B72132" w:rsidP="00B7213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6D0DC" w14:textId="77777777" w:rsidR="00857CCA" w:rsidRDefault="00857C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46ED4" w14:textId="77777777" w:rsidR="00857CCA" w:rsidRDefault="00857C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79DE4" w14:textId="77777777" w:rsidR="00857CCA" w:rsidRDefault="00857CC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70AC" w14:textId="77777777" w:rsidR="00857CCA" w:rsidRDefault="00857CC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DFBC" w14:textId="55145BE3" w:rsidR="00857CCA" w:rsidRPr="00D90059" w:rsidRDefault="00857CCA" w:rsidP="00D90059">
    <w:pPr>
      <w:pStyle w:val="Header"/>
      <w:jc w:val="center"/>
      <w:rPr>
        <w:b/>
        <w:bCs/>
        <w:color w:val="FF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E2AD9"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3" behindDoc="1" locked="1" layoutInCell="1" allowOverlap="0" wp14:anchorId="73506B99" wp14:editId="6F3CB6FA">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160903749" name="Picture 1160903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22EA804" w14:textId="2E6A6B31" w:rsidR="00F126B3" w:rsidRPr="009F3A1D" w:rsidRDefault="005454A5" w:rsidP="00F126B3">
    <w:pPr>
      <w:pStyle w:val="Header"/>
      <w:pBdr>
        <w:bottom w:val="single" w:sz="4" w:space="4" w:color="auto"/>
      </w:pBdr>
      <w:rPr>
        <w:sz w:val="24"/>
      </w:rPr>
    </w:pPr>
    <w:sdt>
      <w:sdtPr>
        <w:alias w:val="Title"/>
        <w:tag w:val="title"/>
        <w:id w:val="-644359137"/>
        <w:placeholder>
          <w:docPart w:val="93F7F659084644ACA2A51FDD4EEBFF55"/>
        </w:placeholder>
        <w:dataBinding w:prefixMappings="xmlns:ns0='http://purl.org/dc/elements/1.1/' xmlns:ns1='http://schemas.openxmlformats.org/package/2006/metadata/core-properties' " w:xpath="/ns1:coreProperties[1]/ns0:title[1]" w:storeItemID="{6C3C8BC8-F283-45AE-878A-BAB7291924A1}"/>
        <w:text/>
      </w:sdtPr>
      <w:sdtEndPr/>
      <w:sdtContent>
        <w:r w:rsidR="00645B47">
          <w:t>Network contract directed enhanced service</w:t>
        </w:r>
      </w:sdtContent>
    </w:sdt>
  </w:p>
  <w:p w14:paraId="72F06B7B"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66B75"/>
    <w:multiLevelType w:val="multilevel"/>
    <w:tmpl w:val="656E9A6E"/>
    <w:lvl w:ilvl="0">
      <w:start w:val="1"/>
      <w:numFmt w:val="decimal"/>
      <w:suff w:val="space"/>
      <w:lvlText w:val="%1."/>
      <w:lvlJc w:val="left"/>
      <w:pPr>
        <w:ind w:left="0" w:firstLine="0"/>
      </w:pPr>
    </w:lvl>
    <w:lvl w:ilvl="1">
      <w:start w:val="1"/>
      <w:numFmt w:val="decimal"/>
      <w:lvlText w:val="%1.%2"/>
      <w:lvlJc w:val="left"/>
      <w:pPr>
        <w:ind w:left="624" w:hanging="624"/>
      </w:pPr>
    </w:lvl>
    <w:lvl w:ilvl="2">
      <w:start w:val="1"/>
      <w:numFmt w:val="decimal"/>
      <w:lvlText w:val="%1.%2.%3"/>
      <w:lvlJc w:val="left"/>
      <w:pPr>
        <w:ind w:left="794" w:hanging="794"/>
      </w:pPr>
    </w:lvl>
    <w:lvl w:ilvl="3">
      <w:start w:val="1"/>
      <w:numFmt w:val="decimal"/>
      <w:lvlText w:val="%1.%2.%3.%4"/>
      <w:lvlJc w:val="left"/>
      <w:pPr>
        <w:ind w:left="1021" w:hanging="1021"/>
      </w:pPr>
    </w:lvl>
    <w:lvl w:ilvl="4">
      <w:start w:val="1"/>
      <w:numFmt w:val="decimal"/>
      <w:lvlText w:val="%5."/>
      <w:lvlJc w:val="left"/>
      <w:pPr>
        <w:ind w:left="567" w:hanging="567"/>
      </w:pPr>
    </w:lvl>
    <w:lvl w:ilvl="5">
      <w:start w:val="1"/>
      <w:numFmt w:val="decimal"/>
      <w:lvlText w:val="%5.%6."/>
      <w:lvlJc w:val="left"/>
      <w:pPr>
        <w:ind w:left="1191" w:hanging="624"/>
      </w:pPr>
    </w:lvl>
    <w:lvl w:ilvl="6">
      <w:start w:val="1"/>
      <w:numFmt w:val="decimal"/>
      <w:lvlText w:val="%5.%6.%7."/>
      <w:lvlJc w:val="left"/>
      <w:pPr>
        <w:ind w:left="2268" w:hanging="1077"/>
      </w:pPr>
    </w:lvl>
    <w:lvl w:ilvl="7">
      <w:start w:val="1"/>
      <w:numFmt w:val="bullet"/>
      <w:lvlText w:val=""/>
      <w:lvlJc w:val="left"/>
      <w:pPr>
        <w:ind w:left="785"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85B46EE"/>
    <w:multiLevelType w:val="hybridMultilevel"/>
    <w:tmpl w:val="A6A0D418"/>
    <w:lvl w:ilvl="0" w:tplc="7F1A942E">
      <w:start w:val="1"/>
      <w:numFmt w:val="lowerRoman"/>
      <w:lvlText w:val="%1."/>
      <w:lvlJc w:val="left"/>
      <w:pPr>
        <w:ind w:left="2952" w:hanging="18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D4CF0"/>
    <w:multiLevelType w:val="hybridMultilevel"/>
    <w:tmpl w:val="D0D044AE"/>
    <w:lvl w:ilvl="0" w:tplc="08090001">
      <w:start w:val="1"/>
      <w:numFmt w:val="bullet"/>
      <w:lvlText w:val=""/>
      <w:lvlJc w:val="left"/>
      <w:pPr>
        <w:ind w:left="655" w:hanging="360"/>
      </w:pPr>
      <w:rPr>
        <w:rFonts w:ascii="Symbol" w:hAnsi="Symbol" w:hint="default"/>
      </w:rPr>
    </w:lvl>
    <w:lvl w:ilvl="1" w:tplc="08090003" w:tentative="1">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4" w15:restartNumberingAfterBreak="0">
    <w:nsid w:val="14010FA8"/>
    <w:multiLevelType w:val="hybridMultilevel"/>
    <w:tmpl w:val="544A2070"/>
    <w:lvl w:ilvl="0" w:tplc="08090001">
      <w:start w:val="1"/>
      <w:numFmt w:val="bullet"/>
      <w:lvlText w:val=""/>
      <w:lvlJc w:val="left"/>
      <w:pPr>
        <w:ind w:left="1015" w:hanging="720"/>
      </w:pPr>
      <w:rPr>
        <w:rFonts w:ascii="Symbol" w:hAnsi="Symbol" w:hint="default"/>
        <w:b w:val="0"/>
        <w:bCs w:val="0"/>
      </w:rPr>
    </w:lvl>
    <w:lvl w:ilvl="1" w:tplc="FFFFFFFF" w:tentative="1">
      <w:start w:val="1"/>
      <w:numFmt w:val="lowerLetter"/>
      <w:lvlText w:val="%2."/>
      <w:lvlJc w:val="left"/>
      <w:pPr>
        <w:ind w:left="1386" w:hanging="360"/>
      </w:pPr>
    </w:lvl>
    <w:lvl w:ilvl="2" w:tplc="FFFFFFFF" w:tentative="1">
      <w:start w:val="1"/>
      <w:numFmt w:val="lowerRoman"/>
      <w:lvlText w:val="%3."/>
      <w:lvlJc w:val="right"/>
      <w:pPr>
        <w:ind w:left="2106" w:hanging="180"/>
      </w:pPr>
    </w:lvl>
    <w:lvl w:ilvl="3" w:tplc="FFFFFFFF" w:tentative="1">
      <w:start w:val="1"/>
      <w:numFmt w:val="decimal"/>
      <w:lvlText w:val="%4."/>
      <w:lvlJc w:val="left"/>
      <w:pPr>
        <w:ind w:left="2826" w:hanging="360"/>
      </w:pPr>
    </w:lvl>
    <w:lvl w:ilvl="4" w:tplc="FFFFFFFF" w:tentative="1">
      <w:start w:val="1"/>
      <w:numFmt w:val="lowerLetter"/>
      <w:lvlText w:val="%5."/>
      <w:lvlJc w:val="left"/>
      <w:pPr>
        <w:ind w:left="3546" w:hanging="360"/>
      </w:pPr>
    </w:lvl>
    <w:lvl w:ilvl="5" w:tplc="FFFFFFFF" w:tentative="1">
      <w:start w:val="1"/>
      <w:numFmt w:val="lowerRoman"/>
      <w:lvlText w:val="%6."/>
      <w:lvlJc w:val="right"/>
      <w:pPr>
        <w:ind w:left="4266" w:hanging="180"/>
      </w:pPr>
    </w:lvl>
    <w:lvl w:ilvl="6" w:tplc="FFFFFFFF" w:tentative="1">
      <w:start w:val="1"/>
      <w:numFmt w:val="decimal"/>
      <w:lvlText w:val="%7."/>
      <w:lvlJc w:val="left"/>
      <w:pPr>
        <w:ind w:left="4986" w:hanging="360"/>
      </w:pPr>
    </w:lvl>
    <w:lvl w:ilvl="7" w:tplc="FFFFFFFF" w:tentative="1">
      <w:start w:val="1"/>
      <w:numFmt w:val="lowerLetter"/>
      <w:lvlText w:val="%8."/>
      <w:lvlJc w:val="left"/>
      <w:pPr>
        <w:ind w:left="5706" w:hanging="360"/>
      </w:pPr>
    </w:lvl>
    <w:lvl w:ilvl="8" w:tplc="FFFFFFFF" w:tentative="1">
      <w:start w:val="1"/>
      <w:numFmt w:val="lowerRoman"/>
      <w:lvlText w:val="%9."/>
      <w:lvlJc w:val="right"/>
      <w:pPr>
        <w:ind w:left="6426" w:hanging="180"/>
      </w:pPr>
    </w:lvl>
  </w:abstractNum>
  <w:abstractNum w:abstractNumId="5" w15:restartNumberingAfterBreak="0">
    <w:nsid w:val="18B50C6C"/>
    <w:multiLevelType w:val="hybridMultilevel"/>
    <w:tmpl w:val="08667EB4"/>
    <w:lvl w:ilvl="0" w:tplc="FFFFFFFF">
      <w:start w:val="1"/>
      <w:numFmt w:val="bullet"/>
      <w:lvlText w:val=""/>
      <w:lvlJc w:val="left"/>
      <w:pPr>
        <w:ind w:left="655" w:hanging="360"/>
      </w:pPr>
      <w:rPr>
        <w:rFonts w:ascii="Symbol" w:hAnsi="Symbol" w:hint="default"/>
      </w:rPr>
    </w:lvl>
    <w:lvl w:ilvl="1" w:tplc="08090001">
      <w:start w:val="1"/>
      <w:numFmt w:val="bullet"/>
      <w:lvlText w:val=""/>
      <w:lvlJc w:val="left"/>
      <w:pPr>
        <w:ind w:left="1375" w:hanging="360"/>
      </w:pPr>
      <w:rPr>
        <w:rFonts w:ascii="Symbol" w:hAnsi="Symbol" w:hint="default"/>
      </w:rPr>
    </w:lvl>
    <w:lvl w:ilvl="2" w:tplc="FFFFFFFF" w:tentative="1">
      <w:start w:val="1"/>
      <w:numFmt w:val="bullet"/>
      <w:lvlText w:val=""/>
      <w:lvlJc w:val="left"/>
      <w:pPr>
        <w:ind w:left="2095" w:hanging="360"/>
      </w:pPr>
      <w:rPr>
        <w:rFonts w:ascii="Wingdings" w:hAnsi="Wingdings" w:hint="default"/>
      </w:rPr>
    </w:lvl>
    <w:lvl w:ilvl="3" w:tplc="FFFFFFFF" w:tentative="1">
      <w:start w:val="1"/>
      <w:numFmt w:val="bullet"/>
      <w:lvlText w:val=""/>
      <w:lvlJc w:val="left"/>
      <w:pPr>
        <w:ind w:left="2815" w:hanging="360"/>
      </w:pPr>
      <w:rPr>
        <w:rFonts w:ascii="Symbol" w:hAnsi="Symbol" w:hint="default"/>
      </w:rPr>
    </w:lvl>
    <w:lvl w:ilvl="4" w:tplc="FFFFFFFF" w:tentative="1">
      <w:start w:val="1"/>
      <w:numFmt w:val="bullet"/>
      <w:lvlText w:val="o"/>
      <w:lvlJc w:val="left"/>
      <w:pPr>
        <w:ind w:left="3535" w:hanging="360"/>
      </w:pPr>
      <w:rPr>
        <w:rFonts w:ascii="Courier New" w:hAnsi="Courier New" w:cs="Courier New" w:hint="default"/>
      </w:rPr>
    </w:lvl>
    <w:lvl w:ilvl="5" w:tplc="FFFFFFFF" w:tentative="1">
      <w:start w:val="1"/>
      <w:numFmt w:val="bullet"/>
      <w:lvlText w:val=""/>
      <w:lvlJc w:val="left"/>
      <w:pPr>
        <w:ind w:left="4255" w:hanging="360"/>
      </w:pPr>
      <w:rPr>
        <w:rFonts w:ascii="Wingdings" w:hAnsi="Wingdings" w:hint="default"/>
      </w:rPr>
    </w:lvl>
    <w:lvl w:ilvl="6" w:tplc="FFFFFFFF" w:tentative="1">
      <w:start w:val="1"/>
      <w:numFmt w:val="bullet"/>
      <w:lvlText w:val=""/>
      <w:lvlJc w:val="left"/>
      <w:pPr>
        <w:ind w:left="4975" w:hanging="360"/>
      </w:pPr>
      <w:rPr>
        <w:rFonts w:ascii="Symbol" w:hAnsi="Symbol" w:hint="default"/>
      </w:rPr>
    </w:lvl>
    <w:lvl w:ilvl="7" w:tplc="FFFFFFFF" w:tentative="1">
      <w:start w:val="1"/>
      <w:numFmt w:val="bullet"/>
      <w:lvlText w:val="o"/>
      <w:lvlJc w:val="left"/>
      <w:pPr>
        <w:ind w:left="5695" w:hanging="360"/>
      </w:pPr>
      <w:rPr>
        <w:rFonts w:ascii="Courier New" w:hAnsi="Courier New" w:cs="Courier New" w:hint="default"/>
      </w:rPr>
    </w:lvl>
    <w:lvl w:ilvl="8" w:tplc="FFFFFFFF" w:tentative="1">
      <w:start w:val="1"/>
      <w:numFmt w:val="bullet"/>
      <w:lvlText w:val=""/>
      <w:lvlJc w:val="left"/>
      <w:pPr>
        <w:ind w:left="6415" w:hanging="360"/>
      </w:pPr>
      <w:rPr>
        <w:rFonts w:ascii="Wingdings" w:hAnsi="Wingdings" w:hint="default"/>
      </w:rPr>
    </w:lvl>
  </w:abstractNum>
  <w:abstractNum w:abstractNumId="6" w15:restartNumberingAfterBreak="0">
    <w:nsid w:val="19E80DC3"/>
    <w:multiLevelType w:val="hybridMultilevel"/>
    <w:tmpl w:val="8DC2E0F4"/>
    <w:lvl w:ilvl="0" w:tplc="FFFFFFFF">
      <w:start w:val="1"/>
      <w:numFmt w:val="bullet"/>
      <w:lvlText w:val=""/>
      <w:lvlJc w:val="left"/>
      <w:pPr>
        <w:ind w:left="927" w:hanging="360"/>
      </w:pPr>
      <w:rPr>
        <w:rFonts w:ascii="Symbol" w:hAnsi="Symbol" w:hint="default"/>
        <w:color w:val="005EB8"/>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106D8F"/>
    <w:multiLevelType w:val="hybridMultilevel"/>
    <w:tmpl w:val="2E68C076"/>
    <w:lvl w:ilvl="0" w:tplc="02A4C11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933C9"/>
    <w:multiLevelType w:val="hybridMultilevel"/>
    <w:tmpl w:val="9BBACBE4"/>
    <w:lvl w:ilvl="0" w:tplc="6E1EDB3C">
      <w:start w:val="1"/>
      <w:numFmt w:val="lowerLetter"/>
      <w:lvlText w:val="%1)"/>
      <w:lvlJc w:val="left"/>
      <w:pPr>
        <w:ind w:left="1429" w:hanging="72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24B4D06"/>
    <w:multiLevelType w:val="hybridMultilevel"/>
    <w:tmpl w:val="BB16CD7C"/>
    <w:lvl w:ilvl="0" w:tplc="08090001">
      <w:start w:val="1"/>
      <w:numFmt w:val="bullet"/>
      <w:lvlText w:val=""/>
      <w:lvlJc w:val="left"/>
      <w:pPr>
        <w:ind w:left="927" w:hanging="360"/>
      </w:pPr>
      <w:rPr>
        <w:rFonts w:ascii="Symbol" w:hAnsi="Symbol" w:hint="default"/>
        <w:b w:val="0"/>
        <w:bCs w:val="0"/>
        <w:color w:val="005EB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8CA2B1A"/>
    <w:multiLevelType w:val="hybridMultilevel"/>
    <w:tmpl w:val="35EE63BA"/>
    <w:lvl w:ilvl="0" w:tplc="719E2B02">
      <w:start w:val="1"/>
      <w:numFmt w:val="bullet"/>
      <w:lvlText w:val=""/>
      <w:lvlJc w:val="left"/>
      <w:pPr>
        <w:ind w:left="720" w:hanging="360"/>
      </w:pPr>
      <w:rPr>
        <w:rFonts w:ascii="Symbol" w:hAnsi="Symbol" w:hint="default"/>
      </w:rPr>
    </w:lvl>
    <w:lvl w:ilvl="1" w:tplc="58622CD8">
      <w:start w:val="1"/>
      <w:numFmt w:val="bullet"/>
      <w:lvlText w:val="o"/>
      <w:lvlJc w:val="left"/>
      <w:pPr>
        <w:ind w:left="1440" w:hanging="360"/>
      </w:pPr>
      <w:rPr>
        <w:rFonts w:ascii="Courier New" w:hAnsi="Courier New" w:hint="default"/>
      </w:rPr>
    </w:lvl>
    <w:lvl w:ilvl="2" w:tplc="DA00B514">
      <w:start w:val="1"/>
      <w:numFmt w:val="bullet"/>
      <w:lvlText w:val=""/>
      <w:lvlJc w:val="left"/>
      <w:pPr>
        <w:ind w:left="2160" w:hanging="360"/>
      </w:pPr>
      <w:rPr>
        <w:rFonts w:ascii="Wingdings" w:hAnsi="Wingdings" w:hint="default"/>
      </w:rPr>
    </w:lvl>
    <w:lvl w:ilvl="3" w:tplc="3000B636">
      <w:start w:val="1"/>
      <w:numFmt w:val="bullet"/>
      <w:lvlText w:val=""/>
      <w:lvlJc w:val="left"/>
      <w:pPr>
        <w:ind w:left="2880" w:hanging="360"/>
      </w:pPr>
      <w:rPr>
        <w:rFonts w:ascii="Symbol" w:hAnsi="Symbol" w:hint="default"/>
      </w:rPr>
    </w:lvl>
    <w:lvl w:ilvl="4" w:tplc="E5268C46">
      <w:start w:val="1"/>
      <w:numFmt w:val="bullet"/>
      <w:lvlText w:val="o"/>
      <w:lvlJc w:val="left"/>
      <w:pPr>
        <w:ind w:left="3600" w:hanging="360"/>
      </w:pPr>
      <w:rPr>
        <w:rFonts w:ascii="Courier New" w:hAnsi="Courier New" w:hint="default"/>
      </w:rPr>
    </w:lvl>
    <w:lvl w:ilvl="5" w:tplc="BF466E10">
      <w:start w:val="1"/>
      <w:numFmt w:val="bullet"/>
      <w:lvlText w:val=""/>
      <w:lvlJc w:val="left"/>
      <w:pPr>
        <w:ind w:left="4320" w:hanging="360"/>
      </w:pPr>
      <w:rPr>
        <w:rFonts w:ascii="Wingdings" w:hAnsi="Wingdings" w:hint="default"/>
      </w:rPr>
    </w:lvl>
    <w:lvl w:ilvl="6" w:tplc="BEE4E762">
      <w:start w:val="1"/>
      <w:numFmt w:val="bullet"/>
      <w:lvlText w:val=""/>
      <w:lvlJc w:val="left"/>
      <w:pPr>
        <w:ind w:left="5040" w:hanging="360"/>
      </w:pPr>
      <w:rPr>
        <w:rFonts w:ascii="Symbol" w:hAnsi="Symbol" w:hint="default"/>
      </w:rPr>
    </w:lvl>
    <w:lvl w:ilvl="7" w:tplc="3D7E9EE4">
      <w:start w:val="1"/>
      <w:numFmt w:val="bullet"/>
      <w:lvlText w:val="o"/>
      <w:lvlJc w:val="left"/>
      <w:pPr>
        <w:ind w:left="5760" w:hanging="360"/>
      </w:pPr>
      <w:rPr>
        <w:rFonts w:ascii="Courier New" w:hAnsi="Courier New" w:hint="default"/>
      </w:rPr>
    </w:lvl>
    <w:lvl w:ilvl="8" w:tplc="14AC7912">
      <w:start w:val="1"/>
      <w:numFmt w:val="bullet"/>
      <w:lvlText w:val=""/>
      <w:lvlJc w:val="left"/>
      <w:pPr>
        <w:ind w:left="6480" w:hanging="360"/>
      </w:pPr>
      <w:rPr>
        <w:rFonts w:ascii="Wingdings" w:hAnsi="Wingdings" w:hint="default"/>
      </w:rPr>
    </w:lvl>
  </w:abstractNum>
  <w:abstractNum w:abstractNumId="11" w15:restartNumberingAfterBreak="0">
    <w:nsid w:val="294B6DE9"/>
    <w:multiLevelType w:val="hybridMultilevel"/>
    <w:tmpl w:val="239445CE"/>
    <w:lvl w:ilvl="0" w:tplc="274E3DE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C969E3"/>
    <w:multiLevelType w:val="multilevel"/>
    <w:tmpl w:val="9EC444EC"/>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pStyle w:val="3digitpara"/>
      <w:lvlText w:val="%1.%2.%8"/>
      <w:lvlJc w:val="left"/>
      <w:pPr>
        <w:ind w:left="1276" w:hanging="851"/>
      </w:pPr>
      <w:rPr>
        <w:rFonts w:hint="default"/>
        <w:b w:val="0"/>
        <w:bCs w:val="0"/>
        <w:i w:val="0"/>
        <w:iCs/>
      </w:rPr>
    </w:lvl>
    <w:lvl w:ilvl="8">
      <w:start w:val="1"/>
      <w:numFmt w:val="decimal"/>
      <w:lvlText w:val="%1.%2.%3.%4.%5.%6.%7.%8.%9."/>
      <w:lvlJc w:val="left"/>
      <w:pPr>
        <w:ind w:left="4320" w:hanging="1440"/>
      </w:pPr>
      <w:rPr>
        <w:rFonts w:hint="default"/>
      </w:rPr>
    </w:lvl>
  </w:abstractNum>
  <w:abstractNum w:abstractNumId="13" w15:restartNumberingAfterBreak="0">
    <w:nsid w:val="327A420B"/>
    <w:multiLevelType w:val="hybridMultilevel"/>
    <w:tmpl w:val="81D2BD60"/>
    <w:lvl w:ilvl="0" w:tplc="614644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DD016C"/>
    <w:multiLevelType w:val="multilevel"/>
    <w:tmpl w:val="6600AB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F6764F"/>
    <w:multiLevelType w:val="hybridMultilevel"/>
    <w:tmpl w:val="183612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6F7378"/>
    <w:multiLevelType w:val="multilevel"/>
    <w:tmpl w:val="2B8ABE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3BA14AAD"/>
    <w:multiLevelType w:val="multilevel"/>
    <w:tmpl w:val="2822F92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3C2E6A32"/>
    <w:multiLevelType w:val="hybridMultilevel"/>
    <w:tmpl w:val="30AE093E"/>
    <w:lvl w:ilvl="0" w:tplc="FFFFFFFF">
      <w:start w:val="1"/>
      <w:numFmt w:val="bullet"/>
      <w:lvlText w:val=""/>
      <w:lvlJc w:val="left"/>
      <w:pPr>
        <w:ind w:left="927" w:hanging="360"/>
      </w:pPr>
      <w:rPr>
        <w:rFonts w:ascii="Symbol" w:hAnsi="Symbol" w:hint="default"/>
        <w:color w:val="005EB8"/>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0250FC9"/>
    <w:multiLevelType w:val="hybridMultilevel"/>
    <w:tmpl w:val="006A505A"/>
    <w:lvl w:ilvl="0" w:tplc="FFFFFFFF">
      <w:start w:val="1"/>
      <w:numFmt w:val="bullet"/>
      <w:lvlText w:val=""/>
      <w:lvlJc w:val="left"/>
      <w:pPr>
        <w:ind w:left="927" w:hanging="360"/>
      </w:pPr>
      <w:rPr>
        <w:rFonts w:ascii="Symbol" w:hAnsi="Symbol" w:hint="default"/>
        <w:color w:val="005EB8"/>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0F69D6"/>
    <w:multiLevelType w:val="multilevel"/>
    <w:tmpl w:val="E3D0414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46BD7919"/>
    <w:multiLevelType w:val="hybridMultilevel"/>
    <w:tmpl w:val="8AE61DB2"/>
    <w:lvl w:ilvl="0" w:tplc="B63EF2A4">
      <w:start w:val="1"/>
      <w:numFmt w:val="decimal"/>
      <w:pStyle w:val="Numberedlist"/>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AA73505"/>
    <w:multiLevelType w:val="multilevel"/>
    <w:tmpl w:val="8F2ADC9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4FEE1221"/>
    <w:multiLevelType w:val="multilevel"/>
    <w:tmpl w:val="433EF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1FB546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D919D8"/>
    <w:multiLevelType w:val="hybridMultilevel"/>
    <w:tmpl w:val="81D2BD6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396C55"/>
    <w:multiLevelType w:val="hybridMultilevel"/>
    <w:tmpl w:val="B1E05B7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7" w15:restartNumberingAfterBreak="0">
    <w:nsid w:val="65A23CD9"/>
    <w:multiLevelType w:val="hybridMultilevel"/>
    <w:tmpl w:val="06E623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6E51D78"/>
    <w:multiLevelType w:val="hybridMultilevel"/>
    <w:tmpl w:val="854679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A95B6A"/>
    <w:multiLevelType w:val="multilevel"/>
    <w:tmpl w:val="78142620"/>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69116CC9"/>
    <w:multiLevelType w:val="hybridMultilevel"/>
    <w:tmpl w:val="913633B0"/>
    <w:lvl w:ilvl="0" w:tplc="08090001">
      <w:start w:val="1"/>
      <w:numFmt w:val="bullet"/>
      <w:lvlText w:val=""/>
      <w:lvlJc w:val="left"/>
      <w:pPr>
        <w:ind w:left="927" w:hanging="360"/>
      </w:pPr>
      <w:rPr>
        <w:rFonts w:ascii="Symbol" w:hAnsi="Symbol" w:hint="default"/>
        <w:b w:val="0"/>
        <w:bCs w:val="0"/>
        <w:color w:val="005EB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BB37A05"/>
    <w:multiLevelType w:val="multilevel"/>
    <w:tmpl w:val="47364854"/>
    <w:lvl w:ilvl="0">
      <w:start w:val="1"/>
      <w:numFmt w:val="decimal"/>
      <w:suff w:val="space"/>
      <w:lvlText w:val="%1."/>
      <w:lvlJc w:val="left"/>
      <w:pPr>
        <w:ind w:left="0" w:firstLine="0"/>
      </w:pPr>
    </w:lvl>
    <w:lvl w:ilvl="1">
      <w:start w:val="1"/>
      <w:numFmt w:val="decimal"/>
      <w:lvlText w:val="%1.%2"/>
      <w:lvlJc w:val="left"/>
      <w:pPr>
        <w:ind w:left="624" w:hanging="624"/>
      </w:pPr>
    </w:lvl>
    <w:lvl w:ilvl="2">
      <w:start w:val="1"/>
      <w:numFmt w:val="decimal"/>
      <w:lvlText w:val="%1.%2.%3"/>
      <w:lvlJc w:val="left"/>
      <w:pPr>
        <w:ind w:left="794" w:hanging="794"/>
      </w:pPr>
    </w:lvl>
    <w:lvl w:ilvl="3">
      <w:start w:val="1"/>
      <w:numFmt w:val="decimal"/>
      <w:lvlText w:val="%1.%2.%3.%4"/>
      <w:lvlJc w:val="left"/>
      <w:pPr>
        <w:ind w:left="1021" w:hanging="1021"/>
      </w:pPr>
    </w:lvl>
    <w:lvl w:ilvl="4">
      <w:start w:val="1"/>
      <w:numFmt w:val="decimal"/>
      <w:lvlText w:val="%5."/>
      <w:lvlJc w:val="left"/>
      <w:pPr>
        <w:ind w:left="567" w:hanging="567"/>
      </w:pPr>
    </w:lvl>
    <w:lvl w:ilvl="5">
      <w:start w:val="1"/>
      <w:numFmt w:val="decimal"/>
      <w:lvlText w:val="%5.%6."/>
      <w:lvlJc w:val="left"/>
      <w:pPr>
        <w:ind w:left="1191" w:hanging="624"/>
      </w:pPr>
    </w:lvl>
    <w:lvl w:ilvl="6">
      <w:start w:val="1"/>
      <w:numFmt w:val="decimal"/>
      <w:lvlText w:val="%5.%6.%7."/>
      <w:lvlJc w:val="left"/>
      <w:pPr>
        <w:ind w:left="2268" w:hanging="1077"/>
      </w:pPr>
    </w:lvl>
    <w:lvl w:ilvl="7">
      <w:start w:val="1"/>
      <w:numFmt w:val="decimal"/>
      <w:lvlText w:val="%1.%2.%8"/>
      <w:lvlJc w:val="left"/>
      <w:pPr>
        <w:ind w:left="1276" w:hanging="851"/>
      </w:pPr>
      <w:rPr>
        <w:b w:val="0"/>
        <w:bCs w:val="0"/>
        <w:i w:val="0"/>
        <w:iCs/>
      </w:rPr>
    </w:lvl>
    <w:lvl w:ilvl="8">
      <w:start w:val="1"/>
      <w:numFmt w:val="bullet"/>
      <w:lvlText w:val=""/>
      <w:lvlJc w:val="left"/>
      <w:pPr>
        <w:ind w:left="3240" w:hanging="360"/>
      </w:pPr>
      <w:rPr>
        <w:rFonts w:ascii="Symbol" w:hAnsi="Symbol" w:hint="default"/>
      </w:rPr>
    </w:lvl>
  </w:abstractNum>
  <w:abstractNum w:abstractNumId="32" w15:restartNumberingAfterBreak="0">
    <w:nsid w:val="76E20B96"/>
    <w:multiLevelType w:val="hybridMultilevel"/>
    <w:tmpl w:val="230CF51C"/>
    <w:lvl w:ilvl="0" w:tplc="08090001">
      <w:start w:val="1"/>
      <w:numFmt w:val="bullet"/>
      <w:lvlText w:val=""/>
      <w:lvlJc w:val="left"/>
      <w:pPr>
        <w:ind w:left="655" w:hanging="360"/>
      </w:pPr>
      <w:rPr>
        <w:rFonts w:ascii="Symbol" w:hAnsi="Symbol" w:hint="default"/>
      </w:rPr>
    </w:lvl>
    <w:lvl w:ilvl="1" w:tplc="08090003">
      <w:start w:val="1"/>
      <w:numFmt w:val="bullet"/>
      <w:lvlText w:val="o"/>
      <w:lvlJc w:val="left"/>
      <w:pPr>
        <w:ind w:left="1375" w:hanging="360"/>
      </w:pPr>
      <w:rPr>
        <w:rFonts w:ascii="Courier New" w:hAnsi="Courier New" w:cs="Courier New" w:hint="default"/>
      </w:rPr>
    </w:lvl>
    <w:lvl w:ilvl="2" w:tplc="08090005" w:tentative="1">
      <w:start w:val="1"/>
      <w:numFmt w:val="bullet"/>
      <w:lvlText w:val=""/>
      <w:lvlJc w:val="left"/>
      <w:pPr>
        <w:ind w:left="2095" w:hanging="360"/>
      </w:pPr>
      <w:rPr>
        <w:rFonts w:ascii="Wingdings" w:hAnsi="Wingdings" w:hint="default"/>
      </w:rPr>
    </w:lvl>
    <w:lvl w:ilvl="3" w:tplc="08090001" w:tentative="1">
      <w:start w:val="1"/>
      <w:numFmt w:val="bullet"/>
      <w:lvlText w:val=""/>
      <w:lvlJc w:val="left"/>
      <w:pPr>
        <w:ind w:left="2815" w:hanging="360"/>
      </w:pPr>
      <w:rPr>
        <w:rFonts w:ascii="Symbol" w:hAnsi="Symbol" w:hint="default"/>
      </w:rPr>
    </w:lvl>
    <w:lvl w:ilvl="4" w:tplc="08090003" w:tentative="1">
      <w:start w:val="1"/>
      <w:numFmt w:val="bullet"/>
      <w:lvlText w:val="o"/>
      <w:lvlJc w:val="left"/>
      <w:pPr>
        <w:ind w:left="3535" w:hanging="360"/>
      </w:pPr>
      <w:rPr>
        <w:rFonts w:ascii="Courier New" w:hAnsi="Courier New" w:cs="Courier New" w:hint="default"/>
      </w:rPr>
    </w:lvl>
    <w:lvl w:ilvl="5" w:tplc="08090005" w:tentative="1">
      <w:start w:val="1"/>
      <w:numFmt w:val="bullet"/>
      <w:lvlText w:val=""/>
      <w:lvlJc w:val="left"/>
      <w:pPr>
        <w:ind w:left="4255" w:hanging="360"/>
      </w:pPr>
      <w:rPr>
        <w:rFonts w:ascii="Wingdings" w:hAnsi="Wingdings" w:hint="default"/>
      </w:rPr>
    </w:lvl>
    <w:lvl w:ilvl="6" w:tplc="08090001" w:tentative="1">
      <w:start w:val="1"/>
      <w:numFmt w:val="bullet"/>
      <w:lvlText w:val=""/>
      <w:lvlJc w:val="left"/>
      <w:pPr>
        <w:ind w:left="4975" w:hanging="360"/>
      </w:pPr>
      <w:rPr>
        <w:rFonts w:ascii="Symbol" w:hAnsi="Symbol" w:hint="default"/>
      </w:rPr>
    </w:lvl>
    <w:lvl w:ilvl="7" w:tplc="08090003" w:tentative="1">
      <w:start w:val="1"/>
      <w:numFmt w:val="bullet"/>
      <w:lvlText w:val="o"/>
      <w:lvlJc w:val="left"/>
      <w:pPr>
        <w:ind w:left="5695" w:hanging="360"/>
      </w:pPr>
      <w:rPr>
        <w:rFonts w:ascii="Courier New" w:hAnsi="Courier New" w:cs="Courier New" w:hint="default"/>
      </w:rPr>
    </w:lvl>
    <w:lvl w:ilvl="8" w:tplc="08090005" w:tentative="1">
      <w:start w:val="1"/>
      <w:numFmt w:val="bullet"/>
      <w:lvlText w:val=""/>
      <w:lvlJc w:val="left"/>
      <w:pPr>
        <w:ind w:left="6415" w:hanging="360"/>
      </w:pPr>
      <w:rPr>
        <w:rFonts w:ascii="Wingdings" w:hAnsi="Wingdings" w:hint="default"/>
      </w:rPr>
    </w:lvl>
  </w:abstractNum>
  <w:abstractNum w:abstractNumId="33" w15:restartNumberingAfterBreak="0">
    <w:nsid w:val="781E58C4"/>
    <w:multiLevelType w:val="hybridMultilevel"/>
    <w:tmpl w:val="1B249D78"/>
    <w:lvl w:ilvl="0" w:tplc="620E401C">
      <w:start w:val="1"/>
      <w:numFmt w:val="lowerLetter"/>
      <w:lvlText w:val="%1."/>
      <w:lvlJc w:val="left"/>
      <w:pPr>
        <w:ind w:left="1080" w:hanging="360"/>
      </w:pPr>
      <w:rPr>
        <w:rFonts w:hint="default"/>
        <w:b w:val="0"/>
        <w:color w:val="auto"/>
        <w:sz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EB54AD5"/>
    <w:multiLevelType w:val="multilevel"/>
    <w:tmpl w:val="315268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49795252">
    <w:abstractNumId w:val="0"/>
  </w:num>
  <w:num w:numId="2" w16cid:durableId="1394693074">
    <w:abstractNumId w:val="21"/>
  </w:num>
  <w:num w:numId="3" w16cid:durableId="570964709">
    <w:abstractNumId w:val="12"/>
  </w:num>
  <w:num w:numId="4" w16cid:durableId="1475952816">
    <w:abstractNumId w:val="24"/>
  </w:num>
  <w:num w:numId="5" w16cid:durableId="1543831814">
    <w:abstractNumId w:val="33"/>
  </w:num>
  <w:num w:numId="6" w16cid:durableId="495805029">
    <w:abstractNumId w:val="2"/>
  </w:num>
  <w:num w:numId="7" w16cid:durableId="530843975">
    <w:abstractNumId w:val="11"/>
  </w:num>
  <w:num w:numId="8" w16cid:durableId="495341040">
    <w:abstractNumId w:val="7"/>
  </w:num>
  <w:num w:numId="9" w16cid:durableId="1876111924">
    <w:abstractNumId w:val="8"/>
  </w:num>
  <w:num w:numId="10" w16cid:durableId="457257165">
    <w:abstractNumId w:val="28"/>
  </w:num>
  <w:num w:numId="11" w16cid:durableId="2080245385">
    <w:abstractNumId w:val="10"/>
  </w:num>
  <w:num w:numId="12" w16cid:durableId="1622496625">
    <w:abstractNumId w:val="21"/>
    <w:lvlOverride w:ilvl="0">
      <w:startOverride w:val="1"/>
    </w:lvlOverride>
  </w:num>
  <w:num w:numId="13" w16cid:durableId="626861633">
    <w:abstractNumId w:val="13"/>
  </w:num>
  <w:num w:numId="14" w16cid:durableId="764306540">
    <w:abstractNumId w:val="25"/>
  </w:num>
  <w:num w:numId="15" w16cid:durableId="1201475046">
    <w:abstractNumId w:val="12"/>
    <w:lvlOverride w:ilvl="0">
      <w:lvl w:ilvl="0">
        <w:start w:val="1"/>
        <w:numFmt w:val="decimal"/>
        <w:pStyle w:val="h2numbered"/>
        <w:suff w:val="space"/>
        <w:lvlText w:val="%1."/>
        <w:lvlJc w:val="left"/>
        <w:pPr>
          <w:ind w:left="0" w:firstLine="0"/>
        </w:pPr>
        <w:rPr>
          <w:rFonts w:hint="default"/>
        </w:rPr>
      </w:lvl>
    </w:lvlOverride>
    <w:lvlOverride w:ilvl="1">
      <w:lvl w:ilvl="1">
        <w:start w:val="1"/>
        <w:numFmt w:val="decimal"/>
        <w:pStyle w:val="h3numbered"/>
        <w:lvlText w:val="%1.%2"/>
        <w:lvlJc w:val="left"/>
        <w:pPr>
          <w:ind w:left="624" w:hanging="624"/>
        </w:pPr>
        <w:rPr>
          <w:rFonts w:hint="default"/>
        </w:rPr>
      </w:lvl>
    </w:lvlOverride>
    <w:lvlOverride w:ilvl="2">
      <w:lvl w:ilvl="2">
        <w:start w:val="1"/>
        <w:numFmt w:val="decimal"/>
        <w:pStyle w:val="h4numbered"/>
        <w:lvlText w:val="%1.%2.%3"/>
        <w:lvlJc w:val="left"/>
        <w:pPr>
          <w:ind w:left="794" w:hanging="794"/>
        </w:pPr>
        <w:rPr>
          <w:rFonts w:hint="default"/>
        </w:rPr>
      </w:lvl>
    </w:lvlOverride>
    <w:lvlOverride w:ilvl="3">
      <w:lvl w:ilvl="3">
        <w:start w:val="1"/>
        <w:numFmt w:val="decimal"/>
        <w:pStyle w:val="h5numbered"/>
        <w:lvlText w:val="%1.%2.%3.%4"/>
        <w:lvlJc w:val="left"/>
        <w:pPr>
          <w:ind w:left="1021" w:hanging="1021"/>
        </w:pPr>
        <w:rPr>
          <w:rFonts w:hint="default"/>
        </w:rPr>
      </w:lvl>
    </w:lvlOverride>
    <w:lvlOverride w:ilvl="4">
      <w:lvl w:ilvl="4">
        <w:start w:val="1"/>
        <w:numFmt w:val="decimal"/>
        <w:pStyle w:val="bodytextnumbered"/>
        <w:lvlText w:val="%5."/>
        <w:lvlJc w:val="left"/>
        <w:pPr>
          <w:ind w:left="567" w:hanging="567"/>
        </w:pPr>
        <w:rPr>
          <w:rFonts w:hint="default"/>
        </w:rPr>
      </w:lvl>
    </w:lvlOverride>
    <w:lvlOverride w:ilvl="5">
      <w:lvl w:ilvl="5">
        <w:start w:val="1"/>
        <w:numFmt w:val="decimal"/>
        <w:pStyle w:val="bodytextnumbered11"/>
        <w:lvlText w:val="%5.%6."/>
        <w:lvlJc w:val="left"/>
        <w:pPr>
          <w:ind w:left="1191" w:hanging="624"/>
        </w:pPr>
        <w:rPr>
          <w:rFonts w:hint="default"/>
        </w:rPr>
      </w:lvl>
    </w:lvlOverride>
    <w:lvlOverride w:ilvl="6">
      <w:lvl w:ilvl="6">
        <w:start w:val="1"/>
        <w:numFmt w:val="decimal"/>
        <w:pStyle w:val="bodytextnumbered111"/>
        <w:lvlText w:val="%5.%6.%7."/>
        <w:lvlJc w:val="left"/>
        <w:pPr>
          <w:ind w:left="2268" w:hanging="1077"/>
        </w:pPr>
        <w:rPr>
          <w:rFonts w:hint="default"/>
        </w:rPr>
      </w:lvl>
    </w:lvlOverride>
    <w:lvlOverride w:ilvl="7">
      <w:lvl w:ilvl="7">
        <w:start w:val="1"/>
        <w:numFmt w:val="decimal"/>
        <w:pStyle w:val="3digitpara"/>
        <w:lvlText w:val="%1.%8"/>
        <w:lvlJc w:val="left"/>
        <w:pPr>
          <w:ind w:left="851" w:hanging="851"/>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236329014">
    <w:abstractNumId w:val="12"/>
    <w:lvlOverride w:ilvl="0">
      <w:startOverride w:val="2"/>
    </w:lvlOverride>
    <w:lvlOverride w:ilvl="1"/>
    <w:lvlOverride w:ilvl="2"/>
    <w:lvlOverride w:ilvl="3"/>
    <w:lvlOverride w:ilvl="4"/>
    <w:lvlOverride w:ilvl="5"/>
    <w:lvlOverride w:ilvl="6"/>
    <w:lvlOverride w:ilvl="7"/>
    <w:lvlOverride w:ilvl="8"/>
  </w:num>
  <w:num w:numId="17" w16cid:durableId="1404330745">
    <w:abstractNumId w:val="12"/>
    <w:lvlOverride w:ilvl="0">
      <w:lvl w:ilvl="0">
        <w:start w:val="1"/>
        <w:numFmt w:val="decimal"/>
        <w:pStyle w:val="h2numbered"/>
        <w:suff w:val="space"/>
        <w:lvlText w:val="%1."/>
        <w:lvlJc w:val="left"/>
        <w:pPr>
          <w:ind w:left="0" w:firstLine="0"/>
        </w:pPr>
        <w:rPr>
          <w:rFonts w:hint="default"/>
        </w:rPr>
      </w:lvl>
    </w:lvlOverride>
    <w:lvlOverride w:ilvl="1">
      <w:lvl w:ilvl="1">
        <w:start w:val="1"/>
        <w:numFmt w:val="decimal"/>
        <w:pStyle w:val="h3numbered"/>
        <w:lvlText w:val="%1.%2"/>
        <w:lvlJc w:val="left"/>
        <w:pPr>
          <w:ind w:left="624" w:hanging="624"/>
        </w:pPr>
        <w:rPr>
          <w:rFonts w:hint="default"/>
        </w:rPr>
      </w:lvl>
    </w:lvlOverride>
    <w:lvlOverride w:ilvl="2">
      <w:lvl w:ilvl="2">
        <w:start w:val="1"/>
        <w:numFmt w:val="decimal"/>
        <w:pStyle w:val="h4numbered"/>
        <w:lvlText w:val="%1.%2.%3"/>
        <w:lvlJc w:val="left"/>
        <w:pPr>
          <w:ind w:left="794" w:hanging="794"/>
        </w:pPr>
        <w:rPr>
          <w:rFonts w:hint="default"/>
        </w:rPr>
      </w:lvl>
    </w:lvlOverride>
    <w:lvlOverride w:ilvl="3">
      <w:lvl w:ilvl="3">
        <w:start w:val="1"/>
        <w:numFmt w:val="decimal"/>
        <w:pStyle w:val="h5numbered"/>
        <w:lvlText w:val="%1.%2.%3.%4"/>
        <w:lvlJc w:val="left"/>
        <w:pPr>
          <w:ind w:left="1021" w:hanging="1021"/>
        </w:pPr>
        <w:rPr>
          <w:rFonts w:hint="default"/>
        </w:rPr>
      </w:lvl>
    </w:lvlOverride>
    <w:lvlOverride w:ilvl="4">
      <w:lvl w:ilvl="4">
        <w:start w:val="1"/>
        <w:numFmt w:val="decimal"/>
        <w:pStyle w:val="bodytextnumbered"/>
        <w:lvlText w:val="%5."/>
        <w:lvlJc w:val="left"/>
        <w:pPr>
          <w:ind w:left="567" w:hanging="567"/>
        </w:pPr>
        <w:rPr>
          <w:rFonts w:hint="default"/>
        </w:rPr>
      </w:lvl>
    </w:lvlOverride>
    <w:lvlOverride w:ilvl="5">
      <w:lvl w:ilvl="5">
        <w:start w:val="1"/>
        <w:numFmt w:val="decimal"/>
        <w:pStyle w:val="bodytextnumbered11"/>
        <w:lvlText w:val="%5.%6."/>
        <w:lvlJc w:val="left"/>
        <w:pPr>
          <w:ind w:left="1191" w:hanging="624"/>
        </w:pPr>
        <w:rPr>
          <w:rFonts w:hint="default"/>
        </w:rPr>
      </w:lvl>
    </w:lvlOverride>
    <w:lvlOverride w:ilvl="6">
      <w:lvl w:ilvl="6">
        <w:start w:val="1"/>
        <w:numFmt w:val="decimal"/>
        <w:pStyle w:val="bodytextnumbered111"/>
        <w:lvlText w:val="%5.%6.%7."/>
        <w:lvlJc w:val="left"/>
        <w:pPr>
          <w:ind w:left="2268" w:hanging="1077"/>
        </w:pPr>
        <w:rPr>
          <w:rFonts w:hint="default"/>
        </w:rPr>
      </w:lvl>
    </w:lvlOverride>
    <w:lvlOverride w:ilvl="7">
      <w:lvl w:ilvl="7">
        <w:start w:val="1"/>
        <w:numFmt w:val="decimal"/>
        <w:pStyle w:val="3digitpara"/>
        <w:lvlText w:val="%1.%8"/>
        <w:lvlJc w:val="left"/>
        <w:pPr>
          <w:ind w:left="851" w:hanging="851"/>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761101652">
    <w:abstractNumId w:val="12"/>
    <w:lvlOverride w:ilvl="0">
      <w:lvl w:ilvl="0">
        <w:numFmt w:val="decimal"/>
        <w:pStyle w:val="h2numbered"/>
        <w:suff w:val="space"/>
        <w:lvlText w:val="%1."/>
        <w:lvlJc w:val="left"/>
        <w:pPr>
          <w:ind w:left="0" w:firstLine="0"/>
        </w:pPr>
        <w:rPr>
          <w:rFonts w:hint="default"/>
        </w:rPr>
      </w:lvl>
    </w:lvlOverride>
    <w:lvlOverride w:ilvl="1">
      <w:lvl w:ilvl="1">
        <w:numFmt w:val="decimal"/>
        <w:pStyle w:val="h3numbered"/>
        <w:lvlText w:val="%1.%2"/>
        <w:lvlJc w:val="left"/>
        <w:pPr>
          <w:ind w:left="624" w:hanging="624"/>
        </w:pPr>
        <w:rPr>
          <w:rFonts w:hint="default"/>
        </w:rPr>
      </w:lvl>
    </w:lvlOverride>
    <w:lvlOverride w:ilvl="2">
      <w:lvl w:ilvl="2">
        <w:numFmt w:val="decimal"/>
        <w:pStyle w:val="h4numbered"/>
        <w:lvlText w:val="%1.%2.%3"/>
        <w:lvlJc w:val="left"/>
        <w:pPr>
          <w:ind w:left="794" w:hanging="794"/>
        </w:pPr>
        <w:rPr>
          <w:rFonts w:hint="default"/>
        </w:rPr>
      </w:lvl>
    </w:lvlOverride>
    <w:lvlOverride w:ilvl="3">
      <w:lvl w:ilvl="3">
        <w:numFmt w:val="decimal"/>
        <w:pStyle w:val="h5numbered"/>
        <w:lvlText w:val="%1.%2.%3.%4"/>
        <w:lvlJc w:val="left"/>
        <w:pPr>
          <w:ind w:left="1021" w:hanging="1021"/>
        </w:pPr>
        <w:rPr>
          <w:rFonts w:hint="default"/>
        </w:rPr>
      </w:lvl>
    </w:lvlOverride>
    <w:lvlOverride w:ilvl="4">
      <w:lvl w:ilvl="4">
        <w:numFmt w:val="decimal"/>
        <w:pStyle w:val="bodytextnumbered"/>
        <w:lvlText w:val="%5."/>
        <w:lvlJc w:val="left"/>
        <w:pPr>
          <w:ind w:left="567" w:hanging="567"/>
        </w:pPr>
        <w:rPr>
          <w:rFonts w:hint="default"/>
        </w:rPr>
      </w:lvl>
    </w:lvlOverride>
    <w:lvlOverride w:ilvl="5">
      <w:lvl w:ilvl="5">
        <w:numFmt w:val="decimal"/>
        <w:pStyle w:val="bodytextnumbered11"/>
        <w:lvlText w:val="%5.%6."/>
        <w:lvlJc w:val="left"/>
        <w:pPr>
          <w:ind w:left="1191" w:hanging="624"/>
        </w:pPr>
        <w:rPr>
          <w:rFonts w:hint="default"/>
        </w:rPr>
      </w:lvl>
    </w:lvlOverride>
    <w:lvlOverride w:ilvl="6">
      <w:lvl w:ilvl="6">
        <w:numFmt w:val="decimal"/>
        <w:pStyle w:val="bodytextnumbered111"/>
        <w:lvlText w:val="%5.%6.%7."/>
        <w:lvlJc w:val="left"/>
        <w:pPr>
          <w:ind w:left="2268" w:hanging="1077"/>
        </w:pPr>
        <w:rPr>
          <w:rFonts w:hint="default"/>
        </w:rPr>
      </w:lvl>
    </w:lvlOverride>
    <w:lvlOverride w:ilvl="7">
      <w:lvl w:ilvl="7">
        <w:numFmt w:val="decimal"/>
        <w:pStyle w:val="3digitpara"/>
        <w:lvlText w:val="%1.0.%8"/>
        <w:lvlJc w:val="left"/>
        <w:pPr>
          <w:ind w:left="851" w:hanging="851"/>
        </w:pPr>
        <w:rPr>
          <w:rFonts w:hint="default"/>
        </w:rPr>
      </w:lvl>
    </w:lvlOverride>
    <w:lvlOverride w:ilvl="8">
      <w:lvl w:ilvl="8">
        <w:numFmt w:val="decimal"/>
        <w:lvlText w:val="%1.%2.%3.%4.%5.%6.%7.%8.%9."/>
        <w:lvlJc w:val="left"/>
        <w:pPr>
          <w:ind w:left="4320" w:hanging="1440"/>
        </w:pPr>
        <w:rPr>
          <w:rFonts w:hint="default"/>
        </w:rPr>
      </w:lvl>
    </w:lvlOverride>
  </w:num>
  <w:num w:numId="19" w16cid:durableId="1061438646">
    <w:abstractNumId w:val="12"/>
    <w:lvlOverride w:ilvl="0">
      <w:lvl w:ilvl="0">
        <w:numFmt w:val="decimal"/>
        <w:pStyle w:val="h2numbered"/>
        <w:suff w:val="space"/>
        <w:lvlText w:val="%1."/>
        <w:lvlJc w:val="left"/>
        <w:pPr>
          <w:ind w:left="0" w:firstLine="0"/>
        </w:pPr>
        <w:rPr>
          <w:rFonts w:hint="default"/>
        </w:rPr>
      </w:lvl>
    </w:lvlOverride>
    <w:lvlOverride w:ilvl="1">
      <w:lvl w:ilvl="1">
        <w:numFmt w:val="decimal"/>
        <w:pStyle w:val="h3numbered"/>
        <w:lvlText w:val="%1.%2"/>
        <w:lvlJc w:val="left"/>
        <w:pPr>
          <w:ind w:left="624" w:hanging="624"/>
        </w:pPr>
        <w:rPr>
          <w:rFonts w:hint="default"/>
        </w:rPr>
      </w:lvl>
    </w:lvlOverride>
    <w:lvlOverride w:ilvl="2">
      <w:lvl w:ilvl="2">
        <w:numFmt w:val="decimal"/>
        <w:pStyle w:val="h4numbered"/>
        <w:lvlText w:val="%1.%2.%3"/>
        <w:lvlJc w:val="left"/>
        <w:pPr>
          <w:ind w:left="794" w:hanging="794"/>
        </w:pPr>
        <w:rPr>
          <w:rFonts w:hint="default"/>
        </w:rPr>
      </w:lvl>
    </w:lvlOverride>
    <w:lvlOverride w:ilvl="3">
      <w:lvl w:ilvl="3">
        <w:numFmt w:val="decimal"/>
        <w:pStyle w:val="h5numbered"/>
        <w:lvlText w:val="%1.%2.%3.%4"/>
        <w:lvlJc w:val="left"/>
        <w:pPr>
          <w:ind w:left="1021" w:hanging="1021"/>
        </w:pPr>
        <w:rPr>
          <w:rFonts w:hint="default"/>
        </w:rPr>
      </w:lvl>
    </w:lvlOverride>
    <w:lvlOverride w:ilvl="4">
      <w:lvl w:ilvl="4">
        <w:numFmt w:val="decimal"/>
        <w:pStyle w:val="bodytextnumbered"/>
        <w:lvlText w:val="%5."/>
        <w:lvlJc w:val="left"/>
        <w:pPr>
          <w:ind w:left="567" w:hanging="567"/>
        </w:pPr>
        <w:rPr>
          <w:rFonts w:hint="default"/>
        </w:rPr>
      </w:lvl>
    </w:lvlOverride>
    <w:lvlOverride w:ilvl="5">
      <w:lvl w:ilvl="5">
        <w:numFmt w:val="decimal"/>
        <w:pStyle w:val="bodytextnumbered11"/>
        <w:lvlText w:val="%5.%6."/>
        <w:lvlJc w:val="left"/>
        <w:pPr>
          <w:ind w:left="1191" w:hanging="624"/>
        </w:pPr>
        <w:rPr>
          <w:rFonts w:hint="default"/>
        </w:rPr>
      </w:lvl>
    </w:lvlOverride>
    <w:lvlOverride w:ilvl="6">
      <w:lvl w:ilvl="6">
        <w:numFmt w:val="decimal"/>
        <w:pStyle w:val="bodytextnumbered111"/>
        <w:lvlText w:val="%5.%6.%7."/>
        <w:lvlJc w:val="left"/>
        <w:pPr>
          <w:ind w:left="2268" w:hanging="1077"/>
        </w:pPr>
        <w:rPr>
          <w:rFonts w:hint="default"/>
        </w:rPr>
      </w:lvl>
    </w:lvlOverride>
    <w:lvlOverride w:ilvl="7">
      <w:lvl w:ilvl="7">
        <w:numFmt w:val="decimal"/>
        <w:pStyle w:val="3digitpara"/>
        <w:lvlText w:val="%1.0.%8"/>
        <w:lvlJc w:val="left"/>
        <w:pPr>
          <w:ind w:left="851" w:hanging="851"/>
        </w:pPr>
        <w:rPr>
          <w:rFonts w:hint="default"/>
        </w:rPr>
      </w:lvl>
    </w:lvlOverride>
    <w:lvlOverride w:ilvl="8">
      <w:lvl w:ilvl="8">
        <w:numFmt w:val="decimal"/>
        <w:lvlText w:val="%1.%2.%3.%4.%5.%6.%7.%8.%9."/>
        <w:lvlJc w:val="left"/>
        <w:pPr>
          <w:ind w:left="4320" w:hanging="1440"/>
        </w:pPr>
        <w:rPr>
          <w:rFonts w:hint="default"/>
        </w:rPr>
      </w:lvl>
    </w:lvlOverride>
  </w:num>
  <w:num w:numId="20" w16cid:durableId="1538733710">
    <w:abstractNumId w:val="4"/>
  </w:num>
  <w:num w:numId="21" w16cid:durableId="1534538715">
    <w:abstractNumId w:val="3"/>
  </w:num>
  <w:num w:numId="22" w16cid:durableId="973365951">
    <w:abstractNumId w:val="32"/>
  </w:num>
  <w:num w:numId="23" w16cid:durableId="145128579">
    <w:abstractNumId w:val="15"/>
  </w:num>
  <w:num w:numId="24" w16cid:durableId="134030452">
    <w:abstractNumId w:val="23"/>
  </w:num>
  <w:num w:numId="25" w16cid:durableId="944188902">
    <w:abstractNumId w:val="5"/>
  </w:num>
  <w:num w:numId="26" w16cid:durableId="1611546275">
    <w:abstractNumId w:val="34"/>
  </w:num>
  <w:num w:numId="27" w16cid:durableId="1484858717">
    <w:abstractNumId w:val="16"/>
  </w:num>
  <w:num w:numId="28" w16cid:durableId="675039002">
    <w:abstractNumId w:val="17"/>
  </w:num>
  <w:num w:numId="29" w16cid:durableId="737938530">
    <w:abstractNumId w:val="22"/>
  </w:num>
  <w:num w:numId="30" w16cid:durableId="660814764">
    <w:abstractNumId w:val="20"/>
  </w:num>
  <w:num w:numId="31" w16cid:durableId="1915045105">
    <w:abstractNumId w:val="29"/>
  </w:num>
  <w:num w:numId="32" w16cid:durableId="938021407">
    <w:abstractNumId w:val="27"/>
  </w:num>
  <w:num w:numId="33" w16cid:durableId="1204905109">
    <w:abstractNumId w:val="19"/>
  </w:num>
  <w:num w:numId="34" w16cid:durableId="1557472492">
    <w:abstractNumId w:val="31"/>
  </w:num>
  <w:num w:numId="35" w16cid:durableId="996691272">
    <w:abstractNumId w:val="18"/>
  </w:num>
  <w:num w:numId="36" w16cid:durableId="21239146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2296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60371123">
    <w:abstractNumId w:val="6"/>
  </w:num>
  <w:num w:numId="39" w16cid:durableId="1330131233">
    <w:abstractNumId w:val="12"/>
    <w:lvlOverride w:ilvl="0">
      <w:startOverride w:val="2"/>
      <w:lvl w:ilvl="0">
        <w:start w:val="2"/>
        <w:numFmt w:val="decimal"/>
        <w:pStyle w:val="h2numbered"/>
        <w:suff w:val="space"/>
        <w:lvlText w:val="%1."/>
        <w:lvlJc w:val="left"/>
        <w:pPr>
          <w:ind w:left="0" w:firstLine="0"/>
        </w:pPr>
        <w:rPr>
          <w:rFonts w:hint="default"/>
        </w:rPr>
      </w:lvl>
    </w:lvlOverride>
    <w:lvlOverride w:ilvl="1">
      <w:startOverride w:val="1"/>
      <w:lvl w:ilvl="1">
        <w:start w:val="1"/>
        <w:numFmt w:val="decimal"/>
        <w:pStyle w:val="h3numbered"/>
        <w:lvlText w:val="%1.%2"/>
        <w:lvlJc w:val="left"/>
        <w:pPr>
          <w:ind w:left="624" w:hanging="624"/>
        </w:pPr>
        <w:rPr>
          <w:rFonts w:hint="default"/>
        </w:rPr>
      </w:lvl>
    </w:lvlOverride>
    <w:lvlOverride w:ilvl="2">
      <w:startOverride w:val="2"/>
      <w:lvl w:ilvl="2">
        <w:start w:val="2"/>
        <w:numFmt w:val="decimal"/>
        <w:pStyle w:val="h4numbered"/>
        <w:lvlText w:val="%1.%2.%3"/>
        <w:lvlJc w:val="left"/>
        <w:pPr>
          <w:ind w:left="794" w:hanging="794"/>
        </w:pPr>
        <w:rPr>
          <w:rFonts w:hint="default"/>
        </w:rPr>
      </w:lvl>
    </w:lvlOverride>
  </w:num>
  <w:num w:numId="40" w16cid:durableId="477386699">
    <w:abstractNumId w:val="30"/>
  </w:num>
  <w:num w:numId="41" w16cid:durableId="437800403">
    <w:abstractNumId w:val="9"/>
  </w:num>
  <w:num w:numId="42" w16cid:durableId="649283729">
    <w:abstractNumId w:val="1"/>
  </w:num>
  <w:num w:numId="43" w16cid:durableId="1520196035">
    <w:abstractNumId w:val="26"/>
  </w:num>
  <w:num w:numId="44" w16cid:durableId="1320115716">
    <w:abstractNumId w:val="14"/>
  </w:num>
  <w:num w:numId="45" w16cid:durableId="97142398">
    <w:abstractNumId w:val="12"/>
    <w:lvlOverride w:ilvl="0">
      <w:lvl w:ilvl="0">
        <w:start w:val="1"/>
        <w:numFmt w:val="decimal"/>
        <w:pStyle w:val="h2numbered"/>
        <w:suff w:val="space"/>
        <w:lvlText w:val="%1."/>
        <w:lvlJc w:val="left"/>
        <w:pPr>
          <w:ind w:left="0" w:firstLine="0"/>
        </w:pPr>
        <w:rPr>
          <w:rFonts w:hint="default"/>
        </w:rPr>
      </w:lvl>
    </w:lvlOverride>
    <w:lvlOverride w:ilvl="1">
      <w:lvl w:ilvl="1">
        <w:start w:val="1"/>
        <w:numFmt w:val="decimal"/>
        <w:pStyle w:val="h3numbered"/>
        <w:lvlText w:val="%1.%2"/>
        <w:lvlJc w:val="left"/>
        <w:pPr>
          <w:ind w:left="624" w:hanging="624"/>
        </w:pPr>
        <w:rPr>
          <w:rFonts w:hint="default"/>
        </w:rPr>
      </w:lvl>
    </w:lvlOverride>
    <w:lvlOverride w:ilvl="2">
      <w:lvl w:ilvl="2">
        <w:start w:val="1"/>
        <w:numFmt w:val="decimal"/>
        <w:pStyle w:val="h4numbered"/>
        <w:lvlText w:val="%1.%2.%3"/>
        <w:lvlJc w:val="left"/>
        <w:pPr>
          <w:ind w:left="794" w:hanging="794"/>
        </w:pPr>
        <w:rPr>
          <w:rFonts w:hint="default"/>
        </w:rPr>
      </w:lvl>
    </w:lvlOverride>
    <w:lvlOverride w:ilvl="3">
      <w:lvl w:ilvl="3">
        <w:start w:val="1"/>
        <w:numFmt w:val="decimal"/>
        <w:pStyle w:val="h5numbered"/>
        <w:lvlText w:val="%1.%2.%3.%4"/>
        <w:lvlJc w:val="left"/>
        <w:pPr>
          <w:ind w:left="1021" w:hanging="1021"/>
        </w:pPr>
        <w:rPr>
          <w:rFonts w:hint="default"/>
        </w:rPr>
      </w:lvl>
    </w:lvlOverride>
    <w:lvlOverride w:ilvl="4">
      <w:lvl w:ilvl="4">
        <w:start w:val="1"/>
        <w:numFmt w:val="decimal"/>
        <w:pStyle w:val="bodytextnumbered"/>
        <w:lvlText w:val="%5."/>
        <w:lvlJc w:val="left"/>
        <w:pPr>
          <w:ind w:left="567" w:hanging="567"/>
        </w:pPr>
        <w:rPr>
          <w:rFonts w:hint="default"/>
        </w:rPr>
      </w:lvl>
    </w:lvlOverride>
    <w:lvlOverride w:ilvl="5">
      <w:lvl w:ilvl="5">
        <w:start w:val="1"/>
        <w:numFmt w:val="decimal"/>
        <w:pStyle w:val="bodytextnumbered11"/>
        <w:lvlText w:val="%5.%6."/>
        <w:lvlJc w:val="left"/>
        <w:pPr>
          <w:ind w:left="1191" w:hanging="624"/>
        </w:pPr>
        <w:rPr>
          <w:rFonts w:hint="default"/>
        </w:rPr>
      </w:lvl>
    </w:lvlOverride>
    <w:lvlOverride w:ilvl="6">
      <w:lvl w:ilvl="6">
        <w:start w:val="1"/>
        <w:numFmt w:val="decimal"/>
        <w:pStyle w:val="bodytextnumbered111"/>
        <w:lvlText w:val="%5.%6.%7."/>
        <w:lvlJc w:val="left"/>
        <w:pPr>
          <w:ind w:left="2268" w:hanging="1077"/>
        </w:pPr>
        <w:rPr>
          <w:rFonts w:hint="default"/>
        </w:rPr>
      </w:lvl>
    </w:lvlOverride>
    <w:lvlOverride w:ilvl="7">
      <w:lvl w:ilvl="7">
        <w:start w:val="1"/>
        <w:numFmt w:val="decimal"/>
        <w:pStyle w:val="3digitpara"/>
        <w:lvlText w:val="%1.%2.%8"/>
        <w:lvlJc w:val="left"/>
        <w:pPr>
          <w:ind w:left="1276" w:hanging="851"/>
        </w:pPr>
        <w:rPr>
          <w:rFonts w:hint="default"/>
          <w:b w:val="0"/>
          <w:bCs w:val="0"/>
          <w:i w:val="0"/>
          <w:iCs/>
        </w:rPr>
      </w:lvl>
    </w:lvlOverride>
    <w:lvlOverride w:ilvl="8">
      <w:lvl w:ilvl="8">
        <w:start w:val="1"/>
        <w:numFmt w:val="decimal"/>
        <w:lvlText w:val="%1.%2.%3.%4.%5.%6.%7.%8.%9."/>
        <w:lvlJc w:val="left"/>
        <w:pPr>
          <w:ind w:left="4320" w:hanging="1440"/>
        </w:pPr>
        <w:rPr>
          <w:rFonts w:hint="default"/>
        </w:rPr>
      </w:lvl>
    </w:lvlOverride>
  </w:num>
  <w:num w:numId="46" w16cid:durableId="818303429">
    <w:abstractNumId w:val="12"/>
    <w:lvlOverride w:ilvl="0">
      <w:lvl w:ilvl="0">
        <w:start w:val="1"/>
        <w:numFmt w:val="decimal"/>
        <w:pStyle w:val="h2numbered"/>
        <w:suff w:val="space"/>
        <w:lvlText w:val="%1."/>
        <w:lvlJc w:val="left"/>
        <w:pPr>
          <w:ind w:left="0" w:firstLine="0"/>
        </w:pPr>
        <w:rPr>
          <w:rFonts w:hint="default"/>
        </w:rPr>
      </w:lvl>
    </w:lvlOverride>
    <w:lvlOverride w:ilvl="1">
      <w:lvl w:ilvl="1">
        <w:start w:val="1"/>
        <w:numFmt w:val="decimal"/>
        <w:pStyle w:val="h3numbered"/>
        <w:lvlText w:val="%1.%2"/>
        <w:lvlJc w:val="left"/>
        <w:pPr>
          <w:ind w:left="624" w:hanging="624"/>
        </w:pPr>
        <w:rPr>
          <w:rFonts w:hint="default"/>
        </w:rPr>
      </w:lvl>
    </w:lvlOverride>
    <w:lvlOverride w:ilvl="2">
      <w:lvl w:ilvl="2">
        <w:start w:val="1"/>
        <w:numFmt w:val="decimal"/>
        <w:pStyle w:val="h4numbered"/>
        <w:lvlText w:val="%1.%2.%3"/>
        <w:lvlJc w:val="left"/>
        <w:pPr>
          <w:ind w:left="794" w:hanging="794"/>
        </w:pPr>
        <w:rPr>
          <w:rFonts w:hint="default"/>
        </w:rPr>
      </w:lvl>
    </w:lvlOverride>
    <w:lvlOverride w:ilvl="3">
      <w:lvl w:ilvl="3">
        <w:start w:val="1"/>
        <w:numFmt w:val="decimal"/>
        <w:pStyle w:val="h5numbered"/>
        <w:lvlText w:val="%1.%2.%3.%4"/>
        <w:lvlJc w:val="left"/>
        <w:pPr>
          <w:ind w:left="1021" w:hanging="1021"/>
        </w:pPr>
        <w:rPr>
          <w:rFonts w:hint="default"/>
        </w:rPr>
      </w:lvl>
    </w:lvlOverride>
    <w:lvlOverride w:ilvl="4">
      <w:lvl w:ilvl="4">
        <w:start w:val="1"/>
        <w:numFmt w:val="decimal"/>
        <w:pStyle w:val="bodytextnumbered"/>
        <w:lvlText w:val="%5."/>
        <w:lvlJc w:val="left"/>
        <w:pPr>
          <w:ind w:left="567" w:hanging="567"/>
        </w:pPr>
        <w:rPr>
          <w:rFonts w:hint="default"/>
        </w:rPr>
      </w:lvl>
    </w:lvlOverride>
    <w:lvlOverride w:ilvl="5">
      <w:lvl w:ilvl="5">
        <w:start w:val="1"/>
        <w:numFmt w:val="decimal"/>
        <w:pStyle w:val="bodytextnumbered11"/>
        <w:lvlText w:val="%5.%6."/>
        <w:lvlJc w:val="left"/>
        <w:pPr>
          <w:ind w:left="1191" w:hanging="624"/>
        </w:pPr>
        <w:rPr>
          <w:rFonts w:hint="default"/>
        </w:rPr>
      </w:lvl>
    </w:lvlOverride>
    <w:lvlOverride w:ilvl="6">
      <w:lvl w:ilvl="6">
        <w:start w:val="1"/>
        <w:numFmt w:val="decimal"/>
        <w:pStyle w:val="bodytextnumbered111"/>
        <w:lvlText w:val="%5.%6.%7."/>
        <w:lvlJc w:val="left"/>
        <w:pPr>
          <w:ind w:left="2268" w:hanging="1077"/>
        </w:pPr>
        <w:rPr>
          <w:rFonts w:hint="default"/>
        </w:rPr>
      </w:lvl>
    </w:lvlOverride>
    <w:lvlOverride w:ilvl="7">
      <w:lvl w:ilvl="7">
        <w:start w:val="1"/>
        <w:numFmt w:val="decimal"/>
        <w:pStyle w:val="3digitpara"/>
        <w:lvlText w:val="%1.%2.%8"/>
        <w:lvlJc w:val="left"/>
        <w:pPr>
          <w:ind w:left="1276" w:hanging="851"/>
        </w:pPr>
        <w:rPr>
          <w:rFonts w:hint="default"/>
          <w:b w:val="0"/>
          <w:bCs w:val="0"/>
          <w:i w:val="0"/>
          <w:iCs/>
        </w:rPr>
      </w:lvl>
    </w:lvlOverride>
    <w:lvlOverride w:ilvl="8">
      <w:lvl w:ilvl="8">
        <w:start w:val="1"/>
        <w:numFmt w:val="decimal"/>
        <w:lvlText w:val="%1.%2.%3.%4.%5.%6.%7.%8.%9."/>
        <w:lvlJc w:val="left"/>
        <w:pPr>
          <w:ind w:left="4320" w:hanging="1440"/>
        </w:pPr>
        <w:rPr>
          <w:rFonts w:hint="default"/>
        </w:rPr>
      </w:lvl>
    </w:lvlOverride>
  </w:num>
  <w:num w:numId="47" w16cid:durableId="1567957801">
    <w:abstractNumId w:val="12"/>
    <w:lvlOverride w:ilvl="0">
      <w:lvl w:ilvl="0">
        <w:start w:val="1"/>
        <w:numFmt w:val="decimal"/>
        <w:pStyle w:val="h2numbered"/>
        <w:suff w:val="space"/>
        <w:lvlText w:val="%1."/>
        <w:lvlJc w:val="left"/>
        <w:pPr>
          <w:ind w:left="0" w:firstLine="0"/>
        </w:pPr>
        <w:rPr>
          <w:rFonts w:hint="default"/>
        </w:rPr>
      </w:lvl>
    </w:lvlOverride>
    <w:lvlOverride w:ilvl="1">
      <w:lvl w:ilvl="1">
        <w:start w:val="1"/>
        <w:numFmt w:val="decimal"/>
        <w:lvlRestart w:val="0"/>
        <w:pStyle w:val="h3numbered"/>
        <w:lvlText w:val="%1.%2"/>
        <w:lvlJc w:val="left"/>
        <w:pPr>
          <w:ind w:left="624" w:hanging="624"/>
        </w:pPr>
        <w:rPr>
          <w:rFonts w:hint="default"/>
        </w:rPr>
      </w:lvl>
    </w:lvlOverride>
    <w:lvlOverride w:ilvl="2">
      <w:lvl w:ilvl="2">
        <w:start w:val="1"/>
        <w:numFmt w:val="decimal"/>
        <w:pStyle w:val="h4numbered"/>
        <w:lvlText w:val="%1.%2.%3"/>
        <w:lvlJc w:val="left"/>
        <w:pPr>
          <w:ind w:left="794" w:hanging="794"/>
        </w:pPr>
        <w:rPr>
          <w:rFonts w:hint="default"/>
        </w:rPr>
      </w:lvl>
    </w:lvlOverride>
    <w:lvlOverride w:ilvl="3">
      <w:lvl w:ilvl="3">
        <w:start w:val="1"/>
        <w:numFmt w:val="decimal"/>
        <w:pStyle w:val="h5numbered"/>
        <w:lvlText w:val="%1.%2.%3.%4"/>
        <w:lvlJc w:val="left"/>
        <w:pPr>
          <w:ind w:left="1021" w:hanging="1021"/>
        </w:pPr>
        <w:rPr>
          <w:rFonts w:hint="default"/>
        </w:rPr>
      </w:lvl>
    </w:lvlOverride>
    <w:lvlOverride w:ilvl="4">
      <w:lvl w:ilvl="4">
        <w:start w:val="1"/>
        <w:numFmt w:val="decimal"/>
        <w:pStyle w:val="bodytextnumbered"/>
        <w:lvlText w:val="%5."/>
        <w:lvlJc w:val="left"/>
        <w:pPr>
          <w:ind w:left="567" w:hanging="567"/>
        </w:pPr>
        <w:rPr>
          <w:rFonts w:hint="default"/>
        </w:rPr>
      </w:lvl>
    </w:lvlOverride>
    <w:lvlOverride w:ilvl="5">
      <w:lvl w:ilvl="5">
        <w:start w:val="1"/>
        <w:numFmt w:val="decimal"/>
        <w:pStyle w:val="bodytextnumbered11"/>
        <w:lvlText w:val="%5.%6."/>
        <w:lvlJc w:val="left"/>
        <w:pPr>
          <w:ind w:left="1191" w:hanging="624"/>
        </w:pPr>
        <w:rPr>
          <w:rFonts w:hint="default"/>
        </w:rPr>
      </w:lvl>
    </w:lvlOverride>
    <w:lvlOverride w:ilvl="6">
      <w:lvl w:ilvl="6">
        <w:start w:val="1"/>
        <w:numFmt w:val="decimal"/>
        <w:pStyle w:val="bodytextnumbered111"/>
        <w:lvlText w:val="%5.%6.%7."/>
        <w:lvlJc w:val="left"/>
        <w:pPr>
          <w:ind w:left="2268" w:hanging="1077"/>
        </w:pPr>
        <w:rPr>
          <w:rFonts w:hint="default"/>
        </w:rPr>
      </w:lvl>
    </w:lvlOverride>
    <w:lvlOverride w:ilvl="7">
      <w:lvl w:ilvl="7">
        <w:start w:val="1"/>
        <w:numFmt w:val="decimal"/>
        <w:pStyle w:val="3digitpara"/>
        <w:lvlText w:val="%1.%2.%8"/>
        <w:lvlJc w:val="left"/>
        <w:pPr>
          <w:ind w:left="1276" w:hanging="851"/>
        </w:pPr>
        <w:rPr>
          <w:rFonts w:hint="default"/>
          <w:b w:val="0"/>
          <w:bCs w:val="0"/>
          <w:i w:val="0"/>
          <w:iCs/>
        </w:rPr>
      </w:lvl>
    </w:lvlOverride>
    <w:lvlOverride w:ilvl="8">
      <w:lvl w:ilvl="8">
        <w:start w:val="1"/>
        <w:numFmt w:val="decimal"/>
        <w:lvlText w:val="%1.%2.%3.%4.%5.%6.%7.%8.%9."/>
        <w:lvlJc w:val="left"/>
        <w:pPr>
          <w:ind w:left="4320" w:hanging="1440"/>
        </w:pPr>
        <w:rPr>
          <w:rFonts w:hint="default"/>
        </w:rPr>
      </w:lvl>
    </w:lvlOverride>
  </w:num>
  <w:num w:numId="48" w16cid:durableId="1260335041">
    <w:abstractNumId w:val="12"/>
    <w:lvlOverride w:ilvl="0">
      <w:lvl w:ilvl="0">
        <w:start w:val="1"/>
        <w:numFmt w:val="decimal"/>
        <w:pStyle w:val="h2numbered"/>
        <w:suff w:val="space"/>
        <w:lvlText w:val="%1."/>
        <w:lvlJc w:val="left"/>
        <w:pPr>
          <w:ind w:left="0" w:firstLine="0"/>
        </w:pPr>
        <w:rPr>
          <w:rFonts w:hint="default"/>
        </w:rPr>
      </w:lvl>
    </w:lvlOverride>
    <w:lvlOverride w:ilvl="1">
      <w:lvl w:ilvl="1">
        <w:start w:val="1"/>
        <w:numFmt w:val="decimal"/>
        <w:pStyle w:val="h3numbered"/>
        <w:lvlText w:val="%1.%2"/>
        <w:lvlJc w:val="left"/>
        <w:pPr>
          <w:ind w:left="624" w:hanging="624"/>
        </w:pPr>
        <w:rPr>
          <w:rFonts w:hint="default"/>
        </w:rPr>
      </w:lvl>
    </w:lvlOverride>
    <w:lvlOverride w:ilvl="2">
      <w:lvl w:ilvl="2">
        <w:start w:val="1"/>
        <w:numFmt w:val="decimal"/>
        <w:pStyle w:val="h4numbered"/>
        <w:lvlText w:val="%1.%2.%3"/>
        <w:lvlJc w:val="left"/>
        <w:pPr>
          <w:ind w:left="794" w:hanging="794"/>
        </w:pPr>
        <w:rPr>
          <w:rFonts w:hint="default"/>
        </w:rPr>
      </w:lvl>
    </w:lvlOverride>
    <w:lvlOverride w:ilvl="3">
      <w:lvl w:ilvl="3">
        <w:start w:val="1"/>
        <w:numFmt w:val="decimal"/>
        <w:pStyle w:val="h5numbered"/>
        <w:lvlText w:val="%1.%2.%3.%4"/>
        <w:lvlJc w:val="left"/>
        <w:pPr>
          <w:ind w:left="1021" w:hanging="1021"/>
        </w:pPr>
        <w:rPr>
          <w:rFonts w:hint="default"/>
        </w:rPr>
      </w:lvl>
    </w:lvlOverride>
    <w:lvlOverride w:ilvl="4">
      <w:lvl w:ilvl="4">
        <w:start w:val="1"/>
        <w:numFmt w:val="decimal"/>
        <w:pStyle w:val="bodytextnumbered"/>
        <w:lvlText w:val="%5."/>
        <w:lvlJc w:val="left"/>
        <w:pPr>
          <w:ind w:left="567" w:hanging="567"/>
        </w:pPr>
        <w:rPr>
          <w:rFonts w:hint="default"/>
        </w:rPr>
      </w:lvl>
    </w:lvlOverride>
    <w:lvlOverride w:ilvl="5">
      <w:lvl w:ilvl="5">
        <w:start w:val="1"/>
        <w:numFmt w:val="decimal"/>
        <w:pStyle w:val="bodytextnumbered11"/>
        <w:lvlText w:val="%5.%6."/>
        <w:lvlJc w:val="left"/>
        <w:pPr>
          <w:ind w:left="1191" w:hanging="624"/>
        </w:pPr>
        <w:rPr>
          <w:rFonts w:hint="default"/>
        </w:rPr>
      </w:lvl>
    </w:lvlOverride>
    <w:lvlOverride w:ilvl="6">
      <w:lvl w:ilvl="6">
        <w:start w:val="1"/>
        <w:numFmt w:val="decimal"/>
        <w:pStyle w:val="bodytextnumbered111"/>
        <w:lvlText w:val="%5.%6.%7."/>
        <w:lvlJc w:val="left"/>
        <w:pPr>
          <w:ind w:left="2268" w:hanging="1077"/>
        </w:pPr>
        <w:rPr>
          <w:rFonts w:hint="default"/>
        </w:rPr>
      </w:lvl>
    </w:lvlOverride>
    <w:lvlOverride w:ilvl="7">
      <w:lvl w:ilvl="7">
        <w:start w:val="1"/>
        <w:numFmt w:val="decimal"/>
        <w:pStyle w:val="3digitpara"/>
        <w:lvlText w:val="%1.%2.%8"/>
        <w:lvlJc w:val="left"/>
        <w:pPr>
          <w:ind w:left="1276" w:hanging="851"/>
        </w:pPr>
        <w:rPr>
          <w:rFonts w:hint="default"/>
          <w:b w:val="0"/>
          <w:bCs w:val="0"/>
          <w:i w:val="0"/>
          <w:iCs/>
        </w:rPr>
      </w:lvl>
    </w:lvlOverride>
    <w:lvlOverride w:ilvl="8">
      <w:lvl w:ilvl="8">
        <w:start w:val="1"/>
        <w:numFmt w:val="decimal"/>
        <w:lvlText w:val="%1.%2.%3.%4.%5.%6.%7.%8.%9."/>
        <w:lvlJc w:val="left"/>
        <w:pPr>
          <w:ind w:left="4320" w:hanging="144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0B"/>
    <w:rsid w:val="00000197"/>
    <w:rsid w:val="000005C7"/>
    <w:rsid w:val="000025D5"/>
    <w:rsid w:val="00003EE8"/>
    <w:rsid w:val="0000416F"/>
    <w:rsid w:val="00005193"/>
    <w:rsid w:val="00006985"/>
    <w:rsid w:val="00007C4D"/>
    <w:rsid w:val="000108B8"/>
    <w:rsid w:val="0001164C"/>
    <w:rsid w:val="00016EED"/>
    <w:rsid w:val="00020837"/>
    <w:rsid w:val="00026D88"/>
    <w:rsid w:val="000271F6"/>
    <w:rsid w:val="0002777D"/>
    <w:rsid w:val="0003185C"/>
    <w:rsid w:val="00031FD0"/>
    <w:rsid w:val="00032B52"/>
    <w:rsid w:val="00033A48"/>
    <w:rsid w:val="000368B1"/>
    <w:rsid w:val="000447DE"/>
    <w:rsid w:val="00055630"/>
    <w:rsid w:val="00055F01"/>
    <w:rsid w:val="0005671D"/>
    <w:rsid w:val="000572B6"/>
    <w:rsid w:val="0006095D"/>
    <w:rsid w:val="00061452"/>
    <w:rsid w:val="0006184C"/>
    <w:rsid w:val="00061F8C"/>
    <w:rsid w:val="00066B1F"/>
    <w:rsid w:val="000733A2"/>
    <w:rsid w:val="00075166"/>
    <w:rsid w:val="00075192"/>
    <w:rsid w:val="0007630C"/>
    <w:rsid w:val="00080C5C"/>
    <w:rsid w:val="00080E8E"/>
    <w:rsid w:val="00082DD3"/>
    <w:rsid w:val="00082F05"/>
    <w:rsid w:val="0008313C"/>
    <w:rsid w:val="000863E2"/>
    <w:rsid w:val="00087005"/>
    <w:rsid w:val="000926AF"/>
    <w:rsid w:val="00092D20"/>
    <w:rsid w:val="00093410"/>
    <w:rsid w:val="000935A1"/>
    <w:rsid w:val="00095621"/>
    <w:rsid w:val="000A266D"/>
    <w:rsid w:val="000A64E4"/>
    <w:rsid w:val="000A7291"/>
    <w:rsid w:val="000B0D36"/>
    <w:rsid w:val="000B6DD2"/>
    <w:rsid w:val="000C2447"/>
    <w:rsid w:val="000C24AF"/>
    <w:rsid w:val="000D39C3"/>
    <w:rsid w:val="000E272B"/>
    <w:rsid w:val="000E2EBE"/>
    <w:rsid w:val="000E6809"/>
    <w:rsid w:val="000F301F"/>
    <w:rsid w:val="000F3561"/>
    <w:rsid w:val="000F41FA"/>
    <w:rsid w:val="000F644C"/>
    <w:rsid w:val="00100133"/>
    <w:rsid w:val="00101883"/>
    <w:rsid w:val="0010192E"/>
    <w:rsid w:val="00103F4D"/>
    <w:rsid w:val="0010592F"/>
    <w:rsid w:val="00107B27"/>
    <w:rsid w:val="00110D79"/>
    <w:rsid w:val="00113C02"/>
    <w:rsid w:val="00113CAC"/>
    <w:rsid w:val="00113EEC"/>
    <w:rsid w:val="001164DD"/>
    <w:rsid w:val="0012192C"/>
    <w:rsid w:val="00121A3A"/>
    <w:rsid w:val="00123AC6"/>
    <w:rsid w:val="00127C11"/>
    <w:rsid w:val="00127F50"/>
    <w:rsid w:val="00140741"/>
    <w:rsid w:val="001418CF"/>
    <w:rsid w:val="00142839"/>
    <w:rsid w:val="00151A2A"/>
    <w:rsid w:val="00152237"/>
    <w:rsid w:val="00153EDE"/>
    <w:rsid w:val="00156317"/>
    <w:rsid w:val="001706BB"/>
    <w:rsid w:val="001716E5"/>
    <w:rsid w:val="00174E90"/>
    <w:rsid w:val="001759B2"/>
    <w:rsid w:val="0018261D"/>
    <w:rsid w:val="001828BF"/>
    <w:rsid w:val="00183C2D"/>
    <w:rsid w:val="00184C28"/>
    <w:rsid w:val="00184CF1"/>
    <w:rsid w:val="00186F35"/>
    <w:rsid w:val="00190CBC"/>
    <w:rsid w:val="0019592C"/>
    <w:rsid w:val="0019660B"/>
    <w:rsid w:val="001A0245"/>
    <w:rsid w:val="001A07E8"/>
    <w:rsid w:val="001A14F6"/>
    <w:rsid w:val="001A5B08"/>
    <w:rsid w:val="001A62F6"/>
    <w:rsid w:val="001A70C0"/>
    <w:rsid w:val="001B0D21"/>
    <w:rsid w:val="001B20DC"/>
    <w:rsid w:val="001B51F2"/>
    <w:rsid w:val="001B7737"/>
    <w:rsid w:val="001B7D95"/>
    <w:rsid w:val="001C208A"/>
    <w:rsid w:val="001C3565"/>
    <w:rsid w:val="001C3789"/>
    <w:rsid w:val="001C549B"/>
    <w:rsid w:val="001C6937"/>
    <w:rsid w:val="001C70F3"/>
    <w:rsid w:val="001D243C"/>
    <w:rsid w:val="001D7D41"/>
    <w:rsid w:val="001E004E"/>
    <w:rsid w:val="001E27F8"/>
    <w:rsid w:val="001E351A"/>
    <w:rsid w:val="001F1CA0"/>
    <w:rsid w:val="001F3126"/>
    <w:rsid w:val="001F7652"/>
    <w:rsid w:val="00203E9B"/>
    <w:rsid w:val="00207FF2"/>
    <w:rsid w:val="00210456"/>
    <w:rsid w:val="0021661B"/>
    <w:rsid w:val="0022134A"/>
    <w:rsid w:val="00221AC7"/>
    <w:rsid w:val="00221B7B"/>
    <w:rsid w:val="00222E88"/>
    <w:rsid w:val="00224892"/>
    <w:rsid w:val="0022596F"/>
    <w:rsid w:val="00231A16"/>
    <w:rsid w:val="00231EA7"/>
    <w:rsid w:val="00233976"/>
    <w:rsid w:val="00233DA4"/>
    <w:rsid w:val="002365A0"/>
    <w:rsid w:val="002365E0"/>
    <w:rsid w:val="002370B9"/>
    <w:rsid w:val="00240B6E"/>
    <w:rsid w:val="00243C9D"/>
    <w:rsid w:val="00244E67"/>
    <w:rsid w:val="00245733"/>
    <w:rsid w:val="00245FE3"/>
    <w:rsid w:val="00246075"/>
    <w:rsid w:val="0024745F"/>
    <w:rsid w:val="00250037"/>
    <w:rsid w:val="0025091F"/>
    <w:rsid w:val="00250CBD"/>
    <w:rsid w:val="00251B94"/>
    <w:rsid w:val="002540E3"/>
    <w:rsid w:val="00257C65"/>
    <w:rsid w:val="002613B8"/>
    <w:rsid w:val="00264A70"/>
    <w:rsid w:val="00267B2A"/>
    <w:rsid w:val="00270BE8"/>
    <w:rsid w:val="00270DAD"/>
    <w:rsid w:val="00271B1B"/>
    <w:rsid w:val="00271C6C"/>
    <w:rsid w:val="0027353A"/>
    <w:rsid w:val="00275251"/>
    <w:rsid w:val="00281F8C"/>
    <w:rsid w:val="00283A20"/>
    <w:rsid w:val="00283E16"/>
    <w:rsid w:val="0028510D"/>
    <w:rsid w:val="002855F7"/>
    <w:rsid w:val="00292C76"/>
    <w:rsid w:val="00294488"/>
    <w:rsid w:val="00297A9C"/>
    <w:rsid w:val="002A3F48"/>
    <w:rsid w:val="002A45CD"/>
    <w:rsid w:val="002A4FD6"/>
    <w:rsid w:val="002A5686"/>
    <w:rsid w:val="002A7CB7"/>
    <w:rsid w:val="002A7CD4"/>
    <w:rsid w:val="002B0652"/>
    <w:rsid w:val="002B24BD"/>
    <w:rsid w:val="002B3BFD"/>
    <w:rsid w:val="002B563C"/>
    <w:rsid w:val="002B6393"/>
    <w:rsid w:val="002B64CE"/>
    <w:rsid w:val="002B6C1D"/>
    <w:rsid w:val="002C0816"/>
    <w:rsid w:val="002C7D7C"/>
    <w:rsid w:val="002D4965"/>
    <w:rsid w:val="002D59D6"/>
    <w:rsid w:val="002D6A95"/>
    <w:rsid w:val="002D72AA"/>
    <w:rsid w:val="002E6594"/>
    <w:rsid w:val="002F08C9"/>
    <w:rsid w:val="002F45CE"/>
    <w:rsid w:val="002F7B8F"/>
    <w:rsid w:val="003025F1"/>
    <w:rsid w:val="003032FC"/>
    <w:rsid w:val="00304A57"/>
    <w:rsid w:val="003111B9"/>
    <w:rsid w:val="00315F21"/>
    <w:rsid w:val="00320AEB"/>
    <w:rsid w:val="003211A5"/>
    <w:rsid w:val="00323AAA"/>
    <w:rsid w:val="00327F0F"/>
    <w:rsid w:val="003309B0"/>
    <w:rsid w:val="0033255F"/>
    <w:rsid w:val="00332907"/>
    <w:rsid w:val="00335E1A"/>
    <w:rsid w:val="00335F35"/>
    <w:rsid w:val="0033715E"/>
    <w:rsid w:val="00341178"/>
    <w:rsid w:val="003421A2"/>
    <w:rsid w:val="0034439B"/>
    <w:rsid w:val="003444C7"/>
    <w:rsid w:val="003454E1"/>
    <w:rsid w:val="0034560E"/>
    <w:rsid w:val="00347772"/>
    <w:rsid w:val="0035386A"/>
    <w:rsid w:val="0035464A"/>
    <w:rsid w:val="00355C51"/>
    <w:rsid w:val="00357BD7"/>
    <w:rsid w:val="00360A71"/>
    <w:rsid w:val="00370F15"/>
    <w:rsid w:val="00372255"/>
    <w:rsid w:val="00376149"/>
    <w:rsid w:val="003852F6"/>
    <w:rsid w:val="00386238"/>
    <w:rsid w:val="0039089C"/>
    <w:rsid w:val="00391BEF"/>
    <w:rsid w:val="003A1518"/>
    <w:rsid w:val="003A4B22"/>
    <w:rsid w:val="003B1726"/>
    <w:rsid w:val="003B2686"/>
    <w:rsid w:val="003B2806"/>
    <w:rsid w:val="003B6BB4"/>
    <w:rsid w:val="003C1472"/>
    <w:rsid w:val="003C1D24"/>
    <w:rsid w:val="003D00E8"/>
    <w:rsid w:val="003D0E77"/>
    <w:rsid w:val="003D1ECA"/>
    <w:rsid w:val="003D3A42"/>
    <w:rsid w:val="003E0EB3"/>
    <w:rsid w:val="003E57B6"/>
    <w:rsid w:val="003E6322"/>
    <w:rsid w:val="003F051D"/>
    <w:rsid w:val="003F214A"/>
    <w:rsid w:val="003F642A"/>
    <w:rsid w:val="003F6DAB"/>
    <w:rsid w:val="003F7B0C"/>
    <w:rsid w:val="0040167A"/>
    <w:rsid w:val="00404292"/>
    <w:rsid w:val="004050E2"/>
    <w:rsid w:val="00406D5C"/>
    <w:rsid w:val="00407135"/>
    <w:rsid w:val="00411D1D"/>
    <w:rsid w:val="004164D9"/>
    <w:rsid w:val="0041777A"/>
    <w:rsid w:val="00420E7F"/>
    <w:rsid w:val="00423FAF"/>
    <w:rsid w:val="004265DF"/>
    <w:rsid w:val="00427636"/>
    <w:rsid w:val="00430131"/>
    <w:rsid w:val="0043166F"/>
    <w:rsid w:val="004369E2"/>
    <w:rsid w:val="0044038F"/>
    <w:rsid w:val="00443088"/>
    <w:rsid w:val="00447E51"/>
    <w:rsid w:val="00454610"/>
    <w:rsid w:val="00455A3F"/>
    <w:rsid w:val="0046056A"/>
    <w:rsid w:val="00461653"/>
    <w:rsid w:val="00462747"/>
    <w:rsid w:val="00464D8B"/>
    <w:rsid w:val="00465C78"/>
    <w:rsid w:val="00467231"/>
    <w:rsid w:val="0047012E"/>
    <w:rsid w:val="00471D9A"/>
    <w:rsid w:val="00472CCF"/>
    <w:rsid w:val="00472D33"/>
    <w:rsid w:val="00483A24"/>
    <w:rsid w:val="00483F70"/>
    <w:rsid w:val="004841BB"/>
    <w:rsid w:val="00485C78"/>
    <w:rsid w:val="00490180"/>
    <w:rsid w:val="00491977"/>
    <w:rsid w:val="00492A6E"/>
    <w:rsid w:val="0049672E"/>
    <w:rsid w:val="00497DE0"/>
    <w:rsid w:val="004A086D"/>
    <w:rsid w:val="004A0FDB"/>
    <w:rsid w:val="004A24BE"/>
    <w:rsid w:val="004A3C86"/>
    <w:rsid w:val="004A541B"/>
    <w:rsid w:val="004A62B5"/>
    <w:rsid w:val="004A7327"/>
    <w:rsid w:val="004B0390"/>
    <w:rsid w:val="004C0111"/>
    <w:rsid w:val="004C04A2"/>
    <w:rsid w:val="004C11E7"/>
    <w:rsid w:val="004C430B"/>
    <w:rsid w:val="004C52F4"/>
    <w:rsid w:val="004C75CC"/>
    <w:rsid w:val="004D2E2F"/>
    <w:rsid w:val="004D763F"/>
    <w:rsid w:val="004E0B62"/>
    <w:rsid w:val="004E2829"/>
    <w:rsid w:val="004E2A51"/>
    <w:rsid w:val="004F0A67"/>
    <w:rsid w:val="004F1337"/>
    <w:rsid w:val="004F2745"/>
    <w:rsid w:val="004F28CE"/>
    <w:rsid w:val="004F2BC7"/>
    <w:rsid w:val="004F49F3"/>
    <w:rsid w:val="004F6303"/>
    <w:rsid w:val="004F6329"/>
    <w:rsid w:val="004F7888"/>
    <w:rsid w:val="005014AF"/>
    <w:rsid w:val="005019BA"/>
    <w:rsid w:val="00503AD8"/>
    <w:rsid w:val="00507483"/>
    <w:rsid w:val="00512809"/>
    <w:rsid w:val="0051597A"/>
    <w:rsid w:val="00516EF2"/>
    <w:rsid w:val="00520740"/>
    <w:rsid w:val="00522027"/>
    <w:rsid w:val="0052302B"/>
    <w:rsid w:val="00523DCF"/>
    <w:rsid w:val="0052756A"/>
    <w:rsid w:val="00530355"/>
    <w:rsid w:val="0053312E"/>
    <w:rsid w:val="00534180"/>
    <w:rsid w:val="0053499D"/>
    <w:rsid w:val="005407A8"/>
    <w:rsid w:val="0054316A"/>
    <w:rsid w:val="00543C47"/>
    <w:rsid w:val="00544C0C"/>
    <w:rsid w:val="00544C90"/>
    <w:rsid w:val="005454A5"/>
    <w:rsid w:val="00556A8A"/>
    <w:rsid w:val="005634F0"/>
    <w:rsid w:val="005707B8"/>
    <w:rsid w:val="005715ED"/>
    <w:rsid w:val="005727FC"/>
    <w:rsid w:val="00574A4D"/>
    <w:rsid w:val="00577A42"/>
    <w:rsid w:val="0058121B"/>
    <w:rsid w:val="005834D2"/>
    <w:rsid w:val="00584164"/>
    <w:rsid w:val="00584D6A"/>
    <w:rsid w:val="005872F2"/>
    <w:rsid w:val="00590D21"/>
    <w:rsid w:val="00591F0B"/>
    <w:rsid w:val="00592434"/>
    <w:rsid w:val="0059364F"/>
    <w:rsid w:val="005953A2"/>
    <w:rsid w:val="005A3B89"/>
    <w:rsid w:val="005A67BD"/>
    <w:rsid w:val="005A794B"/>
    <w:rsid w:val="005A7D91"/>
    <w:rsid w:val="005B1835"/>
    <w:rsid w:val="005B2375"/>
    <w:rsid w:val="005C068C"/>
    <w:rsid w:val="005C2644"/>
    <w:rsid w:val="005C3745"/>
    <w:rsid w:val="005C624F"/>
    <w:rsid w:val="005D0AAC"/>
    <w:rsid w:val="005D3D88"/>
    <w:rsid w:val="005D3E76"/>
    <w:rsid w:val="005D42C3"/>
    <w:rsid w:val="005D4E5A"/>
    <w:rsid w:val="005D5EB1"/>
    <w:rsid w:val="005D61B4"/>
    <w:rsid w:val="005E044E"/>
    <w:rsid w:val="005E0754"/>
    <w:rsid w:val="005E3801"/>
    <w:rsid w:val="005E7A1A"/>
    <w:rsid w:val="005F0359"/>
    <w:rsid w:val="005F20B2"/>
    <w:rsid w:val="005F4E40"/>
    <w:rsid w:val="005F6597"/>
    <w:rsid w:val="00600256"/>
    <w:rsid w:val="00601DBA"/>
    <w:rsid w:val="00602149"/>
    <w:rsid w:val="006038CA"/>
    <w:rsid w:val="00603A2C"/>
    <w:rsid w:val="00606FB5"/>
    <w:rsid w:val="006076D4"/>
    <w:rsid w:val="00607985"/>
    <w:rsid w:val="00611598"/>
    <w:rsid w:val="00613251"/>
    <w:rsid w:val="0061329B"/>
    <w:rsid w:val="00614F79"/>
    <w:rsid w:val="00616632"/>
    <w:rsid w:val="00617D36"/>
    <w:rsid w:val="006201BD"/>
    <w:rsid w:val="00624AC3"/>
    <w:rsid w:val="006336DF"/>
    <w:rsid w:val="0063502E"/>
    <w:rsid w:val="0063655F"/>
    <w:rsid w:val="00636EEE"/>
    <w:rsid w:val="00637716"/>
    <w:rsid w:val="006430D4"/>
    <w:rsid w:val="00643439"/>
    <w:rsid w:val="00644527"/>
    <w:rsid w:val="00645B47"/>
    <w:rsid w:val="00647AAC"/>
    <w:rsid w:val="006523DD"/>
    <w:rsid w:val="00654EE0"/>
    <w:rsid w:val="00656584"/>
    <w:rsid w:val="00657B63"/>
    <w:rsid w:val="00657C63"/>
    <w:rsid w:val="006641FC"/>
    <w:rsid w:val="00666CF7"/>
    <w:rsid w:val="006679DE"/>
    <w:rsid w:val="00671B7A"/>
    <w:rsid w:val="00672717"/>
    <w:rsid w:val="00675E35"/>
    <w:rsid w:val="00680D7D"/>
    <w:rsid w:val="00680DE3"/>
    <w:rsid w:val="006817FE"/>
    <w:rsid w:val="00684491"/>
    <w:rsid w:val="00684633"/>
    <w:rsid w:val="00685255"/>
    <w:rsid w:val="00690654"/>
    <w:rsid w:val="00690B61"/>
    <w:rsid w:val="00691400"/>
    <w:rsid w:val="0069200B"/>
    <w:rsid w:val="00692041"/>
    <w:rsid w:val="00694FC4"/>
    <w:rsid w:val="00695233"/>
    <w:rsid w:val="00696350"/>
    <w:rsid w:val="006974DB"/>
    <w:rsid w:val="006A2F6B"/>
    <w:rsid w:val="006A621C"/>
    <w:rsid w:val="006A65CD"/>
    <w:rsid w:val="006A7070"/>
    <w:rsid w:val="006B2D67"/>
    <w:rsid w:val="006C44AA"/>
    <w:rsid w:val="006C475D"/>
    <w:rsid w:val="006C4956"/>
    <w:rsid w:val="006C71B5"/>
    <w:rsid w:val="006C7386"/>
    <w:rsid w:val="006C7C81"/>
    <w:rsid w:val="006D02E8"/>
    <w:rsid w:val="006D1FCB"/>
    <w:rsid w:val="006D348B"/>
    <w:rsid w:val="006D3CC7"/>
    <w:rsid w:val="006D6054"/>
    <w:rsid w:val="006E2FE7"/>
    <w:rsid w:val="006F0AD6"/>
    <w:rsid w:val="006F37F0"/>
    <w:rsid w:val="006F4C10"/>
    <w:rsid w:val="00702B4D"/>
    <w:rsid w:val="007061A2"/>
    <w:rsid w:val="00710E40"/>
    <w:rsid w:val="00711BB9"/>
    <w:rsid w:val="00712CCC"/>
    <w:rsid w:val="007133A5"/>
    <w:rsid w:val="0071497F"/>
    <w:rsid w:val="007158D2"/>
    <w:rsid w:val="00715C83"/>
    <w:rsid w:val="00723A85"/>
    <w:rsid w:val="0073234D"/>
    <w:rsid w:val="0073429A"/>
    <w:rsid w:val="00734982"/>
    <w:rsid w:val="007366F0"/>
    <w:rsid w:val="007375BC"/>
    <w:rsid w:val="00740573"/>
    <w:rsid w:val="00743001"/>
    <w:rsid w:val="00744EC3"/>
    <w:rsid w:val="00751BCD"/>
    <w:rsid w:val="007536BE"/>
    <w:rsid w:val="00753953"/>
    <w:rsid w:val="00756703"/>
    <w:rsid w:val="007609B6"/>
    <w:rsid w:val="00761E45"/>
    <w:rsid w:val="0076229F"/>
    <w:rsid w:val="00762A3D"/>
    <w:rsid w:val="00763FA3"/>
    <w:rsid w:val="007663CB"/>
    <w:rsid w:val="00767B6A"/>
    <w:rsid w:val="0077242F"/>
    <w:rsid w:val="00773BC6"/>
    <w:rsid w:val="00777834"/>
    <w:rsid w:val="00785257"/>
    <w:rsid w:val="007872AD"/>
    <w:rsid w:val="007905F9"/>
    <w:rsid w:val="00796E96"/>
    <w:rsid w:val="007A1AD1"/>
    <w:rsid w:val="007A1D0E"/>
    <w:rsid w:val="007A3D3E"/>
    <w:rsid w:val="007A7D42"/>
    <w:rsid w:val="007B234A"/>
    <w:rsid w:val="007B248E"/>
    <w:rsid w:val="007B3E70"/>
    <w:rsid w:val="007B58D0"/>
    <w:rsid w:val="007B5FE8"/>
    <w:rsid w:val="007B62EE"/>
    <w:rsid w:val="007B7ACB"/>
    <w:rsid w:val="007C61A3"/>
    <w:rsid w:val="007D1E52"/>
    <w:rsid w:val="007D7069"/>
    <w:rsid w:val="007D71C4"/>
    <w:rsid w:val="007E1919"/>
    <w:rsid w:val="007E244E"/>
    <w:rsid w:val="007E33E4"/>
    <w:rsid w:val="007E4138"/>
    <w:rsid w:val="007E44E9"/>
    <w:rsid w:val="007E6473"/>
    <w:rsid w:val="007E6EB6"/>
    <w:rsid w:val="007F36E6"/>
    <w:rsid w:val="007F5954"/>
    <w:rsid w:val="00801629"/>
    <w:rsid w:val="00803171"/>
    <w:rsid w:val="00803196"/>
    <w:rsid w:val="00806C96"/>
    <w:rsid w:val="00811505"/>
    <w:rsid w:val="00811876"/>
    <w:rsid w:val="0081544B"/>
    <w:rsid w:val="00816E73"/>
    <w:rsid w:val="008209E3"/>
    <w:rsid w:val="00824A45"/>
    <w:rsid w:val="00827E72"/>
    <w:rsid w:val="008305AF"/>
    <w:rsid w:val="00830616"/>
    <w:rsid w:val="008368C2"/>
    <w:rsid w:val="0084005A"/>
    <w:rsid w:val="00841A86"/>
    <w:rsid w:val="00842D21"/>
    <w:rsid w:val="00843024"/>
    <w:rsid w:val="00843FFB"/>
    <w:rsid w:val="008457F3"/>
    <w:rsid w:val="008461D7"/>
    <w:rsid w:val="008475B7"/>
    <w:rsid w:val="00847ADF"/>
    <w:rsid w:val="00851027"/>
    <w:rsid w:val="00853A57"/>
    <w:rsid w:val="00855D19"/>
    <w:rsid w:val="00856061"/>
    <w:rsid w:val="00857CCA"/>
    <w:rsid w:val="008601F4"/>
    <w:rsid w:val="00860C3E"/>
    <w:rsid w:val="008625E8"/>
    <w:rsid w:val="0086466E"/>
    <w:rsid w:val="00864885"/>
    <w:rsid w:val="00865FE6"/>
    <w:rsid w:val="00867BAF"/>
    <w:rsid w:val="00872D50"/>
    <w:rsid w:val="008744B1"/>
    <w:rsid w:val="008758DF"/>
    <w:rsid w:val="008766CB"/>
    <w:rsid w:val="008775E1"/>
    <w:rsid w:val="00880D4A"/>
    <w:rsid w:val="00880EE7"/>
    <w:rsid w:val="00881129"/>
    <w:rsid w:val="008825CE"/>
    <w:rsid w:val="008842CF"/>
    <w:rsid w:val="0088656B"/>
    <w:rsid w:val="00886F7F"/>
    <w:rsid w:val="00887432"/>
    <w:rsid w:val="00896AF5"/>
    <w:rsid w:val="00897829"/>
    <w:rsid w:val="008A3E2F"/>
    <w:rsid w:val="008A4FAE"/>
    <w:rsid w:val="008B147F"/>
    <w:rsid w:val="008B2681"/>
    <w:rsid w:val="008B270E"/>
    <w:rsid w:val="008B621D"/>
    <w:rsid w:val="008B7675"/>
    <w:rsid w:val="008C02B9"/>
    <w:rsid w:val="008C32A2"/>
    <w:rsid w:val="008C6D60"/>
    <w:rsid w:val="008C7569"/>
    <w:rsid w:val="008D0C0F"/>
    <w:rsid w:val="008D19FC"/>
    <w:rsid w:val="008D27EC"/>
    <w:rsid w:val="008D2816"/>
    <w:rsid w:val="008D50ED"/>
    <w:rsid w:val="008D5572"/>
    <w:rsid w:val="008D5953"/>
    <w:rsid w:val="008E1A9A"/>
    <w:rsid w:val="008E2296"/>
    <w:rsid w:val="008E4491"/>
    <w:rsid w:val="008F1353"/>
    <w:rsid w:val="008F1E9E"/>
    <w:rsid w:val="008F2901"/>
    <w:rsid w:val="008F58B4"/>
    <w:rsid w:val="008F6069"/>
    <w:rsid w:val="008F7BDF"/>
    <w:rsid w:val="00905552"/>
    <w:rsid w:val="00912B4D"/>
    <w:rsid w:val="00913BFD"/>
    <w:rsid w:val="0091483A"/>
    <w:rsid w:val="00916575"/>
    <w:rsid w:val="00917854"/>
    <w:rsid w:val="00920E5E"/>
    <w:rsid w:val="00922585"/>
    <w:rsid w:val="00922AD1"/>
    <w:rsid w:val="009373FF"/>
    <w:rsid w:val="0094128E"/>
    <w:rsid w:val="00943EC5"/>
    <w:rsid w:val="00950CB8"/>
    <w:rsid w:val="00953C89"/>
    <w:rsid w:val="009566C6"/>
    <w:rsid w:val="00964E76"/>
    <w:rsid w:val="00966D6A"/>
    <w:rsid w:val="00970C89"/>
    <w:rsid w:val="00973048"/>
    <w:rsid w:val="00973F78"/>
    <w:rsid w:val="00975764"/>
    <w:rsid w:val="0097791F"/>
    <w:rsid w:val="00983891"/>
    <w:rsid w:val="00987163"/>
    <w:rsid w:val="00990E19"/>
    <w:rsid w:val="00990E1C"/>
    <w:rsid w:val="00994352"/>
    <w:rsid w:val="009A0001"/>
    <w:rsid w:val="009A2FC2"/>
    <w:rsid w:val="009A326F"/>
    <w:rsid w:val="009B0321"/>
    <w:rsid w:val="009B47EA"/>
    <w:rsid w:val="009B6565"/>
    <w:rsid w:val="009C1177"/>
    <w:rsid w:val="009C1684"/>
    <w:rsid w:val="009C1D91"/>
    <w:rsid w:val="009C27F0"/>
    <w:rsid w:val="009C2BA6"/>
    <w:rsid w:val="009C38C3"/>
    <w:rsid w:val="009C3DDF"/>
    <w:rsid w:val="009C4487"/>
    <w:rsid w:val="009D02E0"/>
    <w:rsid w:val="009D1101"/>
    <w:rsid w:val="009D24D4"/>
    <w:rsid w:val="009D627C"/>
    <w:rsid w:val="009D689E"/>
    <w:rsid w:val="009E1E2E"/>
    <w:rsid w:val="009E4A46"/>
    <w:rsid w:val="009E564D"/>
    <w:rsid w:val="009F09FD"/>
    <w:rsid w:val="009F1650"/>
    <w:rsid w:val="009F4912"/>
    <w:rsid w:val="009F5120"/>
    <w:rsid w:val="009F6EA2"/>
    <w:rsid w:val="009F7412"/>
    <w:rsid w:val="00A02EEF"/>
    <w:rsid w:val="00A03469"/>
    <w:rsid w:val="00A05724"/>
    <w:rsid w:val="00A07026"/>
    <w:rsid w:val="00A124B9"/>
    <w:rsid w:val="00A17319"/>
    <w:rsid w:val="00A24407"/>
    <w:rsid w:val="00A268E2"/>
    <w:rsid w:val="00A30220"/>
    <w:rsid w:val="00A30B11"/>
    <w:rsid w:val="00A31006"/>
    <w:rsid w:val="00A40F13"/>
    <w:rsid w:val="00A41C05"/>
    <w:rsid w:val="00A5025F"/>
    <w:rsid w:val="00A510E1"/>
    <w:rsid w:val="00A579B1"/>
    <w:rsid w:val="00A6216F"/>
    <w:rsid w:val="00A646D7"/>
    <w:rsid w:val="00A66950"/>
    <w:rsid w:val="00A6702C"/>
    <w:rsid w:val="00A75B7E"/>
    <w:rsid w:val="00A812B3"/>
    <w:rsid w:val="00A8688F"/>
    <w:rsid w:val="00A8691A"/>
    <w:rsid w:val="00A907B9"/>
    <w:rsid w:val="00A90AA0"/>
    <w:rsid w:val="00A90D54"/>
    <w:rsid w:val="00A970E8"/>
    <w:rsid w:val="00AA5E70"/>
    <w:rsid w:val="00AA7364"/>
    <w:rsid w:val="00AB06E4"/>
    <w:rsid w:val="00AB3215"/>
    <w:rsid w:val="00AB3248"/>
    <w:rsid w:val="00AB357B"/>
    <w:rsid w:val="00AB731C"/>
    <w:rsid w:val="00AB7900"/>
    <w:rsid w:val="00AC103C"/>
    <w:rsid w:val="00AC7958"/>
    <w:rsid w:val="00AD0E95"/>
    <w:rsid w:val="00AD13C4"/>
    <w:rsid w:val="00AD6959"/>
    <w:rsid w:val="00AD73EE"/>
    <w:rsid w:val="00AE2BD6"/>
    <w:rsid w:val="00AE45DB"/>
    <w:rsid w:val="00AE554A"/>
    <w:rsid w:val="00AE55C6"/>
    <w:rsid w:val="00AE6B55"/>
    <w:rsid w:val="00AF04BE"/>
    <w:rsid w:val="00AF341C"/>
    <w:rsid w:val="00AF38AE"/>
    <w:rsid w:val="00AF69CD"/>
    <w:rsid w:val="00AF6F7D"/>
    <w:rsid w:val="00AF7217"/>
    <w:rsid w:val="00AF78F9"/>
    <w:rsid w:val="00B02725"/>
    <w:rsid w:val="00B051B5"/>
    <w:rsid w:val="00B11D24"/>
    <w:rsid w:val="00B177AF"/>
    <w:rsid w:val="00B1797E"/>
    <w:rsid w:val="00B20345"/>
    <w:rsid w:val="00B25DCC"/>
    <w:rsid w:val="00B27271"/>
    <w:rsid w:val="00B279AF"/>
    <w:rsid w:val="00B30E06"/>
    <w:rsid w:val="00B35FE8"/>
    <w:rsid w:val="00B372E9"/>
    <w:rsid w:val="00B4362D"/>
    <w:rsid w:val="00B44DD5"/>
    <w:rsid w:val="00B45BD6"/>
    <w:rsid w:val="00B45D5C"/>
    <w:rsid w:val="00B52B74"/>
    <w:rsid w:val="00B55945"/>
    <w:rsid w:val="00B57496"/>
    <w:rsid w:val="00B63BB1"/>
    <w:rsid w:val="00B64CF6"/>
    <w:rsid w:val="00B67535"/>
    <w:rsid w:val="00B71DD0"/>
    <w:rsid w:val="00B72132"/>
    <w:rsid w:val="00B731D6"/>
    <w:rsid w:val="00B738AB"/>
    <w:rsid w:val="00B7725C"/>
    <w:rsid w:val="00B77C41"/>
    <w:rsid w:val="00B77DF2"/>
    <w:rsid w:val="00B81669"/>
    <w:rsid w:val="00B81B0B"/>
    <w:rsid w:val="00B81F59"/>
    <w:rsid w:val="00B855A0"/>
    <w:rsid w:val="00B90399"/>
    <w:rsid w:val="00B907B5"/>
    <w:rsid w:val="00B90CA6"/>
    <w:rsid w:val="00BA0ABF"/>
    <w:rsid w:val="00BA6540"/>
    <w:rsid w:val="00BA6DA0"/>
    <w:rsid w:val="00BB110E"/>
    <w:rsid w:val="00BB2BCE"/>
    <w:rsid w:val="00BB3B47"/>
    <w:rsid w:val="00BC294E"/>
    <w:rsid w:val="00BC4503"/>
    <w:rsid w:val="00BC4C90"/>
    <w:rsid w:val="00BC5961"/>
    <w:rsid w:val="00BC5F53"/>
    <w:rsid w:val="00BC78C6"/>
    <w:rsid w:val="00BD125E"/>
    <w:rsid w:val="00BD7A50"/>
    <w:rsid w:val="00BE0046"/>
    <w:rsid w:val="00BE37F4"/>
    <w:rsid w:val="00BE3CED"/>
    <w:rsid w:val="00BE6447"/>
    <w:rsid w:val="00C01D97"/>
    <w:rsid w:val="00C021AB"/>
    <w:rsid w:val="00C06C03"/>
    <w:rsid w:val="00C07F6B"/>
    <w:rsid w:val="00C12149"/>
    <w:rsid w:val="00C14E22"/>
    <w:rsid w:val="00C15176"/>
    <w:rsid w:val="00C22743"/>
    <w:rsid w:val="00C2355E"/>
    <w:rsid w:val="00C245F1"/>
    <w:rsid w:val="00C24D5E"/>
    <w:rsid w:val="00C2506B"/>
    <w:rsid w:val="00C25837"/>
    <w:rsid w:val="00C25E05"/>
    <w:rsid w:val="00C3062B"/>
    <w:rsid w:val="00C35BDD"/>
    <w:rsid w:val="00C37063"/>
    <w:rsid w:val="00C40AAB"/>
    <w:rsid w:val="00C41773"/>
    <w:rsid w:val="00C5028F"/>
    <w:rsid w:val="00C5264A"/>
    <w:rsid w:val="00C52947"/>
    <w:rsid w:val="00C571F0"/>
    <w:rsid w:val="00C57A17"/>
    <w:rsid w:val="00C669E0"/>
    <w:rsid w:val="00C67367"/>
    <w:rsid w:val="00C74EA0"/>
    <w:rsid w:val="00C777EA"/>
    <w:rsid w:val="00C846FE"/>
    <w:rsid w:val="00C85772"/>
    <w:rsid w:val="00C85F4A"/>
    <w:rsid w:val="00C902A0"/>
    <w:rsid w:val="00C90538"/>
    <w:rsid w:val="00C910C5"/>
    <w:rsid w:val="00C92413"/>
    <w:rsid w:val="00C957FC"/>
    <w:rsid w:val="00CA0FAC"/>
    <w:rsid w:val="00CA17BD"/>
    <w:rsid w:val="00CA18E0"/>
    <w:rsid w:val="00CA2626"/>
    <w:rsid w:val="00CA4D7F"/>
    <w:rsid w:val="00CA667A"/>
    <w:rsid w:val="00CA79D7"/>
    <w:rsid w:val="00CA7DB1"/>
    <w:rsid w:val="00CB0EAA"/>
    <w:rsid w:val="00CC115C"/>
    <w:rsid w:val="00CC2285"/>
    <w:rsid w:val="00CC7B1C"/>
    <w:rsid w:val="00CD39E4"/>
    <w:rsid w:val="00CD4D3F"/>
    <w:rsid w:val="00CE086C"/>
    <w:rsid w:val="00CE115B"/>
    <w:rsid w:val="00CE2019"/>
    <w:rsid w:val="00CF3695"/>
    <w:rsid w:val="00CF4C68"/>
    <w:rsid w:val="00CF77B1"/>
    <w:rsid w:val="00CF7DA5"/>
    <w:rsid w:val="00D0460C"/>
    <w:rsid w:val="00D072F8"/>
    <w:rsid w:val="00D14BBD"/>
    <w:rsid w:val="00D15128"/>
    <w:rsid w:val="00D167F3"/>
    <w:rsid w:val="00D2164C"/>
    <w:rsid w:val="00D2315A"/>
    <w:rsid w:val="00D23360"/>
    <w:rsid w:val="00D242D4"/>
    <w:rsid w:val="00D252A2"/>
    <w:rsid w:val="00D32A44"/>
    <w:rsid w:val="00D335B8"/>
    <w:rsid w:val="00D356F8"/>
    <w:rsid w:val="00D35BDC"/>
    <w:rsid w:val="00D36B8A"/>
    <w:rsid w:val="00D425F2"/>
    <w:rsid w:val="00D44366"/>
    <w:rsid w:val="00D46B01"/>
    <w:rsid w:val="00D46D8B"/>
    <w:rsid w:val="00D50D5F"/>
    <w:rsid w:val="00D50FF0"/>
    <w:rsid w:val="00D5206D"/>
    <w:rsid w:val="00D54793"/>
    <w:rsid w:val="00D54DA9"/>
    <w:rsid w:val="00D56129"/>
    <w:rsid w:val="00D63B57"/>
    <w:rsid w:val="00D6454D"/>
    <w:rsid w:val="00D66537"/>
    <w:rsid w:val="00D66E00"/>
    <w:rsid w:val="00D71CB1"/>
    <w:rsid w:val="00D7201B"/>
    <w:rsid w:val="00D83A1C"/>
    <w:rsid w:val="00D90059"/>
    <w:rsid w:val="00D92ADC"/>
    <w:rsid w:val="00D92BBC"/>
    <w:rsid w:val="00D935F2"/>
    <w:rsid w:val="00D93D0D"/>
    <w:rsid w:val="00D94D8E"/>
    <w:rsid w:val="00D97149"/>
    <w:rsid w:val="00D9764B"/>
    <w:rsid w:val="00DA3C53"/>
    <w:rsid w:val="00DA4EAD"/>
    <w:rsid w:val="00DA4F60"/>
    <w:rsid w:val="00DA589B"/>
    <w:rsid w:val="00DB262D"/>
    <w:rsid w:val="00DB4789"/>
    <w:rsid w:val="00DB7950"/>
    <w:rsid w:val="00DC37EB"/>
    <w:rsid w:val="00DC72FC"/>
    <w:rsid w:val="00DC7A9D"/>
    <w:rsid w:val="00DD1729"/>
    <w:rsid w:val="00DD3B24"/>
    <w:rsid w:val="00DD4D18"/>
    <w:rsid w:val="00DD77F0"/>
    <w:rsid w:val="00DD7C30"/>
    <w:rsid w:val="00DE1D89"/>
    <w:rsid w:val="00DE3AB8"/>
    <w:rsid w:val="00DE7B14"/>
    <w:rsid w:val="00DF21BD"/>
    <w:rsid w:val="00DF4DBC"/>
    <w:rsid w:val="00DF7443"/>
    <w:rsid w:val="00E00C0D"/>
    <w:rsid w:val="00E0422A"/>
    <w:rsid w:val="00E07054"/>
    <w:rsid w:val="00E07DBB"/>
    <w:rsid w:val="00E11BB0"/>
    <w:rsid w:val="00E142CF"/>
    <w:rsid w:val="00E17AD0"/>
    <w:rsid w:val="00E17BDF"/>
    <w:rsid w:val="00E201D9"/>
    <w:rsid w:val="00E219A1"/>
    <w:rsid w:val="00E24739"/>
    <w:rsid w:val="00E33DE0"/>
    <w:rsid w:val="00E402B2"/>
    <w:rsid w:val="00E408CB"/>
    <w:rsid w:val="00E41813"/>
    <w:rsid w:val="00E43E25"/>
    <w:rsid w:val="00E45068"/>
    <w:rsid w:val="00E45C31"/>
    <w:rsid w:val="00E46491"/>
    <w:rsid w:val="00E5122E"/>
    <w:rsid w:val="00E517B0"/>
    <w:rsid w:val="00E55E3E"/>
    <w:rsid w:val="00E5704B"/>
    <w:rsid w:val="00E773F0"/>
    <w:rsid w:val="00E7774B"/>
    <w:rsid w:val="00E83A9F"/>
    <w:rsid w:val="00E85295"/>
    <w:rsid w:val="00E87F27"/>
    <w:rsid w:val="00E90296"/>
    <w:rsid w:val="00E9178A"/>
    <w:rsid w:val="00E924A8"/>
    <w:rsid w:val="00E945A9"/>
    <w:rsid w:val="00EA0670"/>
    <w:rsid w:val="00EA27FC"/>
    <w:rsid w:val="00EA4797"/>
    <w:rsid w:val="00EA4EF9"/>
    <w:rsid w:val="00EA6B92"/>
    <w:rsid w:val="00EB1195"/>
    <w:rsid w:val="00EB25AD"/>
    <w:rsid w:val="00EB2EEC"/>
    <w:rsid w:val="00EB4C88"/>
    <w:rsid w:val="00EB6372"/>
    <w:rsid w:val="00EB73C6"/>
    <w:rsid w:val="00EC00E6"/>
    <w:rsid w:val="00EC37E3"/>
    <w:rsid w:val="00EC4603"/>
    <w:rsid w:val="00EC5299"/>
    <w:rsid w:val="00EC5563"/>
    <w:rsid w:val="00EC5856"/>
    <w:rsid w:val="00ED1214"/>
    <w:rsid w:val="00ED2BD5"/>
    <w:rsid w:val="00ED3649"/>
    <w:rsid w:val="00ED536E"/>
    <w:rsid w:val="00ED6863"/>
    <w:rsid w:val="00ED6ED6"/>
    <w:rsid w:val="00EE0481"/>
    <w:rsid w:val="00EE33EA"/>
    <w:rsid w:val="00EE6572"/>
    <w:rsid w:val="00EF7371"/>
    <w:rsid w:val="00F06F3B"/>
    <w:rsid w:val="00F126B3"/>
    <w:rsid w:val="00F13D85"/>
    <w:rsid w:val="00F15D39"/>
    <w:rsid w:val="00F16CC7"/>
    <w:rsid w:val="00F20FDC"/>
    <w:rsid w:val="00F21299"/>
    <w:rsid w:val="00F25A13"/>
    <w:rsid w:val="00F25CC7"/>
    <w:rsid w:val="00F34EF9"/>
    <w:rsid w:val="00F377E0"/>
    <w:rsid w:val="00F42EB9"/>
    <w:rsid w:val="00F454BD"/>
    <w:rsid w:val="00F466D1"/>
    <w:rsid w:val="00F47D40"/>
    <w:rsid w:val="00F50C87"/>
    <w:rsid w:val="00F523E6"/>
    <w:rsid w:val="00F52A2F"/>
    <w:rsid w:val="00F5718C"/>
    <w:rsid w:val="00F609E1"/>
    <w:rsid w:val="00F61204"/>
    <w:rsid w:val="00F61C00"/>
    <w:rsid w:val="00F61FA4"/>
    <w:rsid w:val="00F63BC2"/>
    <w:rsid w:val="00F64933"/>
    <w:rsid w:val="00F654E9"/>
    <w:rsid w:val="00F7097D"/>
    <w:rsid w:val="00F74177"/>
    <w:rsid w:val="00F765A9"/>
    <w:rsid w:val="00F8486E"/>
    <w:rsid w:val="00F84AF1"/>
    <w:rsid w:val="00F8709D"/>
    <w:rsid w:val="00F94E17"/>
    <w:rsid w:val="00F978CF"/>
    <w:rsid w:val="00F97F73"/>
    <w:rsid w:val="00FA30C8"/>
    <w:rsid w:val="00FA4212"/>
    <w:rsid w:val="00FB1141"/>
    <w:rsid w:val="00FB4899"/>
    <w:rsid w:val="00FB4EB0"/>
    <w:rsid w:val="00FB60F7"/>
    <w:rsid w:val="00FC666E"/>
    <w:rsid w:val="00FD1602"/>
    <w:rsid w:val="00FE089C"/>
    <w:rsid w:val="00FE09A9"/>
    <w:rsid w:val="00FE211E"/>
    <w:rsid w:val="00FE59C4"/>
    <w:rsid w:val="00FE6894"/>
    <w:rsid w:val="00FF5782"/>
    <w:rsid w:val="00FF7592"/>
    <w:rsid w:val="03C07D68"/>
    <w:rsid w:val="044BA4BE"/>
    <w:rsid w:val="0705F9A9"/>
    <w:rsid w:val="08068742"/>
    <w:rsid w:val="0C3EF2D5"/>
    <w:rsid w:val="0C509876"/>
    <w:rsid w:val="0C627A10"/>
    <w:rsid w:val="0CAF2103"/>
    <w:rsid w:val="128B507B"/>
    <w:rsid w:val="153CB00F"/>
    <w:rsid w:val="16C84D39"/>
    <w:rsid w:val="19AD9D54"/>
    <w:rsid w:val="20DE0190"/>
    <w:rsid w:val="211CB572"/>
    <w:rsid w:val="21BED139"/>
    <w:rsid w:val="2781E588"/>
    <w:rsid w:val="2CC6BC1C"/>
    <w:rsid w:val="2DB054E5"/>
    <w:rsid w:val="327D94BE"/>
    <w:rsid w:val="36E9C4F2"/>
    <w:rsid w:val="40A078DB"/>
    <w:rsid w:val="493927CC"/>
    <w:rsid w:val="5123645A"/>
    <w:rsid w:val="5253A930"/>
    <w:rsid w:val="530585AF"/>
    <w:rsid w:val="53878BFB"/>
    <w:rsid w:val="557FFCC5"/>
    <w:rsid w:val="5A7A36A0"/>
    <w:rsid w:val="5B6C5900"/>
    <w:rsid w:val="5D4235AE"/>
    <w:rsid w:val="5F01BF1E"/>
    <w:rsid w:val="5FC470E2"/>
    <w:rsid w:val="60140767"/>
    <w:rsid w:val="61E30ABC"/>
    <w:rsid w:val="6302480B"/>
    <w:rsid w:val="6EEDA9A6"/>
    <w:rsid w:val="6F4413A7"/>
    <w:rsid w:val="6F81CCB0"/>
    <w:rsid w:val="720A8A41"/>
    <w:rsid w:val="7293D2A4"/>
    <w:rsid w:val="73042BEC"/>
    <w:rsid w:val="7331A60A"/>
    <w:rsid w:val="7539C9F6"/>
    <w:rsid w:val="7E82F1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5D94"/>
  <w15:docId w15:val="{F6B92D65-C8F5-462E-9585-5D01E915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DF744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basedOn w:val="Normal"/>
    <w:link w:val="Heading3Char"/>
    <w:uiPriority w:val="5"/>
    <w:qFormat/>
    <w:rsid w:val="00472CCF"/>
    <w:pPr>
      <w:keepNext/>
      <w:spacing w:before="300" w:after="60"/>
      <w:outlineLvl w:val="2"/>
    </w:pPr>
    <w:rPr>
      <w:rFonts w:cs="Arial"/>
      <w:color w:val="005EB8" w:themeColor="text2"/>
      <w:kern w:val="28"/>
      <w:sz w:val="28"/>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472CCF"/>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BE3CED"/>
    <w:pPr>
      <w:numPr>
        <w:numId w:val="1"/>
      </w:numPr>
      <w:autoSpaceDE w:val="0"/>
      <w:autoSpaceDN w:val="0"/>
      <w:adjustRightInd w:val="0"/>
      <w:spacing w:after="240"/>
      <w:ind w:left="1208"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BE3CED"/>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B90399"/>
    <w:pPr>
      <w:tabs>
        <w:tab w:val="right" w:pos="9854"/>
      </w:tabs>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numbering" w:styleId="111111">
    <w:name w:val="Outline List 2"/>
    <w:basedOn w:val="NoList"/>
    <w:uiPriority w:val="99"/>
    <w:semiHidden/>
    <w:unhideWhenUsed/>
    <w:rsid w:val="009C2BA6"/>
    <w:pPr>
      <w:numPr>
        <w:numId w:val="4"/>
      </w:numPr>
    </w:pPr>
  </w:style>
  <w:style w:type="paragraph" w:styleId="FootnoteText">
    <w:name w:val="footnote text"/>
    <w:basedOn w:val="Normal"/>
    <w:link w:val="FootnoteTextChar"/>
    <w:uiPriority w:val="99"/>
    <w:unhideWhenUsed/>
    <w:rsid w:val="009C2BA6"/>
    <w:pPr>
      <w:spacing w:after="0" w:line="240" w:lineRule="auto"/>
      <w:textboxTightWrap w:val="none"/>
    </w:pPr>
    <w:rPr>
      <w:rFonts w:eastAsiaTheme="minorHAnsi" w:cstheme="minorBidi"/>
      <w:color w:val="auto"/>
      <w:sz w:val="20"/>
      <w:szCs w:val="20"/>
    </w:rPr>
  </w:style>
  <w:style w:type="character" w:customStyle="1" w:styleId="FootnoteTextChar">
    <w:name w:val="Footnote Text Char"/>
    <w:basedOn w:val="DefaultParagraphFont"/>
    <w:link w:val="FootnoteText"/>
    <w:uiPriority w:val="99"/>
    <w:rsid w:val="009C2BA6"/>
    <w:rPr>
      <w:rFonts w:ascii="Arial" w:eastAsiaTheme="minorHAnsi" w:hAnsi="Arial" w:cstheme="minorBidi"/>
    </w:rPr>
  </w:style>
  <w:style w:type="character" w:styleId="UnresolvedMention">
    <w:name w:val="Unresolved Mention"/>
    <w:basedOn w:val="DefaultParagraphFont"/>
    <w:uiPriority w:val="99"/>
    <w:semiHidden/>
    <w:unhideWhenUsed/>
    <w:rsid w:val="009C2BA6"/>
    <w:rPr>
      <w:color w:val="605E5C"/>
      <w:shd w:val="clear" w:color="auto" w:fill="E1DFDD"/>
    </w:rPr>
  </w:style>
  <w:style w:type="paragraph" w:customStyle="1" w:styleId="3digitpara">
    <w:name w:val="3 digit para"/>
    <w:basedOn w:val="Normal"/>
    <w:link w:val="3digitparaChar"/>
    <w:qFormat/>
    <w:rsid w:val="004C52F4"/>
    <w:pPr>
      <w:numPr>
        <w:ilvl w:val="7"/>
        <w:numId w:val="3"/>
      </w:numPr>
      <w:spacing w:after="160"/>
    </w:pPr>
    <w:rPr>
      <w:bCs/>
    </w:rPr>
  </w:style>
  <w:style w:type="character" w:customStyle="1" w:styleId="3digitparaChar">
    <w:name w:val="3 digit para Char"/>
    <w:basedOn w:val="DefaultParagraphFont"/>
    <w:link w:val="3digitpara"/>
    <w:rsid w:val="004C52F4"/>
    <w:rPr>
      <w:rFonts w:ascii="Arial" w:hAnsi="Arial"/>
      <w:bCs/>
      <w:color w:val="000000"/>
      <w:sz w:val="24"/>
      <w:szCs w:val="24"/>
    </w:rPr>
  </w:style>
  <w:style w:type="character" w:styleId="FollowedHyperlink">
    <w:name w:val="FollowedHyperlink"/>
    <w:basedOn w:val="DefaultParagraphFont"/>
    <w:uiPriority w:val="99"/>
    <w:semiHidden/>
    <w:unhideWhenUsed/>
    <w:rsid w:val="00680DE3"/>
    <w:rPr>
      <w:color w:val="003087" w:themeColor="followedHyperlink"/>
      <w:u w:val="single"/>
    </w:rPr>
  </w:style>
  <w:style w:type="paragraph" w:styleId="Revision">
    <w:name w:val="Revision"/>
    <w:hidden/>
    <w:uiPriority w:val="99"/>
    <w:semiHidden/>
    <w:rsid w:val="00ED1214"/>
    <w:rPr>
      <w:rFonts w:ascii="Arial" w:hAnsi="Arial"/>
      <w:color w:val="000000"/>
      <w:sz w:val="24"/>
      <w:szCs w:val="24"/>
    </w:rPr>
  </w:style>
  <w:style w:type="paragraph" w:customStyle="1" w:styleId="paragraph">
    <w:name w:val="paragraph"/>
    <w:basedOn w:val="Normal"/>
    <w:rsid w:val="00C35BDD"/>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C35BDD"/>
  </w:style>
  <w:style w:type="character" w:customStyle="1" w:styleId="eop">
    <w:name w:val="eop"/>
    <w:basedOn w:val="DefaultParagraphFont"/>
    <w:rsid w:val="00C35BDD"/>
  </w:style>
  <w:style w:type="character" w:customStyle="1" w:styleId="scxw202693068">
    <w:name w:val="scxw202693068"/>
    <w:basedOn w:val="DefaultParagraphFont"/>
    <w:rsid w:val="004A086D"/>
  </w:style>
  <w:style w:type="character" w:customStyle="1" w:styleId="contentpasted15">
    <w:name w:val="contentpasted15"/>
    <w:basedOn w:val="DefaultParagraphFont"/>
    <w:rsid w:val="00607985"/>
  </w:style>
  <w:style w:type="paragraph" w:customStyle="1" w:styleId="p1">
    <w:name w:val="p1"/>
    <w:basedOn w:val="Normal"/>
    <w:rsid w:val="00666CF7"/>
    <w:pPr>
      <w:spacing w:after="0" w:line="240" w:lineRule="auto"/>
      <w:textboxTightWrap w:val="none"/>
    </w:pPr>
    <w:rPr>
      <w:rFonts w:eastAsia="SimSun" w:cs="Arial"/>
      <w:sz w:val="17"/>
      <w:szCs w:val="17"/>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45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footer" Target="footer4.xml"/><Relationship Id="rId42" Type="http://schemas.openxmlformats.org/officeDocument/2006/relationships/hyperlink" Target="https://www.nice.org.uk/guidance/ng196" TargetMode="External"/><Relationship Id="rId47" Type="http://schemas.openxmlformats.org/officeDocument/2006/relationships/hyperlink" Target="https://www.england.nhs.uk/long-read/enhancing-gp-direct-access-to-diagnostic-tests-for-patients-with-suspected-chronic-obstructive-pulmonary-disease-asthma-or-heart-failure/" TargetMode="External"/><Relationship Id="rId63" Type="http://schemas.openxmlformats.org/officeDocument/2006/relationships/hyperlink" Target="https://campaignresources.dhsc.gov.uk/campaigns/help-us-help-you-cancer/" TargetMode="External"/><Relationship Id="rId68" Type="http://schemas.openxmlformats.org/officeDocument/2006/relationships/hyperlink" Target="https://www.arc-nt.nihr.ac.uk/research/projects/improving-frailty-identification-in-primary-care/" TargetMode="External"/><Relationship Id="rId84" Type="http://schemas.openxmlformats.org/officeDocument/2006/relationships/hyperlink" Target="https://www.england.nhs.uk/learning-disabilities/improving-health/stomp" TargetMode="External"/><Relationship Id="rId89" Type="http://schemas.openxmlformats.org/officeDocument/2006/relationships/hyperlink" Target="https://www.gov.uk/government/publications/uk-5-year-action-plan-for-antimicrobial-resistance-2019-to-2024" TargetMode="Externa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yperlink" Target="https://www.england.nhs.uk/long-read/building-an-ics-intelligence-function/" TargetMode="External"/><Relationship Id="rId37" Type="http://schemas.openxmlformats.org/officeDocument/2006/relationships/hyperlink" Target="https://www.england.nhs.uk/about/equality/equality-hub/national-healthcare-inequalities-improvement-programme/core20plus5/" TargetMode="External"/><Relationship Id="rId53" Type="http://schemas.openxmlformats.org/officeDocument/2006/relationships/hyperlink" Target="https://www.england.nhs.uk/long-read/urgent-gp-direct-access-to-diagnostic-services-for-people-with-symptoms-not-meeting-the-threshold-for-an-urgent-suspected-cancer-referral/" TargetMode="External"/><Relationship Id="rId58" Type="http://schemas.openxmlformats.org/officeDocument/2006/relationships/hyperlink" Target="https://fingertips.phe.org.uk/profile/cancerservices" TargetMode="External"/><Relationship Id="rId74" Type="http://schemas.openxmlformats.org/officeDocument/2006/relationships/hyperlink" Target="https://www.nice.org.uk/guidance/ng5" TargetMode="External"/><Relationship Id="rId79" Type="http://schemas.openxmlformats.org/officeDocument/2006/relationships/hyperlink" Target="https://www.england.nhs.uk/primary-care/pharmacy/pharmacy-services/nhs-new-medicine-service/" TargetMode="External"/><Relationship Id="rId5" Type="http://schemas.openxmlformats.org/officeDocument/2006/relationships/customXml" Target="../customXml/item5.xml"/><Relationship Id="rId90" Type="http://schemas.openxmlformats.org/officeDocument/2006/relationships/hyperlink" Target="https://www.england.nhs.uk/about/equality/equality-hub/national-healthcare-inequalities-improvement-programme/core20plus5/" TargetMode="External"/><Relationship Id="rId95" Type="http://schemas.openxmlformats.org/officeDocument/2006/relationships/hyperlink" Target="https://www.england.nhs.uk/long-read/providing-proactive-care-for-people-living-in-care-homes-enhanced-health-in-care-homes-framework/" TargetMode="External"/><Relationship Id="rId22" Type="http://schemas.openxmlformats.org/officeDocument/2006/relationships/header" Target="header6.xml"/><Relationship Id="rId27" Type="http://schemas.openxmlformats.org/officeDocument/2006/relationships/hyperlink" Target="https://www.england.nhs.uk/gp/investment/gp-contract/network-contract-directed-enhanced-service-des/" TargetMode="External"/><Relationship Id="rId43" Type="http://schemas.openxmlformats.org/officeDocument/2006/relationships/hyperlink" Target="https://www.nice.org.uk/guidance/ng238" TargetMode="External"/><Relationship Id="rId48" Type="http://schemas.openxmlformats.org/officeDocument/2006/relationships/hyperlink" Target="https://www.nice.org.uk/guidance/ng106" TargetMode="External"/><Relationship Id="rId64" Type="http://schemas.openxmlformats.org/officeDocument/2006/relationships/hyperlink" Target="https://screeningsaveslives.co.uk/professionals/" TargetMode="External"/><Relationship Id="rId69" Type="http://schemas.openxmlformats.org/officeDocument/2006/relationships/hyperlink" Target="https://www.england.nhs.uk/primary-care/pharmacy/smr/" TargetMode="External"/><Relationship Id="rId80" Type="http://schemas.openxmlformats.org/officeDocument/2006/relationships/hyperlink" Target="https://www.nhsbsa.nhs.uk/epact2" TargetMode="External"/><Relationship Id="rId85" Type="http://schemas.openxmlformats.org/officeDocument/2006/relationships/hyperlink" Target="https://future.nhs.uk/connect.ti/NationalSTOMPSTAMP"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yperlink" Target="https://www.e-lfh.org.uk/programmes/population-health-management/" TargetMode="External"/><Relationship Id="rId38" Type="http://schemas.openxmlformats.org/officeDocument/2006/relationships/hyperlink" Target="https://www.england.nhs.uk/about/equality/equality-hub/national-healthcare-inequalities-improvement-programme/core20plus5/core20plus5-cyp/" TargetMode="External"/><Relationship Id="rId46" Type="http://schemas.openxmlformats.org/officeDocument/2006/relationships/hyperlink" Target="https://www.nice.org.uk/guidance/NG136" TargetMode="External"/><Relationship Id="rId59" Type="http://schemas.openxmlformats.org/officeDocument/2006/relationships/hyperlink" Target="https://www.england.nhs.uk/publication/making-every-contact-count-mecc-consensus-statement/" TargetMode="External"/><Relationship Id="rId67" Type="http://schemas.openxmlformats.org/officeDocument/2006/relationships/hyperlink" Target="https://www.england.nhs.uk/ourwork/clinical-policy/older-people/frailty/efi/" TargetMode="External"/><Relationship Id="rId20" Type="http://schemas.openxmlformats.org/officeDocument/2006/relationships/header" Target="header5.xml"/><Relationship Id="rId41" Type="http://schemas.openxmlformats.org/officeDocument/2006/relationships/hyperlink" Target="https://www.nice.org.uk/guidance/NG136" TargetMode="External"/><Relationship Id="rId54" Type="http://schemas.openxmlformats.org/officeDocument/2006/relationships/hyperlink" Target="https://www.nice.org.uk/guidance/dg56" TargetMode="External"/><Relationship Id="rId62" Type="http://schemas.openxmlformats.org/officeDocument/2006/relationships/hyperlink" Target="https://breastcancernow.org/information-support/healthcare-professionals" TargetMode="External"/><Relationship Id="rId70" Type="http://schemas.openxmlformats.org/officeDocument/2006/relationships/hyperlink" Target="https://www.nhsbsa.nhs.uk/sites/default/files/2019-08/Medication%20Safety%20-%20Indicators%20Specification%20%28Aug19%29.pdf" TargetMode="External"/><Relationship Id="rId75" Type="http://schemas.openxmlformats.org/officeDocument/2006/relationships/hyperlink" Target="https://www.rpharms.com/recognition/setting-professional-standards/polypharmacy-getting-our-medicines-right" TargetMode="External"/><Relationship Id="rId83" Type="http://schemas.openxmlformats.org/officeDocument/2006/relationships/hyperlink" Target="https://www.england.nhs.uk/greenernhs/wp-content/uploads/sites/51/2020/10/delivering-a-net-zero-national-health-service.pdf" TargetMode="External"/><Relationship Id="rId88" Type="http://schemas.openxmlformats.org/officeDocument/2006/relationships/hyperlink" Target="https://www.gov.uk/government/publications/uk-20-year-vision-for-antimicrobial-resistance" TargetMode="External"/><Relationship Id="rId91" Type="http://schemas.openxmlformats.org/officeDocument/2006/relationships/hyperlink" Target="https://digital.nhs.uk/data-and-information/information-standards/information-standards-and-data-collections-including-extractions/publications-and-notifications/standards-and-collections/dapb4066-social-prescribing" TargetMode="External"/><Relationship Id="rId96" Type="http://schemas.openxmlformats.org/officeDocument/2006/relationships/hyperlink" Target="https://www.england.nhs.uk/publication/network-contract-directed-enhanced-service-financial-ready-reckoner"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yperlink" Target="https://future.nhs.uk/populationhealth/view?objectID=160504357" TargetMode="External"/><Relationship Id="rId36" Type="http://schemas.openxmlformats.org/officeDocument/2006/relationships/hyperlink" Target="https://gbr01.safelinks.protection.outlook.com/?url=https%3A%2F%2Ffuture.nhs.uk%2Fpopulationhealth%2FgroupHome&amp;data=05%7C02%7Canisa.varsani%40nhs.net%7Ce57f9554631241ac666c08dc00941cdc%7C37c354b285b047f5b22207b48d774ee3%7C0%7C0%7C638385883326249908%7CUnknown%7CTWFpbGZsb3d8eyJWIjoiMC4wLjAwMDAiLCJQIjoiV2luMzIiLCJBTiI6Ik1haWwiLCJXVCI6Mn0%3D%7C3000%7C%7C%7C&amp;sdata=vpCjeTVYoKglDgxwtEU%2FNdob3cEANmH45OhxyV5AGBw%3D&amp;reserved=0" TargetMode="External"/><Relationship Id="rId49" Type="http://schemas.openxmlformats.org/officeDocument/2006/relationships/hyperlink" Target="https://www.nice.org.uk/guidance/ng12" TargetMode="External"/><Relationship Id="rId57" Type="http://schemas.openxmlformats.org/officeDocument/2006/relationships/hyperlink" Target="https://www.england.nhs.uk/wp-content/uploads/2018/04/B1350_Skin-cancer-timed-diagnostic-pathway.pdf" TargetMode="External"/><Relationship Id="rId10" Type="http://schemas.openxmlformats.org/officeDocument/2006/relationships/footnotes" Target="footnotes.xml"/><Relationship Id="rId31" Type="http://schemas.openxmlformats.org/officeDocument/2006/relationships/hyperlink" Target="https://imperialcollegehealthpartners.com/getting-started-with-segmentation-analysis/" TargetMode="External"/><Relationship Id="rId44" Type="http://schemas.openxmlformats.org/officeDocument/2006/relationships/hyperlink" Target="https://www.england.nhs.uk/aac/wp-content/uploads/sites/50/2020/04/lipid-management-pathway-v6.pdf" TargetMode="External"/><Relationship Id="rId52" Type="http://schemas.openxmlformats.org/officeDocument/2006/relationships/hyperlink" Target="https://fingertips.phe.org.uk/profile/cancerservices" TargetMode="External"/><Relationship Id="rId60" Type="http://schemas.openxmlformats.org/officeDocument/2006/relationships/hyperlink" Target="https://www.cancerresearchuk.org/sites/default/files/final_uk_cervical_screening_guide_july_21.pdf" TargetMode="External"/><Relationship Id="rId65" Type="http://schemas.openxmlformats.org/officeDocument/2006/relationships/hyperlink" Target="https://www.england.nhs.uk/community-health-services/proactive-care/" TargetMode="External"/><Relationship Id="rId73" Type="http://schemas.openxmlformats.org/officeDocument/2006/relationships/hyperlink" Target="https://www.nice.org.uk/guidance/ng215/resources/visual-summary-before-starting-medicines-associated-with-dependence-or-withdrawal-symptoms-pdf-11018567341" TargetMode="External"/><Relationship Id="rId78" Type="http://schemas.openxmlformats.org/officeDocument/2006/relationships/hyperlink" Target="https://thehealthinnovationnetwork.co.uk/programmes/medicines/polypharmacy/patient-information/" TargetMode="External"/><Relationship Id="rId81" Type="http://schemas.openxmlformats.org/officeDocument/2006/relationships/hyperlink" Target="https://www.england.nhs.uk/long-read/national-medicines-optimisation-opportunities-2023-24/" TargetMode="External"/><Relationship Id="rId86" Type="http://schemas.openxmlformats.org/officeDocument/2006/relationships/hyperlink" Target="http://www.OpenPrescribing.net" TargetMode="External"/><Relationship Id="rId94" Type="http://schemas.openxmlformats.org/officeDocument/2006/relationships/hyperlink" Target="https://www.england.nhs.uk/publication/social-prescribing-reference-guide-and-technical-annex-for-primary-care-networks/"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emf"/><Relationship Id="rId39" Type="http://schemas.openxmlformats.org/officeDocument/2006/relationships/hyperlink" Target="https://www.cvdprevent.nhs.uk/home" TargetMode="External"/><Relationship Id="rId34" Type="http://schemas.openxmlformats.org/officeDocument/2006/relationships/hyperlink" Target="https://napc.co.uk/wp-content/uploads/2019/08/NAPC-Population-heath-guide-web.pdf" TargetMode="External"/><Relationship Id="rId50" Type="http://schemas.openxmlformats.org/officeDocument/2006/relationships/hyperlink" Target="https://www.cancerresearchuk.org/sites/default/files/ncda_data_proforma_-_indivdiual_patients_0.docx" TargetMode="External"/><Relationship Id="rId55" Type="http://schemas.openxmlformats.org/officeDocument/2006/relationships/hyperlink" Target="https://www.england.nhs.uk/cancer/faster-diagnosis/" TargetMode="External"/><Relationship Id="rId76" Type="http://schemas.openxmlformats.org/officeDocument/2006/relationships/hyperlink" Target="https://www.gov.uk/government/publications/national-overprescribing-review-report" TargetMode="External"/><Relationship Id="rId97"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gov.uk/guidance/valproate-use-by-women-and-girls" TargetMode="External"/><Relationship Id="rId92" Type="http://schemas.openxmlformats.org/officeDocument/2006/relationships/hyperlink" Target="https://www.england.nhs.uk/publication/going-further-on-our-winter-resilience-plans/" TargetMode="External"/><Relationship Id="rId2" Type="http://schemas.openxmlformats.org/officeDocument/2006/relationships/customXml" Target="../customXml/item2.xml"/><Relationship Id="rId29" Type="http://schemas.openxmlformats.org/officeDocument/2006/relationships/hyperlink" Target="https://gbr01.safelinks.protection.outlook.com/?url=https%3A%2F%2Ftransform.england.nhs.uk%2Fdigitise-connect-transform%2Fwhat-good-looks-like%2Fwhat-good-looks-like-publication%2F&amp;data=05%7C01%7Cmiranda.flood1%40nhs.net%7C2ebf5f4a7f214e24e8ea08dbed1f7846%7C37c354b285b047f5b22207b48d774ee3%7C0%7C0%7C638364491629783243%7CUnknown%7CTWFpbGZsb3d8eyJWIjoiMC4wLjAwMDAiLCJQIjoiV2luMzIiLCJBTiI6Ik1haWwiLCJXVCI6Mn0%3D%7C3000%7C%7C%7C&amp;sdata=I%2B6aG9HU0SwcQ2s%2BZbuqsL5RLWtN9TUORz%2F9BG0s5gs%3D&amp;reserved=0" TargetMode="External"/><Relationship Id="rId24" Type="http://schemas.openxmlformats.org/officeDocument/2006/relationships/header" Target="header8.xml"/><Relationship Id="rId40" Type="http://schemas.openxmlformats.org/officeDocument/2006/relationships/hyperlink" Target="https://www.england.nhs.uk/primary-care/pharmacy/nhs-community-pharmacy-bp-checks-and-hypertension-case-finding-advanced-service/" TargetMode="External"/><Relationship Id="rId45" Type="http://schemas.openxmlformats.org/officeDocument/2006/relationships/hyperlink" Target="https://www.england.nhs.uk/aac/publication/statin-intolerance-pathway/" TargetMode="External"/><Relationship Id="rId66" Type="http://schemas.openxmlformats.org/officeDocument/2006/relationships/hyperlink" Target="https://www.england.nhs.uk/long-read/proactive-care-providing-care-and-support-for-people-living-at-home-with-moderate-or-severe-frailty/" TargetMode="External"/><Relationship Id="rId87" Type="http://schemas.openxmlformats.org/officeDocument/2006/relationships/hyperlink" Target="https://www.nhsbsa.nhs.uk/epact2" TargetMode="External"/><Relationship Id="rId61" Type="http://schemas.openxmlformats.org/officeDocument/2006/relationships/hyperlink" Target="https://cdn.macmillan.org.uk/dfsmedia/1a6f23537f7f4519bb0cf14c45b2a629/1524-source/cancer-screening-tcm9-357843?_ga=2.203044883.36758942.1641821661-852643082.1632760364" TargetMode="External"/><Relationship Id="rId82" Type="http://schemas.openxmlformats.org/officeDocument/2006/relationships/hyperlink" Target="https://www.england.nhs.uk/wp-content/uploads/2019/08/items-which-should-not-routinely-be-prescribed-in-primary-care-v2.1.pdf" TargetMode="External"/><Relationship Id="rId19" Type="http://schemas.openxmlformats.org/officeDocument/2006/relationships/header" Target="header4.xml"/><Relationship Id="rId14" Type="http://schemas.openxmlformats.org/officeDocument/2006/relationships/footer" Target="footer1.xml"/><Relationship Id="rId30" Type="http://schemas.openxmlformats.org/officeDocument/2006/relationships/hyperlink" Target="https://future.nhs.uk/populationhealth/view?objectId=156226917" TargetMode="External"/><Relationship Id="rId35" Type="http://schemas.openxmlformats.org/officeDocument/2006/relationships/hyperlink" Target="https://future.nhs.uk/system/login?nextURL=%2Fconnect%2Eti%2Fpopulationhealth%2Fview%3FobjectId%3D198422821" TargetMode="External"/><Relationship Id="rId56" Type="http://schemas.openxmlformats.org/officeDocument/2006/relationships/hyperlink" Target="https://www.england.nhs.uk/wp-content/uploads/2022/04/B0829-suspected-skin-cancer-two-week-wait-pathway-optimisation-guidance.pdf" TargetMode="External"/><Relationship Id="rId77" Type="http://schemas.openxmlformats.org/officeDocument/2006/relationships/hyperlink" Target="https://www.england.nhs.uk/shared-decision-making/" TargetMode="External"/><Relationship Id="rId8" Type="http://schemas.openxmlformats.org/officeDocument/2006/relationships/settings" Target="settings.xml"/><Relationship Id="rId51" Type="http://schemas.openxmlformats.org/officeDocument/2006/relationships/hyperlink" Target="https://www.cancerresearchuk.org/sites/default/files/ncda_2014_datacollectiontemplate.xlsx" TargetMode="External"/><Relationship Id="rId72" Type="http://schemas.openxmlformats.org/officeDocument/2006/relationships/hyperlink" Target="https://www.england.nhs.uk/ourwork/clinical-policy/olderpeople/frailty/efi/" TargetMode="External"/><Relationship Id="rId93" Type="http://schemas.openxmlformats.org/officeDocument/2006/relationships/hyperlink" Target="https://www.england.nhs.uk/personalisedcare/social-prescribing/" TargetMode="External"/><Relationship Id="rId98"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Jan%202024%20long%20document%20template%20v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F4BFF6786E4A46856E46E0A788642A"/>
        <w:category>
          <w:name w:val="General"/>
          <w:gallery w:val="placeholder"/>
        </w:category>
        <w:types>
          <w:type w:val="bbPlcHdr"/>
        </w:types>
        <w:behaviors>
          <w:behavior w:val="content"/>
        </w:behaviors>
        <w:guid w:val="{F2DF8E17-530B-4FA4-A5BD-A8FB3128A383}"/>
      </w:docPartPr>
      <w:docPartBody>
        <w:p w:rsidR="00C07605" w:rsidRDefault="000F41FA">
          <w:pPr>
            <w:pStyle w:val="30F4BFF6786E4A46856E46E0A788642A"/>
          </w:pPr>
          <w:r w:rsidRPr="00DD77F0">
            <w:t>Title of document</w:t>
          </w:r>
        </w:p>
      </w:docPartBody>
    </w:docPart>
    <w:docPart>
      <w:docPartPr>
        <w:name w:val="93F7F659084644ACA2A51FDD4EEBFF55"/>
        <w:category>
          <w:name w:val="General"/>
          <w:gallery w:val="placeholder"/>
        </w:category>
        <w:types>
          <w:type w:val="bbPlcHdr"/>
        </w:types>
        <w:behaviors>
          <w:behavior w:val="content"/>
        </w:behaviors>
        <w:guid w:val="{408EBA3E-7FAF-4395-BC74-852C618531DC}"/>
      </w:docPartPr>
      <w:docPartBody>
        <w:p w:rsidR="00C07605" w:rsidRDefault="000F41FA">
          <w:pPr>
            <w:pStyle w:val="93F7F659084644ACA2A51FDD4EEBFF55"/>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F3"/>
    <w:rsid w:val="00005193"/>
    <w:rsid w:val="000372AF"/>
    <w:rsid w:val="000462C6"/>
    <w:rsid w:val="00073F30"/>
    <w:rsid w:val="000F41FA"/>
    <w:rsid w:val="00100133"/>
    <w:rsid w:val="00102B99"/>
    <w:rsid w:val="00106BAF"/>
    <w:rsid w:val="00112D26"/>
    <w:rsid w:val="00183C2D"/>
    <w:rsid w:val="001D76E6"/>
    <w:rsid w:val="001F24EE"/>
    <w:rsid w:val="00243C9D"/>
    <w:rsid w:val="00287756"/>
    <w:rsid w:val="002D6A95"/>
    <w:rsid w:val="002F5082"/>
    <w:rsid w:val="00323AAA"/>
    <w:rsid w:val="00440720"/>
    <w:rsid w:val="004E0D3F"/>
    <w:rsid w:val="005049AD"/>
    <w:rsid w:val="00533464"/>
    <w:rsid w:val="00576B21"/>
    <w:rsid w:val="0059364F"/>
    <w:rsid w:val="005F20B2"/>
    <w:rsid w:val="005F4E40"/>
    <w:rsid w:val="006817FE"/>
    <w:rsid w:val="00690B61"/>
    <w:rsid w:val="006C44AA"/>
    <w:rsid w:val="007133A5"/>
    <w:rsid w:val="00794077"/>
    <w:rsid w:val="007D32FA"/>
    <w:rsid w:val="00806C96"/>
    <w:rsid w:val="0082665A"/>
    <w:rsid w:val="00856569"/>
    <w:rsid w:val="008825CE"/>
    <w:rsid w:val="008E4491"/>
    <w:rsid w:val="008F1E9E"/>
    <w:rsid w:val="009028B3"/>
    <w:rsid w:val="0091150A"/>
    <w:rsid w:val="0091369D"/>
    <w:rsid w:val="00965B27"/>
    <w:rsid w:val="009706DD"/>
    <w:rsid w:val="00983891"/>
    <w:rsid w:val="009C529C"/>
    <w:rsid w:val="009D277C"/>
    <w:rsid w:val="009F7416"/>
    <w:rsid w:val="00A30B11"/>
    <w:rsid w:val="00A740A9"/>
    <w:rsid w:val="00A76CF3"/>
    <w:rsid w:val="00AD1A32"/>
    <w:rsid w:val="00C07605"/>
    <w:rsid w:val="00C10AF9"/>
    <w:rsid w:val="00C729AC"/>
    <w:rsid w:val="00C73808"/>
    <w:rsid w:val="00CA79D7"/>
    <w:rsid w:val="00D2164C"/>
    <w:rsid w:val="00D36B8A"/>
    <w:rsid w:val="00D609E9"/>
    <w:rsid w:val="00DA3C53"/>
    <w:rsid w:val="00DA4F60"/>
    <w:rsid w:val="00DD60C7"/>
    <w:rsid w:val="00DE7B14"/>
    <w:rsid w:val="00E17AD0"/>
    <w:rsid w:val="00E219A1"/>
    <w:rsid w:val="00E257B7"/>
    <w:rsid w:val="00E6709A"/>
    <w:rsid w:val="00EF301F"/>
    <w:rsid w:val="00F47D40"/>
    <w:rsid w:val="00F52B9E"/>
    <w:rsid w:val="00F654E9"/>
    <w:rsid w:val="00FB3290"/>
    <w:rsid w:val="00FB60F7"/>
    <w:rsid w:val="00FB70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F4BFF6786E4A46856E46E0A788642A">
    <w:name w:val="30F4BFF6786E4A46856E46E0A788642A"/>
  </w:style>
  <w:style w:type="paragraph" w:customStyle="1" w:styleId="93F7F659084644ACA2A51FDD4EEBFF55">
    <w:name w:val="93F7F659084644ACA2A51FDD4EEBFF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8F108E34103E4DAF2DF5234FEC0D32" ma:contentTypeVersion="17" ma:contentTypeDescription="Create a new document." ma:contentTypeScope="" ma:versionID="803696806c5672d7ad2816aafa799ab2">
  <xsd:schema xmlns:xsd="http://www.w3.org/2001/XMLSchema" xmlns:xs="http://www.w3.org/2001/XMLSchema" xmlns:p="http://schemas.microsoft.com/office/2006/metadata/properties" xmlns:ns2="1ba6cd36-81fe-443b-aec5-f4c6cab5ab2b" xmlns:ns3="6c1015e3-4cdd-404a-9668-01d02646692f" targetNamespace="http://schemas.microsoft.com/office/2006/metadata/properties" ma:root="true" ma:fieldsID="2846a2cfb548a09d1201552e54dbb152" ns2:_="" ns3:_="">
    <xsd:import namespace="1ba6cd36-81fe-443b-aec5-f4c6cab5ab2b"/>
    <xsd:import namespace="6c1015e3-4cdd-404a-9668-01d02646692f"/>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6cd36-81fe-443b-aec5-f4c6cab5ab2b" elementFormDefault="qualified">
    <xsd:import namespace="http://schemas.microsoft.com/office/2006/documentManagement/types"/>
    <xsd:import namespace="http://schemas.microsoft.com/office/infopath/2007/PartnerControls"/>
    <xsd:element name="Review_x0020_Date" ma:index="5" nillable="true" ma:displayName="Review date" ma:indexed="true" ma:internalName="Review_x0020_Date" ma:readOnly="fals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015e3-4cdd-404a-9668-01d02646692f"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element name="TaxCatchAll" ma:index="21" nillable="true" ma:displayName="Taxonomy Catch All Column" ma:hidden="true" ma:list="{2b7bcb27-92d9-4589-92cc-109a905267eb}" ma:internalName="TaxCatchAll" ma:showField="CatchAllData" ma:web="6c1015e3-4cdd-404a-9668-01d026466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roperties xmlns="http://www.imanage.com/work/xmlschema">
  <documentid>Active1!159980250.1</documentid>
  <senderid>CALG</senderid>
  <senderemail>CGLOVER@DACBEACHCROFT.COM</senderemail>
  <lastmodified>2025-02-27T17:20:00.0000000+00:00</lastmodified>
  <database>Active1</database>
</properties>
</file>

<file path=customXml/item5.xml><?xml version="1.0" encoding="utf-8"?>
<p:properties xmlns:p="http://schemas.microsoft.com/office/2006/metadata/properties" xmlns:xsi="http://www.w3.org/2001/XMLSchema-instance" xmlns:pc="http://schemas.microsoft.com/office/infopath/2007/PartnerControls">
  <documentManagement>
    <Review_x0020_Date xmlns="1ba6cd36-81fe-443b-aec5-f4c6cab5ab2b" xsi:nil="true"/>
    <TaxCatchAll xmlns="6c1015e3-4cdd-404a-9668-01d02646692f" xsi:nil="true"/>
    <_ip_UnifiedCompliancePolicyProperties xmlns="6c1015e3-4cdd-404a-9668-01d02646692f" xsi:nil="true"/>
    <lcf76f155ced4ddcb4097134ff3c332f xmlns="1ba6cd36-81fe-443b-aec5-f4c6cab5ab2b">
      <Terms xmlns="http://schemas.microsoft.com/office/infopath/2007/PartnerControls"/>
    </lcf76f155ced4ddcb4097134ff3c332f>
    <_ip_UnifiedCompliancePolicyUIAction xmlns="6c1015e3-4cdd-404a-9668-01d02646692f" xsi:nil="true"/>
  </documentManagement>
</p:properties>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35B164EE-CCE3-47FD-A6B3-A5C63D3D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6cd36-81fe-443b-aec5-f4c6cab5ab2b"/>
    <ds:schemaRef ds:uri="6c1015e3-4cdd-404a-9668-01d02646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A4A48-7864-4A0C-9636-6F66FD48EC72}">
  <ds:schemaRefs>
    <ds:schemaRef ds:uri="http://www.imanage.com/work/xmlschema"/>
  </ds:schemaRefs>
</ds:datastoreItem>
</file>

<file path=customXml/itemProps5.xml><?xml version="1.0" encoding="utf-8"?>
<ds:datastoreItem xmlns:ds="http://schemas.openxmlformats.org/officeDocument/2006/customXml" ds:itemID="{5818218F-AB00-4272-A716-DA4688C85ECA}">
  <ds:schemaRefs>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6c1015e3-4cdd-404a-9668-01d02646692f"/>
    <ds:schemaRef ds:uri="http://schemas.openxmlformats.org/package/2006/metadata/core-properties"/>
    <ds:schemaRef ds:uri="http://www.w3.org/XML/1998/namespace"/>
    <ds:schemaRef ds:uri="1ba6cd36-81fe-443b-aec5-f4c6cab5ab2b"/>
    <ds:schemaRef ds:uri="http://schemas.microsoft.com/office/2006/metadata/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Jan 2024 long document template v1.2</Template>
  <TotalTime>0</TotalTime>
  <Pages>18</Pages>
  <Words>6135</Words>
  <Characters>34972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Network contract directed enhanced service</vt:lpstr>
    </vt:vector>
  </TitlesOfParts>
  <Company>Health &amp; Social Care Information Centre</Company>
  <LinksUpToDate>false</LinksUpToDate>
  <CharactersWithSpaces>41025</CharactersWithSpaces>
  <SharedDoc>false</SharedDoc>
  <HLinks>
    <vt:vector size="522" baseType="variant">
      <vt:variant>
        <vt:i4>6684711</vt:i4>
      </vt:variant>
      <vt:variant>
        <vt:i4>312</vt:i4>
      </vt:variant>
      <vt:variant>
        <vt:i4>0</vt:i4>
      </vt:variant>
      <vt:variant>
        <vt:i4>5</vt:i4>
      </vt:variant>
      <vt:variant>
        <vt:lpwstr>https://www.england.nhs.uk/publication/network-contract-directed-enhanced-service-financial-ready-reckoner</vt:lpwstr>
      </vt:variant>
      <vt:variant>
        <vt:lpwstr/>
      </vt:variant>
      <vt:variant>
        <vt:i4>3866670</vt:i4>
      </vt:variant>
      <vt:variant>
        <vt:i4>309</vt:i4>
      </vt:variant>
      <vt:variant>
        <vt:i4>0</vt:i4>
      </vt:variant>
      <vt:variant>
        <vt:i4>5</vt:i4>
      </vt:variant>
      <vt:variant>
        <vt:lpwstr>https://www.england.nhs.uk/long-read/providing-proactive-care-for-people-living-in-care-homes-enhanced-health-in-care-homes-framework/</vt:lpwstr>
      </vt:variant>
      <vt:variant>
        <vt:lpwstr/>
      </vt:variant>
      <vt:variant>
        <vt:i4>5832717</vt:i4>
      </vt:variant>
      <vt:variant>
        <vt:i4>306</vt:i4>
      </vt:variant>
      <vt:variant>
        <vt:i4>0</vt:i4>
      </vt:variant>
      <vt:variant>
        <vt:i4>5</vt:i4>
      </vt:variant>
      <vt:variant>
        <vt:lpwstr>https://www.england.nhs.uk/publication/social-prescribing-reference-guide-and-technical-annex-for-primary-care-networks/</vt:lpwstr>
      </vt:variant>
      <vt:variant>
        <vt:lpwstr/>
      </vt:variant>
      <vt:variant>
        <vt:i4>6422564</vt:i4>
      </vt:variant>
      <vt:variant>
        <vt:i4>303</vt:i4>
      </vt:variant>
      <vt:variant>
        <vt:i4>0</vt:i4>
      </vt:variant>
      <vt:variant>
        <vt:i4>5</vt:i4>
      </vt:variant>
      <vt:variant>
        <vt:lpwstr>https://www.england.nhs.uk/personalisedcare/social-prescribing/</vt:lpwstr>
      </vt:variant>
      <vt:variant>
        <vt:lpwstr/>
      </vt:variant>
      <vt:variant>
        <vt:i4>4390917</vt:i4>
      </vt:variant>
      <vt:variant>
        <vt:i4>300</vt:i4>
      </vt:variant>
      <vt:variant>
        <vt:i4>0</vt:i4>
      </vt:variant>
      <vt:variant>
        <vt:i4>5</vt:i4>
      </vt:variant>
      <vt:variant>
        <vt:lpwstr>https://www.england.nhs.uk/publication/going-further-on-our-winter-resilience-plans/</vt:lpwstr>
      </vt:variant>
      <vt:variant>
        <vt:lpwstr/>
      </vt:variant>
      <vt:variant>
        <vt:i4>3473443</vt:i4>
      </vt:variant>
      <vt:variant>
        <vt:i4>297</vt:i4>
      </vt:variant>
      <vt:variant>
        <vt:i4>0</vt:i4>
      </vt:variant>
      <vt:variant>
        <vt:i4>5</vt:i4>
      </vt:variant>
      <vt:variant>
        <vt:lpwstr>https://digital.nhs.uk/data-and-information/information-standards/information-standards-and-data-collections-including-extractions/publications-and-notifications/standards-and-collections/dapb4066-social-prescribing</vt:lpwstr>
      </vt:variant>
      <vt:variant>
        <vt:lpwstr/>
      </vt:variant>
      <vt:variant>
        <vt:i4>8257653</vt:i4>
      </vt:variant>
      <vt:variant>
        <vt:i4>294</vt:i4>
      </vt:variant>
      <vt:variant>
        <vt:i4>0</vt:i4>
      </vt:variant>
      <vt:variant>
        <vt:i4>5</vt:i4>
      </vt:variant>
      <vt:variant>
        <vt:lpwstr>https://www.england.nhs.uk/about/equality/equality-hub/national-healthcare-inequalities-improvement-programme/core20plus5/</vt:lpwstr>
      </vt:variant>
      <vt:variant>
        <vt:lpwstr/>
      </vt:variant>
      <vt:variant>
        <vt:i4>6553661</vt:i4>
      </vt:variant>
      <vt:variant>
        <vt:i4>291</vt:i4>
      </vt:variant>
      <vt:variant>
        <vt:i4>0</vt:i4>
      </vt:variant>
      <vt:variant>
        <vt:i4>5</vt:i4>
      </vt:variant>
      <vt:variant>
        <vt:lpwstr>https://www.gov.uk/government/publications/uk-5-year-action-plan-for-antimicrobial-resistance-2019-to-2024</vt:lpwstr>
      </vt:variant>
      <vt:variant>
        <vt:lpwstr/>
      </vt:variant>
      <vt:variant>
        <vt:i4>1638414</vt:i4>
      </vt:variant>
      <vt:variant>
        <vt:i4>288</vt:i4>
      </vt:variant>
      <vt:variant>
        <vt:i4>0</vt:i4>
      </vt:variant>
      <vt:variant>
        <vt:i4>5</vt:i4>
      </vt:variant>
      <vt:variant>
        <vt:lpwstr>https://www.gov.uk/government/publications/uk-20-year-vision-for-antimicrobial-resistance</vt:lpwstr>
      </vt:variant>
      <vt:variant>
        <vt:lpwstr/>
      </vt:variant>
      <vt:variant>
        <vt:i4>4522077</vt:i4>
      </vt:variant>
      <vt:variant>
        <vt:i4>285</vt:i4>
      </vt:variant>
      <vt:variant>
        <vt:i4>0</vt:i4>
      </vt:variant>
      <vt:variant>
        <vt:i4>5</vt:i4>
      </vt:variant>
      <vt:variant>
        <vt:lpwstr>https://www.nhsbsa.nhs.uk/epact2</vt:lpwstr>
      </vt:variant>
      <vt:variant>
        <vt:lpwstr/>
      </vt:variant>
      <vt:variant>
        <vt:i4>2752634</vt:i4>
      </vt:variant>
      <vt:variant>
        <vt:i4>282</vt:i4>
      </vt:variant>
      <vt:variant>
        <vt:i4>0</vt:i4>
      </vt:variant>
      <vt:variant>
        <vt:i4>5</vt:i4>
      </vt:variant>
      <vt:variant>
        <vt:lpwstr>http://www.openprescribing.net/</vt:lpwstr>
      </vt:variant>
      <vt:variant>
        <vt:lpwstr/>
      </vt:variant>
      <vt:variant>
        <vt:i4>7798885</vt:i4>
      </vt:variant>
      <vt:variant>
        <vt:i4>279</vt:i4>
      </vt:variant>
      <vt:variant>
        <vt:i4>0</vt:i4>
      </vt:variant>
      <vt:variant>
        <vt:i4>5</vt:i4>
      </vt:variant>
      <vt:variant>
        <vt:lpwstr>https://future.nhs.uk/connect.ti/NationalSTOMPSTAMP</vt:lpwstr>
      </vt:variant>
      <vt:variant>
        <vt:lpwstr/>
      </vt:variant>
      <vt:variant>
        <vt:i4>2490473</vt:i4>
      </vt:variant>
      <vt:variant>
        <vt:i4>276</vt:i4>
      </vt:variant>
      <vt:variant>
        <vt:i4>0</vt:i4>
      </vt:variant>
      <vt:variant>
        <vt:i4>5</vt:i4>
      </vt:variant>
      <vt:variant>
        <vt:lpwstr>https://www.england.nhs.uk/learning-disabilities/improving-health/stomp</vt:lpwstr>
      </vt:variant>
      <vt:variant>
        <vt:lpwstr/>
      </vt:variant>
      <vt:variant>
        <vt:i4>3145779</vt:i4>
      </vt:variant>
      <vt:variant>
        <vt:i4>273</vt:i4>
      </vt:variant>
      <vt:variant>
        <vt:i4>0</vt:i4>
      </vt:variant>
      <vt:variant>
        <vt:i4>5</vt:i4>
      </vt:variant>
      <vt:variant>
        <vt:lpwstr>https://www.england.nhs.uk/greenernhs/wp-content/uploads/sites/51/2020/10/delivering-a-net-zero-national-health-service.pdf</vt:lpwstr>
      </vt:variant>
      <vt:variant>
        <vt:lpwstr/>
      </vt:variant>
      <vt:variant>
        <vt:i4>5111875</vt:i4>
      </vt:variant>
      <vt:variant>
        <vt:i4>270</vt:i4>
      </vt:variant>
      <vt:variant>
        <vt:i4>0</vt:i4>
      </vt:variant>
      <vt:variant>
        <vt:i4>5</vt:i4>
      </vt:variant>
      <vt:variant>
        <vt:lpwstr>https://www.england.nhs.uk/wp-content/uploads/2019/08/items-which-should-not-routinely-be-prescribed-in-primary-care-v2.1.pdf</vt:lpwstr>
      </vt:variant>
      <vt:variant>
        <vt:lpwstr/>
      </vt:variant>
      <vt:variant>
        <vt:i4>7929970</vt:i4>
      </vt:variant>
      <vt:variant>
        <vt:i4>267</vt:i4>
      </vt:variant>
      <vt:variant>
        <vt:i4>0</vt:i4>
      </vt:variant>
      <vt:variant>
        <vt:i4>5</vt:i4>
      </vt:variant>
      <vt:variant>
        <vt:lpwstr>https://www.england.nhs.uk/long-read/national-medicines-optimisation-opportunities-2023-24/</vt:lpwstr>
      </vt:variant>
      <vt:variant>
        <vt:lpwstr/>
      </vt:variant>
      <vt:variant>
        <vt:i4>4522077</vt:i4>
      </vt:variant>
      <vt:variant>
        <vt:i4>264</vt:i4>
      </vt:variant>
      <vt:variant>
        <vt:i4>0</vt:i4>
      </vt:variant>
      <vt:variant>
        <vt:i4>5</vt:i4>
      </vt:variant>
      <vt:variant>
        <vt:lpwstr>https://www.nhsbsa.nhs.uk/epact2</vt:lpwstr>
      </vt:variant>
      <vt:variant>
        <vt:lpwstr/>
      </vt:variant>
      <vt:variant>
        <vt:i4>5832788</vt:i4>
      </vt:variant>
      <vt:variant>
        <vt:i4>261</vt:i4>
      </vt:variant>
      <vt:variant>
        <vt:i4>0</vt:i4>
      </vt:variant>
      <vt:variant>
        <vt:i4>5</vt:i4>
      </vt:variant>
      <vt:variant>
        <vt:lpwstr>https://www.england.nhs.uk/primary-care/pharmacy/pharmacy-services/nhs-new-medicine-service/</vt:lpwstr>
      </vt:variant>
      <vt:variant>
        <vt:lpwstr/>
      </vt:variant>
      <vt:variant>
        <vt:i4>2687009</vt:i4>
      </vt:variant>
      <vt:variant>
        <vt:i4>258</vt:i4>
      </vt:variant>
      <vt:variant>
        <vt:i4>0</vt:i4>
      </vt:variant>
      <vt:variant>
        <vt:i4>5</vt:i4>
      </vt:variant>
      <vt:variant>
        <vt:lpwstr>https://thehealthinnovationnetwork.co.uk/programmes/medicines/polypharmacy/patient-information/</vt:lpwstr>
      </vt:variant>
      <vt:variant>
        <vt:lpwstr/>
      </vt:variant>
      <vt:variant>
        <vt:i4>3211303</vt:i4>
      </vt:variant>
      <vt:variant>
        <vt:i4>255</vt:i4>
      </vt:variant>
      <vt:variant>
        <vt:i4>0</vt:i4>
      </vt:variant>
      <vt:variant>
        <vt:i4>5</vt:i4>
      </vt:variant>
      <vt:variant>
        <vt:lpwstr>https://www.england.nhs.uk/shared-decision-making/</vt:lpwstr>
      </vt:variant>
      <vt:variant>
        <vt:lpwstr/>
      </vt:variant>
      <vt:variant>
        <vt:i4>5963803</vt:i4>
      </vt:variant>
      <vt:variant>
        <vt:i4>252</vt:i4>
      </vt:variant>
      <vt:variant>
        <vt:i4>0</vt:i4>
      </vt:variant>
      <vt:variant>
        <vt:i4>5</vt:i4>
      </vt:variant>
      <vt:variant>
        <vt:lpwstr>https://www.gov.uk/government/publications/national-overprescribing-review-report</vt:lpwstr>
      </vt:variant>
      <vt:variant>
        <vt:lpwstr/>
      </vt:variant>
      <vt:variant>
        <vt:i4>2818088</vt:i4>
      </vt:variant>
      <vt:variant>
        <vt:i4>249</vt:i4>
      </vt:variant>
      <vt:variant>
        <vt:i4>0</vt:i4>
      </vt:variant>
      <vt:variant>
        <vt:i4>5</vt:i4>
      </vt:variant>
      <vt:variant>
        <vt:lpwstr>https://www.rpharms.com/recognition/setting-professional-standards/polypharmacy-getting-our-medicines-right</vt:lpwstr>
      </vt:variant>
      <vt:variant>
        <vt:lpwstr/>
      </vt:variant>
      <vt:variant>
        <vt:i4>5701648</vt:i4>
      </vt:variant>
      <vt:variant>
        <vt:i4>246</vt:i4>
      </vt:variant>
      <vt:variant>
        <vt:i4>0</vt:i4>
      </vt:variant>
      <vt:variant>
        <vt:i4>5</vt:i4>
      </vt:variant>
      <vt:variant>
        <vt:lpwstr>https://www.nice.org.uk/guidance/ng5</vt:lpwstr>
      </vt:variant>
      <vt:variant>
        <vt:lpwstr/>
      </vt:variant>
      <vt:variant>
        <vt:i4>3342433</vt:i4>
      </vt:variant>
      <vt:variant>
        <vt:i4>243</vt:i4>
      </vt:variant>
      <vt:variant>
        <vt:i4>0</vt:i4>
      </vt:variant>
      <vt:variant>
        <vt:i4>5</vt:i4>
      </vt:variant>
      <vt:variant>
        <vt:lpwstr>https://www.nice.org.uk/guidance/ng215/resources/visual-summary-before-starting-medicines-associated-with-dependence-or-withdrawal-symptoms-pdf-11018567341</vt:lpwstr>
      </vt:variant>
      <vt:variant>
        <vt:lpwstr/>
      </vt:variant>
      <vt:variant>
        <vt:i4>7929969</vt:i4>
      </vt:variant>
      <vt:variant>
        <vt:i4>240</vt:i4>
      </vt:variant>
      <vt:variant>
        <vt:i4>0</vt:i4>
      </vt:variant>
      <vt:variant>
        <vt:i4>5</vt:i4>
      </vt:variant>
      <vt:variant>
        <vt:lpwstr>https://www.england.nhs.uk/ourwork/clinical-policy/olderpeople/frailty/efi/</vt:lpwstr>
      </vt:variant>
      <vt:variant>
        <vt:lpwstr/>
      </vt:variant>
      <vt:variant>
        <vt:i4>5636163</vt:i4>
      </vt:variant>
      <vt:variant>
        <vt:i4>237</vt:i4>
      </vt:variant>
      <vt:variant>
        <vt:i4>0</vt:i4>
      </vt:variant>
      <vt:variant>
        <vt:i4>5</vt:i4>
      </vt:variant>
      <vt:variant>
        <vt:lpwstr>https://www.gov.uk/guidance/valproate-use-by-women-and-girls</vt:lpwstr>
      </vt:variant>
      <vt:variant>
        <vt:lpwstr/>
      </vt:variant>
      <vt:variant>
        <vt:i4>6750244</vt:i4>
      </vt:variant>
      <vt:variant>
        <vt:i4>234</vt:i4>
      </vt:variant>
      <vt:variant>
        <vt:i4>0</vt:i4>
      </vt:variant>
      <vt:variant>
        <vt:i4>5</vt:i4>
      </vt:variant>
      <vt:variant>
        <vt:lpwstr>https://www.nhsbsa.nhs.uk/sites/default/files/2019-08/Medication Safety - Indicators Specification %28Aug19%29.pdf</vt:lpwstr>
      </vt:variant>
      <vt:variant>
        <vt:lpwstr/>
      </vt:variant>
      <vt:variant>
        <vt:i4>6750326</vt:i4>
      </vt:variant>
      <vt:variant>
        <vt:i4>231</vt:i4>
      </vt:variant>
      <vt:variant>
        <vt:i4>0</vt:i4>
      </vt:variant>
      <vt:variant>
        <vt:i4>5</vt:i4>
      </vt:variant>
      <vt:variant>
        <vt:lpwstr>https://www.england.nhs.uk/primary-care/pharmacy/smr/</vt:lpwstr>
      </vt:variant>
      <vt:variant>
        <vt:lpwstr>:~:text=Structured%20Medicine%20Reviews%20(SMRs)%20are,all%20aspects%20of%20their%20health.</vt:lpwstr>
      </vt:variant>
      <vt:variant>
        <vt:i4>5046342</vt:i4>
      </vt:variant>
      <vt:variant>
        <vt:i4>228</vt:i4>
      </vt:variant>
      <vt:variant>
        <vt:i4>0</vt:i4>
      </vt:variant>
      <vt:variant>
        <vt:i4>5</vt:i4>
      </vt:variant>
      <vt:variant>
        <vt:lpwstr>https://www.arc-nt.nihr.ac.uk/research/projects/improving-frailty-identification-in-primary-care/</vt:lpwstr>
      </vt:variant>
      <vt:variant>
        <vt:lpwstr/>
      </vt:variant>
      <vt:variant>
        <vt:i4>4325448</vt:i4>
      </vt:variant>
      <vt:variant>
        <vt:i4>225</vt:i4>
      </vt:variant>
      <vt:variant>
        <vt:i4>0</vt:i4>
      </vt:variant>
      <vt:variant>
        <vt:i4>5</vt:i4>
      </vt:variant>
      <vt:variant>
        <vt:lpwstr>https://www.england.nhs.uk/ourwork/clinical-policy/older-people/frailty/efi/</vt:lpwstr>
      </vt:variant>
      <vt:variant>
        <vt:lpwstr/>
      </vt:variant>
      <vt:variant>
        <vt:i4>65538</vt:i4>
      </vt:variant>
      <vt:variant>
        <vt:i4>222</vt:i4>
      </vt:variant>
      <vt:variant>
        <vt:i4>0</vt:i4>
      </vt:variant>
      <vt:variant>
        <vt:i4>5</vt:i4>
      </vt:variant>
      <vt:variant>
        <vt:lpwstr>https://www.england.nhs.uk/long-read/proactive-care-providing-care-and-support-for-people-living-at-home-with-moderate-or-severe-frailty/</vt:lpwstr>
      </vt:variant>
      <vt:variant>
        <vt:lpwstr/>
      </vt:variant>
      <vt:variant>
        <vt:i4>5308494</vt:i4>
      </vt:variant>
      <vt:variant>
        <vt:i4>219</vt:i4>
      </vt:variant>
      <vt:variant>
        <vt:i4>0</vt:i4>
      </vt:variant>
      <vt:variant>
        <vt:i4>5</vt:i4>
      </vt:variant>
      <vt:variant>
        <vt:lpwstr>https://www.england.nhs.uk/community-health-services/proactive-care/</vt:lpwstr>
      </vt:variant>
      <vt:variant>
        <vt:lpwstr/>
      </vt:variant>
      <vt:variant>
        <vt:i4>5570581</vt:i4>
      </vt:variant>
      <vt:variant>
        <vt:i4>216</vt:i4>
      </vt:variant>
      <vt:variant>
        <vt:i4>0</vt:i4>
      </vt:variant>
      <vt:variant>
        <vt:i4>5</vt:i4>
      </vt:variant>
      <vt:variant>
        <vt:lpwstr>https://screeningsaveslives.co.uk/professionals/</vt:lpwstr>
      </vt:variant>
      <vt:variant>
        <vt:lpwstr/>
      </vt:variant>
      <vt:variant>
        <vt:i4>6160389</vt:i4>
      </vt:variant>
      <vt:variant>
        <vt:i4>213</vt:i4>
      </vt:variant>
      <vt:variant>
        <vt:i4>0</vt:i4>
      </vt:variant>
      <vt:variant>
        <vt:i4>5</vt:i4>
      </vt:variant>
      <vt:variant>
        <vt:lpwstr>https://campaignresources.dhsc.gov.uk/campaigns/help-us-help-you-cancer/</vt:lpwstr>
      </vt:variant>
      <vt:variant>
        <vt:lpwstr/>
      </vt:variant>
      <vt:variant>
        <vt:i4>589827</vt:i4>
      </vt:variant>
      <vt:variant>
        <vt:i4>210</vt:i4>
      </vt:variant>
      <vt:variant>
        <vt:i4>0</vt:i4>
      </vt:variant>
      <vt:variant>
        <vt:i4>5</vt:i4>
      </vt:variant>
      <vt:variant>
        <vt:lpwstr>https://breastcancernow.org/information-support/healthcare-professionals</vt:lpwstr>
      </vt:variant>
      <vt:variant>
        <vt:lpwstr/>
      </vt:variant>
      <vt:variant>
        <vt:i4>1048617</vt:i4>
      </vt:variant>
      <vt:variant>
        <vt:i4>207</vt:i4>
      </vt:variant>
      <vt:variant>
        <vt:i4>0</vt:i4>
      </vt:variant>
      <vt:variant>
        <vt:i4>5</vt:i4>
      </vt:variant>
      <vt:variant>
        <vt:lpwstr>https://cdn.macmillan.org.uk/dfsmedia/1a6f23537f7f4519bb0cf14c45b2a629/1524-source/cancer-screening-tcm9-357843?_ga=2.203044883.36758942.1641821661-852643082.1632760364</vt:lpwstr>
      </vt:variant>
      <vt:variant>
        <vt:lpwstr/>
      </vt:variant>
      <vt:variant>
        <vt:i4>6422643</vt:i4>
      </vt:variant>
      <vt:variant>
        <vt:i4>204</vt:i4>
      </vt:variant>
      <vt:variant>
        <vt:i4>0</vt:i4>
      </vt:variant>
      <vt:variant>
        <vt:i4>5</vt:i4>
      </vt:variant>
      <vt:variant>
        <vt:lpwstr>https://www.cancerresearchuk.org/sites/default/files/final_uk_cervical_screening_guide_july_21.pdf</vt:lpwstr>
      </vt:variant>
      <vt:variant>
        <vt:lpwstr/>
      </vt:variant>
      <vt:variant>
        <vt:i4>2555944</vt:i4>
      </vt:variant>
      <vt:variant>
        <vt:i4>201</vt:i4>
      </vt:variant>
      <vt:variant>
        <vt:i4>0</vt:i4>
      </vt:variant>
      <vt:variant>
        <vt:i4>5</vt:i4>
      </vt:variant>
      <vt:variant>
        <vt:lpwstr>https://www.england.nhs.uk/publication/making-every-contact-count-mecc-consensus-statement/</vt:lpwstr>
      </vt:variant>
      <vt:variant>
        <vt:lpwstr/>
      </vt:variant>
      <vt:variant>
        <vt:i4>1310720</vt:i4>
      </vt:variant>
      <vt:variant>
        <vt:i4>198</vt:i4>
      </vt:variant>
      <vt:variant>
        <vt:i4>0</vt:i4>
      </vt:variant>
      <vt:variant>
        <vt:i4>5</vt:i4>
      </vt:variant>
      <vt:variant>
        <vt:lpwstr>https://fingertips.phe.org.uk/profile/cancerservices</vt:lpwstr>
      </vt:variant>
      <vt:variant>
        <vt:lpwstr/>
      </vt:variant>
      <vt:variant>
        <vt:i4>3407962</vt:i4>
      </vt:variant>
      <vt:variant>
        <vt:i4>195</vt:i4>
      </vt:variant>
      <vt:variant>
        <vt:i4>0</vt:i4>
      </vt:variant>
      <vt:variant>
        <vt:i4>5</vt:i4>
      </vt:variant>
      <vt:variant>
        <vt:lpwstr>https://www.england.nhs.uk/wp-content/uploads/2018/04/B1350_Skin-cancer-timed-diagnostic-pathway.pdf</vt:lpwstr>
      </vt:variant>
      <vt:variant>
        <vt:lpwstr/>
      </vt:variant>
      <vt:variant>
        <vt:i4>6094927</vt:i4>
      </vt:variant>
      <vt:variant>
        <vt:i4>192</vt:i4>
      </vt:variant>
      <vt:variant>
        <vt:i4>0</vt:i4>
      </vt:variant>
      <vt:variant>
        <vt:i4>5</vt:i4>
      </vt:variant>
      <vt:variant>
        <vt:lpwstr>https://www.england.nhs.uk/wp-content/uploads/2022/04/B0829-suspected-skin-cancer-two-week-wait-pathway-optimisation-guidance.pdf</vt:lpwstr>
      </vt:variant>
      <vt:variant>
        <vt:lpwstr/>
      </vt:variant>
      <vt:variant>
        <vt:i4>7077925</vt:i4>
      </vt:variant>
      <vt:variant>
        <vt:i4>189</vt:i4>
      </vt:variant>
      <vt:variant>
        <vt:i4>0</vt:i4>
      </vt:variant>
      <vt:variant>
        <vt:i4>5</vt:i4>
      </vt:variant>
      <vt:variant>
        <vt:lpwstr>https://www.england.nhs.uk/cancer/faster-diagnosis/</vt:lpwstr>
      </vt:variant>
      <vt:variant>
        <vt:lpwstr/>
      </vt:variant>
      <vt:variant>
        <vt:i4>6094864</vt:i4>
      </vt:variant>
      <vt:variant>
        <vt:i4>186</vt:i4>
      </vt:variant>
      <vt:variant>
        <vt:i4>0</vt:i4>
      </vt:variant>
      <vt:variant>
        <vt:i4>5</vt:i4>
      </vt:variant>
      <vt:variant>
        <vt:lpwstr>https://www.nice.org.uk/guidance/dg56</vt:lpwstr>
      </vt:variant>
      <vt:variant>
        <vt:lpwstr/>
      </vt:variant>
      <vt:variant>
        <vt:i4>6619197</vt:i4>
      </vt:variant>
      <vt:variant>
        <vt:i4>183</vt:i4>
      </vt:variant>
      <vt:variant>
        <vt:i4>0</vt:i4>
      </vt:variant>
      <vt:variant>
        <vt:i4>5</vt:i4>
      </vt:variant>
      <vt:variant>
        <vt:lpwstr>https://www.england.nhs.uk/long-read/urgent-gp-direct-access-to-diagnostic-services-for-people-with-symptoms-not-meeting-the-threshold-for-an-urgent-suspected-cancer-referral/</vt:lpwstr>
      </vt:variant>
      <vt:variant>
        <vt:lpwstr/>
      </vt:variant>
      <vt:variant>
        <vt:i4>1310720</vt:i4>
      </vt:variant>
      <vt:variant>
        <vt:i4>180</vt:i4>
      </vt:variant>
      <vt:variant>
        <vt:i4>0</vt:i4>
      </vt:variant>
      <vt:variant>
        <vt:i4>5</vt:i4>
      </vt:variant>
      <vt:variant>
        <vt:lpwstr>https://fingertips.phe.org.uk/profile/cancerservices</vt:lpwstr>
      </vt:variant>
      <vt:variant>
        <vt:lpwstr/>
      </vt:variant>
      <vt:variant>
        <vt:i4>4456521</vt:i4>
      </vt:variant>
      <vt:variant>
        <vt:i4>177</vt:i4>
      </vt:variant>
      <vt:variant>
        <vt:i4>0</vt:i4>
      </vt:variant>
      <vt:variant>
        <vt:i4>5</vt:i4>
      </vt:variant>
      <vt:variant>
        <vt:lpwstr>https://www.cancerresearchuk.org/sites/default/files/ncda_2014_datacollectiontemplate.xlsx</vt:lpwstr>
      </vt:variant>
      <vt:variant>
        <vt:lpwstr/>
      </vt:variant>
      <vt:variant>
        <vt:i4>917507</vt:i4>
      </vt:variant>
      <vt:variant>
        <vt:i4>174</vt:i4>
      </vt:variant>
      <vt:variant>
        <vt:i4>0</vt:i4>
      </vt:variant>
      <vt:variant>
        <vt:i4>5</vt:i4>
      </vt:variant>
      <vt:variant>
        <vt:lpwstr>https://www.cancerresearchuk.org/sites/default/files/ncda_data_proforma_-_indivdiual_patients_0.docx</vt:lpwstr>
      </vt:variant>
      <vt:variant>
        <vt:lpwstr/>
      </vt:variant>
      <vt:variant>
        <vt:i4>5439504</vt:i4>
      </vt:variant>
      <vt:variant>
        <vt:i4>171</vt:i4>
      </vt:variant>
      <vt:variant>
        <vt:i4>0</vt:i4>
      </vt:variant>
      <vt:variant>
        <vt:i4>5</vt:i4>
      </vt:variant>
      <vt:variant>
        <vt:lpwstr>https://www.nice.org.uk/guidance/ng12</vt:lpwstr>
      </vt:variant>
      <vt:variant>
        <vt:lpwstr/>
      </vt:variant>
      <vt:variant>
        <vt:i4>6619168</vt:i4>
      </vt:variant>
      <vt:variant>
        <vt:i4>168</vt:i4>
      </vt:variant>
      <vt:variant>
        <vt:i4>0</vt:i4>
      </vt:variant>
      <vt:variant>
        <vt:i4>5</vt:i4>
      </vt:variant>
      <vt:variant>
        <vt:lpwstr>https://www.nice.org.uk/guidance/ng106</vt:lpwstr>
      </vt:variant>
      <vt:variant>
        <vt:lpwstr/>
      </vt:variant>
      <vt:variant>
        <vt:i4>7602277</vt:i4>
      </vt:variant>
      <vt:variant>
        <vt:i4>165</vt:i4>
      </vt:variant>
      <vt:variant>
        <vt:i4>0</vt:i4>
      </vt:variant>
      <vt:variant>
        <vt:i4>5</vt:i4>
      </vt:variant>
      <vt:variant>
        <vt:lpwstr>https://www.england.nhs.uk/long-read/enhancing-gp-direct-access-to-diagnostic-tests-for-patients-with-suspected-chronic-obstructive-pulmonary-disease-asthma-or-heart-failure/</vt:lpwstr>
      </vt:variant>
      <vt:variant>
        <vt:lpwstr/>
      </vt:variant>
      <vt:variant>
        <vt:i4>6619171</vt:i4>
      </vt:variant>
      <vt:variant>
        <vt:i4>162</vt:i4>
      </vt:variant>
      <vt:variant>
        <vt:i4>0</vt:i4>
      </vt:variant>
      <vt:variant>
        <vt:i4>5</vt:i4>
      </vt:variant>
      <vt:variant>
        <vt:lpwstr>https://www.nice.org.uk/guidance/NG136</vt:lpwstr>
      </vt:variant>
      <vt:variant>
        <vt:lpwstr/>
      </vt:variant>
      <vt:variant>
        <vt:i4>6422636</vt:i4>
      </vt:variant>
      <vt:variant>
        <vt:i4>159</vt:i4>
      </vt:variant>
      <vt:variant>
        <vt:i4>0</vt:i4>
      </vt:variant>
      <vt:variant>
        <vt:i4>5</vt:i4>
      </vt:variant>
      <vt:variant>
        <vt:lpwstr>https://www.england.nhs.uk/aac/publication/statin-intolerance-pathway/</vt:lpwstr>
      </vt:variant>
      <vt:variant>
        <vt:lpwstr/>
      </vt:variant>
      <vt:variant>
        <vt:i4>3014711</vt:i4>
      </vt:variant>
      <vt:variant>
        <vt:i4>156</vt:i4>
      </vt:variant>
      <vt:variant>
        <vt:i4>0</vt:i4>
      </vt:variant>
      <vt:variant>
        <vt:i4>5</vt:i4>
      </vt:variant>
      <vt:variant>
        <vt:lpwstr>https://www.england.nhs.uk/aac/wp-content/uploads/sites/50/2020/04/lipid-management-pathway-v6.pdf</vt:lpwstr>
      </vt:variant>
      <vt:variant>
        <vt:lpwstr/>
      </vt:variant>
      <vt:variant>
        <vt:i4>6815779</vt:i4>
      </vt:variant>
      <vt:variant>
        <vt:i4>153</vt:i4>
      </vt:variant>
      <vt:variant>
        <vt:i4>0</vt:i4>
      </vt:variant>
      <vt:variant>
        <vt:i4>5</vt:i4>
      </vt:variant>
      <vt:variant>
        <vt:lpwstr>https://www.nice.org.uk/guidance/ng238</vt:lpwstr>
      </vt:variant>
      <vt:variant>
        <vt:lpwstr/>
      </vt:variant>
      <vt:variant>
        <vt:i4>6619177</vt:i4>
      </vt:variant>
      <vt:variant>
        <vt:i4>150</vt:i4>
      </vt:variant>
      <vt:variant>
        <vt:i4>0</vt:i4>
      </vt:variant>
      <vt:variant>
        <vt:i4>5</vt:i4>
      </vt:variant>
      <vt:variant>
        <vt:lpwstr>https://www.nice.org.uk/guidance/ng196</vt:lpwstr>
      </vt:variant>
      <vt:variant>
        <vt:lpwstr/>
      </vt:variant>
      <vt:variant>
        <vt:i4>6619171</vt:i4>
      </vt:variant>
      <vt:variant>
        <vt:i4>147</vt:i4>
      </vt:variant>
      <vt:variant>
        <vt:i4>0</vt:i4>
      </vt:variant>
      <vt:variant>
        <vt:i4>5</vt:i4>
      </vt:variant>
      <vt:variant>
        <vt:lpwstr>https://www.nice.org.uk/guidance/NG136</vt:lpwstr>
      </vt:variant>
      <vt:variant>
        <vt:lpwstr/>
      </vt:variant>
      <vt:variant>
        <vt:i4>5242953</vt:i4>
      </vt:variant>
      <vt:variant>
        <vt:i4>144</vt:i4>
      </vt:variant>
      <vt:variant>
        <vt:i4>0</vt:i4>
      </vt:variant>
      <vt:variant>
        <vt:i4>5</vt:i4>
      </vt:variant>
      <vt:variant>
        <vt:lpwstr>https://www.england.nhs.uk/primary-care/pharmacy/nhs-community-pharmacy-bp-checks-and-hypertension-case-finding-advanced-service/</vt:lpwstr>
      </vt:variant>
      <vt:variant>
        <vt:lpwstr/>
      </vt:variant>
      <vt:variant>
        <vt:i4>7798827</vt:i4>
      </vt:variant>
      <vt:variant>
        <vt:i4>141</vt:i4>
      </vt:variant>
      <vt:variant>
        <vt:i4>0</vt:i4>
      </vt:variant>
      <vt:variant>
        <vt:i4>5</vt:i4>
      </vt:variant>
      <vt:variant>
        <vt:lpwstr>https://www.cvdprevent.nhs.uk/home</vt:lpwstr>
      </vt:variant>
      <vt:variant>
        <vt:lpwstr/>
      </vt:variant>
      <vt:variant>
        <vt:i4>2097269</vt:i4>
      </vt:variant>
      <vt:variant>
        <vt:i4>138</vt:i4>
      </vt:variant>
      <vt:variant>
        <vt:i4>0</vt:i4>
      </vt:variant>
      <vt:variant>
        <vt:i4>5</vt:i4>
      </vt:variant>
      <vt:variant>
        <vt:lpwstr>https://www.england.nhs.uk/about/equality/equality-hub/national-healthcare-inequalities-improvement-programme/core20plus5/core20plus5-cyp/</vt:lpwstr>
      </vt:variant>
      <vt:variant>
        <vt:lpwstr/>
      </vt:variant>
      <vt:variant>
        <vt:i4>8257653</vt:i4>
      </vt:variant>
      <vt:variant>
        <vt:i4>135</vt:i4>
      </vt:variant>
      <vt:variant>
        <vt:i4>0</vt:i4>
      </vt:variant>
      <vt:variant>
        <vt:i4>5</vt:i4>
      </vt:variant>
      <vt:variant>
        <vt:lpwstr>https://www.england.nhs.uk/about/equality/equality-hub/national-healthcare-inequalities-improvement-programme/core20plus5/</vt:lpwstr>
      </vt:variant>
      <vt:variant>
        <vt:lpwstr/>
      </vt:variant>
      <vt:variant>
        <vt:i4>4128807</vt:i4>
      </vt:variant>
      <vt:variant>
        <vt:i4>132</vt:i4>
      </vt:variant>
      <vt:variant>
        <vt:i4>0</vt:i4>
      </vt:variant>
      <vt:variant>
        <vt:i4>5</vt:i4>
      </vt:variant>
      <vt:variant>
        <vt:lpwstr>https://gbr01.safelinks.protection.outlook.com/?url=https%3A%2F%2Ffuture.nhs.uk%2Fpopulationhealth%2FgroupHome&amp;data=05%7C02%7Canisa.varsani%40nhs.net%7Ce57f9554631241ac666c08dc00941cdc%7C37c354b285b047f5b22207b48d774ee3%7C0%7C0%7C638385883326249908%7CUnknown%7CTWFpbGZsb3d8eyJWIjoiMC4wLjAwMDAiLCJQIjoiV2luMzIiLCJBTiI6Ik1haWwiLCJXVCI6Mn0%3D%7C3000%7C%7C%7C&amp;sdata=vpCjeTVYoKglDgxwtEU%2FNdob3cEANmH45OhxyV5AGBw%3D&amp;reserved=0</vt:lpwstr>
      </vt:variant>
      <vt:variant>
        <vt:lpwstr/>
      </vt:variant>
      <vt:variant>
        <vt:i4>2359421</vt:i4>
      </vt:variant>
      <vt:variant>
        <vt:i4>129</vt:i4>
      </vt:variant>
      <vt:variant>
        <vt:i4>0</vt:i4>
      </vt:variant>
      <vt:variant>
        <vt:i4>5</vt:i4>
      </vt:variant>
      <vt:variant>
        <vt:lpwstr>https://future.nhs.uk/system/login?nextURL=%2Fconnect%2Eti%2Fpopulationhealth%2Fview%3FobjectId%3D198422821</vt:lpwstr>
      </vt:variant>
      <vt:variant>
        <vt:lpwstr/>
      </vt:variant>
      <vt:variant>
        <vt:i4>22</vt:i4>
      </vt:variant>
      <vt:variant>
        <vt:i4>126</vt:i4>
      </vt:variant>
      <vt:variant>
        <vt:i4>0</vt:i4>
      </vt:variant>
      <vt:variant>
        <vt:i4>5</vt:i4>
      </vt:variant>
      <vt:variant>
        <vt:lpwstr>https://napc.co.uk/wp-content/uploads/2019/08/NAPC-Population-heath-guide-web.pdf</vt:lpwstr>
      </vt:variant>
      <vt:variant>
        <vt:lpwstr/>
      </vt:variant>
      <vt:variant>
        <vt:i4>524357</vt:i4>
      </vt:variant>
      <vt:variant>
        <vt:i4>123</vt:i4>
      </vt:variant>
      <vt:variant>
        <vt:i4>0</vt:i4>
      </vt:variant>
      <vt:variant>
        <vt:i4>5</vt:i4>
      </vt:variant>
      <vt:variant>
        <vt:lpwstr>https://www.e-lfh.org.uk/programmes/population-health-management/</vt:lpwstr>
      </vt:variant>
      <vt:variant>
        <vt:lpwstr/>
      </vt:variant>
      <vt:variant>
        <vt:i4>7536697</vt:i4>
      </vt:variant>
      <vt:variant>
        <vt:i4>120</vt:i4>
      </vt:variant>
      <vt:variant>
        <vt:i4>0</vt:i4>
      </vt:variant>
      <vt:variant>
        <vt:i4>5</vt:i4>
      </vt:variant>
      <vt:variant>
        <vt:lpwstr>https://www.england.nhs.uk/long-read/building-an-ics-intelligence-function/</vt:lpwstr>
      </vt:variant>
      <vt:variant>
        <vt:lpwstr/>
      </vt:variant>
      <vt:variant>
        <vt:i4>5832712</vt:i4>
      </vt:variant>
      <vt:variant>
        <vt:i4>117</vt:i4>
      </vt:variant>
      <vt:variant>
        <vt:i4>0</vt:i4>
      </vt:variant>
      <vt:variant>
        <vt:i4>5</vt:i4>
      </vt:variant>
      <vt:variant>
        <vt:lpwstr>https://imperialcollegehealthpartners.com/getting-started-with-segmentation-analysis/</vt:lpwstr>
      </vt:variant>
      <vt:variant>
        <vt:lpwstr/>
      </vt:variant>
      <vt:variant>
        <vt:i4>3014698</vt:i4>
      </vt:variant>
      <vt:variant>
        <vt:i4>114</vt:i4>
      </vt:variant>
      <vt:variant>
        <vt:i4>0</vt:i4>
      </vt:variant>
      <vt:variant>
        <vt:i4>5</vt:i4>
      </vt:variant>
      <vt:variant>
        <vt:lpwstr>https://future.nhs.uk/populationhealth/view?objectId=156226917</vt:lpwstr>
      </vt:variant>
      <vt:variant>
        <vt:lpwstr/>
      </vt:variant>
      <vt:variant>
        <vt:i4>3866682</vt:i4>
      </vt:variant>
      <vt:variant>
        <vt:i4>111</vt:i4>
      </vt:variant>
      <vt:variant>
        <vt:i4>0</vt:i4>
      </vt:variant>
      <vt:variant>
        <vt:i4>5</vt:i4>
      </vt:variant>
      <vt:variant>
        <vt:lpwstr>https://gbr01.safelinks.protection.outlook.com/?url=https%3A%2F%2Ftransform.england.nhs.uk%2Fdigitise-connect-transform%2Fwhat-good-looks-like%2Fwhat-good-looks-like-publication%2F&amp;data=05%7C01%7Cmiranda.flood1%40nhs.net%7C2ebf5f4a7f214e24e8ea08dbed1f7846%7C37c354b285b047f5b22207b48d774ee3%7C0%7C0%7C638364491629783243%7CUnknown%7CTWFpbGZsb3d8eyJWIjoiMC4wLjAwMDAiLCJQIjoiV2luMzIiLCJBTiI6Ik1haWwiLCJXVCI6Mn0%3D%7C3000%7C%7C%7C&amp;sdata=I%2B6aG9HU0SwcQ2s%2BZbuqsL5RLWtN9TUORz%2F9BG0s5gs%3D&amp;reserved=0</vt:lpwstr>
      </vt:variant>
      <vt:variant>
        <vt:lpwstr/>
      </vt:variant>
      <vt:variant>
        <vt:i4>2097192</vt:i4>
      </vt:variant>
      <vt:variant>
        <vt:i4>108</vt:i4>
      </vt:variant>
      <vt:variant>
        <vt:i4>0</vt:i4>
      </vt:variant>
      <vt:variant>
        <vt:i4>5</vt:i4>
      </vt:variant>
      <vt:variant>
        <vt:lpwstr>https://future.nhs.uk/populationhealth/view?objectID=160504357</vt:lpwstr>
      </vt:variant>
      <vt:variant>
        <vt:lpwstr/>
      </vt:variant>
      <vt:variant>
        <vt:i4>4849695</vt:i4>
      </vt:variant>
      <vt:variant>
        <vt:i4>105</vt:i4>
      </vt:variant>
      <vt:variant>
        <vt:i4>0</vt:i4>
      </vt:variant>
      <vt:variant>
        <vt:i4>5</vt:i4>
      </vt:variant>
      <vt:variant>
        <vt:lpwstr>https://www.england.nhs.uk/gp/investment/gp-contract/network-contract-directed-enhanced-service-des/</vt:lpwstr>
      </vt:variant>
      <vt:variant>
        <vt:lpwstr/>
      </vt:variant>
      <vt:variant>
        <vt:i4>1638450</vt:i4>
      </vt:variant>
      <vt:variant>
        <vt:i4>98</vt:i4>
      </vt:variant>
      <vt:variant>
        <vt:i4>0</vt:i4>
      </vt:variant>
      <vt:variant>
        <vt:i4>5</vt:i4>
      </vt:variant>
      <vt:variant>
        <vt:lpwstr/>
      </vt:variant>
      <vt:variant>
        <vt:lpwstr>_Toc193808079</vt:lpwstr>
      </vt:variant>
      <vt:variant>
        <vt:i4>1638450</vt:i4>
      </vt:variant>
      <vt:variant>
        <vt:i4>92</vt:i4>
      </vt:variant>
      <vt:variant>
        <vt:i4>0</vt:i4>
      </vt:variant>
      <vt:variant>
        <vt:i4>5</vt:i4>
      </vt:variant>
      <vt:variant>
        <vt:lpwstr/>
      </vt:variant>
      <vt:variant>
        <vt:lpwstr>_Toc193808078</vt:lpwstr>
      </vt:variant>
      <vt:variant>
        <vt:i4>1638450</vt:i4>
      </vt:variant>
      <vt:variant>
        <vt:i4>86</vt:i4>
      </vt:variant>
      <vt:variant>
        <vt:i4>0</vt:i4>
      </vt:variant>
      <vt:variant>
        <vt:i4>5</vt:i4>
      </vt:variant>
      <vt:variant>
        <vt:lpwstr/>
      </vt:variant>
      <vt:variant>
        <vt:lpwstr>_Toc193808077</vt:lpwstr>
      </vt:variant>
      <vt:variant>
        <vt:i4>1638450</vt:i4>
      </vt:variant>
      <vt:variant>
        <vt:i4>80</vt:i4>
      </vt:variant>
      <vt:variant>
        <vt:i4>0</vt:i4>
      </vt:variant>
      <vt:variant>
        <vt:i4>5</vt:i4>
      </vt:variant>
      <vt:variant>
        <vt:lpwstr/>
      </vt:variant>
      <vt:variant>
        <vt:lpwstr>_Toc193808076</vt:lpwstr>
      </vt:variant>
      <vt:variant>
        <vt:i4>1638450</vt:i4>
      </vt:variant>
      <vt:variant>
        <vt:i4>74</vt:i4>
      </vt:variant>
      <vt:variant>
        <vt:i4>0</vt:i4>
      </vt:variant>
      <vt:variant>
        <vt:i4>5</vt:i4>
      </vt:variant>
      <vt:variant>
        <vt:lpwstr/>
      </vt:variant>
      <vt:variant>
        <vt:lpwstr>_Toc193808075</vt:lpwstr>
      </vt:variant>
      <vt:variant>
        <vt:i4>1638450</vt:i4>
      </vt:variant>
      <vt:variant>
        <vt:i4>68</vt:i4>
      </vt:variant>
      <vt:variant>
        <vt:i4>0</vt:i4>
      </vt:variant>
      <vt:variant>
        <vt:i4>5</vt:i4>
      </vt:variant>
      <vt:variant>
        <vt:lpwstr/>
      </vt:variant>
      <vt:variant>
        <vt:lpwstr>_Toc193808074</vt:lpwstr>
      </vt:variant>
      <vt:variant>
        <vt:i4>1638450</vt:i4>
      </vt:variant>
      <vt:variant>
        <vt:i4>62</vt:i4>
      </vt:variant>
      <vt:variant>
        <vt:i4>0</vt:i4>
      </vt:variant>
      <vt:variant>
        <vt:i4>5</vt:i4>
      </vt:variant>
      <vt:variant>
        <vt:lpwstr/>
      </vt:variant>
      <vt:variant>
        <vt:lpwstr>_Toc193808073</vt:lpwstr>
      </vt:variant>
      <vt:variant>
        <vt:i4>1638450</vt:i4>
      </vt:variant>
      <vt:variant>
        <vt:i4>56</vt:i4>
      </vt:variant>
      <vt:variant>
        <vt:i4>0</vt:i4>
      </vt:variant>
      <vt:variant>
        <vt:i4>5</vt:i4>
      </vt:variant>
      <vt:variant>
        <vt:lpwstr/>
      </vt:variant>
      <vt:variant>
        <vt:lpwstr>_Toc193808072</vt:lpwstr>
      </vt:variant>
      <vt:variant>
        <vt:i4>1638450</vt:i4>
      </vt:variant>
      <vt:variant>
        <vt:i4>50</vt:i4>
      </vt:variant>
      <vt:variant>
        <vt:i4>0</vt:i4>
      </vt:variant>
      <vt:variant>
        <vt:i4>5</vt:i4>
      </vt:variant>
      <vt:variant>
        <vt:lpwstr/>
      </vt:variant>
      <vt:variant>
        <vt:lpwstr>_Toc193808071</vt:lpwstr>
      </vt:variant>
      <vt:variant>
        <vt:i4>1638450</vt:i4>
      </vt:variant>
      <vt:variant>
        <vt:i4>44</vt:i4>
      </vt:variant>
      <vt:variant>
        <vt:i4>0</vt:i4>
      </vt:variant>
      <vt:variant>
        <vt:i4>5</vt:i4>
      </vt:variant>
      <vt:variant>
        <vt:lpwstr/>
      </vt:variant>
      <vt:variant>
        <vt:lpwstr>_Toc193808070</vt:lpwstr>
      </vt:variant>
      <vt:variant>
        <vt:i4>1572914</vt:i4>
      </vt:variant>
      <vt:variant>
        <vt:i4>38</vt:i4>
      </vt:variant>
      <vt:variant>
        <vt:i4>0</vt:i4>
      </vt:variant>
      <vt:variant>
        <vt:i4>5</vt:i4>
      </vt:variant>
      <vt:variant>
        <vt:lpwstr/>
      </vt:variant>
      <vt:variant>
        <vt:lpwstr>_Toc193808069</vt:lpwstr>
      </vt:variant>
      <vt:variant>
        <vt:i4>1572914</vt:i4>
      </vt:variant>
      <vt:variant>
        <vt:i4>32</vt:i4>
      </vt:variant>
      <vt:variant>
        <vt:i4>0</vt:i4>
      </vt:variant>
      <vt:variant>
        <vt:i4>5</vt:i4>
      </vt:variant>
      <vt:variant>
        <vt:lpwstr/>
      </vt:variant>
      <vt:variant>
        <vt:lpwstr>_Toc193808068</vt:lpwstr>
      </vt:variant>
      <vt:variant>
        <vt:i4>1572914</vt:i4>
      </vt:variant>
      <vt:variant>
        <vt:i4>26</vt:i4>
      </vt:variant>
      <vt:variant>
        <vt:i4>0</vt:i4>
      </vt:variant>
      <vt:variant>
        <vt:i4>5</vt:i4>
      </vt:variant>
      <vt:variant>
        <vt:lpwstr/>
      </vt:variant>
      <vt:variant>
        <vt:lpwstr>_Toc193808067</vt:lpwstr>
      </vt:variant>
      <vt:variant>
        <vt:i4>1572914</vt:i4>
      </vt:variant>
      <vt:variant>
        <vt:i4>20</vt:i4>
      </vt:variant>
      <vt:variant>
        <vt:i4>0</vt:i4>
      </vt:variant>
      <vt:variant>
        <vt:i4>5</vt:i4>
      </vt:variant>
      <vt:variant>
        <vt:lpwstr/>
      </vt:variant>
      <vt:variant>
        <vt:lpwstr>_Toc193808066</vt:lpwstr>
      </vt:variant>
      <vt:variant>
        <vt:i4>1572914</vt:i4>
      </vt:variant>
      <vt:variant>
        <vt:i4>14</vt:i4>
      </vt:variant>
      <vt:variant>
        <vt:i4>0</vt:i4>
      </vt:variant>
      <vt:variant>
        <vt:i4>5</vt:i4>
      </vt:variant>
      <vt:variant>
        <vt:lpwstr/>
      </vt:variant>
      <vt:variant>
        <vt:lpwstr>_Toc193808065</vt:lpwstr>
      </vt:variant>
      <vt:variant>
        <vt:i4>1572914</vt:i4>
      </vt:variant>
      <vt:variant>
        <vt:i4>8</vt:i4>
      </vt:variant>
      <vt:variant>
        <vt:i4>0</vt:i4>
      </vt:variant>
      <vt:variant>
        <vt:i4>5</vt:i4>
      </vt:variant>
      <vt:variant>
        <vt:lpwstr/>
      </vt:variant>
      <vt:variant>
        <vt:lpwstr>_Toc193808064</vt:lpwstr>
      </vt:variant>
      <vt:variant>
        <vt:i4>1572914</vt:i4>
      </vt:variant>
      <vt:variant>
        <vt:i4>2</vt:i4>
      </vt:variant>
      <vt:variant>
        <vt:i4>0</vt:i4>
      </vt:variant>
      <vt:variant>
        <vt:i4>5</vt:i4>
      </vt:variant>
      <vt:variant>
        <vt:lpwstr/>
      </vt:variant>
      <vt:variant>
        <vt:lpwstr>_Toc193808063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contract directed enhanced service</dc:title>
  <dc:subject/>
  <dc:creator>Thomas Waterman</dc:creator>
  <cp:keywords/>
  <cp:lastModifiedBy>RAJA, Fatima (NHS ENGLAND - X24)</cp:lastModifiedBy>
  <cp:revision>3</cp:revision>
  <cp:lastPrinted>2016-07-16T01:27:00Z</cp:lastPrinted>
  <dcterms:created xsi:type="dcterms:W3CDTF">2025-03-26T10:46:00Z</dcterms:created>
  <dcterms:modified xsi:type="dcterms:W3CDTF">2025-03-26T10:46:00Z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0x010100138F108E34103E4DAF2DF5234FEC0D32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