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0016" w14:textId="77777777" w:rsidR="00433E9F" w:rsidRDefault="00433E9F" w:rsidP="00433E9F">
      <w:pPr>
        <w:pStyle w:val="Title"/>
        <w:rPr>
          <w:rFonts w:ascii="Arial" w:hAnsi="Arial"/>
          <w:b/>
          <w:color w:val="005EB8"/>
          <w:sz w:val="40"/>
          <w:szCs w:val="40"/>
          <w14:ligatures w14:val="none"/>
        </w:rPr>
      </w:pPr>
    </w:p>
    <w:p w14:paraId="4604F850" w14:textId="77777777" w:rsidR="00DE244B" w:rsidRPr="00DE244B" w:rsidRDefault="00DE244B" w:rsidP="00DE244B">
      <w:pPr>
        <w:pStyle w:val="Title"/>
        <w:rPr>
          <w:rFonts w:ascii="Arial" w:hAnsi="Arial"/>
          <w:b/>
          <w:color w:val="005EB8"/>
          <w:sz w:val="40"/>
          <w:szCs w:val="40"/>
          <w14:ligatures w14:val="none"/>
        </w:rPr>
      </w:pPr>
    </w:p>
    <w:p w14:paraId="4EA4B4DA" w14:textId="77777777" w:rsidR="00DE244B" w:rsidRPr="00DE244B" w:rsidRDefault="00DE244B" w:rsidP="00DE244B">
      <w:pPr>
        <w:pStyle w:val="Title"/>
        <w:rPr>
          <w:rFonts w:ascii="Arial" w:hAnsi="Arial"/>
          <w:b/>
          <w:color w:val="005EB8"/>
          <w:sz w:val="40"/>
          <w:szCs w:val="40"/>
          <w14:ligatures w14:val="none"/>
        </w:rPr>
      </w:pPr>
    </w:p>
    <w:p w14:paraId="3BA6948A" w14:textId="77777777" w:rsidR="00433E9F" w:rsidRPr="00DE244B" w:rsidRDefault="00433E9F" w:rsidP="00433E9F">
      <w:pPr>
        <w:pStyle w:val="Title"/>
        <w:rPr>
          <w:rFonts w:ascii="Arial" w:hAnsi="Arial"/>
          <w:b/>
          <w:color w:val="005EB8"/>
          <w:sz w:val="40"/>
          <w:szCs w:val="40"/>
          <w14:ligatures w14:val="none"/>
        </w:rPr>
      </w:pPr>
    </w:p>
    <w:p w14:paraId="26C61B22" w14:textId="77777777" w:rsidR="00433E9F" w:rsidRDefault="00433E9F" w:rsidP="00433E9F">
      <w:pPr>
        <w:pStyle w:val="Title"/>
        <w:rPr>
          <w:rFonts w:ascii="Arial" w:hAnsi="Arial"/>
          <w:b/>
          <w:color w:val="005EB8"/>
          <w:sz w:val="40"/>
          <w:szCs w:val="40"/>
          <w14:ligatures w14:val="none"/>
        </w:rPr>
      </w:pPr>
    </w:p>
    <w:p w14:paraId="585B35F5" w14:textId="1D74C0A1" w:rsidR="006B0859" w:rsidRDefault="00012845" w:rsidP="008A4B5C">
      <w:pPr>
        <w:pStyle w:val="Title"/>
        <w:rPr>
          <w:rFonts w:ascii="Arial" w:hAnsi="Arial"/>
          <w:b/>
          <w:color w:val="005EB8"/>
          <w:sz w:val="40"/>
          <w:szCs w:val="40"/>
          <w14:ligatures w14:val="none"/>
        </w:rPr>
      </w:pPr>
      <w:r w:rsidRPr="00433E9F">
        <w:rPr>
          <w:rFonts w:ascii="Arial" w:hAnsi="Arial"/>
          <w:b/>
          <w:color w:val="005EB8"/>
          <w:sz w:val="40"/>
          <w:szCs w:val="40"/>
          <w14:ligatures w14:val="none"/>
        </w:rPr>
        <w:t>Independent Patient Choice and Procurement Panel</w:t>
      </w:r>
    </w:p>
    <w:p w14:paraId="3B56A89D" w14:textId="77777777" w:rsidR="006B0859" w:rsidRDefault="006B0859" w:rsidP="008A4B5C">
      <w:pPr>
        <w:pStyle w:val="Title"/>
        <w:rPr>
          <w:rFonts w:ascii="Arial" w:hAnsi="Arial"/>
          <w:b/>
          <w:color w:val="005EB8"/>
          <w:sz w:val="40"/>
          <w:szCs w:val="40"/>
          <w14:ligatures w14:val="none"/>
        </w:rPr>
      </w:pPr>
    </w:p>
    <w:p w14:paraId="1F98C5AE" w14:textId="2437A9EA" w:rsidR="006B0859" w:rsidRDefault="008A4B5C" w:rsidP="008A4B5C">
      <w:pPr>
        <w:pStyle w:val="Title"/>
        <w:spacing w:after="160" w:line="259" w:lineRule="auto"/>
        <w:contextualSpacing w:val="0"/>
        <w:rPr>
          <w:rFonts w:ascii="Arial" w:hAnsi="Arial"/>
          <w:b/>
          <w:color w:val="005EB8"/>
          <w:sz w:val="32"/>
          <w:szCs w:val="32"/>
          <w14:ligatures w14:val="none"/>
        </w:rPr>
      </w:pPr>
      <w:r w:rsidRPr="008739D8">
        <w:rPr>
          <w:rFonts w:ascii="Arial" w:hAnsi="Arial"/>
          <w:b/>
          <w:color w:val="005EB8"/>
          <w:sz w:val="32"/>
          <w:szCs w:val="32"/>
          <w14:ligatures w14:val="none"/>
        </w:rPr>
        <w:t>Review of a proposed contract award</w:t>
      </w:r>
    </w:p>
    <w:p w14:paraId="315AC819" w14:textId="77777777" w:rsidR="008A4B5C" w:rsidRPr="00DE244B" w:rsidRDefault="008A4B5C" w:rsidP="008A4B5C">
      <w:pPr>
        <w:rPr>
          <w:rFonts w:ascii="Arial" w:eastAsiaTheme="majorEastAsia" w:hAnsi="Arial" w:cstheme="majorBidi"/>
          <w:b/>
          <w:color w:val="005EB8"/>
          <w:spacing w:val="-10"/>
          <w:kern w:val="28"/>
          <w:sz w:val="28"/>
          <w:szCs w:val="28"/>
          <w14:ligatures w14:val="none"/>
        </w:rPr>
      </w:pPr>
    </w:p>
    <w:p w14:paraId="5EEBB8A0" w14:textId="298902A2" w:rsidR="006B0859" w:rsidRPr="00FB0EB9" w:rsidRDefault="005968D3" w:rsidP="0034583C">
      <w:pPr>
        <w:rPr>
          <w:rFonts w:ascii="Arial" w:eastAsiaTheme="majorEastAsia" w:hAnsi="Arial" w:cstheme="majorBidi"/>
          <w:b/>
          <w:color w:val="005EB8"/>
          <w:spacing w:val="-10"/>
          <w:kern w:val="28"/>
          <w:sz w:val="32"/>
          <w:szCs w:val="32"/>
          <w14:ligatures w14:val="none"/>
        </w:rPr>
      </w:pPr>
      <w:r>
        <w:rPr>
          <w:rFonts w:ascii="Arial" w:eastAsiaTheme="majorEastAsia" w:hAnsi="Arial" w:cstheme="majorBidi"/>
          <w:b/>
          <w:color w:val="005EB8"/>
          <w:spacing w:val="-10"/>
          <w:kern w:val="28"/>
          <w:sz w:val="32"/>
          <w:szCs w:val="32"/>
          <w14:ligatures w14:val="none"/>
        </w:rPr>
        <w:t>Intermediate Minor Oral Surgery Services for Yorkshire</w:t>
      </w:r>
      <w:r w:rsidR="007675D6">
        <w:rPr>
          <w:rFonts w:ascii="Arial" w:eastAsiaTheme="majorEastAsia" w:hAnsi="Arial" w:cstheme="majorBidi"/>
          <w:b/>
          <w:color w:val="005EB8"/>
          <w:spacing w:val="-10"/>
          <w:kern w:val="28"/>
          <w:sz w:val="32"/>
          <w:szCs w:val="32"/>
          <w14:ligatures w14:val="none"/>
        </w:rPr>
        <w:t xml:space="preserve"> and the Humber</w:t>
      </w:r>
    </w:p>
    <w:p w14:paraId="6499B0B3"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016D530"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5E72A05"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34F59D39"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1281DEBB" w14:textId="448AF0A4" w:rsidR="00012845" w:rsidRPr="00433E9F" w:rsidRDefault="00012845" w:rsidP="008A4B5C">
      <w:pPr>
        <w:rPr>
          <w:rFonts w:ascii="Arial" w:eastAsiaTheme="majorEastAsia" w:hAnsi="Arial" w:cstheme="majorBidi"/>
          <w:b/>
          <w:color w:val="005EB8"/>
          <w:spacing w:val="-10"/>
          <w:kern w:val="28"/>
          <w:sz w:val="28"/>
          <w:szCs w:val="28"/>
          <w14:ligatures w14:val="none"/>
        </w:rPr>
      </w:pPr>
      <w:r w:rsidRPr="000E6CD2">
        <w:rPr>
          <w:rFonts w:ascii="Arial" w:eastAsiaTheme="majorEastAsia" w:hAnsi="Arial" w:cstheme="majorBidi"/>
          <w:b/>
          <w:color w:val="005EB8"/>
          <w:spacing w:val="-10"/>
          <w:kern w:val="28"/>
          <w:sz w:val="28"/>
          <w:szCs w:val="28"/>
          <w14:ligatures w14:val="none"/>
        </w:rPr>
        <w:t xml:space="preserve">Case Reference: </w:t>
      </w:r>
      <w:r w:rsidR="00B05F38" w:rsidRPr="000E6CD2">
        <w:rPr>
          <w:rFonts w:ascii="Arial" w:eastAsiaTheme="majorEastAsia" w:hAnsi="Arial" w:cstheme="majorBidi"/>
          <w:b/>
          <w:color w:val="005EB8"/>
          <w:spacing w:val="-10"/>
          <w:kern w:val="28"/>
          <w:sz w:val="28"/>
          <w:szCs w:val="28"/>
          <w14:ligatures w14:val="none"/>
        </w:rPr>
        <w:t>CR00</w:t>
      </w:r>
      <w:r w:rsidR="0062324D" w:rsidRPr="000E6CD2">
        <w:rPr>
          <w:rFonts w:ascii="Arial" w:eastAsiaTheme="majorEastAsia" w:hAnsi="Arial" w:cstheme="majorBidi"/>
          <w:b/>
          <w:color w:val="005EB8"/>
          <w:spacing w:val="-10"/>
          <w:kern w:val="28"/>
          <w:sz w:val="28"/>
          <w:szCs w:val="28"/>
          <w14:ligatures w14:val="none"/>
        </w:rPr>
        <w:t>13</w:t>
      </w:r>
      <w:r w:rsidR="000E6CD2">
        <w:rPr>
          <w:rFonts w:ascii="Arial" w:eastAsiaTheme="majorEastAsia" w:hAnsi="Arial" w:cstheme="majorBidi"/>
          <w:b/>
          <w:color w:val="005EB8"/>
          <w:spacing w:val="-10"/>
          <w:kern w:val="28"/>
          <w:sz w:val="28"/>
          <w:szCs w:val="28"/>
          <w14:ligatures w14:val="none"/>
        </w:rPr>
        <w:t>-25 and CR00</w:t>
      </w:r>
      <w:r w:rsidR="0062324D" w:rsidRPr="000E6CD2">
        <w:rPr>
          <w:rFonts w:ascii="Arial" w:eastAsiaTheme="majorEastAsia" w:hAnsi="Arial" w:cstheme="majorBidi"/>
          <w:b/>
          <w:color w:val="005EB8"/>
          <w:spacing w:val="-10"/>
          <w:kern w:val="28"/>
          <w:sz w:val="28"/>
          <w:szCs w:val="28"/>
          <w14:ligatures w14:val="none"/>
        </w:rPr>
        <w:t>14-25</w:t>
      </w:r>
    </w:p>
    <w:p w14:paraId="26863AC5" w14:textId="6BCE0C2A" w:rsidR="00DE244B" w:rsidRDefault="002E0090" w:rsidP="008A4B5C">
      <w:pPr>
        <w:rPr>
          <w:rFonts w:ascii="Arial" w:eastAsiaTheme="majorEastAsia" w:hAnsi="Arial" w:cstheme="majorBidi"/>
          <w:b/>
          <w:color w:val="005EB8"/>
          <w:spacing w:val="-10"/>
          <w:kern w:val="28"/>
          <w:sz w:val="28"/>
          <w:szCs w:val="28"/>
          <w14:ligatures w14:val="none"/>
        </w:rPr>
      </w:pPr>
      <w:r>
        <w:rPr>
          <w:rFonts w:ascii="Arial" w:eastAsiaTheme="majorEastAsia" w:hAnsi="Arial" w:cstheme="majorBidi"/>
          <w:b/>
          <w:color w:val="005EB8"/>
          <w:spacing w:val="-10"/>
          <w:kern w:val="28"/>
          <w:sz w:val="28"/>
          <w:szCs w:val="28"/>
          <w14:ligatures w14:val="none"/>
        </w:rPr>
        <w:t xml:space="preserve">27 </w:t>
      </w:r>
      <w:r w:rsidR="00FF2438">
        <w:rPr>
          <w:rFonts w:ascii="Arial" w:eastAsiaTheme="majorEastAsia" w:hAnsi="Arial" w:cstheme="majorBidi"/>
          <w:b/>
          <w:color w:val="005EB8"/>
          <w:spacing w:val="-10"/>
          <w:kern w:val="28"/>
          <w:sz w:val="28"/>
          <w:szCs w:val="28"/>
          <w14:ligatures w14:val="none"/>
        </w:rPr>
        <w:t>May 2025</w:t>
      </w:r>
    </w:p>
    <w:p w14:paraId="5E555C8B"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31C493C6"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2ABD4D4A"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4D32C94C" w14:textId="5D65F037" w:rsidR="005A3C70" w:rsidRDefault="005A3C70" w:rsidP="008A4B5C">
      <w:pPr>
        <w:rPr>
          <w:rFonts w:ascii="Arial" w:eastAsiaTheme="majorEastAsia" w:hAnsi="Arial" w:cstheme="majorBidi"/>
          <w:b/>
          <w:color w:val="005EB8"/>
          <w:spacing w:val="-10"/>
          <w:kern w:val="28"/>
          <w:sz w:val="28"/>
          <w:szCs w:val="28"/>
          <w:highlight w:val="yellow"/>
          <w14:ligatures w14:val="none"/>
        </w:rPr>
      </w:pPr>
      <w:r>
        <w:rPr>
          <w:rFonts w:ascii="Arial" w:eastAsiaTheme="majorEastAsia" w:hAnsi="Arial" w:cstheme="majorBidi"/>
          <w:b/>
          <w:color w:val="005EB8"/>
          <w:spacing w:val="-10"/>
          <w:kern w:val="28"/>
          <w:sz w:val="28"/>
          <w:szCs w:val="28"/>
          <w:highlight w:val="yellow"/>
          <w14:ligatures w14:val="none"/>
        </w:rPr>
        <w:br w:type="page"/>
      </w:r>
    </w:p>
    <w:sdt>
      <w:sdtPr>
        <w:rPr>
          <w:rFonts w:asciiTheme="minorHAnsi" w:eastAsiaTheme="minorEastAsia" w:hAnsiTheme="minorHAnsi" w:cstheme="minorBidi"/>
          <w:color w:val="auto"/>
          <w:kern w:val="2"/>
          <w:sz w:val="22"/>
          <w:szCs w:val="22"/>
          <w:lang w:val="en-GB"/>
          <w14:ligatures w14:val="standardContextual"/>
        </w:rPr>
        <w:id w:val="1468388688"/>
        <w:docPartObj>
          <w:docPartGallery w:val="Table of Contents"/>
          <w:docPartUnique/>
        </w:docPartObj>
      </w:sdtPr>
      <w:sdtContent>
        <w:p w14:paraId="4474B6CF" w14:textId="2233E812" w:rsidR="005A3C70" w:rsidRPr="00820BB3" w:rsidRDefault="005A3C70" w:rsidP="00026887">
          <w:pPr>
            <w:pStyle w:val="TOCHeading"/>
            <w:rPr>
              <w:rFonts w:ascii="Arial" w:hAnsi="Arial" w:cs="Arial"/>
              <w:color w:val="000000" w:themeColor="text1"/>
              <w:sz w:val="28"/>
              <w:szCs w:val="28"/>
            </w:rPr>
          </w:pPr>
          <w:r w:rsidRPr="00820BB3">
            <w:rPr>
              <w:rFonts w:ascii="Arial" w:hAnsi="Arial" w:cs="Arial"/>
              <w:color w:val="000000" w:themeColor="text1"/>
              <w:sz w:val="28"/>
              <w:szCs w:val="28"/>
            </w:rPr>
            <w:t>Contents</w:t>
          </w:r>
        </w:p>
        <w:p w14:paraId="76704CB2" w14:textId="77777777" w:rsidR="0005759A" w:rsidRPr="00820BB3" w:rsidRDefault="0005759A" w:rsidP="00026887">
          <w:pPr>
            <w:rPr>
              <w:lang w:val="en-US"/>
            </w:rPr>
          </w:pPr>
        </w:p>
        <w:p w14:paraId="39AC35AB" w14:textId="47C53C1A" w:rsidR="003A626A" w:rsidRPr="003A626A" w:rsidRDefault="005A3C70">
          <w:pPr>
            <w:pStyle w:val="TOC1"/>
            <w:rPr>
              <w:rFonts w:eastAsiaTheme="minorEastAsia"/>
              <w:noProof/>
              <w:sz w:val="24"/>
              <w:szCs w:val="24"/>
              <w:lang w:eastAsia="en-GB"/>
            </w:rPr>
          </w:pPr>
          <w:r w:rsidRPr="003A626A">
            <w:rPr>
              <w:rFonts w:ascii="Arial" w:hAnsi="Arial" w:cs="Arial"/>
            </w:rPr>
            <w:fldChar w:fldCharType="begin"/>
          </w:r>
          <w:r w:rsidRPr="003A626A">
            <w:rPr>
              <w:rFonts w:ascii="Arial" w:hAnsi="Arial" w:cs="Arial"/>
            </w:rPr>
            <w:instrText xml:space="preserve"> TOC \o "1-3" \h \z \u </w:instrText>
          </w:r>
          <w:r w:rsidRPr="003A626A">
            <w:rPr>
              <w:rFonts w:ascii="Arial" w:hAnsi="Arial" w:cs="Arial"/>
            </w:rPr>
            <w:fldChar w:fldCharType="separate"/>
          </w:r>
          <w:hyperlink w:anchor="_Toc198745099" w:history="1">
            <w:r w:rsidR="003A626A" w:rsidRPr="003A626A">
              <w:rPr>
                <w:rStyle w:val="Hyperlink"/>
                <w:rFonts w:ascii="Arial" w:hAnsi="Arial" w:cs="Arial"/>
                <w:noProof/>
              </w:rPr>
              <w:t>1.</w:t>
            </w:r>
            <w:r w:rsidR="003A626A" w:rsidRPr="003A626A">
              <w:rPr>
                <w:rFonts w:eastAsiaTheme="minorEastAsia"/>
                <w:noProof/>
                <w:sz w:val="24"/>
                <w:szCs w:val="24"/>
                <w:lang w:eastAsia="en-GB"/>
              </w:rPr>
              <w:tab/>
            </w:r>
            <w:r w:rsidR="003A626A" w:rsidRPr="003A626A">
              <w:rPr>
                <w:rStyle w:val="Hyperlink"/>
                <w:rFonts w:ascii="Arial" w:hAnsi="Arial" w:cs="Arial"/>
                <w:noProof/>
              </w:rPr>
              <w:t>Executive Summary</w:t>
            </w:r>
            <w:r w:rsidR="003A626A" w:rsidRPr="003A626A">
              <w:rPr>
                <w:noProof/>
                <w:webHidden/>
              </w:rPr>
              <w:tab/>
            </w:r>
            <w:r w:rsidR="003A626A" w:rsidRPr="003A626A">
              <w:rPr>
                <w:noProof/>
                <w:webHidden/>
              </w:rPr>
              <w:fldChar w:fldCharType="begin"/>
            </w:r>
            <w:r w:rsidR="003A626A" w:rsidRPr="003A626A">
              <w:rPr>
                <w:noProof/>
                <w:webHidden/>
              </w:rPr>
              <w:instrText xml:space="preserve"> PAGEREF _Toc198745099 \h </w:instrText>
            </w:r>
            <w:r w:rsidR="003A626A" w:rsidRPr="003A626A">
              <w:rPr>
                <w:noProof/>
                <w:webHidden/>
              </w:rPr>
            </w:r>
            <w:r w:rsidR="003A626A" w:rsidRPr="003A626A">
              <w:rPr>
                <w:noProof/>
                <w:webHidden/>
              </w:rPr>
              <w:fldChar w:fldCharType="separate"/>
            </w:r>
            <w:r w:rsidR="008E5755">
              <w:rPr>
                <w:noProof/>
                <w:webHidden/>
              </w:rPr>
              <w:t>3</w:t>
            </w:r>
            <w:r w:rsidR="003A626A" w:rsidRPr="003A626A">
              <w:rPr>
                <w:noProof/>
                <w:webHidden/>
              </w:rPr>
              <w:fldChar w:fldCharType="end"/>
            </w:r>
          </w:hyperlink>
        </w:p>
        <w:p w14:paraId="1E93BF62" w14:textId="2196609D" w:rsidR="003A626A" w:rsidRPr="003A626A" w:rsidRDefault="003A626A">
          <w:pPr>
            <w:pStyle w:val="TOC1"/>
            <w:rPr>
              <w:rFonts w:eastAsiaTheme="minorEastAsia"/>
              <w:noProof/>
              <w:sz w:val="24"/>
              <w:szCs w:val="24"/>
              <w:lang w:eastAsia="en-GB"/>
            </w:rPr>
          </w:pPr>
          <w:hyperlink w:anchor="_Toc198745100" w:history="1">
            <w:r w:rsidRPr="003A626A">
              <w:rPr>
                <w:rStyle w:val="Hyperlink"/>
                <w:rFonts w:ascii="Arial" w:hAnsi="Arial" w:cs="Arial"/>
                <w:noProof/>
              </w:rPr>
              <w:t>2.</w:t>
            </w:r>
            <w:r w:rsidRPr="003A626A">
              <w:rPr>
                <w:rFonts w:eastAsiaTheme="minorEastAsia"/>
                <w:noProof/>
                <w:sz w:val="24"/>
                <w:szCs w:val="24"/>
                <w:lang w:eastAsia="en-GB"/>
              </w:rPr>
              <w:tab/>
            </w:r>
            <w:r w:rsidRPr="003A626A">
              <w:rPr>
                <w:rStyle w:val="Hyperlink"/>
                <w:rFonts w:ascii="Arial" w:hAnsi="Arial" w:cs="Arial"/>
                <w:noProof/>
              </w:rPr>
              <w:t>Introduction</w:t>
            </w:r>
            <w:r w:rsidRPr="003A626A">
              <w:rPr>
                <w:noProof/>
                <w:webHidden/>
              </w:rPr>
              <w:tab/>
            </w:r>
            <w:r w:rsidRPr="003A626A">
              <w:rPr>
                <w:noProof/>
                <w:webHidden/>
              </w:rPr>
              <w:fldChar w:fldCharType="begin"/>
            </w:r>
            <w:r w:rsidRPr="003A626A">
              <w:rPr>
                <w:noProof/>
                <w:webHidden/>
              </w:rPr>
              <w:instrText xml:space="preserve"> PAGEREF _Toc198745100 \h </w:instrText>
            </w:r>
            <w:r w:rsidRPr="003A626A">
              <w:rPr>
                <w:noProof/>
                <w:webHidden/>
              </w:rPr>
            </w:r>
            <w:r w:rsidRPr="003A626A">
              <w:rPr>
                <w:noProof/>
                <w:webHidden/>
              </w:rPr>
              <w:fldChar w:fldCharType="separate"/>
            </w:r>
            <w:r w:rsidR="008E5755">
              <w:rPr>
                <w:noProof/>
                <w:webHidden/>
              </w:rPr>
              <w:t>5</w:t>
            </w:r>
            <w:r w:rsidRPr="003A626A">
              <w:rPr>
                <w:noProof/>
                <w:webHidden/>
              </w:rPr>
              <w:fldChar w:fldCharType="end"/>
            </w:r>
          </w:hyperlink>
        </w:p>
        <w:p w14:paraId="2521D969" w14:textId="5E1E6B02" w:rsidR="003A626A" w:rsidRPr="003A626A" w:rsidRDefault="003A626A">
          <w:pPr>
            <w:pStyle w:val="TOC1"/>
            <w:rPr>
              <w:rFonts w:eastAsiaTheme="minorEastAsia"/>
              <w:noProof/>
              <w:sz w:val="24"/>
              <w:szCs w:val="24"/>
              <w:lang w:eastAsia="en-GB"/>
            </w:rPr>
          </w:pPr>
          <w:hyperlink w:anchor="_Toc198745101" w:history="1">
            <w:r w:rsidRPr="003A626A">
              <w:rPr>
                <w:rStyle w:val="Hyperlink"/>
                <w:rFonts w:ascii="Arial" w:hAnsi="Arial" w:cs="Arial"/>
                <w:noProof/>
              </w:rPr>
              <w:t>3.</w:t>
            </w:r>
            <w:r w:rsidRPr="003A626A">
              <w:rPr>
                <w:rFonts w:eastAsiaTheme="minorEastAsia"/>
                <w:noProof/>
                <w:sz w:val="24"/>
                <w:szCs w:val="24"/>
                <w:lang w:eastAsia="en-GB"/>
              </w:rPr>
              <w:tab/>
            </w:r>
            <w:r w:rsidRPr="003A626A">
              <w:rPr>
                <w:rStyle w:val="Hyperlink"/>
                <w:rFonts w:ascii="Arial" w:hAnsi="Arial" w:cs="Arial"/>
                <w:noProof/>
              </w:rPr>
              <w:t>Role of the Panel</w:t>
            </w:r>
            <w:r w:rsidRPr="003A626A">
              <w:rPr>
                <w:noProof/>
                <w:webHidden/>
              </w:rPr>
              <w:tab/>
            </w:r>
            <w:r w:rsidRPr="003A626A">
              <w:rPr>
                <w:noProof/>
                <w:webHidden/>
              </w:rPr>
              <w:fldChar w:fldCharType="begin"/>
            </w:r>
            <w:r w:rsidRPr="003A626A">
              <w:rPr>
                <w:noProof/>
                <w:webHidden/>
              </w:rPr>
              <w:instrText xml:space="preserve"> PAGEREF _Toc198745101 \h </w:instrText>
            </w:r>
            <w:r w:rsidRPr="003A626A">
              <w:rPr>
                <w:noProof/>
                <w:webHidden/>
              </w:rPr>
            </w:r>
            <w:r w:rsidRPr="003A626A">
              <w:rPr>
                <w:noProof/>
                <w:webHidden/>
              </w:rPr>
              <w:fldChar w:fldCharType="separate"/>
            </w:r>
            <w:r w:rsidR="008E5755">
              <w:rPr>
                <w:noProof/>
                <w:webHidden/>
              </w:rPr>
              <w:t>6</w:t>
            </w:r>
            <w:r w:rsidRPr="003A626A">
              <w:rPr>
                <w:noProof/>
                <w:webHidden/>
              </w:rPr>
              <w:fldChar w:fldCharType="end"/>
            </w:r>
          </w:hyperlink>
        </w:p>
        <w:p w14:paraId="1E9E5D93" w14:textId="1379B153" w:rsidR="003A626A" w:rsidRPr="003A626A" w:rsidRDefault="003A626A">
          <w:pPr>
            <w:pStyle w:val="TOC1"/>
            <w:rPr>
              <w:rFonts w:eastAsiaTheme="minorEastAsia"/>
              <w:noProof/>
              <w:sz w:val="24"/>
              <w:szCs w:val="24"/>
              <w:lang w:eastAsia="en-GB"/>
            </w:rPr>
          </w:pPr>
          <w:hyperlink w:anchor="_Toc198745102" w:history="1">
            <w:r w:rsidRPr="003A626A">
              <w:rPr>
                <w:rStyle w:val="Hyperlink"/>
                <w:rFonts w:ascii="Arial" w:hAnsi="Arial" w:cs="Arial"/>
                <w:noProof/>
              </w:rPr>
              <w:t>4.</w:t>
            </w:r>
            <w:r w:rsidRPr="003A626A">
              <w:rPr>
                <w:rFonts w:eastAsiaTheme="minorEastAsia"/>
                <w:noProof/>
                <w:sz w:val="24"/>
                <w:szCs w:val="24"/>
                <w:lang w:eastAsia="en-GB"/>
              </w:rPr>
              <w:tab/>
            </w:r>
            <w:r w:rsidRPr="003A626A">
              <w:rPr>
                <w:rStyle w:val="Hyperlink"/>
                <w:rFonts w:ascii="Arial" w:hAnsi="Arial" w:cs="Arial"/>
                <w:noProof/>
              </w:rPr>
              <w:t>Background to this review</w:t>
            </w:r>
            <w:r w:rsidRPr="003A626A">
              <w:rPr>
                <w:noProof/>
                <w:webHidden/>
              </w:rPr>
              <w:tab/>
            </w:r>
            <w:r w:rsidRPr="003A626A">
              <w:rPr>
                <w:noProof/>
                <w:webHidden/>
              </w:rPr>
              <w:fldChar w:fldCharType="begin"/>
            </w:r>
            <w:r w:rsidRPr="003A626A">
              <w:rPr>
                <w:noProof/>
                <w:webHidden/>
              </w:rPr>
              <w:instrText xml:space="preserve"> PAGEREF _Toc198745102 \h </w:instrText>
            </w:r>
            <w:r w:rsidRPr="003A626A">
              <w:rPr>
                <w:noProof/>
                <w:webHidden/>
              </w:rPr>
            </w:r>
            <w:r w:rsidRPr="003A626A">
              <w:rPr>
                <w:noProof/>
                <w:webHidden/>
              </w:rPr>
              <w:fldChar w:fldCharType="separate"/>
            </w:r>
            <w:r w:rsidR="008E5755">
              <w:rPr>
                <w:noProof/>
                <w:webHidden/>
              </w:rPr>
              <w:t>7</w:t>
            </w:r>
            <w:r w:rsidRPr="003A626A">
              <w:rPr>
                <w:noProof/>
                <w:webHidden/>
              </w:rPr>
              <w:fldChar w:fldCharType="end"/>
            </w:r>
          </w:hyperlink>
        </w:p>
        <w:p w14:paraId="3C788E5E" w14:textId="5FAEC24A" w:rsidR="003A626A" w:rsidRPr="003A626A" w:rsidRDefault="003A626A">
          <w:pPr>
            <w:pStyle w:val="TOC1"/>
            <w:rPr>
              <w:rFonts w:eastAsiaTheme="minorEastAsia"/>
              <w:noProof/>
              <w:sz w:val="24"/>
              <w:szCs w:val="24"/>
              <w:lang w:eastAsia="en-GB"/>
            </w:rPr>
          </w:pPr>
          <w:hyperlink w:anchor="_Toc198745103" w:history="1">
            <w:r w:rsidRPr="003A626A">
              <w:rPr>
                <w:rStyle w:val="Hyperlink"/>
                <w:rFonts w:ascii="Arial" w:hAnsi="Arial" w:cs="Arial"/>
                <w:noProof/>
              </w:rPr>
              <w:t>5.</w:t>
            </w:r>
            <w:r w:rsidRPr="003A626A">
              <w:rPr>
                <w:rFonts w:eastAsiaTheme="minorEastAsia"/>
                <w:noProof/>
                <w:sz w:val="24"/>
                <w:szCs w:val="24"/>
                <w:lang w:eastAsia="en-GB"/>
              </w:rPr>
              <w:tab/>
            </w:r>
            <w:r w:rsidRPr="003A626A">
              <w:rPr>
                <w:rStyle w:val="Hyperlink"/>
                <w:rFonts w:ascii="Arial" w:hAnsi="Arial" w:cs="Arial"/>
                <w:noProof/>
              </w:rPr>
              <w:t>Barkhill’s representations to the Panel</w:t>
            </w:r>
            <w:r w:rsidRPr="003A626A">
              <w:rPr>
                <w:noProof/>
                <w:webHidden/>
              </w:rPr>
              <w:tab/>
            </w:r>
            <w:r w:rsidRPr="003A626A">
              <w:rPr>
                <w:noProof/>
                <w:webHidden/>
              </w:rPr>
              <w:fldChar w:fldCharType="begin"/>
            </w:r>
            <w:r w:rsidRPr="003A626A">
              <w:rPr>
                <w:noProof/>
                <w:webHidden/>
              </w:rPr>
              <w:instrText xml:space="preserve"> PAGEREF _Toc198745103 \h </w:instrText>
            </w:r>
            <w:r w:rsidRPr="003A626A">
              <w:rPr>
                <w:noProof/>
                <w:webHidden/>
              </w:rPr>
            </w:r>
            <w:r w:rsidRPr="003A626A">
              <w:rPr>
                <w:noProof/>
                <w:webHidden/>
              </w:rPr>
              <w:fldChar w:fldCharType="separate"/>
            </w:r>
            <w:r w:rsidR="008E5755">
              <w:rPr>
                <w:noProof/>
                <w:webHidden/>
              </w:rPr>
              <w:t>10</w:t>
            </w:r>
            <w:r w:rsidRPr="003A626A">
              <w:rPr>
                <w:noProof/>
                <w:webHidden/>
              </w:rPr>
              <w:fldChar w:fldCharType="end"/>
            </w:r>
          </w:hyperlink>
        </w:p>
        <w:p w14:paraId="77FA8E4D" w14:textId="6477E68A" w:rsidR="003A626A" w:rsidRPr="003A626A" w:rsidRDefault="003A626A">
          <w:pPr>
            <w:pStyle w:val="TOC1"/>
            <w:rPr>
              <w:rFonts w:eastAsiaTheme="minorEastAsia"/>
              <w:noProof/>
              <w:sz w:val="24"/>
              <w:szCs w:val="24"/>
              <w:lang w:eastAsia="en-GB"/>
            </w:rPr>
          </w:pPr>
          <w:hyperlink w:anchor="_Toc198745104" w:history="1">
            <w:r w:rsidRPr="003A626A">
              <w:rPr>
                <w:rStyle w:val="Hyperlink"/>
                <w:rFonts w:ascii="Arial" w:hAnsi="Arial" w:cs="Arial"/>
                <w:noProof/>
              </w:rPr>
              <w:t>6.</w:t>
            </w:r>
            <w:r w:rsidRPr="003A626A">
              <w:rPr>
                <w:rFonts w:eastAsiaTheme="minorEastAsia"/>
                <w:noProof/>
                <w:sz w:val="24"/>
                <w:szCs w:val="24"/>
                <w:lang w:eastAsia="en-GB"/>
              </w:rPr>
              <w:tab/>
            </w:r>
            <w:r w:rsidRPr="003A626A">
              <w:rPr>
                <w:rStyle w:val="Hyperlink"/>
                <w:rFonts w:ascii="Arial" w:hAnsi="Arial" w:cs="Arial"/>
                <w:noProof/>
              </w:rPr>
              <w:t>PSR regulations relevant to Barkhill’s representations</w:t>
            </w:r>
            <w:r w:rsidRPr="003A626A">
              <w:rPr>
                <w:noProof/>
                <w:webHidden/>
              </w:rPr>
              <w:tab/>
            </w:r>
            <w:r w:rsidRPr="003A626A">
              <w:rPr>
                <w:noProof/>
                <w:webHidden/>
              </w:rPr>
              <w:fldChar w:fldCharType="begin"/>
            </w:r>
            <w:r w:rsidRPr="003A626A">
              <w:rPr>
                <w:noProof/>
                <w:webHidden/>
              </w:rPr>
              <w:instrText xml:space="preserve"> PAGEREF _Toc198745104 \h </w:instrText>
            </w:r>
            <w:r w:rsidRPr="003A626A">
              <w:rPr>
                <w:noProof/>
                <w:webHidden/>
              </w:rPr>
            </w:r>
            <w:r w:rsidRPr="003A626A">
              <w:rPr>
                <w:noProof/>
                <w:webHidden/>
              </w:rPr>
              <w:fldChar w:fldCharType="separate"/>
            </w:r>
            <w:r w:rsidR="008E5755">
              <w:rPr>
                <w:noProof/>
                <w:webHidden/>
              </w:rPr>
              <w:t>11</w:t>
            </w:r>
            <w:r w:rsidRPr="003A626A">
              <w:rPr>
                <w:noProof/>
                <w:webHidden/>
              </w:rPr>
              <w:fldChar w:fldCharType="end"/>
            </w:r>
          </w:hyperlink>
        </w:p>
        <w:p w14:paraId="62321E3A" w14:textId="75863325" w:rsidR="003A626A" w:rsidRPr="003A626A" w:rsidRDefault="003A626A">
          <w:pPr>
            <w:pStyle w:val="TOC1"/>
            <w:rPr>
              <w:rFonts w:eastAsiaTheme="minorEastAsia"/>
              <w:noProof/>
              <w:sz w:val="24"/>
              <w:szCs w:val="24"/>
              <w:lang w:eastAsia="en-GB"/>
            </w:rPr>
          </w:pPr>
          <w:hyperlink w:anchor="_Toc198745105" w:history="1">
            <w:r w:rsidRPr="003A626A">
              <w:rPr>
                <w:rStyle w:val="Hyperlink"/>
                <w:rFonts w:ascii="Arial" w:hAnsi="Arial" w:cs="Arial"/>
                <w:noProof/>
              </w:rPr>
              <w:t>7.</w:t>
            </w:r>
            <w:r w:rsidRPr="003A626A">
              <w:rPr>
                <w:rFonts w:eastAsiaTheme="minorEastAsia"/>
                <w:noProof/>
                <w:sz w:val="24"/>
                <w:szCs w:val="24"/>
                <w:lang w:eastAsia="en-GB"/>
              </w:rPr>
              <w:tab/>
            </w:r>
            <w:r w:rsidRPr="003A626A">
              <w:rPr>
                <w:rStyle w:val="Hyperlink"/>
                <w:rFonts w:ascii="Arial" w:hAnsi="Arial" w:cs="Arial"/>
                <w:noProof/>
              </w:rPr>
              <w:t>Assessment of Barkhill’s representations</w:t>
            </w:r>
            <w:r w:rsidRPr="003A626A">
              <w:rPr>
                <w:noProof/>
                <w:webHidden/>
              </w:rPr>
              <w:tab/>
            </w:r>
            <w:r w:rsidRPr="003A626A">
              <w:rPr>
                <w:noProof/>
                <w:webHidden/>
              </w:rPr>
              <w:fldChar w:fldCharType="begin"/>
            </w:r>
            <w:r w:rsidRPr="003A626A">
              <w:rPr>
                <w:noProof/>
                <w:webHidden/>
              </w:rPr>
              <w:instrText xml:space="preserve"> PAGEREF _Toc198745105 \h </w:instrText>
            </w:r>
            <w:r w:rsidRPr="003A626A">
              <w:rPr>
                <w:noProof/>
                <w:webHidden/>
              </w:rPr>
            </w:r>
            <w:r w:rsidRPr="003A626A">
              <w:rPr>
                <w:noProof/>
                <w:webHidden/>
              </w:rPr>
              <w:fldChar w:fldCharType="separate"/>
            </w:r>
            <w:r w:rsidR="008E5755">
              <w:rPr>
                <w:noProof/>
                <w:webHidden/>
              </w:rPr>
              <w:t>13</w:t>
            </w:r>
            <w:r w:rsidRPr="003A626A">
              <w:rPr>
                <w:noProof/>
                <w:webHidden/>
              </w:rPr>
              <w:fldChar w:fldCharType="end"/>
            </w:r>
          </w:hyperlink>
        </w:p>
        <w:p w14:paraId="37BE7375" w14:textId="194F6CB1" w:rsidR="003A626A" w:rsidRPr="003A626A" w:rsidRDefault="003A626A">
          <w:pPr>
            <w:pStyle w:val="TOC2"/>
            <w:tabs>
              <w:tab w:val="left" w:pos="960"/>
              <w:tab w:val="right" w:leader="dot" w:pos="9016"/>
            </w:tabs>
            <w:rPr>
              <w:rFonts w:eastAsiaTheme="minorEastAsia"/>
              <w:noProof/>
              <w:sz w:val="24"/>
              <w:szCs w:val="24"/>
              <w:lang w:eastAsia="en-GB"/>
            </w:rPr>
          </w:pPr>
          <w:hyperlink w:anchor="_Toc198745106" w:history="1">
            <w:r w:rsidRPr="003A626A">
              <w:rPr>
                <w:rStyle w:val="Hyperlink"/>
                <w:rFonts w:ascii="Arial" w:hAnsi="Arial" w:cs="Arial"/>
                <w:noProof/>
              </w:rPr>
              <w:t>7.1</w:t>
            </w:r>
            <w:r w:rsidRPr="003A626A">
              <w:rPr>
                <w:rFonts w:eastAsiaTheme="minorEastAsia"/>
                <w:noProof/>
                <w:sz w:val="24"/>
                <w:szCs w:val="24"/>
                <w:lang w:eastAsia="en-GB"/>
              </w:rPr>
              <w:tab/>
            </w:r>
            <w:r w:rsidRPr="003A626A">
              <w:rPr>
                <w:rStyle w:val="Hyperlink"/>
                <w:rFonts w:ascii="Arial" w:hAnsi="Arial" w:cs="Arial"/>
                <w:noProof/>
              </w:rPr>
              <w:t>HNY ICB’s evaluation of Barkhill’s proposals</w:t>
            </w:r>
            <w:r w:rsidRPr="003A626A">
              <w:rPr>
                <w:noProof/>
                <w:webHidden/>
              </w:rPr>
              <w:tab/>
            </w:r>
            <w:r w:rsidRPr="003A626A">
              <w:rPr>
                <w:noProof/>
                <w:webHidden/>
              </w:rPr>
              <w:fldChar w:fldCharType="begin"/>
            </w:r>
            <w:r w:rsidRPr="003A626A">
              <w:rPr>
                <w:noProof/>
                <w:webHidden/>
              </w:rPr>
              <w:instrText xml:space="preserve"> PAGEREF _Toc198745106 \h </w:instrText>
            </w:r>
            <w:r w:rsidRPr="003A626A">
              <w:rPr>
                <w:noProof/>
                <w:webHidden/>
              </w:rPr>
            </w:r>
            <w:r w:rsidRPr="003A626A">
              <w:rPr>
                <w:noProof/>
                <w:webHidden/>
              </w:rPr>
              <w:fldChar w:fldCharType="separate"/>
            </w:r>
            <w:r w:rsidR="008E5755">
              <w:rPr>
                <w:noProof/>
                <w:webHidden/>
              </w:rPr>
              <w:t>13</w:t>
            </w:r>
            <w:r w:rsidRPr="003A626A">
              <w:rPr>
                <w:noProof/>
                <w:webHidden/>
              </w:rPr>
              <w:fldChar w:fldCharType="end"/>
            </w:r>
          </w:hyperlink>
        </w:p>
        <w:p w14:paraId="206027EC" w14:textId="64481ED0" w:rsidR="003A626A" w:rsidRPr="003A626A" w:rsidRDefault="003A626A">
          <w:pPr>
            <w:pStyle w:val="TOC2"/>
            <w:tabs>
              <w:tab w:val="left" w:pos="960"/>
              <w:tab w:val="right" w:leader="dot" w:pos="9016"/>
            </w:tabs>
            <w:rPr>
              <w:rFonts w:eastAsiaTheme="minorEastAsia"/>
              <w:noProof/>
              <w:sz w:val="24"/>
              <w:szCs w:val="24"/>
              <w:lang w:eastAsia="en-GB"/>
            </w:rPr>
          </w:pPr>
          <w:hyperlink w:anchor="_Toc198745107" w:history="1">
            <w:r w:rsidRPr="003A626A">
              <w:rPr>
                <w:rStyle w:val="Hyperlink"/>
                <w:rFonts w:ascii="Arial" w:hAnsi="Arial" w:cs="Arial"/>
                <w:noProof/>
              </w:rPr>
              <w:t>7.2</w:t>
            </w:r>
            <w:r w:rsidRPr="003A626A">
              <w:rPr>
                <w:rFonts w:eastAsiaTheme="minorEastAsia"/>
                <w:noProof/>
                <w:sz w:val="24"/>
                <w:szCs w:val="24"/>
                <w:lang w:eastAsia="en-GB"/>
              </w:rPr>
              <w:tab/>
            </w:r>
            <w:r w:rsidRPr="003A626A">
              <w:rPr>
                <w:rStyle w:val="Hyperlink"/>
                <w:rFonts w:ascii="Arial" w:hAnsi="Arial" w:cs="Arial"/>
                <w:noProof/>
              </w:rPr>
              <w:t>HNY ICB’s notice of intention to make a contract award</w:t>
            </w:r>
            <w:r w:rsidRPr="003A626A">
              <w:rPr>
                <w:noProof/>
                <w:webHidden/>
              </w:rPr>
              <w:tab/>
            </w:r>
            <w:r w:rsidRPr="003A626A">
              <w:rPr>
                <w:noProof/>
                <w:webHidden/>
              </w:rPr>
              <w:fldChar w:fldCharType="begin"/>
            </w:r>
            <w:r w:rsidRPr="003A626A">
              <w:rPr>
                <w:noProof/>
                <w:webHidden/>
              </w:rPr>
              <w:instrText xml:space="preserve"> PAGEREF _Toc198745107 \h </w:instrText>
            </w:r>
            <w:r w:rsidRPr="003A626A">
              <w:rPr>
                <w:noProof/>
                <w:webHidden/>
              </w:rPr>
            </w:r>
            <w:r w:rsidRPr="003A626A">
              <w:rPr>
                <w:noProof/>
                <w:webHidden/>
              </w:rPr>
              <w:fldChar w:fldCharType="separate"/>
            </w:r>
            <w:r w:rsidR="008E5755">
              <w:rPr>
                <w:noProof/>
                <w:webHidden/>
              </w:rPr>
              <w:t>18</w:t>
            </w:r>
            <w:r w:rsidRPr="003A626A">
              <w:rPr>
                <w:noProof/>
                <w:webHidden/>
              </w:rPr>
              <w:fldChar w:fldCharType="end"/>
            </w:r>
          </w:hyperlink>
        </w:p>
        <w:p w14:paraId="23E8491A" w14:textId="61556C4D" w:rsidR="003A626A" w:rsidRPr="003A626A" w:rsidRDefault="003A626A">
          <w:pPr>
            <w:pStyle w:val="TOC2"/>
            <w:tabs>
              <w:tab w:val="left" w:pos="960"/>
              <w:tab w:val="right" w:leader="dot" w:pos="9016"/>
            </w:tabs>
            <w:rPr>
              <w:rFonts w:eastAsiaTheme="minorEastAsia"/>
              <w:noProof/>
              <w:sz w:val="24"/>
              <w:szCs w:val="24"/>
              <w:lang w:eastAsia="en-GB"/>
            </w:rPr>
          </w:pPr>
          <w:hyperlink w:anchor="_Toc198745108" w:history="1">
            <w:r w:rsidRPr="003A626A">
              <w:rPr>
                <w:rStyle w:val="Hyperlink"/>
                <w:rFonts w:ascii="Arial" w:hAnsi="Arial" w:cs="Arial"/>
                <w:noProof/>
              </w:rPr>
              <w:t>7.3</w:t>
            </w:r>
            <w:r w:rsidRPr="003A626A">
              <w:rPr>
                <w:rFonts w:eastAsiaTheme="minorEastAsia"/>
                <w:noProof/>
                <w:sz w:val="24"/>
                <w:szCs w:val="24"/>
                <w:lang w:eastAsia="en-GB"/>
              </w:rPr>
              <w:tab/>
            </w:r>
            <w:r w:rsidRPr="003A626A">
              <w:rPr>
                <w:rStyle w:val="Hyperlink"/>
                <w:rFonts w:ascii="Arial" w:hAnsi="Arial" w:cs="Arial"/>
                <w:noProof/>
              </w:rPr>
              <w:t>HNY ICB’s response to Barkhill’s information request</w:t>
            </w:r>
            <w:r w:rsidRPr="003A626A">
              <w:rPr>
                <w:noProof/>
                <w:webHidden/>
              </w:rPr>
              <w:tab/>
            </w:r>
            <w:r w:rsidRPr="003A626A">
              <w:rPr>
                <w:noProof/>
                <w:webHidden/>
              </w:rPr>
              <w:fldChar w:fldCharType="begin"/>
            </w:r>
            <w:r w:rsidRPr="003A626A">
              <w:rPr>
                <w:noProof/>
                <w:webHidden/>
              </w:rPr>
              <w:instrText xml:space="preserve"> PAGEREF _Toc198745108 \h </w:instrText>
            </w:r>
            <w:r w:rsidRPr="003A626A">
              <w:rPr>
                <w:noProof/>
                <w:webHidden/>
              </w:rPr>
            </w:r>
            <w:r w:rsidRPr="003A626A">
              <w:rPr>
                <w:noProof/>
                <w:webHidden/>
              </w:rPr>
              <w:fldChar w:fldCharType="separate"/>
            </w:r>
            <w:r w:rsidR="008E5755">
              <w:rPr>
                <w:noProof/>
                <w:webHidden/>
              </w:rPr>
              <w:t>25</w:t>
            </w:r>
            <w:r w:rsidRPr="003A626A">
              <w:rPr>
                <w:noProof/>
                <w:webHidden/>
              </w:rPr>
              <w:fldChar w:fldCharType="end"/>
            </w:r>
          </w:hyperlink>
        </w:p>
        <w:p w14:paraId="21491F0C" w14:textId="25B53BA3" w:rsidR="003A626A" w:rsidRPr="003A626A" w:rsidRDefault="003A626A">
          <w:pPr>
            <w:pStyle w:val="TOC1"/>
            <w:rPr>
              <w:rFonts w:eastAsiaTheme="minorEastAsia"/>
              <w:noProof/>
              <w:sz w:val="24"/>
              <w:szCs w:val="24"/>
              <w:lang w:eastAsia="en-GB"/>
            </w:rPr>
          </w:pPr>
          <w:hyperlink w:anchor="_Toc198745109" w:history="1">
            <w:r w:rsidRPr="003A626A">
              <w:rPr>
                <w:rStyle w:val="Hyperlink"/>
                <w:rFonts w:ascii="Arial" w:hAnsi="Arial" w:cs="Arial"/>
                <w:noProof/>
              </w:rPr>
              <w:t>8.</w:t>
            </w:r>
            <w:r w:rsidRPr="003A626A">
              <w:rPr>
                <w:rFonts w:eastAsiaTheme="minorEastAsia"/>
                <w:noProof/>
                <w:sz w:val="24"/>
                <w:szCs w:val="24"/>
                <w:lang w:eastAsia="en-GB"/>
              </w:rPr>
              <w:tab/>
            </w:r>
            <w:r w:rsidRPr="003A626A">
              <w:rPr>
                <w:rStyle w:val="Hyperlink"/>
                <w:rFonts w:ascii="Arial" w:hAnsi="Arial" w:cs="Arial"/>
                <w:noProof/>
              </w:rPr>
              <w:t>Clarendon’s representations to the Panel</w:t>
            </w:r>
            <w:r w:rsidRPr="003A626A">
              <w:rPr>
                <w:noProof/>
                <w:webHidden/>
              </w:rPr>
              <w:tab/>
            </w:r>
            <w:r w:rsidRPr="003A626A">
              <w:rPr>
                <w:noProof/>
                <w:webHidden/>
              </w:rPr>
              <w:fldChar w:fldCharType="begin"/>
            </w:r>
            <w:r w:rsidRPr="003A626A">
              <w:rPr>
                <w:noProof/>
                <w:webHidden/>
              </w:rPr>
              <w:instrText xml:space="preserve"> PAGEREF _Toc198745109 \h </w:instrText>
            </w:r>
            <w:r w:rsidRPr="003A626A">
              <w:rPr>
                <w:noProof/>
                <w:webHidden/>
              </w:rPr>
            </w:r>
            <w:r w:rsidRPr="003A626A">
              <w:rPr>
                <w:noProof/>
                <w:webHidden/>
              </w:rPr>
              <w:fldChar w:fldCharType="separate"/>
            </w:r>
            <w:r w:rsidR="008E5755">
              <w:rPr>
                <w:noProof/>
                <w:webHidden/>
              </w:rPr>
              <w:t>30</w:t>
            </w:r>
            <w:r w:rsidRPr="003A626A">
              <w:rPr>
                <w:noProof/>
                <w:webHidden/>
              </w:rPr>
              <w:fldChar w:fldCharType="end"/>
            </w:r>
          </w:hyperlink>
        </w:p>
        <w:p w14:paraId="0D38D678" w14:textId="6A9F840B" w:rsidR="003A626A" w:rsidRPr="003A626A" w:rsidRDefault="003A626A">
          <w:pPr>
            <w:pStyle w:val="TOC1"/>
            <w:rPr>
              <w:rFonts w:eastAsiaTheme="minorEastAsia"/>
              <w:noProof/>
              <w:sz w:val="24"/>
              <w:szCs w:val="24"/>
              <w:lang w:eastAsia="en-GB"/>
            </w:rPr>
          </w:pPr>
          <w:hyperlink w:anchor="_Toc198745110" w:history="1">
            <w:r w:rsidRPr="003A626A">
              <w:rPr>
                <w:rStyle w:val="Hyperlink"/>
                <w:rFonts w:ascii="Arial" w:hAnsi="Arial" w:cs="Arial"/>
                <w:noProof/>
              </w:rPr>
              <w:t>9.</w:t>
            </w:r>
            <w:r w:rsidRPr="003A626A">
              <w:rPr>
                <w:rFonts w:eastAsiaTheme="minorEastAsia"/>
                <w:noProof/>
                <w:sz w:val="24"/>
                <w:szCs w:val="24"/>
                <w:lang w:eastAsia="en-GB"/>
              </w:rPr>
              <w:tab/>
            </w:r>
            <w:r w:rsidRPr="003A626A">
              <w:rPr>
                <w:rStyle w:val="Hyperlink"/>
                <w:rFonts w:ascii="Arial" w:hAnsi="Arial" w:cs="Arial"/>
                <w:noProof/>
              </w:rPr>
              <w:t>PSR regulations relevant to Clarendon’s representations</w:t>
            </w:r>
            <w:r w:rsidRPr="003A626A">
              <w:rPr>
                <w:noProof/>
                <w:webHidden/>
              </w:rPr>
              <w:tab/>
            </w:r>
            <w:r w:rsidRPr="003A626A">
              <w:rPr>
                <w:noProof/>
                <w:webHidden/>
              </w:rPr>
              <w:fldChar w:fldCharType="begin"/>
            </w:r>
            <w:r w:rsidRPr="003A626A">
              <w:rPr>
                <w:noProof/>
                <w:webHidden/>
              </w:rPr>
              <w:instrText xml:space="preserve"> PAGEREF _Toc198745110 \h </w:instrText>
            </w:r>
            <w:r w:rsidRPr="003A626A">
              <w:rPr>
                <w:noProof/>
                <w:webHidden/>
              </w:rPr>
            </w:r>
            <w:r w:rsidRPr="003A626A">
              <w:rPr>
                <w:noProof/>
                <w:webHidden/>
              </w:rPr>
              <w:fldChar w:fldCharType="separate"/>
            </w:r>
            <w:r w:rsidR="008E5755">
              <w:rPr>
                <w:noProof/>
                <w:webHidden/>
              </w:rPr>
              <w:t>32</w:t>
            </w:r>
            <w:r w:rsidRPr="003A626A">
              <w:rPr>
                <w:noProof/>
                <w:webHidden/>
              </w:rPr>
              <w:fldChar w:fldCharType="end"/>
            </w:r>
          </w:hyperlink>
        </w:p>
        <w:p w14:paraId="58887B88" w14:textId="11C09F18" w:rsidR="003A626A" w:rsidRPr="003A626A" w:rsidRDefault="003A626A">
          <w:pPr>
            <w:pStyle w:val="TOC1"/>
            <w:rPr>
              <w:rFonts w:eastAsiaTheme="minorEastAsia"/>
              <w:noProof/>
              <w:sz w:val="24"/>
              <w:szCs w:val="24"/>
              <w:lang w:eastAsia="en-GB"/>
            </w:rPr>
          </w:pPr>
          <w:hyperlink w:anchor="_Toc198745111" w:history="1">
            <w:r w:rsidRPr="003A626A">
              <w:rPr>
                <w:rStyle w:val="Hyperlink"/>
                <w:rFonts w:ascii="Arial" w:hAnsi="Arial" w:cs="Arial"/>
                <w:noProof/>
              </w:rPr>
              <w:t>10.</w:t>
            </w:r>
            <w:r w:rsidRPr="003A626A">
              <w:rPr>
                <w:rFonts w:eastAsiaTheme="minorEastAsia"/>
                <w:noProof/>
                <w:sz w:val="24"/>
                <w:szCs w:val="24"/>
                <w:lang w:eastAsia="en-GB"/>
              </w:rPr>
              <w:tab/>
            </w:r>
            <w:r w:rsidRPr="003A626A">
              <w:rPr>
                <w:rStyle w:val="Hyperlink"/>
                <w:rFonts w:ascii="Arial" w:hAnsi="Arial" w:cs="Arial"/>
                <w:noProof/>
              </w:rPr>
              <w:t>Assessment of Clarendon’s representations</w:t>
            </w:r>
            <w:r w:rsidRPr="003A626A">
              <w:rPr>
                <w:noProof/>
                <w:webHidden/>
              </w:rPr>
              <w:tab/>
            </w:r>
            <w:r w:rsidRPr="003A626A">
              <w:rPr>
                <w:noProof/>
                <w:webHidden/>
              </w:rPr>
              <w:fldChar w:fldCharType="begin"/>
            </w:r>
            <w:r w:rsidRPr="003A626A">
              <w:rPr>
                <w:noProof/>
                <w:webHidden/>
              </w:rPr>
              <w:instrText xml:space="preserve"> PAGEREF _Toc198745111 \h </w:instrText>
            </w:r>
            <w:r w:rsidRPr="003A626A">
              <w:rPr>
                <w:noProof/>
                <w:webHidden/>
              </w:rPr>
            </w:r>
            <w:r w:rsidRPr="003A626A">
              <w:rPr>
                <w:noProof/>
                <w:webHidden/>
              </w:rPr>
              <w:fldChar w:fldCharType="separate"/>
            </w:r>
            <w:r w:rsidR="008E5755">
              <w:rPr>
                <w:noProof/>
                <w:webHidden/>
              </w:rPr>
              <w:t>32</w:t>
            </w:r>
            <w:r w:rsidRPr="003A626A">
              <w:rPr>
                <w:noProof/>
                <w:webHidden/>
              </w:rPr>
              <w:fldChar w:fldCharType="end"/>
            </w:r>
          </w:hyperlink>
        </w:p>
        <w:p w14:paraId="06F7E441" w14:textId="21EAA2B5" w:rsidR="003A626A" w:rsidRPr="003A626A" w:rsidRDefault="003A626A">
          <w:pPr>
            <w:pStyle w:val="TOC2"/>
            <w:tabs>
              <w:tab w:val="left" w:pos="960"/>
              <w:tab w:val="right" w:leader="dot" w:pos="9016"/>
            </w:tabs>
            <w:rPr>
              <w:rFonts w:eastAsiaTheme="minorEastAsia"/>
              <w:noProof/>
              <w:sz w:val="24"/>
              <w:szCs w:val="24"/>
              <w:lang w:eastAsia="en-GB"/>
            </w:rPr>
          </w:pPr>
          <w:hyperlink w:anchor="_Toc198745112" w:history="1">
            <w:r w:rsidRPr="003A626A">
              <w:rPr>
                <w:rStyle w:val="Hyperlink"/>
                <w:rFonts w:ascii="Arial" w:hAnsi="Arial" w:cs="Arial"/>
                <w:noProof/>
              </w:rPr>
              <w:t>10.1</w:t>
            </w:r>
            <w:r w:rsidRPr="003A626A">
              <w:rPr>
                <w:rFonts w:eastAsiaTheme="minorEastAsia"/>
                <w:noProof/>
                <w:sz w:val="24"/>
                <w:szCs w:val="24"/>
                <w:lang w:eastAsia="en-GB"/>
              </w:rPr>
              <w:tab/>
            </w:r>
            <w:r w:rsidRPr="003A626A">
              <w:rPr>
                <w:rStyle w:val="Hyperlink"/>
                <w:rFonts w:ascii="Arial" w:hAnsi="Arial" w:cs="Arial"/>
                <w:noProof/>
              </w:rPr>
              <w:t>HNY ICB’s evaluation of Clarendon’s proposals</w:t>
            </w:r>
            <w:r w:rsidRPr="003A626A">
              <w:rPr>
                <w:noProof/>
                <w:webHidden/>
              </w:rPr>
              <w:tab/>
            </w:r>
            <w:r w:rsidRPr="003A626A">
              <w:rPr>
                <w:noProof/>
                <w:webHidden/>
              </w:rPr>
              <w:fldChar w:fldCharType="begin"/>
            </w:r>
            <w:r w:rsidRPr="003A626A">
              <w:rPr>
                <w:noProof/>
                <w:webHidden/>
              </w:rPr>
              <w:instrText xml:space="preserve"> PAGEREF _Toc198745112 \h </w:instrText>
            </w:r>
            <w:r w:rsidRPr="003A626A">
              <w:rPr>
                <w:noProof/>
                <w:webHidden/>
              </w:rPr>
            </w:r>
            <w:r w:rsidRPr="003A626A">
              <w:rPr>
                <w:noProof/>
                <w:webHidden/>
              </w:rPr>
              <w:fldChar w:fldCharType="separate"/>
            </w:r>
            <w:r w:rsidR="008E5755">
              <w:rPr>
                <w:noProof/>
                <w:webHidden/>
              </w:rPr>
              <w:t>32</w:t>
            </w:r>
            <w:r w:rsidRPr="003A626A">
              <w:rPr>
                <w:noProof/>
                <w:webHidden/>
              </w:rPr>
              <w:fldChar w:fldCharType="end"/>
            </w:r>
          </w:hyperlink>
        </w:p>
        <w:p w14:paraId="6EFC4EE7" w14:textId="1FC2E7C8" w:rsidR="003A626A" w:rsidRPr="003A626A" w:rsidRDefault="003A626A">
          <w:pPr>
            <w:pStyle w:val="TOC2"/>
            <w:tabs>
              <w:tab w:val="left" w:pos="960"/>
              <w:tab w:val="right" w:leader="dot" w:pos="9016"/>
            </w:tabs>
            <w:rPr>
              <w:rFonts w:eastAsiaTheme="minorEastAsia"/>
              <w:noProof/>
              <w:sz w:val="24"/>
              <w:szCs w:val="24"/>
              <w:lang w:eastAsia="en-GB"/>
            </w:rPr>
          </w:pPr>
          <w:hyperlink w:anchor="_Toc198745113" w:history="1">
            <w:r w:rsidRPr="003A626A">
              <w:rPr>
                <w:rStyle w:val="Hyperlink"/>
                <w:rFonts w:ascii="Arial" w:hAnsi="Arial" w:cs="Arial"/>
                <w:noProof/>
              </w:rPr>
              <w:t>10.2</w:t>
            </w:r>
            <w:r w:rsidRPr="003A626A">
              <w:rPr>
                <w:rFonts w:eastAsiaTheme="minorEastAsia"/>
                <w:noProof/>
                <w:sz w:val="24"/>
                <w:szCs w:val="24"/>
                <w:lang w:eastAsia="en-GB"/>
              </w:rPr>
              <w:tab/>
            </w:r>
            <w:r w:rsidRPr="003A626A">
              <w:rPr>
                <w:rStyle w:val="Hyperlink"/>
                <w:rFonts w:ascii="Arial" w:hAnsi="Arial" w:cs="Arial"/>
                <w:noProof/>
              </w:rPr>
              <w:t>HNY ICB’s notice inviting offers</w:t>
            </w:r>
            <w:r w:rsidRPr="003A626A">
              <w:rPr>
                <w:noProof/>
                <w:webHidden/>
              </w:rPr>
              <w:tab/>
            </w:r>
            <w:r w:rsidRPr="003A626A">
              <w:rPr>
                <w:noProof/>
                <w:webHidden/>
              </w:rPr>
              <w:fldChar w:fldCharType="begin"/>
            </w:r>
            <w:r w:rsidRPr="003A626A">
              <w:rPr>
                <w:noProof/>
                <w:webHidden/>
              </w:rPr>
              <w:instrText xml:space="preserve"> PAGEREF _Toc198745113 \h </w:instrText>
            </w:r>
            <w:r w:rsidRPr="003A626A">
              <w:rPr>
                <w:noProof/>
                <w:webHidden/>
              </w:rPr>
            </w:r>
            <w:r w:rsidRPr="003A626A">
              <w:rPr>
                <w:noProof/>
                <w:webHidden/>
              </w:rPr>
              <w:fldChar w:fldCharType="separate"/>
            </w:r>
            <w:r w:rsidR="008E5755">
              <w:rPr>
                <w:noProof/>
                <w:webHidden/>
              </w:rPr>
              <w:t>36</w:t>
            </w:r>
            <w:r w:rsidRPr="003A626A">
              <w:rPr>
                <w:noProof/>
                <w:webHidden/>
              </w:rPr>
              <w:fldChar w:fldCharType="end"/>
            </w:r>
          </w:hyperlink>
        </w:p>
        <w:p w14:paraId="606BE415" w14:textId="7FC90132" w:rsidR="003A626A" w:rsidRPr="003A626A" w:rsidRDefault="003A626A">
          <w:pPr>
            <w:pStyle w:val="TOC2"/>
            <w:tabs>
              <w:tab w:val="left" w:pos="960"/>
              <w:tab w:val="right" w:leader="dot" w:pos="9016"/>
            </w:tabs>
            <w:rPr>
              <w:rFonts w:eastAsiaTheme="minorEastAsia"/>
              <w:noProof/>
              <w:sz w:val="24"/>
              <w:szCs w:val="24"/>
              <w:lang w:eastAsia="en-GB"/>
            </w:rPr>
          </w:pPr>
          <w:hyperlink w:anchor="_Toc198745114" w:history="1">
            <w:r w:rsidRPr="003A626A">
              <w:rPr>
                <w:rStyle w:val="Hyperlink"/>
                <w:rFonts w:ascii="Arial" w:hAnsi="Arial" w:cs="Arial"/>
                <w:noProof/>
              </w:rPr>
              <w:t>10.3</w:t>
            </w:r>
            <w:r w:rsidRPr="003A626A">
              <w:rPr>
                <w:rFonts w:eastAsiaTheme="minorEastAsia"/>
                <w:noProof/>
                <w:sz w:val="24"/>
                <w:szCs w:val="24"/>
                <w:lang w:eastAsia="en-GB"/>
              </w:rPr>
              <w:tab/>
            </w:r>
            <w:r w:rsidRPr="003A626A">
              <w:rPr>
                <w:rStyle w:val="Hyperlink"/>
                <w:rFonts w:ascii="Arial" w:hAnsi="Arial" w:cs="Arial"/>
                <w:noProof/>
              </w:rPr>
              <w:t>HNY ICB’s notice of intention to make a contract award</w:t>
            </w:r>
            <w:r w:rsidRPr="003A626A">
              <w:rPr>
                <w:noProof/>
                <w:webHidden/>
              </w:rPr>
              <w:tab/>
            </w:r>
            <w:r w:rsidRPr="003A626A">
              <w:rPr>
                <w:noProof/>
                <w:webHidden/>
              </w:rPr>
              <w:fldChar w:fldCharType="begin"/>
            </w:r>
            <w:r w:rsidRPr="003A626A">
              <w:rPr>
                <w:noProof/>
                <w:webHidden/>
              </w:rPr>
              <w:instrText xml:space="preserve"> PAGEREF _Toc198745114 \h </w:instrText>
            </w:r>
            <w:r w:rsidRPr="003A626A">
              <w:rPr>
                <w:noProof/>
                <w:webHidden/>
              </w:rPr>
            </w:r>
            <w:r w:rsidRPr="003A626A">
              <w:rPr>
                <w:noProof/>
                <w:webHidden/>
              </w:rPr>
              <w:fldChar w:fldCharType="separate"/>
            </w:r>
            <w:r w:rsidR="008E5755">
              <w:rPr>
                <w:noProof/>
                <w:webHidden/>
              </w:rPr>
              <w:t>37</w:t>
            </w:r>
            <w:r w:rsidRPr="003A626A">
              <w:rPr>
                <w:noProof/>
                <w:webHidden/>
              </w:rPr>
              <w:fldChar w:fldCharType="end"/>
            </w:r>
          </w:hyperlink>
        </w:p>
        <w:p w14:paraId="2619F6B0" w14:textId="77258794" w:rsidR="003A626A" w:rsidRPr="003A626A" w:rsidRDefault="003A626A">
          <w:pPr>
            <w:pStyle w:val="TOC2"/>
            <w:tabs>
              <w:tab w:val="left" w:pos="960"/>
              <w:tab w:val="right" w:leader="dot" w:pos="9016"/>
            </w:tabs>
            <w:rPr>
              <w:rFonts w:eastAsiaTheme="minorEastAsia"/>
              <w:noProof/>
              <w:sz w:val="24"/>
              <w:szCs w:val="24"/>
              <w:lang w:eastAsia="en-GB"/>
            </w:rPr>
          </w:pPr>
          <w:hyperlink w:anchor="_Toc198745115" w:history="1">
            <w:r w:rsidRPr="003A626A">
              <w:rPr>
                <w:rStyle w:val="Hyperlink"/>
                <w:rFonts w:ascii="Arial" w:hAnsi="Arial" w:cs="Arial"/>
                <w:noProof/>
              </w:rPr>
              <w:t>10.4</w:t>
            </w:r>
            <w:r w:rsidRPr="003A626A">
              <w:rPr>
                <w:rFonts w:eastAsiaTheme="minorEastAsia"/>
                <w:noProof/>
                <w:sz w:val="24"/>
                <w:szCs w:val="24"/>
                <w:lang w:eastAsia="en-GB"/>
              </w:rPr>
              <w:tab/>
            </w:r>
            <w:r w:rsidRPr="003A626A">
              <w:rPr>
                <w:rStyle w:val="Hyperlink"/>
                <w:rFonts w:ascii="Arial" w:hAnsi="Arial" w:cs="Arial"/>
                <w:noProof/>
              </w:rPr>
              <w:t>HNY ICB’s review of Clarendon’s representations</w:t>
            </w:r>
            <w:r w:rsidRPr="003A626A">
              <w:rPr>
                <w:noProof/>
                <w:webHidden/>
              </w:rPr>
              <w:tab/>
            </w:r>
            <w:r w:rsidRPr="003A626A">
              <w:rPr>
                <w:noProof/>
                <w:webHidden/>
              </w:rPr>
              <w:fldChar w:fldCharType="begin"/>
            </w:r>
            <w:r w:rsidRPr="003A626A">
              <w:rPr>
                <w:noProof/>
                <w:webHidden/>
              </w:rPr>
              <w:instrText xml:space="preserve"> PAGEREF _Toc198745115 \h </w:instrText>
            </w:r>
            <w:r w:rsidRPr="003A626A">
              <w:rPr>
                <w:noProof/>
                <w:webHidden/>
              </w:rPr>
            </w:r>
            <w:r w:rsidRPr="003A626A">
              <w:rPr>
                <w:noProof/>
                <w:webHidden/>
              </w:rPr>
              <w:fldChar w:fldCharType="separate"/>
            </w:r>
            <w:r w:rsidR="008E5755">
              <w:rPr>
                <w:noProof/>
                <w:webHidden/>
              </w:rPr>
              <w:t>38</w:t>
            </w:r>
            <w:r w:rsidRPr="003A626A">
              <w:rPr>
                <w:noProof/>
                <w:webHidden/>
              </w:rPr>
              <w:fldChar w:fldCharType="end"/>
            </w:r>
          </w:hyperlink>
        </w:p>
        <w:p w14:paraId="4D19777B" w14:textId="274E1080" w:rsidR="003A626A" w:rsidRPr="003A626A" w:rsidRDefault="003A626A">
          <w:pPr>
            <w:pStyle w:val="TOC1"/>
            <w:rPr>
              <w:rFonts w:eastAsiaTheme="minorEastAsia"/>
              <w:noProof/>
              <w:sz w:val="24"/>
              <w:szCs w:val="24"/>
              <w:lang w:eastAsia="en-GB"/>
            </w:rPr>
          </w:pPr>
          <w:hyperlink w:anchor="_Toc198745116" w:history="1">
            <w:r w:rsidRPr="003A626A">
              <w:rPr>
                <w:rStyle w:val="Hyperlink"/>
                <w:rFonts w:ascii="Arial" w:hAnsi="Arial" w:cs="Arial"/>
                <w:noProof/>
              </w:rPr>
              <w:t>11.</w:t>
            </w:r>
            <w:r w:rsidRPr="003A626A">
              <w:rPr>
                <w:rFonts w:eastAsiaTheme="minorEastAsia"/>
                <w:noProof/>
                <w:sz w:val="24"/>
                <w:szCs w:val="24"/>
                <w:lang w:eastAsia="en-GB"/>
              </w:rPr>
              <w:tab/>
            </w:r>
            <w:r w:rsidRPr="003A626A">
              <w:rPr>
                <w:rStyle w:val="Hyperlink"/>
                <w:rFonts w:ascii="Arial" w:hAnsi="Arial" w:cs="Arial"/>
                <w:noProof/>
              </w:rPr>
              <w:t>Panel advice and recommendations</w:t>
            </w:r>
            <w:r w:rsidRPr="003A626A">
              <w:rPr>
                <w:noProof/>
                <w:webHidden/>
              </w:rPr>
              <w:tab/>
            </w:r>
            <w:r w:rsidRPr="003A626A">
              <w:rPr>
                <w:noProof/>
                <w:webHidden/>
              </w:rPr>
              <w:fldChar w:fldCharType="begin"/>
            </w:r>
            <w:r w:rsidRPr="003A626A">
              <w:rPr>
                <w:noProof/>
                <w:webHidden/>
              </w:rPr>
              <w:instrText xml:space="preserve"> PAGEREF _Toc198745116 \h </w:instrText>
            </w:r>
            <w:r w:rsidRPr="003A626A">
              <w:rPr>
                <w:noProof/>
                <w:webHidden/>
              </w:rPr>
            </w:r>
            <w:r w:rsidRPr="003A626A">
              <w:rPr>
                <w:noProof/>
                <w:webHidden/>
              </w:rPr>
              <w:fldChar w:fldCharType="separate"/>
            </w:r>
            <w:r w:rsidR="008E5755">
              <w:rPr>
                <w:noProof/>
                <w:webHidden/>
              </w:rPr>
              <w:t>39</w:t>
            </w:r>
            <w:r w:rsidRPr="003A626A">
              <w:rPr>
                <w:noProof/>
                <w:webHidden/>
              </w:rPr>
              <w:fldChar w:fldCharType="end"/>
            </w:r>
          </w:hyperlink>
        </w:p>
        <w:p w14:paraId="650996B4" w14:textId="1FD18F49" w:rsidR="003A626A" w:rsidRPr="003A626A" w:rsidRDefault="003A626A">
          <w:pPr>
            <w:pStyle w:val="TOC2"/>
            <w:tabs>
              <w:tab w:val="left" w:pos="960"/>
              <w:tab w:val="right" w:leader="dot" w:pos="9016"/>
            </w:tabs>
            <w:rPr>
              <w:rFonts w:eastAsiaTheme="minorEastAsia"/>
              <w:noProof/>
              <w:sz w:val="24"/>
              <w:szCs w:val="24"/>
              <w:lang w:eastAsia="en-GB"/>
            </w:rPr>
          </w:pPr>
          <w:hyperlink w:anchor="_Toc198745117" w:history="1">
            <w:r w:rsidRPr="003A626A">
              <w:rPr>
                <w:rStyle w:val="Hyperlink"/>
                <w:rFonts w:ascii="Arial" w:hAnsi="Arial" w:cs="Arial"/>
                <w:noProof/>
              </w:rPr>
              <w:t>11.1</w:t>
            </w:r>
            <w:r w:rsidRPr="003A626A">
              <w:rPr>
                <w:rFonts w:eastAsiaTheme="minorEastAsia"/>
                <w:noProof/>
                <w:sz w:val="24"/>
                <w:szCs w:val="24"/>
                <w:lang w:eastAsia="en-GB"/>
              </w:rPr>
              <w:tab/>
            </w:r>
            <w:r w:rsidRPr="003A626A">
              <w:rPr>
                <w:rStyle w:val="Hyperlink"/>
                <w:rFonts w:ascii="Arial" w:hAnsi="Arial" w:cs="Arial"/>
                <w:noProof/>
              </w:rPr>
              <w:t>Barkhill’s representations</w:t>
            </w:r>
            <w:r w:rsidRPr="003A626A">
              <w:rPr>
                <w:noProof/>
                <w:webHidden/>
              </w:rPr>
              <w:tab/>
            </w:r>
            <w:r w:rsidRPr="003A626A">
              <w:rPr>
                <w:noProof/>
                <w:webHidden/>
              </w:rPr>
              <w:fldChar w:fldCharType="begin"/>
            </w:r>
            <w:r w:rsidRPr="003A626A">
              <w:rPr>
                <w:noProof/>
                <w:webHidden/>
              </w:rPr>
              <w:instrText xml:space="preserve"> PAGEREF _Toc198745117 \h </w:instrText>
            </w:r>
            <w:r w:rsidRPr="003A626A">
              <w:rPr>
                <w:noProof/>
                <w:webHidden/>
              </w:rPr>
            </w:r>
            <w:r w:rsidRPr="003A626A">
              <w:rPr>
                <w:noProof/>
                <w:webHidden/>
              </w:rPr>
              <w:fldChar w:fldCharType="separate"/>
            </w:r>
            <w:r w:rsidR="008E5755">
              <w:rPr>
                <w:noProof/>
                <w:webHidden/>
              </w:rPr>
              <w:t>39</w:t>
            </w:r>
            <w:r w:rsidRPr="003A626A">
              <w:rPr>
                <w:noProof/>
                <w:webHidden/>
              </w:rPr>
              <w:fldChar w:fldCharType="end"/>
            </w:r>
          </w:hyperlink>
        </w:p>
        <w:p w14:paraId="3BE75C3F" w14:textId="5CE5CEF5" w:rsidR="003A626A" w:rsidRPr="003A626A" w:rsidRDefault="003A626A">
          <w:pPr>
            <w:pStyle w:val="TOC2"/>
            <w:tabs>
              <w:tab w:val="left" w:pos="960"/>
              <w:tab w:val="right" w:leader="dot" w:pos="9016"/>
            </w:tabs>
            <w:rPr>
              <w:rFonts w:eastAsiaTheme="minorEastAsia"/>
              <w:noProof/>
              <w:sz w:val="24"/>
              <w:szCs w:val="24"/>
              <w:lang w:eastAsia="en-GB"/>
            </w:rPr>
          </w:pPr>
          <w:hyperlink w:anchor="_Toc198745118" w:history="1">
            <w:r w:rsidRPr="003A626A">
              <w:rPr>
                <w:rStyle w:val="Hyperlink"/>
                <w:rFonts w:ascii="Arial" w:hAnsi="Arial" w:cs="Arial"/>
                <w:noProof/>
              </w:rPr>
              <w:t>11.2</w:t>
            </w:r>
            <w:r w:rsidRPr="003A626A">
              <w:rPr>
                <w:rFonts w:eastAsiaTheme="minorEastAsia"/>
                <w:noProof/>
                <w:sz w:val="24"/>
                <w:szCs w:val="24"/>
                <w:lang w:eastAsia="en-GB"/>
              </w:rPr>
              <w:tab/>
            </w:r>
            <w:r w:rsidRPr="003A626A">
              <w:rPr>
                <w:rStyle w:val="Hyperlink"/>
                <w:rFonts w:ascii="Arial" w:hAnsi="Arial" w:cs="Arial"/>
                <w:noProof/>
              </w:rPr>
              <w:t>Clarendon’s representations</w:t>
            </w:r>
            <w:r w:rsidRPr="003A626A">
              <w:rPr>
                <w:noProof/>
                <w:webHidden/>
              </w:rPr>
              <w:tab/>
            </w:r>
            <w:r w:rsidRPr="003A626A">
              <w:rPr>
                <w:noProof/>
                <w:webHidden/>
              </w:rPr>
              <w:fldChar w:fldCharType="begin"/>
            </w:r>
            <w:r w:rsidRPr="003A626A">
              <w:rPr>
                <w:noProof/>
                <w:webHidden/>
              </w:rPr>
              <w:instrText xml:space="preserve"> PAGEREF _Toc198745118 \h </w:instrText>
            </w:r>
            <w:r w:rsidRPr="003A626A">
              <w:rPr>
                <w:noProof/>
                <w:webHidden/>
              </w:rPr>
            </w:r>
            <w:r w:rsidRPr="003A626A">
              <w:rPr>
                <w:noProof/>
                <w:webHidden/>
              </w:rPr>
              <w:fldChar w:fldCharType="separate"/>
            </w:r>
            <w:r w:rsidR="008E5755">
              <w:rPr>
                <w:noProof/>
                <w:webHidden/>
              </w:rPr>
              <w:t>42</w:t>
            </w:r>
            <w:r w:rsidRPr="003A626A">
              <w:rPr>
                <w:noProof/>
                <w:webHidden/>
              </w:rPr>
              <w:fldChar w:fldCharType="end"/>
            </w:r>
          </w:hyperlink>
        </w:p>
        <w:p w14:paraId="4C95EC41" w14:textId="35CAA318" w:rsidR="005A3C70" w:rsidRPr="00820BB3" w:rsidRDefault="005A3C70" w:rsidP="00026887">
          <w:pPr>
            <w:rPr>
              <w:rFonts w:ascii="Arial" w:hAnsi="Arial" w:cs="Arial"/>
            </w:rPr>
          </w:pPr>
          <w:r w:rsidRPr="003A626A">
            <w:rPr>
              <w:rFonts w:ascii="Arial" w:hAnsi="Arial" w:cs="Arial"/>
              <w:noProof/>
            </w:rPr>
            <w:fldChar w:fldCharType="end"/>
          </w:r>
        </w:p>
      </w:sdtContent>
    </w:sdt>
    <w:p w14:paraId="46989AC7" w14:textId="77777777" w:rsidR="00012845" w:rsidRPr="00C50552" w:rsidRDefault="00012845" w:rsidP="00026887">
      <w:pPr>
        <w:rPr>
          <w:rFonts w:ascii="Arial" w:eastAsiaTheme="majorEastAsia" w:hAnsi="Arial" w:cstheme="majorBidi"/>
          <w:bCs/>
          <w:spacing w:val="-10"/>
          <w:kern w:val="28"/>
          <w14:ligatures w14:val="none"/>
        </w:rPr>
      </w:pPr>
    </w:p>
    <w:p w14:paraId="028D1E86" w14:textId="77777777" w:rsidR="005A3C70" w:rsidRDefault="005A3C70" w:rsidP="00026887">
      <w:r>
        <w:br w:type="page"/>
      </w:r>
    </w:p>
    <w:p w14:paraId="4F2D68F4" w14:textId="1D20B940" w:rsidR="004C5317" w:rsidRPr="00B343D1" w:rsidRDefault="004C5317" w:rsidP="004C5317">
      <w:pPr>
        <w:pStyle w:val="Heading1"/>
        <w:numPr>
          <w:ilvl w:val="0"/>
          <w:numId w:val="1"/>
        </w:numPr>
        <w:spacing w:before="360" w:after="240"/>
        <w:ind w:left="0" w:firstLine="0"/>
        <w:rPr>
          <w:rFonts w:ascii="Arial" w:hAnsi="Arial" w:cs="Arial"/>
          <w:b/>
          <w:bCs/>
          <w:color w:val="000000" w:themeColor="text1"/>
          <w:sz w:val="28"/>
          <w:szCs w:val="28"/>
        </w:rPr>
      </w:pPr>
      <w:bookmarkStart w:id="0" w:name="_Toc198745099"/>
      <w:r w:rsidRPr="00B343D1">
        <w:rPr>
          <w:rFonts w:ascii="Arial" w:hAnsi="Arial" w:cs="Arial"/>
          <w:b/>
          <w:bCs/>
          <w:color w:val="000000" w:themeColor="text1"/>
          <w:sz w:val="28"/>
          <w:szCs w:val="28"/>
        </w:rPr>
        <w:lastRenderedPageBreak/>
        <w:t>Executive Summary</w:t>
      </w:r>
      <w:bookmarkEnd w:id="0"/>
    </w:p>
    <w:p w14:paraId="190E2C82" w14:textId="6AAAAB8F" w:rsidR="00A94A0C" w:rsidRPr="005F4E17" w:rsidRDefault="00A94A0C" w:rsidP="000E1396">
      <w:pPr>
        <w:pStyle w:val="ListParagraph"/>
        <w:numPr>
          <w:ilvl w:val="0"/>
          <w:numId w:val="2"/>
        </w:numPr>
        <w:spacing w:line="276" w:lineRule="auto"/>
        <w:ind w:left="567" w:hanging="567"/>
        <w:contextualSpacing w:val="0"/>
        <w:rPr>
          <w:rFonts w:ascii="Arial" w:hAnsi="Arial" w:cs="Arial"/>
        </w:rPr>
      </w:pPr>
      <w:r w:rsidRPr="005F4E17">
        <w:rPr>
          <w:rFonts w:ascii="Arial" w:hAnsi="Arial" w:cs="Arial"/>
        </w:rPr>
        <w:t>On 7 March 2025, the Panel was asked by Barkhill Dental Practice Limited (Barkhill) to advise on the selection of providers by NHS Humber and North Yorkshire Integrated Care Board (HNY ICB) for the Intermediate Minor Oral Surgery (IMOS) service in Yorkshire and Humber. On 10 March 2025, the Panel was asked by Clarendon Dental Spa (Leeds) Limited (Clarendon) to advise on the same provider selection process.</w:t>
      </w:r>
      <w:r w:rsidR="005F4E17" w:rsidRPr="005F4E17">
        <w:rPr>
          <w:rFonts w:ascii="Arial" w:hAnsi="Arial" w:cs="Arial"/>
        </w:rPr>
        <w:t xml:space="preserve"> </w:t>
      </w:r>
      <w:r w:rsidRPr="005F4E17">
        <w:rPr>
          <w:rFonts w:ascii="Arial" w:hAnsi="Arial" w:cs="Arial"/>
        </w:rPr>
        <w:t>The Panel accepted both requests on 12 March 2025.</w:t>
      </w:r>
    </w:p>
    <w:p w14:paraId="6CC73349" w14:textId="71A2D531" w:rsidR="00A94A0C" w:rsidRPr="00A913AC" w:rsidRDefault="00A94A0C" w:rsidP="000E1396">
      <w:pPr>
        <w:pStyle w:val="ListParagraph"/>
        <w:numPr>
          <w:ilvl w:val="0"/>
          <w:numId w:val="2"/>
        </w:numPr>
        <w:spacing w:line="276" w:lineRule="auto"/>
        <w:ind w:left="567" w:hanging="567"/>
        <w:contextualSpacing w:val="0"/>
        <w:rPr>
          <w:rFonts w:ascii="Arial" w:hAnsi="Arial" w:cs="Arial"/>
        </w:rPr>
      </w:pPr>
      <w:r w:rsidRPr="00A913AC">
        <w:rPr>
          <w:rFonts w:ascii="Arial" w:hAnsi="Arial" w:cs="Arial"/>
        </w:rPr>
        <w:t>HNY ICB hosts the Yorkshire and Humber dental commissioning team</w:t>
      </w:r>
      <w:r w:rsidR="00647B72">
        <w:rPr>
          <w:rFonts w:ascii="Arial" w:hAnsi="Arial" w:cs="Arial"/>
        </w:rPr>
        <w:t xml:space="preserve">, which </w:t>
      </w:r>
      <w:r w:rsidRPr="00A913AC">
        <w:rPr>
          <w:rFonts w:ascii="Arial" w:hAnsi="Arial" w:cs="Arial"/>
        </w:rPr>
        <w:t>commission</w:t>
      </w:r>
      <w:r w:rsidR="00C71644">
        <w:rPr>
          <w:rFonts w:ascii="Arial" w:hAnsi="Arial" w:cs="Arial"/>
        </w:rPr>
        <w:t xml:space="preserve">s </w:t>
      </w:r>
      <w:r w:rsidRPr="00A913AC">
        <w:rPr>
          <w:rFonts w:ascii="Arial" w:hAnsi="Arial" w:cs="Arial"/>
        </w:rPr>
        <w:t xml:space="preserve">IMOS services across </w:t>
      </w:r>
      <w:r w:rsidR="00C71644">
        <w:rPr>
          <w:rFonts w:ascii="Arial" w:hAnsi="Arial" w:cs="Arial"/>
        </w:rPr>
        <w:t xml:space="preserve">three ICB areas, namely </w:t>
      </w:r>
      <w:r w:rsidRPr="00A913AC">
        <w:rPr>
          <w:rFonts w:ascii="Arial" w:hAnsi="Arial" w:cs="Arial"/>
        </w:rPr>
        <w:t>Humber and North Yorkshire, South Yorkshire and West Yorkshire.</w:t>
      </w:r>
      <w:r w:rsidR="00A913AC" w:rsidRPr="00A913AC">
        <w:rPr>
          <w:rFonts w:ascii="Arial" w:hAnsi="Arial" w:cs="Arial"/>
        </w:rPr>
        <w:t xml:space="preserve"> </w:t>
      </w:r>
      <w:r w:rsidRPr="00A913AC">
        <w:rPr>
          <w:rFonts w:ascii="Arial" w:hAnsi="Arial" w:cs="Arial"/>
        </w:rPr>
        <w:t xml:space="preserve">IMOS services go beyond the scope of primary care dentistry, and commonly involve minor soft tissue procedures and removing unhealthy teeth. </w:t>
      </w:r>
      <w:r w:rsidR="00A913AC">
        <w:rPr>
          <w:rFonts w:ascii="Arial" w:hAnsi="Arial" w:cs="Arial"/>
        </w:rPr>
        <w:t>T</w:t>
      </w:r>
      <w:r w:rsidRPr="00A913AC">
        <w:rPr>
          <w:rFonts w:ascii="Arial" w:hAnsi="Arial" w:cs="Arial"/>
        </w:rPr>
        <w:t xml:space="preserve">here are currently 14 </w:t>
      </w:r>
      <w:r w:rsidR="0010717D">
        <w:rPr>
          <w:rFonts w:ascii="Arial" w:hAnsi="Arial" w:cs="Arial"/>
        </w:rPr>
        <w:t xml:space="preserve">IMOS service </w:t>
      </w:r>
      <w:r w:rsidRPr="00A913AC">
        <w:rPr>
          <w:rFonts w:ascii="Arial" w:hAnsi="Arial" w:cs="Arial"/>
        </w:rPr>
        <w:t xml:space="preserve">providers </w:t>
      </w:r>
      <w:r w:rsidR="00A913AC">
        <w:rPr>
          <w:rFonts w:ascii="Arial" w:hAnsi="Arial" w:cs="Arial"/>
        </w:rPr>
        <w:t>in Yorkshire and Humber</w:t>
      </w:r>
      <w:r w:rsidR="00D02CF3" w:rsidRPr="00A913AC">
        <w:rPr>
          <w:rFonts w:ascii="Arial" w:hAnsi="Arial" w:cs="Arial"/>
        </w:rPr>
        <w:t xml:space="preserve">, including </w:t>
      </w:r>
      <w:r w:rsidRPr="00A913AC">
        <w:rPr>
          <w:rFonts w:ascii="Arial" w:hAnsi="Arial" w:cs="Arial"/>
        </w:rPr>
        <w:t>Barkhill and Clarendon.</w:t>
      </w:r>
    </w:p>
    <w:p w14:paraId="5A57EC68" w14:textId="33D8AD19" w:rsidR="00A94A0C" w:rsidRPr="00C82F69" w:rsidRDefault="00A94A0C" w:rsidP="00D9046D">
      <w:pPr>
        <w:pStyle w:val="ListParagraph"/>
        <w:numPr>
          <w:ilvl w:val="0"/>
          <w:numId w:val="2"/>
        </w:numPr>
        <w:spacing w:line="276" w:lineRule="auto"/>
        <w:ind w:left="567" w:hanging="567"/>
        <w:contextualSpacing w:val="0"/>
        <w:rPr>
          <w:rFonts w:ascii="Arial" w:hAnsi="Arial" w:cs="Arial"/>
        </w:rPr>
      </w:pPr>
      <w:r w:rsidRPr="00C82F69">
        <w:rPr>
          <w:rFonts w:ascii="Arial" w:hAnsi="Arial" w:cs="Arial"/>
        </w:rPr>
        <w:t xml:space="preserve">On 26 July 2024, HNY ICB published a Prior Information Notice on Find a Tender Service to gain a better understanding of the market’s capacity and appetite to deliver IMOS services </w:t>
      </w:r>
      <w:r w:rsidR="00A458CF">
        <w:rPr>
          <w:rFonts w:ascii="Arial" w:hAnsi="Arial" w:cs="Arial"/>
        </w:rPr>
        <w:t>in</w:t>
      </w:r>
      <w:r w:rsidRPr="00C82F69">
        <w:rPr>
          <w:rFonts w:ascii="Arial" w:hAnsi="Arial" w:cs="Arial"/>
        </w:rPr>
        <w:t xml:space="preserve"> Yorkshire and Humber.</w:t>
      </w:r>
      <w:r w:rsidR="00C82F69" w:rsidRPr="00C82F69">
        <w:rPr>
          <w:rFonts w:ascii="Arial" w:hAnsi="Arial" w:cs="Arial"/>
        </w:rPr>
        <w:t xml:space="preserve"> </w:t>
      </w:r>
      <w:r w:rsidR="00740AEF">
        <w:rPr>
          <w:rFonts w:ascii="Arial" w:hAnsi="Arial" w:cs="Arial"/>
        </w:rPr>
        <w:t xml:space="preserve">This was followed by </w:t>
      </w:r>
      <w:r w:rsidRPr="00C82F69">
        <w:rPr>
          <w:rFonts w:ascii="Arial" w:hAnsi="Arial" w:cs="Arial"/>
        </w:rPr>
        <w:t xml:space="preserve">a Contract Notice </w:t>
      </w:r>
      <w:r w:rsidR="00740AEF">
        <w:rPr>
          <w:rFonts w:ascii="Arial" w:hAnsi="Arial" w:cs="Arial"/>
        </w:rPr>
        <w:t>on 20</w:t>
      </w:r>
      <w:r w:rsidR="003E3CE5">
        <w:rPr>
          <w:rFonts w:ascii="Arial" w:hAnsi="Arial" w:cs="Arial"/>
        </w:rPr>
        <w:t> </w:t>
      </w:r>
      <w:r w:rsidR="00740AEF">
        <w:rPr>
          <w:rFonts w:ascii="Arial" w:hAnsi="Arial" w:cs="Arial"/>
        </w:rPr>
        <w:t xml:space="preserve">September 2024 </w:t>
      </w:r>
      <w:r w:rsidRPr="00C82F69">
        <w:rPr>
          <w:rFonts w:ascii="Arial" w:hAnsi="Arial" w:cs="Arial"/>
        </w:rPr>
        <w:t xml:space="preserve">setting out </w:t>
      </w:r>
      <w:r w:rsidR="00740AEF">
        <w:rPr>
          <w:rFonts w:ascii="Arial" w:hAnsi="Arial" w:cs="Arial"/>
        </w:rPr>
        <w:t>HNY ICB’s</w:t>
      </w:r>
      <w:r w:rsidRPr="00C82F69">
        <w:rPr>
          <w:rFonts w:ascii="Arial" w:hAnsi="Arial" w:cs="Arial"/>
        </w:rPr>
        <w:t xml:space="preserve"> </w:t>
      </w:r>
      <w:r w:rsidR="003B5C94">
        <w:rPr>
          <w:rFonts w:ascii="Arial" w:hAnsi="Arial" w:cs="Arial"/>
        </w:rPr>
        <w:t>plan</w:t>
      </w:r>
      <w:r w:rsidRPr="00C82F69">
        <w:rPr>
          <w:rFonts w:ascii="Arial" w:hAnsi="Arial" w:cs="Arial"/>
        </w:rPr>
        <w:t xml:space="preserve"> to </w:t>
      </w:r>
      <w:r w:rsidR="00740AEF">
        <w:rPr>
          <w:rFonts w:ascii="Arial" w:hAnsi="Arial" w:cs="Arial"/>
        </w:rPr>
        <w:t>use</w:t>
      </w:r>
      <w:r w:rsidRPr="00C82F69">
        <w:rPr>
          <w:rFonts w:ascii="Arial" w:hAnsi="Arial" w:cs="Arial"/>
        </w:rPr>
        <w:t xml:space="preserve"> the competitive process to select providers for </w:t>
      </w:r>
      <w:r w:rsidR="003E3CE5">
        <w:rPr>
          <w:rFonts w:ascii="Arial" w:hAnsi="Arial" w:cs="Arial"/>
        </w:rPr>
        <w:t xml:space="preserve">new </w:t>
      </w:r>
      <w:r w:rsidRPr="00C82F69">
        <w:rPr>
          <w:rFonts w:ascii="Arial" w:hAnsi="Arial" w:cs="Arial"/>
        </w:rPr>
        <w:t xml:space="preserve">IMOS </w:t>
      </w:r>
      <w:r w:rsidR="003E3CE5">
        <w:rPr>
          <w:rFonts w:ascii="Arial" w:hAnsi="Arial" w:cs="Arial"/>
        </w:rPr>
        <w:t>contracts</w:t>
      </w:r>
      <w:r w:rsidRPr="00C82F69">
        <w:rPr>
          <w:rFonts w:ascii="Arial" w:hAnsi="Arial" w:cs="Arial"/>
        </w:rPr>
        <w:t>. The procurement was divided into 16 lots based on geographical areas</w:t>
      </w:r>
      <w:r w:rsidR="00395FA3">
        <w:rPr>
          <w:rFonts w:ascii="Arial" w:hAnsi="Arial" w:cs="Arial"/>
        </w:rPr>
        <w:t xml:space="preserve"> with </w:t>
      </w:r>
      <w:r w:rsidRPr="00C82F69">
        <w:rPr>
          <w:rFonts w:ascii="Arial" w:hAnsi="Arial" w:cs="Arial"/>
        </w:rPr>
        <w:t>contract</w:t>
      </w:r>
      <w:r w:rsidR="00A43409">
        <w:rPr>
          <w:rFonts w:ascii="Arial" w:hAnsi="Arial" w:cs="Arial"/>
        </w:rPr>
        <w:t xml:space="preserve">s </w:t>
      </w:r>
      <w:r w:rsidR="001822DF">
        <w:rPr>
          <w:rFonts w:ascii="Arial" w:hAnsi="Arial" w:cs="Arial"/>
        </w:rPr>
        <w:t xml:space="preserve">to be </w:t>
      </w:r>
      <w:r w:rsidR="00A43409">
        <w:rPr>
          <w:rFonts w:ascii="Arial" w:hAnsi="Arial" w:cs="Arial"/>
        </w:rPr>
        <w:t xml:space="preserve">let </w:t>
      </w:r>
      <w:r w:rsidRPr="00C82F69">
        <w:rPr>
          <w:rFonts w:ascii="Arial" w:hAnsi="Arial" w:cs="Arial"/>
        </w:rPr>
        <w:t>for an initial 5</w:t>
      </w:r>
      <w:r w:rsidR="00C82F69">
        <w:rPr>
          <w:rFonts w:ascii="Arial" w:hAnsi="Arial" w:cs="Arial"/>
        </w:rPr>
        <w:t> </w:t>
      </w:r>
      <w:r w:rsidRPr="00C82F69">
        <w:rPr>
          <w:rFonts w:ascii="Arial" w:hAnsi="Arial" w:cs="Arial"/>
        </w:rPr>
        <w:t>year period, commencing on 1 April 2025, with the option of a 2 year extension</w:t>
      </w:r>
      <w:r w:rsidR="00A43409">
        <w:rPr>
          <w:rFonts w:ascii="Arial" w:hAnsi="Arial" w:cs="Arial"/>
        </w:rPr>
        <w:t xml:space="preserve">. The </w:t>
      </w:r>
      <w:r w:rsidRPr="00C82F69">
        <w:rPr>
          <w:rFonts w:ascii="Arial" w:hAnsi="Arial" w:cs="Arial"/>
        </w:rPr>
        <w:t xml:space="preserve">estimated total </w:t>
      </w:r>
      <w:r w:rsidR="009F3037">
        <w:rPr>
          <w:rFonts w:ascii="Arial" w:hAnsi="Arial" w:cs="Arial"/>
        </w:rPr>
        <w:t xml:space="preserve">value of the 16 </w:t>
      </w:r>
      <w:r w:rsidRPr="00C82F69">
        <w:rPr>
          <w:rFonts w:ascii="Arial" w:hAnsi="Arial" w:cs="Arial"/>
        </w:rPr>
        <w:t>contract</w:t>
      </w:r>
      <w:r w:rsidR="009F3037">
        <w:rPr>
          <w:rFonts w:ascii="Arial" w:hAnsi="Arial" w:cs="Arial"/>
        </w:rPr>
        <w:t>s</w:t>
      </w:r>
      <w:r w:rsidRPr="00C82F69">
        <w:rPr>
          <w:rFonts w:ascii="Arial" w:hAnsi="Arial" w:cs="Arial"/>
        </w:rPr>
        <w:t xml:space="preserve"> was approximately £38.1m (excluding VAT).</w:t>
      </w:r>
    </w:p>
    <w:p w14:paraId="3A95A6D0" w14:textId="4250D651" w:rsidR="00A94A0C" w:rsidRDefault="00A94A0C" w:rsidP="00A94A0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Bids were </w:t>
      </w:r>
      <w:r w:rsidRPr="003739FA">
        <w:rPr>
          <w:rFonts w:ascii="Arial" w:hAnsi="Arial" w:cs="Arial"/>
        </w:rPr>
        <w:t>received from</w:t>
      </w:r>
      <w:r>
        <w:rPr>
          <w:rFonts w:ascii="Arial" w:hAnsi="Arial" w:cs="Arial"/>
        </w:rPr>
        <w:t xml:space="preserve"> 26</w:t>
      </w:r>
      <w:r w:rsidRPr="003739FA">
        <w:rPr>
          <w:rFonts w:ascii="Arial" w:hAnsi="Arial" w:cs="Arial"/>
        </w:rPr>
        <w:t xml:space="preserve"> interested providers, including </w:t>
      </w:r>
      <w:r>
        <w:rPr>
          <w:rFonts w:ascii="Arial" w:hAnsi="Arial" w:cs="Arial"/>
        </w:rPr>
        <w:t>Barkhill and Clarendon</w:t>
      </w:r>
      <w:r w:rsidRPr="003739FA">
        <w:rPr>
          <w:rFonts w:ascii="Arial" w:hAnsi="Arial" w:cs="Arial"/>
        </w:rPr>
        <w:t>,</w:t>
      </w:r>
      <w:r>
        <w:rPr>
          <w:rFonts w:ascii="Arial" w:hAnsi="Arial" w:cs="Arial"/>
        </w:rPr>
        <w:t xml:space="preserve"> and were assessed between 26 October and 4 December 2024. </w:t>
      </w:r>
      <w:r w:rsidRPr="002D79B9">
        <w:rPr>
          <w:rFonts w:ascii="Arial" w:hAnsi="Arial" w:cs="Arial"/>
        </w:rPr>
        <w:t xml:space="preserve">HNY ICB </w:t>
      </w:r>
      <w:r w:rsidR="00A24D74">
        <w:rPr>
          <w:rFonts w:ascii="Arial" w:hAnsi="Arial" w:cs="Arial"/>
        </w:rPr>
        <w:t xml:space="preserve">informed </w:t>
      </w:r>
      <w:r w:rsidRPr="002D79B9">
        <w:rPr>
          <w:rFonts w:ascii="Arial" w:hAnsi="Arial" w:cs="Arial"/>
        </w:rPr>
        <w:t xml:space="preserve">bidders </w:t>
      </w:r>
      <w:r w:rsidR="00A24D74">
        <w:rPr>
          <w:rFonts w:ascii="Arial" w:hAnsi="Arial" w:cs="Arial"/>
        </w:rPr>
        <w:t xml:space="preserve">of the tender’s outcome </w:t>
      </w:r>
      <w:r>
        <w:rPr>
          <w:rFonts w:ascii="Arial" w:hAnsi="Arial" w:cs="Arial"/>
        </w:rPr>
        <w:t>o</w:t>
      </w:r>
      <w:r w:rsidRPr="002D79B9">
        <w:rPr>
          <w:rFonts w:ascii="Arial" w:hAnsi="Arial" w:cs="Arial"/>
        </w:rPr>
        <w:t>n 10</w:t>
      </w:r>
      <w:r>
        <w:rPr>
          <w:rFonts w:ascii="Arial" w:hAnsi="Arial" w:cs="Arial"/>
        </w:rPr>
        <w:t> </w:t>
      </w:r>
      <w:r w:rsidRPr="002D79B9">
        <w:rPr>
          <w:rFonts w:ascii="Arial" w:hAnsi="Arial" w:cs="Arial"/>
        </w:rPr>
        <w:t xml:space="preserve">December </w:t>
      </w:r>
      <w:r>
        <w:rPr>
          <w:rFonts w:ascii="Arial" w:hAnsi="Arial" w:cs="Arial"/>
        </w:rPr>
        <w:t xml:space="preserve">2024 </w:t>
      </w:r>
      <w:r w:rsidRPr="002D79B9">
        <w:rPr>
          <w:rFonts w:ascii="Arial" w:hAnsi="Arial" w:cs="Arial"/>
        </w:rPr>
        <w:t xml:space="preserve">and, on the same day, published a </w:t>
      </w:r>
      <w:r>
        <w:rPr>
          <w:rFonts w:ascii="Arial" w:hAnsi="Arial" w:cs="Arial"/>
        </w:rPr>
        <w:t xml:space="preserve">notice of intention to make an </w:t>
      </w:r>
      <w:r w:rsidRPr="002D79B9">
        <w:rPr>
          <w:rFonts w:ascii="Arial" w:hAnsi="Arial" w:cs="Arial"/>
        </w:rPr>
        <w:t>award to the successful bidders</w:t>
      </w:r>
      <w:r>
        <w:rPr>
          <w:rFonts w:ascii="Arial" w:hAnsi="Arial" w:cs="Arial"/>
        </w:rPr>
        <w:t xml:space="preserve"> (notice of intention)</w:t>
      </w:r>
      <w:r w:rsidRPr="002D79B9">
        <w:rPr>
          <w:rFonts w:ascii="Arial" w:hAnsi="Arial" w:cs="Arial"/>
        </w:rPr>
        <w:t>.</w:t>
      </w:r>
    </w:p>
    <w:p w14:paraId="1A2D49F7" w14:textId="19B274F4" w:rsidR="00A94A0C" w:rsidRPr="002D79B9" w:rsidRDefault="00A94A0C" w:rsidP="00A94A0C">
      <w:pPr>
        <w:pStyle w:val="ListParagraph"/>
        <w:numPr>
          <w:ilvl w:val="0"/>
          <w:numId w:val="2"/>
        </w:numPr>
        <w:spacing w:line="276" w:lineRule="auto"/>
        <w:ind w:left="567" w:hanging="567"/>
        <w:contextualSpacing w:val="0"/>
        <w:rPr>
          <w:rFonts w:ascii="Arial" w:hAnsi="Arial" w:cs="Arial"/>
        </w:rPr>
      </w:pPr>
      <w:r w:rsidRPr="002D79B9">
        <w:rPr>
          <w:rFonts w:ascii="Arial" w:hAnsi="Arial" w:cs="Arial"/>
        </w:rPr>
        <w:t>On 17 and 19 December</w:t>
      </w:r>
      <w:r>
        <w:rPr>
          <w:rFonts w:ascii="Arial" w:hAnsi="Arial" w:cs="Arial"/>
        </w:rPr>
        <w:t xml:space="preserve"> 2024</w:t>
      </w:r>
      <w:r w:rsidRPr="002D79B9">
        <w:rPr>
          <w:rFonts w:ascii="Arial" w:hAnsi="Arial" w:cs="Arial"/>
        </w:rPr>
        <w:t>, Barkhill wrote to HNY ICB raising concerns about the conduct of the provider selection process for Lots 11 and 12</w:t>
      </w:r>
      <w:r>
        <w:rPr>
          <w:rFonts w:ascii="Arial" w:hAnsi="Arial" w:cs="Arial"/>
        </w:rPr>
        <w:t>. This was</w:t>
      </w:r>
      <w:r w:rsidRPr="002D79B9">
        <w:rPr>
          <w:rFonts w:ascii="Arial" w:hAnsi="Arial" w:cs="Arial"/>
        </w:rPr>
        <w:t xml:space="preserve"> followed by a formal representation on 23 December. On 20 December, Clarendon made representations to HNY ICB about the provider selection process in relation to 14 of the 16 lots.</w:t>
      </w:r>
    </w:p>
    <w:p w14:paraId="567B3862" w14:textId="5F2CA9FD" w:rsidR="00A94A0C" w:rsidRPr="00FA4E20" w:rsidRDefault="005D27CD" w:rsidP="00A94A0C">
      <w:pPr>
        <w:pStyle w:val="ListParagraph"/>
        <w:numPr>
          <w:ilvl w:val="0"/>
          <w:numId w:val="2"/>
        </w:numPr>
        <w:spacing w:line="276" w:lineRule="auto"/>
        <w:ind w:left="567" w:hanging="567"/>
        <w:contextualSpacing w:val="0"/>
        <w:rPr>
          <w:rFonts w:ascii="Arial" w:hAnsi="Arial" w:cs="Arial"/>
        </w:rPr>
      </w:pPr>
      <w:r>
        <w:rPr>
          <w:rFonts w:ascii="Arial" w:hAnsi="Arial" w:cs="Arial"/>
        </w:rPr>
        <w:t>While consider</w:t>
      </w:r>
      <w:r w:rsidR="00710635">
        <w:rPr>
          <w:rFonts w:ascii="Arial" w:hAnsi="Arial" w:cs="Arial"/>
        </w:rPr>
        <w:t>ing</w:t>
      </w:r>
      <w:r>
        <w:rPr>
          <w:rFonts w:ascii="Arial" w:hAnsi="Arial" w:cs="Arial"/>
        </w:rPr>
        <w:t xml:space="preserve"> Barkhill’s and Clarendon’s representations, HNY</w:t>
      </w:r>
      <w:r w:rsidR="00A94A0C">
        <w:rPr>
          <w:rFonts w:ascii="Arial" w:hAnsi="Arial" w:cs="Arial"/>
        </w:rPr>
        <w:t xml:space="preserve"> ICB published a contract award notice </w:t>
      </w:r>
      <w:r>
        <w:rPr>
          <w:rFonts w:ascii="Arial" w:hAnsi="Arial" w:cs="Arial"/>
        </w:rPr>
        <w:t xml:space="preserve">on 13 January 2025 </w:t>
      </w:r>
      <w:r w:rsidR="00A94A0C">
        <w:rPr>
          <w:rFonts w:ascii="Arial" w:hAnsi="Arial" w:cs="Arial"/>
        </w:rPr>
        <w:t>indicating that it would be proceeding with a contract award for Lot 2, where no representations had been made. Th</w:t>
      </w:r>
      <w:r w:rsidR="00901EFE">
        <w:rPr>
          <w:rFonts w:ascii="Arial" w:hAnsi="Arial" w:cs="Arial"/>
        </w:rPr>
        <w:t>e contract award</w:t>
      </w:r>
      <w:r w:rsidR="00A94A0C">
        <w:rPr>
          <w:rFonts w:ascii="Arial" w:hAnsi="Arial" w:cs="Arial"/>
        </w:rPr>
        <w:t xml:space="preserve"> notice included a corrigendum to the 10 December 2024 notice of intention, providing an additional CPV code for that notice.</w:t>
      </w:r>
    </w:p>
    <w:p w14:paraId="502EF585" w14:textId="6622FBA3" w:rsidR="00A94A0C" w:rsidRPr="003739FA" w:rsidRDefault="00A94A0C" w:rsidP="00830575">
      <w:pPr>
        <w:pStyle w:val="ListParagraph"/>
        <w:numPr>
          <w:ilvl w:val="0"/>
          <w:numId w:val="2"/>
        </w:numPr>
        <w:spacing w:line="276" w:lineRule="auto"/>
        <w:ind w:left="567" w:hanging="567"/>
        <w:contextualSpacing w:val="0"/>
        <w:rPr>
          <w:rFonts w:ascii="Arial" w:hAnsi="Arial" w:cs="Arial"/>
        </w:rPr>
      </w:pPr>
      <w:r w:rsidRPr="007F136C">
        <w:rPr>
          <w:rFonts w:ascii="Arial" w:hAnsi="Arial" w:cs="Arial"/>
        </w:rPr>
        <w:t xml:space="preserve">On 4 March 2025, </w:t>
      </w:r>
      <w:r>
        <w:rPr>
          <w:rFonts w:ascii="Arial" w:hAnsi="Arial" w:cs="Arial"/>
        </w:rPr>
        <w:t xml:space="preserve">HNY ICB wrote to Barkhill and Clarendon setting out its </w:t>
      </w:r>
      <w:r w:rsidRPr="003739FA">
        <w:rPr>
          <w:rFonts w:ascii="Arial" w:hAnsi="Arial" w:cs="Arial"/>
        </w:rPr>
        <w:t xml:space="preserve">further decision </w:t>
      </w:r>
      <w:r>
        <w:rPr>
          <w:rFonts w:ascii="Arial" w:hAnsi="Arial" w:cs="Arial"/>
        </w:rPr>
        <w:t xml:space="preserve">on the provider selection process, namely </w:t>
      </w:r>
      <w:r w:rsidRPr="003739FA">
        <w:rPr>
          <w:rFonts w:ascii="Arial" w:hAnsi="Arial" w:cs="Arial"/>
        </w:rPr>
        <w:t>to proceed with the contract award</w:t>
      </w:r>
      <w:r>
        <w:rPr>
          <w:rFonts w:ascii="Arial" w:hAnsi="Arial" w:cs="Arial"/>
        </w:rPr>
        <w:t xml:space="preserve"> </w:t>
      </w:r>
      <w:r w:rsidRPr="003739FA">
        <w:rPr>
          <w:rFonts w:ascii="Arial" w:hAnsi="Arial" w:cs="Arial"/>
        </w:rPr>
        <w:t xml:space="preserve">as </w:t>
      </w:r>
      <w:r>
        <w:rPr>
          <w:rFonts w:ascii="Arial" w:hAnsi="Arial" w:cs="Arial"/>
        </w:rPr>
        <w:t xml:space="preserve">originally </w:t>
      </w:r>
      <w:r w:rsidRPr="003739FA">
        <w:rPr>
          <w:rFonts w:ascii="Arial" w:hAnsi="Arial" w:cs="Arial"/>
        </w:rPr>
        <w:t xml:space="preserve">intended. </w:t>
      </w:r>
      <w:r>
        <w:rPr>
          <w:rFonts w:ascii="Arial" w:hAnsi="Arial" w:cs="Arial"/>
        </w:rPr>
        <w:t>On 7 March 2025,</w:t>
      </w:r>
      <w:r w:rsidRPr="003739FA">
        <w:rPr>
          <w:rFonts w:ascii="Arial" w:hAnsi="Arial" w:cs="Arial"/>
        </w:rPr>
        <w:t xml:space="preserve"> </w:t>
      </w:r>
      <w:r>
        <w:rPr>
          <w:rFonts w:ascii="Arial" w:hAnsi="Arial" w:cs="Arial"/>
        </w:rPr>
        <w:t>HNY</w:t>
      </w:r>
      <w:r w:rsidRPr="003739FA">
        <w:rPr>
          <w:rFonts w:ascii="Arial" w:hAnsi="Arial" w:cs="Arial"/>
        </w:rPr>
        <w:t xml:space="preserve"> ICB published a </w:t>
      </w:r>
      <w:r w:rsidR="00793B2B">
        <w:rPr>
          <w:rFonts w:ascii="Arial" w:hAnsi="Arial" w:cs="Arial"/>
        </w:rPr>
        <w:t xml:space="preserve">second </w:t>
      </w:r>
      <w:r>
        <w:rPr>
          <w:rFonts w:ascii="Arial" w:hAnsi="Arial" w:cs="Arial"/>
        </w:rPr>
        <w:t>c</w:t>
      </w:r>
      <w:r w:rsidRPr="003739FA">
        <w:rPr>
          <w:rFonts w:ascii="Arial" w:hAnsi="Arial" w:cs="Arial"/>
        </w:rPr>
        <w:t xml:space="preserve">orrigendum </w:t>
      </w:r>
      <w:r>
        <w:rPr>
          <w:rFonts w:ascii="Arial" w:hAnsi="Arial" w:cs="Arial"/>
        </w:rPr>
        <w:t>to its 10</w:t>
      </w:r>
      <w:r w:rsidR="00793B2B">
        <w:rPr>
          <w:rFonts w:ascii="Arial" w:hAnsi="Arial" w:cs="Arial"/>
        </w:rPr>
        <w:t> </w:t>
      </w:r>
      <w:r>
        <w:rPr>
          <w:rFonts w:ascii="Arial" w:hAnsi="Arial" w:cs="Arial"/>
        </w:rPr>
        <w:t>December 2024 notice of intention</w:t>
      </w:r>
      <w:r w:rsidR="00830575">
        <w:rPr>
          <w:rFonts w:ascii="Arial" w:hAnsi="Arial" w:cs="Arial"/>
        </w:rPr>
        <w:t xml:space="preserve"> with </w:t>
      </w:r>
      <w:r w:rsidRPr="003739FA">
        <w:rPr>
          <w:rFonts w:ascii="Arial" w:hAnsi="Arial" w:cs="Arial"/>
        </w:rPr>
        <w:t xml:space="preserve">additional information </w:t>
      </w:r>
      <w:r>
        <w:rPr>
          <w:rFonts w:ascii="Arial" w:hAnsi="Arial" w:cs="Arial"/>
        </w:rPr>
        <w:t>on</w:t>
      </w:r>
      <w:r w:rsidRPr="003739FA">
        <w:rPr>
          <w:rFonts w:ascii="Arial" w:hAnsi="Arial" w:cs="Arial"/>
        </w:rPr>
        <w:t xml:space="preserve"> the key criteria </w:t>
      </w:r>
      <w:r>
        <w:rPr>
          <w:rFonts w:ascii="Arial" w:hAnsi="Arial" w:cs="Arial"/>
        </w:rPr>
        <w:t xml:space="preserve">used in the provider selection process </w:t>
      </w:r>
      <w:r w:rsidRPr="003739FA">
        <w:rPr>
          <w:rFonts w:ascii="Arial" w:hAnsi="Arial" w:cs="Arial"/>
        </w:rPr>
        <w:t xml:space="preserve">and </w:t>
      </w:r>
      <w:r>
        <w:rPr>
          <w:rFonts w:ascii="Arial" w:hAnsi="Arial" w:cs="Arial"/>
        </w:rPr>
        <w:t xml:space="preserve">how </w:t>
      </w:r>
      <w:r w:rsidRPr="003739FA">
        <w:rPr>
          <w:rFonts w:ascii="Arial" w:hAnsi="Arial" w:cs="Arial"/>
        </w:rPr>
        <w:t xml:space="preserve">conflicts of interest </w:t>
      </w:r>
      <w:r>
        <w:rPr>
          <w:rFonts w:ascii="Arial" w:hAnsi="Arial" w:cs="Arial"/>
        </w:rPr>
        <w:t xml:space="preserve">were </w:t>
      </w:r>
      <w:r w:rsidRPr="003739FA">
        <w:rPr>
          <w:rFonts w:ascii="Arial" w:hAnsi="Arial" w:cs="Arial"/>
        </w:rPr>
        <w:t>manage</w:t>
      </w:r>
      <w:r>
        <w:rPr>
          <w:rFonts w:ascii="Arial" w:hAnsi="Arial" w:cs="Arial"/>
        </w:rPr>
        <w:t>d</w:t>
      </w:r>
      <w:r w:rsidRPr="007F136C">
        <w:rPr>
          <w:rFonts w:ascii="Arial" w:hAnsi="Arial" w:cs="Arial"/>
        </w:rPr>
        <w:t>.</w:t>
      </w:r>
    </w:p>
    <w:p w14:paraId="348DDB10" w14:textId="215EBE01" w:rsidR="00A94A0C" w:rsidRDefault="00A94A0C" w:rsidP="00A94A0C">
      <w:pPr>
        <w:pStyle w:val="ListParagraph"/>
        <w:numPr>
          <w:ilvl w:val="0"/>
          <w:numId w:val="2"/>
        </w:numPr>
        <w:spacing w:line="276" w:lineRule="auto"/>
        <w:ind w:left="567" w:hanging="567"/>
        <w:contextualSpacing w:val="0"/>
        <w:rPr>
          <w:rFonts w:ascii="Arial" w:hAnsi="Arial" w:cs="Arial"/>
        </w:rPr>
      </w:pPr>
      <w:r w:rsidRPr="00C67416">
        <w:rPr>
          <w:rFonts w:ascii="Arial" w:hAnsi="Arial" w:cs="Arial"/>
        </w:rPr>
        <w:t>Barkhill asked the Panel to advise on HNY ICB’s provider selection decisions</w:t>
      </w:r>
      <w:r w:rsidR="00830575" w:rsidRPr="00830575">
        <w:rPr>
          <w:rFonts w:ascii="Arial" w:hAnsi="Arial" w:cs="Arial"/>
        </w:rPr>
        <w:t xml:space="preserve"> </w:t>
      </w:r>
      <w:r w:rsidR="00830575">
        <w:rPr>
          <w:rFonts w:ascii="Arial" w:hAnsi="Arial" w:cs="Arial"/>
        </w:rPr>
        <w:t>on 7 March 2025</w:t>
      </w:r>
      <w:r w:rsidRPr="00C67416">
        <w:rPr>
          <w:rFonts w:ascii="Arial" w:hAnsi="Arial" w:cs="Arial"/>
        </w:rPr>
        <w:t xml:space="preserve"> and Clarendon requested the same</w:t>
      </w:r>
      <w:r w:rsidR="00830575" w:rsidRPr="00830575">
        <w:rPr>
          <w:rFonts w:ascii="Arial" w:hAnsi="Arial" w:cs="Arial"/>
        </w:rPr>
        <w:t xml:space="preserve"> </w:t>
      </w:r>
      <w:r w:rsidR="00830575" w:rsidRPr="00C67416">
        <w:rPr>
          <w:rFonts w:ascii="Arial" w:hAnsi="Arial" w:cs="Arial"/>
        </w:rPr>
        <w:t>on 10 March</w:t>
      </w:r>
      <w:r w:rsidRPr="00C67416">
        <w:rPr>
          <w:rFonts w:ascii="Arial" w:hAnsi="Arial" w:cs="Arial"/>
        </w:rPr>
        <w:t>. The Panel accepted both requests on 12 March</w:t>
      </w:r>
      <w:r w:rsidR="00CF72D8">
        <w:rPr>
          <w:rFonts w:ascii="Arial" w:hAnsi="Arial" w:cs="Arial"/>
        </w:rPr>
        <w:t xml:space="preserve"> 2025</w:t>
      </w:r>
      <w:r w:rsidRPr="00B51851">
        <w:rPr>
          <w:rFonts w:ascii="Arial" w:hAnsi="Arial" w:cs="Arial"/>
        </w:rPr>
        <w:t>.</w:t>
      </w:r>
    </w:p>
    <w:p w14:paraId="4C51BBC6" w14:textId="5ED58FB4" w:rsidR="00280E26" w:rsidRPr="00280E26" w:rsidRDefault="00280E26" w:rsidP="00280E26">
      <w:pPr>
        <w:keepNext/>
        <w:spacing w:before="240" w:line="276" w:lineRule="auto"/>
        <w:rPr>
          <w:rFonts w:ascii="Arial" w:hAnsi="Arial" w:cs="Arial"/>
          <w:b/>
          <w:bCs/>
        </w:rPr>
      </w:pPr>
      <w:r w:rsidRPr="00280E26">
        <w:rPr>
          <w:rFonts w:ascii="Arial" w:hAnsi="Arial" w:cs="Arial"/>
          <w:b/>
          <w:bCs/>
        </w:rPr>
        <w:lastRenderedPageBreak/>
        <w:t>Barkhill’s representations</w:t>
      </w:r>
    </w:p>
    <w:p w14:paraId="71C4DE21" w14:textId="42804EAB" w:rsidR="002730E7" w:rsidRDefault="002730E7" w:rsidP="002730E7">
      <w:pPr>
        <w:pStyle w:val="ListParagraph"/>
        <w:numPr>
          <w:ilvl w:val="0"/>
          <w:numId w:val="2"/>
        </w:numPr>
        <w:spacing w:after="0" w:line="276" w:lineRule="auto"/>
        <w:ind w:left="567" w:hanging="567"/>
        <w:contextualSpacing w:val="0"/>
        <w:rPr>
          <w:rFonts w:ascii="Arial" w:hAnsi="Arial" w:cs="Arial"/>
        </w:rPr>
      </w:pPr>
      <w:r w:rsidRPr="00E9315A">
        <w:rPr>
          <w:rFonts w:ascii="Arial" w:hAnsi="Arial" w:cs="Arial"/>
        </w:rPr>
        <w:t xml:space="preserve">Barkhill’s representations </w:t>
      </w:r>
      <w:r w:rsidR="00DF6B8C">
        <w:rPr>
          <w:rFonts w:ascii="Arial" w:hAnsi="Arial" w:cs="Arial"/>
        </w:rPr>
        <w:t xml:space="preserve">to the Panel raised concerns about </w:t>
      </w:r>
      <w:r>
        <w:rPr>
          <w:rFonts w:ascii="Arial" w:hAnsi="Arial" w:cs="Arial"/>
        </w:rPr>
        <w:t>whether HNY ICB complied with the PSR regulations</w:t>
      </w:r>
      <w:r w:rsidR="004C1DC3">
        <w:rPr>
          <w:rFonts w:ascii="Arial" w:hAnsi="Arial" w:cs="Arial"/>
        </w:rPr>
        <w:t xml:space="preserve"> in relation to</w:t>
      </w:r>
      <w:r>
        <w:rPr>
          <w:rFonts w:ascii="Arial" w:hAnsi="Arial" w:cs="Arial"/>
        </w:rPr>
        <w:t>:</w:t>
      </w:r>
    </w:p>
    <w:p w14:paraId="288A8503" w14:textId="427B9005" w:rsidR="002730E7" w:rsidRPr="00C4143F" w:rsidRDefault="003B0DAD" w:rsidP="002730E7">
      <w:pPr>
        <w:pStyle w:val="ListParagraph"/>
        <w:numPr>
          <w:ilvl w:val="1"/>
          <w:numId w:val="2"/>
        </w:numPr>
        <w:spacing w:after="0" w:line="276" w:lineRule="auto"/>
        <w:ind w:left="1134" w:hanging="283"/>
        <w:contextualSpacing w:val="0"/>
        <w:rPr>
          <w:rFonts w:ascii="Arial" w:hAnsi="Arial" w:cs="Arial"/>
        </w:rPr>
      </w:pPr>
      <w:r>
        <w:rPr>
          <w:rFonts w:ascii="Arial" w:hAnsi="Arial" w:cs="Arial"/>
        </w:rPr>
        <w:t>the</w:t>
      </w:r>
      <w:r w:rsidR="004C1DC3">
        <w:rPr>
          <w:rFonts w:ascii="Arial" w:hAnsi="Arial" w:cs="Arial"/>
        </w:rPr>
        <w:t xml:space="preserve"> evaluation of </w:t>
      </w:r>
      <w:r w:rsidR="002730E7">
        <w:rPr>
          <w:rFonts w:ascii="Arial" w:eastAsiaTheme="majorEastAsia" w:hAnsi="Arial" w:cs="Arial"/>
          <w:color w:val="000000" w:themeColor="text1"/>
        </w:rPr>
        <w:t>Barkhill’s proposals;</w:t>
      </w:r>
    </w:p>
    <w:p w14:paraId="651D82A7" w14:textId="094CDB5E" w:rsidR="002730E7" w:rsidRPr="00C4143F" w:rsidRDefault="003B0DAD" w:rsidP="002730E7">
      <w:pPr>
        <w:pStyle w:val="ListParagraph"/>
        <w:numPr>
          <w:ilvl w:val="1"/>
          <w:numId w:val="2"/>
        </w:numPr>
        <w:spacing w:after="0" w:line="276" w:lineRule="auto"/>
        <w:ind w:left="1134" w:hanging="283"/>
        <w:rPr>
          <w:rFonts w:ascii="Arial" w:hAnsi="Arial" w:cs="Arial"/>
        </w:rPr>
      </w:pPr>
      <w:r>
        <w:rPr>
          <w:rFonts w:ascii="Arial" w:eastAsiaTheme="majorEastAsia" w:hAnsi="Arial" w:cs="Arial"/>
          <w:color w:val="000000" w:themeColor="text1"/>
        </w:rPr>
        <w:t>the</w:t>
      </w:r>
      <w:r w:rsidR="002730E7">
        <w:rPr>
          <w:rFonts w:ascii="Arial" w:eastAsiaTheme="majorEastAsia" w:hAnsi="Arial" w:cs="Arial"/>
          <w:color w:val="000000" w:themeColor="text1"/>
        </w:rPr>
        <w:t xml:space="preserve"> notice of intention </w:t>
      </w:r>
      <w:r w:rsidR="004C1DC3">
        <w:rPr>
          <w:rFonts w:ascii="Arial" w:eastAsiaTheme="majorEastAsia" w:hAnsi="Arial" w:cs="Arial"/>
          <w:color w:val="000000" w:themeColor="text1"/>
        </w:rPr>
        <w:t xml:space="preserve">published on </w:t>
      </w:r>
      <w:r w:rsidR="002730E7">
        <w:rPr>
          <w:rFonts w:ascii="Arial" w:eastAsiaTheme="majorEastAsia" w:hAnsi="Arial" w:cs="Arial"/>
          <w:color w:val="000000" w:themeColor="text1"/>
        </w:rPr>
        <w:t xml:space="preserve">10 December 2024 and the </w:t>
      </w:r>
      <w:r w:rsidR="002730E7" w:rsidRPr="07593E2B">
        <w:rPr>
          <w:rFonts w:ascii="Arial" w:eastAsiaTheme="majorEastAsia" w:hAnsi="Arial" w:cs="Arial"/>
          <w:color w:val="000000" w:themeColor="text1"/>
        </w:rPr>
        <w:t>corrigenda</w:t>
      </w:r>
      <w:r w:rsidR="002730E7">
        <w:rPr>
          <w:rFonts w:ascii="Arial" w:eastAsiaTheme="majorEastAsia" w:hAnsi="Arial" w:cs="Arial"/>
          <w:color w:val="000000" w:themeColor="text1"/>
        </w:rPr>
        <w:t xml:space="preserve"> </w:t>
      </w:r>
      <w:r w:rsidR="004C1DC3">
        <w:rPr>
          <w:rFonts w:ascii="Arial" w:eastAsiaTheme="majorEastAsia" w:hAnsi="Arial" w:cs="Arial"/>
          <w:color w:val="000000" w:themeColor="text1"/>
        </w:rPr>
        <w:t xml:space="preserve">published </w:t>
      </w:r>
      <w:r w:rsidR="002730E7">
        <w:rPr>
          <w:rFonts w:ascii="Arial" w:eastAsiaTheme="majorEastAsia" w:hAnsi="Arial" w:cs="Arial"/>
          <w:color w:val="000000" w:themeColor="text1"/>
        </w:rPr>
        <w:t>on 13 January and 7 March 2025; and</w:t>
      </w:r>
    </w:p>
    <w:p w14:paraId="382A3435" w14:textId="427963E3" w:rsidR="002730E7" w:rsidRDefault="003B0DAD" w:rsidP="002730E7">
      <w:pPr>
        <w:pStyle w:val="ListParagraph"/>
        <w:numPr>
          <w:ilvl w:val="1"/>
          <w:numId w:val="2"/>
        </w:numPr>
        <w:spacing w:line="276" w:lineRule="auto"/>
        <w:ind w:left="1135" w:hanging="284"/>
        <w:contextualSpacing w:val="0"/>
        <w:rPr>
          <w:rFonts w:ascii="Arial" w:hAnsi="Arial" w:cs="Arial"/>
        </w:rPr>
      </w:pPr>
      <w:r>
        <w:rPr>
          <w:rFonts w:ascii="Arial" w:eastAsiaTheme="majorEastAsia" w:hAnsi="Arial" w:cs="Arial"/>
          <w:color w:val="000000" w:themeColor="text1"/>
        </w:rPr>
        <w:t>the</w:t>
      </w:r>
      <w:r w:rsidR="004C1DC3">
        <w:rPr>
          <w:rFonts w:ascii="Arial" w:eastAsiaTheme="majorEastAsia" w:hAnsi="Arial" w:cs="Arial"/>
          <w:color w:val="000000" w:themeColor="text1"/>
        </w:rPr>
        <w:t xml:space="preserve"> response </w:t>
      </w:r>
      <w:r w:rsidR="002730E7">
        <w:rPr>
          <w:rFonts w:ascii="Arial" w:eastAsiaTheme="majorEastAsia" w:hAnsi="Arial" w:cs="Arial"/>
          <w:color w:val="000000" w:themeColor="text1"/>
        </w:rPr>
        <w:t xml:space="preserve">to </w:t>
      </w:r>
      <w:r w:rsidR="00E80D16">
        <w:rPr>
          <w:rFonts w:ascii="Arial" w:eastAsiaTheme="majorEastAsia" w:hAnsi="Arial" w:cs="Arial"/>
          <w:color w:val="000000" w:themeColor="text1"/>
        </w:rPr>
        <w:t>Barkhill’s</w:t>
      </w:r>
      <w:r w:rsidR="004C1DC3">
        <w:rPr>
          <w:rFonts w:ascii="Arial" w:eastAsiaTheme="majorEastAsia" w:hAnsi="Arial" w:cs="Arial"/>
          <w:color w:val="000000" w:themeColor="text1"/>
        </w:rPr>
        <w:t xml:space="preserve"> </w:t>
      </w:r>
      <w:r w:rsidR="002730E7">
        <w:rPr>
          <w:rFonts w:ascii="Arial" w:eastAsiaTheme="majorEastAsia" w:hAnsi="Arial" w:cs="Arial"/>
          <w:color w:val="000000" w:themeColor="text1"/>
        </w:rPr>
        <w:t>request for information</w:t>
      </w:r>
      <w:r w:rsidR="0050154C">
        <w:rPr>
          <w:rFonts w:ascii="Arial" w:eastAsiaTheme="majorEastAsia" w:hAnsi="Arial" w:cs="Arial"/>
          <w:color w:val="000000" w:themeColor="text1"/>
        </w:rPr>
        <w:t xml:space="preserve"> </w:t>
      </w:r>
      <w:r w:rsidR="005B58E8">
        <w:rPr>
          <w:rFonts w:ascii="Arial" w:eastAsiaTheme="majorEastAsia" w:hAnsi="Arial" w:cs="Arial"/>
          <w:color w:val="000000" w:themeColor="text1"/>
        </w:rPr>
        <w:t>during its</w:t>
      </w:r>
      <w:r w:rsidR="002730E7">
        <w:rPr>
          <w:rFonts w:ascii="Arial" w:eastAsiaTheme="majorEastAsia" w:hAnsi="Arial" w:cs="Arial"/>
          <w:color w:val="000000" w:themeColor="text1"/>
        </w:rPr>
        <w:t xml:space="preserve"> representations to the ICB.</w:t>
      </w:r>
    </w:p>
    <w:p w14:paraId="36283955" w14:textId="5DE594C3" w:rsidR="000F4B77" w:rsidRDefault="00DF6B8C" w:rsidP="00D9046D">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0F4B77">
        <w:rPr>
          <w:rFonts w:ascii="Arial" w:hAnsi="Arial" w:cs="Arial"/>
        </w:rPr>
        <w:t xml:space="preserve">he Panel finds that HNY ICB breached the PSR regulations in relation to: (a) </w:t>
      </w:r>
      <w:r w:rsidR="005028A0">
        <w:rPr>
          <w:rFonts w:ascii="Arial" w:hAnsi="Arial" w:cs="Arial"/>
        </w:rPr>
        <w:t>the</w:t>
      </w:r>
      <w:r w:rsidR="000F4B77">
        <w:rPr>
          <w:rFonts w:ascii="Arial" w:hAnsi="Arial" w:cs="Arial"/>
        </w:rPr>
        <w:t xml:space="preserve"> notice of intention; and (b) its response to Barkhill’s request for information.</w:t>
      </w:r>
    </w:p>
    <w:p w14:paraId="402C37F0" w14:textId="77777777" w:rsidR="000F4B77" w:rsidRDefault="000F4B77" w:rsidP="000F4B77">
      <w:pPr>
        <w:pStyle w:val="ListParagraph"/>
        <w:numPr>
          <w:ilvl w:val="0"/>
          <w:numId w:val="2"/>
        </w:numPr>
        <w:spacing w:after="120" w:line="276" w:lineRule="auto"/>
        <w:ind w:left="567" w:hanging="567"/>
        <w:rPr>
          <w:rFonts w:ascii="Arial" w:hAnsi="Arial" w:cs="Arial"/>
        </w:rPr>
      </w:pPr>
      <w:r>
        <w:rPr>
          <w:rFonts w:ascii="Arial" w:hAnsi="Arial" w:cs="Arial"/>
        </w:rPr>
        <w:t>Regarding the notice of intention, the Panel finds that HNY ICB breached the PSR regulations:</w:t>
      </w:r>
    </w:p>
    <w:p w14:paraId="7B6AC5A8" w14:textId="77777777" w:rsidR="000F4B77" w:rsidRDefault="000F4B77" w:rsidP="000F4B77">
      <w:pPr>
        <w:pStyle w:val="ListParagraph"/>
        <w:numPr>
          <w:ilvl w:val="0"/>
          <w:numId w:val="13"/>
        </w:numPr>
        <w:spacing w:after="120" w:line="276" w:lineRule="auto"/>
        <w:ind w:left="1434" w:hanging="357"/>
        <w:rPr>
          <w:rFonts w:ascii="Arial" w:hAnsi="Arial" w:cs="Arial"/>
        </w:rPr>
      </w:pPr>
      <w:r>
        <w:rPr>
          <w:rFonts w:ascii="Arial" w:hAnsi="Arial" w:cs="Arial"/>
        </w:rPr>
        <w:t>by not including the full addresses of the successful bidders (contrary to the requirements of Regulation 11(10) and Schedule 10);</w:t>
      </w:r>
    </w:p>
    <w:p w14:paraId="4A2DA535" w14:textId="796A7FC8" w:rsidR="000F4B77" w:rsidRDefault="000F4B77" w:rsidP="000F4B77">
      <w:pPr>
        <w:pStyle w:val="ListParagraph"/>
        <w:numPr>
          <w:ilvl w:val="0"/>
          <w:numId w:val="13"/>
        </w:numPr>
        <w:spacing w:after="120" w:line="276" w:lineRule="auto"/>
        <w:ind w:left="1434" w:hanging="357"/>
        <w:rPr>
          <w:rFonts w:ascii="Arial" w:hAnsi="Arial" w:cs="Arial"/>
        </w:rPr>
      </w:pPr>
      <w:r>
        <w:rPr>
          <w:rFonts w:ascii="Arial" w:hAnsi="Arial" w:cs="Arial"/>
        </w:rPr>
        <w:t xml:space="preserve">by not including a statement explaining the </w:t>
      </w:r>
      <w:r w:rsidR="001D29EB">
        <w:rPr>
          <w:rFonts w:ascii="Arial" w:hAnsi="Arial" w:cs="Arial"/>
        </w:rPr>
        <w:t>ICB</w:t>
      </w:r>
      <w:r>
        <w:rPr>
          <w:rFonts w:ascii="Arial" w:hAnsi="Arial" w:cs="Arial"/>
        </w:rPr>
        <w:t>’</w:t>
      </w:r>
      <w:r w:rsidR="001D29EB">
        <w:rPr>
          <w:rFonts w:ascii="Arial" w:hAnsi="Arial" w:cs="Arial"/>
        </w:rPr>
        <w:t>s</w:t>
      </w:r>
      <w:r>
        <w:rPr>
          <w:rFonts w:ascii="Arial" w:hAnsi="Arial" w:cs="Arial"/>
        </w:rPr>
        <w:t xml:space="preserve"> reasons for selecting the chosen providers (contrary to the requirements of Regulation 11(10) and Schedule 10); and</w:t>
      </w:r>
    </w:p>
    <w:p w14:paraId="5427C0BD" w14:textId="6660365A" w:rsidR="000F4B77" w:rsidRDefault="000F4B77" w:rsidP="00D9046D">
      <w:pPr>
        <w:pStyle w:val="ListParagraph"/>
        <w:numPr>
          <w:ilvl w:val="0"/>
          <w:numId w:val="13"/>
        </w:numPr>
        <w:spacing w:line="276" w:lineRule="auto"/>
        <w:ind w:left="1434" w:hanging="357"/>
        <w:contextualSpacing w:val="0"/>
        <w:rPr>
          <w:rFonts w:ascii="Arial" w:hAnsi="Arial" w:cs="Arial"/>
        </w:rPr>
      </w:pPr>
      <w:r>
        <w:rPr>
          <w:rFonts w:ascii="Arial" w:hAnsi="Arial" w:cs="Arial"/>
        </w:rPr>
        <w:t>by returning to an earlier step in the provider selection process</w:t>
      </w:r>
      <w:r w:rsidR="00130441">
        <w:rPr>
          <w:rFonts w:ascii="Arial" w:hAnsi="Arial" w:cs="Arial"/>
        </w:rPr>
        <w:t>,</w:t>
      </w:r>
      <w:r>
        <w:rPr>
          <w:rFonts w:ascii="Arial" w:hAnsi="Arial" w:cs="Arial"/>
        </w:rPr>
        <w:t xml:space="preserve"> </w:t>
      </w:r>
      <w:r w:rsidR="008C43DA">
        <w:rPr>
          <w:rFonts w:ascii="Arial" w:hAnsi="Arial" w:cs="Arial"/>
        </w:rPr>
        <w:t xml:space="preserve">through </w:t>
      </w:r>
      <w:r>
        <w:rPr>
          <w:rFonts w:ascii="Arial" w:hAnsi="Arial" w:cs="Arial"/>
        </w:rPr>
        <w:t xml:space="preserve">publishing </w:t>
      </w:r>
      <w:r w:rsidR="00130441">
        <w:rPr>
          <w:rFonts w:ascii="Arial" w:hAnsi="Arial" w:cs="Arial"/>
        </w:rPr>
        <w:t>the</w:t>
      </w:r>
      <w:r>
        <w:rPr>
          <w:rFonts w:ascii="Arial" w:hAnsi="Arial" w:cs="Arial"/>
        </w:rPr>
        <w:t xml:space="preserve"> corrigendum </w:t>
      </w:r>
      <w:r w:rsidR="00130441">
        <w:rPr>
          <w:rFonts w:ascii="Arial" w:hAnsi="Arial" w:cs="Arial"/>
        </w:rPr>
        <w:t xml:space="preserve">of 7 March 2025, </w:t>
      </w:r>
      <w:r>
        <w:rPr>
          <w:rFonts w:ascii="Arial" w:hAnsi="Arial" w:cs="Arial"/>
        </w:rPr>
        <w:t>without repeating the subsequent steps in the provider selection process (contrary to the requirements of Regulation 12(4)).</w:t>
      </w:r>
    </w:p>
    <w:p w14:paraId="21CEC124" w14:textId="20AB9EC8" w:rsidR="00451175" w:rsidRDefault="00451175" w:rsidP="000F4B77">
      <w:pPr>
        <w:pStyle w:val="ListParagraph"/>
        <w:numPr>
          <w:ilvl w:val="0"/>
          <w:numId w:val="2"/>
        </w:numPr>
        <w:spacing w:line="276" w:lineRule="auto"/>
        <w:ind w:left="567" w:hanging="567"/>
        <w:contextualSpacing w:val="0"/>
        <w:rPr>
          <w:rFonts w:ascii="Arial" w:hAnsi="Arial" w:cs="Arial"/>
        </w:rPr>
      </w:pPr>
      <w:r w:rsidRPr="00D57CF0">
        <w:rPr>
          <w:rFonts w:ascii="Arial" w:hAnsi="Arial" w:cs="Arial"/>
        </w:rPr>
        <w:t xml:space="preserve">The Panel does not, however, consider that HNY ICB’s breaches of the PSR regulations in relation to its notice of intention had a material effect on </w:t>
      </w:r>
      <w:r w:rsidR="00AC242F">
        <w:rPr>
          <w:rFonts w:ascii="Arial" w:hAnsi="Arial" w:cs="Arial"/>
        </w:rPr>
        <w:t xml:space="preserve">its </w:t>
      </w:r>
      <w:r w:rsidRPr="00D57CF0">
        <w:rPr>
          <w:rFonts w:ascii="Arial" w:hAnsi="Arial" w:cs="Arial"/>
        </w:rPr>
        <w:t>provider selection process.</w:t>
      </w:r>
    </w:p>
    <w:p w14:paraId="1419EE60" w14:textId="5E80AA27" w:rsidR="000F4B77" w:rsidRDefault="000F4B77" w:rsidP="000F4B77">
      <w:pPr>
        <w:pStyle w:val="ListParagraph"/>
        <w:numPr>
          <w:ilvl w:val="0"/>
          <w:numId w:val="2"/>
        </w:numPr>
        <w:spacing w:line="276" w:lineRule="auto"/>
        <w:ind w:left="567" w:hanging="567"/>
        <w:rPr>
          <w:rFonts w:ascii="Arial" w:hAnsi="Arial" w:cs="Arial"/>
        </w:rPr>
      </w:pPr>
      <w:r>
        <w:rPr>
          <w:rFonts w:ascii="Arial" w:hAnsi="Arial" w:cs="Arial"/>
        </w:rPr>
        <w:t xml:space="preserve">Regarding Barkhill’s request for information during its representations to the ICB, </w:t>
      </w:r>
      <w:r w:rsidRPr="001066E6">
        <w:rPr>
          <w:rFonts w:ascii="Arial" w:hAnsi="Arial" w:cs="Arial"/>
        </w:rPr>
        <w:t xml:space="preserve">the Panel finds that HNY ICB breached </w:t>
      </w:r>
      <w:r>
        <w:rPr>
          <w:rFonts w:ascii="Arial" w:hAnsi="Arial" w:cs="Arial"/>
        </w:rPr>
        <w:t>Regulation 12(4)</w:t>
      </w:r>
      <w:r w:rsidRPr="001066E6">
        <w:rPr>
          <w:rFonts w:ascii="Arial" w:hAnsi="Arial" w:cs="Arial"/>
        </w:rPr>
        <w:t xml:space="preserve"> by failing to provide </w:t>
      </w:r>
      <w:r w:rsidR="004F7029">
        <w:rPr>
          <w:rFonts w:ascii="Arial" w:hAnsi="Arial" w:cs="Arial"/>
        </w:rPr>
        <w:t xml:space="preserve">Barkhill with </w:t>
      </w:r>
      <w:r w:rsidRPr="001066E6">
        <w:rPr>
          <w:rFonts w:ascii="Arial" w:hAnsi="Arial" w:cs="Arial"/>
        </w:rPr>
        <w:t>its records on</w:t>
      </w:r>
      <w:r>
        <w:rPr>
          <w:rFonts w:ascii="Arial" w:hAnsi="Arial" w:cs="Arial"/>
        </w:rPr>
        <w:t>:</w:t>
      </w:r>
    </w:p>
    <w:p w14:paraId="41DA98F0" w14:textId="77777777" w:rsidR="000F4B77" w:rsidRDefault="000F4B77" w:rsidP="000F4B77">
      <w:pPr>
        <w:pStyle w:val="ListParagraph"/>
        <w:numPr>
          <w:ilvl w:val="0"/>
          <w:numId w:val="13"/>
        </w:numPr>
        <w:spacing w:after="120" w:line="276" w:lineRule="auto"/>
        <w:ind w:left="1434" w:hanging="357"/>
        <w:rPr>
          <w:rFonts w:ascii="Arial" w:hAnsi="Arial" w:cs="Arial"/>
        </w:rPr>
      </w:pPr>
      <w:r w:rsidRPr="001066E6">
        <w:rPr>
          <w:rFonts w:ascii="Arial" w:hAnsi="Arial" w:cs="Arial"/>
        </w:rPr>
        <w:t>its decision making process, including the way in which key criteria were taken into account</w:t>
      </w:r>
      <w:r>
        <w:rPr>
          <w:rFonts w:ascii="Arial" w:hAnsi="Arial" w:cs="Arial"/>
        </w:rPr>
        <w:t>;</w:t>
      </w:r>
    </w:p>
    <w:p w14:paraId="7A2A14A3" w14:textId="77777777" w:rsidR="000F4B77" w:rsidRDefault="000F4B77" w:rsidP="000F4B77">
      <w:pPr>
        <w:pStyle w:val="ListParagraph"/>
        <w:numPr>
          <w:ilvl w:val="0"/>
          <w:numId w:val="13"/>
        </w:numPr>
        <w:spacing w:after="120" w:line="276" w:lineRule="auto"/>
        <w:ind w:left="1434" w:hanging="357"/>
        <w:rPr>
          <w:rFonts w:ascii="Arial" w:hAnsi="Arial" w:cs="Arial"/>
        </w:rPr>
      </w:pPr>
      <w:r>
        <w:rPr>
          <w:rFonts w:ascii="Arial" w:hAnsi="Arial" w:cs="Arial"/>
        </w:rPr>
        <w:t>how</w:t>
      </w:r>
      <w:r w:rsidRPr="001066E6">
        <w:rPr>
          <w:rFonts w:ascii="Arial" w:hAnsi="Arial" w:cs="Arial"/>
        </w:rPr>
        <w:t xml:space="preserve"> the basic selection criteria were assessed and contract award criteria were evaluated</w:t>
      </w:r>
      <w:r>
        <w:rPr>
          <w:rFonts w:ascii="Arial" w:hAnsi="Arial" w:cs="Arial"/>
        </w:rPr>
        <w:t>;</w:t>
      </w:r>
    </w:p>
    <w:p w14:paraId="3B66AF2B" w14:textId="77777777" w:rsidR="000F4B77" w:rsidRDefault="000F4B77" w:rsidP="000F4B77">
      <w:pPr>
        <w:pStyle w:val="ListParagraph"/>
        <w:numPr>
          <w:ilvl w:val="0"/>
          <w:numId w:val="13"/>
        </w:numPr>
        <w:spacing w:after="120" w:line="276" w:lineRule="auto"/>
        <w:ind w:left="1434" w:hanging="357"/>
        <w:rPr>
          <w:rFonts w:ascii="Arial" w:hAnsi="Arial" w:cs="Arial"/>
        </w:rPr>
      </w:pPr>
      <w:r w:rsidRPr="001066E6">
        <w:rPr>
          <w:rFonts w:ascii="Arial" w:hAnsi="Arial" w:cs="Arial"/>
        </w:rPr>
        <w:t>the reasons for the decision to award the contract for Lots 11 and 12 to Haricovert</w:t>
      </w:r>
      <w:r>
        <w:rPr>
          <w:rFonts w:ascii="Arial" w:hAnsi="Arial" w:cs="Arial"/>
        </w:rPr>
        <w:t>;</w:t>
      </w:r>
      <w:r w:rsidRPr="001066E6">
        <w:rPr>
          <w:rFonts w:ascii="Arial" w:hAnsi="Arial" w:cs="Arial"/>
        </w:rPr>
        <w:t xml:space="preserve"> and</w:t>
      </w:r>
    </w:p>
    <w:p w14:paraId="6D5AEB7F" w14:textId="77777777" w:rsidR="000F4B77" w:rsidRPr="001066E6" w:rsidRDefault="000F4B77" w:rsidP="000F4B77">
      <w:pPr>
        <w:pStyle w:val="ListParagraph"/>
        <w:numPr>
          <w:ilvl w:val="0"/>
          <w:numId w:val="13"/>
        </w:numPr>
        <w:spacing w:line="276" w:lineRule="auto"/>
        <w:ind w:left="1434" w:hanging="357"/>
        <w:contextualSpacing w:val="0"/>
        <w:rPr>
          <w:rFonts w:ascii="Arial" w:hAnsi="Arial" w:cs="Arial"/>
        </w:rPr>
      </w:pPr>
      <w:r w:rsidRPr="001066E6">
        <w:rPr>
          <w:rFonts w:ascii="Arial" w:hAnsi="Arial" w:cs="Arial"/>
        </w:rPr>
        <w:t>evaluators’ identities.</w:t>
      </w:r>
    </w:p>
    <w:p w14:paraId="38E83A50" w14:textId="4DFC2E15" w:rsidR="000F4B77" w:rsidRPr="00D57CF0" w:rsidRDefault="000F4B77" w:rsidP="000E1396">
      <w:pPr>
        <w:pStyle w:val="ListParagraph"/>
        <w:numPr>
          <w:ilvl w:val="0"/>
          <w:numId w:val="2"/>
        </w:numPr>
        <w:spacing w:line="276" w:lineRule="auto"/>
        <w:ind w:left="567" w:hanging="567"/>
        <w:contextualSpacing w:val="0"/>
        <w:rPr>
          <w:rFonts w:ascii="Arial" w:hAnsi="Arial" w:cs="Arial"/>
        </w:rPr>
      </w:pPr>
      <w:r w:rsidRPr="00D57CF0">
        <w:rPr>
          <w:rFonts w:ascii="Arial" w:hAnsi="Arial" w:cs="Arial"/>
        </w:rPr>
        <w:t>The Panel</w:t>
      </w:r>
      <w:r w:rsidR="00117191" w:rsidRPr="00D57CF0">
        <w:rPr>
          <w:rFonts w:ascii="Arial" w:hAnsi="Arial" w:cs="Arial"/>
        </w:rPr>
        <w:t xml:space="preserve"> </w:t>
      </w:r>
      <w:r w:rsidR="00B02A0A">
        <w:rPr>
          <w:rFonts w:ascii="Arial" w:hAnsi="Arial" w:cs="Arial"/>
        </w:rPr>
        <w:t xml:space="preserve">considers </w:t>
      </w:r>
      <w:r w:rsidRPr="00D57CF0">
        <w:rPr>
          <w:rFonts w:ascii="Arial" w:hAnsi="Arial" w:cs="Arial"/>
        </w:rPr>
        <w:t>that HNY ICB’s breach of the PSR regulations in relation to Barkhill’s information request may have had a material effect on HNY ICB’s provider selection process. This is because a representation review process carried out in accordance with the PSR regulations, including the supply of information in response to Barkhill’s request, may have resulted in a different outcome</w:t>
      </w:r>
      <w:r w:rsidR="006D001A">
        <w:rPr>
          <w:rFonts w:ascii="Arial" w:hAnsi="Arial" w:cs="Arial"/>
        </w:rPr>
        <w:t xml:space="preserve"> for the provider selection process</w:t>
      </w:r>
      <w:r w:rsidRPr="00D57CF0">
        <w:rPr>
          <w:rFonts w:ascii="Arial" w:hAnsi="Arial" w:cs="Arial"/>
        </w:rPr>
        <w:t>.</w:t>
      </w:r>
    </w:p>
    <w:p w14:paraId="7EC21F98" w14:textId="6860D5EC" w:rsidR="000F4B77" w:rsidRDefault="000F4B77" w:rsidP="000F4B77">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Panel’s advice, given its conclusion that HNY ICB’s breach of the PSR regulations in relation to Barkhill’s information request may have had a material effect on HNY ICB’s provider selection process, is that HNY ICB return to an earlier step in the </w:t>
      </w:r>
      <w:r>
        <w:rPr>
          <w:rFonts w:ascii="Arial" w:hAnsi="Arial" w:cs="Arial"/>
        </w:rPr>
        <w:lastRenderedPageBreak/>
        <w:t xml:space="preserve">provider selection process for Lots 11 and 12, namely Step 8(a) of the </w:t>
      </w:r>
      <w:r w:rsidR="004F21BE">
        <w:rPr>
          <w:rFonts w:ascii="Arial" w:hAnsi="Arial" w:cs="Arial"/>
        </w:rPr>
        <w:t>c</w:t>
      </w:r>
      <w:r>
        <w:rPr>
          <w:rFonts w:ascii="Arial" w:hAnsi="Arial" w:cs="Arial"/>
        </w:rPr>
        <w:t xml:space="preserve">ompetitive </w:t>
      </w:r>
      <w:r w:rsidR="004F21BE">
        <w:rPr>
          <w:rFonts w:ascii="Arial" w:hAnsi="Arial" w:cs="Arial"/>
        </w:rPr>
        <w:t>p</w:t>
      </w:r>
      <w:r>
        <w:rPr>
          <w:rFonts w:ascii="Arial" w:hAnsi="Arial" w:cs="Arial"/>
        </w:rPr>
        <w:t xml:space="preserve">rocess. This is </w:t>
      </w:r>
      <w:r w:rsidRPr="004A0949">
        <w:rPr>
          <w:rFonts w:ascii="Arial" w:hAnsi="Arial" w:cs="Arial"/>
        </w:rPr>
        <w:t xml:space="preserve">the point at which </w:t>
      </w:r>
      <w:r>
        <w:rPr>
          <w:rFonts w:ascii="Arial" w:hAnsi="Arial" w:cs="Arial"/>
        </w:rPr>
        <w:t>Barkhill’s</w:t>
      </w:r>
      <w:r w:rsidRPr="004A0949">
        <w:rPr>
          <w:rFonts w:ascii="Arial" w:hAnsi="Arial" w:cs="Arial"/>
        </w:rPr>
        <w:t xml:space="preserve"> representations were received following the initial contract award decision.</w:t>
      </w:r>
    </w:p>
    <w:p w14:paraId="78430EC4" w14:textId="1AEE9A3B" w:rsidR="000F4B77" w:rsidRDefault="000F4B77" w:rsidP="000F4B77">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HNY </w:t>
      </w:r>
      <w:r w:rsidRPr="004A0949">
        <w:rPr>
          <w:rFonts w:ascii="Arial" w:hAnsi="Arial" w:cs="Arial"/>
        </w:rPr>
        <w:t>ICB should</w:t>
      </w:r>
      <w:r w:rsidR="00310EB0">
        <w:rPr>
          <w:rFonts w:ascii="Arial" w:hAnsi="Arial" w:cs="Arial"/>
        </w:rPr>
        <w:t>,</w:t>
      </w:r>
      <w:r w:rsidRPr="004A0949">
        <w:rPr>
          <w:rFonts w:ascii="Arial" w:hAnsi="Arial" w:cs="Arial"/>
        </w:rPr>
        <w:t xml:space="preserve"> </w:t>
      </w:r>
      <w:r w:rsidR="00310EB0">
        <w:rPr>
          <w:rFonts w:ascii="Arial" w:hAnsi="Arial" w:cs="Arial"/>
        </w:rPr>
        <w:t xml:space="preserve">in line with Regulation 12(4): (i) </w:t>
      </w:r>
      <w:r w:rsidRPr="004A0949">
        <w:rPr>
          <w:rFonts w:ascii="Arial" w:hAnsi="Arial" w:cs="Arial"/>
        </w:rPr>
        <w:t xml:space="preserve">provide </w:t>
      </w:r>
      <w:r>
        <w:rPr>
          <w:rFonts w:ascii="Arial" w:hAnsi="Arial" w:cs="Arial"/>
        </w:rPr>
        <w:t>Barkhill</w:t>
      </w:r>
      <w:r w:rsidRPr="004A0949">
        <w:rPr>
          <w:rFonts w:ascii="Arial" w:hAnsi="Arial" w:cs="Arial"/>
        </w:rPr>
        <w:t xml:space="preserve"> with the information that it requested (subject to </w:t>
      </w:r>
      <w:r>
        <w:rPr>
          <w:rFonts w:ascii="Arial" w:hAnsi="Arial" w:cs="Arial"/>
        </w:rPr>
        <w:t>the proper application of any measures in accordance with Regulation 12(5)</w:t>
      </w:r>
      <w:r w:rsidRPr="004A0949">
        <w:rPr>
          <w:rFonts w:ascii="Arial" w:hAnsi="Arial" w:cs="Arial"/>
        </w:rPr>
        <w:t>)</w:t>
      </w:r>
      <w:r w:rsidR="00310EB0">
        <w:rPr>
          <w:rFonts w:ascii="Arial" w:hAnsi="Arial" w:cs="Arial"/>
        </w:rPr>
        <w:t>; (ii)</w:t>
      </w:r>
      <w:r w:rsidRPr="004A0949">
        <w:rPr>
          <w:rFonts w:ascii="Arial" w:hAnsi="Arial" w:cs="Arial"/>
        </w:rPr>
        <w:t xml:space="preserve"> allow </w:t>
      </w:r>
      <w:r>
        <w:rPr>
          <w:rFonts w:ascii="Arial" w:hAnsi="Arial" w:cs="Arial"/>
        </w:rPr>
        <w:t>Barkhill</w:t>
      </w:r>
      <w:r w:rsidRPr="004A0949">
        <w:rPr>
          <w:rFonts w:ascii="Arial" w:hAnsi="Arial" w:cs="Arial"/>
        </w:rPr>
        <w:t xml:space="preserve"> an opportunity to </w:t>
      </w:r>
      <w:r>
        <w:rPr>
          <w:rFonts w:ascii="Arial" w:hAnsi="Arial" w:cs="Arial"/>
        </w:rPr>
        <w:t xml:space="preserve">“explain or clarify the representations made” (i.e. </w:t>
      </w:r>
      <w:r w:rsidRPr="004A0949">
        <w:rPr>
          <w:rFonts w:ascii="Arial" w:hAnsi="Arial" w:cs="Arial"/>
        </w:rPr>
        <w:t>make any further representations arising from this information</w:t>
      </w:r>
      <w:r>
        <w:rPr>
          <w:rFonts w:ascii="Arial" w:hAnsi="Arial" w:cs="Arial"/>
        </w:rPr>
        <w:t>)</w:t>
      </w:r>
      <w:r w:rsidR="00310EB0">
        <w:rPr>
          <w:rFonts w:ascii="Arial" w:hAnsi="Arial" w:cs="Arial"/>
        </w:rPr>
        <w:t>;</w:t>
      </w:r>
      <w:r w:rsidRPr="004A0949">
        <w:rPr>
          <w:rFonts w:ascii="Arial" w:hAnsi="Arial" w:cs="Arial"/>
        </w:rPr>
        <w:t xml:space="preserve"> and </w:t>
      </w:r>
      <w:r w:rsidR="00310EB0">
        <w:rPr>
          <w:rFonts w:ascii="Arial" w:hAnsi="Arial" w:cs="Arial"/>
        </w:rPr>
        <w:t xml:space="preserve">(iii) </w:t>
      </w:r>
      <w:r>
        <w:rPr>
          <w:rFonts w:ascii="Arial" w:hAnsi="Arial" w:cs="Arial"/>
        </w:rPr>
        <w:t>f</w:t>
      </w:r>
      <w:r w:rsidRPr="00FA6613">
        <w:rPr>
          <w:rFonts w:ascii="Arial" w:hAnsi="Arial" w:cs="Arial"/>
        </w:rPr>
        <w:t xml:space="preserve">ollow the representations review process as laid out in the </w:t>
      </w:r>
      <w:r>
        <w:rPr>
          <w:rFonts w:ascii="Arial" w:hAnsi="Arial" w:cs="Arial"/>
        </w:rPr>
        <w:t xml:space="preserve">Regulations and </w:t>
      </w:r>
      <w:r w:rsidRPr="00FA6613">
        <w:rPr>
          <w:rFonts w:ascii="Arial" w:hAnsi="Arial" w:cs="Arial"/>
        </w:rPr>
        <w:t>Statutory Guidance</w:t>
      </w:r>
      <w:r>
        <w:rPr>
          <w:rFonts w:ascii="Arial" w:hAnsi="Arial" w:cs="Arial"/>
        </w:rPr>
        <w:t xml:space="preserve"> in</w:t>
      </w:r>
      <w:r w:rsidRPr="004A0949">
        <w:rPr>
          <w:rFonts w:ascii="Arial" w:hAnsi="Arial" w:cs="Arial"/>
        </w:rPr>
        <w:t xml:space="preserve"> light of </w:t>
      </w:r>
      <w:r>
        <w:rPr>
          <w:rFonts w:ascii="Arial" w:hAnsi="Arial" w:cs="Arial"/>
        </w:rPr>
        <w:t>any further</w:t>
      </w:r>
      <w:r w:rsidRPr="004A0949">
        <w:rPr>
          <w:rFonts w:ascii="Arial" w:hAnsi="Arial" w:cs="Arial"/>
        </w:rPr>
        <w:t xml:space="preserve"> representations </w:t>
      </w:r>
      <w:r>
        <w:rPr>
          <w:rFonts w:ascii="Arial" w:hAnsi="Arial" w:cs="Arial"/>
        </w:rPr>
        <w:t>by Barkhill</w:t>
      </w:r>
      <w:r w:rsidRPr="004A0949">
        <w:rPr>
          <w:rFonts w:ascii="Arial" w:hAnsi="Arial" w:cs="Arial"/>
        </w:rPr>
        <w:t>.</w:t>
      </w:r>
    </w:p>
    <w:p w14:paraId="4A835C5A" w14:textId="3CE00F46" w:rsidR="00D9046D" w:rsidRPr="00D9046D" w:rsidRDefault="00D9046D" w:rsidP="00D9046D">
      <w:pPr>
        <w:keepNext/>
        <w:spacing w:before="240" w:line="276" w:lineRule="auto"/>
        <w:rPr>
          <w:rFonts w:ascii="Arial" w:hAnsi="Arial" w:cs="Arial"/>
          <w:b/>
        </w:rPr>
      </w:pPr>
      <w:r w:rsidRPr="00D9046D">
        <w:rPr>
          <w:rFonts w:ascii="Arial" w:hAnsi="Arial" w:cs="Arial"/>
          <w:b/>
        </w:rPr>
        <w:t>Clarendon’s representations</w:t>
      </w:r>
    </w:p>
    <w:p w14:paraId="2EAF8CDE" w14:textId="43EB8757" w:rsidR="000F4B77" w:rsidRPr="00E9315A" w:rsidRDefault="000F4B77" w:rsidP="000F4B77">
      <w:pPr>
        <w:pStyle w:val="ListParagraph"/>
        <w:numPr>
          <w:ilvl w:val="0"/>
          <w:numId w:val="2"/>
        </w:numPr>
        <w:spacing w:after="0" w:line="276" w:lineRule="auto"/>
        <w:ind w:left="567" w:hanging="567"/>
        <w:contextualSpacing w:val="0"/>
        <w:rPr>
          <w:rFonts w:ascii="Arial" w:hAnsi="Arial" w:cs="Arial"/>
        </w:rPr>
      </w:pPr>
      <w:r>
        <w:rPr>
          <w:rFonts w:ascii="Arial" w:hAnsi="Arial" w:cs="Arial"/>
        </w:rPr>
        <w:t>Clarendon’s</w:t>
      </w:r>
      <w:r w:rsidRPr="00E9315A">
        <w:rPr>
          <w:rFonts w:ascii="Arial" w:hAnsi="Arial" w:cs="Arial"/>
        </w:rPr>
        <w:t xml:space="preserve"> representations</w:t>
      </w:r>
      <w:r w:rsidR="003B0DAD">
        <w:rPr>
          <w:rFonts w:ascii="Arial" w:hAnsi="Arial" w:cs="Arial"/>
        </w:rPr>
        <w:t xml:space="preserve"> to the Panel raised concerns about </w:t>
      </w:r>
      <w:r w:rsidRPr="00E9315A">
        <w:rPr>
          <w:rFonts w:ascii="Arial" w:hAnsi="Arial" w:cs="Arial"/>
        </w:rPr>
        <w:t>whether HNY ICB complied with the PSR regulations</w:t>
      </w:r>
      <w:r>
        <w:rPr>
          <w:rFonts w:ascii="Arial" w:hAnsi="Arial" w:cs="Arial"/>
        </w:rPr>
        <w:t xml:space="preserve"> in relation to</w:t>
      </w:r>
      <w:r w:rsidRPr="00E9315A">
        <w:rPr>
          <w:rFonts w:ascii="Arial" w:hAnsi="Arial" w:cs="Arial"/>
        </w:rPr>
        <w:t>:</w:t>
      </w:r>
    </w:p>
    <w:p w14:paraId="1FBBEFB3" w14:textId="0D824E9B" w:rsidR="000F4B77" w:rsidRPr="00C4143F" w:rsidRDefault="000F4B77" w:rsidP="000F4B77">
      <w:pPr>
        <w:pStyle w:val="ListParagraph"/>
        <w:numPr>
          <w:ilvl w:val="1"/>
          <w:numId w:val="2"/>
        </w:numPr>
        <w:spacing w:after="0" w:line="276" w:lineRule="auto"/>
        <w:ind w:left="1134" w:hanging="283"/>
        <w:contextualSpacing w:val="0"/>
        <w:rPr>
          <w:rFonts w:ascii="Arial" w:hAnsi="Arial" w:cs="Arial"/>
        </w:rPr>
      </w:pPr>
      <w:r>
        <w:rPr>
          <w:rFonts w:ascii="Arial" w:hAnsi="Arial" w:cs="Arial"/>
        </w:rPr>
        <w:t xml:space="preserve">the </w:t>
      </w:r>
      <w:r>
        <w:rPr>
          <w:rFonts w:ascii="Arial" w:eastAsiaTheme="majorEastAsia" w:hAnsi="Arial" w:cs="Arial"/>
          <w:color w:val="000000" w:themeColor="text1"/>
        </w:rPr>
        <w:t>evaluation of Clarendon’s proposals;</w:t>
      </w:r>
    </w:p>
    <w:p w14:paraId="07E771B5" w14:textId="48E5D1B2" w:rsidR="000F4B77" w:rsidRPr="004D15D0" w:rsidRDefault="000F4B77" w:rsidP="000F4B77">
      <w:pPr>
        <w:pStyle w:val="ListParagraph"/>
        <w:numPr>
          <w:ilvl w:val="1"/>
          <w:numId w:val="2"/>
        </w:numPr>
        <w:spacing w:after="0" w:line="276" w:lineRule="auto"/>
        <w:ind w:left="1134" w:hanging="283"/>
        <w:contextualSpacing w:val="0"/>
        <w:rPr>
          <w:rFonts w:ascii="Arial" w:hAnsi="Arial" w:cs="Arial"/>
        </w:rPr>
      </w:pPr>
      <w:r>
        <w:rPr>
          <w:rFonts w:ascii="Arial" w:eastAsiaTheme="majorEastAsia" w:hAnsi="Arial" w:cs="Arial"/>
          <w:color w:val="000000" w:themeColor="text1"/>
        </w:rPr>
        <w:t>the notice inviting offers published on 20 September 2024;</w:t>
      </w:r>
    </w:p>
    <w:p w14:paraId="5501F1C3" w14:textId="2FE9AD56" w:rsidR="000F4B77" w:rsidRPr="00C4143F" w:rsidRDefault="000F4B77" w:rsidP="000F4B77">
      <w:pPr>
        <w:pStyle w:val="ListParagraph"/>
        <w:numPr>
          <w:ilvl w:val="1"/>
          <w:numId w:val="2"/>
        </w:numPr>
        <w:spacing w:after="0" w:line="276" w:lineRule="auto"/>
        <w:ind w:left="1134" w:hanging="283"/>
        <w:contextualSpacing w:val="0"/>
        <w:rPr>
          <w:rFonts w:ascii="Arial" w:hAnsi="Arial" w:cs="Arial"/>
        </w:rPr>
      </w:pPr>
      <w:r>
        <w:rPr>
          <w:rFonts w:ascii="Arial" w:eastAsiaTheme="majorEastAsia" w:hAnsi="Arial" w:cs="Arial"/>
          <w:color w:val="000000" w:themeColor="text1"/>
        </w:rPr>
        <w:t>the notice of intention published on 10 December 2024 and the corrigenda to this notice published on 13 January and 4 March 2025; and</w:t>
      </w:r>
    </w:p>
    <w:p w14:paraId="46A4AAD8" w14:textId="0D20B323" w:rsidR="000F4B77" w:rsidRPr="00C4143F" w:rsidRDefault="000F4B77" w:rsidP="000F4B77">
      <w:pPr>
        <w:pStyle w:val="ListParagraph"/>
        <w:numPr>
          <w:ilvl w:val="1"/>
          <w:numId w:val="2"/>
        </w:numPr>
        <w:spacing w:line="276" w:lineRule="auto"/>
        <w:ind w:left="1135" w:hanging="284"/>
        <w:contextualSpacing w:val="0"/>
        <w:rPr>
          <w:rFonts w:ascii="Arial" w:hAnsi="Arial" w:cs="Arial"/>
        </w:rPr>
      </w:pPr>
      <w:r>
        <w:rPr>
          <w:rFonts w:ascii="Arial" w:hAnsi="Arial" w:cs="Arial"/>
        </w:rPr>
        <w:t>the</w:t>
      </w:r>
      <w:r>
        <w:rPr>
          <w:rFonts w:ascii="Arial" w:eastAsiaTheme="majorEastAsia" w:hAnsi="Arial" w:cs="Arial"/>
          <w:color w:val="000000" w:themeColor="text1"/>
        </w:rPr>
        <w:t xml:space="preserve"> review of Clarendon’s representations.</w:t>
      </w:r>
    </w:p>
    <w:p w14:paraId="48083ABA" w14:textId="69ACA40E" w:rsidR="000F4B77" w:rsidRPr="002D3351" w:rsidRDefault="006829A8" w:rsidP="000E1396">
      <w:pPr>
        <w:pStyle w:val="ListParagraph"/>
        <w:numPr>
          <w:ilvl w:val="0"/>
          <w:numId w:val="2"/>
        </w:numPr>
        <w:spacing w:line="276" w:lineRule="auto"/>
        <w:ind w:left="567" w:hanging="567"/>
        <w:contextualSpacing w:val="0"/>
        <w:rPr>
          <w:rFonts w:ascii="Arial" w:hAnsi="Arial" w:cs="Arial"/>
        </w:rPr>
      </w:pPr>
      <w:r w:rsidRPr="002D3351">
        <w:rPr>
          <w:rFonts w:ascii="Arial" w:hAnsi="Arial" w:cs="Arial"/>
        </w:rPr>
        <w:t>T</w:t>
      </w:r>
      <w:r w:rsidR="000F4B77" w:rsidRPr="002D3351">
        <w:rPr>
          <w:rFonts w:ascii="Arial" w:hAnsi="Arial" w:cs="Arial"/>
        </w:rPr>
        <w:t>he Panel finds that HNY ICB</w:t>
      </w:r>
      <w:r w:rsidR="00575624" w:rsidRPr="002D3351">
        <w:rPr>
          <w:rFonts w:ascii="Arial" w:hAnsi="Arial" w:cs="Arial"/>
        </w:rPr>
        <w:t xml:space="preserve"> breached the PSR regulations in relation to </w:t>
      </w:r>
      <w:r w:rsidR="00BE2359" w:rsidRPr="002D3351">
        <w:rPr>
          <w:rFonts w:ascii="Arial" w:hAnsi="Arial" w:cs="Arial"/>
        </w:rPr>
        <w:t>the notice of intention</w:t>
      </w:r>
      <w:r w:rsidR="00F744C7" w:rsidRPr="002D3351">
        <w:rPr>
          <w:rFonts w:ascii="Arial" w:hAnsi="Arial" w:cs="Arial"/>
        </w:rPr>
        <w:t xml:space="preserve"> </w:t>
      </w:r>
      <w:r w:rsidR="000F4B77" w:rsidRPr="002D3351">
        <w:rPr>
          <w:rFonts w:ascii="Arial" w:hAnsi="Arial" w:cs="Arial"/>
        </w:rPr>
        <w:t xml:space="preserve">by not including a statement explaining the </w:t>
      </w:r>
      <w:r w:rsidR="00812D3E">
        <w:rPr>
          <w:rFonts w:ascii="Arial" w:hAnsi="Arial" w:cs="Arial"/>
        </w:rPr>
        <w:t>ICB’s</w:t>
      </w:r>
      <w:r w:rsidR="000F4B77" w:rsidRPr="002D3351">
        <w:rPr>
          <w:rFonts w:ascii="Arial" w:hAnsi="Arial" w:cs="Arial"/>
        </w:rPr>
        <w:t xml:space="preserve"> reasons for selecting the chosen providers with reference to the key criteria</w:t>
      </w:r>
      <w:r w:rsidR="00F744C7" w:rsidRPr="002D3351">
        <w:rPr>
          <w:rFonts w:ascii="Arial" w:hAnsi="Arial" w:cs="Arial"/>
        </w:rPr>
        <w:t xml:space="preserve"> (</w:t>
      </w:r>
      <w:r w:rsidR="002706D0">
        <w:rPr>
          <w:rFonts w:ascii="Arial" w:hAnsi="Arial" w:cs="Arial"/>
        </w:rPr>
        <w:t xml:space="preserve">contrary to the requirements of </w:t>
      </w:r>
      <w:r w:rsidR="00094B45">
        <w:rPr>
          <w:rFonts w:ascii="Arial" w:hAnsi="Arial" w:cs="Arial"/>
        </w:rPr>
        <w:t xml:space="preserve">Regulation </w:t>
      </w:r>
      <w:r w:rsidR="000F4B77" w:rsidRPr="002D3351">
        <w:rPr>
          <w:rFonts w:ascii="Arial" w:hAnsi="Arial" w:cs="Arial"/>
        </w:rPr>
        <w:t>11(10)</w:t>
      </w:r>
      <w:r w:rsidR="00094B45">
        <w:rPr>
          <w:rFonts w:ascii="Arial" w:hAnsi="Arial" w:cs="Arial"/>
        </w:rPr>
        <w:t xml:space="preserve"> and Schedule 10</w:t>
      </w:r>
      <w:r w:rsidR="00F744C7" w:rsidRPr="002D3351">
        <w:rPr>
          <w:rFonts w:ascii="Arial" w:hAnsi="Arial" w:cs="Arial"/>
        </w:rPr>
        <w:t>)</w:t>
      </w:r>
      <w:r w:rsidR="000F4B77" w:rsidRPr="002D3351">
        <w:rPr>
          <w:rFonts w:ascii="Arial" w:hAnsi="Arial" w:cs="Arial"/>
        </w:rPr>
        <w:t>.</w:t>
      </w:r>
      <w:r w:rsidR="002D3351" w:rsidRPr="002D3351">
        <w:rPr>
          <w:rFonts w:ascii="Arial" w:hAnsi="Arial" w:cs="Arial"/>
        </w:rPr>
        <w:t xml:space="preserve"> </w:t>
      </w:r>
      <w:r w:rsidR="000F4B77" w:rsidRPr="002D3351">
        <w:rPr>
          <w:rFonts w:ascii="Arial" w:hAnsi="Arial" w:cs="Arial"/>
        </w:rPr>
        <w:t>The Panel does not</w:t>
      </w:r>
      <w:r w:rsidR="00DE2916" w:rsidRPr="002D3351">
        <w:rPr>
          <w:rFonts w:ascii="Arial" w:hAnsi="Arial" w:cs="Arial"/>
        </w:rPr>
        <w:t>, however,</w:t>
      </w:r>
      <w:r w:rsidR="000F4B77" w:rsidRPr="002D3351">
        <w:rPr>
          <w:rFonts w:ascii="Arial" w:hAnsi="Arial" w:cs="Arial"/>
        </w:rPr>
        <w:t xml:space="preserve"> consider that HNY ICB’s breach of the PSR regulations had a material effect on HNY ICB’s provider selection process.</w:t>
      </w:r>
    </w:p>
    <w:p w14:paraId="27EE986B" w14:textId="51EF964E" w:rsidR="000F4B77" w:rsidRDefault="002D3351" w:rsidP="000F4B77">
      <w:pPr>
        <w:pStyle w:val="ListParagraph"/>
        <w:numPr>
          <w:ilvl w:val="0"/>
          <w:numId w:val="2"/>
        </w:numPr>
        <w:spacing w:line="276" w:lineRule="auto"/>
        <w:ind w:left="567" w:hanging="567"/>
        <w:contextualSpacing w:val="0"/>
        <w:rPr>
          <w:rFonts w:ascii="Arial" w:hAnsi="Arial" w:cs="Arial"/>
        </w:rPr>
      </w:pPr>
      <w:r>
        <w:rPr>
          <w:rFonts w:ascii="Arial" w:hAnsi="Arial" w:cs="Arial"/>
        </w:rPr>
        <w:t>As a result</w:t>
      </w:r>
      <w:r w:rsidR="000F4B77">
        <w:rPr>
          <w:rFonts w:ascii="Arial" w:hAnsi="Arial" w:cs="Arial"/>
        </w:rPr>
        <w:t>, the Panel’s advice is that HNY ICB should proceed with awarding the contracts as originally intended with respect to Lots 1, 3-10, and 13-16.</w:t>
      </w:r>
    </w:p>
    <w:p w14:paraId="29F5D755" w14:textId="12C05B8F" w:rsidR="002E21E1" w:rsidRPr="00B343D1" w:rsidRDefault="002E21E1" w:rsidP="00B343D1">
      <w:pPr>
        <w:pStyle w:val="Heading1"/>
        <w:numPr>
          <w:ilvl w:val="0"/>
          <w:numId w:val="1"/>
        </w:numPr>
        <w:spacing w:before="360" w:after="240"/>
        <w:ind w:left="0" w:firstLine="0"/>
        <w:rPr>
          <w:rFonts w:ascii="Arial" w:hAnsi="Arial" w:cs="Arial"/>
          <w:b/>
          <w:bCs/>
          <w:color w:val="000000" w:themeColor="text1"/>
          <w:sz w:val="28"/>
          <w:szCs w:val="28"/>
        </w:rPr>
      </w:pPr>
      <w:bookmarkStart w:id="1" w:name="_Toc198745100"/>
      <w:r w:rsidRPr="00B343D1">
        <w:rPr>
          <w:rFonts w:ascii="Arial" w:hAnsi="Arial" w:cs="Arial"/>
          <w:b/>
          <w:bCs/>
          <w:color w:val="000000" w:themeColor="text1"/>
          <w:sz w:val="28"/>
          <w:szCs w:val="28"/>
        </w:rPr>
        <w:t>Introduction</w:t>
      </w:r>
      <w:bookmarkEnd w:id="1"/>
    </w:p>
    <w:p w14:paraId="4A162FBA" w14:textId="5953DB07" w:rsidR="004426BC" w:rsidRDefault="00C07EF8" w:rsidP="00854E64">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On </w:t>
      </w:r>
      <w:r w:rsidR="00DD185B">
        <w:rPr>
          <w:rFonts w:ascii="Arial" w:hAnsi="Arial" w:cs="Arial"/>
        </w:rPr>
        <w:t>7 March 2025</w:t>
      </w:r>
      <w:r w:rsidR="00C559FE">
        <w:rPr>
          <w:rFonts w:ascii="Arial" w:hAnsi="Arial" w:cs="Arial"/>
        </w:rPr>
        <w:t>,</w:t>
      </w:r>
      <w:r w:rsidR="00DD185B">
        <w:rPr>
          <w:rFonts w:ascii="Arial" w:hAnsi="Arial" w:cs="Arial"/>
        </w:rPr>
        <w:t xml:space="preserve"> </w:t>
      </w:r>
      <w:r w:rsidR="009A0B6C">
        <w:rPr>
          <w:rFonts w:ascii="Arial" w:hAnsi="Arial" w:cs="Arial"/>
        </w:rPr>
        <w:t>the Panel was asked by</w:t>
      </w:r>
      <w:r w:rsidR="00DD185B">
        <w:rPr>
          <w:rFonts w:ascii="Arial" w:hAnsi="Arial" w:cs="Arial"/>
        </w:rPr>
        <w:t xml:space="preserve"> Barkhill Dental Practice</w:t>
      </w:r>
      <w:r w:rsidR="006E5FC0">
        <w:rPr>
          <w:rFonts w:ascii="Arial" w:hAnsi="Arial" w:cs="Arial"/>
        </w:rPr>
        <w:t xml:space="preserve"> Limited (</w:t>
      </w:r>
      <w:r w:rsidR="000E6CD2">
        <w:rPr>
          <w:rFonts w:ascii="Arial" w:hAnsi="Arial" w:cs="Arial"/>
        </w:rPr>
        <w:t>Barkhill</w:t>
      </w:r>
      <w:r w:rsidR="006E5FC0">
        <w:rPr>
          <w:rFonts w:ascii="Arial" w:hAnsi="Arial" w:cs="Arial"/>
        </w:rPr>
        <w:t>)</w:t>
      </w:r>
      <w:r w:rsidR="00691DEF">
        <w:rPr>
          <w:rStyle w:val="FootnoteReference"/>
          <w:rFonts w:ascii="Arial" w:hAnsi="Arial" w:cs="Arial"/>
        </w:rPr>
        <w:footnoteReference w:id="2"/>
      </w:r>
      <w:r w:rsidR="000003E3" w:rsidRPr="007B4942">
        <w:rPr>
          <w:rFonts w:ascii="Arial" w:hAnsi="Arial" w:cs="Arial"/>
        </w:rPr>
        <w:t xml:space="preserve"> </w:t>
      </w:r>
      <w:r w:rsidR="008A4B5C" w:rsidRPr="007B4942">
        <w:rPr>
          <w:rFonts w:ascii="Arial" w:hAnsi="Arial" w:cs="Arial"/>
        </w:rPr>
        <w:t xml:space="preserve">to advise on </w:t>
      </w:r>
      <w:r w:rsidR="00E0548A">
        <w:rPr>
          <w:rFonts w:ascii="Arial" w:hAnsi="Arial" w:cs="Arial"/>
        </w:rPr>
        <w:t xml:space="preserve">the selection </w:t>
      </w:r>
      <w:r w:rsidR="00B72FD6" w:rsidRPr="007B4942">
        <w:rPr>
          <w:rFonts w:ascii="Arial" w:hAnsi="Arial" w:cs="Arial"/>
        </w:rPr>
        <w:t>of provider</w:t>
      </w:r>
      <w:r w:rsidR="00B72FD6">
        <w:rPr>
          <w:rFonts w:ascii="Arial" w:hAnsi="Arial" w:cs="Arial"/>
        </w:rPr>
        <w:t xml:space="preserve">s </w:t>
      </w:r>
      <w:r w:rsidR="00E0548A">
        <w:rPr>
          <w:rFonts w:ascii="Arial" w:hAnsi="Arial" w:cs="Arial"/>
        </w:rPr>
        <w:t xml:space="preserve">by </w:t>
      </w:r>
      <w:r w:rsidR="005063AC">
        <w:rPr>
          <w:rFonts w:ascii="Arial" w:hAnsi="Arial" w:cs="Arial"/>
        </w:rPr>
        <w:t xml:space="preserve">NHS </w:t>
      </w:r>
      <w:r w:rsidR="006E5FC0">
        <w:rPr>
          <w:rFonts w:ascii="Arial" w:hAnsi="Arial" w:cs="Arial"/>
        </w:rPr>
        <w:t>Humber and North Yorkshire Integrated Care Board</w:t>
      </w:r>
      <w:r w:rsidR="00E44869">
        <w:rPr>
          <w:rFonts w:ascii="Arial" w:hAnsi="Arial" w:cs="Arial"/>
        </w:rPr>
        <w:t xml:space="preserve"> (</w:t>
      </w:r>
      <w:r w:rsidR="00A9779F">
        <w:rPr>
          <w:rFonts w:ascii="Arial" w:hAnsi="Arial" w:cs="Arial"/>
        </w:rPr>
        <w:t>HNY</w:t>
      </w:r>
      <w:r w:rsidR="00E44869">
        <w:rPr>
          <w:rFonts w:ascii="Arial" w:hAnsi="Arial" w:cs="Arial"/>
        </w:rPr>
        <w:t xml:space="preserve"> ICB)</w:t>
      </w:r>
      <w:r w:rsidR="008A4B5C" w:rsidRPr="007B4942">
        <w:rPr>
          <w:rFonts w:ascii="Arial" w:hAnsi="Arial" w:cs="Arial"/>
        </w:rPr>
        <w:t xml:space="preserve"> </w:t>
      </w:r>
      <w:r w:rsidR="001E090F" w:rsidRPr="007B4942">
        <w:rPr>
          <w:rFonts w:ascii="Arial" w:hAnsi="Arial" w:cs="Arial"/>
        </w:rPr>
        <w:t xml:space="preserve">for </w:t>
      </w:r>
      <w:r w:rsidR="00B96492">
        <w:rPr>
          <w:rFonts w:ascii="Arial" w:hAnsi="Arial" w:cs="Arial"/>
        </w:rPr>
        <w:t>the</w:t>
      </w:r>
      <w:r w:rsidR="00B96492" w:rsidRPr="007B4942">
        <w:rPr>
          <w:rFonts w:ascii="Arial" w:hAnsi="Arial" w:cs="Arial"/>
        </w:rPr>
        <w:t xml:space="preserve"> </w:t>
      </w:r>
      <w:r w:rsidR="00E44869">
        <w:rPr>
          <w:rFonts w:ascii="Arial" w:hAnsi="Arial" w:cs="Arial"/>
        </w:rPr>
        <w:t xml:space="preserve">Intermediate </w:t>
      </w:r>
      <w:r w:rsidR="007675D6">
        <w:rPr>
          <w:rFonts w:ascii="Arial" w:hAnsi="Arial" w:cs="Arial"/>
        </w:rPr>
        <w:t xml:space="preserve">Minor Oral Surgery </w:t>
      </w:r>
      <w:r w:rsidR="00BF6F9D">
        <w:rPr>
          <w:rFonts w:ascii="Arial" w:hAnsi="Arial" w:cs="Arial"/>
        </w:rPr>
        <w:t>(IMOS) s</w:t>
      </w:r>
      <w:r w:rsidR="007675D6">
        <w:rPr>
          <w:rFonts w:ascii="Arial" w:hAnsi="Arial" w:cs="Arial"/>
        </w:rPr>
        <w:t xml:space="preserve">ervice </w:t>
      </w:r>
      <w:r w:rsidR="00B96492">
        <w:rPr>
          <w:rFonts w:ascii="Arial" w:hAnsi="Arial" w:cs="Arial"/>
        </w:rPr>
        <w:t xml:space="preserve">in </w:t>
      </w:r>
      <w:r w:rsidR="007675D6">
        <w:rPr>
          <w:rFonts w:ascii="Arial" w:hAnsi="Arial" w:cs="Arial"/>
        </w:rPr>
        <w:t>Yorkshire and Humber</w:t>
      </w:r>
      <w:r w:rsidR="001E090F" w:rsidRPr="007B4942">
        <w:rPr>
          <w:rFonts w:ascii="Arial" w:hAnsi="Arial" w:cs="Arial"/>
        </w:rPr>
        <w:t>.</w:t>
      </w:r>
      <w:r w:rsidR="00684715" w:rsidRPr="007B4942">
        <w:rPr>
          <w:rFonts w:ascii="Arial" w:hAnsi="Arial" w:cs="Arial"/>
        </w:rPr>
        <w:t xml:space="preserve"> </w:t>
      </w:r>
      <w:r w:rsidR="004426BC">
        <w:rPr>
          <w:rFonts w:ascii="Arial" w:hAnsi="Arial" w:cs="Arial"/>
        </w:rPr>
        <w:t xml:space="preserve">On </w:t>
      </w:r>
      <w:r w:rsidR="00602F46">
        <w:rPr>
          <w:rFonts w:ascii="Arial" w:hAnsi="Arial" w:cs="Arial"/>
        </w:rPr>
        <w:t xml:space="preserve">10 March 2025, </w:t>
      </w:r>
      <w:r w:rsidR="00310BE0">
        <w:rPr>
          <w:rFonts w:ascii="Arial" w:hAnsi="Arial" w:cs="Arial"/>
        </w:rPr>
        <w:t xml:space="preserve">the Panel </w:t>
      </w:r>
      <w:r w:rsidR="002010B3">
        <w:rPr>
          <w:rFonts w:ascii="Arial" w:hAnsi="Arial" w:cs="Arial"/>
        </w:rPr>
        <w:t xml:space="preserve">was asked by </w:t>
      </w:r>
      <w:r w:rsidR="00254A0A">
        <w:rPr>
          <w:rFonts w:ascii="Arial" w:hAnsi="Arial" w:cs="Arial"/>
        </w:rPr>
        <w:t>Clarendon Dental Spa (Leeds) Limited (</w:t>
      </w:r>
      <w:r w:rsidR="000E6CD2">
        <w:rPr>
          <w:rFonts w:ascii="Arial" w:hAnsi="Arial" w:cs="Arial"/>
        </w:rPr>
        <w:t>Clarendon</w:t>
      </w:r>
      <w:r w:rsidR="00254A0A">
        <w:rPr>
          <w:rFonts w:ascii="Arial" w:hAnsi="Arial" w:cs="Arial"/>
        </w:rPr>
        <w:t>)</w:t>
      </w:r>
      <w:r w:rsidR="006737D1">
        <w:rPr>
          <w:rStyle w:val="FootnoteReference"/>
          <w:rFonts w:ascii="Arial" w:hAnsi="Arial" w:cs="Arial"/>
        </w:rPr>
        <w:footnoteReference w:id="3"/>
      </w:r>
      <w:r w:rsidR="002E228A">
        <w:rPr>
          <w:rFonts w:ascii="Arial" w:hAnsi="Arial" w:cs="Arial"/>
        </w:rPr>
        <w:t xml:space="preserve"> </w:t>
      </w:r>
      <w:r w:rsidR="00B300D7">
        <w:rPr>
          <w:rFonts w:ascii="Arial" w:hAnsi="Arial" w:cs="Arial"/>
        </w:rPr>
        <w:t>to advise on the same provider selection process</w:t>
      </w:r>
      <w:r w:rsidR="006B770A">
        <w:rPr>
          <w:rFonts w:ascii="Arial" w:hAnsi="Arial" w:cs="Arial"/>
        </w:rPr>
        <w:t>.</w:t>
      </w:r>
    </w:p>
    <w:p w14:paraId="5EADA101" w14:textId="01068439" w:rsidR="00592B7E" w:rsidRPr="007B4942" w:rsidRDefault="007769D7" w:rsidP="00854E64">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The Panel accepted</w:t>
      </w:r>
      <w:r w:rsidR="00DA6CE4">
        <w:rPr>
          <w:rFonts w:ascii="Arial" w:hAnsi="Arial" w:cs="Arial"/>
        </w:rPr>
        <w:t xml:space="preserve"> both</w:t>
      </w:r>
      <w:r w:rsidR="008A4B5C" w:rsidRPr="007B4942">
        <w:rPr>
          <w:rFonts w:ascii="Arial" w:hAnsi="Arial" w:cs="Arial"/>
        </w:rPr>
        <w:t xml:space="preserve"> request</w:t>
      </w:r>
      <w:r w:rsidR="00DA6CE4">
        <w:rPr>
          <w:rFonts w:ascii="Arial" w:hAnsi="Arial" w:cs="Arial"/>
        </w:rPr>
        <w:t>s</w:t>
      </w:r>
      <w:r w:rsidR="008A4B5C" w:rsidRPr="007B4942">
        <w:rPr>
          <w:rFonts w:ascii="Arial" w:hAnsi="Arial" w:cs="Arial"/>
        </w:rPr>
        <w:t xml:space="preserve"> on </w:t>
      </w:r>
      <w:r w:rsidR="002B7D0A">
        <w:rPr>
          <w:rFonts w:ascii="Arial" w:hAnsi="Arial" w:cs="Arial"/>
        </w:rPr>
        <w:t xml:space="preserve">12 March 2025 </w:t>
      </w:r>
      <w:r w:rsidR="002B561F" w:rsidRPr="007B4942">
        <w:rPr>
          <w:rFonts w:ascii="Arial" w:hAnsi="Arial" w:cs="Arial"/>
        </w:rPr>
        <w:t>in accordance with its case acceptance criteria</w:t>
      </w:r>
      <w:r w:rsidR="00F02F6B" w:rsidRPr="007B4942">
        <w:rPr>
          <w:rFonts w:ascii="Arial" w:hAnsi="Arial" w:cs="Arial"/>
        </w:rPr>
        <w:t>.</w:t>
      </w:r>
      <w:r w:rsidR="00592B7E" w:rsidRPr="007B4942">
        <w:rPr>
          <w:rFonts w:ascii="Arial" w:hAnsi="Arial" w:cs="Arial"/>
        </w:rPr>
        <w:t xml:space="preserve"> The</w:t>
      </w:r>
      <w:r w:rsidR="002B561F" w:rsidRPr="007B4942">
        <w:rPr>
          <w:rFonts w:ascii="Arial" w:hAnsi="Arial" w:cs="Arial"/>
        </w:rPr>
        <w:t xml:space="preserve">se </w:t>
      </w:r>
      <w:r w:rsidR="00592B7E" w:rsidRPr="007B4942">
        <w:rPr>
          <w:rFonts w:ascii="Arial" w:hAnsi="Arial" w:cs="Arial"/>
        </w:rPr>
        <w:t>criteria set out</w:t>
      </w:r>
      <w:r w:rsidR="006C1E2E" w:rsidRPr="007B4942">
        <w:rPr>
          <w:rFonts w:ascii="Arial" w:hAnsi="Arial" w:cs="Arial"/>
        </w:rPr>
        <w:t xml:space="preserve"> both</w:t>
      </w:r>
      <w:r w:rsidR="00130005" w:rsidRPr="007B4942">
        <w:rPr>
          <w:rFonts w:ascii="Arial" w:hAnsi="Arial" w:cs="Arial"/>
        </w:rPr>
        <w:t xml:space="preserve"> </w:t>
      </w:r>
      <w:r w:rsidR="00592B7E" w:rsidRPr="007B4942">
        <w:rPr>
          <w:rFonts w:ascii="Arial" w:hAnsi="Arial" w:cs="Arial"/>
        </w:rPr>
        <w:t>eligibility requirements and the prioritisation criteria the Panel will apply when it is approaching full caseload capacity.</w:t>
      </w:r>
      <w:r w:rsidR="00592B7E" w:rsidRPr="007B4942">
        <w:rPr>
          <w:rStyle w:val="FootnoteReference"/>
          <w:rFonts w:ascii="Arial" w:hAnsi="Arial" w:cs="Arial"/>
        </w:rPr>
        <w:footnoteReference w:id="4"/>
      </w:r>
      <w:r w:rsidR="00592B7E" w:rsidRPr="007B4942">
        <w:rPr>
          <w:rFonts w:ascii="Arial" w:hAnsi="Arial" w:cs="Arial"/>
        </w:rPr>
        <w:t xml:space="preserve"> </w:t>
      </w:r>
      <w:r w:rsidR="00B300D7">
        <w:rPr>
          <w:rFonts w:ascii="Arial" w:hAnsi="Arial" w:cs="Arial"/>
        </w:rPr>
        <w:t>Both providers’</w:t>
      </w:r>
      <w:r w:rsidR="00592B7E" w:rsidRPr="007B4942">
        <w:rPr>
          <w:rFonts w:ascii="Arial" w:hAnsi="Arial" w:cs="Arial"/>
        </w:rPr>
        <w:t xml:space="preserve"> request</w:t>
      </w:r>
      <w:r w:rsidR="00B300D7">
        <w:rPr>
          <w:rFonts w:ascii="Arial" w:hAnsi="Arial" w:cs="Arial"/>
        </w:rPr>
        <w:t>s</w:t>
      </w:r>
      <w:r w:rsidR="00592B7E" w:rsidRPr="007B4942">
        <w:rPr>
          <w:rFonts w:ascii="Arial" w:hAnsi="Arial" w:cs="Arial"/>
        </w:rPr>
        <w:t xml:space="preserve"> met the eligibility requirements, </w:t>
      </w:r>
      <w:r w:rsidR="005371BE" w:rsidRPr="007B4942">
        <w:rPr>
          <w:rFonts w:ascii="Arial" w:hAnsi="Arial" w:cs="Arial"/>
        </w:rPr>
        <w:t xml:space="preserve">and as the Panel </w:t>
      </w:r>
      <w:r w:rsidR="00C96BEE">
        <w:rPr>
          <w:rFonts w:ascii="Arial" w:hAnsi="Arial" w:cs="Arial"/>
        </w:rPr>
        <w:t xml:space="preserve">had sufficient capacity and no immediate prospect of reaching </w:t>
      </w:r>
      <w:r w:rsidR="00130005" w:rsidRPr="007B4942">
        <w:rPr>
          <w:rFonts w:ascii="Arial" w:hAnsi="Arial" w:cs="Arial"/>
        </w:rPr>
        <w:t xml:space="preserve">full </w:t>
      </w:r>
      <w:r w:rsidR="005371BE" w:rsidRPr="007B4942">
        <w:rPr>
          <w:rFonts w:ascii="Arial" w:hAnsi="Arial" w:cs="Arial"/>
        </w:rPr>
        <w:t>capacity, there was no need to apply the prioritisation criteria.</w:t>
      </w:r>
    </w:p>
    <w:p w14:paraId="71128CEA" w14:textId="6EE13D04" w:rsidR="005371BE" w:rsidRPr="007B4942" w:rsidRDefault="005371BE" w:rsidP="00844E9C">
      <w:pPr>
        <w:pStyle w:val="ListParagraph"/>
        <w:numPr>
          <w:ilvl w:val="0"/>
          <w:numId w:val="2"/>
        </w:numPr>
        <w:spacing w:after="0" w:line="276" w:lineRule="auto"/>
        <w:ind w:left="567" w:hanging="567"/>
        <w:contextualSpacing w:val="0"/>
        <w:rPr>
          <w:rFonts w:ascii="Arial" w:hAnsi="Arial" w:cs="Arial"/>
        </w:rPr>
      </w:pPr>
      <w:r w:rsidRPr="007B4942">
        <w:rPr>
          <w:rFonts w:ascii="Arial" w:hAnsi="Arial" w:cs="Arial"/>
        </w:rPr>
        <w:lastRenderedPageBreak/>
        <w:t xml:space="preserve">The </w:t>
      </w:r>
      <w:r w:rsidR="0031427F" w:rsidRPr="007B4942">
        <w:rPr>
          <w:rFonts w:ascii="Arial" w:hAnsi="Arial" w:cs="Arial"/>
        </w:rPr>
        <w:t xml:space="preserve">Panel’s </w:t>
      </w:r>
      <w:r w:rsidRPr="007B4942">
        <w:rPr>
          <w:rFonts w:ascii="Arial" w:hAnsi="Arial" w:cs="Arial"/>
        </w:rPr>
        <w:t xml:space="preserve">Chair </w:t>
      </w:r>
      <w:r w:rsidR="00BB315E">
        <w:rPr>
          <w:rFonts w:ascii="Arial" w:hAnsi="Arial" w:cs="Arial"/>
        </w:rPr>
        <w:t xml:space="preserve">decided to </w:t>
      </w:r>
      <w:r w:rsidR="00CE0B98">
        <w:rPr>
          <w:rFonts w:ascii="Arial" w:hAnsi="Arial" w:cs="Arial"/>
        </w:rPr>
        <w:t>combine</w:t>
      </w:r>
      <w:r w:rsidR="001F3B22">
        <w:rPr>
          <w:rFonts w:ascii="Arial" w:hAnsi="Arial" w:cs="Arial"/>
        </w:rPr>
        <w:t xml:space="preserve"> </w:t>
      </w:r>
      <w:r w:rsidR="00396436">
        <w:rPr>
          <w:rFonts w:ascii="Arial" w:hAnsi="Arial" w:cs="Arial"/>
        </w:rPr>
        <w:t xml:space="preserve">the review of these </w:t>
      </w:r>
      <w:r w:rsidR="001F3B22">
        <w:rPr>
          <w:rFonts w:ascii="Arial" w:hAnsi="Arial" w:cs="Arial"/>
        </w:rPr>
        <w:t xml:space="preserve">two </w:t>
      </w:r>
      <w:r w:rsidR="00396436">
        <w:rPr>
          <w:rFonts w:ascii="Arial" w:hAnsi="Arial" w:cs="Arial"/>
        </w:rPr>
        <w:t xml:space="preserve">cases and </w:t>
      </w:r>
      <w:r w:rsidRPr="007B4942">
        <w:rPr>
          <w:rFonts w:ascii="Arial" w:hAnsi="Arial" w:cs="Arial"/>
        </w:rPr>
        <w:t xml:space="preserve">appointed </w:t>
      </w:r>
      <w:r w:rsidR="00340382" w:rsidRPr="007B4942">
        <w:rPr>
          <w:rFonts w:ascii="Arial" w:hAnsi="Arial" w:cs="Arial"/>
        </w:rPr>
        <w:t xml:space="preserve">three </w:t>
      </w:r>
      <w:r w:rsidRPr="007B4942">
        <w:rPr>
          <w:rFonts w:ascii="Arial" w:hAnsi="Arial" w:cs="Arial"/>
        </w:rPr>
        <w:t xml:space="preserve">members to a </w:t>
      </w:r>
      <w:r w:rsidR="00396436">
        <w:rPr>
          <w:rFonts w:ascii="Arial" w:hAnsi="Arial" w:cs="Arial"/>
        </w:rPr>
        <w:t xml:space="preserve">joint </w:t>
      </w:r>
      <w:r w:rsidRPr="007B4942">
        <w:rPr>
          <w:rFonts w:ascii="Arial" w:hAnsi="Arial" w:cs="Arial"/>
        </w:rPr>
        <w:t>Case Panel (in line with the Panel’s procedures). The Case Panel consisted of:</w:t>
      </w:r>
    </w:p>
    <w:p w14:paraId="2CEE0223" w14:textId="5BDC0677" w:rsidR="00340382" w:rsidRPr="007B4942" w:rsidRDefault="00340382" w:rsidP="003D13B1">
      <w:pPr>
        <w:pStyle w:val="ListParagraph"/>
        <w:numPr>
          <w:ilvl w:val="0"/>
          <w:numId w:val="3"/>
        </w:numPr>
        <w:spacing w:line="276" w:lineRule="auto"/>
        <w:ind w:left="1134" w:hanging="284"/>
        <w:rPr>
          <w:rFonts w:ascii="Arial" w:hAnsi="Arial" w:cs="Arial"/>
        </w:rPr>
      </w:pPr>
      <w:r w:rsidRPr="007B4942">
        <w:rPr>
          <w:rFonts w:ascii="Arial" w:hAnsi="Arial" w:cs="Arial"/>
        </w:rPr>
        <w:t xml:space="preserve">Andrew Taylor, </w:t>
      </w:r>
      <w:r w:rsidR="009A66F1" w:rsidRPr="007B4942">
        <w:rPr>
          <w:rFonts w:ascii="Arial" w:hAnsi="Arial" w:cs="Arial"/>
        </w:rPr>
        <w:t>Panel Chair</w:t>
      </w:r>
      <w:r w:rsidR="003D13B1" w:rsidRPr="007B4942">
        <w:rPr>
          <w:rFonts w:ascii="Arial" w:hAnsi="Arial" w:cs="Arial"/>
        </w:rPr>
        <w:t>;</w:t>
      </w:r>
    </w:p>
    <w:p w14:paraId="248897AD" w14:textId="44EC0611" w:rsidR="009A66F1" w:rsidRPr="007B4942" w:rsidRDefault="00922237" w:rsidP="003D13B1">
      <w:pPr>
        <w:pStyle w:val="ListParagraph"/>
        <w:numPr>
          <w:ilvl w:val="0"/>
          <w:numId w:val="3"/>
        </w:numPr>
        <w:spacing w:line="276" w:lineRule="auto"/>
        <w:ind w:left="1134" w:hanging="284"/>
        <w:rPr>
          <w:rFonts w:ascii="Arial" w:hAnsi="Arial" w:cs="Arial"/>
        </w:rPr>
      </w:pPr>
      <w:r>
        <w:rPr>
          <w:rFonts w:ascii="Arial" w:hAnsi="Arial" w:cs="Arial"/>
        </w:rPr>
        <w:t>Daria Prigioni,</w:t>
      </w:r>
      <w:r w:rsidR="009A66F1" w:rsidRPr="007B4942">
        <w:rPr>
          <w:rFonts w:ascii="Arial" w:hAnsi="Arial" w:cs="Arial"/>
        </w:rPr>
        <w:t xml:space="preserve"> Case Panel Member</w:t>
      </w:r>
      <w:r w:rsidR="003D13B1" w:rsidRPr="007B4942">
        <w:rPr>
          <w:rFonts w:ascii="Arial" w:hAnsi="Arial" w:cs="Arial"/>
        </w:rPr>
        <w:t>; and</w:t>
      </w:r>
    </w:p>
    <w:p w14:paraId="0470A960" w14:textId="3A11176C" w:rsidR="00592B7E" w:rsidRPr="007B4942" w:rsidRDefault="00922237" w:rsidP="003D13B1">
      <w:pPr>
        <w:pStyle w:val="ListParagraph"/>
        <w:numPr>
          <w:ilvl w:val="0"/>
          <w:numId w:val="3"/>
        </w:numPr>
        <w:spacing w:line="276" w:lineRule="auto"/>
        <w:ind w:left="1135" w:hanging="284"/>
        <w:contextualSpacing w:val="0"/>
        <w:rPr>
          <w:rFonts w:ascii="Arial" w:hAnsi="Arial" w:cs="Arial"/>
        </w:rPr>
      </w:pPr>
      <w:r>
        <w:rPr>
          <w:rFonts w:ascii="Arial" w:hAnsi="Arial" w:cs="Arial"/>
        </w:rPr>
        <w:t>Sally Collier</w:t>
      </w:r>
      <w:r w:rsidR="009A66F1" w:rsidRPr="007B4942">
        <w:rPr>
          <w:rFonts w:ascii="Arial" w:hAnsi="Arial" w:cs="Arial"/>
        </w:rPr>
        <w:t>, Case Panel Member</w:t>
      </w:r>
      <w:r w:rsidR="003D13B1" w:rsidRPr="007B4942">
        <w:rPr>
          <w:rFonts w:ascii="Arial" w:hAnsi="Arial" w:cs="Arial"/>
        </w:rPr>
        <w:t>.</w:t>
      </w:r>
      <w:r w:rsidR="005371BE" w:rsidRPr="007B4942">
        <w:rPr>
          <w:vertAlign w:val="superscript"/>
        </w:rPr>
        <w:footnoteReference w:id="5"/>
      </w:r>
    </w:p>
    <w:p w14:paraId="299225C0" w14:textId="66D5E7F8" w:rsidR="00E826E3" w:rsidRDefault="3AF6A6EE" w:rsidP="00A6670D">
      <w:pPr>
        <w:pStyle w:val="ListParagraph"/>
        <w:numPr>
          <w:ilvl w:val="0"/>
          <w:numId w:val="2"/>
        </w:numPr>
        <w:spacing w:line="276" w:lineRule="auto"/>
        <w:ind w:left="567" w:hanging="567"/>
        <w:contextualSpacing w:val="0"/>
        <w:rPr>
          <w:rFonts w:ascii="Arial" w:hAnsi="Arial" w:cs="Arial"/>
        </w:rPr>
      </w:pPr>
      <w:r w:rsidRPr="009B66C1">
        <w:rPr>
          <w:rFonts w:ascii="Arial" w:hAnsi="Arial" w:cs="Arial"/>
        </w:rPr>
        <w:t xml:space="preserve">The </w:t>
      </w:r>
      <w:r w:rsidR="2BF31744" w:rsidRPr="009B66C1">
        <w:rPr>
          <w:rFonts w:ascii="Arial" w:hAnsi="Arial" w:cs="Arial"/>
        </w:rPr>
        <w:t xml:space="preserve">Case </w:t>
      </w:r>
      <w:r w:rsidRPr="009B66C1">
        <w:rPr>
          <w:rFonts w:ascii="Arial" w:hAnsi="Arial" w:cs="Arial"/>
        </w:rPr>
        <w:t>Panel’s review ha</w:t>
      </w:r>
      <w:r w:rsidR="30B746A3">
        <w:rPr>
          <w:rFonts w:ascii="Arial" w:hAnsi="Arial" w:cs="Arial"/>
        </w:rPr>
        <w:t>s</w:t>
      </w:r>
      <w:r w:rsidRPr="009B66C1">
        <w:rPr>
          <w:rFonts w:ascii="Arial" w:hAnsi="Arial" w:cs="Arial"/>
        </w:rPr>
        <w:t xml:space="preserve"> been carried out in accordance with </w:t>
      </w:r>
      <w:r w:rsidR="2BF31744" w:rsidRPr="009B66C1">
        <w:rPr>
          <w:rFonts w:ascii="Arial" w:hAnsi="Arial" w:cs="Arial"/>
        </w:rPr>
        <w:t>the Panel’s</w:t>
      </w:r>
      <w:r w:rsidRPr="009B66C1">
        <w:rPr>
          <w:rFonts w:ascii="Arial" w:hAnsi="Arial" w:cs="Arial"/>
        </w:rPr>
        <w:t xml:space="preserve"> Standard </w:t>
      </w:r>
      <w:r w:rsidRPr="00A6670D">
        <w:rPr>
          <w:rFonts w:ascii="Arial" w:hAnsi="Arial" w:cs="Arial"/>
          <w:color w:val="000000" w:themeColor="text1"/>
        </w:rPr>
        <w:t>Operating</w:t>
      </w:r>
      <w:r w:rsidRPr="009B66C1">
        <w:rPr>
          <w:rFonts w:ascii="Arial" w:hAnsi="Arial" w:cs="Arial"/>
        </w:rPr>
        <w:t xml:space="preserve"> </w:t>
      </w:r>
      <w:r w:rsidRPr="00A6670D">
        <w:rPr>
          <w:rFonts w:ascii="Arial" w:hAnsi="Arial" w:cs="Arial"/>
          <w:color w:val="000000" w:themeColor="text1"/>
        </w:rPr>
        <w:t>Procedures</w:t>
      </w:r>
      <w:r w:rsidRPr="009B66C1">
        <w:rPr>
          <w:rFonts w:ascii="Arial" w:hAnsi="Arial" w:cs="Arial"/>
        </w:rPr>
        <w:t xml:space="preserve"> (procedures).</w:t>
      </w:r>
      <w:r w:rsidR="00B54100" w:rsidRPr="009B66C1">
        <w:rPr>
          <w:rStyle w:val="FootnoteReference"/>
          <w:rFonts w:ascii="Arial" w:hAnsi="Arial" w:cs="Arial"/>
        </w:rPr>
        <w:footnoteReference w:id="6"/>
      </w:r>
      <w:r w:rsidRPr="009B66C1">
        <w:rPr>
          <w:rFonts w:ascii="Arial" w:hAnsi="Arial" w:cs="Arial"/>
        </w:rPr>
        <w:t xml:space="preserve"> </w:t>
      </w:r>
      <w:r w:rsidR="57019F1C" w:rsidRPr="3DA1ED18">
        <w:rPr>
          <w:rFonts w:ascii="Arial" w:hAnsi="Arial" w:cs="Arial"/>
        </w:rPr>
        <w:t xml:space="preserve">It has, however, taken </w:t>
      </w:r>
      <w:r w:rsidR="00001958" w:rsidRPr="3DA1ED18">
        <w:rPr>
          <w:rFonts w:ascii="Arial" w:hAnsi="Arial" w:cs="Arial"/>
        </w:rPr>
        <w:t xml:space="preserve">longer than the Panel’s target of 25 working days to produce </w:t>
      </w:r>
      <w:r w:rsidR="7B028898" w:rsidRPr="3DA1ED18">
        <w:rPr>
          <w:rFonts w:ascii="Arial" w:hAnsi="Arial" w:cs="Arial"/>
        </w:rPr>
        <w:t>the Panel’s assessment and advice. This reflects</w:t>
      </w:r>
      <w:r w:rsidR="1D16B47F" w:rsidRPr="3DA1ED18">
        <w:rPr>
          <w:rFonts w:ascii="Arial" w:hAnsi="Arial" w:cs="Arial"/>
        </w:rPr>
        <w:t xml:space="preserve"> the complexities of the issues considered by the Panel a</w:t>
      </w:r>
      <w:r w:rsidR="7E628B3F" w:rsidRPr="3DA1ED18">
        <w:rPr>
          <w:rFonts w:ascii="Arial" w:hAnsi="Arial" w:cs="Arial"/>
        </w:rPr>
        <w:t xml:space="preserve">nd </w:t>
      </w:r>
      <w:r w:rsidR="5FB279CB" w:rsidRPr="3DA1ED18">
        <w:rPr>
          <w:rFonts w:ascii="Arial" w:hAnsi="Arial" w:cs="Arial"/>
        </w:rPr>
        <w:t xml:space="preserve">the effect of </w:t>
      </w:r>
      <w:r w:rsidR="7E628B3F" w:rsidRPr="3DA1ED18">
        <w:rPr>
          <w:rFonts w:ascii="Arial" w:hAnsi="Arial" w:cs="Arial"/>
        </w:rPr>
        <w:t>carrying out</w:t>
      </w:r>
      <w:r w:rsidR="0B956585" w:rsidRPr="3DA1ED18">
        <w:rPr>
          <w:rFonts w:ascii="Arial" w:hAnsi="Arial" w:cs="Arial"/>
        </w:rPr>
        <w:t xml:space="preserve"> </w:t>
      </w:r>
      <w:r w:rsidR="68DE839D" w:rsidRPr="3DA1ED18">
        <w:rPr>
          <w:rFonts w:ascii="Arial" w:hAnsi="Arial" w:cs="Arial"/>
        </w:rPr>
        <w:t>a combined review of</w:t>
      </w:r>
      <w:r w:rsidR="0B956585" w:rsidRPr="3DA1ED18">
        <w:rPr>
          <w:rFonts w:ascii="Arial" w:hAnsi="Arial" w:cs="Arial"/>
        </w:rPr>
        <w:t xml:space="preserve"> two </w:t>
      </w:r>
      <w:r w:rsidR="2678EC8D" w:rsidRPr="3DA1ED18">
        <w:rPr>
          <w:rFonts w:ascii="Arial" w:hAnsi="Arial" w:cs="Arial"/>
        </w:rPr>
        <w:t>sets of representations</w:t>
      </w:r>
      <w:r w:rsidR="68DE839D" w:rsidRPr="3DA1ED18">
        <w:rPr>
          <w:rFonts w:ascii="Arial" w:hAnsi="Arial" w:cs="Arial"/>
        </w:rPr>
        <w:t>.</w:t>
      </w:r>
    </w:p>
    <w:p w14:paraId="73ED054C" w14:textId="720B28AA" w:rsidR="0005759A" w:rsidRPr="009B66C1" w:rsidRDefault="007A3E24" w:rsidP="7E7F0BAE">
      <w:pPr>
        <w:pStyle w:val="ListParagraph"/>
        <w:numPr>
          <w:ilvl w:val="0"/>
          <w:numId w:val="2"/>
        </w:numPr>
        <w:spacing w:after="0" w:line="276" w:lineRule="auto"/>
        <w:ind w:left="567" w:hanging="567"/>
        <w:rPr>
          <w:rFonts w:ascii="Arial" w:hAnsi="Arial" w:cs="Arial"/>
        </w:rPr>
      </w:pPr>
      <w:r w:rsidRPr="009B66C1">
        <w:rPr>
          <w:rFonts w:ascii="Arial" w:hAnsi="Arial" w:cs="Arial"/>
        </w:rPr>
        <w:t>T</w:t>
      </w:r>
      <w:r w:rsidR="009A66F1" w:rsidRPr="009B66C1">
        <w:rPr>
          <w:rFonts w:ascii="Arial" w:hAnsi="Arial" w:cs="Arial"/>
        </w:rPr>
        <w:t>his report</w:t>
      </w:r>
      <w:r w:rsidR="00A868B5">
        <w:rPr>
          <w:rFonts w:ascii="Arial" w:hAnsi="Arial" w:cs="Arial"/>
        </w:rPr>
        <w:t>, which</w:t>
      </w:r>
      <w:r w:rsidR="009A66F1" w:rsidRPr="009B66C1">
        <w:rPr>
          <w:rFonts w:ascii="Arial" w:hAnsi="Arial" w:cs="Arial"/>
        </w:rPr>
        <w:t xml:space="preserve"> </w:t>
      </w:r>
      <w:r w:rsidR="00104B02" w:rsidRPr="009B66C1">
        <w:rPr>
          <w:rFonts w:ascii="Arial" w:hAnsi="Arial" w:cs="Arial"/>
        </w:rPr>
        <w:t xml:space="preserve">provides </w:t>
      </w:r>
      <w:r w:rsidR="008D543B" w:rsidRPr="009B66C1">
        <w:rPr>
          <w:rFonts w:ascii="Arial" w:hAnsi="Arial" w:cs="Arial"/>
        </w:rPr>
        <w:t xml:space="preserve">the Panel’s assessment </w:t>
      </w:r>
      <w:r w:rsidR="009A66F1" w:rsidRPr="009B66C1">
        <w:rPr>
          <w:rFonts w:ascii="Arial" w:hAnsi="Arial" w:cs="Arial"/>
        </w:rPr>
        <w:t xml:space="preserve">and advice to </w:t>
      </w:r>
      <w:r w:rsidR="00AD0744">
        <w:rPr>
          <w:rFonts w:ascii="Arial" w:hAnsi="Arial" w:cs="Arial"/>
        </w:rPr>
        <w:t>HNY</w:t>
      </w:r>
      <w:r w:rsidR="002E4909">
        <w:rPr>
          <w:rFonts w:ascii="Arial" w:hAnsi="Arial" w:cs="Arial"/>
        </w:rPr>
        <w:t xml:space="preserve"> ICB</w:t>
      </w:r>
      <w:r w:rsidR="00A868B5">
        <w:rPr>
          <w:rFonts w:ascii="Arial" w:hAnsi="Arial" w:cs="Arial"/>
        </w:rPr>
        <w:t>,</w:t>
      </w:r>
      <w:r w:rsidR="003D13B1" w:rsidRPr="009B66C1">
        <w:rPr>
          <w:rFonts w:ascii="Arial" w:hAnsi="Arial" w:cs="Arial"/>
        </w:rPr>
        <w:t xml:space="preserve"> is set out as follows:</w:t>
      </w:r>
    </w:p>
    <w:p w14:paraId="6293D6A9" w14:textId="7F4ACB91"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Section 3</w:t>
      </w:r>
      <w:r w:rsidR="00475849" w:rsidRPr="009B66C1">
        <w:rPr>
          <w:rFonts w:ascii="Arial" w:hAnsi="Arial" w:cs="Arial"/>
        </w:rPr>
        <w:t xml:space="preserve"> briefly</w:t>
      </w:r>
      <w:r w:rsidRPr="009B66C1">
        <w:rPr>
          <w:rFonts w:ascii="Arial" w:hAnsi="Arial" w:cs="Arial"/>
        </w:rPr>
        <w:t xml:space="preserve"> describes the role of the Panel</w:t>
      </w:r>
      <w:r w:rsidR="00C12087" w:rsidRPr="009B66C1">
        <w:rPr>
          <w:rFonts w:ascii="Arial" w:hAnsi="Arial" w:cs="Arial"/>
        </w:rPr>
        <w:t>;</w:t>
      </w:r>
    </w:p>
    <w:p w14:paraId="61C00153" w14:textId="04D7CB3A"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 xml:space="preserve">Section 4 sets out the background to the Panel’s </w:t>
      </w:r>
      <w:r w:rsidRPr="00E16CE7">
        <w:rPr>
          <w:rFonts w:ascii="Arial" w:hAnsi="Arial" w:cs="Arial"/>
        </w:rPr>
        <w:t>review</w:t>
      </w:r>
      <w:r w:rsidR="002924CD" w:rsidRPr="00E16CE7">
        <w:rPr>
          <w:rFonts w:ascii="Arial" w:hAnsi="Arial" w:cs="Arial"/>
        </w:rPr>
        <w:t>, including the events leading up to</w:t>
      </w:r>
      <w:r w:rsidR="003D7EE1" w:rsidRPr="00E16CE7">
        <w:rPr>
          <w:rFonts w:ascii="Arial" w:hAnsi="Arial" w:cs="Arial"/>
        </w:rPr>
        <w:t>, and including,</w:t>
      </w:r>
      <w:r w:rsidR="002924CD" w:rsidRPr="00E16CE7">
        <w:rPr>
          <w:rFonts w:ascii="Arial" w:hAnsi="Arial" w:cs="Arial"/>
        </w:rPr>
        <w:t xml:space="preserve"> </w:t>
      </w:r>
      <w:r w:rsidR="00475849" w:rsidRPr="00E16CE7">
        <w:rPr>
          <w:rFonts w:ascii="Arial" w:hAnsi="Arial" w:cs="Arial"/>
        </w:rPr>
        <w:t xml:space="preserve">the </w:t>
      </w:r>
      <w:r w:rsidR="005947A9">
        <w:rPr>
          <w:rFonts w:ascii="Arial" w:hAnsi="Arial" w:cs="Arial"/>
        </w:rPr>
        <w:t xml:space="preserve">provider </w:t>
      </w:r>
      <w:r w:rsidR="00475849" w:rsidRPr="00E16CE7">
        <w:rPr>
          <w:rFonts w:ascii="Arial" w:hAnsi="Arial" w:cs="Arial"/>
        </w:rPr>
        <w:t xml:space="preserve">selection </w:t>
      </w:r>
      <w:r w:rsidR="005947A9">
        <w:rPr>
          <w:rFonts w:ascii="Arial" w:hAnsi="Arial" w:cs="Arial"/>
        </w:rPr>
        <w:t>process</w:t>
      </w:r>
      <w:r w:rsidRPr="00AE58E6">
        <w:rPr>
          <w:rFonts w:ascii="Arial" w:hAnsi="Arial" w:cs="Arial"/>
        </w:rPr>
        <w:t>;</w:t>
      </w:r>
    </w:p>
    <w:p w14:paraId="2536987F" w14:textId="334015B2" w:rsidR="003D7EE1" w:rsidRPr="002E4909" w:rsidRDefault="003D7EE1" w:rsidP="003D13B1">
      <w:pPr>
        <w:pStyle w:val="ListParagraph"/>
        <w:numPr>
          <w:ilvl w:val="0"/>
          <w:numId w:val="3"/>
        </w:numPr>
        <w:spacing w:line="276" w:lineRule="auto"/>
        <w:ind w:left="1134" w:hanging="284"/>
        <w:rPr>
          <w:rFonts w:ascii="Arial" w:hAnsi="Arial" w:cs="Arial"/>
        </w:rPr>
      </w:pPr>
      <w:r w:rsidRPr="002E4909">
        <w:rPr>
          <w:rFonts w:ascii="Arial" w:hAnsi="Arial" w:cs="Arial"/>
        </w:rPr>
        <w:t xml:space="preserve">Section 5 </w:t>
      </w:r>
      <w:r w:rsidR="002E4909" w:rsidRPr="002E4909">
        <w:rPr>
          <w:rFonts w:ascii="Arial" w:hAnsi="Arial" w:cs="Arial"/>
        </w:rPr>
        <w:t>sets out the concerns raised by</w:t>
      </w:r>
      <w:r w:rsidR="002E4909">
        <w:rPr>
          <w:rFonts w:ascii="Arial" w:hAnsi="Arial" w:cs="Arial"/>
        </w:rPr>
        <w:t xml:space="preserve"> </w:t>
      </w:r>
      <w:r w:rsidR="00A9779F">
        <w:rPr>
          <w:rFonts w:ascii="Arial" w:hAnsi="Arial" w:cs="Arial"/>
        </w:rPr>
        <w:t>Barkhill</w:t>
      </w:r>
      <w:r w:rsidR="002E4909" w:rsidRPr="002E4909">
        <w:rPr>
          <w:rFonts w:ascii="Arial" w:hAnsi="Arial" w:cs="Arial"/>
        </w:rPr>
        <w:t>;</w:t>
      </w:r>
    </w:p>
    <w:p w14:paraId="4F35FD63" w14:textId="03D4AC7B"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 xml:space="preserve">Section </w:t>
      </w:r>
      <w:r w:rsidR="0030728B" w:rsidRPr="009B66C1">
        <w:rPr>
          <w:rFonts w:ascii="Arial" w:hAnsi="Arial" w:cs="Arial"/>
        </w:rPr>
        <w:t>6</w:t>
      </w:r>
      <w:r w:rsidRPr="009B66C1">
        <w:rPr>
          <w:rFonts w:ascii="Arial" w:hAnsi="Arial" w:cs="Arial"/>
        </w:rPr>
        <w:t xml:space="preserve"> </w:t>
      </w:r>
      <w:r w:rsidR="003872AF">
        <w:rPr>
          <w:rFonts w:ascii="Arial" w:hAnsi="Arial" w:cs="Arial"/>
        </w:rPr>
        <w:t>identifies</w:t>
      </w:r>
      <w:r w:rsidR="003872AF" w:rsidRPr="002E4909">
        <w:rPr>
          <w:rFonts w:ascii="Arial" w:hAnsi="Arial" w:cs="Arial"/>
        </w:rPr>
        <w:t xml:space="preserve"> </w:t>
      </w:r>
      <w:r w:rsidR="002E4909" w:rsidRPr="002E4909">
        <w:rPr>
          <w:rFonts w:ascii="Arial" w:hAnsi="Arial" w:cs="Arial"/>
        </w:rPr>
        <w:t xml:space="preserve">the provisions of the PSR regulations relevant to </w:t>
      </w:r>
      <w:r w:rsidR="00543CB1">
        <w:rPr>
          <w:rFonts w:ascii="Arial" w:hAnsi="Arial" w:cs="Arial"/>
        </w:rPr>
        <w:t>Barkhill’s representations</w:t>
      </w:r>
      <w:r w:rsidR="002E4909" w:rsidRPr="002E4909">
        <w:rPr>
          <w:rFonts w:ascii="Arial" w:hAnsi="Arial" w:cs="Arial"/>
        </w:rPr>
        <w:t>;</w:t>
      </w:r>
    </w:p>
    <w:p w14:paraId="45FD4688" w14:textId="11BB4BEB" w:rsidR="007D3202"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 xml:space="preserve">Section </w:t>
      </w:r>
      <w:r w:rsidR="0030728B" w:rsidRPr="009B66C1">
        <w:rPr>
          <w:rFonts w:ascii="Arial" w:hAnsi="Arial" w:cs="Arial"/>
        </w:rPr>
        <w:t>7</w:t>
      </w:r>
      <w:r w:rsidRPr="009B66C1">
        <w:rPr>
          <w:rFonts w:ascii="Arial" w:hAnsi="Arial" w:cs="Arial"/>
        </w:rPr>
        <w:t xml:space="preserve"> sets out the </w:t>
      </w:r>
      <w:r w:rsidR="00543CB1">
        <w:rPr>
          <w:rFonts w:ascii="Arial" w:hAnsi="Arial" w:cs="Arial"/>
        </w:rPr>
        <w:t xml:space="preserve">Panel’s </w:t>
      </w:r>
      <w:r w:rsidRPr="009B66C1">
        <w:rPr>
          <w:rFonts w:ascii="Arial" w:hAnsi="Arial" w:cs="Arial"/>
        </w:rPr>
        <w:t>assessment</w:t>
      </w:r>
      <w:r w:rsidR="002924CD" w:rsidRPr="009B66C1">
        <w:rPr>
          <w:rFonts w:ascii="Arial" w:hAnsi="Arial" w:cs="Arial"/>
        </w:rPr>
        <w:t xml:space="preserve"> of the</w:t>
      </w:r>
      <w:r w:rsidR="007F130B">
        <w:rPr>
          <w:rFonts w:ascii="Arial" w:hAnsi="Arial" w:cs="Arial"/>
        </w:rPr>
        <w:t xml:space="preserve"> issues</w:t>
      </w:r>
      <w:r w:rsidR="00543CB1">
        <w:rPr>
          <w:rFonts w:ascii="Arial" w:hAnsi="Arial" w:cs="Arial"/>
        </w:rPr>
        <w:t xml:space="preserve"> raised by Barkhill</w:t>
      </w:r>
      <w:r w:rsidRPr="009B66C1">
        <w:rPr>
          <w:rFonts w:ascii="Arial" w:hAnsi="Arial" w:cs="Arial"/>
        </w:rPr>
        <w:t>;</w:t>
      </w:r>
    </w:p>
    <w:p w14:paraId="6EC3868F" w14:textId="77777777" w:rsidR="007D3202" w:rsidRDefault="007D3202" w:rsidP="003D13B1">
      <w:pPr>
        <w:pStyle w:val="ListParagraph"/>
        <w:numPr>
          <w:ilvl w:val="0"/>
          <w:numId w:val="3"/>
        </w:numPr>
        <w:spacing w:line="276" w:lineRule="auto"/>
        <w:ind w:left="1134" w:hanging="284"/>
        <w:rPr>
          <w:rFonts w:ascii="Arial" w:hAnsi="Arial" w:cs="Arial"/>
        </w:rPr>
      </w:pPr>
      <w:r>
        <w:rPr>
          <w:rFonts w:ascii="Arial" w:hAnsi="Arial" w:cs="Arial"/>
        </w:rPr>
        <w:t>Section 8 sets out the concerns raised by Clarendon;</w:t>
      </w:r>
    </w:p>
    <w:p w14:paraId="00981344" w14:textId="3AC1B645" w:rsidR="007D3202" w:rsidRDefault="007D3202" w:rsidP="003D13B1">
      <w:pPr>
        <w:pStyle w:val="ListParagraph"/>
        <w:numPr>
          <w:ilvl w:val="0"/>
          <w:numId w:val="3"/>
        </w:numPr>
        <w:spacing w:line="276" w:lineRule="auto"/>
        <w:ind w:left="1134" w:hanging="284"/>
        <w:rPr>
          <w:rFonts w:ascii="Arial" w:hAnsi="Arial" w:cs="Arial"/>
        </w:rPr>
      </w:pPr>
      <w:r>
        <w:rPr>
          <w:rFonts w:ascii="Arial" w:hAnsi="Arial" w:cs="Arial"/>
        </w:rPr>
        <w:t xml:space="preserve">Section 9 </w:t>
      </w:r>
      <w:r w:rsidR="003872AF">
        <w:rPr>
          <w:rFonts w:ascii="Arial" w:hAnsi="Arial" w:cs="Arial"/>
        </w:rPr>
        <w:t>identifies</w:t>
      </w:r>
      <w:r>
        <w:rPr>
          <w:rFonts w:ascii="Arial" w:hAnsi="Arial" w:cs="Arial"/>
        </w:rPr>
        <w:t xml:space="preserve"> the provisions of the PSR regulations relevant to Clarendon’s representations;</w:t>
      </w:r>
    </w:p>
    <w:p w14:paraId="1938B677" w14:textId="595C26D9" w:rsidR="003D13B1" w:rsidRPr="009B66C1" w:rsidRDefault="007D3202" w:rsidP="003D13B1">
      <w:pPr>
        <w:pStyle w:val="ListParagraph"/>
        <w:numPr>
          <w:ilvl w:val="0"/>
          <w:numId w:val="3"/>
        </w:numPr>
        <w:spacing w:line="276" w:lineRule="auto"/>
        <w:ind w:left="1134" w:hanging="284"/>
        <w:rPr>
          <w:rFonts w:ascii="Arial" w:hAnsi="Arial" w:cs="Arial"/>
        </w:rPr>
      </w:pPr>
      <w:r>
        <w:rPr>
          <w:rFonts w:ascii="Arial" w:hAnsi="Arial" w:cs="Arial"/>
        </w:rPr>
        <w:t xml:space="preserve">Section 10 sets out the Panel’s assessment of the issues raised by Clarendon; </w:t>
      </w:r>
      <w:r w:rsidR="003D13B1" w:rsidRPr="009B66C1">
        <w:rPr>
          <w:rFonts w:ascii="Arial" w:hAnsi="Arial" w:cs="Arial"/>
        </w:rPr>
        <w:t>and</w:t>
      </w:r>
    </w:p>
    <w:p w14:paraId="408F12CE" w14:textId="3F4B40AD" w:rsidR="003D13B1" w:rsidRPr="009B66C1" w:rsidRDefault="003D13B1" w:rsidP="00454206">
      <w:pPr>
        <w:pStyle w:val="ListParagraph"/>
        <w:numPr>
          <w:ilvl w:val="0"/>
          <w:numId w:val="3"/>
        </w:numPr>
        <w:spacing w:line="276" w:lineRule="auto"/>
        <w:ind w:left="1135" w:hanging="284"/>
        <w:contextualSpacing w:val="0"/>
        <w:rPr>
          <w:rFonts w:ascii="Arial" w:hAnsi="Arial" w:cs="Arial"/>
        </w:rPr>
      </w:pPr>
      <w:r w:rsidRPr="009B66C1">
        <w:rPr>
          <w:rFonts w:ascii="Arial" w:hAnsi="Arial" w:cs="Arial"/>
        </w:rPr>
        <w:t xml:space="preserve">Section </w:t>
      </w:r>
      <w:r w:rsidR="007D3202">
        <w:rPr>
          <w:rFonts w:ascii="Arial" w:hAnsi="Arial" w:cs="Arial"/>
        </w:rPr>
        <w:t>11</w:t>
      </w:r>
      <w:r w:rsidRPr="009B66C1">
        <w:rPr>
          <w:rFonts w:ascii="Arial" w:hAnsi="Arial" w:cs="Arial"/>
        </w:rPr>
        <w:t xml:space="preserve"> sets out the Panel’s advice to </w:t>
      </w:r>
      <w:r w:rsidR="00AD0744">
        <w:rPr>
          <w:rFonts w:ascii="Arial" w:hAnsi="Arial" w:cs="Arial"/>
        </w:rPr>
        <w:t>HNY</w:t>
      </w:r>
      <w:r w:rsidR="002E4909">
        <w:rPr>
          <w:rFonts w:ascii="Arial" w:hAnsi="Arial" w:cs="Arial"/>
        </w:rPr>
        <w:t xml:space="preserve"> ICB</w:t>
      </w:r>
      <w:r w:rsidRPr="009B66C1">
        <w:rPr>
          <w:rFonts w:ascii="Arial" w:hAnsi="Arial" w:cs="Arial"/>
        </w:rPr>
        <w:t>.</w:t>
      </w:r>
      <w:r w:rsidR="003E3485" w:rsidRPr="009B66C1">
        <w:rPr>
          <w:rStyle w:val="FootnoteReference"/>
          <w:rFonts w:ascii="Arial" w:hAnsi="Arial" w:cs="Arial"/>
        </w:rPr>
        <w:footnoteReference w:id="7"/>
      </w:r>
    </w:p>
    <w:p w14:paraId="3598594D" w14:textId="44FD11A0" w:rsidR="003D73DA" w:rsidRPr="00F21080" w:rsidRDefault="003D73DA" w:rsidP="00454206">
      <w:pPr>
        <w:pStyle w:val="ListParagraph"/>
        <w:numPr>
          <w:ilvl w:val="0"/>
          <w:numId w:val="2"/>
        </w:numPr>
        <w:spacing w:line="276" w:lineRule="auto"/>
        <w:ind w:left="567" w:hanging="567"/>
        <w:contextualSpacing w:val="0"/>
        <w:rPr>
          <w:rFonts w:ascii="Arial" w:hAnsi="Arial" w:cs="Arial"/>
          <w:color w:val="000000" w:themeColor="text1"/>
        </w:rPr>
      </w:pPr>
      <w:r w:rsidRPr="00F21080">
        <w:rPr>
          <w:rFonts w:ascii="Arial" w:hAnsi="Arial" w:cs="Arial"/>
          <w:color w:val="000000" w:themeColor="text1"/>
        </w:rPr>
        <w:t xml:space="preserve">The Panel </w:t>
      </w:r>
      <w:r w:rsidR="003544BF">
        <w:rPr>
          <w:rFonts w:ascii="Arial" w:hAnsi="Arial" w:cs="Arial"/>
          <w:color w:val="000000" w:themeColor="text1"/>
        </w:rPr>
        <w:t xml:space="preserve">would like to record its </w:t>
      </w:r>
      <w:r w:rsidR="000075D8" w:rsidRPr="00F21080">
        <w:rPr>
          <w:rFonts w:ascii="Arial" w:hAnsi="Arial" w:cs="Arial"/>
          <w:color w:val="000000" w:themeColor="text1"/>
        </w:rPr>
        <w:t>thank</w:t>
      </w:r>
      <w:r w:rsidR="008B7DFD" w:rsidRPr="00F21080">
        <w:rPr>
          <w:rFonts w:ascii="Arial" w:hAnsi="Arial" w:cs="Arial"/>
          <w:color w:val="000000" w:themeColor="text1"/>
        </w:rPr>
        <w:t>s</w:t>
      </w:r>
      <w:r w:rsidR="000075D8" w:rsidRPr="00F21080">
        <w:rPr>
          <w:rFonts w:ascii="Arial" w:hAnsi="Arial" w:cs="Arial"/>
          <w:color w:val="000000" w:themeColor="text1"/>
        </w:rPr>
        <w:t xml:space="preserve"> </w:t>
      </w:r>
      <w:r w:rsidR="003544BF">
        <w:rPr>
          <w:rFonts w:ascii="Arial" w:hAnsi="Arial" w:cs="Arial"/>
          <w:color w:val="000000" w:themeColor="text1"/>
        </w:rPr>
        <w:t xml:space="preserve">to </w:t>
      </w:r>
      <w:r w:rsidR="009E000B">
        <w:rPr>
          <w:rFonts w:ascii="Arial" w:hAnsi="Arial" w:cs="Arial"/>
          <w:color w:val="000000" w:themeColor="text1"/>
        </w:rPr>
        <w:t xml:space="preserve">HNY </w:t>
      </w:r>
      <w:r w:rsidR="002E4909">
        <w:rPr>
          <w:rFonts w:ascii="Arial" w:hAnsi="Arial" w:cs="Arial"/>
          <w:color w:val="000000" w:themeColor="text1"/>
        </w:rPr>
        <w:t xml:space="preserve">ICB, </w:t>
      </w:r>
      <w:r w:rsidR="00417F36">
        <w:rPr>
          <w:rFonts w:ascii="Arial" w:hAnsi="Arial" w:cs="Arial"/>
          <w:color w:val="000000" w:themeColor="text1"/>
        </w:rPr>
        <w:t>Barkhill</w:t>
      </w:r>
      <w:r w:rsidR="002E4909">
        <w:rPr>
          <w:rFonts w:ascii="Arial" w:hAnsi="Arial" w:cs="Arial"/>
          <w:color w:val="000000" w:themeColor="text1"/>
        </w:rPr>
        <w:t xml:space="preserve"> and</w:t>
      </w:r>
      <w:r w:rsidR="000075D8" w:rsidRPr="00F21080">
        <w:rPr>
          <w:rFonts w:ascii="Arial" w:hAnsi="Arial" w:cs="Arial"/>
          <w:color w:val="000000" w:themeColor="text1"/>
        </w:rPr>
        <w:t xml:space="preserve"> </w:t>
      </w:r>
      <w:r w:rsidR="00417F36">
        <w:rPr>
          <w:rFonts w:ascii="Arial" w:hAnsi="Arial" w:cs="Arial"/>
          <w:color w:val="000000" w:themeColor="text1"/>
        </w:rPr>
        <w:t>Clarendon</w:t>
      </w:r>
      <w:r w:rsidR="002E4909">
        <w:rPr>
          <w:rFonts w:ascii="Arial" w:hAnsi="Arial" w:cs="Arial"/>
          <w:color w:val="000000" w:themeColor="text1"/>
        </w:rPr>
        <w:t xml:space="preserve"> </w:t>
      </w:r>
      <w:r w:rsidR="000075D8" w:rsidRPr="00F21080">
        <w:rPr>
          <w:rFonts w:ascii="Arial" w:hAnsi="Arial" w:cs="Arial"/>
          <w:color w:val="000000" w:themeColor="text1"/>
        </w:rPr>
        <w:t>for their assistance and cooperation during th</w:t>
      </w:r>
      <w:r w:rsidR="005815A2" w:rsidRPr="00F21080">
        <w:rPr>
          <w:rFonts w:ascii="Arial" w:hAnsi="Arial" w:cs="Arial"/>
          <w:color w:val="000000" w:themeColor="text1"/>
        </w:rPr>
        <w:t>is</w:t>
      </w:r>
      <w:r w:rsidR="000075D8" w:rsidRPr="00F21080">
        <w:rPr>
          <w:rFonts w:ascii="Arial" w:hAnsi="Arial" w:cs="Arial"/>
          <w:color w:val="000000" w:themeColor="text1"/>
        </w:rPr>
        <w:t xml:space="preserve"> review.</w:t>
      </w:r>
    </w:p>
    <w:p w14:paraId="3BC3B908" w14:textId="133C4842" w:rsidR="00DD307D" w:rsidRPr="00B343D1" w:rsidRDefault="00F5286B" w:rsidP="00B343D1">
      <w:pPr>
        <w:pStyle w:val="Heading1"/>
        <w:numPr>
          <w:ilvl w:val="0"/>
          <w:numId w:val="1"/>
        </w:numPr>
        <w:spacing w:before="360" w:after="240"/>
        <w:ind w:left="0" w:firstLine="0"/>
        <w:rPr>
          <w:rFonts w:ascii="Arial" w:hAnsi="Arial" w:cs="Arial"/>
          <w:b/>
          <w:bCs/>
          <w:color w:val="000000" w:themeColor="text1"/>
          <w:sz w:val="28"/>
          <w:szCs w:val="28"/>
        </w:rPr>
      </w:pPr>
      <w:bookmarkStart w:id="2" w:name="_Toc166083474"/>
      <w:bookmarkStart w:id="3" w:name="_Toc198745101"/>
      <w:r>
        <w:rPr>
          <w:rFonts w:ascii="Arial" w:hAnsi="Arial" w:cs="Arial"/>
          <w:b/>
          <w:bCs/>
          <w:color w:val="000000" w:themeColor="text1"/>
          <w:sz w:val="28"/>
          <w:szCs w:val="28"/>
        </w:rPr>
        <w:t>Role of t</w:t>
      </w:r>
      <w:r w:rsidR="00DD307D" w:rsidRPr="00B343D1">
        <w:rPr>
          <w:rFonts w:ascii="Arial" w:hAnsi="Arial" w:cs="Arial"/>
          <w:b/>
          <w:bCs/>
          <w:color w:val="000000" w:themeColor="text1"/>
          <w:sz w:val="28"/>
          <w:szCs w:val="28"/>
        </w:rPr>
        <w:t>he Panel</w:t>
      </w:r>
      <w:bookmarkEnd w:id="2"/>
      <w:bookmarkEnd w:id="3"/>
    </w:p>
    <w:p w14:paraId="5E9E40B2" w14:textId="3B9A0CBA"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PSR </w:t>
      </w:r>
      <w:r w:rsidR="007F3CDC">
        <w:rPr>
          <w:rFonts w:ascii="Arial" w:eastAsiaTheme="majorEastAsia" w:hAnsi="Arial" w:cs="Arial"/>
          <w:color w:val="000000" w:themeColor="text1"/>
        </w:rPr>
        <w:t>r</w:t>
      </w:r>
      <w:r w:rsidRPr="00F061C1">
        <w:rPr>
          <w:rFonts w:ascii="Arial" w:eastAsiaTheme="majorEastAsia" w:hAnsi="Arial" w:cs="Arial"/>
          <w:color w:val="000000" w:themeColor="text1"/>
        </w:rPr>
        <w:t xml:space="preserve">egulations, issued under the Health and Care Act 2022, put into effect the </w:t>
      </w:r>
      <w:r w:rsidRPr="00AB0254">
        <w:rPr>
          <w:rFonts w:ascii="Arial" w:hAnsi="Arial" w:cs="Arial"/>
          <w:color w:val="000000" w:themeColor="text1"/>
        </w:rPr>
        <w:t>Provider</w:t>
      </w:r>
      <w:r w:rsidRPr="00F061C1">
        <w:rPr>
          <w:rFonts w:ascii="Arial" w:eastAsiaTheme="majorEastAsia" w:hAnsi="Arial" w:cs="Arial"/>
          <w:color w:val="000000" w:themeColor="text1"/>
        </w:rPr>
        <w:t xml:space="preserve"> Selection Regime for </w:t>
      </w:r>
      <w:r w:rsidR="00E22E6E">
        <w:rPr>
          <w:rFonts w:ascii="Arial" w:eastAsiaTheme="majorEastAsia" w:hAnsi="Arial" w:cs="Arial"/>
          <w:color w:val="000000" w:themeColor="text1"/>
        </w:rPr>
        <w:t xml:space="preserve">NHS and local authority </w:t>
      </w:r>
      <w:r w:rsidRPr="00F061C1">
        <w:rPr>
          <w:rFonts w:ascii="Arial" w:eastAsiaTheme="majorEastAsia" w:hAnsi="Arial" w:cs="Arial"/>
          <w:color w:val="000000" w:themeColor="text1"/>
        </w:rPr>
        <w:t xml:space="preserve">commissioning </w:t>
      </w:r>
      <w:r w:rsidR="00E22E6E">
        <w:rPr>
          <w:rFonts w:ascii="Arial" w:eastAsiaTheme="majorEastAsia" w:hAnsi="Arial" w:cs="Arial"/>
          <w:color w:val="000000" w:themeColor="text1"/>
        </w:rPr>
        <w:t xml:space="preserve">of </w:t>
      </w:r>
      <w:r w:rsidRPr="00F061C1">
        <w:rPr>
          <w:rFonts w:ascii="Arial" w:eastAsiaTheme="majorEastAsia" w:hAnsi="Arial" w:cs="Arial"/>
          <w:color w:val="000000" w:themeColor="text1"/>
        </w:rPr>
        <w:t>health care services.</w:t>
      </w:r>
      <w:r w:rsidR="00235498" w:rsidRPr="00F061C1">
        <w:rPr>
          <w:rFonts w:ascii="Arial" w:eastAsiaTheme="majorEastAsia" w:hAnsi="Arial" w:cs="Arial"/>
          <w:color w:val="000000" w:themeColor="text1"/>
        </w:rPr>
        <w:t xml:space="preserve"> The PSR </w:t>
      </w:r>
      <w:r w:rsidR="007F3CDC">
        <w:rPr>
          <w:rFonts w:ascii="Arial" w:eastAsiaTheme="majorEastAsia" w:hAnsi="Arial" w:cs="Arial"/>
          <w:color w:val="000000" w:themeColor="text1"/>
        </w:rPr>
        <w:t>r</w:t>
      </w:r>
      <w:r w:rsidR="00235498" w:rsidRPr="00F061C1">
        <w:rPr>
          <w:rFonts w:ascii="Arial" w:eastAsiaTheme="majorEastAsia" w:hAnsi="Arial" w:cs="Arial"/>
          <w:color w:val="000000" w:themeColor="text1"/>
        </w:rPr>
        <w:t>egulations came into force on 1 January 2024.</w:t>
      </w:r>
      <w:r w:rsidR="00235498" w:rsidRPr="00F061C1">
        <w:rPr>
          <w:rStyle w:val="FootnoteReference"/>
          <w:rFonts w:ascii="Arial" w:hAnsi="Arial" w:cs="Arial"/>
        </w:rPr>
        <w:footnoteReference w:id="8"/>
      </w:r>
    </w:p>
    <w:p w14:paraId="7824CFDE" w14:textId="00ED9AA5" w:rsidR="00DD307D" w:rsidRPr="006C300E"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Previously, health care services were purchased under the Public Contracts Regulations 2015 and the National Health Service (Procurement, Patient Choice and </w:t>
      </w:r>
      <w:r w:rsidRPr="00AB0254">
        <w:rPr>
          <w:rFonts w:ascii="Arial" w:hAnsi="Arial" w:cs="Arial"/>
          <w:color w:val="000000" w:themeColor="text1"/>
        </w:rPr>
        <w:t>Competition</w:t>
      </w:r>
      <w:r w:rsidRPr="00F061C1">
        <w:rPr>
          <w:rFonts w:ascii="Arial" w:eastAsiaTheme="majorEastAsia" w:hAnsi="Arial" w:cs="Arial"/>
          <w:color w:val="000000" w:themeColor="text1"/>
        </w:rPr>
        <w:t xml:space="preserve">) (No.2) Regulations 2013. The Provider Selection Regime, however, </w:t>
      </w:r>
      <w:r w:rsidR="00EE77B7">
        <w:rPr>
          <w:rFonts w:ascii="Arial" w:eastAsiaTheme="majorEastAsia" w:hAnsi="Arial" w:cs="Arial"/>
          <w:color w:val="000000" w:themeColor="text1"/>
        </w:rPr>
        <w:t>gives</w:t>
      </w:r>
      <w:r w:rsidR="00EE77B7" w:rsidRPr="00F061C1">
        <w:rPr>
          <w:rFonts w:ascii="Arial" w:eastAsiaTheme="majorEastAsia" w:hAnsi="Arial" w:cs="Arial"/>
          <w:color w:val="000000" w:themeColor="text1"/>
        </w:rPr>
        <w:t xml:space="preserve"> </w:t>
      </w:r>
      <w:r w:rsidR="00DD6244">
        <w:rPr>
          <w:rFonts w:ascii="Arial" w:eastAsiaTheme="majorEastAsia" w:hAnsi="Arial" w:cs="Arial"/>
          <w:color w:val="000000" w:themeColor="text1"/>
        </w:rPr>
        <w:lastRenderedPageBreak/>
        <w:t xml:space="preserve">relevant authorities (i.e. </w:t>
      </w:r>
      <w:r w:rsidRPr="00F061C1">
        <w:rPr>
          <w:rFonts w:ascii="Arial" w:eastAsiaTheme="majorEastAsia" w:hAnsi="Arial" w:cs="Arial"/>
          <w:color w:val="000000" w:themeColor="text1"/>
        </w:rPr>
        <w:t>commissioners</w:t>
      </w:r>
      <w:r w:rsidR="00DD6244">
        <w:rPr>
          <w:rFonts w:ascii="Arial" w:eastAsiaTheme="majorEastAsia" w:hAnsi="Arial" w:cs="Arial"/>
          <w:color w:val="000000" w:themeColor="text1"/>
        </w:rPr>
        <w:t>)</w:t>
      </w:r>
      <w:r w:rsidRPr="00F061C1">
        <w:rPr>
          <w:rFonts w:ascii="Arial" w:eastAsiaTheme="majorEastAsia" w:hAnsi="Arial" w:cs="Arial"/>
          <w:color w:val="000000" w:themeColor="text1"/>
        </w:rPr>
        <w:t xml:space="preserve"> </w:t>
      </w:r>
      <w:r w:rsidRPr="006C300E">
        <w:rPr>
          <w:rFonts w:ascii="Arial" w:eastAsiaTheme="majorEastAsia" w:hAnsi="Arial" w:cs="Arial"/>
          <w:color w:val="000000" w:themeColor="text1"/>
        </w:rPr>
        <w:t>greater flexibility in selecting providers of health care services.</w:t>
      </w:r>
    </w:p>
    <w:p w14:paraId="3747645F" w14:textId="51827187"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Panel’s role is to act as an independent review body where a provider has concerns about a commissioner’s provider selection decision. Panel </w:t>
      </w:r>
      <w:r w:rsidR="00864067" w:rsidRPr="00F061C1">
        <w:rPr>
          <w:rFonts w:ascii="Arial" w:eastAsiaTheme="majorEastAsia" w:hAnsi="Arial" w:cs="Arial"/>
          <w:color w:val="000000" w:themeColor="text1"/>
        </w:rPr>
        <w:t xml:space="preserve">reviews only take place </w:t>
      </w:r>
      <w:r w:rsidR="006018AF">
        <w:rPr>
          <w:rFonts w:ascii="Arial" w:eastAsiaTheme="majorEastAsia" w:hAnsi="Arial" w:cs="Arial"/>
          <w:color w:val="000000" w:themeColor="text1"/>
        </w:rPr>
        <w:t xml:space="preserve">following a </w:t>
      </w:r>
      <w:r w:rsidR="00864067" w:rsidRPr="00F061C1">
        <w:rPr>
          <w:rFonts w:ascii="Arial" w:eastAsiaTheme="majorEastAsia" w:hAnsi="Arial" w:cs="Arial"/>
          <w:color w:val="000000" w:themeColor="text1"/>
        </w:rPr>
        <w:t>commissioner</w:t>
      </w:r>
      <w:r w:rsidR="006018AF">
        <w:rPr>
          <w:rFonts w:ascii="Arial" w:eastAsiaTheme="majorEastAsia" w:hAnsi="Arial" w:cs="Arial"/>
          <w:color w:val="000000" w:themeColor="text1"/>
        </w:rPr>
        <w:t xml:space="preserve">’s review of its original </w:t>
      </w:r>
      <w:r w:rsidRPr="00F061C1">
        <w:rPr>
          <w:rFonts w:ascii="Arial" w:eastAsiaTheme="majorEastAsia" w:hAnsi="Arial" w:cs="Arial"/>
          <w:color w:val="000000" w:themeColor="text1"/>
        </w:rPr>
        <w:t>decision.</w:t>
      </w:r>
    </w:p>
    <w:p w14:paraId="48E25991" w14:textId="36526842" w:rsidR="00DD307D" w:rsidRPr="00F061C1" w:rsidRDefault="00E50C05"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For each review, the </w:t>
      </w:r>
      <w:r w:rsidR="00B76259" w:rsidRPr="00F061C1">
        <w:rPr>
          <w:rFonts w:ascii="Arial" w:eastAsiaTheme="majorEastAsia" w:hAnsi="Arial" w:cs="Arial"/>
          <w:color w:val="000000" w:themeColor="text1"/>
        </w:rPr>
        <w:t xml:space="preserve">Panel’s </w:t>
      </w:r>
      <w:r w:rsidR="00DD307D" w:rsidRPr="00F061C1">
        <w:rPr>
          <w:rFonts w:ascii="Arial" w:eastAsiaTheme="majorEastAsia" w:hAnsi="Arial" w:cs="Arial"/>
          <w:color w:val="000000" w:themeColor="text1"/>
        </w:rPr>
        <w:t xml:space="preserve">assessment and advice is supplied to the </w:t>
      </w:r>
      <w:r w:rsidR="00455A12">
        <w:rPr>
          <w:rFonts w:ascii="Arial" w:eastAsiaTheme="majorEastAsia" w:hAnsi="Arial" w:cs="Arial"/>
          <w:color w:val="000000" w:themeColor="text1"/>
        </w:rPr>
        <w:t xml:space="preserve">commissioner and the </w:t>
      </w:r>
      <w:r w:rsidR="006D1EA3">
        <w:rPr>
          <w:rFonts w:ascii="Arial" w:eastAsiaTheme="majorEastAsia" w:hAnsi="Arial" w:cs="Arial"/>
          <w:color w:val="000000" w:themeColor="text1"/>
        </w:rPr>
        <w:t xml:space="preserve">provider that has requested the Panel review. It </w:t>
      </w:r>
      <w:r w:rsidR="00F5286B">
        <w:rPr>
          <w:rFonts w:ascii="Arial" w:eastAsiaTheme="majorEastAsia" w:hAnsi="Arial" w:cs="Arial"/>
          <w:color w:val="000000" w:themeColor="text1"/>
        </w:rPr>
        <w:t xml:space="preserve">is also </w:t>
      </w:r>
      <w:r w:rsidR="00DD307D" w:rsidRPr="00F061C1">
        <w:rPr>
          <w:rFonts w:ascii="Arial" w:eastAsiaTheme="majorEastAsia" w:hAnsi="Arial" w:cs="Arial"/>
          <w:color w:val="000000" w:themeColor="text1"/>
        </w:rPr>
        <w:t xml:space="preserve">published on the Panel’s webpages. </w:t>
      </w:r>
      <w:r w:rsidR="00C15640" w:rsidRPr="00F061C1">
        <w:rPr>
          <w:rFonts w:ascii="Arial" w:eastAsiaTheme="majorEastAsia" w:hAnsi="Arial" w:cs="Arial"/>
          <w:color w:val="000000" w:themeColor="text1"/>
        </w:rPr>
        <w:t>T</w:t>
      </w:r>
      <w:r w:rsidR="00DD307D" w:rsidRPr="00F061C1">
        <w:rPr>
          <w:rFonts w:ascii="Arial" w:eastAsiaTheme="majorEastAsia" w:hAnsi="Arial" w:cs="Arial"/>
          <w:color w:val="000000" w:themeColor="text1"/>
        </w:rPr>
        <w:t xml:space="preserve">he commissioner </w:t>
      </w:r>
      <w:r w:rsidR="00C15640" w:rsidRPr="00F061C1">
        <w:rPr>
          <w:rFonts w:ascii="Arial" w:eastAsiaTheme="majorEastAsia" w:hAnsi="Arial" w:cs="Arial"/>
          <w:color w:val="000000" w:themeColor="text1"/>
        </w:rPr>
        <w:t xml:space="preserve">is then responsible for reviewing </w:t>
      </w:r>
      <w:r w:rsidR="00DD307D" w:rsidRPr="00F061C1">
        <w:rPr>
          <w:rFonts w:ascii="Arial" w:eastAsiaTheme="majorEastAsia" w:hAnsi="Arial" w:cs="Arial"/>
          <w:color w:val="000000" w:themeColor="text1"/>
        </w:rPr>
        <w:t>its decision in light of the Panel’s advice.</w:t>
      </w:r>
    </w:p>
    <w:p w14:paraId="29F01619" w14:textId="2A5FC15B" w:rsidR="00A52979" w:rsidRPr="00B71B3B" w:rsidRDefault="00A52979" w:rsidP="00A52979">
      <w:pPr>
        <w:pStyle w:val="Heading1"/>
        <w:numPr>
          <w:ilvl w:val="0"/>
          <w:numId w:val="1"/>
        </w:numPr>
        <w:spacing w:before="360" w:after="240"/>
        <w:ind w:left="0" w:firstLine="0"/>
        <w:rPr>
          <w:rFonts w:ascii="Arial" w:hAnsi="Arial" w:cs="Arial"/>
          <w:b/>
          <w:bCs/>
          <w:color w:val="000000" w:themeColor="text1"/>
          <w:sz w:val="28"/>
          <w:szCs w:val="28"/>
        </w:rPr>
      </w:pPr>
      <w:bookmarkStart w:id="4" w:name="_Toc166083475"/>
      <w:bookmarkStart w:id="5" w:name="_Toc198745102"/>
      <w:r w:rsidRPr="00B71B3B">
        <w:rPr>
          <w:rFonts w:ascii="Arial" w:hAnsi="Arial" w:cs="Arial"/>
          <w:b/>
          <w:bCs/>
          <w:color w:val="000000" w:themeColor="text1"/>
          <w:sz w:val="28"/>
          <w:szCs w:val="28"/>
        </w:rPr>
        <w:t xml:space="preserve">Background to </w:t>
      </w:r>
      <w:r w:rsidR="00A7281B" w:rsidRPr="00B71B3B">
        <w:rPr>
          <w:rFonts w:ascii="Arial" w:hAnsi="Arial" w:cs="Arial"/>
          <w:b/>
          <w:bCs/>
          <w:color w:val="000000" w:themeColor="text1"/>
          <w:sz w:val="28"/>
          <w:szCs w:val="28"/>
        </w:rPr>
        <w:t>this</w:t>
      </w:r>
      <w:r w:rsidRPr="00B71B3B">
        <w:rPr>
          <w:rFonts w:ascii="Arial" w:hAnsi="Arial" w:cs="Arial"/>
          <w:b/>
          <w:bCs/>
          <w:color w:val="000000" w:themeColor="text1"/>
          <w:sz w:val="28"/>
          <w:szCs w:val="28"/>
        </w:rPr>
        <w:t xml:space="preserve"> review</w:t>
      </w:r>
      <w:bookmarkEnd w:id="4"/>
      <w:bookmarkEnd w:id="5"/>
    </w:p>
    <w:p w14:paraId="56974D19" w14:textId="50476C5A" w:rsidR="00A7281B" w:rsidRPr="00B71B3B" w:rsidRDefault="00F47EF5" w:rsidP="00EA40B2">
      <w:pPr>
        <w:pStyle w:val="ListParagraph"/>
        <w:numPr>
          <w:ilvl w:val="0"/>
          <w:numId w:val="2"/>
        </w:numPr>
        <w:spacing w:line="276" w:lineRule="auto"/>
        <w:ind w:left="567" w:hanging="567"/>
        <w:contextualSpacing w:val="0"/>
        <w:rPr>
          <w:rFonts w:ascii="Arial" w:eastAsiaTheme="majorEastAsia" w:hAnsi="Arial" w:cs="Arial"/>
        </w:rPr>
      </w:pPr>
      <w:r>
        <w:rPr>
          <w:rFonts w:ascii="Arial" w:hAnsi="Arial" w:cs="Arial"/>
        </w:rPr>
        <w:t>HNY</w:t>
      </w:r>
      <w:r w:rsidR="003739FA" w:rsidRPr="00B71B3B">
        <w:rPr>
          <w:rFonts w:ascii="Arial" w:hAnsi="Arial" w:cs="Arial"/>
        </w:rPr>
        <w:t xml:space="preserve"> ICB is one of 42 ICBs in the NHS in England and is part of</w:t>
      </w:r>
      <w:r w:rsidR="00343758" w:rsidRPr="00B71B3B">
        <w:rPr>
          <w:rFonts w:ascii="Arial" w:hAnsi="Arial" w:cs="Arial"/>
        </w:rPr>
        <w:t xml:space="preserve"> Humber and North Yorkshire</w:t>
      </w:r>
      <w:r w:rsidR="00051D10" w:rsidRPr="00B71B3B">
        <w:rPr>
          <w:rFonts w:ascii="Arial" w:hAnsi="Arial" w:cs="Arial"/>
        </w:rPr>
        <w:t xml:space="preserve"> Health and Care Partnership</w:t>
      </w:r>
      <w:r w:rsidR="000F48CD" w:rsidRPr="00B71B3B">
        <w:rPr>
          <w:rFonts w:ascii="Arial" w:hAnsi="Arial" w:cs="Arial"/>
        </w:rPr>
        <w:t xml:space="preserve">. </w:t>
      </w:r>
      <w:r w:rsidR="00870BFD" w:rsidRPr="00B71B3B">
        <w:rPr>
          <w:rFonts w:ascii="Arial" w:hAnsi="Arial" w:cs="Arial"/>
        </w:rPr>
        <w:t>HN</w:t>
      </w:r>
      <w:r w:rsidR="007C3F1C">
        <w:rPr>
          <w:rFonts w:ascii="Arial" w:hAnsi="Arial" w:cs="Arial"/>
        </w:rPr>
        <w:t>Y</w:t>
      </w:r>
      <w:r w:rsidR="00870BFD" w:rsidRPr="00B71B3B">
        <w:rPr>
          <w:rFonts w:ascii="Arial" w:hAnsi="Arial" w:cs="Arial"/>
        </w:rPr>
        <w:t xml:space="preserve"> ICB is a statutory body</w:t>
      </w:r>
      <w:r w:rsidR="00706E4E" w:rsidRPr="00B71B3B">
        <w:rPr>
          <w:rFonts w:ascii="Arial" w:hAnsi="Arial" w:cs="Arial"/>
        </w:rPr>
        <w:t xml:space="preserve"> responsible for planning health services to meet the health needs of the Humber and North Yorkshire population and managing the budget for the provision of NHS services to this population.</w:t>
      </w:r>
      <w:r w:rsidR="009C45F6" w:rsidRPr="00B71B3B">
        <w:rPr>
          <w:rStyle w:val="FootnoteReference"/>
          <w:rFonts w:ascii="Arial" w:hAnsi="Arial" w:cs="Arial"/>
        </w:rPr>
        <w:footnoteReference w:id="9"/>
      </w:r>
    </w:p>
    <w:p w14:paraId="62D9F8C0" w14:textId="348739B9" w:rsidR="00D91579" w:rsidRDefault="00261EC2" w:rsidP="00EA40B2">
      <w:pPr>
        <w:pStyle w:val="ListParagraph"/>
        <w:numPr>
          <w:ilvl w:val="0"/>
          <w:numId w:val="2"/>
        </w:numPr>
        <w:spacing w:line="276" w:lineRule="auto"/>
        <w:ind w:left="567" w:hanging="567"/>
        <w:contextualSpacing w:val="0"/>
        <w:rPr>
          <w:rFonts w:ascii="Arial" w:hAnsi="Arial" w:cs="Arial"/>
        </w:rPr>
      </w:pPr>
      <w:r w:rsidRPr="55F074F9">
        <w:rPr>
          <w:rFonts w:ascii="Arial" w:hAnsi="Arial" w:cs="Arial"/>
        </w:rPr>
        <w:t>HNY ICB hosts the Yorkshire and Humber dental commissioning team</w:t>
      </w:r>
      <w:r w:rsidR="00A869A8">
        <w:rPr>
          <w:rFonts w:ascii="Arial" w:hAnsi="Arial" w:cs="Arial"/>
        </w:rPr>
        <w:t xml:space="preserve">, which </w:t>
      </w:r>
      <w:r w:rsidR="00755574" w:rsidRPr="00020BF9">
        <w:rPr>
          <w:rFonts w:ascii="Arial" w:hAnsi="Arial" w:cs="Arial"/>
        </w:rPr>
        <w:t>commission</w:t>
      </w:r>
      <w:r w:rsidR="00CA2BFE">
        <w:rPr>
          <w:rFonts w:ascii="Arial" w:hAnsi="Arial" w:cs="Arial"/>
        </w:rPr>
        <w:t>s</w:t>
      </w:r>
      <w:r w:rsidR="00020BF9" w:rsidRPr="55F074F9">
        <w:rPr>
          <w:rFonts w:ascii="Arial" w:hAnsi="Arial" w:cs="Arial"/>
        </w:rPr>
        <w:t xml:space="preserve"> </w:t>
      </w:r>
      <w:r w:rsidR="00D26681" w:rsidRPr="55F074F9">
        <w:rPr>
          <w:rFonts w:ascii="Arial" w:hAnsi="Arial" w:cs="Arial"/>
        </w:rPr>
        <w:t>IMOS services</w:t>
      </w:r>
      <w:r w:rsidR="00020BF9" w:rsidRPr="55F074F9">
        <w:rPr>
          <w:rFonts w:ascii="Arial" w:hAnsi="Arial" w:cs="Arial"/>
        </w:rPr>
        <w:t xml:space="preserve"> across</w:t>
      </w:r>
      <w:r w:rsidRPr="55F074F9">
        <w:rPr>
          <w:rFonts w:ascii="Arial" w:hAnsi="Arial" w:cs="Arial"/>
        </w:rPr>
        <w:t xml:space="preserve"> </w:t>
      </w:r>
      <w:r w:rsidR="00CA2BFE">
        <w:rPr>
          <w:rFonts w:ascii="Arial" w:hAnsi="Arial" w:cs="Arial"/>
        </w:rPr>
        <w:t xml:space="preserve">three ICB areas, namely </w:t>
      </w:r>
      <w:r w:rsidRPr="55F074F9">
        <w:rPr>
          <w:rFonts w:ascii="Arial" w:hAnsi="Arial" w:cs="Arial"/>
        </w:rPr>
        <w:t>H</w:t>
      </w:r>
      <w:r w:rsidR="00B47A26" w:rsidRPr="55F074F9">
        <w:rPr>
          <w:rFonts w:ascii="Arial" w:hAnsi="Arial" w:cs="Arial"/>
        </w:rPr>
        <w:t>umber and North Yorkshire</w:t>
      </w:r>
      <w:r w:rsidRPr="55F074F9">
        <w:rPr>
          <w:rFonts w:ascii="Arial" w:hAnsi="Arial" w:cs="Arial"/>
        </w:rPr>
        <w:t>, South Yorkshire and West Yorkshire</w:t>
      </w:r>
      <w:r w:rsidR="000F3214">
        <w:rPr>
          <w:rFonts w:ascii="Arial" w:hAnsi="Arial" w:cs="Arial"/>
        </w:rPr>
        <w:t>.</w:t>
      </w:r>
      <w:r w:rsidRPr="55F074F9">
        <w:rPr>
          <w:rFonts w:ascii="Arial" w:hAnsi="Arial" w:cs="Arial"/>
        </w:rPr>
        <w:t xml:space="preserve"> </w:t>
      </w:r>
      <w:r w:rsidR="007E1D6A" w:rsidRPr="55F074F9">
        <w:rPr>
          <w:rFonts w:ascii="Arial" w:hAnsi="Arial" w:cs="Arial"/>
        </w:rPr>
        <w:t xml:space="preserve">Until April 2023, the </w:t>
      </w:r>
      <w:r w:rsidR="00B325C0" w:rsidRPr="55F074F9">
        <w:rPr>
          <w:rFonts w:ascii="Arial" w:hAnsi="Arial" w:cs="Arial"/>
        </w:rPr>
        <w:t xml:space="preserve">team </w:t>
      </w:r>
      <w:r w:rsidR="00F73559" w:rsidRPr="55F074F9">
        <w:rPr>
          <w:rFonts w:ascii="Arial" w:hAnsi="Arial" w:cs="Arial"/>
        </w:rPr>
        <w:t>was part of NHS England</w:t>
      </w:r>
      <w:r w:rsidR="00A823A9" w:rsidRPr="55F074F9">
        <w:rPr>
          <w:rFonts w:ascii="Arial" w:hAnsi="Arial" w:cs="Arial"/>
        </w:rPr>
        <w:t xml:space="preserve">, </w:t>
      </w:r>
      <w:r w:rsidR="00397AE6" w:rsidRPr="55F074F9">
        <w:rPr>
          <w:rFonts w:ascii="Arial" w:hAnsi="Arial" w:cs="Arial"/>
        </w:rPr>
        <w:t xml:space="preserve">but </w:t>
      </w:r>
      <w:r w:rsidR="00DC7C1B" w:rsidRPr="55F074F9">
        <w:rPr>
          <w:rFonts w:ascii="Arial" w:hAnsi="Arial" w:cs="Arial"/>
        </w:rPr>
        <w:t xml:space="preserve">transferred to </w:t>
      </w:r>
      <w:r w:rsidR="00397AE6" w:rsidRPr="55F074F9">
        <w:rPr>
          <w:rFonts w:ascii="Arial" w:hAnsi="Arial" w:cs="Arial"/>
        </w:rPr>
        <w:t>HNY ICB</w:t>
      </w:r>
      <w:r w:rsidR="00A823A9" w:rsidRPr="55F074F9">
        <w:rPr>
          <w:rFonts w:ascii="Arial" w:hAnsi="Arial" w:cs="Arial"/>
        </w:rPr>
        <w:t xml:space="preserve"> when responsibilit</w:t>
      </w:r>
      <w:r w:rsidR="009F057D" w:rsidRPr="55F074F9">
        <w:rPr>
          <w:rFonts w:ascii="Arial" w:hAnsi="Arial" w:cs="Arial"/>
        </w:rPr>
        <w:t xml:space="preserve">y for </w:t>
      </w:r>
      <w:r w:rsidR="001A1290" w:rsidRPr="55F074F9">
        <w:rPr>
          <w:rFonts w:ascii="Arial" w:hAnsi="Arial" w:cs="Arial"/>
        </w:rPr>
        <w:t xml:space="preserve">dental </w:t>
      </w:r>
      <w:r w:rsidR="009F057D" w:rsidRPr="55F074F9">
        <w:rPr>
          <w:rFonts w:ascii="Arial" w:hAnsi="Arial" w:cs="Arial"/>
        </w:rPr>
        <w:t xml:space="preserve">commissioning </w:t>
      </w:r>
      <w:r w:rsidR="00A823A9" w:rsidRPr="55F074F9">
        <w:rPr>
          <w:rFonts w:ascii="Arial" w:hAnsi="Arial" w:cs="Arial"/>
        </w:rPr>
        <w:t xml:space="preserve">passed to </w:t>
      </w:r>
      <w:r w:rsidR="009F057D" w:rsidRPr="55F074F9">
        <w:rPr>
          <w:rFonts w:ascii="Arial" w:hAnsi="Arial" w:cs="Arial"/>
        </w:rPr>
        <w:t>ICBs.</w:t>
      </w:r>
    </w:p>
    <w:p w14:paraId="33E3CAAD" w14:textId="762B3798" w:rsidR="00E550BE" w:rsidRDefault="002D0EA6">
      <w:pPr>
        <w:pStyle w:val="ListParagraph"/>
        <w:numPr>
          <w:ilvl w:val="0"/>
          <w:numId w:val="2"/>
        </w:numPr>
        <w:spacing w:line="276" w:lineRule="auto"/>
        <w:ind w:left="567" w:hanging="567"/>
        <w:contextualSpacing w:val="0"/>
        <w:rPr>
          <w:rFonts w:ascii="Arial" w:hAnsi="Arial" w:cs="Arial"/>
        </w:rPr>
      </w:pPr>
      <w:r w:rsidRPr="00D91579">
        <w:rPr>
          <w:rFonts w:ascii="Arial" w:hAnsi="Arial" w:cs="Arial"/>
        </w:rPr>
        <w:t xml:space="preserve">IMOS services </w:t>
      </w:r>
      <w:r w:rsidR="00907B5C">
        <w:rPr>
          <w:rFonts w:ascii="Arial" w:hAnsi="Arial" w:cs="Arial"/>
        </w:rPr>
        <w:t xml:space="preserve">go </w:t>
      </w:r>
      <w:r w:rsidRPr="00D91579">
        <w:rPr>
          <w:rFonts w:ascii="Arial" w:hAnsi="Arial" w:cs="Arial"/>
        </w:rPr>
        <w:t>beyond the scope of primary care dentistry</w:t>
      </w:r>
      <w:r w:rsidR="00743F85" w:rsidRPr="00D91579">
        <w:rPr>
          <w:rFonts w:ascii="Arial" w:hAnsi="Arial" w:cs="Arial"/>
        </w:rPr>
        <w:t>,</w:t>
      </w:r>
      <w:r w:rsidRPr="00D91579">
        <w:rPr>
          <w:rFonts w:ascii="Arial" w:hAnsi="Arial" w:cs="Arial"/>
        </w:rPr>
        <w:t xml:space="preserve"> </w:t>
      </w:r>
      <w:r w:rsidR="00372738">
        <w:rPr>
          <w:rFonts w:ascii="Arial" w:hAnsi="Arial" w:cs="Arial"/>
        </w:rPr>
        <w:t xml:space="preserve">and </w:t>
      </w:r>
      <w:r w:rsidRPr="00D91579">
        <w:rPr>
          <w:rFonts w:ascii="Arial" w:hAnsi="Arial" w:cs="Arial"/>
        </w:rPr>
        <w:t>commonly involv</w:t>
      </w:r>
      <w:r w:rsidR="00372738">
        <w:rPr>
          <w:rFonts w:ascii="Arial" w:hAnsi="Arial" w:cs="Arial"/>
        </w:rPr>
        <w:t xml:space="preserve">e </w:t>
      </w:r>
      <w:r w:rsidR="00BB4ECB">
        <w:rPr>
          <w:rFonts w:ascii="Arial" w:hAnsi="Arial" w:cs="Arial"/>
        </w:rPr>
        <w:t>minor soft tissue procedures</w:t>
      </w:r>
      <w:r w:rsidR="00BB4ECB" w:rsidRPr="00D91579">
        <w:rPr>
          <w:rFonts w:ascii="Arial" w:hAnsi="Arial" w:cs="Arial"/>
        </w:rPr>
        <w:t xml:space="preserve"> </w:t>
      </w:r>
      <w:r w:rsidR="00BB4ECB">
        <w:rPr>
          <w:rFonts w:ascii="Arial" w:hAnsi="Arial" w:cs="Arial"/>
        </w:rPr>
        <w:t xml:space="preserve">and </w:t>
      </w:r>
      <w:r w:rsidRPr="00D91579">
        <w:rPr>
          <w:rFonts w:ascii="Arial" w:hAnsi="Arial" w:cs="Arial"/>
        </w:rPr>
        <w:t>remov</w:t>
      </w:r>
      <w:r w:rsidR="00372738">
        <w:rPr>
          <w:rFonts w:ascii="Arial" w:hAnsi="Arial" w:cs="Arial"/>
        </w:rPr>
        <w:t>ing</w:t>
      </w:r>
      <w:r w:rsidRPr="00D91579">
        <w:rPr>
          <w:rFonts w:ascii="Arial" w:hAnsi="Arial" w:cs="Arial"/>
        </w:rPr>
        <w:t xml:space="preserve"> unhealthy teeth.</w:t>
      </w:r>
      <w:r w:rsidR="00D91579" w:rsidRPr="00D91579">
        <w:rPr>
          <w:rFonts w:ascii="Arial" w:hAnsi="Arial" w:cs="Arial"/>
        </w:rPr>
        <w:t xml:space="preserve"> </w:t>
      </w:r>
      <w:r w:rsidR="001F45BA">
        <w:rPr>
          <w:rFonts w:ascii="Arial" w:hAnsi="Arial" w:cs="Arial"/>
        </w:rPr>
        <w:t>T</w:t>
      </w:r>
      <w:r w:rsidR="00EF5677">
        <w:rPr>
          <w:rFonts w:ascii="Arial" w:hAnsi="Arial" w:cs="Arial"/>
        </w:rPr>
        <w:t xml:space="preserve">here </w:t>
      </w:r>
      <w:r w:rsidR="00C3261C">
        <w:rPr>
          <w:rFonts w:ascii="Arial" w:hAnsi="Arial" w:cs="Arial"/>
        </w:rPr>
        <w:t>are currently</w:t>
      </w:r>
      <w:r w:rsidR="00CC439C">
        <w:rPr>
          <w:rFonts w:ascii="Arial" w:hAnsi="Arial" w:cs="Arial"/>
        </w:rPr>
        <w:t xml:space="preserve"> </w:t>
      </w:r>
      <w:r w:rsidR="00F43699">
        <w:rPr>
          <w:rFonts w:ascii="Arial" w:hAnsi="Arial" w:cs="Arial"/>
        </w:rPr>
        <w:t>14</w:t>
      </w:r>
      <w:r w:rsidR="001F45BA">
        <w:rPr>
          <w:rFonts w:ascii="Arial" w:hAnsi="Arial" w:cs="Arial"/>
        </w:rPr>
        <w:t> </w:t>
      </w:r>
      <w:r w:rsidR="00CC439C">
        <w:rPr>
          <w:rFonts w:ascii="Arial" w:hAnsi="Arial" w:cs="Arial"/>
        </w:rPr>
        <w:t xml:space="preserve">providers of </w:t>
      </w:r>
      <w:r w:rsidR="00687B38" w:rsidRPr="006E5559">
        <w:rPr>
          <w:rFonts w:ascii="Arial" w:hAnsi="Arial" w:cs="Arial"/>
        </w:rPr>
        <w:t>IMOS</w:t>
      </w:r>
      <w:r w:rsidR="003731F9" w:rsidRPr="006E5559">
        <w:rPr>
          <w:rFonts w:ascii="Arial" w:hAnsi="Arial" w:cs="Arial"/>
        </w:rPr>
        <w:t xml:space="preserve"> </w:t>
      </w:r>
      <w:r w:rsidR="00687B38" w:rsidRPr="006E5559">
        <w:rPr>
          <w:rFonts w:ascii="Arial" w:hAnsi="Arial" w:cs="Arial"/>
        </w:rPr>
        <w:t>s</w:t>
      </w:r>
      <w:r w:rsidR="003731F9" w:rsidRPr="006E5559">
        <w:rPr>
          <w:rFonts w:ascii="Arial" w:hAnsi="Arial" w:cs="Arial"/>
        </w:rPr>
        <w:t>ervices</w:t>
      </w:r>
      <w:r w:rsidR="001F45BA">
        <w:rPr>
          <w:rFonts w:ascii="Arial" w:hAnsi="Arial" w:cs="Arial"/>
        </w:rPr>
        <w:t xml:space="preserve"> in Yorkshire and Humber, including</w:t>
      </w:r>
      <w:r w:rsidR="00E550BE" w:rsidDel="007E3F99">
        <w:rPr>
          <w:rFonts w:ascii="Arial" w:hAnsi="Arial" w:cs="Arial"/>
        </w:rPr>
        <w:t xml:space="preserve"> Barkhill and Clarendon</w:t>
      </w:r>
      <w:r w:rsidR="003731F9" w:rsidRPr="00D91579">
        <w:rPr>
          <w:rFonts w:ascii="Arial" w:hAnsi="Arial" w:cs="Arial"/>
        </w:rPr>
        <w:t>.</w:t>
      </w:r>
      <w:r w:rsidR="006E5559" w:rsidRPr="00D91579">
        <w:rPr>
          <w:rFonts w:ascii="Arial" w:hAnsi="Arial" w:cs="Arial"/>
        </w:rPr>
        <w:t xml:space="preserve"> </w:t>
      </w:r>
      <w:r w:rsidR="00E550BE">
        <w:rPr>
          <w:rFonts w:ascii="Arial" w:hAnsi="Arial" w:cs="Arial"/>
        </w:rPr>
        <w:t xml:space="preserve">Barkhill </w:t>
      </w:r>
      <w:r w:rsidR="00E10C14">
        <w:rPr>
          <w:rFonts w:ascii="Arial" w:hAnsi="Arial" w:cs="Arial"/>
        </w:rPr>
        <w:t>currently</w:t>
      </w:r>
      <w:r w:rsidR="00E550BE">
        <w:rPr>
          <w:rFonts w:ascii="Arial" w:hAnsi="Arial" w:cs="Arial"/>
        </w:rPr>
        <w:t xml:space="preserve"> </w:t>
      </w:r>
      <w:r w:rsidR="00A53F0B">
        <w:rPr>
          <w:rFonts w:ascii="Arial" w:hAnsi="Arial" w:cs="Arial"/>
        </w:rPr>
        <w:t>serves Bradford North</w:t>
      </w:r>
      <w:r w:rsidR="00823FD5">
        <w:rPr>
          <w:rFonts w:ascii="Arial" w:hAnsi="Arial" w:cs="Arial"/>
        </w:rPr>
        <w:t xml:space="preserve">, while Clarendon </w:t>
      </w:r>
      <w:r w:rsidR="00E10C14">
        <w:rPr>
          <w:rFonts w:ascii="Arial" w:hAnsi="Arial" w:cs="Arial"/>
        </w:rPr>
        <w:t xml:space="preserve">currently </w:t>
      </w:r>
      <w:r w:rsidR="00823FD5">
        <w:rPr>
          <w:rFonts w:ascii="Arial" w:hAnsi="Arial" w:cs="Arial"/>
        </w:rPr>
        <w:t>serves Leeds South, North Kirklees and Greater Huddersfield.</w:t>
      </w:r>
      <w:r w:rsidR="00C65E5E">
        <w:rPr>
          <w:rStyle w:val="FootnoteReference"/>
          <w:rFonts w:ascii="Arial" w:hAnsi="Arial" w:cs="Arial"/>
        </w:rPr>
        <w:footnoteReference w:id="10"/>
      </w:r>
    </w:p>
    <w:p w14:paraId="2653CA5D" w14:textId="39F2F6D5" w:rsidR="00D84393" w:rsidRDefault="00870658" w:rsidP="008655B7">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HNY ICB told the Panel that </w:t>
      </w:r>
      <w:r w:rsidR="006F05DA">
        <w:rPr>
          <w:rFonts w:ascii="Arial" w:hAnsi="Arial" w:cs="Arial"/>
        </w:rPr>
        <w:t xml:space="preserve">a review of IMOS contracts </w:t>
      </w:r>
      <w:r w:rsidR="000049F9">
        <w:rPr>
          <w:rFonts w:ascii="Arial" w:hAnsi="Arial" w:cs="Arial"/>
        </w:rPr>
        <w:t>in Yorkshire and Humber</w:t>
      </w:r>
      <w:r w:rsidR="006F05DA">
        <w:rPr>
          <w:rFonts w:ascii="Arial" w:hAnsi="Arial" w:cs="Arial"/>
        </w:rPr>
        <w:t xml:space="preserve"> found significant variation in the services </w:t>
      </w:r>
      <w:r w:rsidR="00041FCB">
        <w:rPr>
          <w:rFonts w:ascii="Arial" w:hAnsi="Arial" w:cs="Arial"/>
        </w:rPr>
        <w:t>offered to local populations</w:t>
      </w:r>
      <w:r w:rsidR="001E7EAB">
        <w:rPr>
          <w:rFonts w:ascii="Arial" w:hAnsi="Arial" w:cs="Arial"/>
        </w:rPr>
        <w:t>, tariffs</w:t>
      </w:r>
      <w:r w:rsidR="00DE3936">
        <w:rPr>
          <w:rFonts w:ascii="Arial" w:hAnsi="Arial" w:cs="Arial"/>
        </w:rPr>
        <w:t xml:space="preserve"> paid to providers</w:t>
      </w:r>
      <w:r w:rsidR="00242B7F">
        <w:rPr>
          <w:rFonts w:ascii="Arial" w:hAnsi="Arial" w:cs="Arial"/>
        </w:rPr>
        <w:t>,</w:t>
      </w:r>
      <w:r w:rsidR="00DE3936">
        <w:rPr>
          <w:rFonts w:ascii="Arial" w:hAnsi="Arial" w:cs="Arial"/>
        </w:rPr>
        <w:t xml:space="preserve"> and </w:t>
      </w:r>
      <w:r w:rsidR="00242B7F">
        <w:rPr>
          <w:rFonts w:ascii="Arial" w:hAnsi="Arial" w:cs="Arial"/>
        </w:rPr>
        <w:t>providers’</w:t>
      </w:r>
      <w:r w:rsidR="00DE3936">
        <w:rPr>
          <w:rFonts w:ascii="Arial" w:hAnsi="Arial" w:cs="Arial"/>
        </w:rPr>
        <w:t xml:space="preserve"> </w:t>
      </w:r>
      <w:r w:rsidR="0007215B">
        <w:rPr>
          <w:rFonts w:ascii="Arial" w:hAnsi="Arial" w:cs="Arial"/>
        </w:rPr>
        <w:t xml:space="preserve">compliance with </w:t>
      </w:r>
      <w:r w:rsidR="008D25B7">
        <w:rPr>
          <w:rFonts w:ascii="Arial" w:hAnsi="Arial" w:cs="Arial"/>
        </w:rPr>
        <w:t>oral surgery clinical standards</w:t>
      </w:r>
      <w:r w:rsidR="00AE7626">
        <w:rPr>
          <w:rFonts w:ascii="Arial" w:hAnsi="Arial" w:cs="Arial"/>
        </w:rPr>
        <w:t xml:space="preserve"> and best practice</w:t>
      </w:r>
      <w:r w:rsidR="008D25B7">
        <w:rPr>
          <w:rFonts w:ascii="Arial" w:hAnsi="Arial" w:cs="Arial"/>
        </w:rPr>
        <w:t>.</w:t>
      </w:r>
      <w:r w:rsidR="00EA02D9">
        <w:rPr>
          <w:rStyle w:val="FootnoteReference"/>
          <w:rFonts w:ascii="Arial" w:hAnsi="Arial" w:cs="Arial"/>
        </w:rPr>
        <w:footnoteReference w:id="11"/>
      </w:r>
      <w:r w:rsidR="008655B7">
        <w:rPr>
          <w:rFonts w:ascii="Arial" w:hAnsi="Arial" w:cs="Arial"/>
        </w:rPr>
        <w:t xml:space="preserve"> As a result, </w:t>
      </w:r>
      <w:r w:rsidR="00E55FDB">
        <w:rPr>
          <w:rFonts w:ascii="Arial" w:hAnsi="Arial" w:cs="Arial"/>
        </w:rPr>
        <w:t xml:space="preserve">a joint working group was established across </w:t>
      </w:r>
      <w:r w:rsidR="00FE55DA">
        <w:rPr>
          <w:rFonts w:ascii="Arial" w:hAnsi="Arial" w:cs="Arial"/>
        </w:rPr>
        <w:t>HNY</w:t>
      </w:r>
      <w:r w:rsidR="000E2E8B">
        <w:rPr>
          <w:rFonts w:ascii="Arial" w:hAnsi="Arial" w:cs="Arial"/>
        </w:rPr>
        <w:t xml:space="preserve"> ICB</w:t>
      </w:r>
      <w:r w:rsidR="00126286">
        <w:rPr>
          <w:rFonts w:ascii="Arial" w:hAnsi="Arial" w:cs="Arial"/>
        </w:rPr>
        <w:t xml:space="preserve">, South Yorkshire </w:t>
      </w:r>
      <w:r w:rsidR="000E2E8B">
        <w:rPr>
          <w:rFonts w:ascii="Arial" w:hAnsi="Arial" w:cs="Arial"/>
        </w:rPr>
        <w:t xml:space="preserve">ICB </w:t>
      </w:r>
      <w:r w:rsidR="00126286">
        <w:rPr>
          <w:rFonts w:ascii="Arial" w:hAnsi="Arial" w:cs="Arial"/>
        </w:rPr>
        <w:t>and West Yorkshire</w:t>
      </w:r>
      <w:r w:rsidR="00E55FDB">
        <w:rPr>
          <w:rFonts w:ascii="Arial" w:hAnsi="Arial" w:cs="Arial"/>
        </w:rPr>
        <w:t xml:space="preserve"> ICB to </w:t>
      </w:r>
      <w:r w:rsidR="00116765">
        <w:rPr>
          <w:rFonts w:ascii="Arial" w:hAnsi="Arial" w:cs="Arial"/>
        </w:rPr>
        <w:t xml:space="preserve">put in place </w:t>
      </w:r>
      <w:r w:rsidR="000F1640">
        <w:rPr>
          <w:rFonts w:ascii="Arial" w:hAnsi="Arial" w:cs="Arial"/>
        </w:rPr>
        <w:t xml:space="preserve">a revised </w:t>
      </w:r>
      <w:r w:rsidR="004C3EF1">
        <w:rPr>
          <w:rFonts w:ascii="Arial" w:hAnsi="Arial" w:cs="Arial"/>
        </w:rPr>
        <w:t xml:space="preserve">tariff and </w:t>
      </w:r>
      <w:r w:rsidR="000F1640">
        <w:rPr>
          <w:rFonts w:ascii="Arial" w:hAnsi="Arial" w:cs="Arial"/>
        </w:rPr>
        <w:t>service specification</w:t>
      </w:r>
      <w:r w:rsidR="000A7F66">
        <w:rPr>
          <w:rFonts w:ascii="Arial" w:hAnsi="Arial" w:cs="Arial"/>
        </w:rPr>
        <w:t>.</w:t>
      </w:r>
    </w:p>
    <w:p w14:paraId="2C2592A6" w14:textId="0136BE89" w:rsidR="0012522B" w:rsidRDefault="0012522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26 July 2024, </w:t>
      </w:r>
      <w:r w:rsidR="00B40B00">
        <w:rPr>
          <w:rFonts w:ascii="Arial" w:hAnsi="Arial" w:cs="Arial"/>
        </w:rPr>
        <w:t>HNY ICB</w:t>
      </w:r>
      <w:r w:rsidR="008B3C98">
        <w:rPr>
          <w:rFonts w:ascii="Arial" w:hAnsi="Arial" w:cs="Arial"/>
        </w:rPr>
        <w:t xml:space="preserve">, as the host ICB for </w:t>
      </w:r>
      <w:r w:rsidR="00F87E17">
        <w:rPr>
          <w:rFonts w:ascii="Arial" w:hAnsi="Arial" w:cs="Arial"/>
        </w:rPr>
        <w:t>Yorkshire and Humber dental commissioning team,</w:t>
      </w:r>
      <w:r w:rsidR="00B40B00">
        <w:rPr>
          <w:rFonts w:ascii="Arial" w:hAnsi="Arial" w:cs="Arial"/>
        </w:rPr>
        <w:t xml:space="preserve"> published a </w:t>
      </w:r>
      <w:r w:rsidR="00B40B00" w:rsidRPr="003739FA">
        <w:rPr>
          <w:rFonts w:ascii="Arial" w:hAnsi="Arial" w:cs="Arial"/>
        </w:rPr>
        <w:t>Prior Information Notice</w:t>
      </w:r>
      <w:r w:rsidR="00B40B00">
        <w:rPr>
          <w:rFonts w:ascii="Arial" w:hAnsi="Arial" w:cs="Arial"/>
        </w:rPr>
        <w:t xml:space="preserve"> on Find a Tender Service (FTS)</w:t>
      </w:r>
      <w:r w:rsidR="00EA40B2">
        <w:rPr>
          <w:rFonts w:ascii="Arial" w:hAnsi="Arial" w:cs="Arial"/>
        </w:rPr>
        <w:t xml:space="preserve"> </w:t>
      </w:r>
      <w:r w:rsidR="003739FA" w:rsidRPr="003739FA">
        <w:rPr>
          <w:rFonts w:ascii="Arial" w:hAnsi="Arial" w:cs="Arial"/>
        </w:rPr>
        <w:t xml:space="preserve">to gain a better understanding of the </w:t>
      </w:r>
      <w:r w:rsidR="00686CB9">
        <w:rPr>
          <w:rFonts w:ascii="Arial" w:hAnsi="Arial" w:cs="Arial"/>
        </w:rPr>
        <w:t xml:space="preserve">market’s </w:t>
      </w:r>
      <w:r w:rsidR="003739FA" w:rsidRPr="003739FA">
        <w:rPr>
          <w:rFonts w:ascii="Arial" w:hAnsi="Arial" w:cs="Arial"/>
        </w:rPr>
        <w:t xml:space="preserve">capacity and appetite to deliver </w:t>
      </w:r>
      <w:r w:rsidR="00AC2399" w:rsidRPr="006E5559">
        <w:rPr>
          <w:rFonts w:ascii="Arial" w:hAnsi="Arial" w:cs="Arial"/>
        </w:rPr>
        <w:t>IMOS</w:t>
      </w:r>
      <w:r w:rsidR="003739FA" w:rsidRPr="006E5559">
        <w:rPr>
          <w:rFonts w:ascii="Arial" w:hAnsi="Arial" w:cs="Arial"/>
        </w:rPr>
        <w:t xml:space="preserve"> </w:t>
      </w:r>
      <w:r w:rsidR="00AC2399" w:rsidRPr="006E5559">
        <w:rPr>
          <w:rFonts w:ascii="Arial" w:hAnsi="Arial" w:cs="Arial"/>
        </w:rPr>
        <w:t>s</w:t>
      </w:r>
      <w:r w:rsidR="003739FA" w:rsidRPr="006E5559">
        <w:rPr>
          <w:rFonts w:ascii="Arial" w:hAnsi="Arial" w:cs="Arial"/>
        </w:rPr>
        <w:t>ervices</w:t>
      </w:r>
      <w:r w:rsidR="003739FA" w:rsidRPr="003739FA">
        <w:rPr>
          <w:rFonts w:ascii="Arial" w:hAnsi="Arial" w:cs="Arial"/>
        </w:rPr>
        <w:t xml:space="preserve"> </w:t>
      </w:r>
      <w:r w:rsidR="00682A91">
        <w:rPr>
          <w:rFonts w:ascii="Arial" w:hAnsi="Arial" w:cs="Arial"/>
        </w:rPr>
        <w:t>in</w:t>
      </w:r>
      <w:r w:rsidR="003739FA" w:rsidRPr="003739FA">
        <w:rPr>
          <w:rFonts w:ascii="Arial" w:hAnsi="Arial" w:cs="Arial"/>
        </w:rPr>
        <w:t xml:space="preserve"> Yorkshire and Humber.</w:t>
      </w:r>
    </w:p>
    <w:p w14:paraId="0C5D1FE9" w14:textId="16B055DE" w:rsidR="003739FA" w:rsidRPr="003739FA" w:rsidRDefault="00682A91" w:rsidP="29201E78">
      <w:pPr>
        <w:pStyle w:val="ListParagraph"/>
        <w:numPr>
          <w:ilvl w:val="0"/>
          <w:numId w:val="2"/>
        </w:numPr>
        <w:spacing w:line="276" w:lineRule="auto"/>
        <w:ind w:left="567" w:hanging="567"/>
        <w:contextualSpacing w:val="0"/>
        <w:rPr>
          <w:rFonts w:ascii="Arial" w:hAnsi="Arial" w:cs="Arial"/>
        </w:rPr>
      </w:pPr>
      <w:r>
        <w:rPr>
          <w:rFonts w:ascii="Arial" w:hAnsi="Arial" w:cs="Arial"/>
        </w:rPr>
        <w:t>This was followed by</w:t>
      </w:r>
      <w:r w:rsidR="003739FA" w:rsidRPr="003739FA">
        <w:rPr>
          <w:rFonts w:ascii="Arial" w:hAnsi="Arial" w:cs="Arial"/>
        </w:rPr>
        <w:t xml:space="preserve"> a Contract Notice</w:t>
      </w:r>
      <w:r w:rsidR="00962FFF" w:rsidRPr="00962FFF">
        <w:rPr>
          <w:rFonts w:ascii="Arial" w:hAnsi="Arial" w:cs="Arial"/>
        </w:rPr>
        <w:t xml:space="preserve"> </w:t>
      </w:r>
      <w:r w:rsidR="00CC16A6">
        <w:rPr>
          <w:rFonts w:ascii="Arial" w:hAnsi="Arial" w:cs="Arial"/>
        </w:rPr>
        <w:t>on 20 September 2024</w:t>
      </w:r>
      <w:r w:rsidR="00962FFF" w:rsidRPr="00962FFF">
        <w:rPr>
          <w:rFonts w:ascii="Arial" w:hAnsi="Arial" w:cs="Arial"/>
        </w:rPr>
        <w:t xml:space="preserve"> </w:t>
      </w:r>
      <w:r w:rsidR="003739FA" w:rsidRPr="003739FA">
        <w:rPr>
          <w:rFonts w:ascii="Arial" w:hAnsi="Arial" w:cs="Arial"/>
        </w:rPr>
        <w:t xml:space="preserve">setting out </w:t>
      </w:r>
      <w:r w:rsidR="00CC16A6">
        <w:rPr>
          <w:rFonts w:ascii="Arial" w:hAnsi="Arial" w:cs="Arial"/>
        </w:rPr>
        <w:t>HNY ICB’s plan</w:t>
      </w:r>
      <w:r w:rsidR="003739FA" w:rsidRPr="003739FA">
        <w:rPr>
          <w:rFonts w:ascii="Arial" w:hAnsi="Arial" w:cs="Arial"/>
        </w:rPr>
        <w:t xml:space="preserve"> to </w:t>
      </w:r>
      <w:r w:rsidR="00CC16A6">
        <w:rPr>
          <w:rFonts w:ascii="Arial" w:hAnsi="Arial" w:cs="Arial"/>
        </w:rPr>
        <w:t>use</w:t>
      </w:r>
      <w:r w:rsidR="003739FA" w:rsidRPr="003739FA">
        <w:rPr>
          <w:rFonts w:ascii="Arial" w:hAnsi="Arial" w:cs="Arial"/>
        </w:rPr>
        <w:t xml:space="preserve"> the competitive process to select providers for </w:t>
      </w:r>
      <w:r w:rsidR="00280FF6">
        <w:rPr>
          <w:rFonts w:ascii="Arial" w:hAnsi="Arial" w:cs="Arial"/>
        </w:rPr>
        <w:t xml:space="preserve">new </w:t>
      </w:r>
      <w:r w:rsidR="006E5559">
        <w:rPr>
          <w:rFonts w:ascii="Arial" w:hAnsi="Arial" w:cs="Arial"/>
        </w:rPr>
        <w:t xml:space="preserve">IMOS </w:t>
      </w:r>
      <w:r w:rsidR="00280FF6">
        <w:rPr>
          <w:rFonts w:ascii="Arial" w:hAnsi="Arial" w:cs="Arial"/>
        </w:rPr>
        <w:t>contracts</w:t>
      </w:r>
      <w:r w:rsidR="007F26D3">
        <w:rPr>
          <w:rFonts w:ascii="Arial" w:hAnsi="Arial" w:cs="Arial"/>
        </w:rPr>
        <w:t xml:space="preserve">. </w:t>
      </w:r>
      <w:r w:rsidR="000C2706" w:rsidRPr="000C2706">
        <w:rPr>
          <w:rFonts w:ascii="Arial" w:hAnsi="Arial" w:cs="Arial"/>
        </w:rPr>
        <w:t xml:space="preserve">The </w:t>
      </w:r>
      <w:r w:rsidR="007C3F1C" w:rsidRPr="007C3F1C">
        <w:rPr>
          <w:rFonts w:ascii="Arial" w:hAnsi="Arial" w:cs="Arial"/>
        </w:rPr>
        <w:t xml:space="preserve">procurement </w:t>
      </w:r>
      <w:r w:rsidR="000C2706">
        <w:rPr>
          <w:rFonts w:ascii="Arial" w:hAnsi="Arial" w:cs="Arial"/>
        </w:rPr>
        <w:t xml:space="preserve">was </w:t>
      </w:r>
      <w:r w:rsidR="007C3F1C" w:rsidRPr="007C3F1C">
        <w:rPr>
          <w:rFonts w:ascii="Arial" w:hAnsi="Arial" w:cs="Arial"/>
        </w:rPr>
        <w:t>divided into 16 lots</w:t>
      </w:r>
      <w:r w:rsidR="00907A3E">
        <w:rPr>
          <w:rFonts w:ascii="Arial" w:hAnsi="Arial" w:cs="Arial"/>
        </w:rPr>
        <w:t xml:space="preserve"> based on </w:t>
      </w:r>
      <w:r w:rsidR="007C3F1C" w:rsidRPr="007C3F1C">
        <w:rPr>
          <w:rFonts w:ascii="Arial" w:hAnsi="Arial" w:cs="Arial"/>
        </w:rPr>
        <w:t xml:space="preserve">geographical </w:t>
      </w:r>
      <w:r w:rsidR="00907A3E">
        <w:rPr>
          <w:rFonts w:ascii="Arial" w:hAnsi="Arial" w:cs="Arial"/>
        </w:rPr>
        <w:t>areas</w:t>
      </w:r>
      <w:r w:rsidR="00AF5D2E">
        <w:rPr>
          <w:rFonts w:ascii="Arial" w:hAnsi="Arial" w:cs="Arial"/>
        </w:rPr>
        <w:t>, with contracts to be let</w:t>
      </w:r>
      <w:r w:rsidR="003739FA" w:rsidRPr="003739FA">
        <w:rPr>
          <w:rFonts w:ascii="Arial" w:hAnsi="Arial" w:cs="Arial"/>
        </w:rPr>
        <w:t xml:space="preserve"> for an initial </w:t>
      </w:r>
      <w:r w:rsidR="00117B01">
        <w:rPr>
          <w:rFonts w:ascii="Arial" w:hAnsi="Arial" w:cs="Arial"/>
        </w:rPr>
        <w:t xml:space="preserve">5 year </w:t>
      </w:r>
      <w:r w:rsidR="003739FA" w:rsidRPr="003739FA">
        <w:rPr>
          <w:rFonts w:ascii="Arial" w:hAnsi="Arial" w:cs="Arial"/>
        </w:rPr>
        <w:t>period</w:t>
      </w:r>
      <w:r w:rsidR="007C3F1C">
        <w:rPr>
          <w:rFonts w:ascii="Arial" w:hAnsi="Arial" w:cs="Arial"/>
        </w:rPr>
        <w:t>,</w:t>
      </w:r>
      <w:r w:rsidR="003739FA" w:rsidRPr="003739FA">
        <w:rPr>
          <w:rFonts w:ascii="Arial" w:hAnsi="Arial" w:cs="Arial"/>
        </w:rPr>
        <w:t xml:space="preserve"> commencing on 1 April 2025, with the option </w:t>
      </w:r>
      <w:r w:rsidR="00665CC9">
        <w:rPr>
          <w:rFonts w:ascii="Arial" w:hAnsi="Arial" w:cs="Arial"/>
        </w:rPr>
        <w:t xml:space="preserve">of a </w:t>
      </w:r>
      <w:r w:rsidR="00665CC9">
        <w:rPr>
          <w:rFonts w:ascii="Arial" w:hAnsi="Arial" w:cs="Arial"/>
        </w:rPr>
        <w:lastRenderedPageBreak/>
        <w:t>2</w:t>
      </w:r>
      <w:r w:rsidR="00AF5D2E">
        <w:rPr>
          <w:rFonts w:ascii="Arial" w:hAnsi="Arial" w:cs="Arial"/>
        </w:rPr>
        <w:t> </w:t>
      </w:r>
      <w:r w:rsidR="00665CC9">
        <w:rPr>
          <w:rFonts w:ascii="Arial" w:hAnsi="Arial" w:cs="Arial"/>
        </w:rPr>
        <w:t>year extension</w:t>
      </w:r>
      <w:r w:rsidR="00AF5D2E">
        <w:rPr>
          <w:rFonts w:ascii="Arial" w:hAnsi="Arial" w:cs="Arial"/>
        </w:rPr>
        <w:t>. T</w:t>
      </w:r>
      <w:r w:rsidR="00AC02D4">
        <w:rPr>
          <w:rFonts w:ascii="Arial" w:hAnsi="Arial" w:cs="Arial"/>
        </w:rPr>
        <w:t xml:space="preserve">he </w:t>
      </w:r>
      <w:r w:rsidR="003739FA" w:rsidRPr="003739FA">
        <w:rPr>
          <w:rFonts w:ascii="Arial" w:hAnsi="Arial" w:cs="Arial"/>
        </w:rPr>
        <w:t xml:space="preserve">estimated total value </w:t>
      </w:r>
      <w:r w:rsidR="00AF5D2E">
        <w:rPr>
          <w:rFonts w:ascii="Arial" w:hAnsi="Arial" w:cs="Arial"/>
        </w:rPr>
        <w:t xml:space="preserve">of the 16 contracts </w:t>
      </w:r>
      <w:r w:rsidR="00161D17">
        <w:rPr>
          <w:rFonts w:ascii="Arial" w:hAnsi="Arial" w:cs="Arial"/>
        </w:rPr>
        <w:t>was</w:t>
      </w:r>
      <w:r w:rsidR="00161D17" w:rsidRPr="003739FA">
        <w:rPr>
          <w:rFonts w:ascii="Arial" w:hAnsi="Arial" w:cs="Arial"/>
        </w:rPr>
        <w:t xml:space="preserve"> </w:t>
      </w:r>
      <w:r w:rsidR="003739FA" w:rsidRPr="003739FA">
        <w:rPr>
          <w:rFonts w:ascii="Arial" w:hAnsi="Arial" w:cs="Arial"/>
        </w:rPr>
        <w:t>approximately £38</w:t>
      </w:r>
      <w:r w:rsidR="00907A3E">
        <w:rPr>
          <w:rFonts w:ascii="Arial" w:hAnsi="Arial" w:cs="Arial"/>
        </w:rPr>
        <w:t>.</w:t>
      </w:r>
      <w:r w:rsidR="003739FA" w:rsidRPr="003739FA">
        <w:rPr>
          <w:rFonts w:ascii="Arial" w:hAnsi="Arial" w:cs="Arial"/>
        </w:rPr>
        <w:t>1m</w:t>
      </w:r>
      <w:r w:rsidR="00AC79A7">
        <w:rPr>
          <w:rFonts w:ascii="Arial" w:hAnsi="Arial" w:cs="Arial"/>
        </w:rPr>
        <w:t xml:space="preserve"> </w:t>
      </w:r>
      <w:r w:rsidR="00294C34">
        <w:rPr>
          <w:rFonts w:ascii="Arial" w:hAnsi="Arial" w:cs="Arial"/>
        </w:rPr>
        <w:t>(</w:t>
      </w:r>
      <w:r w:rsidR="00AC79A7">
        <w:rPr>
          <w:rFonts w:ascii="Arial" w:hAnsi="Arial" w:cs="Arial"/>
        </w:rPr>
        <w:t>ex</w:t>
      </w:r>
      <w:r w:rsidR="008A5EFE">
        <w:rPr>
          <w:rFonts w:ascii="Arial" w:hAnsi="Arial" w:cs="Arial"/>
        </w:rPr>
        <w:t>cluding</w:t>
      </w:r>
      <w:r w:rsidR="00294C34">
        <w:rPr>
          <w:rFonts w:ascii="Arial" w:hAnsi="Arial" w:cs="Arial"/>
        </w:rPr>
        <w:t xml:space="preserve"> VAT)</w:t>
      </w:r>
      <w:r w:rsidR="003739FA" w:rsidRPr="003739FA">
        <w:rPr>
          <w:rFonts w:ascii="Arial" w:hAnsi="Arial" w:cs="Arial"/>
        </w:rPr>
        <w:t>.</w:t>
      </w:r>
      <w:r w:rsidR="00377929">
        <w:rPr>
          <w:rStyle w:val="FootnoteReference"/>
          <w:rFonts w:ascii="Arial" w:hAnsi="Arial" w:cs="Arial"/>
        </w:rPr>
        <w:footnoteReference w:id="12"/>
      </w:r>
    </w:p>
    <w:p w14:paraId="0B3D4CAB" w14:textId="4981A50A" w:rsidR="009110C8" w:rsidRDefault="00C13ACE" w:rsidP="001E15D8">
      <w:pPr>
        <w:pStyle w:val="ListParagraph"/>
        <w:numPr>
          <w:ilvl w:val="0"/>
          <w:numId w:val="2"/>
        </w:numPr>
        <w:spacing w:line="276" w:lineRule="auto"/>
        <w:ind w:left="567" w:hanging="567"/>
        <w:contextualSpacing w:val="0"/>
        <w:rPr>
          <w:rFonts w:ascii="Arial" w:hAnsi="Arial" w:cs="Arial"/>
        </w:rPr>
      </w:pPr>
      <w:bookmarkStart w:id="6" w:name="_Ref196991821"/>
      <w:r>
        <w:rPr>
          <w:rFonts w:ascii="Arial" w:hAnsi="Arial" w:cs="Arial"/>
        </w:rPr>
        <w:t>B</w:t>
      </w:r>
      <w:r w:rsidR="00844F0B">
        <w:rPr>
          <w:rFonts w:ascii="Arial" w:hAnsi="Arial" w:cs="Arial"/>
        </w:rPr>
        <w:t>idders</w:t>
      </w:r>
      <w:r w:rsidR="002E28A0">
        <w:rPr>
          <w:rFonts w:ascii="Arial" w:hAnsi="Arial" w:cs="Arial"/>
        </w:rPr>
        <w:t>,</w:t>
      </w:r>
      <w:r w:rsidR="00844F0B">
        <w:rPr>
          <w:rFonts w:ascii="Arial" w:hAnsi="Arial" w:cs="Arial"/>
        </w:rPr>
        <w:t xml:space="preserve"> </w:t>
      </w:r>
      <w:r w:rsidR="002E28A0">
        <w:rPr>
          <w:rFonts w:ascii="Arial" w:hAnsi="Arial" w:cs="Arial"/>
        </w:rPr>
        <w:t>when submitting their proposals,</w:t>
      </w:r>
      <w:r w:rsidR="00844F0B">
        <w:rPr>
          <w:rFonts w:ascii="Arial" w:hAnsi="Arial" w:cs="Arial"/>
        </w:rPr>
        <w:t xml:space="preserve"> were asked to respond to </w:t>
      </w:r>
      <w:r w:rsidR="005F41CE">
        <w:rPr>
          <w:rFonts w:ascii="Arial" w:hAnsi="Arial" w:cs="Arial"/>
        </w:rPr>
        <w:t>twelve</w:t>
      </w:r>
      <w:r w:rsidR="00844F0B">
        <w:rPr>
          <w:rFonts w:ascii="Arial" w:hAnsi="Arial" w:cs="Arial"/>
        </w:rPr>
        <w:t xml:space="preserve"> </w:t>
      </w:r>
      <w:r w:rsidR="00737106">
        <w:rPr>
          <w:rFonts w:ascii="Arial" w:hAnsi="Arial" w:cs="Arial"/>
        </w:rPr>
        <w:t xml:space="preserve">quality </w:t>
      </w:r>
      <w:r w:rsidR="00844F0B">
        <w:rPr>
          <w:rFonts w:ascii="Arial" w:hAnsi="Arial" w:cs="Arial"/>
        </w:rPr>
        <w:t>questions</w:t>
      </w:r>
      <w:r w:rsidR="004E58C1">
        <w:rPr>
          <w:rFonts w:ascii="Arial" w:hAnsi="Arial" w:cs="Arial"/>
        </w:rPr>
        <w:t xml:space="preserve">, grouped </w:t>
      </w:r>
      <w:r w:rsidR="00AB3168">
        <w:rPr>
          <w:rFonts w:ascii="Arial" w:hAnsi="Arial" w:cs="Arial"/>
        </w:rPr>
        <w:t xml:space="preserve">into six categories, namely </w:t>
      </w:r>
      <w:r w:rsidR="00015F31">
        <w:rPr>
          <w:rFonts w:ascii="Arial" w:hAnsi="Arial" w:cs="Arial"/>
        </w:rPr>
        <w:t>Clinical &amp; service delivery, Workforce, Governance, Mobilisation</w:t>
      </w:r>
      <w:r w:rsidR="005C30FD">
        <w:rPr>
          <w:rFonts w:ascii="Arial" w:hAnsi="Arial" w:cs="Arial"/>
        </w:rPr>
        <w:t>, Information management &amp; technology, an</w:t>
      </w:r>
      <w:r w:rsidR="001A2827">
        <w:rPr>
          <w:rFonts w:ascii="Arial" w:hAnsi="Arial" w:cs="Arial"/>
        </w:rPr>
        <w:t>d Social value</w:t>
      </w:r>
      <w:r w:rsidR="00FB5AE5">
        <w:rPr>
          <w:rFonts w:ascii="Arial" w:hAnsi="Arial" w:cs="Arial"/>
        </w:rPr>
        <w:t xml:space="preserve">. </w:t>
      </w:r>
      <w:r w:rsidR="00E07519">
        <w:rPr>
          <w:rFonts w:ascii="Arial" w:hAnsi="Arial" w:cs="Arial"/>
        </w:rPr>
        <w:t xml:space="preserve">These </w:t>
      </w:r>
      <w:r w:rsidR="0059090E">
        <w:rPr>
          <w:rFonts w:ascii="Arial" w:hAnsi="Arial" w:cs="Arial"/>
        </w:rPr>
        <w:t>twelve</w:t>
      </w:r>
      <w:r w:rsidR="005E79D7">
        <w:rPr>
          <w:rFonts w:ascii="Arial" w:hAnsi="Arial" w:cs="Arial"/>
        </w:rPr>
        <w:t xml:space="preserve"> </w:t>
      </w:r>
      <w:r w:rsidR="00B507C0">
        <w:rPr>
          <w:rFonts w:ascii="Arial" w:hAnsi="Arial" w:cs="Arial"/>
        </w:rPr>
        <w:t>questions were divided into</w:t>
      </w:r>
      <w:r w:rsidR="00E07519">
        <w:rPr>
          <w:rFonts w:ascii="Arial" w:hAnsi="Arial" w:cs="Arial"/>
        </w:rPr>
        <w:t xml:space="preserve"> nine </w:t>
      </w:r>
      <w:r w:rsidR="007279E9">
        <w:rPr>
          <w:rFonts w:ascii="Arial" w:hAnsi="Arial" w:cs="Arial"/>
        </w:rPr>
        <w:t>‘</w:t>
      </w:r>
      <w:r w:rsidR="00E07519">
        <w:rPr>
          <w:rFonts w:ascii="Arial" w:hAnsi="Arial" w:cs="Arial"/>
        </w:rPr>
        <w:t>generic</w:t>
      </w:r>
      <w:r w:rsidR="007279E9">
        <w:rPr>
          <w:rFonts w:ascii="Arial" w:hAnsi="Arial" w:cs="Arial"/>
        </w:rPr>
        <w:t>’</w:t>
      </w:r>
      <w:r w:rsidR="00E07519">
        <w:rPr>
          <w:rFonts w:ascii="Arial" w:hAnsi="Arial" w:cs="Arial"/>
        </w:rPr>
        <w:t xml:space="preserve"> questions </w:t>
      </w:r>
      <w:r w:rsidR="00D4310C">
        <w:rPr>
          <w:rFonts w:ascii="Arial" w:hAnsi="Arial" w:cs="Arial"/>
        </w:rPr>
        <w:t xml:space="preserve">and three </w:t>
      </w:r>
      <w:r w:rsidR="007279E9">
        <w:rPr>
          <w:rFonts w:ascii="Arial" w:hAnsi="Arial" w:cs="Arial"/>
        </w:rPr>
        <w:t>‘</w:t>
      </w:r>
      <w:r w:rsidR="009825D7">
        <w:rPr>
          <w:rFonts w:ascii="Arial" w:hAnsi="Arial" w:cs="Arial"/>
        </w:rPr>
        <w:t>local</w:t>
      </w:r>
      <w:r w:rsidR="007279E9">
        <w:rPr>
          <w:rFonts w:ascii="Arial" w:hAnsi="Arial" w:cs="Arial"/>
        </w:rPr>
        <w:t>’</w:t>
      </w:r>
      <w:r w:rsidR="00BD689B">
        <w:rPr>
          <w:rFonts w:ascii="Arial" w:hAnsi="Arial" w:cs="Arial"/>
        </w:rPr>
        <w:t xml:space="preserve"> questions</w:t>
      </w:r>
      <w:r w:rsidR="00E65FF2">
        <w:rPr>
          <w:rFonts w:ascii="Arial" w:hAnsi="Arial" w:cs="Arial"/>
        </w:rPr>
        <w:t>.</w:t>
      </w:r>
    </w:p>
    <w:p w14:paraId="3FB882A5" w14:textId="4950D9A0" w:rsidR="00CB16A3" w:rsidRDefault="00D70E8E" w:rsidP="008A4B34">
      <w:pPr>
        <w:pStyle w:val="ListParagraph"/>
        <w:numPr>
          <w:ilvl w:val="0"/>
          <w:numId w:val="2"/>
        </w:numPr>
        <w:spacing w:line="276" w:lineRule="auto"/>
        <w:ind w:left="567" w:hanging="567"/>
        <w:contextualSpacing w:val="0"/>
        <w:rPr>
          <w:rFonts w:ascii="Arial" w:hAnsi="Arial" w:cs="Arial"/>
        </w:rPr>
      </w:pPr>
      <w:bookmarkStart w:id="7" w:name="_Ref196992029"/>
      <w:bookmarkEnd w:id="6"/>
      <w:r>
        <w:rPr>
          <w:rFonts w:ascii="Arial" w:hAnsi="Arial" w:cs="Arial"/>
        </w:rPr>
        <w:t>R</w:t>
      </w:r>
      <w:r w:rsidR="00FD7855" w:rsidRPr="008A4B34">
        <w:rPr>
          <w:rFonts w:ascii="Arial" w:hAnsi="Arial" w:cs="Arial"/>
        </w:rPr>
        <w:t>esponses</w:t>
      </w:r>
      <w:r w:rsidR="00FD7855">
        <w:rPr>
          <w:rFonts w:ascii="Arial" w:hAnsi="Arial" w:cs="Arial"/>
        </w:rPr>
        <w:t xml:space="preserve"> to</w:t>
      </w:r>
      <w:r w:rsidR="00550D4D">
        <w:rPr>
          <w:rFonts w:ascii="Arial" w:hAnsi="Arial" w:cs="Arial"/>
        </w:rPr>
        <w:t xml:space="preserve"> t</w:t>
      </w:r>
      <w:r w:rsidR="00F249B1">
        <w:rPr>
          <w:rFonts w:ascii="Arial" w:hAnsi="Arial" w:cs="Arial"/>
        </w:rPr>
        <w:t xml:space="preserve">he </w:t>
      </w:r>
      <w:r w:rsidR="0098046B">
        <w:rPr>
          <w:rFonts w:ascii="Arial" w:hAnsi="Arial" w:cs="Arial"/>
        </w:rPr>
        <w:t>‘</w:t>
      </w:r>
      <w:r w:rsidR="00F249B1">
        <w:rPr>
          <w:rFonts w:ascii="Arial" w:hAnsi="Arial" w:cs="Arial"/>
        </w:rPr>
        <w:t>generic</w:t>
      </w:r>
      <w:r w:rsidR="0098046B">
        <w:rPr>
          <w:rFonts w:ascii="Arial" w:hAnsi="Arial" w:cs="Arial"/>
        </w:rPr>
        <w:t>’</w:t>
      </w:r>
      <w:r w:rsidR="00F249B1">
        <w:rPr>
          <w:rFonts w:ascii="Arial" w:hAnsi="Arial" w:cs="Arial"/>
        </w:rPr>
        <w:t xml:space="preserve"> questions were evaluated by a single </w:t>
      </w:r>
      <w:r w:rsidR="00185E1B">
        <w:rPr>
          <w:rFonts w:ascii="Arial" w:hAnsi="Arial" w:cs="Arial"/>
        </w:rPr>
        <w:t>group of evaluators</w:t>
      </w:r>
      <w:r w:rsidR="00607963">
        <w:rPr>
          <w:rFonts w:ascii="Arial" w:hAnsi="Arial" w:cs="Arial"/>
        </w:rPr>
        <w:t xml:space="preserve">. </w:t>
      </w:r>
      <w:r w:rsidR="00B47F10">
        <w:rPr>
          <w:rFonts w:ascii="Arial" w:hAnsi="Arial" w:cs="Arial"/>
        </w:rPr>
        <w:t xml:space="preserve">Bidders’ </w:t>
      </w:r>
      <w:r w:rsidR="0069391A">
        <w:rPr>
          <w:rFonts w:ascii="Arial" w:hAnsi="Arial" w:cs="Arial"/>
        </w:rPr>
        <w:t xml:space="preserve">responses </w:t>
      </w:r>
      <w:r w:rsidR="00B47F10">
        <w:rPr>
          <w:rFonts w:ascii="Arial" w:hAnsi="Arial" w:cs="Arial"/>
        </w:rPr>
        <w:t xml:space="preserve">to </w:t>
      </w:r>
      <w:r w:rsidR="006D3033">
        <w:rPr>
          <w:rFonts w:ascii="Arial" w:hAnsi="Arial" w:cs="Arial"/>
        </w:rPr>
        <w:t>each of</w:t>
      </w:r>
      <w:r w:rsidR="0069391A">
        <w:rPr>
          <w:rFonts w:ascii="Arial" w:hAnsi="Arial" w:cs="Arial"/>
        </w:rPr>
        <w:t xml:space="preserve"> </w:t>
      </w:r>
      <w:r w:rsidR="00550D4D">
        <w:rPr>
          <w:rFonts w:ascii="Arial" w:hAnsi="Arial" w:cs="Arial"/>
        </w:rPr>
        <w:t xml:space="preserve">these questions </w:t>
      </w:r>
      <w:r w:rsidR="00B72415">
        <w:rPr>
          <w:rFonts w:ascii="Arial" w:hAnsi="Arial" w:cs="Arial"/>
        </w:rPr>
        <w:t xml:space="preserve">were evaluated and scored once, with </w:t>
      </w:r>
      <w:r w:rsidR="00552F0F">
        <w:rPr>
          <w:rFonts w:ascii="Arial" w:hAnsi="Arial" w:cs="Arial"/>
        </w:rPr>
        <w:t xml:space="preserve">a </w:t>
      </w:r>
      <w:r w:rsidR="009274FB">
        <w:rPr>
          <w:rFonts w:ascii="Arial" w:hAnsi="Arial" w:cs="Arial"/>
        </w:rPr>
        <w:t xml:space="preserve">final </w:t>
      </w:r>
      <w:r w:rsidR="003B7D45">
        <w:rPr>
          <w:rFonts w:ascii="Arial" w:hAnsi="Arial" w:cs="Arial"/>
        </w:rPr>
        <w:t>moderated</w:t>
      </w:r>
      <w:r w:rsidR="000D0C3A">
        <w:rPr>
          <w:rFonts w:ascii="Arial" w:hAnsi="Arial" w:cs="Arial"/>
        </w:rPr>
        <w:t xml:space="preserve"> score</w:t>
      </w:r>
      <w:r w:rsidR="00550D4D">
        <w:rPr>
          <w:rFonts w:ascii="Arial" w:hAnsi="Arial" w:cs="Arial"/>
        </w:rPr>
        <w:t xml:space="preserve"> </w:t>
      </w:r>
      <w:r w:rsidR="007E1172">
        <w:rPr>
          <w:rFonts w:ascii="Arial" w:hAnsi="Arial" w:cs="Arial"/>
        </w:rPr>
        <w:t>and feedback comment</w:t>
      </w:r>
      <w:r w:rsidR="00580BF7">
        <w:rPr>
          <w:rFonts w:ascii="Arial" w:hAnsi="Arial" w:cs="Arial"/>
        </w:rPr>
        <w:t xml:space="preserve"> </w:t>
      </w:r>
      <w:r w:rsidR="009274FB">
        <w:rPr>
          <w:rFonts w:ascii="Arial" w:hAnsi="Arial" w:cs="Arial"/>
        </w:rPr>
        <w:t xml:space="preserve">for each of these questions </w:t>
      </w:r>
      <w:r w:rsidR="007E1172">
        <w:rPr>
          <w:rFonts w:ascii="Arial" w:hAnsi="Arial" w:cs="Arial"/>
        </w:rPr>
        <w:t xml:space="preserve">applied </w:t>
      </w:r>
      <w:r w:rsidR="00F36706">
        <w:rPr>
          <w:rFonts w:ascii="Arial" w:hAnsi="Arial" w:cs="Arial"/>
        </w:rPr>
        <w:t xml:space="preserve">to </w:t>
      </w:r>
      <w:r w:rsidR="009274FB">
        <w:rPr>
          <w:rFonts w:ascii="Arial" w:hAnsi="Arial" w:cs="Arial"/>
        </w:rPr>
        <w:t xml:space="preserve">every </w:t>
      </w:r>
      <w:r w:rsidR="00720491">
        <w:rPr>
          <w:rFonts w:ascii="Arial" w:hAnsi="Arial" w:cs="Arial"/>
        </w:rPr>
        <w:t xml:space="preserve">lot </w:t>
      </w:r>
      <w:r w:rsidR="00C47BDC">
        <w:rPr>
          <w:rFonts w:ascii="Arial" w:hAnsi="Arial" w:cs="Arial"/>
        </w:rPr>
        <w:t>where</w:t>
      </w:r>
      <w:r w:rsidR="0002296F">
        <w:rPr>
          <w:rFonts w:ascii="Arial" w:hAnsi="Arial" w:cs="Arial"/>
        </w:rPr>
        <w:t xml:space="preserve"> the provider had submitted a bid.</w:t>
      </w:r>
      <w:r w:rsidR="00C47BDC">
        <w:rPr>
          <w:rFonts w:ascii="Arial" w:hAnsi="Arial" w:cs="Arial"/>
        </w:rPr>
        <w:t xml:space="preserve"> </w:t>
      </w:r>
      <w:r w:rsidR="00F44C5F" w:rsidRPr="008A4B34">
        <w:rPr>
          <w:rFonts w:ascii="Arial" w:hAnsi="Arial" w:cs="Arial"/>
        </w:rPr>
        <w:t xml:space="preserve">For the ‘local’ questions, </w:t>
      </w:r>
      <w:r w:rsidR="001B0831" w:rsidRPr="008A4B34">
        <w:rPr>
          <w:rFonts w:ascii="Arial" w:hAnsi="Arial" w:cs="Arial"/>
        </w:rPr>
        <w:t xml:space="preserve">bidders were advised that </w:t>
      </w:r>
      <w:r w:rsidR="008A4B34" w:rsidRPr="008A4B34">
        <w:rPr>
          <w:rFonts w:ascii="Arial" w:hAnsi="Arial" w:cs="Arial"/>
        </w:rPr>
        <w:t>these “require a response for each Lot that a provider selects to compete upon and should consider the geographical and demographic aspects of the Lot when answering these questions”.</w:t>
      </w:r>
      <w:r w:rsidR="008A4B34">
        <w:rPr>
          <w:rStyle w:val="FootnoteReference"/>
          <w:rFonts w:ascii="Arial" w:hAnsi="Arial" w:cs="Arial"/>
        </w:rPr>
        <w:footnoteReference w:id="13"/>
      </w:r>
    </w:p>
    <w:p w14:paraId="3CB3D147" w14:textId="0B9D5302" w:rsidR="00AA13FE" w:rsidRPr="000C2706" w:rsidRDefault="00F75861" w:rsidP="29201E78">
      <w:pPr>
        <w:pStyle w:val="ListParagraph"/>
        <w:numPr>
          <w:ilvl w:val="0"/>
          <w:numId w:val="2"/>
        </w:numPr>
        <w:spacing w:line="276" w:lineRule="auto"/>
        <w:ind w:left="567" w:hanging="567"/>
        <w:contextualSpacing w:val="0"/>
        <w:rPr>
          <w:rFonts w:ascii="Arial" w:hAnsi="Arial" w:cs="Arial"/>
        </w:rPr>
      </w:pPr>
      <w:r w:rsidRPr="008A4B34">
        <w:rPr>
          <w:rFonts w:ascii="Arial" w:hAnsi="Arial" w:cs="Arial"/>
        </w:rPr>
        <w:t>Responses to</w:t>
      </w:r>
      <w:r w:rsidR="00141573" w:rsidRPr="008A4B34">
        <w:rPr>
          <w:rFonts w:ascii="Arial" w:hAnsi="Arial" w:cs="Arial"/>
        </w:rPr>
        <w:t xml:space="preserve"> the </w:t>
      </w:r>
      <w:r w:rsidR="0098046B" w:rsidRPr="008A4B34">
        <w:rPr>
          <w:rFonts w:ascii="Arial" w:hAnsi="Arial" w:cs="Arial"/>
        </w:rPr>
        <w:t>‘local’</w:t>
      </w:r>
      <w:r w:rsidR="00985C06" w:rsidRPr="008A4B34">
        <w:rPr>
          <w:rFonts w:ascii="Arial" w:hAnsi="Arial" w:cs="Arial"/>
        </w:rPr>
        <w:t xml:space="preserve"> </w:t>
      </w:r>
      <w:r w:rsidR="00141573" w:rsidRPr="008A4B34">
        <w:rPr>
          <w:rFonts w:ascii="Arial" w:hAnsi="Arial" w:cs="Arial"/>
        </w:rPr>
        <w:t>questions</w:t>
      </w:r>
      <w:r w:rsidR="00AD01A3" w:rsidRPr="008A4B34">
        <w:rPr>
          <w:rFonts w:ascii="Arial" w:hAnsi="Arial" w:cs="Arial"/>
        </w:rPr>
        <w:t xml:space="preserve"> were evaluat</w:t>
      </w:r>
      <w:r w:rsidRPr="008A4B34">
        <w:rPr>
          <w:rFonts w:ascii="Arial" w:hAnsi="Arial" w:cs="Arial"/>
        </w:rPr>
        <w:t xml:space="preserve">ed </w:t>
      </w:r>
      <w:r w:rsidR="00851639" w:rsidRPr="008A4B34">
        <w:rPr>
          <w:rFonts w:ascii="Arial" w:hAnsi="Arial" w:cs="Arial"/>
        </w:rPr>
        <w:t xml:space="preserve">separately for </w:t>
      </w:r>
      <w:r w:rsidR="00D8641C" w:rsidRPr="008A4B34">
        <w:rPr>
          <w:rFonts w:ascii="Arial" w:hAnsi="Arial" w:cs="Arial"/>
        </w:rPr>
        <w:t xml:space="preserve">the three </w:t>
      </w:r>
      <w:r w:rsidR="00851639" w:rsidRPr="008A4B34">
        <w:rPr>
          <w:rFonts w:ascii="Arial" w:hAnsi="Arial" w:cs="Arial"/>
        </w:rPr>
        <w:t>ICB</w:t>
      </w:r>
      <w:r w:rsidR="00D8641C" w:rsidRPr="008A4B34">
        <w:rPr>
          <w:rFonts w:ascii="Arial" w:hAnsi="Arial" w:cs="Arial"/>
        </w:rPr>
        <w:t>s</w:t>
      </w:r>
      <w:r w:rsidR="00851639" w:rsidRPr="008A4B34">
        <w:rPr>
          <w:rFonts w:ascii="Arial" w:hAnsi="Arial" w:cs="Arial"/>
        </w:rPr>
        <w:t xml:space="preserve"> </w:t>
      </w:r>
      <w:r w:rsidR="00140E26" w:rsidRPr="008A4B34">
        <w:rPr>
          <w:rFonts w:ascii="Arial" w:hAnsi="Arial" w:cs="Arial"/>
        </w:rPr>
        <w:t xml:space="preserve">by </w:t>
      </w:r>
      <w:r w:rsidR="0098046B" w:rsidRPr="008A4B34">
        <w:rPr>
          <w:rFonts w:ascii="Arial" w:hAnsi="Arial" w:cs="Arial"/>
        </w:rPr>
        <w:t xml:space="preserve">three </w:t>
      </w:r>
      <w:r w:rsidR="00C7111E" w:rsidRPr="008A4B34">
        <w:rPr>
          <w:rFonts w:ascii="Arial" w:hAnsi="Arial" w:cs="Arial"/>
        </w:rPr>
        <w:t xml:space="preserve">different </w:t>
      </w:r>
      <w:r w:rsidR="00140E26" w:rsidRPr="008A4B34">
        <w:rPr>
          <w:rFonts w:ascii="Arial" w:hAnsi="Arial" w:cs="Arial"/>
        </w:rPr>
        <w:t>groups of evaluat</w:t>
      </w:r>
      <w:r w:rsidR="00C7111E" w:rsidRPr="008A4B34">
        <w:rPr>
          <w:rFonts w:ascii="Arial" w:hAnsi="Arial" w:cs="Arial"/>
        </w:rPr>
        <w:t>ors</w:t>
      </w:r>
      <w:r w:rsidR="003C1C16" w:rsidRPr="008A4B34">
        <w:rPr>
          <w:rFonts w:ascii="Arial" w:hAnsi="Arial" w:cs="Arial"/>
        </w:rPr>
        <w:t xml:space="preserve">. </w:t>
      </w:r>
      <w:r w:rsidR="003C1C16">
        <w:rPr>
          <w:rFonts w:ascii="Arial" w:hAnsi="Arial" w:cs="Arial"/>
        </w:rPr>
        <w:t>A</w:t>
      </w:r>
      <w:r w:rsidR="009B3DB9">
        <w:rPr>
          <w:rFonts w:ascii="Arial" w:hAnsi="Arial" w:cs="Arial"/>
        </w:rPr>
        <w:t xml:space="preserve"> final moderated score and feedback comment was arrived at for each response</w:t>
      </w:r>
      <w:r w:rsidR="003C1C16">
        <w:rPr>
          <w:rFonts w:ascii="Arial" w:hAnsi="Arial" w:cs="Arial"/>
        </w:rPr>
        <w:t xml:space="preserve">, with </w:t>
      </w:r>
      <w:r w:rsidR="00B97324">
        <w:rPr>
          <w:rFonts w:ascii="Arial" w:hAnsi="Arial" w:cs="Arial"/>
        </w:rPr>
        <w:t>the potential for scores to vary between lots</w:t>
      </w:r>
      <w:r w:rsidR="003D3BF2">
        <w:rPr>
          <w:rFonts w:ascii="Arial" w:hAnsi="Arial" w:cs="Arial"/>
        </w:rPr>
        <w:t xml:space="preserve"> (as well as between ICBs)</w:t>
      </w:r>
      <w:r w:rsidR="007E04DC" w:rsidRPr="008A4B34">
        <w:rPr>
          <w:rFonts w:ascii="Arial" w:hAnsi="Arial" w:cs="Arial"/>
        </w:rPr>
        <w:t>.</w:t>
      </w:r>
      <w:r w:rsidR="0092227D">
        <w:rPr>
          <w:rStyle w:val="FootnoteReference"/>
          <w:rFonts w:ascii="Arial" w:hAnsi="Arial" w:cs="Arial"/>
        </w:rPr>
        <w:footnoteReference w:id="14"/>
      </w:r>
      <w:bookmarkEnd w:id="7"/>
    </w:p>
    <w:p w14:paraId="166649C4" w14:textId="3D214BB0" w:rsidR="002D79B9" w:rsidRDefault="00175D1E" w:rsidP="002D79B9">
      <w:pPr>
        <w:pStyle w:val="ListParagraph"/>
        <w:numPr>
          <w:ilvl w:val="0"/>
          <w:numId w:val="2"/>
        </w:numPr>
        <w:spacing w:line="276" w:lineRule="auto"/>
        <w:ind w:left="567" w:hanging="567"/>
        <w:contextualSpacing w:val="0"/>
        <w:rPr>
          <w:rFonts w:ascii="Arial" w:hAnsi="Arial" w:cs="Arial"/>
        </w:rPr>
      </w:pPr>
      <w:r w:rsidRPr="56516AD4">
        <w:rPr>
          <w:rFonts w:ascii="Arial" w:hAnsi="Arial" w:cs="Arial"/>
        </w:rPr>
        <w:t xml:space="preserve">Bids were </w:t>
      </w:r>
      <w:r w:rsidR="003739FA" w:rsidRPr="56516AD4">
        <w:rPr>
          <w:rFonts w:ascii="Arial" w:hAnsi="Arial" w:cs="Arial"/>
        </w:rPr>
        <w:t>received from</w:t>
      </w:r>
      <w:r w:rsidR="00E87D32" w:rsidRPr="56516AD4">
        <w:rPr>
          <w:rFonts w:ascii="Arial" w:hAnsi="Arial" w:cs="Arial"/>
        </w:rPr>
        <w:t xml:space="preserve"> </w:t>
      </w:r>
      <w:r w:rsidR="000922E2" w:rsidRPr="56516AD4">
        <w:rPr>
          <w:rFonts w:ascii="Arial" w:hAnsi="Arial" w:cs="Arial"/>
        </w:rPr>
        <w:t>26</w:t>
      </w:r>
      <w:r w:rsidR="003739FA" w:rsidRPr="56516AD4">
        <w:rPr>
          <w:rFonts w:ascii="Arial" w:hAnsi="Arial" w:cs="Arial"/>
        </w:rPr>
        <w:t xml:space="preserve"> interested providers, including </w:t>
      </w:r>
      <w:r w:rsidR="00E87D32" w:rsidRPr="56516AD4">
        <w:rPr>
          <w:rFonts w:ascii="Arial" w:hAnsi="Arial" w:cs="Arial"/>
        </w:rPr>
        <w:t>Barkhill and Clarendon</w:t>
      </w:r>
      <w:r w:rsidR="003739FA" w:rsidRPr="56516AD4">
        <w:rPr>
          <w:rFonts w:ascii="Arial" w:hAnsi="Arial" w:cs="Arial"/>
        </w:rPr>
        <w:t>,</w:t>
      </w:r>
      <w:r w:rsidR="00E87D32" w:rsidRPr="56516AD4">
        <w:rPr>
          <w:rFonts w:ascii="Arial" w:hAnsi="Arial" w:cs="Arial"/>
        </w:rPr>
        <w:t xml:space="preserve"> </w:t>
      </w:r>
      <w:r w:rsidR="00F47696" w:rsidRPr="56516AD4">
        <w:rPr>
          <w:rFonts w:ascii="Arial" w:hAnsi="Arial" w:cs="Arial"/>
        </w:rPr>
        <w:t xml:space="preserve">and </w:t>
      </w:r>
      <w:r w:rsidR="00E87D32" w:rsidRPr="56516AD4">
        <w:rPr>
          <w:rFonts w:ascii="Arial" w:hAnsi="Arial" w:cs="Arial"/>
        </w:rPr>
        <w:t xml:space="preserve">were assessed between </w:t>
      </w:r>
      <w:r w:rsidR="002F5B42" w:rsidRPr="56516AD4">
        <w:rPr>
          <w:rFonts w:ascii="Arial" w:hAnsi="Arial" w:cs="Arial"/>
        </w:rPr>
        <w:t>26 October</w:t>
      </w:r>
      <w:r w:rsidR="00E87D32" w:rsidRPr="56516AD4">
        <w:rPr>
          <w:rFonts w:ascii="Arial" w:hAnsi="Arial" w:cs="Arial"/>
        </w:rPr>
        <w:t xml:space="preserve"> and </w:t>
      </w:r>
      <w:r w:rsidR="00EF5256" w:rsidRPr="56516AD4">
        <w:rPr>
          <w:rFonts w:ascii="Arial" w:hAnsi="Arial" w:cs="Arial"/>
        </w:rPr>
        <w:t xml:space="preserve">4 </w:t>
      </w:r>
      <w:r w:rsidR="002F5B42" w:rsidRPr="56516AD4">
        <w:rPr>
          <w:rFonts w:ascii="Arial" w:hAnsi="Arial" w:cs="Arial"/>
        </w:rPr>
        <w:t xml:space="preserve">December 2024. </w:t>
      </w:r>
      <w:r w:rsidR="00150575" w:rsidRPr="56516AD4">
        <w:rPr>
          <w:rFonts w:ascii="Arial" w:hAnsi="Arial" w:cs="Arial"/>
        </w:rPr>
        <w:t xml:space="preserve">The </w:t>
      </w:r>
      <w:r w:rsidR="00220505" w:rsidRPr="56516AD4">
        <w:rPr>
          <w:rFonts w:ascii="Arial" w:hAnsi="Arial" w:cs="Arial"/>
        </w:rPr>
        <w:t>score</w:t>
      </w:r>
      <w:r w:rsidR="00731D31" w:rsidRPr="56516AD4">
        <w:rPr>
          <w:rFonts w:ascii="Arial" w:hAnsi="Arial" w:cs="Arial"/>
        </w:rPr>
        <w:t>s</w:t>
      </w:r>
      <w:r w:rsidR="00220505" w:rsidRPr="56516AD4">
        <w:rPr>
          <w:rFonts w:ascii="Arial" w:hAnsi="Arial" w:cs="Arial"/>
        </w:rPr>
        <w:t xml:space="preserve"> achieved by Barkhill and Clarendon</w:t>
      </w:r>
      <w:r w:rsidR="00E424F0" w:rsidRPr="56516AD4">
        <w:rPr>
          <w:rFonts w:ascii="Arial" w:hAnsi="Arial" w:cs="Arial"/>
        </w:rPr>
        <w:t xml:space="preserve"> for each </w:t>
      </w:r>
      <w:r w:rsidR="00E424F0" w:rsidRPr="002D79B9">
        <w:rPr>
          <w:rFonts w:ascii="Arial" w:hAnsi="Arial" w:cs="Arial"/>
        </w:rPr>
        <w:t>lot</w:t>
      </w:r>
      <w:r w:rsidRPr="56516AD4" w:rsidDel="00E424F0">
        <w:rPr>
          <w:rFonts w:ascii="Arial" w:hAnsi="Arial" w:cs="Arial"/>
        </w:rPr>
        <w:t xml:space="preserve"> </w:t>
      </w:r>
      <w:r w:rsidR="00D42789" w:rsidRPr="56516AD4">
        <w:rPr>
          <w:rFonts w:ascii="Arial" w:hAnsi="Arial" w:cs="Arial"/>
        </w:rPr>
        <w:t xml:space="preserve">on which </w:t>
      </w:r>
      <w:r w:rsidR="00E424F0" w:rsidRPr="56516AD4">
        <w:rPr>
          <w:rFonts w:ascii="Arial" w:hAnsi="Arial" w:cs="Arial"/>
        </w:rPr>
        <w:t>they bid, and their rank amongst bidders</w:t>
      </w:r>
      <w:r w:rsidR="00695D31" w:rsidRPr="56516AD4">
        <w:rPr>
          <w:rFonts w:ascii="Arial" w:hAnsi="Arial" w:cs="Arial"/>
        </w:rPr>
        <w:t xml:space="preserve">, </w:t>
      </w:r>
      <w:r w:rsidR="00731D31" w:rsidRPr="56516AD4">
        <w:rPr>
          <w:rFonts w:ascii="Arial" w:hAnsi="Arial" w:cs="Arial"/>
        </w:rPr>
        <w:t>are</w:t>
      </w:r>
      <w:r w:rsidR="00695D31" w:rsidRPr="56516AD4">
        <w:rPr>
          <w:rFonts w:ascii="Arial" w:hAnsi="Arial" w:cs="Arial"/>
        </w:rPr>
        <w:t xml:space="preserve"> set </w:t>
      </w:r>
      <w:r w:rsidR="004A68EC" w:rsidRPr="56516AD4">
        <w:rPr>
          <w:rFonts w:ascii="Arial" w:hAnsi="Arial" w:cs="Arial"/>
        </w:rPr>
        <w:t xml:space="preserve">out </w:t>
      </w:r>
      <w:r w:rsidR="43DECCD5" w:rsidRPr="56516AD4">
        <w:rPr>
          <w:rFonts w:ascii="Arial" w:hAnsi="Arial" w:cs="Arial"/>
        </w:rPr>
        <w:t xml:space="preserve">in </w:t>
      </w:r>
      <w:r w:rsidR="004A68EC" w:rsidRPr="56516AD4">
        <w:rPr>
          <w:rFonts w:ascii="Arial" w:hAnsi="Arial" w:cs="Arial"/>
        </w:rPr>
        <w:t>Tables 1 and 2.</w:t>
      </w:r>
      <w:r w:rsidR="002D79B9" w:rsidRPr="56516AD4">
        <w:rPr>
          <w:rFonts w:ascii="Arial" w:hAnsi="Arial" w:cs="Arial"/>
        </w:rPr>
        <w:t xml:space="preserve"> </w:t>
      </w:r>
      <w:r w:rsidR="00945828" w:rsidRPr="56516AD4">
        <w:rPr>
          <w:rFonts w:ascii="Arial" w:hAnsi="Arial" w:cs="Arial"/>
        </w:rPr>
        <w:t xml:space="preserve">HNY ICB </w:t>
      </w:r>
      <w:r w:rsidR="001773E1">
        <w:rPr>
          <w:rFonts w:ascii="Arial" w:hAnsi="Arial" w:cs="Arial"/>
        </w:rPr>
        <w:t>informed</w:t>
      </w:r>
      <w:r w:rsidR="00945828" w:rsidRPr="56516AD4">
        <w:rPr>
          <w:rFonts w:ascii="Arial" w:hAnsi="Arial" w:cs="Arial"/>
        </w:rPr>
        <w:t xml:space="preserve"> bidders </w:t>
      </w:r>
      <w:r w:rsidR="001773E1">
        <w:rPr>
          <w:rFonts w:ascii="Arial" w:hAnsi="Arial" w:cs="Arial"/>
        </w:rPr>
        <w:t>of the tender’s</w:t>
      </w:r>
      <w:r w:rsidR="00945828" w:rsidRPr="002D79B9">
        <w:rPr>
          <w:rFonts w:ascii="Arial" w:hAnsi="Arial" w:cs="Arial"/>
        </w:rPr>
        <w:t xml:space="preserve"> outcome </w:t>
      </w:r>
      <w:r w:rsidR="008C0F61" w:rsidRPr="56516AD4">
        <w:rPr>
          <w:rFonts w:ascii="Arial" w:hAnsi="Arial" w:cs="Arial"/>
        </w:rPr>
        <w:t xml:space="preserve">on 10 December 2024 </w:t>
      </w:r>
      <w:r w:rsidR="00945828" w:rsidRPr="56516AD4">
        <w:rPr>
          <w:rFonts w:ascii="Arial" w:hAnsi="Arial" w:cs="Arial"/>
        </w:rPr>
        <w:t>and</w:t>
      </w:r>
      <w:r w:rsidR="007609F1" w:rsidRPr="56516AD4">
        <w:rPr>
          <w:rFonts w:ascii="Arial" w:hAnsi="Arial" w:cs="Arial"/>
        </w:rPr>
        <w:t>,</w:t>
      </w:r>
      <w:r w:rsidR="00945828" w:rsidRPr="56516AD4">
        <w:rPr>
          <w:rFonts w:ascii="Arial" w:hAnsi="Arial" w:cs="Arial"/>
        </w:rPr>
        <w:t xml:space="preserve"> </w:t>
      </w:r>
      <w:r w:rsidR="008C5EF0" w:rsidRPr="56516AD4">
        <w:rPr>
          <w:rFonts w:ascii="Arial" w:hAnsi="Arial" w:cs="Arial"/>
        </w:rPr>
        <w:t>on the same day</w:t>
      </w:r>
      <w:r w:rsidR="007609F1" w:rsidRPr="56516AD4">
        <w:rPr>
          <w:rFonts w:ascii="Arial" w:hAnsi="Arial" w:cs="Arial"/>
        </w:rPr>
        <w:t>,</w:t>
      </w:r>
      <w:r w:rsidR="008C5EF0" w:rsidRPr="56516AD4">
        <w:rPr>
          <w:rFonts w:ascii="Arial" w:hAnsi="Arial" w:cs="Arial"/>
        </w:rPr>
        <w:t xml:space="preserve"> </w:t>
      </w:r>
      <w:r w:rsidR="00945828" w:rsidRPr="56516AD4">
        <w:rPr>
          <w:rFonts w:ascii="Arial" w:hAnsi="Arial" w:cs="Arial"/>
        </w:rPr>
        <w:t xml:space="preserve">published a </w:t>
      </w:r>
      <w:r w:rsidR="00110AD5" w:rsidRPr="56516AD4">
        <w:rPr>
          <w:rFonts w:ascii="Arial" w:hAnsi="Arial" w:cs="Arial"/>
        </w:rPr>
        <w:t xml:space="preserve">notice of intention </w:t>
      </w:r>
      <w:r w:rsidR="00113DB3" w:rsidRPr="56516AD4">
        <w:rPr>
          <w:rFonts w:ascii="Arial" w:hAnsi="Arial" w:cs="Arial"/>
        </w:rPr>
        <w:t xml:space="preserve">to </w:t>
      </w:r>
      <w:r w:rsidR="006435ED" w:rsidRPr="56516AD4">
        <w:rPr>
          <w:rFonts w:ascii="Arial" w:hAnsi="Arial" w:cs="Arial"/>
        </w:rPr>
        <w:t xml:space="preserve">make an </w:t>
      </w:r>
      <w:r w:rsidR="00945828" w:rsidRPr="56516AD4">
        <w:rPr>
          <w:rFonts w:ascii="Arial" w:hAnsi="Arial" w:cs="Arial"/>
        </w:rPr>
        <w:t>award to the successful bidders</w:t>
      </w:r>
      <w:r w:rsidR="004E17AC" w:rsidRPr="56516AD4">
        <w:rPr>
          <w:rFonts w:ascii="Arial" w:hAnsi="Arial" w:cs="Arial"/>
        </w:rPr>
        <w:t xml:space="preserve"> (notice of intention)</w:t>
      </w:r>
      <w:r w:rsidR="00945828" w:rsidRPr="56516AD4">
        <w:rPr>
          <w:rFonts w:ascii="Arial" w:hAnsi="Arial" w:cs="Arial"/>
        </w:rPr>
        <w:t>.</w:t>
      </w:r>
    </w:p>
    <w:p w14:paraId="07EDBC1E" w14:textId="41618584" w:rsidR="00945828" w:rsidRPr="002D79B9" w:rsidRDefault="00945828" w:rsidP="002D79B9">
      <w:pPr>
        <w:pStyle w:val="ListParagraph"/>
        <w:numPr>
          <w:ilvl w:val="0"/>
          <w:numId w:val="2"/>
        </w:numPr>
        <w:spacing w:line="276" w:lineRule="auto"/>
        <w:ind w:left="567" w:hanging="567"/>
        <w:contextualSpacing w:val="0"/>
        <w:rPr>
          <w:rFonts w:ascii="Arial" w:hAnsi="Arial" w:cs="Arial"/>
        </w:rPr>
      </w:pPr>
      <w:r w:rsidRPr="002D79B9">
        <w:rPr>
          <w:rFonts w:ascii="Arial" w:hAnsi="Arial" w:cs="Arial"/>
        </w:rPr>
        <w:t>On 17</w:t>
      </w:r>
      <w:r w:rsidR="007609F1" w:rsidRPr="002D79B9">
        <w:rPr>
          <w:rFonts w:ascii="Arial" w:hAnsi="Arial" w:cs="Arial"/>
        </w:rPr>
        <w:t> </w:t>
      </w:r>
      <w:r w:rsidRPr="002D79B9">
        <w:rPr>
          <w:rFonts w:ascii="Arial" w:hAnsi="Arial" w:cs="Arial"/>
        </w:rPr>
        <w:t>and 19 December</w:t>
      </w:r>
      <w:r w:rsidR="00C609E3">
        <w:rPr>
          <w:rFonts w:ascii="Arial" w:hAnsi="Arial" w:cs="Arial"/>
        </w:rPr>
        <w:t xml:space="preserve"> 2024</w:t>
      </w:r>
      <w:r w:rsidRPr="002D79B9">
        <w:rPr>
          <w:rFonts w:ascii="Arial" w:hAnsi="Arial" w:cs="Arial"/>
        </w:rPr>
        <w:t>, Barkhill wrote to HNY ICB raising concerns about the conduct of the provider selection process for Lots 11 and 12</w:t>
      </w:r>
      <w:r w:rsidR="00C609E3">
        <w:rPr>
          <w:rFonts w:ascii="Arial" w:hAnsi="Arial" w:cs="Arial"/>
        </w:rPr>
        <w:t>. This was</w:t>
      </w:r>
      <w:r w:rsidRPr="002D79B9">
        <w:rPr>
          <w:rFonts w:ascii="Arial" w:hAnsi="Arial" w:cs="Arial"/>
        </w:rPr>
        <w:t xml:space="preserve"> followed by a formal representation on 23 December. On 20 December, Clarendon made representations to HNY ICB about the provider selection process in relation to 14 of the 16 lots. Both providers submitted their representations </w:t>
      </w:r>
      <w:r w:rsidR="005A2AAD">
        <w:rPr>
          <w:rFonts w:ascii="Arial" w:hAnsi="Arial" w:cs="Arial"/>
        </w:rPr>
        <w:t>prior to</w:t>
      </w:r>
      <w:r w:rsidRPr="002D79B9">
        <w:rPr>
          <w:rFonts w:ascii="Arial" w:hAnsi="Arial" w:cs="Arial"/>
        </w:rPr>
        <w:t xml:space="preserve"> the end of the standstill period</w:t>
      </w:r>
      <w:r w:rsidR="00584217">
        <w:rPr>
          <w:rFonts w:ascii="Arial" w:hAnsi="Arial" w:cs="Arial"/>
        </w:rPr>
        <w:t>, and HNY ICB began the process of considering these representations</w:t>
      </w:r>
      <w:r w:rsidRPr="002D79B9" w:rsidDel="00584217">
        <w:rPr>
          <w:rFonts w:ascii="Arial" w:hAnsi="Arial" w:cs="Arial"/>
        </w:rPr>
        <w:t>.</w:t>
      </w:r>
    </w:p>
    <w:p w14:paraId="4656802C" w14:textId="6B5E4B79" w:rsidR="00945828" w:rsidRPr="00FA4E20" w:rsidRDefault="00B00147" w:rsidP="00945828">
      <w:pPr>
        <w:pStyle w:val="ListParagraph"/>
        <w:numPr>
          <w:ilvl w:val="0"/>
          <w:numId w:val="2"/>
        </w:numPr>
        <w:spacing w:line="276" w:lineRule="auto"/>
        <w:ind w:left="567" w:hanging="567"/>
        <w:contextualSpacing w:val="0"/>
        <w:rPr>
          <w:rFonts w:ascii="Arial" w:hAnsi="Arial" w:cs="Arial"/>
        </w:rPr>
      </w:pPr>
      <w:r>
        <w:rPr>
          <w:rFonts w:ascii="Arial" w:hAnsi="Arial" w:cs="Arial"/>
        </w:rPr>
        <w:t>While considering Barkhill’s and Clarendon’s representations, HNY</w:t>
      </w:r>
      <w:r w:rsidR="00945828">
        <w:rPr>
          <w:rFonts w:ascii="Arial" w:hAnsi="Arial" w:cs="Arial"/>
        </w:rPr>
        <w:t xml:space="preserve"> ICB published a </w:t>
      </w:r>
      <w:r w:rsidR="00305253">
        <w:rPr>
          <w:rFonts w:ascii="Arial" w:hAnsi="Arial" w:cs="Arial"/>
        </w:rPr>
        <w:t xml:space="preserve">contract award </w:t>
      </w:r>
      <w:r w:rsidR="00945828">
        <w:rPr>
          <w:rFonts w:ascii="Arial" w:hAnsi="Arial" w:cs="Arial"/>
        </w:rPr>
        <w:t xml:space="preserve">notice </w:t>
      </w:r>
      <w:r>
        <w:rPr>
          <w:rFonts w:ascii="Arial" w:hAnsi="Arial" w:cs="Arial"/>
        </w:rPr>
        <w:t>on 13 January 2025</w:t>
      </w:r>
      <w:r w:rsidR="00945828">
        <w:rPr>
          <w:rFonts w:ascii="Arial" w:hAnsi="Arial" w:cs="Arial"/>
        </w:rPr>
        <w:t xml:space="preserve"> indicating that it would be proceeding with a contract award for Lot 2, where no representations had been </w:t>
      </w:r>
      <w:r w:rsidR="0047113C">
        <w:rPr>
          <w:rFonts w:ascii="Arial" w:hAnsi="Arial" w:cs="Arial"/>
        </w:rPr>
        <w:t>made</w:t>
      </w:r>
      <w:r w:rsidR="00A41853">
        <w:rPr>
          <w:rFonts w:ascii="Arial" w:hAnsi="Arial" w:cs="Arial"/>
        </w:rPr>
        <w:t>. Th</w:t>
      </w:r>
      <w:r w:rsidR="00B72349">
        <w:rPr>
          <w:rFonts w:ascii="Arial" w:hAnsi="Arial" w:cs="Arial"/>
        </w:rPr>
        <w:t>e contract award</w:t>
      </w:r>
      <w:r w:rsidR="00A24CEF">
        <w:rPr>
          <w:rFonts w:ascii="Arial" w:hAnsi="Arial" w:cs="Arial"/>
        </w:rPr>
        <w:t xml:space="preserve"> notice</w:t>
      </w:r>
      <w:r w:rsidR="00A41853">
        <w:rPr>
          <w:rFonts w:ascii="Arial" w:hAnsi="Arial" w:cs="Arial"/>
        </w:rPr>
        <w:t xml:space="preserve"> included </w:t>
      </w:r>
      <w:r w:rsidR="00945828">
        <w:rPr>
          <w:rFonts w:ascii="Arial" w:hAnsi="Arial" w:cs="Arial"/>
        </w:rPr>
        <w:t>a corrigendum to the 10 December 2024 notice</w:t>
      </w:r>
      <w:r w:rsidR="003635B8">
        <w:rPr>
          <w:rFonts w:ascii="Arial" w:hAnsi="Arial" w:cs="Arial"/>
        </w:rPr>
        <w:t xml:space="preserve"> of intention</w:t>
      </w:r>
      <w:r w:rsidR="00945828">
        <w:rPr>
          <w:rFonts w:ascii="Arial" w:hAnsi="Arial" w:cs="Arial"/>
        </w:rPr>
        <w:t>, provid</w:t>
      </w:r>
      <w:r w:rsidR="002D6289">
        <w:rPr>
          <w:rFonts w:ascii="Arial" w:hAnsi="Arial" w:cs="Arial"/>
        </w:rPr>
        <w:t xml:space="preserve">ing </w:t>
      </w:r>
      <w:r w:rsidR="00945828">
        <w:rPr>
          <w:rFonts w:ascii="Arial" w:hAnsi="Arial" w:cs="Arial"/>
        </w:rPr>
        <w:t>an additional CPV code for that notice.</w:t>
      </w:r>
    </w:p>
    <w:p w14:paraId="7F7FF771" w14:textId="08DD7711" w:rsidR="00945828" w:rsidRPr="003739FA" w:rsidRDefault="00945828" w:rsidP="29201E78">
      <w:pPr>
        <w:pStyle w:val="ListParagraph"/>
        <w:numPr>
          <w:ilvl w:val="0"/>
          <w:numId w:val="2"/>
        </w:numPr>
        <w:spacing w:line="276" w:lineRule="auto"/>
        <w:ind w:left="567" w:hanging="567"/>
        <w:contextualSpacing w:val="0"/>
        <w:rPr>
          <w:rFonts w:ascii="Arial" w:hAnsi="Arial" w:cs="Arial"/>
        </w:rPr>
      </w:pPr>
      <w:r w:rsidRPr="007F136C">
        <w:rPr>
          <w:rFonts w:ascii="Arial" w:hAnsi="Arial" w:cs="Arial"/>
        </w:rPr>
        <w:t xml:space="preserve">On 4 March 2025, </w:t>
      </w:r>
      <w:r>
        <w:rPr>
          <w:rFonts w:ascii="Arial" w:hAnsi="Arial" w:cs="Arial"/>
        </w:rPr>
        <w:t xml:space="preserve">HNY ICB wrote to </w:t>
      </w:r>
      <w:r w:rsidR="00B37A9A">
        <w:rPr>
          <w:rFonts w:ascii="Arial" w:hAnsi="Arial" w:cs="Arial"/>
        </w:rPr>
        <w:t xml:space="preserve">Barkhill and Clarendon </w:t>
      </w:r>
      <w:r w:rsidR="00FB238E">
        <w:rPr>
          <w:rFonts w:ascii="Arial" w:hAnsi="Arial" w:cs="Arial"/>
        </w:rPr>
        <w:t xml:space="preserve">setting out </w:t>
      </w:r>
      <w:r>
        <w:rPr>
          <w:rFonts w:ascii="Arial" w:hAnsi="Arial" w:cs="Arial"/>
        </w:rPr>
        <w:t xml:space="preserve">its </w:t>
      </w:r>
      <w:r w:rsidRPr="003739FA">
        <w:rPr>
          <w:rFonts w:ascii="Arial" w:hAnsi="Arial" w:cs="Arial"/>
        </w:rPr>
        <w:t xml:space="preserve">further decision </w:t>
      </w:r>
      <w:r w:rsidR="00D3394D">
        <w:rPr>
          <w:rFonts w:ascii="Arial" w:hAnsi="Arial" w:cs="Arial"/>
        </w:rPr>
        <w:t xml:space="preserve">on the provider selection process, namely </w:t>
      </w:r>
      <w:r w:rsidRPr="003739FA">
        <w:rPr>
          <w:rFonts w:ascii="Arial" w:hAnsi="Arial" w:cs="Arial"/>
        </w:rPr>
        <w:t>to proceed with the contract award</w:t>
      </w:r>
      <w:r>
        <w:rPr>
          <w:rFonts w:ascii="Arial" w:hAnsi="Arial" w:cs="Arial"/>
        </w:rPr>
        <w:t xml:space="preserve"> </w:t>
      </w:r>
      <w:r w:rsidRPr="003739FA">
        <w:rPr>
          <w:rFonts w:ascii="Arial" w:hAnsi="Arial" w:cs="Arial"/>
        </w:rPr>
        <w:t xml:space="preserve">as </w:t>
      </w:r>
      <w:r w:rsidR="00C11FA1">
        <w:rPr>
          <w:rFonts w:ascii="Arial" w:hAnsi="Arial" w:cs="Arial"/>
        </w:rPr>
        <w:t xml:space="preserve">originally </w:t>
      </w:r>
      <w:r w:rsidRPr="003739FA">
        <w:rPr>
          <w:rFonts w:ascii="Arial" w:hAnsi="Arial" w:cs="Arial"/>
        </w:rPr>
        <w:t xml:space="preserve">intended. </w:t>
      </w:r>
      <w:r w:rsidR="006E6A51">
        <w:rPr>
          <w:rFonts w:ascii="Arial" w:hAnsi="Arial" w:cs="Arial"/>
        </w:rPr>
        <w:t xml:space="preserve">This </w:t>
      </w:r>
      <w:r w:rsidR="00724938">
        <w:rPr>
          <w:rFonts w:ascii="Arial" w:hAnsi="Arial" w:cs="Arial"/>
        </w:rPr>
        <w:t>letter</w:t>
      </w:r>
      <w:r w:rsidR="006E6A51">
        <w:rPr>
          <w:rFonts w:ascii="Arial" w:hAnsi="Arial" w:cs="Arial"/>
        </w:rPr>
        <w:t xml:space="preserve"> was followed by further exchanges of correspondence </w:t>
      </w:r>
      <w:r w:rsidR="00724938">
        <w:rPr>
          <w:rFonts w:ascii="Arial" w:hAnsi="Arial" w:cs="Arial"/>
        </w:rPr>
        <w:t>with Barkhill and Clarendon</w:t>
      </w:r>
      <w:r w:rsidR="006E6A51">
        <w:rPr>
          <w:rFonts w:ascii="Arial" w:hAnsi="Arial" w:cs="Arial"/>
        </w:rPr>
        <w:t xml:space="preserve"> </w:t>
      </w:r>
      <w:r w:rsidR="00020E8C">
        <w:rPr>
          <w:rFonts w:ascii="Arial" w:hAnsi="Arial" w:cs="Arial"/>
        </w:rPr>
        <w:t xml:space="preserve">regarding </w:t>
      </w:r>
      <w:r w:rsidR="005F7F14">
        <w:rPr>
          <w:rFonts w:ascii="Arial" w:hAnsi="Arial" w:cs="Arial"/>
        </w:rPr>
        <w:t xml:space="preserve">the ICB’s </w:t>
      </w:r>
      <w:r w:rsidR="00DD00FC">
        <w:rPr>
          <w:rFonts w:ascii="Arial" w:hAnsi="Arial" w:cs="Arial"/>
        </w:rPr>
        <w:t>review of represe</w:t>
      </w:r>
      <w:r w:rsidR="00FE1544">
        <w:rPr>
          <w:rFonts w:ascii="Arial" w:hAnsi="Arial" w:cs="Arial"/>
        </w:rPr>
        <w:t>ntations</w:t>
      </w:r>
      <w:r w:rsidR="00E17469">
        <w:rPr>
          <w:rFonts w:ascii="Arial" w:hAnsi="Arial" w:cs="Arial"/>
        </w:rPr>
        <w:t>.</w:t>
      </w:r>
      <w:r w:rsidR="00FE1544">
        <w:rPr>
          <w:rFonts w:ascii="Arial" w:hAnsi="Arial" w:cs="Arial"/>
        </w:rPr>
        <w:t xml:space="preserve"> </w:t>
      </w:r>
      <w:r w:rsidR="00E17469">
        <w:rPr>
          <w:rFonts w:ascii="Arial" w:hAnsi="Arial" w:cs="Arial"/>
        </w:rPr>
        <w:t>On 7 March</w:t>
      </w:r>
      <w:r w:rsidR="00B30B71">
        <w:rPr>
          <w:rFonts w:ascii="Arial" w:hAnsi="Arial" w:cs="Arial"/>
        </w:rPr>
        <w:t xml:space="preserve"> 2025</w:t>
      </w:r>
      <w:r w:rsidR="00E17469">
        <w:rPr>
          <w:rFonts w:ascii="Arial" w:hAnsi="Arial" w:cs="Arial"/>
        </w:rPr>
        <w:t>,</w:t>
      </w:r>
      <w:r w:rsidRPr="003739FA">
        <w:rPr>
          <w:rFonts w:ascii="Arial" w:hAnsi="Arial" w:cs="Arial"/>
        </w:rPr>
        <w:t xml:space="preserve"> </w:t>
      </w:r>
      <w:r>
        <w:rPr>
          <w:rFonts w:ascii="Arial" w:hAnsi="Arial" w:cs="Arial"/>
        </w:rPr>
        <w:t>HNY</w:t>
      </w:r>
      <w:r w:rsidRPr="003739FA">
        <w:rPr>
          <w:rFonts w:ascii="Arial" w:hAnsi="Arial" w:cs="Arial"/>
        </w:rPr>
        <w:t xml:space="preserve"> ICB published a </w:t>
      </w:r>
      <w:r w:rsidR="00B72349">
        <w:rPr>
          <w:rFonts w:ascii="Arial" w:hAnsi="Arial" w:cs="Arial"/>
        </w:rPr>
        <w:t xml:space="preserve">second </w:t>
      </w:r>
      <w:r>
        <w:rPr>
          <w:rFonts w:ascii="Arial" w:hAnsi="Arial" w:cs="Arial"/>
        </w:rPr>
        <w:t>c</w:t>
      </w:r>
      <w:r w:rsidRPr="003739FA">
        <w:rPr>
          <w:rFonts w:ascii="Arial" w:hAnsi="Arial" w:cs="Arial"/>
        </w:rPr>
        <w:t xml:space="preserve">orrigendum </w:t>
      </w:r>
      <w:r w:rsidR="00B30B71">
        <w:rPr>
          <w:rFonts w:ascii="Arial" w:hAnsi="Arial" w:cs="Arial"/>
        </w:rPr>
        <w:t xml:space="preserve">to its </w:t>
      </w:r>
      <w:r w:rsidR="00B30B71">
        <w:rPr>
          <w:rFonts w:ascii="Arial" w:hAnsi="Arial" w:cs="Arial"/>
        </w:rPr>
        <w:lastRenderedPageBreak/>
        <w:t>10</w:t>
      </w:r>
      <w:r w:rsidR="00B72349">
        <w:rPr>
          <w:rFonts w:ascii="Arial" w:hAnsi="Arial" w:cs="Arial"/>
        </w:rPr>
        <w:t> </w:t>
      </w:r>
      <w:r w:rsidR="00B30B71">
        <w:rPr>
          <w:rFonts w:ascii="Arial" w:hAnsi="Arial" w:cs="Arial"/>
        </w:rPr>
        <w:t xml:space="preserve">December 2024 </w:t>
      </w:r>
      <w:r w:rsidR="00E17469">
        <w:rPr>
          <w:rFonts w:ascii="Arial" w:hAnsi="Arial" w:cs="Arial"/>
        </w:rPr>
        <w:t xml:space="preserve">notice </w:t>
      </w:r>
      <w:r w:rsidR="00B30B71">
        <w:rPr>
          <w:rFonts w:ascii="Arial" w:hAnsi="Arial" w:cs="Arial"/>
        </w:rPr>
        <w:t>of intention</w:t>
      </w:r>
      <w:r w:rsidR="001C53B6">
        <w:rPr>
          <w:rFonts w:ascii="Arial" w:hAnsi="Arial" w:cs="Arial"/>
        </w:rPr>
        <w:t xml:space="preserve"> with</w:t>
      </w:r>
      <w:r w:rsidRPr="003739FA">
        <w:rPr>
          <w:rFonts w:ascii="Arial" w:hAnsi="Arial" w:cs="Arial"/>
        </w:rPr>
        <w:t xml:space="preserve"> additional information </w:t>
      </w:r>
      <w:r w:rsidR="00DE109F">
        <w:rPr>
          <w:rFonts w:ascii="Arial" w:hAnsi="Arial" w:cs="Arial"/>
        </w:rPr>
        <w:t>on</w:t>
      </w:r>
      <w:r w:rsidR="00DE109F" w:rsidRPr="003739FA">
        <w:rPr>
          <w:rFonts w:ascii="Arial" w:hAnsi="Arial" w:cs="Arial"/>
        </w:rPr>
        <w:t xml:space="preserve"> </w:t>
      </w:r>
      <w:r w:rsidRPr="003739FA">
        <w:rPr>
          <w:rFonts w:ascii="Arial" w:hAnsi="Arial" w:cs="Arial"/>
        </w:rPr>
        <w:t xml:space="preserve">the key criteria </w:t>
      </w:r>
      <w:r>
        <w:rPr>
          <w:rFonts w:ascii="Arial" w:hAnsi="Arial" w:cs="Arial"/>
        </w:rPr>
        <w:t xml:space="preserve">used in the provider selection process </w:t>
      </w:r>
      <w:r w:rsidRPr="003739FA">
        <w:rPr>
          <w:rFonts w:ascii="Arial" w:hAnsi="Arial" w:cs="Arial"/>
        </w:rPr>
        <w:t xml:space="preserve">and </w:t>
      </w:r>
      <w:r>
        <w:rPr>
          <w:rFonts w:ascii="Arial" w:hAnsi="Arial" w:cs="Arial"/>
        </w:rPr>
        <w:t xml:space="preserve">how </w:t>
      </w:r>
      <w:r w:rsidRPr="003739FA">
        <w:rPr>
          <w:rFonts w:ascii="Arial" w:hAnsi="Arial" w:cs="Arial"/>
        </w:rPr>
        <w:t xml:space="preserve">conflicts of interest </w:t>
      </w:r>
      <w:r>
        <w:rPr>
          <w:rFonts w:ascii="Arial" w:hAnsi="Arial" w:cs="Arial"/>
        </w:rPr>
        <w:t xml:space="preserve">were </w:t>
      </w:r>
      <w:r w:rsidRPr="003739FA">
        <w:rPr>
          <w:rFonts w:ascii="Arial" w:hAnsi="Arial" w:cs="Arial"/>
        </w:rPr>
        <w:t>manage</w:t>
      </w:r>
      <w:r>
        <w:rPr>
          <w:rFonts w:ascii="Arial" w:hAnsi="Arial" w:cs="Arial"/>
        </w:rPr>
        <w:t>d</w:t>
      </w:r>
      <w:r w:rsidRPr="007F136C">
        <w:rPr>
          <w:rFonts w:ascii="Arial" w:hAnsi="Arial" w:cs="Arial"/>
        </w:rPr>
        <w:t>.</w:t>
      </w:r>
      <w:r>
        <w:rPr>
          <w:rStyle w:val="FootnoteReference"/>
          <w:rFonts w:ascii="Arial" w:hAnsi="Arial" w:cs="Arial"/>
        </w:rPr>
        <w:footnoteReference w:id="15"/>
      </w:r>
    </w:p>
    <w:p w14:paraId="19BF899E" w14:textId="20220A81" w:rsidR="004704DD" w:rsidRPr="00E75FFD" w:rsidRDefault="009E1ABB" w:rsidP="00E75FFD">
      <w:pPr>
        <w:keepNext/>
        <w:spacing w:before="240" w:line="276" w:lineRule="auto"/>
        <w:rPr>
          <w:rFonts w:ascii="Arial" w:hAnsi="Arial" w:cs="Arial"/>
          <w:b/>
          <w:bCs/>
          <w:sz w:val="21"/>
          <w:szCs w:val="21"/>
        </w:rPr>
      </w:pPr>
      <w:r w:rsidRPr="00E75FFD">
        <w:rPr>
          <w:rFonts w:ascii="Arial" w:hAnsi="Arial" w:cs="Arial"/>
          <w:b/>
          <w:bCs/>
          <w:sz w:val="21"/>
          <w:szCs w:val="21"/>
        </w:rPr>
        <w:t xml:space="preserve">Table 1: </w:t>
      </w:r>
      <w:r w:rsidR="00E75FFD" w:rsidRPr="00E75FFD">
        <w:rPr>
          <w:rFonts w:ascii="Arial" w:hAnsi="Arial" w:cs="Arial"/>
          <w:b/>
          <w:bCs/>
          <w:sz w:val="21"/>
          <w:szCs w:val="21"/>
        </w:rPr>
        <w:t>Lots contested by Barkhill</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615"/>
        <w:gridCol w:w="1787"/>
        <w:gridCol w:w="1430"/>
        <w:gridCol w:w="1125"/>
        <w:gridCol w:w="1088"/>
        <w:gridCol w:w="1125"/>
      </w:tblGrid>
      <w:tr w:rsidR="005326DE" w:rsidRPr="00E75FFD" w14:paraId="63855E23" w14:textId="77777777" w:rsidTr="000C669D">
        <w:tc>
          <w:tcPr>
            <w:tcW w:w="846" w:type="dxa"/>
            <w:vMerge w:val="restart"/>
            <w:tcBorders>
              <w:top w:val="single" w:sz="4" w:space="0" w:color="auto"/>
              <w:left w:val="nil"/>
              <w:bottom w:val="nil"/>
            </w:tcBorders>
          </w:tcPr>
          <w:p w14:paraId="5A9A51F6" w14:textId="684776BF" w:rsidR="005326DE" w:rsidRPr="00E75FFD" w:rsidRDefault="00B67761" w:rsidP="00D7540A">
            <w:pPr>
              <w:spacing w:before="60" w:after="60"/>
              <w:rPr>
                <w:rFonts w:ascii="Arial" w:hAnsi="Arial" w:cs="Arial"/>
                <w:b/>
                <w:bCs/>
                <w:sz w:val="18"/>
                <w:szCs w:val="18"/>
              </w:rPr>
            </w:pPr>
            <w:r>
              <w:rPr>
                <w:rFonts w:ascii="Arial" w:hAnsi="Arial" w:cs="Arial"/>
                <w:b/>
                <w:bCs/>
                <w:sz w:val="18"/>
                <w:szCs w:val="18"/>
              </w:rPr>
              <w:t>Lot</w:t>
            </w:r>
          </w:p>
        </w:tc>
        <w:tc>
          <w:tcPr>
            <w:tcW w:w="1615" w:type="dxa"/>
            <w:vMerge w:val="restart"/>
            <w:tcBorders>
              <w:top w:val="single" w:sz="4" w:space="0" w:color="auto"/>
              <w:bottom w:val="nil"/>
            </w:tcBorders>
          </w:tcPr>
          <w:p w14:paraId="19649212" w14:textId="4F80376A" w:rsidR="00117A73" w:rsidRDefault="00117A73" w:rsidP="00ED2FF4">
            <w:pPr>
              <w:spacing w:before="60" w:after="60"/>
              <w:jc w:val="center"/>
              <w:rPr>
                <w:rFonts w:ascii="Arial" w:hAnsi="Arial" w:cs="Arial"/>
                <w:b/>
                <w:bCs/>
                <w:sz w:val="18"/>
                <w:szCs w:val="18"/>
              </w:rPr>
            </w:pPr>
            <w:r>
              <w:rPr>
                <w:rFonts w:ascii="Arial" w:hAnsi="Arial" w:cs="Arial"/>
                <w:b/>
                <w:bCs/>
                <w:sz w:val="18"/>
                <w:szCs w:val="18"/>
              </w:rPr>
              <w:t>Area</w:t>
            </w:r>
          </w:p>
        </w:tc>
        <w:tc>
          <w:tcPr>
            <w:tcW w:w="1787" w:type="dxa"/>
            <w:vMerge w:val="restart"/>
            <w:tcBorders>
              <w:top w:val="single" w:sz="4" w:space="0" w:color="auto"/>
              <w:bottom w:val="nil"/>
            </w:tcBorders>
          </w:tcPr>
          <w:p w14:paraId="355BE7F0" w14:textId="0356D9AC" w:rsidR="00117A73" w:rsidRDefault="00117A73" w:rsidP="00ED2FF4">
            <w:pPr>
              <w:spacing w:before="60" w:after="60"/>
              <w:jc w:val="center"/>
              <w:rPr>
                <w:rFonts w:ascii="Arial" w:hAnsi="Arial" w:cs="Arial"/>
                <w:b/>
                <w:bCs/>
                <w:sz w:val="18"/>
                <w:szCs w:val="18"/>
              </w:rPr>
            </w:pPr>
            <w:r>
              <w:rPr>
                <w:rFonts w:ascii="Arial" w:hAnsi="Arial" w:cs="Arial"/>
                <w:b/>
                <w:bCs/>
                <w:sz w:val="18"/>
                <w:szCs w:val="18"/>
              </w:rPr>
              <w:t>Incumbent provider</w:t>
            </w:r>
          </w:p>
        </w:tc>
        <w:tc>
          <w:tcPr>
            <w:tcW w:w="2555" w:type="dxa"/>
            <w:gridSpan w:val="2"/>
            <w:tcBorders>
              <w:top w:val="single" w:sz="4" w:space="0" w:color="auto"/>
              <w:bottom w:val="nil"/>
            </w:tcBorders>
          </w:tcPr>
          <w:p w14:paraId="5CD1DC19" w14:textId="29228E91" w:rsidR="005326DE" w:rsidRPr="00E75FFD" w:rsidRDefault="005326DE" w:rsidP="00ED2FF4">
            <w:pPr>
              <w:spacing w:before="60" w:after="60"/>
              <w:jc w:val="center"/>
              <w:rPr>
                <w:rFonts w:ascii="Arial" w:hAnsi="Arial" w:cs="Arial"/>
                <w:b/>
                <w:bCs/>
                <w:sz w:val="18"/>
                <w:szCs w:val="18"/>
              </w:rPr>
            </w:pPr>
            <w:r w:rsidRPr="00E75FFD">
              <w:rPr>
                <w:rFonts w:ascii="Arial" w:hAnsi="Arial" w:cs="Arial"/>
                <w:b/>
                <w:bCs/>
                <w:sz w:val="18"/>
                <w:szCs w:val="18"/>
              </w:rPr>
              <w:t>Successful bidder</w:t>
            </w:r>
          </w:p>
        </w:tc>
        <w:tc>
          <w:tcPr>
            <w:tcW w:w="2213" w:type="dxa"/>
            <w:gridSpan w:val="2"/>
            <w:tcBorders>
              <w:top w:val="single" w:sz="4" w:space="0" w:color="auto"/>
              <w:bottom w:val="nil"/>
              <w:right w:val="nil"/>
            </w:tcBorders>
          </w:tcPr>
          <w:p w14:paraId="5CA29044" w14:textId="52BED161" w:rsidR="005326DE" w:rsidRPr="00E75FFD" w:rsidRDefault="006A5C01" w:rsidP="005326DE">
            <w:pPr>
              <w:spacing w:before="60" w:after="60"/>
              <w:jc w:val="center"/>
              <w:rPr>
                <w:rFonts w:ascii="Arial" w:hAnsi="Arial" w:cs="Arial"/>
                <w:b/>
                <w:bCs/>
                <w:sz w:val="18"/>
                <w:szCs w:val="18"/>
              </w:rPr>
            </w:pPr>
            <w:r w:rsidRPr="00E75FFD">
              <w:rPr>
                <w:rFonts w:ascii="Arial" w:hAnsi="Arial" w:cs="Arial"/>
                <w:b/>
                <w:bCs/>
                <w:sz w:val="18"/>
                <w:szCs w:val="18"/>
              </w:rPr>
              <w:t>Barkhill’s bid</w:t>
            </w:r>
          </w:p>
        </w:tc>
      </w:tr>
      <w:tr w:rsidR="00ED2FF4" w:rsidRPr="00E75FFD" w14:paraId="598FEECC" w14:textId="77777777" w:rsidTr="000C669D">
        <w:tc>
          <w:tcPr>
            <w:tcW w:w="846" w:type="dxa"/>
            <w:vMerge/>
            <w:tcBorders>
              <w:top w:val="nil"/>
              <w:left w:val="nil"/>
              <w:bottom w:val="single" w:sz="4" w:space="0" w:color="auto"/>
            </w:tcBorders>
          </w:tcPr>
          <w:p w14:paraId="56FDF01D" w14:textId="77777777" w:rsidR="00ED2FF4" w:rsidRPr="00E75FFD" w:rsidRDefault="00ED2FF4" w:rsidP="00D7540A">
            <w:pPr>
              <w:spacing w:before="60" w:after="60"/>
              <w:rPr>
                <w:rFonts w:ascii="Arial" w:hAnsi="Arial" w:cs="Arial"/>
                <w:b/>
                <w:bCs/>
                <w:sz w:val="18"/>
                <w:szCs w:val="18"/>
              </w:rPr>
            </w:pPr>
          </w:p>
        </w:tc>
        <w:tc>
          <w:tcPr>
            <w:tcW w:w="1615" w:type="dxa"/>
            <w:vMerge/>
            <w:tcBorders>
              <w:top w:val="nil"/>
              <w:bottom w:val="single" w:sz="4" w:space="0" w:color="auto"/>
            </w:tcBorders>
          </w:tcPr>
          <w:p w14:paraId="7A16F9D5" w14:textId="77777777" w:rsidR="00117A73" w:rsidRPr="00E75FFD" w:rsidRDefault="00117A73" w:rsidP="00ED2FF4">
            <w:pPr>
              <w:spacing w:before="60" w:after="60"/>
              <w:jc w:val="center"/>
              <w:rPr>
                <w:rFonts w:ascii="Arial" w:hAnsi="Arial" w:cs="Arial"/>
                <w:b/>
                <w:bCs/>
                <w:sz w:val="18"/>
                <w:szCs w:val="18"/>
              </w:rPr>
            </w:pPr>
          </w:p>
        </w:tc>
        <w:tc>
          <w:tcPr>
            <w:tcW w:w="1787" w:type="dxa"/>
            <w:vMerge/>
            <w:tcBorders>
              <w:top w:val="nil"/>
              <w:bottom w:val="single" w:sz="4" w:space="0" w:color="auto"/>
            </w:tcBorders>
          </w:tcPr>
          <w:p w14:paraId="6871AD86" w14:textId="77777777" w:rsidR="00117A73" w:rsidRPr="00E75FFD" w:rsidRDefault="00117A73" w:rsidP="00ED2FF4">
            <w:pPr>
              <w:spacing w:before="60" w:after="60"/>
              <w:jc w:val="center"/>
              <w:rPr>
                <w:rFonts w:ascii="Arial" w:hAnsi="Arial" w:cs="Arial"/>
                <w:b/>
                <w:bCs/>
                <w:sz w:val="18"/>
                <w:szCs w:val="18"/>
              </w:rPr>
            </w:pPr>
          </w:p>
        </w:tc>
        <w:tc>
          <w:tcPr>
            <w:tcW w:w="1430" w:type="dxa"/>
            <w:tcBorders>
              <w:top w:val="nil"/>
              <w:bottom w:val="single" w:sz="4" w:space="0" w:color="auto"/>
            </w:tcBorders>
          </w:tcPr>
          <w:p w14:paraId="66F17567" w14:textId="0D7BE576" w:rsidR="00ED2FF4" w:rsidRPr="00E75FFD" w:rsidRDefault="00ED2FF4" w:rsidP="00ED2FF4">
            <w:pPr>
              <w:spacing w:before="60" w:after="60"/>
              <w:jc w:val="center"/>
              <w:rPr>
                <w:rFonts w:ascii="Arial" w:hAnsi="Arial" w:cs="Arial"/>
                <w:b/>
                <w:bCs/>
                <w:sz w:val="18"/>
                <w:szCs w:val="18"/>
              </w:rPr>
            </w:pPr>
            <w:r w:rsidRPr="00E75FFD">
              <w:rPr>
                <w:rFonts w:ascii="Arial" w:hAnsi="Arial" w:cs="Arial"/>
                <w:b/>
                <w:bCs/>
                <w:sz w:val="18"/>
                <w:szCs w:val="18"/>
              </w:rPr>
              <w:t>Name</w:t>
            </w:r>
          </w:p>
        </w:tc>
        <w:tc>
          <w:tcPr>
            <w:tcW w:w="1125" w:type="dxa"/>
            <w:tcBorders>
              <w:top w:val="nil"/>
              <w:bottom w:val="single" w:sz="4" w:space="0" w:color="auto"/>
            </w:tcBorders>
          </w:tcPr>
          <w:p w14:paraId="5831EDB2" w14:textId="797676F3" w:rsidR="00ED2FF4" w:rsidRPr="00E75FFD" w:rsidRDefault="00ED2FF4" w:rsidP="00ED2FF4">
            <w:pPr>
              <w:spacing w:before="60" w:after="60"/>
              <w:jc w:val="center"/>
              <w:rPr>
                <w:rFonts w:ascii="Arial" w:hAnsi="Arial" w:cs="Arial"/>
                <w:b/>
                <w:bCs/>
                <w:sz w:val="18"/>
                <w:szCs w:val="18"/>
              </w:rPr>
            </w:pPr>
            <w:r w:rsidRPr="00E75FFD">
              <w:rPr>
                <w:rFonts w:ascii="Arial" w:hAnsi="Arial" w:cs="Arial"/>
                <w:b/>
                <w:bCs/>
                <w:sz w:val="18"/>
                <w:szCs w:val="18"/>
              </w:rPr>
              <w:t>Score</w:t>
            </w:r>
          </w:p>
        </w:tc>
        <w:tc>
          <w:tcPr>
            <w:tcW w:w="1088" w:type="dxa"/>
            <w:tcBorders>
              <w:top w:val="nil"/>
              <w:bottom w:val="single" w:sz="4" w:space="0" w:color="auto"/>
            </w:tcBorders>
          </w:tcPr>
          <w:p w14:paraId="0E78BA7B" w14:textId="7039DDF1" w:rsidR="00ED2FF4" w:rsidRPr="00E75FFD" w:rsidRDefault="006A5C01" w:rsidP="006A5C01">
            <w:pPr>
              <w:spacing w:before="60" w:after="60"/>
              <w:jc w:val="center"/>
              <w:rPr>
                <w:rFonts w:ascii="Arial" w:hAnsi="Arial" w:cs="Arial"/>
                <w:b/>
                <w:bCs/>
                <w:sz w:val="18"/>
                <w:szCs w:val="18"/>
              </w:rPr>
            </w:pPr>
            <w:r w:rsidRPr="00E75FFD">
              <w:rPr>
                <w:rFonts w:ascii="Arial" w:hAnsi="Arial" w:cs="Arial"/>
                <w:b/>
                <w:bCs/>
                <w:sz w:val="18"/>
                <w:szCs w:val="18"/>
              </w:rPr>
              <w:t>Rank</w:t>
            </w:r>
          </w:p>
        </w:tc>
        <w:tc>
          <w:tcPr>
            <w:tcW w:w="1125" w:type="dxa"/>
            <w:tcBorders>
              <w:top w:val="nil"/>
              <w:bottom w:val="single" w:sz="4" w:space="0" w:color="auto"/>
              <w:right w:val="nil"/>
            </w:tcBorders>
          </w:tcPr>
          <w:p w14:paraId="4896BAFA" w14:textId="51271106" w:rsidR="00ED2FF4" w:rsidRPr="00E75FFD" w:rsidRDefault="006A5C01" w:rsidP="006A5C01">
            <w:pPr>
              <w:spacing w:before="60" w:after="60"/>
              <w:jc w:val="center"/>
              <w:rPr>
                <w:rFonts w:ascii="Arial" w:hAnsi="Arial" w:cs="Arial"/>
                <w:b/>
                <w:bCs/>
                <w:sz w:val="18"/>
                <w:szCs w:val="18"/>
              </w:rPr>
            </w:pPr>
            <w:r w:rsidRPr="00E75FFD">
              <w:rPr>
                <w:rFonts w:ascii="Arial" w:hAnsi="Arial" w:cs="Arial"/>
                <w:b/>
                <w:bCs/>
                <w:sz w:val="18"/>
                <w:szCs w:val="18"/>
              </w:rPr>
              <w:t>Score</w:t>
            </w:r>
          </w:p>
        </w:tc>
      </w:tr>
      <w:tr w:rsidR="00E11991" w:rsidRPr="00D7540A" w14:paraId="1F84D73C" w14:textId="77777777" w:rsidTr="00DA1A1B">
        <w:tc>
          <w:tcPr>
            <w:tcW w:w="846" w:type="dxa"/>
            <w:tcBorders>
              <w:top w:val="single" w:sz="4" w:space="0" w:color="auto"/>
              <w:left w:val="nil"/>
              <w:bottom w:val="single" w:sz="4" w:space="0" w:color="D9D9D9" w:themeColor="background1" w:themeShade="D9"/>
              <w:right w:val="nil"/>
            </w:tcBorders>
          </w:tcPr>
          <w:p w14:paraId="0E7951F7" w14:textId="1EA8AA6B" w:rsidR="00E11991" w:rsidRPr="00D7540A" w:rsidRDefault="00113B90" w:rsidP="00D7540A">
            <w:pPr>
              <w:spacing w:before="60" w:after="60"/>
              <w:rPr>
                <w:rFonts w:ascii="Arial" w:hAnsi="Arial" w:cs="Arial"/>
                <w:sz w:val="18"/>
                <w:szCs w:val="18"/>
              </w:rPr>
            </w:pPr>
            <w:r>
              <w:rPr>
                <w:rFonts w:ascii="Arial" w:hAnsi="Arial" w:cs="Arial"/>
                <w:sz w:val="18"/>
                <w:szCs w:val="18"/>
              </w:rPr>
              <w:t>Lot 1</w:t>
            </w:r>
            <w:r w:rsidR="00F75D78">
              <w:rPr>
                <w:rFonts w:ascii="Arial" w:hAnsi="Arial" w:cs="Arial"/>
                <w:sz w:val="18"/>
                <w:szCs w:val="18"/>
              </w:rPr>
              <w:t>1</w:t>
            </w:r>
          </w:p>
        </w:tc>
        <w:tc>
          <w:tcPr>
            <w:tcW w:w="1615" w:type="dxa"/>
            <w:tcBorders>
              <w:top w:val="single" w:sz="4" w:space="0" w:color="auto"/>
              <w:left w:val="nil"/>
              <w:bottom w:val="single" w:sz="4" w:space="0" w:color="D9D9D9" w:themeColor="background1" w:themeShade="D9"/>
              <w:right w:val="nil"/>
            </w:tcBorders>
          </w:tcPr>
          <w:p w14:paraId="2F019265" w14:textId="391E35D9" w:rsidR="00117A73" w:rsidRDefault="00117A73" w:rsidP="00F75D78">
            <w:pPr>
              <w:spacing w:before="60" w:after="60"/>
              <w:jc w:val="center"/>
              <w:rPr>
                <w:rFonts w:ascii="Arial" w:hAnsi="Arial" w:cs="Arial"/>
                <w:sz w:val="18"/>
                <w:szCs w:val="18"/>
              </w:rPr>
            </w:pPr>
            <w:r>
              <w:rPr>
                <w:rFonts w:ascii="Arial" w:hAnsi="Arial" w:cs="Arial"/>
                <w:sz w:val="18"/>
                <w:szCs w:val="18"/>
              </w:rPr>
              <w:t>Bradford North</w:t>
            </w:r>
          </w:p>
        </w:tc>
        <w:tc>
          <w:tcPr>
            <w:tcW w:w="1787" w:type="dxa"/>
            <w:tcBorders>
              <w:top w:val="single" w:sz="4" w:space="0" w:color="auto"/>
              <w:left w:val="nil"/>
              <w:bottom w:val="single" w:sz="4" w:space="0" w:color="D9D9D9" w:themeColor="background1" w:themeShade="D9"/>
              <w:right w:val="nil"/>
            </w:tcBorders>
          </w:tcPr>
          <w:p w14:paraId="20D6717F" w14:textId="1F0979E0" w:rsidR="00117A73" w:rsidRDefault="00117A73" w:rsidP="00F75D78">
            <w:pPr>
              <w:spacing w:before="60" w:after="60"/>
              <w:jc w:val="center"/>
              <w:rPr>
                <w:rFonts w:ascii="Arial" w:hAnsi="Arial" w:cs="Arial"/>
                <w:sz w:val="18"/>
                <w:szCs w:val="18"/>
              </w:rPr>
            </w:pPr>
            <w:r>
              <w:rPr>
                <w:rFonts w:ascii="Arial" w:hAnsi="Arial" w:cs="Arial"/>
                <w:sz w:val="18"/>
                <w:szCs w:val="18"/>
              </w:rPr>
              <w:t>Barkhill</w:t>
            </w:r>
          </w:p>
        </w:tc>
        <w:tc>
          <w:tcPr>
            <w:tcW w:w="1430" w:type="dxa"/>
            <w:tcBorders>
              <w:top w:val="single" w:sz="4" w:space="0" w:color="auto"/>
              <w:left w:val="nil"/>
              <w:bottom w:val="single" w:sz="4" w:space="0" w:color="D9D9D9" w:themeColor="background1" w:themeShade="D9"/>
              <w:right w:val="nil"/>
            </w:tcBorders>
          </w:tcPr>
          <w:p w14:paraId="5F4A1DC3" w14:textId="174860BD" w:rsidR="00E11991" w:rsidRPr="00D7540A" w:rsidRDefault="00F34472" w:rsidP="00F75D78">
            <w:pPr>
              <w:spacing w:before="60" w:after="60"/>
              <w:jc w:val="center"/>
              <w:rPr>
                <w:rFonts w:ascii="Arial" w:hAnsi="Arial" w:cs="Arial"/>
                <w:sz w:val="18"/>
                <w:szCs w:val="18"/>
              </w:rPr>
            </w:pPr>
            <w:r>
              <w:rPr>
                <w:rFonts w:ascii="Arial" w:hAnsi="Arial" w:cs="Arial"/>
                <w:sz w:val="18"/>
                <w:szCs w:val="18"/>
              </w:rPr>
              <w:t>Haricovert</w:t>
            </w:r>
          </w:p>
        </w:tc>
        <w:tc>
          <w:tcPr>
            <w:tcW w:w="1125" w:type="dxa"/>
            <w:tcBorders>
              <w:top w:val="single" w:sz="4" w:space="0" w:color="auto"/>
              <w:left w:val="nil"/>
              <w:bottom w:val="single" w:sz="4" w:space="0" w:color="D9D9D9" w:themeColor="background1" w:themeShade="D9"/>
              <w:right w:val="nil"/>
            </w:tcBorders>
          </w:tcPr>
          <w:p w14:paraId="3964A20C" w14:textId="02BEC592" w:rsidR="00E11991" w:rsidRPr="00D7540A" w:rsidRDefault="0080486E" w:rsidP="00F75D78">
            <w:pPr>
              <w:spacing w:before="60" w:after="60"/>
              <w:jc w:val="center"/>
              <w:rPr>
                <w:rFonts w:ascii="Arial" w:hAnsi="Arial" w:cs="Arial"/>
                <w:sz w:val="18"/>
                <w:szCs w:val="18"/>
              </w:rPr>
            </w:pPr>
            <w:r>
              <w:rPr>
                <w:rFonts w:ascii="Arial" w:hAnsi="Arial" w:cs="Arial"/>
                <w:sz w:val="18"/>
                <w:szCs w:val="18"/>
              </w:rPr>
              <w:t>90.75</w:t>
            </w:r>
          </w:p>
        </w:tc>
        <w:tc>
          <w:tcPr>
            <w:tcW w:w="1088" w:type="dxa"/>
            <w:tcBorders>
              <w:top w:val="single" w:sz="4" w:space="0" w:color="auto"/>
              <w:left w:val="nil"/>
              <w:bottom w:val="single" w:sz="4" w:space="0" w:color="D9D9D9" w:themeColor="background1" w:themeShade="D9"/>
              <w:right w:val="nil"/>
            </w:tcBorders>
          </w:tcPr>
          <w:p w14:paraId="64A988E3" w14:textId="6BAE10AF" w:rsidR="00E11991" w:rsidRPr="00D7540A" w:rsidRDefault="0080486E" w:rsidP="00F75D78">
            <w:pPr>
              <w:spacing w:before="60" w:after="60"/>
              <w:jc w:val="center"/>
              <w:rPr>
                <w:rFonts w:ascii="Arial" w:hAnsi="Arial" w:cs="Arial"/>
                <w:sz w:val="18"/>
                <w:szCs w:val="18"/>
              </w:rPr>
            </w:pPr>
            <w:r>
              <w:rPr>
                <w:rFonts w:ascii="Arial" w:hAnsi="Arial" w:cs="Arial"/>
                <w:sz w:val="18"/>
                <w:szCs w:val="18"/>
              </w:rPr>
              <w:t>5</w:t>
            </w:r>
          </w:p>
        </w:tc>
        <w:tc>
          <w:tcPr>
            <w:tcW w:w="1125" w:type="dxa"/>
            <w:tcBorders>
              <w:top w:val="single" w:sz="4" w:space="0" w:color="auto"/>
              <w:left w:val="nil"/>
              <w:bottom w:val="single" w:sz="4" w:space="0" w:color="D9D9D9" w:themeColor="background1" w:themeShade="D9"/>
              <w:right w:val="nil"/>
            </w:tcBorders>
          </w:tcPr>
          <w:p w14:paraId="56F56732" w14:textId="4D9D76AB" w:rsidR="00E11991" w:rsidRPr="00D7540A" w:rsidRDefault="0080486E" w:rsidP="00F75D78">
            <w:pPr>
              <w:spacing w:before="60" w:after="60"/>
              <w:jc w:val="center"/>
              <w:rPr>
                <w:rFonts w:ascii="Arial" w:hAnsi="Arial" w:cs="Arial"/>
                <w:sz w:val="18"/>
                <w:szCs w:val="18"/>
              </w:rPr>
            </w:pPr>
            <w:r>
              <w:rPr>
                <w:rFonts w:ascii="Arial" w:hAnsi="Arial" w:cs="Arial"/>
                <w:sz w:val="18"/>
                <w:szCs w:val="18"/>
              </w:rPr>
              <w:t>63.50</w:t>
            </w:r>
          </w:p>
        </w:tc>
      </w:tr>
      <w:tr w:rsidR="00E11991" w:rsidRPr="00D7540A" w14:paraId="09A56CEC" w14:textId="77777777" w:rsidTr="00DA1A1B">
        <w:tc>
          <w:tcPr>
            <w:tcW w:w="846" w:type="dxa"/>
            <w:tcBorders>
              <w:left w:val="nil"/>
              <w:bottom w:val="single" w:sz="4" w:space="0" w:color="auto"/>
              <w:right w:val="nil"/>
            </w:tcBorders>
          </w:tcPr>
          <w:p w14:paraId="4641EC1E" w14:textId="5525E470" w:rsidR="00E11991" w:rsidRPr="00D7540A" w:rsidRDefault="00113B90" w:rsidP="00D7540A">
            <w:pPr>
              <w:spacing w:before="60" w:after="60"/>
              <w:rPr>
                <w:rFonts w:ascii="Arial" w:hAnsi="Arial" w:cs="Arial"/>
                <w:sz w:val="18"/>
                <w:szCs w:val="18"/>
              </w:rPr>
            </w:pPr>
            <w:r>
              <w:rPr>
                <w:rFonts w:ascii="Arial" w:hAnsi="Arial" w:cs="Arial"/>
                <w:sz w:val="18"/>
                <w:szCs w:val="18"/>
              </w:rPr>
              <w:t xml:space="preserve">Lot </w:t>
            </w:r>
            <w:r w:rsidR="00F75D78">
              <w:rPr>
                <w:rFonts w:ascii="Arial" w:hAnsi="Arial" w:cs="Arial"/>
                <w:sz w:val="18"/>
                <w:szCs w:val="18"/>
              </w:rPr>
              <w:t>12</w:t>
            </w:r>
          </w:p>
        </w:tc>
        <w:tc>
          <w:tcPr>
            <w:tcW w:w="1615" w:type="dxa"/>
            <w:tcBorders>
              <w:left w:val="nil"/>
              <w:bottom w:val="single" w:sz="4" w:space="0" w:color="auto"/>
              <w:right w:val="nil"/>
            </w:tcBorders>
          </w:tcPr>
          <w:p w14:paraId="6A61DC29" w14:textId="6F494598" w:rsidR="00117A73" w:rsidRDefault="00117A73" w:rsidP="00F75D78">
            <w:pPr>
              <w:spacing w:before="60" w:after="60"/>
              <w:jc w:val="center"/>
              <w:rPr>
                <w:rFonts w:ascii="Arial" w:hAnsi="Arial" w:cs="Arial"/>
                <w:sz w:val="18"/>
                <w:szCs w:val="18"/>
              </w:rPr>
            </w:pPr>
            <w:r>
              <w:rPr>
                <w:rFonts w:ascii="Arial" w:hAnsi="Arial" w:cs="Arial"/>
                <w:sz w:val="18"/>
                <w:szCs w:val="18"/>
              </w:rPr>
              <w:t>Bradford</w:t>
            </w:r>
          </w:p>
        </w:tc>
        <w:tc>
          <w:tcPr>
            <w:tcW w:w="1787" w:type="dxa"/>
            <w:tcBorders>
              <w:left w:val="nil"/>
              <w:bottom w:val="single" w:sz="4" w:space="0" w:color="auto"/>
              <w:right w:val="nil"/>
            </w:tcBorders>
          </w:tcPr>
          <w:p w14:paraId="404034C0" w14:textId="3DC31C60" w:rsidR="00B67761" w:rsidRDefault="00B67761" w:rsidP="00F75D78">
            <w:pPr>
              <w:spacing w:before="60" w:after="60"/>
              <w:jc w:val="center"/>
              <w:rPr>
                <w:rFonts w:ascii="Arial" w:hAnsi="Arial" w:cs="Arial"/>
                <w:sz w:val="18"/>
                <w:szCs w:val="18"/>
              </w:rPr>
            </w:pPr>
            <w:r>
              <w:rPr>
                <w:rFonts w:ascii="Arial" w:hAnsi="Arial" w:cs="Arial"/>
                <w:sz w:val="18"/>
                <w:szCs w:val="18"/>
              </w:rPr>
              <w:t>Ravat &amp; Ray Dental Care</w:t>
            </w:r>
          </w:p>
        </w:tc>
        <w:tc>
          <w:tcPr>
            <w:tcW w:w="1430" w:type="dxa"/>
            <w:tcBorders>
              <w:left w:val="nil"/>
              <w:bottom w:val="single" w:sz="4" w:space="0" w:color="auto"/>
              <w:right w:val="nil"/>
            </w:tcBorders>
          </w:tcPr>
          <w:p w14:paraId="6A0C1423" w14:textId="673756E2" w:rsidR="00E11991" w:rsidRPr="00D7540A" w:rsidRDefault="00F34472" w:rsidP="00F75D78">
            <w:pPr>
              <w:spacing w:before="60" w:after="60"/>
              <w:jc w:val="center"/>
              <w:rPr>
                <w:rFonts w:ascii="Arial" w:hAnsi="Arial" w:cs="Arial"/>
                <w:sz w:val="18"/>
                <w:szCs w:val="18"/>
              </w:rPr>
            </w:pPr>
            <w:r>
              <w:rPr>
                <w:rFonts w:ascii="Arial" w:hAnsi="Arial" w:cs="Arial"/>
                <w:sz w:val="18"/>
                <w:szCs w:val="18"/>
              </w:rPr>
              <w:t>Haricovert</w:t>
            </w:r>
          </w:p>
        </w:tc>
        <w:tc>
          <w:tcPr>
            <w:tcW w:w="1125" w:type="dxa"/>
            <w:tcBorders>
              <w:left w:val="nil"/>
              <w:bottom w:val="single" w:sz="4" w:space="0" w:color="auto"/>
              <w:right w:val="nil"/>
            </w:tcBorders>
          </w:tcPr>
          <w:p w14:paraId="6C6D695D" w14:textId="052F2B30" w:rsidR="00E11991" w:rsidRPr="00D7540A" w:rsidRDefault="008B096E" w:rsidP="00F75D78">
            <w:pPr>
              <w:spacing w:before="60" w:after="60"/>
              <w:jc w:val="center"/>
              <w:rPr>
                <w:rFonts w:ascii="Arial" w:hAnsi="Arial" w:cs="Arial"/>
                <w:sz w:val="18"/>
                <w:szCs w:val="18"/>
              </w:rPr>
            </w:pPr>
            <w:r>
              <w:rPr>
                <w:rFonts w:ascii="Arial" w:hAnsi="Arial" w:cs="Arial"/>
                <w:sz w:val="18"/>
                <w:szCs w:val="18"/>
              </w:rPr>
              <w:t>85.75</w:t>
            </w:r>
          </w:p>
        </w:tc>
        <w:tc>
          <w:tcPr>
            <w:tcW w:w="1088" w:type="dxa"/>
            <w:tcBorders>
              <w:left w:val="nil"/>
              <w:bottom w:val="single" w:sz="4" w:space="0" w:color="auto"/>
              <w:right w:val="nil"/>
            </w:tcBorders>
          </w:tcPr>
          <w:p w14:paraId="3C700F25" w14:textId="48B2AEE3" w:rsidR="00E11991" w:rsidRPr="00D7540A" w:rsidRDefault="00A61F9C" w:rsidP="00F75D78">
            <w:pPr>
              <w:spacing w:before="60" w:after="60"/>
              <w:jc w:val="center"/>
              <w:rPr>
                <w:rFonts w:ascii="Arial" w:hAnsi="Arial" w:cs="Arial"/>
                <w:sz w:val="18"/>
                <w:szCs w:val="18"/>
              </w:rPr>
            </w:pPr>
            <w:r>
              <w:rPr>
                <w:rFonts w:ascii="Arial" w:hAnsi="Arial" w:cs="Arial"/>
                <w:sz w:val="18"/>
                <w:szCs w:val="18"/>
              </w:rPr>
              <w:t>6</w:t>
            </w:r>
          </w:p>
        </w:tc>
        <w:tc>
          <w:tcPr>
            <w:tcW w:w="1125" w:type="dxa"/>
            <w:tcBorders>
              <w:left w:val="nil"/>
              <w:bottom w:val="single" w:sz="4" w:space="0" w:color="auto"/>
              <w:right w:val="nil"/>
            </w:tcBorders>
          </w:tcPr>
          <w:p w14:paraId="3201C9BF" w14:textId="2BC1EA94" w:rsidR="00E11991" w:rsidRPr="00D7540A" w:rsidRDefault="00DF1058" w:rsidP="00F75D78">
            <w:pPr>
              <w:spacing w:before="60" w:after="60"/>
              <w:jc w:val="center"/>
              <w:rPr>
                <w:rFonts w:ascii="Arial" w:hAnsi="Arial" w:cs="Arial"/>
                <w:sz w:val="18"/>
                <w:szCs w:val="18"/>
              </w:rPr>
            </w:pPr>
            <w:r>
              <w:rPr>
                <w:rFonts w:ascii="Arial" w:hAnsi="Arial" w:cs="Arial"/>
                <w:sz w:val="18"/>
                <w:szCs w:val="18"/>
              </w:rPr>
              <w:t>63.50</w:t>
            </w:r>
          </w:p>
        </w:tc>
      </w:tr>
    </w:tbl>
    <w:p w14:paraId="367739AA" w14:textId="0CDEE00F" w:rsidR="004704DD" w:rsidRPr="002A3E27" w:rsidRDefault="00454383" w:rsidP="00E75FFD">
      <w:pPr>
        <w:spacing w:before="60" w:after="360" w:line="240" w:lineRule="auto"/>
        <w:rPr>
          <w:rFonts w:ascii="Arial" w:hAnsi="Arial" w:cs="Arial"/>
          <w:sz w:val="16"/>
          <w:szCs w:val="16"/>
        </w:rPr>
      </w:pPr>
      <w:r>
        <w:rPr>
          <w:rFonts w:ascii="Arial" w:hAnsi="Arial" w:cs="Arial"/>
          <w:i/>
          <w:iCs/>
          <w:sz w:val="16"/>
          <w:szCs w:val="16"/>
        </w:rPr>
        <w:t xml:space="preserve">Note: </w:t>
      </w:r>
      <w:r w:rsidRPr="00A9305B">
        <w:rPr>
          <w:rFonts w:ascii="Arial" w:hAnsi="Arial" w:cs="Arial"/>
          <w:sz w:val="16"/>
          <w:szCs w:val="16"/>
        </w:rPr>
        <w:t xml:space="preserve">Haricovert </w:t>
      </w:r>
      <w:r w:rsidR="005612D8" w:rsidRPr="00A9305B">
        <w:rPr>
          <w:rFonts w:ascii="Arial" w:hAnsi="Arial" w:cs="Arial"/>
          <w:sz w:val="16"/>
          <w:szCs w:val="16"/>
        </w:rPr>
        <w:t>operates under the trading name of Trinity House Orthodontics.</w:t>
      </w:r>
      <w:r>
        <w:rPr>
          <w:rFonts w:ascii="Arial" w:hAnsi="Arial" w:cs="Arial"/>
          <w:i/>
          <w:iCs/>
          <w:sz w:val="16"/>
          <w:szCs w:val="16"/>
        </w:rPr>
        <w:br/>
      </w:r>
      <w:r w:rsidR="00E75FFD" w:rsidRPr="002A3E27">
        <w:rPr>
          <w:rFonts w:ascii="Arial" w:hAnsi="Arial" w:cs="Arial"/>
          <w:i/>
          <w:iCs/>
          <w:sz w:val="16"/>
          <w:szCs w:val="16"/>
        </w:rPr>
        <w:t>Source</w:t>
      </w:r>
      <w:r w:rsidR="00E75FFD" w:rsidRPr="002A3E27">
        <w:rPr>
          <w:rFonts w:ascii="Arial" w:hAnsi="Arial" w:cs="Arial"/>
          <w:sz w:val="16"/>
          <w:szCs w:val="16"/>
        </w:rPr>
        <w:t xml:space="preserve">: </w:t>
      </w:r>
      <w:r w:rsidR="00FD4CAE">
        <w:rPr>
          <w:rFonts w:ascii="Arial" w:hAnsi="Arial" w:cs="Arial"/>
          <w:sz w:val="16"/>
          <w:szCs w:val="16"/>
        </w:rPr>
        <w:t>HNY ICB, Evaluation Scoring Spreadsheet.</w:t>
      </w:r>
    </w:p>
    <w:p w14:paraId="18EE9475" w14:textId="384AC3F9" w:rsidR="00E75FFD" w:rsidRPr="00E75FFD" w:rsidRDefault="00E75FFD" w:rsidP="00E75FFD">
      <w:pPr>
        <w:keepNext/>
        <w:spacing w:before="240" w:line="276" w:lineRule="auto"/>
        <w:rPr>
          <w:rFonts w:ascii="Arial" w:hAnsi="Arial" w:cs="Arial"/>
          <w:b/>
          <w:bCs/>
          <w:sz w:val="21"/>
          <w:szCs w:val="21"/>
        </w:rPr>
      </w:pPr>
      <w:r w:rsidRPr="00E75FFD">
        <w:rPr>
          <w:rFonts w:ascii="Arial" w:hAnsi="Arial" w:cs="Arial"/>
          <w:b/>
          <w:bCs/>
          <w:sz w:val="21"/>
          <w:szCs w:val="21"/>
        </w:rPr>
        <w:t xml:space="preserve">Table </w:t>
      </w:r>
      <w:r w:rsidR="003106FB">
        <w:rPr>
          <w:rFonts w:ascii="Arial" w:hAnsi="Arial" w:cs="Arial"/>
          <w:b/>
          <w:bCs/>
          <w:sz w:val="21"/>
          <w:szCs w:val="21"/>
        </w:rPr>
        <w:t>2</w:t>
      </w:r>
      <w:r w:rsidRPr="00E75FFD">
        <w:rPr>
          <w:rFonts w:ascii="Arial" w:hAnsi="Arial" w:cs="Arial"/>
          <w:b/>
          <w:bCs/>
          <w:sz w:val="21"/>
          <w:szCs w:val="21"/>
        </w:rPr>
        <w:t xml:space="preserve">: Lots contested by </w:t>
      </w:r>
      <w:r>
        <w:rPr>
          <w:rFonts w:ascii="Arial" w:hAnsi="Arial" w:cs="Arial"/>
          <w:b/>
          <w:bCs/>
          <w:sz w:val="21"/>
          <w:szCs w:val="21"/>
        </w:rPr>
        <w:t>Clarendon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628"/>
        <w:gridCol w:w="1824"/>
        <w:gridCol w:w="1371"/>
        <w:gridCol w:w="1128"/>
        <w:gridCol w:w="1091"/>
        <w:gridCol w:w="1128"/>
      </w:tblGrid>
      <w:tr w:rsidR="00F75D78" w:rsidRPr="00E75FFD" w14:paraId="4AFA1286" w14:textId="77777777" w:rsidTr="00DA1A1B">
        <w:tc>
          <w:tcPr>
            <w:tcW w:w="846" w:type="dxa"/>
            <w:vMerge w:val="restart"/>
            <w:tcBorders>
              <w:top w:val="single" w:sz="4" w:space="0" w:color="auto"/>
            </w:tcBorders>
          </w:tcPr>
          <w:p w14:paraId="47DE0B0E" w14:textId="14B7AA76" w:rsidR="00F75D78" w:rsidRPr="00E75FFD" w:rsidRDefault="00B67761">
            <w:pPr>
              <w:spacing w:before="60" w:after="60"/>
              <w:rPr>
                <w:rFonts w:ascii="Arial" w:hAnsi="Arial" w:cs="Arial"/>
                <w:b/>
                <w:bCs/>
                <w:sz w:val="18"/>
                <w:szCs w:val="18"/>
              </w:rPr>
            </w:pPr>
            <w:r>
              <w:rPr>
                <w:rFonts w:ascii="Arial" w:hAnsi="Arial" w:cs="Arial"/>
                <w:b/>
                <w:bCs/>
                <w:sz w:val="18"/>
                <w:szCs w:val="18"/>
              </w:rPr>
              <w:t>Lot</w:t>
            </w:r>
          </w:p>
        </w:tc>
        <w:tc>
          <w:tcPr>
            <w:tcW w:w="1628" w:type="dxa"/>
            <w:vMerge w:val="restart"/>
            <w:tcBorders>
              <w:top w:val="single" w:sz="4" w:space="0" w:color="auto"/>
            </w:tcBorders>
          </w:tcPr>
          <w:p w14:paraId="39DEB32D" w14:textId="0FE45BD3" w:rsidR="0009222F" w:rsidRDefault="0009222F">
            <w:pPr>
              <w:spacing w:before="60" w:after="60"/>
              <w:jc w:val="center"/>
              <w:rPr>
                <w:rFonts w:ascii="Arial" w:hAnsi="Arial" w:cs="Arial"/>
                <w:b/>
                <w:bCs/>
                <w:sz w:val="18"/>
                <w:szCs w:val="18"/>
              </w:rPr>
            </w:pPr>
            <w:r>
              <w:rPr>
                <w:rFonts w:ascii="Arial" w:hAnsi="Arial" w:cs="Arial"/>
                <w:b/>
                <w:bCs/>
                <w:sz w:val="18"/>
                <w:szCs w:val="18"/>
              </w:rPr>
              <w:t>Area</w:t>
            </w:r>
          </w:p>
        </w:tc>
        <w:tc>
          <w:tcPr>
            <w:tcW w:w="1824" w:type="dxa"/>
            <w:vMerge w:val="restart"/>
            <w:tcBorders>
              <w:top w:val="single" w:sz="4" w:space="0" w:color="auto"/>
            </w:tcBorders>
          </w:tcPr>
          <w:p w14:paraId="170D6BA0" w14:textId="6401F346" w:rsidR="00D774D5" w:rsidRDefault="00D774D5">
            <w:pPr>
              <w:spacing w:before="60" w:after="60"/>
              <w:jc w:val="center"/>
              <w:rPr>
                <w:rFonts w:ascii="Arial" w:hAnsi="Arial" w:cs="Arial"/>
                <w:b/>
                <w:bCs/>
                <w:sz w:val="18"/>
                <w:szCs w:val="18"/>
              </w:rPr>
            </w:pPr>
            <w:r>
              <w:rPr>
                <w:rFonts w:ascii="Arial" w:hAnsi="Arial" w:cs="Arial"/>
                <w:b/>
                <w:bCs/>
                <w:sz w:val="18"/>
                <w:szCs w:val="18"/>
              </w:rPr>
              <w:t>Incumbent provider</w:t>
            </w:r>
          </w:p>
        </w:tc>
        <w:tc>
          <w:tcPr>
            <w:tcW w:w="2499" w:type="dxa"/>
            <w:gridSpan w:val="2"/>
            <w:tcBorders>
              <w:top w:val="single" w:sz="4" w:space="0" w:color="auto"/>
            </w:tcBorders>
          </w:tcPr>
          <w:p w14:paraId="2C5AFBD1" w14:textId="00033B7A" w:rsidR="00F75D78" w:rsidRPr="00E75FFD" w:rsidRDefault="00F75D78">
            <w:pPr>
              <w:spacing w:before="60" w:after="60"/>
              <w:jc w:val="center"/>
              <w:rPr>
                <w:rFonts w:ascii="Arial" w:hAnsi="Arial" w:cs="Arial"/>
                <w:b/>
                <w:bCs/>
                <w:sz w:val="18"/>
                <w:szCs w:val="18"/>
              </w:rPr>
            </w:pPr>
            <w:r w:rsidRPr="00E75FFD">
              <w:rPr>
                <w:rFonts w:ascii="Arial" w:hAnsi="Arial" w:cs="Arial"/>
                <w:b/>
                <w:bCs/>
                <w:sz w:val="18"/>
                <w:szCs w:val="18"/>
              </w:rPr>
              <w:t>Successful bidder</w:t>
            </w:r>
          </w:p>
        </w:tc>
        <w:tc>
          <w:tcPr>
            <w:tcW w:w="2219" w:type="dxa"/>
            <w:gridSpan w:val="2"/>
            <w:tcBorders>
              <w:top w:val="single" w:sz="4" w:space="0" w:color="auto"/>
            </w:tcBorders>
          </w:tcPr>
          <w:p w14:paraId="397B51B3" w14:textId="35BEB702" w:rsidR="00F75D78" w:rsidRPr="00E75FFD" w:rsidRDefault="00F75D78">
            <w:pPr>
              <w:spacing w:before="60" w:after="60"/>
              <w:jc w:val="center"/>
              <w:rPr>
                <w:rFonts w:ascii="Arial" w:hAnsi="Arial" w:cs="Arial"/>
                <w:b/>
                <w:bCs/>
                <w:sz w:val="18"/>
                <w:szCs w:val="18"/>
              </w:rPr>
            </w:pPr>
            <w:r w:rsidRPr="00E75FFD">
              <w:rPr>
                <w:rFonts w:ascii="Arial" w:hAnsi="Arial" w:cs="Arial"/>
                <w:b/>
                <w:bCs/>
                <w:sz w:val="18"/>
                <w:szCs w:val="18"/>
              </w:rPr>
              <w:t>Clarendon’s bid</w:t>
            </w:r>
          </w:p>
        </w:tc>
      </w:tr>
      <w:tr w:rsidR="00F75D78" w:rsidRPr="00E75FFD" w14:paraId="70F4AFFD" w14:textId="77777777" w:rsidTr="00DA1A1B">
        <w:tc>
          <w:tcPr>
            <w:tcW w:w="846" w:type="dxa"/>
            <w:vMerge/>
            <w:tcBorders>
              <w:bottom w:val="single" w:sz="4" w:space="0" w:color="auto"/>
            </w:tcBorders>
          </w:tcPr>
          <w:p w14:paraId="76A577FE" w14:textId="77777777" w:rsidR="00F75D78" w:rsidRPr="00E75FFD" w:rsidRDefault="00F75D78">
            <w:pPr>
              <w:spacing w:before="60" w:after="60"/>
              <w:rPr>
                <w:rFonts w:ascii="Arial" w:hAnsi="Arial" w:cs="Arial"/>
                <w:b/>
                <w:bCs/>
                <w:sz w:val="18"/>
                <w:szCs w:val="18"/>
              </w:rPr>
            </w:pPr>
          </w:p>
        </w:tc>
        <w:tc>
          <w:tcPr>
            <w:tcW w:w="1628" w:type="dxa"/>
            <w:vMerge/>
            <w:tcBorders>
              <w:bottom w:val="single" w:sz="4" w:space="0" w:color="auto"/>
            </w:tcBorders>
          </w:tcPr>
          <w:p w14:paraId="0D2BFFFC" w14:textId="77777777" w:rsidR="0009222F" w:rsidRDefault="0009222F">
            <w:pPr>
              <w:spacing w:before="60" w:after="60"/>
              <w:jc w:val="center"/>
              <w:rPr>
                <w:rFonts w:ascii="Arial" w:hAnsi="Arial" w:cs="Arial"/>
                <w:b/>
                <w:bCs/>
                <w:sz w:val="18"/>
                <w:szCs w:val="18"/>
              </w:rPr>
            </w:pPr>
          </w:p>
        </w:tc>
        <w:tc>
          <w:tcPr>
            <w:tcW w:w="1824" w:type="dxa"/>
            <w:vMerge/>
            <w:tcBorders>
              <w:bottom w:val="single" w:sz="4" w:space="0" w:color="auto"/>
            </w:tcBorders>
          </w:tcPr>
          <w:p w14:paraId="7A6D74EF" w14:textId="7696A19B" w:rsidR="00D774D5" w:rsidRDefault="00D774D5">
            <w:pPr>
              <w:spacing w:before="60" w:after="60"/>
              <w:jc w:val="center"/>
              <w:rPr>
                <w:rFonts w:ascii="Arial" w:hAnsi="Arial" w:cs="Arial"/>
                <w:b/>
                <w:bCs/>
                <w:sz w:val="18"/>
                <w:szCs w:val="18"/>
              </w:rPr>
            </w:pPr>
          </w:p>
        </w:tc>
        <w:tc>
          <w:tcPr>
            <w:tcW w:w="1371" w:type="dxa"/>
            <w:tcBorders>
              <w:bottom w:val="single" w:sz="4" w:space="0" w:color="auto"/>
            </w:tcBorders>
          </w:tcPr>
          <w:p w14:paraId="44F938E5" w14:textId="015D7C12" w:rsidR="00F75D78" w:rsidRPr="00E75FFD" w:rsidRDefault="00F75D78">
            <w:pPr>
              <w:spacing w:before="60" w:after="60"/>
              <w:jc w:val="center"/>
              <w:rPr>
                <w:rFonts w:ascii="Arial" w:hAnsi="Arial" w:cs="Arial"/>
                <w:b/>
                <w:bCs/>
                <w:sz w:val="18"/>
                <w:szCs w:val="18"/>
              </w:rPr>
            </w:pPr>
            <w:r w:rsidRPr="00E75FFD">
              <w:rPr>
                <w:rFonts w:ascii="Arial" w:hAnsi="Arial" w:cs="Arial"/>
                <w:b/>
                <w:bCs/>
                <w:sz w:val="18"/>
                <w:szCs w:val="18"/>
              </w:rPr>
              <w:t>Name</w:t>
            </w:r>
          </w:p>
        </w:tc>
        <w:tc>
          <w:tcPr>
            <w:tcW w:w="1128" w:type="dxa"/>
            <w:tcBorders>
              <w:bottom w:val="single" w:sz="4" w:space="0" w:color="auto"/>
            </w:tcBorders>
          </w:tcPr>
          <w:p w14:paraId="28087924" w14:textId="77777777" w:rsidR="00F75D78" w:rsidRPr="00E75FFD" w:rsidRDefault="00F75D78">
            <w:pPr>
              <w:spacing w:before="60" w:after="60"/>
              <w:jc w:val="center"/>
              <w:rPr>
                <w:rFonts w:ascii="Arial" w:hAnsi="Arial" w:cs="Arial"/>
                <w:b/>
                <w:bCs/>
                <w:sz w:val="18"/>
                <w:szCs w:val="18"/>
              </w:rPr>
            </w:pPr>
            <w:r w:rsidRPr="00E75FFD">
              <w:rPr>
                <w:rFonts w:ascii="Arial" w:hAnsi="Arial" w:cs="Arial"/>
                <w:b/>
                <w:bCs/>
                <w:sz w:val="18"/>
                <w:szCs w:val="18"/>
              </w:rPr>
              <w:t>Score</w:t>
            </w:r>
          </w:p>
        </w:tc>
        <w:tc>
          <w:tcPr>
            <w:tcW w:w="1091" w:type="dxa"/>
            <w:tcBorders>
              <w:bottom w:val="single" w:sz="4" w:space="0" w:color="auto"/>
            </w:tcBorders>
          </w:tcPr>
          <w:p w14:paraId="681C2CA6" w14:textId="77777777" w:rsidR="00F75D78" w:rsidRPr="00E75FFD" w:rsidRDefault="00F75D78">
            <w:pPr>
              <w:spacing w:before="60" w:after="60"/>
              <w:jc w:val="center"/>
              <w:rPr>
                <w:rFonts w:ascii="Arial" w:hAnsi="Arial" w:cs="Arial"/>
                <w:b/>
                <w:bCs/>
                <w:sz w:val="18"/>
                <w:szCs w:val="18"/>
              </w:rPr>
            </w:pPr>
            <w:r w:rsidRPr="00E75FFD">
              <w:rPr>
                <w:rFonts w:ascii="Arial" w:hAnsi="Arial" w:cs="Arial"/>
                <w:b/>
                <w:bCs/>
                <w:sz w:val="18"/>
                <w:szCs w:val="18"/>
              </w:rPr>
              <w:t>Rank</w:t>
            </w:r>
          </w:p>
        </w:tc>
        <w:tc>
          <w:tcPr>
            <w:tcW w:w="1128" w:type="dxa"/>
            <w:tcBorders>
              <w:bottom w:val="single" w:sz="4" w:space="0" w:color="auto"/>
            </w:tcBorders>
          </w:tcPr>
          <w:p w14:paraId="1BE9BC97" w14:textId="77777777" w:rsidR="00F75D78" w:rsidRPr="00E75FFD" w:rsidRDefault="00F75D78">
            <w:pPr>
              <w:spacing w:before="60" w:after="60"/>
              <w:jc w:val="center"/>
              <w:rPr>
                <w:rFonts w:ascii="Arial" w:hAnsi="Arial" w:cs="Arial"/>
                <w:b/>
                <w:bCs/>
                <w:sz w:val="18"/>
                <w:szCs w:val="18"/>
              </w:rPr>
            </w:pPr>
            <w:r w:rsidRPr="00E75FFD">
              <w:rPr>
                <w:rFonts w:ascii="Arial" w:hAnsi="Arial" w:cs="Arial"/>
                <w:b/>
                <w:bCs/>
                <w:sz w:val="18"/>
                <w:szCs w:val="18"/>
              </w:rPr>
              <w:t>Score</w:t>
            </w:r>
          </w:p>
        </w:tc>
      </w:tr>
      <w:tr w:rsidR="00F75D78" w:rsidRPr="00D7540A" w14:paraId="724C1229" w14:textId="77777777" w:rsidTr="00DA1A1B">
        <w:tc>
          <w:tcPr>
            <w:tcW w:w="846" w:type="dxa"/>
            <w:tcBorders>
              <w:top w:val="single" w:sz="4" w:space="0" w:color="auto"/>
              <w:bottom w:val="single" w:sz="4" w:space="0" w:color="BFBFBF" w:themeColor="background1" w:themeShade="BF"/>
            </w:tcBorders>
          </w:tcPr>
          <w:p w14:paraId="76107385" w14:textId="0ED35BC9" w:rsidR="00F75D78" w:rsidRPr="00D7540A" w:rsidRDefault="00F75D78">
            <w:pPr>
              <w:spacing w:before="60" w:after="60"/>
              <w:rPr>
                <w:rFonts w:ascii="Arial" w:hAnsi="Arial" w:cs="Arial"/>
                <w:sz w:val="18"/>
                <w:szCs w:val="18"/>
              </w:rPr>
            </w:pPr>
            <w:r>
              <w:rPr>
                <w:rFonts w:ascii="Arial" w:hAnsi="Arial" w:cs="Arial"/>
                <w:sz w:val="18"/>
                <w:szCs w:val="18"/>
              </w:rPr>
              <w:t>Lot 1</w:t>
            </w:r>
          </w:p>
        </w:tc>
        <w:tc>
          <w:tcPr>
            <w:tcW w:w="1628" w:type="dxa"/>
            <w:tcBorders>
              <w:top w:val="single" w:sz="4" w:space="0" w:color="auto"/>
              <w:bottom w:val="single" w:sz="4" w:space="0" w:color="BFBFBF" w:themeColor="background1" w:themeShade="BF"/>
            </w:tcBorders>
          </w:tcPr>
          <w:p w14:paraId="16D1F76A" w14:textId="01BD1D81" w:rsidR="00D36341" w:rsidRDefault="00D36341">
            <w:pPr>
              <w:spacing w:before="60" w:after="60"/>
              <w:jc w:val="center"/>
              <w:rPr>
                <w:rFonts w:ascii="Arial" w:hAnsi="Arial" w:cs="Arial"/>
                <w:sz w:val="18"/>
                <w:szCs w:val="18"/>
              </w:rPr>
            </w:pPr>
            <w:r>
              <w:rPr>
                <w:rFonts w:ascii="Arial" w:hAnsi="Arial" w:cs="Arial"/>
                <w:sz w:val="18"/>
                <w:szCs w:val="18"/>
              </w:rPr>
              <w:t>North Yorkshire</w:t>
            </w:r>
          </w:p>
        </w:tc>
        <w:tc>
          <w:tcPr>
            <w:tcW w:w="1824" w:type="dxa"/>
            <w:tcBorders>
              <w:top w:val="single" w:sz="4" w:space="0" w:color="auto"/>
              <w:bottom w:val="single" w:sz="4" w:space="0" w:color="BFBFBF" w:themeColor="background1" w:themeShade="BF"/>
            </w:tcBorders>
          </w:tcPr>
          <w:p w14:paraId="0630EC69" w14:textId="499FE99D" w:rsidR="00D774D5" w:rsidRDefault="00D774D5">
            <w:pPr>
              <w:spacing w:before="60" w:after="60"/>
              <w:jc w:val="center"/>
              <w:rPr>
                <w:rFonts w:ascii="Arial" w:hAnsi="Arial" w:cs="Arial"/>
                <w:sz w:val="18"/>
                <w:szCs w:val="18"/>
              </w:rPr>
            </w:pPr>
            <w:r>
              <w:rPr>
                <w:rFonts w:ascii="Arial" w:hAnsi="Arial" w:cs="Arial"/>
                <w:sz w:val="18"/>
                <w:szCs w:val="18"/>
              </w:rPr>
              <w:t>No provider</w:t>
            </w:r>
          </w:p>
        </w:tc>
        <w:tc>
          <w:tcPr>
            <w:tcW w:w="1371" w:type="dxa"/>
            <w:tcBorders>
              <w:top w:val="single" w:sz="4" w:space="0" w:color="auto"/>
              <w:bottom w:val="single" w:sz="4" w:space="0" w:color="BFBFBF" w:themeColor="background1" w:themeShade="BF"/>
            </w:tcBorders>
          </w:tcPr>
          <w:p w14:paraId="702CA3D5" w14:textId="6F0A72B4" w:rsidR="00F75D78" w:rsidRPr="00D7540A" w:rsidRDefault="00B6421C">
            <w:pPr>
              <w:spacing w:before="60" w:after="60"/>
              <w:jc w:val="center"/>
              <w:rPr>
                <w:rFonts w:ascii="Arial" w:hAnsi="Arial" w:cs="Arial"/>
                <w:sz w:val="18"/>
                <w:szCs w:val="18"/>
              </w:rPr>
            </w:pPr>
            <w:r>
              <w:rPr>
                <w:rFonts w:ascii="Arial" w:hAnsi="Arial" w:cs="Arial"/>
                <w:sz w:val="18"/>
                <w:szCs w:val="18"/>
              </w:rPr>
              <w:t>Whitecross Dental Care</w:t>
            </w:r>
          </w:p>
        </w:tc>
        <w:tc>
          <w:tcPr>
            <w:tcW w:w="1128" w:type="dxa"/>
            <w:tcBorders>
              <w:top w:val="single" w:sz="4" w:space="0" w:color="auto"/>
              <w:bottom w:val="single" w:sz="4" w:space="0" w:color="BFBFBF" w:themeColor="background1" w:themeShade="BF"/>
            </w:tcBorders>
          </w:tcPr>
          <w:p w14:paraId="7B961F95" w14:textId="477AC230" w:rsidR="00F75D78" w:rsidRPr="00D7540A" w:rsidRDefault="00C31617">
            <w:pPr>
              <w:spacing w:before="60" w:after="60"/>
              <w:jc w:val="center"/>
              <w:rPr>
                <w:rFonts w:ascii="Arial" w:hAnsi="Arial" w:cs="Arial"/>
                <w:sz w:val="18"/>
                <w:szCs w:val="18"/>
              </w:rPr>
            </w:pPr>
            <w:r>
              <w:rPr>
                <w:rFonts w:ascii="Arial" w:hAnsi="Arial" w:cs="Arial"/>
                <w:sz w:val="18"/>
                <w:szCs w:val="18"/>
              </w:rPr>
              <w:t>82.5</w:t>
            </w:r>
            <w:r w:rsidR="00C5504C">
              <w:rPr>
                <w:rFonts w:ascii="Arial" w:hAnsi="Arial" w:cs="Arial"/>
                <w:sz w:val="18"/>
                <w:szCs w:val="18"/>
              </w:rPr>
              <w:t>0</w:t>
            </w:r>
          </w:p>
        </w:tc>
        <w:tc>
          <w:tcPr>
            <w:tcW w:w="1091" w:type="dxa"/>
            <w:tcBorders>
              <w:top w:val="single" w:sz="4" w:space="0" w:color="auto"/>
              <w:bottom w:val="single" w:sz="4" w:space="0" w:color="BFBFBF" w:themeColor="background1" w:themeShade="BF"/>
            </w:tcBorders>
          </w:tcPr>
          <w:p w14:paraId="4946850C" w14:textId="4B7893AA" w:rsidR="00F75D78" w:rsidRPr="00D7540A" w:rsidRDefault="00C5504C">
            <w:pPr>
              <w:spacing w:before="60" w:after="60"/>
              <w:jc w:val="center"/>
              <w:rPr>
                <w:rFonts w:ascii="Arial" w:hAnsi="Arial" w:cs="Arial"/>
                <w:sz w:val="18"/>
                <w:szCs w:val="18"/>
              </w:rPr>
            </w:pPr>
            <w:r>
              <w:rPr>
                <w:rFonts w:ascii="Arial" w:hAnsi="Arial" w:cs="Arial"/>
                <w:sz w:val="18"/>
                <w:szCs w:val="18"/>
              </w:rPr>
              <w:t>2</w:t>
            </w:r>
          </w:p>
        </w:tc>
        <w:tc>
          <w:tcPr>
            <w:tcW w:w="1128" w:type="dxa"/>
            <w:tcBorders>
              <w:top w:val="single" w:sz="4" w:space="0" w:color="auto"/>
              <w:bottom w:val="single" w:sz="4" w:space="0" w:color="BFBFBF" w:themeColor="background1" w:themeShade="BF"/>
            </w:tcBorders>
          </w:tcPr>
          <w:p w14:paraId="316B092F" w14:textId="160A13AA" w:rsidR="00F75D78" w:rsidRPr="00D7540A" w:rsidRDefault="00C5504C">
            <w:pPr>
              <w:spacing w:before="60" w:after="60"/>
              <w:jc w:val="center"/>
              <w:rPr>
                <w:rFonts w:ascii="Arial" w:hAnsi="Arial" w:cs="Arial"/>
                <w:sz w:val="18"/>
                <w:szCs w:val="18"/>
              </w:rPr>
            </w:pPr>
            <w:r>
              <w:rPr>
                <w:rFonts w:ascii="Arial" w:hAnsi="Arial" w:cs="Arial"/>
                <w:sz w:val="18"/>
                <w:szCs w:val="18"/>
              </w:rPr>
              <w:t>81.25</w:t>
            </w:r>
          </w:p>
        </w:tc>
      </w:tr>
      <w:tr w:rsidR="00F75D78" w:rsidRPr="00D7540A" w14:paraId="171E8253" w14:textId="77777777" w:rsidTr="00DA1A1B">
        <w:tc>
          <w:tcPr>
            <w:tcW w:w="846" w:type="dxa"/>
            <w:tcBorders>
              <w:top w:val="single" w:sz="4" w:space="0" w:color="BFBFBF" w:themeColor="background1" w:themeShade="BF"/>
              <w:bottom w:val="single" w:sz="4" w:space="0" w:color="BFBFBF" w:themeColor="background1" w:themeShade="BF"/>
            </w:tcBorders>
          </w:tcPr>
          <w:p w14:paraId="6B6190AC" w14:textId="351A8F21" w:rsidR="00F75D78" w:rsidRPr="00D7540A" w:rsidRDefault="00F75D78">
            <w:pPr>
              <w:spacing w:before="60" w:after="60"/>
              <w:rPr>
                <w:rFonts w:ascii="Arial" w:hAnsi="Arial" w:cs="Arial"/>
                <w:sz w:val="18"/>
                <w:szCs w:val="18"/>
              </w:rPr>
            </w:pPr>
            <w:r>
              <w:rPr>
                <w:rFonts w:ascii="Arial" w:hAnsi="Arial" w:cs="Arial"/>
                <w:sz w:val="18"/>
                <w:szCs w:val="18"/>
              </w:rPr>
              <w:t xml:space="preserve">Lot </w:t>
            </w:r>
            <w:r w:rsidR="00E75FFD">
              <w:rPr>
                <w:rFonts w:ascii="Arial" w:hAnsi="Arial" w:cs="Arial"/>
                <w:sz w:val="18"/>
                <w:szCs w:val="18"/>
              </w:rPr>
              <w:t>3</w:t>
            </w:r>
          </w:p>
        </w:tc>
        <w:tc>
          <w:tcPr>
            <w:tcW w:w="1628" w:type="dxa"/>
            <w:tcBorders>
              <w:top w:val="single" w:sz="4" w:space="0" w:color="BFBFBF" w:themeColor="background1" w:themeShade="BF"/>
              <w:bottom w:val="single" w:sz="4" w:space="0" w:color="BFBFBF" w:themeColor="background1" w:themeShade="BF"/>
            </w:tcBorders>
          </w:tcPr>
          <w:p w14:paraId="6EE5DC6E" w14:textId="11F70ADA" w:rsidR="00E11D58" w:rsidRDefault="00E11D58">
            <w:pPr>
              <w:spacing w:before="60" w:after="60"/>
              <w:jc w:val="center"/>
              <w:rPr>
                <w:rFonts w:ascii="Arial" w:hAnsi="Arial" w:cs="Arial"/>
                <w:sz w:val="18"/>
                <w:szCs w:val="18"/>
              </w:rPr>
            </w:pPr>
            <w:r>
              <w:rPr>
                <w:rFonts w:ascii="Arial" w:hAnsi="Arial" w:cs="Arial"/>
                <w:sz w:val="18"/>
                <w:szCs w:val="18"/>
              </w:rPr>
              <w:t>East Riding</w:t>
            </w:r>
          </w:p>
        </w:tc>
        <w:tc>
          <w:tcPr>
            <w:tcW w:w="1824" w:type="dxa"/>
            <w:tcBorders>
              <w:top w:val="single" w:sz="4" w:space="0" w:color="BFBFBF" w:themeColor="background1" w:themeShade="BF"/>
              <w:bottom w:val="single" w:sz="4" w:space="0" w:color="BFBFBF" w:themeColor="background1" w:themeShade="BF"/>
            </w:tcBorders>
          </w:tcPr>
          <w:p w14:paraId="202E3300" w14:textId="71FAFF65" w:rsidR="00C73DE4" w:rsidRDefault="00C73DE4">
            <w:pPr>
              <w:spacing w:before="60" w:after="60"/>
              <w:jc w:val="center"/>
              <w:rPr>
                <w:rFonts w:ascii="Arial" w:hAnsi="Arial" w:cs="Arial"/>
                <w:sz w:val="18"/>
                <w:szCs w:val="18"/>
              </w:rPr>
            </w:pPr>
            <w:r>
              <w:rPr>
                <w:rFonts w:ascii="Arial" w:hAnsi="Arial" w:cs="Arial"/>
                <w:sz w:val="18"/>
                <w:szCs w:val="18"/>
              </w:rPr>
              <w:t>Clifton Gardens Dental Practice</w:t>
            </w:r>
          </w:p>
        </w:tc>
        <w:tc>
          <w:tcPr>
            <w:tcW w:w="1371" w:type="dxa"/>
            <w:tcBorders>
              <w:top w:val="single" w:sz="4" w:space="0" w:color="BFBFBF" w:themeColor="background1" w:themeShade="BF"/>
              <w:bottom w:val="single" w:sz="4" w:space="0" w:color="BFBFBF" w:themeColor="background1" w:themeShade="BF"/>
            </w:tcBorders>
          </w:tcPr>
          <w:p w14:paraId="18F81856" w14:textId="3BB61546" w:rsidR="00F75D78" w:rsidRPr="00D7540A" w:rsidRDefault="00B6421C">
            <w:pPr>
              <w:spacing w:before="60" w:after="60"/>
              <w:jc w:val="center"/>
              <w:rPr>
                <w:rFonts w:ascii="Arial" w:hAnsi="Arial" w:cs="Arial"/>
                <w:sz w:val="18"/>
                <w:szCs w:val="18"/>
              </w:rPr>
            </w:pPr>
            <w:r>
              <w:rPr>
                <w:rFonts w:ascii="Arial" w:hAnsi="Arial" w:cs="Arial"/>
                <w:sz w:val="18"/>
                <w:szCs w:val="18"/>
              </w:rPr>
              <w:t>Haricovert</w:t>
            </w:r>
          </w:p>
        </w:tc>
        <w:tc>
          <w:tcPr>
            <w:tcW w:w="1128" w:type="dxa"/>
            <w:tcBorders>
              <w:top w:val="single" w:sz="4" w:space="0" w:color="BFBFBF" w:themeColor="background1" w:themeShade="BF"/>
              <w:bottom w:val="single" w:sz="4" w:space="0" w:color="BFBFBF" w:themeColor="background1" w:themeShade="BF"/>
            </w:tcBorders>
          </w:tcPr>
          <w:p w14:paraId="00CA6CD8" w14:textId="4014B1F4" w:rsidR="00F75D78" w:rsidRPr="00D7540A" w:rsidRDefault="00A74BA3">
            <w:pPr>
              <w:spacing w:before="60" w:after="60"/>
              <w:jc w:val="center"/>
              <w:rPr>
                <w:rFonts w:ascii="Arial" w:hAnsi="Arial" w:cs="Arial"/>
                <w:sz w:val="18"/>
                <w:szCs w:val="18"/>
              </w:rPr>
            </w:pPr>
            <w:r>
              <w:rPr>
                <w:rFonts w:ascii="Arial" w:hAnsi="Arial" w:cs="Arial"/>
                <w:sz w:val="18"/>
                <w:szCs w:val="18"/>
              </w:rPr>
              <w:t>85.75</w:t>
            </w:r>
          </w:p>
        </w:tc>
        <w:tc>
          <w:tcPr>
            <w:tcW w:w="1091" w:type="dxa"/>
            <w:tcBorders>
              <w:top w:val="single" w:sz="4" w:space="0" w:color="BFBFBF" w:themeColor="background1" w:themeShade="BF"/>
              <w:bottom w:val="single" w:sz="4" w:space="0" w:color="BFBFBF" w:themeColor="background1" w:themeShade="BF"/>
            </w:tcBorders>
          </w:tcPr>
          <w:p w14:paraId="70BE4686" w14:textId="6516899D" w:rsidR="00F75D78" w:rsidRPr="00D7540A" w:rsidRDefault="00175451">
            <w:pPr>
              <w:spacing w:before="60" w:after="60"/>
              <w:jc w:val="center"/>
              <w:rPr>
                <w:rFonts w:ascii="Arial" w:hAnsi="Arial" w:cs="Arial"/>
                <w:sz w:val="18"/>
                <w:szCs w:val="18"/>
              </w:rPr>
            </w:pPr>
            <w:r>
              <w:rPr>
                <w:rFonts w:ascii="Arial" w:hAnsi="Arial" w:cs="Arial"/>
                <w:sz w:val="18"/>
                <w:szCs w:val="18"/>
              </w:rPr>
              <w:t>3</w:t>
            </w:r>
          </w:p>
        </w:tc>
        <w:tc>
          <w:tcPr>
            <w:tcW w:w="1128" w:type="dxa"/>
            <w:tcBorders>
              <w:top w:val="single" w:sz="4" w:space="0" w:color="BFBFBF" w:themeColor="background1" w:themeShade="BF"/>
              <w:bottom w:val="single" w:sz="4" w:space="0" w:color="BFBFBF" w:themeColor="background1" w:themeShade="BF"/>
            </w:tcBorders>
          </w:tcPr>
          <w:p w14:paraId="4EA47B64" w14:textId="4E89CC6B" w:rsidR="00F75D78" w:rsidRPr="00D7540A" w:rsidRDefault="00175451">
            <w:pPr>
              <w:spacing w:before="60" w:after="60"/>
              <w:jc w:val="center"/>
              <w:rPr>
                <w:rFonts w:ascii="Arial" w:hAnsi="Arial" w:cs="Arial"/>
                <w:sz w:val="18"/>
                <w:szCs w:val="18"/>
              </w:rPr>
            </w:pPr>
            <w:r>
              <w:rPr>
                <w:rFonts w:ascii="Arial" w:hAnsi="Arial" w:cs="Arial"/>
                <w:sz w:val="18"/>
                <w:szCs w:val="18"/>
              </w:rPr>
              <w:t>81.25</w:t>
            </w:r>
          </w:p>
        </w:tc>
      </w:tr>
      <w:tr w:rsidR="00F75D78" w:rsidRPr="00D7540A" w14:paraId="605CE9C2" w14:textId="77777777" w:rsidTr="00DA1A1B">
        <w:tc>
          <w:tcPr>
            <w:tcW w:w="846" w:type="dxa"/>
            <w:tcBorders>
              <w:top w:val="single" w:sz="4" w:space="0" w:color="BFBFBF" w:themeColor="background1" w:themeShade="BF"/>
              <w:bottom w:val="single" w:sz="4" w:space="0" w:color="BFBFBF" w:themeColor="background1" w:themeShade="BF"/>
            </w:tcBorders>
          </w:tcPr>
          <w:p w14:paraId="7B179597" w14:textId="51BF5099" w:rsidR="00F75D78" w:rsidRDefault="00E75FFD">
            <w:pPr>
              <w:spacing w:before="60" w:after="60"/>
              <w:rPr>
                <w:rFonts w:ascii="Arial" w:hAnsi="Arial" w:cs="Arial"/>
                <w:sz w:val="18"/>
                <w:szCs w:val="18"/>
              </w:rPr>
            </w:pPr>
            <w:r>
              <w:rPr>
                <w:rFonts w:ascii="Arial" w:hAnsi="Arial" w:cs="Arial"/>
                <w:sz w:val="18"/>
                <w:szCs w:val="18"/>
              </w:rPr>
              <w:t>Lot 4</w:t>
            </w:r>
          </w:p>
        </w:tc>
        <w:tc>
          <w:tcPr>
            <w:tcW w:w="1628" w:type="dxa"/>
            <w:tcBorders>
              <w:top w:val="single" w:sz="4" w:space="0" w:color="BFBFBF" w:themeColor="background1" w:themeShade="BF"/>
              <w:bottom w:val="single" w:sz="4" w:space="0" w:color="BFBFBF" w:themeColor="background1" w:themeShade="BF"/>
            </w:tcBorders>
          </w:tcPr>
          <w:p w14:paraId="2D19F979" w14:textId="4D6805C5" w:rsidR="00E11D58" w:rsidRDefault="00E11D58">
            <w:pPr>
              <w:spacing w:before="60" w:after="60"/>
              <w:jc w:val="center"/>
              <w:rPr>
                <w:rFonts w:ascii="Arial" w:hAnsi="Arial" w:cs="Arial"/>
                <w:sz w:val="18"/>
                <w:szCs w:val="18"/>
              </w:rPr>
            </w:pPr>
            <w:r>
              <w:rPr>
                <w:rFonts w:ascii="Arial" w:hAnsi="Arial" w:cs="Arial"/>
                <w:sz w:val="18"/>
                <w:szCs w:val="18"/>
              </w:rPr>
              <w:t>Hull</w:t>
            </w:r>
          </w:p>
        </w:tc>
        <w:tc>
          <w:tcPr>
            <w:tcW w:w="1824" w:type="dxa"/>
            <w:tcBorders>
              <w:top w:val="single" w:sz="4" w:space="0" w:color="BFBFBF" w:themeColor="background1" w:themeShade="BF"/>
              <w:bottom w:val="single" w:sz="4" w:space="0" w:color="BFBFBF" w:themeColor="background1" w:themeShade="BF"/>
            </w:tcBorders>
          </w:tcPr>
          <w:p w14:paraId="7DD7C6A8" w14:textId="2BF142AD" w:rsidR="00C73DE4" w:rsidRDefault="00C73DE4">
            <w:pPr>
              <w:spacing w:before="60" w:after="60"/>
              <w:jc w:val="center"/>
              <w:rPr>
                <w:rFonts w:ascii="Arial" w:hAnsi="Arial" w:cs="Arial"/>
                <w:sz w:val="18"/>
                <w:szCs w:val="18"/>
              </w:rPr>
            </w:pPr>
            <w:r>
              <w:rPr>
                <w:rFonts w:ascii="Arial" w:hAnsi="Arial" w:cs="Arial"/>
                <w:sz w:val="18"/>
                <w:szCs w:val="18"/>
              </w:rPr>
              <w:t>City Healthcare Partnership</w:t>
            </w:r>
          </w:p>
        </w:tc>
        <w:tc>
          <w:tcPr>
            <w:tcW w:w="1371" w:type="dxa"/>
            <w:tcBorders>
              <w:top w:val="single" w:sz="4" w:space="0" w:color="BFBFBF" w:themeColor="background1" w:themeShade="BF"/>
              <w:bottom w:val="single" w:sz="4" w:space="0" w:color="BFBFBF" w:themeColor="background1" w:themeShade="BF"/>
            </w:tcBorders>
          </w:tcPr>
          <w:p w14:paraId="52D2CDF8" w14:textId="60418B49" w:rsidR="00F75D78" w:rsidRPr="00D7540A" w:rsidRDefault="00AA28F9">
            <w:pPr>
              <w:spacing w:before="60" w:after="60"/>
              <w:jc w:val="center"/>
              <w:rPr>
                <w:rFonts w:ascii="Arial" w:hAnsi="Arial" w:cs="Arial"/>
                <w:sz w:val="18"/>
                <w:szCs w:val="18"/>
              </w:rPr>
            </w:pPr>
            <w:r>
              <w:rPr>
                <w:rFonts w:ascii="Arial" w:hAnsi="Arial" w:cs="Arial"/>
                <w:sz w:val="18"/>
                <w:szCs w:val="18"/>
              </w:rPr>
              <w:t>Haricovert</w:t>
            </w:r>
          </w:p>
        </w:tc>
        <w:tc>
          <w:tcPr>
            <w:tcW w:w="1128" w:type="dxa"/>
            <w:tcBorders>
              <w:top w:val="single" w:sz="4" w:space="0" w:color="BFBFBF" w:themeColor="background1" w:themeShade="BF"/>
              <w:bottom w:val="single" w:sz="4" w:space="0" w:color="BFBFBF" w:themeColor="background1" w:themeShade="BF"/>
            </w:tcBorders>
          </w:tcPr>
          <w:p w14:paraId="7C3496B4" w14:textId="0E6F09DE" w:rsidR="00F75D78" w:rsidRPr="00D7540A" w:rsidRDefault="00175451">
            <w:pPr>
              <w:spacing w:before="60" w:after="60"/>
              <w:jc w:val="center"/>
              <w:rPr>
                <w:rFonts w:ascii="Arial" w:hAnsi="Arial" w:cs="Arial"/>
                <w:sz w:val="18"/>
                <w:szCs w:val="18"/>
              </w:rPr>
            </w:pPr>
            <w:r>
              <w:rPr>
                <w:rFonts w:ascii="Arial" w:hAnsi="Arial" w:cs="Arial"/>
                <w:sz w:val="18"/>
                <w:szCs w:val="18"/>
              </w:rPr>
              <w:t>85.75</w:t>
            </w:r>
          </w:p>
        </w:tc>
        <w:tc>
          <w:tcPr>
            <w:tcW w:w="1091" w:type="dxa"/>
            <w:tcBorders>
              <w:top w:val="single" w:sz="4" w:space="0" w:color="BFBFBF" w:themeColor="background1" w:themeShade="BF"/>
              <w:bottom w:val="single" w:sz="4" w:space="0" w:color="BFBFBF" w:themeColor="background1" w:themeShade="BF"/>
            </w:tcBorders>
          </w:tcPr>
          <w:p w14:paraId="08868203" w14:textId="54026EE6" w:rsidR="00F75D78" w:rsidRPr="00D7540A" w:rsidRDefault="005272E4">
            <w:pPr>
              <w:spacing w:before="60" w:after="60"/>
              <w:jc w:val="center"/>
              <w:rPr>
                <w:rFonts w:ascii="Arial" w:hAnsi="Arial" w:cs="Arial"/>
                <w:sz w:val="18"/>
                <w:szCs w:val="18"/>
              </w:rPr>
            </w:pPr>
            <w:r>
              <w:rPr>
                <w:rFonts w:ascii="Arial" w:hAnsi="Arial" w:cs="Arial"/>
                <w:sz w:val="18"/>
                <w:szCs w:val="18"/>
              </w:rPr>
              <w:t>4</w:t>
            </w:r>
          </w:p>
        </w:tc>
        <w:tc>
          <w:tcPr>
            <w:tcW w:w="1128" w:type="dxa"/>
            <w:tcBorders>
              <w:top w:val="single" w:sz="4" w:space="0" w:color="BFBFBF" w:themeColor="background1" w:themeShade="BF"/>
              <w:bottom w:val="single" w:sz="4" w:space="0" w:color="BFBFBF" w:themeColor="background1" w:themeShade="BF"/>
            </w:tcBorders>
          </w:tcPr>
          <w:p w14:paraId="2B366211" w14:textId="654DC6E1" w:rsidR="00F75D78" w:rsidRPr="00D7540A" w:rsidRDefault="005272E4">
            <w:pPr>
              <w:spacing w:before="60" w:after="60"/>
              <w:jc w:val="center"/>
              <w:rPr>
                <w:rFonts w:ascii="Arial" w:hAnsi="Arial" w:cs="Arial"/>
                <w:sz w:val="18"/>
                <w:szCs w:val="18"/>
              </w:rPr>
            </w:pPr>
            <w:r>
              <w:rPr>
                <w:rFonts w:ascii="Arial" w:hAnsi="Arial" w:cs="Arial"/>
                <w:sz w:val="18"/>
                <w:szCs w:val="18"/>
              </w:rPr>
              <w:t>78.75</w:t>
            </w:r>
          </w:p>
        </w:tc>
      </w:tr>
      <w:tr w:rsidR="00F75D78" w:rsidRPr="00D7540A" w14:paraId="61A648B3" w14:textId="77777777" w:rsidTr="00DA1A1B">
        <w:tc>
          <w:tcPr>
            <w:tcW w:w="846" w:type="dxa"/>
            <w:tcBorders>
              <w:top w:val="single" w:sz="4" w:space="0" w:color="BFBFBF" w:themeColor="background1" w:themeShade="BF"/>
              <w:bottom w:val="single" w:sz="4" w:space="0" w:color="BFBFBF" w:themeColor="background1" w:themeShade="BF"/>
            </w:tcBorders>
          </w:tcPr>
          <w:p w14:paraId="0BEC5AC4" w14:textId="60AEA9AD" w:rsidR="00F75D78" w:rsidRDefault="00E75FFD">
            <w:pPr>
              <w:spacing w:before="60" w:after="60"/>
              <w:rPr>
                <w:rFonts w:ascii="Arial" w:hAnsi="Arial" w:cs="Arial"/>
                <w:sz w:val="18"/>
                <w:szCs w:val="18"/>
              </w:rPr>
            </w:pPr>
            <w:r>
              <w:rPr>
                <w:rFonts w:ascii="Arial" w:hAnsi="Arial" w:cs="Arial"/>
                <w:sz w:val="18"/>
                <w:szCs w:val="18"/>
              </w:rPr>
              <w:t>Lot 5</w:t>
            </w:r>
          </w:p>
        </w:tc>
        <w:tc>
          <w:tcPr>
            <w:tcW w:w="1628" w:type="dxa"/>
            <w:tcBorders>
              <w:top w:val="single" w:sz="4" w:space="0" w:color="BFBFBF" w:themeColor="background1" w:themeShade="BF"/>
              <w:bottom w:val="single" w:sz="4" w:space="0" w:color="BFBFBF" w:themeColor="background1" w:themeShade="BF"/>
            </w:tcBorders>
          </w:tcPr>
          <w:p w14:paraId="5DAD74D1" w14:textId="2AB2265E" w:rsidR="00E11D58" w:rsidRDefault="00E11D58">
            <w:pPr>
              <w:spacing w:before="60" w:after="60"/>
              <w:jc w:val="center"/>
              <w:rPr>
                <w:rFonts w:ascii="Arial" w:hAnsi="Arial" w:cs="Arial"/>
                <w:sz w:val="18"/>
                <w:szCs w:val="18"/>
              </w:rPr>
            </w:pPr>
            <w:r>
              <w:rPr>
                <w:rFonts w:ascii="Arial" w:hAnsi="Arial" w:cs="Arial"/>
                <w:sz w:val="18"/>
                <w:szCs w:val="18"/>
              </w:rPr>
              <w:t>North &amp; NE Lincolnshire</w:t>
            </w:r>
          </w:p>
        </w:tc>
        <w:tc>
          <w:tcPr>
            <w:tcW w:w="1824" w:type="dxa"/>
            <w:tcBorders>
              <w:top w:val="single" w:sz="4" w:space="0" w:color="BFBFBF" w:themeColor="background1" w:themeShade="BF"/>
              <w:bottom w:val="single" w:sz="4" w:space="0" w:color="BFBFBF" w:themeColor="background1" w:themeShade="BF"/>
            </w:tcBorders>
          </w:tcPr>
          <w:p w14:paraId="3682E8B9" w14:textId="4219E129" w:rsidR="00E11D58" w:rsidRDefault="00C73DE4" w:rsidP="00E11D58">
            <w:pPr>
              <w:spacing w:before="60" w:after="60"/>
              <w:jc w:val="center"/>
              <w:rPr>
                <w:rFonts w:ascii="Arial" w:hAnsi="Arial" w:cs="Arial"/>
                <w:sz w:val="18"/>
                <w:szCs w:val="18"/>
              </w:rPr>
            </w:pPr>
            <w:r>
              <w:rPr>
                <w:rFonts w:ascii="Arial" w:hAnsi="Arial" w:cs="Arial"/>
                <w:sz w:val="18"/>
                <w:szCs w:val="18"/>
              </w:rPr>
              <w:t>Smile Lin</w:t>
            </w:r>
            <w:r w:rsidR="007F586F">
              <w:rPr>
                <w:rFonts w:ascii="Arial" w:hAnsi="Arial" w:cs="Arial"/>
                <w:sz w:val="18"/>
                <w:szCs w:val="18"/>
              </w:rPr>
              <w:t>c</w:t>
            </w:r>
            <w:r>
              <w:rPr>
                <w:rFonts w:ascii="Arial" w:hAnsi="Arial" w:cs="Arial"/>
                <w:sz w:val="18"/>
                <w:szCs w:val="18"/>
              </w:rPr>
              <w:t>s</w:t>
            </w:r>
          </w:p>
          <w:p w14:paraId="70F0F54A" w14:textId="516420F9" w:rsidR="00C73DE4" w:rsidRDefault="00C73DE4" w:rsidP="00E11D58">
            <w:pPr>
              <w:spacing w:before="60" w:after="60"/>
              <w:jc w:val="center"/>
              <w:rPr>
                <w:rFonts w:ascii="Arial" w:hAnsi="Arial" w:cs="Arial"/>
                <w:sz w:val="18"/>
                <w:szCs w:val="18"/>
              </w:rPr>
            </w:pPr>
            <w:r>
              <w:rPr>
                <w:rFonts w:ascii="Arial" w:hAnsi="Arial" w:cs="Arial"/>
                <w:sz w:val="18"/>
                <w:szCs w:val="18"/>
              </w:rPr>
              <w:t>The Forum</w:t>
            </w:r>
          </w:p>
        </w:tc>
        <w:tc>
          <w:tcPr>
            <w:tcW w:w="1371" w:type="dxa"/>
            <w:tcBorders>
              <w:top w:val="single" w:sz="4" w:space="0" w:color="BFBFBF" w:themeColor="background1" w:themeShade="BF"/>
              <w:bottom w:val="single" w:sz="4" w:space="0" w:color="BFBFBF" w:themeColor="background1" w:themeShade="BF"/>
            </w:tcBorders>
          </w:tcPr>
          <w:p w14:paraId="0562CB93" w14:textId="28B5EA3D" w:rsidR="00F75D78" w:rsidRPr="00D7540A" w:rsidRDefault="00C60140">
            <w:pPr>
              <w:spacing w:before="60" w:after="60"/>
              <w:jc w:val="center"/>
              <w:rPr>
                <w:rFonts w:ascii="Arial" w:hAnsi="Arial" w:cs="Arial"/>
                <w:sz w:val="18"/>
                <w:szCs w:val="18"/>
              </w:rPr>
            </w:pPr>
            <w:r>
              <w:rPr>
                <w:rFonts w:ascii="Arial" w:hAnsi="Arial" w:cs="Arial"/>
                <w:sz w:val="18"/>
                <w:szCs w:val="18"/>
              </w:rPr>
              <w:t>The Forum</w:t>
            </w:r>
            <w:r w:rsidR="00885670">
              <w:rPr>
                <w:rFonts w:ascii="Arial" w:hAnsi="Arial" w:cs="Arial"/>
                <w:sz w:val="18"/>
                <w:szCs w:val="18"/>
              </w:rPr>
              <w:t xml:space="preserve"> </w:t>
            </w:r>
            <w:r w:rsidR="0030188B" w:rsidRPr="0030188B">
              <w:rPr>
                <w:rFonts w:ascii="Arial" w:hAnsi="Arial" w:cs="Arial"/>
                <w:sz w:val="18"/>
                <w:szCs w:val="18"/>
              </w:rPr>
              <w:t>Dental Studio</w:t>
            </w:r>
            <w:r w:rsidR="00F85AD1">
              <w:rPr>
                <w:rFonts w:ascii="Arial" w:hAnsi="Arial" w:cs="Arial"/>
                <w:sz w:val="18"/>
                <w:szCs w:val="18"/>
              </w:rPr>
              <w:t xml:space="preserve"> </w:t>
            </w:r>
            <w:r w:rsidR="0030188B" w:rsidRPr="0030188B">
              <w:rPr>
                <w:rFonts w:ascii="Arial" w:hAnsi="Arial" w:cs="Arial"/>
                <w:sz w:val="18"/>
                <w:szCs w:val="18"/>
              </w:rPr>
              <w:t>/</w:t>
            </w:r>
            <w:r w:rsidR="00F85AD1">
              <w:rPr>
                <w:rFonts w:ascii="Arial" w:hAnsi="Arial" w:cs="Arial"/>
                <w:sz w:val="18"/>
                <w:szCs w:val="18"/>
              </w:rPr>
              <w:t xml:space="preserve"> </w:t>
            </w:r>
            <w:r w:rsidR="0030188B" w:rsidRPr="0030188B">
              <w:rPr>
                <w:rFonts w:ascii="Arial" w:hAnsi="Arial" w:cs="Arial"/>
                <w:sz w:val="18"/>
                <w:szCs w:val="18"/>
              </w:rPr>
              <w:t>Practice</w:t>
            </w:r>
          </w:p>
        </w:tc>
        <w:tc>
          <w:tcPr>
            <w:tcW w:w="1128" w:type="dxa"/>
            <w:tcBorders>
              <w:top w:val="single" w:sz="4" w:space="0" w:color="BFBFBF" w:themeColor="background1" w:themeShade="BF"/>
              <w:bottom w:val="single" w:sz="4" w:space="0" w:color="BFBFBF" w:themeColor="background1" w:themeShade="BF"/>
            </w:tcBorders>
          </w:tcPr>
          <w:p w14:paraId="3A288CFC" w14:textId="5BEF3CCB" w:rsidR="00F75D78" w:rsidRPr="00D7540A" w:rsidRDefault="005272E4">
            <w:pPr>
              <w:spacing w:before="60" w:after="60"/>
              <w:jc w:val="center"/>
              <w:rPr>
                <w:rFonts w:ascii="Arial" w:hAnsi="Arial" w:cs="Arial"/>
                <w:sz w:val="18"/>
                <w:szCs w:val="18"/>
              </w:rPr>
            </w:pPr>
            <w:r>
              <w:rPr>
                <w:rFonts w:ascii="Arial" w:hAnsi="Arial" w:cs="Arial"/>
                <w:sz w:val="18"/>
                <w:szCs w:val="18"/>
              </w:rPr>
              <w:t>90.25</w:t>
            </w:r>
          </w:p>
        </w:tc>
        <w:tc>
          <w:tcPr>
            <w:tcW w:w="1091" w:type="dxa"/>
            <w:tcBorders>
              <w:top w:val="single" w:sz="4" w:space="0" w:color="BFBFBF" w:themeColor="background1" w:themeShade="BF"/>
              <w:bottom w:val="single" w:sz="4" w:space="0" w:color="BFBFBF" w:themeColor="background1" w:themeShade="BF"/>
            </w:tcBorders>
          </w:tcPr>
          <w:p w14:paraId="40B57D6F" w14:textId="03FC1F00" w:rsidR="00F75D78" w:rsidRPr="00D7540A" w:rsidRDefault="005272E4">
            <w:pPr>
              <w:spacing w:before="60" w:after="60"/>
              <w:jc w:val="center"/>
              <w:rPr>
                <w:rFonts w:ascii="Arial" w:hAnsi="Arial" w:cs="Arial"/>
                <w:sz w:val="18"/>
                <w:szCs w:val="18"/>
              </w:rPr>
            </w:pPr>
            <w:r>
              <w:rPr>
                <w:rFonts w:ascii="Arial" w:hAnsi="Arial" w:cs="Arial"/>
                <w:sz w:val="18"/>
                <w:szCs w:val="18"/>
              </w:rPr>
              <w:t>3</w:t>
            </w:r>
          </w:p>
        </w:tc>
        <w:tc>
          <w:tcPr>
            <w:tcW w:w="1128" w:type="dxa"/>
            <w:tcBorders>
              <w:top w:val="single" w:sz="4" w:space="0" w:color="BFBFBF" w:themeColor="background1" w:themeShade="BF"/>
              <w:bottom w:val="single" w:sz="4" w:space="0" w:color="BFBFBF" w:themeColor="background1" w:themeShade="BF"/>
            </w:tcBorders>
          </w:tcPr>
          <w:p w14:paraId="0D99D5A8" w14:textId="54172D20" w:rsidR="00F75D78" w:rsidRPr="00D7540A" w:rsidRDefault="005272E4">
            <w:pPr>
              <w:spacing w:before="60" w:after="60"/>
              <w:jc w:val="center"/>
              <w:rPr>
                <w:rFonts w:ascii="Arial" w:hAnsi="Arial" w:cs="Arial"/>
                <w:sz w:val="18"/>
                <w:szCs w:val="18"/>
              </w:rPr>
            </w:pPr>
            <w:r>
              <w:rPr>
                <w:rFonts w:ascii="Arial" w:hAnsi="Arial" w:cs="Arial"/>
                <w:sz w:val="18"/>
                <w:szCs w:val="18"/>
              </w:rPr>
              <w:t>78.75</w:t>
            </w:r>
          </w:p>
        </w:tc>
      </w:tr>
      <w:tr w:rsidR="00F75D78" w:rsidRPr="00D7540A" w14:paraId="35D60FE7" w14:textId="77777777" w:rsidTr="00DA1A1B">
        <w:tc>
          <w:tcPr>
            <w:tcW w:w="846" w:type="dxa"/>
            <w:tcBorders>
              <w:top w:val="single" w:sz="4" w:space="0" w:color="BFBFBF" w:themeColor="background1" w:themeShade="BF"/>
              <w:bottom w:val="single" w:sz="4" w:space="0" w:color="BFBFBF" w:themeColor="background1" w:themeShade="BF"/>
            </w:tcBorders>
          </w:tcPr>
          <w:p w14:paraId="129DFCA4" w14:textId="1EB93B4D" w:rsidR="00F75D78" w:rsidRDefault="00E75FFD">
            <w:pPr>
              <w:spacing w:before="60" w:after="60"/>
              <w:rPr>
                <w:rFonts w:ascii="Arial" w:hAnsi="Arial" w:cs="Arial"/>
                <w:sz w:val="18"/>
                <w:szCs w:val="18"/>
              </w:rPr>
            </w:pPr>
            <w:r>
              <w:rPr>
                <w:rFonts w:ascii="Arial" w:hAnsi="Arial" w:cs="Arial"/>
                <w:sz w:val="18"/>
                <w:szCs w:val="18"/>
              </w:rPr>
              <w:t>Lot 6</w:t>
            </w:r>
          </w:p>
        </w:tc>
        <w:tc>
          <w:tcPr>
            <w:tcW w:w="1628" w:type="dxa"/>
            <w:tcBorders>
              <w:top w:val="single" w:sz="4" w:space="0" w:color="BFBFBF" w:themeColor="background1" w:themeShade="BF"/>
              <w:bottom w:val="single" w:sz="4" w:space="0" w:color="BFBFBF" w:themeColor="background1" w:themeShade="BF"/>
            </w:tcBorders>
          </w:tcPr>
          <w:p w14:paraId="5987384A" w14:textId="0F76A8C9" w:rsidR="00E11D58" w:rsidRDefault="00E11D58">
            <w:pPr>
              <w:spacing w:before="60" w:after="60"/>
              <w:jc w:val="center"/>
              <w:rPr>
                <w:rFonts w:ascii="Arial" w:hAnsi="Arial" w:cs="Arial"/>
                <w:sz w:val="18"/>
                <w:szCs w:val="18"/>
              </w:rPr>
            </w:pPr>
            <w:r>
              <w:rPr>
                <w:rFonts w:ascii="Arial" w:hAnsi="Arial" w:cs="Arial"/>
                <w:sz w:val="18"/>
                <w:szCs w:val="18"/>
              </w:rPr>
              <w:t>Rotherham</w:t>
            </w:r>
          </w:p>
        </w:tc>
        <w:tc>
          <w:tcPr>
            <w:tcW w:w="1824" w:type="dxa"/>
            <w:tcBorders>
              <w:top w:val="single" w:sz="4" w:space="0" w:color="BFBFBF" w:themeColor="background1" w:themeShade="BF"/>
              <w:bottom w:val="single" w:sz="4" w:space="0" w:color="BFBFBF" w:themeColor="background1" w:themeShade="BF"/>
            </w:tcBorders>
          </w:tcPr>
          <w:p w14:paraId="7466B8A3" w14:textId="0833DB9F" w:rsidR="00C73DE4" w:rsidRDefault="00C73DE4">
            <w:pPr>
              <w:spacing w:before="60" w:after="60"/>
              <w:jc w:val="center"/>
              <w:rPr>
                <w:rFonts w:ascii="Arial" w:hAnsi="Arial" w:cs="Arial"/>
                <w:sz w:val="18"/>
                <w:szCs w:val="18"/>
              </w:rPr>
            </w:pPr>
            <w:r>
              <w:rPr>
                <w:rFonts w:ascii="Arial" w:hAnsi="Arial" w:cs="Arial"/>
                <w:sz w:val="18"/>
                <w:szCs w:val="18"/>
              </w:rPr>
              <w:t>Kimberworth Park Practice</w:t>
            </w:r>
          </w:p>
        </w:tc>
        <w:tc>
          <w:tcPr>
            <w:tcW w:w="1371" w:type="dxa"/>
            <w:tcBorders>
              <w:top w:val="single" w:sz="4" w:space="0" w:color="BFBFBF" w:themeColor="background1" w:themeShade="BF"/>
              <w:bottom w:val="single" w:sz="4" w:space="0" w:color="BFBFBF" w:themeColor="background1" w:themeShade="BF"/>
            </w:tcBorders>
          </w:tcPr>
          <w:p w14:paraId="51F1ED94" w14:textId="65E7F9A1" w:rsidR="00F75D78" w:rsidRPr="00D7540A" w:rsidRDefault="00C60140">
            <w:pPr>
              <w:spacing w:before="60" w:after="60"/>
              <w:jc w:val="center"/>
              <w:rPr>
                <w:rFonts w:ascii="Arial" w:hAnsi="Arial" w:cs="Arial"/>
                <w:sz w:val="18"/>
                <w:szCs w:val="18"/>
              </w:rPr>
            </w:pPr>
            <w:r>
              <w:rPr>
                <w:rFonts w:ascii="Arial" w:hAnsi="Arial" w:cs="Arial"/>
                <w:sz w:val="18"/>
                <w:szCs w:val="18"/>
              </w:rPr>
              <w:t>JDSP Dental</w:t>
            </w:r>
          </w:p>
        </w:tc>
        <w:tc>
          <w:tcPr>
            <w:tcW w:w="1128" w:type="dxa"/>
            <w:tcBorders>
              <w:top w:val="single" w:sz="4" w:space="0" w:color="BFBFBF" w:themeColor="background1" w:themeShade="BF"/>
              <w:bottom w:val="single" w:sz="4" w:space="0" w:color="BFBFBF" w:themeColor="background1" w:themeShade="BF"/>
            </w:tcBorders>
          </w:tcPr>
          <w:p w14:paraId="493423FA" w14:textId="31EA9E12" w:rsidR="00F75D78" w:rsidRPr="00D7540A" w:rsidRDefault="00774E35">
            <w:pPr>
              <w:spacing w:before="60" w:after="60"/>
              <w:jc w:val="center"/>
              <w:rPr>
                <w:rFonts w:ascii="Arial" w:hAnsi="Arial" w:cs="Arial"/>
                <w:sz w:val="18"/>
                <w:szCs w:val="18"/>
              </w:rPr>
            </w:pPr>
            <w:r>
              <w:rPr>
                <w:rFonts w:ascii="Arial" w:hAnsi="Arial" w:cs="Arial"/>
                <w:sz w:val="18"/>
                <w:szCs w:val="18"/>
              </w:rPr>
              <w:t>79.25</w:t>
            </w:r>
          </w:p>
        </w:tc>
        <w:tc>
          <w:tcPr>
            <w:tcW w:w="1091" w:type="dxa"/>
            <w:tcBorders>
              <w:top w:val="single" w:sz="4" w:space="0" w:color="BFBFBF" w:themeColor="background1" w:themeShade="BF"/>
              <w:bottom w:val="single" w:sz="4" w:space="0" w:color="BFBFBF" w:themeColor="background1" w:themeShade="BF"/>
            </w:tcBorders>
          </w:tcPr>
          <w:p w14:paraId="70550628" w14:textId="10BEEC89" w:rsidR="00F75D78" w:rsidRPr="00D7540A" w:rsidRDefault="00774E35">
            <w:pPr>
              <w:spacing w:before="60" w:after="60"/>
              <w:jc w:val="center"/>
              <w:rPr>
                <w:rFonts w:ascii="Arial" w:hAnsi="Arial" w:cs="Arial"/>
                <w:sz w:val="18"/>
                <w:szCs w:val="18"/>
              </w:rPr>
            </w:pPr>
            <w:r>
              <w:rPr>
                <w:rFonts w:ascii="Arial" w:hAnsi="Arial" w:cs="Arial"/>
                <w:sz w:val="18"/>
                <w:szCs w:val="18"/>
              </w:rPr>
              <w:t>3</w:t>
            </w:r>
          </w:p>
        </w:tc>
        <w:tc>
          <w:tcPr>
            <w:tcW w:w="1128" w:type="dxa"/>
            <w:tcBorders>
              <w:top w:val="single" w:sz="4" w:space="0" w:color="BFBFBF" w:themeColor="background1" w:themeShade="BF"/>
              <w:bottom w:val="single" w:sz="4" w:space="0" w:color="BFBFBF" w:themeColor="background1" w:themeShade="BF"/>
            </w:tcBorders>
          </w:tcPr>
          <w:p w14:paraId="08DA32A8" w14:textId="67E7321A" w:rsidR="00F75D78" w:rsidRPr="00D7540A" w:rsidRDefault="00774E35">
            <w:pPr>
              <w:spacing w:before="60" w:after="60"/>
              <w:jc w:val="center"/>
              <w:rPr>
                <w:rFonts w:ascii="Arial" w:hAnsi="Arial" w:cs="Arial"/>
                <w:sz w:val="18"/>
                <w:szCs w:val="18"/>
              </w:rPr>
            </w:pPr>
            <w:r>
              <w:rPr>
                <w:rFonts w:ascii="Arial" w:hAnsi="Arial" w:cs="Arial"/>
                <w:sz w:val="18"/>
                <w:szCs w:val="18"/>
              </w:rPr>
              <w:t>74.25</w:t>
            </w:r>
          </w:p>
        </w:tc>
      </w:tr>
      <w:tr w:rsidR="00F75D78" w:rsidRPr="00D7540A" w14:paraId="1A9BA2C9" w14:textId="77777777" w:rsidTr="00DA1A1B">
        <w:tc>
          <w:tcPr>
            <w:tcW w:w="846" w:type="dxa"/>
            <w:tcBorders>
              <w:top w:val="single" w:sz="4" w:space="0" w:color="BFBFBF" w:themeColor="background1" w:themeShade="BF"/>
              <w:bottom w:val="single" w:sz="4" w:space="0" w:color="BFBFBF" w:themeColor="background1" w:themeShade="BF"/>
            </w:tcBorders>
          </w:tcPr>
          <w:p w14:paraId="04F00A45" w14:textId="71F5ACDC" w:rsidR="00F75D78" w:rsidRDefault="00E75FFD">
            <w:pPr>
              <w:spacing w:before="60" w:after="60"/>
              <w:rPr>
                <w:rFonts w:ascii="Arial" w:hAnsi="Arial" w:cs="Arial"/>
                <w:sz w:val="18"/>
                <w:szCs w:val="18"/>
              </w:rPr>
            </w:pPr>
            <w:r>
              <w:rPr>
                <w:rFonts w:ascii="Arial" w:hAnsi="Arial" w:cs="Arial"/>
                <w:sz w:val="18"/>
                <w:szCs w:val="18"/>
              </w:rPr>
              <w:t>Lot 7</w:t>
            </w:r>
          </w:p>
        </w:tc>
        <w:tc>
          <w:tcPr>
            <w:tcW w:w="1628" w:type="dxa"/>
            <w:tcBorders>
              <w:top w:val="single" w:sz="4" w:space="0" w:color="BFBFBF" w:themeColor="background1" w:themeShade="BF"/>
              <w:bottom w:val="single" w:sz="4" w:space="0" w:color="BFBFBF" w:themeColor="background1" w:themeShade="BF"/>
            </w:tcBorders>
          </w:tcPr>
          <w:p w14:paraId="2B8A96F5" w14:textId="6C71EAD6" w:rsidR="00E11D58" w:rsidRDefault="00E11D58">
            <w:pPr>
              <w:spacing w:before="60" w:after="60"/>
              <w:jc w:val="center"/>
              <w:rPr>
                <w:rFonts w:ascii="Arial" w:hAnsi="Arial" w:cs="Arial"/>
                <w:sz w:val="18"/>
                <w:szCs w:val="18"/>
              </w:rPr>
            </w:pPr>
            <w:r>
              <w:rPr>
                <w:rFonts w:ascii="Arial" w:hAnsi="Arial" w:cs="Arial"/>
                <w:sz w:val="18"/>
                <w:szCs w:val="18"/>
              </w:rPr>
              <w:t>Sheffield</w:t>
            </w:r>
          </w:p>
        </w:tc>
        <w:tc>
          <w:tcPr>
            <w:tcW w:w="1824" w:type="dxa"/>
            <w:tcBorders>
              <w:top w:val="single" w:sz="4" w:space="0" w:color="BFBFBF" w:themeColor="background1" w:themeShade="BF"/>
              <w:bottom w:val="single" w:sz="4" w:space="0" w:color="BFBFBF" w:themeColor="background1" w:themeShade="BF"/>
            </w:tcBorders>
          </w:tcPr>
          <w:p w14:paraId="628A8223" w14:textId="3180EFD2" w:rsidR="00C73DE4" w:rsidRDefault="00C73DE4">
            <w:pPr>
              <w:spacing w:before="60" w:after="60"/>
              <w:jc w:val="center"/>
              <w:rPr>
                <w:rFonts w:ascii="Arial" w:hAnsi="Arial" w:cs="Arial"/>
                <w:sz w:val="18"/>
                <w:szCs w:val="18"/>
              </w:rPr>
            </w:pPr>
            <w:r>
              <w:rPr>
                <w:rFonts w:ascii="Arial" w:hAnsi="Arial" w:cs="Arial"/>
                <w:sz w:val="18"/>
                <w:szCs w:val="18"/>
              </w:rPr>
              <w:t>Whitecross Dental Care</w:t>
            </w:r>
          </w:p>
        </w:tc>
        <w:tc>
          <w:tcPr>
            <w:tcW w:w="1371" w:type="dxa"/>
            <w:tcBorders>
              <w:top w:val="single" w:sz="4" w:space="0" w:color="BFBFBF" w:themeColor="background1" w:themeShade="BF"/>
              <w:bottom w:val="single" w:sz="4" w:space="0" w:color="BFBFBF" w:themeColor="background1" w:themeShade="BF"/>
            </w:tcBorders>
          </w:tcPr>
          <w:p w14:paraId="07C6A1E8" w14:textId="0F607CAB" w:rsidR="00F75D78" w:rsidRPr="00D7540A" w:rsidRDefault="00C60140">
            <w:pPr>
              <w:spacing w:before="60" w:after="60"/>
              <w:jc w:val="center"/>
              <w:rPr>
                <w:rFonts w:ascii="Arial" w:hAnsi="Arial" w:cs="Arial"/>
                <w:sz w:val="18"/>
                <w:szCs w:val="18"/>
              </w:rPr>
            </w:pPr>
            <w:r>
              <w:rPr>
                <w:rFonts w:ascii="Arial" w:hAnsi="Arial" w:cs="Arial"/>
                <w:sz w:val="18"/>
                <w:szCs w:val="18"/>
              </w:rPr>
              <w:t>Whitecross Dental Care</w:t>
            </w:r>
          </w:p>
        </w:tc>
        <w:tc>
          <w:tcPr>
            <w:tcW w:w="1128" w:type="dxa"/>
            <w:tcBorders>
              <w:top w:val="single" w:sz="4" w:space="0" w:color="BFBFBF" w:themeColor="background1" w:themeShade="BF"/>
              <w:bottom w:val="single" w:sz="4" w:space="0" w:color="BFBFBF" w:themeColor="background1" w:themeShade="BF"/>
            </w:tcBorders>
          </w:tcPr>
          <w:p w14:paraId="6A3DF488" w14:textId="4724F8A2" w:rsidR="00F75D78" w:rsidRPr="00D7540A" w:rsidRDefault="00274206">
            <w:pPr>
              <w:spacing w:before="60" w:after="60"/>
              <w:jc w:val="center"/>
              <w:rPr>
                <w:rFonts w:ascii="Arial" w:hAnsi="Arial" w:cs="Arial"/>
                <w:sz w:val="18"/>
                <w:szCs w:val="18"/>
              </w:rPr>
            </w:pPr>
            <w:r>
              <w:rPr>
                <w:rFonts w:ascii="Arial" w:hAnsi="Arial" w:cs="Arial"/>
                <w:sz w:val="18"/>
                <w:szCs w:val="18"/>
              </w:rPr>
              <w:t>82.50</w:t>
            </w:r>
          </w:p>
        </w:tc>
        <w:tc>
          <w:tcPr>
            <w:tcW w:w="1091" w:type="dxa"/>
            <w:tcBorders>
              <w:top w:val="single" w:sz="4" w:space="0" w:color="BFBFBF" w:themeColor="background1" w:themeShade="BF"/>
              <w:bottom w:val="single" w:sz="4" w:space="0" w:color="BFBFBF" w:themeColor="background1" w:themeShade="BF"/>
            </w:tcBorders>
          </w:tcPr>
          <w:p w14:paraId="65DAE889" w14:textId="706335D7" w:rsidR="00F75D78" w:rsidRPr="00D7540A" w:rsidRDefault="00274206">
            <w:pPr>
              <w:spacing w:before="60" w:after="60"/>
              <w:jc w:val="center"/>
              <w:rPr>
                <w:rFonts w:ascii="Arial" w:hAnsi="Arial" w:cs="Arial"/>
                <w:sz w:val="18"/>
                <w:szCs w:val="18"/>
              </w:rPr>
            </w:pPr>
            <w:r>
              <w:rPr>
                <w:rFonts w:ascii="Arial" w:hAnsi="Arial" w:cs="Arial"/>
                <w:sz w:val="18"/>
                <w:szCs w:val="18"/>
              </w:rPr>
              <w:t>3</w:t>
            </w:r>
          </w:p>
        </w:tc>
        <w:tc>
          <w:tcPr>
            <w:tcW w:w="1128" w:type="dxa"/>
            <w:tcBorders>
              <w:top w:val="single" w:sz="4" w:space="0" w:color="BFBFBF" w:themeColor="background1" w:themeShade="BF"/>
              <w:bottom w:val="single" w:sz="4" w:space="0" w:color="BFBFBF" w:themeColor="background1" w:themeShade="BF"/>
            </w:tcBorders>
          </w:tcPr>
          <w:p w14:paraId="1A17B586" w14:textId="00F97E6D" w:rsidR="00F75D78" w:rsidRPr="00D7540A" w:rsidRDefault="00274206">
            <w:pPr>
              <w:spacing w:before="60" w:after="60"/>
              <w:jc w:val="center"/>
              <w:rPr>
                <w:rFonts w:ascii="Arial" w:hAnsi="Arial" w:cs="Arial"/>
                <w:sz w:val="18"/>
                <w:szCs w:val="18"/>
              </w:rPr>
            </w:pPr>
            <w:r>
              <w:rPr>
                <w:rFonts w:ascii="Arial" w:hAnsi="Arial" w:cs="Arial"/>
                <w:sz w:val="18"/>
                <w:szCs w:val="18"/>
              </w:rPr>
              <w:t>78.75</w:t>
            </w:r>
          </w:p>
        </w:tc>
      </w:tr>
      <w:tr w:rsidR="00F75D78" w:rsidRPr="00D7540A" w14:paraId="1E809A7C" w14:textId="77777777" w:rsidTr="00DA1A1B">
        <w:tc>
          <w:tcPr>
            <w:tcW w:w="846" w:type="dxa"/>
            <w:tcBorders>
              <w:top w:val="single" w:sz="4" w:space="0" w:color="BFBFBF" w:themeColor="background1" w:themeShade="BF"/>
              <w:bottom w:val="single" w:sz="4" w:space="0" w:color="BFBFBF" w:themeColor="background1" w:themeShade="BF"/>
            </w:tcBorders>
          </w:tcPr>
          <w:p w14:paraId="108175C3" w14:textId="072F3855" w:rsidR="00F75D78" w:rsidRDefault="00E75FFD">
            <w:pPr>
              <w:spacing w:before="60" w:after="60"/>
              <w:rPr>
                <w:rFonts w:ascii="Arial" w:hAnsi="Arial" w:cs="Arial"/>
                <w:sz w:val="18"/>
                <w:szCs w:val="18"/>
              </w:rPr>
            </w:pPr>
            <w:r>
              <w:rPr>
                <w:rFonts w:ascii="Arial" w:hAnsi="Arial" w:cs="Arial"/>
                <w:sz w:val="18"/>
                <w:szCs w:val="18"/>
              </w:rPr>
              <w:t>Lot 8</w:t>
            </w:r>
          </w:p>
        </w:tc>
        <w:tc>
          <w:tcPr>
            <w:tcW w:w="1628" w:type="dxa"/>
            <w:tcBorders>
              <w:top w:val="single" w:sz="4" w:space="0" w:color="BFBFBF" w:themeColor="background1" w:themeShade="BF"/>
              <w:bottom w:val="single" w:sz="4" w:space="0" w:color="BFBFBF" w:themeColor="background1" w:themeShade="BF"/>
            </w:tcBorders>
          </w:tcPr>
          <w:p w14:paraId="49006040" w14:textId="22390DC1" w:rsidR="00B13ABD" w:rsidRDefault="00B13ABD">
            <w:pPr>
              <w:spacing w:before="60" w:after="60"/>
              <w:jc w:val="center"/>
              <w:rPr>
                <w:rFonts w:ascii="Arial" w:hAnsi="Arial" w:cs="Arial"/>
                <w:sz w:val="18"/>
                <w:szCs w:val="18"/>
              </w:rPr>
            </w:pPr>
            <w:r>
              <w:rPr>
                <w:rFonts w:ascii="Arial" w:hAnsi="Arial" w:cs="Arial"/>
                <w:sz w:val="18"/>
                <w:szCs w:val="18"/>
              </w:rPr>
              <w:t>Doncaster West</w:t>
            </w:r>
          </w:p>
        </w:tc>
        <w:tc>
          <w:tcPr>
            <w:tcW w:w="1824" w:type="dxa"/>
            <w:tcBorders>
              <w:top w:val="single" w:sz="4" w:space="0" w:color="BFBFBF" w:themeColor="background1" w:themeShade="BF"/>
              <w:bottom w:val="single" w:sz="4" w:space="0" w:color="BFBFBF" w:themeColor="background1" w:themeShade="BF"/>
            </w:tcBorders>
          </w:tcPr>
          <w:p w14:paraId="39660CC0" w14:textId="77777777" w:rsidR="00E11D58" w:rsidRDefault="00C73DE4" w:rsidP="00E11D58">
            <w:pPr>
              <w:spacing w:before="60" w:after="60"/>
              <w:jc w:val="center"/>
              <w:rPr>
                <w:rFonts w:ascii="Arial" w:hAnsi="Arial" w:cs="Arial"/>
                <w:sz w:val="18"/>
                <w:szCs w:val="18"/>
              </w:rPr>
            </w:pPr>
            <w:r>
              <w:rPr>
                <w:rFonts w:ascii="Arial" w:hAnsi="Arial" w:cs="Arial"/>
                <w:sz w:val="18"/>
                <w:szCs w:val="18"/>
              </w:rPr>
              <w:t>Denaby Dental Practice</w:t>
            </w:r>
          </w:p>
          <w:p w14:paraId="0BA11C0E" w14:textId="218CDBBD" w:rsidR="00C73DE4" w:rsidRDefault="00B9602E" w:rsidP="00E11D58">
            <w:pPr>
              <w:spacing w:before="60" w:after="60"/>
              <w:jc w:val="center"/>
              <w:rPr>
                <w:rFonts w:ascii="Arial" w:hAnsi="Arial" w:cs="Arial"/>
                <w:sz w:val="18"/>
                <w:szCs w:val="18"/>
              </w:rPr>
            </w:pPr>
            <w:r>
              <w:rPr>
                <w:rFonts w:ascii="Arial" w:hAnsi="Arial" w:cs="Arial"/>
                <w:sz w:val="18"/>
                <w:szCs w:val="18"/>
              </w:rPr>
              <w:t>Mr AP Rose</w:t>
            </w:r>
          </w:p>
        </w:tc>
        <w:tc>
          <w:tcPr>
            <w:tcW w:w="1371" w:type="dxa"/>
            <w:tcBorders>
              <w:top w:val="single" w:sz="4" w:space="0" w:color="BFBFBF" w:themeColor="background1" w:themeShade="BF"/>
              <w:bottom w:val="single" w:sz="4" w:space="0" w:color="BFBFBF" w:themeColor="background1" w:themeShade="BF"/>
            </w:tcBorders>
          </w:tcPr>
          <w:p w14:paraId="518F69CB" w14:textId="7B5E9A5D" w:rsidR="00F75D78" w:rsidRPr="00D7540A" w:rsidRDefault="00C60140">
            <w:pPr>
              <w:spacing w:before="60" w:after="60"/>
              <w:jc w:val="center"/>
              <w:rPr>
                <w:rFonts w:ascii="Arial" w:hAnsi="Arial" w:cs="Arial"/>
                <w:sz w:val="18"/>
                <w:szCs w:val="18"/>
              </w:rPr>
            </w:pPr>
            <w:r>
              <w:rPr>
                <w:rFonts w:ascii="Arial" w:hAnsi="Arial" w:cs="Arial"/>
                <w:sz w:val="18"/>
                <w:szCs w:val="18"/>
              </w:rPr>
              <w:t>Haricovert</w:t>
            </w:r>
          </w:p>
        </w:tc>
        <w:tc>
          <w:tcPr>
            <w:tcW w:w="1128" w:type="dxa"/>
            <w:tcBorders>
              <w:top w:val="single" w:sz="4" w:space="0" w:color="BFBFBF" w:themeColor="background1" w:themeShade="BF"/>
              <w:bottom w:val="single" w:sz="4" w:space="0" w:color="BFBFBF" w:themeColor="background1" w:themeShade="BF"/>
            </w:tcBorders>
          </w:tcPr>
          <w:p w14:paraId="05DA742E" w14:textId="58FA0B5D" w:rsidR="00F75D78" w:rsidRPr="00D7540A" w:rsidRDefault="00274206">
            <w:pPr>
              <w:spacing w:before="60" w:after="60"/>
              <w:jc w:val="center"/>
              <w:rPr>
                <w:rFonts w:ascii="Arial" w:hAnsi="Arial" w:cs="Arial"/>
                <w:sz w:val="18"/>
                <w:szCs w:val="18"/>
              </w:rPr>
            </w:pPr>
            <w:r>
              <w:rPr>
                <w:rFonts w:ascii="Arial" w:hAnsi="Arial" w:cs="Arial"/>
                <w:sz w:val="18"/>
                <w:szCs w:val="18"/>
              </w:rPr>
              <w:t>88.75</w:t>
            </w:r>
          </w:p>
        </w:tc>
        <w:tc>
          <w:tcPr>
            <w:tcW w:w="1091" w:type="dxa"/>
            <w:tcBorders>
              <w:top w:val="single" w:sz="4" w:space="0" w:color="BFBFBF" w:themeColor="background1" w:themeShade="BF"/>
              <w:bottom w:val="single" w:sz="4" w:space="0" w:color="BFBFBF" w:themeColor="background1" w:themeShade="BF"/>
            </w:tcBorders>
          </w:tcPr>
          <w:p w14:paraId="28A7BD9D" w14:textId="0926B43A" w:rsidR="00F75D78" w:rsidRPr="00D7540A" w:rsidRDefault="00327324">
            <w:pPr>
              <w:spacing w:before="60" w:after="60"/>
              <w:jc w:val="center"/>
              <w:rPr>
                <w:rFonts w:ascii="Arial" w:hAnsi="Arial" w:cs="Arial"/>
                <w:sz w:val="18"/>
                <w:szCs w:val="18"/>
              </w:rPr>
            </w:pPr>
            <w:r>
              <w:rPr>
                <w:rFonts w:ascii="Arial" w:hAnsi="Arial" w:cs="Arial"/>
                <w:sz w:val="18"/>
                <w:szCs w:val="18"/>
              </w:rPr>
              <w:t>3</w:t>
            </w:r>
          </w:p>
        </w:tc>
        <w:tc>
          <w:tcPr>
            <w:tcW w:w="1128" w:type="dxa"/>
            <w:tcBorders>
              <w:top w:val="single" w:sz="4" w:space="0" w:color="BFBFBF" w:themeColor="background1" w:themeShade="BF"/>
              <w:bottom w:val="single" w:sz="4" w:space="0" w:color="BFBFBF" w:themeColor="background1" w:themeShade="BF"/>
            </w:tcBorders>
          </w:tcPr>
          <w:p w14:paraId="4621ECA7" w14:textId="752D3FCA" w:rsidR="00F75D78" w:rsidRPr="00D7540A" w:rsidRDefault="00327324">
            <w:pPr>
              <w:spacing w:before="60" w:after="60"/>
              <w:jc w:val="center"/>
              <w:rPr>
                <w:rFonts w:ascii="Arial" w:hAnsi="Arial" w:cs="Arial"/>
                <w:sz w:val="18"/>
                <w:szCs w:val="18"/>
              </w:rPr>
            </w:pPr>
            <w:r>
              <w:rPr>
                <w:rFonts w:ascii="Arial" w:hAnsi="Arial" w:cs="Arial"/>
                <w:sz w:val="18"/>
                <w:szCs w:val="18"/>
              </w:rPr>
              <w:t>76.75</w:t>
            </w:r>
          </w:p>
        </w:tc>
      </w:tr>
      <w:tr w:rsidR="00F75D78" w:rsidRPr="00D7540A" w14:paraId="3CECA493" w14:textId="77777777" w:rsidTr="00DA1A1B">
        <w:tc>
          <w:tcPr>
            <w:tcW w:w="846" w:type="dxa"/>
            <w:tcBorders>
              <w:top w:val="single" w:sz="4" w:space="0" w:color="BFBFBF" w:themeColor="background1" w:themeShade="BF"/>
              <w:bottom w:val="single" w:sz="4" w:space="0" w:color="BFBFBF" w:themeColor="background1" w:themeShade="BF"/>
            </w:tcBorders>
          </w:tcPr>
          <w:p w14:paraId="11E5ACC6" w14:textId="25E7E77F" w:rsidR="00F75D78" w:rsidRDefault="00E75FFD">
            <w:pPr>
              <w:spacing w:before="60" w:after="60"/>
              <w:rPr>
                <w:rFonts w:ascii="Arial" w:hAnsi="Arial" w:cs="Arial"/>
                <w:sz w:val="18"/>
                <w:szCs w:val="18"/>
              </w:rPr>
            </w:pPr>
            <w:r>
              <w:rPr>
                <w:rFonts w:ascii="Arial" w:hAnsi="Arial" w:cs="Arial"/>
                <w:sz w:val="18"/>
                <w:szCs w:val="18"/>
              </w:rPr>
              <w:t>Lot 9</w:t>
            </w:r>
          </w:p>
        </w:tc>
        <w:tc>
          <w:tcPr>
            <w:tcW w:w="1628" w:type="dxa"/>
            <w:tcBorders>
              <w:top w:val="single" w:sz="4" w:space="0" w:color="BFBFBF" w:themeColor="background1" w:themeShade="BF"/>
              <w:bottom w:val="single" w:sz="4" w:space="0" w:color="BFBFBF" w:themeColor="background1" w:themeShade="BF"/>
            </w:tcBorders>
          </w:tcPr>
          <w:p w14:paraId="78F44916" w14:textId="4976A5EC" w:rsidR="00B13ABD" w:rsidRDefault="00B13ABD">
            <w:pPr>
              <w:spacing w:before="60" w:after="60"/>
              <w:jc w:val="center"/>
              <w:rPr>
                <w:rFonts w:ascii="Arial" w:hAnsi="Arial" w:cs="Arial"/>
                <w:sz w:val="18"/>
                <w:szCs w:val="18"/>
              </w:rPr>
            </w:pPr>
            <w:r>
              <w:rPr>
                <w:rFonts w:ascii="Arial" w:hAnsi="Arial" w:cs="Arial"/>
                <w:sz w:val="18"/>
                <w:szCs w:val="18"/>
              </w:rPr>
              <w:t>Doncaster East</w:t>
            </w:r>
          </w:p>
        </w:tc>
        <w:tc>
          <w:tcPr>
            <w:tcW w:w="1824" w:type="dxa"/>
            <w:tcBorders>
              <w:top w:val="single" w:sz="4" w:space="0" w:color="BFBFBF" w:themeColor="background1" w:themeShade="BF"/>
              <w:bottom w:val="single" w:sz="4" w:space="0" w:color="BFBFBF" w:themeColor="background1" w:themeShade="BF"/>
            </w:tcBorders>
          </w:tcPr>
          <w:p w14:paraId="39BEB871" w14:textId="5DD0DDBD" w:rsidR="00B9602E" w:rsidRDefault="00B9602E">
            <w:pPr>
              <w:spacing w:before="60" w:after="60"/>
              <w:jc w:val="center"/>
              <w:rPr>
                <w:rFonts w:ascii="Arial" w:hAnsi="Arial" w:cs="Arial"/>
                <w:sz w:val="18"/>
                <w:szCs w:val="18"/>
              </w:rPr>
            </w:pPr>
            <w:r>
              <w:rPr>
                <w:rFonts w:ascii="Arial" w:hAnsi="Arial" w:cs="Arial"/>
                <w:sz w:val="18"/>
                <w:szCs w:val="18"/>
              </w:rPr>
              <w:t>The Forum Practice</w:t>
            </w:r>
          </w:p>
        </w:tc>
        <w:tc>
          <w:tcPr>
            <w:tcW w:w="1371" w:type="dxa"/>
            <w:tcBorders>
              <w:top w:val="single" w:sz="4" w:space="0" w:color="BFBFBF" w:themeColor="background1" w:themeShade="BF"/>
              <w:bottom w:val="single" w:sz="4" w:space="0" w:color="BFBFBF" w:themeColor="background1" w:themeShade="BF"/>
            </w:tcBorders>
          </w:tcPr>
          <w:p w14:paraId="3321E526" w14:textId="0B2FBE1C" w:rsidR="00F75D78" w:rsidRPr="00D7540A" w:rsidRDefault="00C60140">
            <w:pPr>
              <w:spacing w:before="60" w:after="60"/>
              <w:jc w:val="center"/>
              <w:rPr>
                <w:rFonts w:ascii="Arial" w:hAnsi="Arial" w:cs="Arial"/>
                <w:sz w:val="18"/>
                <w:szCs w:val="18"/>
              </w:rPr>
            </w:pPr>
            <w:r>
              <w:rPr>
                <w:rFonts w:ascii="Arial" w:hAnsi="Arial" w:cs="Arial"/>
                <w:sz w:val="18"/>
                <w:szCs w:val="18"/>
              </w:rPr>
              <w:t>Haricovert</w:t>
            </w:r>
          </w:p>
        </w:tc>
        <w:tc>
          <w:tcPr>
            <w:tcW w:w="1128" w:type="dxa"/>
            <w:tcBorders>
              <w:top w:val="single" w:sz="4" w:space="0" w:color="BFBFBF" w:themeColor="background1" w:themeShade="BF"/>
              <w:bottom w:val="single" w:sz="4" w:space="0" w:color="BFBFBF" w:themeColor="background1" w:themeShade="BF"/>
            </w:tcBorders>
          </w:tcPr>
          <w:p w14:paraId="3660A5A4" w14:textId="4C2BDEC9" w:rsidR="00F75D78" w:rsidRPr="00D7540A" w:rsidRDefault="00327324">
            <w:pPr>
              <w:spacing w:before="60" w:after="60"/>
              <w:jc w:val="center"/>
              <w:rPr>
                <w:rFonts w:ascii="Arial" w:hAnsi="Arial" w:cs="Arial"/>
                <w:sz w:val="18"/>
                <w:szCs w:val="18"/>
              </w:rPr>
            </w:pPr>
            <w:r>
              <w:rPr>
                <w:rFonts w:ascii="Arial" w:hAnsi="Arial" w:cs="Arial"/>
                <w:sz w:val="18"/>
                <w:szCs w:val="18"/>
              </w:rPr>
              <w:t>88.75</w:t>
            </w:r>
          </w:p>
        </w:tc>
        <w:tc>
          <w:tcPr>
            <w:tcW w:w="1091" w:type="dxa"/>
            <w:tcBorders>
              <w:top w:val="single" w:sz="4" w:space="0" w:color="BFBFBF" w:themeColor="background1" w:themeShade="BF"/>
              <w:bottom w:val="single" w:sz="4" w:space="0" w:color="BFBFBF" w:themeColor="background1" w:themeShade="BF"/>
            </w:tcBorders>
          </w:tcPr>
          <w:p w14:paraId="34BF5F51" w14:textId="4A0E9E42" w:rsidR="00F75D78" w:rsidRPr="00D7540A" w:rsidRDefault="00327324">
            <w:pPr>
              <w:spacing w:before="60" w:after="60"/>
              <w:jc w:val="center"/>
              <w:rPr>
                <w:rFonts w:ascii="Arial" w:hAnsi="Arial" w:cs="Arial"/>
                <w:sz w:val="18"/>
                <w:szCs w:val="18"/>
              </w:rPr>
            </w:pPr>
            <w:r>
              <w:rPr>
                <w:rFonts w:ascii="Arial" w:hAnsi="Arial" w:cs="Arial"/>
                <w:sz w:val="18"/>
                <w:szCs w:val="18"/>
              </w:rPr>
              <w:t>3</w:t>
            </w:r>
          </w:p>
        </w:tc>
        <w:tc>
          <w:tcPr>
            <w:tcW w:w="1128" w:type="dxa"/>
            <w:tcBorders>
              <w:top w:val="single" w:sz="4" w:space="0" w:color="BFBFBF" w:themeColor="background1" w:themeShade="BF"/>
              <w:bottom w:val="single" w:sz="4" w:space="0" w:color="BFBFBF" w:themeColor="background1" w:themeShade="BF"/>
            </w:tcBorders>
          </w:tcPr>
          <w:p w14:paraId="2CB87EFE" w14:textId="3BE47F6D" w:rsidR="00F75D78" w:rsidRPr="00D7540A" w:rsidRDefault="00327324">
            <w:pPr>
              <w:spacing w:before="60" w:after="60"/>
              <w:jc w:val="center"/>
              <w:rPr>
                <w:rFonts w:ascii="Arial" w:hAnsi="Arial" w:cs="Arial"/>
                <w:sz w:val="18"/>
                <w:szCs w:val="18"/>
              </w:rPr>
            </w:pPr>
            <w:r>
              <w:rPr>
                <w:rFonts w:ascii="Arial" w:hAnsi="Arial" w:cs="Arial"/>
                <w:sz w:val="18"/>
                <w:szCs w:val="18"/>
              </w:rPr>
              <w:t>76.75</w:t>
            </w:r>
          </w:p>
        </w:tc>
      </w:tr>
      <w:tr w:rsidR="00F75D78" w:rsidRPr="00D7540A" w14:paraId="3702440A" w14:textId="77777777" w:rsidTr="00DA1A1B">
        <w:tc>
          <w:tcPr>
            <w:tcW w:w="846" w:type="dxa"/>
            <w:tcBorders>
              <w:top w:val="single" w:sz="4" w:space="0" w:color="BFBFBF" w:themeColor="background1" w:themeShade="BF"/>
              <w:bottom w:val="single" w:sz="4" w:space="0" w:color="BFBFBF" w:themeColor="background1" w:themeShade="BF"/>
            </w:tcBorders>
          </w:tcPr>
          <w:p w14:paraId="7EA01329" w14:textId="2018D24B" w:rsidR="00F75D78" w:rsidRDefault="00E75FFD">
            <w:pPr>
              <w:spacing w:before="60" w:after="60"/>
              <w:rPr>
                <w:rFonts w:ascii="Arial" w:hAnsi="Arial" w:cs="Arial"/>
                <w:sz w:val="18"/>
                <w:szCs w:val="18"/>
              </w:rPr>
            </w:pPr>
            <w:r>
              <w:rPr>
                <w:rFonts w:ascii="Arial" w:hAnsi="Arial" w:cs="Arial"/>
                <w:sz w:val="18"/>
                <w:szCs w:val="18"/>
              </w:rPr>
              <w:t>Lot 10</w:t>
            </w:r>
          </w:p>
        </w:tc>
        <w:tc>
          <w:tcPr>
            <w:tcW w:w="1628" w:type="dxa"/>
            <w:tcBorders>
              <w:top w:val="single" w:sz="4" w:space="0" w:color="BFBFBF" w:themeColor="background1" w:themeShade="BF"/>
              <w:bottom w:val="single" w:sz="4" w:space="0" w:color="BFBFBF" w:themeColor="background1" w:themeShade="BF"/>
            </w:tcBorders>
          </w:tcPr>
          <w:p w14:paraId="7D3F69F2" w14:textId="54D13720" w:rsidR="00B13ABD" w:rsidRDefault="00B13ABD">
            <w:pPr>
              <w:spacing w:before="60" w:after="60"/>
              <w:jc w:val="center"/>
              <w:rPr>
                <w:rFonts w:ascii="Arial" w:hAnsi="Arial" w:cs="Arial"/>
                <w:sz w:val="18"/>
                <w:szCs w:val="18"/>
              </w:rPr>
            </w:pPr>
            <w:r>
              <w:rPr>
                <w:rFonts w:ascii="Arial" w:hAnsi="Arial" w:cs="Arial"/>
                <w:sz w:val="18"/>
                <w:szCs w:val="18"/>
              </w:rPr>
              <w:t>Barnsley</w:t>
            </w:r>
          </w:p>
        </w:tc>
        <w:tc>
          <w:tcPr>
            <w:tcW w:w="1824" w:type="dxa"/>
            <w:tcBorders>
              <w:top w:val="single" w:sz="4" w:space="0" w:color="BFBFBF" w:themeColor="background1" w:themeShade="BF"/>
              <w:bottom w:val="single" w:sz="4" w:space="0" w:color="BFBFBF" w:themeColor="background1" w:themeShade="BF"/>
            </w:tcBorders>
          </w:tcPr>
          <w:p w14:paraId="6C6F62DA" w14:textId="68F7AE02" w:rsidR="00B9602E" w:rsidRDefault="00B9602E">
            <w:pPr>
              <w:spacing w:before="60" w:after="60"/>
              <w:jc w:val="center"/>
              <w:rPr>
                <w:rFonts w:ascii="Arial" w:hAnsi="Arial" w:cs="Arial"/>
                <w:sz w:val="18"/>
                <w:szCs w:val="18"/>
              </w:rPr>
            </w:pPr>
            <w:r>
              <w:rPr>
                <w:rFonts w:ascii="Arial" w:hAnsi="Arial" w:cs="Arial"/>
                <w:sz w:val="18"/>
                <w:szCs w:val="18"/>
              </w:rPr>
              <w:t>Whitecross Dental Care</w:t>
            </w:r>
          </w:p>
        </w:tc>
        <w:tc>
          <w:tcPr>
            <w:tcW w:w="1371" w:type="dxa"/>
            <w:tcBorders>
              <w:top w:val="single" w:sz="4" w:space="0" w:color="BFBFBF" w:themeColor="background1" w:themeShade="BF"/>
              <w:bottom w:val="single" w:sz="4" w:space="0" w:color="BFBFBF" w:themeColor="background1" w:themeShade="BF"/>
            </w:tcBorders>
          </w:tcPr>
          <w:p w14:paraId="5E0BF684" w14:textId="3E537698" w:rsidR="00F75D78" w:rsidRPr="00D7540A" w:rsidRDefault="00C60140">
            <w:pPr>
              <w:spacing w:before="60" w:after="60"/>
              <w:jc w:val="center"/>
              <w:rPr>
                <w:rFonts w:ascii="Arial" w:hAnsi="Arial" w:cs="Arial"/>
                <w:sz w:val="18"/>
                <w:szCs w:val="18"/>
              </w:rPr>
            </w:pPr>
            <w:r>
              <w:rPr>
                <w:rFonts w:ascii="Arial" w:hAnsi="Arial" w:cs="Arial"/>
                <w:sz w:val="18"/>
                <w:szCs w:val="18"/>
              </w:rPr>
              <w:t>Haricovert</w:t>
            </w:r>
          </w:p>
        </w:tc>
        <w:tc>
          <w:tcPr>
            <w:tcW w:w="1128" w:type="dxa"/>
            <w:tcBorders>
              <w:top w:val="single" w:sz="4" w:space="0" w:color="BFBFBF" w:themeColor="background1" w:themeShade="BF"/>
              <w:bottom w:val="single" w:sz="4" w:space="0" w:color="BFBFBF" w:themeColor="background1" w:themeShade="BF"/>
            </w:tcBorders>
          </w:tcPr>
          <w:p w14:paraId="0BFD1214" w14:textId="7A727F2B" w:rsidR="00F75D78" w:rsidRPr="00D7540A" w:rsidRDefault="00327324">
            <w:pPr>
              <w:spacing w:before="60" w:after="60"/>
              <w:jc w:val="center"/>
              <w:rPr>
                <w:rFonts w:ascii="Arial" w:hAnsi="Arial" w:cs="Arial"/>
                <w:sz w:val="18"/>
                <w:szCs w:val="18"/>
              </w:rPr>
            </w:pPr>
            <w:r>
              <w:rPr>
                <w:rFonts w:ascii="Arial" w:hAnsi="Arial" w:cs="Arial"/>
                <w:sz w:val="18"/>
                <w:szCs w:val="18"/>
              </w:rPr>
              <w:t>88.75</w:t>
            </w:r>
          </w:p>
        </w:tc>
        <w:tc>
          <w:tcPr>
            <w:tcW w:w="1091" w:type="dxa"/>
            <w:tcBorders>
              <w:top w:val="single" w:sz="4" w:space="0" w:color="BFBFBF" w:themeColor="background1" w:themeShade="BF"/>
              <w:bottom w:val="single" w:sz="4" w:space="0" w:color="BFBFBF" w:themeColor="background1" w:themeShade="BF"/>
            </w:tcBorders>
          </w:tcPr>
          <w:p w14:paraId="06AB40DE" w14:textId="01473EB2" w:rsidR="00F75D78" w:rsidRPr="00D7540A" w:rsidRDefault="00077F8C">
            <w:pPr>
              <w:spacing w:before="60" w:after="60"/>
              <w:jc w:val="center"/>
              <w:rPr>
                <w:rFonts w:ascii="Arial" w:hAnsi="Arial" w:cs="Arial"/>
                <w:sz w:val="18"/>
                <w:szCs w:val="18"/>
              </w:rPr>
            </w:pPr>
            <w:r>
              <w:rPr>
                <w:rFonts w:ascii="Arial" w:hAnsi="Arial" w:cs="Arial"/>
                <w:sz w:val="18"/>
                <w:szCs w:val="18"/>
              </w:rPr>
              <w:t>4</w:t>
            </w:r>
          </w:p>
        </w:tc>
        <w:tc>
          <w:tcPr>
            <w:tcW w:w="1128" w:type="dxa"/>
            <w:tcBorders>
              <w:top w:val="single" w:sz="4" w:space="0" w:color="BFBFBF" w:themeColor="background1" w:themeShade="BF"/>
              <w:bottom w:val="single" w:sz="4" w:space="0" w:color="BFBFBF" w:themeColor="background1" w:themeShade="BF"/>
            </w:tcBorders>
          </w:tcPr>
          <w:p w14:paraId="72E42F94" w14:textId="1263E739" w:rsidR="00F75D78" w:rsidRPr="00D7540A" w:rsidRDefault="00077F8C">
            <w:pPr>
              <w:spacing w:before="60" w:after="60"/>
              <w:jc w:val="center"/>
              <w:rPr>
                <w:rFonts w:ascii="Arial" w:hAnsi="Arial" w:cs="Arial"/>
                <w:sz w:val="18"/>
                <w:szCs w:val="18"/>
              </w:rPr>
            </w:pPr>
            <w:r>
              <w:rPr>
                <w:rFonts w:ascii="Arial" w:hAnsi="Arial" w:cs="Arial"/>
                <w:sz w:val="18"/>
                <w:szCs w:val="18"/>
              </w:rPr>
              <w:t>78.75</w:t>
            </w:r>
          </w:p>
        </w:tc>
      </w:tr>
      <w:tr w:rsidR="00F75D78" w:rsidRPr="00D7540A" w14:paraId="57A96A7A" w14:textId="77777777" w:rsidTr="00DA1A1B">
        <w:tc>
          <w:tcPr>
            <w:tcW w:w="846" w:type="dxa"/>
            <w:tcBorders>
              <w:top w:val="single" w:sz="4" w:space="0" w:color="BFBFBF" w:themeColor="background1" w:themeShade="BF"/>
              <w:bottom w:val="single" w:sz="4" w:space="0" w:color="BFBFBF" w:themeColor="background1" w:themeShade="BF"/>
            </w:tcBorders>
          </w:tcPr>
          <w:p w14:paraId="11A4D2FE" w14:textId="6B53FC28" w:rsidR="00F75D78" w:rsidRDefault="00E75FFD">
            <w:pPr>
              <w:spacing w:before="60" w:after="60"/>
              <w:rPr>
                <w:rFonts w:ascii="Arial" w:hAnsi="Arial" w:cs="Arial"/>
                <w:sz w:val="18"/>
                <w:szCs w:val="18"/>
              </w:rPr>
            </w:pPr>
            <w:r>
              <w:rPr>
                <w:rFonts w:ascii="Arial" w:hAnsi="Arial" w:cs="Arial"/>
                <w:sz w:val="18"/>
                <w:szCs w:val="18"/>
              </w:rPr>
              <w:t>Lot 12</w:t>
            </w:r>
          </w:p>
        </w:tc>
        <w:tc>
          <w:tcPr>
            <w:tcW w:w="1628" w:type="dxa"/>
            <w:tcBorders>
              <w:top w:val="single" w:sz="4" w:space="0" w:color="BFBFBF" w:themeColor="background1" w:themeShade="BF"/>
              <w:bottom w:val="single" w:sz="4" w:space="0" w:color="BFBFBF" w:themeColor="background1" w:themeShade="BF"/>
            </w:tcBorders>
          </w:tcPr>
          <w:p w14:paraId="523C5A59" w14:textId="5D027ABB" w:rsidR="00B13ABD" w:rsidRDefault="00B13ABD">
            <w:pPr>
              <w:spacing w:before="60" w:after="60"/>
              <w:jc w:val="center"/>
              <w:rPr>
                <w:rFonts w:ascii="Arial" w:hAnsi="Arial" w:cs="Arial"/>
                <w:sz w:val="18"/>
                <w:szCs w:val="18"/>
              </w:rPr>
            </w:pPr>
            <w:r>
              <w:rPr>
                <w:rFonts w:ascii="Arial" w:hAnsi="Arial" w:cs="Arial"/>
                <w:sz w:val="18"/>
                <w:szCs w:val="18"/>
              </w:rPr>
              <w:t>Bradford</w:t>
            </w:r>
          </w:p>
        </w:tc>
        <w:tc>
          <w:tcPr>
            <w:tcW w:w="1824" w:type="dxa"/>
            <w:tcBorders>
              <w:top w:val="single" w:sz="4" w:space="0" w:color="BFBFBF" w:themeColor="background1" w:themeShade="BF"/>
              <w:bottom w:val="single" w:sz="4" w:space="0" w:color="BFBFBF" w:themeColor="background1" w:themeShade="BF"/>
            </w:tcBorders>
          </w:tcPr>
          <w:p w14:paraId="2406E113" w14:textId="03973CC8" w:rsidR="00B9602E" w:rsidRDefault="00B9602E">
            <w:pPr>
              <w:spacing w:before="60" w:after="60"/>
              <w:jc w:val="center"/>
              <w:rPr>
                <w:rFonts w:ascii="Arial" w:hAnsi="Arial" w:cs="Arial"/>
                <w:sz w:val="18"/>
                <w:szCs w:val="18"/>
              </w:rPr>
            </w:pPr>
            <w:r>
              <w:rPr>
                <w:rFonts w:ascii="Arial" w:hAnsi="Arial" w:cs="Arial"/>
                <w:sz w:val="18"/>
                <w:szCs w:val="18"/>
              </w:rPr>
              <w:t>Ravat &amp; Ray Dental Care</w:t>
            </w:r>
          </w:p>
        </w:tc>
        <w:tc>
          <w:tcPr>
            <w:tcW w:w="1371" w:type="dxa"/>
            <w:tcBorders>
              <w:top w:val="single" w:sz="4" w:space="0" w:color="BFBFBF" w:themeColor="background1" w:themeShade="BF"/>
              <w:bottom w:val="single" w:sz="4" w:space="0" w:color="BFBFBF" w:themeColor="background1" w:themeShade="BF"/>
            </w:tcBorders>
          </w:tcPr>
          <w:p w14:paraId="7B3F0401" w14:textId="58F96F35" w:rsidR="00F75D78" w:rsidRPr="00D7540A" w:rsidRDefault="00C60140">
            <w:pPr>
              <w:spacing w:before="60" w:after="60"/>
              <w:jc w:val="center"/>
              <w:rPr>
                <w:rFonts w:ascii="Arial" w:hAnsi="Arial" w:cs="Arial"/>
                <w:sz w:val="18"/>
                <w:szCs w:val="18"/>
              </w:rPr>
            </w:pPr>
            <w:r>
              <w:rPr>
                <w:rFonts w:ascii="Arial" w:hAnsi="Arial" w:cs="Arial"/>
                <w:sz w:val="18"/>
                <w:szCs w:val="18"/>
              </w:rPr>
              <w:t>Haricovert</w:t>
            </w:r>
          </w:p>
        </w:tc>
        <w:tc>
          <w:tcPr>
            <w:tcW w:w="1128" w:type="dxa"/>
            <w:tcBorders>
              <w:top w:val="single" w:sz="4" w:space="0" w:color="BFBFBF" w:themeColor="background1" w:themeShade="BF"/>
              <w:bottom w:val="single" w:sz="4" w:space="0" w:color="BFBFBF" w:themeColor="background1" w:themeShade="BF"/>
            </w:tcBorders>
          </w:tcPr>
          <w:p w14:paraId="3B89A13C" w14:textId="181AC1BC" w:rsidR="00F75D78" w:rsidRPr="00D7540A" w:rsidRDefault="008B096E">
            <w:pPr>
              <w:spacing w:before="60" w:after="60"/>
              <w:jc w:val="center"/>
              <w:rPr>
                <w:rFonts w:ascii="Arial" w:hAnsi="Arial" w:cs="Arial"/>
                <w:sz w:val="18"/>
                <w:szCs w:val="18"/>
              </w:rPr>
            </w:pPr>
            <w:r>
              <w:rPr>
                <w:rFonts w:ascii="Arial" w:hAnsi="Arial" w:cs="Arial"/>
                <w:sz w:val="18"/>
                <w:szCs w:val="18"/>
              </w:rPr>
              <w:t>85.75</w:t>
            </w:r>
          </w:p>
        </w:tc>
        <w:tc>
          <w:tcPr>
            <w:tcW w:w="1091" w:type="dxa"/>
            <w:tcBorders>
              <w:top w:val="single" w:sz="4" w:space="0" w:color="BFBFBF" w:themeColor="background1" w:themeShade="BF"/>
              <w:bottom w:val="single" w:sz="4" w:space="0" w:color="BFBFBF" w:themeColor="background1" w:themeShade="BF"/>
            </w:tcBorders>
          </w:tcPr>
          <w:p w14:paraId="29FB52D7" w14:textId="7BCF837A" w:rsidR="00F75D78" w:rsidRPr="00D7540A" w:rsidRDefault="0090373F">
            <w:pPr>
              <w:spacing w:before="60" w:after="60"/>
              <w:jc w:val="center"/>
              <w:rPr>
                <w:rFonts w:ascii="Arial" w:hAnsi="Arial" w:cs="Arial"/>
                <w:sz w:val="18"/>
                <w:szCs w:val="18"/>
              </w:rPr>
            </w:pPr>
            <w:r>
              <w:rPr>
                <w:rFonts w:ascii="Arial" w:hAnsi="Arial" w:cs="Arial"/>
                <w:sz w:val="18"/>
                <w:szCs w:val="18"/>
              </w:rPr>
              <w:t>4</w:t>
            </w:r>
          </w:p>
        </w:tc>
        <w:tc>
          <w:tcPr>
            <w:tcW w:w="1128" w:type="dxa"/>
            <w:tcBorders>
              <w:top w:val="single" w:sz="4" w:space="0" w:color="BFBFBF" w:themeColor="background1" w:themeShade="BF"/>
              <w:bottom w:val="single" w:sz="4" w:space="0" w:color="BFBFBF" w:themeColor="background1" w:themeShade="BF"/>
            </w:tcBorders>
          </w:tcPr>
          <w:p w14:paraId="29A5C5FE" w14:textId="292B8905" w:rsidR="00F75D78" w:rsidRPr="00D7540A" w:rsidRDefault="008B096E">
            <w:pPr>
              <w:spacing w:before="60" w:after="60"/>
              <w:jc w:val="center"/>
              <w:rPr>
                <w:rFonts w:ascii="Arial" w:hAnsi="Arial" w:cs="Arial"/>
                <w:sz w:val="18"/>
                <w:szCs w:val="18"/>
              </w:rPr>
            </w:pPr>
            <w:r>
              <w:rPr>
                <w:rFonts w:ascii="Arial" w:hAnsi="Arial" w:cs="Arial"/>
                <w:sz w:val="18"/>
                <w:szCs w:val="18"/>
              </w:rPr>
              <w:t>78.25</w:t>
            </w:r>
          </w:p>
        </w:tc>
      </w:tr>
      <w:tr w:rsidR="00F75D78" w:rsidRPr="00D7540A" w14:paraId="4285B143" w14:textId="77777777" w:rsidTr="00DA1A1B">
        <w:tc>
          <w:tcPr>
            <w:tcW w:w="846" w:type="dxa"/>
            <w:tcBorders>
              <w:top w:val="single" w:sz="4" w:space="0" w:color="BFBFBF" w:themeColor="background1" w:themeShade="BF"/>
              <w:bottom w:val="single" w:sz="4" w:space="0" w:color="BFBFBF" w:themeColor="background1" w:themeShade="BF"/>
            </w:tcBorders>
          </w:tcPr>
          <w:p w14:paraId="457CDBA9" w14:textId="33B64467" w:rsidR="00F75D78" w:rsidRDefault="00E75FFD">
            <w:pPr>
              <w:spacing w:before="60" w:after="60"/>
              <w:rPr>
                <w:rFonts w:ascii="Arial" w:hAnsi="Arial" w:cs="Arial"/>
                <w:sz w:val="18"/>
                <w:szCs w:val="18"/>
              </w:rPr>
            </w:pPr>
            <w:r>
              <w:rPr>
                <w:rFonts w:ascii="Arial" w:hAnsi="Arial" w:cs="Arial"/>
                <w:sz w:val="18"/>
                <w:szCs w:val="18"/>
              </w:rPr>
              <w:t>Lot 13</w:t>
            </w:r>
          </w:p>
        </w:tc>
        <w:tc>
          <w:tcPr>
            <w:tcW w:w="1628" w:type="dxa"/>
            <w:tcBorders>
              <w:top w:val="single" w:sz="4" w:space="0" w:color="BFBFBF" w:themeColor="background1" w:themeShade="BF"/>
              <w:bottom w:val="single" w:sz="4" w:space="0" w:color="BFBFBF" w:themeColor="background1" w:themeShade="BF"/>
            </w:tcBorders>
          </w:tcPr>
          <w:p w14:paraId="34A055D5" w14:textId="432B445B" w:rsidR="005164B0" w:rsidRDefault="005164B0">
            <w:pPr>
              <w:spacing w:before="60" w:after="60"/>
              <w:jc w:val="center"/>
              <w:rPr>
                <w:rFonts w:ascii="Arial" w:hAnsi="Arial" w:cs="Arial"/>
                <w:sz w:val="18"/>
                <w:szCs w:val="18"/>
              </w:rPr>
            </w:pPr>
            <w:r>
              <w:rPr>
                <w:rFonts w:ascii="Arial" w:hAnsi="Arial" w:cs="Arial"/>
                <w:sz w:val="18"/>
                <w:szCs w:val="18"/>
              </w:rPr>
              <w:t>Wakefield</w:t>
            </w:r>
          </w:p>
        </w:tc>
        <w:tc>
          <w:tcPr>
            <w:tcW w:w="1824" w:type="dxa"/>
            <w:tcBorders>
              <w:top w:val="single" w:sz="4" w:space="0" w:color="BFBFBF" w:themeColor="background1" w:themeShade="BF"/>
              <w:bottom w:val="single" w:sz="4" w:space="0" w:color="BFBFBF" w:themeColor="background1" w:themeShade="BF"/>
            </w:tcBorders>
          </w:tcPr>
          <w:p w14:paraId="2A0A130D" w14:textId="0D573AEC" w:rsidR="00117A73" w:rsidRDefault="00117A73">
            <w:pPr>
              <w:spacing w:before="60" w:after="60"/>
              <w:jc w:val="center"/>
              <w:rPr>
                <w:rFonts w:ascii="Arial" w:hAnsi="Arial" w:cs="Arial"/>
                <w:sz w:val="18"/>
                <w:szCs w:val="18"/>
              </w:rPr>
            </w:pPr>
            <w:r>
              <w:rPr>
                <w:rFonts w:ascii="Arial" w:hAnsi="Arial" w:cs="Arial"/>
                <w:sz w:val="18"/>
                <w:szCs w:val="18"/>
              </w:rPr>
              <w:t>Mulli</w:t>
            </w:r>
          </w:p>
        </w:tc>
        <w:tc>
          <w:tcPr>
            <w:tcW w:w="1371" w:type="dxa"/>
            <w:tcBorders>
              <w:top w:val="single" w:sz="4" w:space="0" w:color="BFBFBF" w:themeColor="background1" w:themeShade="BF"/>
              <w:bottom w:val="single" w:sz="4" w:space="0" w:color="BFBFBF" w:themeColor="background1" w:themeShade="BF"/>
            </w:tcBorders>
          </w:tcPr>
          <w:p w14:paraId="6203AEBF" w14:textId="5B015699" w:rsidR="00F75D78" w:rsidRPr="00D7540A" w:rsidRDefault="00C60140">
            <w:pPr>
              <w:spacing w:before="60" w:after="60"/>
              <w:jc w:val="center"/>
              <w:rPr>
                <w:rFonts w:ascii="Arial" w:hAnsi="Arial" w:cs="Arial"/>
                <w:sz w:val="18"/>
                <w:szCs w:val="18"/>
              </w:rPr>
            </w:pPr>
            <w:r>
              <w:rPr>
                <w:rFonts w:ascii="Arial" w:hAnsi="Arial" w:cs="Arial"/>
                <w:sz w:val="18"/>
                <w:szCs w:val="18"/>
              </w:rPr>
              <w:t>Haricovert</w:t>
            </w:r>
          </w:p>
        </w:tc>
        <w:tc>
          <w:tcPr>
            <w:tcW w:w="1128" w:type="dxa"/>
            <w:tcBorders>
              <w:top w:val="single" w:sz="4" w:space="0" w:color="BFBFBF" w:themeColor="background1" w:themeShade="BF"/>
              <w:bottom w:val="single" w:sz="4" w:space="0" w:color="BFBFBF" w:themeColor="background1" w:themeShade="BF"/>
            </w:tcBorders>
          </w:tcPr>
          <w:p w14:paraId="4253B2BF" w14:textId="14C67A47" w:rsidR="00F75D78" w:rsidRPr="00D7540A" w:rsidRDefault="00DF1058">
            <w:pPr>
              <w:spacing w:before="60" w:after="60"/>
              <w:jc w:val="center"/>
              <w:rPr>
                <w:rFonts w:ascii="Arial" w:hAnsi="Arial" w:cs="Arial"/>
                <w:sz w:val="18"/>
                <w:szCs w:val="18"/>
              </w:rPr>
            </w:pPr>
            <w:r>
              <w:rPr>
                <w:rFonts w:ascii="Arial" w:hAnsi="Arial" w:cs="Arial"/>
                <w:sz w:val="18"/>
                <w:szCs w:val="18"/>
              </w:rPr>
              <w:t>93.25</w:t>
            </w:r>
          </w:p>
        </w:tc>
        <w:tc>
          <w:tcPr>
            <w:tcW w:w="1091" w:type="dxa"/>
            <w:tcBorders>
              <w:top w:val="single" w:sz="4" w:space="0" w:color="BFBFBF" w:themeColor="background1" w:themeShade="BF"/>
              <w:bottom w:val="single" w:sz="4" w:space="0" w:color="BFBFBF" w:themeColor="background1" w:themeShade="BF"/>
            </w:tcBorders>
          </w:tcPr>
          <w:p w14:paraId="1FFD2FAB" w14:textId="171B2176" w:rsidR="00F75D78" w:rsidRPr="00D7540A" w:rsidRDefault="00687462">
            <w:pPr>
              <w:spacing w:before="60" w:after="60"/>
              <w:jc w:val="center"/>
              <w:rPr>
                <w:rFonts w:ascii="Arial" w:hAnsi="Arial" w:cs="Arial"/>
                <w:sz w:val="18"/>
                <w:szCs w:val="18"/>
              </w:rPr>
            </w:pPr>
            <w:r>
              <w:rPr>
                <w:rFonts w:ascii="Arial" w:hAnsi="Arial" w:cs="Arial"/>
                <w:sz w:val="18"/>
                <w:szCs w:val="18"/>
              </w:rPr>
              <w:t>6</w:t>
            </w:r>
          </w:p>
        </w:tc>
        <w:tc>
          <w:tcPr>
            <w:tcW w:w="1128" w:type="dxa"/>
            <w:tcBorders>
              <w:top w:val="single" w:sz="4" w:space="0" w:color="BFBFBF" w:themeColor="background1" w:themeShade="BF"/>
              <w:bottom w:val="single" w:sz="4" w:space="0" w:color="BFBFBF" w:themeColor="background1" w:themeShade="BF"/>
            </w:tcBorders>
          </w:tcPr>
          <w:p w14:paraId="4F1A6446" w14:textId="655B1366" w:rsidR="00F75D78" w:rsidRPr="00D7540A" w:rsidRDefault="00687462">
            <w:pPr>
              <w:spacing w:before="60" w:after="60"/>
              <w:jc w:val="center"/>
              <w:rPr>
                <w:rFonts w:ascii="Arial" w:hAnsi="Arial" w:cs="Arial"/>
                <w:sz w:val="18"/>
                <w:szCs w:val="18"/>
              </w:rPr>
            </w:pPr>
            <w:r>
              <w:rPr>
                <w:rFonts w:ascii="Arial" w:hAnsi="Arial" w:cs="Arial"/>
                <w:sz w:val="18"/>
                <w:szCs w:val="18"/>
              </w:rPr>
              <w:t>80.75</w:t>
            </w:r>
          </w:p>
        </w:tc>
      </w:tr>
      <w:tr w:rsidR="00F75D78" w:rsidRPr="00D7540A" w14:paraId="421A8D02" w14:textId="77777777" w:rsidTr="00DA1A1B">
        <w:tc>
          <w:tcPr>
            <w:tcW w:w="846" w:type="dxa"/>
            <w:tcBorders>
              <w:top w:val="single" w:sz="4" w:space="0" w:color="BFBFBF" w:themeColor="background1" w:themeShade="BF"/>
              <w:bottom w:val="single" w:sz="4" w:space="0" w:color="BFBFBF" w:themeColor="background1" w:themeShade="BF"/>
            </w:tcBorders>
          </w:tcPr>
          <w:p w14:paraId="3360BE36" w14:textId="3F8565AB" w:rsidR="00F75D78" w:rsidRDefault="00E75FFD">
            <w:pPr>
              <w:spacing w:before="60" w:after="60"/>
              <w:rPr>
                <w:rFonts w:ascii="Arial" w:hAnsi="Arial" w:cs="Arial"/>
                <w:sz w:val="18"/>
                <w:szCs w:val="18"/>
              </w:rPr>
            </w:pPr>
            <w:r>
              <w:rPr>
                <w:rFonts w:ascii="Arial" w:hAnsi="Arial" w:cs="Arial"/>
                <w:sz w:val="18"/>
                <w:szCs w:val="18"/>
              </w:rPr>
              <w:t>Lot 14</w:t>
            </w:r>
          </w:p>
        </w:tc>
        <w:tc>
          <w:tcPr>
            <w:tcW w:w="1628" w:type="dxa"/>
            <w:tcBorders>
              <w:top w:val="single" w:sz="4" w:space="0" w:color="BFBFBF" w:themeColor="background1" w:themeShade="BF"/>
              <w:bottom w:val="single" w:sz="4" w:space="0" w:color="BFBFBF" w:themeColor="background1" w:themeShade="BF"/>
            </w:tcBorders>
          </w:tcPr>
          <w:p w14:paraId="2CD2EB52" w14:textId="6DEA2A87" w:rsidR="005164B0" w:rsidRDefault="005164B0">
            <w:pPr>
              <w:spacing w:before="60" w:after="60"/>
              <w:jc w:val="center"/>
              <w:rPr>
                <w:rFonts w:ascii="Arial" w:hAnsi="Arial" w:cs="Arial"/>
                <w:sz w:val="18"/>
                <w:szCs w:val="18"/>
              </w:rPr>
            </w:pPr>
            <w:r>
              <w:rPr>
                <w:rFonts w:ascii="Arial" w:hAnsi="Arial" w:cs="Arial"/>
                <w:sz w:val="18"/>
                <w:szCs w:val="18"/>
              </w:rPr>
              <w:t>Leeds South</w:t>
            </w:r>
          </w:p>
        </w:tc>
        <w:tc>
          <w:tcPr>
            <w:tcW w:w="1824" w:type="dxa"/>
            <w:tcBorders>
              <w:top w:val="single" w:sz="4" w:space="0" w:color="BFBFBF" w:themeColor="background1" w:themeShade="BF"/>
              <w:bottom w:val="single" w:sz="4" w:space="0" w:color="BFBFBF" w:themeColor="background1" w:themeShade="BF"/>
            </w:tcBorders>
          </w:tcPr>
          <w:p w14:paraId="0B4DC648" w14:textId="2AEC1BEC" w:rsidR="00117A73" w:rsidRDefault="00117A73">
            <w:pPr>
              <w:spacing w:before="60" w:after="60"/>
              <w:jc w:val="center"/>
              <w:rPr>
                <w:rFonts w:ascii="Arial" w:hAnsi="Arial" w:cs="Arial"/>
                <w:sz w:val="18"/>
                <w:szCs w:val="18"/>
              </w:rPr>
            </w:pPr>
            <w:r>
              <w:rPr>
                <w:rFonts w:ascii="Arial" w:hAnsi="Arial" w:cs="Arial"/>
                <w:sz w:val="18"/>
                <w:szCs w:val="18"/>
              </w:rPr>
              <w:t>Clarendon</w:t>
            </w:r>
          </w:p>
        </w:tc>
        <w:tc>
          <w:tcPr>
            <w:tcW w:w="1371" w:type="dxa"/>
            <w:tcBorders>
              <w:top w:val="single" w:sz="4" w:space="0" w:color="BFBFBF" w:themeColor="background1" w:themeShade="BF"/>
              <w:bottom w:val="single" w:sz="4" w:space="0" w:color="BFBFBF" w:themeColor="background1" w:themeShade="BF"/>
            </w:tcBorders>
          </w:tcPr>
          <w:p w14:paraId="216DF8CF" w14:textId="620B4813" w:rsidR="00F75D78" w:rsidRPr="00D7540A" w:rsidRDefault="00C60140">
            <w:pPr>
              <w:spacing w:before="60" w:after="60"/>
              <w:jc w:val="center"/>
              <w:rPr>
                <w:rFonts w:ascii="Arial" w:hAnsi="Arial" w:cs="Arial"/>
                <w:sz w:val="18"/>
                <w:szCs w:val="18"/>
              </w:rPr>
            </w:pPr>
            <w:r>
              <w:rPr>
                <w:rFonts w:ascii="Arial" w:hAnsi="Arial" w:cs="Arial"/>
                <w:sz w:val="18"/>
                <w:szCs w:val="18"/>
              </w:rPr>
              <w:t>Haricovert</w:t>
            </w:r>
          </w:p>
        </w:tc>
        <w:tc>
          <w:tcPr>
            <w:tcW w:w="1128" w:type="dxa"/>
            <w:tcBorders>
              <w:top w:val="single" w:sz="4" w:space="0" w:color="BFBFBF" w:themeColor="background1" w:themeShade="BF"/>
              <w:bottom w:val="single" w:sz="4" w:space="0" w:color="BFBFBF" w:themeColor="background1" w:themeShade="BF"/>
            </w:tcBorders>
          </w:tcPr>
          <w:p w14:paraId="12EED2DA" w14:textId="11DAA3AB" w:rsidR="00F75D78" w:rsidRPr="00D7540A" w:rsidRDefault="00D90D5D">
            <w:pPr>
              <w:spacing w:before="60" w:after="60"/>
              <w:jc w:val="center"/>
              <w:rPr>
                <w:rFonts w:ascii="Arial" w:hAnsi="Arial" w:cs="Arial"/>
                <w:sz w:val="18"/>
                <w:szCs w:val="18"/>
              </w:rPr>
            </w:pPr>
            <w:r>
              <w:rPr>
                <w:rFonts w:ascii="Arial" w:hAnsi="Arial" w:cs="Arial"/>
                <w:sz w:val="18"/>
                <w:szCs w:val="18"/>
              </w:rPr>
              <w:t>93.25</w:t>
            </w:r>
          </w:p>
        </w:tc>
        <w:tc>
          <w:tcPr>
            <w:tcW w:w="1091" w:type="dxa"/>
            <w:tcBorders>
              <w:top w:val="single" w:sz="4" w:space="0" w:color="BFBFBF" w:themeColor="background1" w:themeShade="BF"/>
              <w:bottom w:val="single" w:sz="4" w:space="0" w:color="BFBFBF" w:themeColor="background1" w:themeShade="BF"/>
            </w:tcBorders>
          </w:tcPr>
          <w:p w14:paraId="6F1BAAC4" w14:textId="0BC57FA9" w:rsidR="00F75D78" w:rsidRPr="00D7540A" w:rsidRDefault="00D90D5D">
            <w:pPr>
              <w:spacing w:before="60" w:after="60"/>
              <w:jc w:val="center"/>
              <w:rPr>
                <w:rFonts w:ascii="Arial" w:hAnsi="Arial" w:cs="Arial"/>
                <w:sz w:val="18"/>
                <w:szCs w:val="18"/>
              </w:rPr>
            </w:pPr>
            <w:r>
              <w:rPr>
                <w:rFonts w:ascii="Arial" w:hAnsi="Arial" w:cs="Arial"/>
                <w:sz w:val="18"/>
                <w:szCs w:val="18"/>
              </w:rPr>
              <w:t>5</w:t>
            </w:r>
          </w:p>
        </w:tc>
        <w:tc>
          <w:tcPr>
            <w:tcW w:w="1128" w:type="dxa"/>
            <w:tcBorders>
              <w:top w:val="single" w:sz="4" w:space="0" w:color="BFBFBF" w:themeColor="background1" w:themeShade="BF"/>
              <w:bottom w:val="single" w:sz="4" w:space="0" w:color="BFBFBF" w:themeColor="background1" w:themeShade="BF"/>
            </w:tcBorders>
          </w:tcPr>
          <w:p w14:paraId="13731C8A" w14:textId="17B73821" w:rsidR="00F75D78" w:rsidRPr="00D7540A" w:rsidRDefault="00D90D5D">
            <w:pPr>
              <w:spacing w:before="60" w:after="60"/>
              <w:jc w:val="center"/>
              <w:rPr>
                <w:rFonts w:ascii="Arial" w:hAnsi="Arial" w:cs="Arial"/>
                <w:sz w:val="18"/>
                <w:szCs w:val="18"/>
              </w:rPr>
            </w:pPr>
            <w:r>
              <w:rPr>
                <w:rFonts w:ascii="Arial" w:hAnsi="Arial" w:cs="Arial"/>
                <w:sz w:val="18"/>
                <w:szCs w:val="18"/>
              </w:rPr>
              <w:t>75.75</w:t>
            </w:r>
          </w:p>
        </w:tc>
      </w:tr>
      <w:tr w:rsidR="00F75D78" w:rsidRPr="00D7540A" w14:paraId="1485945D" w14:textId="77777777" w:rsidTr="00DA1A1B">
        <w:tc>
          <w:tcPr>
            <w:tcW w:w="846" w:type="dxa"/>
            <w:tcBorders>
              <w:top w:val="single" w:sz="4" w:space="0" w:color="BFBFBF" w:themeColor="background1" w:themeShade="BF"/>
              <w:bottom w:val="single" w:sz="4" w:space="0" w:color="BFBFBF" w:themeColor="background1" w:themeShade="BF"/>
            </w:tcBorders>
          </w:tcPr>
          <w:p w14:paraId="3CDF9B3F" w14:textId="4523646B" w:rsidR="00F75D78" w:rsidRDefault="00E75FFD">
            <w:pPr>
              <w:spacing w:before="60" w:after="60"/>
              <w:rPr>
                <w:rFonts w:ascii="Arial" w:hAnsi="Arial" w:cs="Arial"/>
                <w:sz w:val="18"/>
                <w:szCs w:val="18"/>
              </w:rPr>
            </w:pPr>
            <w:r>
              <w:rPr>
                <w:rFonts w:ascii="Arial" w:hAnsi="Arial" w:cs="Arial"/>
                <w:sz w:val="18"/>
                <w:szCs w:val="18"/>
              </w:rPr>
              <w:t>Lot 15</w:t>
            </w:r>
          </w:p>
        </w:tc>
        <w:tc>
          <w:tcPr>
            <w:tcW w:w="1628" w:type="dxa"/>
            <w:tcBorders>
              <w:top w:val="single" w:sz="4" w:space="0" w:color="BFBFBF" w:themeColor="background1" w:themeShade="BF"/>
              <w:bottom w:val="single" w:sz="4" w:space="0" w:color="BFBFBF" w:themeColor="background1" w:themeShade="BF"/>
            </w:tcBorders>
          </w:tcPr>
          <w:p w14:paraId="720B7BC4" w14:textId="4B6E6438" w:rsidR="005164B0" w:rsidRDefault="005164B0">
            <w:pPr>
              <w:spacing w:before="60" w:after="60"/>
              <w:jc w:val="center"/>
              <w:rPr>
                <w:rFonts w:ascii="Arial" w:hAnsi="Arial" w:cs="Arial"/>
                <w:sz w:val="18"/>
                <w:szCs w:val="18"/>
              </w:rPr>
            </w:pPr>
            <w:r>
              <w:rPr>
                <w:rFonts w:ascii="Arial" w:hAnsi="Arial" w:cs="Arial"/>
                <w:sz w:val="18"/>
                <w:szCs w:val="18"/>
              </w:rPr>
              <w:t>North Kirklees</w:t>
            </w:r>
          </w:p>
        </w:tc>
        <w:tc>
          <w:tcPr>
            <w:tcW w:w="1824" w:type="dxa"/>
            <w:tcBorders>
              <w:top w:val="single" w:sz="4" w:space="0" w:color="BFBFBF" w:themeColor="background1" w:themeShade="BF"/>
              <w:bottom w:val="single" w:sz="4" w:space="0" w:color="BFBFBF" w:themeColor="background1" w:themeShade="BF"/>
            </w:tcBorders>
          </w:tcPr>
          <w:p w14:paraId="6FD3FA0F" w14:textId="1F862EAD" w:rsidR="00117A73" w:rsidRDefault="00117A73">
            <w:pPr>
              <w:spacing w:before="60" w:after="60"/>
              <w:jc w:val="center"/>
              <w:rPr>
                <w:rFonts w:ascii="Arial" w:hAnsi="Arial" w:cs="Arial"/>
                <w:sz w:val="18"/>
                <w:szCs w:val="18"/>
              </w:rPr>
            </w:pPr>
            <w:r>
              <w:rPr>
                <w:rFonts w:ascii="Arial" w:hAnsi="Arial" w:cs="Arial"/>
                <w:sz w:val="18"/>
                <w:szCs w:val="18"/>
              </w:rPr>
              <w:t>Clarendon</w:t>
            </w:r>
          </w:p>
        </w:tc>
        <w:tc>
          <w:tcPr>
            <w:tcW w:w="1371" w:type="dxa"/>
            <w:tcBorders>
              <w:top w:val="single" w:sz="4" w:space="0" w:color="BFBFBF" w:themeColor="background1" w:themeShade="BF"/>
              <w:bottom w:val="single" w:sz="4" w:space="0" w:color="BFBFBF" w:themeColor="background1" w:themeShade="BF"/>
            </w:tcBorders>
          </w:tcPr>
          <w:p w14:paraId="695387D1" w14:textId="5009861E" w:rsidR="00F75D78" w:rsidRPr="00D7540A" w:rsidRDefault="00C60140">
            <w:pPr>
              <w:spacing w:before="60" w:after="60"/>
              <w:jc w:val="center"/>
              <w:rPr>
                <w:rFonts w:ascii="Arial" w:hAnsi="Arial" w:cs="Arial"/>
                <w:sz w:val="18"/>
                <w:szCs w:val="18"/>
              </w:rPr>
            </w:pPr>
            <w:r>
              <w:rPr>
                <w:rFonts w:ascii="Arial" w:hAnsi="Arial" w:cs="Arial"/>
                <w:sz w:val="18"/>
                <w:szCs w:val="18"/>
              </w:rPr>
              <w:t>Haricovert</w:t>
            </w:r>
          </w:p>
        </w:tc>
        <w:tc>
          <w:tcPr>
            <w:tcW w:w="1128" w:type="dxa"/>
            <w:tcBorders>
              <w:top w:val="single" w:sz="4" w:space="0" w:color="BFBFBF" w:themeColor="background1" w:themeShade="BF"/>
              <w:bottom w:val="single" w:sz="4" w:space="0" w:color="BFBFBF" w:themeColor="background1" w:themeShade="BF"/>
            </w:tcBorders>
          </w:tcPr>
          <w:p w14:paraId="448E4527" w14:textId="586F8A97" w:rsidR="00F75D78" w:rsidRPr="00D7540A" w:rsidRDefault="00D3644F">
            <w:pPr>
              <w:spacing w:before="60" w:after="60"/>
              <w:jc w:val="center"/>
              <w:rPr>
                <w:rFonts w:ascii="Arial" w:hAnsi="Arial" w:cs="Arial"/>
                <w:sz w:val="18"/>
                <w:szCs w:val="18"/>
              </w:rPr>
            </w:pPr>
            <w:r>
              <w:rPr>
                <w:rFonts w:ascii="Arial" w:hAnsi="Arial" w:cs="Arial"/>
                <w:sz w:val="18"/>
                <w:szCs w:val="18"/>
              </w:rPr>
              <w:t>85.75</w:t>
            </w:r>
          </w:p>
        </w:tc>
        <w:tc>
          <w:tcPr>
            <w:tcW w:w="1091" w:type="dxa"/>
            <w:tcBorders>
              <w:top w:val="single" w:sz="4" w:space="0" w:color="BFBFBF" w:themeColor="background1" w:themeShade="BF"/>
              <w:bottom w:val="single" w:sz="4" w:space="0" w:color="BFBFBF" w:themeColor="background1" w:themeShade="BF"/>
            </w:tcBorders>
          </w:tcPr>
          <w:p w14:paraId="20FFB60C" w14:textId="4BF5DA96" w:rsidR="00F75D78" w:rsidRPr="00D7540A" w:rsidRDefault="00F818DF">
            <w:pPr>
              <w:spacing w:before="60" w:after="60"/>
              <w:jc w:val="center"/>
              <w:rPr>
                <w:rFonts w:ascii="Arial" w:hAnsi="Arial" w:cs="Arial"/>
                <w:sz w:val="18"/>
                <w:szCs w:val="18"/>
              </w:rPr>
            </w:pPr>
            <w:r>
              <w:rPr>
                <w:rFonts w:ascii="Arial" w:hAnsi="Arial" w:cs="Arial"/>
                <w:sz w:val="18"/>
                <w:szCs w:val="18"/>
              </w:rPr>
              <w:t>3</w:t>
            </w:r>
          </w:p>
        </w:tc>
        <w:tc>
          <w:tcPr>
            <w:tcW w:w="1128" w:type="dxa"/>
            <w:tcBorders>
              <w:top w:val="single" w:sz="4" w:space="0" w:color="BFBFBF" w:themeColor="background1" w:themeShade="BF"/>
              <w:bottom w:val="single" w:sz="4" w:space="0" w:color="BFBFBF" w:themeColor="background1" w:themeShade="BF"/>
            </w:tcBorders>
          </w:tcPr>
          <w:p w14:paraId="0CF7ABC6" w14:textId="230AB274" w:rsidR="00F75D78" w:rsidRPr="00D7540A" w:rsidRDefault="00F818DF">
            <w:pPr>
              <w:spacing w:before="60" w:after="60"/>
              <w:jc w:val="center"/>
              <w:rPr>
                <w:rFonts w:ascii="Arial" w:hAnsi="Arial" w:cs="Arial"/>
                <w:sz w:val="18"/>
                <w:szCs w:val="18"/>
              </w:rPr>
            </w:pPr>
            <w:r>
              <w:rPr>
                <w:rFonts w:ascii="Arial" w:hAnsi="Arial" w:cs="Arial"/>
                <w:sz w:val="18"/>
                <w:szCs w:val="18"/>
              </w:rPr>
              <w:t>80.75</w:t>
            </w:r>
          </w:p>
        </w:tc>
      </w:tr>
      <w:tr w:rsidR="00F75D78" w:rsidRPr="00D7540A" w14:paraId="5BD54F23" w14:textId="77777777" w:rsidTr="00DA1A1B">
        <w:tc>
          <w:tcPr>
            <w:tcW w:w="846" w:type="dxa"/>
            <w:tcBorders>
              <w:top w:val="single" w:sz="4" w:space="0" w:color="BFBFBF" w:themeColor="background1" w:themeShade="BF"/>
              <w:bottom w:val="single" w:sz="4" w:space="0" w:color="auto"/>
            </w:tcBorders>
          </w:tcPr>
          <w:p w14:paraId="0E58CDBC" w14:textId="61DDA089" w:rsidR="00F75D78" w:rsidRDefault="00E75FFD">
            <w:pPr>
              <w:spacing w:before="60" w:after="60"/>
              <w:rPr>
                <w:rFonts w:ascii="Arial" w:hAnsi="Arial" w:cs="Arial"/>
                <w:sz w:val="18"/>
                <w:szCs w:val="18"/>
              </w:rPr>
            </w:pPr>
            <w:r>
              <w:rPr>
                <w:rFonts w:ascii="Arial" w:hAnsi="Arial" w:cs="Arial"/>
                <w:sz w:val="18"/>
                <w:szCs w:val="18"/>
              </w:rPr>
              <w:t>Lot 16</w:t>
            </w:r>
          </w:p>
        </w:tc>
        <w:tc>
          <w:tcPr>
            <w:tcW w:w="1628" w:type="dxa"/>
            <w:tcBorders>
              <w:top w:val="single" w:sz="4" w:space="0" w:color="BFBFBF" w:themeColor="background1" w:themeShade="BF"/>
              <w:bottom w:val="single" w:sz="4" w:space="0" w:color="auto"/>
            </w:tcBorders>
          </w:tcPr>
          <w:p w14:paraId="7AB797FD" w14:textId="3127B3DA" w:rsidR="005164B0" w:rsidRDefault="005164B0">
            <w:pPr>
              <w:spacing w:before="60" w:after="60"/>
              <w:jc w:val="center"/>
              <w:rPr>
                <w:rFonts w:ascii="Arial" w:hAnsi="Arial" w:cs="Arial"/>
                <w:sz w:val="18"/>
                <w:szCs w:val="18"/>
              </w:rPr>
            </w:pPr>
            <w:r>
              <w:rPr>
                <w:rFonts w:ascii="Arial" w:hAnsi="Arial" w:cs="Arial"/>
                <w:sz w:val="18"/>
                <w:szCs w:val="18"/>
              </w:rPr>
              <w:t>Greater Huddersfield</w:t>
            </w:r>
          </w:p>
        </w:tc>
        <w:tc>
          <w:tcPr>
            <w:tcW w:w="1824" w:type="dxa"/>
            <w:tcBorders>
              <w:top w:val="single" w:sz="4" w:space="0" w:color="BFBFBF" w:themeColor="background1" w:themeShade="BF"/>
              <w:bottom w:val="single" w:sz="4" w:space="0" w:color="auto"/>
            </w:tcBorders>
          </w:tcPr>
          <w:p w14:paraId="7F1EBCB6" w14:textId="5B41FD69" w:rsidR="00117A73" w:rsidRDefault="00117A73">
            <w:pPr>
              <w:spacing w:before="60" w:after="60"/>
              <w:jc w:val="center"/>
              <w:rPr>
                <w:rFonts w:ascii="Arial" w:hAnsi="Arial" w:cs="Arial"/>
                <w:sz w:val="18"/>
                <w:szCs w:val="18"/>
              </w:rPr>
            </w:pPr>
            <w:r>
              <w:rPr>
                <w:rFonts w:ascii="Arial" w:hAnsi="Arial" w:cs="Arial"/>
                <w:sz w:val="18"/>
                <w:szCs w:val="18"/>
              </w:rPr>
              <w:t>Clarendon</w:t>
            </w:r>
          </w:p>
        </w:tc>
        <w:tc>
          <w:tcPr>
            <w:tcW w:w="1371" w:type="dxa"/>
            <w:tcBorders>
              <w:top w:val="single" w:sz="4" w:space="0" w:color="BFBFBF" w:themeColor="background1" w:themeShade="BF"/>
              <w:bottom w:val="single" w:sz="4" w:space="0" w:color="auto"/>
            </w:tcBorders>
          </w:tcPr>
          <w:p w14:paraId="7FD96E46" w14:textId="7A445B87" w:rsidR="00F75D78" w:rsidRPr="00D7540A" w:rsidRDefault="00C60140">
            <w:pPr>
              <w:spacing w:before="60" w:after="60"/>
              <w:jc w:val="center"/>
              <w:rPr>
                <w:rFonts w:ascii="Arial" w:hAnsi="Arial" w:cs="Arial"/>
                <w:sz w:val="18"/>
                <w:szCs w:val="18"/>
              </w:rPr>
            </w:pPr>
            <w:r>
              <w:rPr>
                <w:rFonts w:ascii="Arial" w:hAnsi="Arial" w:cs="Arial"/>
                <w:sz w:val="18"/>
                <w:szCs w:val="18"/>
              </w:rPr>
              <w:t>Haricovert</w:t>
            </w:r>
          </w:p>
        </w:tc>
        <w:tc>
          <w:tcPr>
            <w:tcW w:w="1128" w:type="dxa"/>
            <w:tcBorders>
              <w:top w:val="single" w:sz="4" w:space="0" w:color="BFBFBF" w:themeColor="background1" w:themeShade="BF"/>
              <w:bottom w:val="single" w:sz="4" w:space="0" w:color="auto"/>
            </w:tcBorders>
          </w:tcPr>
          <w:p w14:paraId="5368707C" w14:textId="726D6554" w:rsidR="00F75D78" w:rsidRPr="00D7540A" w:rsidRDefault="00F818DF">
            <w:pPr>
              <w:spacing w:before="60" w:after="60"/>
              <w:jc w:val="center"/>
              <w:rPr>
                <w:rFonts w:ascii="Arial" w:hAnsi="Arial" w:cs="Arial"/>
                <w:sz w:val="18"/>
                <w:szCs w:val="18"/>
              </w:rPr>
            </w:pPr>
            <w:r>
              <w:rPr>
                <w:rFonts w:ascii="Arial" w:hAnsi="Arial" w:cs="Arial"/>
                <w:sz w:val="18"/>
                <w:szCs w:val="18"/>
              </w:rPr>
              <w:t>90.75</w:t>
            </w:r>
          </w:p>
        </w:tc>
        <w:tc>
          <w:tcPr>
            <w:tcW w:w="1091" w:type="dxa"/>
            <w:tcBorders>
              <w:top w:val="single" w:sz="4" w:space="0" w:color="BFBFBF" w:themeColor="background1" w:themeShade="BF"/>
              <w:bottom w:val="single" w:sz="4" w:space="0" w:color="auto"/>
            </w:tcBorders>
          </w:tcPr>
          <w:p w14:paraId="68B02507" w14:textId="69D52F84" w:rsidR="00F75D78" w:rsidRPr="00D7540A" w:rsidRDefault="00F818DF">
            <w:pPr>
              <w:spacing w:before="60" w:after="60"/>
              <w:jc w:val="center"/>
              <w:rPr>
                <w:rFonts w:ascii="Arial" w:hAnsi="Arial" w:cs="Arial"/>
                <w:sz w:val="18"/>
                <w:szCs w:val="18"/>
              </w:rPr>
            </w:pPr>
            <w:r>
              <w:rPr>
                <w:rFonts w:ascii="Arial" w:hAnsi="Arial" w:cs="Arial"/>
                <w:sz w:val="18"/>
                <w:szCs w:val="18"/>
              </w:rPr>
              <w:t>4</w:t>
            </w:r>
          </w:p>
        </w:tc>
        <w:tc>
          <w:tcPr>
            <w:tcW w:w="1128" w:type="dxa"/>
            <w:tcBorders>
              <w:top w:val="single" w:sz="4" w:space="0" w:color="BFBFBF" w:themeColor="background1" w:themeShade="BF"/>
              <w:bottom w:val="single" w:sz="4" w:space="0" w:color="auto"/>
            </w:tcBorders>
          </w:tcPr>
          <w:p w14:paraId="48897188" w14:textId="16840F92" w:rsidR="00F75D78" w:rsidRPr="00D7540A" w:rsidRDefault="00F818DF">
            <w:pPr>
              <w:spacing w:before="60" w:after="60"/>
              <w:jc w:val="center"/>
              <w:rPr>
                <w:rFonts w:ascii="Arial" w:hAnsi="Arial" w:cs="Arial"/>
                <w:sz w:val="18"/>
                <w:szCs w:val="18"/>
              </w:rPr>
            </w:pPr>
            <w:r>
              <w:rPr>
                <w:rFonts w:ascii="Arial" w:hAnsi="Arial" w:cs="Arial"/>
                <w:sz w:val="18"/>
                <w:szCs w:val="18"/>
              </w:rPr>
              <w:t>80.75</w:t>
            </w:r>
          </w:p>
        </w:tc>
      </w:tr>
    </w:tbl>
    <w:p w14:paraId="087A5936" w14:textId="09DF0413" w:rsidR="00F75D78" w:rsidRPr="002A3E27" w:rsidRDefault="005D7DCA" w:rsidP="00E75FFD">
      <w:pPr>
        <w:spacing w:before="60" w:after="360" w:line="240" w:lineRule="auto"/>
        <w:rPr>
          <w:rFonts w:ascii="Arial" w:hAnsi="Arial" w:cs="Arial"/>
          <w:sz w:val="16"/>
          <w:szCs w:val="16"/>
        </w:rPr>
      </w:pPr>
      <w:r>
        <w:rPr>
          <w:rFonts w:ascii="Arial" w:hAnsi="Arial" w:cs="Arial"/>
          <w:i/>
          <w:iCs/>
          <w:sz w:val="16"/>
          <w:szCs w:val="16"/>
        </w:rPr>
        <w:t xml:space="preserve">Note: </w:t>
      </w:r>
      <w:r w:rsidRPr="005F1BC9">
        <w:rPr>
          <w:rFonts w:ascii="Arial" w:hAnsi="Arial" w:cs="Arial"/>
          <w:sz w:val="16"/>
          <w:szCs w:val="16"/>
        </w:rPr>
        <w:t>Haricovert operates under the trading name of Trinity House Orthodontics.</w:t>
      </w:r>
      <w:r>
        <w:rPr>
          <w:rFonts w:ascii="Arial" w:hAnsi="Arial" w:cs="Arial"/>
          <w:i/>
          <w:iCs/>
          <w:sz w:val="16"/>
          <w:szCs w:val="16"/>
        </w:rPr>
        <w:br/>
      </w:r>
      <w:r w:rsidR="00E75FFD" w:rsidRPr="002A3E27">
        <w:rPr>
          <w:rFonts w:ascii="Arial" w:hAnsi="Arial" w:cs="Arial"/>
          <w:i/>
          <w:iCs/>
          <w:sz w:val="16"/>
          <w:szCs w:val="16"/>
        </w:rPr>
        <w:t>Source</w:t>
      </w:r>
      <w:r w:rsidR="00E75FFD" w:rsidRPr="002A3E27">
        <w:rPr>
          <w:rFonts w:ascii="Arial" w:hAnsi="Arial" w:cs="Arial"/>
          <w:sz w:val="16"/>
          <w:szCs w:val="16"/>
        </w:rPr>
        <w:t xml:space="preserve">: </w:t>
      </w:r>
      <w:r w:rsidR="003E3F7E">
        <w:rPr>
          <w:rFonts w:ascii="Arial" w:hAnsi="Arial" w:cs="Arial"/>
          <w:sz w:val="16"/>
          <w:szCs w:val="16"/>
        </w:rPr>
        <w:t xml:space="preserve">HNY ICB, </w:t>
      </w:r>
      <w:r w:rsidR="00FD4CAE">
        <w:rPr>
          <w:rFonts w:ascii="Arial" w:hAnsi="Arial" w:cs="Arial"/>
          <w:sz w:val="16"/>
          <w:szCs w:val="16"/>
        </w:rPr>
        <w:t>Evaluation Scoring Spreadsheet.</w:t>
      </w:r>
    </w:p>
    <w:p w14:paraId="5A7DBAD9" w14:textId="30E7F175" w:rsidR="001C53B6" w:rsidRPr="00B51851" w:rsidRDefault="001C53B6" w:rsidP="001C53B6">
      <w:pPr>
        <w:pStyle w:val="ListParagraph"/>
        <w:numPr>
          <w:ilvl w:val="0"/>
          <w:numId w:val="2"/>
        </w:numPr>
        <w:spacing w:line="276" w:lineRule="auto"/>
        <w:ind w:left="567" w:hanging="567"/>
        <w:contextualSpacing w:val="0"/>
        <w:rPr>
          <w:rFonts w:ascii="Arial" w:hAnsi="Arial" w:cs="Arial"/>
        </w:rPr>
      </w:pPr>
      <w:bookmarkStart w:id="8" w:name="_Ref196830125"/>
      <w:r>
        <w:rPr>
          <w:rFonts w:ascii="Arial" w:hAnsi="Arial" w:cs="Arial"/>
        </w:rPr>
        <w:t xml:space="preserve">On 7 March 2025, </w:t>
      </w:r>
      <w:r w:rsidRPr="00C67416">
        <w:rPr>
          <w:rFonts w:ascii="Arial" w:hAnsi="Arial" w:cs="Arial"/>
        </w:rPr>
        <w:t xml:space="preserve">Barkhill asked the Panel to advise on HNY ICB’s provider selection decisions, and on 10 March, Clarendon requested the same. </w:t>
      </w:r>
      <w:r>
        <w:rPr>
          <w:rFonts w:ascii="Arial" w:hAnsi="Arial" w:cs="Arial"/>
        </w:rPr>
        <w:t xml:space="preserve">Both requests were </w:t>
      </w:r>
      <w:r>
        <w:rPr>
          <w:rFonts w:ascii="Arial" w:hAnsi="Arial" w:cs="Arial"/>
        </w:rPr>
        <w:lastRenderedPageBreak/>
        <w:t xml:space="preserve">received by the Panel prior to the end of the standstill period. </w:t>
      </w:r>
      <w:r w:rsidRPr="00C67416">
        <w:rPr>
          <w:rFonts w:ascii="Arial" w:hAnsi="Arial" w:cs="Arial"/>
        </w:rPr>
        <w:t>The Panel accepted both requests on 12 March</w:t>
      </w:r>
      <w:r w:rsidR="008625B3">
        <w:rPr>
          <w:rFonts w:ascii="Arial" w:hAnsi="Arial" w:cs="Arial"/>
        </w:rPr>
        <w:t xml:space="preserve"> 2025</w:t>
      </w:r>
      <w:r w:rsidRPr="00B51851">
        <w:rPr>
          <w:rFonts w:ascii="Arial" w:hAnsi="Arial" w:cs="Arial"/>
        </w:rPr>
        <w:t>.</w:t>
      </w:r>
      <w:r>
        <w:rPr>
          <w:rFonts w:ascii="Arial" w:hAnsi="Arial" w:cs="Arial"/>
        </w:rPr>
        <w:t xml:space="preserve"> On being made aware of this</w:t>
      </w:r>
      <w:r w:rsidRPr="00470F6D">
        <w:rPr>
          <w:rFonts w:ascii="Arial" w:hAnsi="Arial" w:cs="Arial"/>
        </w:rPr>
        <w:t>,</w:t>
      </w:r>
      <w:r>
        <w:rPr>
          <w:rFonts w:ascii="Arial" w:hAnsi="Arial" w:cs="Arial"/>
        </w:rPr>
        <w:t xml:space="preserve"> HNY ICB</w:t>
      </w:r>
      <w:r w:rsidRPr="00470F6D">
        <w:rPr>
          <w:rFonts w:ascii="Arial" w:hAnsi="Arial" w:cs="Arial"/>
        </w:rPr>
        <w:t xml:space="preserve"> confirmed that it would hold the standstill period open for the duration of the Panel’s review</w:t>
      </w:r>
      <w:r>
        <w:rPr>
          <w:rFonts w:ascii="Arial" w:hAnsi="Arial" w:cs="Arial"/>
        </w:rPr>
        <w:t>, as required under the PSR regulations</w:t>
      </w:r>
      <w:r w:rsidRPr="00470F6D">
        <w:rPr>
          <w:rFonts w:ascii="Arial" w:hAnsi="Arial" w:cs="Arial"/>
        </w:rPr>
        <w:t>.</w:t>
      </w:r>
      <w:bookmarkEnd w:id="8"/>
    </w:p>
    <w:p w14:paraId="570C8721" w14:textId="668FF1CF" w:rsidR="00CB0AFE" w:rsidRPr="009120FE" w:rsidRDefault="007B7F6C" w:rsidP="00CB0AFE">
      <w:pPr>
        <w:pStyle w:val="Heading1"/>
        <w:numPr>
          <w:ilvl w:val="0"/>
          <w:numId w:val="1"/>
        </w:numPr>
        <w:spacing w:before="360" w:after="240"/>
        <w:ind w:left="0" w:firstLine="0"/>
        <w:rPr>
          <w:rFonts w:ascii="Arial" w:hAnsi="Arial" w:cs="Arial"/>
          <w:b/>
          <w:bCs/>
          <w:color w:val="000000" w:themeColor="text1"/>
          <w:sz w:val="28"/>
          <w:szCs w:val="28"/>
        </w:rPr>
      </w:pPr>
      <w:bookmarkStart w:id="9" w:name="_Toc198745103"/>
      <w:r>
        <w:rPr>
          <w:rFonts w:ascii="Arial" w:hAnsi="Arial" w:cs="Arial"/>
          <w:b/>
          <w:bCs/>
          <w:color w:val="000000" w:themeColor="text1"/>
          <w:sz w:val="28"/>
          <w:szCs w:val="28"/>
        </w:rPr>
        <w:t>Barkhill’s r</w:t>
      </w:r>
      <w:r w:rsidR="00CB0AFE" w:rsidRPr="11A3D504">
        <w:rPr>
          <w:rFonts w:ascii="Arial" w:hAnsi="Arial" w:cs="Arial"/>
          <w:b/>
          <w:bCs/>
          <w:color w:val="000000" w:themeColor="text1"/>
          <w:sz w:val="28"/>
          <w:szCs w:val="28"/>
        </w:rPr>
        <w:t xml:space="preserve">epresentations </w:t>
      </w:r>
      <w:r w:rsidR="00726EF1" w:rsidRPr="11A3D504">
        <w:rPr>
          <w:rFonts w:ascii="Arial" w:hAnsi="Arial" w:cs="Arial"/>
          <w:b/>
          <w:bCs/>
          <w:color w:val="000000" w:themeColor="text1"/>
          <w:sz w:val="28"/>
          <w:szCs w:val="28"/>
        </w:rPr>
        <w:t>to the Panel</w:t>
      </w:r>
      <w:bookmarkEnd w:id="9"/>
    </w:p>
    <w:p w14:paraId="16A8CE97" w14:textId="59449D25" w:rsidR="00CB0AFE" w:rsidRDefault="00726EF1" w:rsidP="00C50AA6">
      <w:pPr>
        <w:pStyle w:val="ListParagraph"/>
        <w:numPr>
          <w:ilvl w:val="0"/>
          <w:numId w:val="2"/>
        </w:numPr>
        <w:spacing w:after="120" w:line="276" w:lineRule="auto"/>
        <w:ind w:left="567" w:hanging="567"/>
        <w:contextualSpacing w:val="0"/>
        <w:rPr>
          <w:rFonts w:ascii="Arial" w:hAnsi="Arial" w:cs="Arial"/>
        </w:rPr>
      </w:pPr>
      <w:bookmarkStart w:id="10" w:name="_Ref195296357"/>
      <w:r w:rsidRPr="001506CC">
        <w:rPr>
          <w:rFonts w:ascii="Arial" w:hAnsi="Arial" w:cs="Arial"/>
        </w:rPr>
        <w:t xml:space="preserve">Barkhill’s concerns about the provider selection process for </w:t>
      </w:r>
      <w:r w:rsidR="00B70FA5">
        <w:rPr>
          <w:rFonts w:ascii="Arial" w:hAnsi="Arial" w:cs="Arial"/>
        </w:rPr>
        <w:t>IMOS s</w:t>
      </w:r>
      <w:r w:rsidRPr="001506CC">
        <w:rPr>
          <w:rFonts w:ascii="Arial" w:hAnsi="Arial" w:cs="Arial"/>
        </w:rPr>
        <w:t>ervices</w:t>
      </w:r>
      <w:r w:rsidR="00241537">
        <w:rPr>
          <w:rFonts w:ascii="Arial" w:hAnsi="Arial" w:cs="Arial"/>
        </w:rPr>
        <w:t xml:space="preserve"> for Yorkshire and Humber</w:t>
      </w:r>
      <w:r w:rsidR="001506CC" w:rsidRPr="001506CC">
        <w:rPr>
          <w:rFonts w:ascii="Arial" w:hAnsi="Arial" w:cs="Arial"/>
        </w:rPr>
        <w:t>, as summarised in its submission to the Panel, are as follows:</w:t>
      </w:r>
      <w:bookmarkEnd w:id="10"/>
    </w:p>
    <w:p w14:paraId="3ACA3D9C" w14:textId="29239921" w:rsidR="00ED1E26" w:rsidRPr="00DA1A1B" w:rsidRDefault="00584B0A" w:rsidP="00DA1A1B">
      <w:pPr>
        <w:pStyle w:val="ListParagraph"/>
        <w:spacing w:after="120" w:line="276" w:lineRule="auto"/>
        <w:ind w:left="851"/>
        <w:contextualSpacing w:val="0"/>
        <w:rPr>
          <w:rFonts w:ascii="Arial" w:hAnsi="Arial" w:cs="Arial"/>
          <w:sz w:val="21"/>
          <w:szCs w:val="21"/>
        </w:rPr>
      </w:pPr>
      <w:r w:rsidRPr="00A532A6">
        <w:rPr>
          <w:rFonts w:ascii="Arial" w:hAnsi="Arial" w:cs="Arial"/>
          <w:sz w:val="21"/>
          <w:szCs w:val="21"/>
        </w:rPr>
        <w:t>“</w:t>
      </w:r>
      <w:r w:rsidR="009E5B57" w:rsidRPr="009E5B57">
        <w:rPr>
          <w:rFonts w:ascii="Arial" w:hAnsi="Arial" w:cs="Arial"/>
          <w:sz w:val="21"/>
          <w:szCs w:val="21"/>
        </w:rPr>
        <w:t xml:space="preserve">The authority’s decision of 4 March 2025 fails to address any of </w:t>
      </w:r>
      <w:r w:rsidR="00755703">
        <w:rPr>
          <w:rFonts w:ascii="Arial" w:hAnsi="Arial" w:cs="Arial"/>
          <w:sz w:val="21"/>
          <w:szCs w:val="21"/>
        </w:rPr>
        <w:t>Barkhill</w:t>
      </w:r>
      <w:r w:rsidR="00170F57">
        <w:rPr>
          <w:rFonts w:ascii="Arial" w:hAnsi="Arial" w:cs="Arial"/>
          <w:sz w:val="21"/>
          <w:szCs w:val="21"/>
        </w:rPr>
        <w:t>’s</w:t>
      </w:r>
      <w:r w:rsidR="009E5B57" w:rsidRPr="009E5B57">
        <w:rPr>
          <w:rFonts w:ascii="Arial" w:hAnsi="Arial" w:cs="Arial"/>
          <w:sz w:val="21"/>
          <w:szCs w:val="21"/>
        </w:rPr>
        <w:t xml:space="preserve"> detailed points. The decision does nothing more than baldly assert that </w:t>
      </w:r>
      <w:r w:rsidR="00ED1E26">
        <w:rPr>
          <w:rFonts w:ascii="Arial" w:hAnsi="Arial" w:cs="Arial"/>
          <w:sz w:val="21"/>
          <w:szCs w:val="21"/>
        </w:rPr>
        <w:t>‘</w:t>
      </w:r>
      <w:r w:rsidR="009E5B57" w:rsidRPr="009E5B57">
        <w:rPr>
          <w:rFonts w:ascii="Arial" w:hAnsi="Arial" w:cs="Arial"/>
          <w:sz w:val="21"/>
          <w:szCs w:val="21"/>
        </w:rPr>
        <w:t>all bids were evaluated equally, using the published evaluation criteria</w:t>
      </w:r>
      <w:r w:rsidR="00ED1E26">
        <w:rPr>
          <w:rFonts w:ascii="Arial" w:hAnsi="Arial" w:cs="Arial"/>
          <w:sz w:val="21"/>
          <w:szCs w:val="21"/>
        </w:rPr>
        <w:t xml:space="preserve">’ </w:t>
      </w:r>
      <w:r w:rsidR="009E5B57" w:rsidRPr="009E5B57">
        <w:rPr>
          <w:rFonts w:ascii="Arial" w:hAnsi="Arial" w:cs="Arial"/>
          <w:sz w:val="21"/>
          <w:szCs w:val="21"/>
        </w:rPr>
        <w:t xml:space="preserve">and all relevant information </w:t>
      </w:r>
      <w:r w:rsidR="00ED1E26">
        <w:rPr>
          <w:rFonts w:ascii="Arial" w:hAnsi="Arial" w:cs="Arial"/>
          <w:sz w:val="21"/>
          <w:szCs w:val="21"/>
        </w:rPr>
        <w:t>‘</w:t>
      </w:r>
      <w:r w:rsidR="009E5B57" w:rsidRPr="009E5B57">
        <w:rPr>
          <w:rFonts w:ascii="Arial" w:hAnsi="Arial" w:cs="Arial"/>
          <w:sz w:val="21"/>
          <w:szCs w:val="21"/>
        </w:rPr>
        <w:t>has already been provided</w:t>
      </w:r>
      <w:r w:rsidR="00ED1E26">
        <w:rPr>
          <w:rFonts w:ascii="Arial" w:hAnsi="Arial" w:cs="Arial"/>
          <w:sz w:val="21"/>
          <w:szCs w:val="21"/>
        </w:rPr>
        <w:t>’</w:t>
      </w:r>
      <w:r w:rsidR="009E5B57" w:rsidRPr="009E5B57">
        <w:rPr>
          <w:rFonts w:ascii="Arial" w:hAnsi="Arial" w:cs="Arial"/>
          <w:sz w:val="21"/>
          <w:szCs w:val="21"/>
        </w:rPr>
        <w:t>. This constitutes a wholesale failure to acknowledge and respond to our contentions and has not resolved any of the issues we have raised</w:t>
      </w:r>
      <w:r w:rsidR="00ED1E26">
        <w:rPr>
          <w:rFonts w:ascii="Arial" w:hAnsi="Arial" w:cs="Arial"/>
          <w:sz w:val="21"/>
          <w:szCs w:val="21"/>
        </w:rPr>
        <w:t>.</w:t>
      </w:r>
    </w:p>
    <w:p w14:paraId="2BFC65EA" w14:textId="0A7AF255" w:rsidR="00B5115C" w:rsidRPr="00A532A6" w:rsidRDefault="00584B0A" w:rsidP="00C50AA6">
      <w:pPr>
        <w:pStyle w:val="ListParagraph"/>
        <w:spacing w:after="120" w:line="276" w:lineRule="auto"/>
        <w:ind w:left="851"/>
        <w:contextualSpacing w:val="0"/>
        <w:rPr>
          <w:rFonts w:ascii="Arial" w:hAnsi="Arial" w:cs="Arial"/>
          <w:sz w:val="21"/>
          <w:szCs w:val="21"/>
        </w:rPr>
      </w:pPr>
      <w:r w:rsidRPr="00A532A6">
        <w:rPr>
          <w:rFonts w:ascii="Arial" w:hAnsi="Arial" w:cs="Arial"/>
          <w:sz w:val="21"/>
          <w:szCs w:val="21"/>
        </w:rPr>
        <w:t>“</w:t>
      </w:r>
      <w:r w:rsidR="00B5115C" w:rsidRPr="00A532A6">
        <w:rPr>
          <w:rFonts w:ascii="Arial" w:hAnsi="Arial" w:cs="Arial"/>
          <w:sz w:val="21"/>
          <w:szCs w:val="21"/>
        </w:rPr>
        <w:t xml:space="preserve">The evaluation criteria adopted for the Procurement (described in the table headed </w:t>
      </w:r>
      <w:r w:rsidR="00225560">
        <w:rPr>
          <w:rFonts w:ascii="Arial" w:hAnsi="Arial" w:cs="Arial"/>
          <w:sz w:val="21"/>
          <w:szCs w:val="21"/>
        </w:rPr>
        <w:t>‘</w:t>
      </w:r>
      <w:r w:rsidR="00B5115C" w:rsidRPr="00A532A6">
        <w:rPr>
          <w:rFonts w:ascii="Arial" w:hAnsi="Arial" w:cs="Arial"/>
          <w:sz w:val="21"/>
          <w:szCs w:val="21"/>
        </w:rPr>
        <w:t>Provider Response Questions Evaluation Criteria</w:t>
      </w:r>
      <w:r w:rsidR="00225560">
        <w:rPr>
          <w:rFonts w:ascii="Arial" w:hAnsi="Arial" w:cs="Arial"/>
          <w:sz w:val="21"/>
          <w:szCs w:val="21"/>
        </w:rPr>
        <w:t>’</w:t>
      </w:r>
      <w:r w:rsidR="00B5115C" w:rsidRPr="00A532A6">
        <w:rPr>
          <w:rFonts w:ascii="Arial" w:hAnsi="Arial" w:cs="Arial"/>
          <w:sz w:val="21"/>
          <w:szCs w:val="21"/>
        </w:rPr>
        <w:t xml:space="preserve"> included on pages 82 and 83 of the Provider Response Document) took the form of a </w:t>
      </w:r>
      <w:r w:rsidR="00225560">
        <w:rPr>
          <w:rFonts w:ascii="Arial" w:hAnsi="Arial" w:cs="Arial"/>
          <w:sz w:val="21"/>
          <w:szCs w:val="21"/>
        </w:rPr>
        <w:t>‘</w:t>
      </w:r>
      <w:r w:rsidR="00B5115C" w:rsidRPr="00A532A6">
        <w:rPr>
          <w:rFonts w:ascii="Arial" w:hAnsi="Arial" w:cs="Arial"/>
          <w:sz w:val="21"/>
          <w:szCs w:val="21"/>
        </w:rPr>
        <w:t>scoring matrix</w:t>
      </w:r>
      <w:r w:rsidR="00225560">
        <w:rPr>
          <w:rFonts w:ascii="Arial" w:hAnsi="Arial" w:cs="Arial"/>
          <w:sz w:val="21"/>
          <w:szCs w:val="21"/>
        </w:rPr>
        <w:t>’</w:t>
      </w:r>
      <w:r w:rsidR="00B5115C" w:rsidRPr="00A532A6">
        <w:rPr>
          <w:rFonts w:ascii="Arial" w:hAnsi="Arial" w:cs="Arial"/>
          <w:sz w:val="21"/>
          <w:szCs w:val="21"/>
        </w:rPr>
        <w:t xml:space="preserve"> which set out metrics which must be met in order for each grade (or score) to be awarded for quality questions. Those metrics were presented as cumulative requirements in order for a grade to be awarded.</w:t>
      </w:r>
    </w:p>
    <w:p w14:paraId="528C4B53" w14:textId="4CCAE36F" w:rsidR="00B5115C" w:rsidRPr="00A532A6" w:rsidRDefault="00B5115C" w:rsidP="00C50AA6">
      <w:pPr>
        <w:pStyle w:val="ListParagraph"/>
        <w:spacing w:after="120" w:line="276" w:lineRule="auto"/>
        <w:ind w:left="851"/>
        <w:contextualSpacing w:val="0"/>
        <w:rPr>
          <w:rFonts w:ascii="Arial" w:hAnsi="Arial" w:cs="Arial"/>
          <w:sz w:val="21"/>
          <w:szCs w:val="21"/>
        </w:rPr>
      </w:pPr>
      <w:r w:rsidRPr="00A532A6">
        <w:rPr>
          <w:rFonts w:ascii="Arial" w:hAnsi="Arial" w:cs="Arial"/>
          <w:sz w:val="21"/>
          <w:szCs w:val="21"/>
        </w:rPr>
        <w:t xml:space="preserve">“The information provided in Appendix A to the decision letter which </w:t>
      </w:r>
      <w:r w:rsidR="00D3731F">
        <w:rPr>
          <w:rFonts w:ascii="Arial" w:hAnsi="Arial" w:cs="Arial"/>
          <w:sz w:val="21"/>
          <w:szCs w:val="21"/>
        </w:rPr>
        <w:t>Barkhill</w:t>
      </w:r>
      <w:r w:rsidRPr="00A532A6">
        <w:rPr>
          <w:rFonts w:ascii="Arial" w:hAnsi="Arial" w:cs="Arial"/>
          <w:sz w:val="21"/>
          <w:szCs w:val="21"/>
        </w:rPr>
        <w:t xml:space="preserve"> received on 10 December 2024 suggests that, in numerous instances, grades were awarded on the basis of a consideration of some of the metrics corresponding to the relevant grade, but not all of the metrics corresponding to that grade. Appendix 1 to our letter of 23</w:t>
      </w:r>
      <w:r w:rsidR="00C50AA6">
        <w:rPr>
          <w:rFonts w:ascii="Arial" w:hAnsi="Arial" w:cs="Arial"/>
          <w:sz w:val="21"/>
          <w:szCs w:val="21"/>
        </w:rPr>
        <w:t> </w:t>
      </w:r>
      <w:r w:rsidRPr="00A532A6">
        <w:rPr>
          <w:rFonts w:ascii="Arial" w:hAnsi="Arial" w:cs="Arial"/>
          <w:sz w:val="21"/>
          <w:szCs w:val="21"/>
        </w:rPr>
        <w:t xml:space="preserve">December 2024 identifies each instance of an apparent omission to consider one or more relevant metrics when grades were awarded in response to both </w:t>
      </w:r>
      <w:r w:rsidR="00D3731F">
        <w:rPr>
          <w:rFonts w:ascii="Arial" w:hAnsi="Arial" w:cs="Arial"/>
          <w:sz w:val="21"/>
          <w:szCs w:val="21"/>
        </w:rPr>
        <w:t>Barkhill</w:t>
      </w:r>
      <w:r w:rsidRPr="00A532A6">
        <w:rPr>
          <w:rFonts w:ascii="Arial" w:hAnsi="Arial" w:cs="Arial"/>
          <w:sz w:val="21"/>
          <w:szCs w:val="21"/>
        </w:rPr>
        <w:t>’s and the winning bidder’s bids for Lots 11 and 12.</w:t>
      </w:r>
    </w:p>
    <w:p w14:paraId="0BB8B5B8" w14:textId="1E83F929" w:rsidR="00B5115C" w:rsidRPr="00A532A6" w:rsidRDefault="00B5115C" w:rsidP="00C50AA6">
      <w:pPr>
        <w:pStyle w:val="ListParagraph"/>
        <w:spacing w:after="120" w:line="276" w:lineRule="auto"/>
        <w:ind w:left="851"/>
        <w:contextualSpacing w:val="0"/>
        <w:rPr>
          <w:rFonts w:ascii="Arial" w:hAnsi="Arial" w:cs="Arial"/>
          <w:sz w:val="21"/>
          <w:szCs w:val="21"/>
        </w:rPr>
      </w:pPr>
      <w:r w:rsidRPr="00A532A6">
        <w:rPr>
          <w:rFonts w:ascii="Arial" w:hAnsi="Arial" w:cs="Arial"/>
          <w:sz w:val="21"/>
          <w:szCs w:val="21"/>
        </w:rPr>
        <w:t xml:space="preserve">“These failures to apply the evaluation criteria in the manner in which they were described in the Provider Response Document each constitute a breach of the requirement in regulation 4(1)(b) that the authority act transparently – since the obligation of transparency entails that a procuring authority must apply its published criteria (see e.g. Lion Apparel Systems v Firebuy Ltd [2007] EWHC 2179 (Ch) at [30] (Morgan J); Lancashire Care v Lancashire CC [2018] EWHC 1589 (TCC) at [10] (Stuart-Smith J)). This has undermined the award decisions in relation to Lots 11 and 12, because it cannot be known what grades would have been awarded (to both </w:t>
      </w:r>
      <w:r w:rsidR="00D3731F">
        <w:rPr>
          <w:rFonts w:ascii="Arial" w:hAnsi="Arial" w:cs="Arial"/>
          <w:sz w:val="21"/>
          <w:szCs w:val="21"/>
        </w:rPr>
        <w:t xml:space="preserve">Barkhill </w:t>
      </w:r>
      <w:r w:rsidRPr="00A532A6">
        <w:rPr>
          <w:rFonts w:ascii="Arial" w:hAnsi="Arial" w:cs="Arial"/>
          <w:sz w:val="21"/>
          <w:szCs w:val="21"/>
        </w:rPr>
        <w:t>and the winning bidder) in relation to the questions included in Appendix 1 to our letter of 23 December 2024 if all relevant metrics had been considered.</w:t>
      </w:r>
    </w:p>
    <w:p w14:paraId="0E6CB5FC" w14:textId="47FA5995" w:rsidR="00B5115C" w:rsidRPr="00A532A6" w:rsidRDefault="00B5115C" w:rsidP="00C50AA6">
      <w:pPr>
        <w:pStyle w:val="ListParagraph"/>
        <w:spacing w:after="120" w:line="276" w:lineRule="auto"/>
        <w:ind w:left="851"/>
        <w:contextualSpacing w:val="0"/>
        <w:rPr>
          <w:rFonts w:ascii="Arial" w:hAnsi="Arial" w:cs="Arial"/>
          <w:sz w:val="21"/>
          <w:szCs w:val="21"/>
        </w:rPr>
      </w:pPr>
      <w:r w:rsidRPr="00A532A6">
        <w:rPr>
          <w:rFonts w:ascii="Arial" w:hAnsi="Arial" w:cs="Arial"/>
          <w:sz w:val="21"/>
          <w:szCs w:val="21"/>
        </w:rPr>
        <w:t>“Alternatively, if it is the case that each metric for the relevant grade was in fact considered by the evaluators in each instance, the authority has failed to provide the reasons for which the evaluators considered each metric to be met. This constitutes a failure to comply with the authority’s duties pursuant to regulation 11(8)(b) PSR23 together with paragraphs 3 and 4 of Schedule 9, as well as with the general duty to provide reasons at common law. Furthermore this failure has prevented proper scrutiny of the award decision in relation to Lots 11 and 12, which entails that it should be set aside (see for example Lancashire Care v Lancashire CC (above) at paragraphs [59] and [82]).</w:t>
      </w:r>
    </w:p>
    <w:p w14:paraId="1955D7DF" w14:textId="104E505A" w:rsidR="00B5115C" w:rsidRPr="00A532A6" w:rsidRDefault="00B5115C" w:rsidP="00C50AA6">
      <w:pPr>
        <w:pStyle w:val="ListParagraph"/>
        <w:spacing w:after="120" w:line="276" w:lineRule="auto"/>
        <w:ind w:left="851"/>
        <w:contextualSpacing w:val="0"/>
        <w:rPr>
          <w:rFonts w:ascii="Arial" w:hAnsi="Arial" w:cs="Arial"/>
          <w:sz w:val="21"/>
          <w:szCs w:val="21"/>
        </w:rPr>
      </w:pPr>
      <w:r w:rsidRPr="00A532A6">
        <w:rPr>
          <w:rFonts w:ascii="Arial" w:hAnsi="Arial" w:cs="Arial"/>
          <w:sz w:val="21"/>
          <w:szCs w:val="21"/>
        </w:rPr>
        <w:lastRenderedPageBreak/>
        <w:t>“Furthermore, for the detailed reasons given in our letter dated 19 December 2024 (Acuity Law to NECSU), the notice published on the Find a Tender service on 10</w:t>
      </w:r>
      <w:r w:rsidR="00365F74">
        <w:rPr>
          <w:rFonts w:ascii="Arial" w:hAnsi="Arial" w:cs="Arial"/>
          <w:sz w:val="21"/>
          <w:szCs w:val="21"/>
        </w:rPr>
        <w:t> </w:t>
      </w:r>
      <w:r w:rsidRPr="00A532A6">
        <w:rPr>
          <w:rFonts w:ascii="Arial" w:hAnsi="Arial" w:cs="Arial"/>
          <w:sz w:val="21"/>
          <w:szCs w:val="21"/>
        </w:rPr>
        <w:t>December 2024 with reference 2024/S 000-039787 was not valid to start the standstill process under regulation 12(2). This is because it was not a notice of intention to award within the meaning of regulation 11(9), in turn because it did not “include the information set out in Schedule 10” (contrary to the requirement in regulation 11(10)).</w:t>
      </w:r>
    </w:p>
    <w:p w14:paraId="042F9726" w14:textId="23F91888" w:rsidR="00B5115C" w:rsidRPr="00A532A6" w:rsidRDefault="00B5115C" w:rsidP="00C50AA6">
      <w:pPr>
        <w:pStyle w:val="ListParagraph"/>
        <w:spacing w:after="120" w:line="276" w:lineRule="auto"/>
        <w:ind w:left="851"/>
        <w:contextualSpacing w:val="0"/>
        <w:rPr>
          <w:rFonts w:ascii="Arial" w:hAnsi="Arial" w:cs="Arial"/>
          <w:sz w:val="21"/>
          <w:szCs w:val="21"/>
        </w:rPr>
      </w:pPr>
      <w:r w:rsidRPr="00A532A6">
        <w:rPr>
          <w:rFonts w:ascii="Arial" w:hAnsi="Arial" w:cs="Arial"/>
          <w:sz w:val="21"/>
          <w:szCs w:val="21"/>
        </w:rPr>
        <w:t>“In fact the notice published on 10 December 2024 took the form of a notice of the award of a contract, as required by regulation 11(16), and indicated that contracts had been concluded. This was a material error because it was apt to cause entities which may wish to challenge the award decision wrongly to conclude that they have no prospects of overturning the award, and thus to refrain from submitting representations in relation to the decision.</w:t>
      </w:r>
    </w:p>
    <w:p w14:paraId="545EA894" w14:textId="3BC8FDDF" w:rsidR="00584B0A" w:rsidRPr="00A532A6" w:rsidRDefault="00B5115C" w:rsidP="00225560">
      <w:pPr>
        <w:pStyle w:val="ListParagraph"/>
        <w:spacing w:line="276" w:lineRule="auto"/>
        <w:ind w:left="851"/>
        <w:contextualSpacing w:val="0"/>
        <w:rPr>
          <w:rFonts w:ascii="Arial" w:hAnsi="Arial" w:cs="Arial"/>
          <w:sz w:val="21"/>
          <w:szCs w:val="21"/>
        </w:rPr>
      </w:pPr>
      <w:r w:rsidRPr="00A532A6">
        <w:rPr>
          <w:rFonts w:ascii="Arial" w:hAnsi="Arial" w:cs="Arial"/>
          <w:sz w:val="21"/>
          <w:szCs w:val="21"/>
        </w:rPr>
        <w:t>“None of these issues has yet been resolved.</w:t>
      </w:r>
      <w:r w:rsidR="00A532A6" w:rsidRPr="00A532A6">
        <w:rPr>
          <w:rFonts w:ascii="Arial" w:hAnsi="Arial" w:cs="Arial"/>
          <w:sz w:val="21"/>
          <w:szCs w:val="21"/>
        </w:rPr>
        <w:t>”</w:t>
      </w:r>
    </w:p>
    <w:p w14:paraId="484D9CA4" w14:textId="66C1272F" w:rsidR="008371C3" w:rsidRPr="00CB0AFE" w:rsidRDefault="00FD6828" w:rsidP="00811AE0">
      <w:pPr>
        <w:pStyle w:val="Heading1"/>
        <w:numPr>
          <w:ilvl w:val="0"/>
          <w:numId w:val="1"/>
        </w:numPr>
        <w:spacing w:before="360" w:after="240"/>
        <w:ind w:left="0" w:firstLine="0"/>
        <w:rPr>
          <w:rFonts w:ascii="Arial" w:hAnsi="Arial" w:cs="Arial"/>
          <w:b/>
          <w:bCs/>
          <w:color w:val="000000" w:themeColor="text1"/>
          <w:sz w:val="28"/>
          <w:szCs w:val="28"/>
        </w:rPr>
      </w:pPr>
      <w:bookmarkStart w:id="11" w:name="_Toc198745104"/>
      <w:r w:rsidRPr="00CB0AFE">
        <w:rPr>
          <w:rFonts w:ascii="Arial" w:hAnsi="Arial" w:cs="Arial"/>
          <w:b/>
          <w:bCs/>
          <w:color w:val="000000" w:themeColor="text1"/>
          <w:sz w:val="28"/>
          <w:szCs w:val="28"/>
        </w:rPr>
        <w:t xml:space="preserve">PSR regulations </w:t>
      </w:r>
      <w:r w:rsidR="002A7994" w:rsidRPr="00CB0AFE">
        <w:rPr>
          <w:rFonts w:ascii="Arial" w:hAnsi="Arial" w:cs="Arial"/>
          <w:b/>
          <w:bCs/>
          <w:color w:val="000000" w:themeColor="text1"/>
          <w:sz w:val="28"/>
          <w:szCs w:val="28"/>
        </w:rPr>
        <w:t>relevant to</w:t>
      </w:r>
      <w:r w:rsidR="003C41E6" w:rsidRPr="00CB0AFE">
        <w:rPr>
          <w:rFonts w:ascii="Arial" w:hAnsi="Arial" w:cs="Arial"/>
          <w:b/>
          <w:bCs/>
          <w:color w:val="000000" w:themeColor="text1"/>
          <w:sz w:val="28"/>
          <w:szCs w:val="28"/>
        </w:rPr>
        <w:t xml:space="preserve"> </w:t>
      </w:r>
      <w:r w:rsidR="00BA5E2A">
        <w:rPr>
          <w:rFonts w:ascii="Arial" w:hAnsi="Arial" w:cs="Arial"/>
          <w:b/>
          <w:bCs/>
          <w:color w:val="000000" w:themeColor="text1"/>
          <w:sz w:val="28"/>
          <w:szCs w:val="28"/>
        </w:rPr>
        <w:t>Barkhill’s representations</w:t>
      </w:r>
      <w:bookmarkEnd w:id="11"/>
    </w:p>
    <w:p w14:paraId="656D83A0" w14:textId="2C3DD8FA" w:rsidR="00515BC3" w:rsidRPr="009B1E87" w:rsidRDefault="00744E98" w:rsidP="00744E98">
      <w:pPr>
        <w:pStyle w:val="ListParagraph"/>
        <w:numPr>
          <w:ilvl w:val="0"/>
          <w:numId w:val="2"/>
        </w:numPr>
        <w:spacing w:line="276" w:lineRule="auto"/>
        <w:ind w:left="567" w:hanging="567"/>
        <w:contextualSpacing w:val="0"/>
        <w:rPr>
          <w:rFonts w:ascii="Arial" w:hAnsi="Arial" w:cs="Arial"/>
        </w:rPr>
      </w:pPr>
      <w:r w:rsidRPr="009B1E87">
        <w:rPr>
          <w:rFonts w:ascii="Arial" w:hAnsi="Arial" w:cs="Arial"/>
        </w:rPr>
        <w:t xml:space="preserve">In </w:t>
      </w:r>
      <w:r w:rsidR="00AC7EC8">
        <w:rPr>
          <w:rFonts w:ascii="Arial" w:hAnsi="Arial" w:cs="Arial"/>
        </w:rPr>
        <w:t>its</w:t>
      </w:r>
      <w:r w:rsidRPr="009B1E87">
        <w:rPr>
          <w:rFonts w:ascii="Arial" w:hAnsi="Arial" w:cs="Arial"/>
        </w:rPr>
        <w:t xml:space="preserve"> representations to the Panel, Barkhill suggested that HNY ICB breached the PSR regulations in relation to</w:t>
      </w:r>
      <w:r w:rsidR="00904965" w:rsidRPr="009B1E87">
        <w:rPr>
          <w:rFonts w:ascii="Arial" w:hAnsi="Arial" w:cs="Arial"/>
        </w:rPr>
        <w:t xml:space="preserve"> the general obligations on </w:t>
      </w:r>
      <w:r w:rsidR="005179DC">
        <w:rPr>
          <w:rFonts w:ascii="Arial" w:hAnsi="Arial" w:cs="Arial"/>
        </w:rPr>
        <w:t>commissioners</w:t>
      </w:r>
      <w:r w:rsidR="00904965" w:rsidRPr="009B1E87">
        <w:rPr>
          <w:rFonts w:ascii="Arial" w:hAnsi="Arial" w:cs="Arial"/>
        </w:rPr>
        <w:t xml:space="preserve"> (as set out in Regulation 4), </w:t>
      </w:r>
      <w:r w:rsidR="000670A4" w:rsidRPr="009B1E87">
        <w:rPr>
          <w:rFonts w:ascii="Arial" w:hAnsi="Arial" w:cs="Arial"/>
        </w:rPr>
        <w:t xml:space="preserve">the </w:t>
      </w:r>
      <w:r w:rsidR="00FC0C9A">
        <w:rPr>
          <w:rFonts w:ascii="Arial" w:hAnsi="Arial" w:cs="Arial"/>
        </w:rPr>
        <w:t xml:space="preserve">steps </w:t>
      </w:r>
      <w:r w:rsidR="00491CDA">
        <w:rPr>
          <w:rFonts w:ascii="Arial" w:hAnsi="Arial" w:cs="Arial"/>
        </w:rPr>
        <w:t xml:space="preserve">that </w:t>
      </w:r>
      <w:r w:rsidR="005179DC">
        <w:rPr>
          <w:rFonts w:ascii="Arial" w:hAnsi="Arial" w:cs="Arial"/>
        </w:rPr>
        <w:t>commissioners</w:t>
      </w:r>
      <w:r w:rsidR="00CD2300">
        <w:rPr>
          <w:rFonts w:ascii="Arial" w:hAnsi="Arial" w:cs="Arial"/>
        </w:rPr>
        <w:t xml:space="preserve"> must follow when using the competitive process</w:t>
      </w:r>
      <w:r w:rsidR="009B1E87" w:rsidRPr="009B1E87">
        <w:rPr>
          <w:rFonts w:ascii="Arial" w:hAnsi="Arial" w:cs="Arial"/>
        </w:rPr>
        <w:t xml:space="preserve"> </w:t>
      </w:r>
      <w:r w:rsidR="00F208D8" w:rsidRPr="009B1E87">
        <w:rPr>
          <w:rFonts w:ascii="Arial" w:hAnsi="Arial" w:cs="Arial"/>
        </w:rPr>
        <w:t>(as set out in Regulation 11</w:t>
      </w:r>
      <w:r w:rsidR="009B1E87" w:rsidRPr="009B1E87">
        <w:rPr>
          <w:rFonts w:ascii="Arial" w:hAnsi="Arial" w:cs="Arial"/>
        </w:rPr>
        <w:t xml:space="preserve">), </w:t>
      </w:r>
      <w:r w:rsidR="00A83991" w:rsidRPr="009B1E87">
        <w:rPr>
          <w:rFonts w:ascii="Arial" w:hAnsi="Arial" w:cs="Arial"/>
        </w:rPr>
        <w:t xml:space="preserve">and the </w:t>
      </w:r>
      <w:r w:rsidR="004E12A8">
        <w:rPr>
          <w:rFonts w:ascii="Arial" w:hAnsi="Arial" w:cs="Arial"/>
        </w:rPr>
        <w:t xml:space="preserve">commissioner’s </w:t>
      </w:r>
      <w:r w:rsidR="00A83991" w:rsidRPr="009B1E87">
        <w:rPr>
          <w:rFonts w:ascii="Arial" w:hAnsi="Arial" w:cs="Arial"/>
        </w:rPr>
        <w:t>obligations to provide information to unsuccessful bidders (as set out in Regulations</w:t>
      </w:r>
      <w:r w:rsidR="00CD2300">
        <w:rPr>
          <w:rFonts w:ascii="Arial" w:hAnsi="Arial" w:cs="Arial"/>
        </w:rPr>
        <w:t xml:space="preserve"> </w:t>
      </w:r>
      <w:r w:rsidR="00A83991" w:rsidRPr="009B1E87">
        <w:rPr>
          <w:rFonts w:ascii="Arial" w:hAnsi="Arial" w:cs="Arial"/>
        </w:rPr>
        <w:t>12 and 24).</w:t>
      </w:r>
    </w:p>
    <w:p w14:paraId="4494CCA3" w14:textId="23BC36B3" w:rsidR="00DE07F7" w:rsidRDefault="00515BC3" w:rsidP="00A9305B">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The </w:t>
      </w:r>
      <w:r w:rsidR="005B7B25">
        <w:rPr>
          <w:rFonts w:ascii="Arial" w:hAnsi="Arial" w:cs="Arial"/>
        </w:rPr>
        <w:t xml:space="preserve">parts of the </w:t>
      </w:r>
      <w:r w:rsidR="00FB1F4F">
        <w:rPr>
          <w:rFonts w:ascii="Arial" w:hAnsi="Arial" w:cs="Arial"/>
        </w:rPr>
        <w:t xml:space="preserve">PSR </w:t>
      </w:r>
      <w:r>
        <w:rPr>
          <w:rFonts w:ascii="Arial" w:hAnsi="Arial" w:cs="Arial"/>
        </w:rPr>
        <w:t xml:space="preserve">regulations most relevant to the Panel’s assessment </w:t>
      </w:r>
      <w:r w:rsidR="00184CE9">
        <w:rPr>
          <w:rFonts w:ascii="Arial" w:hAnsi="Arial" w:cs="Arial"/>
        </w:rPr>
        <w:t xml:space="preserve">of Barkhill’s representations </w:t>
      </w:r>
      <w:r w:rsidR="005B7B25">
        <w:rPr>
          <w:rFonts w:ascii="Arial" w:hAnsi="Arial" w:cs="Arial"/>
        </w:rPr>
        <w:t>are set out below:</w:t>
      </w:r>
    </w:p>
    <w:p w14:paraId="6690B134" w14:textId="30733436" w:rsidR="005B7B25" w:rsidRPr="00A9305B" w:rsidRDefault="00922F84" w:rsidP="00A9305B">
      <w:pPr>
        <w:pStyle w:val="ListParagraph"/>
        <w:spacing w:after="120" w:line="276" w:lineRule="auto"/>
        <w:ind w:left="851"/>
        <w:contextualSpacing w:val="0"/>
        <w:rPr>
          <w:rFonts w:ascii="Arial" w:hAnsi="Arial" w:cs="Arial"/>
          <w:sz w:val="21"/>
          <w:szCs w:val="21"/>
        </w:rPr>
      </w:pPr>
      <w:r w:rsidRPr="00A9305B">
        <w:rPr>
          <w:rFonts w:ascii="Arial" w:hAnsi="Arial" w:cs="Arial"/>
          <w:sz w:val="21"/>
          <w:szCs w:val="21"/>
        </w:rPr>
        <w:t xml:space="preserve">Regulation 4 sets out the general obligations that apply to commissioners when selecting a provider of health care services. It states that </w:t>
      </w:r>
      <w:r w:rsidR="00665EEC">
        <w:rPr>
          <w:rFonts w:ascii="Arial" w:hAnsi="Arial" w:cs="Arial"/>
          <w:sz w:val="21"/>
          <w:szCs w:val="21"/>
        </w:rPr>
        <w:t>commissioners</w:t>
      </w:r>
      <w:r w:rsidRPr="00A9305B">
        <w:rPr>
          <w:rFonts w:ascii="Arial" w:hAnsi="Arial" w:cs="Arial"/>
          <w:sz w:val="21"/>
          <w:szCs w:val="21"/>
        </w:rPr>
        <w:t xml:space="preserve"> must act “(b) transparently, fairly and proportionately”.</w:t>
      </w:r>
    </w:p>
    <w:p w14:paraId="31A43CFB" w14:textId="4C3899A6" w:rsidR="003B1C84" w:rsidRDefault="00491CDA" w:rsidP="00A9305B">
      <w:pPr>
        <w:pStyle w:val="ListParagraph"/>
        <w:spacing w:after="0" w:line="276" w:lineRule="auto"/>
        <w:ind w:left="851"/>
        <w:contextualSpacing w:val="0"/>
        <w:rPr>
          <w:rFonts w:ascii="Arial" w:hAnsi="Arial" w:cs="Arial"/>
          <w:sz w:val="21"/>
          <w:szCs w:val="21"/>
        </w:rPr>
      </w:pPr>
      <w:r w:rsidRPr="00A9305B">
        <w:rPr>
          <w:rFonts w:ascii="Arial" w:hAnsi="Arial" w:cs="Arial"/>
          <w:sz w:val="21"/>
          <w:szCs w:val="21"/>
        </w:rPr>
        <w:t>Regulation 11</w:t>
      </w:r>
      <w:r w:rsidR="00CD2300" w:rsidRPr="00A9305B">
        <w:rPr>
          <w:rFonts w:ascii="Arial" w:hAnsi="Arial" w:cs="Arial"/>
          <w:sz w:val="21"/>
          <w:szCs w:val="21"/>
        </w:rPr>
        <w:t xml:space="preserve"> sets out </w:t>
      </w:r>
      <w:r w:rsidR="00D8049A" w:rsidRPr="00A9305B">
        <w:rPr>
          <w:rFonts w:ascii="Arial" w:hAnsi="Arial" w:cs="Arial"/>
          <w:sz w:val="21"/>
          <w:szCs w:val="21"/>
        </w:rPr>
        <w:t xml:space="preserve">the obligations that apply to commissioners </w:t>
      </w:r>
      <w:r w:rsidR="004F426E" w:rsidRPr="00A9305B">
        <w:rPr>
          <w:rFonts w:ascii="Arial" w:hAnsi="Arial" w:cs="Arial"/>
          <w:sz w:val="21"/>
          <w:szCs w:val="21"/>
        </w:rPr>
        <w:t>when</w:t>
      </w:r>
      <w:r w:rsidR="00D8049A" w:rsidRPr="00A9305B">
        <w:rPr>
          <w:rFonts w:ascii="Arial" w:hAnsi="Arial" w:cs="Arial"/>
          <w:sz w:val="21"/>
          <w:szCs w:val="21"/>
        </w:rPr>
        <w:t xml:space="preserve"> </w:t>
      </w:r>
      <w:r w:rsidR="004F426E" w:rsidRPr="00A9305B">
        <w:rPr>
          <w:rFonts w:ascii="Arial" w:hAnsi="Arial" w:cs="Arial"/>
          <w:sz w:val="21"/>
          <w:szCs w:val="21"/>
        </w:rPr>
        <w:t>following the competitive process. It states that</w:t>
      </w:r>
      <w:r w:rsidR="003B1C84">
        <w:rPr>
          <w:rFonts w:ascii="Arial" w:hAnsi="Arial" w:cs="Arial"/>
          <w:sz w:val="21"/>
          <w:szCs w:val="21"/>
        </w:rPr>
        <w:t>:</w:t>
      </w:r>
    </w:p>
    <w:p w14:paraId="04405136" w14:textId="4EA6B89C" w:rsidR="003B7D22" w:rsidRDefault="00760085" w:rsidP="00A9305B">
      <w:pPr>
        <w:pStyle w:val="ListParagraph"/>
        <w:spacing w:after="0" w:line="276" w:lineRule="auto"/>
        <w:ind w:left="1276"/>
        <w:contextualSpacing w:val="0"/>
        <w:rPr>
          <w:rFonts w:ascii="Arial" w:hAnsi="Arial" w:cs="Arial"/>
          <w:sz w:val="21"/>
          <w:szCs w:val="21"/>
        </w:rPr>
      </w:pPr>
      <w:r w:rsidRPr="00A9305B">
        <w:rPr>
          <w:rFonts w:ascii="Arial" w:hAnsi="Arial" w:cs="Arial"/>
          <w:sz w:val="21"/>
          <w:szCs w:val="21"/>
        </w:rPr>
        <w:t>“(1) Where the relevant authority follows the Competitive Process, the process is that the relevant authority follows the steps set out in this regulation …</w:t>
      </w:r>
    </w:p>
    <w:p w14:paraId="27E1125D" w14:textId="6D050CF7" w:rsidR="003B7D22" w:rsidRDefault="00C609DF" w:rsidP="00A9305B">
      <w:pPr>
        <w:pStyle w:val="ListParagraph"/>
        <w:spacing w:after="0" w:line="276" w:lineRule="auto"/>
        <w:ind w:left="1276"/>
        <w:contextualSpacing w:val="0"/>
        <w:rPr>
          <w:rFonts w:ascii="Arial" w:hAnsi="Arial" w:cs="Arial"/>
          <w:sz w:val="21"/>
          <w:szCs w:val="21"/>
        </w:rPr>
      </w:pPr>
      <w:r w:rsidRPr="00A9305B">
        <w:rPr>
          <w:rFonts w:ascii="Arial" w:hAnsi="Arial" w:cs="Arial"/>
          <w:sz w:val="21"/>
          <w:szCs w:val="21"/>
        </w:rPr>
        <w:t>(3) Step 2 is that the relevant authority submits a notice for publication on the UK e-notification service inviting offers to provide the relevant health care services in relation to which the contract is to be awarded</w:t>
      </w:r>
      <w:r w:rsidR="00780015">
        <w:rPr>
          <w:rFonts w:ascii="Arial" w:hAnsi="Arial" w:cs="Arial"/>
          <w:sz w:val="21"/>
          <w:szCs w:val="21"/>
        </w:rPr>
        <w:t xml:space="preserve"> </w:t>
      </w:r>
      <w:r w:rsidRPr="00A9305B">
        <w:rPr>
          <w:rFonts w:ascii="Arial" w:hAnsi="Arial" w:cs="Arial"/>
          <w:sz w:val="21"/>
          <w:szCs w:val="21"/>
        </w:rPr>
        <w:t>…</w:t>
      </w:r>
    </w:p>
    <w:p w14:paraId="5F52F680" w14:textId="77777777" w:rsidR="003B7D22" w:rsidRDefault="00C609DF" w:rsidP="00A9305B">
      <w:pPr>
        <w:pStyle w:val="ListParagraph"/>
        <w:spacing w:after="0" w:line="276" w:lineRule="auto"/>
        <w:ind w:left="1276"/>
        <w:contextualSpacing w:val="0"/>
        <w:rPr>
          <w:rFonts w:ascii="Arial" w:hAnsi="Arial" w:cs="Arial"/>
          <w:sz w:val="21"/>
          <w:szCs w:val="21"/>
        </w:rPr>
      </w:pPr>
      <w:r w:rsidRPr="00A9305B">
        <w:rPr>
          <w:rFonts w:ascii="Arial" w:hAnsi="Arial" w:cs="Arial"/>
          <w:sz w:val="21"/>
          <w:szCs w:val="21"/>
        </w:rPr>
        <w:t>(4) The notice referred to in paragraph (3) must include the information set out in Schedule 8</w:t>
      </w:r>
      <w:r w:rsidR="00434AD8" w:rsidRPr="00A9305B">
        <w:rPr>
          <w:rFonts w:ascii="Arial" w:hAnsi="Arial" w:cs="Arial"/>
          <w:sz w:val="21"/>
          <w:szCs w:val="21"/>
        </w:rPr>
        <w:t>;</w:t>
      </w:r>
    </w:p>
    <w:p w14:paraId="50628973" w14:textId="75CF46D4" w:rsidR="003B7D22" w:rsidRDefault="00434AD8" w:rsidP="00A9305B">
      <w:pPr>
        <w:pStyle w:val="ListParagraph"/>
        <w:spacing w:after="0" w:line="276" w:lineRule="auto"/>
        <w:ind w:left="1276"/>
        <w:contextualSpacing w:val="0"/>
        <w:rPr>
          <w:rFonts w:ascii="Arial" w:hAnsi="Arial" w:cs="Arial"/>
          <w:sz w:val="21"/>
          <w:szCs w:val="21"/>
        </w:rPr>
      </w:pPr>
      <w:r w:rsidRPr="00A9305B">
        <w:rPr>
          <w:rFonts w:ascii="Arial" w:hAnsi="Arial" w:cs="Arial"/>
          <w:sz w:val="21"/>
          <w:szCs w:val="21"/>
        </w:rPr>
        <w:t>(5) Step 3 is that the relevant authority assesses any offers received in accordance with the contract or framework award criteria</w:t>
      </w:r>
      <w:r w:rsidR="00780015">
        <w:rPr>
          <w:rFonts w:ascii="Arial" w:hAnsi="Arial" w:cs="Arial"/>
          <w:sz w:val="21"/>
          <w:szCs w:val="21"/>
        </w:rPr>
        <w:t xml:space="preserve"> </w:t>
      </w:r>
      <w:r w:rsidR="00D603C1" w:rsidRPr="00A9305B">
        <w:rPr>
          <w:rFonts w:ascii="Arial" w:hAnsi="Arial" w:cs="Arial"/>
          <w:sz w:val="21"/>
          <w:szCs w:val="21"/>
        </w:rPr>
        <w:t>…</w:t>
      </w:r>
    </w:p>
    <w:p w14:paraId="6A2549C5" w14:textId="6492164D" w:rsidR="00676261" w:rsidRDefault="00D603C1" w:rsidP="5BFDA5E9">
      <w:pPr>
        <w:pStyle w:val="ListParagraph"/>
        <w:spacing w:after="0" w:line="276" w:lineRule="auto"/>
        <w:ind w:left="1276"/>
        <w:rPr>
          <w:rFonts w:ascii="Arial" w:hAnsi="Arial" w:cs="Arial"/>
          <w:sz w:val="21"/>
          <w:szCs w:val="21"/>
        </w:rPr>
      </w:pPr>
      <w:r w:rsidRPr="00A9305B">
        <w:rPr>
          <w:rFonts w:ascii="Arial" w:hAnsi="Arial" w:cs="Arial"/>
          <w:sz w:val="21"/>
          <w:szCs w:val="21"/>
        </w:rPr>
        <w:t>(</w:t>
      </w:r>
      <w:r w:rsidR="00676261">
        <w:rPr>
          <w:rFonts w:ascii="Arial" w:hAnsi="Arial" w:cs="Arial"/>
          <w:sz w:val="21"/>
          <w:szCs w:val="21"/>
        </w:rPr>
        <w:t xml:space="preserve">8) Step 5 is that the relevant authority promptly informs, in writing </w:t>
      </w:r>
      <w:r w:rsidR="00E24C24">
        <w:rPr>
          <w:rFonts w:ascii="Arial" w:hAnsi="Arial" w:cs="Arial"/>
          <w:sz w:val="21"/>
          <w:szCs w:val="21"/>
        </w:rPr>
        <w:t>–</w:t>
      </w:r>
    </w:p>
    <w:p w14:paraId="58109CD3" w14:textId="72D59CCC" w:rsidR="00E24C24" w:rsidRDefault="00E24C24" w:rsidP="005D1E54">
      <w:pPr>
        <w:pStyle w:val="ListParagraph"/>
        <w:spacing w:after="0" w:line="276" w:lineRule="auto"/>
        <w:ind w:left="1560"/>
        <w:rPr>
          <w:rFonts w:ascii="Arial" w:hAnsi="Arial" w:cs="Arial"/>
          <w:sz w:val="21"/>
          <w:szCs w:val="21"/>
        </w:rPr>
      </w:pPr>
      <w:r>
        <w:rPr>
          <w:rFonts w:ascii="Arial" w:hAnsi="Arial" w:cs="Arial"/>
          <w:sz w:val="21"/>
          <w:szCs w:val="21"/>
        </w:rPr>
        <w:t>(a) the successful provider that their offer has been successful and the relevant authority intends to make an award or conclude the framework agreement;</w:t>
      </w:r>
    </w:p>
    <w:p w14:paraId="6F8D1338" w14:textId="234B2939" w:rsidR="00E24C24" w:rsidRDefault="00E24C24" w:rsidP="002E0766">
      <w:pPr>
        <w:pStyle w:val="ListParagraph"/>
        <w:spacing w:after="0" w:line="276" w:lineRule="auto"/>
        <w:ind w:left="1560"/>
        <w:rPr>
          <w:rFonts w:ascii="Arial" w:hAnsi="Arial" w:cs="Arial"/>
          <w:sz w:val="21"/>
          <w:szCs w:val="21"/>
        </w:rPr>
      </w:pPr>
      <w:r>
        <w:rPr>
          <w:rFonts w:ascii="Arial" w:hAnsi="Arial" w:cs="Arial"/>
          <w:sz w:val="21"/>
          <w:szCs w:val="21"/>
        </w:rPr>
        <w:t>(b) each unsuccessful provider that their offer has been unsuccessful, such communications to include the information set out in Schedule 9</w:t>
      </w:r>
      <w:r w:rsidR="006C3DB6">
        <w:rPr>
          <w:rFonts w:ascii="Arial" w:hAnsi="Arial" w:cs="Arial"/>
          <w:sz w:val="21"/>
          <w:szCs w:val="21"/>
        </w:rPr>
        <w:t>.</w:t>
      </w:r>
    </w:p>
    <w:p w14:paraId="38E36D90" w14:textId="77FE1980" w:rsidR="003B7D22" w:rsidRDefault="00D603C1" w:rsidP="5BFDA5E9">
      <w:pPr>
        <w:pStyle w:val="ListParagraph"/>
        <w:spacing w:after="0" w:line="276" w:lineRule="auto"/>
        <w:ind w:left="1276"/>
        <w:rPr>
          <w:rFonts w:ascii="Arial" w:hAnsi="Arial" w:cs="Arial"/>
          <w:sz w:val="21"/>
          <w:szCs w:val="21"/>
        </w:rPr>
      </w:pPr>
      <w:r w:rsidRPr="00A9305B">
        <w:rPr>
          <w:rFonts w:ascii="Arial" w:hAnsi="Arial" w:cs="Arial"/>
          <w:sz w:val="21"/>
          <w:szCs w:val="21"/>
        </w:rPr>
        <w:t>(9) Step 6 is that the relevant authority submits for publication on the UK e-notification service a notice of intention to make an award to the chosen provider</w:t>
      </w:r>
      <w:r w:rsidR="00780015">
        <w:rPr>
          <w:rFonts w:ascii="Arial" w:hAnsi="Arial" w:cs="Arial"/>
          <w:sz w:val="21"/>
          <w:szCs w:val="21"/>
        </w:rPr>
        <w:t xml:space="preserve"> </w:t>
      </w:r>
      <w:r w:rsidRPr="00A9305B">
        <w:rPr>
          <w:rFonts w:ascii="Arial" w:hAnsi="Arial" w:cs="Arial"/>
          <w:sz w:val="21"/>
          <w:szCs w:val="21"/>
        </w:rPr>
        <w:t>…</w:t>
      </w:r>
    </w:p>
    <w:p w14:paraId="4A4B5AD4" w14:textId="5FA6C13A" w:rsidR="00491CDA" w:rsidRPr="00A9305B" w:rsidRDefault="00D603C1" w:rsidP="00A9305B">
      <w:pPr>
        <w:pStyle w:val="ListParagraph"/>
        <w:spacing w:after="120" w:line="276" w:lineRule="auto"/>
        <w:ind w:left="1276"/>
        <w:contextualSpacing w:val="0"/>
        <w:rPr>
          <w:rFonts w:ascii="Arial" w:hAnsi="Arial" w:cs="Arial"/>
          <w:sz w:val="21"/>
          <w:szCs w:val="21"/>
        </w:rPr>
      </w:pPr>
      <w:r w:rsidRPr="00A9305B">
        <w:rPr>
          <w:rFonts w:ascii="Arial" w:hAnsi="Arial" w:cs="Arial"/>
          <w:sz w:val="21"/>
          <w:szCs w:val="21"/>
        </w:rPr>
        <w:t>(10) The notice referred to in paragraph (9) must include the information set out in Schedule 10</w:t>
      </w:r>
      <w:r w:rsidR="000B6D14" w:rsidRPr="00A9305B">
        <w:rPr>
          <w:rFonts w:ascii="Arial" w:hAnsi="Arial" w:cs="Arial"/>
          <w:sz w:val="21"/>
          <w:szCs w:val="21"/>
        </w:rPr>
        <w:t>.”</w:t>
      </w:r>
    </w:p>
    <w:p w14:paraId="5128A2B2" w14:textId="5D675F18" w:rsidR="003B1C84" w:rsidRDefault="00631187" w:rsidP="00A9305B">
      <w:pPr>
        <w:pStyle w:val="ListParagraph"/>
        <w:spacing w:after="0" w:line="276" w:lineRule="auto"/>
        <w:ind w:left="851"/>
        <w:contextualSpacing w:val="0"/>
        <w:rPr>
          <w:rFonts w:ascii="Arial" w:hAnsi="Arial" w:cs="Arial"/>
          <w:sz w:val="21"/>
          <w:szCs w:val="21"/>
        </w:rPr>
      </w:pPr>
      <w:r w:rsidRPr="00A9305B">
        <w:rPr>
          <w:rFonts w:ascii="Arial" w:hAnsi="Arial" w:cs="Arial"/>
          <w:sz w:val="21"/>
          <w:szCs w:val="21"/>
        </w:rPr>
        <w:lastRenderedPageBreak/>
        <w:t>Regulation 12 sets out the obligations that apply to commissioners in relation to the standstill period after a contract award decision.</w:t>
      </w:r>
      <w:r w:rsidR="00B62A14">
        <w:rPr>
          <w:rFonts w:ascii="Arial" w:hAnsi="Arial" w:cs="Arial"/>
          <w:sz w:val="21"/>
          <w:szCs w:val="21"/>
        </w:rPr>
        <w:t xml:space="preserve"> Regulation 12(4) </w:t>
      </w:r>
      <w:r w:rsidRPr="00A9305B">
        <w:rPr>
          <w:rFonts w:ascii="Arial" w:hAnsi="Arial" w:cs="Arial"/>
          <w:sz w:val="21"/>
          <w:szCs w:val="21"/>
        </w:rPr>
        <w:t>states that</w:t>
      </w:r>
      <w:r w:rsidR="00E241F6">
        <w:rPr>
          <w:rFonts w:ascii="Arial" w:hAnsi="Arial" w:cs="Arial"/>
          <w:sz w:val="21"/>
          <w:szCs w:val="21"/>
        </w:rPr>
        <w:t>:</w:t>
      </w:r>
    </w:p>
    <w:p w14:paraId="01773F5B" w14:textId="4FF0C6AD" w:rsidR="00E241F6" w:rsidRDefault="00631187" w:rsidP="00A9305B">
      <w:pPr>
        <w:pStyle w:val="ListParagraph"/>
        <w:spacing w:after="0" w:line="276" w:lineRule="auto"/>
        <w:ind w:left="1276"/>
        <w:contextualSpacing w:val="0"/>
        <w:rPr>
          <w:rFonts w:ascii="Arial" w:hAnsi="Arial" w:cs="Arial"/>
          <w:sz w:val="21"/>
          <w:szCs w:val="21"/>
        </w:rPr>
      </w:pPr>
      <w:r w:rsidRPr="00A9305B">
        <w:rPr>
          <w:rFonts w:ascii="Arial" w:hAnsi="Arial" w:cs="Arial"/>
          <w:sz w:val="21"/>
          <w:szCs w:val="21"/>
        </w:rPr>
        <w:t xml:space="preserve">“(4) Where the relevant authority receives representations </w:t>
      </w:r>
      <w:r w:rsidR="00B62A14">
        <w:rPr>
          <w:rFonts w:ascii="Arial" w:hAnsi="Arial" w:cs="Arial"/>
          <w:sz w:val="21"/>
          <w:szCs w:val="21"/>
        </w:rPr>
        <w:t xml:space="preserve">… </w:t>
      </w:r>
      <w:r w:rsidRPr="00A9305B">
        <w:rPr>
          <w:rFonts w:ascii="Arial" w:hAnsi="Arial" w:cs="Arial"/>
          <w:sz w:val="21"/>
          <w:szCs w:val="21"/>
        </w:rPr>
        <w:t>it must</w:t>
      </w:r>
    </w:p>
    <w:p w14:paraId="129FE75A" w14:textId="6302CBC3" w:rsidR="00E241F6" w:rsidRDefault="0004142D" w:rsidP="00A9305B">
      <w:pPr>
        <w:pStyle w:val="ListParagraph"/>
        <w:spacing w:after="0" w:line="276" w:lineRule="auto"/>
        <w:ind w:left="1701"/>
        <w:contextualSpacing w:val="0"/>
        <w:rPr>
          <w:rFonts w:ascii="Arial" w:hAnsi="Arial" w:cs="Arial"/>
          <w:sz w:val="21"/>
          <w:szCs w:val="21"/>
        </w:rPr>
      </w:pPr>
      <w:r>
        <w:rPr>
          <w:rFonts w:ascii="Arial" w:hAnsi="Arial" w:cs="Arial"/>
          <w:sz w:val="21"/>
          <w:szCs w:val="21"/>
        </w:rPr>
        <w:t>(a) ensure each provider who made representations is afforded such</w:t>
      </w:r>
      <w:r w:rsidR="00D73322">
        <w:rPr>
          <w:rFonts w:ascii="Arial" w:hAnsi="Arial" w:cs="Arial"/>
          <w:sz w:val="21"/>
          <w:szCs w:val="21"/>
        </w:rPr>
        <w:t xml:space="preserve"> further opportunity to explain or clarify the representations as the relevant authority considers appropriate</w:t>
      </w:r>
      <w:r w:rsidR="00E241F6">
        <w:rPr>
          <w:rFonts w:ascii="Arial" w:hAnsi="Arial" w:cs="Arial"/>
          <w:sz w:val="21"/>
          <w:szCs w:val="21"/>
        </w:rPr>
        <w:t>,</w:t>
      </w:r>
    </w:p>
    <w:p w14:paraId="11AD27E6" w14:textId="7D4FEDC6" w:rsidR="00631187" w:rsidRPr="00A9305B" w:rsidRDefault="00631187" w:rsidP="00A9305B">
      <w:pPr>
        <w:pStyle w:val="ListParagraph"/>
        <w:spacing w:after="120" w:line="276" w:lineRule="auto"/>
        <w:ind w:left="1701"/>
        <w:contextualSpacing w:val="0"/>
        <w:rPr>
          <w:rFonts w:ascii="Arial" w:hAnsi="Arial" w:cs="Arial"/>
          <w:sz w:val="21"/>
          <w:szCs w:val="21"/>
        </w:rPr>
      </w:pPr>
      <w:r w:rsidRPr="00A9305B">
        <w:rPr>
          <w:rFonts w:ascii="Arial" w:hAnsi="Arial" w:cs="Arial"/>
          <w:sz w:val="21"/>
          <w:szCs w:val="21"/>
        </w:rPr>
        <w:t>(b) provide promptly any information requested by an aggrieved provider where the relevant authority has a duty to record that information under regulation 24 (information requirements) …”.</w:t>
      </w:r>
    </w:p>
    <w:p w14:paraId="144A156E" w14:textId="77777777" w:rsidR="003B1C84" w:rsidRDefault="00631187" w:rsidP="00A9305B">
      <w:pPr>
        <w:pStyle w:val="ListParagraph"/>
        <w:spacing w:after="0" w:line="276" w:lineRule="auto"/>
        <w:ind w:left="851"/>
        <w:contextualSpacing w:val="0"/>
        <w:rPr>
          <w:rFonts w:ascii="Arial" w:hAnsi="Arial" w:cs="Arial"/>
          <w:sz w:val="21"/>
          <w:szCs w:val="21"/>
        </w:rPr>
      </w:pPr>
      <w:r w:rsidRPr="00A9305B">
        <w:rPr>
          <w:rFonts w:ascii="Arial" w:hAnsi="Arial" w:cs="Arial"/>
          <w:sz w:val="21"/>
          <w:szCs w:val="21"/>
        </w:rPr>
        <w:t>Regulation 24 sets out the information that commissioners must record. This includes:</w:t>
      </w:r>
    </w:p>
    <w:p w14:paraId="23AF9A4D" w14:textId="728BD738" w:rsidR="00CE2C2C" w:rsidRDefault="00631187" w:rsidP="0670A56C">
      <w:pPr>
        <w:pStyle w:val="ListParagraph"/>
        <w:spacing w:after="0" w:line="276" w:lineRule="auto"/>
        <w:ind w:left="1276"/>
        <w:rPr>
          <w:rFonts w:ascii="Arial" w:hAnsi="Arial" w:cs="Arial"/>
          <w:sz w:val="21"/>
          <w:szCs w:val="21"/>
        </w:rPr>
      </w:pPr>
      <w:r w:rsidRPr="0670A56C">
        <w:rPr>
          <w:rFonts w:ascii="Arial" w:hAnsi="Arial" w:cs="Arial"/>
          <w:sz w:val="21"/>
          <w:szCs w:val="21"/>
        </w:rPr>
        <w:t>“</w:t>
      </w:r>
      <w:r w:rsidR="00461773" w:rsidRPr="0670A56C">
        <w:rPr>
          <w:rFonts w:ascii="Arial" w:hAnsi="Arial" w:cs="Arial"/>
          <w:sz w:val="21"/>
          <w:szCs w:val="21"/>
        </w:rPr>
        <w:t xml:space="preserve">(a) </w:t>
      </w:r>
      <w:r w:rsidR="00CE2C2C" w:rsidRPr="0670A56C">
        <w:rPr>
          <w:rFonts w:ascii="Arial" w:hAnsi="Arial" w:cs="Arial"/>
          <w:sz w:val="21"/>
          <w:szCs w:val="21"/>
        </w:rPr>
        <w:t>the</w:t>
      </w:r>
      <w:r w:rsidR="41BEC849" w:rsidRPr="0670A56C">
        <w:rPr>
          <w:rFonts w:ascii="Arial" w:hAnsi="Arial" w:cs="Arial"/>
          <w:sz w:val="21"/>
          <w:szCs w:val="21"/>
        </w:rPr>
        <w:t xml:space="preserve"> name</w:t>
      </w:r>
      <w:r w:rsidR="00CE2C2C" w:rsidRPr="0670A56C">
        <w:rPr>
          <w:rFonts w:ascii="Arial" w:hAnsi="Arial" w:cs="Arial"/>
          <w:sz w:val="21"/>
          <w:szCs w:val="21"/>
        </w:rPr>
        <w:t xml:space="preserve"> of any provider to whom it awards a contract;</w:t>
      </w:r>
    </w:p>
    <w:p w14:paraId="161E6D23" w14:textId="77777777" w:rsidR="003D08BE" w:rsidRDefault="00CE2C2C"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t>(b) the name of any provider who is a party to a framework agreement</w:t>
      </w:r>
      <w:r w:rsidR="003D08BE">
        <w:rPr>
          <w:rFonts w:ascii="Arial" w:hAnsi="Arial" w:cs="Arial"/>
          <w:sz w:val="21"/>
          <w:szCs w:val="21"/>
        </w:rPr>
        <w:t>;</w:t>
      </w:r>
    </w:p>
    <w:p w14:paraId="7997FBE6" w14:textId="77777777" w:rsidR="003D08BE" w:rsidRDefault="003D08BE"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t>(c) the address of the registered office or principal place of business of each provider referred to in paragraph (a) or (b);</w:t>
      </w:r>
    </w:p>
    <w:p w14:paraId="29414983" w14:textId="77777777" w:rsidR="004C7F8F" w:rsidRDefault="00631187" w:rsidP="00A9305B">
      <w:pPr>
        <w:pStyle w:val="ListParagraph"/>
        <w:spacing w:after="0" w:line="276" w:lineRule="auto"/>
        <w:ind w:left="1276"/>
        <w:contextualSpacing w:val="0"/>
        <w:rPr>
          <w:rFonts w:ascii="Arial" w:hAnsi="Arial" w:cs="Arial"/>
          <w:sz w:val="21"/>
          <w:szCs w:val="21"/>
        </w:rPr>
      </w:pPr>
      <w:r w:rsidRPr="00A9305B">
        <w:rPr>
          <w:rFonts w:ascii="Arial" w:hAnsi="Arial" w:cs="Arial"/>
          <w:sz w:val="21"/>
          <w:szCs w:val="21"/>
        </w:rPr>
        <w:t>(d) the decision-making process followed, including the identity of individuals making decisions …</w:t>
      </w:r>
    </w:p>
    <w:p w14:paraId="212D6B39" w14:textId="0136141B" w:rsidR="004C7F8F" w:rsidRDefault="007707B9" w:rsidP="00A9305B">
      <w:pPr>
        <w:pStyle w:val="ListParagraph"/>
        <w:spacing w:after="0" w:line="276" w:lineRule="auto"/>
        <w:ind w:left="1276"/>
        <w:contextualSpacing w:val="0"/>
        <w:rPr>
          <w:rFonts w:ascii="Arial" w:hAnsi="Arial" w:cs="Arial"/>
          <w:sz w:val="21"/>
          <w:szCs w:val="21"/>
        </w:rPr>
      </w:pPr>
      <w:r w:rsidRPr="00A9305B">
        <w:rPr>
          <w:rFonts w:ascii="Arial" w:hAnsi="Arial" w:cs="Arial"/>
          <w:sz w:val="21"/>
          <w:szCs w:val="21"/>
        </w:rPr>
        <w:t>(f) where the Competitive Process was followed, a description of the way in which the key criteria were taken into account, the basic selection criteria were assessed and contract or framework award criteria were evaluated when making a decisio</w:t>
      </w:r>
      <w:r w:rsidR="00F8143F" w:rsidRPr="00A9305B">
        <w:rPr>
          <w:rFonts w:ascii="Arial" w:hAnsi="Arial" w:cs="Arial"/>
          <w:sz w:val="21"/>
          <w:szCs w:val="21"/>
        </w:rPr>
        <w:t>n;</w:t>
      </w:r>
    </w:p>
    <w:p w14:paraId="75D1C1C0" w14:textId="12ADF9FF" w:rsidR="004C7F8F" w:rsidRDefault="00631187" w:rsidP="00A9305B">
      <w:pPr>
        <w:pStyle w:val="ListParagraph"/>
        <w:spacing w:after="0" w:line="276" w:lineRule="auto"/>
        <w:ind w:left="1276"/>
        <w:contextualSpacing w:val="0"/>
        <w:rPr>
          <w:rFonts w:ascii="Arial" w:hAnsi="Arial" w:cs="Arial"/>
          <w:sz w:val="21"/>
          <w:szCs w:val="21"/>
        </w:rPr>
      </w:pPr>
      <w:r w:rsidRPr="00A9305B">
        <w:rPr>
          <w:rFonts w:ascii="Arial" w:hAnsi="Arial" w:cs="Arial"/>
          <w:sz w:val="21"/>
          <w:szCs w:val="21"/>
        </w:rPr>
        <w:t>(g) the reasons for decisions made under these Regulations</w:t>
      </w:r>
      <w:r w:rsidR="00F8143F" w:rsidRPr="00A9305B">
        <w:rPr>
          <w:rFonts w:ascii="Arial" w:hAnsi="Arial" w:cs="Arial"/>
          <w:sz w:val="21"/>
          <w:szCs w:val="21"/>
        </w:rPr>
        <w:t>;</w:t>
      </w:r>
    </w:p>
    <w:p w14:paraId="58385492" w14:textId="375C693B" w:rsidR="00C12BAD" w:rsidRDefault="00F8143F" w:rsidP="00A9305B">
      <w:pPr>
        <w:pStyle w:val="ListParagraph"/>
        <w:spacing w:after="0" w:line="276" w:lineRule="auto"/>
        <w:ind w:left="1276"/>
        <w:contextualSpacing w:val="0"/>
        <w:rPr>
          <w:rFonts w:ascii="Arial" w:hAnsi="Arial" w:cs="Arial"/>
          <w:sz w:val="21"/>
          <w:szCs w:val="21"/>
        </w:rPr>
      </w:pPr>
      <w:r w:rsidRPr="00A9305B">
        <w:rPr>
          <w:rFonts w:ascii="Arial" w:hAnsi="Arial" w:cs="Arial"/>
          <w:sz w:val="21"/>
          <w:szCs w:val="21"/>
        </w:rPr>
        <w:t>(h) declared conflicts or potential conflicts of interest;</w:t>
      </w:r>
    </w:p>
    <w:p w14:paraId="3BCF1CBD" w14:textId="32A8F8B1" w:rsidR="00922F84" w:rsidRPr="00A9305B" w:rsidRDefault="00107F19" w:rsidP="00A9305B">
      <w:pPr>
        <w:pStyle w:val="ListParagraph"/>
        <w:spacing w:after="120" w:line="276" w:lineRule="auto"/>
        <w:ind w:left="1276"/>
        <w:contextualSpacing w:val="0"/>
        <w:rPr>
          <w:rFonts w:ascii="Arial" w:hAnsi="Arial" w:cs="Arial"/>
          <w:sz w:val="21"/>
          <w:szCs w:val="21"/>
        </w:rPr>
      </w:pPr>
      <w:r w:rsidRPr="00A9305B">
        <w:rPr>
          <w:rFonts w:ascii="Arial" w:hAnsi="Arial" w:cs="Arial"/>
          <w:sz w:val="21"/>
          <w:szCs w:val="21"/>
        </w:rPr>
        <w:t>(i) how any conflicts or potential conflicts of interest were managed for each decision</w:t>
      </w:r>
      <w:r w:rsidR="00780015">
        <w:rPr>
          <w:rFonts w:ascii="Arial" w:hAnsi="Arial" w:cs="Arial"/>
          <w:sz w:val="21"/>
          <w:szCs w:val="21"/>
        </w:rPr>
        <w:t xml:space="preserve"> </w:t>
      </w:r>
      <w:r w:rsidRPr="00A9305B">
        <w:rPr>
          <w:rFonts w:ascii="Arial" w:hAnsi="Arial" w:cs="Arial"/>
          <w:sz w:val="21"/>
          <w:szCs w:val="21"/>
        </w:rPr>
        <w:t>…</w:t>
      </w:r>
      <w:r w:rsidR="00631187" w:rsidRPr="00A9305B">
        <w:rPr>
          <w:rFonts w:ascii="Arial" w:hAnsi="Arial" w:cs="Arial"/>
          <w:sz w:val="21"/>
          <w:szCs w:val="21"/>
        </w:rPr>
        <w:t>”</w:t>
      </w:r>
    </w:p>
    <w:p w14:paraId="5547CFBE" w14:textId="5BF06186" w:rsidR="006C3DB6" w:rsidRDefault="006C3DB6" w:rsidP="00A9305B">
      <w:pPr>
        <w:pStyle w:val="ListParagraph"/>
        <w:spacing w:after="0" w:line="276" w:lineRule="auto"/>
        <w:ind w:left="851"/>
        <w:contextualSpacing w:val="0"/>
        <w:rPr>
          <w:rFonts w:ascii="Arial" w:hAnsi="Arial" w:cs="Arial"/>
          <w:sz w:val="21"/>
          <w:szCs w:val="21"/>
        </w:rPr>
      </w:pPr>
      <w:r>
        <w:rPr>
          <w:rFonts w:ascii="Arial" w:hAnsi="Arial" w:cs="Arial"/>
          <w:sz w:val="21"/>
          <w:szCs w:val="21"/>
        </w:rPr>
        <w:t>Schedule 9 sets out the information that must be included in the communication to an unsuccessful provider. This includes:</w:t>
      </w:r>
    </w:p>
    <w:p w14:paraId="6CA2E585" w14:textId="4CABB295" w:rsidR="006C3DB6" w:rsidRDefault="009D08AC" w:rsidP="005D1E54">
      <w:pPr>
        <w:pStyle w:val="ListParagraph"/>
        <w:spacing w:after="0" w:line="276" w:lineRule="auto"/>
        <w:ind w:left="1276"/>
        <w:contextualSpacing w:val="0"/>
        <w:rPr>
          <w:rFonts w:ascii="Arial" w:hAnsi="Arial" w:cs="Arial"/>
          <w:sz w:val="21"/>
          <w:szCs w:val="21"/>
        </w:rPr>
      </w:pPr>
      <w:r>
        <w:rPr>
          <w:rFonts w:ascii="Arial" w:hAnsi="Arial" w:cs="Arial"/>
          <w:sz w:val="21"/>
          <w:szCs w:val="21"/>
        </w:rPr>
        <w:t>“(1) The contract or framework agreement title and reference</w:t>
      </w:r>
      <w:r w:rsidR="00B51D6D">
        <w:rPr>
          <w:rFonts w:ascii="Arial" w:hAnsi="Arial" w:cs="Arial"/>
          <w:sz w:val="21"/>
          <w:szCs w:val="21"/>
        </w:rPr>
        <w:t>.</w:t>
      </w:r>
    </w:p>
    <w:p w14:paraId="2CF9F8E6" w14:textId="52B31A77" w:rsidR="009D08AC" w:rsidRDefault="009D08AC" w:rsidP="005D1E54">
      <w:pPr>
        <w:pStyle w:val="ListParagraph"/>
        <w:spacing w:after="0" w:line="276" w:lineRule="auto"/>
        <w:ind w:left="1276"/>
        <w:contextualSpacing w:val="0"/>
        <w:rPr>
          <w:rFonts w:ascii="Arial" w:hAnsi="Arial" w:cs="Arial"/>
          <w:sz w:val="21"/>
          <w:szCs w:val="21"/>
        </w:rPr>
      </w:pPr>
      <w:r>
        <w:rPr>
          <w:rFonts w:ascii="Arial" w:hAnsi="Arial" w:cs="Arial"/>
          <w:sz w:val="21"/>
          <w:szCs w:val="21"/>
        </w:rPr>
        <w:t>(2) The contract or framework award criteria</w:t>
      </w:r>
      <w:r w:rsidR="00B51D6D">
        <w:rPr>
          <w:rFonts w:ascii="Arial" w:hAnsi="Arial" w:cs="Arial"/>
          <w:sz w:val="21"/>
          <w:szCs w:val="21"/>
        </w:rPr>
        <w:t>.</w:t>
      </w:r>
    </w:p>
    <w:p w14:paraId="400B0DC1" w14:textId="487C4218" w:rsidR="009D08AC" w:rsidRDefault="009D08AC" w:rsidP="1F838B14">
      <w:pPr>
        <w:pStyle w:val="ListParagraph"/>
        <w:spacing w:after="0" w:line="276" w:lineRule="auto"/>
        <w:ind w:left="1276"/>
        <w:rPr>
          <w:rFonts w:ascii="Arial" w:hAnsi="Arial" w:cs="Arial"/>
          <w:sz w:val="21"/>
          <w:szCs w:val="21"/>
        </w:rPr>
      </w:pPr>
      <w:r w:rsidRPr="1F838B14">
        <w:rPr>
          <w:rFonts w:ascii="Arial" w:hAnsi="Arial" w:cs="Arial"/>
          <w:sz w:val="21"/>
          <w:szCs w:val="21"/>
        </w:rPr>
        <w:t>(3) The reason</w:t>
      </w:r>
      <w:r w:rsidR="6334E065" w:rsidRPr="1F838B14">
        <w:rPr>
          <w:rFonts w:ascii="Arial" w:hAnsi="Arial" w:cs="Arial"/>
          <w:sz w:val="21"/>
          <w:szCs w:val="21"/>
        </w:rPr>
        <w:t>s</w:t>
      </w:r>
      <w:r w:rsidRPr="1F838B14">
        <w:rPr>
          <w:rFonts w:ascii="Arial" w:hAnsi="Arial" w:cs="Arial"/>
          <w:sz w:val="21"/>
          <w:szCs w:val="21"/>
        </w:rPr>
        <w:t xml:space="preserve"> why the successful provider was successful</w:t>
      </w:r>
      <w:r w:rsidR="00B51D6D" w:rsidRPr="1F838B14">
        <w:rPr>
          <w:rFonts w:ascii="Arial" w:hAnsi="Arial" w:cs="Arial"/>
          <w:sz w:val="21"/>
          <w:szCs w:val="21"/>
        </w:rPr>
        <w:t>.</w:t>
      </w:r>
    </w:p>
    <w:p w14:paraId="1ACCF78C" w14:textId="347A40D5" w:rsidR="009D08AC" w:rsidRDefault="009D08AC" w:rsidP="1F838B14">
      <w:pPr>
        <w:pStyle w:val="ListParagraph"/>
        <w:spacing w:after="0" w:line="276" w:lineRule="auto"/>
        <w:ind w:left="1276"/>
        <w:rPr>
          <w:rFonts w:ascii="Arial" w:hAnsi="Arial" w:cs="Arial"/>
          <w:sz w:val="21"/>
          <w:szCs w:val="21"/>
        </w:rPr>
      </w:pPr>
      <w:r w:rsidRPr="1F838B14">
        <w:rPr>
          <w:rFonts w:ascii="Arial" w:hAnsi="Arial" w:cs="Arial"/>
          <w:sz w:val="21"/>
          <w:szCs w:val="21"/>
        </w:rPr>
        <w:t>(4) The reason</w:t>
      </w:r>
      <w:r w:rsidR="1ED2E1C5" w:rsidRPr="1F838B14">
        <w:rPr>
          <w:rFonts w:ascii="Arial" w:hAnsi="Arial" w:cs="Arial"/>
          <w:sz w:val="21"/>
          <w:szCs w:val="21"/>
        </w:rPr>
        <w:t>s</w:t>
      </w:r>
      <w:r w:rsidRPr="1F838B14">
        <w:rPr>
          <w:rFonts w:ascii="Arial" w:hAnsi="Arial" w:cs="Arial"/>
          <w:sz w:val="21"/>
          <w:szCs w:val="21"/>
        </w:rPr>
        <w:t xml:space="preserve"> why the unsuccessful provider was </w:t>
      </w:r>
      <w:r w:rsidR="00B51D6D" w:rsidRPr="1F838B14">
        <w:rPr>
          <w:rFonts w:ascii="Arial" w:hAnsi="Arial" w:cs="Arial"/>
          <w:sz w:val="21"/>
          <w:szCs w:val="21"/>
        </w:rPr>
        <w:t>unsuccessful.</w:t>
      </w:r>
    </w:p>
    <w:p w14:paraId="05EFBA99" w14:textId="3FB6B01C" w:rsidR="00B51D6D" w:rsidRDefault="00B51D6D" w:rsidP="002E0766">
      <w:pPr>
        <w:pStyle w:val="ListParagraph"/>
        <w:spacing w:line="276" w:lineRule="auto"/>
        <w:ind w:left="1276"/>
        <w:contextualSpacing w:val="0"/>
        <w:rPr>
          <w:rFonts w:ascii="Arial" w:hAnsi="Arial" w:cs="Arial"/>
          <w:sz w:val="21"/>
          <w:szCs w:val="21"/>
        </w:rPr>
      </w:pPr>
      <w:r>
        <w:rPr>
          <w:rFonts w:ascii="Arial" w:hAnsi="Arial" w:cs="Arial"/>
          <w:sz w:val="21"/>
          <w:szCs w:val="21"/>
        </w:rPr>
        <w:t>(5) The dates of the beginning and end of the period in which written representations may be made.”</w:t>
      </w:r>
    </w:p>
    <w:p w14:paraId="7558D685" w14:textId="78A10B9F" w:rsidR="00715784" w:rsidRPr="00A9305B" w:rsidRDefault="005629A0" w:rsidP="00A9305B">
      <w:pPr>
        <w:pStyle w:val="ListParagraph"/>
        <w:spacing w:after="0" w:line="276" w:lineRule="auto"/>
        <w:ind w:left="851"/>
        <w:contextualSpacing w:val="0"/>
        <w:rPr>
          <w:rFonts w:ascii="Arial" w:hAnsi="Arial" w:cs="Arial"/>
          <w:sz w:val="21"/>
          <w:szCs w:val="21"/>
        </w:rPr>
      </w:pPr>
      <w:r w:rsidRPr="00A9305B">
        <w:rPr>
          <w:rFonts w:ascii="Arial" w:hAnsi="Arial" w:cs="Arial"/>
          <w:sz w:val="21"/>
          <w:szCs w:val="21"/>
        </w:rPr>
        <w:t xml:space="preserve">Schedule 10 </w:t>
      </w:r>
      <w:r w:rsidR="00C821B0">
        <w:rPr>
          <w:rFonts w:ascii="Arial" w:hAnsi="Arial" w:cs="Arial"/>
          <w:sz w:val="21"/>
          <w:szCs w:val="21"/>
        </w:rPr>
        <w:t>sets out the information that must be included in a notice of intention to make an award. This includes</w:t>
      </w:r>
      <w:r w:rsidR="00715784" w:rsidRPr="00A9305B">
        <w:rPr>
          <w:rFonts w:ascii="Arial" w:hAnsi="Arial" w:cs="Arial"/>
          <w:sz w:val="21"/>
          <w:szCs w:val="21"/>
        </w:rPr>
        <w:t>:</w:t>
      </w:r>
    </w:p>
    <w:p w14:paraId="7A33C488" w14:textId="59D85250" w:rsidR="00715784" w:rsidRPr="00A9305B" w:rsidRDefault="00D66196"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t xml:space="preserve">“(1) </w:t>
      </w:r>
      <w:r w:rsidR="00715784" w:rsidRPr="00A9305B">
        <w:rPr>
          <w:rFonts w:ascii="Arial" w:hAnsi="Arial" w:cs="Arial"/>
          <w:sz w:val="21"/>
          <w:szCs w:val="21"/>
        </w:rPr>
        <w:t>A statement that the relevant authority is intending to award a contract to a provider or conclude a framework agreement under the Competitive Process</w:t>
      </w:r>
      <w:r w:rsidR="00C634C3" w:rsidRPr="00A9305B">
        <w:rPr>
          <w:rFonts w:ascii="Arial" w:hAnsi="Arial" w:cs="Arial"/>
          <w:sz w:val="21"/>
          <w:szCs w:val="21"/>
        </w:rPr>
        <w:t>.</w:t>
      </w:r>
    </w:p>
    <w:p w14:paraId="32E9DD14" w14:textId="149AA617" w:rsidR="00C634C3" w:rsidRPr="00A9305B" w:rsidRDefault="00D66196"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t xml:space="preserve">(2) </w:t>
      </w:r>
      <w:r w:rsidR="00C634C3" w:rsidRPr="00A9305B">
        <w:rPr>
          <w:rFonts w:ascii="Arial" w:hAnsi="Arial" w:cs="Arial"/>
          <w:sz w:val="21"/>
          <w:szCs w:val="21"/>
        </w:rPr>
        <w:t xml:space="preserve">The contract </w:t>
      </w:r>
      <w:r w:rsidR="005A5C6C" w:rsidRPr="00A9305B">
        <w:rPr>
          <w:rFonts w:ascii="Arial" w:hAnsi="Arial" w:cs="Arial"/>
          <w:sz w:val="21"/>
          <w:szCs w:val="21"/>
        </w:rPr>
        <w:t>or framework agreement title and reference.</w:t>
      </w:r>
    </w:p>
    <w:p w14:paraId="04BC6193" w14:textId="769918E0" w:rsidR="002C74FD" w:rsidRPr="00A9305B" w:rsidRDefault="00D66196"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t xml:space="preserve">(3) </w:t>
      </w:r>
      <w:r w:rsidR="005629A0" w:rsidRPr="00A9305B">
        <w:rPr>
          <w:rFonts w:ascii="Arial" w:hAnsi="Arial" w:cs="Arial"/>
          <w:sz w:val="21"/>
          <w:szCs w:val="21"/>
        </w:rPr>
        <w:t>The name and address of the registered office or principal place of business of the provider to whom a contract is to be awarded or with whom a framework agreement is to be concluded</w:t>
      </w:r>
      <w:r w:rsidR="002C74FD" w:rsidRPr="00A9305B">
        <w:rPr>
          <w:rFonts w:ascii="Arial" w:hAnsi="Arial" w:cs="Arial"/>
          <w:sz w:val="21"/>
          <w:szCs w:val="21"/>
        </w:rPr>
        <w:t>.</w:t>
      </w:r>
    </w:p>
    <w:p w14:paraId="7F8CE617" w14:textId="0F94443D" w:rsidR="002C74FD" w:rsidRPr="00A9305B" w:rsidRDefault="00D66196"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t xml:space="preserve">(4) </w:t>
      </w:r>
      <w:r w:rsidR="005629A0" w:rsidRPr="00A9305B">
        <w:rPr>
          <w:rFonts w:ascii="Arial" w:hAnsi="Arial" w:cs="Arial"/>
          <w:sz w:val="21"/>
          <w:szCs w:val="21"/>
        </w:rPr>
        <w:t>A description of the relevant health care services to which the contract or framework agreement relates, including the most relevant CPV code</w:t>
      </w:r>
      <w:r w:rsidR="002C74FD" w:rsidRPr="00A9305B">
        <w:rPr>
          <w:rFonts w:ascii="Arial" w:hAnsi="Arial" w:cs="Arial"/>
          <w:sz w:val="21"/>
          <w:szCs w:val="21"/>
        </w:rPr>
        <w:t>.</w:t>
      </w:r>
    </w:p>
    <w:p w14:paraId="4B3762E5" w14:textId="0258C2BA" w:rsidR="002C74FD" w:rsidRPr="00A9305B" w:rsidRDefault="00D66196"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t xml:space="preserve">(5) </w:t>
      </w:r>
      <w:r w:rsidR="002C74FD" w:rsidRPr="00A9305B">
        <w:rPr>
          <w:rFonts w:ascii="Arial" w:hAnsi="Arial" w:cs="Arial"/>
          <w:sz w:val="21"/>
          <w:szCs w:val="21"/>
        </w:rPr>
        <w:t>Where the notice relates to the conclusion of a framework agreement, the duration of the agreement and the relevant authorities which will be able to use the framework agreement.</w:t>
      </w:r>
    </w:p>
    <w:p w14:paraId="2FF482DE" w14:textId="5900914C" w:rsidR="002C74FD" w:rsidRPr="00A9305B" w:rsidRDefault="00D66196"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t xml:space="preserve">(6) </w:t>
      </w:r>
      <w:r w:rsidR="002C74FD" w:rsidRPr="00A9305B">
        <w:rPr>
          <w:rFonts w:ascii="Arial" w:hAnsi="Arial" w:cs="Arial"/>
          <w:sz w:val="21"/>
          <w:szCs w:val="21"/>
        </w:rPr>
        <w:t>The approximate lifetime</w:t>
      </w:r>
      <w:r w:rsidR="00D612ED" w:rsidRPr="00A9305B">
        <w:rPr>
          <w:rFonts w:ascii="Arial" w:hAnsi="Arial" w:cs="Arial"/>
          <w:sz w:val="21"/>
          <w:szCs w:val="21"/>
        </w:rPr>
        <w:t xml:space="preserve"> value of the contract or framework agreement.</w:t>
      </w:r>
    </w:p>
    <w:p w14:paraId="1151880A" w14:textId="1A951A0F" w:rsidR="00D612ED" w:rsidRPr="00A9305B" w:rsidRDefault="00D66196"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t xml:space="preserve">(7) </w:t>
      </w:r>
      <w:r w:rsidR="005629A0" w:rsidRPr="00A9305B">
        <w:rPr>
          <w:rFonts w:ascii="Arial" w:hAnsi="Arial" w:cs="Arial"/>
          <w:sz w:val="21"/>
          <w:szCs w:val="21"/>
        </w:rPr>
        <w:t>Details of the decision-makers</w:t>
      </w:r>
      <w:r w:rsidR="00D612ED" w:rsidRPr="00A9305B">
        <w:rPr>
          <w:rFonts w:ascii="Arial" w:hAnsi="Arial" w:cs="Arial"/>
          <w:sz w:val="21"/>
          <w:szCs w:val="21"/>
        </w:rPr>
        <w:t>.</w:t>
      </w:r>
    </w:p>
    <w:p w14:paraId="7B6AB76A" w14:textId="7371D284" w:rsidR="00686225" w:rsidRPr="00A9305B" w:rsidRDefault="00D66196"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t xml:space="preserve">(8) </w:t>
      </w:r>
      <w:r w:rsidR="005629A0" w:rsidRPr="00A9305B">
        <w:rPr>
          <w:rFonts w:ascii="Arial" w:hAnsi="Arial" w:cs="Arial"/>
          <w:sz w:val="21"/>
          <w:szCs w:val="21"/>
        </w:rPr>
        <w:t>A statement explaining the decision-makers’ reasons for selecting the chosen provider, with reference to the key criteria</w:t>
      </w:r>
    </w:p>
    <w:p w14:paraId="09411947" w14:textId="7C1754E2" w:rsidR="00DE4CE3" w:rsidRPr="00A9305B" w:rsidRDefault="00D66196"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lastRenderedPageBreak/>
        <w:t xml:space="preserve">(9) </w:t>
      </w:r>
      <w:r w:rsidR="005629A0" w:rsidRPr="00A9305B">
        <w:rPr>
          <w:rFonts w:ascii="Arial" w:hAnsi="Arial" w:cs="Arial"/>
          <w:sz w:val="21"/>
          <w:szCs w:val="21"/>
        </w:rPr>
        <w:t>Any declared conflicts or potential conflicts of interest</w:t>
      </w:r>
      <w:r w:rsidR="00DE4CE3" w:rsidRPr="00A9305B">
        <w:rPr>
          <w:rFonts w:ascii="Arial" w:hAnsi="Arial" w:cs="Arial"/>
          <w:sz w:val="21"/>
          <w:szCs w:val="21"/>
        </w:rPr>
        <w:t>.</w:t>
      </w:r>
    </w:p>
    <w:p w14:paraId="7E4F00A6" w14:textId="2030D3A1" w:rsidR="005629A0" w:rsidRPr="00A9305B" w:rsidRDefault="00D66196" w:rsidP="00A9305B">
      <w:pPr>
        <w:pStyle w:val="ListParagraph"/>
        <w:spacing w:after="0" w:line="276" w:lineRule="auto"/>
        <w:ind w:left="1276"/>
        <w:contextualSpacing w:val="0"/>
        <w:rPr>
          <w:rFonts w:ascii="Arial" w:hAnsi="Arial" w:cs="Arial"/>
          <w:sz w:val="21"/>
          <w:szCs w:val="21"/>
        </w:rPr>
      </w:pPr>
      <w:r>
        <w:rPr>
          <w:rFonts w:ascii="Arial" w:hAnsi="Arial" w:cs="Arial"/>
          <w:sz w:val="21"/>
          <w:szCs w:val="21"/>
        </w:rPr>
        <w:t xml:space="preserve">(10) </w:t>
      </w:r>
      <w:r w:rsidR="005629A0" w:rsidRPr="00A9305B">
        <w:rPr>
          <w:rFonts w:ascii="Arial" w:hAnsi="Arial" w:cs="Arial"/>
          <w:sz w:val="21"/>
          <w:szCs w:val="21"/>
        </w:rPr>
        <w:t>Information as to how any conflicts or potential conflicts of interest were managed</w:t>
      </w:r>
      <w:r w:rsidR="00DE4CE3" w:rsidRPr="00A9305B">
        <w:rPr>
          <w:rFonts w:ascii="Arial" w:hAnsi="Arial" w:cs="Arial"/>
          <w:sz w:val="21"/>
          <w:szCs w:val="21"/>
        </w:rPr>
        <w:t>.</w:t>
      </w:r>
    </w:p>
    <w:p w14:paraId="1E3ECA93" w14:textId="282A9D9D" w:rsidR="00DE4CE3" w:rsidRPr="00A9305B" w:rsidRDefault="00D66196" w:rsidP="00A9305B">
      <w:pPr>
        <w:pStyle w:val="ListParagraph"/>
        <w:spacing w:line="276" w:lineRule="auto"/>
        <w:ind w:left="1276"/>
        <w:contextualSpacing w:val="0"/>
        <w:rPr>
          <w:rFonts w:ascii="Arial" w:hAnsi="Arial" w:cs="Arial"/>
          <w:sz w:val="21"/>
          <w:szCs w:val="21"/>
        </w:rPr>
      </w:pPr>
      <w:r>
        <w:rPr>
          <w:rFonts w:ascii="Arial" w:hAnsi="Arial" w:cs="Arial"/>
          <w:sz w:val="21"/>
          <w:szCs w:val="21"/>
        </w:rPr>
        <w:t xml:space="preserve">(11) </w:t>
      </w:r>
      <w:r w:rsidR="00DE4CE3" w:rsidRPr="00A9305B">
        <w:rPr>
          <w:rFonts w:ascii="Arial" w:hAnsi="Arial" w:cs="Arial"/>
          <w:sz w:val="21"/>
          <w:szCs w:val="21"/>
        </w:rPr>
        <w:t>Where appropriate, an indication whether a framework agreement was used.”</w:t>
      </w:r>
    </w:p>
    <w:p w14:paraId="32DDE7B7" w14:textId="61116E7B" w:rsidR="007C4FDF" w:rsidRPr="007C4FDF" w:rsidRDefault="007B455E" w:rsidP="007C4FD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Provider Selection Regime Statutory Guidance </w:t>
      </w:r>
      <w:r w:rsidR="009868D9">
        <w:rPr>
          <w:rFonts w:ascii="Arial" w:hAnsi="Arial" w:cs="Arial"/>
        </w:rPr>
        <w:t>“sits alongside the Regulations to support organisations to understand and interpret the PSR</w:t>
      </w:r>
      <w:r w:rsidR="00E6742E">
        <w:rPr>
          <w:rFonts w:ascii="Arial" w:hAnsi="Arial" w:cs="Arial"/>
        </w:rPr>
        <w:t xml:space="preserve"> regulations”.</w:t>
      </w:r>
      <w:r w:rsidR="00E6742E">
        <w:rPr>
          <w:rStyle w:val="FootnoteReference"/>
          <w:rFonts w:ascii="Arial" w:hAnsi="Arial" w:cs="Arial"/>
        </w:rPr>
        <w:footnoteReference w:id="16"/>
      </w:r>
      <w:r w:rsidR="007C4FDF">
        <w:rPr>
          <w:rFonts w:ascii="Arial" w:hAnsi="Arial" w:cs="Arial"/>
        </w:rPr>
        <w:t xml:space="preserve"> </w:t>
      </w:r>
      <w:r w:rsidR="00B72015">
        <w:rPr>
          <w:rFonts w:ascii="Arial" w:hAnsi="Arial" w:cs="Arial"/>
        </w:rPr>
        <w:t>R</w:t>
      </w:r>
      <w:r w:rsidR="007C4FDF">
        <w:rPr>
          <w:rFonts w:ascii="Arial" w:hAnsi="Arial" w:cs="Arial"/>
        </w:rPr>
        <w:t xml:space="preserve">eference is made to </w:t>
      </w:r>
      <w:r w:rsidR="00A43E7E">
        <w:rPr>
          <w:rFonts w:ascii="Arial" w:hAnsi="Arial" w:cs="Arial"/>
        </w:rPr>
        <w:t xml:space="preserve">relevant provisions of </w:t>
      </w:r>
      <w:r w:rsidR="007C4FDF">
        <w:rPr>
          <w:rFonts w:ascii="Arial" w:hAnsi="Arial" w:cs="Arial"/>
        </w:rPr>
        <w:t>the Statutory Guidance in th</w:t>
      </w:r>
      <w:r w:rsidR="00B72015">
        <w:rPr>
          <w:rFonts w:ascii="Arial" w:hAnsi="Arial" w:cs="Arial"/>
        </w:rPr>
        <w:t xml:space="preserve">e </w:t>
      </w:r>
      <w:r w:rsidR="00AE7CEA">
        <w:rPr>
          <w:rFonts w:ascii="Arial" w:hAnsi="Arial" w:cs="Arial"/>
        </w:rPr>
        <w:t>Panel’s assessment of the issues</w:t>
      </w:r>
      <w:r w:rsidR="00B72015">
        <w:rPr>
          <w:rFonts w:ascii="Arial" w:hAnsi="Arial" w:cs="Arial"/>
        </w:rPr>
        <w:t xml:space="preserve"> </w:t>
      </w:r>
      <w:r w:rsidR="00A0555E">
        <w:rPr>
          <w:rFonts w:ascii="Arial" w:hAnsi="Arial" w:cs="Arial"/>
        </w:rPr>
        <w:t xml:space="preserve">in </w:t>
      </w:r>
      <w:r w:rsidR="00B72015">
        <w:rPr>
          <w:rFonts w:ascii="Arial" w:hAnsi="Arial" w:cs="Arial"/>
        </w:rPr>
        <w:t>Section 7</w:t>
      </w:r>
      <w:r w:rsidR="00AE7CEA">
        <w:rPr>
          <w:rFonts w:ascii="Arial" w:hAnsi="Arial" w:cs="Arial"/>
        </w:rPr>
        <w:t>.</w:t>
      </w:r>
      <w:r w:rsidR="00152BE9">
        <w:rPr>
          <w:rStyle w:val="FootnoteReference"/>
          <w:rFonts w:ascii="Arial" w:hAnsi="Arial" w:cs="Arial"/>
        </w:rPr>
        <w:footnoteReference w:id="17"/>
      </w:r>
    </w:p>
    <w:p w14:paraId="1C538234" w14:textId="31081196" w:rsidR="00F5340F" w:rsidRPr="00F5340F" w:rsidRDefault="00F5340F" w:rsidP="00F5340F">
      <w:pPr>
        <w:pStyle w:val="Heading1"/>
        <w:numPr>
          <w:ilvl w:val="0"/>
          <w:numId w:val="1"/>
        </w:numPr>
        <w:spacing w:before="360" w:after="240"/>
        <w:ind w:left="0" w:firstLine="0"/>
        <w:rPr>
          <w:rFonts w:ascii="Arial" w:hAnsi="Arial" w:cs="Arial"/>
          <w:b/>
          <w:bCs/>
          <w:color w:val="000000" w:themeColor="text1"/>
          <w:sz w:val="28"/>
          <w:szCs w:val="28"/>
        </w:rPr>
      </w:pPr>
      <w:bookmarkStart w:id="12" w:name="_Toc198745105"/>
      <w:r w:rsidRPr="00A46C26">
        <w:rPr>
          <w:rFonts w:ascii="Arial" w:hAnsi="Arial" w:cs="Arial"/>
          <w:b/>
          <w:bCs/>
          <w:color w:val="000000" w:themeColor="text1"/>
          <w:sz w:val="28"/>
          <w:szCs w:val="28"/>
        </w:rPr>
        <w:t>Assessment</w:t>
      </w:r>
      <w:r w:rsidR="00C11050">
        <w:rPr>
          <w:rFonts w:ascii="Arial" w:hAnsi="Arial" w:cs="Arial"/>
          <w:b/>
          <w:bCs/>
          <w:color w:val="000000" w:themeColor="text1"/>
          <w:sz w:val="28"/>
          <w:szCs w:val="28"/>
        </w:rPr>
        <w:t xml:space="preserve"> of Barkhill’s representations</w:t>
      </w:r>
      <w:bookmarkStart w:id="13" w:name="_Toc166083480"/>
      <w:bookmarkEnd w:id="12"/>
    </w:p>
    <w:p w14:paraId="1E6DFDCA" w14:textId="3D46B173" w:rsidR="002E1ECC" w:rsidRDefault="00D21C85" w:rsidP="002E1ECC">
      <w:pPr>
        <w:pStyle w:val="ListParagraph"/>
        <w:numPr>
          <w:ilvl w:val="0"/>
          <w:numId w:val="2"/>
        </w:numPr>
        <w:spacing w:after="0" w:line="276" w:lineRule="auto"/>
        <w:ind w:left="567" w:hanging="567"/>
        <w:contextualSpacing w:val="0"/>
        <w:rPr>
          <w:rFonts w:ascii="Arial" w:hAnsi="Arial" w:cs="Arial"/>
        </w:rPr>
      </w:pPr>
      <w:r>
        <w:rPr>
          <w:rFonts w:ascii="Arial" w:hAnsi="Arial" w:cs="Arial"/>
        </w:rPr>
        <w:t xml:space="preserve">This section sets out the Panel’s assessment of </w:t>
      </w:r>
      <w:r w:rsidR="00704431" w:rsidRPr="00E9315A">
        <w:rPr>
          <w:rFonts w:ascii="Arial" w:hAnsi="Arial" w:cs="Arial"/>
        </w:rPr>
        <w:t>Barkhill</w:t>
      </w:r>
      <w:r w:rsidR="002E50B6" w:rsidRPr="00E9315A">
        <w:rPr>
          <w:rFonts w:ascii="Arial" w:hAnsi="Arial" w:cs="Arial"/>
        </w:rPr>
        <w:t>’s representations</w:t>
      </w:r>
      <w:r w:rsidR="00704431" w:rsidRPr="00E9315A">
        <w:rPr>
          <w:rFonts w:ascii="Arial" w:hAnsi="Arial" w:cs="Arial"/>
        </w:rPr>
        <w:t xml:space="preserve"> </w:t>
      </w:r>
      <w:r>
        <w:rPr>
          <w:rFonts w:ascii="Arial" w:hAnsi="Arial" w:cs="Arial"/>
        </w:rPr>
        <w:t xml:space="preserve">and </w:t>
      </w:r>
      <w:r w:rsidR="00DC35A8">
        <w:rPr>
          <w:rFonts w:ascii="Arial" w:hAnsi="Arial" w:cs="Arial"/>
        </w:rPr>
        <w:t>its</w:t>
      </w:r>
      <w:r>
        <w:rPr>
          <w:rFonts w:ascii="Arial" w:hAnsi="Arial" w:cs="Arial"/>
        </w:rPr>
        <w:t xml:space="preserve"> findings on whether </w:t>
      </w:r>
      <w:r w:rsidR="00704431">
        <w:rPr>
          <w:rFonts w:ascii="Arial" w:hAnsi="Arial" w:cs="Arial"/>
        </w:rPr>
        <w:t>HNY ICB</w:t>
      </w:r>
      <w:r>
        <w:rPr>
          <w:rFonts w:ascii="Arial" w:hAnsi="Arial" w:cs="Arial"/>
        </w:rPr>
        <w:t xml:space="preserve"> complied with the PSR regulations</w:t>
      </w:r>
      <w:bookmarkEnd w:id="13"/>
      <w:r w:rsidR="00573E10">
        <w:rPr>
          <w:rFonts w:ascii="Arial" w:hAnsi="Arial" w:cs="Arial"/>
        </w:rPr>
        <w:t xml:space="preserve"> in relation to</w:t>
      </w:r>
      <w:r w:rsidR="002E1ECC">
        <w:rPr>
          <w:rFonts w:ascii="Arial" w:hAnsi="Arial" w:cs="Arial"/>
        </w:rPr>
        <w:t>:</w:t>
      </w:r>
    </w:p>
    <w:p w14:paraId="7CADFD81" w14:textId="739879D0" w:rsidR="002E1ECC" w:rsidRPr="00C4143F" w:rsidRDefault="002E1ECC" w:rsidP="002E1ECC">
      <w:pPr>
        <w:pStyle w:val="ListParagraph"/>
        <w:numPr>
          <w:ilvl w:val="1"/>
          <w:numId w:val="2"/>
        </w:numPr>
        <w:spacing w:after="0" w:line="276" w:lineRule="auto"/>
        <w:ind w:left="1134" w:hanging="283"/>
        <w:contextualSpacing w:val="0"/>
        <w:rPr>
          <w:rFonts w:ascii="Arial" w:hAnsi="Arial" w:cs="Arial"/>
        </w:rPr>
      </w:pPr>
      <w:r>
        <w:rPr>
          <w:rFonts w:ascii="Arial" w:hAnsi="Arial" w:cs="Arial"/>
        </w:rPr>
        <w:t xml:space="preserve">first, </w:t>
      </w:r>
      <w:r w:rsidR="00573E10">
        <w:rPr>
          <w:rFonts w:ascii="Arial" w:hAnsi="Arial" w:cs="Arial"/>
        </w:rPr>
        <w:t>the</w:t>
      </w:r>
      <w:r w:rsidR="00775DF9">
        <w:rPr>
          <w:rFonts w:ascii="Arial" w:hAnsi="Arial" w:cs="Arial"/>
        </w:rPr>
        <w:t xml:space="preserve"> </w:t>
      </w:r>
      <w:r>
        <w:rPr>
          <w:rFonts w:ascii="Arial" w:eastAsiaTheme="majorEastAsia" w:hAnsi="Arial" w:cs="Arial"/>
          <w:color w:val="000000" w:themeColor="text1"/>
        </w:rPr>
        <w:t>evaluati</w:t>
      </w:r>
      <w:r w:rsidR="00573E10">
        <w:rPr>
          <w:rFonts w:ascii="Arial" w:eastAsiaTheme="majorEastAsia" w:hAnsi="Arial" w:cs="Arial"/>
          <w:color w:val="000000" w:themeColor="text1"/>
        </w:rPr>
        <w:t>o</w:t>
      </w:r>
      <w:r>
        <w:rPr>
          <w:rFonts w:ascii="Arial" w:eastAsiaTheme="majorEastAsia" w:hAnsi="Arial" w:cs="Arial"/>
          <w:color w:val="000000" w:themeColor="text1"/>
        </w:rPr>
        <w:t>n</w:t>
      </w:r>
      <w:r w:rsidR="00573E10">
        <w:rPr>
          <w:rFonts w:ascii="Arial" w:eastAsiaTheme="majorEastAsia" w:hAnsi="Arial" w:cs="Arial"/>
          <w:color w:val="000000" w:themeColor="text1"/>
        </w:rPr>
        <w:t xml:space="preserve"> of</w:t>
      </w:r>
      <w:r>
        <w:rPr>
          <w:rFonts w:ascii="Arial" w:eastAsiaTheme="majorEastAsia" w:hAnsi="Arial" w:cs="Arial"/>
          <w:color w:val="000000" w:themeColor="text1"/>
        </w:rPr>
        <w:t xml:space="preserve"> Barkhill’s </w:t>
      </w:r>
      <w:r w:rsidR="009D73A4">
        <w:rPr>
          <w:rFonts w:ascii="Arial" w:eastAsiaTheme="majorEastAsia" w:hAnsi="Arial" w:cs="Arial"/>
          <w:color w:val="000000" w:themeColor="text1"/>
        </w:rPr>
        <w:t>proposals</w:t>
      </w:r>
      <w:r>
        <w:rPr>
          <w:rFonts w:ascii="Arial" w:eastAsiaTheme="majorEastAsia" w:hAnsi="Arial" w:cs="Arial"/>
          <w:color w:val="000000" w:themeColor="text1"/>
        </w:rPr>
        <w:t xml:space="preserve"> (Section 7.1);</w:t>
      </w:r>
    </w:p>
    <w:p w14:paraId="39E336E0" w14:textId="68CBEE76" w:rsidR="002E1ECC" w:rsidRPr="00C4143F" w:rsidRDefault="002E1ECC" w:rsidP="239AFD00">
      <w:pPr>
        <w:pStyle w:val="ListParagraph"/>
        <w:numPr>
          <w:ilvl w:val="1"/>
          <w:numId w:val="2"/>
        </w:numPr>
        <w:spacing w:after="0" w:line="276" w:lineRule="auto"/>
        <w:ind w:left="1134" w:hanging="283"/>
        <w:rPr>
          <w:rFonts w:ascii="Arial" w:hAnsi="Arial" w:cs="Arial"/>
        </w:rPr>
      </w:pPr>
      <w:r>
        <w:rPr>
          <w:rFonts w:ascii="Arial" w:eastAsiaTheme="majorEastAsia" w:hAnsi="Arial" w:cs="Arial"/>
          <w:color w:val="000000" w:themeColor="text1"/>
        </w:rPr>
        <w:t xml:space="preserve">second, </w:t>
      </w:r>
      <w:r w:rsidR="007A2E38">
        <w:rPr>
          <w:rFonts w:ascii="Arial" w:eastAsiaTheme="majorEastAsia" w:hAnsi="Arial" w:cs="Arial"/>
          <w:color w:val="000000" w:themeColor="text1"/>
        </w:rPr>
        <w:t xml:space="preserve">the notice of intention </w:t>
      </w:r>
      <w:r w:rsidR="00573E10">
        <w:rPr>
          <w:rFonts w:ascii="Arial" w:eastAsiaTheme="majorEastAsia" w:hAnsi="Arial" w:cs="Arial"/>
          <w:color w:val="000000" w:themeColor="text1"/>
        </w:rPr>
        <w:t xml:space="preserve">published </w:t>
      </w:r>
      <w:r w:rsidR="007A2E38">
        <w:rPr>
          <w:rFonts w:ascii="Arial" w:eastAsiaTheme="majorEastAsia" w:hAnsi="Arial" w:cs="Arial"/>
          <w:color w:val="000000" w:themeColor="text1"/>
        </w:rPr>
        <w:t xml:space="preserve">on 10 December 2024 and the </w:t>
      </w:r>
      <w:r w:rsidR="001F76CD" w:rsidRPr="07593E2B">
        <w:rPr>
          <w:rFonts w:ascii="Arial" w:eastAsiaTheme="majorEastAsia" w:hAnsi="Arial" w:cs="Arial"/>
          <w:color w:val="000000" w:themeColor="text1"/>
        </w:rPr>
        <w:t>corrigenda</w:t>
      </w:r>
      <w:r w:rsidR="001F76CD">
        <w:rPr>
          <w:rFonts w:ascii="Arial" w:eastAsiaTheme="majorEastAsia" w:hAnsi="Arial" w:cs="Arial"/>
          <w:color w:val="000000" w:themeColor="text1"/>
        </w:rPr>
        <w:t xml:space="preserve"> </w:t>
      </w:r>
      <w:r w:rsidR="000B7321">
        <w:rPr>
          <w:rFonts w:ascii="Arial" w:eastAsiaTheme="majorEastAsia" w:hAnsi="Arial" w:cs="Arial"/>
          <w:color w:val="000000" w:themeColor="text1"/>
        </w:rPr>
        <w:t>published</w:t>
      </w:r>
      <w:r w:rsidR="001F76CD">
        <w:rPr>
          <w:rFonts w:ascii="Arial" w:eastAsiaTheme="majorEastAsia" w:hAnsi="Arial" w:cs="Arial"/>
          <w:color w:val="000000" w:themeColor="text1"/>
        </w:rPr>
        <w:t xml:space="preserve"> on </w:t>
      </w:r>
      <w:r w:rsidR="00E4720E">
        <w:rPr>
          <w:rFonts w:ascii="Arial" w:eastAsiaTheme="majorEastAsia" w:hAnsi="Arial" w:cs="Arial"/>
          <w:color w:val="000000" w:themeColor="text1"/>
        </w:rPr>
        <w:t>13 January and 7</w:t>
      </w:r>
      <w:r w:rsidR="001F76CD">
        <w:rPr>
          <w:rFonts w:ascii="Arial" w:eastAsiaTheme="majorEastAsia" w:hAnsi="Arial" w:cs="Arial"/>
          <w:color w:val="000000" w:themeColor="text1"/>
        </w:rPr>
        <w:t> </w:t>
      </w:r>
      <w:r w:rsidR="00E4720E">
        <w:rPr>
          <w:rFonts w:ascii="Arial" w:eastAsiaTheme="majorEastAsia" w:hAnsi="Arial" w:cs="Arial"/>
          <w:color w:val="000000" w:themeColor="text1"/>
        </w:rPr>
        <w:t xml:space="preserve">March </w:t>
      </w:r>
      <w:r w:rsidR="00062C71">
        <w:rPr>
          <w:rFonts w:ascii="Arial" w:eastAsiaTheme="majorEastAsia" w:hAnsi="Arial" w:cs="Arial"/>
          <w:color w:val="000000" w:themeColor="text1"/>
        </w:rPr>
        <w:t xml:space="preserve">2025 </w:t>
      </w:r>
      <w:r>
        <w:rPr>
          <w:rFonts w:ascii="Arial" w:eastAsiaTheme="majorEastAsia" w:hAnsi="Arial" w:cs="Arial"/>
          <w:color w:val="000000" w:themeColor="text1"/>
        </w:rPr>
        <w:t>(Section 7.</w:t>
      </w:r>
      <w:r w:rsidR="00B307A4">
        <w:rPr>
          <w:rFonts w:ascii="Arial" w:eastAsiaTheme="majorEastAsia" w:hAnsi="Arial" w:cs="Arial"/>
          <w:color w:val="000000" w:themeColor="text1"/>
        </w:rPr>
        <w:t>2</w:t>
      </w:r>
      <w:r>
        <w:rPr>
          <w:rFonts w:ascii="Arial" w:eastAsiaTheme="majorEastAsia" w:hAnsi="Arial" w:cs="Arial"/>
          <w:color w:val="000000" w:themeColor="text1"/>
        </w:rPr>
        <w:t>); and</w:t>
      </w:r>
    </w:p>
    <w:p w14:paraId="5CBCF056" w14:textId="7D7F65A0" w:rsidR="002E1ECC" w:rsidRDefault="002E1ECC" w:rsidP="002E1ECC">
      <w:pPr>
        <w:pStyle w:val="ListParagraph"/>
        <w:numPr>
          <w:ilvl w:val="1"/>
          <w:numId w:val="2"/>
        </w:numPr>
        <w:spacing w:line="276" w:lineRule="auto"/>
        <w:ind w:left="1135" w:hanging="284"/>
        <w:contextualSpacing w:val="0"/>
        <w:rPr>
          <w:rFonts w:ascii="Arial" w:hAnsi="Arial" w:cs="Arial"/>
        </w:rPr>
      </w:pPr>
      <w:r>
        <w:rPr>
          <w:rFonts w:ascii="Arial" w:eastAsiaTheme="majorEastAsia" w:hAnsi="Arial" w:cs="Arial"/>
          <w:color w:val="000000" w:themeColor="text1"/>
        </w:rPr>
        <w:t xml:space="preserve">finally, </w:t>
      </w:r>
      <w:r w:rsidR="000B7321">
        <w:rPr>
          <w:rFonts w:ascii="Arial" w:eastAsiaTheme="majorEastAsia" w:hAnsi="Arial" w:cs="Arial"/>
          <w:color w:val="000000" w:themeColor="text1"/>
        </w:rPr>
        <w:t>the</w:t>
      </w:r>
      <w:r w:rsidR="00775DF9">
        <w:rPr>
          <w:rFonts w:ascii="Arial" w:eastAsiaTheme="majorEastAsia" w:hAnsi="Arial" w:cs="Arial"/>
          <w:color w:val="000000" w:themeColor="text1"/>
        </w:rPr>
        <w:t xml:space="preserve"> </w:t>
      </w:r>
      <w:r w:rsidR="00A43C44">
        <w:rPr>
          <w:rFonts w:ascii="Arial" w:eastAsiaTheme="majorEastAsia" w:hAnsi="Arial" w:cs="Arial"/>
          <w:color w:val="000000" w:themeColor="text1"/>
        </w:rPr>
        <w:t>respon</w:t>
      </w:r>
      <w:r w:rsidR="000B7321">
        <w:rPr>
          <w:rFonts w:ascii="Arial" w:eastAsiaTheme="majorEastAsia" w:hAnsi="Arial" w:cs="Arial"/>
          <w:color w:val="000000" w:themeColor="text1"/>
        </w:rPr>
        <w:t>se</w:t>
      </w:r>
      <w:r w:rsidR="00A43C44">
        <w:rPr>
          <w:rFonts w:ascii="Arial" w:eastAsiaTheme="majorEastAsia" w:hAnsi="Arial" w:cs="Arial"/>
          <w:color w:val="000000" w:themeColor="text1"/>
        </w:rPr>
        <w:t xml:space="preserve"> to </w:t>
      </w:r>
      <w:r w:rsidR="000B7321">
        <w:rPr>
          <w:rFonts w:ascii="Arial" w:eastAsiaTheme="majorEastAsia" w:hAnsi="Arial" w:cs="Arial"/>
          <w:color w:val="000000" w:themeColor="text1"/>
        </w:rPr>
        <w:t xml:space="preserve">Barkhill’s </w:t>
      </w:r>
      <w:r w:rsidR="00A43C44">
        <w:rPr>
          <w:rFonts w:ascii="Arial" w:eastAsiaTheme="majorEastAsia" w:hAnsi="Arial" w:cs="Arial"/>
          <w:color w:val="000000" w:themeColor="text1"/>
        </w:rPr>
        <w:t>request for information</w:t>
      </w:r>
      <w:r>
        <w:rPr>
          <w:rFonts w:ascii="Arial" w:eastAsiaTheme="majorEastAsia" w:hAnsi="Arial" w:cs="Arial"/>
          <w:color w:val="000000" w:themeColor="text1"/>
        </w:rPr>
        <w:t xml:space="preserve"> </w:t>
      </w:r>
      <w:r w:rsidR="000B7321">
        <w:rPr>
          <w:rFonts w:ascii="Arial" w:eastAsiaTheme="majorEastAsia" w:hAnsi="Arial" w:cs="Arial"/>
          <w:color w:val="000000" w:themeColor="text1"/>
        </w:rPr>
        <w:t>during</w:t>
      </w:r>
      <w:r w:rsidR="0059329E">
        <w:rPr>
          <w:rFonts w:ascii="Arial" w:eastAsiaTheme="majorEastAsia" w:hAnsi="Arial" w:cs="Arial"/>
          <w:color w:val="000000" w:themeColor="text1"/>
        </w:rPr>
        <w:t xml:space="preserve"> its representations to the ICB </w:t>
      </w:r>
      <w:r>
        <w:rPr>
          <w:rFonts w:ascii="Arial" w:eastAsiaTheme="majorEastAsia" w:hAnsi="Arial" w:cs="Arial"/>
          <w:color w:val="000000" w:themeColor="text1"/>
        </w:rPr>
        <w:t>(Section 7</w:t>
      </w:r>
      <w:r w:rsidR="00B307A4">
        <w:rPr>
          <w:rFonts w:ascii="Arial" w:eastAsiaTheme="majorEastAsia" w:hAnsi="Arial" w:cs="Arial"/>
          <w:color w:val="000000" w:themeColor="text1"/>
        </w:rPr>
        <w:t>.</w:t>
      </w:r>
      <w:r>
        <w:rPr>
          <w:rFonts w:ascii="Arial" w:eastAsiaTheme="majorEastAsia" w:hAnsi="Arial" w:cs="Arial"/>
          <w:color w:val="000000" w:themeColor="text1"/>
        </w:rPr>
        <w:t>3).</w:t>
      </w:r>
    </w:p>
    <w:p w14:paraId="082CE1F2" w14:textId="66E8A8F4" w:rsidR="002E1ECC" w:rsidRPr="00FC2A17" w:rsidRDefault="005E6FA9" w:rsidP="00FC2A17">
      <w:pPr>
        <w:pStyle w:val="Heading2"/>
        <w:numPr>
          <w:ilvl w:val="1"/>
          <w:numId w:val="1"/>
        </w:numPr>
        <w:spacing w:before="240" w:after="160"/>
        <w:ind w:left="0" w:firstLine="0"/>
        <w:rPr>
          <w:rFonts w:ascii="Arial" w:hAnsi="Arial" w:cs="Arial"/>
          <w:b/>
          <w:color w:val="000000" w:themeColor="text1"/>
          <w:sz w:val="24"/>
          <w:szCs w:val="24"/>
        </w:rPr>
      </w:pPr>
      <w:bookmarkStart w:id="14" w:name="_Toc198745106"/>
      <w:r>
        <w:rPr>
          <w:rFonts w:ascii="Arial" w:hAnsi="Arial" w:cs="Arial"/>
          <w:b/>
          <w:bCs/>
          <w:color w:val="000000" w:themeColor="text1"/>
          <w:sz w:val="24"/>
          <w:szCs w:val="24"/>
        </w:rPr>
        <w:t>HNY ICB’s e</w:t>
      </w:r>
      <w:r w:rsidR="00AE61DB" w:rsidRPr="00FC2A17">
        <w:rPr>
          <w:rFonts w:ascii="Arial" w:hAnsi="Arial" w:cs="Arial"/>
          <w:b/>
          <w:bCs/>
          <w:color w:val="000000" w:themeColor="text1"/>
          <w:sz w:val="24"/>
          <w:szCs w:val="24"/>
        </w:rPr>
        <w:t xml:space="preserve">valuation of Barkhill’s </w:t>
      </w:r>
      <w:r w:rsidR="007A72A2">
        <w:rPr>
          <w:rFonts w:ascii="Arial" w:hAnsi="Arial" w:cs="Arial"/>
          <w:b/>
          <w:bCs/>
          <w:color w:val="000000" w:themeColor="text1"/>
          <w:sz w:val="24"/>
          <w:szCs w:val="24"/>
        </w:rPr>
        <w:t>proposal</w:t>
      </w:r>
      <w:r w:rsidR="009D73A4">
        <w:rPr>
          <w:rFonts w:ascii="Arial" w:hAnsi="Arial" w:cs="Arial"/>
          <w:b/>
          <w:bCs/>
          <w:color w:val="000000" w:themeColor="text1"/>
          <w:sz w:val="24"/>
          <w:szCs w:val="24"/>
        </w:rPr>
        <w:t>s</w:t>
      </w:r>
      <w:bookmarkEnd w:id="14"/>
    </w:p>
    <w:p w14:paraId="4763D1F1" w14:textId="0E614FF8" w:rsidR="00316158" w:rsidRPr="00E10A0F" w:rsidRDefault="00F234DB" w:rsidP="005720F3">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section sets out the Panel’s assessment of </w:t>
      </w:r>
      <w:r w:rsidR="00414F51">
        <w:rPr>
          <w:rFonts w:ascii="Arial" w:hAnsi="Arial" w:cs="Arial"/>
        </w:rPr>
        <w:t xml:space="preserve">Barkhill’s concerns about </w:t>
      </w:r>
      <w:r w:rsidR="00E10A0F" w:rsidRPr="00E10A0F">
        <w:rPr>
          <w:rFonts w:ascii="Arial" w:hAnsi="Arial" w:cs="Arial"/>
        </w:rPr>
        <w:t xml:space="preserve">HNY ICB’s </w:t>
      </w:r>
      <w:r w:rsidR="00414F51">
        <w:rPr>
          <w:rFonts w:ascii="Arial" w:hAnsi="Arial" w:cs="Arial"/>
        </w:rPr>
        <w:t>evaluation of</w:t>
      </w:r>
      <w:r w:rsidR="003A4AA4">
        <w:rPr>
          <w:rFonts w:ascii="Arial" w:hAnsi="Arial" w:cs="Arial"/>
        </w:rPr>
        <w:t xml:space="preserve"> its </w:t>
      </w:r>
      <w:r w:rsidR="00E10A0F" w:rsidRPr="00E10A0F">
        <w:rPr>
          <w:rFonts w:ascii="Arial" w:hAnsi="Arial" w:cs="Arial"/>
        </w:rPr>
        <w:t>bid</w:t>
      </w:r>
      <w:r w:rsidR="00E7675B" w:rsidRPr="00E10A0F">
        <w:rPr>
          <w:rFonts w:ascii="Arial" w:hAnsi="Arial" w:cs="Arial"/>
        </w:rPr>
        <w:t>.</w:t>
      </w:r>
    </w:p>
    <w:p w14:paraId="39DACACB" w14:textId="77777777" w:rsidR="00E013F0" w:rsidRDefault="00573283" w:rsidP="00157DB5">
      <w:pPr>
        <w:pStyle w:val="ListParagraph"/>
        <w:numPr>
          <w:ilvl w:val="0"/>
          <w:numId w:val="2"/>
        </w:numPr>
        <w:spacing w:after="120" w:line="276" w:lineRule="auto"/>
        <w:ind w:left="567" w:hanging="567"/>
        <w:contextualSpacing w:val="0"/>
        <w:rPr>
          <w:rFonts w:ascii="Arial" w:hAnsi="Arial" w:cs="Arial"/>
        </w:rPr>
      </w:pPr>
      <w:r>
        <w:rPr>
          <w:rFonts w:ascii="Arial" w:hAnsi="Arial" w:cs="Arial"/>
        </w:rPr>
        <w:t>Barkhill</w:t>
      </w:r>
      <w:r w:rsidR="000E281F">
        <w:rPr>
          <w:rFonts w:ascii="Arial" w:hAnsi="Arial" w:cs="Arial"/>
        </w:rPr>
        <w:t>, in its representations to the Panel, said that</w:t>
      </w:r>
      <w:r w:rsidR="00E013F0">
        <w:rPr>
          <w:rFonts w:ascii="Arial" w:hAnsi="Arial" w:cs="Arial"/>
        </w:rPr>
        <w:t>:</w:t>
      </w:r>
    </w:p>
    <w:p w14:paraId="5EBE0A96" w14:textId="2EF22B57" w:rsidR="005A2AC9" w:rsidRPr="00157DB5" w:rsidRDefault="000E281F" w:rsidP="00157DB5">
      <w:pPr>
        <w:pStyle w:val="ListParagraph"/>
        <w:spacing w:after="120" w:line="276" w:lineRule="auto"/>
        <w:ind w:left="851"/>
        <w:contextualSpacing w:val="0"/>
        <w:rPr>
          <w:rFonts w:ascii="Arial" w:hAnsi="Arial" w:cs="Arial"/>
          <w:sz w:val="21"/>
          <w:szCs w:val="21"/>
        </w:rPr>
      </w:pPr>
      <w:r w:rsidRPr="00157DB5">
        <w:rPr>
          <w:rFonts w:ascii="Arial" w:hAnsi="Arial" w:cs="Arial"/>
          <w:sz w:val="21"/>
          <w:szCs w:val="21"/>
        </w:rPr>
        <w:t>“</w:t>
      </w:r>
      <w:r w:rsidR="006872AC" w:rsidRPr="00157DB5">
        <w:rPr>
          <w:rFonts w:ascii="Arial" w:hAnsi="Arial" w:cs="Arial"/>
          <w:sz w:val="21"/>
          <w:szCs w:val="21"/>
        </w:rPr>
        <w:t xml:space="preserve">The evaluation criteria adopted </w:t>
      </w:r>
      <w:r w:rsidR="004B0492" w:rsidRPr="00157DB5">
        <w:rPr>
          <w:rFonts w:ascii="Arial" w:hAnsi="Arial" w:cs="Arial"/>
          <w:sz w:val="21"/>
          <w:szCs w:val="21"/>
        </w:rPr>
        <w:t>for the Procurement</w:t>
      </w:r>
      <w:r w:rsidR="00F8550A" w:rsidRPr="00157DB5">
        <w:rPr>
          <w:rFonts w:ascii="Arial" w:hAnsi="Arial" w:cs="Arial"/>
          <w:sz w:val="21"/>
          <w:szCs w:val="21"/>
        </w:rPr>
        <w:t xml:space="preserve"> … took the form of a ‘scoring matrix’ which set out metrics which must be </w:t>
      </w:r>
      <w:r w:rsidR="00182EE7" w:rsidRPr="00157DB5">
        <w:rPr>
          <w:rFonts w:ascii="Arial" w:hAnsi="Arial" w:cs="Arial"/>
          <w:sz w:val="21"/>
          <w:szCs w:val="21"/>
        </w:rPr>
        <w:t>met in order for each grade (or score) to be awarded for quality questions</w:t>
      </w:r>
      <w:r w:rsidR="00C967CE" w:rsidRPr="00157DB5">
        <w:rPr>
          <w:rFonts w:ascii="Arial" w:hAnsi="Arial" w:cs="Arial"/>
          <w:sz w:val="21"/>
          <w:szCs w:val="21"/>
        </w:rPr>
        <w:t>. Those metrics were presented as cumulative requirements in order for a grade to be awarded</w:t>
      </w:r>
      <w:r w:rsidR="00365317" w:rsidRPr="00157DB5">
        <w:rPr>
          <w:rFonts w:ascii="Arial" w:hAnsi="Arial" w:cs="Arial"/>
          <w:sz w:val="21"/>
          <w:szCs w:val="21"/>
        </w:rPr>
        <w:t xml:space="preserve">. </w:t>
      </w:r>
      <w:r w:rsidR="00DC26BB" w:rsidRPr="00157DB5">
        <w:rPr>
          <w:rFonts w:ascii="Arial" w:hAnsi="Arial" w:cs="Arial"/>
          <w:sz w:val="21"/>
          <w:szCs w:val="21"/>
        </w:rPr>
        <w:t>The information provided in Appendix A to the decision letter</w:t>
      </w:r>
      <w:r w:rsidR="00233150" w:rsidRPr="00157DB5">
        <w:rPr>
          <w:rFonts w:ascii="Arial" w:hAnsi="Arial" w:cs="Arial"/>
          <w:sz w:val="21"/>
          <w:szCs w:val="21"/>
        </w:rPr>
        <w:t xml:space="preserve"> which [Barkhill] received on 10 December 2024 suggests that, in numerous instances, grades were awarded on the basis of a consideration of some of the metrics corresponding to the relevant grade</w:t>
      </w:r>
      <w:r w:rsidR="00845D07" w:rsidRPr="00157DB5">
        <w:rPr>
          <w:rFonts w:ascii="Arial" w:hAnsi="Arial" w:cs="Arial"/>
          <w:sz w:val="21"/>
          <w:szCs w:val="21"/>
        </w:rPr>
        <w:t>, but not all of the metrics corresponding to that grade</w:t>
      </w:r>
      <w:r w:rsidR="006B6F4E" w:rsidRPr="00157DB5">
        <w:rPr>
          <w:rFonts w:ascii="Arial" w:hAnsi="Arial" w:cs="Arial"/>
          <w:sz w:val="21"/>
          <w:szCs w:val="21"/>
        </w:rPr>
        <w:t xml:space="preserve"> …</w:t>
      </w:r>
    </w:p>
    <w:p w14:paraId="4157A4F3" w14:textId="723C8F92" w:rsidR="006B6F4E" w:rsidRPr="00157DB5" w:rsidRDefault="006B6F4E" w:rsidP="00157DB5">
      <w:pPr>
        <w:pStyle w:val="ListParagraph"/>
        <w:spacing w:after="120" w:line="276" w:lineRule="auto"/>
        <w:ind w:left="851"/>
        <w:contextualSpacing w:val="0"/>
        <w:rPr>
          <w:rFonts w:ascii="Arial" w:hAnsi="Arial" w:cs="Arial"/>
          <w:sz w:val="21"/>
          <w:szCs w:val="21"/>
        </w:rPr>
      </w:pPr>
      <w:r w:rsidRPr="00157DB5">
        <w:rPr>
          <w:rFonts w:ascii="Arial" w:hAnsi="Arial" w:cs="Arial"/>
          <w:sz w:val="21"/>
          <w:szCs w:val="21"/>
        </w:rPr>
        <w:t>“These failures to apply the evaluation criteria in the manner in which they were described</w:t>
      </w:r>
      <w:r w:rsidR="00EC29E7" w:rsidRPr="00157DB5">
        <w:rPr>
          <w:rFonts w:ascii="Arial" w:hAnsi="Arial" w:cs="Arial"/>
          <w:sz w:val="21"/>
          <w:szCs w:val="21"/>
        </w:rPr>
        <w:t xml:space="preserve"> in the Provider Response Document </w:t>
      </w:r>
      <w:r w:rsidR="009B5643" w:rsidRPr="00157DB5">
        <w:rPr>
          <w:rFonts w:ascii="Arial" w:hAnsi="Arial" w:cs="Arial"/>
          <w:sz w:val="21"/>
          <w:szCs w:val="21"/>
        </w:rPr>
        <w:t xml:space="preserve">each </w:t>
      </w:r>
      <w:r w:rsidR="004D08FB" w:rsidRPr="00157DB5">
        <w:rPr>
          <w:rFonts w:ascii="Arial" w:hAnsi="Arial" w:cs="Arial"/>
          <w:sz w:val="21"/>
          <w:szCs w:val="21"/>
        </w:rPr>
        <w:t xml:space="preserve">constitute a breach of the requirement </w:t>
      </w:r>
      <w:r w:rsidR="009B5643" w:rsidRPr="00157DB5">
        <w:rPr>
          <w:rFonts w:ascii="Arial" w:hAnsi="Arial" w:cs="Arial"/>
          <w:sz w:val="21"/>
          <w:szCs w:val="21"/>
        </w:rPr>
        <w:t>in regulation 4(1)(b)</w:t>
      </w:r>
      <w:r w:rsidR="00187055" w:rsidRPr="00157DB5">
        <w:rPr>
          <w:rFonts w:ascii="Arial" w:hAnsi="Arial" w:cs="Arial"/>
          <w:sz w:val="21"/>
          <w:szCs w:val="21"/>
        </w:rPr>
        <w:t xml:space="preserve"> that the authority act transparently …</w:t>
      </w:r>
    </w:p>
    <w:p w14:paraId="741902AA" w14:textId="76C7CF73" w:rsidR="00187055" w:rsidRPr="00157DB5" w:rsidRDefault="0062430E" w:rsidP="00157DB5">
      <w:pPr>
        <w:pStyle w:val="ListParagraph"/>
        <w:spacing w:line="276" w:lineRule="auto"/>
        <w:ind w:left="851"/>
        <w:contextualSpacing w:val="0"/>
        <w:rPr>
          <w:rFonts w:ascii="Arial" w:hAnsi="Arial" w:cs="Arial"/>
          <w:sz w:val="21"/>
          <w:szCs w:val="21"/>
        </w:rPr>
      </w:pPr>
      <w:r w:rsidRPr="00157DB5">
        <w:rPr>
          <w:rFonts w:ascii="Arial" w:hAnsi="Arial" w:cs="Arial"/>
          <w:sz w:val="21"/>
          <w:szCs w:val="21"/>
        </w:rPr>
        <w:t>“</w:t>
      </w:r>
      <w:r w:rsidR="00F0319A" w:rsidRPr="00785286">
        <w:rPr>
          <w:rFonts w:ascii="Arial" w:hAnsi="Arial" w:cs="Arial"/>
          <w:sz w:val="21"/>
          <w:szCs w:val="21"/>
        </w:rPr>
        <w:t xml:space="preserve">Alternatively, if it is the case that each metric for the relevant grade was in fact considered by the evaluators in each instance, the authority has failed to provide the reasons for which the evaluators considered each metric to be met. This constitutes a failure to comply with the authority’s duties pursuant to regulation 11(8)(b) PSR23 together with paragraphs 3 and 4 of Schedule 9 …” </w:t>
      </w:r>
      <w:r w:rsidR="00785286" w:rsidRPr="00785286">
        <w:rPr>
          <w:rFonts w:ascii="Arial" w:hAnsi="Arial" w:cs="Arial"/>
          <w:sz w:val="21"/>
          <w:szCs w:val="21"/>
        </w:rPr>
        <w:t>(</w:t>
      </w:r>
      <w:r w:rsidR="00785286" w:rsidRPr="00157DB5">
        <w:rPr>
          <w:rFonts w:ascii="Arial" w:hAnsi="Arial" w:cs="Arial"/>
          <w:sz w:val="21"/>
          <w:szCs w:val="21"/>
        </w:rPr>
        <w:t>see paragraph </w:t>
      </w:r>
      <w:r w:rsidR="00761A68">
        <w:rPr>
          <w:rFonts w:ascii="Arial" w:hAnsi="Arial" w:cs="Arial"/>
          <w:sz w:val="21"/>
          <w:szCs w:val="21"/>
        </w:rPr>
        <w:t>44</w:t>
      </w:r>
      <w:r w:rsidR="00785286" w:rsidRPr="00157DB5">
        <w:rPr>
          <w:rFonts w:ascii="Arial" w:hAnsi="Arial" w:cs="Arial"/>
          <w:sz w:val="21"/>
          <w:szCs w:val="21"/>
        </w:rPr>
        <w:t>)</w:t>
      </w:r>
    </w:p>
    <w:p w14:paraId="7CDD2578" w14:textId="4C085248" w:rsidR="003E4508" w:rsidRDefault="003E4508" w:rsidP="003E4508">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The Panel’s assessment of whether HNY ICB </w:t>
      </w:r>
      <w:r w:rsidR="00DA66CC">
        <w:rPr>
          <w:rFonts w:ascii="Arial" w:hAnsi="Arial" w:cs="Arial"/>
        </w:rPr>
        <w:t xml:space="preserve">breached the PSR regulations when evaluating Barkhill’s proposals </w:t>
      </w:r>
      <w:r>
        <w:rPr>
          <w:rFonts w:ascii="Arial" w:hAnsi="Arial" w:cs="Arial"/>
        </w:rPr>
        <w:t xml:space="preserve">is in </w:t>
      </w:r>
      <w:r w:rsidR="000533D5">
        <w:rPr>
          <w:rFonts w:ascii="Arial" w:hAnsi="Arial" w:cs="Arial"/>
        </w:rPr>
        <w:t xml:space="preserve">two </w:t>
      </w:r>
      <w:r>
        <w:rPr>
          <w:rFonts w:ascii="Arial" w:hAnsi="Arial" w:cs="Arial"/>
        </w:rPr>
        <w:t>parts:</w:t>
      </w:r>
    </w:p>
    <w:p w14:paraId="4AF375DD" w14:textId="308F6060" w:rsidR="003E4508" w:rsidRDefault="003E4508" w:rsidP="003E4508">
      <w:pPr>
        <w:pStyle w:val="ListParagraph"/>
        <w:numPr>
          <w:ilvl w:val="1"/>
          <w:numId w:val="2"/>
        </w:numPr>
        <w:spacing w:after="120" w:line="276" w:lineRule="auto"/>
        <w:ind w:left="1135" w:hanging="284"/>
        <w:contextualSpacing w:val="0"/>
        <w:rPr>
          <w:rFonts w:ascii="Arial" w:hAnsi="Arial" w:cs="Arial"/>
        </w:rPr>
      </w:pPr>
      <w:r>
        <w:rPr>
          <w:rFonts w:ascii="Arial" w:hAnsi="Arial" w:cs="Arial"/>
        </w:rPr>
        <w:lastRenderedPageBreak/>
        <w:t xml:space="preserve">first, whether </w:t>
      </w:r>
      <w:r w:rsidR="009C4BF6">
        <w:rPr>
          <w:rFonts w:ascii="Arial" w:hAnsi="Arial" w:cs="Arial"/>
        </w:rPr>
        <w:t xml:space="preserve">HNY ICB failed to apply </w:t>
      </w:r>
      <w:r>
        <w:rPr>
          <w:rFonts w:ascii="Arial" w:hAnsi="Arial" w:cs="Arial"/>
        </w:rPr>
        <w:t xml:space="preserve">the grade definitions </w:t>
      </w:r>
      <w:r w:rsidR="009C4BF6">
        <w:rPr>
          <w:rFonts w:ascii="Arial" w:hAnsi="Arial" w:cs="Arial"/>
        </w:rPr>
        <w:t xml:space="preserve">set out in the </w:t>
      </w:r>
      <w:r w:rsidR="004C7CCA">
        <w:rPr>
          <w:rFonts w:ascii="Arial" w:hAnsi="Arial" w:cs="Arial"/>
        </w:rPr>
        <w:t xml:space="preserve">tender documentation </w:t>
      </w:r>
      <w:r w:rsidR="007B33EF">
        <w:rPr>
          <w:rFonts w:ascii="Arial" w:hAnsi="Arial" w:cs="Arial"/>
        </w:rPr>
        <w:t>(Section 7.1.1)</w:t>
      </w:r>
      <w:r>
        <w:rPr>
          <w:rFonts w:ascii="Arial" w:hAnsi="Arial" w:cs="Arial"/>
        </w:rPr>
        <w:t>;</w:t>
      </w:r>
      <w:r w:rsidR="004C7CCA">
        <w:rPr>
          <w:rFonts w:ascii="Arial" w:hAnsi="Arial" w:cs="Arial"/>
        </w:rPr>
        <w:t xml:space="preserve"> and</w:t>
      </w:r>
    </w:p>
    <w:p w14:paraId="2DC3A1D1" w14:textId="5A9C7738" w:rsidR="003E4508" w:rsidRDefault="003E4508" w:rsidP="1B912311">
      <w:pPr>
        <w:pStyle w:val="ListParagraph"/>
        <w:numPr>
          <w:ilvl w:val="1"/>
          <w:numId w:val="2"/>
        </w:numPr>
        <w:spacing w:line="276" w:lineRule="auto"/>
        <w:ind w:left="1135" w:hanging="284"/>
        <w:rPr>
          <w:rFonts w:ascii="Arial" w:hAnsi="Arial" w:cs="Arial"/>
        </w:rPr>
      </w:pPr>
      <w:r w:rsidDel="004C7CCA">
        <w:rPr>
          <w:rFonts w:ascii="Arial" w:hAnsi="Arial" w:cs="Arial"/>
        </w:rPr>
        <w:t xml:space="preserve">second, whether HNY ICB’s </w:t>
      </w:r>
      <w:r>
        <w:rPr>
          <w:rFonts w:ascii="Arial" w:hAnsi="Arial" w:cs="Arial"/>
        </w:rPr>
        <w:t xml:space="preserve">feedback to Barkhill, as an unsuccessful bidder, was deficient </w:t>
      </w:r>
      <w:r w:rsidR="00604A02">
        <w:rPr>
          <w:rFonts w:ascii="Arial" w:hAnsi="Arial" w:cs="Arial"/>
        </w:rPr>
        <w:t>(Section</w:t>
      </w:r>
      <w:r w:rsidR="004C7CCA">
        <w:rPr>
          <w:rFonts w:ascii="Arial" w:hAnsi="Arial" w:cs="Arial"/>
        </w:rPr>
        <w:t> </w:t>
      </w:r>
      <w:r w:rsidR="00604A02">
        <w:rPr>
          <w:rFonts w:ascii="Arial" w:hAnsi="Arial" w:cs="Arial"/>
        </w:rPr>
        <w:t>7.1.</w:t>
      </w:r>
      <w:r w:rsidR="00B233D6">
        <w:rPr>
          <w:rFonts w:ascii="Arial" w:hAnsi="Arial" w:cs="Arial"/>
        </w:rPr>
        <w:t>2</w:t>
      </w:r>
      <w:r w:rsidR="00604A02">
        <w:rPr>
          <w:rFonts w:ascii="Arial" w:hAnsi="Arial" w:cs="Arial"/>
        </w:rPr>
        <w:t>)</w:t>
      </w:r>
      <w:r>
        <w:rPr>
          <w:rFonts w:ascii="Arial" w:hAnsi="Arial" w:cs="Arial"/>
        </w:rPr>
        <w:t>.</w:t>
      </w:r>
    </w:p>
    <w:p w14:paraId="5E782E7F" w14:textId="0065017A" w:rsidR="002A0A06" w:rsidRPr="00A9305B" w:rsidRDefault="00A56E9A" w:rsidP="00A9305B">
      <w:pPr>
        <w:keepNext/>
        <w:spacing w:before="240" w:line="276" w:lineRule="auto"/>
        <w:rPr>
          <w:rFonts w:ascii="Arial" w:hAnsi="Arial" w:cs="Arial"/>
          <w:b/>
          <w:bCs/>
        </w:rPr>
      </w:pPr>
      <w:r w:rsidRPr="00A9305B">
        <w:rPr>
          <w:rFonts w:ascii="Arial" w:hAnsi="Arial" w:cs="Arial"/>
          <w:b/>
          <w:bCs/>
        </w:rPr>
        <w:t xml:space="preserve">7.1.1 </w:t>
      </w:r>
      <w:r w:rsidR="007F27F7">
        <w:rPr>
          <w:rFonts w:ascii="Arial" w:hAnsi="Arial" w:cs="Arial"/>
          <w:b/>
          <w:bCs/>
        </w:rPr>
        <w:t>Whether</w:t>
      </w:r>
      <w:r w:rsidR="00286E14">
        <w:rPr>
          <w:rFonts w:ascii="Arial" w:hAnsi="Arial" w:cs="Arial"/>
          <w:b/>
          <w:bCs/>
        </w:rPr>
        <w:t xml:space="preserve"> </w:t>
      </w:r>
      <w:r w:rsidR="00270B0A" w:rsidDel="001B4B91">
        <w:rPr>
          <w:rFonts w:ascii="Arial" w:hAnsi="Arial" w:cs="Arial"/>
          <w:b/>
        </w:rPr>
        <w:t>HNY ICB failed to apply the grade definitions set out in the tender documentation</w:t>
      </w:r>
    </w:p>
    <w:p w14:paraId="4000D18B" w14:textId="4E806047" w:rsidR="009D5B91" w:rsidRDefault="009D5B91" w:rsidP="00D27434">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assessing whether HNY ICB </w:t>
      </w:r>
      <w:r w:rsidRPr="00D27434">
        <w:rPr>
          <w:rFonts w:ascii="Arial" w:hAnsi="Arial" w:cs="Arial"/>
        </w:rPr>
        <w:t>failed to apply the grade definitions set out in the tender documentation</w:t>
      </w:r>
      <w:r>
        <w:rPr>
          <w:rFonts w:ascii="Arial" w:hAnsi="Arial" w:cs="Arial"/>
        </w:rPr>
        <w:t xml:space="preserve">, the </w:t>
      </w:r>
      <w:r w:rsidR="00CF27E3">
        <w:rPr>
          <w:rFonts w:ascii="Arial" w:hAnsi="Arial" w:cs="Arial"/>
        </w:rPr>
        <w:t>Panel</w:t>
      </w:r>
      <w:r w:rsidR="00CA2014">
        <w:rPr>
          <w:rFonts w:ascii="Arial" w:hAnsi="Arial" w:cs="Arial"/>
        </w:rPr>
        <w:t>,</w:t>
      </w:r>
      <w:r w:rsidR="00CF27E3">
        <w:rPr>
          <w:rFonts w:ascii="Arial" w:hAnsi="Arial" w:cs="Arial"/>
        </w:rPr>
        <w:t xml:space="preserve"> </w:t>
      </w:r>
      <w:r w:rsidR="00CA2014">
        <w:rPr>
          <w:rFonts w:ascii="Arial" w:hAnsi="Arial" w:cs="Arial"/>
        </w:rPr>
        <w:t xml:space="preserve">first, </w:t>
      </w:r>
      <w:r w:rsidR="00CF27E3">
        <w:rPr>
          <w:rFonts w:ascii="Arial" w:hAnsi="Arial" w:cs="Arial"/>
        </w:rPr>
        <w:t xml:space="preserve">considers Barkhill’s arguments about </w:t>
      </w:r>
      <w:r w:rsidR="0051302B">
        <w:rPr>
          <w:rFonts w:ascii="Arial" w:hAnsi="Arial" w:cs="Arial"/>
        </w:rPr>
        <w:t xml:space="preserve">how </w:t>
      </w:r>
      <w:r w:rsidR="00CF27E3">
        <w:rPr>
          <w:rFonts w:ascii="Arial" w:hAnsi="Arial" w:cs="Arial"/>
        </w:rPr>
        <w:t>the grade definitions should be interpreted</w:t>
      </w:r>
      <w:r w:rsidR="00CA2014">
        <w:rPr>
          <w:rFonts w:ascii="Arial" w:hAnsi="Arial" w:cs="Arial"/>
        </w:rPr>
        <w:t xml:space="preserve">, and second, </w:t>
      </w:r>
      <w:r w:rsidR="003A6540" w:rsidRPr="00D27434">
        <w:rPr>
          <w:rFonts w:ascii="Arial" w:hAnsi="Arial" w:cs="Arial"/>
        </w:rPr>
        <w:t>HNY ICB’s application of the grade definitions in its evaluation</w:t>
      </w:r>
      <w:r w:rsidR="003A6540">
        <w:rPr>
          <w:rFonts w:ascii="Arial" w:hAnsi="Arial" w:cs="Arial"/>
        </w:rPr>
        <w:t>.</w:t>
      </w:r>
    </w:p>
    <w:p w14:paraId="0F3D0A1F" w14:textId="57DC4801" w:rsidR="00655D58" w:rsidRPr="001F518F" w:rsidRDefault="003A6540" w:rsidP="00655D58">
      <w:pPr>
        <w:pStyle w:val="ListParagraph"/>
        <w:numPr>
          <w:ilvl w:val="0"/>
          <w:numId w:val="2"/>
        </w:numPr>
        <w:spacing w:line="276" w:lineRule="auto"/>
        <w:ind w:left="567" w:hanging="567"/>
        <w:contextualSpacing w:val="0"/>
        <w:rPr>
          <w:rFonts w:ascii="Arial" w:hAnsi="Arial" w:cs="Arial"/>
        </w:rPr>
      </w:pPr>
      <w:r>
        <w:rPr>
          <w:rFonts w:ascii="Arial" w:hAnsi="Arial" w:cs="Arial"/>
        </w:rPr>
        <w:t>By way of background, t</w:t>
      </w:r>
      <w:r w:rsidR="00655D58" w:rsidRPr="001F518F">
        <w:rPr>
          <w:rFonts w:ascii="Arial" w:hAnsi="Arial" w:cs="Arial"/>
        </w:rPr>
        <w:t>he grade definitions set out in the tender documentation’s ‘scoring matrix’ are replicated in Table</w:t>
      </w:r>
      <w:r w:rsidR="00655D58">
        <w:rPr>
          <w:rFonts w:ascii="Arial" w:hAnsi="Arial" w:cs="Arial"/>
        </w:rPr>
        <w:t> </w:t>
      </w:r>
      <w:r w:rsidR="00655D58" w:rsidRPr="001F518F">
        <w:rPr>
          <w:rFonts w:ascii="Arial" w:hAnsi="Arial" w:cs="Arial"/>
        </w:rPr>
        <w:t>3</w:t>
      </w:r>
      <w:r w:rsidR="00655D58">
        <w:rPr>
          <w:rFonts w:ascii="Arial" w:hAnsi="Arial" w:cs="Arial"/>
        </w:rPr>
        <w:t xml:space="preserve"> below</w:t>
      </w:r>
      <w:r w:rsidR="00655D58" w:rsidRPr="001F518F">
        <w:rPr>
          <w:rFonts w:ascii="Arial" w:hAnsi="Arial" w:cs="Arial"/>
        </w:rPr>
        <w:t>.</w:t>
      </w:r>
    </w:p>
    <w:p w14:paraId="33B9F425" w14:textId="77777777" w:rsidR="00655D58" w:rsidRPr="00DA1A1B" w:rsidRDefault="00655D58" w:rsidP="00655D58">
      <w:pPr>
        <w:keepNext/>
        <w:spacing w:before="240" w:line="276" w:lineRule="auto"/>
        <w:rPr>
          <w:rFonts w:ascii="Arial" w:hAnsi="Arial" w:cs="Arial"/>
          <w:b/>
          <w:bCs/>
          <w:sz w:val="21"/>
          <w:szCs w:val="21"/>
        </w:rPr>
      </w:pPr>
      <w:r>
        <w:rPr>
          <w:rFonts w:ascii="Arial" w:hAnsi="Arial" w:cs="Arial"/>
          <w:b/>
          <w:bCs/>
          <w:sz w:val="21"/>
          <w:szCs w:val="21"/>
        </w:rPr>
        <w:t>Table 3: Grade definitions in the tender documentation</w:t>
      </w:r>
    </w:p>
    <w:tbl>
      <w:tblPr>
        <w:tblW w:w="8460" w:type="dxa"/>
        <w:tblInd w:w="607" w:type="dxa"/>
        <w:tblLook w:val="04A0" w:firstRow="1" w:lastRow="0" w:firstColumn="1" w:lastColumn="0" w:noHBand="0" w:noVBand="1"/>
      </w:tblPr>
      <w:tblGrid>
        <w:gridCol w:w="1550"/>
        <w:gridCol w:w="1271"/>
        <w:gridCol w:w="5639"/>
      </w:tblGrid>
      <w:tr w:rsidR="00655D58" w:rsidRPr="008C17BA" w14:paraId="55E4E566" w14:textId="77777777">
        <w:trPr>
          <w:trHeight w:val="327"/>
        </w:trPr>
        <w:tc>
          <w:tcPr>
            <w:tcW w:w="1515"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FD801B6" w14:textId="77777777" w:rsidR="00655D58" w:rsidRPr="00DA1A1B" w:rsidRDefault="00655D58">
            <w:pPr>
              <w:keepNext/>
              <w:spacing w:after="0" w:line="240" w:lineRule="auto"/>
              <w:rPr>
                <w:rFonts w:ascii="Arial" w:eastAsia="Times New Roman" w:hAnsi="Arial" w:cs="Arial"/>
                <w:b/>
                <w:color w:val="FFFFFF" w:themeColor="background1"/>
                <w:kern w:val="0"/>
                <w:sz w:val="20"/>
                <w:szCs w:val="20"/>
                <w:lang w:eastAsia="en-GB"/>
                <w14:ligatures w14:val="none"/>
              </w:rPr>
            </w:pPr>
            <w:r w:rsidRPr="00DA1A1B">
              <w:rPr>
                <w:rFonts w:ascii="Arial" w:eastAsia="Times New Roman" w:hAnsi="Arial" w:cs="Arial"/>
                <w:b/>
                <w:color w:val="FFFFFF" w:themeColor="background1"/>
                <w:kern w:val="0"/>
                <w:sz w:val="20"/>
                <w:szCs w:val="20"/>
                <w:lang w:eastAsia="en-GB"/>
                <w14:ligatures w14:val="none"/>
              </w:rPr>
              <w:t>Grade label</w:t>
            </w:r>
          </w:p>
        </w:tc>
        <w:tc>
          <w:tcPr>
            <w:tcW w:w="1275" w:type="dxa"/>
            <w:tcBorders>
              <w:top w:val="single" w:sz="4" w:space="0" w:color="auto"/>
              <w:left w:val="nil"/>
              <w:bottom w:val="single" w:sz="4" w:space="0" w:color="auto"/>
              <w:right w:val="single" w:sz="4" w:space="0" w:color="auto"/>
            </w:tcBorders>
            <w:shd w:val="clear" w:color="auto" w:fill="4472C4" w:themeFill="accent1"/>
            <w:vAlign w:val="center"/>
          </w:tcPr>
          <w:p w14:paraId="1CC68DE4" w14:textId="77777777" w:rsidR="00655D58" w:rsidRPr="00DA1A1B" w:rsidRDefault="00655D58">
            <w:pPr>
              <w:keepNext/>
              <w:spacing w:after="0" w:line="240" w:lineRule="auto"/>
              <w:rPr>
                <w:rFonts w:ascii="Arial" w:eastAsia="Times New Roman" w:hAnsi="Arial" w:cs="Arial"/>
                <w:b/>
                <w:color w:val="FFFFFF" w:themeColor="background1"/>
                <w:kern w:val="0"/>
                <w:sz w:val="20"/>
                <w:szCs w:val="20"/>
                <w:lang w:eastAsia="en-GB"/>
                <w14:ligatures w14:val="none"/>
              </w:rPr>
            </w:pPr>
            <w:r w:rsidRPr="00DA1A1B">
              <w:rPr>
                <w:rFonts w:ascii="Arial" w:eastAsia="Times New Roman" w:hAnsi="Arial" w:cs="Arial"/>
                <w:b/>
                <w:color w:val="FFFFFF" w:themeColor="background1"/>
                <w:kern w:val="0"/>
                <w:sz w:val="20"/>
                <w:szCs w:val="20"/>
                <w:lang w:eastAsia="en-GB"/>
                <w14:ligatures w14:val="none"/>
              </w:rPr>
              <w:t>Value</w:t>
            </w:r>
          </w:p>
        </w:tc>
        <w:tc>
          <w:tcPr>
            <w:tcW w:w="5670" w:type="dxa"/>
            <w:tcBorders>
              <w:top w:val="single" w:sz="4" w:space="0" w:color="auto"/>
              <w:left w:val="nil"/>
              <w:bottom w:val="single" w:sz="4" w:space="0" w:color="auto"/>
              <w:right w:val="single" w:sz="4" w:space="0" w:color="auto"/>
            </w:tcBorders>
            <w:shd w:val="clear" w:color="auto" w:fill="4472C4" w:themeFill="accent1"/>
            <w:vAlign w:val="center"/>
          </w:tcPr>
          <w:p w14:paraId="083E3787" w14:textId="77777777" w:rsidR="00655D58" w:rsidRPr="00DA1A1B" w:rsidRDefault="00655D58">
            <w:pPr>
              <w:keepNext/>
              <w:spacing w:after="0" w:line="240" w:lineRule="auto"/>
              <w:rPr>
                <w:rFonts w:ascii="Arial" w:eastAsia="Times New Roman" w:hAnsi="Arial" w:cs="Arial"/>
                <w:b/>
                <w:color w:val="FFFFFF" w:themeColor="background1"/>
                <w:kern w:val="0"/>
                <w:sz w:val="20"/>
                <w:szCs w:val="20"/>
                <w:lang w:eastAsia="en-GB"/>
                <w14:ligatures w14:val="none"/>
              </w:rPr>
            </w:pPr>
            <w:r w:rsidRPr="00DA1A1B">
              <w:rPr>
                <w:rFonts w:ascii="Arial" w:eastAsia="Times New Roman" w:hAnsi="Arial" w:cs="Arial"/>
                <w:b/>
                <w:color w:val="FFFFFF" w:themeColor="background1"/>
                <w:kern w:val="0"/>
                <w:sz w:val="20"/>
                <w:szCs w:val="20"/>
                <w:lang w:eastAsia="en-GB"/>
                <w14:ligatures w14:val="none"/>
              </w:rPr>
              <w:t>Definition of Grade</w:t>
            </w:r>
          </w:p>
        </w:tc>
      </w:tr>
      <w:tr w:rsidR="00655D58" w:rsidRPr="008C17BA" w14:paraId="58BD31FC"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14C1A" w14:textId="77777777" w:rsidR="00655D58" w:rsidRPr="00DA1A1B" w:rsidRDefault="00655D58">
            <w:pPr>
              <w:spacing w:after="0" w:line="240" w:lineRule="auto"/>
              <w:rPr>
                <w:rFonts w:ascii="Arial" w:eastAsia="Times New Roman" w:hAnsi="Arial" w:cs="Arial"/>
                <w:b/>
                <w:color w:val="000000"/>
                <w:kern w:val="0"/>
                <w:sz w:val="20"/>
                <w:szCs w:val="20"/>
                <w:lang w:eastAsia="en-GB"/>
                <w14:ligatures w14:val="none"/>
              </w:rPr>
            </w:pPr>
            <w:r w:rsidRPr="00DA1A1B">
              <w:rPr>
                <w:rFonts w:ascii="Arial" w:eastAsia="Times New Roman" w:hAnsi="Arial" w:cs="Arial"/>
                <w:b/>
                <w:color w:val="000000"/>
                <w:kern w:val="0"/>
                <w:sz w:val="20"/>
                <w:szCs w:val="20"/>
                <w:lang w:eastAsia="en-GB"/>
                <w14:ligatures w14:val="none"/>
              </w:rPr>
              <w:t>Excellent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115750" w14:textId="77777777" w:rsidR="00655D58" w:rsidRPr="00DA1A1B" w:rsidRDefault="00655D58">
            <w:pPr>
              <w:spacing w:after="0" w:line="240" w:lineRule="auto"/>
              <w:rPr>
                <w:rFonts w:ascii="Arial" w:eastAsia="Times New Roman" w:hAnsi="Arial" w:cs="Arial"/>
                <w:color w:val="000000"/>
                <w:kern w:val="0"/>
                <w:sz w:val="20"/>
                <w:szCs w:val="20"/>
                <w:lang w:eastAsia="en-GB"/>
                <w14:ligatures w14:val="none"/>
              </w:rPr>
            </w:pPr>
            <w:r w:rsidRPr="00DA1A1B">
              <w:rPr>
                <w:rFonts w:ascii="Arial" w:eastAsia="Times New Roman" w:hAnsi="Arial" w:cs="Arial"/>
                <w:color w:val="000000"/>
                <w:kern w:val="0"/>
                <w:sz w:val="20"/>
                <w:szCs w:val="20"/>
                <w:lang w:eastAsia="en-GB"/>
                <w14:ligatures w14:val="none"/>
              </w:rPr>
              <w:t>4 = 100%</w:t>
            </w:r>
          </w:p>
        </w:tc>
        <w:tc>
          <w:tcPr>
            <w:tcW w:w="5670" w:type="dxa"/>
            <w:tcBorders>
              <w:top w:val="single" w:sz="4" w:space="0" w:color="auto"/>
              <w:left w:val="nil"/>
              <w:bottom w:val="single" w:sz="4" w:space="0" w:color="auto"/>
              <w:right w:val="single" w:sz="4" w:space="0" w:color="auto"/>
            </w:tcBorders>
            <w:shd w:val="clear" w:color="auto" w:fill="auto"/>
            <w:hideMark/>
          </w:tcPr>
          <w:p w14:paraId="594F780B" w14:textId="77777777" w:rsidR="00655D58" w:rsidRPr="00DA1A1B" w:rsidRDefault="00655D58">
            <w:pPr>
              <w:spacing w:before="60" w:after="60" w:line="240" w:lineRule="auto"/>
              <w:rPr>
                <w:rFonts w:ascii="Arial" w:eastAsia="Times New Roman" w:hAnsi="Arial" w:cs="Arial"/>
                <w:color w:val="000000"/>
                <w:kern w:val="0"/>
                <w:sz w:val="20"/>
                <w:szCs w:val="20"/>
                <w:lang w:eastAsia="en-GB"/>
                <w14:ligatures w14:val="none"/>
              </w:rPr>
            </w:pPr>
            <w:r w:rsidRPr="00DA1A1B">
              <w:rPr>
                <w:rFonts w:ascii="Arial" w:eastAsia="Times New Roman" w:hAnsi="Arial" w:cs="Arial"/>
                <w:color w:val="000000"/>
                <w:kern w:val="0"/>
                <w:sz w:val="20"/>
                <w:szCs w:val="20"/>
                <w:lang w:eastAsia="en-GB"/>
                <w14:ligatures w14:val="none"/>
              </w:rPr>
              <w:t>Excellent, addresses all issues raised and/or a thorough understanding of the requirements. The response is very detailed and well evidenced and is of a quality and level of understanding that provides certainty of delivery and permits full contractual reliance (where applicable). Fully identifies any system/stakeholder benefits with strong evidence /rationale</w:t>
            </w:r>
          </w:p>
        </w:tc>
      </w:tr>
      <w:tr w:rsidR="00655D58" w:rsidRPr="008C17BA" w14:paraId="265739EE" w14:textId="77777777">
        <w:tc>
          <w:tcPr>
            <w:tcW w:w="1515" w:type="dxa"/>
            <w:tcBorders>
              <w:top w:val="nil"/>
              <w:left w:val="single" w:sz="4" w:space="0" w:color="auto"/>
              <w:bottom w:val="single" w:sz="4" w:space="0" w:color="auto"/>
              <w:right w:val="single" w:sz="4" w:space="0" w:color="auto"/>
            </w:tcBorders>
            <w:shd w:val="clear" w:color="auto" w:fill="auto"/>
            <w:vAlign w:val="center"/>
            <w:hideMark/>
          </w:tcPr>
          <w:p w14:paraId="6D337147" w14:textId="77777777" w:rsidR="00655D58" w:rsidRPr="00DA1A1B" w:rsidRDefault="00655D58">
            <w:pPr>
              <w:spacing w:after="0" w:line="240" w:lineRule="auto"/>
              <w:rPr>
                <w:rFonts w:ascii="Arial" w:eastAsia="Times New Roman" w:hAnsi="Arial" w:cs="Arial"/>
                <w:b/>
                <w:color w:val="000000"/>
                <w:kern w:val="0"/>
                <w:sz w:val="20"/>
                <w:szCs w:val="20"/>
                <w:lang w:eastAsia="en-GB"/>
                <w14:ligatures w14:val="none"/>
              </w:rPr>
            </w:pPr>
            <w:r w:rsidRPr="00DA1A1B">
              <w:rPr>
                <w:rFonts w:ascii="Arial" w:eastAsia="Times New Roman" w:hAnsi="Arial" w:cs="Arial"/>
                <w:b/>
                <w:color w:val="000000"/>
                <w:kern w:val="0"/>
                <w:sz w:val="20"/>
                <w:szCs w:val="20"/>
                <w:lang w:eastAsia="en-GB"/>
                <w14:ligatures w14:val="none"/>
              </w:rPr>
              <w:t>High Degree of Confidence</w:t>
            </w:r>
          </w:p>
        </w:tc>
        <w:tc>
          <w:tcPr>
            <w:tcW w:w="1275" w:type="dxa"/>
            <w:tcBorders>
              <w:top w:val="nil"/>
              <w:left w:val="nil"/>
              <w:bottom w:val="single" w:sz="4" w:space="0" w:color="auto"/>
              <w:right w:val="single" w:sz="4" w:space="0" w:color="auto"/>
            </w:tcBorders>
            <w:shd w:val="clear" w:color="auto" w:fill="auto"/>
            <w:vAlign w:val="center"/>
            <w:hideMark/>
          </w:tcPr>
          <w:p w14:paraId="698D9DBD" w14:textId="77777777" w:rsidR="00655D58" w:rsidRPr="00DA1A1B" w:rsidRDefault="00655D58">
            <w:pPr>
              <w:spacing w:after="0" w:line="240" w:lineRule="auto"/>
              <w:rPr>
                <w:rFonts w:ascii="Arial" w:eastAsia="Times New Roman" w:hAnsi="Arial" w:cs="Arial"/>
                <w:color w:val="000000"/>
                <w:kern w:val="0"/>
                <w:sz w:val="20"/>
                <w:szCs w:val="20"/>
                <w:lang w:eastAsia="en-GB"/>
                <w14:ligatures w14:val="none"/>
              </w:rPr>
            </w:pPr>
            <w:r w:rsidRPr="00DA1A1B">
              <w:rPr>
                <w:rFonts w:ascii="Arial" w:eastAsia="Times New Roman" w:hAnsi="Arial" w:cs="Arial"/>
                <w:color w:val="000000"/>
                <w:kern w:val="0"/>
                <w:sz w:val="20"/>
                <w:szCs w:val="20"/>
                <w:lang w:eastAsia="en-GB"/>
                <w14:ligatures w14:val="none"/>
              </w:rPr>
              <w:t>3 = 75%</w:t>
            </w:r>
          </w:p>
        </w:tc>
        <w:tc>
          <w:tcPr>
            <w:tcW w:w="5670" w:type="dxa"/>
            <w:tcBorders>
              <w:top w:val="nil"/>
              <w:left w:val="nil"/>
              <w:bottom w:val="single" w:sz="4" w:space="0" w:color="auto"/>
              <w:right w:val="single" w:sz="4" w:space="0" w:color="auto"/>
            </w:tcBorders>
            <w:shd w:val="clear" w:color="auto" w:fill="auto"/>
            <w:hideMark/>
          </w:tcPr>
          <w:p w14:paraId="78E939B1" w14:textId="77777777" w:rsidR="00655D58" w:rsidRPr="00DA1A1B" w:rsidRDefault="00655D58">
            <w:pPr>
              <w:spacing w:before="60" w:after="60" w:line="240" w:lineRule="auto"/>
              <w:rPr>
                <w:rFonts w:ascii="Arial" w:eastAsia="Times New Roman" w:hAnsi="Arial" w:cs="Arial"/>
                <w:color w:val="000000"/>
                <w:kern w:val="0"/>
                <w:sz w:val="20"/>
                <w:szCs w:val="20"/>
                <w:lang w:eastAsia="en-GB"/>
                <w14:ligatures w14:val="none"/>
              </w:rPr>
            </w:pPr>
            <w:r w:rsidRPr="00DA1A1B">
              <w:rPr>
                <w:rFonts w:ascii="Arial" w:eastAsia="Times New Roman" w:hAnsi="Arial" w:cs="Arial"/>
                <w:color w:val="000000"/>
                <w:kern w:val="0"/>
                <w:sz w:val="20"/>
                <w:szCs w:val="20"/>
                <w:lang w:eastAsia="en-GB"/>
                <w14:ligatures w14:val="none"/>
              </w:rPr>
              <w:t>High degree of confidence in the provider’s ability to do what is stated through a thorough and detailed understanding of what is being requested. Responses demonstrate that the provider can do what they say they will; translates well into contractual terms (where applicable). Responses are detailed and supported by evidence as appropriate. Potential system/stakeholder benefits described with evidence/rationale</w:t>
            </w:r>
          </w:p>
        </w:tc>
      </w:tr>
      <w:tr w:rsidR="00655D58" w:rsidRPr="008C17BA" w14:paraId="4A897F69" w14:textId="77777777">
        <w:tc>
          <w:tcPr>
            <w:tcW w:w="1515" w:type="dxa"/>
            <w:tcBorders>
              <w:top w:val="nil"/>
              <w:left w:val="single" w:sz="4" w:space="0" w:color="auto"/>
              <w:bottom w:val="single" w:sz="4" w:space="0" w:color="auto"/>
              <w:right w:val="single" w:sz="4" w:space="0" w:color="auto"/>
            </w:tcBorders>
            <w:shd w:val="clear" w:color="auto" w:fill="auto"/>
            <w:vAlign w:val="center"/>
            <w:hideMark/>
          </w:tcPr>
          <w:p w14:paraId="7B563866" w14:textId="77777777" w:rsidR="00655D58" w:rsidRPr="00DA1A1B" w:rsidRDefault="00655D58">
            <w:pPr>
              <w:spacing w:after="0" w:line="240" w:lineRule="auto"/>
              <w:rPr>
                <w:rFonts w:ascii="Arial" w:eastAsia="Times New Roman" w:hAnsi="Arial" w:cs="Arial"/>
                <w:b/>
                <w:color w:val="000000"/>
                <w:kern w:val="0"/>
                <w:sz w:val="20"/>
                <w:szCs w:val="20"/>
                <w:lang w:eastAsia="en-GB"/>
                <w14:ligatures w14:val="none"/>
              </w:rPr>
            </w:pPr>
            <w:r w:rsidRPr="00DA1A1B">
              <w:rPr>
                <w:rFonts w:ascii="Arial" w:eastAsia="Times New Roman" w:hAnsi="Arial" w:cs="Arial"/>
                <w:b/>
                <w:color w:val="000000"/>
                <w:kern w:val="0"/>
                <w:sz w:val="20"/>
                <w:szCs w:val="20"/>
                <w:lang w:eastAsia="en-GB"/>
                <w14:ligatures w14:val="none"/>
              </w:rPr>
              <w:t>Meets Requirements</w:t>
            </w:r>
          </w:p>
        </w:tc>
        <w:tc>
          <w:tcPr>
            <w:tcW w:w="1275" w:type="dxa"/>
            <w:tcBorders>
              <w:top w:val="nil"/>
              <w:left w:val="nil"/>
              <w:bottom w:val="single" w:sz="4" w:space="0" w:color="auto"/>
              <w:right w:val="single" w:sz="4" w:space="0" w:color="auto"/>
            </w:tcBorders>
            <w:shd w:val="clear" w:color="auto" w:fill="auto"/>
            <w:vAlign w:val="center"/>
            <w:hideMark/>
          </w:tcPr>
          <w:p w14:paraId="35BE9233" w14:textId="77777777" w:rsidR="00655D58" w:rsidRPr="00DA1A1B" w:rsidRDefault="00655D58">
            <w:pPr>
              <w:spacing w:after="0" w:line="240" w:lineRule="auto"/>
              <w:rPr>
                <w:rFonts w:ascii="Arial" w:eastAsia="Times New Roman" w:hAnsi="Arial" w:cs="Arial"/>
                <w:color w:val="000000"/>
                <w:kern w:val="0"/>
                <w:sz w:val="20"/>
                <w:szCs w:val="20"/>
                <w:lang w:eastAsia="en-GB"/>
                <w14:ligatures w14:val="none"/>
              </w:rPr>
            </w:pPr>
            <w:r w:rsidRPr="00DA1A1B">
              <w:rPr>
                <w:rFonts w:ascii="Arial" w:eastAsia="Times New Roman" w:hAnsi="Arial" w:cs="Arial"/>
                <w:color w:val="000000"/>
                <w:kern w:val="0"/>
                <w:sz w:val="20"/>
                <w:szCs w:val="20"/>
                <w:lang w:eastAsia="en-GB"/>
                <w14:ligatures w14:val="none"/>
              </w:rPr>
              <w:t>2 = 50%</w:t>
            </w:r>
          </w:p>
        </w:tc>
        <w:tc>
          <w:tcPr>
            <w:tcW w:w="5670" w:type="dxa"/>
            <w:tcBorders>
              <w:top w:val="nil"/>
              <w:left w:val="nil"/>
              <w:bottom w:val="single" w:sz="4" w:space="0" w:color="auto"/>
              <w:right w:val="single" w:sz="4" w:space="0" w:color="auto"/>
            </w:tcBorders>
            <w:shd w:val="clear" w:color="auto" w:fill="auto"/>
            <w:hideMark/>
          </w:tcPr>
          <w:p w14:paraId="6AFB6CCA" w14:textId="77777777" w:rsidR="00655D58" w:rsidRPr="00DA1A1B" w:rsidRDefault="00655D58">
            <w:pPr>
              <w:spacing w:before="60" w:after="60" w:line="240" w:lineRule="auto"/>
              <w:rPr>
                <w:rFonts w:ascii="Arial" w:eastAsia="Times New Roman" w:hAnsi="Arial" w:cs="Arial"/>
                <w:color w:val="000000"/>
                <w:kern w:val="0"/>
                <w:sz w:val="20"/>
                <w:szCs w:val="20"/>
                <w:lang w:eastAsia="en-GB"/>
                <w14:ligatures w14:val="none"/>
              </w:rPr>
            </w:pPr>
            <w:r w:rsidRPr="00DA1A1B">
              <w:rPr>
                <w:rFonts w:ascii="Arial" w:eastAsia="Times New Roman" w:hAnsi="Arial" w:cs="Arial"/>
                <w:color w:val="000000"/>
                <w:kern w:val="0"/>
                <w:sz w:val="20"/>
                <w:szCs w:val="20"/>
                <w:lang w:eastAsia="en-GB"/>
                <w14:ligatures w14:val="none"/>
              </w:rPr>
              <w:t>The provider understands the issues and requirements and addresses them appropriately with sufficient information but lacking reliable substance so as to suggest more of a “model answer” than a true commitment, and so only some confidence that the provider will be able to deliver in line with expectations. Potential system/stakeholder benefits may be described but with limited evidence or rationale</w:t>
            </w:r>
          </w:p>
        </w:tc>
      </w:tr>
      <w:tr w:rsidR="00655D58" w:rsidRPr="008C17BA" w14:paraId="21DAAEF1" w14:textId="77777777">
        <w:tc>
          <w:tcPr>
            <w:tcW w:w="1515" w:type="dxa"/>
            <w:tcBorders>
              <w:top w:val="nil"/>
              <w:left w:val="single" w:sz="4" w:space="0" w:color="auto"/>
              <w:bottom w:val="single" w:sz="4" w:space="0" w:color="auto"/>
              <w:right w:val="single" w:sz="4" w:space="0" w:color="auto"/>
            </w:tcBorders>
            <w:shd w:val="clear" w:color="auto" w:fill="auto"/>
            <w:vAlign w:val="center"/>
            <w:hideMark/>
          </w:tcPr>
          <w:p w14:paraId="17E9CD11" w14:textId="77777777" w:rsidR="00655D58" w:rsidRPr="00DA1A1B" w:rsidRDefault="00655D58">
            <w:pPr>
              <w:spacing w:after="0" w:line="240" w:lineRule="auto"/>
              <w:rPr>
                <w:rFonts w:ascii="Arial" w:eastAsia="Times New Roman" w:hAnsi="Arial" w:cs="Arial"/>
                <w:b/>
                <w:color w:val="000000"/>
                <w:kern w:val="0"/>
                <w:sz w:val="20"/>
                <w:szCs w:val="20"/>
                <w:lang w:eastAsia="en-GB"/>
                <w14:ligatures w14:val="none"/>
              </w:rPr>
            </w:pPr>
            <w:r w:rsidRPr="00DA1A1B">
              <w:rPr>
                <w:rFonts w:ascii="Arial" w:eastAsia="Times New Roman" w:hAnsi="Arial" w:cs="Arial"/>
                <w:b/>
                <w:color w:val="000000"/>
                <w:kern w:val="0"/>
                <w:sz w:val="20"/>
                <w:szCs w:val="20"/>
                <w:lang w:eastAsia="en-GB"/>
                <w14:ligatures w14:val="none"/>
              </w:rPr>
              <w:t xml:space="preserve">Low Degree of Confidence </w:t>
            </w:r>
          </w:p>
        </w:tc>
        <w:tc>
          <w:tcPr>
            <w:tcW w:w="1275" w:type="dxa"/>
            <w:tcBorders>
              <w:top w:val="nil"/>
              <w:left w:val="nil"/>
              <w:bottom w:val="single" w:sz="4" w:space="0" w:color="auto"/>
              <w:right w:val="single" w:sz="4" w:space="0" w:color="auto"/>
            </w:tcBorders>
            <w:shd w:val="clear" w:color="auto" w:fill="auto"/>
            <w:vAlign w:val="center"/>
            <w:hideMark/>
          </w:tcPr>
          <w:p w14:paraId="7F6CCA8E" w14:textId="77777777" w:rsidR="00655D58" w:rsidRPr="00DA1A1B" w:rsidRDefault="00655D58">
            <w:pPr>
              <w:spacing w:after="0" w:line="240" w:lineRule="auto"/>
              <w:rPr>
                <w:rFonts w:ascii="Arial" w:eastAsia="Times New Roman" w:hAnsi="Arial" w:cs="Arial"/>
                <w:color w:val="000000"/>
                <w:kern w:val="0"/>
                <w:sz w:val="20"/>
                <w:szCs w:val="20"/>
                <w:lang w:eastAsia="en-GB"/>
                <w14:ligatures w14:val="none"/>
              </w:rPr>
            </w:pPr>
            <w:r w:rsidRPr="00DA1A1B">
              <w:rPr>
                <w:rFonts w:ascii="Arial" w:eastAsia="Times New Roman" w:hAnsi="Arial" w:cs="Arial"/>
                <w:color w:val="000000"/>
                <w:kern w:val="0"/>
                <w:sz w:val="20"/>
                <w:szCs w:val="20"/>
                <w:lang w:eastAsia="en-GB"/>
                <w14:ligatures w14:val="none"/>
              </w:rPr>
              <w:t>1 = 25%</w:t>
            </w:r>
          </w:p>
        </w:tc>
        <w:tc>
          <w:tcPr>
            <w:tcW w:w="5670" w:type="dxa"/>
            <w:tcBorders>
              <w:top w:val="nil"/>
              <w:left w:val="nil"/>
              <w:bottom w:val="single" w:sz="4" w:space="0" w:color="auto"/>
              <w:right w:val="single" w:sz="4" w:space="0" w:color="auto"/>
            </w:tcBorders>
            <w:shd w:val="clear" w:color="auto" w:fill="auto"/>
            <w:hideMark/>
          </w:tcPr>
          <w:p w14:paraId="0BA3B16F" w14:textId="77777777" w:rsidR="00655D58" w:rsidRPr="00DA1A1B" w:rsidRDefault="00655D58">
            <w:pPr>
              <w:spacing w:before="60" w:after="60" w:line="240" w:lineRule="auto"/>
              <w:rPr>
                <w:rFonts w:ascii="Arial" w:eastAsia="Times New Roman" w:hAnsi="Arial" w:cs="Arial"/>
                <w:color w:val="000000"/>
                <w:kern w:val="0"/>
                <w:sz w:val="20"/>
                <w:szCs w:val="20"/>
                <w:lang w:eastAsia="en-GB"/>
                <w14:ligatures w14:val="none"/>
              </w:rPr>
            </w:pPr>
            <w:r w:rsidRPr="00DA1A1B">
              <w:rPr>
                <w:rFonts w:ascii="Arial" w:eastAsia="Times New Roman" w:hAnsi="Arial" w:cs="Arial"/>
                <w:color w:val="000000"/>
                <w:kern w:val="0"/>
                <w:sz w:val="20"/>
                <w:szCs w:val="20"/>
                <w:lang w:eastAsia="en-GB"/>
                <w14:ligatures w14:val="none"/>
              </w:rPr>
              <w:t>Some misunderstandings by the provider and limited on relevant information, detail, and evidence. Does not provide sufficient confidence that provider can fulfil or meet the requirements in line with expectations.</w:t>
            </w:r>
          </w:p>
        </w:tc>
      </w:tr>
      <w:tr w:rsidR="00655D58" w:rsidRPr="008C17BA" w14:paraId="653BFCD6" w14:textId="77777777">
        <w:tc>
          <w:tcPr>
            <w:tcW w:w="1515" w:type="dxa"/>
            <w:tcBorders>
              <w:top w:val="nil"/>
              <w:left w:val="single" w:sz="4" w:space="0" w:color="auto"/>
              <w:bottom w:val="single" w:sz="4" w:space="0" w:color="auto"/>
              <w:right w:val="single" w:sz="4" w:space="0" w:color="auto"/>
            </w:tcBorders>
            <w:shd w:val="clear" w:color="auto" w:fill="auto"/>
            <w:vAlign w:val="center"/>
            <w:hideMark/>
          </w:tcPr>
          <w:p w14:paraId="5D760F31" w14:textId="77777777" w:rsidR="00655D58" w:rsidRPr="00DA1A1B" w:rsidRDefault="00655D58">
            <w:pPr>
              <w:spacing w:after="0" w:line="240" w:lineRule="auto"/>
              <w:rPr>
                <w:rFonts w:ascii="Arial" w:eastAsia="Times New Roman" w:hAnsi="Arial" w:cs="Arial"/>
                <w:b/>
                <w:color w:val="000000"/>
                <w:kern w:val="0"/>
                <w:sz w:val="20"/>
                <w:szCs w:val="20"/>
                <w:lang w:eastAsia="en-GB"/>
                <w14:ligatures w14:val="none"/>
              </w:rPr>
            </w:pPr>
            <w:r w:rsidRPr="00DA1A1B">
              <w:rPr>
                <w:rFonts w:ascii="Arial" w:eastAsia="Times New Roman" w:hAnsi="Arial" w:cs="Arial"/>
                <w:b/>
                <w:color w:val="000000"/>
                <w:kern w:val="0"/>
                <w:sz w:val="20"/>
                <w:szCs w:val="20"/>
                <w:lang w:eastAsia="en-GB"/>
                <w14:ligatures w14:val="none"/>
              </w:rPr>
              <w:t>No Relevant Information</w:t>
            </w:r>
          </w:p>
        </w:tc>
        <w:tc>
          <w:tcPr>
            <w:tcW w:w="1275" w:type="dxa"/>
            <w:tcBorders>
              <w:top w:val="nil"/>
              <w:left w:val="nil"/>
              <w:bottom w:val="single" w:sz="4" w:space="0" w:color="auto"/>
              <w:right w:val="single" w:sz="4" w:space="0" w:color="auto"/>
            </w:tcBorders>
            <w:shd w:val="clear" w:color="auto" w:fill="auto"/>
            <w:vAlign w:val="center"/>
            <w:hideMark/>
          </w:tcPr>
          <w:p w14:paraId="1531BB1F" w14:textId="77777777" w:rsidR="00655D58" w:rsidRPr="00DA1A1B" w:rsidRDefault="00655D58">
            <w:pPr>
              <w:spacing w:after="0" w:line="240" w:lineRule="auto"/>
              <w:rPr>
                <w:rFonts w:ascii="Arial" w:eastAsia="Times New Roman" w:hAnsi="Arial" w:cs="Arial"/>
                <w:color w:val="000000"/>
                <w:kern w:val="0"/>
                <w:sz w:val="20"/>
                <w:szCs w:val="20"/>
                <w:lang w:eastAsia="en-GB"/>
                <w14:ligatures w14:val="none"/>
              </w:rPr>
            </w:pPr>
            <w:r w:rsidRPr="00DA1A1B">
              <w:rPr>
                <w:rFonts w:ascii="Arial" w:eastAsia="Times New Roman" w:hAnsi="Arial" w:cs="Arial"/>
                <w:color w:val="000000"/>
                <w:kern w:val="0"/>
                <w:sz w:val="20"/>
                <w:szCs w:val="20"/>
                <w:lang w:eastAsia="en-GB"/>
                <w14:ligatures w14:val="none"/>
              </w:rPr>
              <w:t>0 = 0%</w:t>
            </w:r>
          </w:p>
        </w:tc>
        <w:tc>
          <w:tcPr>
            <w:tcW w:w="5670" w:type="dxa"/>
            <w:tcBorders>
              <w:top w:val="nil"/>
              <w:left w:val="nil"/>
              <w:bottom w:val="single" w:sz="4" w:space="0" w:color="auto"/>
              <w:right w:val="single" w:sz="4" w:space="0" w:color="auto"/>
            </w:tcBorders>
            <w:shd w:val="clear" w:color="auto" w:fill="auto"/>
            <w:vAlign w:val="bottom"/>
            <w:hideMark/>
          </w:tcPr>
          <w:p w14:paraId="2FE45274" w14:textId="77777777" w:rsidR="00655D58" w:rsidRPr="00DA1A1B" w:rsidRDefault="00655D58">
            <w:pPr>
              <w:spacing w:before="60" w:after="60" w:line="240" w:lineRule="auto"/>
              <w:rPr>
                <w:rFonts w:ascii="Arial" w:eastAsia="Times New Roman" w:hAnsi="Arial" w:cs="Arial"/>
                <w:color w:val="000000"/>
                <w:kern w:val="0"/>
                <w:sz w:val="20"/>
                <w:szCs w:val="20"/>
                <w:lang w:eastAsia="en-GB"/>
                <w14:ligatures w14:val="none"/>
              </w:rPr>
            </w:pPr>
            <w:r w:rsidRPr="00DA1A1B">
              <w:rPr>
                <w:rFonts w:ascii="Arial" w:eastAsia="Times New Roman" w:hAnsi="Arial" w:cs="Arial"/>
                <w:color w:val="000000"/>
                <w:kern w:val="0"/>
                <w:sz w:val="20"/>
                <w:szCs w:val="20"/>
                <w:lang w:eastAsia="en-GB"/>
                <w14:ligatures w14:val="none"/>
              </w:rPr>
              <w:t>No or minimal relevant information and/or refusal to deliver requirements</w:t>
            </w:r>
          </w:p>
        </w:tc>
      </w:tr>
    </w:tbl>
    <w:p w14:paraId="495F8FA2" w14:textId="77777777" w:rsidR="00655D58" w:rsidRPr="00214980" w:rsidRDefault="00655D58" w:rsidP="00655D58">
      <w:pPr>
        <w:pStyle w:val="ListParagraph"/>
        <w:spacing w:before="60" w:after="360" w:line="240" w:lineRule="auto"/>
        <w:ind w:left="567"/>
        <w:contextualSpacing w:val="0"/>
        <w:rPr>
          <w:rFonts w:ascii="Arial" w:hAnsi="Arial" w:cs="Arial"/>
          <w:sz w:val="16"/>
          <w:szCs w:val="16"/>
        </w:rPr>
      </w:pPr>
      <w:r w:rsidRPr="00214980">
        <w:rPr>
          <w:rFonts w:ascii="Arial" w:hAnsi="Arial" w:cs="Arial"/>
          <w:sz w:val="16"/>
          <w:szCs w:val="16"/>
        </w:rPr>
        <w:t xml:space="preserve">Source: </w:t>
      </w:r>
      <w:r w:rsidRPr="00CD0707">
        <w:rPr>
          <w:rFonts w:ascii="Arial" w:hAnsi="Arial" w:cs="Arial"/>
          <w:sz w:val="16"/>
          <w:szCs w:val="16"/>
        </w:rPr>
        <w:t xml:space="preserve">HNY ICB, </w:t>
      </w:r>
      <w:r w:rsidRPr="00CD0707">
        <w:rPr>
          <w:rFonts w:ascii="Arial" w:hAnsi="Arial" w:cs="Arial"/>
          <w:i/>
          <w:iCs/>
          <w:sz w:val="16"/>
          <w:szCs w:val="16"/>
        </w:rPr>
        <w:t>Provider Response Document NHSE1023</w:t>
      </w:r>
      <w:r w:rsidRPr="00CD0707">
        <w:rPr>
          <w:rFonts w:ascii="Arial" w:hAnsi="Arial" w:cs="Arial"/>
          <w:sz w:val="16"/>
          <w:szCs w:val="16"/>
        </w:rPr>
        <w:t>, 20 September 202</w:t>
      </w:r>
      <w:r>
        <w:rPr>
          <w:rFonts w:ascii="Arial" w:hAnsi="Arial" w:cs="Arial"/>
          <w:sz w:val="16"/>
          <w:szCs w:val="16"/>
        </w:rPr>
        <w:t>4, pp.82-83</w:t>
      </w:r>
      <w:r w:rsidRPr="00CD0707">
        <w:rPr>
          <w:rFonts w:ascii="Arial" w:hAnsi="Arial" w:cs="Arial"/>
          <w:sz w:val="16"/>
          <w:szCs w:val="16"/>
        </w:rPr>
        <w:t>.</w:t>
      </w:r>
    </w:p>
    <w:p w14:paraId="5B2B09BE" w14:textId="14CB96BE" w:rsidR="003443DD" w:rsidRPr="001B5E15" w:rsidRDefault="00AE4EE1" w:rsidP="003443DD">
      <w:pPr>
        <w:keepNext/>
        <w:spacing w:before="240" w:line="276" w:lineRule="auto"/>
        <w:rPr>
          <w:rFonts w:ascii="Arial" w:hAnsi="Arial" w:cs="Arial"/>
          <w:b/>
          <w:bCs/>
        </w:rPr>
      </w:pPr>
      <w:r>
        <w:rPr>
          <w:rFonts w:ascii="Arial" w:hAnsi="Arial" w:cs="Arial"/>
          <w:b/>
          <w:bCs/>
        </w:rPr>
        <w:t>I</w:t>
      </w:r>
      <w:r w:rsidR="003443DD">
        <w:rPr>
          <w:rFonts w:ascii="Arial" w:hAnsi="Arial" w:cs="Arial"/>
          <w:b/>
          <w:bCs/>
        </w:rPr>
        <w:t>nterpretation of the grade definitions</w:t>
      </w:r>
    </w:p>
    <w:p w14:paraId="633D89C4" w14:textId="356329A1" w:rsidR="005B166D" w:rsidRDefault="005C4F65" w:rsidP="005B166D">
      <w:pPr>
        <w:pStyle w:val="ListParagraph"/>
        <w:numPr>
          <w:ilvl w:val="0"/>
          <w:numId w:val="2"/>
        </w:numPr>
        <w:spacing w:line="276" w:lineRule="auto"/>
        <w:ind w:left="567" w:hanging="567"/>
        <w:contextualSpacing w:val="0"/>
        <w:rPr>
          <w:rFonts w:ascii="Arial" w:hAnsi="Arial" w:cs="Arial"/>
        </w:rPr>
      </w:pPr>
      <w:r>
        <w:rPr>
          <w:rFonts w:ascii="Arial" w:hAnsi="Arial" w:cs="Arial"/>
        </w:rPr>
        <w:t>Barkhill</w:t>
      </w:r>
      <w:r w:rsidR="00AE37B6">
        <w:rPr>
          <w:rFonts w:ascii="Arial" w:hAnsi="Arial" w:cs="Arial"/>
        </w:rPr>
        <w:t xml:space="preserve"> told </w:t>
      </w:r>
      <w:r w:rsidR="005B166D" w:rsidDel="005E18C0">
        <w:rPr>
          <w:rFonts w:ascii="Arial" w:hAnsi="Arial" w:cs="Arial"/>
        </w:rPr>
        <w:t>the Panel</w:t>
      </w:r>
      <w:r w:rsidR="005B166D" w:rsidRPr="00054C88" w:rsidDel="005E18C0">
        <w:rPr>
          <w:rFonts w:ascii="Arial" w:hAnsi="Arial" w:cs="Arial"/>
        </w:rPr>
        <w:t xml:space="preserve"> </w:t>
      </w:r>
      <w:r w:rsidR="005B166D" w:rsidRPr="00054C88">
        <w:rPr>
          <w:rFonts w:ascii="Arial" w:hAnsi="Arial" w:cs="Arial"/>
        </w:rPr>
        <w:t xml:space="preserve">that the </w:t>
      </w:r>
      <w:r w:rsidR="005B166D">
        <w:rPr>
          <w:rFonts w:ascii="Arial" w:hAnsi="Arial" w:cs="Arial"/>
        </w:rPr>
        <w:t>“</w:t>
      </w:r>
      <w:r w:rsidR="005B166D" w:rsidRPr="00054C88">
        <w:rPr>
          <w:rFonts w:ascii="Arial" w:hAnsi="Arial" w:cs="Arial"/>
        </w:rPr>
        <w:t>definition of grade</w:t>
      </w:r>
      <w:r w:rsidR="005B166D">
        <w:rPr>
          <w:rFonts w:ascii="Arial" w:hAnsi="Arial" w:cs="Arial"/>
        </w:rPr>
        <w:t>”</w:t>
      </w:r>
      <w:r w:rsidR="005B166D" w:rsidRPr="00054C88">
        <w:rPr>
          <w:rFonts w:ascii="Arial" w:hAnsi="Arial" w:cs="Arial"/>
        </w:rPr>
        <w:t xml:space="preserve"> set out in the </w:t>
      </w:r>
      <w:r w:rsidR="005B166D">
        <w:rPr>
          <w:rFonts w:ascii="Arial" w:hAnsi="Arial" w:cs="Arial"/>
        </w:rPr>
        <w:t xml:space="preserve">scoring matrix (and reproduced in Table 3) “tells you what you have to do in order to get that grade”. It </w:t>
      </w:r>
      <w:r w:rsidR="00147711">
        <w:rPr>
          <w:rFonts w:ascii="Arial" w:hAnsi="Arial" w:cs="Arial"/>
        </w:rPr>
        <w:lastRenderedPageBreak/>
        <w:t>continued</w:t>
      </w:r>
      <w:r w:rsidR="005B166D">
        <w:rPr>
          <w:rFonts w:ascii="Arial" w:hAnsi="Arial" w:cs="Arial"/>
        </w:rPr>
        <w:t xml:space="preserve">, </w:t>
      </w:r>
      <w:bookmarkStart w:id="15" w:name="_Ref196324141"/>
      <w:r w:rsidR="005B166D">
        <w:rPr>
          <w:rFonts w:ascii="Arial" w:hAnsi="Arial" w:cs="Arial"/>
        </w:rPr>
        <w:t xml:space="preserve">“when you read it [the definitions] as a normal objective reader it’s very clear that where there’s more than one sentence, the separate sentences </w:t>
      </w:r>
      <w:r w:rsidR="005B166D" w:rsidRPr="00054C88">
        <w:rPr>
          <w:rFonts w:ascii="Arial" w:hAnsi="Arial" w:cs="Arial"/>
        </w:rPr>
        <w:t>express separate metrics, all of which have to be met</w:t>
      </w:r>
      <w:r w:rsidR="005B166D">
        <w:rPr>
          <w:rFonts w:ascii="Arial" w:hAnsi="Arial" w:cs="Arial"/>
        </w:rPr>
        <w:t xml:space="preserve"> … they’re clearly not meant to be alternatives because if they were alternatives you could satisfy just one of the sentences [to be awarded the grade] and that’s clearly not what’s intended”.</w:t>
      </w:r>
      <w:r w:rsidR="005B166D" w:rsidRPr="00054C88">
        <w:rPr>
          <w:rStyle w:val="FootnoteReference"/>
          <w:rFonts w:ascii="Arial" w:hAnsi="Arial" w:cs="Arial"/>
        </w:rPr>
        <w:footnoteReference w:id="18"/>
      </w:r>
      <w:bookmarkEnd w:id="15"/>
      <w:r w:rsidR="005B166D">
        <w:rPr>
          <w:rFonts w:ascii="Arial" w:hAnsi="Arial" w:cs="Arial"/>
        </w:rPr>
        <w:t xml:space="preserve"> As a result, Barkhill concluded that the separate sentences in the grade definition were cumulative requirements all of which had to be met to be awarded a particular grade.</w:t>
      </w:r>
    </w:p>
    <w:p w14:paraId="3285E1ED" w14:textId="05671A8E" w:rsidR="007126C8" w:rsidRDefault="007126C8" w:rsidP="007126C8">
      <w:pPr>
        <w:pStyle w:val="ListParagraph"/>
        <w:numPr>
          <w:ilvl w:val="0"/>
          <w:numId w:val="2"/>
        </w:numPr>
        <w:spacing w:line="276" w:lineRule="auto"/>
        <w:ind w:left="567" w:hanging="567"/>
        <w:contextualSpacing w:val="0"/>
        <w:rPr>
          <w:rFonts w:ascii="Arial" w:hAnsi="Arial" w:cs="Arial"/>
        </w:rPr>
      </w:pPr>
      <w:r>
        <w:rPr>
          <w:rFonts w:ascii="Arial" w:hAnsi="Arial" w:cs="Arial"/>
        </w:rPr>
        <w:t>HNY ICB</w:t>
      </w:r>
      <w:r w:rsidR="000C14C2">
        <w:rPr>
          <w:rFonts w:ascii="Arial" w:hAnsi="Arial" w:cs="Arial"/>
        </w:rPr>
        <w:t xml:space="preserve"> told the Panel </w:t>
      </w:r>
      <w:r>
        <w:rPr>
          <w:rFonts w:ascii="Arial" w:hAnsi="Arial" w:cs="Arial"/>
        </w:rPr>
        <w:t>that “t</w:t>
      </w:r>
      <w:r w:rsidRPr="006C3428">
        <w:rPr>
          <w:rFonts w:ascii="Arial" w:hAnsi="Arial" w:cs="Arial"/>
        </w:rPr>
        <w:t xml:space="preserve">he score </w:t>
      </w:r>
      <w:r w:rsidR="00BB5348">
        <w:rPr>
          <w:rFonts w:ascii="Arial" w:hAnsi="Arial" w:cs="Arial"/>
        </w:rPr>
        <w:t xml:space="preserve">[awarded to bidders] </w:t>
      </w:r>
      <w:r w:rsidRPr="006C3428">
        <w:rPr>
          <w:rFonts w:ascii="Arial" w:hAnsi="Arial" w:cs="Arial"/>
        </w:rPr>
        <w:t>was based on the overall level of confidence that we had in the provider's ability to deliver the specified service as expressed through their response to the question</w:t>
      </w:r>
      <w:r>
        <w:rPr>
          <w:rFonts w:ascii="Arial" w:hAnsi="Arial" w:cs="Arial"/>
        </w:rPr>
        <w:t>”. It described the grades as “moving from a low level of confidence where the bidder doesn’t give much information about how they’re going to comply with the specified requirement responses up to the highest level of confidence where they’ve really clearly demonstrated not only what they’re going to do, but how they’re going to do it”.</w:t>
      </w:r>
      <w:r>
        <w:rPr>
          <w:rStyle w:val="FootnoteReference"/>
          <w:rFonts w:ascii="Arial" w:hAnsi="Arial" w:cs="Arial"/>
        </w:rPr>
        <w:footnoteReference w:id="19"/>
      </w:r>
    </w:p>
    <w:p w14:paraId="0CF5AA1D" w14:textId="63CD750B" w:rsidR="00414177" w:rsidRDefault="00C849D1" w:rsidP="004A2F0A">
      <w:pPr>
        <w:pStyle w:val="ListParagraph"/>
        <w:numPr>
          <w:ilvl w:val="0"/>
          <w:numId w:val="2"/>
        </w:numPr>
        <w:spacing w:after="120" w:line="276" w:lineRule="auto"/>
        <w:ind w:left="567" w:hanging="567"/>
        <w:contextualSpacing w:val="0"/>
        <w:rPr>
          <w:rFonts w:ascii="Arial" w:hAnsi="Arial" w:cs="Arial"/>
        </w:rPr>
      </w:pPr>
      <w:r>
        <w:rPr>
          <w:rFonts w:ascii="Arial" w:hAnsi="Arial" w:cs="Arial"/>
        </w:rPr>
        <w:t>T</w:t>
      </w:r>
      <w:r w:rsidR="00414177">
        <w:rPr>
          <w:rFonts w:ascii="Arial" w:hAnsi="Arial" w:cs="Arial"/>
        </w:rPr>
        <w:t>he</w:t>
      </w:r>
      <w:r w:rsidR="00761CF9">
        <w:rPr>
          <w:rFonts w:ascii="Arial" w:hAnsi="Arial" w:cs="Arial"/>
        </w:rPr>
        <w:t xml:space="preserve"> Panel notes that the</w:t>
      </w:r>
      <w:r w:rsidR="00414177">
        <w:rPr>
          <w:rFonts w:ascii="Arial" w:hAnsi="Arial" w:cs="Arial"/>
        </w:rPr>
        <w:t xml:space="preserve"> tender documentation does not provide </w:t>
      </w:r>
      <w:r w:rsidR="000D490C">
        <w:rPr>
          <w:rFonts w:ascii="Arial" w:hAnsi="Arial" w:cs="Arial"/>
        </w:rPr>
        <w:t xml:space="preserve">any </w:t>
      </w:r>
      <w:r w:rsidR="009F602D">
        <w:rPr>
          <w:rFonts w:ascii="Arial" w:hAnsi="Arial" w:cs="Arial"/>
        </w:rPr>
        <w:t>guidance</w:t>
      </w:r>
      <w:r>
        <w:rPr>
          <w:rFonts w:ascii="Arial" w:hAnsi="Arial" w:cs="Arial"/>
        </w:rPr>
        <w:t xml:space="preserve"> on interpreting the grade definitions</w:t>
      </w:r>
      <w:r w:rsidR="00761CF9">
        <w:rPr>
          <w:rFonts w:ascii="Arial" w:hAnsi="Arial" w:cs="Arial"/>
        </w:rPr>
        <w:t>.</w:t>
      </w:r>
    </w:p>
    <w:p w14:paraId="62F8D342" w14:textId="398819F4" w:rsidR="00685924" w:rsidRDefault="0036708C" w:rsidP="00157DB5">
      <w:pPr>
        <w:pStyle w:val="ListParagraph"/>
        <w:numPr>
          <w:ilvl w:val="0"/>
          <w:numId w:val="6"/>
        </w:numPr>
        <w:spacing w:after="120" w:line="276" w:lineRule="auto"/>
        <w:ind w:left="1349" w:hanging="357"/>
        <w:contextualSpacing w:val="0"/>
        <w:rPr>
          <w:rFonts w:ascii="Arial" w:hAnsi="Arial" w:cs="Arial"/>
        </w:rPr>
      </w:pPr>
      <w:r>
        <w:rPr>
          <w:rFonts w:ascii="Arial" w:hAnsi="Arial" w:cs="Arial"/>
        </w:rPr>
        <w:t xml:space="preserve">A statement </w:t>
      </w:r>
      <w:r w:rsidR="005A1A49" w:rsidDel="0075697F">
        <w:rPr>
          <w:rFonts w:ascii="Arial" w:hAnsi="Arial" w:cs="Arial"/>
        </w:rPr>
        <w:t xml:space="preserve">that </w:t>
      </w:r>
      <w:r w:rsidR="005A1A49">
        <w:rPr>
          <w:rFonts w:ascii="Arial" w:hAnsi="Arial" w:cs="Arial"/>
        </w:rPr>
        <w:t>accompanies</w:t>
      </w:r>
      <w:r w:rsidR="003D6867">
        <w:rPr>
          <w:rFonts w:ascii="Arial" w:hAnsi="Arial" w:cs="Arial"/>
        </w:rPr>
        <w:t xml:space="preserve"> </w:t>
      </w:r>
      <w:r w:rsidR="00F247B7" w:rsidRPr="00D20F95">
        <w:rPr>
          <w:rFonts w:ascii="Arial" w:hAnsi="Arial" w:cs="Arial"/>
        </w:rPr>
        <w:t xml:space="preserve">the </w:t>
      </w:r>
      <w:r w:rsidR="005A1A49">
        <w:rPr>
          <w:rFonts w:ascii="Arial" w:hAnsi="Arial" w:cs="Arial"/>
        </w:rPr>
        <w:t>s</w:t>
      </w:r>
      <w:r w:rsidR="00DA7019" w:rsidRPr="00D20F95">
        <w:rPr>
          <w:rFonts w:ascii="Arial" w:hAnsi="Arial" w:cs="Arial"/>
        </w:rPr>
        <w:t xml:space="preserve">coring </w:t>
      </w:r>
      <w:r w:rsidR="005A1A49">
        <w:rPr>
          <w:rFonts w:ascii="Arial" w:hAnsi="Arial" w:cs="Arial"/>
        </w:rPr>
        <w:t>m</w:t>
      </w:r>
      <w:r w:rsidR="00DA7019" w:rsidRPr="00D20F95">
        <w:rPr>
          <w:rFonts w:ascii="Arial" w:hAnsi="Arial" w:cs="Arial"/>
        </w:rPr>
        <w:t>atrix</w:t>
      </w:r>
      <w:r w:rsidR="00D9393D" w:rsidRPr="00D9393D">
        <w:rPr>
          <w:rFonts w:ascii="Arial" w:hAnsi="Arial" w:cs="Arial"/>
        </w:rPr>
        <w:t xml:space="preserve"> </w:t>
      </w:r>
      <w:r w:rsidR="00D9393D">
        <w:rPr>
          <w:rFonts w:ascii="Arial" w:hAnsi="Arial" w:cs="Arial"/>
        </w:rPr>
        <w:t>in t</w:t>
      </w:r>
      <w:r w:rsidR="00D9393D" w:rsidRPr="00D20F95">
        <w:rPr>
          <w:rFonts w:ascii="Arial" w:hAnsi="Arial" w:cs="Arial"/>
        </w:rPr>
        <w:t>he Provider Response Document</w:t>
      </w:r>
      <w:r w:rsidR="00DA7019" w:rsidRPr="00D20F95">
        <w:rPr>
          <w:rFonts w:ascii="Arial" w:hAnsi="Arial" w:cs="Arial"/>
        </w:rPr>
        <w:t xml:space="preserve"> </w:t>
      </w:r>
      <w:r w:rsidR="00EE6F65" w:rsidRPr="00D20F95">
        <w:rPr>
          <w:rFonts w:ascii="Arial" w:hAnsi="Arial" w:cs="Arial"/>
        </w:rPr>
        <w:t xml:space="preserve">says </w:t>
      </w:r>
      <w:r w:rsidR="00281302" w:rsidRPr="00D20F95">
        <w:rPr>
          <w:rFonts w:ascii="Arial" w:hAnsi="Arial" w:cs="Arial"/>
        </w:rPr>
        <w:t>“Each question will be evaluated and given a score as per the evaluation criteria</w:t>
      </w:r>
      <w:r w:rsidR="00296423">
        <w:rPr>
          <w:rFonts w:ascii="Arial" w:hAnsi="Arial" w:cs="Arial"/>
        </w:rPr>
        <w:t>”</w:t>
      </w:r>
      <w:r w:rsidR="0075697F">
        <w:rPr>
          <w:rFonts w:ascii="Arial" w:hAnsi="Arial" w:cs="Arial"/>
        </w:rPr>
        <w:t>.</w:t>
      </w:r>
      <w:r w:rsidR="00BF1788">
        <w:rPr>
          <w:rFonts w:ascii="Arial" w:hAnsi="Arial" w:cs="Arial"/>
        </w:rPr>
        <w:t xml:space="preserve"> </w:t>
      </w:r>
      <w:r w:rsidR="00296423">
        <w:rPr>
          <w:rFonts w:ascii="Arial" w:hAnsi="Arial" w:cs="Arial"/>
        </w:rPr>
        <w:t>(</w:t>
      </w:r>
      <w:r w:rsidR="0075697F">
        <w:rPr>
          <w:rFonts w:ascii="Arial" w:hAnsi="Arial" w:cs="Arial"/>
        </w:rPr>
        <w:t>T</w:t>
      </w:r>
      <w:r w:rsidR="0012314C">
        <w:rPr>
          <w:rFonts w:ascii="Arial" w:hAnsi="Arial" w:cs="Arial"/>
        </w:rPr>
        <w:t xml:space="preserve">he words “evaluation criteria” </w:t>
      </w:r>
      <w:r w:rsidR="001648A5">
        <w:rPr>
          <w:rFonts w:ascii="Arial" w:hAnsi="Arial" w:cs="Arial"/>
        </w:rPr>
        <w:t xml:space="preserve">are taken by the Panel to refer to </w:t>
      </w:r>
      <w:r w:rsidR="00BF1788">
        <w:rPr>
          <w:rFonts w:ascii="Arial" w:hAnsi="Arial" w:cs="Arial"/>
        </w:rPr>
        <w:t xml:space="preserve">the grade definitions in the </w:t>
      </w:r>
      <w:r w:rsidR="001648A5">
        <w:rPr>
          <w:rFonts w:ascii="Arial" w:hAnsi="Arial" w:cs="Arial"/>
        </w:rPr>
        <w:t>s</w:t>
      </w:r>
      <w:r w:rsidR="00BF1788">
        <w:rPr>
          <w:rFonts w:ascii="Arial" w:hAnsi="Arial" w:cs="Arial"/>
        </w:rPr>
        <w:t xml:space="preserve">coring </w:t>
      </w:r>
      <w:r w:rsidR="001648A5">
        <w:rPr>
          <w:rFonts w:ascii="Arial" w:hAnsi="Arial" w:cs="Arial"/>
        </w:rPr>
        <w:t>m</w:t>
      </w:r>
      <w:r w:rsidR="00BF1788">
        <w:rPr>
          <w:rFonts w:ascii="Arial" w:hAnsi="Arial" w:cs="Arial"/>
        </w:rPr>
        <w:t>atrix</w:t>
      </w:r>
      <w:r w:rsidR="001648A5">
        <w:rPr>
          <w:rFonts w:ascii="Arial" w:hAnsi="Arial" w:cs="Arial"/>
        </w:rPr>
        <w:t>)</w:t>
      </w:r>
      <w:r w:rsidR="00733D78" w:rsidRPr="00D20F95">
        <w:rPr>
          <w:rFonts w:ascii="Arial" w:hAnsi="Arial" w:cs="Arial"/>
        </w:rPr>
        <w:t>.</w:t>
      </w:r>
      <w:r w:rsidR="00A064F0">
        <w:rPr>
          <w:rStyle w:val="FootnoteReference"/>
          <w:rFonts w:ascii="Arial" w:hAnsi="Arial" w:cs="Arial"/>
        </w:rPr>
        <w:footnoteReference w:id="20"/>
      </w:r>
      <w:r w:rsidR="007301CB">
        <w:rPr>
          <w:rFonts w:ascii="Arial" w:hAnsi="Arial" w:cs="Arial"/>
        </w:rPr>
        <w:t xml:space="preserve"> </w:t>
      </w:r>
      <w:r w:rsidR="00685924">
        <w:rPr>
          <w:rFonts w:ascii="Arial" w:hAnsi="Arial" w:cs="Arial"/>
        </w:rPr>
        <w:t xml:space="preserve">That is, bidders </w:t>
      </w:r>
      <w:r w:rsidR="00E150E1">
        <w:rPr>
          <w:rFonts w:ascii="Arial" w:hAnsi="Arial" w:cs="Arial"/>
        </w:rPr>
        <w:t>are referred back to the grade definitions when told how answers will be scored.</w:t>
      </w:r>
    </w:p>
    <w:p w14:paraId="500EB7D2" w14:textId="6BD8F7C4" w:rsidR="00962C52" w:rsidRDefault="00E150E1" w:rsidP="00157DB5">
      <w:pPr>
        <w:pStyle w:val="ListParagraph"/>
        <w:numPr>
          <w:ilvl w:val="0"/>
          <w:numId w:val="6"/>
        </w:numPr>
        <w:spacing w:line="276" w:lineRule="auto"/>
        <w:ind w:left="1349" w:hanging="357"/>
        <w:contextualSpacing w:val="0"/>
        <w:rPr>
          <w:rFonts w:ascii="Arial" w:hAnsi="Arial" w:cs="Arial"/>
        </w:rPr>
      </w:pPr>
      <w:r>
        <w:rPr>
          <w:rFonts w:ascii="Arial" w:hAnsi="Arial" w:cs="Arial"/>
        </w:rPr>
        <w:t xml:space="preserve">Another statement </w:t>
      </w:r>
      <w:r w:rsidR="00A01C0B">
        <w:rPr>
          <w:rFonts w:ascii="Arial" w:hAnsi="Arial" w:cs="Arial"/>
        </w:rPr>
        <w:t xml:space="preserve">that </w:t>
      </w:r>
      <w:r w:rsidR="00AC5385">
        <w:rPr>
          <w:rFonts w:ascii="Arial" w:hAnsi="Arial" w:cs="Arial"/>
        </w:rPr>
        <w:t>accompan</w:t>
      </w:r>
      <w:r w:rsidR="00A01C0B">
        <w:rPr>
          <w:rFonts w:ascii="Arial" w:hAnsi="Arial" w:cs="Arial"/>
        </w:rPr>
        <w:t xml:space="preserve">ies </w:t>
      </w:r>
      <w:r>
        <w:rPr>
          <w:rFonts w:ascii="Arial" w:hAnsi="Arial" w:cs="Arial"/>
        </w:rPr>
        <w:t>the quality questions</w:t>
      </w:r>
      <w:r w:rsidR="00A01C0B" w:rsidRPr="00A01C0B">
        <w:rPr>
          <w:rFonts w:ascii="Arial" w:hAnsi="Arial" w:cs="Arial"/>
        </w:rPr>
        <w:t xml:space="preserve"> </w:t>
      </w:r>
      <w:r w:rsidR="00A01C0B">
        <w:rPr>
          <w:rFonts w:ascii="Arial" w:hAnsi="Arial" w:cs="Arial"/>
        </w:rPr>
        <w:t>in the Provider Response Document</w:t>
      </w:r>
      <w:r w:rsidR="00DB6911">
        <w:rPr>
          <w:rFonts w:ascii="Arial" w:hAnsi="Arial" w:cs="Arial"/>
        </w:rPr>
        <w:t xml:space="preserve"> </w:t>
      </w:r>
      <w:r w:rsidR="004F0085">
        <w:rPr>
          <w:rFonts w:ascii="Arial" w:hAnsi="Arial" w:cs="Arial"/>
        </w:rPr>
        <w:t>says</w:t>
      </w:r>
      <w:r w:rsidR="00AC5385" w:rsidDel="00AF79B4">
        <w:rPr>
          <w:rFonts w:ascii="Arial" w:hAnsi="Arial" w:cs="Arial"/>
        </w:rPr>
        <w:t xml:space="preserve"> </w:t>
      </w:r>
      <w:r w:rsidR="00D07359">
        <w:rPr>
          <w:rFonts w:ascii="Arial" w:hAnsi="Arial" w:cs="Arial"/>
        </w:rPr>
        <w:t xml:space="preserve">answers will be scored </w:t>
      </w:r>
      <w:r w:rsidR="002213D2" w:rsidRPr="00D20F95">
        <w:rPr>
          <w:rFonts w:ascii="Arial" w:hAnsi="Arial" w:cs="Arial"/>
        </w:rPr>
        <w:t>0-4</w:t>
      </w:r>
      <w:r w:rsidR="0091767A" w:rsidRPr="00D20F95">
        <w:rPr>
          <w:rFonts w:ascii="Arial" w:hAnsi="Arial" w:cs="Arial"/>
        </w:rPr>
        <w:t xml:space="preserve"> “in </w:t>
      </w:r>
      <w:r w:rsidR="009F5E7C" w:rsidRPr="00D20F95">
        <w:rPr>
          <w:rFonts w:ascii="Arial" w:hAnsi="Arial" w:cs="Arial"/>
        </w:rPr>
        <w:t>accordance with Provider Response Questions Evaluation Criteria as per the PRD Schedule 6 Provider Response Evaluation Criteria Handbook</w:t>
      </w:r>
      <w:r w:rsidR="009F5E7C" w:rsidRPr="006E3569">
        <w:rPr>
          <w:rFonts w:ascii="Arial" w:hAnsi="Arial" w:cs="Arial"/>
        </w:rPr>
        <w:t>”</w:t>
      </w:r>
      <w:r w:rsidR="00B9551B">
        <w:rPr>
          <w:rFonts w:ascii="Arial" w:hAnsi="Arial" w:cs="Arial"/>
        </w:rPr>
        <w:t>.</w:t>
      </w:r>
      <w:r w:rsidR="009C1FA8">
        <w:rPr>
          <w:rStyle w:val="FootnoteReference"/>
          <w:rFonts w:ascii="Arial" w:hAnsi="Arial" w:cs="Arial"/>
        </w:rPr>
        <w:footnoteReference w:id="21"/>
      </w:r>
      <w:r w:rsidR="00B9551B">
        <w:rPr>
          <w:rFonts w:ascii="Arial" w:hAnsi="Arial" w:cs="Arial"/>
        </w:rPr>
        <w:t xml:space="preserve"> This is a reference back to </w:t>
      </w:r>
      <w:r w:rsidR="00323196">
        <w:rPr>
          <w:rFonts w:ascii="Arial" w:hAnsi="Arial" w:cs="Arial"/>
        </w:rPr>
        <w:t>the scoring matrix and grade definitions</w:t>
      </w:r>
      <w:r w:rsidR="0031101D">
        <w:rPr>
          <w:rFonts w:ascii="Arial" w:hAnsi="Arial" w:cs="Arial"/>
        </w:rPr>
        <w:t xml:space="preserve"> </w:t>
      </w:r>
      <w:r w:rsidR="00CC4E99">
        <w:rPr>
          <w:rFonts w:ascii="Arial" w:hAnsi="Arial" w:cs="Arial"/>
        </w:rPr>
        <w:t>in</w:t>
      </w:r>
      <w:r w:rsidR="002F3F62" w:rsidRPr="006E3569">
        <w:rPr>
          <w:rFonts w:ascii="Arial" w:hAnsi="Arial" w:cs="Arial"/>
        </w:rPr>
        <w:t xml:space="preserve"> the Provider Response Document</w:t>
      </w:r>
      <w:r w:rsidR="005C3F41" w:rsidRPr="006E3569">
        <w:rPr>
          <w:rFonts w:ascii="Arial" w:hAnsi="Arial" w:cs="Arial"/>
        </w:rPr>
        <w:t>.</w:t>
      </w:r>
      <w:r w:rsidR="00C4695B" w:rsidRPr="00D20F95">
        <w:rPr>
          <w:rFonts w:ascii="Arial" w:hAnsi="Arial" w:cs="Arial"/>
        </w:rPr>
        <w:t xml:space="preserve"> </w:t>
      </w:r>
      <w:r w:rsidR="00F218CB">
        <w:rPr>
          <w:rFonts w:ascii="Arial" w:hAnsi="Arial" w:cs="Arial"/>
        </w:rPr>
        <w:t>That is</w:t>
      </w:r>
      <w:r w:rsidR="00DB6911">
        <w:rPr>
          <w:rFonts w:ascii="Arial" w:hAnsi="Arial" w:cs="Arial"/>
        </w:rPr>
        <w:t xml:space="preserve">, bidders are </w:t>
      </w:r>
      <w:r w:rsidR="00F218CB">
        <w:rPr>
          <w:rFonts w:ascii="Arial" w:hAnsi="Arial" w:cs="Arial"/>
        </w:rPr>
        <w:t>again</w:t>
      </w:r>
      <w:r w:rsidR="00DB6911">
        <w:rPr>
          <w:rFonts w:ascii="Arial" w:hAnsi="Arial" w:cs="Arial"/>
        </w:rPr>
        <w:t xml:space="preserve"> referred back to the grade definitions when told how answers will be scored without being given any additional guidance on the</w:t>
      </w:r>
      <w:r w:rsidR="003B62ED">
        <w:rPr>
          <w:rFonts w:ascii="Arial" w:hAnsi="Arial" w:cs="Arial"/>
        </w:rPr>
        <w:t>ir</w:t>
      </w:r>
      <w:r w:rsidR="00DB6911">
        <w:rPr>
          <w:rFonts w:ascii="Arial" w:hAnsi="Arial" w:cs="Arial"/>
        </w:rPr>
        <w:t xml:space="preserve"> interpretation</w:t>
      </w:r>
      <w:r w:rsidR="003B62ED">
        <w:rPr>
          <w:rFonts w:ascii="Arial" w:hAnsi="Arial" w:cs="Arial"/>
        </w:rPr>
        <w:t>.</w:t>
      </w:r>
    </w:p>
    <w:p w14:paraId="79C89865" w14:textId="68D276B2" w:rsidR="000B6F63" w:rsidRDefault="004B456C" w:rsidP="1F838B14">
      <w:pPr>
        <w:pStyle w:val="ListParagraph"/>
        <w:numPr>
          <w:ilvl w:val="0"/>
          <w:numId w:val="2"/>
        </w:numPr>
        <w:spacing w:line="276" w:lineRule="auto"/>
        <w:ind w:left="567" w:hanging="567"/>
        <w:rPr>
          <w:rFonts w:ascii="Arial" w:hAnsi="Arial" w:cs="Arial"/>
        </w:rPr>
      </w:pPr>
      <w:bookmarkStart w:id="16" w:name="_Ref196390747"/>
      <w:bookmarkStart w:id="17" w:name="_Ref198628372"/>
      <w:r w:rsidRPr="00BF3465">
        <w:rPr>
          <w:rFonts w:ascii="Arial" w:hAnsi="Arial" w:cs="Arial"/>
        </w:rPr>
        <w:t>The Panel</w:t>
      </w:r>
      <w:r w:rsidR="008168D1">
        <w:rPr>
          <w:rFonts w:ascii="Arial" w:hAnsi="Arial" w:cs="Arial"/>
        </w:rPr>
        <w:t xml:space="preserve">, </w:t>
      </w:r>
      <w:r w:rsidR="00DC2D73">
        <w:rPr>
          <w:rFonts w:ascii="Arial" w:hAnsi="Arial" w:cs="Arial"/>
        </w:rPr>
        <w:t>having</w:t>
      </w:r>
      <w:r w:rsidR="008168D1">
        <w:rPr>
          <w:rFonts w:ascii="Arial" w:hAnsi="Arial" w:cs="Arial"/>
        </w:rPr>
        <w:t xml:space="preserve"> review</w:t>
      </w:r>
      <w:r w:rsidR="00DC2D73">
        <w:rPr>
          <w:rFonts w:ascii="Arial" w:hAnsi="Arial" w:cs="Arial"/>
        </w:rPr>
        <w:t>ed</w:t>
      </w:r>
      <w:r w:rsidR="008168D1">
        <w:rPr>
          <w:rFonts w:ascii="Arial" w:hAnsi="Arial" w:cs="Arial"/>
        </w:rPr>
        <w:t xml:space="preserve"> </w:t>
      </w:r>
      <w:r w:rsidR="003C5153" w:rsidRPr="00BF3465">
        <w:rPr>
          <w:rFonts w:ascii="Arial" w:hAnsi="Arial" w:cs="Arial"/>
        </w:rPr>
        <w:t>the grade definitions</w:t>
      </w:r>
      <w:r w:rsidR="00C37D2A">
        <w:rPr>
          <w:rFonts w:ascii="Arial" w:hAnsi="Arial" w:cs="Arial"/>
        </w:rPr>
        <w:t xml:space="preserve">, </w:t>
      </w:r>
      <w:r w:rsidR="00DC2D73">
        <w:rPr>
          <w:rFonts w:ascii="Arial" w:hAnsi="Arial" w:cs="Arial"/>
        </w:rPr>
        <w:t>considers</w:t>
      </w:r>
      <w:r w:rsidR="00C37D2A">
        <w:rPr>
          <w:rFonts w:ascii="Arial" w:hAnsi="Arial" w:cs="Arial"/>
        </w:rPr>
        <w:t xml:space="preserve"> that </w:t>
      </w:r>
      <w:r w:rsidR="1A61130B" w:rsidRPr="31B62A96">
        <w:rPr>
          <w:rFonts w:ascii="Arial" w:hAnsi="Arial" w:cs="Arial"/>
        </w:rPr>
        <w:t>the first sentence</w:t>
      </w:r>
      <w:r w:rsidR="6249E719" w:rsidRPr="31B62A96">
        <w:rPr>
          <w:rFonts w:ascii="Arial" w:hAnsi="Arial" w:cs="Arial"/>
        </w:rPr>
        <w:t>, or clause,</w:t>
      </w:r>
      <w:r w:rsidR="1A61130B" w:rsidRPr="31B62A96">
        <w:rPr>
          <w:rFonts w:ascii="Arial" w:hAnsi="Arial" w:cs="Arial"/>
        </w:rPr>
        <w:t xml:space="preserve"> in each </w:t>
      </w:r>
      <w:r w:rsidR="2478D011" w:rsidRPr="31B62A96">
        <w:rPr>
          <w:rFonts w:ascii="Arial" w:hAnsi="Arial" w:cs="Arial"/>
        </w:rPr>
        <w:t xml:space="preserve">grade </w:t>
      </w:r>
      <w:r w:rsidR="1A61130B" w:rsidRPr="31B62A96">
        <w:rPr>
          <w:rFonts w:ascii="Arial" w:hAnsi="Arial" w:cs="Arial"/>
        </w:rPr>
        <w:t xml:space="preserve">definition </w:t>
      </w:r>
      <w:r w:rsidR="096F1EE5" w:rsidRPr="31B62A96">
        <w:rPr>
          <w:rFonts w:ascii="Arial" w:hAnsi="Arial" w:cs="Arial"/>
        </w:rPr>
        <w:t>sets out the</w:t>
      </w:r>
      <w:r w:rsidR="2BF9DBB0" w:rsidRPr="31B62A96">
        <w:rPr>
          <w:rFonts w:ascii="Arial" w:hAnsi="Arial" w:cs="Arial"/>
        </w:rPr>
        <w:t xml:space="preserve"> </w:t>
      </w:r>
      <w:r w:rsidR="2478D011" w:rsidRPr="31B62A96">
        <w:rPr>
          <w:rFonts w:ascii="Arial" w:hAnsi="Arial" w:cs="Arial"/>
        </w:rPr>
        <w:t>primary</w:t>
      </w:r>
      <w:r w:rsidR="2BF9DBB0" w:rsidRPr="31B62A96">
        <w:rPr>
          <w:rFonts w:ascii="Arial" w:hAnsi="Arial" w:cs="Arial"/>
        </w:rPr>
        <w:t>, or umbrella,</w:t>
      </w:r>
      <w:r w:rsidR="2478D011" w:rsidRPr="31B62A96">
        <w:rPr>
          <w:rFonts w:ascii="Arial" w:hAnsi="Arial" w:cs="Arial"/>
        </w:rPr>
        <w:t xml:space="preserve"> </w:t>
      </w:r>
      <w:r w:rsidR="30FB2ACD" w:rsidRPr="31B62A96">
        <w:rPr>
          <w:rFonts w:ascii="Arial" w:hAnsi="Arial" w:cs="Arial"/>
        </w:rPr>
        <w:t xml:space="preserve">description </w:t>
      </w:r>
      <w:r w:rsidR="011976BA" w:rsidRPr="31B62A96">
        <w:rPr>
          <w:rFonts w:ascii="Arial" w:hAnsi="Arial" w:cs="Arial"/>
        </w:rPr>
        <w:t xml:space="preserve">for </w:t>
      </w:r>
      <w:r w:rsidR="2478D011" w:rsidRPr="31B62A96">
        <w:rPr>
          <w:rFonts w:ascii="Arial" w:hAnsi="Arial" w:cs="Arial"/>
        </w:rPr>
        <w:t>th</w:t>
      </w:r>
      <w:r w:rsidR="048DE80E" w:rsidRPr="31B62A96">
        <w:rPr>
          <w:rFonts w:ascii="Arial" w:hAnsi="Arial" w:cs="Arial"/>
        </w:rPr>
        <w:t>at</w:t>
      </w:r>
      <w:r w:rsidR="2478D011" w:rsidRPr="31B62A96">
        <w:rPr>
          <w:rFonts w:ascii="Arial" w:hAnsi="Arial" w:cs="Arial"/>
        </w:rPr>
        <w:t xml:space="preserve"> grad</w:t>
      </w:r>
      <w:r w:rsidR="6E9A5DF8" w:rsidRPr="31B62A96">
        <w:rPr>
          <w:rFonts w:ascii="Arial" w:hAnsi="Arial" w:cs="Arial"/>
        </w:rPr>
        <w:t>e</w:t>
      </w:r>
      <w:r w:rsidR="1F36E74C" w:rsidRPr="31B62A96">
        <w:rPr>
          <w:rFonts w:ascii="Arial" w:hAnsi="Arial" w:cs="Arial"/>
        </w:rPr>
        <w:t>. T</w:t>
      </w:r>
      <w:r w:rsidR="09758D8F" w:rsidRPr="31B62A96">
        <w:rPr>
          <w:rFonts w:ascii="Arial" w:hAnsi="Arial" w:cs="Arial"/>
        </w:rPr>
        <w:t xml:space="preserve">he </w:t>
      </w:r>
      <w:r w:rsidR="048DE80E" w:rsidRPr="31B62A96">
        <w:rPr>
          <w:rFonts w:ascii="Arial" w:hAnsi="Arial" w:cs="Arial"/>
        </w:rPr>
        <w:t>remaining</w:t>
      </w:r>
      <w:r w:rsidRPr="1F838B14" w:rsidDel="09758D8F">
        <w:rPr>
          <w:rFonts w:ascii="Arial" w:hAnsi="Arial" w:cs="Arial"/>
        </w:rPr>
        <w:t xml:space="preserve"> </w:t>
      </w:r>
      <w:bookmarkEnd w:id="16"/>
      <w:r w:rsidR="001631B0" w:rsidRPr="1F838B14">
        <w:rPr>
          <w:rFonts w:ascii="Arial" w:hAnsi="Arial" w:cs="Arial"/>
        </w:rPr>
        <w:t xml:space="preserve">content </w:t>
      </w:r>
      <w:r w:rsidR="001631B0">
        <w:rPr>
          <w:rFonts w:ascii="Arial" w:hAnsi="Arial" w:cs="Arial"/>
        </w:rPr>
        <w:t>of</w:t>
      </w:r>
      <w:r>
        <w:rPr>
          <w:rFonts w:ascii="Arial" w:hAnsi="Arial" w:cs="Arial"/>
        </w:rPr>
        <w:t xml:space="preserve"> the grade definition</w:t>
      </w:r>
      <w:r w:rsidR="001631B0" w:rsidRPr="1F838B14">
        <w:rPr>
          <w:rFonts w:ascii="Arial" w:hAnsi="Arial" w:cs="Arial"/>
        </w:rPr>
        <w:t>s</w:t>
      </w:r>
      <w:r>
        <w:rPr>
          <w:rFonts w:ascii="Arial" w:hAnsi="Arial" w:cs="Arial"/>
        </w:rPr>
        <w:t xml:space="preserve"> </w:t>
      </w:r>
      <w:r w:rsidR="00F13774" w:rsidRPr="007163D7">
        <w:rPr>
          <w:rFonts w:ascii="Arial" w:hAnsi="Arial" w:cs="Arial"/>
        </w:rPr>
        <w:t>then</w:t>
      </w:r>
      <w:r w:rsidR="005A5BDC" w:rsidRPr="1F838B14">
        <w:rPr>
          <w:rFonts w:ascii="Arial" w:hAnsi="Arial" w:cs="Arial"/>
        </w:rPr>
        <w:t xml:space="preserve">, </w:t>
      </w:r>
      <w:r w:rsidR="008573A8" w:rsidRPr="1F838B14">
        <w:rPr>
          <w:rFonts w:ascii="Arial" w:hAnsi="Arial" w:cs="Arial"/>
        </w:rPr>
        <w:t xml:space="preserve">for the most </w:t>
      </w:r>
      <w:r w:rsidR="005A5BDC" w:rsidRPr="1F838B14">
        <w:rPr>
          <w:rFonts w:ascii="Arial" w:hAnsi="Arial" w:cs="Arial"/>
        </w:rPr>
        <w:t>part,</w:t>
      </w:r>
      <w:r w:rsidR="00F13774" w:rsidRPr="007163D7">
        <w:rPr>
          <w:rFonts w:ascii="Arial" w:hAnsi="Arial" w:cs="Arial"/>
        </w:rPr>
        <w:t xml:space="preserve"> provide</w:t>
      </w:r>
      <w:r w:rsidR="002C2941">
        <w:rPr>
          <w:rFonts w:ascii="Arial" w:hAnsi="Arial" w:cs="Arial"/>
        </w:rPr>
        <w:t>s</w:t>
      </w:r>
      <w:r w:rsidR="00F13774" w:rsidRPr="007163D7">
        <w:rPr>
          <w:rFonts w:ascii="Arial" w:hAnsi="Arial" w:cs="Arial"/>
        </w:rPr>
        <w:t xml:space="preserve"> supporting explanation</w:t>
      </w:r>
      <w:r w:rsidR="00304ADB" w:rsidRPr="007163D7">
        <w:rPr>
          <w:rFonts w:ascii="Arial" w:hAnsi="Arial" w:cs="Arial"/>
        </w:rPr>
        <w:t xml:space="preserve"> of </w:t>
      </w:r>
      <w:r w:rsidR="00B4062B" w:rsidRPr="007163D7">
        <w:rPr>
          <w:rFonts w:ascii="Arial" w:hAnsi="Arial" w:cs="Arial"/>
        </w:rPr>
        <w:t xml:space="preserve">how </w:t>
      </w:r>
      <w:r w:rsidR="00304ADB" w:rsidRPr="007163D7">
        <w:rPr>
          <w:rFonts w:ascii="Arial" w:hAnsi="Arial" w:cs="Arial"/>
        </w:rPr>
        <w:t>th</w:t>
      </w:r>
      <w:r w:rsidR="00F035B9">
        <w:rPr>
          <w:rFonts w:ascii="Arial" w:hAnsi="Arial" w:cs="Arial"/>
        </w:rPr>
        <w:t>e</w:t>
      </w:r>
      <w:r w:rsidR="00304ADB" w:rsidRPr="007163D7">
        <w:rPr>
          <w:rFonts w:ascii="Arial" w:hAnsi="Arial" w:cs="Arial"/>
        </w:rPr>
        <w:t xml:space="preserve"> </w:t>
      </w:r>
      <w:r w:rsidR="00820C4E">
        <w:rPr>
          <w:rFonts w:ascii="Arial" w:hAnsi="Arial" w:cs="Arial"/>
        </w:rPr>
        <w:t xml:space="preserve">primary, or </w:t>
      </w:r>
      <w:r w:rsidR="00F035B9">
        <w:rPr>
          <w:rFonts w:ascii="Arial" w:hAnsi="Arial" w:cs="Arial"/>
        </w:rPr>
        <w:t>umbrella</w:t>
      </w:r>
      <w:r w:rsidR="00820C4E">
        <w:rPr>
          <w:rFonts w:ascii="Arial" w:hAnsi="Arial" w:cs="Arial"/>
        </w:rPr>
        <w:t>,</w:t>
      </w:r>
      <w:r w:rsidR="00F035B9">
        <w:rPr>
          <w:rFonts w:ascii="Arial" w:hAnsi="Arial" w:cs="Arial"/>
        </w:rPr>
        <w:t xml:space="preserve"> </w:t>
      </w:r>
      <w:r w:rsidR="003B643E">
        <w:rPr>
          <w:rFonts w:ascii="Arial" w:hAnsi="Arial" w:cs="Arial"/>
        </w:rPr>
        <w:t>description</w:t>
      </w:r>
      <w:r w:rsidR="00B4062B" w:rsidRPr="007163D7">
        <w:rPr>
          <w:rFonts w:ascii="Arial" w:hAnsi="Arial" w:cs="Arial"/>
        </w:rPr>
        <w:t xml:space="preserve"> should be interpreted</w:t>
      </w:r>
      <w:r w:rsidR="00304ADB" w:rsidRPr="007163D7">
        <w:rPr>
          <w:rFonts w:ascii="Arial" w:hAnsi="Arial" w:cs="Arial"/>
        </w:rPr>
        <w:t>.</w:t>
      </w:r>
      <w:r w:rsidR="002A70DC">
        <w:rPr>
          <w:rStyle w:val="FootnoteReference"/>
          <w:rFonts w:ascii="Arial" w:hAnsi="Arial" w:cs="Arial"/>
        </w:rPr>
        <w:footnoteReference w:id="22"/>
      </w:r>
      <w:r w:rsidR="000058C7" w:rsidRPr="1F838B14">
        <w:rPr>
          <w:rFonts w:ascii="Arial" w:hAnsi="Arial" w:cs="Arial"/>
        </w:rPr>
        <w:t xml:space="preserve"> </w:t>
      </w:r>
      <w:r w:rsidR="002C2F2F" w:rsidRPr="1F838B14">
        <w:rPr>
          <w:rFonts w:ascii="Arial" w:hAnsi="Arial" w:cs="Arial"/>
        </w:rPr>
        <w:t xml:space="preserve">As a result, the Panel does not interpret the grade definitions as comprising a </w:t>
      </w:r>
      <w:r w:rsidR="00317AE7" w:rsidRPr="1F838B14">
        <w:rPr>
          <w:rFonts w:ascii="Arial" w:hAnsi="Arial" w:cs="Arial"/>
        </w:rPr>
        <w:t>list</w:t>
      </w:r>
      <w:r w:rsidR="002C2F2F" w:rsidRPr="1F838B14">
        <w:rPr>
          <w:rFonts w:ascii="Arial" w:hAnsi="Arial" w:cs="Arial"/>
        </w:rPr>
        <w:t xml:space="preserve"> of separate </w:t>
      </w:r>
      <w:r w:rsidR="00317AE7" w:rsidRPr="1F838B14">
        <w:rPr>
          <w:rFonts w:ascii="Arial" w:hAnsi="Arial" w:cs="Arial"/>
        </w:rPr>
        <w:t xml:space="preserve">and independent </w:t>
      </w:r>
      <w:r w:rsidR="002C2F2F" w:rsidRPr="1F838B14">
        <w:rPr>
          <w:rFonts w:ascii="Arial" w:hAnsi="Arial" w:cs="Arial"/>
        </w:rPr>
        <w:t xml:space="preserve">metrics </w:t>
      </w:r>
      <w:r w:rsidR="00317AE7" w:rsidRPr="1F838B14">
        <w:rPr>
          <w:rFonts w:ascii="Arial" w:hAnsi="Arial" w:cs="Arial"/>
        </w:rPr>
        <w:t xml:space="preserve">as suggested by Barkhill. </w:t>
      </w:r>
      <w:r w:rsidR="00BC6976" w:rsidRPr="1F838B14">
        <w:rPr>
          <w:rFonts w:ascii="Arial" w:hAnsi="Arial" w:cs="Arial"/>
        </w:rPr>
        <w:t xml:space="preserve">That said, </w:t>
      </w:r>
      <w:r w:rsidR="00DF67AA" w:rsidRPr="1F838B14">
        <w:rPr>
          <w:rFonts w:ascii="Arial" w:hAnsi="Arial" w:cs="Arial"/>
        </w:rPr>
        <w:t xml:space="preserve">the Panel also </w:t>
      </w:r>
      <w:r w:rsidR="008573A8" w:rsidRPr="1F838B14">
        <w:rPr>
          <w:rFonts w:ascii="Arial" w:hAnsi="Arial" w:cs="Arial"/>
        </w:rPr>
        <w:t>considers</w:t>
      </w:r>
      <w:r w:rsidR="001631B0" w:rsidRPr="1F838B14">
        <w:rPr>
          <w:rFonts w:ascii="Arial" w:hAnsi="Arial" w:cs="Arial"/>
        </w:rPr>
        <w:t xml:space="preserve"> </w:t>
      </w:r>
      <w:r w:rsidR="00492A0C" w:rsidRPr="1F838B14">
        <w:rPr>
          <w:rFonts w:ascii="Arial" w:hAnsi="Arial" w:cs="Arial"/>
        </w:rPr>
        <w:t>that each grade definition contain</w:t>
      </w:r>
      <w:r w:rsidR="007E08A2" w:rsidRPr="1F838B14">
        <w:rPr>
          <w:rFonts w:ascii="Arial" w:hAnsi="Arial" w:cs="Arial"/>
        </w:rPr>
        <w:t>s</w:t>
      </w:r>
      <w:r w:rsidR="00492A0C" w:rsidRPr="1F838B14">
        <w:rPr>
          <w:rFonts w:ascii="Arial" w:hAnsi="Arial" w:cs="Arial"/>
        </w:rPr>
        <w:t xml:space="preserve"> </w:t>
      </w:r>
      <w:r w:rsidR="00CB1182" w:rsidRPr="1F838B14">
        <w:rPr>
          <w:rFonts w:ascii="Arial" w:hAnsi="Arial" w:cs="Arial"/>
        </w:rPr>
        <w:t xml:space="preserve">elements that </w:t>
      </w:r>
      <w:r w:rsidR="00577EF3">
        <w:rPr>
          <w:rFonts w:ascii="Arial" w:hAnsi="Arial" w:cs="Arial"/>
        </w:rPr>
        <w:t>are additional to</w:t>
      </w:r>
      <w:r w:rsidR="00CA4136" w:rsidRPr="1F838B14">
        <w:rPr>
          <w:rFonts w:ascii="Arial" w:hAnsi="Arial" w:cs="Arial"/>
        </w:rPr>
        <w:t xml:space="preserve"> the </w:t>
      </w:r>
      <w:r w:rsidR="00891FC7" w:rsidRPr="1F838B14">
        <w:rPr>
          <w:rFonts w:ascii="Arial" w:hAnsi="Arial" w:cs="Arial"/>
        </w:rPr>
        <w:t xml:space="preserve">grade’s </w:t>
      </w:r>
      <w:r w:rsidR="00CA4136" w:rsidRPr="1F838B14">
        <w:rPr>
          <w:rFonts w:ascii="Arial" w:hAnsi="Arial" w:cs="Arial"/>
        </w:rPr>
        <w:t>primary description</w:t>
      </w:r>
      <w:r w:rsidR="000A7936" w:rsidRPr="1F838B14">
        <w:rPr>
          <w:rFonts w:ascii="Arial" w:hAnsi="Arial" w:cs="Arial"/>
        </w:rPr>
        <w:t xml:space="preserve"> (e.g. </w:t>
      </w:r>
      <w:r w:rsidR="00016B09" w:rsidRPr="1F838B14">
        <w:rPr>
          <w:rFonts w:ascii="Arial" w:hAnsi="Arial" w:cs="Arial"/>
        </w:rPr>
        <w:t xml:space="preserve">the references to system/stakeholder benefits that are </w:t>
      </w:r>
      <w:r w:rsidR="00354EA7" w:rsidRPr="1F838B14">
        <w:rPr>
          <w:rFonts w:ascii="Arial" w:hAnsi="Arial" w:cs="Arial"/>
        </w:rPr>
        <w:t>contained in three of the five grade definitions</w:t>
      </w:r>
      <w:r w:rsidR="000A7936" w:rsidRPr="1F838B14">
        <w:rPr>
          <w:rFonts w:ascii="Arial" w:hAnsi="Arial" w:cs="Arial"/>
        </w:rPr>
        <w:t>)</w:t>
      </w:r>
      <w:r w:rsidR="00354EA7" w:rsidRPr="1F838B14">
        <w:rPr>
          <w:rFonts w:ascii="Arial" w:hAnsi="Arial" w:cs="Arial"/>
        </w:rPr>
        <w:t>.</w:t>
      </w:r>
      <w:r w:rsidR="004804BE" w:rsidRPr="1F838B14">
        <w:rPr>
          <w:rFonts w:ascii="Arial" w:hAnsi="Arial" w:cs="Arial"/>
        </w:rPr>
        <w:t xml:space="preserve"> The Panel’s view is </w:t>
      </w:r>
      <w:r w:rsidR="004804BE" w:rsidRPr="1F838B14">
        <w:rPr>
          <w:rFonts w:ascii="Arial" w:hAnsi="Arial" w:cs="Arial"/>
        </w:rPr>
        <w:lastRenderedPageBreak/>
        <w:t xml:space="preserve">that </w:t>
      </w:r>
      <w:r w:rsidR="000A7936" w:rsidRPr="1F838B14">
        <w:rPr>
          <w:rFonts w:ascii="Arial" w:hAnsi="Arial" w:cs="Arial"/>
        </w:rPr>
        <w:t xml:space="preserve">to the extent that </w:t>
      </w:r>
      <w:r w:rsidR="00734B7C" w:rsidRPr="1F838B14">
        <w:rPr>
          <w:rFonts w:ascii="Arial" w:hAnsi="Arial" w:cs="Arial"/>
        </w:rPr>
        <w:t xml:space="preserve">the definition of </w:t>
      </w:r>
      <w:r w:rsidR="000A7936" w:rsidRPr="1F838B14">
        <w:rPr>
          <w:rFonts w:ascii="Arial" w:hAnsi="Arial" w:cs="Arial"/>
        </w:rPr>
        <w:t xml:space="preserve">a grade contains elements that are </w:t>
      </w:r>
      <w:r w:rsidR="00BB29E7">
        <w:rPr>
          <w:rFonts w:ascii="Arial" w:hAnsi="Arial" w:cs="Arial"/>
        </w:rPr>
        <w:t>additional to</w:t>
      </w:r>
      <w:r w:rsidR="000A7936" w:rsidRPr="1F838B14">
        <w:rPr>
          <w:rFonts w:ascii="Arial" w:hAnsi="Arial" w:cs="Arial"/>
        </w:rPr>
        <w:t xml:space="preserve"> the </w:t>
      </w:r>
      <w:r w:rsidR="00F8166F" w:rsidRPr="1F838B14">
        <w:rPr>
          <w:rFonts w:ascii="Arial" w:hAnsi="Arial" w:cs="Arial"/>
        </w:rPr>
        <w:t xml:space="preserve">grade’s </w:t>
      </w:r>
      <w:r w:rsidR="000A7936" w:rsidRPr="1F838B14">
        <w:rPr>
          <w:rFonts w:ascii="Arial" w:hAnsi="Arial" w:cs="Arial"/>
        </w:rPr>
        <w:t>primary description</w:t>
      </w:r>
      <w:r w:rsidR="00F8166F" w:rsidRPr="1F838B14">
        <w:rPr>
          <w:rFonts w:ascii="Arial" w:hAnsi="Arial" w:cs="Arial"/>
        </w:rPr>
        <w:t xml:space="preserve">, </w:t>
      </w:r>
      <w:r w:rsidR="004804BE" w:rsidRPr="1F838B14">
        <w:rPr>
          <w:rFonts w:ascii="Arial" w:hAnsi="Arial" w:cs="Arial"/>
        </w:rPr>
        <w:t>all of the</w:t>
      </w:r>
      <w:r w:rsidR="00F8166F" w:rsidRPr="1F838B14">
        <w:rPr>
          <w:rFonts w:ascii="Arial" w:hAnsi="Arial" w:cs="Arial"/>
        </w:rPr>
        <w:t>se</w:t>
      </w:r>
      <w:r w:rsidR="004804BE" w:rsidRPr="1F838B14">
        <w:rPr>
          <w:rFonts w:ascii="Arial" w:hAnsi="Arial" w:cs="Arial"/>
        </w:rPr>
        <w:t xml:space="preserve"> </w:t>
      </w:r>
      <w:r w:rsidR="00047F7A" w:rsidRPr="1F838B14">
        <w:rPr>
          <w:rFonts w:ascii="Arial" w:hAnsi="Arial" w:cs="Arial"/>
        </w:rPr>
        <w:t xml:space="preserve">additional </w:t>
      </w:r>
      <w:r w:rsidR="004804BE" w:rsidRPr="1F838B14">
        <w:rPr>
          <w:rFonts w:ascii="Arial" w:hAnsi="Arial" w:cs="Arial"/>
        </w:rPr>
        <w:t xml:space="preserve">elements </w:t>
      </w:r>
      <w:r w:rsidR="00681909" w:rsidRPr="1F838B14">
        <w:rPr>
          <w:rFonts w:ascii="Arial" w:hAnsi="Arial" w:cs="Arial"/>
        </w:rPr>
        <w:t xml:space="preserve">should </w:t>
      </w:r>
      <w:r w:rsidR="00915EA8">
        <w:rPr>
          <w:rFonts w:ascii="Arial" w:hAnsi="Arial" w:cs="Arial"/>
        </w:rPr>
        <w:t xml:space="preserve">also </w:t>
      </w:r>
      <w:r w:rsidR="00681909" w:rsidRPr="1F838B14">
        <w:rPr>
          <w:rFonts w:ascii="Arial" w:hAnsi="Arial" w:cs="Arial"/>
        </w:rPr>
        <w:t xml:space="preserve">be </w:t>
      </w:r>
      <w:r w:rsidR="007E08A2" w:rsidRPr="1F838B14">
        <w:rPr>
          <w:rFonts w:ascii="Arial" w:hAnsi="Arial" w:cs="Arial"/>
        </w:rPr>
        <w:t xml:space="preserve">satisfied </w:t>
      </w:r>
      <w:r w:rsidR="009D611A" w:rsidRPr="1F838B14">
        <w:rPr>
          <w:rFonts w:ascii="Arial" w:hAnsi="Arial" w:cs="Arial"/>
        </w:rPr>
        <w:t xml:space="preserve">by a bidder’s answer in order to be awarded that </w:t>
      </w:r>
      <w:r w:rsidR="007E08A2" w:rsidRPr="1F838B14">
        <w:rPr>
          <w:rFonts w:ascii="Arial" w:hAnsi="Arial" w:cs="Arial"/>
        </w:rPr>
        <w:t>grade.</w:t>
      </w:r>
      <w:bookmarkEnd w:id="17"/>
    </w:p>
    <w:p w14:paraId="3DD9B1E6" w14:textId="57E61680" w:rsidR="000B6F63" w:rsidRPr="004435EB" w:rsidRDefault="00E056A8" w:rsidP="004435EB">
      <w:pPr>
        <w:keepNext/>
        <w:spacing w:before="240" w:line="276" w:lineRule="auto"/>
        <w:rPr>
          <w:rFonts w:ascii="Arial" w:hAnsi="Arial" w:cs="Arial"/>
          <w:b/>
          <w:bCs/>
        </w:rPr>
      </w:pPr>
      <w:r>
        <w:rPr>
          <w:rFonts w:ascii="Arial" w:hAnsi="Arial" w:cs="Arial"/>
          <w:b/>
          <w:bCs/>
        </w:rPr>
        <w:t xml:space="preserve">HNY ICB’s </w:t>
      </w:r>
      <w:r w:rsidR="00262DCC">
        <w:rPr>
          <w:rFonts w:ascii="Arial" w:hAnsi="Arial" w:cs="Arial"/>
          <w:b/>
          <w:bCs/>
        </w:rPr>
        <w:t xml:space="preserve">application of the </w:t>
      </w:r>
      <w:r>
        <w:rPr>
          <w:rFonts w:ascii="Arial" w:hAnsi="Arial" w:cs="Arial"/>
          <w:b/>
          <w:bCs/>
        </w:rPr>
        <w:t>grade definitions</w:t>
      </w:r>
    </w:p>
    <w:p w14:paraId="3A02096C" w14:textId="022BD1FE" w:rsidR="00324EBB" w:rsidRDefault="006F53D5" w:rsidP="00C67586">
      <w:pPr>
        <w:pStyle w:val="ListParagraph"/>
        <w:numPr>
          <w:ilvl w:val="0"/>
          <w:numId w:val="2"/>
        </w:numPr>
        <w:spacing w:line="276" w:lineRule="auto"/>
        <w:ind w:left="567" w:hanging="567"/>
        <w:contextualSpacing w:val="0"/>
        <w:rPr>
          <w:rFonts w:ascii="Arial" w:hAnsi="Arial" w:cs="Arial"/>
        </w:rPr>
      </w:pPr>
      <w:r w:rsidRPr="00C67586">
        <w:rPr>
          <w:rFonts w:ascii="Arial" w:hAnsi="Arial" w:cs="Arial"/>
        </w:rPr>
        <w:t>The Panel</w:t>
      </w:r>
      <w:r w:rsidR="00803BF6">
        <w:rPr>
          <w:rFonts w:ascii="Arial" w:hAnsi="Arial" w:cs="Arial"/>
        </w:rPr>
        <w:t>,</w:t>
      </w:r>
      <w:r w:rsidRPr="00C67586">
        <w:rPr>
          <w:rFonts w:ascii="Arial" w:hAnsi="Arial" w:cs="Arial"/>
        </w:rPr>
        <w:t xml:space="preserve"> </w:t>
      </w:r>
      <w:r w:rsidR="00A83638" w:rsidRPr="00C67586">
        <w:rPr>
          <w:rFonts w:ascii="Arial" w:hAnsi="Arial" w:cs="Arial"/>
        </w:rPr>
        <w:t xml:space="preserve">in </w:t>
      </w:r>
      <w:r w:rsidR="00F4269A" w:rsidRPr="00C67586">
        <w:rPr>
          <w:rFonts w:ascii="Arial" w:hAnsi="Arial" w:cs="Arial"/>
        </w:rPr>
        <w:t>assess</w:t>
      </w:r>
      <w:r w:rsidR="00A83638" w:rsidRPr="00C67586">
        <w:rPr>
          <w:rFonts w:ascii="Arial" w:hAnsi="Arial" w:cs="Arial"/>
        </w:rPr>
        <w:t xml:space="preserve">ing </w:t>
      </w:r>
      <w:r w:rsidR="00130259" w:rsidRPr="00C67586">
        <w:rPr>
          <w:rFonts w:ascii="Arial" w:hAnsi="Arial" w:cs="Arial"/>
        </w:rPr>
        <w:t xml:space="preserve">how </w:t>
      </w:r>
      <w:r w:rsidR="00F4269A" w:rsidRPr="00C67586">
        <w:rPr>
          <w:rFonts w:ascii="Arial" w:hAnsi="Arial" w:cs="Arial"/>
        </w:rPr>
        <w:t>HNY ICB appli</w:t>
      </w:r>
      <w:r w:rsidR="00130259" w:rsidRPr="00C67586">
        <w:rPr>
          <w:rFonts w:ascii="Arial" w:hAnsi="Arial" w:cs="Arial"/>
        </w:rPr>
        <w:t xml:space="preserve">ed </w:t>
      </w:r>
      <w:r w:rsidR="00F4269A" w:rsidRPr="00C67586">
        <w:rPr>
          <w:rFonts w:ascii="Arial" w:hAnsi="Arial" w:cs="Arial"/>
        </w:rPr>
        <w:t>the grade definitions</w:t>
      </w:r>
      <w:r w:rsidR="00803BF6">
        <w:rPr>
          <w:rFonts w:ascii="Arial" w:hAnsi="Arial" w:cs="Arial"/>
        </w:rPr>
        <w:t>,</w:t>
      </w:r>
      <w:r w:rsidR="00F4269A" w:rsidRPr="00C67586">
        <w:rPr>
          <w:rFonts w:ascii="Arial" w:hAnsi="Arial" w:cs="Arial"/>
        </w:rPr>
        <w:t xml:space="preserve"> </w:t>
      </w:r>
      <w:r w:rsidR="00084826" w:rsidRPr="00C67586">
        <w:rPr>
          <w:rFonts w:ascii="Arial" w:hAnsi="Arial" w:cs="Arial"/>
        </w:rPr>
        <w:t>considered</w:t>
      </w:r>
      <w:r w:rsidR="00B949D5">
        <w:rPr>
          <w:rFonts w:ascii="Arial" w:hAnsi="Arial" w:cs="Arial"/>
        </w:rPr>
        <w:t>:</w:t>
      </w:r>
      <w:r w:rsidR="00084826" w:rsidRPr="00C67586">
        <w:rPr>
          <w:rFonts w:ascii="Arial" w:hAnsi="Arial" w:cs="Arial"/>
        </w:rPr>
        <w:t xml:space="preserve"> </w:t>
      </w:r>
      <w:r w:rsidR="00C12886">
        <w:rPr>
          <w:rFonts w:ascii="Arial" w:hAnsi="Arial" w:cs="Arial"/>
        </w:rPr>
        <w:t xml:space="preserve">(i) </w:t>
      </w:r>
      <w:r w:rsidR="007F2C8C" w:rsidRPr="00C67586">
        <w:rPr>
          <w:rFonts w:ascii="Arial" w:hAnsi="Arial" w:cs="Arial"/>
        </w:rPr>
        <w:t xml:space="preserve">the </w:t>
      </w:r>
      <w:r w:rsidR="00452B0B" w:rsidRPr="00C67586">
        <w:rPr>
          <w:rFonts w:ascii="Arial" w:hAnsi="Arial" w:cs="Arial"/>
        </w:rPr>
        <w:t>training provided to evaluators</w:t>
      </w:r>
      <w:r w:rsidR="00B949D5">
        <w:rPr>
          <w:rFonts w:ascii="Arial" w:hAnsi="Arial" w:cs="Arial"/>
        </w:rPr>
        <w:t>;</w:t>
      </w:r>
      <w:r w:rsidR="00BD6E3E" w:rsidRPr="00C67586">
        <w:rPr>
          <w:rFonts w:ascii="Arial" w:hAnsi="Arial" w:cs="Arial"/>
        </w:rPr>
        <w:t xml:space="preserve"> </w:t>
      </w:r>
      <w:r w:rsidR="00C12886">
        <w:rPr>
          <w:rFonts w:ascii="Arial" w:hAnsi="Arial" w:cs="Arial"/>
        </w:rPr>
        <w:t xml:space="preserve">(ii) </w:t>
      </w:r>
      <w:r w:rsidR="00FE088B" w:rsidRPr="00C67586">
        <w:rPr>
          <w:rFonts w:ascii="Arial" w:hAnsi="Arial" w:cs="Arial"/>
        </w:rPr>
        <w:t xml:space="preserve">evidence from </w:t>
      </w:r>
      <w:r w:rsidR="00324EBB" w:rsidRPr="00C67586">
        <w:rPr>
          <w:rFonts w:ascii="Arial" w:hAnsi="Arial" w:cs="Arial"/>
        </w:rPr>
        <w:t>evaluators’ comments, records of moderation meetings and final agreed feedback</w:t>
      </w:r>
      <w:r w:rsidR="00B949D5">
        <w:rPr>
          <w:rFonts w:ascii="Arial" w:hAnsi="Arial" w:cs="Arial"/>
        </w:rPr>
        <w:t xml:space="preserve">; </w:t>
      </w:r>
      <w:r w:rsidR="00C12886">
        <w:rPr>
          <w:rFonts w:ascii="Arial" w:hAnsi="Arial" w:cs="Arial"/>
        </w:rPr>
        <w:t xml:space="preserve">(iii) </w:t>
      </w:r>
      <w:r w:rsidR="002E677D">
        <w:rPr>
          <w:rFonts w:ascii="Arial" w:hAnsi="Arial" w:cs="Arial"/>
        </w:rPr>
        <w:t xml:space="preserve">Barkhill’s analysis of </w:t>
      </w:r>
      <w:r w:rsidR="00A2086B">
        <w:rPr>
          <w:rFonts w:ascii="Arial" w:hAnsi="Arial" w:cs="Arial"/>
        </w:rPr>
        <w:t xml:space="preserve">the </w:t>
      </w:r>
      <w:r w:rsidR="007E0BB0">
        <w:rPr>
          <w:rFonts w:ascii="Arial" w:hAnsi="Arial" w:cs="Arial"/>
        </w:rPr>
        <w:t xml:space="preserve">evaluators’ </w:t>
      </w:r>
      <w:r w:rsidR="00A2086B">
        <w:rPr>
          <w:rFonts w:ascii="Arial" w:hAnsi="Arial" w:cs="Arial"/>
        </w:rPr>
        <w:t>sc</w:t>
      </w:r>
      <w:r w:rsidR="00A7361E">
        <w:rPr>
          <w:rFonts w:ascii="Arial" w:hAnsi="Arial" w:cs="Arial"/>
        </w:rPr>
        <w:t>oring</w:t>
      </w:r>
      <w:r w:rsidR="007E0BB0">
        <w:rPr>
          <w:rFonts w:ascii="Arial" w:hAnsi="Arial" w:cs="Arial"/>
        </w:rPr>
        <w:t xml:space="preserve">; and </w:t>
      </w:r>
      <w:r w:rsidR="00C12886">
        <w:rPr>
          <w:rFonts w:ascii="Arial" w:hAnsi="Arial" w:cs="Arial"/>
        </w:rPr>
        <w:t xml:space="preserve">(iv) </w:t>
      </w:r>
      <w:r w:rsidR="007E0BB0">
        <w:rPr>
          <w:rFonts w:ascii="Arial" w:hAnsi="Arial" w:cs="Arial"/>
        </w:rPr>
        <w:t xml:space="preserve">the </w:t>
      </w:r>
      <w:r w:rsidR="00D47B37">
        <w:rPr>
          <w:rFonts w:ascii="Arial" w:hAnsi="Arial" w:cs="Arial"/>
        </w:rPr>
        <w:t>explanations provided to the Panel</w:t>
      </w:r>
      <w:r w:rsidR="00AF68FD" w:rsidRPr="00AF68FD">
        <w:rPr>
          <w:rFonts w:ascii="Arial" w:hAnsi="Arial" w:cs="Arial"/>
        </w:rPr>
        <w:t xml:space="preserve"> </w:t>
      </w:r>
      <w:r w:rsidR="00AF68FD">
        <w:rPr>
          <w:rFonts w:ascii="Arial" w:hAnsi="Arial" w:cs="Arial"/>
        </w:rPr>
        <w:t>by HNY ICB</w:t>
      </w:r>
      <w:r w:rsidR="00D47B37">
        <w:rPr>
          <w:rFonts w:ascii="Arial" w:hAnsi="Arial" w:cs="Arial"/>
        </w:rPr>
        <w:t>.</w:t>
      </w:r>
    </w:p>
    <w:p w14:paraId="3F1293AA" w14:textId="7D28B5F2" w:rsidR="003B6166" w:rsidRDefault="005D323A" w:rsidP="005E7A2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relation to </w:t>
      </w:r>
      <w:r w:rsidR="00BC3506">
        <w:rPr>
          <w:rFonts w:ascii="Arial" w:hAnsi="Arial" w:cs="Arial"/>
        </w:rPr>
        <w:t>evaluator</w:t>
      </w:r>
      <w:r>
        <w:rPr>
          <w:rFonts w:ascii="Arial" w:hAnsi="Arial" w:cs="Arial"/>
        </w:rPr>
        <w:t xml:space="preserve"> training, </w:t>
      </w:r>
      <w:r w:rsidR="00BA4F3B">
        <w:rPr>
          <w:rFonts w:ascii="Arial" w:hAnsi="Arial" w:cs="Arial"/>
        </w:rPr>
        <w:t xml:space="preserve">the Panel notes that </w:t>
      </w:r>
      <w:r w:rsidR="00E07EE1">
        <w:rPr>
          <w:rFonts w:ascii="Arial" w:hAnsi="Arial" w:cs="Arial"/>
        </w:rPr>
        <w:t xml:space="preserve">evaluators were taken through the scoring matrix </w:t>
      </w:r>
      <w:r w:rsidR="00556353">
        <w:rPr>
          <w:rFonts w:ascii="Arial" w:hAnsi="Arial" w:cs="Arial"/>
        </w:rPr>
        <w:t xml:space="preserve">and </w:t>
      </w:r>
      <w:r w:rsidR="009535C3">
        <w:rPr>
          <w:rFonts w:ascii="Arial" w:hAnsi="Arial" w:cs="Arial"/>
        </w:rPr>
        <w:t>told to “only evaluate using the published scoring criteria and methodology”</w:t>
      </w:r>
      <w:r w:rsidR="004D32AF">
        <w:rPr>
          <w:rFonts w:ascii="Arial" w:hAnsi="Arial" w:cs="Arial"/>
        </w:rPr>
        <w:t xml:space="preserve">, and </w:t>
      </w:r>
      <w:r w:rsidR="00DB463A">
        <w:rPr>
          <w:rFonts w:ascii="Arial" w:hAnsi="Arial" w:cs="Arial"/>
        </w:rPr>
        <w:t xml:space="preserve">to </w:t>
      </w:r>
      <w:r w:rsidR="004D32AF">
        <w:rPr>
          <w:rFonts w:ascii="Arial" w:hAnsi="Arial" w:cs="Arial"/>
        </w:rPr>
        <w:t>provide a rationale for each score t</w:t>
      </w:r>
      <w:r w:rsidR="003E0147">
        <w:rPr>
          <w:rFonts w:ascii="Arial" w:hAnsi="Arial" w:cs="Arial"/>
        </w:rPr>
        <w:t>hat is “aligned to the question criteria and scoring methodology”.</w:t>
      </w:r>
      <w:r w:rsidR="005E7A2F">
        <w:rPr>
          <w:rFonts w:ascii="Arial" w:hAnsi="Arial" w:cs="Arial"/>
        </w:rPr>
        <w:t xml:space="preserve"> E</w:t>
      </w:r>
      <w:r w:rsidR="003B6166">
        <w:rPr>
          <w:rFonts w:ascii="Arial" w:hAnsi="Arial" w:cs="Arial"/>
        </w:rPr>
        <w:t>valuators were told that good feedback should, amongst other things, describe: “what relevant detail they [the bidders] did provide and what parts of the response met requirements”; “which parts of the response were only covered sufficiently”; “which parts of the response were limited in evidence and rationale”; and “state what would have improved / strengthened their [the bidder’s] response”.</w:t>
      </w:r>
      <w:r w:rsidR="003B6166">
        <w:rPr>
          <w:rStyle w:val="FootnoteReference"/>
          <w:rFonts w:ascii="Arial" w:hAnsi="Arial" w:cs="Arial"/>
        </w:rPr>
        <w:footnoteReference w:id="23"/>
      </w:r>
    </w:p>
    <w:p w14:paraId="1DE847A9" w14:textId="518C12D1" w:rsidR="00942468" w:rsidRDefault="000E1F39" w:rsidP="000E1396">
      <w:pPr>
        <w:pStyle w:val="ListParagraph"/>
        <w:numPr>
          <w:ilvl w:val="0"/>
          <w:numId w:val="2"/>
        </w:numPr>
        <w:spacing w:line="276" w:lineRule="auto"/>
        <w:ind w:left="567" w:hanging="567"/>
        <w:contextualSpacing w:val="0"/>
        <w:rPr>
          <w:rFonts w:ascii="Arial" w:hAnsi="Arial" w:cs="Arial"/>
        </w:rPr>
      </w:pPr>
      <w:bookmarkStart w:id="18" w:name="_Ref198202639"/>
      <w:r>
        <w:rPr>
          <w:rFonts w:ascii="Arial" w:hAnsi="Arial" w:cs="Arial"/>
        </w:rPr>
        <w:t xml:space="preserve">In relation to evidence from </w:t>
      </w:r>
      <w:r w:rsidRPr="00C67586">
        <w:rPr>
          <w:rFonts w:ascii="Arial" w:hAnsi="Arial" w:cs="Arial"/>
        </w:rPr>
        <w:t>evaluators’ comments, records of moderation meetings and final agreed feedback</w:t>
      </w:r>
      <w:r>
        <w:rPr>
          <w:rFonts w:ascii="Arial" w:hAnsi="Arial" w:cs="Arial"/>
        </w:rPr>
        <w:t xml:space="preserve">, </w:t>
      </w:r>
      <w:r w:rsidR="0056571F">
        <w:rPr>
          <w:rFonts w:ascii="Arial" w:hAnsi="Arial" w:cs="Arial"/>
        </w:rPr>
        <w:t>t</w:t>
      </w:r>
      <w:r w:rsidR="0056571F" w:rsidRPr="00E024F2">
        <w:rPr>
          <w:rFonts w:ascii="Arial" w:hAnsi="Arial" w:cs="Arial"/>
        </w:rPr>
        <w:t xml:space="preserve">he Panel notes that </w:t>
      </w:r>
      <w:r w:rsidR="008D5344">
        <w:rPr>
          <w:rFonts w:ascii="Arial" w:hAnsi="Arial" w:cs="Arial"/>
        </w:rPr>
        <w:t xml:space="preserve">these were </w:t>
      </w:r>
      <w:r w:rsidR="00CD0A12">
        <w:rPr>
          <w:rFonts w:ascii="Arial" w:hAnsi="Arial" w:cs="Arial"/>
        </w:rPr>
        <w:t>in line with the</w:t>
      </w:r>
      <w:r w:rsidR="00410A29">
        <w:rPr>
          <w:rFonts w:ascii="Arial" w:hAnsi="Arial" w:cs="Arial"/>
        </w:rPr>
        <w:t xml:space="preserve"> evaluator</w:t>
      </w:r>
      <w:r w:rsidR="00CD0A12">
        <w:rPr>
          <w:rFonts w:ascii="Arial" w:hAnsi="Arial" w:cs="Arial"/>
        </w:rPr>
        <w:t xml:space="preserve"> training. E</w:t>
      </w:r>
      <w:r w:rsidR="0056571F" w:rsidRPr="00E024F2">
        <w:rPr>
          <w:rFonts w:ascii="Arial" w:hAnsi="Arial" w:cs="Arial"/>
        </w:rPr>
        <w:t xml:space="preserve">valuators’ comments and final agreed feedback described specific aspects of </w:t>
      </w:r>
      <w:r w:rsidR="0056571F">
        <w:rPr>
          <w:rFonts w:ascii="Arial" w:hAnsi="Arial" w:cs="Arial"/>
        </w:rPr>
        <w:t>each</w:t>
      </w:r>
      <w:r w:rsidR="0056571F" w:rsidRPr="00E024F2">
        <w:rPr>
          <w:rFonts w:ascii="Arial" w:hAnsi="Arial" w:cs="Arial"/>
        </w:rPr>
        <w:t xml:space="preserve"> response that were </w:t>
      </w:r>
      <w:r w:rsidR="0056571F">
        <w:rPr>
          <w:rFonts w:ascii="Arial" w:hAnsi="Arial" w:cs="Arial"/>
        </w:rPr>
        <w:t xml:space="preserve">viewed as </w:t>
      </w:r>
      <w:r w:rsidR="0056571F" w:rsidRPr="00E024F2">
        <w:rPr>
          <w:rFonts w:ascii="Arial" w:hAnsi="Arial" w:cs="Arial"/>
        </w:rPr>
        <w:t>positive</w:t>
      </w:r>
      <w:r w:rsidR="0056571F">
        <w:rPr>
          <w:rFonts w:ascii="Arial" w:hAnsi="Arial" w:cs="Arial"/>
        </w:rPr>
        <w:t xml:space="preserve"> or </w:t>
      </w:r>
      <w:r w:rsidR="0056571F" w:rsidRPr="00E024F2">
        <w:rPr>
          <w:rFonts w:ascii="Arial" w:hAnsi="Arial" w:cs="Arial"/>
        </w:rPr>
        <w:t xml:space="preserve">negative, notable or compliant, often supplemented with an explanation of why they were as such. The feedback </w:t>
      </w:r>
      <w:r w:rsidR="0056571F">
        <w:rPr>
          <w:rFonts w:ascii="Arial" w:hAnsi="Arial" w:cs="Arial"/>
        </w:rPr>
        <w:t xml:space="preserve">also included comments </w:t>
      </w:r>
      <w:r w:rsidR="0056571F" w:rsidRPr="00E024F2">
        <w:rPr>
          <w:rFonts w:ascii="Arial" w:hAnsi="Arial" w:cs="Arial"/>
        </w:rPr>
        <w:t>on where specific inclusions or amendment might have improved a response, often with an explanation of why this would be the case.</w:t>
      </w:r>
      <w:bookmarkEnd w:id="18"/>
      <w:r w:rsidR="006472BA">
        <w:rPr>
          <w:rFonts w:ascii="Arial" w:hAnsi="Arial" w:cs="Arial"/>
        </w:rPr>
        <w:t xml:space="preserve"> </w:t>
      </w:r>
      <w:r w:rsidR="00FC2D30" w:rsidRPr="002C4D05">
        <w:rPr>
          <w:rFonts w:ascii="Arial" w:hAnsi="Arial" w:cs="Arial"/>
        </w:rPr>
        <w:t xml:space="preserve">The Panel </w:t>
      </w:r>
      <w:r w:rsidR="00D4398F" w:rsidRPr="002C4D05">
        <w:rPr>
          <w:rFonts w:ascii="Arial" w:hAnsi="Arial" w:cs="Arial"/>
        </w:rPr>
        <w:t xml:space="preserve">did not identify any comments </w:t>
      </w:r>
      <w:r w:rsidR="008045FF" w:rsidRPr="002C4D05">
        <w:rPr>
          <w:rFonts w:ascii="Arial" w:hAnsi="Arial" w:cs="Arial"/>
        </w:rPr>
        <w:t>in the final feedback</w:t>
      </w:r>
      <w:r w:rsidR="00B017E7" w:rsidRPr="002C4D05">
        <w:rPr>
          <w:rFonts w:ascii="Arial" w:hAnsi="Arial" w:cs="Arial"/>
        </w:rPr>
        <w:t xml:space="preserve"> </w:t>
      </w:r>
      <w:r w:rsidR="00D4398F" w:rsidRPr="002C4D05">
        <w:rPr>
          <w:rFonts w:ascii="Arial" w:hAnsi="Arial" w:cs="Arial"/>
        </w:rPr>
        <w:t xml:space="preserve">that </w:t>
      </w:r>
      <w:r w:rsidR="00685C45" w:rsidRPr="002C4D05">
        <w:rPr>
          <w:rFonts w:ascii="Arial" w:hAnsi="Arial" w:cs="Arial"/>
        </w:rPr>
        <w:t xml:space="preserve">caused concern about potential </w:t>
      </w:r>
      <w:r w:rsidR="00D4398F" w:rsidRPr="002C4D05">
        <w:rPr>
          <w:rFonts w:ascii="Arial" w:hAnsi="Arial" w:cs="Arial"/>
        </w:rPr>
        <w:t>conflict with the grade definitions</w:t>
      </w:r>
      <w:r w:rsidR="002C4D05" w:rsidRPr="002C4D05">
        <w:rPr>
          <w:rFonts w:ascii="Arial" w:hAnsi="Arial" w:cs="Arial"/>
        </w:rPr>
        <w:t>.</w:t>
      </w:r>
      <w:r w:rsidR="00CC2844">
        <w:rPr>
          <w:rStyle w:val="FootnoteReference"/>
          <w:rFonts w:ascii="Arial" w:hAnsi="Arial" w:cs="Arial"/>
        </w:rPr>
        <w:footnoteReference w:id="24"/>
      </w:r>
    </w:p>
    <w:p w14:paraId="2445F597" w14:textId="38485AA4" w:rsidR="005A1972" w:rsidRPr="00733252" w:rsidRDefault="00A04629" w:rsidP="003C4B8D">
      <w:pPr>
        <w:pStyle w:val="ListParagraph"/>
        <w:numPr>
          <w:ilvl w:val="0"/>
          <w:numId w:val="2"/>
        </w:numPr>
        <w:spacing w:line="276" w:lineRule="auto"/>
        <w:ind w:left="567" w:hanging="567"/>
        <w:contextualSpacing w:val="0"/>
        <w:rPr>
          <w:rFonts w:ascii="Arial" w:hAnsi="Arial" w:cs="Arial"/>
        </w:rPr>
      </w:pPr>
      <w:r w:rsidRPr="003C4B8D">
        <w:rPr>
          <w:rFonts w:ascii="Arial" w:hAnsi="Arial" w:cs="Arial"/>
        </w:rPr>
        <w:t>Barkhill</w:t>
      </w:r>
      <w:r w:rsidR="00872406">
        <w:rPr>
          <w:rFonts w:ascii="Arial" w:hAnsi="Arial" w:cs="Arial"/>
        </w:rPr>
        <w:t>, in it</w:t>
      </w:r>
      <w:r w:rsidR="00177DDA" w:rsidRPr="003C4B8D">
        <w:rPr>
          <w:rFonts w:ascii="Arial" w:hAnsi="Arial" w:cs="Arial"/>
        </w:rPr>
        <w:t>s analysis of the evaluators’ scoring</w:t>
      </w:r>
      <w:r w:rsidR="003C4B8D" w:rsidRPr="003C4B8D">
        <w:rPr>
          <w:rFonts w:ascii="Arial" w:hAnsi="Arial" w:cs="Arial"/>
        </w:rPr>
        <w:t xml:space="preserve">, </w:t>
      </w:r>
      <w:r w:rsidR="00872406">
        <w:rPr>
          <w:rFonts w:ascii="Arial" w:hAnsi="Arial" w:cs="Arial"/>
        </w:rPr>
        <w:t>suggested</w:t>
      </w:r>
      <w:r w:rsidR="003C4B8D" w:rsidRPr="003C4B8D">
        <w:rPr>
          <w:rFonts w:ascii="Arial" w:hAnsi="Arial" w:cs="Arial"/>
        </w:rPr>
        <w:t xml:space="preserve"> </w:t>
      </w:r>
      <w:r w:rsidRPr="003C4B8D">
        <w:rPr>
          <w:rFonts w:ascii="Arial" w:hAnsi="Arial" w:cs="Arial"/>
        </w:rPr>
        <w:t xml:space="preserve">that “evaluators adopted a different scoring methodology to that set out in the Scoring Matrix, whereby simply: a. a grade of 4 was awarded if no faults or flaws were identified by the evaluators in an answer; b. </w:t>
      </w:r>
      <w:r w:rsidRPr="003C4B8D">
        <w:rPr>
          <w:rFonts w:ascii="Arial" w:hAnsi="Arial" w:cs="Arial"/>
          <w:lang w:val="en-US"/>
        </w:rPr>
        <w:t>a grade of 3 was awarded if evaluators identified only one or two faults or flaws in an answer; and/or</w:t>
      </w:r>
      <w:r w:rsidRPr="003C4B8D">
        <w:rPr>
          <w:rFonts w:ascii="Arial" w:hAnsi="Arial" w:cs="Arial"/>
        </w:rPr>
        <w:t xml:space="preserve"> c. </w:t>
      </w:r>
      <w:r w:rsidRPr="003C4B8D">
        <w:rPr>
          <w:rFonts w:ascii="Arial" w:hAnsi="Arial" w:cs="Arial"/>
          <w:lang w:val="en-US"/>
        </w:rPr>
        <w:t>a grade of 2 was awarded if evaluators identified two or more faults or flaws in an answer”.</w:t>
      </w:r>
      <w:r w:rsidRPr="00FF263D">
        <w:rPr>
          <w:rStyle w:val="FootnoteReference"/>
          <w:rFonts w:ascii="Arial" w:hAnsi="Arial" w:cs="Arial"/>
        </w:rPr>
        <w:footnoteReference w:id="25"/>
      </w:r>
      <w:r w:rsidR="00031E1C">
        <w:rPr>
          <w:rFonts w:ascii="Arial" w:hAnsi="Arial" w:cs="Arial"/>
          <w:lang w:val="en-US"/>
        </w:rPr>
        <w:t xml:space="preserve"> HNY ICB </w:t>
      </w:r>
      <w:r w:rsidR="00246AEA">
        <w:rPr>
          <w:rFonts w:ascii="Arial" w:hAnsi="Arial" w:cs="Arial"/>
          <w:lang w:val="en-US"/>
        </w:rPr>
        <w:t xml:space="preserve">said that it did not </w:t>
      </w:r>
      <w:r w:rsidR="0061480B">
        <w:rPr>
          <w:rFonts w:ascii="Arial" w:hAnsi="Arial" w:cs="Arial"/>
          <w:lang w:val="en-US"/>
        </w:rPr>
        <w:t>use this alternative scoring methodology</w:t>
      </w:r>
      <w:r w:rsidR="00ED179A">
        <w:rPr>
          <w:rFonts w:ascii="Arial" w:hAnsi="Arial" w:cs="Arial"/>
          <w:lang w:val="en-US"/>
        </w:rPr>
        <w:t xml:space="preserve">, noting that </w:t>
      </w:r>
      <w:r w:rsidR="00AC277E">
        <w:rPr>
          <w:rFonts w:ascii="Arial" w:hAnsi="Arial" w:cs="Arial"/>
          <w:lang w:val="en-US"/>
        </w:rPr>
        <w:t xml:space="preserve">scores were </w:t>
      </w:r>
      <w:r w:rsidR="00BB427C">
        <w:rPr>
          <w:rFonts w:ascii="Arial" w:hAnsi="Arial" w:cs="Arial"/>
          <w:lang w:val="en-US"/>
        </w:rPr>
        <w:t>“based on the full details of the answer provided”.</w:t>
      </w:r>
      <w:r w:rsidR="00BB427C">
        <w:rPr>
          <w:rStyle w:val="FootnoteReference"/>
          <w:rFonts w:ascii="Arial" w:hAnsi="Arial" w:cs="Arial"/>
        </w:rPr>
        <w:footnoteReference w:id="26"/>
      </w:r>
    </w:p>
    <w:p w14:paraId="6066F6B5" w14:textId="23B8A3F8" w:rsidR="00FC500E" w:rsidRPr="00A04629" w:rsidRDefault="00726358" w:rsidP="79905DC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w:t>
      </w:r>
      <w:r w:rsidR="00A35619">
        <w:rPr>
          <w:rFonts w:ascii="Arial" w:hAnsi="Arial" w:cs="Arial"/>
        </w:rPr>
        <w:t xml:space="preserve">explored </w:t>
      </w:r>
      <w:r w:rsidR="00A16CFF">
        <w:rPr>
          <w:rFonts w:ascii="Arial" w:hAnsi="Arial" w:cs="Arial"/>
        </w:rPr>
        <w:t xml:space="preserve">with </w:t>
      </w:r>
      <w:r w:rsidR="002F18A2" w:rsidRPr="005B21F9">
        <w:rPr>
          <w:rFonts w:ascii="Arial" w:hAnsi="Arial" w:cs="Arial"/>
        </w:rPr>
        <w:t>HNY ICB</w:t>
      </w:r>
      <w:r w:rsidR="00A16CFF">
        <w:rPr>
          <w:rFonts w:ascii="Arial" w:hAnsi="Arial" w:cs="Arial"/>
        </w:rPr>
        <w:t xml:space="preserve"> th</w:t>
      </w:r>
      <w:r w:rsidR="00AE4712">
        <w:rPr>
          <w:rFonts w:ascii="Arial" w:hAnsi="Arial" w:cs="Arial"/>
        </w:rPr>
        <w:t xml:space="preserve">e </w:t>
      </w:r>
      <w:r w:rsidR="002F18A2" w:rsidRPr="005B21F9">
        <w:rPr>
          <w:rFonts w:ascii="Arial" w:hAnsi="Arial" w:cs="Arial"/>
        </w:rPr>
        <w:t xml:space="preserve">approach </w:t>
      </w:r>
      <w:r w:rsidR="00A16CFF">
        <w:rPr>
          <w:rFonts w:ascii="Arial" w:hAnsi="Arial" w:cs="Arial"/>
        </w:rPr>
        <w:t xml:space="preserve">taken </w:t>
      </w:r>
      <w:r w:rsidR="002F18A2" w:rsidRPr="005B21F9">
        <w:rPr>
          <w:rFonts w:ascii="Arial" w:hAnsi="Arial" w:cs="Arial"/>
        </w:rPr>
        <w:t>to evaluating submissions</w:t>
      </w:r>
      <w:r w:rsidR="00AE4712">
        <w:rPr>
          <w:rFonts w:ascii="Arial" w:hAnsi="Arial" w:cs="Arial"/>
        </w:rPr>
        <w:t xml:space="preserve">. </w:t>
      </w:r>
      <w:r w:rsidR="00B548EA">
        <w:rPr>
          <w:rFonts w:ascii="Arial" w:hAnsi="Arial" w:cs="Arial"/>
        </w:rPr>
        <w:t>HNY ICB told the Panel that</w:t>
      </w:r>
      <w:r w:rsidR="00F74CC7">
        <w:rPr>
          <w:rFonts w:ascii="Arial" w:hAnsi="Arial" w:cs="Arial"/>
        </w:rPr>
        <w:t>, in line with their training,</w:t>
      </w:r>
      <w:r w:rsidR="00B548EA">
        <w:rPr>
          <w:rFonts w:ascii="Arial" w:hAnsi="Arial" w:cs="Arial"/>
        </w:rPr>
        <w:t xml:space="preserve"> </w:t>
      </w:r>
      <w:r w:rsidR="00A47902">
        <w:rPr>
          <w:rFonts w:ascii="Arial" w:hAnsi="Arial" w:cs="Arial"/>
        </w:rPr>
        <w:t xml:space="preserve">evaluators ensured that </w:t>
      </w:r>
      <w:r w:rsidR="00B548EA">
        <w:rPr>
          <w:rFonts w:ascii="Arial" w:hAnsi="Arial" w:cs="Arial"/>
        </w:rPr>
        <w:t xml:space="preserve">all elements of the grade definition were </w:t>
      </w:r>
      <w:r w:rsidR="00A47902">
        <w:rPr>
          <w:rFonts w:ascii="Arial" w:hAnsi="Arial" w:cs="Arial"/>
        </w:rPr>
        <w:t xml:space="preserve">met </w:t>
      </w:r>
      <w:r w:rsidR="00B548EA">
        <w:rPr>
          <w:rFonts w:ascii="Arial" w:hAnsi="Arial" w:cs="Arial"/>
        </w:rPr>
        <w:t xml:space="preserve">when </w:t>
      </w:r>
      <w:r w:rsidR="007F03BE">
        <w:rPr>
          <w:rFonts w:ascii="Arial" w:hAnsi="Arial" w:cs="Arial"/>
        </w:rPr>
        <w:t>deciding on the</w:t>
      </w:r>
      <w:r w:rsidR="00AC6077">
        <w:rPr>
          <w:rFonts w:ascii="Arial" w:hAnsi="Arial" w:cs="Arial"/>
        </w:rPr>
        <w:t xml:space="preserve"> score </w:t>
      </w:r>
      <w:r w:rsidR="007F03BE">
        <w:rPr>
          <w:rFonts w:ascii="Arial" w:hAnsi="Arial" w:cs="Arial"/>
        </w:rPr>
        <w:t xml:space="preserve">for a </w:t>
      </w:r>
      <w:r w:rsidR="00796C42">
        <w:rPr>
          <w:rFonts w:ascii="Arial" w:hAnsi="Arial" w:cs="Arial"/>
        </w:rPr>
        <w:t>bidder</w:t>
      </w:r>
      <w:r w:rsidR="007F03BE">
        <w:rPr>
          <w:rFonts w:ascii="Arial" w:hAnsi="Arial" w:cs="Arial"/>
        </w:rPr>
        <w:t>’</w:t>
      </w:r>
      <w:r w:rsidR="00796C42">
        <w:rPr>
          <w:rFonts w:ascii="Arial" w:hAnsi="Arial" w:cs="Arial"/>
        </w:rPr>
        <w:t>s answer.</w:t>
      </w:r>
      <w:r w:rsidR="00DB487C">
        <w:rPr>
          <w:rFonts w:ascii="Arial" w:hAnsi="Arial" w:cs="Arial"/>
        </w:rPr>
        <w:t xml:space="preserve"> The </w:t>
      </w:r>
      <w:r w:rsidR="00DB487C">
        <w:rPr>
          <w:rFonts w:ascii="Arial" w:hAnsi="Arial" w:cs="Arial"/>
        </w:rPr>
        <w:lastRenderedPageBreak/>
        <w:t xml:space="preserve">ICB </w:t>
      </w:r>
      <w:r w:rsidR="00B9712C">
        <w:rPr>
          <w:rFonts w:ascii="Arial" w:hAnsi="Arial" w:cs="Arial"/>
        </w:rPr>
        <w:t xml:space="preserve">also </w:t>
      </w:r>
      <w:r w:rsidR="00DB487C">
        <w:rPr>
          <w:rFonts w:ascii="Arial" w:hAnsi="Arial" w:cs="Arial"/>
        </w:rPr>
        <w:t xml:space="preserve">noted that </w:t>
      </w:r>
      <w:r w:rsidR="00DC5309">
        <w:rPr>
          <w:rFonts w:ascii="Arial" w:hAnsi="Arial" w:cs="Arial"/>
        </w:rPr>
        <w:t>the issue of system / stakeholder benefits</w:t>
      </w:r>
      <w:r w:rsidR="008A35FC">
        <w:rPr>
          <w:rFonts w:ascii="Arial" w:hAnsi="Arial" w:cs="Arial"/>
        </w:rPr>
        <w:t xml:space="preserve">, which is </w:t>
      </w:r>
      <w:r w:rsidR="006D1684">
        <w:rPr>
          <w:rFonts w:ascii="Arial" w:hAnsi="Arial" w:cs="Arial"/>
        </w:rPr>
        <w:t xml:space="preserve">referenced in the grade definitions, </w:t>
      </w:r>
      <w:r w:rsidR="00DC0957">
        <w:rPr>
          <w:rFonts w:ascii="Arial" w:hAnsi="Arial" w:cs="Arial"/>
        </w:rPr>
        <w:t xml:space="preserve">was more important </w:t>
      </w:r>
      <w:r w:rsidR="000916DF">
        <w:rPr>
          <w:rFonts w:ascii="Arial" w:hAnsi="Arial" w:cs="Arial"/>
        </w:rPr>
        <w:t xml:space="preserve">for some questions </w:t>
      </w:r>
      <w:r w:rsidR="00DC0957">
        <w:rPr>
          <w:rFonts w:ascii="Arial" w:hAnsi="Arial" w:cs="Arial"/>
        </w:rPr>
        <w:t xml:space="preserve">than </w:t>
      </w:r>
      <w:r w:rsidR="000916DF">
        <w:rPr>
          <w:rFonts w:ascii="Arial" w:hAnsi="Arial" w:cs="Arial"/>
        </w:rPr>
        <w:t>for</w:t>
      </w:r>
      <w:r w:rsidR="00DC0957">
        <w:rPr>
          <w:rFonts w:ascii="Arial" w:hAnsi="Arial" w:cs="Arial"/>
        </w:rPr>
        <w:t xml:space="preserve"> others.</w:t>
      </w:r>
    </w:p>
    <w:p w14:paraId="6EE58D49" w14:textId="40ED3A89" w:rsidR="003844ED" w:rsidRPr="00733252" w:rsidRDefault="003844ED" w:rsidP="00733252">
      <w:pPr>
        <w:keepNext/>
        <w:spacing w:before="240" w:line="276" w:lineRule="auto"/>
        <w:rPr>
          <w:rFonts w:ascii="Arial" w:hAnsi="Arial" w:cs="Arial"/>
          <w:b/>
        </w:rPr>
      </w:pPr>
      <w:r>
        <w:rPr>
          <w:rFonts w:ascii="Arial" w:hAnsi="Arial" w:cs="Arial"/>
          <w:b/>
          <w:bCs/>
        </w:rPr>
        <w:t>Panel conclusions on whether HNY ICB appl</w:t>
      </w:r>
      <w:r w:rsidR="009C49CB">
        <w:rPr>
          <w:rFonts w:ascii="Arial" w:hAnsi="Arial" w:cs="Arial"/>
          <w:b/>
          <w:bCs/>
        </w:rPr>
        <w:t>ied</w:t>
      </w:r>
      <w:r>
        <w:rPr>
          <w:rFonts w:ascii="Arial" w:hAnsi="Arial" w:cs="Arial"/>
          <w:b/>
          <w:bCs/>
        </w:rPr>
        <w:t xml:space="preserve"> the grade definitions set out in the tender documentation</w:t>
      </w:r>
    </w:p>
    <w:p w14:paraId="16041960" w14:textId="5D29F974" w:rsidR="00CF5912" w:rsidRDefault="002F707B" w:rsidP="1F838B14">
      <w:pPr>
        <w:pStyle w:val="ListParagraph"/>
        <w:numPr>
          <w:ilvl w:val="0"/>
          <w:numId w:val="2"/>
        </w:numPr>
        <w:spacing w:line="276" w:lineRule="auto"/>
        <w:ind w:left="567" w:hanging="567"/>
        <w:contextualSpacing w:val="0"/>
        <w:rPr>
          <w:rFonts w:ascii="Arial" w:hAnsi="Arial" w:cs="Arial"/>
        </w:rPr>
      </w:pPr>
      <w:r w:rsidRPr="1F838B14">
        <w:rPr>
          <w:rFonts w:ascii="Arial" w:hAnsi="Arial" w:cs="Arial"/>
        </w:rPr>
        <w:t xml:space="preserve">In summary, </w:t>
      </w:r>
      <w:r w:rsidR="00CE2581" w:rsidRPr="1F838B14">
        <w:rPr>
          <w:rFonts w:ascii="Arial" w:hAnsi="Arial" w:cs="Arial"/>
        </w:rPr>
        <w:t>the Panel</w:t>
      </w:r>
      <w:r w:rsidR="00DD6AD3" w:rsidRPr="1F838B14">
        <w:rPr>
          <w:rFonts w:ascii="Arial" w:hAnsi="Arial" w:cs="Arial"/>
        </w:rPr>
        <w:t>’s view</w:t>
      </w:r>
      <w:r w:rsidR="00CE2581" w:rsidRPr="1F838B14">
        <w:rPr>
          <w:rFonts w:ascii="Arial" w:hAnsi="Arial" w:cs="Arial"/>
        </w:rPr>
        <w:t xml:space="preserve"> </w:t>
      </w:r>
      <w:r w:rsidR="00DD6AD3" w:rsidRPr="1F838B14">
        <w:rPr>
          <w:rFonts w:ascii="Arial" w:hAnsi="Arial" w:cs="Arial"/>
        </w:rPr>
        <w:t xml:space="preserve">is that </w:t>
      </w:r>
      <w:r w:rsidR="00574CD1" w:rsidRPr="1F838B14">
        <w:rPr>
          <w:rFonts w:ascii="Arial" w:hAnsi="Arial" w:cs="Arial"/>
        </w:rPr>
        <w:t>each grade definition has a primary description</w:t>
      </w:r>
      <w:r w:rsidR="008B2B8A" w:rsidRPr="1F838B14">
        <w:rPr>
          <w:rFonts w:ascii="Arial" w:hAnsi="Arial" w:cs="Arial"/>
        </w:rPr>
        <w:t xml:space="preserve"> supplemented with further explanation for how this primary description should be interpreted. </w:t>
      </w:r>
      <w:r w:rsidR="00C579E2" w:rsidRPr="1F838B14">
        <w:rPr>
          <w:rFonts w:ascii="Arial" w:hAnsi="Arial" w:cs="Arial"/>
        </w:rPr>
        <w:t xml:space="preserve">Within this further explanation, however, there are additional elements to each definition, and </w:t>
      </w:r>
      <w:r w:rsidR="004F19D2" w:rsidRPr="1F838B14">
        <w:rPr>
          <w:rFonts w:ascii="Arial" w:hAnsi="Arial" w:cs="Arial"/>
        </w:rPr>
        <w:t xml:space="preserve">the Panel’s view is that </w:t>
      </w:r>
      <w:r w:rsidR="005F76F5">
        <w:rPr>
          <w:rFonts w:ascii="Arial" w:hAnsi="Arial" w:cs="Arial"/>
        </w:rPr>
        <w:t>all elements of</w:t>
      </w:r>
      <w:r w:rsidR="00BF5611" w:rsidRPr="1F838B14">
        <w:rPr>
          <w:rFonts w:ascii="Arial" w:hAnsi="Arial" w:cs="Arial"/>
        </w:rPr>
        <w:t xml:space="preserve"> the grade’s primary description </w:t>
      </w:r>
      <w:r w:rsidR="00C579E2" w:rsidRPr="1F838B14">
        <w:rPr>
          <w:rFonts w:ascii="Arial" w:hAnsi="Arial" w:cs="Arial"/>
        </w:rPr>
        <w:t>need to be met for a grade to be awarded.</w:t>
      </w:r>
    </w:p>
    <w:p w14:paraId="30493E39" w14:textId="6B8AC8D9" w:rsidR="00056758" w:rsidRDefault="000B7BA8" w:rsidP="665D4885">
      <w:pPr>
        <w:pStyle w:val="ListParagraph"/>
        <w:numPr>
          <w:ilvl w:val="0"/>
          <w:numId w:val="2"/>
        </w:numPr>
        <w:spacing w:line="276" w:lineRule="auto"/>
        <w:ind w:left="567" w:hanging="567"/>
        <w:contextualSpacing w:val="0"/>
        <w:rPr>
          <w:rFonts w:ascii="Arial" w:hAnsi="Arial" w:cs="Arial"/>
        </w:rPr>
      </w:pPr>
      <w:r w:rsidRPr="1F838B14">
        <w:rPr>
          <w:rFonts w:ascii="Arial" w:hAnsi="Arial" w:cs="Arial"/>
        </w:rPr>
        <w:t xml:space="preserve">The Panel’s review of the evidence from evaluator training, </w:t>
      </w:r>
      <w:r w:rsidR="00056758" w:rsidRPr="1F838B14">
        <w:rPr>
          <w:rFonts w:ascii="Arial" w:hAnsi="Arial" w:cs="Arial"/>
        </w:rPr>
        <w:t xml:space="preserve">evaluator comments and </w:t>
      </w:r>
      <w:r w:rsidR="00850F6C" w:rsidRPr="1F838B14">
        <w:rPr>
          <w:rFonts w:ascii="Arial" w:hAnsi="Arial" w:cs="Arial"/>
        </w:rPr>
        <w:t xml:space="preserve">feedback, </w:t>
      </w:r>
      <w:r w:rsidR="00430C89" w:rsidRPr="1F838B14">
        <w:rPr>
          <w:rFonts w:ascii="Arial" w:hAnsi="Arial" w:cs="Arial"/>
        </w:rPr>
        <w:t xml:space="preserve">and the explanations provided by </w:t>
      </w:r>
      <w:r w:rsidR="00CB5878">
        <w:rPr>
          <w:rFonts w:ascii="Arial" w:hAnsi="Arial" w:cs="Arial"/>
        </w:rPr>
        <w:t>the ICB</w:t>
      </w:r>
      <w:r w:rsidR="00430C89" w:rsidRPr="1F838B14">
        <w:rPr>
          <w:rFonts w:ascii="Arial" w:hAnsi="Arial" w:cs="Arial"/>
        </w:rPr>
        <w:t xml:space="preserve"> </w:t>
      </w:r>
      <w:r w:rsidR="00540126" w:rsidRPr="1F838B14">
        <w:rPr>
          <w:rFonts w:ascii="Arial" w:hAnsi="Arial" w:cs="Arial"/>
        </w:rPr>
        <w:t xml:space="preserve">supports a conclusion that evaluators </w:t>
      </w:r>
      <w:r w:rsidR="008300C1">
        <w:rPr>
          <w:rFonts w:ascii="Arial" w:hAnsi="Arial" w:cs="Arial"/>
        </w:rPr>
        <w:t>applied</w:t>
      </w:r>
      <w:r w:rsidR="00BB582B" w:rsidRPr="1F838B14">
        <w:rPr>
          <w:rFonts w:ascii="Arial" w:hAnsi="Arial" w:cs="Arial"/>
        </w:rPr>
        <w:t xml:space="preserve"> </w:t>
      </w:r>
      <w:r w:rsidR="0029696B" w:rsidRPr="1F838B14">
        <w:rPr>
          <w:rFonts w:ascii="Arial" w:hAnsi="Arial" w:cs="Arial"/>
        </w:rPr>
        <w:t xml:space="preserve">all elements of the grade definition when awarding scores to bidders’ answers. </w:t>
      </w:r>
      <w:r w:rsidR="003C050D" w:rsidRPr="1F838B14">
        <w:rPr>
          <w:rFonts w:ascii="Arial" w:hAnsi="Arial" w:cs="Arial"/>
        </w:rPr>
        <w:t xml:space="preserve">The Panel did not </w:t>
      </w:r>
      <w:r w:rsidR="00157F04" w:rsidRPr="1F838B14">
        <w:rPr>
          <w:rFonts w:ascii="Arial" w:hAnsi="Arial" w:cs="Arial"/>
        </w:rPr>
        <w:t xml:space="preserve">see any conflict between </w:t>
      </w:r>
      <w:r w:rsidR="00210EF2" w:rsidRPr="1F838B14">
        <w:rPr>
          <w:rFonts w:ascii="Arial" w:hAnsi="Arial" w:cs="Arial"/>
        </w:rPr>
        <w:t>the final feedback comments and the requirements of the grade definitions</w:t>
      </w:r>
      <w:r w:rsidR="00676CB3" w:rsidRPr="1F838B14">
        <w:rPr>
          <w:rFonts w:ascii="Arial" w:hAnsi="Arial" w:cs="Arial"/>
        </w:rPr>
        <w:t xml:space="preserve"> (which might have indicated that evaluators were not applying all of the elements of a grade definition when awarding scores)</w:t>
      </w:r>
      <w:r w:rsidR="00515A8D" w:rsidRPr="1F838B14">
        <w:rPr>
          <w:rFonts w:ascii="Arial" w:hAnsi="Arial" w:cs="Arial"/>
        </w:rPr>
        <w:t>. Moreover, t</w:t>
      </w:r>
      <w:r w:rsidR="00F64D4F" w:rsidRPr="1F838B14">
        <w:rPr>
          <w:rFonts w:ascii="Arial" w:hAnsi="Arial" w:cs="Arial"/>
        </w:rPr>
        <w:t xml:space="preserve">he Panel did not see </w:t>
      </w:r>
      <w:r w:rsidR="00065C20" w:rsidRPr="1F838B14">
        <w:rPr>
          <w:rFonts w:ascii="Arial" w:hAnsi="Arial" w:cs="Arial"/>
        </w:rPr>
        <w:t xml:space="preserve">further </w:t>
      </w:r>
      <w:r w:rsidR="00F64D4F" w:rsidRPr="1F838B14">
        <w:rPr>
          <w:rFonts w:ascii="Arial" w:hAnsi="Arial" w:cs="Arial"/>
        </w:rPr>
        <w:t xml:space="preserve">evidence in the evaluator training or evaluation process </w:t>
      </w:r>
      <w:r w:rsidR="00065C20" w:rsidRPr="1F838B14">
        <w:rPr>
          <w:rFonts w:ascii="Arial" w:hAnsi="Arial" w:cs="Arial"/>
        </w:rPr>
        <w:t>to suggest</w:t>
      </w:r>
      <w:r w:rsidR="00F64D4F" w:rsidRPr="1F838B14">
        <w:rPr>
          <w:rFonts w:ascii="Arial" w:hAnsi="Arial" w:cs="Arial"/>
        </w:rPr>
        <w:t xml:space="preserve"> </w:t>
      </w:r>
      <w:r w:rsidR="00065C20" w:rsidRPr="1F838B14">
        <w:rPr>
          <w:rFonts w:ascii="Arial" w:hAnsi="Arial" w:cs="Arial"/>
        </w:rPr>
        <w:t>that scoring proceeded, as Barkhill has suggested, by way of “counting faults”, and the Panel accepts HNY ICB’s explanation that this was not the case.</w:t>
      </w:r>
    </w:p>
    <w:p w14:paraId="1483BAC5" w14:textId="6712D838" w:rsidR="00CF2B42" w:rsidRDefault="002F11B5" w:rsidP="07FD47B8">
      <w:pPr>
        <w:pStyle w:val="ListParagraph"/>
        <w:numPr>
          <w:ilvl w:val="0"/>
          <w:numId w:val="2"/>
        </w:numPr>
        <w:spacing w:line="276" w:lineRule="auto"/>
        <w:ind w:left="567" w:hanging="567"/>
        <w:rPr>
          <w:rFonts w:ascii="Arial" w:hAnsi="Arial" w:cs="Arial"/>
        </w:rPr>
      </w:pPr>
      <w:r w:rsidRPr="07FD47B8">
        <w:rPr>
          <w:rFonts w:ascii="Arial" w:hAnsi="Arial" w:cs="Arial"/>
        </w:rPr>
        <w:t>Give</w:t>
      </w:r>
      <w:r w:rsidR="5FD0A32F" w:rsidRPr="07FD47B8">
        <w:rPr>
          <w:rFonts w:ascii="Arial" w:hAnsi="Arial" w:cs="Arial"/>
        </w:rPr>
        <w:t>n</w:t>
      </w:r>
      <w:r>
        <w:rPr>
          <w:rFonts w:ascii="Arial" w:hAnsi="Arial" w:cs="Arial"/>
        </w:rPr>
        <w:t xml:space="preserve"> this</w:t>
      </w:r>
      <w:r w:rsidR="005D617D">
        <w:rPr>
          <w:rFonts w:ascii="Arial" w:hAnsi="Arial" w:cs="Arial"/>
        </w:rPr>
        <w:t xml:space="preserve">, the Panel finds that </w:t>
      </w:r>
      <w:r w:rsidR="001F471C">
        <w:rPr>
          <w:rFonts w:ascii="Arial" w:hAnsi="Arial" w:cs="Arial"/>
        </w:rPr>
        <w:t>HNY ICB, in evaluating proposals</w:t>
      </w:r>
      <w:r w:rsidR="00373546">
        <w:rPr>
          <w:rFonts w:ascii="Arial" w:hAnsi="Arial" w:cs="Arial"/>
        </w:rPr>
        <w:t xml:space="preserve"> did not fail to apply the grade definitions set out in the tender documentation</w:t>
      </w:r>
      <w:r w:rsidR="001F471C">
        <w:rPr>
          <w:rFonts w:ascii="Arial" w:hAnsi="Arial" w:cs="Arial"/>
        </w:rPr>
        <w:t xml:space="preserve">, </w:t>
      </w:r>
      <w:r>
        <w:rPr>
          <w:rFonts w:ascii="Arial" w:hAnsi="Arial" w:cs="Arial"/>
        </w:rPr>
        <w:t xml:space="preserve">and as a result, </w:t>
      </w:r>
      <w:r w:rsidR="001F471C">
        <w:rPr>
          <w:rFonts w:ascii="Arial" w:hAnsi="Arial" w:cs="Arial"/>
        </w:rPr>
        <w:t xml:space="preserve">did not </w:t>
      </w:r>
      <w:r w:rsidR="00965572">
        <w:rPr>
          <w:rFonts w:ascii="Arial" w:hAnsi="Arial" w:cs="Arial"/>
        </w:rPr>
        <w:t xml:space="preserve">breach the PSR regulations </w:t>
      </w:r>
      <w:r w:rsidR="00D90F17">
        <w:rPr>
          <w:rFonts w:ascii="Arial" w:hAnsi="Arial" w:cs="Arial"/>
        </w:rPr>
        <w:t>including</w:t>
      </w:r>
      <w:r w:rsidR="00965572">
        <w:rPr>
          <w:rFonts w:ascii="Arial" w:hAnsi="Arial" w:cs="Arial"/>
        </w:rPr>
        <w:t xml:space="preserve">, in particular, the obligation </w:t>
      </w:r>
      <w:r w:rsidR="004A0E2F">
        <w:rPr>
          <w:rFonts w:ascii="Arial" w:hAnsi="Arial" w:cs="Arial"/>
        </w:rPr>
        <w:t>under Regulation 4 to act transparently</w:t>
      </w:r>
      <w:r w:rsidR="000543C8">
        <w:rPr>
          <w:rFonts w:ascii="Arial" w:hAnsi="Arial" w:cs="Arial"/>
        </w:rPr>
        <w:t xml:space="preserve">, </w:t>
      </w:r>
      <w:r w:rsidR="004A0E2F">
        <w:rPr>
          <w:rFonts w:ascii="Arial" w:hAnsi="Arial" w:cs="Arial"/>
        </w:rPr>
        <w:t>fairly and proportionately.</w:t>
      </w:r>
    </w:p>
    <w:p w14:paraId="1FA85DCC" w14:textId="22E8BBFA" w:rsidR="00BC4852" w:rsidRPr="00AD7ED8" w:rsidRDefault="001B34B3" w:rsidP="00AD7ED8">
      <w:pPr>
        <w:keepNext/>
        <w:spacing w:before="240" w:line="276" w:lineRule="auto"/>
        <w:rPr>
          <w:rFonts w:ascii="Arial" w:hAnsi="Arial" w:cs="Arial"/>
          <w:b/>
          <w:bCs/>
        </w:rPr>
      </w:pPr>
      <w:r>
        <w:rPr>
          <w:rFonts w:ascii="Arial" w:hAnsi="Arial" w:cs="Arial"/>
          <w:b/>
          <w:bCs/>
        </w:rPr>
        <w:t>7.1.</w:t>
      </w:r>
      <w:r w:rsidR="003844ED">
        <w:rPr>
          <w:rFonts w:ascii="Arial" w:hAnsi="Arial" w:cs="Arial"/>
          <w:b/>
          <w:bCs/>
        </w:rPr>
        <w:t>2</w:t>
      </w:r>
      <w:r>
        <w:rPr>
          <w:rFonts w:ascii="Arial" w:hAnsi="Arial" w:cs="Arial"/>
          <w:b/>
          <w:bCs/>
        </w:rPr>
        <w:t xml:space="preserve"> </w:t>
      </w:r>
      <w:r w:rsidR="00B154FA">
        <w:rPr>
          <w:rFonts w:ascii="Arial" w:hAnsi="Arial" w:cs="Arial"/>
          <w:b/>
          <w:bCs/>
        </w:rPr>
        <w:t xml:space="preserve">HNY ICB’s </w:t>
      </w:r>
      <w:r w:rsidR="00814992">
        <w:rPr>
          <w:rFonts w:ascii="Arial" w:hAnsi="Arial" w:cs="Arial"/>
          <w:b/>
          <w:bCs/>
        </w:rPr>
        <w:t>tender outcome letter</w:t>
      </w:r>
      <w:r w:rsidR="00B154FA">
        <w:rPr>
          <w:rFonts w:ascii="Arial" w:hAnsi="Arial" w:cs="Arial"/>
          <w:b/>
          <w:bCs/>
        </w:rPr>
        <w:t xml:space="preserve"> </w:t>
      </w:r>
      <w:r w:rsidR="005A4A57">
        <w:rPr>
          <w:rFonts w:ascii="Arial" w:hAnsi="Arial" w:cs="Arial"/>
          <w:b/>
          <w:bCs/>
        </w:rPr>
        <w:t>to Barkhill</w:t>
      </w:r>
    </w:p>
    <w:p w14:paraId="1099FDF5" w14:textId="68038933" w:rsidR="004B3AF7" w:rsidRDefault="007E5622" w:rsidP="00243DE0">
      <w:pPr>
        <w:pStyle w:val="ListParagraph"/>
        <w:numPr>
          <w:ilvl w:val="0"/>
          <w:numId w:val="2"/>
        </w:numPr>
        <w:spacing w:line="276" w:lineRule="auto"/>
        <w:ind w:left="567" w:hanging="567"/>
        <w:contextualSpacing w:val="0"/>
        <w:rPr>
          <w:rFonts w:ascii="Arial" w:hAnsi="Arial" w:cs="Arial"/>
        </w:rPr>
      </w:pPr>
      <w:r w:rsidRPr="001E0A79">
        <w:rPr>
          <w:rFonts w:ascii="Arial" w:hAnsi="Arial" w:cs="Arial"/>
        </w:rPr>
        <w:t xml:space="preserve">Barkhill told the Panel that </w:t>
      </w:r>
      <w:r w:rsidR="004B3AF7">
        <w:rPr>
          <w:rFonts w:ascii="Arial" w:hAnsi="Arial" w:cs="Arial"/>
        </w:rPr>
        <w:t>“</w:t>
      </w:r>
      <w:r w:rsidR="00C7479E">
        <w:rPr>
          <w:rFonts w:ascii="Arial" w:hAnsi="Arial" w:cs="Arial"/>
        </w:rPr>
        <w:t xml:space="preserve">if it is the case that each metric for the relevant grade was in fact considered by the evaluators in each instance, the authority has failed to provide the reasons </w:t>
      </w:r>
      <w:r w:rsidR="00FE636D">
        <w:rPr>
          <w:rFonts w:ascii="Arial" w:hAnsi="Arial" w:cs="Arial"/>
        </w:rPr>
        <w:t xml:space="preserve">[in the tender outcome letter] </w:t>
      </w:r>
      <w:r w:rsidR="00C7479E">
        <w:rPr>
          <w:rFonts w:ascii="Arial" w:hAnsi="Arial" w:cs="Arial"/>
        </w:rPr>
        <w:t>for which the evaluators con</w:t>
      </w:r>
      <w:r w:rsidR="00807910">
        <w:rPr>
          <w:rFonts w:ascii="Arial" w:hAnsi="Arial" w:cs="Arial"/>
        </w:rPr>
        <w:t xml:space="preserve">sidered each metric to be met … this failure has prevented proper scrutiny of the award decision” (see paragraph </w:t>
      </w:r>
      <w:r w:rsidR="00761A68">
        <w:rPr>
          <w:rFonts w:ascii="Arial" w:hAnsi="Arial" w:cs="Arial"/>
        </w:rPr>
        <w:t>44</w:t>
      </w:r>
      <w:r w:rsidR="00807910">
        <w:rPr>
          <w:rFonts w:ascii="Arial" w:hAnsi="Arial" w:cs="Arial"/>
        </w:rPr>
        <w:t>).</w:t>
      </w:r>
    </w:p>
    <w:p w14:paraId="36BCBBE7" w14:textId="7A470C67" w:rsidR="00EE0BC0" w:rsidRDefault="00EE0BC0" w:rsidP="00EE0BC0">
      <w:pPr>
        <w:pStyle w:val="ListParagraph"/>
        <w:numPr>
          <w:ilvl w:val="0"/>
          <w:numId w:val="2"/>
        </w:numPr>
        <w:spacing w:line="276" w:lineRule="auto"/>
        <w:ind w:left="567" w:hanging="567"/>
        <w:contextualSpacing w:val="0"/>
        <w:rPr>
          <w:rFonts w:ascii="Arial" w:hAnsi="Arial" w:cs="Arial"/>
        </w:rPr>
      </w:pPr>
      <w:r w:rsidRPr="009E377A">
        <w:rPr>
          <w:rFonts w:ascii="Arial" w:hAnsi="Arial" w:cs="Arial"/>
        </w:rPr>
        <w:t xml:space="preserve">The Panel reviewed the tender outcome letter sent to Barkhill and notes that the reasons contained in the letter are consistent with the feedback comments agreed by evaluators in the evaluation process. These comments, as set out in paragraph </w:t>
      </w:r>
      <w:r w:rsidR="002307EC">
        <w:rPr>
          <w:rFonts w:ascii="Arial" w:hAnsi="Arial" w:cs="Arial"/>
        </w:rPr>
        <w:t>60</w:t>
      </w:r>
      <w:r w:rsidRPr="009E377A">
        <w:rPr>
          <w:rFonts w:ascii="Arial" w:hAnsi="Arial" w:cs="Arial"/>
        </w:rPr>
        <w:t xml:space="preserve">, described specific aspects of each response that were viewed as positive or negative, notable or compliant, often supplemented with an explanation. The feedback also included comments on </w:t>
      </w:r>
      <w:r>
        <w:rPr>
          <w:rFonts w:ascii="Arial" w:hAnsi="Arial" w:cs="Arial"/>
        </w:rPr>
        <w:t xml:space="preserve">how a response </w:t>
      </w:r>
      <w:r w:rsidRPr="009E377A">
        <w:rPr>
          <w:rFonts w:ascii="Arial" w:hAnsi="Arial" w:cs="Arial"/>
        </w:rPr>
        <w:t xml:space="preserve">might have </w:t>
      </w:r>
      <w:r>
        <w:rPr>
          <w:rFonts w:ascii="Arial" w:hAnsi="Arial" w:cs="Arial"/>
        </w:rPr>
        <w:t xml:space="preserve">been </w:t>
      </w:r>
      <w:r w:rsidRPr="009E377A">
        <w:rPr>
          <w:rFonts w:ascii="Arial" w:hAnsi="Arial" w:cs="Arial"/>
        </w:rPr>
        <w:t>improved.</w:t>
      </w:r>
    </w:p>
    <w:p w14:paraId="6C207E0E" w14:textId="0C0F0F81" w:rsidR="00701765" w:rsidRDefault="000C0BDD" w:rsidP="1F838B14">
      <w:pPr>
        <w:pStyle w:val="ListParagraph"/>
        <w:numPr>
          <w:ilvl w:val="0"/>
          <w:numId w:val="2"/>
        </w:numPr>
        <w:spacing w:line="276" w:lineRule="auto"/>
        <w:ind w:left="567" w:hanging="567"/>
        <w:contextualSpacing w:val="0"/>
        <w:rPr>
          <w:rFonts w:ascii="Arial" w:hAnsi="Arial" w:cs="Arial"/>
        </w:rPr>
      </w:pPr>
      <w:r w:rsidRPr="1F838B14">
        <w:rPr>
          <w:rFonts w:ascii="Arial" w:hAnsi="Arial" w:cs="Arial"/>
        </w:rPr>
        <w:t xml:space="preserve">The PSR regulations require that commissioners </w:t>
      </w:r>
      <w:r w:rsidR="00316A70">
        <w:rPr>
          <w:rFonts w:ascii="Arial" w:hAnsi="Arial" w:cs="Arial"/>
        </w:rPr>
        <w:t>inform</w:t>
      </w:r>
      <w:r w:rsidR="0BA51A69" w:rsidRPr="1F838B14">
        <w:rPr>
          <w:rFonts w:ascii="Arial" w:hAnsi="Arial" w:cs="Arial"/>
        </w:rPr>
        <w:t xml:space="preserve"> </w:t>
      </w:r>
      <w:r w:rsidR="00316A70" w:rsidRPr="1F838B14">
        <w:rPr>
          <w:rFonts w:ascii="Arial" w:hAnsi="Arial" w:cs="Arial"/>
        </w:rPr>
        <w:t xml:space="preserve">unsuccessful bidders that their offer has been unsuccessful giving </w:t>
      </w:r>
      <w:r w:rsidR="006142A9" w:rsidRPr="1F838B14">
        <w:rPr>
          <w:rFonts w:ascii="Arial" w:hAnsi="Arial" w:cs="Arial"/>
        </w:rPr>
        <w:t>the reason</w:t>
      </w:r>
      <w:r w:rsidR="363C11FB" w:rsidRPr="1F838B14">
        <w:rPr>
          <w:rFonts w:ascii="Arial" w:hAnsi="Arial" w:cs="Arial"/>
        </w:rPr>
        <w:t>s</w:t>
      </w:r>
      <w:r w:rsidR="006142A9" w:rsidRPr="1F838B14">
        <w:rPr>
          <w:rFonts w:ascii="Arial" w:hAnsi="Arial" w:cs="Arial"/>
        </w:rPr>
        <w:t xml:space="preserve"> why the successful provider was successful and the unsuccessful provider was unsuccessful (Regulation </w:t>
      </w:r>
      <w:r w:rsidR="004A025C" w:rsidRPr="1F838B14">
        <w:rPr>
          <w:rFonts w:ascii="Arial" w:hAnsi="Arial" w:cs="Arial"/>
        </w:rPr>
        <w:t>11(8)(b) and Schedule 9, paras 3 and 4).</w:t>
      </w:r>
    </w:p>
    <w:p w14:paraId="4F678D16" w14:textId="6F445DC2" w:rsidR="00701765" w:rsidRDefault="00701765" w:rsidP="00701765">
      <w:pPr>
        <w:pStyle w:val="ListParagraph"/>
        <w:numPr>
          <w:ilvl w:val="0"/>
          <w:numId w:val="2"/>
        </w:numPr>
        <w:spacing w:line="276" w:lineRule="auto"/>
        <w:ind w:left="567" w:hanging="567"/>
        <w:contextualSpacing w:val="0"/>
        <w:rPr>
          <w:rFonts w:ascii="Arial" w:hAnsi="Arial" w:cs="Arial"/>
        </w:rPr>
      </w:pPr>
      <w:r>
        <w:rPr>
          <w:rFonts w:ascii="Arial" w:hAnsi="Arial" w:cs="Arial"/>
        </w:rPr>
        <w:t>The Panel does not consider that th</w:t>
      </w:r>
      <w:r w:rsidR="00EE0BC0">
        <w:rPr>
          <w:rFonts w:ascii="Arial" w:hAnsi="Arial" w:cs="Arial"/>
        </w:rPr>
        <w:t xml:space="preserve">e PSR regulations </w:t>
      </w:r>
      <w:r>
        <w:rPr>
          <w:rFonts w:ascii="Arial" w:hAnsi="Arial" w:cs="Arial"/>
        </w:rPr>
        <w:t>require commissioners to give explicit feedback on how each and every element of the grade definition was met</w:t>
      </w:r>
      <w:r w:rsidR="00B10425">
        <w:rPr>
          <w:rFonts w:ascii="Arial" w:hAnsi="Arial" w:cs="Arial"/>
        </w:rPr>
        <w:t xml:space="preserve">, and how </w:t>
      </w:r>
      <w:r w:rsidR="0042315A">
        <w:rPr>
          <w:rFonts w:ascii="Arial" w:hAnsi="Arial" w:cs="Arial"/>
        </w:rPr>
        <w:t>elements of the grade definitions for higher scores were not met</w:t>
      </w:r>
      <w:r>
        <w:rPr>
          <w:rFonts w:ascii="Arial" w:hAnsi="Arial" w:cs="Arial"/>
        </w:rPr>
        <w:t xml:space="preserve">. The Panel </w:t>
      </w:r>
      <w:r w:rsidR="00F76341" w:rsidDel="00327CC9">
        <w:rPr>
          <w:rFonts w:ascii="Arial" w:hAnsi="Arial" w:cs="Arial"/>
        </w:rPr>
        <w:lastRenderedPageBreak/>
        <w:t xml:space="preserve">considers that </w:t>
      </w:r>
      <w:r>
        <w:rPr>
          <w:rFonts w:ascii="Arial" w:hAnsi="Arial" w:cs="Arial"/>
        </w:rPr>
        <w:t>such a requirement would be both disproportionate</w:t>
      </w:r>
      <w:r w:rsidR="0042315A">
        <w:rPr>
          <w:rFonts w:ascii="Arial" w:hAnsi="Arial" w:cs="Arial"/>
        </w:rPr>
        <w:t xml:space="preserve"> for commissioners</w:t>
      </w:r>
      <w:r>
        <w:rPr>
          <w:rFonts w:ascii="Arial" w:hAnsi="Arial" w:cs="Arial"/>
        </w:rPr>
        <w:t xml:space="preserve">, and unhelpful for unsuccessful bidders who would be likely to benefit more from </w:t>
      </w:r>
      <w:r w:rsidR="0042315A">
        <w:rPr>
          <w:rFonts w:ascii="Arial" w:hAnsi="Arial" w:cs="Arial"/>
        </w:rPr>
        <w:t>the style of feedback described</w:t>
      </w:r>
      <w:r w:rsidR="00F76341" w:rsidDel="00327CC9">
        <w:rPr>
          <w:rFonts w:ascii="Arial" w:hAnsi="Arial" w:cs="Arial"/>
        </w:rPr>
        <w:t xml:space="preserve"> in the </w:t>
      </w:r>
      <w:r w:rsidR="0042315A">
        <w:rPr>
          <w:rFonts w:ascii="Arial" w:hAnsi="Arial" w:cs="Arial"/>
        </w:rPr>
        <w:t>previous paragraph.</w:t>
      </w:r>
    </w:p>
    <w:p w14:paraId="34F95BC1" w14:textId="630553BE" w:rsidR="00653F21" w:rsidRDefault="00495B90" w:rsidP="00243DE0">
      <w:pPr>
        <w:pStyle w:val="ListParagraph"/>
        <w:numPr>
          <w:ilvl w:val="0"/>
          <w:numId w:val="2"/>
        </w:numPr>
        <w:spacing w:line="276" w:lineRule="auto"/>
        <w:ind w:left="567" w:hanging="567"/>
        <w:contextualSpacing w:val="0"/>
        <w:rPr>
          <w:rFonts w:ascii="Arial" w:hAnsi="Arial" w:cs="Arial"/>
        </w:rPr>
      </w:pPr>
      <w:r>
        <w:rPr>
          <w:rFonts w:ascii="Arial" w:hAnsi="Arial" w:cs="Arial"/>
        </w:rPr>
        <w:t>In summary, t</w:t>
      </w:r>
      <w:r w:rsidR="00243DE0">
        <w:rPr>
          <w:rFonts w:ascii="Arial" w:hAnsi="Arial" w:cs="Arial"/>
        </w:rPr>
        <w:t>he Panel finds that HNY ICB’s tender outcome letter did not breach its obligations under Regulation 11(8)(b) and Schedule 9 to provide Barkhill with “the reasons why the successful provider was successful” and “the reasons why the unsuccessful provider was unsuccessful”.</w:t>
      </w:r>
    </w:p>
    <w:p w14:paraId="24AFBDCB" w14:textId="1984B668" w:rsidR="00AE61DB" w:rsidRPr="00FC2A17" w:rsidRDefault="00EC1884" w:rsidP="00FC2A17">
      <w:pPr>
        <w:pStyle w:val="Heading2"/>
        <w:numPr>
          <w:ilvl w:val="1"/>
          <w:numId w:val="1"/>
        </w:numPr>
        <w:spacing w:before="240" w:after="160"/>
        <w:ind w:left="0" w:firstLine="0"/>
        <w:rPr>
          <w:rFonts w:ascii="Arial" w:hAnsi="Arial" w:cs="Arial"/>
          <w:b/>
          <w:color w:val="000000" w:themeColor="text1"/>
          <w:sz w:val="24"/>
          <w:szCs w:val="24"/>
        </w:rPr>
      </w:pPr>
      <w:bookmarkStart w:id="19" w:name="_Toc198745107"/>
      <w:r>
        <w:rPr>
          <w:rFonts w:ascii="Arial" w:hAnsi="Arial" w:cs="Arial"/>
          <w:b/>
          <w:bCs/>
          <w:color w:val="000000" w:themeColor="text1"/>
          <w:sz w:val="24"/>
          <w:szCs w:val="24"/>
        </w:rPr>
        <w:t>HNY ICB’s n</w:t>
      </w:r>
      <w:r w:rsidR="00BC240C" w:rsidRPr="00FC2A17">
        <w:rPr>
          <w:rFonts w:ascii="Arial" w:hAnsi="Arial" w:cs="Arial"/>
          <w:b/>
          <w:bCs/>
          <w:color w:val="000000" w:themeColor="text1"/>
          <w:sz w:val="24"/>
          <w:szCs w:val="24"/>
        </w:rPr>
        <w:t xml:space="preserve">otice </w:t>
      </w:r>
      <w:r w:rsidR="00B85C48">
        <w:rPr>
          <w:rFonts w:ascii="Arial" w:hAnsi="Arial" w:cs="Arial"/>
          <w:b/>
          <w:bCs/>
          <w:color w:val="000000" w:themeColor="text1"/>
          <w:sz w:val="24"/>
          <w:szCs w:val="24"/>
        </w:rPr>
        <w:t>of intention to make a</w:t>
      </w:r>
      <w:r w:rsidR="003023BA">
        <w:rPr>
          <w:rFonts w:ascii="Arial" w:hAnsi="Arial" w:cs="Arial"/>
          <w:b/>
          <w:bCs/>
          <w:color w:val="000000" w:themeColor="text1"/>
          <w:sz w:val="24"/>
          <w:szCs w:val="24"/>
        </w:rPr>
        <w:t xml:space="preserve"> contract</w:t>
      </w:r>
      <w:r w:rsidR="00B85C48">
        <w:rPr>
          <w:rFonts w:ascii="Arial" w:hAnsi="Arial" w:cs="Arial"/>
          <w:b/>
          <w:bCs/>
          <w:color w:val="000000" w:themeColor="text1"/>
          <w:sz w:val="24"/>
          <w:szCs w:val="24"/>
        </w:rPr>
        <w:t xml:space="preserve"> award</w:t>
      </w:r>
      <w:bookmarkEnd w:id="19"/>
    </w:p>
    <w:p w14:paraId="03C09E55" w14:textId="170CE55B" w:rsidR="00366464" w:rsidRPr="002918DC" w:rsidRDefault="00366464" w:rsidP="00AE61DB">
      <w:pPr>
        <w:pStyle w:val="ListParagraph"/>
        <w:numPr>
          <w:ilvl w:val="0"/>
          <w:numId w:val="2"/>
        </w:numPr>
        <w:spacing w:line="276" w:lineRule="auto"/>
        <w:ind w:left="567" w:hanging="567"/>
        <w:contextualSpacing w:val="0"/>
        <w:rPr>
          <w:rFonts w:ascii="Arial" w:hAnsi="Arial" w:cs="Arial"/>
        </w:rPr>
      </w:pPr>
      <w:r w:rsidRPr="002918DC">
        <w:rPr>
          <w:rFonts w:ascii="Arial" w:hAnsi="Arial" w:cs="Arial"/>
        </w:rPr>
        <w:t>HNY ICB published a notice of intention to make a</w:t>
      </w:r>
      <w:r w:rsidR="008A76DA">
        <w:rPr>
          <w:rFonts w:ascii="Arial" w:hAnsi="Arial" w:cs="Arial"/>
        </w:rPr>
        <w:t xml:space="preserve"> contract</w:t>
      </w:r>
      <w:r w:rsidRPr="002918DC">
        <w:rPr>
          <w:rFonts w:ascii="Arial" w:hAnsi="Arial" w:cs="Arial"/>
        </w:rPr>
        <w:t xml:space="preserve"> award </w:t>
      </w:r>
      <w:r w:rsidR="00FA340B">
        <w:rPr>
          <w:rFonts w:ascii="Arial" w:hAnsi="Arial" w:cs="Arial"/>
        </w:rPr>
        <w:t xml:space="preserve">(notice of intention) </w:t>
      </w:r>
      <w:r w:rsidRPr="002918DC">
        <w:rPr>
          <w:rFonts w:ascii="Arial" w:hAnsi="Arial" w:cs="Arial"/>
        </w:rPr>
        <w:t>o</w:t>
      </w:r>
      <w:r w:rsidR="007F24CC" w:rsidRPr="002918DC">
        <w:rPr>
          <w:rFonts w:ascii="Arial" w:hAnsi="Arial" w:cs="Arial"/>
        </w:rPr>
        <w:t>n 10 December 2024</w:t>
      </w:r>
      <w:r w:rsidR="000E0F10">
        <w:rPr>
          <w:rFonts w:ascii="Arial" w:hAnsi="Arial" w:cs="Arial"/>
        </w:rPr>
        <w:t xml:space="preserve"> </w:t>
      </w:r>
      <w:r w:rsidR="0039196A">
        <w:rPr>
          <w:rFonts w:ascii="Arial" w:hAnsi="Arial" w:cs="Arial"/>
        </w:rPr>
        <w:t>followed by</w:t>
      </w:r>
      <w:r w:rsidR="000E0F10">
        <w:rPr>
          <w:rFonts w:ascii="Arial" w:hAnsi="Arial" w:cs="Arial"/>
        </w:rPr>
        <w:t xml:space="preserve"> corrigenda to this notice on </w:t>
      </w:r>
      <w:r w:rsidR="000E0F10" w:rsidRPr="002918DC">
        <w:rPr>
          <w:rFonts w:ascii="Arial" w:hAnsi="Arial" w:cs="Arial"/>
        </w:rPr>
        <w:t>13 January and 7</w:t>
      </w:r>
      <w:r w:rsidR="005A1D3B">
        <w:rPr>
          <w:rFonts w:ascii="Arial" w:hAnsi="Arial" w:cs="Arial"/>
        </w:rPr>
        <w:t> </w:t>
      </w:r>
      <w:r w:rsidR="000E0F10" w:rsidRPr="002918DC">
        <w:rPr>
          <w:rFonts w:ascii="Arial" w:hAnsi="Arial" w:cs="Arial"/>
        </w:rPr>
        <w:t>March 2025</w:t>
      </w:r>
      <w:r w:rsidR="007F24CC" w:rsidRPr="002918DC">
        <w:rPr>
          <w:rFonts w:ascii="Arial" w:hAnsi="Arial" w:cs="Arial"/>
        </w:rPr>
        <w:t>.</w:t>
      </w:r>
      <w:r w:rsidR="00847098">
        <w:rPr>
          <w:rStyle w:val="FootnoteReference"/>
          <w:rFonts w:ascii="Arial" w:hAnsi="Arial" w:cs="Arial"/>
        </w:rPr>
        <w:footnoteReference w:id="27"/>
      </w:r>
    </w:p>
    <w:p w14:paraId="52A72D48" w14:textId="51AC6935" w:rsidR="00D302A9" w:rsidRPr="002918DC" w:rsidRDefault="005E70CA" w:rsidP="00D9044B">
      <w:pPr>
        <w:pStyle w:val="ListParagraph"/>
        <w:numPr>
          <w:ilvl w:val="0"/>
          <w:numId w:val="2"/>
        </w:numPr>
        <w:spacing w:line="276" w:lineRule="auto"/>
        <w:ind w:left="567" w:hanging="567"/>
        <w:rPr>
          <w:rFonts w:ascii="Arial" w:hAnsi="Arial" w:cs="Arial"/>
        </w:rPr>
      </w:pPr>
      <w:bookmarkStart w:id="20" w:name="_Ref195690874"/>
      <w:r w:rsidRPr="002918DC">
        <w:rPr>
          <w:rFonts w:ascii="Arial" w:hAnsi="Arial" w:cs="Arial"/>
        </w:rPr>
        <w:t>Barkhill’s concerns about the notice</w:t>
      </w:r>
      <w:r w:rsidR="00997BF9">
        <w:rPr>
          <w:rFonts w:ascii="Arial" w:hAnsi="Arial" w:cs="Arial"/>
        </w:rPr>
        <w:t xml:space="preserve"> of intention</w:t>
      </w:r>
      <w:r w:rsidR="00F72E5A">
        <w:rPr>
          <w:rFonts w:ascii="Arial" w:hAnsi="Arial" w:cs="Arial"/>
        </w:rPr>
        <w:t xml:space="preserve"> published on 10</w:t>
      </w:r>
      <w:r w:rsidR="005A1D3B">
        <w:rPr>
          <w:rFonts w:ascii="Arial" w:hAnsi="Arial" w:cs="Arial"/>
        </w:rPr>
        <w:t> </w:t>
      </w:r>
      <w:r w:rsidR="00F72E5A">
        <w:rPr>
          <w:rFonts w:ascii="Arial" w:hAnsi="Arial" w:cs="Arial"/>
        </w:rPr>
        <w:t>December 2024</w:t>
      </w:r>
      <w:r w:rsidR="007D695D">
        <w:rPr>
          <w:rFonts w:ascii="Arial" w:hAnsi="Arial" w:cs="Arial"/>
        </w:rPr>
        <w:t xml:space="preserve"> </w:t>
      </w:r>
      <w:r w:rsidRPr="002918DC">
        <w:rPr>
          <w:rFonts w:ascii="Arial" w:hAnsi="Arial" w:cs="Arial"/>
        </w:rPr>
        <w:t xml:space="preserve">are set out in its letter to </w:t>
      </w:r>
      <w:r w:rsidR="0002625F" w:rsidRPr="002918DC">
        <w:rPr>
          <w:rFonts w:ascii="Arial" w:hAnsi="Arial" w:cs="Arial"/>
        </w:rPr>
        <w:t>HNY ICB on</w:t>
      </w:r>
      <w:r w:rsidR="000561DE" w:rsidRPr="002918DC">
        <w:rPr>
          <w:rFonts w:ascii="Arial" w:hAnsi="Arial" w:cs="Arial"/>
        </w:rPr>
        <w:t xml:space="preserve"> 19 December</w:t>
      </w:r>
      <w:r w:rsidR="00261532">
        <w:rPr>
          <w:rFonts w:ascii="Arial" w:hAnsi="Arial" w:cs="Arial"/>
        </w:rPr>
        <w:t xml:space="preserve"> (and re</w:t>
      </w:r>
      <w:r w:rsidR="005F41D3">
        <w:rPr>
          <w:rFonts w:ascii="Arial" w:hAnsi="Arial" w:cs="Arial"/>
        </w:rPr>
        <w:t xml:space="preserve">ferenced in its </w:t>
      </w:r>
      <w:r w:rsidR="00C43269">
        <w:rPr>
          <w:rFonts w:ascii="Arial" w:hAnsi="Arial" w:cs="Arial"/>
        </w:rPr>
        <w:t>formal representation on 23 December)</w:t>
      </w:r>
      <w:r w:rsidR="005A33DF">
        <w:rPr>
          <w:rFonts w:ascii="Arial" w:hAnsi="Arial" w:cs="Arial"/>
        </w:rPr>
        <w:t xml:space="preserve">. These </w:t>
      </w:r>
      <w:r w:rsidR="00AB3B25">
        <w:rPr>
          <w:rFonts w:ascii="Arial" w:hAnsi="Arial" w:cs="Arial"/>
        </w:rPr>
        <w:t xml:space="preserve">concerns are </w:t>
      </w:r>
      <w:r w:rsidR="005A33DF">
        <w:rPr>
          <w:rFonts w:ascii="Arial" w:hAnsi="Arial" w:cs="Arial"/>
        </w:rPr>
        <w:t>that</w:t>
      </w:r>
      <w:r w:rsidR="003B4CDB" w:rsidRPr="002918DC">
        <w:rPr>
          <w:rFonts w:ascii="Arial" w:hAnsi="Arial" w:cs="Arial"/>
        </w:rPr>
        <w:t>:</w:t>
      </w:r>
      <w:bookmarkEnd w:id="20"/>
    </w:p>
    <w:p w14:paraId="0666D8CD" w14:textId="660180C0" w:rsidR="003B4CDB" w:rsidRDefault="002918DC" w:rsidP="003B4CDB">
      <w:pPr>
        <w:pStyle w:val="ListParagraph"/>
        <w:numPr>
          <w:ilvl w:val="0"/>
          <w:numId w:val="6"/>
        </w:numPr>
        <w:spacing w:line="276" w:lineRule="auto"/>
        <w:ind w:left="1349" w:hanging="357"/>
        <w:rPr>
          <w:rFonts w:ascii="Arial" w:hAnsi="Arial" w:cs="Arial"/>
        </w:rPr>
      </w:pPr>
      <w:r w:rsidRPr="002918DC">
        <w:rPr>
          <w:rFonts w:ascii="Arial" w:hAnsi="Arial" w:cs="Arial"/>
        </w:rPr>
        <w:t xml:space="preserve">the notice </w:t>
      </w:r>
      <w:r w:rsidR="00A25E87">
        <w:rPr>
          <w:rFonts w:ascii="Arial" w:hAnsi="Arial" w:cs="Arial"/>
        </w:rPr>
        <w:t xml:space="preserve">of intention </w:t>
      </w:r>
      <w:r w:rsidR="00E1693D">
        <w:rPr>
          <w:rFonts w:ascii="Arial" w:hAnsi="Arial" w:cs="Arial"/>
        </w:rPr>
        <w:t>does not state the address of the registered office</w:t>
      </w:r>
      <w:r w:rsidR="006B2E5C">
        <w:rPr>
          <w:rFonts w:ascii="Arial" w:hAnsi="Arial" w:cs="Arial"/>
        </w:rPr>
        <w:t xml:space="preserve"> or principal place of business of the successful providers;</w:t>
      </w:r>
    </w:p>
    <w:p w14:paraId="131938B0" w14:textId="62B5297A" w:rsidR="002918DC" w:rsidRDefault="00B12932" w:rsidP="003B4CDB">
      <w:pPr>
        <w:pStyle w:val="ListParagraph"/>
        <w:numPr>
          <w:ilvl w:val="0"/>
          <w:numId w:val="6"/>
        </w:numPr>
        <w:spacing w:line="276" w:lineRule="auto"/>
        <w:ind w:left="1349" w:hanging="357"/>
        <w:rPr>
          <w:rFonts w:ascii="Arial" w:hAnsi="Arial" w:cs="Arial"/>
        </w:rPr>
      </w:pPr>
      <w:r>
        <w:rPr>
          <w:rFonts w:ascii="Arial" w:hAnsi="Arial" w:cs="Arial"/>
        </w:rPr>
        <w:t xml:space="preserve">the notice </w:t>
      </w:r>
      <w:r w:rsidR="00A25E87">
        <w:rPr>
          <w:rFonts w:ascii="Arial" w:hAnsi="Arial" w:cs="Arial"/>
        </w:rPr>
        <w:t xml:space="preserve">of intention </w:t>
      </w:r>
      <w:r>
        <w:rPr>
          <w:rFonts w:ascii="Arial" w:hAnsi="Arial" w:cs="Arial"/>
        </w:rPr>
        <w:t>does not state the most relevant CPV code;</w:t>
      </w:r>
    </w:p>
    <w:p w14:paraId="04C054AC" w14:textId="5B052474" w:rsidR="002918DC" w:rsidRDefault="003F325E" w:rsidP="003B4CDB">
      <w:pPr>
        <w:pStyle w:val="ListParagraph"/>
        <w:numPr>
          <w:ilvl w:val="0"/>
          <w:numId w:val="6"/>
        </w:numPr>
        <w:spacing w:line="276" w:lineRule="auto"/>
        <w:ind w:left="1349" w:hanging="357"/>
        <w:rPr>
          <w:rFonts w:ascii="Arial" w:hAnsi="Arial" w:cs="Arial"/>
        </w:rPr>
      </w:pPr>
      <w:r>
        <w:rPr>
          <w:rFonts w:ascii="Arial" w:hAnsi="Arial" w:cs="Arial"/>
        </w:rPr>
        <w:t xml:space="preserve">the notice </w:t>
      </w:r>
      <w:r w:rsidR="00A25E87">
        <w:rPr>
          <w:rFonts w:ascii="Arial" w:hAnsi="Arial" w:cs="Arial"/>
        </w:rPr>
        <w:t xml:space="preserve">of intention </w:t>
      </w:r>
      <w:r>
        <w:rPr>
          <w:rFonts w:ascii="Arial" w:hAnsi="Arial" w:cs="Arial"/>
        </w:rPr>
        <w:t>fails to provide a statement explaining the decision makers’ reasons for selecting the chosen provider with reference to the key criteria; and</w:t>
      </w:r>
    </w:p>
    <w:p w14:paraId="6B93763A" w14:textId="6F546EFF" w:rsidR="002918DC" w:rsidRPr="002918DC" w:rsidRDefault="0000349C" w:rsidP="002918DC">
      <w:pPr>
        <w:pStyle w:val="ListParagraph"/>
        <w:numPr>
          <w:ilvl w:val="0"/>
          <w:numId w:val="6"/>
        </w:numPr>
        <w:spacing w:line="276" w:lineRule="auto"/>
        <w:ind w:left="1349" w:hanging="357"/>
        <w:contextualSpacing w:val="0"/>
        <w:rPr>
          <w:rFonts w:ascii="Arial" w:hAnsi="Arial" w:cs="Arial"/>
        </w:rPr>
      </w:pPr>
      <w:r>
        <w:rPr>
          <w:rFonts w:ascii="Arial" w:hAnsi="Arial" w:cs="Arial"/>
        </w:rPr>
        <w:t xml:space="preserve">the notice </w:t>
      </w:r>
      <w:r w:rsidR="00A25E87">
        <w:rPr>
          <w:rFonts w:ascii="Arial" w:hAnsi="Arial" w:cs="Arial"/>
        </w:rPr>
        <w:t xml:space="preserve">of intention </w:t>
      </w:r>
      <w:r>
        <w:rPr>
          <w:rFonts w:ascii="Arial" w:hAnsi="Arial" w:cs="Arial"/>
        </w:rPr>
        <w:t>fails to identify any declared conflicts of interest</w:t>
      </w:r>
      <w:r w:rsidR="00CB3E98">
        <w:rPr>
          <w:rFonts w:ascii="Arial" w:hAnsi="Arial" w:cs="Arial"/>
        </w:rPr>
        <w:t xml:space="preserve"> and to provide any information as to how </w:t>
      </w:r>
      <w:r w:rsidR="0042222E">
        <w:rPr>
          <w:rFonts w:ascii="Arial" w:hAnsi="Arial" w:cs="Arial"/>
        </w:rPr>
        <w:t xml:space="preserve">any </w:t>
      </w:r>
      <w:r w:rsidR="00CB3E98">
        <w:rPr>
          <w:rFonts w:ascii="Arial" w:hAnsi="Arial" w:cs="Arial"/>
        </w:rPr>
        <w:t xml:space="preserve">conflicts </w:t>
      </w:r>
      <w:r w:rsidR="0042222E">
        <w:rPr>
          <w:rFonts w:ascii="Arial" w:hAnsi="Arial" w:cs="Arial"/>
        </w:rPr>
        <w:t>or potential conflicts of interest were managed.</w:t>
      </w:r>
      <w:r w:rsidR="00E66584">
        <w:rPr>
          <w:rStyle w:val="FootnoteReference"/>
          <w:rFonts w:ascii="Arial" w:hAnsi="Arial" w:cs="Arial"/>
        </w:rPr>
        <w:footnoteReference w:id="28"/>
      </w:r>
    </w:p>
    <w:p w14:paraId="60F750C7" w14:textId="703752BA" w:rsidR="00425799" w:rsidRDefault="00C02C4F" w:rsidP="00DE6669">
      <w:pPr>
        <w:pStyle w:val="ListParagraph"/>
        <w:numPr>
          <w:ilvl w:val="0"/>
          <w:numId w:val="2"/>
        </w:numPr>
        <w:spacing w:line="276" w:lineRule="auto"/>
        <w:ind w:left="567" w:hanging="567"/>
        <w:contextualSpacing w:val="0"/>
        <w:rPr>
          <w:rFonts w:ascii="Arial" w:hAnsi="Arial" w:cs="Arial"/>
        </w:rPr>
      </w:pPr>
      <w:bookmarkStart w:id="21" w:name="_Ref195695220"/>
      <w:r>
        <w:rPr>
          <w:rFonts w:ascii="Arial" w:hAnsi="Arial" w:cs="Arial"/>
        </w:rPr>
        <w:t xml:space="preserve">Barkhill </w:t>
      </w:r>
      <w:r w:rsidR="00ED660A">
        <w:rPr>
          <w:rFonts w:ascii="Arial" w:hAnsi="Arial" w:cs="Arial"/>
        </w:rPr>
        <w:t>told the Panel that the</w:t>
      </w:r>
      <w:r w:rsidR="0097257F">
        <w:rPr>
          <w:rFonts w:ascii="Arial" w:hAnsi="Arial" w:cs="Arial"/>
        </w:rPr>
        <w:t xml:space="preserve"> deficiencies with the 10 December </w:t>
      </w:r>
      <w:r w:rsidR="00831A13">
        <w:rPr>
          <w:rFonts w:ascii="Arial" w:hAnsi="Arial" w:cs="Arial"/>
        </w:rPr>
        <w:t xml:space="preserve">2024 </w:t>
      </w:r>
      <w:r w:rsidR="0097257F">
        <w:rPr>
          <w:rFonts w:ascii="Arial" w:hAnsi="Arial" w:cs="Arial"/>
        </w:rPr>
        <w:t>notice meant that it was not va</w:t>
      </w:r>
      <w:r w:rsidR="00FF7E05">
        <w:rPr>
          <w:rFonts w:ascii="Arial" w:hAnsi="Arial" w:cs="Arial"/>
        </w:rPr>
        <w:t>lid to start the standstill period under Regulation 12(2).</w:t>
      </w:r>
      <w:r w:rsidR="00BE14A9">
        <w:rPr>
          <w:rFonts w:ascii="Arial" w:hAnsi="Arial" w:cs="Arial"/>
        </w:rPr>
        <w:t xml:space="preserve"> Moreover, </w:t>
      </w:r>
      <w:r w:rsidR="00D6487B">
        <w:rPr>
          <w:rFonts w:ascii="Arial" w:hAnsi="Arial" w:cs="Arial"/>
        </w:rPr>
        <w:t xml:space="preserve">it said that </w:t>
      </w:r>
      <w:r w:rsidR="00873B69">
        <w:rPr>
          <w:rFonts w:ascii="Arial" w:hAnsi="Arial" w:cs="Arial"/>
        </w:rPr>
        <w:t xml:space="preserve">the 10 December notice </w:t>
      </w:r>
      <w:r w:rsidR="00CD3D93">
        <w:rPr>
          <w:rFonts w:ascii="Arial" w:hAnsi="Arial" w:cs="Arial"/>
        </w:rPr>
        <w:t xml:space="preserve">took the form of a </w:t>
      </w:r>
      <w:r w:rsidR="00B71B99">
        <w:rPr>
          <w:rFonts w:ascii="Arial" w:hAnsi="Arial" w:cs="Arial"/>
        </w:rPr>
        <w:t xml:space="preserve">contract award </w:t>
      </w:r>
      <w:r w:rsidR="00CD3D93">
        <w:rPr>
          <w:rFonts w:ascii="Arial" w:hAnsi="Arial" w:cs="Arial"/>
        </w:rPr>
        <w:t>notice</w:t>
      </w:r>
      <w:r w:rsidR="00A25CEC">
        <w:rPr>
          <w:rFonts w:ascii="Arial" w:hAnsi="Arial" w:cs="Arial"/>
        </w:rPr>
        <w:t>, rather than a</w:t>
      </w:r>
      <w:r w:rsidR="00951626">
        <w:rPr>
          <w:rFonts w:ascii="Arial" w:hAnsi="Arial" w:cs="Arial"/>
        </w:rPr>
        <w:t xml:space="preserve"> notice of a</w:t>
      </w:r>
      <w:r w:rsidR="00A25CEC">
        <w:rPr>
          <w:rFonts w:ascii="Arial" w:hAnsi="Arial" w:cs="Arial"/>
        </w:rPr>
        <w:t>n intention</w:t>
      </w:r>
      <w:r w:rsidR="000776A1">
        <w:rPr>
          <w:rFonts w:ascii="Arial" w:hAnsi="Arial" w:cs="Arial"/>
        </w:rPr>
        <w:t xml:space="preserve">, thus </w:t>
      </w:r>
      <w:r w:rsidR="00FA7500">
        <w:rPr>
          <w:rFonts w:ascii="Arial" w:hAnsi="Arial" w:cs="Arial"/>
        </w:rPr>
        <w:t xml:space="preserve">potentially </w:t>
      </w:r>
      <w:r w:rsidR="000776A1">
        <w:rPr>
          <w:rFonts w:ascii="Arial" w:hAnsi="Arial" w:cs="Arial"/>
        </w:rPr>
        <w:t>misleading</w:t>
      </w:r>
      <w:r w:rsidR="00FA7500">
        <w:rPr>
          <w:rFonts w:ascii="Arial" w:hAnsi="Arial" w:cs="Arial"/>
        </w:rPr>
        <w:t xml:space="preserve"> parties that might </w:t>
      </w:r>
      <w:r w:rsidR="00951626">
        <w:rPr>
          <w:rFonts w:ascii="Arial" w:hAnsi="Arial" w:cs="Arial"/>
        </w:rPr>
        <w:t xml:space="preserve">have </w:t>
      </w:r>
      <w:r w:rsidR="00FA7500">
        <w:rPr>
          <w:rFonts w:ascii="Arial" w:hAnsi="Arial" w:cs="Arial"/>
        </w:rPr>
        <w:t>wish</w:t>
      </w:r>
      <w:r w:rsidR="00951626">
        <w:rPr>
          <w:rFonts w:ascii="Arial" w:hAnsi="Arial" w:cs="Arial"/>
        </w:rPr>
        <w:t>ed</w:t>
      </w:r>
      <w:r w:rsidR="00FA7500">
        <w:rPr>
          <w:rFonts w:ascii="Arial" w:hAnsi="Arial" w:cs="Arial"/>
        </w:rPr>
        <w:t xml:space="preserve"> to make representations about the provider selection process</w:t>
      </w:r>
      <w:r w:rsidR="0006702D">
        <w:rPr>
          <w:rFonts w:ascii="Arial" w:hAnsi="Arial" w:cs="Arial"/>
        </w:rPr>
        <w:t xml:space="preserve"> (see paragraph </w:t>
      </w:r>
      <w:r w:rsidR="00163B1F">
        <w:rPr>
          <w:rFonts w:ascii="Arial" w:hAnsi="Arial" w:cs="Arial"/>
        </w:rPr>
        <w:t>44</w:t>
      </w:r>
      <w:r w:rsidR="0006702D">
        <w:rPr>
          <w:rFonts w:ascii="Arial" w:hAnsi="Arial" w:cs="Arial"/>
        </w:rPr>
        <w:t>)</w:t>
      </w:r>
      <w:r w:rsidR="00FA7500">
        <w:rPr>
          <w:rFonts w:ascii="Arial" w:hAnsi="Arial" w:cs="Arial"/>
        </w:rPr>
        <w:t>.</w:t>
      </w:r>
      <w:bookmarkEnd w:id="21"/>
    </w:p>
    <w:p w14:paraId="5DD8ED30" w14:textId="14BDEA8A" w:rsidR="004C16D8" w:rsidRDefault="004C16D8" w:rsidP="004C16D8">
      <w:pPr>
        <w:pStyle w:val="ListParagraph"/>
        <w:numPr>
          <w:ilvl w:val="0"/>
          <w:numId w:val="2"/>
        </w:numPr>
        <w:spacing w:line="276" w:lineRule="auto"/>
        <w:ind w:left="567" w:hanging="567"/>
        <w:rPr>
          <w:rFonts w:ascii="Arial" w:hAnsi="Arial" w:cs="Arial"/>
        </w:rPr>
      </w:pPr>
      <w:r>
        <w:rPr>
          <w:rFonts w:ascii="Arial" w:hAnsi="Arial" w:cs="Arial"/>
        </w:rPr>
        <w:t xml:space="preserve">The Panel’s assessment of </w:t>
      </w:r>
      <w:r w:rsidR="006A7826">
        <w:rPr>
          <w:rFonts w:ascii="Arial" w:hAnsi="Arial" w:cs="Arial"/>
        </w:rPr>
        <w:t xml:space="preserve">Barkhill’s concerns regarding </w:t>
      </w:r>
      <w:r>
        <w:rPr>
          <w:rFonts w:ascii="Arial" w:hAnsi="Arial" w:cs="Arial"/>
        </w:rPr>
        <w:t xml:space="preserve">the </w:t>
      </w:r>
      <w:r w:rsidR="00965121">
        <w:rPr>
          <w:rFonts w:ascii="Arial" w:hAnsi="Arial" w:cs="Arial"/>
        </w:rPr>
        <w:t xml:space="preserve">notice of intention </w:t>
      </w:r>
      <w:r w:rsidR="008F4A2B">
        <w:rPr>
          <w:rFonts w:ascii="Arial" w:hAnsi="Arial" w:cs="Arial"/>
        </w:rPr>
        <w:t xml:space="preserve">is </w:t>
      </w:r>
      <w:r>
        <w:rPr>
          <w:rFonts w:ascii="Arial" w:hAnsi="Arial" w:cs="Arial"/>
        </w:rPr>
        <w:t>set out as follows:</w:t>
      </w:r>
    </w:p>
    <w:p w14:paraId="6C21AA54" w14:textId="54DB6B2D" w:rsidR="00B71DC4" w:rsidRDefault="00686AC6" w:rsidP="004C16D8">
      <w:pPr>
        <w:pStyle w:val="ListParagraph"/>
        <w:numPr>
          <w:ilvl w:val="0"/>
          <w:numId w:val="6"/>
        </w:numPr>
        <w:spacing w:line="276" w:lineRule="auto"/>
        <w:ind w:left="1349" w:hanging="357"/>
        <w:rPr>
          <w:rFonts w:ascii="Arial" w:hAnsi="Arial" w:cs="Arial"/>
        </w:rPr>
      </w:pPr>
      <w:r>
        <w:rPr>
          <w:rFonts w:ascii="Arial" w:hAnsi="Arial" w:cs="Arial"/>
        </w:rPr>
        <w:t xml:space="preserve">first, </w:t>
      </w:r>
      <w:r w:rsidR="00A40DB9">
        <w:rPr>
          <w:rFonts w:ascii="Arial" w:hAnsi="Arial" w:cs="Arial"/>
        </w:rPr>
        <w:t xml:space="preserve">events subsequent to the publication of the notice of intention </w:t>
      </w:r>
      <w:r w:rsidR="00DB02CC">
        <w:rPr>
          <w:rFonts w:ascii="Arial" w:hAnsi="Arial" w:cs="Arial"/>
        </w:rPr>
        <w:t>on 10</w:t>
      </w:r>
      <w:r w:rsidR="00A8566B">
        <w:rPr>
          <w:rFonts w:ascii="Arial" w:hAnsi="Arial" w:cs="Arial"/>
        </w:rPr>
        <w:t> </w:t>
      </w:r>
      <w:r w:rsidR="00DB02CC">
        <w:rPr>
          <w:rFonts w:ascii="Arial" w:hAnsi="Arial" w:cs="Arial"/>
        </w:rPr>
        <w:t>December 2024 are set out (</w:t>
      </w:r>
      <w:r>
        <w:rPr>
          <w:rFonts w:ascii="Arial" w:hAnsi="Arial" w:cs="Arial"/>
        </w:rPr>
        <w:t xml:space="preserve">see </w:t>
      </w:r>
      <w:r w:rsidR="00DB02CC">
        <w:rPr>
          <w:rFonts w:ascii="Arial" w:hAnsi="Arial" w:cs="Arial"/>
        </w:rPr>
        <w:t>Section 7.2.1);</w:t>
      </w:r>
    </w:p>
    <w:p w14:paraId="66104252" w14:textId="3FC21385" w:rsidR="004C16D8" w:rsidRDefault="00686AC6" w:rsidP="004C16D8">
      <w:pPr>
        <w:pStyle w:val="ListParagraph"/>
        <w:numPr>
          <w:ilvl w:val="0"/>
          <w:numId w:val="6"/>
        </w:numPr>
        <w:spacing w:line="276" w:lineRule="auto"/>
        <w:ind w:left="1349" w:hanging="357"/>
        <w:rPr>
          <w:rFonts w:ascii="Arial" w:hAnsi="Arial" w:cs="Arial"/>
        </w:rPr>
      </w:pPr>
      <w:r>
        <w:rPr>
          <w:rFonts w:ascii="Arial" w:hAnsi="Arial" w:cs="Arial"/>
        </w:rPr>
        <w:t xml:space="preserve">second, </w:t>
      </w:r>
      <w:r w:rsidR="00DB02CC">
        <w:rPr>
          <w:rFonts w:ascii="Arial" w:hAnsi="Arial" w:cs="Arial"/>
        </w:rPr>
        <w:t xml:space="preserve">Barkhill’s concerns about a lack of </w:t>
      </w:r>
      <w:r w:rsidR="004C16D8">
        <w:rPr>
          <w:rFonts w:ascii="Arial" w:hAnsi="Arial" w:cs="Arial"/>
        </w:rPr>
        <w:t xml:space="preserve">addresses </w:t>
      </w:r>
      <w:r w:rsidR="00DB02CC">
        <w:rPr>
          <w:rFonts w:ascii="Arial" w:hAnsi="Arial" w:cs="Arial"/>
        </w:rPr>
        <w:t>for</w:t>
      </w:r>
      <w:r w:rsidR="004C16D8">
        <w:rPr>
          <w:rFonts w:ascii="Arial" w:hAnsi="Arial" w:cs="Arial"/>
        </w:rPr>
        <w:t xml:space="preserve"> the successful bidders </w:t>
      </w:r>
      <w:r w:rsidR="00DB02CC">
        <w:rPr>
          <w:rFonts w:ascii="Arial" w:hAnsi="Arial" w:cs="Arial"/>
        </w:rPr>
        <w:t xml:space="preserve">are discussed </w:t>
      </w:r>
      <w:r w:rsidR="004C16D8">
        <w:rPr>
          <w:rFonts w:ascii="Arial" w:hAnsi="Arial" w:cs="Arial"/>
        </w:rPr>
        <w:t>(</w:t>
      </w:r>
      <w:r>
        <w:rPr>
          <w:rFonts w:ascii="Arial" w:hAnsi="Arial" w:cs="Arial"/>
        </w:rPr>
        <w:t xml:space="preserve">see </w:t>
      </w:r>
      <w:r w:rsidR="004C16D8">
        <w:rPr>
          <w:rFonts w:ascii="Arial" w:hAnsi="Arial" w:cs="Arial"/>
        </w:rPr>
        <w:t>Section 7.2.</w:t>
      </w:r>
      <w:r w:rsidR="009D50A0">
        <w:rPr>
          <w:rFonts w:ascii="Arial" w:hAnsi="Arial" w:cs="Arial"/>
        </w:rPr>
        <w:t>2</w:t>
      </w:r>
      <w:r w:rsidR="004C16D8">
        <w:rPr>
          <w:rFonts w:ascii="Arial" w:hAnsi="Arial" w:cs="Arial"/>
        </w:rPr>
        <w:t>);</w:t>
      </w:r>
    </w:p>
    <w:p w14:paraId="18CD359C" w14:textId="50E13DEA" w:rsidR="004C16D8" w:rsidRDefault="00686AC6" w:rsidP="004C16D8">
      <w:pPr>
        <w:pStyle w:val="ListParagraph"/>
        <w:numPr>
          <w:ilvl w:val="0"/>
          <w:numId w:val="6"/>
        </w:numPr>
        <w:spacing w:line="276" w:lineRule="auto"/>
        <w:ind w:left="1349" w:hanging="357"/>
        <w:rPr>
          <w:rFonts w:ascii="Arial" w:hAnsi="Arial" w:cs="Arial"/>
        </w:rPr>
      </w:pPr>
      <w:r>
        <w:rPr>
          <w:rFonts w:ascii="Arial" w:hAnsi="Arial" w:cs="Arial"/>
        </w:rPr>
        <w:t xml:space="preserve">third, </w:t>
      </w:r>
      <w:r w:rsidR="00DB02CC">
        <w:rPr>
          <w:rFonts w:ascii="Arial" w:hAnsi="Arial" w:cs="Arial"/>
        </w:rPr>
        <w:t xml:space="preserve">Barkhill’s concerns about the use of inappropriate </w:t>
      </w:r>
      <w:r w:rsidR="004C16D8">
        <w:rPr>
          <w:rFonts w:ascii="Arial" w:hAnsi="Arial" w:cs="Arial"/>
        </w:rPr>
        <w:t xml:space="preserve">CPV codes </w:t>
      </w:r>
      <w:r w:rsidR="00DB02CC">
        <w:rPr>
          <w:rFonts w:ascii="Arial" w:hAnsi="Arial" w:cs="Arial"/>
        </w:rPr>
        <w:t xml:space="preserve">in the notice are discussed </w:t>
      </w:r>
      <w:r w:rsidR="004C16D8">
        <w:rPr>
          <w:rFonts w:ascii="Arial" w:hAnsi="Arial" w:cs="Arial"/>
        </w:rPr>
        <w:t>(</w:t>
      </w:r>
      <w:r>
        <w:rPr>
          <w:rFonts w:ascii="Arial" w:hAnsi="Arial" w:cs="Arial"/>
        </w:rPr>
        <w:t xml:space="preserve">see </w:t>
      </w:r>
      <w:r w:rsidR="004C16D8">
        <w:rPr>
          <w:rFonts w:ascii="Arial" w:hAnsi="Arial" w:cs="Arial"/>
        </w:rPr>
        <w:t>Section 7.2.</w:t>
      </w:r>
      <w:r w:rsidR="009D50A0">
        <w:rPr>
          <w:rFonts w:ascii="Arial" w:hAnsi="Arial" w:cs="Arial"/>
        </w:rPr>
        <w:t>3</w:t>
      </w:r>
      <w:r w:rsidR="004C16D8">
        <w:rPr>
          <w:rFonts w:ascii="Arial" w:hAnsi="Arial" w:cs="Arial"/>
        </w:rPr>
        <w:t>);</w:t>
      </w:r>
    </w:p>
    <w:p w14:paraId="138E51C7" w14:textId="562503C7" w:rsidR="004C16D8" w:rsidRDefault="00686AC6" w:rsidP="004C16D8">
      <w:pPr>
        <w:pStyle w:val="ListParagraph"/>
        <w:numPr>
          <w:ilvl w:val="0"/>
          <w:numId w:val="6"/>
        </w:numPr>
        <w:spacing w:line="276" w:lineRule="auto"/>
        <w:ind w:left="1349" w:hanging="357"/>
        <w:rPr>
          <w:rFonts w:ascii="Arial" w:hAnsi="Arial" w:cs="Arial"/>
        </w:rPr>
      </w:pPr>
      <w:r>
        <w:rPr>
          <w:rFonts w:ascii="Arial" w:hAnsi="Arial" w:cs="Arial"/>
        </w:rPr>
        <w:t xml:space="preserve">fourth, </w:t>
      </w:r>
      <w:r w:rsidR="005774BD">
        <w:rPr>
          <w:rFonts w:ascii="Arial" w:hAnsi="Arial" w:cs="Arial"/>
        </w:rPr>
        <w:t xml:space="preserve">Barkhill’s concerns about </w:t>
      </w:r>
      <w:r w:rsidR="00A02A54">
        <w:rPr>
          <w:rFonts w:ascii="Arial" w:hAnsi="Arial" w:cs="Arial"/>
        </w:rPr>
        <w:t xml:space="preserve">the notice inadequately </w:t>
      </w:r>
      <w:r w:rsidR="00CE396E">
        <w:rPr>
          <w:rFonts w:ascii="Arial" w:hAnsi="Arial" w:cs="Arial"/>
        </w:rPr>
        <w:t xml:space="preserve">providing </w:t>
      </w:r>
      <w:r w:rsidR="004C16D8">
        <w:rPr>
          <w:rFonts w:ascii="Arial" w:hAnsi="Arial" w:cs="Arial"/>
        </w:rPr>
        <w:t xml:space="preserve">reasons for selecting the successful providers </w:t>
      </w:r>
      <w:r w:rsidR="009D50A0">
        <w:rPr>
          <w:rFonts w:ascii="Arial" w:hAnsi="Arial" w:cs="Arial"/>
        </w:rPr>
        <w:t xml:space="preserve">are discussed </w:t>
      </w:r>
      <w:r w:rsidR="004C16D8">
        <w:rPr>
          <w:rFonts w:ascii="Arial" w:hAnsi="Arial" w:cs="Arial"/>
        </w:rPr>
        <w:t>(</w:t>
      </w:r>
      <w:r>
        <w:rPr>
          <w:rFonts w:ascii="Arial" w:hAnsi="Arial" w:cs="Arial"/>
        </w:rPr>
        <w:t xml:space="preserve">see </w:t>
      </w:r>
      <w:r w:rsidR="004C16D8">
        <w:rPr>
          <w:rFonts w:ascii="Arial" w:hAnsi="Arial" w:cs="Arial"/>
        </w:rPr>
        <w:t>Section 7.2.</w:t>
      </w:r>
      <w:r w:rsidR="009D50A0">
        <w:rPr>
          <w:rFonts w:ascii="Arial" w:hAnsi="Arial" w:cs="Arial"/>
        </w:rPr>
        <w:t>4</w:t>
      </w:r>
      <w:r w:rsidR="004C16D8">
        <w:rPr>
          <w:rFonts w:ascii="Arial" w:hAnsi="Arial" w:cs="Arial"/>
        </w:rPr>
        <w:t>);</w:t>
      </w:r>
    </w:p>
    <w:p w14:paraId="55E40A4C" w14:textId="051934B1" w:rsidR="004C16D8" w:rsidRDefault="00686AC6" w:rsidP="004C16D8">
      <w:pPr>
        <w:pStyle w:val="ListParagraph"/>
        <w:numPr>
          <w:ilvl w:val="0"/>
          <w:numId w:val="6"/>
        </w:numPr>
        <w:spacing w:line="276" w:lineRule="auto"/>
        <w:ind w:left="1349" w:hanging="357"/>
        <w:rPr>
          <w:rFonts w:ascii="Arial" w:hAnsi="Arial" w:cs="Arial"/>
        </w:rPr>
      </w:pPr>
      <w:r>
        <w:rPr>
          <w:rFonts w:ascii="Arial" w:hAnsi="Arial" w:cs="Arial"/>
        </w:rPr>
        <w:t>fifth</w:t>
      </w:r>
      <w:r w:rsidR="00AA233C">
        <w:rPr>
          <w:rFonts w:ascii="Arial" w:hAnsi="Arial" w:cs="Arial"/>
        </w:rPr>
        <w:t>,</w:t>
      </w:r>
      <w:r>
        <w:rPr>
          <w:rFonts w:ascii="Arial" w:hAnsi="Arial" w:cs="Arial"/>
        </w:rPr>
        <w:t xml:space="preserve"> </w:t>
      </w:r>
      <w:r w:rsidR="009D50A0">
        <w:rPr>
          <w:rFonts w:ascii="Arial" w:hAnsi="Arial" w:cs="Arial"/>
        </w:rPr>
        <w:t xml:space="preserve">Barkhill’s concerns about </w:t>
      </w:r>
      <w:r w:rsidR="004C16D8">
        <w:rPr>
          <w:rFonts w:ascii="Arial" w:hAnsi="Arial" w:cs="Arial"/>
        </w:rPr>
        <w:t xml:space="preserve">conflicts of interest </w:t>
      </w:r>
      <w:r w:rsidR="009D50A0">
        <w:rPr>
          <w:rFonts w:ascii="Arial" w:hAnsi="Arial" w:cs="Arial"/>
        </w:rPr>
        <w:t xml:space="preserve">information in the notice are discussed </w:t>
      </w:r>
      <w:r w:rsidR="004C16D8">
        <w:rPr>
          <w:rFonts w:ascii="Arial" w:hAnsi="Arial" w:cs="Arial"/>
        </w:rPr>
        <w:t>(</w:t>
      </w:r>
      <w:r>
        <w:rPr>
          <w:rFonts w:ascii="Arial" w:hAnsi="Arial" w:cs="Arial"/>
        </w:rPr>
        <w:t xml:space="preserve">see </w:t>
      </w:r>
      <w:r w:rsidR="004C16D8">
        <w:rPr>
          <w:rFonts w:ascii="Arial" w:hAnsi="Arial" w:cs="Arial"/>
        </w:rPr>
        <w:t>Section 7.2.</w:t>
      </w:r>
      <w:r w:rsidR="009D50A0">
        <w:rPr>
          <w:rFonts w:ascii="Arial" w:hAnsi="Arial" w:cs="Arial"/>
        </w:rPr>
        <w:t>5</w:t>
      </w:r>
      <w:r w:rsidR="004C16D8">
        <w:rPr>
          <w:rFonts w:ascii="Arial" w:hAnsi="Arial" w:cs="Arial"/>
        </w:rPr>
        <w:t>);</w:t>
      </w:r>
    </w:p>
    <w:p w14:paraId="286BD8A2" w14:textId="1BAE5D73" w:rsidR="004C16D8" w:rsidRDefault="00686AC6" w:rsidP="004C16D8">
      <w:pPr>
        <w:pStyle w:val="ListParagraph"/>
        <w:numPr>
          <w:ilvl w:val="0"/>
          <w:numId w:val="6"/>
        </w:numPr>
        <w:spacing w:line="276" w:lineRule="auto"/>
        <w:ind w:left="1349" w:hanging="357"/>
        <w:rPr>
          <w:rFonts w:ascii="Arial" w:hAnsi="Arial" w:cs="Arial"/>
        </w:rPr>
      </w:pPr>
      <w:r>
        <w:rPr>
          <w:rFonts w:ascii="Arial" w:hAnsi="Arial" w:cs="Arial"/>
        </w:rPr>
        <w:lastRenderedPageBreak/>
        <w:t>sixth</w:t>
      </w:r>
      <w:r w:rsidR="00AA233C">
        <w:rPr>
          <w:rFonts w:ascii="Arial" w:hAnsi="Arial" w:cs="Arial"/>
        </w:rPr>
        <w:t>,</w:t>
      </w:r>
      <w:r>
        <w:rPr>
          <w:rFonts w:ascii="Arial" w:hAnsi="Arial" w:cs="Arial"/>
        </w:rPr>
        <w:t xml:space="preserve"> </w:t>
      </w:r>
      <w:r w:rsidR="009D50A0">
        <w:rPr>
          <w:rFonts w:ascii="Arial" w:hAnsi="Arial" w:cs="Arial"/>
        </w:rPr>
        <w:t xml:space="preserve">Barkhill’s concerns about the notice of intention taking the form of a </w:t>
      </w:r>
      <w:r w:rsidR="004C16D8">
        <w:rPr>
          <w:rFonts w:ascii="Arial" w:hAnsi="Arial" w:cs="Arial"/>
        </w:rPr>
        <w:t xml:space="preserve">contract award notice </w:t>
      </w:r>
      <w:r w:rsidR="009D50A0">
        <w:rPr>
          <w:rFonts w:ascii="Arial" w:hAnsi="Arial" w:cs="Arial"/>
        </w:rPr>
        <w:t>are discussed</w:t>
      </w:r>
      <w:r w:rsidR="004C16D8">
        <w:rPr>
          <w:rFonts w:ascii="Arial" w:hAnsi="Arial" w:cs="Arial"/>
        </w:rPr>
        <w:t xml:space="preserve"> (</w:t>
      </w:r>
      <w:r>
        <w:rPr>
          <w:rFonts w:ascii="Arial" w:hAnsi="Arial" w:cs="Arial"/>
        </w:rPr>
        <w:t xml:space="preserve">see </w:t>
      </w:r>
      <w:r w:rsidR="004C16D8">
        <w:rPr>
          <w:rFonts w:ascii="Arial" w:hAnsi="Arial" w:cs="Arial"/>
        </w:rPr>
        <w:t>Section 7.2.</w:t>
      </w:r>
      <w:r w:rsidR="009D50A0">
        <w:rPr>
          <w:rFonts w:ascii="Arial" w:hAnsi="Arial" w:cs="Arial"/>
        </w:rPr>
        <w:t>6</w:t>
      </w:r>
      <w:r w:rsidR="004C16D8">
        <w:rPr>
          <w:rFonts w:ascii="Arial" w:hAnsi="Arial" w:cs="Arial"/>
        </w:rPr>
        <w:t>); and</w:t>
      </w:r>
    </w:p>
    <w:p w14:paraId="4C627C38" w14:textId="5A32D4A6" w:rsidR="004C16D8" w:rsidRPr="00306D8A" w:rsidRDefault="00686AC6" w:rsidP="009D50A0">
      <w:pPr>
        <w:pStyle w:val="ListParagraph"/>
        <w:numPr>
          <w:ilvl w:val="0"/>
          <w:numId w:val="6"/>
        </w:numPr>
        <w:spacing w:line="276" w:lineRule="auto"/>
        <w:ind w:left="1349" w:hanging="357"/>
        <w:contextualSpacing w:val="0"/>
        <w:rPr>
          <w:rFonts w:ascii="Arial" w:hAnsi="Arial" w:cs="Arial"/>
        </w:rPr>
      </w:pPr>
      <w:r>
        <w:rPr>
          <w:rFonts w:ascii="Arial" w:hAnsi="Arial" w:cs="Arial"/>
        </w:rPr>
        <w:t xml:space="preserve">finally, </w:t>
      </w:r>
      <w:r w:rsidR="009D50A0">
        <w:rPr>
          <w:rFonts w:ascii="Arial" w:hAnsi="Arial" w:cs="Arial"/>
        </w:rPr>
        <w:t xml:space="preserve">the </w:t>
      </w:r>
      <w:r w:rsidR="004C16D8">
        <w:rPr>
          <w:rFonts w:ascii="Arial" w:hAnsi="Arial" w:cs="Arial"/>
        </w:rPr>
        <w:t>Panel</w:t>
      </w:r>
      <w:r w:rsidR="009D50A0">
        <w:rPr>
          <w:rFonts w:ascii="Arial" w:hAnsi="Arial" w:cs="Arial"/>
        </w:rPr>
        <w:t>’s</w:t>
      </w:r>
      <w:r w:rsidR="004C16D8">
        <w:rPr>
          <w:rFonts w:ascii="Arial" w:hAnsi="Arial" w:cs="Arial"/>
        </w:rPr>
        <w:t xml:space="preserve"> conclusions </w:t>
      </w:r>
      <w:r w:rsidR="009D50A0">
        <w:rPr>
          <w:rFonts w:ascii="Arial" w:hAnsi="Arial" w:cs="Arial"/>
        </w:rPr>
        <w:t xml:space="preserve">are set out </w:t>
      </w:r>
      <w:r w:rsidR="004C16D8">
        <w:rPr>
          <w:rFonts w:ascii="Arial" w:hAnsi="Arial" w:cs="Arial"/>
        </w:rPr>
        <w:t>(</w:t>
      </w:r>
      <w:r>
        <w:rPr>
          <w:rFonts w:ascii="Arial" w:hAnsi="Arial" w:cs="Arial"/>
        </w:rPr>
        <w:t xml:space="preserve">see </w:t>
      </w:r>
      <w:r w:rsidR="004C16D8">
        <w:rPr>
          <w:rFonts w:ascii="Arial" w:hAnsi="Arial" w:cs="Arial"/>
        </w:rPr>
        <w:t>Section 7.2.</w:t>
      </w:r>
      <w:r w:rsidR="009D50A0">
        <w:rPr>
          <w:rFonts w:ascii="Arial" w:hAnsi="Arial" w:cs="Arial"/>
        </w:rPr>
        <w:t>7</w:t>
      </w:r>
      <w:r w:rsidR="004C16D8">
        <w:rPr>
          <w:rFonts w:ascii="Arial" w:hAnsi="Arial" w:cs="Arial"/>
        </w:rPr>
        <w:t>).</w:t>
      </w:r>
    </w:p>
    <w:p w14:paraId="03C95545" w14:textId="40C4AA00" w:rsidR="004C16D8" w:rsidRPr="009D50A0" w:rsidRDefault="009D50A0" w:rsidP="009D50A0">
      <w:pPr>
        <w:keepNext/>
        <w:spacing w:before="240" w:line="276" w:lineRule="auto"/>
        <w:rPr>
          <w:rFonts w:ascii="Arial" w:hAnsi="Arial" w:cs="Arial"/>
          <w:b/>
          <w:bCs/>
        </w:rPr>
      </w:pPr>
      <w:r>
        <w:rPr>
          <w:rFonts w:ascii="Arial" w:hAnsi="Arial" w:cs="Arial"/>
          <w:b/>
          <w:bCs/>
        </w:rPr>
        <w:t xml:space="preserve">7.2.1 </w:t>
      </w:r>
      <w:r w:rsidR="0004585D">
        <w:rPr>
          <w:rFonts w:ascii="Arial" w:hAnsi="Arial" w:cs="Arial"/>
          <w:b/>
          <w:bCs/>
        </w:rPr>
        <w:t xml:space="preserve">Events subsequent to publication of the </w:t>
      </w:r>
      <w:r w:rsidR="009765A4">
        <w:rPr>
          <w:rFonts w:ascii="Arial" w:hAnsi="Arial" w:cs="Arial"/>
          <w:b/>
          <w:bCs/>
        </w:rPr>
        <w:t>notice of intention on 10 December 2024</w:t>
      </w:r>
    </w:p>
    <w:p w14:paraId="1A7B458D" w14:textId="547685FA" w:rsidR="005E2CEF" w:rsidRDefault="005E2CEF" w:rsidP="00C71292">
      <w:pPr>
        <w:pStyle w:val="ListParagraph"/>
        <w:numPr>
          <w:ilvl w:val="0"/>
          <w:numId w:val="2"/>
        </w:numPr>
        <w:spacing w:line="276" w:lineRule="auto"/>
        <w:ind w:left="567" w:hanging="567"/>
        <w:contextualSpacing w:val="0"/>
        <w:rPr>
          <w:rFonts w:ascii="Arial" w:hAnsi="Arial" w:cs="Arial"/>
        </w:rPr>
      </w:pPr>
      <w:bookmarkStart w:id="22" w:name="_Ref197087649"/>
      <w:r>
        <w:rPr>
          <w:rFonts w:ascii="Arial" w:hAnsi="Arial" w:cs="Arial"/>
        </w:rPr>
        <w:t>T</w:t>
      </w:r>
      <w:r w:rsidR="00EE29BD">
        <w:rPr>
          <w:rFonts w:ascii="Arial" w:hAnsi="Arial" w:cs="Arial"/>
        </w:rPr>
        <w:t xml:space="preserve">he publication of the notice of intention on </w:t>
      </w:r>
      <w:r w:rsidR="00DB01BA">
        <w:rPr>
          <w:rFonts w:ascii="Arial" w:hAnsi="Arial" w:cs="Arial"/>
        </w:rPr>
        <w:t>10 December 2024</w:t>
      </w:r>
      <w:r>
        <w:rPr>
          <w:rFonts w:ascii="Arial" w:hAnsi="Arial" w:cs="Arial"/>
        </w:rPr>
        <w:t xml:space="preserve"> was followed by</w:t>
      </w:r>
      <w:r w:rsidR="00F32249">
        <w:rPr>
          <w:rFonts w:ascii="Arial" w:hAnsi="Arial" w:cs="Arial"/>
        </w:rPr>
        <w:t xml:space="preserve"> correspondence between Barkhill and HNY ICB concerning the content of the notice</w:t>
      </w:r>
      <w:r w:rsidR="00526FD0">
        <w:rPr>
          <w:rFonts w:ascii="Arial" w:hAnsi="Arial" w:cs="Arial"/>
        </w:rPr>
        <w:t xml:space="preserve"> as part of Barkhill’s representations to the ICB</w:t>
      </w:r>
      <w:r w:rsidR="006152A7">
        <w:rPr>
          <w:rFonts w:ascii="Arial" w:hAnsi="Arial" w:cs="Arial"/>
        </w:rPr>
        <w:t>.</w:t>
      </w:r>
    </w:p>
    <w:p w14:paraId="60318031" w14:textId="13E52A8A" w:rsidR="00761B3D" w:rsidRDefault="00F90840" w:rsidP="00C71292">
      <w:pPr>
        <w:pStyle w:val="ListParagraph"/>
        <w:numPr>
          <w:ilvl w:val="0"/>
          <w:numId w:val="2"/>
        </w:numPr>
        <w:spacing w:line="276" w:lineRule="auto"/>
        <w:ind w:left="567" w:hanging="567"/>
        <w:contextualSpacing w:val="0"/>
        <w:rPr>
          <w:rFonts w:ascii="Arial" w:hAnsi="Arial" w:cs="Arial"/>
        </w:rPr>
      </w:pPr>
      <w:bookmarkStart w:id="23" w:name="_Ref198801198"/>
      <w:r>
        <w:rPr>
          <w:rFonts w:ascii="Arial" w:hAnsi="Arial" w:cs="Arial"/>
        </w:rPr>
        <w:t>On 13 January 2025</w:t>
      </w:r>
      <w:r w:rsidR="00DB01BA">
        <w:rPr>
          <w:rFonts w:ascii="Arial" w:hAnsi="Arial" w:cs="Arial"/>
        </w:rPr>
        <w:t xml:space="preserve">, </w:t>
      </w:r>
      <w:r>
        <w:rPr>
          <w:rFonts w:ascii="Arial" w:hAnsi="Arial" w:cs="Arial"/>
        </w:rPr>
        <w:t xml:space="preserve">following Barkhill’s representations about </w:t>
      </w:r>
      <w:r w:rsidR="00535D06">
        <w:rPr>
          <w:rFonts w:ascii="Arial" w:hAnsi="Arial" w:cs="Arial"/>
        </w:rPr>
        <w:t xml:space="preserve">the CPV code in the notice of intention, </w:t>
      </w:r>
      <w:r w:rsidR="00DB01BA">
        <w:rPr>
          <w:rFonts w:ascii="Arial" w:hAnsi="Arial" w:cs="Arial"/>
        </w:rPr>
        <w:t xml:space="preserve">HNY ICB published a </w:t>
      </w:r>
      <w:r w:rsidR="008B434E">
        <w:rPr>
          <w:rFonts w:ascii="Arial" w:hAnsi="Arial" w:cs="Arial"/>
        </w:rPr>
        <w:t xml:space="preserve">notice </w:t>
      </w:r>
      <w:r w:rsidR="004073D7">
        <w:rPr>
          <w:rFonts w:ascii="Arial" w:hAnsi="Arial" w:cs="Arial"/>
        </w:rPr>
        <w:t xml:space="preserve">confirming </w:t>
      </w:r>
      <w:r w:rsidR="00190057">
        <w:rPr>
          <w:rFonts w:ascii="Arial" w:hAnsi="Arial" w:cs="Arial"/>
        </w:rPr>
        <w:t>the</w:t>
      </w:r>
      <w:r w:rsidR="004073D7">
        <w:rPr>
          <w:rFonts w:ascii="Arial" w:hAnsi="Arial" w:cs="Arial"/>
        </w:rPr>
        <w:t xml:space="preserve"> award </w:t>
      </w:r>
      <w:r w:rsidR="00190057">
        <w:rPr>
          <w:rFonts w:ascii="Arial" w:hAnsi="Arial" w:cs="Arial"/>
        </w:rPr>
        <w:t xml:space="preserve">of the contract </w:t>
      </w:r>
      <w:r w:rsidR="00DB01BA">
        <w:rPr>
          <w:rFonts w:ascii="Arial" w:hAnsi="Arial" w:cs="Arial"/>
        </w:rPr>
        <w:t>with respect to Lot 2, where no representations had been received</w:t>
      </w:r>
      <w:r w:rsidR="00F07974">
        <w:rPr>
          <w:rFonts w:ascii="Arial" w:hAnsi="Arial" w:cs="Arial"/>
        </w:rPr>
        <w:t xml:space="preserve">. </w:t>
      </w:r>
      <w:r w:rsidR="00C71292">
        <w:rPr>
          <w:rFonts w:ascii="Arial" w:hAnsi="Arial" w:cs="Arial"/>
        </w:rPr>
        <w:t xml:space="preserve">This notice </w:t>
      </w:r>
      <w:r w:rsidR="00C71292" w:rsidDel="007F0A31">
        <w:rPr>
          <w:rFonts w:ascii="Arial" w:hAnsi="Arial" w:cs="Arial"/>
        </w:rPr>
        <w:t xml:space="preserve">included </w:t>
      </w:r>
      <w:r w:rsidR="003F6F70" w:rsidDel="007F0A31">
        <w:rPr>
          <w:rFonts w:ascii="Arial" w:hAnsi="Arial" w:cs="Arial"/>
        </w:rPr>
        <w:t>a corrigendum for the notice</w:t>
      </w:r>
      <w:r w:rsidR="005A2211" w:rsidDel="007F0A31">
        <w:rPr>
          <w:rFonts w:ascii="Arial" w:hAnsi="Arial" w:cs="Arial"/>
        </w:rPr>
        <w:t xml:space="preserve"> of intention</w:t>
      </w:r>
      <w:r w:rsidR="003F6F70" w:rsidDel="007F0A31">
        <w:rPr>
          <w:rFonts w:ascii="Arial" w:hAnsi="Arial" w:cs="Arial"/>
        </w:rPr>
        <w:t xml:space="preserve">, </w:t>
      </w:r>
      <w:r w:rsidR="00683586" w:rsidDel="007F0A31">
        <w:rPr>
          <w:rFonts w:ascii="Arial" w:hAnsi="Arial" w:cs="Arial"/>
        </w:rPr>
        <w:t>adding</w:t>
      </w:r>
      <w:r w:rsidR="00683586">
        <w:rPr>
          <w:rFonts w:ascii="Arial" w:hAnsi="Arial" w:cs="Arial"/>
        </w:rPr>
        <w:t xml:space="preserve"> an additional </w:t>
      </w:r>
      <w:r w:rsidR="00EA27D6">
        <w:rPr>
          <w:rFonts w:ascii="Arial" w:hAnsi="Arial" w:cs="Arial"/>
        </w:rPr>
        <w:t xml:space="preserve">CPV code </w:t>
      </w:r>
      <w:r w:rsidR="00683586">
        <w:rPr>
          <w:rFonts w:ascii="Arial" w:hAnsi="Arial" w:cs="Arial"/>
        </w:rPr>
        <w:t xml:space="preserve">to </w:t>
      </w:r>
      <w:r w:rsidR="00FE00C2">
        <w:rPr>
          <w:rFonts w:ascii="Arial" w:hAnsi="Arial" w:cs="Arial"/>
        </w:rPr>
        <w:t>th</w:t>
      </w:r>
      <w:r w:rsidR="00CA07E1">
        <w:rPr>
          <w:rFonts w:ascii="Arial" w:hAnsi="Arial" w:cs="Arial"/>
        </w:rPr>
        <w:t>e</w:t>
      </w:r>
      <w:r w:rsidR="00FE00C2">
        <w:rPr>
          <w:rFonts w:ascii="Arial" w:hAnsi="Arial" w:cs="Arial"/>
        </w:rPr>
        <w:t xml:space="preserve"> notice</w:t>
      </w:r>
      <w:r w:rsidR="00CA07E1">
        <w:rPr>
          <w:rFonts w:ascii="Arial" w:hAnsi="Arial" w:cs="Arial"/>
        </w:rPr>
        <w:t xml:space="preserve"> of intention</w:t>
      </w:r>
      <w:r w:rsidR="00707581">
        <w:rPr>
          <w:rFonts w:ascii="Arial" w:hAnsi="Arial" w:cs="Arial"/>
        </w:rPr>
        <w:t>.</w:t>
      </w:r>
      <w:bookmarkEnd w:id="22"/>
      <w:bookmarkEnd w:id="23"/>
    </w:p>
    <w:p w14:paraId="11200B5C" w14:textId="334E31CD" w:rsidR="00AD3BEC" w:rsidRDefault="00BA0BAE">
      <w:pPr>
        <w:pStyle w:val="ListParagraph"/>
        <w:numPr>
          <w:ilvl w:val="0"/>
          <w:numId w:val="2"/>
        </w:numPr>
        <w:spacing w:line="276" w:lineRule="auto"/>
        <w:ind w:left="567" w:hanging="567"/>
        <w:rPr>
          <w:rFonts w:ascii="Arial" w:hAnsi="Arial" w:cs="Arial"/>
        </w:rPr>
      </w:pPr>
      <w:bookmarkStart w:id="24" w:name="_Ref195788760"/>
      <w:r w:rsidRPr="00736731">
        <w:rPr>
          <w:rFonts w:ascii="Arial" w:hAnsi="Arial" w:cs="Arial"/>
        </w:rPr>
        <w:t xml:space="preserve">On 4 </w:t>
      </w:r>
      <w:r w:rsidR="00831EE7" w:rsidRPr="00736731">
        <w:rPr>
          <w:rFonts w:ascii="Arial" w:hAnsi="Arial" w:cs="Arial"/>
        </w:rPr>
        <w:t>March 2025</w:t>
      </w:r>
      <w:r w:rsidR="00D263EE" w:rsidRPr="00736731">
        <w:rPr>
          <w:rFonts w:ascii="Arial" w:hAnsi="Arial" w:cs="Arial"/>
        </w:rPr>
        <w:t xml:space="preserve">, </w:t>
      </w:r>
      <w:r w:rsidR="00613C2D" w:rsidRPr="00736731">
        <w:rPr>
          <w:rFonts w:ascii="Arial" w:hAnsi="Arial" w:cs="Arial"/>
        </w:rPr>
        <w:t xml:space="preserve">HNY ICB </w:t>
      </w:r>
      <w:r w:rsidR="00EA120B">
        <w:rPr>
          <w:rFonts w:ascii="Arial" w:hAnsi="Arial" w:cs="Arial"/>
        </w:rPr>
        <w:t>wrote</w:t>
      </w:r>
      <w:r w:rsidR="00DB26ED" w:rsidRPr="00736731">
        <w:rPr>
          <w:rFonts w:ascii="Arial" w:hAnsi="Arial" w:cs="Arial"/>
        </w:rPr>
        <w:t xml:space="preserve"> to Barkhill </w:t>
      </w:r>
      <w:r w:rsidR="00EA120B">
        <w:rPr>
          <w:rFonts w:ascii="Arial" w:hAnsi="Arial" w:cs="Arial"/>
        </w:rPr>
        <w:t xml:space="preserve">setting out </w:t>
      </w:r>
      <w:r w:rsidR="00DB26ED" w:rsidRPr="00736731">
        <w:rPr>
          <w:rFonts w:ascii="Arial" w:hAnsi="Arial" w:cs="Arial"/>
        </w:rPr>
        <w:t>its further decision on the provider selection process</w:t>
      </w:r>
      <w:r w:rsidR="00EA120B">
        <w:rPr>
          <w:rFonts w:ascii="Arial" w:hAnsi="Arial" w:cs="Arial"/>
        </w:rPr>
        <w:t>. I</w:t>
      </w:r>
      <w:r w:rsidR="00142B36">
        <w:rPr>
          <w:rFonts w:ascii="Arial" w:hAnsi="Arial" w:cs="Arial"/>
        </w:rPr>
        <w:t xml:space="preserve">n </w:t>
      </w:r>
      <w:r w:rsidR="00DB5144">
        <w:rPr>
          <w:rFonts w:ascii="Arial" w:hAnsi="Arial" w:cs="Arial"/>
        </w:rPr>
        <w:t>this letter</w:t>
      </w:r>
      <w:r w:rsidR="00EA120B">
        <w:rPr>
          <w:rFonts w:ascii="Arial" w:hAnsi="Arial" w:cs="Arial"/>
        </w:rPr>
        <w:t>, HNY ICB</w:t>
      </w:r>
      <w:r w:rsidR="00142B36">
        <w:rPr>
          <w:rFonts w:ascii="Arial" w:hAnsi="Arial" w:cs="Arial"/>
        </w:rPr>
        <w:t xml:space="preserve"> </w:t>
      </w:r>
      <w:r w:rsidR="00B63D7C">
        <w:rPr>
          <w:rFonts w:ascii="Arial" w:hAnsi="Arial" w:cs="Arial"/>
        </w:rPr>
        <w:t>respon</w:t>
      </w:r>
      <w:r w:rsidR="00142B36">
        <w:rPr>
          <w:rFonts w:ascii="Arial" w:hAnsi="Arial" w:cs="Arial"/>
        </w:rPr>
        <w:t xml:space="preserve">ded </w:t>
      </w:r>
      <w:r w:rsidR="00613C2D" w:rsidRPr="00736731">
        <w:rPr>
          <w:rFonts w:ascii="Arial" w:hAnsi="Arial" w:cs="Arial"/>
        </w:rPr>
        <w:t xml:space="preserve">to </w:t>
      </w:r>
      <w:r w:rsidR="00BD14D5" w:rsidRPr="00736731">
        <w:rPr>
          <w:rFonts w:ascii="Arial" w:hAnsi="Arial" w:cs="Arial"/>
        </w:rPr>
        <w:t xml:space="preserve">Barkhill’s representations </w:t>
      </w:r>
      <w:r w:rsidR="00142B36">
        <w:rPr>
          <w:rFonts w:ascii="Arial" w:hAnsi="Arial" w:cs="Arial"/>
        </w:rPr>
        <w:t>about</w:t>
      </w:r>
      <w:r w:rsidR="00533C19">
        <w:rPr>
          <w:rFonts w:ascii="Arial" w:hAnsi="Arial" w:cs="Arial"/>
        </w:rPr>
        <w:t xml:space="preserve"> the</w:t>
      </w:r>
      <w:r w:rsidR="00BD14D5" w:rsidRPr="00736731">
        <w:rPr>
          <w:rFonts w:ascii="Arial" w:hAnsi="Arial" w:cs="Arial"/>
        </w:rPr>
        <w:t xml:space="preserve"> </w:t>
      </w:r>
      <w:r w:rsidR="00622469">
        <w:rPr>
          <w:rFonts w:ascii="Arial" w:hAnsi="Arial" w:cs="Arial"/>
        </w:rPr>
        <w:t xml:space="preserve">notice of </w:t>
      </w:r>
      <w:r w:rsidR="00BD14D5" w:rsidRPr="00736731">
        <w:rPr>
          <w:rFonts w:ascii="Arial" w:hAnsi="Arial" w:cs="Arial"/>
        </w:rPr>
        <w:t xml:space="preserve">intention </w:t>
      </w:r>
      <w:r w:rsidR="001D4BFD" w:rsidRPr="00736731">
        <w:rPr>
          <w:rFonts w:ascii="Arial" w:hAnsi="Arial" w:cs="Arial"/>
        </w:rPr>
        <w:t>sa</w:t>
      </w:r>
      <w:r w:rsidR="00582FA6" w:rsidRPr="00736731">
        <w:rPr>
          <w:rFonts w:ascii="Arial" w:hAnsi="Arial" w:cs="Arial"/>
        </w:rPr>
        <w:t xml:space="preserve">ying </w:t>
      </w:r>
      <w:r w:rsidR="001D4BFD" w:rsidRPr="00736731">
        <w:rPr>
          <w:rFonts w:ascii="Arial" w:hAnsi="Arial" w:cs="Arial"/>
        </w:rPr>
        <w:t xml:space="preserve">that </w:t>
      </w:r>
      <w:r w:rsidR="00AD3BEC" w:rsidRPr="00736731">
        <w:rPr>
          <w:rFonts w:ascii="Arial" w:hAnsi="Arial" w:cs="Arial"/>
        </w:rPr>
        <w:t xml:space="preserve">“the published notice </w:t>
      </w:r>
      <w:r w:rsidR="00FE4F96">
        <w:rPr>
          <w:rFonts w:ascii="Arial" w:hAnsi="Arial" w:cs="Arial"/>
        </w:rPr>
        <w:t>[on 10</w:t>
      </w:r>
      <w:r w:rsidR="006F512C">
        <w:rPr>
          <w:rFonts w:ascii="Arial" w:hAnsi="Arial" w:cs="Arial"/>
        </w:rPr>
        <w:t> </w:t>
      </w:r>
      <w:r w:rsidR="00FE4F96">
        <w:rPr>
          <w:rFonts w:ascii="Arial" w:hAnsi="Arial" w:cs="Arial"/>
        </w:rPr>
        <w:t>December</w:t>
      </w:r>
      <w:r w:rsidR="0063064F">
        <w:rPr>
          <w:rFonts w:ascii="Arial" w:hAnsi="Arial" w:cs="Arial"/>
        </w:rPr>
        <w:t xml:space="preserve"> 2024</w:t>
      </w:r>
      <w:r w:rsidR="00FE4F96">
        <w:rPr>
          <w:rFonts w:ascii="Arial" w:hAnsi="Arial" w:cs="Arial"/>
        </w:rPr>
        <w:t xml:space="preserve">] </w:t>
      </w:r>
      <w:r w:rsidR="00AD3BEC" w:rsidRPr="00736731">
        <w:rPr>
          <w:rFonts w:ascii="Arial" w:hAnsi="Arial" w:cs="Arial"/>
        </w:rPr>
        <w:t>was sufficient to meet the requirements of the regulations, and included:</w:t>
      </w:r>
      <w:bookmarkEnd w:id="24"/>
    </w:p>
    <w:p w14:paraId="4C976F0E" w14:textId="126C6D73" w:rsidR="00AF0994" w:rsidRPr="008828D2" w:rsidRDefault="00AD3BEC" w:rsidP="003E7DA4">
      <w:pPr>
        <w:pStyle w:val="ListParagraph"/>
        <w:numPr>
          <w:ilvl w:val="0"/>
          <w:numId w:val="6"/>
        </w:numPr>
        <w:spacing w:line="276" w:lineRule="auto"/>
        <w:ind w:left="1349" w:hanging="357"/>
        <w:rPr>
          <w:rFonts w:ascii="Arial" w:hAnsi="Arial" w:cs="Arial"/>
        </w:rPr>
      </w:pPr>
      <w:r w:rsidRPr="008828D2">
        <w:rPr>
          <w:rFonts w:ascii="Arial" w:hAnsi="Arial" w:cs="Arial"/>
        </w:rPr>
        <w:t>The contract title and reference</w:t>
      </w:r>
      <w:r w:rsidR="00C410E6">
        <w:rPr>
          <w:rFonts w:ascii="Arial" w:hAnsi="Arial" w:cs="Arial"/>
        </w:rPr>
        <w:t>.</w:t>
      </w:r>
    </w:p>
    <w:p w14:paraId="5E737660" w14:textId="64AF9870" w:rsidR="003E7DA4" w:rsidRPr="008828D2" w:rsidRDefault="00AD3BEC" w:rsidP="003E7DA4">
      <w:pPr>
        <w:pStyle w:val="ListParagraph"/>
        <w:numPr>
          <w:ilvl w:val="0"/>
          <w:numId w:val="6"/>
        </w:numPr>
        <w:spacing w:line="276" w:lineRule="auto"/>
        <w:ind w:left="1349" w:hanging="357"/>
        <w:rPr>
          <w:rFonts w:ascii="Arial" w:hAnsi="Arial" w:cs="Arial"/>
        </w:rPr>
      </w:pPr>
      <w:r w:rsidRPr="008828D2">
        <w:rPr>
          <w:rFonts w:ascii="Arial" w:hAnsi="Arial" w:cs="Arial"/>
        </w:rPr>
        <w:t>The name and address of the registered office or principal place of business of the provider to whom the contract has been awarded</w:t>
      </w:r>
      <w:r w:rsidR="00C410E6">
        <w:rPr>
          <w:rFonts w:ascii="Arial" w:hAnsi="Arial" w:cs="Arial"/>
        </w:rPr>
        <w:t>.</w:t>
      </w:r>
    </w:p>
    <w:p w14:paraId="02CD7FAF" w14:textId="3F77DB5A" w:rsidR="003E7DA4" w:rsidRPr="008828D2" w:rsidRDefault="00AD3BEC" w:rsidP="003E7DA4">
      <w:pPr>
        <w:pStyle w:val="ListParagraph"/>
        <w:numPr>
          <w:ilvl w:val="0"/>
          <w:numId w:val="6"/>
        </w:numPr>
        <w:spacing w:line="276" w:lineRule="auto"/>
        <w:ind w:left="1349" w:hanging="357"/>
        <w:rPr>
          <w:rFonts w:ascii="Arial" w:hAnsi="Arial" w:cs="Arial"/>
        </w:rPr>
      </w:pPr>
      <w:r w:rsidRPr="1F838B14">
        <w:rPr>
          <w:rFonts w:ascii="Arial" w:hAnsi="Arial" w:cs="Arial"/>
        </w:rPr>
        <w:t>A description of the relevant health care services to which the contract relates, including the correct CPV code category. While we accept that other CPV codes might also have been relevant, the</w:t>
      </w:r>
      <w:r w:rsidR="3897A870" w:rsidRPr="1F838B14">
        <w:rPr>
          <w:rFonts w:ascii="Arial" w:hAnsi="Arial" w:cs="Arial"/>
        </w:rPr>
        <w:t xml:space="preserve"> [ICB review]</w:t>
      </w:r>
      <w:r w:rsidRPr="1F838B14">
        <w:rPr>
          <w:rFonts w:ascii="Arial" w:hAnsi="Arial" w:cs="Arial"/>
        </w:rPr>
        <w:t xml:space="preserve"> panel determined that this had no material impact on the validity of the procurement.</w:t>
      </w:r>
    </w:p>
    <w:p w14:paraId="0CD44A42" w14:textId="7426DD4A" w:rsidR="003E7DA4" w:rsidRPr="008828D2" w:rsidRDefault="00AD3BEC" w:rsidP="003E7DA4">
      <w:pPr>
        <w:pStyle w:val="ListParagraph"/>
        <w:numPr>
          <w:ilvl w:val="0"/>
          <w:numId w:val="6"/>
        </w:numPr>
        <w:spacing w:line="276" w:lineRule="auto"/>
        <w:ind w:left="1349" w:hanging="357"/>
        <w:rPr>
          <w:rFonts w:ascii="Arial" w:hAnsi="Arial" w:cs="Arial"/>
        </w:rPr>
      </w:pPr>
      <w:r w:rsidRPr="008828D2">
        <w:rPr>
          <w:rFonts w:ascii="Arial" w:hAnsi="Arial" w:cs="Arial"/>
        </w:rPr>
        <w:t>The lifetime value of the contract</w:t>
      </w:r>
      <w:r w:rsidR="00C410E6">
        <w:rPr>
          <w:rFonts w:ascii="Arial" w:hAnsi="Arial" w:cs="Arial"/>
        </w:rPr>
        <w:t>.</w:t>
      </w:r>
    </w:p>
    <w:p w14:paraId="6856EAA9" w14:textId="120458AC" w:rsidR="003E7DA4" w:rsidRPr="008828D2" w:rsidRDefault="00AD3BEC" w:rsidP="003E7DA4">
      <w:pPr>
        <w:pStyle w:val="ListParagraph"/>
        <w:numPr>
          <w:ilvl w:val="0"/>
          <w:numId w:val="6"/>
        </w:numPr>
        <w:spacing w:line="276" w:lineRule="auto"/>
        <w:ind w:left="1349" w:hanging="357"/>
        <w:rPr>
          <w:rFonts w:ascii="Arial" w:hAnsi="Arial" w:cs="Arial"/>
        </w:rPr>
      </w:pPr>
      <w:r w:rsidRPr="008828D2">
        <w:rPr>
          <w:rFonts w:ascii="Arial" w:hAnsi="Arial" w:cs="Arial"/>
        </w:rPr>
        <w:t>The dates between which the contract provides for the services</w:t>
      </w:r>
      <w:r w:rsidR="00C410E6">
        <w:rPr>
          <w:rFonts w:ascii="Arial" w:hAnsi="Arial" w:cs="Arial"/>
        </w:rPr>
        <w:t>.</w:t>
      </w:r>
    </w:p>
    <w:p w14:paraId="1FA416C2" w14:textId="4BCA6A78" w:rsidR="002119B9" w:rsidRPr="00324890" w:rsidRDefault="00AD3BEC" w:rsidP="00324890">
      <w:pPr>
        <w:pStyle w:val="ListParagraph"/>
        <w:numPr>
          <w:ilvl w:val="0"/>
          <w:numId w:val="6"/>
        </w:numPr>
        <w:spacing w:line="276" w:lineRule="auto"/>
        <w:ind w:left="1349" w:hanging="357"/>
        <w:contextualSpacing w:val="0"/>
        <w:rPr>
          <w:rFonts w:ascii="Arial" w:hAnsi="Arial" w:cs="Arial"/>
        </w:rPr>
      </w:pPr>
      <w:r w:rsidRPr="008828D2">
        <w:rPr>
          <w:rFonts w:ascii="Arial" w:hAnsi="Arial" w:cs="Arial"/>
        </w:rPr>
        <w:t>A statement that conflicts or potential conflicts of interest were managed.</w:t>
      </w:r>
      <w:r w:rsidR="002119B9">
        <w:rPr>
          <w:rFonts w:ascii="Arial" w:hAnsi="Arial" w:cs="Arial"/>
        </w:rPr>
        <w:t>”</w:t>
      </w:r>
    </w:p>
    <w:p w14:paraId="1212AC42" w14:textId="05D82A41" w:rsidR="00AF0994" w:rsidRPr="00324890" w:rsidRDefault="00610203" w:rsidP="00324890">
      <w:pPr>
        <w:pStyle w:val="ListParagraph"/>
        <w:numPr>
          <w:ilvl w:val="0"/>
          <w:numId w:val="2"/>
        </w:numPr>
        <w:spacing w:line="276" w:lineRule="auto"/>
        <w:ind w:left="567" w:hanging="567"/>
        <w:contextualSpacing w:val="0"/>
        <w:rPr>
          <w:rFonts w:ascii="Arial" w:hAnsi="Arial" w:cs="Arial"/>
        </w:rPr>
      </w:pPr>
      <w:r>
        <w:rPr>
          <w:rFonts w:ascii="Arial" w:hAnsi="Arial" w:cs="Arial"/>
        </w:rPr>
        <w:t>HNY ICB</w:t>
      </w:r>
      <w:r w:rsidR="00A762E6">
        <w:rPr>
          <w:rFonts w:ascii="Arial" w:hAnsi="Arial" w:cs="Arial"/>
        </w:rPr>
        <w:t xml:space="preserve">’s letter </w:t>
      </w:r>
      <w:r w:rsidR="002375B6">
        <w:rPr>
          <w:rFonts w:ascii="Arial" w:hAnsi="Arial" w:cs="Arial"/>
        </w:rPr>
        <w:t>of 4 March 2025</w:t>
      </w:r>
      <w:r w:rsidR="00A762E6">
        <w:rPr>
          <w:rFonts w:ascii="Arial" w:hAnsi="Arial" w:cs="Arial"/>
        </w:rPr>
        <w:t xml:space="preserve"> </w:t>
      </w:r>
      <w:r w:rsidR="00FC594F">
        <w:rPr>
          <w:rFonts w:ascii="Arial" w:hAnsi="Arial" w:cs="Arial"/>
        </w:rPr>
        <w:t>also</w:t>
      </w:r>
      <w:r w:rsidR="006B32CF">
        <w:rPr>
          <w:rFonts w:ascii="Arial" w:hAnsi="Arial" w:cs="Arial"/>
        </w:rPr>
        <w:t xml:space="preserve"> </w:t>
      </w:r>
      <w:r w:rsidR="00ED2DF5">
        <w:rPr>
          <w:rFonts w:ascii="Arial" w:hAnsi="Arial" w:cs="Arial"/>
        </w:rPr>
        <w:t>provid</w:t>
      </w:r>
      <w:r w:rsidR="00A762E6">
        <w:rPr>
          <w:rFonts w:ascii="Arial" w:hAnsi="Arial" w:cs="Arial"/>
        </w:rPr>
        <w:t>e</w:t>
      </w:r>
      <w:r w:rsidR="00FC594F">
        <w:rPr>
          <w:rFonts w:ascii="Arial" w:hAnsi="Arial" w:cs="Arial"/>
        </w:rPr>
        <w:t>d</w:t>
      </w:r>
      <w:r w:rsidR="00A762E6">
        <w:rPr>
          <w:rFonts w:ascii="Arial" w:hAnsi="Arial" w:cs="Arial"/>
        </w:rPr>
        <w:t xml:space="preserve"> </w:t>
      </w:r>
      <w:r w:rsidR="00ED2DF5">
        <w:rPr>
          <w:rFonts w:ascii="Arial" w:hAnsi="Arial" w:cs="Arial"/>
        </w:rPr>
        <w:t xml:space="preserve">new information </w:t>
      </w:r>
      <w:r w:rsidR="00133E04">
        <w:rPr>
          <w:rFonts w:ascii="Arial" w:hAnsi="Arial" w:cs="Arial"/>
        </w:rPr>
        <w:t xml:space="preserve">about how HNY </w:t>
      </w:r>
      <w:r w:rsidR="00FB42C5">
        <w:rPr>
          <w:rFonts w:ascii="Arial" w:hAnsi="Arial" w:cs="Arial"/>
        </w:rPr>
        <w:t>ICB</w:t>
      </w:r>
      <w:r w:rsidR="00133E04">
        <w:rPr>
          <w:rFonts w:ascii="Arial" w:hAnsi="Arial" w:cs="Arial"/>
        </w:rPr>
        <w:t xml:space="preserve"> managed</w:t>
      </w:r>
      <w:r w:rsidR="0033510D">
        <w:rPr>
          <w:rFonts w:ascii="Arial" w:hAnsi="Arial" w:cs="Arial"/>
        </w:rPr>
        <w:t xml:space="preserve"> conflicts of interest,</w:t>
      </w:r>
      <w:r>
        <w:rPr>
          <w:rFonts w:ascii="Arial" w:hAnsi="Arial" w:cs="Arial"/>
        </w:rPr>
        <w:t xml:space="preserve"> </w:t>
      </w:r>
      <w:r w:rsidR="00A762E6">
        <w:rPr>
          <w:rFonts w:ascii="Arial" w:hAnsi="Arial" w:cs="Arial"/>
        </w:rPr>
        <w:t>saying</w:t>
      </w:r>
      <w:r>
        <w:rPr>
          <w:rFonts w:ascii="Arial" w:hAnsi="Arial" w:cs="Arial"/>
        </w:rPr>
        <w:t xml:space="preserve"> “</w:t>
      </w:r>
      <w:r w:rsidR="00AD3BEC" w:rsidRPr="00324890">
        <w:rPr>
          <w:rFonts w:ascii="Arial" w:hAnsi="Arial" w:cs="Arial"/>
        </w:rPr>
        <w:t xml:space="preserve">We can confirm that 2 potential conflicts of interest were identified prior to evaluation and that these 2 potential conflicts were discussed, and it was agreed that they would be removed and would take no further part in the competition process. The </w:t>
      </w:r>
      <w:r w:rsidR="00B96B84">
        <w:rPr>
          <w:rFonts w:ascii="Arial" w:hAnsi="Arial" w:cs="Arial"/>
        </w:rPr>
        <w:t>[ICB review]</w:t>
      </w:r>
      <w:r w:rsidR="00AD3BEC" w:rsidRPr="00324890">
        <w:rPr>
          <w:rFonts w:ascii="Arial" w:hAnsi="Arial" w:cs="Arial"/>
        </w:rPr>
        <w:t xml:space="preserve"> panel determined that conflicts of interest had no material impact on the competition or procurement outcome”</w:t>
      </w:r>
      <w:r w:rsidR="00B64810">
        <w:rPr>
          <w:rFonts w:ascii="Arial" w:hAnsi="Arial" w:cs="Arial"/>
        </w:rPr>
        <w:t>.</w:t>
      </w:r>
      <w:r w:rsidR="00072597" w:rsidRPr="008828D2">
        <w:rPr>
          <w:rStyle w:val="FootnoteReference"/>
          <w:rFonts w:ascii="Arial" w:hAnsi="Arial" w:cs="Arial"/>
        </w:rPr>
        <w:footnoteReference w:id="29"/>
      </w:r>
    </w:p>
    <w:p w14:paraId="1650CE70" w14:textId="50D9C61F" w:rsidR="007B084F" w:rsidRDefault="005437FD" w:rsidP="007B084F">
      <w:pPr>
        <w:pStyle w:val="ListParagraph"/>
        <w:numPr>
          <w:ilvl w:val="0"/>
          <w:numId w:val="2"/>
        </w:numPr>
        <w:spacing w:line="276" w:lineRule="auto"/>
        <w:ind w:left="567" w:hanging="567"/>
        <w:contextualSpacing w:val="0"/>
        <w:rPr>
          <w:rFonts w:ascii="Arial" w:hAnsi="Arial" w:cs="Arial"/>
        </w:rPr>
      </w:pPr>
      <w:r>
        <w:rPr>
          <w:rFonts w:ascii="Arial" w:hAnsi="Arial" w:cs="Arial"/>
        </w:rPr>
        <w:t>O</w:t>
      </w:r>
      <w:r w:rsidR="007B084F">
        <w:rPr>
          <w:rFonts w:ascii="Arial" w:hAnsi="Arial" w:cs="Arial"/>
        </w:rPr>
        <w:t>n 7 March 2025, HNY ICB published a</w:t>
      </w:r>
      <w:r w:rsidR="00543248">
        <w:rPr>
          <w:rFonts w:ascii="Arial" w:hAnsi="Arial" w:cs="Arial"/>
        </w:rPr>
        <w:t xml:space="preserve"> </w:t>
      </w:r>
      <w:r w:rsidR="001732E0">
        <w:rPr>
          <w:rFonts w:ascii="Arial" w:hAnsi="Arial" w:cs="Arial"/>
        </w:rPr>
        <w:t xml:space="preserve">second </w:t>
      </w:r>
      <w:r w:rsidR="007B084F">
        <w:rPr>
          <w:rFonts w:ascii="Arial" w:hAnsi="Arial" w:cs="Arial"/>
        </w:rPr>
        <w:t xml:space="preserve">corrigendum to the 10 December </w:t>
      </w:r>
      <w:r w:rsidR="001732E0">
        <w:rPr>
          <w:rFonts w:ascii="Arial" w:hAnsi="Arial" w:cs="Arial"/>
        </w:rPr>
        <w:t xml:space="preserve">2024 </w:t>
      </w:r>
      <w:r w:rsidR="007B084F">
        <w:rPr>
          <w:rFonts w:ascii="Arial" w:hAnsi="Arial" w:cs="Arial"/>
        </w:rPr>
        <w:t>notice</w:t>
      </w:r>
      <w:r w:rsidR="00793C95">
        <w:rPr>
          <w:rFonts w:ascii="Arial" w:hAnsi="Arial" w:cs="Arial"/>
        </w:rPr>
        <w:t xml:space="preserve"> </w:t>
      </w:r>
      <w:r w:rsidR="004859E2">
        <w:rPr>
          <w:rFonts w:ascii="Arial" w:hAnsi="Arial" w:cs="Arial"/>
        </w:rPr>
        <w:t xml:space="preserve">providing </w:t>
      </w:r>
      <w:r w:rsidR="00ED73E1">
        <w:rPr>
          <w:rFonts w:ascii="Arial" w:hAnsi="Arial" w:cs="Arial"/>
        </w:rPr>
        <w:t xml:space="preserve">additional </w:t>
      </w:r>
      <w:r w:rsidR="004859E2">
        <w:rPr>
          <w:rFonts w:ascii="Arial" w:hAnsi="Arial" w:cs="Arial"/>
        </w:rPr>
        <w:t>information on</w:t>
      </w:r>
      <w:r w:rsidR="00385DC1">
        <w:rPr>
          <w:rFonts w:ascii="Arial" w:hAnsi="Arial" w:cs="Arial"/>
        </w:rPr>
        <w:t>: (i)</w:t>
      </w:r>
      <w:r w:rsidR="004859E2">
        <w:rPr>
          <w:rFonts w:ascii="Arial" w:hAnsi="Arial" w:cs="Arial"/>
        </w:rPr>
        <w:t xml:space="preserve"> the </w:t>
      </w:r>
      <w:r w:rsidR="00E571E5">
        <w:rPr>
          <w:rFonts w:ascii="Arial" w:hAnsi="Arial" w:cs="Arial"/>
        </w:rPr>
        <w:t xml:space="preserve">key criteria </w:t>
      </w:r>
      <w:r w:rsidR="00B902E8">
        <w:rPr>
          <w:rFonts w:ascii="Arial" w:hAnsi="Arial" w:cs="Arial"/>
        </w:rPr>
        <w:t>used by HNY ICB</w:t>
      </w:r>
      <w:r w:rsidR="00385DC1">
        <w:rPr>
          <w:rFonts w:ascii="Arial" w:hAnsi="Arial" w:cs="Arial"/>
        </w:rPr>
        <w:t>;</w:t>
      </w:r>
      <w:r w:rsidR="004C28B9">
        <w:rPr>
          <w:rFonts w:ascii="Arial" w:hAnsi="Arial" w:cs="Arial"/>
        </w:rPr>
        <w:t xml:space="preserve"> and </w:t>
      </w:r>
      <w:r w:rsidR="00385DC1">
        <w:rPr>
          <w:rFonts w:ascii="Arial" w:hAnsi="Arial" w:cs="Arial"/>
        </w:rPr>
        <w:t xml:space="preserve">(ii) </w:t>
      </w:r>
      <w:r w:rsidR="00044306">
        <w:rPr>
          <w:rFonts w:ascii="Arial" w:hAnsi="Arial" w:cs="Arial"/>
        </w:rPr>
        <w:t xml:space="preserve">how </w:t>
      </w:r>
      <w:r w:rsidR="007C44FE">
        <w:rPr>
          <w:rFonts w:ascii="Arial" w:hAnsi="Arial" w:cs="Arial"/>
        </w:rPr>
        <w:t xml:space="preserve">HNY ICB managed </w:t>
      </w:r>
      <w:r w:rsidR="00385DC1">
        <w:rPr>
          <w:rFonts w:ascii="Arial" w:hAnsi="Arial" w:cs="Arial"/>
        </w:rPr>
        <w:t>conflicts of interest.</w:t>
      </w:r>
    </w:p>
    <w:p w14:paraId="608B9FC2" w14:textId="76BDB5B0" w:rsidR="00AF46FF" w:rsidRPr="00AF46FF" w:rsidRDefault="00AF46FF" w:rsidP="00AF46FF">
      <w:pPr>
        <w:keepNext/>
        <w:spacing w:before="240" w:line="276" w:lineRule="auto"/>
        <w:rPr>
          <w:rFonts w:ascii="Arial" w:hAnsi="Arial" w:cs="Arial"/>
          <w:b/>
          <w:bCs/>
        </w:rPr>
      </w:pPr>
      <w:r>
        <w:rPr>
          <w:rFonts w:ascii="Arial" w:hAnsi="Arial" w:cs="Arial"/>
          <w:b/>
          <w:bCs/>
        </w:rPr>
        <w:t>7.2.</w:t>
      </w:r>
      <w:r w:rsidR="002C09EF">
        <w:rPr>
          <w:rFonts w:ascii="Arial" w:hAnsi="Arial" w:cs="Arial"/>
          <w:b/>
          <w:bCs/>
        </w:rPr>
        <w:t>2</w:t>
      </w:r>
      <w:r>
        <w:rPr>
          <w:rFonts w:ascii="Arial" w:hAnsi="Arial" w:cs="Arial"/>
          <w:b/>
          <w:bCs/>
        </w:rPr>
        <w:t xml:space="preserve"> Address</w:t>
      </w:r>
      <w:r w:rsidR="005E0503">
        <w:rPr>
          <w:rFonts w:ascii="Arial" w:hAnsi="Arial" w:cs="Arial"/>
          <w:b/>
          <w:bCs/>
        </w:rPr>
        <w:t>es</w:t>
      </w:r>
      <w:r>
        <w:rPr>
          <w:rFonts w:ascii="Arial" w:hAnsi="Arial" w:cs="Arial"/>
          <w:b/>
          <w:bCs/>
        </w:rPr>
        <w:t xml:space="preserve"> of the successful bidders</w:t>
      </w:r>
    </w:p>
    <w:p w14:paraId="55802FEB" w14:textId="10F1FC3A" w:rsidR="00B0031D" w:rsidRPr="00324890" w:rsidRDefault="00011981" w:rsidP="29201E78">
      <w:pPr>
        <w:pStyle w:val="ListParagraph"/>
        <w:numPr>
          <w:ilvl w:val="0"/>
          <w:numId w:val="2"/>
        </w:numPr>
        <w:spacing w:line="276" w:lineRule="auto"/>
        <w:ind w:left="567" w:hanging="567"/>
        <w:contextualSpacing w:val="0"/>
        <w:rPr>
          <w:rFonts w:ascii="Arial" w:hAnsi="Arial" w:cs="Arial"/>
        </w:rPr>
      </w:pPr>
      <w:r w:rsidRPr="00C637DE">
        <w:rPr>
          <w:rFonts w:ascii="Arial" w:hAnsi="Arial" w:cs="Arial"/>
        </w:rPr>
        <w:t>Barkhill</w:t>
      </w:r>
      <w:r w:rsidR="00517E77" w:rsidRPr="00C637DE">
        <w:rPr>
          <w:rFonts w:ascii="Arial" w:hAnsi="Arial" w:cs="Arial"/>
        </w:rPr>
        <w:t xml:space="preserve"> raised concerns that</w:t>
      </w:r>
      <w:r w:rsidR="00397B5D" w:rsidRPr="00C637DE">
        <w:rPr>
          <w:rFonts w:ascii="Arial" w:hAnsi="Arial" w:cs="Arial"/>
        </w:rPr>
        <w:t xml:space="preserve"> </w:t>
      </w:r>
      <w:r w:rsidR="008909B9" w:rsidRPr="00C637DE">
        <w:rPr>
          <w:rFonts w:ascii="Arial" w:hAnsi="Arial" w:cs="Arial"/>
        </w:rPr>
        <w:t>the</w:t>
      </w:r>
      <w:r w:rsidR="00455373" w:rsidRPr="00C637DE">
        <w:rPr>
          <w:rFonts w:ascii="Arial" w:hAnsi="Arial" w:cs="Arial"/>
        </w:rPr>
        <w:t xml:space="preserve"> notice of</w:t>
      </w:r>
      <w:r w:rsidR="008909B9" w:rsidRPr="00C637DE">
        <w:rPr>
          <w:rFonts w:ascii="Arial" w:hAnsi="Arial" w:cs="Arial"/>
        </w:rPr>
        <w:t xml:space="preserve"> </w:t>
      </w:r>
      <w:r w:rsidR="000863CF" w:rsidRPr="00C637DE">
        <w:rPr>
          <w:rFonts w:ascii="Arial" w:hAnsi="Arial" w:cs="Arial"/>
        </w:rPr>
        <w:t xml:space="preserve">intention </w:t>
      </w:r>
      <w:r w:rsidR="00536996">
        <w:rPr>
          <w:rFonts w:ascii="Arial" w:hAnsi="Arial" w:cs="Arial"/>
        </w:rPr>
        <w:t>did</w:t>
      </w:r>
      <w:r w:rsidR="00536996" w:rsidRPr="00C637DE">
        <w:rPr>
          <w:rFonts w:ascii="Arial" w:hAnsi="Arial" w:cs="Arial"/>
        </w:rPr>
        <w:t xml:space="preserve"> </w:t>
      </w:r>
      <w:r w:rsidR="008909B9" w:rsidRPr="00C637DE">
        <w:rPr>
          <w:rFonts w:ascii="Arial" w:hAnsi="Arial" w:cs="Arial"/>
        </w:rPr>
        <w:t>not state the address of the registered office or principal place of business of the successful providers</w:t>
      </w:r>
      <w:r w:rsidR="00877579" w:rsidRPr="00C637DE">
        <w:rPr>
          <w:rFonts w:ascii="Arial" w:hAnsi="Arial" w:cs="Arial"/>
        </w:rPr>
        <w:t xml:space="preserve"> (see paragraph </w:t>
      </w:r>
      <w:r w:rsidR="00163B1F">
        <w:rPr>
          <w:rFonts w:ascii="Arial" w:hAnsi="Arial" w:cs="Arial"/>
        </w:rPr>
        <w:t>72</w:t>
      </w:r>
      <w:r w:rsidR="00877579" w:rsidRPr="00324890">
        <w:rPr>
          <w:rFonts w:ascii="Arial" w:hAnsi="Arial" w:cs="Arial"/>
        </w:rPr>
        <w:t>)</w:t>
      </w:r>
      <w:r w:rsidR="00517E77" w:rsidRPr="00324890">
        <w:rPr>
          <w:rFonts w:ascii="Arial" w:hAnsi="Arial" w:cs="Arial"/>
        </w:rPr>
        <w:t>.</w:t>
      </w:r>
    </w:p>
    <w:p w14:paraId="1A122A43" w14:textId="75FE9444" w:rsidR="00EA6560" w:rsidRDefault="00030B12" w:rsidP="00776F5D">
      <w:pPr>
        <w:pStyle w:val="ListParagraph"/>
        <w:numPr>
          <w:ilvl w:val="0"/>
          <w:numId w:val="2"/>
        </w:numPr>
        <w:spacing w:line="276" w:lineRule="auto"/>
        <w:ind w:left="567" w:hanging="567"/>
        <w:contextualSpacing w:val="0"/>
        <w:rPr>
          <w:rFonts w:ascii="Arial" w:hAnsi="Arial" w:cs="Arial"/>
        </w:rPr>
      </w:pPr>
      <w:r>
        <w:rPr>
          <w:rFonts w:ascii="Arial" w:hAnsi="Arial" w:cs="Arial"/>
        </w:rPr>
        <w:lastRenderedPageBreak/>
        <w:t>Regulation 11(9)</w:t>
      </w:r>
      <w:r w:rsidR="00B0031D">
        <w:rPr>
          <w:rFonts w:ascii="Arial" w:hAnsi="Arial" w:cs="Arial"/>
        </w:rPr>
        <w:t xml:space="preserve"> states that</w:t>
      </w:r>
      <w:r w:rsidR="00170D39">
        <w:rPr>
          <w:rFonts w:ascii="Arial" w:hAnsi="Arial" w:cs="Arial"/>
        </w:rPr>
        <w:t>, under the competitive process,</w:t>
      </w:r>
      <w:r w:rsidR="00B0031D">
        <w:rPr>
          <w:rFonts w:ascii="Arial" w:hAnsi="Arial" w:cs="Arial"/>
        </w:rPr>
        <w:t xml:space="preserve"> </w:t>
      </w:r>
      <w:r w:rsidR="00BA58B7">
        <w:rPr>
          <w:rFonts w:ascii="Arial" w:hAnsi="Arial" w:cs="Arial"/>
        </w:rPr>
        <w:t>having selected the successful provider(s)</w:t>
      </w:r>
      <w:r w:rsidR="00596FE1">
        <w:rPr>
          <w:rFonts w:ascii="Arial" w:hAnsi="Arial" w:cs="Arial"/>
        </w:rPr>
        <w:t xml:space="preserve">, </w:t>
      </w:r>
      <w:r w:rsidR="00415611">
        <w:rPr>
          <w:rFonts w:ascii="Arial" w:hAnsi="Arial" w:cs="Arial"/>
        </w:rPr>
        <w:t xml:space="preserve">the commissioner </w:t>
      </w:r>
      <w:r w:rsidR="00330E6A">
        <w:rPr>
          <w:rFonts w:ascii="Arial" w:hAnsi="Arial" w:cs="Arial"/>
        </w:rPr>
        <w:t xml:space="preserve">must publish </w:t>
      </w:r>
      <w:r w:rsidR="00F63CFA">
        <w:rPr>
          <w:rFonts w:ascii="Arial" w:hAnsi="Arial" w:cs="Arial"/>
        </w:rPr>
        <w:t>“a notice of intention to make an award to the chosen provider”</w:t>
      </w:r>
      <w:r w:rsidR="00596FE1">
        <w:rPr>
          <w:rFonts w:ascii="Arial" w:hAnsi="Arial" w:cs="Arial"/>
        </w:rPr>
        <w:t>. Regulation 11(10) states that this notice must include the information set out in Schedule 10</w:t>
      </w:r>
      <w:r w:rsidR="00A33FDB">
        <w:rPr>
          <w:rFonts w:ascii="Arial" w:hAnsi="Arial" w:cs="Arial"/>
        </w:rPr>
        <w:t>.</w:t>
      </w:r>
      <w:r w:rsidR="00F12340">
        <w:rPr>
          <w:rFonts w:ascii="Arial" w:hAnsi="Arial" w:cs="Arial"/>
        </w:rPr>
        <w:t xml:space="preserve"> </w:t>
      </w:r>
      <w:r w:rsidR="00657757">
        <w:rPr>
          <w:rFonts w:ascii="Arial" w:hAnsi="Arial" w:cs="Arial"/>
        </w:rPr>
        <w:t xml:space="preserve">One of the items listed </w:t>
      </w:r>
      <w:r w:rsidR="0000474B">
        <w:rPr>
          <w:rFonts w:ascii="Arial" w:hAnsi="Arial" w:cs="Arial"/>
        </w:rPr>
        <w:t>in Schedule 10 is “The name and address of the registered office or principal place of business of the provider to whom a contract is to be awarded”.</w:t>
      </w:r>
    </w:p>
    <w:p w14:paraId="1E93D69C" w14:textId="63BE3A84" w:rsidR="005D038D" w:rsidRDefault="00936C6D" w:rsidP="00776F5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w:t>
      </w:r>
      <w:r w:rsidR="00517E77">
        <w:rPr>
          <w:rFonts w:ascii="Arial" w:hAnsi="Arial" w:cs="Arial"/>
        </w:rPr>
        <w:t>Panel notes that the</w:t>
      </w:r>
      <w:r w:rsidR="00887E10">
        <w:rPr>
          <w:rFonts w:ascii="Arial" w:hAnsi="Arial" w:cs="Arial"/>
        </w:rPr>
        <w:t xml:space="preserve"> notice of</w:t>
      </w:r>
      <w:r>
        <w:rPr>
          <w:rFonts w:ascii="Arial" w:hAnsi="Arial" w:cs="Arial"/>
        </w:rPr>
        <w:t xml:space="preserve"> </w:t>
      </w:r>
      <w:r w:rsidR="007A50ED">
        <w:rPr>
          <w:rFonts w:ascii="Arial" w:hAnsi="Arial" w:cs="Arial"/>
        </w:rPr>
        <w:t xml:space="preserve">intention </w:t>
      </w:r>
      <w:r>
        <w:rPr>
          <w:rFonts w:ascii="Arial" w:hAnsi="Arial" w:cs="Arial"/>
        </w:rPr>
        <w:t>include</w:t>
      </w:r>
      <w:r w:rsidR="00F96A88">
        <w:rPr>
          <w:rFonts w:ascii="Arial" w:hAnsi="Arial" w:cs="Arial"/>
        </w:rPr>
        <w:t>s</w:t>
      </w:r>
      <w:r>
        <w:rPr>
          <w:rFonts w:ascii="Arial" w:hAnsi="Arial" w:cs="Arial"/>
        </w:rPr>
        <w:t xml:space="preserve"> the name of the </w:t>
      </w:r>
      <w:r w:rsidR="00D403E8">
        <w:rPr>
          <w:rFonts w:ascii="Arial" w:hAnsi="Arial" w:cs="Arial"/>
        </w:rPr>
        <w:t>successful</w:t>
      </w:r>
      <w:r>
        <w:rPr>
          <w:rFonts w:ascii="Arial" w:hAnsi="Arial" w:cs="Arial"/>
        </w:rPr>
        <w:t xml:space="preserve"> bidder</w:t>
      </w:r>
      <w:r w:rsidR="002268C1">
        <w:rPr>
          <w:rFonts w:ascii="Arial" w:hAnsi="Arial" w:cs="Arial"/>
        </w:rPr>
        <w:t>s</w:t>
      </w:r>
      <w:r w:rsidR="004D37BD">
        <w:rPr>
          <w:rFonts w:ascii="Arial" w:hAnsi="Arial" w:cs="Arial"/>
        </w:rPr>
        <w:t xml:space="preserve"> and </w:t>
      </w:r>
      <w:r w:rsidR="007A50ED">
        <w:rPr>
          <w:rFonts w:ascii="Arial" w:hAnsi="Arial" w:cs="Arial"/>
        </w:rPr>
        <w:t xml:space="preserve">the city or town </w:t>
      </w:r>
      <w:r w:rsidR="00DC3493">
        <w:rPr>
          <w:rFonts w:ascii="Arial" w:hAnsi="Arial" w:cs="Arial"/>
        </w:rPr>
        <w:t>where</w:t>
      </w:r>
      <w:r w:rsidR="007A50ED">
        <w:rPr>
          <w:rFonts w:ascii="Arial" w:hAnsi="Arial" w:cs="Arial"/>
        </w:rPr>
        <w:t xml:space="preserve"> the </w:t>
      </w:r>
      <w:r w:rsidR="00D403E8">
        <w:rPr>
          <w:rFonts w:ascii="Arial" w:hAnsi="Arial" w:cs="Arial"/>
        </w:rPr>
        <w:t>successful bidder</w:t>
      </w:r>
      <w:r w:rsidR="002268C1">
        <w:rPr>
          <w:rFonts w:ascii="Arial" w:hAnsi="Arial" w:cs="Arial"/>
        </w:rPr>
        <w:t>s</w:t>
      </w:r>
      <w:r w:rsidR="00D403E8">
        <w:rPr>
          <w:rFonts w:ascii="Arial" w:hAnsi="Arial" w:cs="Arial"/>
        </w:rPr>
        <w:t xml:space="preserve"> </w:t>
      </w:r>
      <w:r w:rsidR="008845E9">
        <w:rPr>
          <w:rFonts w:ascii="Arial" w:hAnsi="Arial" w:cs="Arial"/>
        </w:rPr>
        <w:t>ha</w:t>
      </w:r>
      <w:r w:rsidR="002268C1">
        <w:rPr>
          <w:rFonts w:ascii="Arial" w:hAnsi="Arial" w:cs="Arial"/>
        </w:rPr>
        <w:t>ve</w:t>
      </w:r>
      <w:r w:rsidR="008845E9">
        <w:rPr>
          <w:rFonts w:ascii="Arial" w:hAnsi="Arial" w:cs="Arial"/>
        </w:rPr>
        <w:t xml:space="preserve"> </w:t>
      </w:r>
      <w:r w:rsidR="002268C1">
        <w:rPr>
          <w:rFonts w:ascii="Arial" w:hAnsi="Arial" w:cs="Arial"/>
        </w:rPr>
        <w:t>their</w:t>
      </w:r>
      <w:r w:rsidR="008845E9">
        <w:rPr>
          <w:rFonts w:ascii="Arial" w:hAnsi="Arial" w:cs="Arial"/>
        </w:rPr>
        <w:t xml:space="preserve"> </w:t>
      </w:r>
      <w:r w:rsidR="007F52A5">
        <w:rPr>
          <w:rFonts w:ascii="Arial" w:hAnsi="Arial" w:cs="Arial"/>
        </w:rPr>
        <w:t xml:space="preserve">registered office or </w:t>
      </w:r>
      <w:r w:rsidR="008845E9">
        <w:rPr>
          <w:rFonts w:ascii="Arial" w:hAnsi="Arial" w:cs="Arial"/>
        </w:rPr>
        <w:t>principal place of business</w:t>
      </w:r>
      <w:r w:rsidR="005D038D">
        <w:rPr>
          <w:rFonts w:ascii="Arial" w:hAnsi="Arial" w:cs="Arial"/>
        </w:rPr>
        <w:t xml:space="preserve"> (e.g. Manchester or Ackfield)</w:t>
      </w:r>
      <w:r>
        <w:rPr>
          <w:rFonts w:ascii="Arial" w:hAnsi="Arial" w:cs="Arial"/>
        </w:rPr>
        <w:t xml:space="preserve">, but </w:t>
      </w:r>
      <w:r w:rsidR="006F5FD6">
        <w:rPr>
          <w:rFonts w:ascii="Arial" w:hAnsi="Arial" w:cs="Arial"/>
        </w:rPr>
        <w:t xml:space="preserve">not </w:t>
      </w:r>
      <w:r w:rsidR="0031214E">
        <w:rPr>
          <w:rFonts w:ascii="Arial" w:hAnsi="Arial" w:cs="Arial"/>
        </w:rPr>
        <w:t>a</w:t>
      </w:r>
      <w:r w:rsidR="006F5FD6">
        <w:rPr>
          <w:rFonts w:ascii="Arial" w:hAnsi="Arial" w:cs="Arial"/>
        </w:rPr>
        <w:t xml:space="preserve"> </w:t>
      </w:r>
      <w:r>
        <w:rPr>
          <w:rFonts w:ascii="Arial" w:hAnsi="Arial" w:cs="Arial"/>
        </w:rPr>
        <w:t>full address</w:t>
      </w:r>
      <w:r w:rsidR="00535910" w:rsidRPr="00535910">
        <w:rPr>
          <w:rFonts w:ascii="Arial" w:hAnsi="Arial" w:cs="Arial"/>
        </w:rPr>
        <w:t>.</w:t>
      </w:r>
      <w:r w:rsidR="00235668">
        <w:rPr>
          <w:rFonts w:ascii="Arial" w:hAnsi="Arial" w:cs="Arial"/>
        </w:rPr>
        <w:t xml:space="preserve"> </w:t>
      </w:r>
      <w:r w:rsidR="00C631F5">
        <w:rPr>
          <w:rFonts w:ascii="Arial" w:hAnsi="Arial" w:cs="Arial"/>
        </w:rPr>
        <w:t xml:space="preserve">The Panel </w:t>
      </w:r>
      <w:r w:rsidR="009322B1">
        <w:rPr>
          <w:rFonts w:ascii="Arial" w:hAnsi="Arial" w:cs="Arial"/>
        </w:rPr>
        <w:t>further</w:t>
      </w:r>
      <w:r w:rsidR="00C631F5">
        <w:rPr>
          <w:rFonts w:ascii="Arial" w:hAnsi="Arial" w:cs="Arial"/>
        </w:rPr>
        <w:t xml:space="preserve"> notes that no further address information was provided in the corrigenda published on 13 January or 7 March 2025.</w:t>
      </w:r>
    </w:p>
    <w:p w14:paraId="0B2E0F14" w14:textId="125B0806" w:rsidR="006B583B" w:rsidRDefault="00676FAB" w:rsidP="00776F5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finds that </w:t>
      </w:r>
      <w:r w:rsidR="001C5CEF">
        <w:rPr>
          <w:rFonts w:ascii="Arial" w:hAnsi="Arial" w:cs="Arial"/>
        </w:rPr>
        <w:t>HNY ICB</w:t>
      </w:r>
      <w:r w:rsidR="00BE3F63">
        <w:rPr>
          <w:rFonts w:ascii="Arial" w:hAnsi="Arial" w:cs="Arial"/>
        </w:rPr>
        <w:t>, by not including full address information in the notice of intention</w:t>
      </w:r>
      <w:r w:rsidR="0054656B">
        <w:rPr>
          <w:rFonts w:ascii="Arial" w:hAnsi="Arial" w:cs="Arial"/>
        </w:rPr>
        <w:t xml:space="preserve">, breached the PSR regulations </w:t>
      </w:r>
      <w:r w:rsidR="008C7623">
        <w:rPr>
          <w:rFonts w:ascii="Arial" w:hAnsi="Arial" w:cs="Arial"/>
        </w:rPr>
        <w:t xml:space="preserve">with respect to its obligations under </w:t>
      </w:r>
      <w:r w:rsidR="0054656B">
        <w:rPr>
          <w:rFonts w:ascii="Arial" w:hAnsi="Arial" w:cs="Arial"/>
        </w:rPr>
        <w:t>Regulation</w:t>
      </w:r>
      <w:r w:rsidR="006B2845">
        <w:rPr>
          <w:rFonts w:ascii="Arial" w:hAnsi="Arial" w:cs="Arial"/>
        </w:rPr>
        <w:t xml:space="preserve"> 11(10) and Schedule 10.</w:t>
      </w:r>
    </w:p>
    <w:p w14:paraId="4A921E31" w14:textId="21B91BEB" w:rsidR="00EA6560" w:rsidRPr="00757A89" w:rsidRDefault="00757A89" w:rsidP="00757A89">
      <w:pPr>
        <w:keepNext/>
        <w:spacing w:before="240" w:line="276" w:lineRule="auto"/>
        <w:rPr>
          <w:rFonts w:ascii="Arial" w:hAnsi="Arial" w:cs="Arial"/>
          <w:b/>
          <w:bCs/>
        </w:rPr>
      </w:pPr>
      <w:r>
        <w:rPr>
          <w:rFonts w:ascii="Arial" w:hAnsi="Arial" w:cs="Arial"/>
          <w:b/>
          <w:bCs/>
        </w:rPr>
        <w:t>7.2.</w:t>
      </w:r>
      <w:r w:rsidR="002C09EF">
        <w:rPr>
          <w:rFonts w:ascii="Arial" w:hAnsi="Arial" w:cs="Arial"/>
          <w:b/>
          <w:bCs/>
        </w:rPr>
        <w:t>3</w:t>
      </w:r>
      <w:r>
        <w:rPr>
          <w:rFonts w:ascii="Arial" w:hAnsi="Arial" w:cs="Arial"/>
          <w:b/>
          <w:bCs/>
        </w:rPr>
        <w:t xml:space="preserve"> CPV codes</w:t>
      </w:r>
    </w:p>
    <w:p w14:paraId="2F9CBE1B" w14:textId="052172F0" w:rsidR="00C40FF9" w:rsidRDefault="008E4BC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Barkhill raised concerns that </w:t>
      </w:r>
      <w:r w:rsidRPr="002918DC">
        <w:rPr>
          <w:rFonts w:ascii="Arial" w:hAnsi="Arial" w:cs="Arial"/>
        </w:rPr>
        <w:t xml:space="preserve">the </w:t>
      </w:r>
      <w:r w:rsidR="00485C7D">
        <w:rPr>
          <w:rFonts w:ascii="Arial" w:hAnsi="Arial" w:cs="Arial"/>
        </w:rPr>
        <w:t>notice of intention</w:t>
      </w:r>
      <w:r w:rsidR="00D7160F">
        <w:rPr>
          <w:rFonts w:ascii="Arial" w:hAnsi="Arial" w:cs="Arial"/>
        </w:rPr>
        <w:t xml:space="preserve"> </w:t>
      </w:r>
      <w:r>
        <w:rPr>
          <w:rFonts w:ascii="Arial" w:hAnsi="Arial" w:cs="Arial"/>
        </w:rPr>
        <w:t>does not contain the most relevant CPV code</w:t>
      </w:r>
      <w:r w:rsidR="00877579">
        <w:rPr>
          <w:rFonts w:ascii="Arial" w:hAnsi="Arial" w:cs="Arial"/>
        </w:rPr>
        <w:t xml:space="preserve"> (see paragraph </w:t>
      </w:r>
      <w:r w:rsidR="00163B1F">
        <w:rPr>
          <w:rFonts w:ascii="Arial" w:hAnsi="Arial" w:cs="Arial"/>
        </w:rPr>
        <w:t>72</w:t>
      </w:r>
      <w:r w:rsidR="00877579">
        <w:rPr>
          <w:rFonts w:ascii="Arial" w:hAnsi="Arial" w:cs="Arial"/>
        </w:rPr>
        <w:t>)</w:t>
      </w:r>
      <w:r>
        <w:rPr>
          <w:rFonts w:ascii="Arial" w:hAnsi="Arial" w:cs="Arial"/>
        </w:rPr>
        <w:t>.</w:t>
      </w:r>
      <w:r w:rsidR="006E3D17" w:rsidRPr="006E3D17">
        <w:rPr>
          <w:rFonts w:ascii="Arial" w:hAnsi="Arial" w:cs="Arial"/>
        </w:rPr>
        <w:t xml:space="preserve"> </w:t>
      </w:r>
      <w:r w:rsidR="00C40FF9">
        <w:rPr>
          <w:rFonts w:ascii="Arial" w:hAnsi="Arial" w:cs="Arial"/>
        </w:rPr>
        <w:t>One of the items</w:t>
      </w:r>
      <w:r w:rsidR="005123B5">
        <w:rPr>
          <w:rFonts w:ascii="Arial" w:hAnsi="Arial" w:cs="Arial"/>
        </w:rPr>
        <w:t xml:space="preserve"> of</w:t>
      </w:r>
      <w:r w:rsidR="00C40FF9">
        <w:rPr>
          <w:rFonts w:ascii="Arial" w:hAnsi="Arial" w:cs="Arial"/>
        </w:rPr>
        <w:t xml:space="preserve"> </w:t>
      </w:r>
      <w:r w:rsidR="00375DD7">
        <w:rPr>
          <w:rFonts w:ascii="Arial" w:hAnsi="Arial" w:cs="Arial"/>
        </w:rPr>
        <w:t xml:space="preserve">information </w:t>
      </w:r>
      <w:r w:rsidR="00C40FF9">
        <w:rPr>
          <w:rFonts w:ascii="Arial" w:hAnsi="Arial" w:cs="Arial"/>
        </w:rPr>
        <w:t xml:space="preserve">listed in Schedule 10 </w:t>
      </w:r>
      <w:r w:rsidR="00375DD7">
        <w:rPr>
          <w:rFonts w:ascii="Arial" w:hAnsi="Arial" w:cs="Arial"/>
        </w:rPr>
        <w:t xml:space="preserve">for inclusion in </w:t>
      </w:r>
      <w:r w:rsidR="00371AB8">
        <w:rPr>
          <w:rFonts w:ascii="Arial" w:hAnsi="Arial" w:cs="Arial"/>
        </w:rPr>
        <w:t xml:space="preserve">a notice of </w:t>
      </w:r>
      <w:r w:rsidR="00375DD7">
        <w:rPr>
          <w:rFonts w:ascii="Arial" w:hAnsi="Arial" w:cs="Arial"/>
        </w:rPr>
        <w:t xml:space="preserve">intention </w:t>
      </w:r>
      <w:r w:rsidR="00C40FF9">
        <w:rPr>
          <w:rFonts w:ascii="Arial" w:hAnsi="Arial" w:cs="Arial"/>
        </w:rPr>
        <w:t>is “</w:t>
      </w:r>
      <w:r w:rsidR="00B17BE1">
        <w:rPr>
          <w:rFonts w:ascii="Arial" w:hAnsi="Arial" w:cs="Arial"/>
        </w:rPr>
        <w:t>A descr</w:t>
      </w:r>
      <w:r w:rsidR="00375663">
        <w:rPr>
          <w:rFonts w:ascii="Arial" w:hAnsi="Arial" w:cs="Arial"/>
        </w:rPr>
        <w:t>iption of the relevant health and care services to which the contract or framework agreement will relate, including the most relevant CPV code”.</w:t>
      </w:r>
    </w:p>
    <w:p w14:paraId="16E4C957" w14:textId="65A30EFF" w:rsidR="00505BAA" w:rsidRDefault="00106955">
      <w:pPr>
        <w:pStyle w:val="ListParagraph"/>
        <w:numPr>
          <w:ilvl w:val="0"/>
          <w:numId w:val="2"/>
        </w:numPr>
        <w:spacing w:line="276" w:lineRule="auto"/>
        <w:ind w:left="567" w:hanging="567"/>
        <w:contextualSpacing w:val="0"/>
        <w:rPr>
          <w:rFonts w:ascii="Arial" w:hAnsi="Arial" w:cs="Arial"/>
        </w:rPr>
      </w:pPr>
      <w:r w:rsidRPr="00AE51E7">
        <w:rPr>
          <w:rFonts w:ascii="Arial" w:hAnsi="Arial" w:cs="Arial"/>
        </w:rPr>
        <w:t>The</w:t>
      </w:r>
      <w:r w:rsidR="00A96027" w:rsidRPr="00AE51E7">
        <w:rPr>
          <w:rFonts w:ascii="Arial" w:hAnsi="Arial" w:cs="Arial"/>
        </w:rPr>
        <w:t xml:space="preserve"> </w:t>
      </w:r>
      <w:r w:rsidR="00E85BB7" w:rsidRPr="00AE51E7">
        <w:rPr>
          <w:rFonts w:ascii="Arial" w:hAnsi="Arial" w:cs="Arial"/>
        </w:rPr>
        <w:t xml:space="preserve">CPV code </w:t>
      </w:r>
      <w:r w:rsidR="00BA343C" w:rsidRPr="00AE51E7">
        <w:rPr>
          <w:rFonts w:ascii="Arial" w:hAnsi="Arial" w:cs="Arial"/>
        </w:rPr>
        <w:t xml:space="preserve">used in the 10 December </w:t>
      </w:r>
      <w:r w:rsidR="009F1B91">
        <w:rPr>
          <w:rFonts w:ascii="Arial" w:hAnsi="Arial" w:cs="Arial"/>
        </w:rPr>
        <w:t xml:space="preserve">2024 </w:t>
      </w:r>
      <w:r w:rsidR="00BA343C" w:rsidRPr="00AE51E7">
        <w:rPr>
          <w:rFonts w:ascii="Arial" w:hAnsi="Arial" w:cs="Arial"/>
        </w:rPr>
        <w:t>notice was ‘</w:t>
      </w:r>
      <w:r w:rsidR="00A96027" w:rsidRPr="00AE51E7">
        <w:rPr>
          <w:rFonts w:ascii="Arial" w:hAnsi="Arial" w:cs="Arial"/>
        </w:rPr>
        <w:t xml:space="preserve">85000000 - Health and social work </w:t>
      </w:r>
      <w:r w:rsidR="002C1B6D" w:rsidRPr="00AE51E7">
        <w:rPr>
          <w:rFonts w:ascii="Arial" w:hAnsi="Arial" w:cs="Arial"/>
        </w:rPr>
        <w:t>services</w:t>
      </w:r>
      <w:r w:rsidR="00BA343C" w:rsidRPr="00AE51E7">
        <w:rPr>
          <w:rFonts w:ascii="Arial" w:hAnsi="Arial" w:cs="Arial"/>
        </w:rPr>
        <w:t xml:space="preserve">’. </w:t>
      </w:r>
      <w:r w:rsidR="003D1A82" w:rsidRPr="00AE51E7">
        <w:rPr>
          <w:rFonts w:ascii="Arial" w:hAnsi="Arial" w:cs="Arial"/>
        </w:rPr>
        <w:t xml:space="preserve">This CPV code is a </w:t>
      </w:r>
      <w:r w:rsidR="00A43DE7" w:rsidRPr="00AE51E7">
        <w:rPr>
          <w:rFonts w:ascii="Arial" w:hAnsi="Arial" w:cs="Arial"/>
        </w:rPr>
        <w:t>parent code for all health and social work services rather than a specific code for dental services</w:t>
      </w:r>
      <w:r w:rsidR="00B5677F">
        <w:rPr>
          <w:rFonts w:ascii="Arial" w:hAnsi="Arial" w:cs="Arial"/>
        </w:rPr>
        <w:t>.</w:t>
      </w:r>
      <w:r w:rsidR="009F1B91">
        <w:rPr>
          <w:rFonts w:ascii="Arial" w:hAnsi="Arial" w:cs="Arial"/>
        </w:rPr>
        <w:t xml:space="preserve"> </w:t>
      </w:r>
      <w:r w:rsidR="00B5677F">
        <w:rPr>
          <w:rFonts w:ascii="Arial" w:hAnsi="Arial" w:cs="Arial"/>
        </w:rPr>
        <w:t>M</w:t>
      </w:r>
      <w:r w:rsidR="00181DD4">
        <w:rPr>
          <w:rFonts w:ascii="Arial" w:hAnsi="Arial" w:cs="Arial"/>
        </w:rPr>
        <w:t xml:space="preserve">oreover, </w:t>
      </w:r>
      <w:r w:rsidR="00B5677F">
        <w:rPr>
          <w:rFonts w:ascii="Arial" w:hAnsi="Arial" w:cs="Arial"/>
        </w:rPr>
        <w:t>it</w:t>
      </w:r>
      <w:r w:rsidR="00181DD4">
        <w:rPr>
          <w:rFonts w:ascii="Arial" w:hAnsi="Arial" w:cs="Arial"/>
        </w:rPr>
        <w:t xml:space="preserve"> </w:t>
      </w:r>
      <w:r w:rsidR="00805504">
        <w:rPr>
          <w:rFonts w:ascii="Arial" w:hAnsi="Arial" w:cs="Arial"/>
        </w:rPr>
        <w:t xml:space="preserve">is not one of the </w:t>
      </w:r>
      <w:r w:rsidR="009F1B91">
        <w:rPr>
          <w:rFonts w:ascii="Arial" w:hAnsi="Arial" w:cs="Arial"/>
        </w:rPr>
        <w:t xml:space="preserve">CPV codes </w:t>
      </w:r>
      <w:r w:rsidR="00E91F84">
        <w:rPr>
          <w:rFonts w:ascii="Arial" w:hAnsi="Arial" w:cs="Arial"/>
        </w:rPr>
        <w:t xml:space="preserve">to which </w:t>
      </w:r>
      <w:r w:rsidR="00805504">
        <w:rPr>
          <w:rFonts w:ascii="Arial" w:hAnsi="Arial" w:cs="Arial"/>
        </w:rPr>
        <w:t>the PSR regulations</w:t>
      </w:r>
      <w:r w:rsidR="00E91F84">
        <w:rPr>
          <w:rFonts w:ascii="Arial" w:hAnsi="Arial" w:cs="Arial"/>
        </w:rPr>
        <w:t xml:space="preserve"> apply</w:t>
      </w:r>
      <w:r w:rsidR="00A43DE7" w:rsidRPr="00AE51E7">
        <w:rPr>
          <w:rFonts w:ascii="Arial" w:hAnsi="Arial" w:cs="Arial"/>
        </w:rPr>
        <w:t xml:space="preserve">. </w:t>
      </w:r>
      <w:r w:rsidR="00927E5C">
        <w:rPr>
          <w:rFonts w:ascii="Arial" w:hAnsi="Arial" w:cs="Arial"/>
        </w:rPr>
        <w:t>(</w:t>
      </w:r>
      <w:r w:rsidR="004C51EF" w:rsidRPr="00AE51E7">
        <w:rPr>
          <w:rFonts w:ascii="Arial" w:hAnsi="Arial" w:cs="Arial"/>
        </w:rPr>
        <w:t xml:space="preserve">By contrast, </w:t>
      </w:r>
      <w:r w:rsidR="00AC5156" w:rsidRPr="00AE51E7">
        <w:rPr>
          <w:rFonts w:ascii="Arial" w:hAnsi="Arial" w:cs="Arial"/>
        </w:rPr>
        <w:t xml:space="preserve">the </w:t>
      </w:r>
      <w:r w:rsidR="004C51EF" w:rsidRPr="00AE51E7">
        <w:rPr>
          <w:rFonts w:ascii="Arial" w:hAnsi="Arial" w:cs="Arial"/>
        </w:rPr>
        <w:t>20 September 2024 notice</w:t>
      </w:r>
      <w:r w:rsidR="00B153CE">
        <w:rPr>
          <w:rFonts w:ascii="Arial" w:hAnsi="Arial" w:cs="Arial"/>
        </w:rPr>
        <w:t xml:space="preserve"> inviting </w:t>
      </w:r>
      <w:r w:rsidR="00DA56F3" w:rsidRPr="00AE51E7">
        <w:rPr>
          <w:rFonts w:ascii="Arial" w:hAnsi="Arial" w:cs="Arial"/>
        </w:rPr>
        <w:t>offers</w:t>
      </w:r>
      <w:r w:rsidR="005007B9" w:rsidRPr="00AE51E7">
        <w:rPr>
          <w:rFonts w:ascii="Arial" w:hAnsi="Arial" w:cs="Arial"/>
        </w:rPr>
        <w:t xml:space="preserve"> </w:t>
      </w:r>
      <w:r w:rsidR="00AC5156" w:rsidRPr="00AE51E7">
        <w:rPr>
          <w:rFonts w:ascii="Arial" w:hAnsi="Arial" w:cs="Arial"/>
        </w:rPr>
        <w:t xml:space="preserve">used the CPV code </w:t>
      </w:r>
      <w:r w:rsidR="003E3B26" w:rsidRPr="00AE51E7">
        <w:rPr>
          <w:rFonts w:ascii="Arial" w:hAnsi="Arial" w:cs="Arial"/>
        </w:rPr>
        <w:t>‘</w:t>
      </w:r>
      <w:r w:rsidR="00BA473D" w:rsidRPr="00AE51E7">
        <w:rPr>
          <w:rFonts w:ascii="Arial" w:hAnsi="Arial" w:cs="Arial"/>
        </w:rPr>
        <w:t>85130000 – Dental practice and related services’</w:t>
      </w:r>
      <w:r w:rsidR="005007B9" w:rsidRPr="00AE51E7">
        <w:rPr>
          <w:rFonts w:ascii="Arial" w:hAnsi="Arial" w:cs="Arial"/>
        </w:rPr>
        <w:t>.</w:t>
      </w:r>
      <w:r w:rsidR="00927E5C">
        <w:rPr>
          <w:rFonts w:ascii="Arial" w:hAnsi="Arial" w:cs="Arial"/>
        </w:rPr>
        <w:t>)</w:t>
      </w:r>
    </w:p>
    <w:p w14:paraId="45738F57" w14:textId="2F4B738D" w:rsidR="00FC758B" w:rsidRPr="00FC758B" w:rsidRDefault="00C35692">
      <w:pPr>
        <w:pStyle w:val="ListParagraph"/>
        <w:numPr>
          <w:ilvl w:val="0"/>
          <w:numId w:val="2"/>
        </w:numPr>
        <w:spacing w:line="276" w:lineRule="auto"/>
        <w:ind w:left="567" w:hanging="567"/>
        <w:contextualSpacing w:val="0"/>
        <w:rPr>
          <w:rFonts w:ascii="Arial" w:hAnsi="Arial" w:cs="Arial"/>
        </w:rPr>
      </w:pPr>
      <w:r w:rsidRPr="00FC758B">
        <w:rPr>
          <w:rFonts w:ascii="Arial" w:hAnsi="Arial" w:cs="Arial"/>
        </w:rPr>
        <w:t xml:space="preserve">As set out in paragraph </w:t>
      </w:r>
      <w:r w:rsidR="00837AFF">
        <w:rPr>
          <w:rFonts w:ascii="Arial" w:hAnsi="Arial" w:cs="Arial"/>
        </w:rPr>
        <w:t>76</w:t>
      </w:r>
      <w:r w:rsidRPr="00FC758B">
        <w:rPr>
          <w:rFonts w:ascii="Arial" w:hAnsi="Arial" w:cs="Arial"/>
        </w:rPr>
        <w:t xml:space="preserve">, HNY ICB published a corrigendum to the notice of intention on 13 January 2025 </w:t>
      </w:r>
      <w:r w:rsidR="0040587C" w:rsidRPr="00FC758B">
        <w:rPr>
          <w:rFonts w:ascii="Arial" w:hAnsi="Arial" w:cs="Arial"/>
        </w:rPr>
        <w:t xml:space="preserve">that </w:t>
      </w:r>
      <w:r w:rsidR="0089365C" w:rsidRPr="00FC758B">
        <w:rPr>
          <w:rFonts w:ascii="Arial" w:hAnsi="Arial" w:cs="Arial"/>
        </w:rPr>
        <w:t>included an additional CPV code</w:t>
      </w:r>
      <w:r w:rsidR="00B50CD9" w:rsidRPr="00FC758B">
        <w:rPr>
          <w:rFonts w:ascii="Arial" w:hAnsi="Arial" w:cs="Arial"/>
        </w:rPr>
        <w:t>, namely ‘85130000 – Dental practice and related services’.</w:t>
      </w:r>
      <w:r w:rsidR="00FC758B" w:rsidRPr="00FC758B">
        <w:rPr>
          <w:rFonts w:ascii="Arial" w:hAnsi="Arial" w:cs="Arial"/>
        </w:rPr>
        <w:t xml:space="preserve"> </w:t>
      </w:r>
      <w:r w:rsidR="00810D1D" w:rsidRPr="00FC758B">
        <w:rPr>
          <w:rFonts w:ascii="Arial" w:hAnsi="Arial" w:cs="Arial"/>
        </w:rPr>
        <w:t xml:space="preserve">The Panel </w:t>
      </w:r>
      <w:r w:rsidR="00A80140">
        <w:rPr>
          <w:rFonts w:ascii="Arial" w:hAnsi="Arial" w:cs="Arial"/>
        </w:rPr>
        <w:t xml:space="preserve">notes the importance of CPV codes as a means of </w:t>
      </w:r>
      <w:r w:rsidR="00D94A2F">
        <w:rPr>
          <w:rFonts w:ascii="Arial" w:hAnsi="Arial" w:cs="Arial"/>
        </w:rPr>
        <w:t xml:space="preserve">interested parties tracking </w:t>
      </w:r>
      <w:r w:rsidR="006E6620">
        <w:rPr>
          <w:rFonts w:ascii="Arial" w:hAnsi="Arial" w:cs="Arial"/>
        </w:rPr>
        <w:t>procurement activities</w:t>
      </w:r>
      <w:r w:rsidR="005741F8">
        <w:rPr>
          <w:rFonts w:ascii="Arial" w:hAnsi="Arial" w:cs="Arial"/>
        </w:rPr>
        <w:t xml:space="preserve">, and </w:t>
      </w:r>
      <w:r w:rsidR="00810D1D" w:rsidRPr="00FC758B">
        <w:rPr>
          <w:rFonts w:ascii="Arial" w:hAnsi="Arial" w:cs="Arial"/>
        </w:rPr>
        <w:t xml:space="preserve">considers that </w:t>
      </w:r>
      <w:r w:rsidR="00B50CD9" w:rsidRPr="00FC758B">
        <w:rPr>
          <w:rFonts w:ascii="Arial" w:hAnsi="Arial" w:cs="Arial"/>
        </w:rPr>
        <w:t xml:space="preserve">the addition of this </w:t>
      </w:r>
      <w:r w:rsidR="00392495" w:rsidRPr="00FC758B">
        <w:rPr>
          <w:rFonts w:ascii="Arial" w:hAnsi="Arial" w:cs="Arial"/>
        </w:rPr>
        <w:t xml:space="preserve">CPV code </w:t>
      </w:r>
      <w:r w:rsidR="00B50CD9" w:rsidRPr="00FC758B">
        <w:rPr>
          <w:rFonts w:ascii="Arial" w:hAnsi="Arial" w:cs="Arial"/>
        </w:rPr>
        <w:t xml:space="preserve">by way of </w:t>
      </w:r>
      <w:r w:rsidR="00E30FDC" w:rsidRPr="00FC758B">
        <w:rPr>
          <w:rFonts w:ascii="Arial" w:hAnsi="Arial" w:cs="Arial"/>
        </w:rPr>
        <w:t>corrigendum</w:t>
      </w:r>
      <w:r w:rsidR="00B50CD9" w:rsidRPr="00FC758B">
        <w:rPr>
          <w:rFonts w:ascii="Arial" w:hAnsi="Arial" w:cs="Arial"/>
        </w:rPr>
        <w:t xml:space="preserve"> addressed the deficiency </w:t>
      </w:r>
      <w:r w:rsidR="00FC758B" w:rsidRPr="00FC758B">
        <w:rPr>
          <w:rFonts w:ascii="Arial" w:hAnsi="Arial" w:cs="Arial"/>
        </w:rPr>
        <w:t>identified by Barkhill.</w:t>
      </w:r>
    </w:p>
    <w:p w14:paraId="42A5FD76" w14:textId="61C2E03D" w:rsidR="00EA6560" w:rsidRDefault="004A5F74" w:rsidP="3BE83DDA">
      <w:pPr>
        <w:pStyle w:val="ListParagraph"/>
        <w:numPr>
          <w:ilvl w:val="0"/>
          <w:numId w:val="2"/>
        </w:numPr>
        <w:spacing w:line="276" w:lineRule="auto"/>
        <w:ind w:left="567" w:hanging="567"/>
        <w:rPr>
          <w:rFonts w:ascii="Arial" w:hAnsi="Arial" w:cs="Arial"/>
        </w:rPr>
      </w:pPr>
      <w:r>
        <w:rPr>
          <w:rFonts w:ascii="Arial" w:hAnsi="Arial" w:cs="Arial"/>
        </w:rPr>
        <w:t>T</w:t>
      </w:r>
      <w:r w:rsidR="00FC758B" w:rsidRPr="3BE83DDA">
        <w:rPr>
          <w:rFonts w:ascii="Arial" w:hAnsi="Arial" w:cs="Arial"/>
        </w:rPr>
        <w:t>he</w:t>
      </w:r>
      <w:r w:rsidR="00FC758B" w:rsidRPr="1F838B14">
        <w:rPr>
          <w:rFonts w:ascii="Arial" w:hAnsi="Arial" w:cs="Arial"/>
        </w:rPr>
        <w:t xml:space="preserve"> Panel finds that HNY ICB</w:t>
      </w:r>
      <w:r w:rsidR="00891BF5" w:rsidRPr="1F838B14">
        <w:rPr>
          <w:rFonts w:ascii="Arial" w:hAnsi="Arial" w:cs="Arial"/>
        </w:rPr>
        <w:t xml:space="preserve">, </w:t>
      </w:r>
      <w:r w:rsidR="00D426CF" w:rsidRPr="1F838B14">
        <w:rPr>
          <w:rFonts w:ascii="Arial" w:hAnsi="Arial" w:cs="Arial"/>
        </w:rPr>
        <w:t>as a result</w:t>
      </w:r>
      <w:r w:rsidR="00891BF5" w:rsidRPr="1F838B14">
        <w:rPr>
          <w:rFonts w:ascii="Arial" w:hAnsi="Arial" w:cs="Arial"/>
        </w:rPr>
        <w:t xml:space="preserve"> </w:t>
      </w:r>
      <w:r w:rsidR="07A19737" w:rsidRPr="1F838B14">
        <w:rPr>
          <w:rFonts w:ascii="Arial" w:hAnsi="Arial" w:cs="Arial"/>
        </w:rPr>
        <w:t xml:space="preserve">of </w:t>
      </w:r>
      <w:r w:rsidR="00891BF5" w:rsidRPr="1F838B14">
        <w:rPr>
          <w:rFonts w:ascii="Arial" w:hAnsi="Arial" w:cs="Arial"/>
        </w:rPr>
        <w:t>publishing the corrigendum with the additional CPV code,</w:t>
      </w:r>
      <w:r w:rsidR="00843C76" w:rsidRPr="1F838B14">
        <w:rPr>
          <w:rFonts w:ascii="Arial" w:hAnsi="Arial" w:cs="Arial"/>
        </w:rPr>
        <w:t xml:space="preserve"> did not breach the PSR regulations</w:t>
      </w:r>
      <w:r w:rsidR="00C7504A" w:rsidRPr="1F838B14">
        <w:rPr>
          <w:rFonts w:ascii="Arial" w:hAnsi="Arial" w:cs="Arial"/>
        </w:rPr>
        <w:t xml:space="preserve"> with respect to</w:t>
      </w:r>
      <w:r w:rsidR="00295FE4" w:rsidRPr="1F838B14">
        <w:rPr>
          <w:rFonts w:ascii="Arial" w:hAnsi="Arial" w:cs="Arial"/>
        </w:rPr>
        <w:t xml:space="preserve"> its obligation under Regulation 11(10) and Schedule 10 to include </w:t>
      </w:r>
      <w:r w:rsidR="00A36A6D" w:rsidRPr="1F838B14">
        <w:rPr>
          <w:rFonts w:ascii="Arial" w:hAnsi="Arial" w:cs="Arial"/>
        </w:rPr>
        <w:t>the most relevant CPV code</w:t>
      </w:r>
      <w:r w:rsidR="001B2169" w:rsidRPr="1F838B14">
        <w:rPr>
          <w:rFonts w:ascii="Arial" w:hAnsi="Arial" w:cs="Arial"/>
        </w:rPr>
        <w:t xml:space="preserve"> in its notice of intention</w:t>
      </w:r>
      <w:r w:rsidR="00810D1D" w:rsidRPr="1F838B14">
        <w:rPr>
          <w:rFonts w:ascii="Arial" w:hAnsi="Arial" w:cs="Arial"/>
        </w:rPr>
        <w:t>.</w:t>
      </w:r>
    </w:p>
    <w:p w14:paraId="2113185A" w14:textId="634B4C56" w:rsidR="00EA6560" w:rsidRPr="00757A89" w:rsidRDefault="00757A89" w:rsidP="00757A89">
      <w:pPr>
        <w:keepNext/>
        <w:spacing w:before="240" w:line="276" w:lineRule="auto"/>
        <w:rPr>
          <w:rFonts w:ascii="Arial" w:hAnsi="Arial" w:cs="Arial"/>
          <w:b/>
          <w:bCs/>
        </w:rPr>
      </w:pPr>
      <w:r>
        <w:rPr>
          <w:rFonts w:ascii="Arial" w:hAnsi="Arial" w:cs="Arial"/>
          <w:b/>
          <w:bCs/>
        </w:rPr>
        <w:t>7.2.</w:t>
      </w:r>
      <w:r w:rsidR="002C09EF">
        <w:rPr>
          <w:rFonts w:ascii="Arial" w:hAnsi="Arial" w:cs="Arial"/>
          <w:b/>
          <w:bCs/>
        </w:rPr>
        <w:t>4</w:t>
      </w:r>
      <w:r>
        <w:rPr>
          <w:rFonts w:ascii="Arial" w:hAnsi="Arial" w:cs="Arial"/>
          <w:b/>
          <w:bCs/>
        </w:rPr>
        <w:t xml:space="preserve"> </w:t>
      </w:r>
      <w:r w:rsidR="00321B11">
        <w:rPr>
          <w:rFonts w:ascii="Arial" w:hAnsi="Arial" w:cs="Arial"/>
          <w:b/>
          <w:bCs/>
        </w:rPr>
        <w:t xml:space="preserve">Reasons for selecting the </w:t>
      </w:r>
      <w:r w:rsidR="00306D8A">
        <w:rPr>
          <w:rFonts w:ascii="Arial" w:hAnsi="Arial" w:cs="Arial"/>
          <w:b/>
          <w:bCs/>
        </w:rPr>
        <w:t>successful</w:t>
      </w:r>
      <w:r w:rsidR="00321B11">
        <w:rPr>
          <w:rFonts w:ascii="Arial" w:hAnsi="Arial" w:cs="Arial"/>
          <w:b/>
          <w:bCs/>
        </w:rPr>
        <w:t xml:space="preserve"> providers</w:t>
      </w:r>
    </w:p>
    <w:p w14:paraId="6B402F3D" w14:textId="70460838" w:rsidR="00C86B52" w:rsidRDefault="00393051" w:rsidP="00776F5D">
      <w:pPr>
        <w:pStyle w:val="ListParagraph"/>
        <w:numPr>
          <w:ilvl w:val="0"/>
          <w:numId w:val="2"/>
        </w:numPr>
        <w:spacing w:line="276" w:lineRule="auto"/>
        <w:ind w:left="567" w:hanging="567"/>
        <w:contextualSpacing w:val="0"/>
        <w:rPr>
          <w:rFonts w:ascii="Arial" w:hAnsi="Arial" w:cs="Arial"/>
        </w:rPr>
      </w:pPr>
      <w:r w:rsidRPr="006E3D17">
        <w:rPr>
          <w:rFonts w:ascii="Arial" w:hAnsi="Arial" w:cs="Arial"/>
        </w:rPr>
        <w:t xml:space="preserve">Barkhill raised concerns that the </w:t>
      </w:r>
      <w:r w:rsidR="00F4745B">
        <w:rPr>
          <w:rFonts w:ascii="Arial" w:hAnsi="Arial" w:cs="Arial"/>
        </w:rPr>
        <w:t xml:space="preserve">notice of </w:t>
      </w:r>
      <w:r w:rsidRPr="006E3D17">
        <w:rPr>
          <w:rFonts w:ascii="Arial" w:hAnsi="Arial" w:cs="Arial"/>
        </w:rPr>
        <w:t xml:space="preserve">intention </w:t>
      </w:r>
      <w:r>
        <w:rPr>
          <w:rFonts w:ascii="Arial" w:hAnsi="Arial" w:cs="Arial"/>
        </w:rPr>
        <w:t>fail</w:t>
      </w:r>
      <w:r w:rsidR="0073682B">
        <w:rPr>
          <w:rFonts w:ascii="Arial" w:hAnsi="Arial" w:cs="Arial"/>
        </w:rPr>
        <w:t>ed</w:t>
      </w:r>
      <w:r>
        <w:rPr>
          <w:rFonts w:ascii="Arial" w:hAnsi="Arial" w:cs="Arial"/>
        </w:rPr>
        <w:t xml:space="preserve"> to provide a statement explaining the decision makers’ reasons for selecting the </w:t>
      </w:r>
      <w:r w:rsidR="00D1008A">
        <w:rPr>
          <w:rFonts w:ascii="Arial" w:hAnsi="Arial" w:cs="Arial"/>
        </w:rPr>
        <w:t xml:space="preserve">successful </w:t>
      </w:r>
      <w:r>
        <w:rPr>
          <w:rFonts w:ascii="Arial" w:hAnsi="Arial" w:cs="Arial"/>
        </w:rPr>
        <w:t>provider</w:t>
      </w:r>
      <w:r w:rsidR="007F4AE3">
        <w:rPr>
          <w:rFonts w:ascii="Arial" w:hAnsi="Arial" w:cs="Arial"/>
        </w:rPr>
        <w:t>s</w:t>
      </w:r>
      <w:r>
        <w:rPr>
          <w:rFonts w:ascii="Arial" w:hAnsi="Arial" w:cs="Arial"/>
        </w:rPr>
        <w:t xml:space="preserve"> with reference to the key criteria</w:t>
      </w:r>
      <w:r w:rsidRPr="006E3D17">
        <w:rPr>
          <w:rFonts w:ascii="Arial" w:hAnsi="Arial" w:cs="Arial"/>
        </w:rPr>
        <w:t xml:space="preserve"> (see paragraph </w:t>
      </w:r>
      <w:r w:rsidR="00837AFF">
        <w:rPr>
          <w:rFonts w:ascii="Arial" w:hAnsi="Arial" w:cs="Arial"/>
        </w:rPr>
        <w:t>72</w:t>
      </w:r>
      <w:r w:rsidRPr="006E3D17">
        <w:rPr>
          <w:rFonts w:ascii="Arial" w:hAnsi="Arial" w:cs="Arial"/>
        </w:rPr>
        <w:t>).</w:t>
      </w:r>
      <w:r w:rsidR="003D78D0" w:rsidRPr="003D78D0">
        <w:rPr>
          <w:rFonts w:ascii="Arial" w:hAnsi="Arial" w:cs="Arial"/>
        </w:rPr>
        <w:t xml:space="preserve"> </w:t>
      </w:r>
      <w:r w:rsidR="003D78D0">
        <w:rPr>
          <w:rFonts w:ascii="Arial" w:hAnsi="Arial" w:cs="Arial"/>
        </w:rPr>
        <w:t xml:space="preserve">One of the items </w:t>
      </w:r>
      <w:r w:rsidR="00BB303C">
        <w:rPr>
          <w:rFonts w:ascii="Arial" w:hAnsi="Arial" w:cs="Arial"/>
        </w:rPr>
        <w:t xml:space="preserve">of information listed in </w:t>
      </w:r>
      <w:r w:rsidR="003D78D0">
        <w:rPr>
          <w:rFonts w:ascii="Arial" w:hAnsi="Arial" w:cs="Arial"/>
        </w:rPr>
        <w:t xml:space="preserve">Schedule 10 </w:t>
      </w:r>
      <w:r w:rsidR="00BB303C">
        <w:rPr>
          <w:rFonts w:ascii="Arial" w:hAnsi="Arial" w:cs="Arial"/>
        </w:rPr>
        <w:t xml:space="preserve">for inclusion in a notice of intention </w:t>
      </w:r>
      <w:r w:rsidR="003D78D0">
        <w:rPr>
          <w:rFonts w:ascii="Arial" w:hAnsi="Arial" w:cs="Arial"/>
        </w:rPr>
        <w:t xml:space="preserve">is </w:t>
      </w:r>
      <w:r w:rsidR="00735617">
        <w:rPr>
          <w:rFonts w:ascii="Arial" w:hAnsi="Arial" w:cs="Arial"/>
        </w:rPr>
        <w:t xml:space="preserve">“A statement explaining the </w:t>
      </w:r>
      <w:r w:rsidR="0028787B">
        <w:rPr>
          <w:rFonts w:ascii="Arial" w:hAnsi="Arial" w:cs="Arial"/>
        </w:rPr>
        <w:lastRenderedPageBreak/>
        <w:t>decision-makers’ reasons for selecting the chosen provider, with reference to the key criteria”.</w:t>
      </w:r>
    </w:p>
    <w:p w14:paraId="6A81AB67" w14:textId="79B31203" w:rsidR="00C257F2" w:rsidRDefault="00C86B52" w:rsidP="00C87512">
      <w:pPr>
        <w:pStyle w:val="ListParagraph"/>
        <w:numPr>
          <w:ilvl w:val="0"/>
          <w:numId w:val="2"/>
        </w:numPr>
        <w:spacing w:after="120" w:line="276" w:lineRule="auto"/>
        <w:ind w:left="567" w:hanging="567"/>
        <w:contextualSpacing w:val="0"/>
        <w:rPr>
          <w:rFonts w:ascii="Arial" w:hAnsi="Arial" w:cs="Arial"/>
        </w:rPr>
      </w:pPr>
      <w:bookmarkStart w:id="25" w:name="_Ref196223988"/>
      <w:bookmarkStart w:id="26" w:name="_Ref195788584"/>
      <w:r>
        <w:rPr>
          <w:rFonts w:ascii="Arial" w:hAnsi="Arial" w:cs="Arial"/>
        </w:rPr>
        <w:t xml:space="preserve">The </w:t>
      </w:r>
      <w:r w:rsidR="0027051E">
        <w:rPr>
          <w:rFonts w:ascii="Arial" w:hAnsi="Arial" w:cs="Arial"/>
        </w:rPr>
        <w:t>Panel reviewed t</w:t>
      </w:r>
      <w:r>
        <w:rPr>
          <w:rFonts w:ascii="Arial" w:hAnsi="Arial" w:cs="Arial"/>
        </w:rPr>
        <w:t xml:space="preserve">he </w:t>
      </w:r>
      <w:r w:rsidR="00EE3E07">
        <w:rPr>
          <w:rFonts w:ascii="Arial" w:hAnsi="Arial" w:cs="Arial"/>
        </w:rPr>
        <w:t xml:space="preserve">notice of intention </w:t>
      </w:r>
      <w:r w:rsidR="00050D5C">
        <w:rPr>
          <w:rFonts w:ascii="Arial" w:hAnsi="Arial" w:cs="Arial"/>
        </w:rPr>
        <w:t xml:space="preserve">and </w:t>
      </w:r>
      <w:r w:rsidR="003039B5">
        <w:rPr>
          <w:rFonts w:ascii="Arial" w:hAnsi="Arial" w:cs="Arial"/>
        </w:rPr>
        <w:t>identified the following text</w:t>
      </w:r>
      <w:r w:rsidR="002B69C5">
        <w:rPr>
          <w:rFonts w:ascii="Arial" w:hAnsi="Arial" w:cs="Arial"/>
        </w:rPr>
        <w:t xml:space="preserve">, included in </w:t>
      </w:r>
      <w:r w:rsidR="003A33A9">
        <w:rPr>
          <w:rFonts w:ascii="Arial" w:hAnsi="Arial" w:cs="Arial"/>
        </w:rPr>
        <w:t>‘</w:t>
      </w:r>
      <w:r w:rsidR="002B69C5">
        <w:rPr>
          <w:rFonts w:ascii="Arial" w:hAnsi="Arial" w:cs="Arial"/>
        </w:rPr>
        <w:t>Section VI Complementa</w:t>
      </w:r>
      <w:r w:rsidR="006B02E3">
        <w:rPr>
          <w:rFonts w:ascii="Arial" w:hAnsi="Arial" w:cs="Arial"/>
        </w:rPr>
        <w:t>ry information</w:t>
      </w:r>
      <w:r w:rsidR="003A33A9">
        <w:rPr>
          <w:rFonts w:ascii="Arial" w:hAnsi="Arial" w:cs="Arial"/>
        </w:rPr>
        <w:t>’</w:t>
      </w:r>
      <w:r w:rsidR="0017387C">
        <w:rPr>
          <w:rFonts w:ascii="Arial" w:hAnsi="Arial" w:cs="Arial"/>
        </w:rPr>
        <w:t xml:space="preserve">, as coming </w:t>
      </w:r>
      <w:r w:rsidR="00050D5C">
        <w:rPr>
          <w:rFonts w:ascii="Arial" w:hAnsi="Arial" w:cs="Arial"/>
        </w:rPr>
        <w:t xml:space="preserve">closest to </w:t>
      </w:r>
      <w:r w:rsidR="0068668E">
        <w:rPr>
          <w:rFonts w:ascii="Arial" w:hAnsi="Arial" w:cs="Arial"/>
        </w:rPr>
        <w:t xml:space="preserve">a statement </w:t>
      </w:r>
      <w:r w:rsidR="004B71E5">
        <w:rPr>
          <w:rFonts w:ascii="Arial" w:hAnsi="Arial" w:cs="Arial"/>
        </w:rPr>
        <w:t>expla</w:t>
      </w:r>
      <w:r w:rsidR="00983C9E">
        <w:rPr>
          <w:rFonts w:ascii="Arial" w:hAnsi="Arial" w:cs="Arial"/>
        </w:rPr>
        <w:t>i</w:t>
      </w:r>
      <w:r w:rsidR="004B71E5">
        <w:rPr>
          <w:rFonts w:ascii="Arial" w:hAnsi="Arial" w:cs="Arial"/>
        </w:rPr>
        <w:t>n</w:t>
      </w:r>
      <w:r w:rsidR="00983C9E">
        <w:rPr>
          <w:rFonts w:ascii="Arial" w:hAnsi="Arial" w:cs="Arial"/>
        </w:rPr>
        <w:t>ing</w:t>
      </w:r>
      <w:r w:rsidR="004B71E5">
        <w:rPr>
          <w:rFonts w:ascii="Arial" w:hAnsi="Arial" w:cs="Arial"/>
        </w:rPr>
        <w:t xml:space="preserve"> </w:t>
      </w:r>
      <w:r w:rsidR="005E11E0">
        <w:rPr>
          <w:rFonts w:ascii="Arial" w:hAnsi="Arial" w:cs="Arial"/>
        </w:rPr>
        <w:t xml:space="preserve">HNY ICB’s </w:t>
      </w:r>
      <w:r w:rsidR="00122A84">
        <w:rPr>
          <w:rFonts w:ascii="Arial" w:hAnsi="Arial" w:cs="Arial"/>
        </w:rPr>
        <w:t xml:space="preserve">reasons for selecting the </w:t>
      </w:r>
      <w:r w:rsidR="00F64B08">
        <w:rPr>
          <w:rFonts w:ascii="Arial" w:hAnsi="Arial" w:cs="Arial"/>
        </w:rPr>
        <w:t xml:space="preserve">successful </w:t>
      </w:r>
      <w:r w:rsidR="00122A84">
        <w:rPr>
          <w:rFonts w:ascii="Arial" w:hAnsi="Arial" w:cs="Arial"/>
        </w:rPr>
        <w:t>provider</w:t>
      </w:r>
      <w:r w:rsidR="001A0263">
        <w:rPr>
          <w:rFonts w:ascii="Arial" w:hAnsi="Arial" w:cs="Arial"/>
        </w:rPr>
        <w:t>s</w:t>
      </w:r>
      <w:r w:rsidR="00C257F2">
        <w:rPr>
          <w:rFonts w:ascii="Arial" w:hAnsi="Arial" w:cs="Arial"/>
        </w:rPr>
        <w:t xml:space="preserve"> with reference to the key criteria:</w:t>
      </w:r>
      <w:bookmarkEnd w:id="25"/>
    </w:p>
    <w:p w14:paraId="4F167589" w14:textId="252A801D" w:rsidR="00EA6560" w:rsidRPr="00DA1A1B" w:rsidRDefault="00C86B52" w:rsidP="00C87512">
      <w:pPr>
        <w:pStyle w:val="ListParagraph"/>
        <w:spacing w:line="276" w:lineRule="auto"/>
        <w:ind w:left="851"/>
        <w:contextualSpacing w:val="0"/>
        <w:rPr>
          <w:rFonts w:ascii="Arial" w:hAnsi="Arial" w:cs="Arial"/>
          <w:sz w:val="21"/>
          <w:szCs w:val="21"/>
        </w:rPr>
      </w:pPr>
      <w:r w:rsidRPr="00DA1A1B">
        <w:rPr>
          <w:rFonts w:ascii="Arial" w:hAnsi="Arial" w:cs="Arial"/>
          <w:sz w:val="21"/>
          <w:szCs w:val="21"/>
        </w:rPr>
        <w:t>“The PRD includes the contract award criteria, including the agreed relative importance of key criteria (for example weightings apportioned to questions within the key criteria) against which responses were evaluated. The providers have been assessed and passed against the relevant 5 key criteria and mandatory requirements</w:t>
      </w:r>
      <w:r w:rsidR="00364FDD" w:rsidRPr="00DA1A1B">
        <w:rPr>
          <w:rFonts w:ascii="Arial" w:hAnsi="Arial" w:cs="Arial"/>
          <w:sz w:val="21"/>
          <w:szCs w:val="21"/>
        </w:rPr>
        <w:t>”</w:t>
      </w:r>
      <w:r w:rsidR="0020498B" w:rsidRPr="00DA1A1B">
        <w:rPr>
          <w:rFonts w:ascii="Arial" w:hAnsi="Arial" w:cs="Arial"/>
          <w:sz w:val="21"/>
          <w:szCs w:val="21"/>
        </w:rPr>
        <w:t>.</w:t>
      </w:r>
      <w:bookmarkEnd w:id="26"/>
    </w:p>
    <w:p w14:paraId="5531F44D" w14:textId="77777777" w:rsidR="004D3174" w:rsidRDefault="00F25318" w:rsidP="000E1396">
      <w:pPr>
        <w:pStyle w:val="ListParagraph"/>
        <w:numPr>
          <w:ilvl w:val="0"/>
          <w:numId w:val="2"/>
        </w:numPr>
        <w:spacing w:line="276" w:lineRule="auto"/>
        <w:ind w:left="567" w:hanging="567"/>
        <w:contextualSpacing w:val="0"/>
        <w:rPr>
          <w:rFonts w:ascii="Arial" w:hAnsi="Arial" w:cs="Arial"/>
        </w:rPr>
      </w:pPr>
      <w:bookmarkStart w:id="27" w:name="_Ref197087788"/>
      <w:bookmarkStart w:id="28" w:name="_Ref196400643"/>
      <w:bookmarkStart w:id="29" w:name="_Ref195789379"/>
      <w:r w:rsidRPr="00625D82">
        <w:rPr>
          <w:rFonts w:ascii="Arial" w:hAnsi="Arial" w:cs="Arial"/>
        </w:rPr>
        <w:t>Th</w:t>
      </w:r>
      <w:r w:rsidR="00332359" w:rsidRPr="00625D82">
        <w:rPr>
          <w:rFonts w:ascii="Arial" w:hAnsi="Arial" w:cs="Arial"/>
        </w:rPr>
        <w:t>e Panel considers that th</w:t>
      </w:r>
      <w:r w:rsidR="00611882" w:rsidRPr="00625D82">
        <w:rPr>
          <w:rFonts w:ascii="Arial" w:hAnsi="Arial" w:cs="Arial"/>
        </w:rPr>
        <w:t xml:space="preserve">e </w:t>
      </w:r>
      <w:r w:rsidR="000A2584">
        <w:rPr>
          <w:rFonts w:ascii="Arial" w:hAnsi="Arial" w:cs="Arial"/>
        </w:rPr>
        <w:t>meaning</w:t>
      </w:r>
      <w:r w:rsidR="00611882" w:rsidRPr="00625D82">
        <w:rPr>
          <w:rFonts w:ascii="Arial" w:hAnsi="Arial" w:cs="Arial"/>
        </w:rPr>
        <w:t xml:space="preserve"> of </w:t>
      </w:r>
      <w:r w:rsidR="00332359" w:rsidRPr="00625D82">
        <w:rPr>
          <w:rFonts w:ascii="Arial" w:hAnsi="Arial" w:cs="Arial"/>
        </w:rPr>
        <w:t xml:space="preserve">this </w:t>
      </w:r>
      <w:r w:rsidR="00BB3170" w:rsidRPr="00625D82">
        <w:rPr>
          <w:rFonts w:ascii="Arial" w:hAnsi="Arial" w:cs="Arial"/>
        </w:rPr>
        <w:t xml:space="preserve">statement </w:t>
      </w:r>
      <w:r w:rsidR="00611882" w:rsidRPr="00625D82">
        <w:rPr>
          <w:rFonts w:ascii="Arial" w:hAnsi="Arial" w:cs="Arial"/>
        </w:rPr>
        <w:t>is unclear</w:t>
      </w:r>
      <w:r w:rsidR="000A2584" w:rsidRPr="00625D82">
        <w:rPr>
          <w:rFonts w:ascii="Arial" w:hAnsi="Arial" w:cs="Arial"/>
        </w:rPr>
        <w:t>.</w:t>
      </w:r>
      <w:r w:rsidR="000A2584">
        <w:rPr>
          <w:rFonts w:ascii="Arial" w:hAnsi="Arial" w:cs="Arial"/>
        </w:rPr>
        <w:t xml:space="preserve"> </w:t>
      </w:r>
      <w:r w:rsidR="0086688A">
        <w:rPr>
          <w:rFonts w:ascii="Arial" w:hAnsi="Arial" w:cs="Arial"/>
        </w:rPr>
        <w:t xml:space="preserve">It might be read as saying that all </w:t>
      </w:r>
      <w:r w:rsidR="00890207">
        <w:rPr>
          <w:rFonts w:ascii="Arial" w:hAnsi="Arial" w:cs="Arial"/>
        </w:rPr>
        <w:t>bidders</w:t>
      </w:r>
      <w:r w:rsidR="00262A9E" w:rsidRPr="00625D82">
        <w:rPr>
          <w:rFonts w:ascii="Arial" w:hAnsi="Arial" w:cs="Arial"/>
        </w:rPr>
        <w:t>, including both successful and unsuccessful bidders,</w:t>
      </w:r>
      <w:r w:rsidR="00890207" w:rsidRPr="00625D82">
        <w:rPr>
          <w:rFonts w:ascii="Arial" w:hAnsi="Arial" w:cs="Arial"/>
        </w:rPr>
        <w:t xml:space="preserve"> </w:t>
      </w:r>
      <w:r w:rsidR="0092460F" w:rsidRPr="00625D82">
        <w:rPr>
          <w:rFonts w:ascii="Arial" w:hAnsi="Arial" w:cs="Arial"/>
        </w:rPr>
        <w:t>were</w:t>
      </w:r>
      <w:r w:rsidR="00890207" w:rsidRPr="00625D82">
        <w:rPr>
          <w:rFonts w:ascii="Arial" w:hAnsi="Arial" w:cs="Arial"/>
        </w:rPr>
        <w:t xml:space="preserve"> </w:t>
      </w:r>
      <w:r w:rsidR="00890207">
        <w:rPr>
          <w:rFonts w:ascii="Arial" w:hAnsi="Arial" w:cs="Arial"/>
        </w:rPr>
        <w:t>assessed and pa</w:t>
      </w:r>
      <w:r w:rsidR="00504287">
        <w:rPr>
          <w:rFonts w:ascii="Arial" w:hAnsi="Arial" w:cs="Arial"/>
        </w:rPr>
        <w:t xml:space="preserve">ssed against </w:t>
      </w:r>
      <w:r w:rsidR="00DD7453">
        <w:rPr>
          <w:rFonts w:ascii="Arial" w:hAnsi="Arial" w:cs="Arial"/>
        </w:rPr>
        <w:t>the five key criteria</w:t>
      </w:r>
      <w:r w:rsidR="001526ED">
        <w:rPr>
          <w:rFonts w:ascii="Arial" w:hAnsi="Arial" w:cs="Arial"/>
        </w:rPr>
        <w:t xml:space="preserve"> and mandatory requirements</w:t>
      </w:r>
      <w:r w:rsidR="004F7C88" w:rsidRPr="00625D82">
        <w:rPr>
          <w:rFonts w:ascii="Arial" w:hAnsi="Arial" w:cs="Arial"/>
        </w:rPr>
        <w:t xml:space="preserve">. </w:t>
      </w:r>
      <w:r w:rsidR="00DB1A68" w:rsidRPr="00625D82">
        <w:rPr>
          <w:rFonts w:ascii="Arial" w:hAnsi="Arial" w:cs="Arial"/>
        </w:rPr>
        <w:t>(</w:t>
      </w:r>
      <w:r w:rsidR="00C32E81" w:rsidRPr="00625D82">
        <w:rPr>
          <w:rFonts w:ascii="Arial" w:hAnsi="Arial" w:cs="Arial"/>
        </w:rPr>
        <w:t xml:space="preserve">However, </w:t>
      </w:r>
      <w:r w:rsidR="00DB1A68" w:rsidRPr="00625D82">
        <w:rPr>
          <w:rFonts w:ascii="Arial" w:hAnsi="Arial" w:cs="Arial"/>
        </w:rPr>
        <w:t>this</w:t>
      </w:r>
      <w:r w:rsidR="00DD7453">
        <w:rPr>
          <w:rFonts w:ascii="Arial" w:hAnsi="Arial" w:cs="Arial"/>
        </w:rPr>
        <w:t xml:space="preserve"> would not </w:t>
      </w:r>
      <w:r w:rsidR="00DB1A68" w:rsidRPr="00625D82">
        <w:rPr>
          <w:rFonts w:ascii="Arial" w:hAnsi="Arial" w:cs="Arial"/>
        </w:rPr>
        <w:t>explain why the chosen providers had been selected</w:t>
      </w:r>
      <w:r w:rsidR="00262A9E" w:rsidRPr="00625D82">
        <w:rPr>
          <w:rFonts w:ascii="Arial" w:hAnsi="Arial" w:cs="Arial"/>
        </w:rPr>
        <w:t>.)</w:t>
      </w:r>
    </w:p>
    <w:p w14:paraId="292987E6" w14:textId="77777777" w:rsidR="005A53C7" w:rsidRDefault="005322FC" w:rsidP="000E1396">
      <w:pPr>
        <w:pStyle w:val="ListParagraph"/>
        <w:numPr>
          <w:ilvl w:val="0"/>
          <w:numId w:val="2"/>
        </w:numPr>
        <w:spacing w:line="276" w:lineRule="auto"/>
        <w:ind w:left="567" w:hanging="567"/>
        <w:contextualSpacing w:val="0"/>
        <w:rPr>
          <w:rFonts w:ascii="Arial" w:hAnsi="Arial" w:cs="Arial"/>
        </w:rPr>
      </w:pPr>
      <w:r w:rsidRPr="00625D82">
        <w:rPr>
          <w:rFonts w:ascii="Arial" w:hAnsi="Arial" w:cs="Arial"/>
        </w:rPr>
        <w:t>On the other hand</w:t>
      </w:r>
      <w:r w:rsidR="00C9259D">
        <w:rPr>
          <w:rFonts w:ascii="Arial" w:hAnsi="Arial" w:cs="Arial"/>
        </w:rPr>
        <w:t xml:space="preserve">, it might be read as </w:t>
      </w:r>
      <w:r w:rsidR="001177B9">
        <w:rPr>
          <w:rFonts w:ascii="Arial" w:hAnsi="Arial" w:cs="Arial"/>
        </w:rPr>
        <w:t xml:space="preserve">saying that </w:t>
      </w:r>
      <w:r w:rsidR="007A104A">
        <w:rPr>
          <w:rFonts w:ascii="Arial" w:hAnsi="Arial" w:cs="Arial"/>
        </w:rPr>
        <w:t xml:space="preserve">only </w:t>
      </w:r>
      <w:r w:rsidR="001177B9">
        <w:rPr>
          <w:rFonts w:ascii="Arial" w:hAnsi="Arial" w:cs="Arial"/>
        </w:rPr>
        <w:t xml:space="preserve">the successful bidders passed </w:t>
      </w:r>
      <w:r w:rsidR="001177B9" w:rsidRPr="00625D82">
        <w:rPr>
          <w:rFonts w:ascii="Arial" w:hAnsi="Arial" w:cs="Arial"/>
        </w:rPr>
        <w:t>the</w:t>
      </w:r>
      <w:r w:rsidR="001177B9">
        <w:rPr>
          <w:rFonts w:ascii="Arial" w:hAnsi="Arial" w:cs="Arial"/>
        </w:rPr>
        <w:t xml:space="preserve"> key criteria</w:t>
      </w:r>
      <w:r w:rsidR="001526ED">
        <w:rPr>
          <w:rFonts w:ascii="Arial" w:hAnsi="Arial" w:cs="Arial"/>
        </w:rPr>
        <w:t xml:space="preserve"> and mandatory requirements, which would </w:t>
      </w:r>
      <w:r w:rsidR="00A674F6" w:rsidRPr="00625D82">
        <w:rPr>
          <w:rFonts w:ascii="Arial" w:hAnsi="Arial" w:cs="Arial"/>
        </w:rPr>
        <w:t xml:space="preserve">potentially explain why the successful bidders had been selected. However, </w:t>
      </w:r>
      <w:r w:rsidR="00FB5C23" w:rsidRPr="00625D82">
        <w:rPr>
          <w:rFonts w:ascii="Arial" w:hAnsi="Arial" w:cs="Arial"/>
        </w:rPr>
        <w:t xml:space="preserve">if </w:t>
      </w:r>
      <w:r w:rsidR="00F34C44" w:rsidRPr="00625D82">
        <w:rPr>
          <w:rFonts w:ascii="Arial" w:hAnsi="Arial" w:cs="Arial"/>
        </w:rPr>
        <w:t>this is the intended reading</w:t>
      </w:r>
      <w:r w:rsidR="00FB5C23" w:rsidRPr="00625D82">
        <w:rPr>
          <w:rFonts w:ascii="Arial" w:hAnsi="Arial" w:cs="Arial"/>
        </w:rPr>
        <w:t xml:space="preserve">, </w:t>
      </w:r>
      <w:r w:rsidR="00A674F6" w:rsidRPr="00625D82">
        <w:rPr>
          <w:rFonts w:ascii="Arial" w:hAnsi="Arial" w:cs="Arial"/>
        </w:rPr>
        <w:t xml:space="preserve">the statement </w:t>
      </w:r>
      <w:r w:rsidR="00FB5C23" w:rsidRPr="00625D82">
        <w:rPr>
          <w:rFonts w:ascii="Arial" w:hAnsi="Arial" w:cs="Arial"/>
        </w:rPr>
        <w:t xml:space="preserve">is </w:t>
      </w:r>
      <w:r w:rsidR="00A674F6" w:rsidRPr="00625D82">
        <w:rPr>
          <w:rFonts w:ascii="Arial" w:hAnsi="Arial" w:cs="Arial"/>
        </w:rPr>
        <w:t>incorrect</w:t>
      </w:r>
      <w:r w:rsidR="00CD2156">
        <w:rPr>
          <w:rFonts w:ascii="Arial" w:hAnsi="Arial" w:cs="Arial"/>
        </w:rPr>
        <w:t xml:space="preserve"> given that unsuccessful bidders also passed</w:t>
      </w:r>
      <w:r w:rsidR="007B211B" w:rsidRPr="00625D82">
        <w:rPr>
          <w:rFonts w:ascii="Arial" w:hAnsi="Arial" w:cs="Arial"/>
        </w:rPr>
        <w:t xml:space="preserve"> the key criteria and mandatory requirements</w:t>
      </w:r>
      <w:r w:rsidR="00CD2156">
        <w:rPr>
          <w:rFonts w:ascii="Arial" w:hAnsi="Arial" w:cs="Arial"/>
        </w:rPr>
        <w:t xml:space="preserve"> but simply scored </w:t>
      </w:r>
      <w:r w:rsidR="009E1161" w:rsidRPr="00625D82">
        <w:rPr>
          <w:rFonts w:ascii="Arial" w:hAnsi="Arial" w:cs="Arial"/>
        </w:rPr>
        <w:t>fewer points</w:t>
      </w:r>
      <w:r w:rsidR="00CD2156">
        <w:rPr>
          <w:rFonts w:ascii="Arial" w:hAnsi="Arial" w:cs="Arial"/>
        </w:rPr>
        <w:t xml:space="preserve"> than the successful bidders.</w:t>
      </w:r>
    </w:p>
    <w:p w14:paraId="358AE8E2" w14:textId="3AB76850" w:rsidR="000A2584" w:rsidRDefault="00E72079" w:rsidP="001C676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As a result, the </w:t>
      </w:r>
      <w:r w:rsidR="00D109BA">
        <w:rPr>
          <w:rFonts w:ascii="Arial" w:hAnsi="Arial" w:cs="Arial"/>
        </w:rPr>
        <w:t>Panel’s view is that this statement does not explain the “decision makers’ reasons for selecting the chosen providers” (as per the requirements set out in Schedule 10).</w:t>
      </w:r>
      <w:bookmarkEnd w:id="27"/>
    </w:p>
    <w:p w14:paraId="18684405" w14:textId="7A425D61" w:rsidR="00C012AF" w:rsidRDefault="00C012AF" w:rsidP="00DA1A1B">
      <w:pPr>
        <w:pStyle w:val="ListParagraph"/>
        <w:numPr>
          <w:ilvl w:val="0"/>
          <w:numId w:val="2"/>
        </w:numPr>
        <w:spacing w:after="120" w:line="276" w:lineRule="auto"/>
        <w:ind w:left="567" w:hanging="567"/>
        <w:contextualSpacing w:val="0"/>
        <w:rPr>
          <w:rFonts w:ascii="Arial" w:hAnsi="Arial" w:cs="Arial"/>
        </w:rPr>
      </w:pPr>
      <w:bookmarkStart w:id="30" w:name="_Ref196224600"/>
      <w:bookmarkEnd w:id="28"/>
      <w:bookmarkEnd w:id="29"/>
      <w:r>
        <w:rPr>
          <w:rFonts w:ascii="Arial" w:hAnsi="Arial" w:cs="Arial"/>
        </w:rPr>
        <w:t xml:space="preserve">The </w:t>
      </w:r>
      <w:r w:rsidR="00EE761E">
        <w:rPr>
          <w:rFonts w:ascii="Arial" w:hAnsi="Arial" w:cs="Arial"/>
        </w:rPr>
        <w:t>c</w:t>
      </w:r>
      <w:r w:rsidRPr="00AD3BEC">
        <w:rPr>
          <w:rFonts w:ascii="Arial" w:hAnsi="Arial" w:cs="Arial"/>
        </w:rPr>
        <w:t xml:space="preserve">orrigendum </w:t>
      </w:r>
      <w:r w:rsidR="00EE761E">
        <w:rPr>
          <w:rFonts w:ascii="Arial" w:hAnsi="Arial" w:cs="Arial"/>
        </w:rPr>
        <w:t>published on</w:t>
      </w:r>
      <w:r w:rsidRPr="00AD3BEC">
        <w:rPr>
          <w:rFonts w:ascii="Arial" w:hAnsi="Arial" w:cs="Arial"/>
        </w:rPr>
        <w:t xml:space="preserve"> 7</w:t>
      </w:r>
      <w:r w:rsidR="00B55E2D">
        <w:rPr>
          <w:rFonts w:ascii="Arial" w:hAnsi="Arial" w:cs="Arial"/>
        </w:rPr>
        <w:t> </w:t>
      </w:r>
      <w:r w:rsidRPr="00AD3BEC">
        <w:rPr>
          <w:rFonts w:ascii="Arial" w:hAnsi="Arial" w:cs="Arial"/>
        </w:rPr>
        <w:t>March 2025</w:t>
      </w:r>
      <w:r>
        <w:rPr>
          <w:rFonts w:ascii="Arial" w:hAnsi="Arial" w:cs="Arial"/>
        </w:rPr>
        <w:t xml:space="preserve"> </w:t>
      </w:r>
      <w:r w:rsidR="00702A1C">
        <w:rPr>
          <w:rFonts w:ascii="Arial" w:hAnsi="Arial" w:cs="Arial"/>
        </w:rPr>
        <w:t>replaces the text set out in paragraph</w:t>
      </w:r>
      <w:r w:rsidR="002B3397">
        <w:rPr>
          <w:rFonts w:ascii="Arial" w:hAnsi="Arial" w:cs="Arial"/>
        </w:rPr>
        <w:t> </w:t>
      </w:r>
      <w:r w:rsidR="00837AFF">
        <w:rPr>
          <w:rFonts w:ascii="Arial" w:hAnsi="Arial" w:cs="Arial"/>
        </w:rPr>
        <w:t>89</w:t>
      </w:r>
      <w:r w:rsidR="00BD2826">
        <w:rPr>
          <w:rFonts w:ascii="Arial" w:hAnsi="Arial" w:cs="Arial"/>
        </w:rPr>
        <w:t xml:space="preserve"> </w:t>
      </w:r>
      <w:r w:rsidR="00702A1C">
        <w:rPr>
          <w:rFonts w:ascii="Arial" w:hAnsi="Arial" w:cs="Arial"/>
        </w:rPr>
        <w:t xml:space="preserve">with </w:t>
      </w:r>
      <w:r w:rsidR="00C12C70">
        <w:rPr>
          <w:rFonts w:ascii="Arial" w:hAnsi="Arial" w:cs="Arial"/>
        </w:rPr>
        <w:t>the following</w:t>
      </w:r>
      <w:r w:rsidR="00C516CD">
        <w:rPr>
          <w:rFonts w:ascii="Arial" w:hAnsi="Arial" w:cs="Arial"/>
        </w:rPr>
        <w:t>:</w:t>
      </w:r>
      <w:bookmarkEnd w:id="30"/>
    </w:p>
    <w:p w14:paraId="16EDEF82" w14:textId="0ED00A9D" w:rsidR="002F0A2E" w:rsidRPr="002F0A2E" w:rsidRDefault="00BC173F" w:rsidP="00DA1A1B">
      <w:pPr>
        <w:pStyle w:val="ListParagraph"/>
        <w:spacing w:after="120" w:line="276" w:lineRule="auto"/>
        <w:ind w:left="851"/>
        <w:contextualSpacing w:val="0"/>
        <w:rPr>
          <w:rFonts w:ascii="Arial" w:hAnsi="Arial" w:cs="Arial"/>
          <w:sz w:val="21"/>
          <w:szCs w:val="21"/>
        </w:rPr>
      </w:pPr>
      <w:r w:rsidRPr="005B2503">
        <w:rPr>
          <w:rFonts w:ascii="Arial" w:hAnsi="Arial" w:cs="Arial"/>
          <w:sz w:val="21"/>
          <w:szCs w:val="21"/>
        </w:rPr>
        <w:t>“</w:t>
      </w:r>
      <w:r w:rsidR="002F0A2E" w:rsidRPr="002F0A2E">
        <w:rPr>
          <w:rFonts w:ascii="Arial" w:hAnsi="Arial" w:cs="Arial"/>
          <w:sz w:val="21"/>
          <w:szCs w:val="21"/>
        </w:rPr>
        <w:t>The PRD includes the contract award criteria, including the agreed relative importance of key criteria (for example weightings apportioned to questions within the key criteria) against which responses were evaluated. The providers have been assessed and passed against the relevant 5 key criteria and mandatory requirements.</w:t>
      </w:r>
    </w:p>
    <w:p w14:paraId="410A19D4" w14:textId="77777777" w:rsidR="002F0A2E" w:rsidRPr="002F0A2E" w:rsidRDefault="002F0A2E" w:rsidP="00DA1A1B">
      <w:pPr>
        <w:pStyle w:val="ListParagraph"/>
        <w:spacing w:after="120" w:line="276" w:lineRule="auto"/>
        <w:ind w:left="851"/>
        <w:contextualSpacing w:val="0"/>
        <w:rPr>
          <w:rFonts w:ascii="Arial" w:hAnsi="Arial" w:cs="Arial"/>
          <w:sz w:val="21"/>
          <w:szCs w:val="21"/>
        </w:rPr>
      </w:pPr>
      <w:r w:rsidRPr="002F0A2E">
        <w:rPr>
          <w:rFonts w:ascii="Arial" w:hAnsi="Arial" w:cs="Arial"/>
          <w:sz w:val="21"/>
          <w:szCs w:val="21"/>
        </w:rPr>
        <w:t>Assessment/Scoring of the Successful Provider(s) Response:</w:t>
      </w:r>
    </w:p>
    <w:p w14:paraId="44357CC1" w14:textId="5AAC1B79" w:rsidR="005B2503" w:rsidRPr="005B2503" w:rsidRDefault="005B2503" w:rsidP="00DA1A1B">
      <w:pPr>
        <w:pStyle w:val="ListParagraph"/>
        <w:spacing w:after="120" w:line="276" w:lineRule="auto"/>
        <w:ind w:left="851"/>
        <w:contextualSpacing w:val="0"/>
        <w:rPr>
          <w:rFonts w:ascii="Arial" w:hAnsi="Arial" w:cs="Arial"/>
          <w:sz w:val="21"/>
          <w:szCs w:val="21"/>
        </w:rPr>
      </w:pPr>
      <w:r w:rsidRPr="005B2503">
        <w:rPr>
          <w:rFonts w:ascii="Arial" w:hAnsi="Arial" w:cs="Arial"/>
          <w:sz w:val="21"/>
          <w:szCs w:val="21"/>
        </w:rPr>
        <w:t>In line with the PSR Regulations, the successful provider(s) were scored against the following PSR 5 Key Criteria as weighted:</w:t>
      </w:r>
    </w:p>
    <w:p w14:paraId="52FFDA32" w14:textId="77777777" w:rsidR="005B2503" w:rsidRPr="005B2503" w:rsidRDefault="005B2503" w:rsidP="00DA1A1B">
      <w:pPr>
        <w:pStyle w:val="ListParagraph"/>
        <w:numPr>
          <w:ilvl w:val="0"/>
          <w:numId w:val="13"/>
        </w:numPr>
        <w:spacing w:after="120" w:line="276" w:lineRule="auto"/>
        <w:rPr>
          <w:rFonts w:ascii="Arial" w:hAnsi="Arial" w:cs="Arial"/>
          <w:sz w:val="21"/>
          <w:szCs w:val="21"/>
        </w:rPr>
      </w:pPr>
      <w:r w:rsidRPr="005B2503">
        <w:rPr>
          <w:rFonts w:ascii="Arial" w:hAnsi="Arial" w:cs="Arial"/>
          <w:sz w:val="21"/>
          <w:szCs w:val="21"/>
        </w:rPr>
        <w:t>Quality and Innovation - Macro Weighting of 24%</w:t>
      </w:r>
    </w:p>
    <w:p w14:paraId="3C628116" w14:textId="77777777" w:rsidR="005B2503" w:rsidRPr="005B2503" w:rsidRDefault="005B2503" w:rsidP="00DA1A1B">
      <w:pPr>
        <w:pStyle w:val="ListParagraph"/>
        <w:spacing w:after="120" w:line="276" w:lineRule="auto"/>
        <w:ind w:left="1701"/>
        <w:contextualSpacing w:val="0"/>
        <w:rPr>
          <w:rFonts w:ascii="Arial" w:hAnsi="Arial" w:cs="Arial"/>
          <w:sz w:val="21"/>
          <w:szCs w:val="21"/>
        </w:rPr>
      </w:pPr>
      <w:r w:rsidRPr="005B2503">
        <w:rPr>
          <w:rFonts w:ascii="Arial" w:hAnsi="Arial" w:cs="Arial"/>
          <w:sz w:val="21"/>
          <w:szCs w:val="21"/>
        </w:rPr>
        <w:t>To ensure good quality services and the need to support the potential for the development of new or significantly improved services or processes that will improve the delivery of health care or health outcomes.</w:t>
      </w:r>
    </w:p>
    <w:p w14:paraId="29FF096D" w14:textId="77777777" w:rsidR="005B2503" w:rsidRPr="005B2503" w:rsidRDefault="005B2503" w:rsidP="00DA1A1B">
      <w:pPr>
        <w:pStyle w:val="ListParagraph"/>
        <w:numPr>
          <w:ilvl w:val="0"/>
          <w:numId w:val="13"/>
        </w:numPr>
        <w:spacing w:after="120" w:line="276" w:lineRule="auto"/>
        <w:rPr>
          <w:rFonts w:ascii="Arial" w:hAnsi="Arial" w:cs="Arial"/>
          <w:sz w:val="21"/>
          <w:szCs w:val="21"/>
        </w:rPr>
      </w:pPr>
      <w:r w:rsidRPr="005B2503">
        <w:rPr>
          <w:rFonts w:ascii="Arial" w:hAnsi="Arial" w:cs="Arial"/>
          <w:sz w:val="21"/>
          <w:szCs w:val="21"/>
        </w:rPr>
        <w:t>Value - Macro Weighting of 15%</w:t>
      </w:r>
    </w:p>
    <w:p w14:paraId="38196BAC" w14:textId="77777777" w:rsidR="005B2503" w:rsidRPr="005B2503" w:rsidRDefault="005B2503" w:rsidP="00DA1A1B">
      <w:pPr>
        <w:pStyle w:val="ListParagraph"/>
        <w:spacing w:after="120" w:line="276" w:lineRule="auto"/>
        <w:ind w:left="1701"/>
        <w:contextualSpacing w:val="0"/>
        <w:rPr>
          <w:rFonts w:ascii="Arial" w:hAnsi="Arial" w:cs="Arial"/>
          <w:sz w:val="21"/>
          <w:szCs w:val="21"/>
        </w:rPr>
      </w:pPr>
      <w:r w:rsidRPr="005B2503">
        <w:rPr>
          <w:rFonts w:ascii="Arial" w:hAnsi="Arial" w:cs="Arial"/>
          <w:sz w:val="21"/>
          <w:szCs w:val="21"/>
        </w:rPr>
        <w:t>To achieve good value in terms of the balance of costs, overall benefits, and the financial implications of a proposed contracting arrangement.</w:t>
      </w:r>
    </w:p>
    <w:p w14:paraId="42446D7E" w14:textId="77777777" w:rsidR="005B2503" w:rsidRPr="005B2503" w:rsidRDefault="005B2503" w:rsidP="00DA1A1B">
      <w:pPr>
        <w:pStyle w:val="ListParagraph"/>
        <w:numPr>
          <w:ilvl w:val="0"/>
          <w:numId w:val="13"/>
        </w:numPr>
        <w:spacing w:after="120" w:line="276" w:lineRule="auto"/>
        <w:rPr>
          <w:rFonts w:ascii="Arial" w:hAnsi="Arial" w:cs="Arial"/>
          <w:sz w:val="21"/>
          <w:szCs w:val="21"/>
        </w:rPr>
      </w:pPr>
      <w:r w:rsidRPr="005B2503">
        <w:rPr>
          <w:rFonts w:ascii="Arial" w:hAnsi="Arial" w:cs="Arial"/>
          <w:sz w:val="21"/>
          <w:szCs w:val="21"/>
        </w:rPr>
        <w:t>Integration, Collaboration and Service Sustainability - Macro Weighting of 41%</w:t>
      </w:r>
    </w:p>
    <w:p w14:paraId="5629439A" w14:textId="77777777" w:rsidR="005B2503" w:rsidRPr="005B2503" w:rsidRDefault="005B2503" w:rsidP="00DA1A1B">
      <w:pPr>
        <w:pStyle w:val="ListParagraph"/>
        <w:spacing w:after="120" w:line="276" w:lineRule="auto"/>
        <w:ind w:left="1701"/>
        <w:rPr>
          <w:rFonts w:ascii="Arial" w:hAnsi="Arial" w:cs="Arial"/>
          <w:sz w:val="21"/>
          <w:szCs w:val="21"/>
        </w:rPr>
      </w:pPr>
      <w:r w:rsidRPr="005B2503">
        <w:rPr>
          <w:rFonts w:ascii="Arial" w:hAnsi="Arial" w:cs="Arial"/>
          <w:sz w:val="21"/>
          <w:szCs w:val="21"/>
        </w:rPr>
        <w:t>Providing services in:</w:t>
      </w:r>
    </w:p>
    <w:p w14:paraId="08135A11" w14:textId="700159C4" w:rsidR="005B2503" w:rsidRPr="005B2503" w:rsidRDefault="005B2503" w:rsidP="00DA1A1B">
      <w:pPr>
        <w:pStyle w:val="ListParagraph"/>
        <w:numPr>
          <w:ilvl w:val="0"/>
          <w:numId w:val="14"/>
        </w:numPr>
        <w:spacing w:after="120" w:line="276" w:lineRule="auto"/>
        <w:ind w:left="2410" w:hanging="425"/>
        <w:rPr>
          <w:rFonts w:ascii="Arial" w:hAnsi="Arial" w:cs="Arial"/>
          <w:sz w:val="21"/>
          <w:szCs w:val="21"/>
        </w:rPr>
      </w:pPr>
      <w:r w:rsidRPr="005B2503">
        <w:rPr>
          <w:rFonts w:ascii="Arial" w:hAnsi="Arial" w:cs="Arial"/>
          <w:sz w:val="21"/>
          <w:szCs w:val="21"/>
        </w:rPr>
        <w:t>an integrated way (including with other health care services, health-related services, or social care services</w:t>
      </w:r>
      <w:r w:rsidR="00BC173F" w:rsidRPr="005B2503">
        <w:rPr>
          <w:rFonts w:ascii="Arial" w:hAnsi="Arial" w:cs="Arial"/>
          <w:sz w:val="21"/>
          <w:szCs w:val="21"/>
        </w:rPr>
        <w:t>)</w:t>
      </w:r>
      <w:r w:rsidR="00ED548D">
        <w:rPr>
          <w:rFonts w:ascii="Arial" w:hAnsi="Arial" w:cs="Arial"/>
          <w:sz w:val="21"/>
          <w:szCs w:val="21"/>
        </w:rPr>
        <w:t>,</w:t>
      </w:r>
    </w:p>
    <w:p w14:paraId="4D8A6BD7" w14:textId="7EDDB227" w:rsidR="002F56C8" w:rsidRDefault="002F56C8" w:rsidP="00DA1A1B">
      <w:pPr>
        <w:pStyle w:val="ListParagraph"/>
        <w:numPr>
          <w:ilvl w:val="0"/>
          <w:numId w:val="14"/>
        </w:numPr>
        <w:spacing w:after="120" w:line="276" w:lineRule="auto"/>
        <w:ind w:left="2410" w:hanging="425"/>
        <w:rPr>
          <w:rFonts w:ascii="Arial" w:hAnsi="Arial" w:cs="Arial"/>
          <w:sz w:val="21"/>
          <w:szCs w:val="21"/>
        </w:rPr>
      </w:pPr>
      <w:r w:rsidRPr="005B2503">
        <w:rPr>
          <w:rFonts w:ascii="Arial" w:hAnsi="Arial" w:cs="Arial"/>
          <w:sz w:val="21"/>
          <w:szCs w:val="21"/>
        </w:rPr>
        <w:lastRenderedPageBreak/>
        <w:t>a collaborative way (including with providers and with persons providing health related services or social care services)</w:t>
      </w:r>
      <w:r w:rsidR="00ED548D">
        <w:rPr>
          <w:rFonts w:ascii="Arial" w:hAnsi="Arial" w:cs="Arial"/>
          <w:sz w:val="21"/>
          <w:szCs w:val="21"/>
        </w:rPr>
        <w:t>,</w:t>
      </w:r>
    </w:p>
    <w:p w14:paraId="7969A8BF" w14:textId="1A088F69" w:rsidR="002F56C8" w:rsidRDefault="002F56C8" w:rsidP="00DA1A1B">
      <w:pPr>
        <w:pStyle w:val="ListParagraph"/>
        <w:numPr>
          <w:ilvl w:val="0"/>
          <w:numId w:val="14"/>
        </w:numPr>
        <w:spacing w:after="120" w:line="276" w:lineRule="auto"/>
        <w:ind w:left="2410" w:hanging="425"/>
        <w:rPr>
          <w:rFonts w:ascii="Arial" w:hAnsi="Arial" w:cs="Arial"/>
          <w:sz w:val="21"/>
          <w:szCs w:val="21"/>
        </w:rPr>
      </w:pPr>
      <w:r w:rsidRPr="005B2503">
        <w:rPr>
          <w:rFonts w:ascii="Arial" w:hAnsi="Arial" w:cs="Arial"/>
          <w:sz w:val="21"/>
          <w:szCs w:val="21"/>
        </w:rPr>
        <w:t>a sustainable way (which includes the stability of good quality health care services or service continuity of health care services)</w:t>
      </w:r>
      <w:r w:rsidR="00ED548D">
        <w:rPr>
          <w:rFonts w:ascii="Arial" w:hAnsi="Arial" w:cs="Arial"/>
          <w:sz w:val="21"/>
          <w:szCs w:val="21"/>
        </w:rPr>
        <w:t>,</w:t>
      </w:r>
    </w:p>
    <w:p w14:paraId="529E951C" w14:textId="05C79117" w:rsidR="005B2503" w:rsidRPr="005B2503" w:rsidRDefault="005B2503" w:rsidP="00DA1A1B">
      <w:pPr>
        <w:pStyle w:val="ListParagraph"/>
        <w:spacing w:after="120" w:line="276" w:lineRule="auto"/>
        <w:ind w:left="1701"/>
        <w:contextualSpacing w:val="0"/>
        <w:rPr>
          <w:rFonts w:ascii="Arial" w:hAnsi="Arial" w:cs="Arial"/>
          <w:sz w:val="21"/>
          <w:szCs w:val="21"/>
        </w:rPr>
      </w:pPr>
      <w:r w:rsidRPr="005B2503">
        <w:rPr>
          <w:rFonts w:ascii="Arial" w:hAnsi="Arial" w:cs="Arial"/>
          <w:sz w:val="21"/>
          <w:szCs w:val="21"/>
        </w:rPr>
        <w:t>in a way that improves health outcomes.</w:t>
      </w:r>
    </w:p>
    <w:p w14:paraId="28CB4298" w14:textId="77777777" w:rsidR="005B2503" w:rsidRPr="005B2503" w:rsidRDefault="005B2503" w:rsidP="00DA1A1B">
      <w:pPr>
        <w:pStyle w:val="ListParagraph"/>
        <w:numPr>
          <w:ilvl w:val="0"/>
          <w:numId w:val="13"/>
        </w:numPr>
        <w:spacing w:after="120" w:line="276" w:lineRule="auto"/>
        <w:rPr>
          <w:rFonts w:ascii="Arial" w:hAnsi="Arial" w:cs="Arial"/>
          <w:sz w:val="21"/>
          <w:szCs w:val="21"/>
        </w:rPr>
      </w:pPr>
      <w:r w:rsidRPr="005B2503">
        <w:rPr>
          <w:rFonts w:ascii="Arial" w:hAnsi="Arial" w:cs="Arial"/>
          <w:sz w:val="21"/>
          <w:szCs w:val="21"/>
        </w:rPr>
        <w:t>Improving Access, Reducing Health Inequalities and Facilitating Choice - Macro Weighting of 10%</w:t>
      </w:r>
    </w:p>
    <w:p w14:paraId="18C67885" w14:textId="77777777" w:rsidR="005B2503" w:rsidRPr="005B2503" w:rsidRDefault="005B2503" w:rsidP="00DA1A1B">
      <w:pPr>
        <w:pStyle w:val="ListParagraph"/>
        <w:spacing w:after="120" w:line="276" w:lineRule="auto"/>
        <w:ind w:left="1701"/>
        <w:contextualSpacing w:val="0"/>
        <w:rPr>
          <w:rFonts w:ascii="Arial" w:hAnsi="Arial" w:cs="Arial"/>
          <w:sz w:val="21"/>
          <w:szCs w:val="21"/>
        </w:rPr>
      </w:pPr>
      <w:r w:rsidRPr="005B2503">
        <w:rPr>
          <w:rFonts w:ascii="Arial" w:hAnsi="Arial" w:cs="Arial"/>
          <w:sz w:val="21"/>
          <w:szCs w:val="21"/>
        </w:rPr>
        <w:t>Ensuring accessibility to services and treatments for all eligible patients, improving health inequalities and the ensuring that patients have choice in respect of their health care.</w:t>
      </w:r>
    </w:p>
    <w:p w14:paraId="110A3BBE" w14:textId="77777777" w:rsidR="005B2503" w:rsidRPr="005B2503" w:rsidRDefault="005B2503" w:rsidP="005B2503">
      <w:pPr>
        <w:pStyle w:val="ListParagraph"/>
        <w:numPr>
          <w:ilvl w:val="0"/>
          <w:numId w:val="13"/>
        </w:numPr>
        <w:spacing w:line="276" w:lineRule="auto"/>
        <w:rPr>
          <w:rFonts w:ascii="Arial" w:hAnsi="Arial" w:cs="Arial"/>
          <w:sz w:val="21"/>
          <w:szCs w:val="21"/>
        </w:rPr>
      </w:pPr>
      <w:r w:rsidRPr="005B2503">
        <w:rPr>
          <w:rFonts w:ascii="Arial" w:hAnsi="Arial" w:cs="Arial"/>
          <w:sz w:val="21"/>
          <w:szCs w:val="21"/>
        </w:rPr>
        <w:t>Social Value - Macro Weighting of 10%</w:t>
      </w:r>
    </w:p>
    <w:p w14:paraId="50A2AF0E" w14:textId="00A2A4DA" w:rsidR="005B2503" w:rsidRPr="00765366" w:rsidRDefault="005B2503" w:rsidP="00135AC8">
      <w:pPr>
        <w:pStyle w:val="ListParagraph"/>
        <w:spacing w:line="276" w:lineRule="auto"/>
        <w:ind w:left="1701"/>
        <w:contextualSpacing w:val="0"/>
        <w:rPr>
          <w:rFonts w:ascii="Arial" w:hAnsi="Arial" w:cs="Arial"/>
          <w:sz w:val="21"/>
          <w:szCs w:val="21"/>
        </w:rPr>
      </w:pPr>
      <w:r w:rsidRPr="005B2503">
        <w:rPr>
          <w:rFonts w:ascii="Arial" w:hAnsi="Arial" w:cs="Arial"/>
          <w:sz w:val="21"/>
          <w:szCs w:val="21"/>
        </w:rPr>
        <w:t xml:space="preserve">To improve economic, social, and environmental well-being in the geographical area </w:t>
      </w:r>
      <w:r w:rsidRPr="00765366">
        <w:rPr>
          <w:rFonts w:ascii="Arial" w:hAnsi="Arial" w:cs="Arial"/>
          <w:sz w:val="21"/>
          <w:szCs w:val="21"/>
        </w:rPr>
        <w:t>relevant to a proposed contracting arrangement</w:t>
      </w:r>
      <w:r w:rsidR="00BC173F" w:rsidRPr="00765366">
        <w:rPr>
          <w:rFonts w:ascii="Arial" w:hAnsi="Arial" w:cs="Arial"/>
          <w:sz w:val="21"/>
          <w:szCs w:val="21"/>
        </w:rPr>
        <w:t>.</w:t>
      </w:r>
      <w:r w:rsidR="00DC4AE1">
        <w:rPr>
          <w:rFonts w:ascii="Arial" w:hAnsi="Arial" w:cs="Arial"/>
          <w:sz w:val="21"/>
          <w:szCs w:val="21"/>
        </w:rPr>
        <w:t>”</w:t>
      </w:r>
      <w:r w:rsidR="00135AC8">
        <w:rPr>
          <w:rStyle w:val="FootnoteReference"/>
          <w:rFonts w:ascii="Arial" w:hAnsi="Arial" w:cs="Arial"/>
        </w:rPr>
        <w:footnoteReference w:id="30"/>
      </w:r>
    </w:p>
    <w:p w14:paraId="2F1751FE" w14:textId="68BE7909" w:rsidR="00AB3828" w:rsidRDefault="002438B2" w:rsidP="002A2D5E">
      <w:pPr>
        <w:pStyle w:val="ListParagraph"/>
        <w:numPr>
          <w:ilvl w:val="0"/>
          <w:numId w:val="2"/>
        </w:numPr>
        <w:spacing w:line="276" w:lineRule="auto"/>
        <w:ind w:left="567" w:hanging="567"/>
        <w:contextualSpacing w:val="0"/>
        <w:rPr>
          <w:rFonts w:ascii="Arial" w:hAnsi="Arial" w:cs="Arial"/>
        </w:rPr>
      </w:pPr>
      <w:r w:rsidRPr="002A2D5E">
        <w:rPr>
          <w:rFonts w:ascii="Arial" w:hAnsi="Arial" w:cs="Arial"/>
        </w:rPr>
        <w:t xml:space="preserve">The </w:t>
      </w:r>
      <w:r w:rsidR="00611CA7">
        <w:rPr>
          <w:rFonts w:ascii="Arial" w:hAnsi="Arial" w:cs="Arial"/>
        </w:rPr>
        <w:t xml:space="preserve">Panel notes that </w:t>
      </w:r>
      <w:r w:rsidR="004A10F9">
        <w:rPr>
          <w:rFonts w:ascii="Arial" w:hAnsi="Arial" w:cs="Arial"/>
        </w:rPr>
        <w:t>while the</w:t>
      </w:r>
      <w:r w:rsidR="00AB5D5E">
        <w:rPr>
          <w:rFonts w:ascii="Arial" w:hAnsi="Arial" w:cs="Arial"/>
        </w:rPr>
        <w:t xml:space="preserve"> </w:t>
      </w:r>
      <w:r w:rsidR="00770439">
        <w:rPr>
          <w:rFonts w:ascii="Arial" w:hAnsi="Arial" w:cs="Arial"/>
        </w:rPr>
        <w:t xml:space="preserve">corrigendum </w:t>
      </w:r>
      <w:r w:rsidR="004A10F9">
        <w:rPr>
          <w:rFonts w:ascii="Arial" w:hAnsi="Arial" w:cs="Arial"/>
        </w:rPr>
        <w:t>includes additional information on the key criteria</w:t>
      </w:r>
      <w:r w:rsidR="00F32583">
        <w:rPr>
          <w:rFonts w:ascii="Arial" w:hAnsi="Arial" w:cs="Arial"/>
        </w:rPr>
        <w:t xml:space="preserve"> it </w:t>
      </w:r>
      <w:r w:rsidR="00770439">
        <w:rPr>
          <w:rFonts w:ascii="Arial" w:hAnsi="Arial" w:cs="Arial"/>
        </w:rPr>
        <w:t xml:space="preserve">retains the same text as the </w:t>
      </w:r>
      <w:r w:rsidR="00AB5D5E">
        <w:rPr>
          <w:rFonts w:ascii="Arial" w:hAnsi="Arial" w:cs="Arial"/>
        </w:rPr>
        <w:t xml:space="preserve">original notice of intention </w:t>
      </w:r>
      <w:r w:rsidR="006A19EA" w:rsidRPr="002A2D5E">
        <w:rPr>
          <w:rFonts w:ascii="Arial" w:hAnsi="Arial" w:cs="Arial"/>
        </w:rPr>
        <w:t xml:space="preserve">where </w:t>
      </w:r>
      <w:r w:rsidR="009760BF">
        <w:rPr>
          <w:rFonts w:ascii="Arial" w:hAnsi="Arial" w:cs="Arial"/>
        </w:rPr>
        <w:t xml:space="preserve">it says </w:t>
      </w:r>
      <w:r w:rsidRPr="00504820">
        <w:rPr>
          <w:rFonts w:ascii="Arial" w:hAnsi="Arial" w:cs="Arial"/>
        </w:rPr>
        <w:t>“The providers have been assessed and passed against the relevant 5</w:t>
      </w:r>
      <w:r w:rsidR="006B2432" w:rsidRPr="002A2D5E">
        <w:rPr>
          <w:rFonts w:ascii="Arial" w:hAnsi="Arial" w:cs="Arial"/>
        </w:rPr>
        <w:t> </w:t>
      </w:r>
      <w:r w:rsidRPr="00504820">
        <w:rPr>
          <w:rFonts w:ascii="Arial" w:hAnsi="Arial" w:cs="Arial"/>
        </w:rPr>
        <w:t>key criteria and mandatory requirements”.</w:t>
      </w:r>
      <w:r w:rsidR="008231BA">
        <w:rPr>
          <w:rFonts w:ascii="Arial" w:hAnsi="Arial" w:cs="Arial"/>
        </w:rPr>
        <w:t xml:space="preserve"> </w:t>
      </w:r>
      <w:r w:rsidR="000446DA">
        <w:rPr>
          <w:rFonts w:ascii="Arial" w:hAnsi="Arial" w:cs="Arial"/>
        </w:rPr>
        <w:t xml:space="preserve">This means that </w:t>
      </w:r>
      <w:r w:rsidR="00AB3828">
        <w:rPr>
          <w:rFonts w:ascii="Arial" w:hAnsi="Arial" w:cs="Arial"/>
        </w:rPr>
        <w:t xml:space="preserve">the notice of intention, as revised by the corrigendum, retains the same deficiencies as those set out in paragraph </w:t>
      </w:r>
      <w:r w:rsidR="00C646D5">
        <w:rPr>
          <w:rFonts w:ascii="Arial" w:hAnsi="Arial" w:cs="Arial"/>
        </w:rPr>
        <w:t>90</w:t>
      </w:r>
      <w:r w:rsidR="00AB3828">
        <w:rPr>
          <w:rFonts w:ascii="Arial" w:hAnsi="Arial" w:cs="Arial"/>
        </w:rPr>
        <w:t>.</w:t>
      </w:r>
    </w:p>
    <w:p w14:paraId="3FC3C629" w14:textId="17BF1107" w:rsidR="00180E03" w:rsidRDefault="000446DA" w:rsidP="002A2D5E">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As a result, the Panel finds that HNY ICB, by not including </w:t>
      </w:r>
      <w:r w:rsidR="00356465">
        <w:rPr>
          <w:rFonts w:ascii="Arial" w:hAnsi="Arial" w:cs="Arial"/>
        </w:rPr>
        <w:t xml:space="preserve">a statement explaining the decision-makers’ reasons for selecting the chosen provider </w:t>
      </w:r>
      <w:r>
        <w:rPr>
          <w:rFonts w:ascii="Arial" w:hAnsi="Arial" w:cs="Arial"/>
        </w:rPr>
        <w:t xml:space="preserve">in the notice of intention, breached the PSR regulations </w:t>
      </w:r>
      <w:r w:rsidR="00062B5C">
        <w:rPr>
          <w:rFonts w:ascii="Arial" w:hAnsi="Arial" w:cs="Arial"/>
        </w:rPr>
        <w:t xml:space="preserve">with respect to its obligations </w:t>
      </w:r>
      <w:r>
        <w:rPr>
          <w:rFonts w:ascii="Arial" w:hAnsi="Arial" w:cs="Arial"/>
        </w:rPr>
        <w:t>under Regulation 11(10) and Schedule 10.</w:t>
      </w:r>
    </w:p>
    <w:p w14:paraId="63E3BE60" w14:textId="0744E5B5" w:rsidR="00EA6560" w:rsidRPr="00321B11" w:rsidRDefault="00321B11" w:rsidP="00321B11">
      <w:pPr>
        <w:keepNext/>
        <w:spacing w:before="240" w:line="276" w:lineRule="auto"/>
        <w:rPr>
          <w:rFonts w:ascii="Arial" w:hAnsi="Arial" w:cs="Arial"/>
          <w:b/>
          <w:bCs/>
        </w:rPr>
      </w:pPr>
      <w:r>
        <w:rPr>
          <w:rFonts w:ascii="Arial" w:hAnsi="Arial" w:cs="Arial"/>
          <w:b/>
          <w:bCs/>
        </w:rPr>
        <w:t>7.2.</w:t>
      </w:r>
      <w:r w:rsidR="002C09EF">
        <w:rPr>
          <w:rFonts w:ascii="Arial" w:hAnsi="Arial" w:cs="Arial"/>
          <w:b/>
          <w:bCs/>
        </w:rPr>
        <w:t>5</w:t>
      </w:r>
      <w:r>
        <w:rPr>
          <w:rFonts w:ascii="Arial" w:hAnsi="Arial" w:cs="Arial"/>
          <w:b/>
          <w:bCs/>
        </w:rPr>
        <w:t xml:space="preserve"> </w:t>
      </w:r>
      <w:r w:rsidR="00112A08">
        <w:rPr>
          <w:rFonts w:ascii="Arial" w:hAnsi="Arial" w:cs="Arial"/>
          <w:b/>
          <w:bCs/>
        </w:rPr>
        <w:t>Management of conflicts of interest</w:t>
      </w:r>
    </w:p>
    <w:p w14:paraId="685BDF86" w14:textId="50B59894" w:rsidR="008A57F6" w:rsidRDefault="00B779C6" w:rsidP="008A57F6">
      <w:pPr>
        <w:pStyle w:val="ListParagraph"/>
        <w:numPr>
          <w:ilvl w:val="0"/>
          <w:numId w:val="2"/>
        </w:numPr>
        <w:spacing w:after="120" w:line="276" w:lineRule="auto"/>
        <w:ind w:left="567" w:hanging="567"/>
        <w:contextualSpacing w:val="0"/>
        <w:rPr>
          <w:rFonts w:ascii="Arial" w:hAnsi="Arial" w:cs="Arial"/>
        </w:rPr>
      </w:pPr>
      <w:r w:rsidRPr="006E3D17">
        <w:rPr>
          <w:rFonts w:ascii="Arial" w:hAnsi="Arial" w:cs="Arial"/>
        </w:rPr>
        <w:t xml:space="preserve">Barkhill raised concerns that the </w:t>
      </w:r>
      <w:r w:rsidR="00F646A1">
        <w:rPr>
          <w:rFonts w:ascii="Arial" w:hAnsi="Arial" w:cs="Arial"/>
        </w:rPr>
        <w:t xml:space="preserve">notice of </w:t>
      </w:r>
      <w:r w:rsidRPr="006E3D17">
        <w:rPr>
          <w:rFonts w:ascii="Arial" w:hAnsi="Arial" w:cs="Arial"/>
        </w:rPr>
        <w:t xml:space="preserve">intention </w:t>
      </w:r>
      <w:r>
        <w:rPr>
          <w:rFonts w:ascii="Arial" w:hAnsi="Arial" w:cs="Arial"/>
        </w:rPr>
        <w:t>fail</w:t>
      </w:r>
      <w:r w:rsidR="00F230D3">
        <w:rPr>
          <w:rFonts w:ascii="Arial" w:hAnsi="Arial" w:cs="Arial"/>
        </w:rPr>
        <w:t>ed</w:t>
      </w:r>
      <w:r>
        <w:rPr>
          <w:rFonts w:ascii="Arial" w:hAnsi="Arial" w:cs="Arial"/>
        </w:rPr>
        <w:t xml:space="preserve"> to identify any declared conflicts of interest and </w:t>
      </w:r>
      <w:r w:rsidR="00610975">
        <w:rPr>
          <w:rFonts w:ascii="Arial" w:hAnsi="Arial" w:cs="Arial"/>
        </w:rPr>
        <w:t xml:space="preserve">failed </w:t>
      </w:r>
      <w:r>
        <w:rPr>
          <w:rFonts w:ascii="Arial" w:hAnsi="Arial" w:cs="Arial"/>
        </w:rPr>
        <w:t>to provide any information as to how any conflicts or potential conflicts of interest were managed</w:t>
      </w:r>
      <w:r w:rsidRPr="006E3D17">
        <w:rPr>
          <w:rFonts w:ascii="Arial" w:hAnsi="Arial" w:cs="Arial"/>
        </w:rPr>
        <w:t xml:space="preserve"> (see paragraph </w:t>
      </w:r>
      <w:r w:rsidR="00C646D5">
        <w:rPr>
          <w:rFonts w:ascii="Arial" w:hAnsi="Arial" w:cs="Arial"/>
        </w:rPr>
        <w:t>72</w:t>
      </w:r>
      <w:r w:rsidRPr="006E3D17">
        <w:rPr>
          <w:rFonts w:ascii="Arial" w:hAnsi="Arial" w:cs="Arial"/>
        </w:rPr>
        <w:t>).</w:t>
      </w:r>
      <w:r w:rsidRPr="003D78D0">
        <w:rPr>
          <w:rFonts w:ascii="Arial" w:hAnsi="Arial" w:cs="Arial"/>
        </w:rPr>
        <w:t xml:space="preserve"> </w:t>
      </w:r>
      <w:r w:rsidR="008A57F6">
        <w:rPr>
          <w:rFonts w:ascii="Arial" w:hAnsi="Arial" w:cs="Arial"/>
        </w:rPr>
        <w:t xml:space="preserve">Two of the items of information listed in Schedule 10 for inclusion in a notice of intention are </w:t>
      </w:r>
      <w:r>
        <w:rPr>
          <w:rFonts w:ascii="Arial" w:hAnsi="Arial" w:cs="Arial"/>
        </w:rPr>
        <w:t>“</w:t>
      </w:r>
      <w:r w:rsidR="005A3799">
        <w:rPr>
          <w:rFonts w:ascii="Arial" w:hAnsi="Arial" w:cs="Arial"/>
        </w:rPr>
        <w:t>Any de</w:t>
      </w:r>
      <w:r w:rsidR="001B604B">
        <w:rPr>
          <w:rFonts w:ascii="Arial" w:hAnsi="Arial" w:cs="Arial"/>
        </w:rPr>
        <w:t>clared conflicts or potential confli</w:t>
      </w:r>
      <w:r w:rsidR="00B103E2">
        <w:rPr>
          <w:rFonts w:ascii="Arial" w:hAnsi="Arial" w:cs="Arial"/>
        </w:rPr>
        <w:t>cts of interest” and “</w:t>
      </w:r>
      <w:r w:rsidR="003A0007">
        <w:rPr>
          <w:rFonts w:ascii="Arial" w:hAnsi="Arial" w:cs="Arial"/>
        </w:rPr>
        <w:t>Information as</w:t>
      </w:r>
      <w:r>
        <w:rPr>
          <w:rFonts w:ascii="Arial" w:hAnsi="Arial" w:cs="Arial"/>
        </w:rPr>
        <w:t xml:space="preserve"> to </w:t>
      </w:r>
      <w:r w:rsidR="003A0007">
        <w:rPr>
          <w:rFonts w:ascii="Arial" w:hAnsi="Arial" w:cs="Arial"/>
        </w:rPr>
        <w:t>how any</w:t>
      </w:r>
      <w:r w:rsidR="003A0007" w:rsidRPr="003A0007">
        <w:rPr>
          <w:rFonts w:ascii="Arial" w:hAnsi="Arial" w:cs="Arial"/>
        </w:rPr>
        <w:t xml:space="preserve"> </w:t>
      </w:r>
      <w:r w:rsidR="003A0007">
        <w:rPr>
          <w:rFonts w:ascii="Arial" w:hAnsi="Arial" w:cs="Arial"/>
        </w:rPr>
        <w:t>conflicts or potential conflicts of interest were managed</w:t>
      </w:r>
      <w:r>
        <w:rPr>
          <w:rFonts w:ascii="Arial" w:hAnsi="Arial" w:cs="Arial"/>
        </w:rPr>
        <w:t>”.</w:t>
      </w:r>
    </w:p>
    <w:p w14:paraId="0DD01F47" w14:textId="2312CBEF" w:rsidR="00BA0C39" w:rsidRDefault="00B779C6" w:rsidP="008A57F6">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The </w:t>
      </w:r>
      <w:r w:rsidR="00F40058">
        <w:rPr>
          <w:rFonts w:ascii="Arial" w:hAnsi="Arial" w:cs="Arial"/>
        </w:rPr>
        <w:t>Panel notes that the notice of intention</w:t>
      </w:r>
      <w:r w:rsidR="00740815">
        <w:rPr>
          <w:rFonts w:ascii="Arial" w:hAnsi="Arial" w:cs="Arial"/>
        </w:rPr>
        <w:t xml:space="preserve"> says, with respect to conflicts of interest, </w:t>
      </w:r>
      <w:r w:rsidR="00030C67" w:rsidRPr="00C86B52">
        <w:rPr>
          <w:rFonts w:ascii="Arial" w:hAnsi="Arial" w:cs="Arial"/>
        </w:rPr>
        <w:t>“Any Conflicts of interest were monitored and managed with mitigations in place throughout the project if/ when required”.</w:t>
      </w:r>
    </w:p>
    <w:p w14:paraId="5A310C72" w14:textId="7461D51C" w:rsidR="00DD7D1F" w:rsidRDefault="000808F9">
      <w:pPr>
        <w:pStyle w:val="ListParagraph"/>
        <w:numPr>
          <w:ilvl w:val="0"/>
          <w:numId w:val="2"/>
        </w:numPr>
        <w:spacing w:after="120" w:line="276" w:lineRule="auto"/>
        <w:ind w:left="567" w:hanging="567"/>
        <w:contextualSpacing w:val="0"/>
        <w:rPr>
          <w:rFonts w:ascii="Arial" w:hAnsi="Arial" w:cs="Arial"/>
        </w:rPr>
      </w:pPr>
      <w:bookmarkStart w:id="31" w:name="_Ref196404798"/>
      <w:r>
        <w:rPr>
          <w:rFonts w:ascii="Arial" w:hAnsi="Arial" w:cs="Arial"/>
        </w:rPr>
        <w:t xml:space="preserve">In response to Barkhill’s </w:t>
      </w:r>
      <w:r w:rsidR="006B6D80">
        <w:rPr>
          <w:rFonts w:ascii="Arial" w:hAnsi="Arial" w:cs="Arial"/>
        </w:rPr>
        <w:t>representations</w:t>
      </w:r>
      <w:r w:rsidR="008962D4">
        <w:rPr>
          <w:rFonts w:ascii="Arial" w:hAnsi="Arial" w:cs="Arial"/>
        </w:rPr>
        <w:t xml:space="preserve"> on this </w:t>
      </w:r>
      <w:r w:rsidR="008013A3">
        <w:rPr>
          <w:rFonts w:ascii="Arial" w:hAnsi="Arial" w:cs="Arial"/>
        </w:rPr>
        <w:t>issue</w:t>
      </w:r>
      <w:r>
        <w:rPr>
          <w:rFonts w:ascii="Arial" w:hAnsi="Arial" w:cs="Arial"/>
        </w:rPr>
        <w:t xml:space="preserve">, HNY ICB told Barkhill </w:t>
      </w:r>
      <w:r w:rsidR="008962D4">
        <w:rPr>
          <w:rFonts w:ascii="Arial" w:hAnsi="Arial" w:cs="Arial"/>
        </w:rPr>
        <w:t>on 4</w:t>
      </w:r>
      <w:r w:rsidR="00BF34ED">
        <w:rPr>
          <w:rFonts w:ascii="Arial" w:hAnsi="Arial" w:cs="Arial"/>
        </w:rPr>
        <w:t> </w:t>
      </w:r>
      <w:r w:rsidR="008962D4">
        <w:rPr>
          <w:rFonts w:ascii="Arial" w:hAnsi="Arial" w:cs="Arial"/>
        </w:rPr>
        <w:t>March 2025</w:t>
      </w:r>
      <w:r w:rsidR="00BF34ED">
        <w:rPr>
          <w:rFonts w:ascii="Arial" w:hAnsi="Arial" w:cs="Arial"/>
        </w:rPr>
        <w:t xml:space="preserve"> that </w:t>
      </w:r>
      <w:r w:rsidR="00E80EAA">
        <w:rPr>
          <w:rFonts w:ascii="Arial" w:hAnsi="Arial" w:cs="Arial"/>
        </w:rPr>
        <w:t xml:space="preserve">the 10 December </w:t>
      </w:r>
      <w:r w:rsidR="00E80EAA" w:rsidRPr="003F419A">
        <w:rPr>
          <w:rFonts w:ascii="Arial" w:hAnsi="Arial" w:cs="Arial"/>
        </w:rPr>
        <w:t>202</w:t>
      </w:r>
      <w:r w:rsidR="00C302D1">
        <w:rPr>
          <w:rFonts w:ascii="Arial" w:hAnsi="Arial" w:cs="Arial"/>
        </w:rPr>
        <w:t>4</w:t>
      </w:r>
      <w:r w:rsidR="00E80EAA">
        <w:rPr>
          <w:rFonts w:ascii="Arial" w:hAnsi="Arial" w:cs="Arial"/>
        </w:rPr>
        <w:t xml:space="preserve"> notice was “sufficient to meet the requirements of the regulations” (see paragraph </w:t>
      </w:r>
      <w:r w:rsidR="003C732B">
        <w:rPr>
          <w:rFonts w:ascii="Arial" w:hAnsi="Arial" w:cs="Arial"/>
        </w:rPr>
        <w:t>77</w:t>
      </w:r>
      <w:r w:rsidR="00E80EAA">
        <w:rPr>
          <w:rFonts w:ascii="Arial" w:hAnsi="Arial" w:cs="Arial"/>
        </w:rPr>
        <w:t>)</w:t>
      </w:r>
      <w:r w:rsidR="00A95810">
        <w:rPr>
          <w:rFonts w:ascii="Arial" w:hAnsi="Arial" w:cs="Arial"/>
        </w:rPr>
        <w:t xml:space="preserve">. </w:t>
      </w:r>
      <w:r w:rsidR="00A95810" w:rsidRPr="003F419A">
        <w:rPr>
          <w:rFonts w:ascii="Arial" w:hAnsi="Arial" w:cs="Arial"/>
        </w:rPr>
        <w:t xml:space="preserve">However, it </w:t>
      </w:r>
      <w:r w:rsidR="00DD7D1F">
        <w:rPr>
          <w:rFonts w:ascii="Arial" w:hAnsi="Arial" w:cs="Arial"/>
        </w:rPr>
        <w:t>went on to say in relation to conflicts of interest:</w:t>
      </w:r>
      <w:bookmarkEnd w:id="31"/>
    </w:p>
    <w:p w14:paraId="590FC022" w14:textId="7C98609F" w:rsidR="00EA5B27" w:rsidRPr="00DD7D1F" w:rsidRDefault="003F419A" w:rsidP="00DD7D1F">
      <w:pPr>
        <w:pStyle w:val="ListParagraph"/>
        <w:spacing w:line="276" w:lineRule="auto"/>
        <w:ind w:left="993"/>
        <w:contextualSpacing w:val="0"/>
        <w:rPr>
          <w:rFonts w:ascii="Arial" w:hAnsi="Arial" w:cs="Arial"/>
          <w:sz w:val="21"/>
          <w:szCs w:val="21"/>
        </w:rPr>
      </w:pPr>
      <w:r w:rsidRPr="00DD7D1F">
        <w:rPr>
          <w:rFonts w:ascii="Arial" w:hAnsi="Arial" w:cs="Arial"/>
          <w:sz w:val="21"/>
          <w:szCs w:val="21"/>
        </w:rPr>
        <w:t>“We can confirm that 2 potential conflicts of interest were identified prior to evaluation and that these 2 potential conflicts were discussed, and it was agreed that they would be removed and would take no further part in the competition process.</w:t>
      </w:r>
      <w:r w:rsidR="00E84C58" w:rsidRPr="00DD7D1F">
        <w:rPr>
          <w:rFonts w:ascii="Arial" w:hAnsi="Arial" w:cs="Arial"/>
          <w:sz w:val="21"/>
          <w:szCs w:val="21"/>
        </w:rPr>
        <w:t xml:space="preserve"> </w:t>
      </w:r>
      <w:r w:rsidR="00B779C6" w:rsidRPr="00DD7D1F">
        <w:rPr>
          <w:rFonts w:ascii="Arial" w:hAnsi="Arial" w:cs="Arial"/>
          <w:sz w:val="21"/>
          <w:szCs w:val="21"/>
        </w:rPr>
        <w:t xml:space="preserve">The </w:t>
      </w:r>
      <w:r w:rsidRPr="00DD7D1F">
        <w:rPr>
          <w:rFonts w:ascii="Arial" w:hAnsi="Arial" w:cs="Arial"/>
          <w:sz w:val="21"/>
          <w:szCs w:val="21"/>
        </w:rPr>
        <w:t>panel determined that conflicts of interest had no material impact on the competition or procurement outcome”</w:t>
      </w:r>
      <w:r w:rsidR="00DD7D1F" w:rsidRPr="00DD7D1F">
        <w:rPr>
          <w:rFonts w:ascii="Arial" w:hAnsi="Arial" w:cs="Arial"/>
          <w:sz w:val="21"/>
          <w:szCs w:val="21"/>
        </w:rPr>
        <w:t xml:space="preserve"> (see paragraph </w:t>
      </w:r>
      <w:r w:rsidR="003C732B">
        <w:rPr>
          <w:rFonts w:ascii="Arial" w:hAnsi="Arial" w:cs="Arial"/>
          <w:sz w:val="21"/>
          <w:szCs w:val="21"/>
        </w:rPr>
        <w:t>7</w:t>
      </w:r>
      <w:r w:rsidR="008C1560">
        <w:rPr>
          <w:rFonts w:ascii="Arial" w:hAnsi="Arial" w:cs="Arial"/>
          <w:sz w:val="21"/>
          <w:szCs w:val="21"/>
        </w:rPr>
        <w:t>8</w:t>
      </w:r>
      <w:r w:rsidR="00DD7D1F" w:rsidRPr="00DD7D1F">
        <w:rPr>
          <w:rFonts w:ascii="Arial" w:hAnsi="Arial" w:cs="Arial"/>
          <w:sz w:val="21"/>
          <w:szCs w:val="21"/>
        </w:rPr>
        <w:t>)</w:t>
      </w:r>
      <w:r w:rsidR="00DD7D1F">
        <w:rPr>
          <w:rFonts w:ascii="Arial" w:hAnsi="Arial" w:cs="Arial"/>
          <w:sz w:val="21"/>
          <w:szCs w:val="21"/>
        </w:rPr>
        <w:t>.</w:t>
      </w:r>
    </w:p>
    <w:p w14:paraId="68F0EF9A" w14:textId="720AB433" w:rsidR="00B779C6" w:rsidRDefault="00DD7D1F" w:rsidP="0026429A">
      <w:pPr>
        <w:pStyle w:val="ListParagraph"/>
        <w:numPr>
          <w:ilvl w:val="0"/>
          <w:numId w:val="2"/>
        </w:numPr>
        <w:spacing w:after="120" w:line="276" w:lineRule="auto"/>
        <w:ind w:left="567" w:hanging="567"/>
        <w:contextualSpacing w:val="0"/>
        <w:rPr>
          <w:rFonts w:ascii="Arial" w:hAnsi="Arial" w:cs="Arial"/>
        </w:rPr>
      </w:pPr>
      <w:r>
        <w:rPr>
          <w:rFonts w:ascii="Arial" w:hAnsi="Arial" w:cs="Arial"/>
        </w:rPr>
        <w:lastRenderedPageBreak/>
        <w:t xml:space="preserve">This additional information </w:t>
      </w:r>
      <w:r w:rsidR="00307539">
        <w:rPr>
          <w:rFonts w:ascii="Arial" w:hAnsi="Arial" w:cs="Arial"/>
        </w:rPr>
        <w:t>about</w:t>
      </w:r>
      <w:r>
        <w:rPr>
          <w:rFonts w:ascii="Arial" w:hAnsi="Arial" w:cs="Arial"/>
        </w:rPr>
        <w:t xml:space="preserve"> conflicts of interest was included in t</w:t>
      </w:r>
      <w:r w:rsidR="00B779C6">
        <w:rPr>
          <w:rFonts w:ascii="Arial" w:hAnsi="Arial" w:cs="Arial"/>
        </w:rPr>
        <w:t xml:space="preserve">he </w:t>
      </w:r>
      <w:r w:rsidR="00D64C8E" w:rsidRPr="00AD3BEC">
        <w:rPr>
          <w:rFonts w:ascii="Arial" w:hAnsi="Arial" w:cs="Arial"/>
        </w:rPr>
        <w:t>7</w:t>
      </w:r>
      <w:r w:rsidR="00D64C8E">
        <w:rPr>
          <w:rFonts w:ascii="Arial" w:hAnsi="Arial" w:cs="Arial"/>
        </w:rPr>
        <w:t> </w:t>
      </w:r>
      <w:r w:rsidR="00D64C8E" w:rsidRPr="00AD3BEC">
        <w:rPr>
          <w:rFonts w:ascii="Arial" w:hAnsi="Arial" w:cs="Arial"/>
        </w:rPr>
        <w:t>March 2025</w:t>
      </w:r>
      <w:r w:rsidR="00D64C8E">
        <w:rPr>
          <w:rFonts w:ascii="Arial" w:hAnsi="Arial" w:cs="Arial"/>
        </w:rPr>
        <w:t xml:space="preserve"> </w:t>
      </w:r>
      <w:r w:rsidR="00296370">
        <w:rPr>
          <w:rFonts w:ascii="Arial" w:hAnsi="Arial" w:cs="Arial"/>
        </w:rPr>
        <w:t>c</w:t>
      </w:r>
      <w:r w:rsidR="00B779C6" w:rsidRPr="00AD3BEC">
        <w:rPr>
          <w:rFonts w:ascii="Arial" w:hAnsi="Arial" w:cs="Arial"/>
        </w:rPr>
        <w:t>orrigendum</w:t>
      </w:r>
      <w:r w:rsidR="00D64C8E">
        <w:rPr>
          <w:rFonts w:ascii="Arial" w:hAnsi="Arial" w:cs="Arial"/>
        </w:rPr>
        <w:t xml:space="preserve"> notice</w:t>
      </w:r>
      <w:r w:rsidR="00534483">
        <w:rPr>
          <w:rFonts w:ascii="Arial" w:hAnsi="Arial" w:cs="Arial"/>
        </w:rPr>
        <w:t>, which says</w:t>
      </w:r>
      <w:r w:rsidR="00B779C6">
        <w:rPr>
          <w:rFonts w:ascii="Arial" w:hAnsi="Arial" w:cs="Arial"/>
        </w:rPr>
        <w:t>:</w:t>
      </w:r>
    </w:p>
    <w:p w14:paraId="10E22F32" w14:textId="1D71159E" w:rsidR="00691DAA" w:rsidRDefault="00765366" w:rsidP="00A1341F">
      <w:pPr>
        <w:pStyle w:val="ListParagraph"/>
        <w:spacing w:after="120" w:line="276" w:lineRule="auto"/>
        <w:ind w:left="993"/>
        <w:contextualSpacing w:val="0"/>
        <w:rPr>
          <w:rFonts w:ascii="Arial" w:hAnsi="Arial" w:cs="Arial"/>
          <w:sz w:val="21"/>
          <w:szCs w:val="21"/>
        </w:rPr>
      </w:pPr>
      <w:r w:rsidRPr="00765366">
        <w:rPr>
          <w:rFonts w:ascii="Arial" w:hAnsi="Arial" w:cs="Arial"/>
          <w:sz w:val="21"/>
          <w:szCs w:val="21"/>
        </w:rPr>
        <w:t>“</w:t>
      </w:r>
      <w:r w:rsidR="00691DAA" w:rsidRPr="00691DAA">
        <w:rPr>
          <w:rFonts w:ascii="Arial" w:hAnsi="Arial" w:cs="Arial"/>
          <w:sz w:val="21"/>
          <w:szCs w:val="21"/>
        </w:rPr>
        <w:t>Any Conflicts of interest were monitored and managed with mitigations in place throughout the project if/ when required.</w:t>
      </w:r>
    </w:p>
    <w:p w14:paraId="017CA8EA" w14:textId="6881614E" w:rsidR="00765366" w:rsidRPr="00765366" w:rsidRDefault="00517DF5" w:rsidP="004F6215">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765366" w:rsidRPr="00765366">
        <w:rPr>
          <w:rFonts w:ascii="Arial" w:hAnsi="Arial" w:cs="Arial"/>
          <w:sz w:val="21"/>
          <w:szCs w:val="21"/>
        </w:rPr>
        <w:t>A clarification on the management of Conflict of Interests during the NHSE1023 Competitive Process. Once provider submissions were received, only the names of the submitting providers (organisations) were noted and shared with the evaluation team to re-confirm no conflicts of interest. This was prior to any opening of the evaluation process or submission details being shared. Two evaluators each noted an association with a submitting provider and therefore a potential conflict. Both were immediately removed from the project and replaced by appropriate evaluators who did not have a potential conflict. Only then was the evaluation process allowed to begin and provider submissions accessed by all non-conflicted evaluators</w:t>
      </w:r>
      <w:r w:rsidR="00765366">
        <w:rPr>
          <w:rFonts w:ascii="Arial" w:hAnsi="Arial" w:cs="Arial"/>
          <w:sz w:val="21"/>
          <w:szCs w:val="21"/>
        </w:rPr>
        <w:t>”</w:t>
      </w:r>
      <w:r w:rsidR="00765366" w:rsidRPr="00765366">
        <w:rPr>
          <w:rFonts w:ascii="Arial" w:hAnsi="Arial" w:cs="Arial"/>
          <w:sz w:val="21"/>
          <w:szCs w:val="21"/>
        </w:rPr>
        <w:t>.</w:t>
      </w:r>
      <w:r w:rsidR="00765366">
        <w:rPr>
          <w:rStyle w:val="FootnoteReference"/>
          <w:rFonts w:ascii="Arial" w:hAnsi="Arial" w:cs="Arial"/>
          <w:sz w:val="21"/>
          <w:szCs w:val="21"/>
        </w:rPr>
        <w:footnoteReference w:id="31"/>
      </w:r>
    </w:p>
    <w:p w14:paraId="3466A5AB" w14:textId="2C21A9F8" w:rsidR="003425C0" w:rsidRDefault="006E21B9" w:rsidP="00776F5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considers that the </w:t>
      </w:r>
      <w:r w:rsidR="006B4061">
        <w:rPr>
          <w:rFonts w:ascii="Arial" w:hAnsi="Arial" w:cs="Arial"/>
        </w:rPr>
        <w:t xml:space="preserve">original </w:t>
      </w:r>
      <w:r w:rsidR="00BA6E27">
        <w:rPr>
          <w:rFonts w:ascii="Arial" w:hAnsi="Arial" w:cs="Arial"/>
        </w:rPr>
        <w:t>notice of intention</w:t>
      </w:r>
      <w:r w:rsidR="006B4061">
        <w:rPr>
          <w:rFonts w:ascii="Arial" w:hAnsi="Arial" w:cs="Arial"/>
        </w:rPr>
        <w:t xml:space="preserve">, published on 10 December 2024, </w:t>
      </w:r>
      <w:r w:rsidR="00132A18">
        <w:rPr>
          <w:rFonts w:ascii="Arial" w:hAnsi="Arial" w:cs="Arial"/>
        </w:rPr>
        <w:t xml:space="preserve">was not sufficient to </w:t>
      </w:r>
      <w:r w:rsidR="001A1170">
        <w:rPr>
          <w:rFonts w:ascii="Arial" w:hAnsi="Arial" w:cs="Arial"/>
        </w:rPr>
        <w:t>meet the requirements of the PSR regulations</w:t>
      </w:r>
      <w:r w:rsidR="00447E4C">
        <w:rPr>
          <w:rFonts w:ascii="Arial" w:hAnsi="Arial" w:cs="Arial"/>
        </w:rPr>
        <w:t xml:space="preserve"> as </w:t>
      </w:r>
      <w:r w:rsidR="001A1170">
        <w:rPr>
          <w:rFonts w:ascii="Arial" w:hAnsi="Arial" w:cs="Arial"/>
        </w:rPr>
        <w:t>set out in Regulation 11(10) and Schedule 10</w:t>
      </w:r>
      <w:r w:rsidR="00BA3CC6">
        <w:rPr>
          <w:rFonts w:ascii="Arial" w:hAnsi="Arial" w:cs="Arial"/>
        </w:rPr>
        <w:t xml:space="preserve">, with respect to </w:t>
      </w:r>
      <w:r w:rsidR="001B4278">
        <w:rPr>
          <w:rFonts w:ascii="Arial" w:hAnsi="Arial" w:cs="Arial"/>
        </w:rPr>
        <w:t xml:space="preserve">information on conflicts of interest. </w:t>
      </w:r>
      <w:r w:rsidR="004F1F6F">
        <w:rPr>
          <w:rFonts w:ascii="Arial" w:hAnsi="Arial" w:cs="Arial"/>
        </w:rPr>
        <w:t xml:space="preserve">This is because the original statement did not </w:t>
      </w:r>
      <w:r w:rsidR="00917E89">
        <w:rPr>
          <w:rFonts w:ascii="Arial" w:hAnsi="Arial" w:cs="Arial"/>
        </w:rPr>
        <w:t>include any information on</w:t>
      </w:r>
      <w:r w:rsidR="004F1F6F">
        <w:rPr>
          <w:rFonts w:ascii="Arial" w:hAnsi="Arial" w:cs="Arial"/>
        </w:rPr>
        <w:t xml:space="preserve"> </w:t>
      </w:r>
      <w:r w:rsidR="00917E89">
        <w:rPr>
          <w:rFonts w:ascii="Arial" w:hAnsi="Arial" w:cs="Arial"/>
        </w:rPr>
        <w:t>how conflicts of interest were managed.</w:t>
      </w:r>
      <w:r w:rsidR="00834136">
        <w:rPr>
          <w:rFonts w:ascii="Arial" w:hAnsi="Arial" w:cs="Arial"/>
        </w:rPr>
        <w:t xml:space="preserve"> The Panel</w:t>
      </w:r>
      <w:r w:rsidR="001F1029">
        <w:rPr>
          <w:rFonts w:ascii="Arial" w:hAnsi="Arial" w:cs="Arial"/>
        </w:rPr>
        <w:t>, however,</w:t>
      </w:r>
      <w:r w:rsidR="00834136">
        <w:rPr>
          <w:rFonts w:ascii="Arial" w:hAnsi="Arial" w:cs="Arial"/>
        </w:rPr>
        <w:t xml:space="preserve"> considers that this deficiency was remedied by the </w:t>
      </w:r>
      <w:r w:rsidR="00F20EBA">
        <w:rPr>
          <w:rFonts w:ascii="Arial" w:hAnsi="Arial" w:cs="Arial"/>
        </w:rPr>
        <w:t>corrigendum published on</w:t>
      </w:r>
      <w:r w:rsidR="000916C5">
        <w:rPr>
          <w:rFonts w:ascii="Arial" w:hAnsi="Arial" w:cs="Arial"/>
        </w:rPr>
        <w:t xml:space="preserve"> 7 March 2025.</w:t>
      </w:r>
    </w:p>
    <w:p w14:paraId="4CFE278A" w14:textId="5780CEAE" w:rsidR="00D01748" w:rsidRDefault="00D05A6D" w:rsidP="00776F5D">
      <w:pPr>
        <w:pStyle w:val="ListParagraph"/>
        <w:numPr>
          <w:ilvl w:val="0"/>
          <w:numId w:val="2"/>
        </w:numPr>
        <w:spacing w:line="276" w:lineRule="auto"/>
        <w:ind w:left="567" w:hanging="567"/>
        <w:contextualSpacing w:val="0"/>
        <w:rPr>
          <w:rFonts w:ascii="Arial" w:hAnsi="Arial" w:cs="Arial"/>
        </w:rPr>
      </w:pPr>
      <w:r>
        <w:rPr>
          <w:rFonts w:ascii="Arial" w:hAnsi="Arial" w:cs="Arial"/>
        </w:rPr>
        <w:t>The Panel</w:t>
      </w:r>
      <w:r w:rsidR="00D81614">
        <w:rPr>
          <w:rFonts w:ascii="Arial" w:hAnsi="Arial" w:cs="Arial"/>
        </w:rPr>
        <w:t xml:space="preserve"> further </w:t>
      </w:r>
      <w:r>
        <w:rPr>
          <w:rFonts w:ascii="Arial" w:hAnsi="Arial" w:cs="Arial"/>
        </w:rPr>
        <w:t>notes that</w:t>
      </w:r>
      <w:r w:rsidR="00A234EE">
        <w:rPr>
          <w:rFonts w:ascii="Arial" w:hAnsi="Arial" w:cs="Arial"/>
        </w:rPr>
        <w:t xml:space="preserve"> Regulation </w:t>
      </w:r>
      <w:r w:rsidR="00FD7604">
        <w:rPr>
          <w:rFonts w:ascii="Arial" w:hAnsi="Arial" w:cs="Arial"/>
        </w:rPr>
        <w:t>12(4) state</w:t>
      </w:r>
      <w:r w:rsidR="00D81614">
        <w:rPr>
          <w:rFonts w:ascii="Arial" w:hAnsi="Arial" w:cs="Arial"/>
        </w:rPr>
        <w:t>s</w:t>
      </w:r>
      <w:r w:rsidR="00FD7604">
        <w:rPr>
          <w:rFonts w:ascii="Arial" w:hAnsi="Arial" w:cs="Arial"/>
        </w:rPr>
        <w:t xml:space="preserve"> that “Where the relevant authority receives representations … it must </w:t>
      </w:r>
      <w:r w:rsidR="005B122A">
        <w:rPr>
          <w:rFonts w:ascii="Arial" w:hAnsi="Arial" w:cs="Arial"/>
        </w:rPr>
        <w:t xml:space="preserve">… (c) </w:t>
      </w:r>
      <w:r w:rsidR="0016695D">
        <w:rPr>
          <w:rFonts w:ascii="Arial" w:hAnsi="Arial" w:cs="Arial"/>
        </w:rPr>
        <w:t>review the decision to award the contract … taking into account the representations made, and (d) make a further decision to</w:t>
      </w:r>
      <w:r w:rsidR="009B28B8">
        <w:rPr>
          <w:rFonts w:ascii="Arial" w:hAnsi="Arial" w:cs="Arial"/>
        </w:rPr>
        <w:t xml:space="preserve"> – (i) enter into the contract … as intended after the standstill period has ended, (ii)</w:t>
      </w:r>
      <w:r w:rsidR="0044112E">
        <w:rPr>
          <w:rFonts w:ascii="Arial" w:hAnsi="Arial" w:cs="Arial"/>
        </w:rPr>
        <w:t xml:space="preserve"> go back to an earlier step in the selection process and repeat that step and subsequent steps in accordance with the relevant procedure, or (iii) abandon the procurement</w:t>
      </w:r>
      <w:r w:rsidR="008A0358">
        <w:rPr>
          <w:rFonts w:ascii="Arial" w:hAnsi="Arial" w:cs="Arial"/>
        </w:rPr>
        <w:t>”.</w:t>
      </w:r>
    </w:p>
    <w:p w14:paraId="1A1C517E" w14:textId="38A37226" w:rsidR="00F00872" w:rsidRDefault="00414619" w:rsidP="00776F5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considers that HNY ICB, </w:t>
      </w:r>
      <w:r w:rsidR="00241EE1">
        <w:rPr>
          <w:rFonts w:ascii="Arial" w:hAnsi="Arial" w:cs="Arial"/>
        </w:rPr>
        <w:t>by publishing this corrigendum with substantive new information</w:t>
      </w:r>
      <w:r w:rsidR="00481076">
        <w:rPr>
          <w:rStyle w:val="FootnoteReference"/>
          <w:rFonts w:ascii="Arial" w:hAnsi="Arial" w:cs="Arial"/>
        </w:rPr>
        <w:footnoteReference w:id="32"/>
      </w:r>
      <w:r w:rsidR="00241EE1">
        <w:rPr>
          <w:rFonts w:ascii="Arial" w:hAnsi="Arial" w:cs="Arial"/>
        </w:rPr>
        <w:t xml:space="preserve"> following </w:t>
      </w:r>
      <w:r w:rsidR="00481076">
        <w:rPr>
          <w:rFonts w:ascii="Arial" w:hAnsi="Arial" w:cs="Arial"/>
        </w:rPr>
        <w:t>Barkhill’s representations</w:t>
      </w:r>
      <w:r w:rsidR="00241EE1">
        <w:rPr>
          <w:rFonts w:ascii="Arial" w:hAnsi="Arial" w:cs="Arial"/>
        </w:rPr>
        <w:t>, returned to an earlier step in the provider selection process.</w:t>
      </w:r>
      <w:r w:rsidR="00241EE1">
        <w:rPr>
          <w:rStyle w:val="FootnoteReference"/>
          <w:rFonts w:ascii="Arial" w:hAnsi="Arial" w:cs="Arial"/>
        </w:rPr>
        <w:footnoteReference w:id="33"/>
      </w:r>
      <w:r w:rsidR="00481076">
        <w:rPr>
          <w:rFonts w:ascii="Arial" w:hAnsi="Arial" w:cs="Arial"/>
        </w:rPr>
        <w:t xml:space="preserve"> </w:t>
      </w:r>
      <w:r w:rsidR="00622F07">
        <w:rPr>
          <w:rFonts w:ascii="Arial" w:hAnsi="Arial" w:cs="Arial"/>
        </w:rPr>
        <w:t xml:space="preserve">Having decided to return to </w:t>
      </w:r>
      <w:r w:rsidR="006B1C70">
        <w:rPr>
          <w:rFonts w:ascii="Arial" w:hAnsi="Arial" w:cs="Arial"/>
        </w:rPr>
        <w:t>an earlier step in the selection process</w:t>
      </w:r>
      <w:r w:rsidR="00875DFC">
        <w:rPr>
          <w:rFonts w:ascii="Arial" w:hAnsi="Arial" w:cs="Arial"/>
        </w:rPr>
        <w:t>,</w:t>
      </w:r>
      <w:r w:rsidR="006B1C70">
        <w:rPr>
          <w:rFonts w:ascii="Arial" w:hAnsi="Arial" w:cs="Arial"/>
        </w:rPr>
        <w:t xml:space="preserve"> </w:t>
      </w:r>
      <w:r w:rsidR="00622F07" w:rsidRPr="004E6AAB">
        <w:rPr>
          <w:rFonts w:ascii="Arial" w:hAnsi="Arial" w:cs="Arial"/>
        </w:rPr>
        <w:t>HNY ICB</w:t>
      </w:r>
      <w:r w:rsidR="00D561EF">
        <w:rPr>
          <w:rFonts w:ascii="Arial" w:hAnsi="Arial" w:cs="Arial"/>
        </w:rPr>
        <w:t xml:space="preserve"> was obliged</w:t>
      </w:r>
      <w:r w:rsidR="00334242" w:rsidRPr="004E6AAB">
        <w:rPr>
          <w:rFonts w:ascii="Arial" w:hAnsi="Arial" w:cs="Arial"/>
        </w:rPr>
        <w:t>, under the terms of Regulation 12(4),</w:t>
      </w:r>
      <w:r w:rsidR="00D561EF">
        <w:rPr>
          <w:rFonts w:ascii="Arial" w:hAnsi="Arial" w:cs="Arial"/>
        </w:rPr>
        <w:t xml:space="preserve"> to </w:t>
      </w:r>
      <w:r w:rsidR="006B1C70">
        <w:rPr>
          <w:rFonts w:ascii="Arial" w:hAnsi="Arial" w:cs="Arial"/>
        </w:rPr>
        <w:t>repeat the subsequent steps</w:t>
      </w:r>
      <w:r w:rsidR="00D561EF">
        <w:rPr>
          <w:rFonts w:ascii="Arial" w:hAnsi="Arial" w:cs="Arial"/>
        </w:rPr>
        <w:t xml:space="preserve"> in the provider selection process. In this case, the subsequent steps </w:t>
      </w:r>
      <w:r w:rsidR="00257DEB" w:rsidRPr="004E6AAB">
        <w:rPr>
          <w:rFonts w:ascii="Arial" w:hAnsi="Arial" w:cs="Arial"/>
        </w:rPr>
        <w:t xml:space="preserve">should have involved </w:t>
      </w:r>
      <w:r w:rsidR="00FA39E3">
        <w:rPr>
          <w:rFonts w:ascii="Arial" w:hAnsi="Arial" w:cs="Arial"/>
        </w:rPr>
        <w:t>re-</w:t>
      </w:r>
      <w:r w:rsidR="00FA39E3" w:rsidRPr="004E6AAB">
        <w:rPr>
          <w:rFonts w:ascii="Arial" w:hAnsi="Arial" w:cs="Arial"/>
        </w:rPr>
        <w:t>start</w:t>
      </w:r>
      <w:r w:rsidR="00257DEB" w:rsidRPr="004E6AAB">
        <w:rPr>
          <w:rFonts w:ascii="Arial" w:hAnsi="Arial" w:cs="Arial"/>
        </w:rPr>
        <w:t>ing</w:t>
      </w:r>
      <w:r w:rsidR="00FA39E3">
        <w:rPr>
          <w:rFonts w:ascii="Arial" w:hAnsi="Arial" w:cs="Arial"/>
        </w:rPr>
        <w:t xml:space="preserve"> </w:t>
      </w:r>
      <w:r w:rsidR="00F63FF8">
        <w:rPr>
          <w:rFonts w:ascii="Arial" w:hAnsi="Arial" w:cs="Arial"/>
        </w:rPr>
        <w:t xml:space="preserve">the standstill period </w:t>
      </w:r>
      <w:r w:rsidR="00C52CA8">
        <w:rPr>
          <w:rFonts w:ascii="Arial" w:hAnsi="Arial" w:cs="Arial"/>
        </w:rPr>
        <w:t xml:space="preserve">after the corrigendum was published </w:t>
      </w:r>
      <w:r w:rsidR="00FA39E3">
        <w:rPr>
          <w:rFonts w:ascii="Arial" w:hAnsi="Arial" w:cs="Arial"/>
        </w:rPr>
        <w:t xml:space="preserve">for a period of eight working days </w:t>
      </w:r>
      <w:r w:rsidR="00F63FF8">
        <w:rPr>
          <w:rFonts w:ascii="Arial" w:hAnsi="Arial" w:cs="Arial"/>
        </w:rPr>
        <w:t xml:space="preserve">to </w:t>
      </w:r>
      <w:r w:rsidR="00D561EF">
        <w:rPr>
          <w:rFonts w:ascii="Arial" w:hAnsi="Arial" w:cs="Arial"/>
        </w:rPr>
        <w:t xml:space="preserve">allow </w:t>
      </w:r>
      <w:r w:rsidR="002B5CFC">
        <w:rPr>
          <w:rFonts w:ascii="Arial" w:hAnsi="Arial" w:cs="Arial"/>
        </w:rPr>
        <w:t xml:space="preserve">all unsuccessful bidders </w:t>
      </w:r>
      <w:r w:rsidR="00B40F9C">
        <w:rPr>
          <w:rFonts w:ascii="Arial" w:hAnsi="Arial" w:cs="Arial"/>
        </w:rPr>
        <w:t xml:space="preserve">the opportunity </w:t>
      </w:r>
      <w:r w:rsidR="00293597">
        <w:rPr>
          <w:rFonts w:ascii="Arial" w:hAnsi="Arial" w:cs="Arial"/>
        </w:rPr>
        <w:t xml:space="preserve">to make further representations based on </w:t>
      </w:r>
      <w:r w:rsidR="008A7706">
        <w:rPr>
          <w:rFonts w:ascii="Arial" w:hAnsi="Arial" w:cs="Arial"/>
        </w:rPr>
        <w:t>the revised notice of intention.</w:t>
      </w:r>
    </w:p>
    <w:p w14:paraId="5F898213" w14:textId="698F3DEE" w:rsidR="004F399E" w:rsidRDefault="008917A7" w:rsidP="00776F5D">
      <w:pPr>
        <w:pStyle w:val="ListParagraph"/>
        <w:numPr>
          <w:ilvl w:val="0"/>
          <w:numId w:val="2"/>
        </w:numPr>
        <w:spacing w:line="276" w:lineRule="auto"/>
        <w:ind w:left="567" w:hanging="567"/>
        <w:contextualSpacing w:val="0"/>
        <w:rPr>
          <w:rFonts w:ascii="Arial" w:hAnsi="Arial" w:cs="Arial"/>
        </w:rPr>
      </w:pPr>
      <w:r>
        <w:rPr>
          <w:rFonts w:ascii="Arial" w:hAnsi="Arial" w:cs="Arial"/>
        </w:rPr>
        <w:t>Instead, HNY ICB’s letter to Barkhill of 4 March 2025</w:t>
      </w:r>
      <w:r w:rsidR="00C658AE">
        <w:rPr>
          <w:rFonts w:ascii="Arial" w:hAnsi="Arial" w:cs="Arial"/>
        </w:rPr>
        <w:t xml:space="preserve">, where it </w:t>
      </w:r>
      <w:r w:rsidR="007A481F">
        <w:rPr>
          <w:rFonts w:ascii="Arial" w:hAnsi="Arial" w:cs="Arial"/>
        </w:rPr>
        <w:t xml:space="preserve">set out </w:t>
      </w:r>
      <w:r w:rsidR="002B4D5F">
        <w:rPr>
          <w:rFonts w:ascii="Arial" w:hAnsi="Arial" w:cs="Arial"/>
        </w:rPr>
        <w:t xml:space="preserve">the ICB’s further decision </w:t>
      </w:r>
      <w:r w:rsidR="00BF3CB7">
        <w:rPr>
          <w:rFonts w:ascii="Arial" w:hAnsi="Arial" w:cs="Arial"/>
        </w:rPr>
        <w:t>on the provider selection process</w:t>
      </w:r>
      <w:r w:rsidR="002B4D5F">
        <w:rPr>
          <w:rFonts w:ascii="Arial" w:hAnsi="Arial" w:cs="Arial"/>
        </w:rPr>
        <w:t xml:space="preserve">, </w:t>
      </w:r>
      <w:r w:rsidR="001B75EE">
        <w:rPr>
          <w:rFonts w:ascii="Arial" w:hAnsi="Arial" w:cs="Arial"/>
        </w:rPr>
        <w:t>did not</w:t>
      </w:r>
      <w:r w:rsidR="002B4D5F">
        <w:rPr>
          <w:rFonts w:ascii="Arial" w:hAnsi="Arial" w:cs="Arial"/>
        </w:rPr>
        <w:t xml:space="preserve"> mention </w:t>
      </w:r>
      <w:r w:rsidR="000075AE">
        <w:rPr>
          <w:rFonts w:ascii="Arial" w:hAnsi="Arial" w:cs="Arial"/>
        </w:rPr>
        <w:t xml:space="preserve">that </w:t>
      </w:r>
      <w:r w:rsidR="002B4D5F">
        <w:rPr>
          <w:rFonts w:ascii="Arial" w:hAnsi="Arial" w:cs="Arial"/>
        </w:rPr>
        <w:t>a corrigendum to the notice of intention</w:t>
      </w:r>
      <w:r w:rsidR="00BA49F1">
        <w:rPr>
          <w:rFonts w:ascii="Arial" w:hAnsi="Arial" w:cs="Arial"/>
        </w:rPr>
        <w:t xml:space="preserve"> </w:t>
      </w:r>
      <w:r w:rsidR="000075AE">
        <w:rPr>
          <w:rFonts w:ascii="Arial" w:hAnsi="Arial" w:cs="Arial"/>
        </w:rPr>
        <w:t>would be published on 7 March</w:t>
      </w:r>
      <w:r w:rsidR="003113E3">
        <w:rPr>
          <w:rFonts w:ascii="Arial" w:hAnsi="Arial" w:cs="Arial"/>
        </w:rPr>
        <w:t xml:space="preserve">. </w:t>
      </w:r>
      <w:r w:rsidR="00F9532D">
        <w:rPr>
          <w:rFonts w:ascii="Arial" w:hAnsi="Arial" w:cs="Arial"/>
        </w:rPr>
        <w:t xml:space="preserve">HNY ICB’s </w:t>
      </w:r>
      <w:r w:rsidR="003113E3">
        <w:rPr>
          <w:rFonts w:ascii="Arial" w:hAnsi="Arial" w:cs="Arial"/>
        </w:rPr>
        <w:t xml:space="preserve">letter </w:t>
      </w:r>
      <w:r w:rsidR="00BA49F1">
        <w:rPr>
          <w:rFonts w:ascii="Arial" w:hAnsi="Arial" w:cs="Arial"/>
        </w:rPr>
        <w:t>sa</w:t>
      </w:r>
      <w:r w:rsidR="005832F2">
        <w:rPr>
          <w:rFonts w:ascii="Arial" w:hAnsi="Arial" w:cs="Arial"/>
        </w:rPr>
        <w:t>id</w:t>
      </w:r>
      <w:r w:rsidR="00BA49F1">
        <w:rPr>
          <w:rFonts w:ascii="Arial" w:hAnsi="Arial" w:cs="Arial"/>
        </w:rPr>
        <w:t xml:space="preserve"> “the issues you </w:t>
      </w:r>
      <w:r w:rsidR="00F9532D">
        <w:rPr>
          <w:rFonts w:ascii="Arial" w:hAnsi="Arial" w:cs="Arial"/>
        </w:rPr>
        <w:t>[Barkhill]</w:t>
      </w:r>
      <w:r w:rsidR="00BA49F1">
        <w:rPr>
          <w:rFonts w:ascii="Arial" w:hAnsi="Arial" w:cs="Arial"/>
        </w:rPr>
        <w:t xml:space="preserve"> have raised have not materially affected the ICB’s ability to reach a fair </w:t>
      </w:r>
      <w:r w:rsidR="00BA49F1">
        <w:rPr>
          <w:rFonts w:ascii="Arial" w:hAnsi="Arial" w:cs="Arial"/>
        </w:rPr>
        <w:lastRenderedPageBreak/>
        <w:t xml:space="preserve">decision. As such, we intend to enter into contracts for this service as </w:t>
      </w:r>
      <w:r w:rsidR="006F0868">
        <w:rPr>
          <w:rFonts w:ascii="Arial" w:hAnsi="Arial" w:cs="Arial"/>
        </w:rPr>
        <w:t xml:space="preserve">stated </w:t>
      </w:r>
      <w:r w:rsidR="00BA49F1">
        <w:rPr>
          <w:rFonts w:ascii="Arial" w:hAnsi="Arial" w:cs="Arial"/>
        </w:rPr>
        <w:t>in our intention to award notic</w:t>
      </w:r>
      <w:r w:rsidR="003113E3">
        <w:rPr>
          <w:rFonts w:ascii="Arial" w:hAnsi="Arial" w:cs="Arial"/>
        </w:rPr>
        <w:t>e. As required by the Provider Selection Regime regulations, we will allow a further five working days of standstill from the date of this letter, at which point the standstill period will come to an end”.</w:t>
      </w:r>
      <w:r w:rsidR="007E396A">
        <w:rPr>
          <w:rStyle w:val="FootnoteReference"/>
          <w:rFonts w:ascii="Arial" w:hAnsi="Arial" w:cs="Arial"/>
        </w:rPr>
        <w:footnoteReference w:id="34"/>
      </w:r>
    </w:p>
    <w:p w14:paraId="2241189F" w14:textId="2218C08D" w:rsidR="007B7E08" w:rsidRDefault="007B7E08" w:rsidP="00776F5D">
      <w:pPr>
        <w:pStyle w:val="ListParagraph"/>
        <w:numPr>
          <w:ilvl w:val="0"/>
          <w:numId w:val="2"/>
        </w:numPr>
        <w:spacing w:line="276" w:lineRule="auto"/>
        <w:ind w:left="567" w:hanging="567"/>
        <w:contextualSpacing w:val="0"/>
        <w:rPr>
          <w:rFonts w:ascii="Arial" w:hAnsi="Arial" w:cs="Arial"/>
        </w:rPr>
      </w:pPr>
      <w:r>
        <w:rPr>
          <w:rFonts w:ascii="Arial" w:hAnsi="Arial" w:cs="Arial"/>
        </w:rPr>
        <w:t>After further correspondence from Barkhill, HNY ICB wrote to Barkhill again on 5</w:t>
      </w:r>
      <w:r w:rsidR="004B277B">
        <w:rPr>
          <w:rFonts w:ascii="Arial" w:hAnsi="Arial" w:cs="Arial"/>
        </w:rPr>
        <w:t> March 2025, again no</w:t>
      </w:r>
      <w:r w:rsidR="0084570C">
        <w:rPr>
          <w:rFonts w:ascii="Arial" w:hAnsi="Arial" w:cs="Arial"/>
        </w:rPr>
        <w:t>t</w:t>
      </w:r>
      <w:r w:rsidR="004B277B">
        <w:rPr>
          <w:rFonts w:ascii="Arial" w:hAnsi="Arial" w:cs="Arial"/>
        </w:rPr>
        <w:t xml:space="preserve"> mention</w:t>
      </w:r>
      <w:r w:rsidR="0084570C">
        <w:rPr>
          <w:rFonts w:ascii="Arial" w:hAnsi="Arial" w:cs="Arial"/>
        </w:rPr>
        <w:t xml:space="preserve">ing that a </w:t>
      </w:r>
      <w:r w:rsidR="004B277B">
        <w:rPr>
          <w:rFonts w:ascii="Arial" w:hAnsi="Arial" w:cs="Arial"/>
        </w:rPr>
        <w:t>corrigendum to the notice of intention would be published on 7 March, and said “</w:t>
      </w:r>
      <w:r w:rsidR="00AA42F2">
        <w:rPr>
          <w:rFonts w:ascii="Arial" w:hAnsi="Arial" w:cs="Arial"/>
        </w:rPr>
        <w:t>To confirm, the 5 day standstill period concludes midnight, Tuesday 11 March 2025”.</w:t>
      </w:r>
      <w:r w:rsidR="007E396A">
        <w:rPr>
          <w:rStyle w:val="FootnoteReference"/>
          <w:rFonts w:ascii="Arial" w:hAnsi="Arial" w:cs="Arial"/>
        </w:rPr>
        <w:footnoteReference w:id="35"/>
      </w:r>
    </w:p>
    <w:p w14:paraId="14895316" w14:textId="037BC017" w:rsidR="00FA1E65" w:rsidRDefault="00865326" w:rsidP="00FA1E65">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conclusion, </w:t>
      </w:r>
      <w:r w:rsidR="00A166BB">
        <w:rPr>
          <w:rFonts w:ascii="Arial" w:hAnsi="Arial" w:cs="Arial"/>
        </w:rPr>
        <w:t>the Panel finds that HNY ICB</w:t>
      </w:r>
      <w:r w:rsidR="005A6683">
        <w:rPr>
          <w:rFonts w:ascii="Arial" w:hAnsi="Arial" w:cs="Arial"/>
        </w:rPr>
        <w:t xml:space="preserve">, by </w:t>
      </w:r>
      <w:r w:rsidR="00975FD4">
        <w:rPr>
          <w:rFonts w:ascii="Arial" w:hAnsi="Arial" w:cs="Arial"/>
        </w:rPr>
        <w:t xml:space="preserve">making a substantive correction to the notice of intention </w:t>
      </w:r>
      <w:r w:rsidR="005A6683">
        <w:rPr>
          <w:rFonts w:ascii="Arial" w:hAnsi="Arial" w:cs="Arial"/>
        </w:rPr>
        <w:t>return</w:t>
      </w:r>
      <w:r w:rsidR="00975FD4">
        <w:rPr>
          <w:rFonts w:ascii="Arial" w:hAnsi="Arial" w:cs="Arial"/>
        </w:rPr>
        <w:t xml:space="preserve">ed </w:t>
      </w:r>
      <w:r w:rsidR="005A6683">
        <w:rPr>
          <w:rFonts w:ascii="Arial" w:hAnsi="Arial" w:cs="Arial"/>
        </w:rPr>
        <w:t>to an earlier step in the provider selection process</w:t>
      </w:r>
      <w:r w:rsidR="00972161">
        <w:rPr>
          <w:rFonts w:ascii="Arial" w:hAnsi="Arial" w:cs="Arial"/>
        </w:rPr>
        <w:t xml:space="preserve"> and </w:t>
      </w:r>
      <w:r w:rsidR="005F64FD">
        <w:rPr>
          <w:rFonts w:ascii="Arial" w:hAnsi="Arial" w:cs="Arial"/>
        </w:rPr>
        <w:t xml:space="preserve">by </w:t>
      </w:r>
      <w:r w:rsidR="00972161">
        <w:rPr>
          <w:rFonts w:ascii="Arial" w:hAnsi="Arial" w:cs="Arial"/>
        </w:rPr>
        <w:t>not repeating the subsequent steps in the selection process</w:t>
      </w:r>
      <w:r w:rsidR="00FA1E65">
        <w:rPr>
          <w:rFonts w:ascii="Arial" w:hAnsi="Arial" w:cs="Arial"/>
        </w:rPr>
        <w:t xml:space="preserve">, </w:t>
      </w:r>
      <w:r w:rsidR="005A6683">
        <w:rPr>
          <w:rFonts w:ascii="Arial" w:hAnsi="Arial" w:cs="Arial"/>
        </w:rPr>
        <w:t xml:space="preserve">breached the PSR regulations </w:t>
      </w:r>
      <w:r w:rsidR="005D34F3">
        <w:rPr>
          <w:rFonts w:ascii="Arial" w:hAnsi="Arial" w:cs="Arial"/>
        </w:rPr>
        <w:t xml:space="preserve">with respect to its obligations </w:t>
      </w:r>
      <w:r w:rsidR="005A6683">
        <w:rPr>
          <w:rFonts w:ascii="Arial" w:hAnsi="Arial" w:cs="Arial"/>
        </w:rPr>
        <w:t>under Regulation 1</w:t>
      </w:r>
      <w:r w:rsidR="00FA1E65">
        <w:rPr>
          <w:rFonts w:ascii="Arial" w:hAnsi="Arial" w:cs="Arial"/>
        </w:rPr>
        <w:t>2</w:t>
      </w:r>
      <w:r w:rsidR="005A6683">
        <w:rPr>
          <w:rFonts w:ascii="Arial" w:hAnsi="Arial" w:cs="Arial"/>
        </w:rPr>
        <w:t>(</w:t>
      </w:r>
      <w:r w:rsidR="00FA1E65">
        <w:rPr>
          <w:rFonts w:ascii="Arial" w:hAnsi="Arial" w:cs="Arial"/>
        </w:rPr>
        <w:t>4</w:t>
      </w:r>
      <w:r w:rsidR="005A6683">
        <w:rPr>
          <w:rFonts w:ascii="Arial" w:hAnsi="Arial" w:cs="Arial"/>
        </w:rPr>
        <w:t>)</w:t>
      </w:r>
      <w:r w:rsidR="00FA1E65">
        <w:rPr>
          <w:rFonts w:ascii="Arial" w:hAnsi="Arial" w:cs="Arial"/>
        </w:rPr>
        <w:t>.</w:t>
      </w:r>
    </w:p>
    <w:p w14:paraId="3F5F8953" w14:textId="51F65B5A" w:rsidR="00EA6560" w:rsidRPr="00F75CAC" w:rsidRDefault="00F75CAC" w:rsidP="00F75CAC">
      <w:pPr>
        <w:keepNext/>
        <w:spacing w:before="240" w:line="276" w:lineRule="auto"/>
        <w:rPr>
          <w:rFonts w:ascii="Arial" w:hAnsi="Arial" w:cs="Arial"/>
          <w:b/>
          <w:bCs/>
        </w:rPr>
      </w:pPr>
      <w:r>
        <w:rPr>
          <w:rFonts w:ascii="Arial" w:hAnsi="Arial" w:cs="Arial"/>
          <w:b/>
          <w:bCs/>
        </w:rPr>
        <w:t>7.2.</w:t>
      </w:r>
      <w:r w:rsidR="002C09EF">
        <w:rPr>
          <w:rFonts w:ascii="Arial" w:hAnsi="Arial" w:cs="Arial"/>
          <w:b/>
          <w:bCs/>
        </w:rPr>
        <w:t>6</w:t>
      </w:r>
      <w:r>
        <w:rPr>
          <w:rFonts w:ascii="Arial" w:hAnsi="Arial" w:cs="Arial"/>
          <w:b/>
          <w:bCs/>
        </w:rPr>
        <w:t xml:space="preserve"> </w:t>
      </w:r>
      <w:r w:rsidR="00636921">
        <w:rPr>
          <w:rFonts w:ascii="Arial" w:hAnsi="Arial" w:cs="Arial"/>
          <w:b/>
          <w:bCs/>
        </w:rPr>
        <w:t>Contract award notice</w:t>
      </w:r>
      <w:r>
        <w:rPr>
          <w:rFonts w:ascii="Arial" w:hAnsi="Arial" w:cs="Arial"/>
          <w:b/>
          <w:bCs/>
        </w:rPr>
        <w:t xml:space="preserve"> </w:t>
      </w:r>
      <w:r w:rsidR="00636921">
        <w:rPr>
          <w:rFonts w:ascii="Arial" w:hAnsi="Arial" w:cs="Arial"/>
          <w:b/>
          <w:bCs/>
        </w:rPr>
        <w:t>vs Intention to award notice</w:t>
      </w:r>
    </w:p>
    <w:p w14:paraId="24189781" w14:textId="570998BA" w:rsidR="009E6707" w:rsidRDefault="009E6707" w:rsidP="00F1094E">
      <w:pPr>
        <w:pStyle w:val="ListParagraph"/>
        <w:numPr>
          <w:ilvl w:val="0"/>
          <w:numId w:val="2"/>
        </w:numPr>
        <w:spacing w:line="276" w:lineRule="auto"/>
        <w:ind w:left="567" w:hanging="567"/>
        <w:contextualSpacing w:val="0"/>
        <w:rPr>
          <w:rFonts w:ascii="Arial" w:hAnsi="Arial" w:cs="Arial"/>
        </w:rPr>
      </w:pPr>
      <w:r w:rsidRPr="006E3D17">
        <w:rPr>
          <w:rFonts w:ascii="Arial" w:hAnsi="Arial" w:cs="Arial"/>
        </w:rPr>
        <w:t xml:space="preserve">Barkhill raised concerns that the </w:t>
      </w:r>
      <w:r>
        <w:rPr>
          <w:rFonts w:ascii="Arial" w:hAnsi="Arial" w:cs="Arial"/>
        </w:rPr>
        <w:t xml:space="preserve">notice of </w:t>
      </w:r>
      <w:r w:rsidRPr="006E3D17">
        <w:rPr>
          <w:rFonts w:ascii="Arial" w:hAnsi="Arial" w:cs="Arial"/>
        </w:rPr>
        <w:t xml:space="preserve">intention </w:t>
      </w:r>
      <w:r w:rsidR="00F1094E">
        <w:rPr>
          <w:rFonts w:ascii="Arial" w:hAnsi="Arial" w:cs="Arial"/>
        </w:rPr>
        <w:t xml:space="preserve">was erroneously published </w:t>
      </w:r>
      <w:r w:rsidR="001D5C67">
        <w:rPr>
          <w:rFonts w:ascii="Arial" w:hAnsi="Arial" w:cs="Arial"/>
        </w:rPr>
        <w:t xml:space="preserve">on FTS </w:t>
      </w:r>
      <w:r w:rsidR="00F1094E">
        <w:rPr>
          <w:rFonts w:ascii="Arial" w:hAnsi="Arial" w:cs="Arial"/>
        </w:rPr>
        <w:t xml:space="preserve">as </w:t>
      </w:r>
      <w:r>
        <w:rPr>
          <w:rFonts w:ascii="Arial" w:hAnsi="Arial" w:cs="Arial"/>
        </w:rPr>
        <w:t xml:space="preserve">a contract </w:t>
      </w:r>
      <w:r w:rsidR="00F1094E">
        <w:rPr>
          <w:rFonts w:ascii="Arial" w:hAnsi="Arial" w:cs="Arial"/>
        </w:rPr>
        <w:t>award notice rather than a notice of an intention to make a contract award</w:t>
      </w:r>
      <w:r w:rsidR="008C1083">
        <w:rPr>
          <w:rFonts w:ascii="Arial" w:hAnsi="Arial" w:cs="Arial"/>
        </w:rPr>
        <w:t xml:space="preserve">. Barkhill’s view is that the deficiencies it identified with the </w:t>
      </w:r>
      <w:r w:rsidR="003E4B43">
        <w:rPr>
          <w:rFonts w:ascii="Arial" w:hAnsi="Arial" w:cs="Arial"/>
        </w:rPr>
        <w:t xml:space="preserve">notice of intention meant that it was not valid </w:t>
      </w:r>
      <w:r w:rsidR="00E4481D">
        <w:rPr>
          <w:rFonts w:ascii="Arial" w:hAnsi="Arial" w:cs="Arial"/>
        </w:rPr>
        <w:t xml:space="preserve">to </w:t>
      </w:r>
      <w:r w:rsidR="003E4B43">
        <w:rPr>
          <w:rFonts w:ascii="Arial" w:hAnsi="Arial" w:cs="Arial"/>
        </w:rPr>
        <w:t>start the standstill period under Regulation 12(2)</w:t>
      </w:r>
      <w:r w:rsidR="00F1094E">
        <w:rPr>
          <w:rFonts w:ascii="Arial" w:hAnsi="Arial" w:cs="Arial"/>
        </w:rPr>
        <w:t xml:space="preserve"> </w:t>
      </w:r>
      <w:r w:rsidRPr="006E3D17">
        <w:rPr>
          <w:rFonts w:ascii="Arial" w:hAnsi="Arial" w:cs="Arial"/>
        </w:rPr>
        <w:t xml:space="preserve">(see paragraph </w:t>
      </w:r>
      <w:r w:rsidR="008C1560">
        <w:rPr>
          <w:rFonts w:ascii="Arial" w:hAnsi="Arial" w:cs="Arial"/>
        </w:rPr>
        <w:t>72</w:t>
      </w:r>
      <w:r w:rsidRPr="006E3D17">
        <w:rPr>
          <w:rFonts w:ascii="Arial" w:hAnsi="Arial" w:cs="Arial"/>
        </w:rPr>
        <w:t>).</w:t>
      </w:r>
    </w:p>
    <w:p w14:paraId="48AA4CBF" w14:textId="3498C232" w:rsidR="00C2468F" w:rsidRPr="00317464" w:rsidRDefault="00C2468F">
      <w:pPr>
        <w:pStyle w:val="ListParagraph"/>
        <w:numPr>
          <w:ilvl w:val="0"/>
          <w:numId w:val="2"/>
        </w:numPr>
        <w:spacing w:line="276" w:lineRule="auto"/>
        <w:ind w:left="567" w:hanging="567"/>
        <w:contextualSpacing w:val="0"/>
        <w:rPr>
          <w:rFonts w:ascii="Arial" w:hAnsi="Arial" w:cs="Arial"/>
        </w:rPr>
      </w:pPr>
      <w:r w:rsidRPr="00317464">
        <w:rPr>
          <w:rFonts w:ascii="Arial" w:hAnsi="Arial" w:cs="Arial"/>
        </w:rPr>
        <w:t xml:space="preserve">The Panel notes that </w:t>
      </w:r>
      <w:r w:rsidR="00955983">
        <w:rPr>
          <w:rFonts w:ascii="Arial" w:hAnsi="Arial" w:cs="Arial"/>
        </w:rPr>
        <w:t>the</w:t>
      </w:r>
      <w:r w:rsidR="00B645A1" w:rsidRPr="00317464">
        <w:rPr>
          <w:rFonts w:ascii="Arial" w:hAnsi="Arial" w:cs="Arial"/>
        </w:rPr>
        <w:t xml:space="preserve"> </w:t>
      </w:r>
      <w:r w:rsidR="00EF41F1">
        <w:rPr>
          <w:rFonts w:ascii="Arial" w:hAnsi="Arial" w:cs="Arial"/>
        </w:rPr>
        <w:t xml:space="preserve">template </w:t>
      </w:r>
      <w:r w:rsidR="00B645A1" w:rsidRPr="00317464">
        <w:rPr>
          <w:rFonts w:ascii="Arial" w:hAnsi="Arial" w:cs="Arial"/>
        </w:rPr>
        <w:t>notices available for commissioners</w:t>
      </w:r>
      <w:r w:rsidR="00955983">
        <w:rPr>
          <w:rFonts w:ascii="Arial" w:hAnsi="Arial" w:cs="Arial"/>
        </w:rPr>
        <w:t xml:space="preserve"> on FTS </w:t>
      </w:r>
      <w:r w:rsidR="00B645A1" w:rsidRPr="00317464">
        <w:rPr>
          <w:rFonts w:ascii="Arial" w:hAnsi="Arial" w:cs="Arial"/>
        </w:rPr>
        <w:t>are aligned with the requirements of the former Public Contracts Regulations and the new Procurement Act</w:t>
      </w:r>
      <w:r w:rsidR="00450828">
        <w:rPr>
          <w:rFonts w:ascii="Arial" w:hAnsi="Arial" w:cs="Arial"/>
        </w:rPr>
        <w:t>. This means that</w:t>
      </w:r>
      <w:r w:rsidR="00100D36">
        <w:rPr>
          <w:rFonts w:ascii="Arial" w:hAnsi="Arial" w:cs="Arial"/>
        </w:rPr>
        <w:t>, currently, FTS does not have template notices</w:t>
      </w:r>
      <w:r w:rsidR="0083466B" w:rsidRPr="00317464">
        <w:rPr>
          <w:rFonts w:ascii="Arial" w:hAnsi="Arial" w:cs="Arial"/>
        </w:rPr>
        <w:t xml:space="preserve"> </w:t>
      </w:r>
      <w:r w:rsidR="00F74877">
        <w:rPr>
          <w:rFonts w:ascii="Arial" w:hAnsi="Arial" w:cs="Arial"/>
        </w:rPr>
        <w:t xml:space="preserve">matched to the requirements of </w:t>
      </w:r>
      <w:r w:rsidR="0083466B" w:rsidRPr="00317464">
        <w:rPr>
          <w:rFonts w:ascii="Arial" w:hAnsi="Arial" w:cs="Arial"/>
        </w:rPr>
        <w:t xml:space="preserve">the PSR regulations. To address this </w:t>
      </w:r>
      <w:r w:rsidR="00897670">
        <w:rPr>
          <w:rFonts w:ascii="Arial" w:hAnsi="Arial" w:cs="Arial"/>
        </w:rPr>
        <w:t>shortcoming</w:t>
      </w:r>
      <w:r w:rsidR="002E3072" w:rsidRPr="00317464">
        <w:rPr>
          <w:rFonts w:ascii="Arial" w:hAnsi="Arial" w:cs="Arial"/>
        </w:rPr>
        <w:t xml:space="preserve">, </w:t>
      </w:r>
      <w:r w:rsidR="00026DAF" w:rsidRPr="00317464">
        <w:rPr>
          <w:rFonts w:ascii="Arial" w:hAnsi="Arial" w:cs="Arial"/>
        </w:rPr>
        <w:t xml:space="preserve">guidance has been issued to commissioners </w:t>
      </w:r>
      <w:r w:rsidR="0096519E">
        <w:rPr>
          <w:rFonts w:ascii="Arial" w:hAnsi="Arial" w:cs="Arial"/>
        </w:rPr>
        <w:t xml:space="preserve">of health care services </w:t>
      </w:r>
      <w:r w:rsidR="00026DAF" w:rsidRPr="00317464">
        <w:rPr>
          <w:rFonts w:ascii="Arial" w:hAnsi="Arial" w:cs="Arial"/>
        </w:rPr>
        <w:t xml:space="preserve">advising </w:t>
      </w:r>
      <w:r w:rsidR="0083466B" w:rsidRPr="00317464">
        <w:rPr>
          <w:rFonts w:ascii="Arial" w:hAnsi="Arial" w:cs="Arial"/>
        </w:rPr>
        <w:t xml:space="preserve">which </w:t>
      </w:r>
      <w:r w:rsidR="001068FB">
        <w:rPr>
          <w:rFonts w:ascii="Arial" w:hAnsi="Arial" w:cs="Arial"/>
        </w:rPr>
        <w:t xml:space="preserve">of the FTS </w:t>
      </w:r>
      <w:r w:rsidR="00EF41F1">
        <w:rPr>
          <w:rFonts w:ascii="Arial" w:hAnsi="Arial" w:cs="Arial"/>
        </w:rPr>
        <w:t xml:space="preserve">template </w:t>
      </w:r>
      <w:r w:rsidR="0083466B" w:rsidRPr="00317464">
        <w:rPr>
          <w:rFonts w:ascii="Arial" w:hAnsi="Arial" w:cs="Arial"/>
        </w:rPr>
        <w:t xml:space="preserve">notices </w:t>
      </w:r>
      <w:r w:rsidR="001068FB">
        <w:rPr>
          <w:rFonts w:ascii="Arial" w:hAnsi="Arial" w:cs="Arial"/>
        </w:rPr>
        <w:t xml:space="preserve">should be used </w:t>
      </w:r>
      <w:r w:rsidR="0083466B" w:rsidRPr="00317464">
        <w:rPr>
          <w:rFonts w:ascii="Arial" w:hAnsi="Arial" w:cs="Arial"/>
        </w:rPr>
        <w:t xml:space="preserve">for </w:t>
      </w:r>
      <w:r w:rsidR="00EF41F1">
        <w:rPr>
          <w:rFonts w:ascii="Arial" w:hAnsi="Arial" w:cs="Arial"/>
        </w:rPr>
        <w:t xml:space="preserve">notices </w:t>
      </w:r>
      <w:r w:rsidR="00893D40">
        <w:rPr>
          <w:rFonts w:ascii="Arial" w:hAnsi="Arial" w:cs="Arial"/>
        </w:rPr>
        <w:t xml:space="preserve">that need to be </w:t>
      </w:r>
      <w:r w:rsidR="00EF41F1">
        <w:rPr>
          <w:rFonts w:ascii="Arial" w:hAnsi="Arial" w:cs="Arial"/>
        </w:rPr>
        <w:t xml:space="preserve">published under </w:t>
      </w:r>
      <w:r w:rsidR="0083466B" w:rsidRPr="00317464">
        <w:rPr>
          <w:rFonts w:ascii="Arial" w:hAnsi="Arial" w:cs="Arial"/>
        </w:rPr>
        <w:t>the PSR regulations</w:t>
      </w:r>
      <w:r w:rsidR="003A1128" w:rsidRPr="00317464">
        <w:rPr>
          <w:rFonts w:ascii="Arial" w:hAnsi="Arial" w:cs="Arial"/>
        </w:rPr>
        <w:t xml:space="preserve">. </w:t>
      </w:r>
      <w:r w:rsidR="004D2CED" w:rsidRPr="00317464">
        <w:rPr>
          <w:rFonts w:ascii="Arial" w:hAnsi="Arial" w:cs="Arial"/>
        </w:rPr>
        <w:t>Th</w:t>
      </w:r>
      <w:r w:rsidR="00CD3990">
        <w:rPr>
          <w:rFonts w:ascii="Arial" w:hAnsi="Arial" w:cs="Arial"/>
        </w:rPr>
        <w:t>e</w:t>
      </w:r>
      <w:r w:rsidR="004D2CED" w:rsidRPr="00317464">
        <w:rPr>
          <w:rFonts w:ascii="Arial" w:hAnsi="Arial" w:cs="Arial"/>
        </w:rPr>
        <w:t xml:space="preserve"> guidance states that </w:t>
      </w:r>
      <w:r w:rsidR="00EF41F1">
        <w:rPr>
          <w:rFonts w:ascii="Arial" w:hAnsi="Arial" w:cs="Arial"/>
        </w:rPr>
        <w:t xml:space="preserve">for notices of intention, </w:t>
      </w:r>
      <w:r w:rsidR="006D7469" w:rsidRPr="00317464">
        <w:rPr>
          <w:rFonts w:ascii="Arial" w:hAnsi="Arial" w:cs="Arial"/>
        </w:rPr>
        <w:t xml:space="preserve">the contract award notice </w:t>
      </w:r>
      <w:r w:rsidR="0031788C">
        <w:rPr>
          <w:rFonts w:ascii="Arial" w:hAnsi="Arial" w:cs="Arial"/>
        </w:rPr>
        <w:t xml:space="preserve">template </w:t>
      </w:r>
      <w:r w:rsidR="006D7469" w:rsidRPr="00317464">
        <w:rPr>
          <w:rFonts w:ascii="Arial" w:hAnsi="Arial" w:cs="Arial"/>
        </w:rPr>
        <w:t>on FTS should be used</w:t>
      </w:r>
      <w:r w:rsidR="001C76DB" w:rsidRPr="00317464">
        <w:rPr>
          <w:rFonts w:ascii="Arial" w:hAnsi="Arial" w:cs="Arial"/>
        </w:rPr>
        <w:t xml:space="preserve">. </w:t>
      </w:r>
      <w:r w:rsidR="001A7D4C">
        <w:rPr>
          <w:rFonts w:ascii="Arial" w:hAnsi="Arial" w:cs="Arial"/>
        </w:rPr>
        <w:t xml:space="preserve">It further </w:t>
      </w:r>
      <w:r w:rsidR="0031788C">
        <w:rPr>
          <w:rFonts w:ascii="Arial" w:hAnsi="Arial" w:cs="Arial"/>
        </w:rPr>
        <w:t xml:space="preserve">states </w:t>
      </w:r>
      <w:r w:rsidR="001C76DB" w:rsidRPr="00317464">
        <w:rPr>
          <w:rFonts w:ascii="Arial" w:hAnsi="Arial" w:cs="Arial"/>
        </w:rPr>
        <w:t>that the date on the contract award notice is a mandatory field</w:t>
      </w:r>
      <w:r w:rsidR="003D08B1" w:rsidRPr="00317464">
        <w:rPr>
          <w:rFonts w:ascii="Arial" w:hAnsi="Arial" w:cs="Arial"/>
        </w:rPr>
        <w:t>, and says “Please enter the date when the relevant decision on the provider in question was made (even though the contract has not yet been awarded)”.</w:t>
      </w:r>
      <w:r w:rsidR="00353A0B">
        <w:rPr>
          <w:rStyle w:val="FootnoteReference"/>
          <w:rFonts w:ascii="Arial" w:hAnsi="Arial" w:cs="Arial"/>
        </w:rPr>
        <w:footnoteReference w:id="36"/>
      </w:r>
    </w:p>
    <w:p w14:paraId="54115D17" w14:textId="3A36EB7B" w:rsidR="009C1633" w:rsidRDefault="00E1257F" w:rsidP="005E1A4F">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5E1A4F" w:rsidRPr="00414688">
        <w:rPr>
          <w:rFonts w:ascii="Arial" w:hAnsi="Arial" w:cs="Arial"/>
        </w:rPr>
        <w:t>he</w:t>
      </w:r>
      <w:r w:rsidR="00414688" w:rsidRPr="00414688">
        <w:rPr>
          <w:rFonts w:ascii="Arial" w:hAnsi="Arial" w:cs="Arial"/>
        </w:rPr>
        <w:t xml:space="preserve"> Panel </w:t>
      </w:r>
      <w:r w:rsidR="005E1A4F" w:rsidRPr="00414688">
        <w:rPr>
          <w:rFonts w:ascii="Arial" w:hAnsi="Arial" w:cs="Arial"/>
        </w:rPr>
        <w:t>note</w:t>
      </w:r>
      <w:r w:rsidR="00C900AB">
        <w:rPr>
          <w:rFonts w:ascii="Arial" w:hAnsi="Arial" w:cs="Arial"/>
        </w:rPr>
        <w:t>s</w:t>
      </w:r>
      <w:r w:rsidR="00414688" w:rsidRPr="00414688">
        <w:rPr>
          <w:rFonts w:ascii="Arial" w:hAnsi="Arial" w:cs="Arial"/>
        </w:rPr>
        <w:t xml:space="preserve"> that </w:t>
      </w:r>
      <w:r w:rsidR="00A8722C">
        <w:rPr>
          <w:rFonts w:ascii="Arial" w:hAnsi="Arial" w:cs="Arial"/>
        </w:rPr>
        <w:t xml:space="preserve">HNY ICB’s </w:t>
      </w:r>
      <w:r w:rsidR="00317464">
        <w:rPr>
          <w:rFonts w:ascii="Arial" w:hAnsi="Arial" w:cs="Arial"/>
        </w:rPr>
        <w:t xml:space="preserve">notice of </w:t>
      </w:r>
      <w:r w:rsidR="00A8722C">
        <w:rPr>
          <w:rFonts w:ascii="Arial" w:hAnsi="Arial" w:cs="Arial"/>
        </w:rPr>
        <w:t>intention,</w:t>
      </w:r>
      <w:r w:rsidR="00E1585A">
        <w:rPr>
          <w:rFonts w:ascii="Arial" w:hAnsi="Arial" w:cs="Arial"/>
        </w:rPr>
        <w:t xml:space="preserve"> </w:t>
      </w:r>
      <w:r w:rsidR="009C1633">
        <w:rPr>
          <w:rFonts w:ascii="Arial" w:hAnsi="Arial" w:cs="Arial"/>
        </w:rPr>
        <w:t xml:space="preserve">consistent with the </w:t>
      </w:r>
      <w:r w:rsidR="00317464">
        <w:rPr>
          <w:rFonts w:ascii="Arial" w:hAnsi="Arial" w:cs="Arial"/>
        </w:rPr>
        <w:t xml:space="preserve">FTS </w:t>
      </w:r>
      <w:r w:rsidR="009C1633">
        <w:rPr>
          <w:rFonts w:ascii="Arial" w:hAnsi="Arial" w:cs="Arial"/>
        </w:rPr>
        <w:t xml:space="preserve">guidance, </w:t>
      </w:r>
      <w:r w:rsidR="00E1585A">
        <w:rPr>
          <w:rFonts w:ascii="Arial" w:hAnsi="Arial" w:cs="Arial"/>
        </w:rPr>
        <w:t>states</w:t>
      </w:r>
      <w:r w:rsidR="0084442C">
        <w:rPr>
          <w:rFonts w:ascii="Arial" w:hAnsi="Arial" w:cs="Arial"/>
        </w:rPr>
        <w:t xml:space="preserve"> </w:t>
      </w:r>
      <w:r w:rsidR="00C47715">
        <w:rPr>
          <w:rFonts w:ascii="Arial" w:hAnsi="Arial" w:cs="Arial"/>
        </w:rPr>
        <w:t>“</w:t>
      </w:r>
      <w:r w:rsidR="00281EF5" w:rsidRPr="00281EF5">
        <w:rPr>
          <w:rFonts w:ascii="Arial" w:hAnsi="Arial" w:cs="Arial"/>
        </w:rPr>
        <w:t>Date of conclusion of the contract: 9 December 2024</w:t>
      </w:r>
      <w:r w:rsidR="00C47715">
        <w:rPr>
          <w:rFonts w:ascii="Arial" w:hAnsi="Arial" w:cs="Arial"/>
        </w:rPr>
        <w:t>”</w:t>
      </w:r>
      <w:r w:rsidR="00BE12C8">
        <w:rPr>
          <w:rFonts w:ascii="Arial" w:hAnsi="Arial" w:cs="Arial"/>
        </w:rPr>
        <w:t xml:space="preserve">. </w:t>
      </w:r>
      <w:r w:rsidR="008B1534">
        <w:rPr>
          <w:rFonts w:ascii="Arial" w:hAnsi="Arial" w:cs="Arial"/>
        </w:rPr>
        <w:t xml:space="preserve">The Panel also notes that </w:t>
      </w:r>
      <w:r w:rsidR="00AE5B62">
        <w:rPr>
          <w:rFonts w:ascii="Arial" w:hAnsi="Arial" w:cs="Arial"/>
        </w:rPr>
        <w:t>the 10</w:t>
      </w:r>
      <w:r w:rsidR="009C1633">
        <w:rPr>
          <w:rFonts w:ascii="Arial" w:hAnsi="Arial" w:cs="Arial"/>
        </w:rPr>
        <w:t> </w:t>
      </w:r>
      <w:r w:rsidR="00AE5B62">
        <w:rPr>
          <w:rFonts w:ascii="Arial" w:hAnsi="Arial" w:cs="Arial"/>
        </w:rPr>
        <w:t xml:space="preserve">December notice </w:t>
      </w:r>
      <w:r w:rsidR="0062385C">
        <w:rPr>
          <w:rFonts w:ascii="Arial" w:hAnsi="Arial" w:cs="Arial"/>
        </w:rPr>
        <w:t xml:space="preserve">includes four statements </w:t>
      </w:r>
      <w:r w:rsidR="00E2438B">
        <w:rPr>
          <w:rFonts w:ascii="Arial" w:hAnsi="Arial" w:cs="Arial"/>
        </w:rPr>
        <w:t>t</w:t>
      </w:r>
      <w:r w:rsidR="00BB754D">
        <w:rPr>
          <w:rFonts w:ascii="Arial" w:hAnsi="Arial" w:cs="Arial"/>
        </w:rPr>
        <w:t xml:space="preserve">o the effect that the notice is an </w:t>
      </w:r>
      <w:r w:rsidR="0000004C">
        <w:rPr>
          <w:rFonts w:ascii="Arial" w:hAnsi="Arial" w:cs="Arial"/>
        </w:rPr>
        <w:t xml:space="preserve">Intention to Award notification. This includes </w:t>
      </w:r>
      <w:r w:rsidR="00087F58">
        <w:rPr>
          <w:rFonts w:ascii="Arial" w:hAnsi="Arial" w:cs="Arial"/>
        </w:rPr>
        <w:t xml:space="preserve">at least one statement, in caps, </w:t>
      </w:r>
      <w:r w:rsidR="00FF339E">
        <w:rPr>
          <w:rFonts w:ascii="Arial" w:hAnsi="Arial" w:cs="Arial"/>
        </w:rPr>
        <w:t>stating “THIS IS AN INTENTION TO AWARD NOTIFICATION”.</w:t>
      </w:r>
    </w:p>
    <w:p w14:paraId="22A780DC" w14:textId="614E4A8E" w:rsidR="00F01361" w:rsidRDefault="00FF339E" w:rsidP="005E1A4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considers that </w:t>
      </w:r>
      <w:r w:rsidR="00F01361">
        <w:rPr>
          <w:rFonts w:ascii="Arial" w:hAnsi="Arial" w:cs="Arial"/>
        </w:rPr>
        <w:t xml:space="preserve">it is sub-optimal that notices specific to the requirements of the PSR regulations are not available on FTS. However, it </w:t>
      </w:r>
      <w:r w:rsidR="00C22D93">
        <w:rPr>
          <w:rFonts w:ascii="Arial" w:hAnsi="Arial" w:cs="Arial"/>
        </w:rPr>
        <w:t xml:space="preserve">also considers that the current workaround arrangements are adequate for the purposes of ensuring that </w:t>
      </w:r>
      <w:r w:rsidR="00AA16FD">
        <w:rPr>
          <w:rFonts w:ascii="Arial" w:hAnsi="Arial" w:cs="Arial"/>
        </w:rPr>
        <w:t xml:space="preserve">commissioners are able to meet their obligations under the PSR regulations. As a result, the Panel finds that HNY ICB, when publishing its notice of intention on FTS </w:t>
      </w:r>
      <w:r w:rsidR="00AA16FD">
        <w:rPr>
          <w:rFonts w:ascii="Arial" w:hAnsi="Arial" w:cs="Arial"/>
        </w:rPr>
        <w:lastRenderedPageBreak/>
        <w:t xml:space="preserve">using the </w:t>
      </w:r>
      <w:r w:rsidR="00B61419">
        <w:rPr>
          <w:rFonts w:ascii="Arial" w:hAnsi="Arial" w:cs="Arial"/>
        </w:rPr>
        <w:t xml:space="preserve">FTS </w:t>
      </w:r>
      <w:r w:rsidR="00AA16FD">
        <w:rPr>
          <w:rFonts w:ascii="Arial" w:hAnsi="Arial" w:cs="Arial"/>
        </w:rPr>
        <w:t>contract award notice template, did not breach the PSR regulations</w:t>
      </w:r>
      <w:r w:rsidR="00F14304">
        <w:rPr>
          <w:rFonts w:ascii="Arial" w:hAnsi="Arial" w:cs="Arial"/>
        </w:rPr>
        <w:t xml:space="preserve"> and </w:t>
      </w:r>
      <w:r w:rsidR="00DF33E0">
        <w:rPr>
          <w:rFonts w:ascii="Arial" w:hAnsi="Arial" w:cs="Arial"/>
        </w:rPr>
        <w:t>the notice was valid to start the standstill period under Regulation 12(2</w:t>
      </w:r>
      <w:r w:rsidR="00F14304">
        <w:rPr>
          <w:rFonts w:ascii="Arial" w:hAnsi="Arial" w:cs="Arial"/>
        </w:rPr>
        <w:t>).</w:t>
      </w:r>
    </w:p>
    <w:p w14:paraId="3439E68D" w14:textId="5C6555E0" w:rsidR="009447CE" w:rsidRPr="009447CE" w:rsidRDefault="009447CE" w:rsidP="009447CE">
      <w:pPr>
        <w:keepNext/>
        <w:spacing w:before="240" w:line="276" w:lineRule="auto"/>
        <w:rPr>
          <w:rFonts w:ascii="Arial" w:hAnsi="Arial" w:cs="Arial"/>
          <w:b/>
          <w:bCs/>
        </w:rPr>
      </w:pPr>
      <w:r>
        <w:rPr>
          <w:rFonts w:ascii="Arial" w:hAnsi="Arial" w:cs="Arial"/>
          <w:b/>
          <w:bCs/>
        </w:rPr>
        <w:t>7.2.</w:t>
      </w:r>
      <w:r w:rsidR="002C09EF">
        <w:rPr>
          <w:rFonts w:ascii="Arial" w:hAnsi="Arial" w:cs="Arial"/>
          <w:b/>
          <w:bCs/>
        </w:rPr>
        <w:t>7</w:t>
      </w:r>
      <w:r>
        <w:rPr>
          <w:rFonts w:ascii="Arial" w:hAnsi="Arial" w:cs="Arial"/>
          <w:b/>
          <w:bCs/>
        </w:rPr>
        <w:t xml:space="preserve"> </w:t>
      </w:r>
      <w:r w:rsidR="00D615E6">
        <w:rPr>
          <w:rFonts w:ascii="Arial" w:hAnsi="Arial" w:cs="Arial"/>
          <w:b/>
          <w:bCs/>
        </w:rPr>
        <w:t>Panel c</w:t>
      </w:r>
      <w:r>
        <w:rPr>
          <w:rFonts w:ascii="Arial" w:hAnsi="Arial" w:cs="Arial"/>
          <w:b/>
          <w:bCs/>
        </w:rPr>
        <w:t xml:space="preserve">onclusions on </w:t>
      </w:r>
      <w:r w:rsidR="005F7D5B">
        <w:rPr>
          <w:rFonts w:ascii="Arial" w:hAnsi="Arial" w:cs="Arial"/>
          <w:b/>
          <w:bCs/>
        </w:rPr>
        <w:t>HNY</w:t>
      </w:r>
      <w:r w:rsidR="000A66E4">
        <w:rPr>
          <w:rFonts w:ascii="Arial" w:hAnsi="Arial" w:cs="Arial"/>
          <w:b/>
          <w:bCs/>
        </w:rPr>
        <w:t xml:space="preserve"> ICB</w:t>
      </w:r>
      <w:r w:rsidR="005F7D5B">
        <w:rPr>
          <w:rFonts w:ascii="Arial" w:hAnsi="Arial" w:cs="Arial"/>
          <w:b/>
          <w:bCs/>
        </w:rPr>
        <w:t xml:space="preserve">’s </w:t>
      </w:r>
      <w:r w:rsidR="00DA6762">
        <w:rPr>
          <w:rFonts w:ascii="Arial" w:hAnsi="Arial" w:cs="Arial"/>
          <w:b/>
          <w:bCs/>
        </w:rPr>
        <w:t xml:space="preserve">notice of </w:t>
      </w:r>
      <w:r w:rsidR="005F7D5B">
        <w:rPr>
          <w:rFonts w:ascii="Arial" w:hAnsi="Arial" w:cs="Arial"/>
          <w:b/>
          <w:bCs/>
        </w:rPr>
        <w:t>intention</w:t>
      </w:r>
    </w:p>
    <w:p w14:paraId="6280406D" w14:textId="2B262BE2" w:rsidR="00A74D3F" w:rsidRDefault="00190CC1" w:rsidP="00A84062">
      <w:pPr>
        <w:pStyle w:val="ListParagraph"/>
        <w:numPr>
          <w:ilvl w:val="0"/>
          <w:numId w:val="2"/>
        </w:numPr>
        <w:spacing w:after="120" w:line="276" w:lineRule="auto"/>
        <w:ind w:left="567" w:hanging="567"/>
        <w:rPr>
          <w:rFonts w:ascii="Arial" w:hAnsi="Arial" w:cs="Arial"/>
        </w:rPr>
      </w:pPr>
      <w:r>
        <w:rPr>
          <w:rFonts w:ascii="Arial" w:hAnsi="Arial" w:cs="Arial"/>
        </w:rPr>
        <w:t>T</w:t>
      </w:r>
      <w:r w:rsidR="00A74D3F">
        <w:rPr>
          <w:rFonts w:ascii="Arial" w:hAnsi="Arial" w:cs="Arial"/>
        </w:rPr>
        <w:t>he Panel finds that</w:t>
      </w:r>
      <w:r w:rsidR="000E5674">
        <w:rPr>
          <w:rFonts w:ascii="Arial" w:hAnsi="Arial" w:cs="Arial"/>
        </w:rPr>
        <w:t xml:space="preserve"> HNY ICB breached the PSR regulations </w:t>
      </w:r>
      <w:r w:rsidR="00993C36">
        <w:rPr>
          <w:rFonts w:ascii="Arial" w:hAnsi="Arial" w:cs="Arial"/>
        </w:rPr>
        <w:t xml:space="preserve">in relation to </w:t>
      </w:r>
      <w:r w:rsidR="00D8439C">
        <w:rPr>
          <w:rFonts w:ascii="Arial" w:hAnsi="Arial" w:cs="Arial"/>
        </w:rPr>
        <w:t xml:space="preserve">the </w:t>
      </w:r>
      <w:r w:rsidR="00696F3A">
        <w:rPr>
          <w:rFonts w:ascii="Arial" w:hAnsi="Arial" w:cs="Arial"/>
        </w:rPr>
        <w:t xml:space="preserve">notice of intention published on </w:t>
      </w:r>
      <w:r w:rsidR="00D8439C">
        <w:rPr>
          <w:rFonts w:ascii="Arial" w:hAnsi="Arial" w:cs="Arial"/>
        </w:rPr>
        <w:t xml:space="preserve">10 December 2024 </w:t>
      </w:r>
      <w:r w:rsidR="00993C36">
        <w:rPr>
          <w:rFonts w:ascii="Arial" w:hAnsi="Arial" w:cs="Arial"/>
        </w:rPr>
        <w:t>in three ways:</w:t>
      </w:r>
    </w:p>
    <w:p w14:paraId="372E695D" w14:textId="27BF3414" w:rsidR="00A74D3F" w:rsidRDefault="00190CC1" w:rsidP="00A84062">
      <w:pPr>
        <w:pStyle w:val="ListParagraph"/>
        <w:numPr>
          <w:ilvl w:val="0"/>
          <w:numId w:val="13"/>
        </w:numPr>
        <w:spacing w:after="120" w:line="276" w:lineRule="auto"/>
        <w:ind w:left="1434" w:hanging="357"/>
        <w:rPr>
          <w:rFonts w:ascii="Arial" w:hAnsi="Arial" w:cs="Arial"/>
        </w:rPr>
      </w:pPr>
      <w:r>
        <w:rPr>
          <w:rFonts w:ascii="Arial" w:hAnsi="Arial" w:cs="Arial"/>
        </w:rPr>
        <w:t xml:space="preserve">first, </w:t>
      </w:r>
      <w:r w:rsidR="002C09EF">
        <w:rPr>
          <w:rFonts w:ascii="Arial" w:hAnsi="Arial" w:cs="Arial"/>
        </w:rPr>
        <w:t>by not including full address</w:t>
      </w:r>
      <w:r w:rsidR="0020386B">
        <w:rPr>
          <w:rFonts w:ascii="Arial" w:hAnsi="Arial" w:cs="Arial"/>
        </w:rPr>
        <w:t xml:space="preserve">es of the </w:t>
      </w:r>
      <w:r w:rsidR="003B3442">
        <w:rPr>
          <w:rFonts w:ascii="Arial" w:hAnsi="Arial" w:cs="Arial"/>
        </w:rPr>
        <w:t>successful bidders</w:t>
      </w:r>
      <w:r w:rsidR="00DF17F8">
        <w:rPr>
          <w:rFonts w:ascii="Arial" w:hAnsi="Arial" w:cs="Arial"/>
        </w:rPr>
        <w:t xml:space="preserve"> (contrary to the requirements of </w:t>
      </w:r>
      <w:r w:rsidR="002C09EF">
        <w:rPr>
          <w:rFonts w:ascii="Arial" w:hAnsi="Arial" w:cs="Arial"/>
        </w:rPr>
        <w:t>Regulation 11(10) and Schedule 10</w:t>
      </w:r>
      <w:r w:rsidR="00DF17F8">
        <w:rPr>
          <w:rFonts w:ascii="Arial" w:hAnsi="Arial" w:cs="Arial"/>
        </w:rPr>
        <w:t>)</w:t>
      </w:r>
      <w:r w:rsidR="00004977">
        <w:rPr>
          <w:rFonts w:ascii="Arial" w:hAnsi="Arial" w:cs="Arial"/>
        </w:rPr>
        <w:t>;</w:t>
      </w:r>
    </w:p>
    <w:p w14:paraId="11C296AD" w14:textId="4CDD1883" w:rsidR="000E5674" w:rsidRDefault="000C6B87" w:rsidP="00A84062">
      <w:pPr>
        <w:pStyle w:val="ListParagraph"/>
        <w:numPr>
          <w:ilvl w:val="0"/>
          <w:numId w:val="13"/>
        </w:numPr>
        <w:spacing w:after="120" w:line="276" w:lineRule="auto"/>
        <w:ind w:left="1434" w:hanging="357"/>
        <w:rPr>
          <w:rFonts w:ascii="Arial" w:hAnsi="Arial" w:cs="Arial"/>
        </w:rPr>
      </w:pPr>
      <w:r>
        <w:rPr>
          <w:rFonts w:ascii="Arial" w:hAnsi="Arial" w:cs="Arial"/>
        </w:rPr>
        <w:t xml:space="preserve">second, </w:t>
      </w:r>
      <w:r w:rsidR="000E5674">
        <w:rPr>
          <w:rFonts w:ascii="Arial" w:hAnsi="Arial" w:cs="Arial"/>
        </w:rPr>
        <w:t xml:space="preserve">by not including a statement </w:t>
      </w:r>
      <w:r w:rsidR="00EE0F2E">
        <w:rPr>
          <w:rFonts w:ascii="Arial" w:hAnsi="Arial" w:cs="Arial"/>
        </w:rPr>
        <w:t xml:space="preserve">that adequately </w:t>
      </w:r>
      <w:r w:rsidR="000E5674">
        <w:rPr>
          <w:rFonts w:ascii="Arial" w:hAnsi="Arial" w:cs="Arial"/>
        </w:rPr>
        <w:t>explain</w:t>
      </w:r>
      <w:r w:rsidR="00EE0F2E">
        <w:rPr>
          <w:rFonts w:ascii="Arial" w:hAnsi="Arial" w:cs="Arial"/>
        </w:rPr>
        <w:t xml:space="preserve">ed </w:t>
      </w:r>
      <w:r w:rsidR="000E5674">
        <w:rPr>
          <w:rFonts w:ascii="Arial" w:hAnsi="Arial" w:cs="Arial"/>
        </w:rPr>
        <w:t xml:space="preserve">the </w:t>
      </w:r>
      <w:r w:rsidR="00DC6D0A">
        <w:rPr>
          <w:rFonts w:ascii="Arial" w:hAnsi="Arial" w:cs="Arial"/>
        </w:rPr>
        <w:t>ICB’s</w:t>
      </w:r>
      <w:r w:rsidR="000E5674">
        <w:rPr>
          <w:rFonts w:ascii="Arial" w:hAnsi="Arial" w:cs="Arial"/>
        </w:rPr>
        <w:t xml:space="preserve"> reasons for selecting the </w:t>
      </w:r>
      <w:r>
        <w:rPr>
          <w:rFonts w:ascii="Arial" w:hAnsi="Arial" w:cs="Arial"/>
        </w:rPr>
        <w:t xml:space="preserve">successful </w:t>
      </w:r>
      <w:r w:rsidR="0020386B">
        <w:rPr>
          <w:rFonts w:ascii="Arial" w:hAnsi="Arial" w:cs="Arial"/>
        </w:rPr>
        <w:t>bidders</w:t>
      </w:r>
      <w:r w:rsidR="007947EE">
        <w:rPr>
          <w:rFonts w:ascii="Arial" w:hAnsi="Arial" w:cs="Arial"/>
        </w:rPr>
        <w:t xml:space="preserve"> </w:t>
      </w:r>
      <w:r w:rsidR="00DF17F8">
        <w:rPr>
          <w:rFonts w:ascii="Arial" w:hAnsi="Arial" w:cs="Arial"/>
        </w:rPr>
        <w:t>(contrary</w:t>
      </w:r>
      <w:r>
        <w:rPr>
          <w:rFonts w:ascii="Arial" w:hAnsi="Arial" w:cs="Arial"/>
        </w:rPr>
        <w:t xml:space="preserve"> to </w:t>
      </w:r>
      <w:r w:rsidR="000E5674">
        <w:rPr>
          <w:rFonts w:ascii="Arial" w:hAnsi="Arial" w:cs="Arial"/>
        </w:rPr>
        <w:t xml:space="preserve">the requirements </w:t>
      </w:r>
      <w:r w:rsidR="00DF17F8">
        <w:rPr>
          <w:rFonts w:ascii="Arial" w:hAnsi="Arial" w:cs="Arial"/>
        </w:rPr>
        <w:t>of</w:t>
      </w:r>
      <w:r w:rsidR="000E5674">
        <w:rPr>
          <w:rFonts w:ascii="Arial" w:hAnsi="Arial" w:cs="Arial"/>
        </w:rPr>
        <w:t xml:space="preserve"> Regulation 11(10) and Schedule 10</w:t>
      </w:r>
      <w:r w:rsidR="00DF17F8">
        <w:rPr>
          <w:rFonts w:ascii="Arial" w:hAnsi="Arial" w:cs="Arial"/>
        </w:rPr>
        <w:t>)</w:t>
      </w:r>
      <w:r w:rsidR="000E5674">
        <w:rPr>
          <w:rFonts w:ascii="Arial" w:hAnsi="Arial" w:cs="Arial"/>
        </w:rPr>
        <w:t>;</w:t>
      </w:r>
      <w:r w:rsidR="00993C36">
        <w:rPr>
          <w:rFonts w:ascii="Arial" w:hAnsi="Arial" w:cs="Arial"/>
        </w:rPr>
        <w:t xml:space="preserve"> and</w:t>
      </w:r>
    </w:p>
    <w:p w14:paraId="4F86AD98" w14:textId="663B0385" w:rsidR="00AF60B4" w:rsidRDefault="00D95EAE" w:rsidP="000E5674">
      <w:pPr>
        <w:pStyle w:val="ListParagraph"/>
        <w:numPr>
          <w:ilvl w:val="0"/>
          <w:numId w:val="13"/>
        </w:numPr>
        <w:spacing w:line="276" w:lineRule="auto"/>
        <w:ind w:left="1434" w:hanging="357"/>
        <w:contextualSpacing w:val="0"/>
        <w:rPr>
          <w:rFonts w:ascii="Arial" w:hAnsi="Arial" w:cs="Arial"/>
        </w:rPr>
      </w:pPr>
      <w:r>
        <w:rPr>
          <w:rFonts w:ascii="Arial" w:hAnsi="Arial" w:cs="Arial"/>
        </w:rPr>
        <w:t xml:space="preserve">finally, </w:t>
      </w:r>
      <w:r w:rsidR="00AF60B4" w:rsidRPr="00341D87">
        <w:rPr>
          <w:rFonts w:ascii="Arial" w:hAnsi="Arial" w:cs="Arial"/>
        </w:rPr>
        <w:t>by returning to an earlier step in the provider selection process</w:t>
      </w:r>
      <w:r w:rsidR="00AF60B4">
        <w:rPr>
          <w:rFonts w:ascii="Arial" w:hAnsi="Arial" w:cs="Arial"/>
        </w:rPr>
        <w:t>,</w:t>
      </w:r>
      <w:r w:rsidR="00AF60B4" w:rsidRPr="00341D87">
        <w:rPr>
          <w:rFonts w:ascii="Arial" w:hAnsi="Arial" w:cs="Arial"/>
        </w:rPr>
        <w:t xml:space="preserve"> through making a substantive correction to the notice of intention </w:t>
      </w:r>
      <w:r w:rsidR="00AF60B4">
        <w:rPr>
          <w:rFonts w:ascii="Arial" w:hAnsi="Arial" w:cs="Arial"/>
        </w:rPr>
        <w:t xml:space="preserve">via the corrigendum of 7 March 2025, </w:t>
      </w:r>
      <w:r w:rsidR="00AF60B4" w:rsidRPr="00341D87">
        <w:rPr>
          <w:rFonts w:ascii="Arial" w:hAnsi="Arial" w:cs="Arial"/>
        </w:rPr>
        <w:t xml:space="preserve">and not repeating the subsequent steps in the </w:t>
      </w:r>
      <w:r w:rsidR="00AF60B4">
        <w:rPr>
          <w:rFonts w:ascii="Arial" w:hAnsi="Arial" w:cs="Arial"/>
        </w:rPr>
        <w:t xml:space="preserve">provider </w:t>
      </w:r>
      <w:r w:rsidR="00AF60B4" w:rsidRPr="00341D87">
        <w:rPr>
          <w:rFonts w:ascii="Arial" w:hAnsi="Arial" w:cs="Arial"/>
        </w:rPr>
        <w:t>selection process</w:t>
      </w:r>
      <w:r w:rsidR="00AF60B4">
        <w:rPr>
          <w:rFonts w:ascii="Arial" w:hAnsi="Arial" w:cs="Arial"/>
        </w:rPr>
        <w:t xml:space="preserve"> (contrary to the requirements of </w:t>
      </w:r>
      <w:r w:rsidR="00AF60B4" w:rsidRPr="00341D87">
        <w:rPr>
          <w:rFonts w:ascii="Arial" w:hAnsi="Arial" w:cs="Arial"/>
        </w:rPr>
        <w:t>Regulation 12(4)</w:t>
      </w:r>
      <w:r w:rsidR="00AF60B4">
        <w:rPr>
          <w:rFonts w:ascii="Arial" w:hAnsi="Arial" w:cs="Arial"/>
        </w:rPr>
        <w:t>)</w:t>
      </w:r>
      <w:r w:rsidR="007947EE">
        <w:rPr>
          <w:rFonts w:ascii="Arial" w:hAnsi="Arial" w:cs="Arial"/>
        </w:rPr>
        <w:t>.</w:t>
      </w:r>
    </w:p>
    <w:p w14:paraId="4F1CDA3A" w14:textId="4928B2DC" w:rsidR="00993C36" w:rsidRPr="00993C36" w:rsidRDefault="00993C36" w:rsidP="00A84062">
      <w:pPr>
        <w:pStyle w:val="ListParagraph"/>
        <w:numPr>
          <w:ilvl w:val="0"/>
          <w:numId w:val="2"/>
        </w:numPr>
        <w:spacing w:after="120" w:line="276" w:lineRule="auto"/>
        <w:ind w:left="567" w:hanging="567"/>
        <w:rPr>
          <w:rFonts w:ascii="Arial" w:hAnsi="Arial" w:cs="Arial"/>
        </w:rPr>
      </w:pPr>
      <w:r>
        <w:rPr>
          <w:rFonts w:ascii="Arial" w:hAnsi="Arial" w:cs="Arial"/>
        </w:rPr>
        <w:t>The Panel also finds that HNY ICB did not breach the PSR regulations in two other respects:</w:t>
      </w:r>
    </w:p>
    <w:p w14:paraId="59835AA0" w14:textId="6A1FF8EF" w:rsidR="00A74D3F" w:rsidRDefault="00572E26" w:rsidP="00A84062">
      <w:pPr>
        <w:pStyle w:val="ListParagraph"/>
        <w:numPr>
          <w:ilvl w:val="0"/>
          <w:numId w:val="13"/>
        </w:numPr>
        <w:spacing w:after="120" w:line="276" w:lineRule="auto"/>
        <w:ind w:left="1434" w:hanging="357"/>
        <w:rPr>
          <w:rFonts w:ascii="Arial" w:hAnsi="Arial" w:cs="Arial"/>
        </w:rPr>
      </w:pPr>
      <w:r>
        <w:rPr>
          <w:rFonts w:ascii="Arial" w:hAnsi="Arial" w:cs="Arial"/>
        </w:rPr>
        <w:t>by publishing a corrigendum to the notice of intention with an additional CPV code,</w:t>
      </w:r>
      <w:r w:rsidR="002C09EF">
        <w:rPr>
          <w:rFonts w:ascii="Arial" w:hAnsi="Arial" w:cs="Arial"/>
        </w:rPr>
        <w:t xml:space="preserve"> </w:t>
      </w:r>
      <w:r w:rsidR="001E582F">
        <w:rPr>
          <w:rFonts w:ascii="Arial" w:hAnsi="Arial" w:cs="Arial"/>
        </w:rPr>
        <w:t xml:space="preserve">HNY ICB </w:t>
      </w:r>
      <w:r w:rsidR="002C09EF">
        <w:rPr>
          <w:rFonts w:ascii="Arial" w:hAnsi="Arial" w:cs="Arial"/>
        </w:rPr>
        <w:t>did not breach the PSR regulations with respect to its obligation under Regulation 11(10) and Schedule 10 to include the most relevant CPV code in its notice of intention</w:t>
      </w:r>
      <w:r w:rsidR="00004977">
        <w:rPr>
          <w:rFonts w:ascii="Arial" w:hAnsi="Arial" w:cs="Arial"/>
        </w:rPr>
        <w:t>;</w:t>
      </w:r>
      <w:r w:rsidR="001E582F">
        <w:rPr>
          <w:rFonts w:ascii="Arial" w:hAnsi="Arial" w:cs="Arial"/>
        </w:rPr>
        <w:t xml:space="preserve"> and</w:t>
      </w:r>
    </w:p>
    <w:p w14:paraId="12195999" w14:textId="5CFD62CE" w:rsidR="00A74D3F" w:rsidRDefault="00A74D3F" w:rsidP="002C09EF">
      <w:pPr>
        <w:pStyle w:val="ListParagraph"/>
        <w:numPr>
          <w:ilvl w:val="0"/>
          <w:numId w:val="13"/>
        </w:numPr>
        <w:spacing w:line="276" w:lineRule="auto"/>
        <w:ind w:left="1434" w:hanging="357"/>
        <w:contextualSpacing w:val="0"/>
        <w:rPr>
          <w:rFonts w:ascii="Arial" w:hAnsi="Arial" w:cs="Arial"/>
        </w:rPr>
      </w:pPr>
      <w:r>
        <w:rPr>
          <w:rFonts w:ascii="Arial" w:hAnsi="Arial" w:cs="Arial"/>
        </w:rPr>
        <w:t xml:space="preserve">when publishing its notice of intention on FTS using the contract award notice template, </w:t>
      </w:r>
      <w:r w:rsidR="001E582F">
        <w:rPr>
          <w:rFonts w:ascii="Arial" w:hAnsi="Arial" w:cs="Arial"/>
        </w:rPr>
        <w:t xml:space="preserve">HNY ICB </w:t>
      </w:r>
      <w:r>
        <w:rPr>
          <w:rFonts w:ascii="Arial" w:hAnsi="Arial" w:cs="Arial"/>
        </w:rPr>
        <w:t>did not breach the PSR regulations and the notice was valid to start the standstill period under Regulation 12(2)</w:t>
      </w:r>
      <w:r w:rsidR="00004977">
        <w:rPr>
          <w:rFonts w:ascii="Arial" w:hAnsi="Arial" w:cs="Arial"/>
        </w:rPr>
        <w:t>.</w:t>
      </w:r>
    </w:p>
    <w:p w14:paraId="4FB73A0F" w14:textId="355532CE" w:rsidR="00BC240C" w:rsidRPr="00FC2A17" w:rsidRDefault="00B51EDE" w:rsidP="00FC2A17">
      <w:pPr>
        <w:pStyle w:val="Heading2"/>
        <w:numPr>
          <w:ilvl w:val="1"/>
          <w:numId w:val="1"/>
        </w:numPr>
        <w:spacing w:before="240" w:after="160"/>
        <w:ind w:left="0" w:firstLine="0"/>
        <w:rPr>
          <w:rFonts w:ascii="Arial" w:hAnsi="Arial" w:cs="Arial"/>
          <w:b/>
          <w:color w:val="000000" w:themeColor="text1"/>
          <w:sz w:val="24"/>
          <w:szCs w:val="24"/>
        </w:rPr>
      </w:pPr>
      <w:bookmarkStart w:id="32" w:name="_Toc198745108"/>
      <w:r>
        <w:rPr>
          <w:rFonts w:ascii="Arial" w:hAnsi="Arial" w:cs="Arial"/>
          <w:b/>
          <w:bCs/>
          <w:color w:val="000000" w:themeColor="text1"/>
          <w:sz w:val="24"/>
          <w:szCs w:val="24"/>
        </w:rPr>
        <w:t xml:space="preserve">HNY ICB’s </w:t>
      </w:r>
      <w:r w:rsidR="00595DE5">
        <w:rPr>
          <w:rFonts w:ascii="Arial" w:hAnsi="Arial" w:cs="Arial"/>
          <w:b/>
          <w:bCs/>
          <w:color w:val="000000" w:themeColor="text1"/>
          <w:sz w:val="24"/>
          <w:szCs w:val="24"/>
        </w:rPr>
        <w:t xml:space="preserve">response </w:t>
      </w:r>
      <w:r>
        <w:rPr>
          <w:rFonts w:ascii="Arial" w:hAnsi="Arial" w:cs="Arial"/>
          <w:b/>
          <w:bCs/>
          <w:color w:val="000000" w:themeColor="text1"/>
          <w:sz w:val="24"/>
          <w:szCs w:val="24"/>
        </w:rPr>
        <w:t>to Barkhill</w:t>
      </w:r>
      <w:r w:rsidR="00595DE5">
        <w:rPr>
          <w:rFonts w:ascii="Arial" w:hAnsi="Arial" w:cs="Arial"/>
          <w:b/>
          <w:bCs/>
          <w:color w:val="000000" w:themeColor="text1"/>
          <w:sz w:val="24"/>
          <w:szCs w:val="24"/>
        </w:rPr>
        <w:t>’s information request</w:t>
      </w:r>
      <w:bookmarkEnd w:id="32"/>
    </w:p>
    <w:p w14:paraId="48951A1E" w14:textId="77777777" w:rsidR="00E145E2" w:rsidRDefault="00B064E7" w:rsidP="00B20330">
      <w:pPr>
        <w:pStyle w:val="ListParagraph"/>
        <w:numPr>
          <w:ilvl w:val="0"/>
          <w:numId w:val="2"/>
        </w:numPr>
        <w:spacing w:after="120" w:line="276" w:lineRule="auto"/>
        <w:ind w:left="567" w:hanging="567"/>
        <w:contextualSpacing w:val="0"/>
        <w:rPr>
          <w:rFonts w:ascii="Arial" w:hAnsi="Arial" w:cs="Arial"/>
        </w:rPr>
      </w:pPr>
      <w:bookmarkStart w:id="33" w:name="_Ref198307729"/>
      <w:bookmarkStart w:id="34" w:name="_Ref195711320"/>
      <w:r>
        <w:rPr>
          <w:rFonts w:ascii="Arial" w:hAnsi="Arial" w:cs="Arial"/>
        </w:rPr>
        <w:t>Barkhill</w:t>
      </w:r>
      <w:r w:rsidR="00683CA1">
        <w:rPr>
          <w:rFonts w:ascii="Arial" w:hAnsi="Arial" w:cs="Arial"/>
        </w:rPr>
        <w:t xml:space="preserve">, in making </w:t>
      </w:r>
      <w:r w:rsidRPr="00616A57">
        <w:rPr>
          <w:rFonts w:ascii="Arial" w:hAnsi="Arial" w:cs="Arial"/>
        </w:rPr>
        <w:t xml:space="preserve">its representations to </w:t>
      </w:r>
      <w:r>
        <w:rPr>
          <w:rFonts w:ascii="Arial" w:hAnsi="Arial" w:cs="Arial"/>
        </w:rPr>
        <w:t xml:space="preserve">HNY </w:t>
      </w:r>
      <w:r w:rsidRPr="00616A57">
        <w:rPr>
          <w:rFonts w:ascii="Arial" w:hAnsi="Arial" w:cs="Arial"/>
        </w:rPr>
        <w:t>ICB</w:t>
      </w:r>
      <w:r w:rsidR="00874F8E">
        <w:rPr>
          <w:rFonts w:ascii="Arial" w:hAnsi="Arial" w:cs="Arial"/>
        </w:rPr>
        <w:t xml:space="preserve"> on 23 December 2024</w:t>
      </w:r>
      <w:r w:rsidRPr="00616A57">
        <w:rPr>
          <w:rFonts w:ascii="Arial" w:hAnsi="Arial" w:cs="Arial"/>
        </w:rPr>
        <w:t xml:space="preserve">, </w:t>
      </w:r>
      <w:r w:rsidR="00683CA1">
        <w:rPr>
          <w:rFonts w:ascii="Arial" w:hAnsi="Arial" w:cs="Arial"/>
        </w:rPr>
        <w:t>said</w:t>
      </w:r>
      <w:r w:rsidR="00E145E2">
        <w:rPr>
          <w:rFonts w:ascii="Arial" w:hAnsi="Arial" w:cs="Arial"/>
        </w:rPr>
        <w:t>:</w:t>
      </w:r>
      <w:bookmarkEnd w:id="33"/>
    </w:p>
    <w:p w14:paraId="25ECDE5F" w14:textId="7DFF9E7F" w:rsidR="00B064E7" w:rsidRPr="00B20330" w:rsidRDefault="00683CA1" w:rsidP="00B20330">
      <w:pPr>
        <w:pStyle w:val="ListParagraph"/>
        <w:spacing w:line="276" w:lineRule="auto"/>
        <w:ind w:left="851"/>
        <w:rPr>
          <w:rFonts w:ascii="Arial" w:hAnsi="Arial" w:cs="Arial"/>
          <w:sz w:val="21"/>
          <w:szCs w:val="21"/>
        </w:rPr>
      </w:pPr>
      <w:r w:rsidRPr="00B20330">
        <w:rPr>
          <w:rFonts w:ascii="Arial" w:hAnsi="Arial" w:cs="Arial"/>
          <w:sz w:val="21"/>
          <w:szCs w:val="21"/>
        </w:rPr>
        <w:t>“we note that you are required to keep records in relation to the Procurement pursuant to regulation 24 PSR23, including</w:t>
      </w:r>
      <w:r w:rsidR="00B064E7" w:rsidRPr="00B20330">
        <w:rPr>
          <w:rFonts w:ascii="Arial" w:hAnsi="Arial" w:cs="Arial"/>
          <w:sz w:val="21"/>
          <w:szCs w:val="21"/>
        </w:rPr>
        <w:t>:</w:t>
      </w:r>
      <w:bookmarkEnd w:id="34"/>
    </w:p>
    <w:p w14:paraId="0B1BAF77" w14:textId="77777777" w:rsidR="00B064E7" w:rsidRPr="00B20330" w:rsidRDefault="00B064E7" w:rsidP="00B20330">
      <w:pPr>
        <w:pStyle w:val="ListParagraph"/>
        <w:numPr>
          <w:ilvl w:val="0"/>
          <w:numId w:val="7"/>
        </w:numPr>
        <w:spacing w:line="276" w:lineRule="auto"/>
        <w:ind w:left="1701"/>
        <w:rPr>
          <w:rFonts w:ascii="Arial" w:hAnsi="Arial" w:cs="Arial"/>
          <w:sz w:val="21"/>
          <w:szCs w:val="21"/>
        </w:rPr>
      </w:pPr>
      <w:r w:rsidRPr="00B20330">
        <w:rPr>
          <w:rFonts w:ascii="Arial" w:hAnsi="Arial" w:cs="Arial"/>
          <w:sz w:val="21"/>
          <w:szCs w:val="21"/>
        </w:rPr>
        <w:t>a record of the decision-making process followed, pursuant to regulation 24(d);</w:t>
      </w:r>
    </w:p>
    <w:p w14:paraId="4027309D" w14:textId="77777777" w:rsidR="00B064E7" w:rsidRPr="00B20330" w:rsidRDefault="00B064E7" w:rsidP="00B20330">
      <w:pPr>
        <w:pStyle w:val="ListParagraph"/>
        <w:numPr>
          <w:ilvl w:val="0"/>
          <w:numId w:val="7"/>
        </w:numPr>
        <w:spacing w:line="276" w:lineRule="auto"/>
        <w:ind w:left="1701"/>
        <w:rPr>
          <w:rFonts w:ascii="Arial" w:hAnsi="Arial" w:cs="Arial"/>
          <w:sz w:val="21"/>
          <w:szCs w:val="21"/>
        </w:rPr>
      </w:pPr>
      <w:r w:rsidRPr="00B20330">
        <w:rPr>
          <w:rFonts w:ascii="Arial" w:hAnsi="Arial" w:cs="Arial"/>
          <w:sz w:val="21"/>
          <w:szCs w:val="21"/>
        </w:rPr>
        <w:t>records of the identity of the evaluators, pursuant to regulation 24(d);</w:t>
      </w:r>
    </w:p>
    <w:p w14:paraId="3A80BC58" w14:textId="03C24BE1" w:rsidR="00B064E7" w:rsidRPr="00B20330" w:rsidRDefault="00B064E7" w:rsidP="00B20330">
      <w:pPr>
        <w:pStyle w:val="ListParagraph"/>
        <w:numPr>
          <w:ilvl w:val="0"/>
          <w:numId w:val="7"/>
        </w:numPr>
        <w:spacing w:line="276" w:lineRule="auto"/>
        <w:ind w:left="1701"/>
        <w:rPr>
          <w:rFonts w:ascii="Arial" w:hAnsi="Arial" w:cs="Arial"/>
          <w:sz w:val="21"/>
          <w:szCs w:val="21"/>
        </w:rPr>
      </w:pPr>
      <w:r w:rsidRPr="00B20330">
        <w:rPr>
          <w:rFonts w:ascii="Arial" w:hAnsi="Arial" w:cs="Arial"/>
          <w:sz w:val="21"/>
          <w:szCs w:val="21"/>
        </w:rPr>
        <w:t>a description of the way in which the key criteria were taken into account, the basic selection criteria were assessed and contract or framework award criteria were evaluated, pursuant to regulation 24(f);</w:t>
      </w:r>
    </w:p>
    <w:p w14:paraId="77C6567B" w14:textId="371664CB" w:rsidR="00B064E7" w:rsidRPr="00B20330" w:rsidRDefault="00A3674D" w:rsidP="00B20330">
      <w:pPr>
        <w:pStyle w:val="ListParagraph"/>
        <w:numPr>
          <w:ilvl w:val="0"/>
          <w:numId w:val="7"/>
        </w:numPr>
        <w:spacing w:line="276" w:lineRule="auto"/>
        <w:ind w:left="1701"/>
        <w:rPr>
          <w:rFonts w:ascii="Arial" w:hAnsi="Arial" w:cs="Arial"/>
          <w:sz w:val="21"/>
          <w:szCs w:val="21"/>
        </w:rPr>
      </w:pPr>
      <w:r w:rsidRPr="00B20330">
        <w:rPr>
          <w:rFonts w:ascii="Arial" w:hAnsi="Arial" w:cs="Arial"/>
          <w:sz w:val="21"/>
          <w:szCs w:val="21"/>
        </w:rPr>
        <w:t>‘</w:t>
      </w:r>
      <w:r w:rsidR="00B064E7" w:rsidRPr="00B20330">
        <w:rPr>
          <w:rFonts w:ascii="Arial" w:hAnsi="Arial" w:cs="Arial"/>
          <w:sz w:val="21"/>
          <w:szCs w:val="21"/>
        </w:rPr>
        <w:t>the reasons for’ the decision to award the contract for Lots 11 and 12 to Haricovert, pursuant to regulation 24(g); and</w:t>
      </w:r>
    </w:p>
    <w:p w14:paraId="0EF096B6" w14:textId="2E5E3B3A" w:rsidR="00B064E7" w:rsidRPr="00B20330" w:rsidRDefault="00B064E7" w:rsidP="00B20330">
      <w:pPr>
        <w:pStyle w:val="ListParagraph"/>
        <w:numPr>
          <w:ilvl w:val="0"/>
          <w:numId w:val="7"/>
        </w:numPr>
        <w:spacing w:line="276" w:lineRule="auto"/>
        <w:ind w:left="1701" w:hanging="357"/>
        <w:contextualSpacing w:val="0"/>
        <w:rPr>
          <w:rFonts w:ascii="Arial" w:hAnsi="Arial" w:cs="Arial"/>
          <w:sz w:val="21"/>
          <w:szCs w:val="21"/>
        </w:rPr>
      </w:pPr>
      <w:r w:rsidRPr="00B20330">
        <w:rPr>
          <w:rFonts w:ascii="Arial" w:hAnsi="Arial" w:cs="Arial"/>
          <w:sz w:val="21"/>
          <w:szCs w:val="21"/>
        </w:rPr>
        <w:t>information in relation to conflicts of interest, as referred to in regulation 24(h) and (i)</w:t>
      </w:r>
      <w:r w:rsidR="000D00BA" w:rsidRPr="00B20330">
        <w:rPr>
          <w:rFonts w:ascii="Arial" w:hAnsi="Arial" w:cs="Arial"/>
          <w:sz w:val="21"/>
          <w:szCs w:val="21"/>
        </w:rPr>
        <w:t>”</w:t>
      </w:r>
      <w:r w:rsidRPr="00B20330">
        <w:rPr>
          <w:rFonts w:ascii="Arial" w:hAnsi="Arial" w:cs="Arial"/>
          <w:sz w:val="21"/>
          <w:szCs w:val="21"/>
        </w:rPr>
        <w:t>.</w:t>
      </w:r>
      <w:r w:rsidRPr="00B20330">
        <w:rPr>
          <w:rStyle w:val="FootnoteReference"/>
          <w:rFonts w:ascii="Arial" w:hAnsi="Arial" w:cs="Arial"/>
          <w:sz w:val="21"/>
          <w:szCs w:val="21"/>
        </w:rPr>
        <w:footnoteReference w:id="37"/>
      </w:r>
    </w:p>
    <w:p w14:paraId="500C23EC" w14:textId="77777777" w:rsidR="00E145E2" w:rsidRDefault="00436000" w:rsidP="00B20330">
      <w:pPr>
        <w:pStyle w:val="ListParagraph"/>
        <w:numPr>
          <w:ilvl w:val="0"/>
          <w:numId w:val="2"/>
        </w:numPr>
        <w:spacing w:after="120" w:line="276" w:lineRule="auto"/>
        <w:ind w:left="567" w:hanging="567"/>
        <w:contextualSpacing w:val="0"/>
        <w:rPr>
          <w:rFonts w:ascii="Arial" w:hAnsi="Arial" w:cs="Arial"/>
        </w:rPr>
      </w:pPr>
      <w:bookmarkStart w:id="35" w:name="_Ref197089550"/>
      <w:r>
        <w:rPr>
          <w:rFonts w:ascii="Arial" w:hAnsi="Arial" w:cs="Arial"/>
        </w:rPr>
        <w:t xml:space="preserve">Barkhill </w:t>
      </w:r>
      <w:r w:rsidR="008F553B">
        <w:rPr>
          <w:rFonts w:ascii="Arial" w:hAnsi="Arial" w:cs="Arial"/>
        </w:rPr>
        <w:t>continued</w:t>
      </w:r>
      <w:r w:rsidR="00E145E2">
        <w:rPr>
          <w:rFonts w:ascii="Arial" w:hAnsi="Arial" w:cs="Arial"/>
        </w:rPr>
        <w:t>:</w:t>
      </w:r>
    </w:p>
    <w:p w14:paraId="201D6302" w14:textId="029C0036" w:rsidR="000D00BA" w:rsidRPr="00B20330" w:rsidRDefault="008F553B" w:rsidP="00B20330">
      <w:pPr>
        <w:pStyle w:val="ListParagraph"/>
        <w:spacing w:line="276" w:lineRule="auto"/>
        <w:ind w:left="851"/>
        <w:contextualSpacing w:val="0"/>
        <w:rPr>
          <w:rFonts w:ascii="Arial" w:hAnsi="Arial" w:cs="Arial"/>
          <w:sz w:val="21"/>
          <w:szCs w:val="21"/>
        </w:rPr>
      </w:pPr>
      <w:r w:rsidRPr="00B20330">
        <w:rPr>
          <w:rFonts w:ascii="Arial" w:hAnsi="Arial" w:cs="Arial"/>
          <w:sz w:val="21"/>
          <w:szCs w:val="21"/>
        </w:rPr>
        <w:t xml:space="preserve">“we note that you are also now required to provide that information to </w:t>
      </w:r>
      <w:r w:rsidR="00DC7F81">
        <w:rPr>
          <w:rFonts w:ascii="Arial" w:hAnsi="Arial" w:cs="Arial"/>
          <w:sz w:val="21"/>
          <w:szCs w:val="21"/>
        </w:rPr>
        <w:t>Barkhill</w:t>
      </w:r>
      <w:r w:rsidRPr="00B20330">
        <w:rPr>
          <w:rFonts w:ascii="Arial" w:hAnsi="Arial" w:cs="Arial"/>
          <w:sz w:val="21"/>
          <w:szCs w:val="21"/>
        </w:rPr>
        <w:t xml:space="preserve"> promptly on request, pursuant to regulation 12(4)(b) PSR23. We therefore ask that: </w:t>
      </w:r>
      <w:r w:rsidR="001942A3" w:rsidRPr="00B20330">
        <w:rPr>
          <w:rFonts w:ascii="Arial" w:hAnsi="Arial" w:cs="Arial"/>
          <w:sz w:val="21"/>
          <w:szCs w:val="21"/>
        </w:rPr>
        <w:t xml:space="preserve">(a) you provide all the information described … above at this stage; … </w:t>
      </w:r>
      <w:r w:rsidR="00242DC0" w:rsidRPr="00B20330">
        <w:rPr>
          <w:rFonts w:ascii="Arial" w:hAnsi="Arial" w:cs="Arial"/>
          <w:sz w:val="21"/>
          <w:szCs w:val="21"/>
        </w:rPr>
        <w:t xml:space="preserve">and </w:t>
      </w:r>
      <w:r w:rsidR="001942A3" w:rsidRPr="00B20330">
        <w:rPr>
          <w:rFonts w:ascii="Arial" w:hAnsi="Arial" w:cs="Arial"/>
          <w:sz w:val="21"/>
          <w:szCs w:val="21"/>
        </w:rPr>
        <w:t>(c) as part of the records of the decision-making process followed, and/or as part of the reasons for the award decision, you provide any notes taken by individual evaluators</w:t>
      </w:r>
      <w:r w:rsidR="000A4977" w:rsidRPr="00B20330">
        <w:rPr>
          <w:rFonts w:ascii="Arial" w:hAnsi="Arial" w:cs="Arial"/>
          <w:sz w:val="21"/>
          <w:szCs w:val="21"/>
        </w:rPr>
        <w:t xml:space="preserve">, and any notes </w:t>
      </w:r>
      <w:r w:rsidR="000A4977" w:rsidRPr="00B20330">
        <w:rPr>
          <w:rFonts w:ascii="Arial" w:hAnsi="Arial" w:cs="Arial"/>
          <w:sz w:val="21"/>
          <w:szCs w:val="21"/>
        </w:rPr>
        <w:lastRenderedPageBreak/>
        <w:t xml:space="preserve">taken of any discussion between evaluators, which were made for the purposes or in the context of deciding on the grades to be awarded in respect of </w:t>
      </w:r>
      <w:r w:rsidR="00DC7F81">
        <w:rPr>
          <w:rFonts w:ascii="Arial" w:hAnsi="Arial" w:cs="Arial"/>
          <w:sz w:val="21"/>
          <w:szCs w:val="21"/>
        </w:rPr>
        <w:t>Barkhill</w:t>
      </w:r>
      <w:r w:rsidR="000A4977" w:rsidRPr="00B20330">
        <w:rPr>
          <w:rFonts w:ascii="Arial" w:hAnsi="Arial" w:cs="Arial"/>
          <w:sz w:val="21"/>
          <w:szCs w:val="21"/>
        </w:rPr>
        <w:t>’s and Haricovert’s answers”.</w:t>
      </w:r>
      <w:r w:rsidR="00B178A6" w:rsidRPr="00B20330">
        <w:rPr>
          <w:rStyle w:val="FootnoteReference"/>
          <w:rFonts w:ascii="Arial" w:hAnsi="Arial" w:cs="Arial"/>
          <w:sz w:val="21"/>
          <w:szCs w:val="21"/>
        </w:rPr>
        <w:footnoteReference w:id="38"/>
      </w:r>
      <w:bookmarkEnd w:id="35"/>
    </w:p>
    <w:p w14:paraId="1C57DE3E" w14:textId="4161BB6C" w:rsidR="007C305E" w:rsidRDefault="0095728E" w:rsidP="00B20330">
      <w:pPr>
        <w:pStyle w:val="ListParagraph"/>
        <w:numPr>
          <w:ilvl w:val="0"/>
          <w:numId w:val="2"/>
        </w:numPr>
        <w:spacing w:after="120" w:line="276" w:lineRule="auto"/>
        <w:ind w:left="567" w:hanging="567"/>
        <w:contextualSpacing w:val="0"/>
        <w:rPr>
          <w:rFonts w:ascii="Arial" w:hAnsi="Arial" w:cs="Arial"/>
        </w:rPr>
      </w:pPr>
      <w:bookmarkStart w:id="36" w:name="_Ref198307763"/>
      <w:bookmarkStart w:id="37" w:name="_Ref197089288"/>
      <w:r>
        <w:rPr>
          <w:rFonts w:ascii="Arial" w:hAnsi="Arial" w:cs="Arial"/>
        </w:rPr>
        <w:t>HNY ICB responded to Barkhill’s information request o</w:t>
      </w:r>
      <w:r w:rsidR="00B178A6">
        <w:rPr>
          <w:rFonts w:ascii="Arial" w:hAnsi="Arial" w:cs="Arial"/>
        </w:rPr>
        <w:t xml:space="preserve">n 4 March 2025 in its letter </w:t>
      </w:r>
      <w:r w:rsidR="008933F8">
        <w:rPr>
          <w:rFonts w:ascii="Arial" w:hAnsi="Arial" w:cs="Arial"/>
        </w:rPr>
        <w:t xml:space="preserve">setting out </w:t>
      </w:r>
      <w:r w:rsidR="00B178A6">
        <w:rPr>
          <w:rFonts w:ascii="Arial" w:hAnsi="Arial" w:cs="Arial"/>
        </w:rPr>
        <w:t xml:space="preserve">its further decision </w:t>
      </w:r>
      <w:r>
        <w:rPr>
          <w:rFonts w:ascii="Arial" w:hAnsi="Arial" w:cs="Arial"/>
        </w:rPr>
        <w:t>on the provider selection process</w:t>
      </w:r>
      <w:r w:rsidR="00B178A6">
        <w:rPr>
          <w:rFonts w:ascii="Arial" w:hAnsi="Arial" w:cs="Arial"/>
        </w:rPr>
        <w:t>. HNY</w:t>
      </w:r>
      <w:r w:rsidR="00B178A6" w:rsidRPr="00616A57">
        <w:rPr>
          <w:rFonts w:ascii="Arial" w:hAnsi="Arial" w:cs="Arial"/>
        </w:rPr>
        <w:t xml:space="preserve"> ICB told Barkhill that</w:t>
      </w:r>
      <w:r w:rsidR="007C305E">
        <w:rPr>
          <w:rFonts w:ascii="Arial" w:hAnsi="Arial" w:cs="Arial"/>
        </w:rPr>
        <w:t>:</w:t>
      </w:r>
      <w:bookmarkEnd w:id="36"/>
    </w:p>
    <w:p w14:paraId="6B7DD347" w14:textId="047BCC43" w:rsidR="00B178A6" w:rsidRPr="00B20330" w:rsidRDefault="00B178A6" w:rsidP="00B20330">
      <w:pPr>
        <w:pStyle w:val="ListParagraph"/>
        <w:spacing w:line="276" w:lineRule="auto"/>
        <w:ind w:left="851"/>
        <w:contextualSpacing w:val="0"/>
        <w:rPr>
          <w:rFonts w:ascii="Arial" w:hAnsi="Arial" w:cs="Arial"/>
          <w:sz w:val="21"/>
          <w:szCs w:val="21"/>
        </w:rPr>
      </w:pPr>
      <w:r w:rsidRPr="00B20330">
        <w:rPr>
          <w:rFonts w:ascii="Arial" w:hAnsi="Arial" w:cs="Arial"/>
          <w:sz w:val="21"/>
          <w:szCs w:val="21"/>
        </w:rPr>
        <w:t>“we consider that the information you request … has already been provided in the Intention to Award notice, the standstill letter, and the published provider response document, except for the records of the identity of the evaluators. We consider that regulation 24 and regulation 12 require us to record and disclose the ‘identity of individuals making decisions’, and that individual evaluators are not the decision makers in this process. The decision makers for the lots you have raised representations about were the Director for Strategy and Partnerships, West Yorkshire ICB, and the Assistant Director of Contracting, West Yorkshire ICB".</w:t>
      </w:r>
      <w:r w:rsidRPr="00B20330">
        <w:rPr>
          <w:rStyle w:val="FootnoteReference"/>
          <w:rFonts w:ascii="Arial" w:hAnsi="Arial" w:cs="Arial"/>
          <w:sz w:val="21"/>
          <w:szCs w:val="21"/>
        </w:rPr>
        <w:footnoteReference w:id="39"/>
      </w:r>
      <w:bookmarkEnd w:id="37"/>
    </w:p>
    <w:p w14:paraId="4C4E1C18" w14:textId="40E73CAF" w:rsidR="007A648E" w:rsidRDefault="007A648E" w:rsidP="00BC240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Barkhill, in its representations to the Panel, said that </w:t>
      </w:r>
      <w:r w:rsidR="00273D18">
        <w:rPr>
          <w:rFonts w:ascii="Arial" w:hAnsi="Arial" w:cs="Arial"/>
        </w:rPr>
        <w:t>th</w:t>
      </w:r>
      <w:r w:rsidR="00596A9B">
        <w:rPr>
          <w:rFonts w:ascii="Arial" w:hAnsi="Arial" w:cs="Arial"/>
        </w:rPr>
        <w:t>e ICB’s</w:t>
      </w:r>
      <w:r w:rsidR="00273D18">
        <w:rPr>
          <w:rFonts w:ascii="Arial" w:hAnsi="Arial" w:cs="Arial"/>
        </w:rPr>
        <w:t xml:space="preserve"> response did not </w:t>
      </w:r>
      <w:r w:rsidR="008636A0">
        <w:rPr>
          <w:rFonts w:ascii="Arial" w:hAnsi="Arial" w:cs="Arial"/>
        </w:rPr>
        <w:t xml:space="preserve">satisfy </w:t>
      </w:r>
      <w:r w:rsidR="00273D18">
        <w:rPr>
          <w:rFonts w:ascii="Arial" w:hAnsi="Arial" w:cs="Arial"/>
        </w:rPr>
        <w:t>Barkhill</w:t>
      </w:r>
      <w:r w:rsidR="008636A0">
        <w:rPr>
          <w:rFonts w:ascii="Arial" w:hAnsi="Arial" w:cs="Arial"/>
        </w:rPr>
        <w:t xml:space="preserve"> that it had been provided with the information that it had requested (see paragraph </w:t>
      </w:r>
      <w:r w:rsidR="008C1560">
        <w:rPr>
          <w:rFonts w:ascii="Arial" w:hAnsi="Arial" w:cs="Arial"/>
        </w:rPr>
        <w:t>44</w:t>
      </w:r>
      <w:r w:rsidR="008636A0">
        <w:rPr>
          <w:rFonts w:ascii="Arial" w:hAnsi="Arial" w:cs="Arial"/>
        </w:rPr>
        <w:t>)</w:t>
      </w:r>
      <w:r w:rsidR="00273D18">
        <w:rPr>
          <w:rFonts w:ascii="Arial" w:hAnsi="Arial" w:cs="Arial"/>
        </w:rPr>
        <w:t>.</w:t>
      </w:r>
    </w:p>
    <w:p w14:paraId="69CC2495" w14:textId="7AE9FCAE" w:rsidR="00F34E57" w:rsidRPr="00F4083A" w:rsidRDefault="0085479E" w:rsidP="00265A83">
      <w:pPr>
        <w:pStyle w:val="ListParagraph"/>
        <w:numPr>
          <w:ilvl w:val="0"/>
          <w:numId w:val="2"/>
        </w:numPr>
        <w:spacing w:line="276" w:lineRule="auto"/>
        <w:ind w:left="567" w:hanging="567"/>
        <w:rPr>
          <w:rFonts w:ascii="Arial" w:hAnsi="Arial" w:cs="Arial"/>
        </w:rPr>
      </w:pPr>
      <w:r>
        <w:rPr>
          <w:rFonts w:ascii="Arial" w:hAnsi="Arial" w:cs="Arial"/>
        </w:rPr>
        <w:t>The Panel</w:t>
      </w:r>
      <w:r w:rsidR="00265A83">
        <w:rPr>
          <w:rFonts w:ascii="Arial" w:hAnsi="Arial" w:cs="Arial"/>
        </w:rPr>
        <w:t xml:space="preserve">’s assessment of </w:t>
      </w:r>
      <w:r>
        <w:rPr>
          <w:rFonts w:ascii="Arial" w:hAnsi="Arial" w:cs="Arial"/>
        </w:rPr>
        <w:t xml:space="preserve">HNY ICB’s response to Barkhill’s information request </w:t>
      </w:r>
      <w:r w:rsidR="00265A83">
        <w:rPr>
          <w:rFonts w:ascii="Arial" w:hAnsi="Arial" w:cs="Arial"/>
        </w:rPr>
        <w:t>is set out as follows:</w:t>
      </w:r>
    </w:p>
    <w:p w14:paraId="0F0E9B89" w14:textId="4BB8D7B4" w:rsidR="006F3ABC" w:rsidRDefault="00CE4A5C" w:rsidP="00265A83">
      <w:pPr>
        <w:pStyle w:val="ListParagraph"/>
        <w:numPr>
          <w:ilvl w:val="0"/>
          <w:numId w:val="13"/>
        </w:numPr>
        <w:spacing w:line="276" w:lineRule="auto"/>
        <w:rPr>
          <w:rFonts w:ascii="Arial" w:hAnsi="Arial" w:cs="Arial"/>
        </w:rPr>
      </w:pPr>
      <w:r>
        <w:rPr>
          <w:rFonts w:ascii="Arial" w:hAnsi="Arial" w:cs="Arial"/>
        </w:rPr>
        <w:t>Section 7.3.1 considers</w:t>
      </w:r>
      <w:r w:rsidR="00EE087F">
        <w:rPr>
          <w:rFonts w:ascii="Arial" w:hAnsi="Arial" w:cs="Arial"/>
        </w:rPr>
        <w:t xml:space="preserve"> </w:t>
      </w:r>
      <w:r w:rsidR="003E68A4">
        <w:rPr>
          <w:rFonts w:ascii="Arial" w:hAnsi="Arial" w:cs="Arial"/>
        </w:rPr>
        <w:t xml:space="preserve">HNY ICB’s </w:t>
      </w:r>
      <w:r w:rsidR="003926A3">
        <w:rPr>
          <w:rFonts w:ascii="Arial" w:hAnsi="Arial" w:cs="Arial"/>
        </w:rPr>
        <w:t xml:space="preserve">supply </w:t>
      </w:r>
      <w:r w:rsidR="006F3ABC">
        <w:rPr>
          <w:rFonts w:ascii="Arial" w:hAnsi="Arial" w:cs="Arial"/>
        </w:rPr>
        <w:t>o</w:t>
      </w:r>
      <w:r w:rsidR="005E15E3">
        <w:rPr>
          <w:rFonts w:ascii="Arial" w:hAnsi="Arial" w:cs="Arial"/>
        </w:rPr>
        <w:t>f its records on</w:t>
      </w:r>
      <w:r w:rsidR="0077320B">
        <w:rPr>
          <w:rFonts w:ascii="Arial" w:hAnsi="Arial" w:cs="Arial"/>
        </w:rPr>
        <w:t>: (i)</w:t>
      </w:r>
      <w:r w:rsidR="006F3ABC">
        <w:rPr>
          <w:rFonts w:ascii="Arial" w:hAnsi="Arial" w:cs="Arial"/>
        </w:rPr>
        <w:t xml:space="preserve"> </w:t>
      </w:r>
      <w:r w:rsidR="003926A3">
        <w:rPr>
          <w:rFonts w:ascii="Arial" w:hAnsi="Arial" w:cs="Arial"/>
        </w:rPr>
        <w:t>the</w:t>
      </w:r>
      <w:r w:rsidR="006F3ABC">
        <w:rPr>
          <w:rFonts w:ascii="Arial" w:hAnsi="Arial" w:cs="Arial"/>
        </w:rPr>
        <w:t xml:space="preserve"> decision-making process</w:t>
      </w:r>
      <w:r w:rsidR="0077320B">
        <w:rPr>
          <w:rFonts w:ascii="Arial" w:hAnsi="Arial" w:cs="Arial"/>
        </w:rPr>
        <w:t xml:space="preserve">; (ii) </w:t>
      </w:r>
      <w:r w:rsidR="00B4309F" w:rsidRPr="000E559F">
        <w:rPr>
          <w:rFonts w:ascii="Arial" w:hAnsi="Arial" w:cs="Arial"/>
        </w:rPr>
        <w:t>the way in which the key criteria were taken into account, the basic selection criteria were assessed and contract award criteria were evaluated</w:t>
      </w:r>
      <w:r w:rsidR="00B4309F">
        <w:rPr>
          <w:rFonts w:ascii="Arial" w:hAnsi="Arial" w:cs="Arial"/>
        </w:rPr>
        <w:t xml:space="preserve">; </w:t>
      </w:r>
      <w:r w:rsidR="002109AC">
        <w:rPr>
          <w:rFonts w:ascii="Arial" w:hAnsi="Arial" w:cs="Arial"/>
        </w:rPr>
        <w:t>and (iii) the reasons for the decision to award the contract for Lots 11 and 12 to Haricovert</w:t>
      </w:r>
      <w:r w:rsidR="00DB63C5">
        <w:rPr>
          <w:rFonts w:ascii="Arial" w:hAnsi="Arial" w:cs="Arial"/>
        </w:rPr>
        <w:t>;</w:t>
      </w:r>
    </w:p>
    <w:p w14:paraId="004939E4" w14:textId="44B6CF78" w:rsidR="00DB63C5" w:rsidRDefault="00CE4A5C" w:rsidP="00265A83">
      <w:pPr>
        <w:pStyle w:val="ListParagraph"/>
        <w:numPr>
          <w:ilvl w:val="0"/>
          <w:numId w:val="13"/>
        </w:numPr>
        <w:spacing w:line="276" w:lineRule="auto"/>
        <w:rPr>
          <w:rFonts w:ascii="Arial" w:hAnsi="Arial" w:cs="Arial"/>
        </w:rPr>
      </w:pPr>
      <w:r>
        <w:rPr>
          <w:rFonts w:ascii="Arial" w:hAnsi="Arial" w:cs="Arial"/>
        </w:rPr>
        <w:t>Section 7.3.2 considers</w:t>
      </w:r>
      <w:r w:rsidR="00EE087F">
        <w:rPr>
          <w:rFonts w:ascii="Arial" w:hAnsi="Arial" w:cs="Arial"/>
        </w:rPr>
        <w:t xml:space="preserve"> </w:t>
      </w:r>
      <w:r w:rsidR="003E68A4">
        <w:rPr>
          <w:rFonts w:ascii="Arial" w:hAnsi="Arial" w:cs="Arial"/>
        </w:rPr>
        <w:t xml:space="preserve">HNY ICB’s </w:t>
      </w:r>
      <w:r w:rsidR="00942DBC">
        <w:rPr>
          <w:rFonts w:ascii="Arial" w:hAnsi="Arial" w:cs="Arial"/>
        </w:rPr>
        <w:t xml:space="preserve">supply </w:t>
      </w:r>
      <w:r w:rsidR="00F46DCD">
        <w:rPr>
          <w:rFonts w:ascii="Arial" w:hAnsi="Arial" w:cs="Arial"/>
        </w:rPr>
        <w:t xml:space="preserve">of its records of </w:t>
      </w:r>
      <w:r w:rsidR="00DB63C5">
        <w:rPr>
          <w:rFonts w:ascii="Arial" w:hAnsi="Arial" w:cs="Arial"/>
        </w:rPr>
        <w:t>the identity of the evaluators;</w:t>
      </w:r>
      <w:r w:rsidR="003E68A4">
        <w:rPr>
          <w:rFonts w:ascii="Arial" w:hAnsi="Arial" w:cs="Arial"/>
        </w:rPr>
        <w:t xml:space="preserve"> and</w:t>
      </w:r>
    </w:p>
    <w:p w14:paraId="725B59C4" w14:textId="79024D79" w:rsidR="00A01784" w:rsidRPr="000E559F" w:rsidRDefault="00CE4A5C" w:rsidP="00A9305B">
      <w:pPr>
        <w:pStyle w:val="ListParagraph"/>
        <w:numPr>
          <w:ilvl w:val="0"/>
          <w:numId w:val="13"/>
        </w:numPr>
        <w:spacing w:line="276" w:lineRule="auto"/>
        <w:rPr>
          <w:rFonts w:ascii="Arial" w:hAnsi="Arial" w:cs="Arial"/>
        </w:rPr>
      </w:pPr>
      <w:r>
        <w:rPr>
          <w:rFonts w:ascii="Arial" w:hAnsi="Arial" w:cs="Arial"/>
        </w:rPr>
        <w:t>Section 7.3.3 considers</w:t>
      </w:r>
      <w:r w:rsidR="00EE087F">
        <w:rPr>
          <w:rFonts w:ascii="Arial" w:hAnsi="Arial" w:cs="Arial"/>
        </w:rPr>
        <w:t xml:space="preserve"> </w:t>
      </w:r>
      <w:r w:rsidR="003E68A4">
        <w:rPr>
          <w:rFonts w:ascii="Arial" w:hAnsi="Arial" w:cs="Arial"/>
        </w:rPr>
        <w:t xml:space="preserve">HNY ICB’s </w:t>
      </w:r>
      <w:r w:rsidR="00942DBC">
        <w:rPr>
          <w:rFonts w:ascii="Arial" w:hAnsi="Arial" w:cs="Arial"/>
        </w:rPr>
        <w:t xml:space="preserve">supply </w:t>
      </w:r>
      <w:r w:rsidR="00F46DCD">
        <w:rPr>
          <w:rFonts w:ascii="Arial" w:hAnsi="Arial" w:cs="Arial"/>
        </w:rPr>
        <w:t xml:space="preserve">of its records </w:t>
      </w:r>
      <w:r w:rsidR="00876474">
        <w:rPr>
          <w:rFonts w:ascii="Arial" w:hAnsi="Arial" w:cs="Arial"/>
        </w:rPr>
        <w:t>in relation to conflicts of interest</w:t>
      </w:r>
      <w:r w:rsidR="0096160F">
        <w:rPr>
          <w:rFonts w:ascii="Arial" w:hAnsi="Arial" w:cs="Arial"/>
        </w:rPr>
        <w:t>.</w:t>
      </w:r>
    </w:p>
    <w:p w14:paraId="43A9D985" w14:textId="76B64F84" w:rsidR="00F4083A" w:rsidRPr="0035459D" w:rsidRDefault="0035459D" w:rsidP="0035459D">
      <w:pPr>
        <w:keepNext/>
        <w:spacing w:before="240" w:line="276" w:lineRule="auto"/>
        <w:rPr>
          <w:rFonts w:ascii="Arial" w:hAnsi="Arial" w:cs="Arial"/>
          <w:b/>
          <w:bCs/>
        </w:rPr>
      </w:pPr>
      <w:r>
        <w:rPr>
          <w:rFonts w:ascii="Arial" w:hAnsi="Arial" w:cs="Arial"/>
          <w:b/>
          <w:bCs/>
        </w:rPr>
        <w:t>7.3.</w:t>
      </w:r>
      <w:r w:rsidR="00C97A24">
        <w:rPr>
          <w:rFonts w:ascii="Arial" w:hAnsi="Arial" w:cs="Arial"/>
          <w:b/>
          <w:bCs/>
        </w:rPr>
        <w:t>1</w:t>
      </w:r>
      <w:r>
        <w:rPr>
          <w:rFonts w:ascii="Arial" w:hAnsi="Arial" w:cs="Arial"/>
          <w:b/>
          <w:bCs/>
        </w:rPr>
        <w:t xml:space="preserve"> </w:t>
      </w:r>
      <w:r w:rsidR="00AE2298">
        <w:rPr>
          <w:rFonts w:ascii="Arial" w:hAnsi="Arial" w:cs="Arial"/>
          <w:b/>
          <w:bCs/>
        </w:rPr>
        <w:t xml:space="preserve">HNY ICB’s response to Barkhill’s request for </w:t>
      </w:r>
      <w:r w:rsidR="00DC1FF1">
        <w:rPr>
          <w:rFonts w:ascii="Arial" w:hAnsi="Arial" w:cs="Arial"/>
          <w:b/>
          <w:bCs/>
        </w:rPr>
        <w:t>its records</w:t>
      </w:r>
      <w:r w:rsidR="007A6E7E">
        <w:rPr>
          <w:rFonts w:ascii="Arial" w:hAnsi="Arial" w:cs="Arial"/>
          <w:b/>
          <w:bCs/>
        </w:rPr>
        <w:t xml:space="preserve"> on the decision making process</w:t>
      </w:r>
      <w:r w:rsidR="0091230B">
        <w:rPr>
          <w:rFonts w:ascii="Arial" w:hAnsi="Arial" w:cs="Arial"/>
          <w:b/>
          <w:bCs/>
        </w:rPr>
        <w:t xml:space="preserve"> and reasons for </w:t>
      </w:r>
      <w:r w:rsidR="00FD0657">
        <w:rPr>
          <w:rFonts w:ascii="Arial" w:hAnsi="Arial" w:cs="Arial"/>
          <w:b/>
          <w:bCs/>
        </w:rPr>
        <w:t>its</w:t>
      </w:r>
      <w:r w:rsidR="0091230B">
        <w:rPr>
          <w:rFonts w:ascii="Arial" w:hAnsi="Arial" w:cs="Arial"/>
          <w:b/>
          <w:bCs/>
        </w:rPr>
        <w:t xml:space="preserve"> decision</w:t>
      </w:r>
      <w:r w:rsidR="00FD0657">
        <w:rPr>
          <w:rFonts w:ascii="Arial" w:hAnsi="Arial" w:cs="Arial"/>
          <w:b/>
          <w:bCs/>
        </w:rPr>
        <w:t>s</w:t>
      </w:r>
    </w:p>
    <w:p w14:paraId="6BDE5C80" w14:textId="72393E76" w:rsidR="00A13E27" w:rsidRDefault="007F4225" w:rsidP="29201E78">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section sets out the Panel’s assessment of </w:t>
      </w:r>
      <w:r w:rsidR="00B02F22">
        <w:rPr>
          <w:rFonts w:ascii="Arial" w:hAnsi="Arial" w:cs="Arial"/>
        </w:rPr>
        <w:t xml:space="preserve">whether HNY ICB complied with the PSR regulations when responding </w:t>
      </w:r>
      <w:r w:rsidR="00B02F22" w:rsidRPr="29201E78">
        <w:rPr>
          <w:rFonts w:ascii="Arial" w:hAnsi="Arial" w:cs="Arial"/>
        </w:rPr>
        <w:t>to</w:t>
      </w:r>
      <w:r w:rsidR="00B02F22">
        <w:rPr>
          <w:rFonts w:ascii="Arial" w:hAnsi="Arial" w:cs="Arial"/>
        </w:rPr>
        <w:t xml:space="preserve"> </w:t>
      </w:r>
      <w:r w:rsidR="005E15E3">
        <w:rPr>
          <w:rFonts w:ascii="Arial" w:hAnsi="Arial" w:cs="Arial"/>
        </w:rPr>
        <w:t xml:space="preserve">Barkhill’s request for records </w:t>
      </w:r>
      <w:r w:rsidR="00F54A22">
        <w:rPr>
          <w:rFonts w:ascii="Arial" w:hAnsi="Arial" w:cs="Arial"/>
        </w:rPr>
        <w:t>relating to</w:t>
      </w:r>
      <w:r w:rsidR="00D71511">
        <w:rPr>
          <w:rFonts w:ascii="Arial" w:hAnsi="Arial" w:cs="Arial"/>
        </w:rPr>
        <w:t>: (i)</w:t>
      </w:r>
      <w:r w:rsidR="00F54A22">
        <w:rPr>
          <w:rFonts w:ascii="Arial" w:hAnsi="Arial" w:cs="Arial"/>
        </w:rPr>
        <w:t xml:space="preserve"> </w:t>
      </w:r>
      <w:r w:rsidR="00D36AE8">
        <w:rPr>
          <w:rFonts w:ascii="Arial" w:hAnsi="Arial" w:cs="Arial"/>
        </w:rPr>
        <w:t xml:space="preserve">the </w:t>
      </w:r>
      <w:r w:rsidR="00F54A22">
        <w:rPr>
          <w:rFonts w:ascii="Arial" w:hAnsi="Arial" w:cs="Arial"/>
        </w:rPr>
        <w:t>decision making process</w:t>
      </w:r>
      <w:r w:rsidR="00D71511">
        <w:rPr>
          <w:rFonts w:ascii="Arial" w:hAnsi="Arial" w:cs="Arial"/>
        </w:rPr>
        <w:t>;</w:t>
      </w:r>
      <w:r w:rsidR="00F54A22">
        <w:rPr>
          <w:rFonts w:ascii="Arial" w:hAnsi="Arial" w:cs="Arial"/>
        </w:rPr>
        <w:t xml:space="preserve"> </w:t>
      </w:r>
      <w:r w:rsidR="00D71511">
        <w:rPr>
          <w:rFonts w:ascii="Arial" w:hAnsi="Arial" w:cs="Arial"/>
        </w:rPr>
        <w:t>(ii)</w:t>
      </w:r>
      <w:r w:rsidR="00F54A22">
        <w:rPr>
          <w:rFonts w:ascii="Arial" w:hAnsi="Arial" w:cs="Arial"/>
        </w:rPr>
        <w:t xml:space="preserve"> the way in which key </w:t>
      </w:r>
      <w:r w:rsidR="00F54A22" w:rsidRPr="000E559F">
        <w:rPr>
          <w:rFonts w:ascii="Arial" w:hAnsi="Arial" w:cs="Arial"/>
        </w:rPr>
        <w:t>criteria were taken into account, the basic selection criteria were assessed and contract award criteria were evaluated</w:t>
      </w:r>
      <w:r w:rsidR="00F54A22">
        <w:rPr>
          <w:rFonts w:ascii="Arial" w:hAnsi="Arial" w:cs="Arial"/>
        </w:rPr>
        <w:t xml:space="preserve">; and </w:t>
      </w:r>
      <w:r w:rsidR="00D71511">
        <w:rPr>
          <w:rFonts w:ascii="Arial" w:hAnsi="Arial" w:cs="Arial"/>
        </w:rPr>
        <w:t xml:space="preserve">(iii) </w:t>
      </w:r>
      <w:r w:rsidR="00F54A22">
        <w:rPr>
          <w:rFonts w:ascii="Arial" w:hAnsi="Arial" w:cs="Arial"/>
        </w:rPr>
        <w:t>the reasons for the decision to award the contract for Lots 11 and 12 to Haricovert.</w:t>
      </w:r>
    </w:p>
    <w:p w14:paraId="37351838" w14:textId="22FB5EB9" w:rsidR="00EC2AA1" w:rsidRDefault="007C6813" w:rsidP="00EC2AA1">
      <w:pPr>
        <w:pStyle w:val="ListParagraph"/>
        <w:numPr>
          <w:ilvl w:val="0"/>
          <w:numId w:val="2"/>
        </w:numPr>
        <w:spacing w:after="240" w:line="276" w:lineRule="auto"/>
        <w:ind w:left="567" w:hanging="567"/>
        <w:contextualSpacing w:val="0"/>
        <w:rPr>
          <w:rFonts w:ascii="Arial" w:hAnsi="Arial" w:cs="Arial"/>
        </w:rPr>
      </w:pPr>
      <w:r>
        <w:rPr>
          <w:rFonts w:ascii="Arial" w:hAnsi="Arial" w:cs="Arial"/>
        </w:rPr>
        <w:t xml:space="preserve">HNY ICB </w:t>
      </w:r>
      <w:r w:rsidRPr="00616A57">
        <w:rPr>
          <w:rFonts w:ascii="Arial" w:hAnsi="Arial" w:cs="Arial"/>
        </w:rPr>
        <w:t>told Barkhill that “we consider that the information you request</w:t>
      </w:r>
      <w:r>
        <w:rPr>
          <w:rFonts w:ascii="Arial" w:hAnsi="Arial" w:cs="Arial"/>
        </w:rPr>
        <w:t xml:space="preserve"> …</w:t>
      </w:r>
      <w:r w:rsidRPr="00616A57">
        <w:rPr>
          <w:rFonts w:ascii="Arial" w:hAnsi="Arial" w:cs="Arial"/>
        </w:rPr>
        <w:t xml:space="preserve"> has already been provided in the Intention to Award notice, the standstill letter, and the published provider response document</w:t>
      </w:r>
      <w:r>
        <w:rPr>
          <w:rFonts w:ascii="Arial" w:hAnsi="Arial" w:cs="Arial"/>
        </w:rPr>
        <w:t>”</w:t>
      </w:r>
      <w:r w:rsidR="0047744E">
        <w:rPr>
          <w:rFonts w:ascii="Arial" w:hAnsi="Arial" w:cs="Arial"/>
        </w:rPr>
        <w:t xml:space="preserve"> (see paragraph </w:t>
      </w:r>
      <w:r w:rsidR="003C7346">
        <w:rPr>
          <w:rFonts w:ascii="Arial" w:hAnsi="Arial" w:cs="Arial"/>
        </w:rPr>
        <w:t>114</w:t>
      </w:r>
      <w:r w:rsidR="0047744E">
        <w:rPr>
          <w:rFonts w:ascii="Arial" w:hAnsi="Arial" w:cs="Arial"/>
        </w:rPr>
        <w:t>).</w:t>
      </w:r>
      <w:r w:rsidR="0083285D" w:rsidRPr="0083285D">
        <w:rPr>
          <w:rFonts w:ascii="Arial" w:hAnsi="Arial" w:cs="Arial"/>
        </w:rPr>
        <w:t xml:space="preserve"> D</w:t>
      </w:r>
      <w:r w:rsidR="00EC2AA1" w:rsidRPr="0083285D">
        <w:rPr>
          <w:rFonts w:ascii="Arial" w:hAnsi="Arial" w:cs="Arial"/>
        </w:rPr>
        <w:t>uring</w:t>
      </w:r>
      <w:r w:rsidR="00EC2AA1">
        <w:rPr>
          <w:rFonts w:ascii="Arial" w:hAnsi="Arial" w:cs="Arial"/>
        </w:rPr>
        <w:t xml:space="preserve"> this review, </w:t>
      </w:r>
      <w:r w:rsidR="0083285D" w:rsidRPr="0083285D">
        <w:rPr>
          <w:rFonts w:ascii="Arial" w:hAnsi="Arial" w:cs="Arial"/>
        </w:rPr>
        <w:t xml:space="preserve">the Panel </w:t>
      </w:r>
      <w:r w:rsidR="00EC2AA1">
        <w:rPr>
          <w:rFonts w:ascii="Arial" w:hAnsi="Arial" w:cs="Arial"/>
        </w:rPr>
        <w:t>asked HNY ICB to specifically identify where each of the items of information requested by Barkhill had been supplied. HNY ICB’s response is set out in Table 4.</w:t>
      </w:r>
    </w:p>
    <w:p w14:paraId="7343DB7D" w14:textId="0084A495" w:rsidR="00A60743" w:rsidRDefault="005E2364" w:rsidP="00B23D06">
      <w:pPr>
        <w:pStyle w:val="ListParagraph"/>
        <w:numPr>
          <w:ilvl w:val="0"/>
          <w:numId w:val="2"/>
        </w:numPr>
        <w:spacing w:after="240" w:line="276" w:lineRule="auto"/>
        <w:ind w:left="567" w:hanging="567"/>
        <w:contextualSpacing w:val="0"/>
        <w:rPr>
          <w:rFonts w:ascii="Arial" w:hAnsi="Arial" w:cs="Arial"/>
        </w:rPr>
      </w:pPr>
      <w:r w:rsidRPr="007609DA">
        <w:rPr>
          <w:rFonts w:ascii="Arial" w:hAnsi="Arial" w:cs="Arial"/>
        </w:rPr>
        <w:lastRenderedPageBreak/>
        <w:t xml:space="preserve">The Panel notes that HNY ICB’s position is that the records requested by Barkhill were published in their entirety in the documents referenced by HNY ICB. The Panel’s view, however, is that a commissioner’s records in relation to these matters will go beyond these published documents. For example, notes taken by individual evaluators and notes of discussions between evaluators will form part of the records that a commissioner is obliged to keep under either or both of Regulation 24(d) and Regulation 24(f). The Panel notes that HNY ICB did not respond to Barkhill’s request for “any notes taken by individual evaluators, and any notes taken of any discussion between evaluators, which were made for the purposes or in the context of deciding on the grades to be awarded in respect of Barkhill’s and Haricovert’s answers” (see paragraph </w:t>
      </w:r>
      <w:r w:rsidR="003C7346">
        <w:rPr>
          <w:rFonts w:ascii="Arial" w:hAnsi="Arial" w:cs="Arial"/>
        </w:rPr>
        <w:t>113</w:t>
      </w:r>
      <w:r w:rsidRPr="003F0BB1">
        <w:rPr>
          <w:rFonts w:ascii="Arial" w:hAnsi="Arial" w:cs="Arial"/>
        </w:rPr>
        <w:t>).</w:t>
      </w:r>
    </w:p>
    <w:p w14:paraId="0AEEF596" w14:textId="29044E3A" w:rsidR="00EC2AA1" w:rsidRPr="00067E98" w:rsidRDefault="00EC2AA1" w:rsidP="00D940B4">
      <w:pPr>
        <w:keepNext/>
        <w:spacing w:before="240" w:after="240" w:line="276" w:lineRule="auto"/>
        <w:rPr>
          <w:rFonts w:ascii="Arial" w:hAnsi="Arial" w:cs="Arial"/>
          <w:b/>
          <w:sz w:val="21"/>
          <w:szCs w:val="21"/>
        </w:rPr>
      </w:pPr>
      <w:r w:rsidRPr="00067E98">
        <w:rPr>
          <w:rFonts w:ascii="Arial" w:hAnsi="Arial" w:cs="Arial"/>
          <w:b/>
          <w:sz w:val="21"/>
          <w:szCs w:val="21"/>
        </w:rPr>
        <w:t xml:space="preserve">Table 4: Barkill’s information request </w:t>
      </w:r>
      <w:r w:rsidR="00484009" w:rsidRPr="00067E98">
        <w:rPr>
          <w:rFonts w:ascii="Arial" w:hAnsi="Arial" w:cs="Arial"/>
          <w:b/>
          <w:sz w:val="21"/>
          <w:szCs w:val="21"/>
        </w:rPr>
        <w:t>and HNY ICB’s explanation of its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EC2AA1" w:rsidRPr="00137D54" w14:paraId="3F8740E5" w14:textId="77777777">
        <w:tc>
          <w:tcPr>
            <w:tcW w:w="4508" w:type="dxa"/>
          </w:tcPr>
          <w:p w14:paraId="0C503BC9" w14:textId="77777777" w:rsidR="00EC2AA1" w:rsidRPr="00A0107D" w:rsidRDefault="00EC2AA1">
            <w:pPr>
              <w:spacing w:before="60" w:after="60"/>
              <w:jc w:val="center"/>
              <w:rPr>
                <w:rFonts w:ascii="Arial" w:hAnsi="Arial" w:cs="Arial"/>
                <w:b/>
                <w:bCs/>
                <w:sz w:val="18"/>
                <w:szCs w:val="18"/>
              </w:rPr>
            </w:pPr>
            <w:r w:rsidRPr="00A0107D">
              <w:rPr>
                <w:rFonts w:ascii="Arial" w:hAnsi="Arial" w:cs="Arial"/>
                <w:b/>
                <w:bCs/>
                <w:sz w:val="18"/>
                <w:szCs w:val="18"/>
              </w:rPr>
              <w:t>Information requested by Barkhill</w:t>
            </w:r>
          </w:p>
        </w:tc>
        <w:tc>
          <w:tcPr>
            <w:tcW w:w="4508" w:type="dxa"/>
          </w:tcPr>
          <w:p w14:paraId="7D123BA6" w14:textId="53A331EF" w:rsidR="00EC2AA1" w:rsidRPr="00A0107D" w:rsidRDefault="00EC2AA1">
            <w:pPr>
              <w:spacing w:before="60" w:after="60"/>
              <w:jc w:val="center"/>
              <w:rPr>
                <w:rFonts w:ascii="Arial" w:hAnsi="Arial" w:cs="Arial"/>
                <w:b/>
                <w:bCs/>
                <w:sz w:val="18"/>
                <w:szCs w:val="18"/>
              </w:rPr>
            </w:pPr>
            <w:r w:rsidRPr="00A0107D">
              <w:rPr>
                <w:rFonts w:ascii="Arial" w:hAnsi="Arial" w:cs="Arial"/>
                <w:b/>
                <w:bCs/>
                <w:sz w:val="18"/>
                <w:szCs w:val="18"/>
              </w:rPr>
              <w:t>HNY ICB</w:t>
            </w:r>
            <w:r w:rsidR="00520B0C">
              <w:rPr>
                <w:rFonts w:ascii="Arial" w:hAnsi="Arial" w:cs="Arial"/>
                <w:b/>
                <w:bCs/>
                <w:sz w:val="18"/>
                <w:szCs w:val="18"/>
              </w:rPr>
              <w:t>’s explanation of where this information was supplied to Barkhill</w:t>
            </w:r>
          </w:p>
        </w:tc>
      </w:tr>
      <w:tr w:rsidR="00EC2AA1" w:rsidRPr="00A0107D" w14:paraId="66F44199" w14:textId="77777777">
        <w:tc>
          <w:tcPr>
            <w:tcW w:w="4508" w:type="dxa"/>
          </w:tcPr>
          <w:p w14:paraId="42D1791E" w14:textId="5087FE0C" w:rsidR="00EC2AA1" w:rsidRPr="00A0107D" w:rsidRDefault="00EC2AA1">
            <w:pPr>
              <w:spacing w:before="60" w:after="60"/>
              <w:rPr>
                <w:rFonts w:ascii="Arial" w:hAnsi="Arial" w:cs="Arial"/>
                <w:sz w:val="18"/>
                <w:szCs w:val="18"/>
              </w:rPr>
            </w:pPr>
            <w:r>
              <w:rPr>
                <w:rFonts w:ascii="Arial" w:hAnsi="Arial" w:cs="Arial"/>
                <w:sz w:val="18"/>
                <w:szCs w:val="18"/>
              </w:rPr>
              <w:t>R</w:t>
            </w:r>
            <w:r w:rsidRPr="00A0107D">
              <w:rPr>
                <w:rFonts w:ascii="Arial" w:hAnsi="Arial" w:cs="Arial"/>
                <w:sz w:val="18"/>
                <w:szCs w:val="18"/>
              </w:rPr>
              <w:t>ecord of the decision-making process followed, pursuant to regulation 24(d)</w:t>
            </w:r>
          </w:p>
        </w:tc>
        <w:tc>
          <w:tcPr>
            <w:tcW w:w="4508" w:type="dxa"/>
          </w:tcPr>
          <w:p w14:paraId="79204B43" w14:textId="77777777" w:rsidR="00EC2AA1" w:rsidRPr="00A0107D" w:rsidRDefault="00EC2AA1">
            <w:pPr>
              <w:spacing w:before="60" w:after="60"/>
              <w:rPr>
                <w:rFonts w:ascii="Arial" w:hAnsi="Arial" w:cs="Arial"/>
                <w:sz w:val="18"/>
                <w:szCs w:val="18"/>
              </w:rPr>
            </w:pPr>
            <w:r w:rsidRPr="00A0107D">
              <w:rPr>
                <w:rFonts w:ascii="Arial" w:hAnsi="Arial" w:cs="Arial"/>
                <w:sz w:val="18"/>
                <w:szCs w:val="18"/>
              </w:rPr>
              <w:t>This information was detailed in the Intention to Award notice, Section VI, sub section VI.3</w:t>
            </w:r>
          </w:p>
        </w:tc>
      </w:tr>
      <w:tr w:rsidR="00EC2AA1" w:rsidRPr="00A0107D" w14:paraId="6EBB433E" w14:textId="77777777">
        <w:tc>
          <w:tcPr>
            <w:tcW w:w="4508" w:type="dxa"/>
          </w:tcPr>
          <w:p w14:paraId="3AEE6958" w14:textId="2A88CF74" w:rsidR="00EC2AA1" w:rsidRPr="00A0107D" w:rsidRDefault="00EC2AA1">
            <w:pPr>
              <w:spacing w:before="60" w:after="60"/>
              <w:rPr>
                <w:rFonts w:ascii="Arial" w:hAnsi="Arial" w:cs="Arial"/>
                <w:sz w:val="18"/>
                <w:szCs w:val="18"/>
              </w:rPr>
            </w:pPr>
            <w:r>
              <w:rPr>
                <w:rFonts w:ascii="Arial" w:hAnsi="Arial" w:cs="Arial"/>
                <w:sz w:val="18"/>
                <w:szCs w:val="18"/>
              </w:rPr>
              <w:t>A</w:t>
            </w:r>
            <w:r w:rsidRPr="00A0107D">
              <w:rPr>
                <w:rFonts w:ascii="Arial" w:hAnsi="Arial" w:cs="Arial"/>
                <w:sz w:val="18"/>
                <w:szCs w:val="18"/>
              </w:rPr>
              <w:t xml:space="preserve"> description of the way in which the key criteria were taken into account, the basic selection criteria were assessed and contract or framework award criteria were evaluated, pursuant to regulation 24(f)</w:t>
            </w:r>
          </w:p>
        </w:tc>
        <w:tc>
          <w:tcPr>
            <w:tcW w:w="4508" w:type="dxa"/>
          </w:tcPr>
          <w:p w14:paraId="674C21D8" w14:textId="77777777" w:rsidR="00EC2AA1" w:rsidRPr="00A0107D" w:rsidRDefault="00EC2AA1">
            <w:pPr>
              <w:spacing w:before="60" w:after="60"/>
              <w:rPr>
                <w:rFonts w:ascii="Arial" w:hAnsi="Arial" w:cs="Arial"/>
                <w:sz w:val="18"/>
                <w:szCs w:val="18"/>
              </w:rPr>
            </w:pPr>
            <w:r w:rsidRPr="00A0107D">
              <w:rPr>
                <w:rFonts w:ascii="Arial" w:hAnsi="Arial" w:cs="Arial"/>
                <w:sz w:val="18"/>
                <w:szCs w:val="18"/>
              </w:rPr>
              <w:t>These were included in the published Provider Response Document, page 59-67, Schedule 6 Evaluation Handbook and in Appendix A of the standstill letter</w:t>
            </w:r>
          </w:p>
        </w:tc>
      </w:tr>
      <w:tr w:rsidR="00EC2AA1" w:rsidRPr="00A0107D" w14:paraId="4B0A43DB" w14:textId="77777777">
        <w:tc>
          <w:tcPr>
            <w:tcW w:w="4508" w:type="dxa"/>
          </w:tcPr>
          <w:p w14:paraId="210F9152" w14:textId="24D4DF8E" w:rsidR="00EC2AA1" w:rsidRPr="00A0107D" w:rsidRDefault="00EC2AA1">
            <w:pPr>
              <w:spacing w:before="60" w:after="60"/>
              <w:rPr>
                <w:rFonts w:ascii="Arial" w:hAnsi="Arial" w:cs="Arial"/>
                <w:sz w:val="18"/>
                <w:szCs w:val="18"/>
              </w:rPr>
            </w:pPr>
            <w:r>
              <w:rPr>
                <w:rFonts w:ascii="Arial" w:hAnsi="Arial" w:cs="Arial"/>
                <w:sz w:val="18"/>
                <w:szCs w:val="18"/>
              </w:rPr>
              <w:t>T</w:t>
            </w:r>
            <w:r w:rsidRPr="00A0107D">
              <w:rPr>
                <w:rFonts w:ascii="Arial" w:hAnsi="Arial" w:cs="Arial"/>
                <w:sz w:val="18"/>
                <w:szCs w:val="18"/>
              </w:rPr>
              <w:t>he reasons for the decision to award the contract for Lots 11 and 12 to Haricovert, pursuant to regulation 24(g)</w:t>
            </w:r>
          </w:p>
        </w:tc>
        <w:tc>
          <w:tcPr>
            <w:tcW w:w="4508" w:type="dxa"/>
          </w:tcPr>
          <w:p w14:paraId="6D46AA90" w14:textId="77777777" w:rsidR="00EC2AA1" w:rsidRPr="00A0107D" w:rsidRDefault="00EC2AA1">
            <w:pPr>
              <w:spacing w:before="60" w:after="60"/>
              <w:rPr>
                <w:rFonts w:ascii="Arial" w:hAnsi="Arial" w:cs="Arial"/>
                <w:sz w:val="18"/>
                <w:szCs w:val="18"/>
              </w:rPr>
            </w:pPr>
            <w:r w:rsidRPr="00A0107D">
              <w:rPr>
                <w:rFonts w:ascii="Arial" w:hAnsi="Arial" w:cs="Arial"/>
                <w:sz w:val="18"/>
                <w:szCs w:val="18"/>
              </w:rPr>
              <w:t>This information was included in the standstill letter, page 1 and Appendix A.</w:t>
            </w:r>
          </w:p>
        </w:tc>
      </w:tr>
    </w:tbl>
    <w:p w14:paraId="133B31FE" w14:textId="77777777" w:rsidR="00EC2AA1" w:rsidRPr="004629E8" w:rsidRDefault="00EC2AA1" w:rsidP="00EC2AA1">
      <w:pPr>
        <w:spacing w:before="60" w:after="360" w:line="240" w:lineRule="auto"/>
        <w:rPr>
          <w:rFonts w:ascii="Arial" w:hAnsi="Arial" w:cs="Arial"/>
          <w:sz w:val="16"/>
          <w:szCs w:val="16"/>
        </w:rPr>
      </w:pPr>
      <w:r w:rsidRPr="004629E8">
        <w:rPr>
          <w:rFonts w:ascii="Arial" w:hAnsi="Arial" w:cs="Arial"/>
          <w:i/>
          <w:iCs/>
          <w:sz w:val="16"/>
          <w:szCs w:val="16"/>
        </w:rPr>
        <w:t>Source</w:t>
      </w:r>
      <w:r w:rsidRPr="004629E8">
        <w:rPr>
          <w:rFonts w:ascii="Arial" w:hAnsi="Arial" w:cs="Arial"/>
          <w:sz w:val="16"/>
          <w:szCs w:val="16"/>
        </w:rPr>
        <w:t>: HNY ICB, Response to Panel information request Q14-RA</w:t>
      </w:r>
      <w:r>
        <w:rPr>
          <w:rFonts w:ascii="Arial" w:hAnsi="Arial" w:cs="Arial"/>
          <w:sz w:val="16"/>
          <w:szCs w:val="16"/>
        </w:rPr>
        <w:t>.</w:t>
      </w:r>
    </w:p>
    <w:p w14:paraId="3229AD1D" w14:textId="3D73704F" w:rsidR="000537D0" w:rsidRDefault="00186C1F" w:rsidP="003F0BB1">
      <w:pPr>
        <w:pStyle w:val="ListParagraph"/>
        <w:numPr>
          <w:ilvl w:val="0"/>
          <w:numId w:val="2"/>
        </w:numPr>
        <w:spacing w:line="276" w:lineRule="auto"/>
        <w:ind w:left="567" w:hanging="567"/>
        <w:contextualSpacing w:val="0"/>
        <w:rPr>
          <w:rFonts w:ascii="Arial" w:hAnsi="Arial" w:cs="Arial"/>
        </w:rPr>
      </w:pPr>
      <w:r>
        <w:rPr>
          <w:rFonts w:ascii="Arial" w:hAnsi="Arial" w:cs="Arial"/>
        </w:rPr>
        <w:t>As a result</w:t>
      </w:r>
      <w:r w:rsidR="00AA12EC">
        <w:rPr>
          <w:rFonts w:ascii="Arial" w:hAnsi="Arial" w:cs="Arial"/>
        </w:rPr>
        <w:t xml:space="preserve">, the Panel finds that </w:t>
      </w:r>
      <w:r w:rsidR="000031BD">
        <w:rPr>
          <w:rFonts w:ascii="Arial" w:hAnsi="Arial" w:cs="Arial"/>
        </w:rPr>
        <w:t>HNY ICB</w:t>
      </w:r>
      <w:r w:rsidR="00562D84" w:rsidRPr="00562D84">
        <w:rPr>
          <w:rFonts w:ascii="Arial" w:hAnsi="Arial" w:cs="Arial"/>
        </w:rPr>
        <w:t xml:space="preserve"> </w:t>
      </w:r>
      <w:r w:rsidR="00562D84">
        <w:rPr>
          <w:rFonts w:ascii="Arial" w:hAnsi="Arial" w:cs="Arial"/>
        </w:rPr>
        <w:t>breached the PSR regulations with respect to its obligations under Regulation 12(4) by failing to provide all of the relevant records</w:t>
      </w:r>
      <w:r w:rsidR="009D3FE7">
        <w:rPr>
          <w:rFonts w:ascii="Arial" w:hAnsi="Arial" w:cs="Arial"/>
        </w:rPr>
        <w:t xml:space="preserve"> in </w:t>
      </w:r>
      <w:r w:rsidR="00484009" w:rsidRPr="003F0BB1">
        <w:rPr>
          <w:rFonts w:ascii="Arial" w:hAnsi="Arial" w:cs="Arial"/>
        </w:rPr>
        <w:t>response</w:t>
      </w:r>
      <w:r w:rsidR="009D3FE7">
        <w:rPr>
          <w:rFonts w:ascii="Arial" w:hAnsi="Arial" w:cs="Arial"/>
        </w:rPr>
        <w:t xml:space="preserve"> to Barkhill’s request for</w:t>
      </w:r>
      <w:r w:rsidR="0096019B">
        <w:rPr>
          <w:rFonts w:ascii="Arial" w:hAnsi="Arial" w:cs="Arial"/>
        </w:rPr>
        <w:t xml:space="preserve">: </w:t>
      </w:r>
      <w:r w:rsidR="00562D84">
        <w:rPr>
          <w:rFonts w:ascii="Arial" w:hAnsi="Arial" w:cs="Arial"/>
        </w:rPr>
        <w:t xml:space="preserve">(i) the decision making process; (ii) the way in which key </w:t>
      </w:r>
      <w:r w:rsidR="00562D84" w:rsidRPr="000E559F">
        <w:rPr>
          <w:rFonts w:ascii="Arial" w:hAnsi="Arial" w:cs="Arial"/>
        </w:rPr>
        <w:t>criteria were taken into account, the basic selection criteria were assessed and contract award criteria were evaluated</w:t>
      </w:r>
      <w:r w:rsidR="00562D84">
        <w:rPr>
          <w:rFonts w:ascii="Arial" w:hAnsi="Arial" w:cs="Arial"/>
        </w:rPr>
        <w:t>; and (iii) the reasons for the decision to award the contract for Lots 11 and 12 to Haricovert</w:t>
      </w:r>
      <w:r w:rsidR="00CA5999">
        <w:rPr>
          <w:rFonts w:ascii="Arial" w:hAnsi="Arial" w:cs="Arial"/>
        </w:rPr>
        <w:t>.</w:t>
      </w:r>
    </w:p>
    <w:p w14:paraId="52D12E10" w14:textId="617424F3" w:rsidR="0035459D" w:rsidRPr="0035459D" w:rsidRDefault="00691E79" w:rsidP="0035459D">
      <w:pPr>
        <w:keepNext/>
        <w:spacing w:before="240" w:line="276" w:lineRule="auto"/>
        <w:rPr>
          <w:rFonts w:ascii="Arial" w:hAnsi="Arial" w:cs="Arial"/>
          <w:b/>
          <w:bCs/>
        </w:rPr>
      </w:pPr>
      <w:r>
        <w:rPr>
          <w:rFonts w:ascii="Arial" w:hAnsi="Arial" w:cs="Arial"/>
          <w:b/>
          <w:bCs/>
        </w:rPr>
        <w:t>7.3.</w:t>
      </w:r>
      <w:r w:rsidR="00C97A24">
        <w:rPr>
          <w:rFonts w:ascii="Arial" w:hAnsi="Arial" w:cs="Arial"/>
          <w:b/>
          <w:bCs/>
        </w:rPr>
        <w:t>2</w:t>
      </w:r>
      <w:r>
        <w:rPr>
          <w:rFonts w:ascii="Arial" w:hAnsi="Arial" w:cs="Arial"/>
          <w:b/>
          <w:bCs/>
        </w:rPr>
        <w:t xml:space="preserve"> </w:t>
      </w:r>
      <w:r w:rsidR="00286CEC">
        <w:rPr>
          <w:rFonts w:ascii="Arial" w:hAnsi="Arial" w:cs="Arial"/>
          <w:b/>
          <w:bCs/>
        </w:rPr>
        <w:t xml:space="preserve">HNY ICB’s response to Barkhill’s request for its records </w:t>
      </w:r>
      <w:r w:rsidR="007A6E7E">
        <w:rPr>
          <w:rFonts w:ascii="Arial" w:hAnsi="Arial" w:cs="Arial"/>
          <w:b/>
          <w:bCs/>
        </w:rPr>
        <w:t xml:space="preserve">on </w:t>
      </w:r>
      <w:r w:rsidR="005B76FF">
        <w:rPr>
          <w:rFonts w:ascii="Arial" w:hAnsi="Arial" w:cs="Arial"/>
          <w:b/>
          <w:bCs/>
        </w:rPr>
        <w:t xml:space="preserve">evaluators’ </w:t>
      </w:r>
      <w:r w:rsidR="007A6E7E">
        <w:rPr>
          <w:rFonts w:ascii="Arial" w:hAnsi="Arial" w:cs="Arial"/>
          <w:b/>
          <w:bCs/>
        </w:rPr>
        <w:t>i</w:t>
      </w:r>
      <w:r w:rsidR="00C04C54">
        <w:rPr>
          <w:rFonts w:ascii="Arial" w:hAnsi="Arial" w:cs="Arial"/>
          <w:b/>
          <w:bCs/>
        </w:rPr>
        <w:t>dentity</w:t>
      </w:r>
    </w:p>
    <w:p w14:paraId="51D688BF" w14:textId="7CE93A5F" w:rsidR="007E2C66" w:rsidRDefault="00F531ED" w:rsidP="00BC240C">
      <w:pPr>
        <w:pStyle w:val="ListParagraph"/>
        <w:numPr>
          <w:ilvl w:val="0"/>
          <w:numId w:val="2"/>
        </w:numPr>
        <w:spacing w:line="276" w:lineRule="auto"/>
        <w:ind w:left="567" w:hanging="567"/>
        <w:contextualSpacing w:val="0"/>
        <w:rPr>
          <w:rFonts w:ascii="Arial" w:hAnsi="Arial" w:cs="Arial"/>
        </w:rPr>
      </w:pPr>
      <w:r w:rsidRPr="00067B2E">
        <w:rPr>
          <w:rFonts w:ascii="Arial" w:hAnsi="Arial" w:cs="Arial"/>
        </w:rPr>
        <w:t xml:space="preserve">Barkhill requested that HNY ICB provide </w:t>
      </w:r>
      <w:r w:rsidR="006441BB">
        <w:rPr>
          <w:rFonts w:ascii="Arial" w:hAnsi="Arial" w:cs="Arial"/>
        </w:rPr>
        <w:t xml:space="preserve">its records </w:t>
      </w:r>
      <w:r w:rsidR="00F75D54">
        <w:rPr>
          <w:rFonts w:ascii="Arial" w:hAnsi="Arial" w:cs="Arial"/>
        </w:rPr>
        <w:t>on the identity of evaluators</w:t>
      </w:r>
      <w:r w:rsidR="009E3CE9">
        <w:rPr>
          <w:rFonts w:ascii="Arial" w:hAnsi="Arial" w:cs="Arial"/>
        </w:rPr>
        <w:t xml:space="preserve"> pursuant to Regulation 24(d)</w:t>
      </w:r>
      <w:r w:rsidR="005D4B4A">
        <w:rPr>
          <w:rFonts w:ascii="Arial" w:hAnsi="Arial" w:cs="Arial"/>
        </w:rPr>
        <w:t xml:space="preserve"> (see paragraph </w:t>
      </w:r>
      <w:r w:rsidR="00B8525C">
        <w:rPr>
          <w:rFonts w:ascii="Arial" w:hAnsi="Arial" w:cs="Arial"/>
        </w:rPr>
        <w:t>112</w:t>
      </w:r>
      <w:r w:rsidR="005D4B4A">
        <w:rPr>
          <w:rFonts w:ascii="Arial" w:hAnsi="Arial" w:cs="Arial"/>
        </w:rPr>
        <w:t>)</w:t>
      </w:r>
      <w:r w:rsidR="009E3CE9">
        <w:rPr>
          <w:rFonts w:ascii="Arial" w:hAnsi="Arial" w:cs="Arial"/>
        </w:rPr>
        <w:t>.</w:t>
      </w:r>
      <w:r w:rsidR="0076220F">
        <w:rPr>
          <w:rFonts w:ascii="Arial" w:hAnsi="Arial" w:cs="Arial"/>
        </w:rPr>
        <w:t xml:space="preserve"> Under Regulation 24(d), commissioners must keep a record of “the decision-making process followed, including the identity of individuals making decisions”.</w:t>
      </w:r>
    </w:p>
    <w:p w14:paraId="127D730D" w14:textId="35C87B89" w:rsidR="0035459D" w:rsidRDefault="008E3CC5" w:rsidP="00BC240C">
      <w:pPr>
        <w:pStyle w:val="ListParagraph"/>
        <w:numPr>
          <w:ilvl w:val="0"/>
          <w:numId w:val="2"/>
        </w:numPr>
        <w:spacing w:line="276" w:lineRule="auto"/>
        <w:ind w:left="567" w:hanging="567"/>
        <w:contextualSpacing w:val="0"/>
        <w:rPr>
          <w:rFonts w:ascii="Arial" w:hAnsi="Arial" w:cs="Arial"/>
        </w:rPr>
      </w:pPr>
      <w:r>
        <w:rPr>
          <w:rFonts w:ascii="Arial" w:hAnsi="Arial" w:cs="Arial"/>
        </w:rPr>
        <w:t>HNY ICB, in its response on 4 March 2025, refused to supply this information</w:t>
      </w:r>
      <w:r w:rsidR="00766A76">
        <w:rPr>
          <w:rFonts w:ascii="Arial" w:hAnsi="Arial" w:cs="Arial"/>
        </w:rPr>
        <w:t xml:space="preserve">, saying </w:t>
      </w:r>
      <w:r w:rsidR="00766A76" w:rsidRPr="00766A76">
        <w:rPr>
          <w:rFonts w:ascii="Arial" w:hAnsi="Arial" w:cs="Arial"/>
        </w:rPr>
        <w:t xml:space="preserve">that </w:t>
      </w:r>
      <w:r w:rsidR="00766A76">
        <w:rPr>
          <w:rFonts w:ascii="Arial" w:hAnsi="Arial" w:cs="Arial"/>
        </w:rPr>
        <w:t>“</w:t>
      </w:r>
      <w:r w:rsidR="00766A76" w:rsidRPr="00766A76">
        <w:rPr>
          <w:rFonts w:ascii="Arial" w:hAnsi="Arial" w:cs="Arial"/>
        </w:rPr>
        <w:t>Regulation 24(d) states we must keep a record of the identity of individuals making decisions. The evaluators were not the decision makers, the approvals bodies are the decision makers a</w:t>
      </w:r>
      <w:r w:rsidR="00E05B11">
        <w:rPr>
          <w:rFonts w:ascii="Arial" w:hAnsi="Arial" w:cs="Arial"/>
        </w:rPr>
        <w:t>nd</w:t>
      </w:r>
      <w:r w:rsidR="00766A76" w:rsidRPr="00766A76">
        <w:rPr>
          <w:rFonts w:ascii="Arial" w:hAnsi="Arial" w:cs="Arial"/>
        </w:rPr>
        <w:t xml:space="preserve"> these were included in the Intention to Award notice</w:t>
      </w:r>
      <w:r w:rsidR="00112A76">
        <w:rPr>
          <w:rFonts w:ascii="Arial" w:hAnsi="Arial" w:cs="Arial"/>
        </w:rPr>
        <w:t>”</w:t>
      </w:r>
      <w:r w:rsidR="00495719">
        <w:rPr>
          <w:rFonts w:ascii="Arial" w:hAnsi="Arial" w:cs="Arial"/>
        </w:rPr>
        <w:t xml:space="preserve"> (see paragraph</w:t>
      </w:r>
      <w:r w:rsidR="00740523">
        <w:rPr>
          <w:rFonts w:ascii="Arial" w:hAnsi="Arial" w:cs="Arial"/>
        </w:rPr>
        <w:t xml:space="preserve"> </w:t>
      </w:r>
      <w:r w:rsidR="00B8525C">
        <w:rPr>
          <w:rFonts w:ascii="Arial" w:hAnsi="Arial" w:cs="Arial"/>
        </w:rPr>
        <w:t>114</w:t>
      </w:r>
      <w:r w:rsidR="00495719">
        <w:rPr>
          <w:rFonts w:ascii="Arial" w:hAnsi="Arial" w:cs="Arial"/>
        </w:rPr>
        <w:t>)</w:t>
      </w:r>
      <w:r w:rsidR="00112A76">
        <w:rPr>
          <w:rFonts w:ascii="Arial" w:hAnsi="Arial" w:cs="Arial"/>
        </w:rPr>
        <w:t>.</w:t>
      </w:r>
    </w:p>
    <w:p w14:paraId="1FE6FF8D" w14:textId="2FB9A020" w:rsidR="00960AA0" w:rsidRDefault="000F3DB6" w:rsidP="00DA1A1B">
      <w:pPr>
        <w:pStyle w:val="ListParagraph"/>
        <w:numPr>
          <w:ilvl w:val="0"/>
          <w:numId w:val="2"/>
        </w:numPr>
        <w:spacing w:after="120" w:line="276" w:lineRule="auto"/>
        <w:ind w:left="567" w:hanging="567"/>
        <w:contextualSpacing w:val="0"/>
        <w:rPr>
          <w:rFonts w:ascii="Arial" w:hAnsi="Arial" w:cs="Arial"/>
        </w:rPr>
      </w:pPr>
      <w:r w:rsidRPr="00960AA0">
        <w:rPr>
          <w:rFonts w:ascii="Arial" w:hAnsi="Arial" w:cs="Arial"/>
        </w:rPr>
        <w:t>The Panel recently addressed</w:t>
      </w:r>
      <w:r w:rsidR="002B6DA0">
        <w:rPr>
          <w:rFonts w:ascii="Arial" w:hAnsi="Arial" w:cs="Arial"/>
        </w:rPr>
        <w:t>,</w:t>
      </w:r>
      <w:r w:rsidRPr="00960AA0">
        <w:rPr>
          <w:rFonts w:ascii="Arial" w:hAnsi="Arial" w:cs="Arial"/>
        </w:rPr>
        <w:t xml:space="preserve"> </w:t>
      </w:r>
      <w:r w:rsidR="002B6DA0" w:rsidRPr="00960AA0">
        <w:rPr>
          <w:rFonts w:ascii="Arial" w:hAnsi="Arial" w:cs="Arial"/>
        </w:rPr>
        <w:t>in Case CR0011-25</w:t>
      </w:r>
      <w:r w:rsidR="002B6DA0">
        <w:rPr>
          <w:rFonts w:ascii="Arial" w:hAnsi="Arial" w:cs="Arial"/>
        </w:rPr>
        <w:t>,</w:t>
      </w:r>
      <w:r w:rsidRPr="00960AA0">
        <w:rPr>
          <w:rFonts w:ascii="Arial" w:hAnsi="Arial" w:cs="Arial"/>
        </w:rPr>
        <w:t xml:space="preserve"> the issue of whether </w:t>
      </w:r>
      <w:r w:rsidR="008E48DF" w:rsidRPr="00960AA0">
        <w:rPr>
          <w:rFonts w:ascii="Arial" w:hAnsi="Arial" w:cs="Arial"/>
        </w:rPr>
        <w:t>evaluators are decision makers for the purposes of Regulation 24</w:t>
      </w:r>
      <w:r w:rsidR="002B6DA0">
        <w:rPr>
          <w:rFonts w:ascii="Arial" w:hAnsi="Arial" w:cs="Arial"/>
        </w:rPr>
        <w:t>. The Panel in</w:t>
      </w:r>
      <w:r w:rsidR="00960AA0" w:rsidRPr="00960AA0">
        <w:rPr>
          <w:rFonts w:ascii="Arial" w:hAnsi="Arial" w:cs="Arial"/>
        </w:rPr>
        <w:t xml:space="preserve"> that</w:t>
      </w:r>
      <w:r w:rsidR="002B6DA0">
        <w:rPr>
          <w:rFonts w:ascii="Arial" w:hAnsi="Arial" w:cs="Arial"/>
        </w:rPr>
        <w:t xml:space="preserve"> case </w:t>
      </w:r>
      <w:r w:rsidR="00960AA0" w:rsidRPr="00960AA0">
        <w:rPr>
          <w:rFonts w:ascii="Arial" w:hAnsi="Arial" w:cs="Arial"/>
        </w:rPr>
        <w:t>said</w:t>
      </w:r>
      <w:r w:rsidR="00960AA0">
        <w:rPr>
          <w:rFonts w:ascii="Arial" w:hAnsi="Arial" w:cs="Arial"/>
        </w:rPr>
        <w:t>:</w:t>
      </w:r>
    </w:p>
    <w:p w14:paraId="6BA911A5" w14:textId="12E58F9E" w:rsidR="00D66661" w:rsidRPr="00960AA0" w:rsidRDefault="00960AA0" w:rsidP="00DA1A1B">
      <w:pPr>
        <w:pStyle w:val="ListParagraph"/>
        <w:spacing w:after="120" w:line="276" w:lineRule="auto"/>
        <w:ind w:left="993"/>
        <w:contextualSpacing w:val="0"/>
        <w:rPr>
          <w:rFonts w:ascii="Arial" w:hAnsi="Arial" w:cs="Arial"/>
          <w:sz w:val="21"/>
          <w:szCs w:val="21"/>
        </w:rPr>
      </w:pPr>
      <w:r>
        <w:rPr>
          <w:rFonts w:ascii="Arial" w:hAnsi="Arial" w:cs="Arial"/>
          <w:sz w:val="21"/>
          <w:szCs w:val="21"/>
        </w:rPr>
        <w:lastRenderedPageBreak/>
        <w:t>“</w:t>
      </w:r>
      <w:r w:rsidR="00D66661" w:rsidRPr="00960AA0">
        <w:rPr>
          <w:rFonts w:ascii="Arial" w:hAnsi="Arial" w:cs="Arial"/>
          <w:sz w:val="21"/>
          <w:szCs w:val="21"/>
        </w:rPr>
        <w:t>The Panel’s view is that “individuals making decisions”, as per Regulation 24, includes all individuals whose role makes a material contribution to determining the outcome of a provider selection process, and that this covers both individual evaluators and the officials responsible for formally deciding whether to adopt the outcome of a provider selection process.</w:t>
      </w:r>
    </w:p>
    <w:p w14:paraId="5016E7D1" w14:textId="3E2385A5" w:rsidR="00D66661" w:rsidRPr="00960AA0" w:rsidRDefault="00960AA0" w:rsidP="00DA1A1B">
      <w:pPr>
        <w:pStyle w:val="ListParagraph"/>
        <w:spacing w:after="120" w:line="276" w:lineRule="auto"/>
        <w:ind w:left="993"/>
        <w:contextualSpacing w:val="0"/>
        <w:rPr>
          <w:rFonts w:ascii="Arial" w:hAnsi="Arial" w:cs="Arial"/>
          <w:sz w:val="21"/>
          <w:szCs w:val="21"/>
        </w:rPr>
      </w:pPr>
      <w:r>
        <w:rPr>
          <w:rFonts w:ascii="Arial" w:hAnsi="Arial" w:cs="Arial"/>
          <w:sz w:val="21"/>
          <w:szCs w:val="21"/>
        </w:rPr>
        <w:t>“</w:t>
      </w:r>
      <w:r w:rsidR="00D66661" w:rsidRPr="00960AA0">
        <w:rPr>
          <w:rFonts w:ascii="Arial" w:hAnsi="Arial" w:cs="Arial"/>
          <w:sz w:val="21"/>
          <w:szCs w:val="21"/>
        </w:rPr>
        <w:t xml:space="preserve">The Panel is aware that some commissioners may, for the purposes of Regulation 24, distinguish between evaluators and the official(s) responsible for accepting or rejecting the results of a provider selection process. The Panel is not, however, persuaded that such a distinction has merit. Evaluators are responsible for deciding the scores to be awarded to bidders’ responses and, as such, have a decision making role. That is, evaluators fall within the definition of </w:t>
      </w:r>
      <w:r w:rsidR="00942FC1">
        <w:rPr>
          <w:rFonts w:ascii="Arial" w:hAnsi="Arial" w:cs="Arial"/>
          <w:sz w:val="21"/>
          <w:szCs w:val="21"/>
        </w:rPr>
        <w:t>‘</w:t>
      </w:r>
      <w:r w:rsidR="00D66661" w:rsidRPr="00960AA0">
        <w:rPr>
          <w:rFonts w:ascii="Arial" w:hAnsi="Arial" w:cs="Arial"/>
          <w:sz w:val="21"/>
          <w:szCs w:val="21"/>
        </w:rPr>
        <w:t>individuals making decisions</w:t>
      </w:r>
      <w:r w:rsidR="00942FC1">
        <w:rPr>
          <w:rFonts w:ascii="Arial" w:hAnsi="Arial" w:cs="Arial"/>
          <w:sz w:val="21"/>
          <w:szCs w:val="21"/>
        </w:rPr>
        <w:t>’</w:t>
      </w:r>
      <w:r w:rsidR="00D66661" w:rsidRPr="00960AA0">
        <w:rPr>
          <w:rFonts w:ascii="Arial" w:hAnsi="Arial" w:cs="Arial"/>
          <w:sz w:val="21"/>
          <w:szCs w:val="21"/>
        </w:rPr>
        <w:t xml:space="preserve"> for the purposes of Regulation 24.</w:t>
      </w:r>
    </w:p>
    <w:p w14:paraId="19C826F4" w14:textId="5F33C32A" w:rsidR="00D66661" w:rsidRPr="00960AA0" w:rsidRDefault="00960AA0" w:rsidP="00960AA0">
      <w:pPr>
        <w:pStyle w:val="ListParagraph"/>
        <w:spacing w:line="276" w:lineRule="auto"/>
        <w:ind w:left="993"/>
        <w:contextualSpacing w:val="0"/>
        <w:rPr>
          <w:rFonts w:ascii="Arial" w:hAnsi="Arial" w:cs="Arial"/>
          <w:sz w:val="21"/>
          <w:szCs w:val="21"/>
        </w:rPr>
      </w:pPr>
      <w:r>
        <w:rPr>
          <w:rFonts w:ascii="Arial" w:hAnsi="Arial" w:cs="Arial"/>
          <w:sz w:val="21"/>
          <w:szCs w:val="21"/>
        </w:rPr>
        <w:t>“</w:t>
      </w:r>
      <w:r w:rsidR="00D66661" w:rsidRPr="00960AA0">
        <w:rPr>
          <w:rFonts w:ascii="Arial" w:hAnsi="Arial" w:cs="Arial"/>
          <w:sz w:val="21"/>
          <w:szCs w:val="21"/>
        </w:rPr>
        <w:t>Moreover, the underlying purpose of requiring commissioners to keep a record of decision makers’ identity is to facilitate the transparency necessary to demonstrate that the provider selection process has been free of conflicts of interest and that those involved have sufficient expertise to make fair decisions. Excluding evaluators from the Regulation 24 record keeping requirement would defeat the underlying purpose of recording this information.</w:t>
      </w:r>
      <w:r>
        <w:rPr>
          <w:rFonts w:ascii="Arial" w:hAnsi="Arial" w:cs="Arial"/>
          <w:sz w:val="21"/>
          <w:szCs w:val="21"/>
        </w:rPr>
        <w:t>”</w:t>
      </w:r>
      <w:r>
        <w:rPr>
          <w:rStyle w:val="FootnoteReference"/>
          <w:rFonts w:ascii="Arial" w:hAnsi="Arial" w:cs="Arial"/>
          <w:sz w:val="21"/>
          <w:szCs w:val="21"/>
        </w:rPr>
        <w:footnoteReference w:id="40"/>
      </w:r>
    </w:p>
    <w:p w14:paraId="45DC63BB" w14:textId="7456B8EC" w:rsidR="00C50EE3" w:rsidRDefault="003C6108" w:rsidP="00C50EE3">
      <w:pPr>
        <w:pStyle w:val="ListParagraph"/>
        <w:numPr>
          <w:ilvl w:val="0"/>
          <w:numId w:val="2"/>
        </w:numPr>
        <w:spacing w:line="276" w:lineRule="auto"/>
        <w:ind w:left="567" w:hanging="567"/>
        <w:contextualSpacing w:val="0"/>
        <w:rPr>
          <w:rFonts w:ascii="Arial" w:hAnsi="Arial" w:cs="Arial"/>
        </w:rPr>
      </w:pPr>
      <w:r>
        <w:rPr>
          <w:rFonts w:ascii="Arial" w:hAnsi="Arial" w:cs="Arial"/>
        </w:rPr>
        <w:t>The Panel does not see any reason to co</w:t>
      </w:r>
      <w:r w:rsidR="00DB4A07">
        <w:rPr>
          <w:rFonts w:ascii="Arial" w:hAnsi="Arial" w:cs="Arial"/>
        </w:rPr>
        <w:t xml:space="preserve">nclude </w:t>
      </w:r>
      <w:r w:rsidR="00156FE4">
        <w:rPr>
          <w:rFonts w:ascii="Arial" w:hAnsi="Arial" w:cs="Arial"/>
        </w:rPr>
        <w:t xml:space="preserve">any </w:t>
      </w:r>
      <w:r w:rsidR="00DB4A07">
        <w:rPr>
          <w:rFonts w:ascii="Arial" w:hAnsi="Arial" w:cs="Arial"/>
        </w:rPr>
        <w:t xml:space="preserve">differently </w:t>
      </w:r>
      <w:r w:rsidR="003733BF">
        <w:rPr>
          <w:rFonts w:ascii="Arial" w:hAnsi="Arial" w:cs="Arial"/>
        </w:rPr>
        <w:t>in this case</w:t>
      </w:r>
      <w:r w:rsidR="00DB4A07">
        <w:rPr>
          <w:rFonts w:ascii="Arial" w:hAnsi="Arial" w:cs="Arial"/>
        </w:rPr>
        <w:t>.</w:t>
      </w:r>
      <w:r w:rsidR="003A01CE">
        <w:rPr>
          <w:rFonts w:ascii="Arial" w:hAnsi="Arial" w:cs="Arial"/>
        </w:rPr>
        <w:t xml:space="preserve"> </w:t>
      </w:r>
      <w:r w:rsidR="00F570A4">
        <w:rPr>
          <w:rFonts w:ascii="Arial" w:hAnsi="Arial" w:cs="Arial"/>
        </w:rPr>
        <w:t xml:space="preserve">That is, the Panel considers that </w:t>
      </w:r>
      <w:r w:rsidR="00840E05">
        <w:rPr>
          <w:rFonts w:ascii="Arial" w:hAnsi="Arial" w:cs="Arial"/>
        </w:rPr>
        <w:t>the</w:t>
      </w:r>
      <w:r w:rsidR="00F570A4">
        <w:rPr>
          <w:rFonts w:ascii="Arial" w:hAnsi="Arial" w:cs="Arial"/>
        </w:rPr>
        <w:t xml:space="preserve"> </w:t>
      </w:r>
      <w:r w:rsidR="00A02C24" w:rsidRPr="00BA693C">
        <w:rPr>
          <w:rFonts w:ascii="Arial" w:hAnsi="Arial" w:cs="Arial"/>
        </w:rPr>
        <w:t xml:space="preserve">evaluators </w:t>
      </w:r>
      <w:r w:rsidR="00D022F8">
        <w:rPr>
          <w:rFonts w:ascii="Arial" w:hAnsi="Arial" w:cs="Arial"/>
        </w:rPr>
        <w:t xml:space="preserve">in HNY ICB’s provider selection process </w:t>
      </w:r>
      <w:r w:rsidR="00C91C26">
        <w:rPr>
          <w:rFonts w:ascii="Arial" w:hAnsi="Arial" w:cs="Arial"/>
        </w:rPr>
        <w:t xml:space="preserve">for </w:t>
      </w:r>
      <w:r w:rsidR="00327691">
        <w:rPr>
          <w:rFonts w:ascii="Arial" w:hAnsi="Arial" w:cs="Arial"/>
        </w:rPr>
        <w:t xml:space="preserve">the </w:t>
      </w:r>
      <w:r w:rsidR="00BC55A5" w:rsidRPr="00BC55A5">
        <w:rPr>
          <w:rFonts w:ascii="Arial" w:hAnsi="Arial" w:cs="Arial"/>
        </w:rPr>
        <w:t xml:space="preserve">IMOS service in Humber and Yorkshire </w:t>
      </w:r>
      <w:r w:rsidR="00A02C24" w:rsidRPr="00BA693C">
        <w:rPr>
          <w:rFonts w:ascii="Arial" w:hAnsi="Arial" w:cs="Arial"/>
        </w:rPr>
        <w:t>are decision makers for the purposes of Regulation 24</w:t>
      </w:r>
      <w:r w:rsidR="00A02C24">
        <w:rPr>
          <w:rFonts w:ascii="Arial" w:hAnsi="Arial" w:cs="Arial"/>
        </w:rPr>
        <w:t xml:space="preserve">. </w:t>
      </w:r>
      <w:r w:rsidR="003A01CE">
        <w:rPr>
          <w:rFonts w:ascii="Arial" w:hAnsi="Arial" w:cs="Arial"/>
        </w:rPr>
        <w:t xml:space="preserve">As a result, the Panel </w:t>
      </w:r>
      <w:r w:rsidR="00984E18">
        <w:rPr>
          <w:rFonts w:ascii="Arial" w:hAnsi="Arial" w:cs="Arial"/>
        </w:rPr>
        <w:t>considers that</w:t>
      </w:r>
      <w:r w:rsidR="003A01CE">
        <w:rPr>
          <w:rFonts w:ascii="Arial" w:hAnsi="Arial" w:cs="Arial"/>
        </w:rPr>
        <w:t xml:space="preserve"> </w:t>
      </w:r>
      <w:r w:rsidR="00E77FFE">
        <w:rPr>
          <w:rFonts w:ascii="Arial" w:hAnsi="Arial" w:cs="Arial"/>
        </w:rPr>
        <w:t xml:space="preserve">HNY ICB’s </w:t>
      </w:r>
      <w:r w:rsidR="00EB603C">
        <w:rPr>
          <w:rFonts w:ascii="Arial" w:hAnsi="Arial" w:cs="Arial"/>
        </w:rPr>
        <w:t xml:space="preserve">explanation </w:t>
      </w:r>
      <w:r w:rsidR="00E77FFE">
        <w:rPr>
          <w:rFonts w:ascii="Arial" w:hAnsi="Arial" w:cs="Arial"/>
        </w:rPr>
        <w:t>for not providing Barkhill with the identity of evaluators</w:t>
      </w:r>
      <w:r w:rsidR="006E314B">
        <w:rPr>
          <w:rFonts w:ascii="Arial" w:hAnsi="Arial" w:cs="Arial"/>
        </w:rPr>
        <w:t>, in its response to Barkhill’s information request</w:t>
      </w:r>
      <w:r w:rsidR="002E35E5">
        <w:rPr>
          <w:rFonts w:ascii="Arial" w:hAnsi="Arial" w:cs="Arial"/>
        </w:rPr>
        <w:t xml:space="preserve"> </w:t>
      </w:r>
      <w:r w:rsidR="00740E07">
        <w:rPr>
          <w:rFonts w:ascii="Arial" w:hAnsi="Arial" w:cs="Arial"/>
        </w:rPr>
        <w:t>on 4 March 2025</w:t>
      </w:r>
      <w:r w:rsidR="00CF22BC">
        <w:rPr>
          <w:rFonts w:ascii="Arial" w:hAnsi="Arial" w:cs="Arial"/>
        </w:rPr>
        <w:t xml:space="preserve"> (i.e.</w:t>
      </w:r>
      <w:r w:rsidR="003B4DEE">
        <w:rPr>
          <w:rFonts w:ascii="Arial" w:hAnsi="Arial" w:cs="Arial"/>
        </w:rPr>
        <w:t xml:space="preserve"> that “the evaluators were not decision makers”</w:t>
      </w:r>
      <w:r w:rsidR="00CF22BC">
        <w:rPr>
          <w:rFonts w:ascii="Arial" w:hAnsi="Arial" w:cs="Arial"/>
        </w:rPr>
        <w:t>)</w:t>
      </w:r>
      <w:r w:rsidR="006113E5">
        <w:rPr>
          <w:rFonts w:ascii="Arial" w:hAnsi="Arial" w:cs="Arial"/>
        </w:rPr>
        <w:t xml:space="preserve"> is </w:t>
      </w:r>
      <w:r w:rsidR="00937D02">
        <w:rPr>
          <w:rFonts w:ascii="Arial" w:hAnsi="Arial" w:cs="Arial"/>
        </w:rPr>
        <w:t xml:space="preserve">not </w:t>
      </w:r>
      <w:r w:rsidR="00AD49AB">
        <w:rPr>
          <w:rFonts w:ascii="Arial" w:hAnsi="Arial" w:cs="Arial"/>
        </w:rPr>
        <w:t xml:space="preserve">valid as it </w:t>
      </w:r>
      <w:r w:rsidR="006113E5">
        <w:rPr>
          <w:rFonts w:ascii="Arial" w:hAnsi="Arial" w:cs="Arial"/>
        </w:rPr>
        <w:t xml:space="preserve">is </w:t>
      </w:r>
      <w:r w:rsidR="00937D02">
        <w:rPr>
          <w:rFonts w:ascii="Arial" w:hAnsi="Arial" w:cs="Arial"/>
        </w:rPr>
        <w:t xml:space="preserve">not consistent with the </w:t>
      </w:r>
      <w:r w:rsidR="00DE5D9C">
        <w:rPr>
          <w:rFonts w:ascii="Arial" w:hAnsi="Arial" w:cs="Arial"/>
        </w:rPr>
        <w:t xml:space="preserve">definition of </w:t>
      </w:r>
      <w:r w:rsidR="00142CBD">
        <w:rPr>
          <w:rFonts w:ascii="Arial" w:hAnsi="Arial" w:cs="Arial"/>
        </w:rPr>
        <w:t xml:space="preserve">“decision makers” </w:t>
      </w:r>
      <w:r w:rsidR="00060B6F">
        <w:rPr>
          <w:rFonts w:ascii="Arial" w:hAnsi="Arial" w:cs="Arial"/>
        </w:rPr>
        <w:t>for the purposes of</w:t>
      </w:r>
      <w:r w:rsidR="00142CBD">
        <w:rPr>
          <w:rFonts w:ascii="Arial" w:hAnsi="Arial" w:cs="Arial"/>
        </w:rPr>
        <w:t xml:space="preserve"> Regulation 24(d)</w:t>
      </w:r>
      <w:r w:rsidR="00937D02">
        <w:rPr>
          <w:rFonts w:ascii="Arial" w:hAnsi="Arial" w:cs="Arial"/>
        </w:rPr>
        <w:t>.</w:t>
      </w:r>
    </w:p>
    <w:p w14:paraId="0B49AF67" w14:textId="7717D340" w:rsidR="00B23408" w:rsidRPr="00BA693C" w:rsidRDefault="001F3EA6" w:rsidP="00C50EE3">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further notes that </w:t>
      </w:r>
      <w:r w:rsidR="004F4972">
        <w:rPr>
          <w:rFonts w:ascii="Arial" w:hAnsi="Arial" w:cs="Arial"/>
        </w:rPr>
        <w:t xml:space="preserve">even if evaluators were not decision makers </w:t>
      </w:r>
      <w:r w:rsidR="001E1D5F">
        <w:rPr>
          <w:rFonts w:ascii="Arial" w:hAnsi="Arial" w:cs="Arial"/>
        </w:rPr>
        <w:t>f</w:t>
      </w:r>
      <w:r w:rsidR="00056EA3">
        <w:rPr>
          <w:rFonts w:ascii="Arial" w:hAnsi="Arial" w:cs="Arial"/>
        </w:rPr>
        <w:t xml:space="preserve">or the purposes of Regulation 24(d), </w:t>
      </w:r>
      <w:r w:rsidR="00534139">
        <w:rPr>
          <w:rFonts w:ascii="Arial" w:hAnsi="Arial" w:cs="Arial"/>
        </w:rPr>
        <w:t xml:space="preserve">commissioners would still be obliged to keep a record of </w:t>
      </w:r>
      <w:r w:rsidR="00367D53">
        <w:rPr>
          <w:rFonts w:ascii="Arial" w:hAnsi="Arial" w:cs="Arial"/>
        </w:rPr>
        <w:t xml:space="preserve">evaluators’ identities as part of their wider decision making record (e.g. </w:t>
      </w:r>
      <w:r w:rsidR="004763C9">
        <w:rPr>
          <w:rFonts w:ascii="Arial" w:hAnsi="Arial" w:cs="Arial"/>
        </w:rPr>
        <w:t xml:space="preserve">as part of the </w:t>
      </w:r>
      <w:r w:rsidR="00602273">
        <w:rPr>
          <w:rFonts w:ascii="Arial" w:hAnsi="Arial" w:cs="Arial"/>
        </w:rPr>
        <w:t>decision-making process</w:t>
      </w:r>
      <w:r w:rsidR="0026675B">
        <w:rPr>
          <w:rFonts w:ascii="Arial" w:hAnsi="Arial" w:cs="Arial"/>
        </w:rPr>
        <w:t>).</w:t>
      </w:r>
      <w:r w:rsidR="006E7679">
        <w:rPr>
          <w:rFonts w:ascii="Arial" w:hAnsi="Arial" w:cs="Arial"/>
        </w:rPr>
        <w:t xml:space="preserve"> </w:t>
      </w:r>
      <w:r w:rsidR="0023138F">
        <w:rPr>
          <w:rFonts w:ascii="Arial" w:hAnsi="Arial" w:cs="Arial"/>
        </w:rPr>
        <w:t xml:space="preserve">As a result, </w:t>
      </w:r>
      <w:r w:rsidR="001E1421">
        <w:rPr>
          <w:rFonts w:ascii="Arial" w:hAnsi="Arial" w:cs="Arial"/>
        </w:rPr>
        <w:t xml:space="preserve">information </w:t>
      </w:r>
      <w:r w:rsidR="0023138F">
        <w:rPr>
          <w:rFonts w:ascii="Arial" w:hAnsi="Arial" w:cs="Arial"/>
        </w:rPr>
        <w:t xml:space="preserve">on evaluators’ identities </w:t>
      </w:r>
      <w:r w:rsidR="002F1E8D">
        <w:rPr>
          <w:rFonts w:ascii="Arial" w:hAnsi="Arial" w:cs="Arial"/>
        </w:rPr>
        <w:t xml:space="preserve">is </w:t>
      </w:r>
      <w:r w:rsidR="001E1421">
        <w:rPr>
          <w:rFonts w:ascii="Arial" w:hAnsi="Arial" w:cs="Arial"/>
        </w:rPr>
        <w:t xml:space="preserve">disclosable </w:t>
      </w:r>
      <w:r w:rsidR="004D1E28">
        <w:rPr>
          <w:rFonts w:ascii="Arial" w:hAnsi="Arial" w:cs="Arial"/>
        </w:rPr>
        <w:t>under Regulation 12(4)</w:t>
      </w:r>
      <w:r w:rsidR="005C4C60">
        <w:rPr>
          <w:rFonts w:ascii="Arial" w:hAnsi="Arial" w:cs="Arial"/>
        </w:rPr>
        <w:t xml:space="preserve"> even if evaluators </w:t>
      </w:r>
      <w:r w:rsidR="004C3243">
        <w:rPr>
          <w:rFonts w:ascii="Arial" w:hAnsi="Arial" w:cs="Arial"/>
        </w:rPr>
        <w:t>are</w:t>
      </w:r>
      <w:r w:rsidR="005C4C60">
        <w:rPr>
          <w:rFonts w:ascii="Arial" w:hAnsi="Arial" w:cs="Arial"/>
        </w:rPr>
        <w:t xml:space="preserve"> not considered to be decision makers</w:t>
      </w:r>
      <w:r w:rsidR="004D1E28">
        <w:rPr>
          <w:rFonts w:ascii="Arial" w:hAnsi="Arial" w:cs="Arial"/>
        </w:rPr>
        <w:t>.</w:t>
      </w:r>
    </w:p>
    <w:p w14:paraId="3A6303B8" w14:textId="06043F96" w:rsidR="00672BAC" w:rsidRPr="00CE5F3A" w:rsidRDefault="009C03AE">
      <w:pPr>
        <w:pStyle w:val="ListParagraph"/>
        <w:numPr>
          <w:ilvl w:val="0"/>
          <w:numId w:val="2"/>
        </w:numPr>
        <w:spacing w:line="276" w:lineRule="auto"/>
        <w:ind w:left="567" w:hanging="567"/>
        <w:contextualSpacing w:val="0"/>
        <w:rPr>
          <w:rFonts w:ascii="Arial" w:hAnsi="Arial" w:cs="Arial"/>
        </w:rPr>
      </w:pPr>
      <w:bookmarkStart w:id="38" w:name="_Ref197089667"/>
      <w:r w:rsidRPr="00CE5F3A">
        <w:rPr>
          <w:rFonts w:ascii="Arial" w:hAnsi="Arial" w:cs="Arial"/>
        </w:rPr>
        <w:t xml:space="preserve">HNY ICB </w:t>
      </w:r>
      <w:r w:rsidR="0014780E" w:rsidRPr="00CE5F3A">
        <w:rPr>
          <w:rFonts w:ascii="Arial" w:hAnsi="Arial" w:cs="Arial"/>
        </w:rPr>
        <w:t>told the Panel</w:t>
      </w:r>
      <w:r w:rsidR="00F50DFC" w:rsidRPr="00CE5F3A">
        <w:rPr>
          <w:rFonts w:ascii="Arial" w:hAnsi="Arial" w:cs="Arial"/>
        </w:rPr>
        <w:t>, having refused to supply the information on evaluators’ identities,</w:t>
      </w:r>
      <w:r w:rsidRPr="00CE5F3A">
        <w:rPr>
          <w:rFonts w:ascii="Arial" w:hAnsi="Arial" w:cs="Arial"/>
        </w:rPr>
        <w:t xml:space="preserve"> that it </w:t>
      </w:r>
      <w:r w:rsidR="0000067C" w:rsidRPr="00CE5F3A">
        <w:rPr>
          <w:rFonts w:ascii="Arial" w:hAnsi="Arial" w:cs="Arial"/>
        </w:rPr>
        <w:t xml:space="preserve">would like to </w:t>
      </w:r>
      <w:r w:rsidRPr="00CE5F3A">
        <w:rPr>
          <w:rFonts w:ascii="Arial" w:hAnsi="Arial" w:cs="Arial"/>
        </w:rPr>
        <w:t>rely on Regulation 12(5)</w:t>
      </w:r>
      <w:r w:rsidR="0000067C" w:rsidRPr="00CE5F3A">
        <w:rPr>
          <w:rFonts w:ascii="Arial" w:hAnsi="Arial" w:cs="Arial"/>
        </w:rPr>
        <w:t xml:space="preserve"> as the basis for not providing Barkhill with information on evaluators’ identities.</w:t>
      </w:r>
      <w:r w:rsidR="005C26C7">
        <w:rPr>
          <w:rStyle w:val="FootnoteReference"/>
          <w:rFonts w:ascii="Arial" w:hAnsi="Arial" w:cs="Arial"/>
        </w:rPr>
        <w:footnoteReference w:id="41"/>
      </w:r>
      <w:r w:rsidR="0000067C" w:rsidRPr="00CE5F3A">
        <w:rPr>
          <w:rFonts w:ascii="Arial" w:hAnsi="Arial" w:cs="Arial"/>
        </w:rPr>
        <w:t xml:space="preserve"> </w:t>
      </w:r>
      <w:r w:rsidR="005C544D" w:rsidRPr="00CE5F3A">
        <w:rPr>
          <w:rFonts w:ascii="Arial" w:hAnsi="Arial" w:cs="Arial"/>
        </w:rPr>
        <w:t>Regulation 12(5)</w:t>
      </w:r>
      <w:r w:rsidR="0075265A" w:rsidRPr="00CE5F3A">
        <w:rPr>
          <w:rFonts w:ascii="Arial" w:hAnsi="Arial" w:cs="Arial"/>
        </w:rPr>
        <w:t xml:space="preserve"> </w:t>
      </w:r>
      <w:r w:rsidR="003C6AA5" w:rsidRPr="00CE5F3A">
        <w:rPr>
          <w:rFonts w:ascii="Arial" w:hAnsi="Arial" w:cs="Arial"/>
        </w:rPr>
        <w:t xml:space="preserve">says </w:t>
      </w:r>
      <w:r w:rsidR="00D55339" w:rsidRPr="00CE5F3A">
        <w:rPr>
          <w:rFonts w:ascii="Arial" w:hAnsi="Arial" w:cs="Arial"/>
        </w:rPr>
        <w:t xml:space="preserve">that </w:t>
      </w:r>
      <w:r w:rsidR="00D55339" w:rsidRPr="00CE5F3A">
        <w:rPr>
          <w:rFonts w:ascii="Arial" w:hAnsi="Arial" w:cs="Arial"/>
          <w:bCs/>
        </w:rPr>
        <w:t xml:space="preserve">commissioners do </w:t>
      </w:r>
      <w:r w:rsidR="00D55339" w:rsidRPr="00CE5F3A">
        <w:rPr>
          <w:rFonts w:ascii="Arial" w:hAnsi="Arial" w:cs="Arial"/>
        </w:rPr>
        <w:t>not</w:t>
      </w:r>
      <w:r w:rsidR="00D55339" w:rsidRPr="00CE5F3A">
        <w:rPr>
          <w:rFonts w:ascii="Arial" w:hAnsi="Arial" w:cs="Arial"/>
          <w:bCs/>
        </w:rPr>
        <w:t xml:space="preserve"> have to supply </w:t>
      </w:r>
      <w:r w:rsidR="009712AE">
        <w:rPr>
          <w:rFonts w:ascii="Arial" w:hAnsi="Arial" w:cs="Arial"/>
          <w:bCs/>
        </w:rPr>
        <w:t xml:space="preserve">requested </w:t>
      </w:r>
      <w:r w:rsidR="00D55339" w:rsidRPr="00CE5F3A">
        <w:rPr>
          <w:rFonts w:ascii="Arial" w:hAnsi="Arial" w:cs="Arial"/>
          <w:bCs/>
        </w:rPr>
        <w:t>information where it “</w:t>
      </w:r>
      <w:r w:rsidR="00D55339" w:rsidRPr="00CE5F3A">
        <w:rPr>
          <w:rFonts w:ascii="Arial" w:hAnsi="Arial" w:cs="Arial"/>
        </w:rPr>
        <w:t>would prejudice the legitimate commercial interests of any person, including those of the relevant authority”.</w:t>
      </w:r>
      <w:bookmarkEnd w:id="38"/>
    </w:p>
    <w:p w14:paraId="7518BEE6" w14:textId="49DE19AF" w:rsidR="00D55339" w:rsidRDefault="00E07006" w:rsidP="00BC240C">
      <w:pPr>
        <w:pStyle w:val="ListParagraph"/>
        <w:numPr>
          <w:ilvl w:val="0"/>
          <w:numId w:val="2"/>
        </w:numPr>
        <w:spacing w:line="276" w:lineRule="auto"/>
        <w:ind w:left="567" w:hanging="567"/>
        <w:contextualSpacing w:val="0"/>
        <w:rPr>
          <w:rFonts w:ascii="Arial" w:hAnsi="Arial" w:cs="Arial"/>
        </w:rPr>
      </w:pPr>
      <w:bookmarkStart w:id="39" w:name="_Ref197089673"/>
      <w:r>
        <w:rPr>
          <w:rFonts w:ascii="Arial" w:hAnsi="Arial" w:cs="Arial"/>
        </w:rPr>
        <w:t>HNY ICB</w:t>
      </w:r>
      <w:r w:rsidR="00EA5BC7">
        <w:rPr>
          <w:rFonts w:ascii="Arial" w:hAnsi="Arial" w:cs="Arial"/>
        </w:rPr>
        <w:t xml:space="preserve"> explain</w:t>
      </w:r>
      <w:r>
        <w:rPr>
          <w:rFonts w:ascii="Arial" w:hAnsi="Arial" w:cs="Arial"/>
        </w:rPr>
        <w:t xml:space="preserve">ed </w:t>
      </w:r>
      <w:r w:rsidR="003A75EF">
        <w:rPr>
          <w:rFonts w:ascii="Arial" w:hAnsi="Arial" w:cs="Arial"/>
        </w:rPr>
        <w:t>to the Panel</w:t>
      </w:r>
      <w:r>
        <w:rPr>
          <w:rFonts w:ascii="Arial" w:hAnsi="Arial" w:cs="Arial"/>
        </w:rPr>
        <w:t xml:space="preserve"> that </w:t>
      </w:r>
      <w:r w:rsidR="00EA5BC7">
        <w:rPr>
          <w:rFonts w:ascii="Arial" w:hAnsi="Arial" w:cs="Arial"/>
        </w:rPr>
        <w:t>provi</w:t>
      </w:r>
      <w:r w:rsidR="00D865E8">
        <w:rPr>
          <w:rFonts w:ascii="Arial" w:hAnsi="Arial" w:cs="Arial"/>
        </w:rPr>
        <w:t>ding</w:t>
      </w:r>
      <w:r w:rsidR="00EA5BC7">
        <w:rPr>
          <w:rFonts w:ascii="Arial" w:hAnsi="Arial" w:cs="Arial"/>
        </w:rPr>
        <w:t xml:space="preserve"> this information would prejudice </w:t>
      </w:r>
      <w:r w:rsidR="0063501A">
        <w:rPr>
          <w:rFonts w:ascii="Arial" w:hAnsi="Arial" w:cs="Arial"/>
        </w:rPr>
        <w:t>its legitimate commercial interests</w:t>
      </w:r>
      <w:r w:rsidR="0006304C">
        <w:rPr>
          <w:rFonts w:ascii="Arial" w:hAnsi="Arial" w:cs="Arial"/>
        </w:rPr>
        <w:t xml:space="preserve"> </w:t>
      </w:r>
      <w:r>
        <w:rPr>
          <w:rFonts w:ascii="Arial" w:hAnsi="Arial" w:cs="Arial"/>
        </w:rPr>
        <w:t>as a result of it</w:t>
      </w:r>
      <w:r w:rsidR="0006304C">
        <w:rPr>
          <w:rFonts w:ascii="Arial" w:hAnsi="Arial" w:cs="Arial"/>
        </w:rPr>
        <w:t xml:space="preserve"> discouraging </w:t>
      </w:r>
      <w:r w:rsidR="00426ACA">
        <w:rPr>
          <w:rFonts w:ascii="Arial" w:hAnsi="Arial" w:cs="Arial"/>
        </w:rPr>
        <w:t>staff from participating as evaluators</w:t>
      </w:r>
      <w:r w:rsidR="00AD58C6">
        <w:rPr>
          <w:rFonts w:ascii="Arial" w:hAnsi="Arial" w:cs="Arial"/>
        </w:rPr>
        <w:t xml:space="preserve"> </w:t>
      </w:r>
      <w:r w:rsidR="00526436">
        <w:rPr>
          <w:rFonts w:ascii="Arial" w:hAnsi="Arial" w:cs="Arial"/>
        </w:rPr>
        <w:t>(</w:t>
      </w:r>
      <w:r w:rsidR="00AD58C6">
        <w:rPr>
          <w:rFonts w:ascii="Arial" w:hAnsi="Arial" w:cs="Arial"/>
        </w:rPr>
        <w:t>due to the risk of potential unfounded challenge to their qualifications, personal animus</w:t>
      </w:r>
      <w:r w:rsidR="006457E2">
        <w:rPr>
          <w:rFonts w:ascii="Arial" w:hAnsi="Arial" w:cs="Arial"/>
        </w:rPr>
        <w:t xml:space="preserve"> from providers and unfounded accusations of bias</w:t>
      </w:r>
      <w:r w:rsidR="00526436">
        <w:rPr>
          <w:rFonts w:ascii="Arial" w:hAnsi="Arial" w:cs="Arial"/>
        </w:rPr>
        <w:t>)</w:t>
      </w:r>
      <w:r w:rsidR="00941492">
        <w:rPr>
          <w:rFonts w:ascii="Arial" w:hAnsi="Arial" w:cs="Arial"/>
        </w:rPr>
        <w:t xml:space="preserve">. </w:t>
      </w:r>
      <w:r w:rsidR="000C7EA6">
        <w:rPr>
          <w:rFonts w:ascii="Arial" w:hAnsi="Arial" w:cs="Arial"/>
        </w:rPr>
        <w:t xml:space="preserve">HNY ICB </w:t>
      </w:r>
      <w:r w:rsidR="0081320A">
        <w:rPr>
          <w:rFonts w:ascii="Arial" w:hAnsi="Arial" w:cs="Arial"/>
        </w:rPr>
        <w:t xml:space="preserve">also </w:t>
      </w:r>
      <w:r w:rsidR="000C7EA6">
        <w:rPr>
          <w:rFonts w:ascii="Arial" w:hAnsi="Arial" w:cs="Arial"/>
        </w:rPr>
        <w:lastRenderedPageBreak/>
        <w:t>said that it was not in the public interest to provide information on evaluators’ identities</w:t>
      </w:r>
      <w:r w:rsidR="00CB66DE">
        <w:rPr>
          <w:rFonts w:ascii="Arial" w:hAnsi="Arial" w:cs="Arial"/>
        </w:rPr>
        <w:t xml:space="preserve"> because of the privacy interests of the evaluators</w:t>
      </w:r>
      <w:r w:rsidR="0081320A">
        <w:rPr>
          <w:rFonts w:ascii="Arial" w:hAnsi="Arial" w:cs="Arial"/>
        </w:rPr>
        <w:t xml:space="preserve">. HNY ICB further said </w:t>
      </w:r>
      <w:r w:rsidR="00612338">
        <w:rPr>
          <w:rFonts w:ascii="Arial" w:hAnsi="Arial" w:cs="Arial"/>
        </w:rPr>
        <w:t xml:space="preserve">that providing this information was not something that </w:t>
      </w:r>
      <w:r w:rsidR="006B2AE0">
        <w:rPr>
          <w:rFonts w:ascii="Arial" w:hAnsi="Arial" w:cs="Arial"/>
        </w:rPr>
        <w:t xml:space="preserve">it </w:t>
      </w:r>
      <w:r w:rsidR="00612338">
        <w:rPr>
          <w:rFonts w:ascii="Arial" w:hAnsi="Arial" w:cs="Arial"/>
        </w:rPr>
        <w:t>would normally do in the context of, for example, freedom of information requests</w:t>
      </w:r>
      <w:r w:rsidR="00C8086F">
        <w:rPr>
          <w:rFonts w:ascii="Arial" w:hAnsi="Arial" w:cs="Arial"/>
        </w:rPr>
        <w:t>.</w:t>
      </w:r>
      <w:r w:rsidR="007318A6">
        <w:rPr>
          <w:rStyle w:val="FootnoteReference"/>
          <w:rFonts w:ascii="Arial" w:hAnsi="Arial" w:cs="Arial"/>
        </w:rPr>
        <w:footnoteReference w:id="42"/>
      </w:r>
      <w:bookmarkEnd w:id="39"/>
    </w:p>
    <w:p w14:paraId="6C445AA1" w14:textId="4C04D118" w:rsidR="007542F3" w:rsidRDefault="008D6130" w:rsidP="00BC240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notes that none of the reasons </w:t>
      </w:r>
      <w:r w:rsidR="00EB3CF4">
        <w:rPr>
          <w:rFonts w:ascii="Arial" w:hAnsi="Arial" w:cs="Arial"/>
        </w:rPr>
        <w:t xml:space="preserve">set out in paragraphs </w:t>
      </w:r>
      <w:r w:rsidR="00DD4795">
        <w:rPr>
          <w:rFonts w:ascii="Arial" w:hAnsi="Arial" w:cs="Arial"/>
        </w:rPr>
        <w:t>126</w:t>
      </w:r>
      <w:r w:rsidR="00EB3CF4">
        <w:rPr>
          <w:rFonts w:ascii="Arial" w:hAnsi="Arial" w:cs="Arial"/>
        </w:rPr>
        <w:t xml:space="preserve"> and </w:t>
      </w:r>
      <w:r w:rsidR="00DD4795">
        <w:rPr>
          <w:rFonts w:ascii="Arial" w:hAnsi="Arial" w:cs="Arial"/>
        </w:rPr>
        <w:t>127</w:t>
      </w:r>
      <w:r w:rsidR="00EB3CF4">
        <w:rPr>
          <w:rFonts w:ascii="Arial" w:hAnsi="Arial" w:cs="Arial"/>
        </w:rPr>
        <w:t xml:space="preserve"> were ad</w:t>
      </w:r>
      <w:r w:rsidR="005054A2">
        <w:rPr>
          <w:rFonts w:ascii="Arial" w:hAnsi="Arial" w:cs="Arial"/>
        </w:rPr>
        <w:t xml:space="preserve">vanced by HNY ICB at the time that it refused </w:t>
      </w:r>
      <w:r w:rsidR="00D37BB1">
        <w:rPr>
          <w:rFonts w:ascii="Arial" w:hAnsi="Arial" w:cs="Arial"/>
        </w:rPr>
        <w:t xml:space="preserve">Barkhill’s request for </w:t>
      </w:r>
      <w:r w:rsidR="001B0484">
        <w:rPr>
          <w:rFonts w:ascii="Arial" w:hAnsi="Arial" w:cs="Arial"/>
        </w:rPr>
        <w:t>its record of evaluators’ identities</w:t>
      </w:r>
      <w:r w:rsidR="00D37BB1">
        <w:rPr>
          <w:rFonts w:ascii="Arial" w:hAnsi="Arial" w:cs="Arial"/>
        </w:rPr>
        <w:t>.</w:t>
      </w:r>
      <w:r w:rsidR="00E730FF">
        <w:rPr>
          <w:rFonts w:ascii="Arial" w:hAnsi="Arial" w:cs="Arial"/>
        </w:rPr>
        <w:t xml:space="preserve"> </w:t>
      </w:r>
      <w:r w:rsidR="00F1699F">
        <w:rPr>
          <w:rFonts w:ascii="Arial" w:hAnsi="Arial" w:cs="Arial"/>
        </w:rPr>
        <w:t>That said</w:t>
      </w:r>
      <w:r w:rsidR="00E730FF">
        <w:rPr>
          <w:rFonts w:ascii="Arial" w:hAnsi="Arial" w:cs="Arial"/>
        </w:rPr>
        <w:t xml:space="preserve">, the </w:t>
      </w:r>
      <w:r w:rsidR="00AC2559">
        <w:rPr>
          <w:rFonts w:ascii="Arial" w:hAnsi="Arial" w:cs="Arial"/>
        </w:rPr>
        <w:t xml:space="preserve">following paragraphs set out the </w:t>
      </w:r>
      <w:r w:rsidR="00E730FF">
        <w:rPr>
          <w:rFonts w:ascii="Arial" w:hAnsi="Arial" w:cs="Arial"/>
        </w:rPr>
        <w:t>Panel</w:t>
      </w:r>
      <w:r w:rsidR="00AC2559">
        <w:rPr>
          <w:rFonts w:ascii="Arial" w:hAnsi="Arial" w:cs="Arial"/>
        </w:rPr>
        <w:t>’s</w:t>
      </w:r>
      <w:r w:rsidR="00E730FF">
        <w:rPr>
          <w:rFonts w:ascii="Arial" w:hAnsi="Arial" w:cs="Arial"/>
        </w:rPr>
        <w:t xml:space="preserve"> </w:t>
      </w:r>
      <w:r w:rsidR="00CC7E22">
        <w:rPr>
          <w:rFonts w:ascii="Arial" w:hAnsi="Arial" w:cs="Arial"/>
        </w:rPr>
        <w:t>views on the</w:t>
      </w:r>
      <w:r w:rsidR="00A503F4">
        <w:rPr>
          <w:rFonts w:ascii="Arial" w:hAnsi="Arial" w:cs="Arial"/>
        </w:rPr>
        <w:t>se</w:t>
      </w:r>
      <w:r w:rsidR="00D31A01">
        <w:rPr>
          <w:rFonts w:ascii="Arial" w:hAnsi="Arial" w:cs="Arial"/>
        </w:rPr>
        <w:t xml:space="preserve"> points </w:t>
      </w:r>
      <w:r w:rsidR="00A8331A">
        <w:rPr>
          <w:rFonts w:ascii="Arial" w:hAnsi="Arial" w:cs="Arial"/>
        </w:rPr>
        <w:t xml:space="preserve">so as to </w:t>
      </w:r>
      <w:r w:rsidR="00B20D90">
        <w:rPr>
          <w:rFonts w:ascii="Arial" w:hAnsi="Arial" w:cs="Arial"/>
        </w:rPr>
        <w:t xml:space="preserve">assist commissioners in responding to </w:t>
      </w:r>
      <w:r w:rsidR="00A8331A">
        <w:rPr>
          <w:rFonts w:ascii="Arial" w:hAnsi="Arial" w:cs="Arial"/>
        </w:rPr>
        <w:t xml:space="preserve">similar </w:t>
      </w:r>
      <w:r w:rsidR="00B20D90">
        <w:rPr>
          <w:rFonts w:ascii="Arial" w:hAnsi="Arial" w:cs="Arial"/>
        </w:rPr>
        <w:t xml:space="preserve">requests </w:t>
      </w:r>
      <w:r w:rsidR="00A8331A">
        <w:rPr>
          <w:rFonts w:ascii="Arial" w:hAnsi="Arial" w:cs="Arial"/>
        </w:rPr>
        <w:t>in the future</w:t>
      </w:r>
      <w:r w:rsidR="00B20D90">
        <w:rPr>
          <w:rFonts w:ascii="Arial" w:hAnsi="Arial" w:cs="Arial"/>
        </w:rPr>
        <w:t>.</w:t>
      </w:r>
    </w:p>
    <w:p w14:paraId="33F2EA10" w14:textId="593EF79F" w:rsidR="008E7314" w:rsidRDefault="0059591E" w:rsidP="00BC240C">
      <w:pPr>
        <w:pStyle w:val="ListParagraph"/>
        <w:numPr>
          <w:ilvl w:val="0"/>
          <w:numId w:val="2"/>
        </w:numPr>
        <w:spacing w:line="276" w:lineRule="auto"/>
        <w:ind w:left="567" w:hanging="567"/>
        <w:contextualSpacing w:val="0"/>
        <w:rPr>
          <w:rFonts w:ascii="Arial" w:hAnsi="Arial" w:cs="Arial"/>
        </w:rPr>
      </w:pPr>
      <w:r>
        <w:rPr>
          <w:rFonts w:ascii="Arial" w:hAnsi="Arial" w:cs="Arial"/>
        </w:rPr>
        <w:t>By way of an overview, t</w:t>
      </w:r>
      <w:r w:rsidR="001D0DB7">
        <w:rPr>
          <w:rFonts w:ascii="Arial" w:hAnsi="Arial" w:cs="Arial"/>
        </w:rPr>
        <w:t xml:space="preserve">he Panel has observed </w:t>
      </w:r>
      <w:r w:rsidR="00AF270F">
        <w:rPr>
          <w:rFonts w:ascii="Arial" w:hAnsi="Arial" w:cs="Arial"/>
        </w:rPr>
        <w:t xml:space="preserve">that some commissioners are </w:t>
      </w:r>
      <w:r w:rsidR="00946BC8">
        <w:rPr>
          <w:rFonts w:ascii="Arial" w:hAnsi="Arial" w:cs="Arial"/>
        </w:rPr>
        <w:t xml:space="preserve">willing </w:t>
      </w:r>
      <w:r w:rsidR="00AF270F">
        <w:rPr>
          <w:rFonts w:ascii="Arial" w:hAnsi="Arial" w:cs="Arial"/>
        </w:rPr>
        <w:t xml:space="preserve">to </w:t>
      </w:r>
      <w:r w:rsidR="00DA19BF">
        <w:rPr>
          <w:rFonts w:ascii="Arial" w:hAnsi="Arial" w:cs="Arial"/>
        </w:rPr>
        <w:t>disclos</w:t>
      </w:r>
      <w:r w:rsidR="00AF270F">
        <w:rPr>
          <w:rFonts w:ascii="Arial" w:hAnsi="Arial" w:cs="Arial"/>
        </w:rPr>
        <w:t xml:space="preserve">e </w:t>
      </w:r>
      <w:r w:rsidR="00DA19BF">
        <w:rPr>
          <w:rFonts w:ascii="Arial" w:hAnsi="Arial" w:cs="Arial"/>
        </w:rPr>
        <w:t xml:space="preserve">evaluators’ </w:t>
      </w:r>
      <w:r w:rsidR="00371E51">
        <w:rPr>
          <w:rFonts w:ascii="Arial" w:hAnsi="Arial" w:cs="Arial"/>
        </w:rPr>
        <w:t>names</w:t>
      </w:r>
      <w:r w:rsidR="00B573C2">
        <w:rPr>
          <w:rFonts w:ascii="Arial" w:hAnsi="Arial" w:cs="Arial"/>
        </w:rPr>
        <w:t>,</w:t>
      </w:r>
      <w:r w:rsidR="00371E51">
        <w:rPr>
          <w:rFonts w:ascii="Arial" w:hAnsi="Arial" w:cs="Arial"/>
        </w:rPr>
        <w:t xml:space="preserve"> </w:t>
      </w:r>
      <w:r w:rsidR="007F4908">
        <w:rPr>
          <w:rFonts w:ascii="Arial" w:hAnsi="Arial" w:cs="Arial"/>
        </w:rPr>
        <w:t xml:space="preserve">relevant professional </w:t>
      </w:r>
      <w:r w:rsidR="00371E51">
        <w:rPr>
          <w:rFonts w:ascii="Arial" w:hAnsi="Arial" w:cs="Arial"/>
        </w:rPr>
        <w:t xml:space="preserve">experience and </w:t>
      </w:r>
      <w:r w:rsidR="00AF270F">
        <w:rPr>
          <w:rFonts w:ascii="Arial" w:hAnsi="Arial" w:cs="Arial"/>
        </w:rPr>
        <w:t xml:space="preserve">their </w:t>
      </w:r>
      <w:r w:rsidR="00371E51">
        <w:rPr>
          <w:rFonts w:ascii="Arial" w:hAnsi="Arial" w:cs="Arial"/>
        </w:rPr>
        <w:t xml:space="preserve">role in the evaluation process </w:t>
      </w:r>
      <w:r w:rsidR="00AF270F">
        <w:rPr>
          <w:rFonts w:ascii="Arial" w:hAnsi="Arial" w:cs="Arial"/>
        </w:rPr>
        <w:t>while others</w:t>
      </w:r>
      <w:r w:rsidR="00632B63">
        <w:rPr>
          <w:rFonts w:ascii="Arial" w:hAnsi="Arial" w:cs="Arial"/>
        </w:rPr>
        <w:t>, similar to HNY ICB, are more reticent</w:t>
      </w:r>
      <w:r w:rsidR="00371E51">
        <w:rPr>
          <w:rFonts w:ascii="Arial" w:hAnsi="Arial" w:cs="Arial"/>
        </w:rPr>
        <w:t xml:space="preserve">. </w:t>
      </w:r>
      <w:r w:rsidR="00D85D62">
        <w:rPr>
          <w:rFonts w:ascii="Arial" w:hAnsi="Arial" w:cs="Arial"/>
        </w:rPr>
        <w:t>Th</w:t>
      </w:r>
      <w:r w:rsidR="00CB35D0">
        <w:rPr>
          <w:rFonts w:ascii="Arial" w:hAnsi="Arial" w:cs="Arial"/>
        </w:rPr>
        <w:t xml:space="preserve">e fact that some commissioners </w:t>
      </w:r>
      <w:r w:rsidR="00FE0E39">
        <w:rPr>
          <w:rFonts w:ascii="Arial" w:hAnsi="Arial" w:cs="Arial"/>
        </w:rPr>
        <w:t xml:space="preserve">are willing to </w:t>
      </w:r>
      <w:r w:rsidR="00CB35D0">
        <w:rPr>
          <w:rFonts w:ascii="Arial" w:hAnsi="Arial" w:cs="Arial"/>
        </w:rPr>
        <w:t xml:space="preserve">disclose </w:t>
      </w:r>
      <w:r w:rsidR="00FE0E39">
        <w:rPr>
          <w:rFonts w:ascii="Arial" w:hAnsi="Arial" w:cs="Arial"/>
        </w:rPr>
        <w:t xml:space="preserve">this </w:t>
      </w:r>
      <w:r w:rsidR="00CB35D0">
        <w:rPr>
          <w:rFonts w:ascii="Arial" w:hAnsi="Arial" w:cs="Arial"/>
        </w:rPr>
        <w:t>information suggests</w:t>
      </w:r>
      <w:r w:rsidR="00050990">
        <w:rPr>
          <w:rFonts w:ascii="Arial" w:hAnsi="Arial" w:cs="Arial"/>
        </w:rPr>
        <w:t xml:space="preserve"> that </w:t>
      </w:r>
      <w:r w:rsidR="0018427A">
        <w:rPr>
          <w:rFonts w:ascii="Arial" w:hAnsi="Arial" w:cs="Arial"/>
        </w:rPr>
        <w:t xml:space="preserve">HNY ICB’s </w:t>
      </w:r>
      <w:r w:rsidR="00050990">
        <w:rPr>
          <w:rFonts w:ascii="Arial" w:hAnsi="Arial" w:cs="Arial"/>
        </w:rPr>
        <w:t xml:space="preserve">concerns </w:t>
      </w:r>
      <w:r w:rsidR="0018427A">
        <w:rPr>
          <w:rFonts w:ascii="Arial" w:hAnsi="Arial" w:cs="Arial"/>
        </w:rPr>
        <w:t xml:space="preserve">about the potential adverse effects of </w:t>
      </w:r>
      <w:r w:rsidR="00050990">
        <w:rPr>
          <w:rFonts w:ascii="Arial" w:hAnsi="Arial" w:cs="Arial"/>
        </w:rPr>
        <w:t>disclos</w:t>
      </w:r>
      <w:r w:rsidR="0018427A">
        <w:rPr>
          <w:rFonts w:ascii="Arial" w:hAnsi="Arial" w:cs="Arial"/>
        </w:rPr>
        <w:t>ing</w:t>
      </w:r>
      <w:r w:rsidR="00050990">
        <w:rPr>
          <w:rFonts w:ascii="Arial" w:hAnsi="Arial" w:cs="Arial"/>
        </w:rPr>
        <w:t xml:space="preserve"> evaluators’ identities </w:t>
      </w:r>
      <w:r w:rsidR="00155C35">
        <w:rPr>
          <w:rFonts w:ascii="Arial" w:hAnsi="Arial" w:cs="Arial"/>
        </w:rPr>
        <w:t xml:space="preserve">do not </w:t>
      </w:r>
      <w:r w:rsidR="00A81358">
        <w:rPr>
          <w:rFonts w:ascii="Arial" w:hAnsi="Arial" w:cs="Arial"/>
        </w:rPr>
        <w:t xml:space="preserve">necessarily </w:t>
      </w:r>
      <w:r w:rsidR="00050990">
        <w:rPr>
          <w:rFonts w:ascii="Arial" w:hAnsi="Arial" w:cs="Arial"/>
        </w:rPr>
        <w:t xml:space="preserve">apply all </w:t>
      </w:r>
      <w:r w:rsidR="00951520">
        <w:rPr>
          <w:rFonts w:ascii="Arial" w:hAnsi="Arial" w:cs="Arial"/>
        </w:rPr>
        <w:t xml:space="preserve">of </w:t>
      </w:r>
      <w:r w:rsidR="00050990">
        <w:rPr>
          <w:rFonts w:ascii="Arial" w:hAnsi="Arial" w:cs="Arial"/>
        </w:rPr>
        <w:t>the time.</w:t>
      </w:r>
    </w:p>
    <w:p w14:paraId="615642B8" w14:textId="000CBA02" w:rsidR="00050990" w:rsidRDefault="001C6555" w:rsidP="00DA1A1B">
      <w:pPr>
        <w:pStyle w:val="ListParagraph"/>
        <w:numPr>
          <w:ilvl w:val="0"/>
          <w:numId w:val="2"/>
        </w:numPr>
        <w:spacing w:after="120" w:line="276" w:lineRule="auto"/>
        <w:ind w:left="567" w:hanging="567"/>
        <w:contextualSpacing w:val="0"/>
        <w:rPr>
          <w:rFonts w:ascii="Arial" w:hAnsi="Arial" w:cs="Arial"/>
        </w:rPr>
      </w:pPr>
      <w:r>
        <w:rPr>
          <w:rFonts w:ascii="Arial" w:hAnsi="Arial" w:cs="Arial"/>
        </w:rPr>
        <w:t>Regarding the specific concerns raised by HNY ICB</w:t>
      </w:r>
      <w:r w:rsidR="00950F1E">
        <w:rPr>
          <w:rFonts w:ascii="Arial" w:hAnsi="Arial" w:cs="Arial"/>
        </w:rPr>
        <w:t>:</w:t>
      </w:r>
    </w:p>
    <w:p w14:paraId="362B2388" w14:textId="0F77760F" w:rsidR="000947C2" w:rsidRDefault="006322AF" w:rsidP="00761F1D">
      <w:pPr>
        <w:pStyle w:val="ListParagraph"/>
        <w:numPr>
          <w:ilvl w:val="0"/>
          <w:numId w:val="13"/>
        </w:numPr>
        <w:spacing w:after="120" w:line="276" w:lineRule="auto"/>
        <w:ind w:left="1276" w:hanging="357"/>
        <w:contextualSpacing w:val="0"/>
        <w:rPr>
          <w:rFonts w:ascii="Arial" w:hAnsi="Arial" w:cs="Arial"/>
        </w:rPr>
      </w:pPr>
      <w:r w:rsidRPr="00DA1A1B">
        <w:rPr>
          <w:rFonts w:ascii="Arial" w:hAnsi="Arial" w:cs="Arial"/>
          <w:i/>
          <w:iCs/>
        </w:rPr>
        <w:t>Providing information on evaluators’ identities would discourage staff from participating as evaluators</w:t>
      </w:r>
      <w:r w:rsidRPr="0067605E">
        <w:rPr>
          <w:rFonts w:ascii="Arial" w:hAnsi="Arial" w:cs="Arial"/>
        </w:rPr>
        <w:t>: the Panel notes</w:t>
      </w:r>
      <w:r w:rsidR="00624088">
        <w:rPr>
          <w:rFonts w:ascii="Arial" w:hAnsi="Arial" w:cs="Arial"/>
        </w:rPr>
        <w:t xml:space="preserve">, as per the </w:t>
      </w:r>
      <w:r w:rsidR="00FF0555">
        <w:rPr>
          <w:rFonts w:ascii="Arial" w:hAnsi="Arial" w:cs="Arial"/>
        </w:rPr>
        <w:t xml:space="preserve">previous </w:t>
      </w:r>
      <w:r w:rsidR="00624088">
        <w:rPr>
          <w:rFonts w:ascii="Arial" w:hAnsi="Arial" w:cs="Arial"/>
        </w:rPr>
        <w:t>paragraph,</w:t>
      </w:r>
      <w:r w:rsidRPr="0067605E">
        <w:rPr>
          <w:rFonts w:ascii="Arial" w:hAnsi="Arial" w:cs="Arial"/>
        </w:rPr>
        <w:t xml:space="preserve"> that </w:t>
      </w:r>
      <w:r w:rsidR="00624088">
        <w:rPr>
          <w:rFonts w:ascii="Arial" w:hAnsi="Arial" w:cs="Arial"/>
        </w:rPr>
        <w:t xml:space="preserve">while </w:t>
      </w:r>
      <w:r w:rsidR="00793327">
        <w:rPr>
          <w:rFonts w:ascii="Arial" w:hAnsi="Arial" w:cs="Arial"/>
        </w:rPr>
        <w:t xml:space="preserve">disclosing information on evaluators’ identities might discourage staff from participating as evaluators (assuming that </w:t>
      </w:r>
      <w:r w:rsidR="00572875">
        <w:rPr>
          <w:rFonts w:ascii="Arial" w:hAnsi="Arial" w:cs="Arial"/>
        </w:rPr>
        <w:t>such a choice is open to staff)</w:t>
      </w:r>
      <w:r w:rsidR="0085329B" w:rsidRPr="0067605E">
        <w:rPr>
          <w:rFonts w:ascii="Arial" w:hAnsi="Arial" w:cs="Arial"/>
        </w:rPr>
        <w:t xml:space="preserve">, </w:t>
      </w:r>
      <w:r w:rsidR="00D32092">
        <w:rPr>
          <w:rFonts w:ascii="Arial" w:hAnsi="Arial" w:cs="Arial"/>
        </w:rPr>
        <w:t>this</w:t>
      </w:r>
      <w:r w:rsidR="00624088">
        <w:rPr>
          <w:rFonts w:ascii="Arial" w:hAnsi="Arial" w:cs="Arial"/>
        </w:rPr>
        <w:t xml:space="preserve"> </w:t>
      </w:r>
      <w:r w:rsidR="0085329B" w:rsidRPr="0067605E">
        <w:rPr>
          <w:rFonts w:ascii="Arial" w:hAnsi="Arial" w:cs="Arial"/>
        </w:rPr>
        <w:t xml:space="preserve">will not </w:t>
      </w:r>
      <w:r w:rsidR="00624088">
        <w:rPr>
          <w:rFonts w:ascii="Arial" w:hAnsi="Arial" w:cs="Arial"/>
        </w:rPr>
        <w:t xml:space="preserve">necessarily </w:t>
      </w:r>
      <w:r w:rsidR="0085329B" w:rsidRPr="0067605E">
        <w:rPr>
          <w:rFonts w:ascii="Arial" w:hAnsi="Arial" w:cs="Arial"/>
        </w:rPr>
        <w:t>always be the case.</w:t>
      </w:r>
    </w:p>
    <w:p w14:paraId="2AB05800" w14:textId="67C4F0B5" w:rsidR="00A51ED3" w:rsidRPr="00BF3522" w:rsidRDefault="00F05F4D" w:rsidP="00761F1D">
      <w:pPr>
        <w:pStyle w:val="ListParagraph"/>
        <w:numPr>
          <w:ilvl w:val="0"/>
          <w:numId w:val="13"/>
        </w:numPr>
        <w:spacing w:after="120" w:line="276" w:lineRule="auto"/>
        <w:ind w:left="1276" w:hanging="357"/>
        <w:contextualSpacing w:val="0"/>
        <w:rPr>
          <w:rFonts w:ascii="Arial" w:hAnsi="Arial" w:cs="Arial"/>
        </w:rPr>
      </w:pPr>
      <w:r w:rsidRPr="00BF3522">
        <w:rPr>
          <w:rFonts w:ascii="Arial" w:hAnsi="Arial" w:cs="Arial"/>
          <w:i/>
          <w:iCs/>
        </w:rPr>
        <w:t>Risk of potential unfounded challenge to their qualifications, personal animus from providers and unfounded accusations of bias</w:t>
      </w:r>
      <w:r w:rsidRPr="00BF3522">
        <w:rPr>
          <w:rFonts w:ascii="Arial" w:hAnsi="Arial" w:cs="Arial"/>
        </w:rPr>
        <w:t xml:space="preserve">: the Panel acknowledges that unfounded challenge or accusations can be </w:t>
      </w:r>
      <w:r w:rsidR="00CF57ED" w:rsidRPr="00BF3522">
        <w:rPr>
          <w:rFonts w:ascii="Arial" w:hAnsi="Arial" w:cs="Arial"/>
        </w:rPr>
        <w:t xml:space="preserve">hurtful and distressing for staff. </w:t>
      </w:r>
      <w:r w:rsidR="00354E56" w:rsidRPr="00BF3522">
        <w:rPr>
          <w:rFonts w:ascii="Arial" w:hAnsi="Arial" w:cs="Arial"/>
        </w:rPr>
        <w:t xml:space="preserve">The Panel also notes that challenges to the integrity of procurement processes </w:t>
      </w:r>
      <w:r w:rsidR="0026049D" w:rsidRPr="00BF3522">
        <w:rPr>
          <w:rFonts w:ascii="Arial" w:hAnsi="Arial" w:cs="Arial"/>
        </w:rPr>
        <w:t xml:space="preserve">may be </w:t>
      </w:r>
      <w:r w:rsidR="00923F2C" w:rsidRPr="00BF3522">
        <w:rPr>
          <w:rFonts w:ascii="Arial" w:hAnsi="Arial" w:cs="Arial"/>
        </w:rPr>
        <w:t xml:space="preserve">more likely in an environment where transparency is limited and </w:t>
      </w:r>
      <w:r w:rsidR="00876BB1" w:rsidRPr="00BF3522">
        <w:rPr>
          <w:rFonts w:ascii="Arial" w:hAnsi="Arial" w:cs="Arial"/>
        </w:rPr>
        <w:t xml:space="preserve">commissioners can be accused of hiding information. </w:t>
      </w:r>
      <w:r w:rsidR="0088088A" w:rsidRPr="00BF3522">
        <w:rPr>
          <w:rFonts w:ascii="Arial" w:hAnsi="Arial" w:cs="Arial"/>
        </w:rPr>
        <w:t xml:space="preserve">The Panel considers that there is a balance to be struck between </w:t>
      </w:r>
      <w:r w:rsidR="00A4022A">
        <w:rPr>
          <w:rFonts w:ascii="Arial" w:hAnsi="Arial" w:cs="Arial"/>
        </w:rPr>
        <w:t>protecting staff from the risk of unfounded challenge</w:t>
      </w:r>
      <w:r w:rsidR="00750765" w:rsidRPr="00BF3522">
        <w:rPr>
          <w:rFonts w:ascii="Arial" w:hAnsi="Arial" w:cs="Arial"/>
        </w:rPr>
        <w:t xml:space="preserve">, and </w:t>
      </w:r>
      <w:r w:rsidR="00B3350E">
        <w:rPr>
          <w:rFonts w:ascii="Arial" w:hAnsi="Arial" w:cs="Arial"/>
        </w:rPr>
        <w:t>ensuring transparency and confidence in the provider selection process. T</w:t>
      </w:r>
      <w:r w:rsidR="00FA0267" w:rsidRPr="00BF3522">
        <w:rPr>
          <w:rFonts w:ascii="Arial" w:hAnsi="Arial" w:cs="Arial"/>
        </w:rPr>
        <w:t xml:space="preserve">he </w:t>
      </w:r>
      <w:r w:rsidR="00B3350E">
        <w:rPr>
          <w:rFonts w:ascii="Arial" w:hAnsi="Arial" w:cs="Arial"/>
        </w:rPr>
        <w:t xml:space="preserve">Panel further considers that the </w:t>
      </w:r>
      <w:r w:rsidR="00FA0267" w:rsidRPr="00BF3522">
        <w:rPr>
          <w:rFonts w:ascii="Arial" w:hAnsi="Arial" w:cs="Arial"/>
        </w:rPr>
        <w:t xml:space="preserve">appropriate balance </w:t>
      </w:r>
      <w:r w:rsidR="00B3350E">
        <w:rPr>
          <w:rFonts w:ascii="Arial" w:hAnsi="Arial" w:cs="Arial"/>
        </w:rPr>
        <w:t xml:space="preserve">between these two </w:t>
      </w:r>
      <w:r w:rsidR="00B611B0">
        <w:rPr>
          <w:rFonts w:ascii="Arial" w:hAnsi="Arial" w:cs="Arial"/>
        </w:rPr>
        <w:t xml:space="preserve">potentially competing aims </w:t>
      </w:r>
      <w:r w:rsidR="00271BD1" w:rsidRPr="00BF3522">
        <w:rPr>
          <w:rFonts w:ascii="Arial" w:hAnsi="Arial" w:cs="Arial"/>
        </w:rPr>
        <w:t xml:space="preserve">may </w:t>
      </w:r>
      <w:r w:rsidR="00FA0267" w:rsidRPr="00BF3522">
        <w:rPr>
          <w:rFonts w:ascii="Arial" w:hAnsi="Arial" w:cs="Arial"/>
        </w:rPr>
        <w:t>vary from case to case</w:t>
      </w:r>
      <w:r w:rsidR="002227BE" w:rsidRPr="00BF3522">
        <w:rPr>
          <w:rFonts w:ascii="Arial" w:hAnsi="Arial" w:cs="Arial"/>
        </w:rPr>
        <w:t>.</w:t>
      </w:r>
    </w:p>
    <w:p w14:paraId="2DC642CB" w14:textId="33DF1A9A" w:rsidR="00750765" w:rsidRPr="005A204E" w:rsidRDefault="00271BD1" w:rsidP="00984DEC">
      <w:pPr>
        <w:pStyle w:val="ListParagraph"/>
        <w:numPr>
          <w:ilvl w:val="0"/>
          <w:numId w:val="13"/>
        </w:numPr>
        <w:spacing w:line="276" w:lineRule="auto"/>
        <w:ind w:left="1276" w:hanging="357"/>
        <w:contextualSpacing w:val="0"/>
        <w:rPr>
          <w:rFonts w:ascii="Arial" w:hAnsi="Arial" w:cs="Arial"/>
        </w:rPr>
      </w:pPr>
      <w:r w:rsidRPr="1F838B14">
        <w:rPr>
          <w:rFonts w:ascii="Arial" w:hAnsi="Arial" w:cs="Arial"/>
          <w:i/>
          <w:iCs/>
        </w:rPr>
        <w:t>Not in the public interest to provide information on evaluators’ identities because of the privacy interests of the evaluators, and that providing this information was not something that the ICB would normally do in the context of, for example, freedom of information requests</w:t>
      </w:r>
      <w:r w:rsidRPr="1F838B14">
        <w:rPr>
          <w:rFonts w:ascii="Arial" w:hAnsi="Arial" w:cs="Arial"/>
        </w:rPr>
        <w:t xml:space="preserve">: </w:t>
      </w:r>
      <w:r w:rsidR="003B38B0" w:rsidRPr="1F838B14">
        <w:rPr>
          <w:rFonts w:ascii="Arial" w:hAnsi="Arial" w:cs="Arial"/>
        </w:rPr>
        <w:t xml:space="preserve">as per </w:t>
      </w:r>
      <w:r w:rsidRPr="1F838B14" w:rsidDel="002A6CE9">
        <w:rPr>
          <w:rFonts w:ascii="Arial" w:hAnsi="Arial" w:cs="Arial"/>
        </w:rPr>
        <w:t xml:space="preserve">the </w:t>
      </w:r>
      <w:r w:rsidR="00725B3F" w:rsidRPr="005A204E">
        <w:rPr>
          <w:rFonts w:ascii="Arial" w:hAnsi="Arial" w:cs="Arial"/>
        </w:rPr>
        <w:t>previous</w:t>
      </w:r>
      <w:r w:rsidRPr="1F838B14" w:rsidDel="00725B3F">
        <w:rPr>
          <w:rFonts w:ascii="Arial" w:hAnsi="Arial" w:cs="Arial"/>
        </w:rPr>
        <w:t xml:space="preserve"> </w:t>
      </w:r>
      <w:r w:rsidR="00725B3F" w:rsidRPr="1F838B14">
        <w:rPr>
          <w:rFonts w:ascii="Arial" w:hAnsi="Arial" w:cs="Arial"/>
        </w:rPr>
        <w:t>point</w:t>
      </w:r>
      <w:r w:rsidR="003B38B0" w:rsidRPr="1F838B14">
        <w:rPr>
          <w:rFonts w:ascii="Arial" w:hAnsi="Arial" w:cs="Arial"/>
        </w:rPr>
        <w:t xml:space="preserve">, </w:t>
      </w:r>
      <w:r w:rsidR="003B38B0">
        <w:rPr>
          <w:rFonts w:ascii="Arial" w:hAnsi="Arial" w:cs="Arial"/>
        </w:rPr>
        <w:t>t</w:t>
      </w:r>
      <w:r w:rsidR="00725B3F" w:rsidRPr="005A204E">
        <w:rPr>
          <w:rFonts w:ascii="Arial" w:hAnsi="Arial" w:cs="Arial"/>
        </w:rPr>
        <w:t>he</w:t>
      </w:r>
      <w:r w:rsidR="00725B3F" w:rsidRPr="1F838B14">
        <w:rPr>
          <w:rFonts w:ascii="Arial" w:hAnsi="Arial" w:cs="Arial"/>
        </w:rPr>
        <w:t xml:space="preserve"> Panel does not consider that </w:t>
      </w:r>
      <w:r w:rsidR="005E4C0D" w:rsidRPr="1F838B14">
        <w:rPr>
          <w:rFonts w:ascii="Arial" w:hAnsi="Arial" w:cs="Arial"/>
        </w:rPr>
        <w:t xml:space="preserve">evaluators’ </w:t>
      </w:r>
      <w:r w:rsidR="002E1C65" w:rsidRPr="1F838B14">
        <w:rPr>
          <w:rFonts w:ascii="Arial" w:hAnsi="Arial" w:cs="Arial"/>
        </w:rPr>
        <w:t xml:space="preserve">potential </w:t>
      </w:r>
      <w:r w:rsidR="005E4C0D" w:rsidRPr="1F838B14">
        <w:rPr>
          <w:rFonts w:ascii="Arial" w:hAnsi="Arial" w:cs="Arial"/>
        </w:rPr>
        <w:t xml:space="preserve">desire for </w:t>
      </w:r>
      <w:r w:rsidR="000B63D4" w:rsidRPr="1F838B14">
        <w:rPr>
          <w:rFonts w:ascii="Arial" w:hAnsi="Arial" w:cs="Arial"/>
        </w:rPr>
        <w:t xml:space="preserve">privacy </w:t>
      </w:r>
      <w:r w:rsidR="002E1C65" w:rsidRPr="1F838B14">
        <w:rPr>
          <w:rFonts w:ascii="Arial" w:hAnsi="Arial" w:cs="Arial"/>
        </w:rPr>
        <w:t xml:space="preserve">can </w:t>
      </w:r>
      <w:r w:rsidR="000B63D4" w:rsidRPr="1F838B14">
        <w:rPr>
          <w:rFonts w:ascii="Arial" w:hAnsi="Arial" w:cs="Arial"/>
        </w:rPr>
        <w:t xml:space="preserve">always </w:t>
      </w:r>
      <w:r w:rsidR="000B63D4" w:rsidRPr="005A204E">
        <w:rPr>
          <w:rFonts w:ascii="Arial" w:hAnsi="Arial" w:cs="Arial"/>
        </w:rPr>
        <w:t>outweigh</w:t>
      </w:r>
      <w:r w:rsidRPr="1F838B14" w:rsidDel="000B63D4">
        <w:rPr>
          <w:rFonts w:ascii="Arial" w:hAnsi="Arial" w:cs="Arial"/>
        </w:rPr>
        <w:t xml:space="preserve"> </w:t>
      </w:r>
      <w:r w:rsidR="000B63D4" w:rsidRPr="1F838B14">
        <w:rPr>
          <w:rFonts w:ascii="Arial" w:hAnsi="Arial" w:cs="Arial"/>
        </w:rPr>
        <w:t>all other considerations, including public interest</w:t>
      </w:r>
      <w:r w:rsidR="00B61A18" w:rsidRPr="1F838B14">
        <w:rPr>
          <w:rFonts w:ascii="Arial" w:hAnsi="Arial" w:cs="Arial"/>
        </w:rPr>
        <w:t xml:space="preserve"> </w:t>
      </w:r>
      <w:r w:rsidR="008F4646" w:rsidRPr="1F838B14">
        <w:rPr>
          <w:rFonts w:ascii="Arial" w:hAnsi="Arial" w:cs="Arial"/>
        </w:rPr>
        <w:t xml:space="preserve">requirements for </w:t>
      </w:r>
      <w:r w:rsidR="00B61A18" w:rsidRPr="1F838B14">
        <w:rPr>
          <w:rFonts w:ascii="Arial" w:hAnsi="Arial" w:cs="Arial"/>
        </w:rPr>
        <w:t xml:space="preserve">transparent </w:t>
      </w:r>
      <w:r w:rsidR="008F4646" w:rsidRPr="1F838B14">
        <w:rPr>
          <w:rFonts w:ascii="Arial" w:hAnsi="Arial" w:cs="Arial"/>
        </w:rPr>
        <w:t xml:space="preserve">procurement </w:t>
      </w:r>
      <w:r w:rsidR="00B61A18" w:rsidRPr="1F838B14">
        <w:rPr>
          <w:rFonts w:ascii="Arial" w:hAnsi="Arial" w:cs="Arial"/>
        </w:rPr>
        <w:t>process</w:t>
      </w:r>
      <w:r w:rsidR="008F4646" w:rsidRPr="1F838B14">
        <w:rPr>
          <w:rFonts w:ascii="Arial" w:hAnsi="Arial" w:cs="Arial"/>
        </w:rPr>
        <w:t>es</w:t>
      </w:r>
      <w:r w:rsidR="00B61A18" w:rsidRPr="1F838B14">
        <w:rPr>
          <w:rFonts w:ascii="Arial" w:hAnsi="Arial" w:cs="Arial"/>
        </w:rPr>
        <w:t xml:space="preserve">. </w:t>
      </w:r>
      <w:r w:rsidR="000E3CA1">
        <w:rPr>
          <w:rFonts w:ascii="Arial" w:hAnsi="Arial" w:cs="Arial"/>
        </w:rPr>
        <w:t>Case specific factors will impact on the privacy expectations of individual evaluators, such as their seniority and the nature of their role.</w:t>
      </w:r>
      <w:r w:rsidR="00B61A18" w:rsidRPr="005A204E">
        <w:rPr>
          <w:rFonts w:ascii="Arial" w:hAnsi="Arial" w:cs="Arial"/>
        </w:rPr>
        <w:t xml:space="preserve"> </w:t>
      </w:r>
      <w:r w:rsidR="00EC74C8" w:rsidRPr="1F838B14">
        <w:rPr>
          <w:rFonts w:ascii="Arial" w:hAnsi="Arial" w:cs="Arial"/>
        </w:rPr>
        <w:t xml:space="preserve">The Panel further notes that </w:t>
      </w:r>
      <w:r w:rsidR="009F7026" w:rsidRPr="1F838B14">
        <w:rPr>
          <w:rFonts w:ascii="Arial" w:hAnsi="Arial" w:cs="Arial"/>
        </w:rPr>
        <w:t xml:space="preserve">commissioners may be required to disclose evaluators’ identities </w:t>
      </w:r>
      <w:r w:rsidR="00EA1219" w:rsidRPr="1F838B14">
        <w:rPr>
          <w:rFonts w:ascii="Arial" w:hAnsi="Arial" w:cs="Arial"/>
        </w:rPr>
        <w:t xml:space="preserve">in </w:t>
      </w:r>
      <w:r w:rsidR="00B41A60" w:rsidRPr="1F838B14">
        <w:rPr>
          <w:rFonts w:ascii="Arial" w:hAnsi="Arial" w:cs="Arial"/>
        </w:rPr>
        <w:t>legal</w:t>
      </w:r>
      <w:r w:rsidR="00EA1219" w:rsidRPr="1F838B14">
        <w:rPr>
          <w:rFonts w:ascii="Arial" w:hAnsi="Arial" w:cs="Arial"/>
        </w:rPr>
        <w:t xml:space="preserve"> cases arising under the former Public Contracts Regulations (PCR) or the </w:t>
      </w:r>
      <w:r w:rsidR="00E9604C" w:rsidRPr="1F838B14">
        <w:rPr>
          <w:rFonts w:ascii="Arial" w:hAnsi="Arial" w:cs="Arial"/>
        </w:rPr>
        <w:t xml:space="preserve">new </w:t>
      </w:r>
      <w:r w:rsidR="00EA1219" w:rsidRPr="1F838B14">
        <w:rPr>
          <w:rFonts w:ascii="Arial" w:hAnsi="Arial" w:cs="Arial"/>
        </w:rPr>
        <w:t>Procurement Act</w:t>
      </w:r>
      <w:r w:rsidR="002E55E7" w:rsidRPr="1F838B14">
        <w:rPr>
          <w:rFonts w:ascii="Arial" w:hAnsi="Arial" w:cs="Arial"/>
        </w:rPr>
        <w:t>.</w:t>
      </w:r>
      <w:r w:rsidRPr="1F838B14" w:rsidDel="00EA1219">
        <w:rPr>
          <w:rFonts w:ascii="Arial" w:hAnsi="Arial" w:cs="Arial"/>
        </w:rPr>
        <w:t xml:space="preserve"> </w:t>
      </w:r>
      <w:r w:rsidR="002E55E7">
        <w:rPr>
          <w:rFonts w:ascii="Arial" w:hAnsi="Arial" w:cs="Arial"/>
        </w:rPr>
        <w:t>T</w:t>
      </w:r>
      <w:r w:rsidR="0050237A" w:rsidRPr="005A204E">
        <w:rPr>
          <w:rFonts w:ascii="Arial" w:hAnsi="Arial" w:cs="Arial"/>
        </w:rPr>
        <w:t>hese</w:t>
      </w:r>
      <w:r w:rsidRPr="1F838B14" w:rsidDel="0050237A">
        <w:rPr>
          <w:rFonts w:ascii="Arial" w:hAnsi="Arial" w:cs="Arial"/>
        </w:rPr>
        <w:t xml:space="preserve"> </w:t>
      </w:r>
      <w:r w:rsidR="00E779DC" w:rsidRPr="1F838B14">
        <w:rPr>
          <w:rFonts w:ascii="Arial" w:hAnsi="Arial" w:cs="Arial"/>
        </w:rPr>
        <w:t xml:space="preserve">legal </w:t>
      </w:r>
      <w:r w:rsidR="00E779DC" w:rsidRPr="1F838B14">
        <w:rPr>
          <w:rFonts w:ascii="Arial" w:hAnsi="Arial" w:cs="Arial"/>
        </w:rPr>
        <w:lastRenderedPageBreak/>
        <w:t>cases</w:t>
      </w:r>
      <w:r w:rsidR="00246BC2">
        <w:rPr>
          <w:rFonts w:ascii="Arial" w:hAnsi="Arial" w:cs="Arial"/>
        </w:rPr>
        <w:t>,</w:t>
      </w:r>
      <w:r w:rsidR="00E779DC" w:rsidRPr="1F838B14">
        <w:rPr>
          <w:rFonts w:ascii="Arial" w:hAnsi="Arial" w:cs="Arial"/>
        </w:rPr>
        <w:t xml:space="preserve"> </w:t>
      </w:r>
      <w:r w:rsidR="0074432B" w:rsidRPr="1F838B14">
        <w:rPr>
          <w:rFonts w:ascii="Arial" w:hAnsi="Arial" w:cs="Arial"/>
        </w:rPr>
        <w:t>rather than</w:t>
      </w:r>
      <w:r w:rsidR="006F3ECF" w:rsidRPr="1F838B14">
        <w:rPr>
          <w:rFonts w:ascii="Arial" w:hAnsi="Arial" w:cs="Arial"/>
        </w:rPr>
        <w:t xml:space="preserve"> </w:t>
      </w:r>
      <w:r w:rsidR="0074432B" w:rsidRPr="1F838B14">
        <w:rPr>
          <w:rFonts w:ascii="Arial" w:hAnsi="Arial" w:cs="Arial"/>
        </w:rPr>
        <w:t xml:space="preserve">freedom of information requests, </w:t>
      </w:r>
      <w:r w:rsidR="00E9604C" w:rsidRPr="1F838B14">
        <w:rPr>
          <w:rFonts w:ascii="Arial" w:hAnsi="Arial" w:cs="Arial"/>
        </w:rPr>
        <w:t xml:space="preserve">are likely to be </w:t>
      </w:r>
      <w:r w:rsidR="0050237A" w:rsidRPr="1F838B14">
        <w:rPr>
          <w:rFonts w:ascii="Arial" w:hAnsi="Arial" w:cs="Arial"/>
        </w:rPr>
        <w:t xml:space="preserve">a better comparator for considering </w:t>
      </w:r>
      <w:r w:rsidR="009B2A39" w:rsidRPr="1F838B14">
        <w:rPr>
          <w:rFonts w:ascii="Arial" w:hAnsi="Arial" w:cs="Arial"/>
        </w:rPr>
        <w:t xml:space="preserve">the appropriate level of disclosure under </w:t>
      </w:r>
      <w:r w:rsidR="00451AD5" w:rsidRPr="1F838B14">
        <w:rPr>
          <w:rFonts w:ascii="Arial" w:hAnsi="Arial" w:cs="Arial"/>
        </w:rPr>
        <w:t xml:space="preserve">the </w:t>
      </w:r>
      <w:r w:rsidR="009B2A39" w:rsidRPr="1F838B14">
        <w:rPr>
          <w:rFonts w:ascii="Arial" w:hAnsi="Arial" w:cs="Arial"/>
        </w:rPr>
        <w:t>PSR.</w:t>
      </w:r>
    </w:p>
    <w:p w14:paraId="4FEDB145" w14:textId="56BD8246" w:rsidR="009136D3" w:rsidRDefault="00D22FBC" w:rsidP="00B53B8A">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w:t>
      </w:r>
      <w:r w:rsidR="00CB069B">
        <w:rPr>
          <w:rFonts w:ascii="Arial" w:hAnsi="Arial" w:cs="Arial"/>
        </w:rPr>
        <w:t xml:space="preserve">also </w:t>
      </w:r>
      <w:r>
        <w:rPr>
          <w:rFonts w:ascii="Arial" w:hAnsi="Arial" w:cs="Arial"/>
        </w:rPr>
        <w:t xml:space="preserve">notes that </w:t>
      </w:r>
      <w:r w:rsidR="00B433C2" w:rsidRPr="00B53B8A">
        <w:rPr>
          <w:rFonts w:ascii="Arial" w:hAnsi="Arial" w:cs="Arial"/>
        </w:rPr>
        <w:t xml:space="preserve">disclosure of evaluators’ identities to an unsuccessful bidder </w:t>
      </w:r>
      <w:r w:rsidR="003E53DA">
        <w:rPr>
          <w:rFonts w:ascii="Arial" w:hAnsi="Arial" w:cs="Arial"/>
        </w:rPr>
        <w:t xml:space="preserve">who </w:t>
      </w:r>
      <w:r w:rsidR="00B56BB4" w:rsidRPr="00B53B8A">
        <w:rPr>
          <w:rFonts w:ascii="Arial" w:hAnsi="Arial" w:cs="Arial"/>
        </w:rPr>
        <w:t>mak</w:t>
      </w:r>
      <w:r w:rsidR="005D55B2">
        <w:rPr>
          <w:rFonts w:ascii="Arial" w:hAnsi="Arial" w:cs="Arial"/>
        </w:rPr>
        <w:t xml:space="preserve">es </w:t>
      </w:r>
      <w:r w:rsidR="00B56BB4" w:rsidRPr="00B53B8A">
        <w:rPr>
          <w:rFonts w:ascii="Arial" w:hAnsi="Arial" w:cs="Arial"/>
        </w:rPr>
        <w:t xml:space="preserve">a request </w:t>
      </w:r>
      <w:r w:rsidR="00D95F0E">
        <w:rPr>
          <w:rFonts w:ascii="Arial" w:hAnsi="Arial" w:cs="Arial"/>
        </w:rPr>
        <w:t xml:space="preserve">for a commissioner’s records </w:t>
      </w:r>
      <w:r w:rsidR="00B56BB4" w:rsidRPr="00B53B8A">
        <w:rPr>
          <w:rFonts w:ascii="Arial" w:hAnsi="Arial" w:cs="Arial"/>
        </w:rPr>
        <w:t xml:space="preserve">under </w:t>
      </w:r>
      <w:r w:rsidR="00B50D6A" w:rsidRPr="00B53B8A">
        <w:rPr>
          <w:rFonts w:ascii="Arial" w:hAnsi="Arial" w:cs="Arial"/>
        </w:rPr>
        <w:t xml:space="preserve">Regulation </w:t>
      </w:r>
      <w:r w:rsidR="00CE0300" w:rsidRPr="00B53B8A">
        <w:rPr>
          <w:rFonts w:ascii="Arial" w:hAnsi="Arial" w:cs="Arial"/>
        </w:rPr>
        <w:t xml:space="preserve">12(4) </w:t>
      </w:r>
      <w:r w:rsidR="00B433C2" w:rsidRPr="00B53B8A">
        <w:rPr>
          <w:rFonts w:ascii="Arial" w:hAnsi="Arial" w:cs="Arial"/>
        </w:rPr>
        <w:t xml:space="preserve">has different privacy implications to </w:t>
      </w:r>
      <w:r w:rsidR="0048221F" w:rsidRPr="00B53B8A">
        <w:rPr>
          <w:rFonts w:ascii="Arial" w:hAnsi="Arial" w:cs="Arial"/>
        </w:rPr>
        <w:t xml:space="preserve">disclosing identities to the public at large </w:t>
      </w:r>
      <w:r w:rsidR="00A05B32">
        <w:rPr>
          <w:rFonts w:ascii="Arial" w:hAnsi="Arial" w:cs="Arial"/>
        </w:rPr>
        <w:t xml:space="preserve">(e.g. </w:t>
      </w:r>
      <w:r w:rsidR="00BB7C33" w:rsidRPr="00B53B8A">
        <w:rPr>
          <w:rFonts w:ascii="Arial" w:hAnsi="Arial" w:cs="Arial"/>
        </w:rPr>
        <w:t xml:space="preserve">pursuant to </w:t>
      </w:r>
      <w:r w:rsidR="00A05B32">
        <w:rPr>
          <w:rFonts w:ascii="Arial" w:hAnsi="Arial" w:cs="Arial"/>
        </w:rPr>
        <w:t xml:space="preserve">the publication of a notice of intention to award a contract under </w:t>
      </w:r>
      <w:r w:rsidR="00BB7C33" w:rsidRPr="00B53B8A">
        <w:rPr>
          <w:rFonts w:ascii="Arial" w:hAnsi="Arial" w:cs="Arial"/>
        </w:rPr>
        <w:t>Regulation 11(9)</w:t>
      </w:r>
      <w:r w:rsidR="00CE0300" w:rsidRPr="00B53B8A">
        <w:rPr>
          <w:rFonts w:ascii="Arial" w:hAnsi="Arial" w:cs="Arial"/>
        </w:rPr>
        <w:t xml:space="preserve"> and Schedule 10</w:t>
      </w:r>
      <w:r w:rsidR="00A05B32">
        <w:rPr>
          <w:rFonts w:ascii="Arial" w:hAnsi="Arial" w:cs="Arial"/>
        </w:rPr>
        <w:t>)</w:t>
      </w:r>
      <w:r w:rsidR="00CE0300" w:rsidRPr="00B53B8A">
        <w:rPr>
          <w:rFonts w:ascii="Arial" w:hAnsi="Arial" w:cs="Arial"/>
        </w:rPr>
        <w:t>.</w:t>
      </w:r>
      <w:r w:rsidR="008C4C94">
        <w:rPr>
          <w:rStyle w:val="FootnoteReference"/>
          <w:rFonts w:ascii="Arial" w:hAnsi="Arial" w:cs="Arial"/>
        </w:rPr>
        <w:footnoteReference w:id="43"/>
      </w:r>
      <w:r w:rsidR="00B53B8A">
        <w:rPr>
          <w:rFonts w:ascii="Arial" w:hAnsi="Arial" w:cs="Arial"/>
        </w:rPr>
        <w:t xml:space="preserve"> This may mean that different approaches to disclos</w:t>
      </w:r>
      <w:r w:rsidR="00813A01">
        <w:rPr>
          <w:rFonts w:ascii="Arial" w:hAnsi="Arial" w:cs="Arial"/>
        </w:rPr>
        <w:t xml:space="preserve">ing evaluators’ identities </w:t>
      </w:r>
      <w:r w:rsidR="000E0E59">
        <w:rPr>
          <w:rFonts w:ascii="Arial" w:hAnsi="Arial" w:cs="Arial"/>
        </w:rPr>
        <w:t xml:space="preserve">may be appropriate </w:t>
      </w:r>
      <w:r w:rsidR="007768B0">
        <w:rPr>
          <w:rFonts w:ascii="Arial" w:hAnsi="Arial" w:cs="Arial"/>
        </w:rPr>
        <w:t xml:space="preserve">in a notice of intention </w:t>
      </w:r>
      <w:r w:rsidR="00EA63BC">
        <w:rPr>
          <w:rFonts w:ascii="Arial" w:hAnsi="Arial" w:cs="Arial"/>
        </w:rPr>
        <w:t xml:space="preserve">as compared to a </w:t>
      </w:r>
      <w:r w:rsidR="007768B0">
        <w:rPr>
          <w:rFonts w:ascii="Arial" w:hAnsi="Arial" w:cs="Arial"/>
        </w:rPr>
        <w:t xml:space="preserve">response to </w:t>
      </w:r>
      <w:r w:rsidR="001541A9">
        <w:rPr>
          <w:rFonts w:ascii="Arial" w:hAnsi="Arial" w:cs="Arial"/>
        </w:rPr>
        <w:t>a request by an unsuccessful bidder</w:t>
      </w:r>
      <w:r w:rsidR="000E0E59">
        <w:rPr>
          <w:rFonts w:ascii="Arial" w:hAnsi="Arial" w:cs="Arial"/>
        </w:rPr>
        <w:t>.</w:t>
      </w:r>
    </w:p>
    <w:p w14:paraId="4307CFC6" w14:textId="1B9E3F9E" w:rsidR="0019430B" w:rsidRDefault="003D6CBF" w:rsidP="00B53B8A">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Given this, the Panel’s view is that </w:t>
      </w:r>
      <w:r w:rsidR="006A454A">
        <w:rPr>
          <w:rFonts w:ascii="Arial" w:hAnsi="Arial" w:cs="Arial"/>
        </w:rPr>
        <w:t>the</w:t>
      </w:r>
      <w:r>
        <w:rPr>
          <w:rFonts w:ascii="Arial" w:hAnsi="Arial" w:cs="Arial"/>
        </w:rPr>
        <w:t xml:space="preserve"> number of instances where it is appropriate for a commissioner to refuse to share any information about evaluators’ identities</w:t>
      </w:r>
      <w:r w:rsidR="003B21A7">
        <w:rPr>
          <w:rFonts w:ascii="Arial" w:hAnsi="Arial" w:cs="Arial"/>
        </w:rPr>
        <w:t xml:space="preserve"> </w:t>
      </w:r>
      <w:r w:rsidR="007E5A4A">
        <w:rPr>
          <w:rFonts w:ascii="Arial" w:hAnsi="Arial" w:cs="Arial"/>
        </w:rPr>
        <w:t xml:space="preserve">is likely to </w:t>
      </w:r>
      <w:r w:rsidR="003B21A7">
        <w:rPr>
          <w:rFonts w:ascii="Arial" w:hAnsi="Arial" w:cs="Arial"/>
        </w:rPr>
        <w:t>be limited</w:t>
      </w:r>
      <w:r w:rsidR="005E50CA">
        <w:rPr>
          <w:rFonts w:ascii="Arial" w:hAnsi="Arial" w:cs="Arial"/>
        </w:rPr>
        <w:t xml:space="preserve">. The Panel expects </w:t>
      </w:r>
      <w:r>
        <w:rPr>
          <w:rFonts w:ascii="Arial" w:hAnsi="Arial" w:cs="Arial"/>
        </w:rPr>
        <w:t xml:space="preserve">commissioners </w:t>
      </w:r>
      <w:r w:rsidR="003A259F">
        <w:rPr>
          <w:rFonts w:ascii="Arial" w:hAnsi="Arial" w:cs="Arial"/>
        </w:rPr>
        <w:t>refus</w:t>
      </w:r>
      <w:r w:rsidR="00DD62A5">
        <w:rPr>
          <w:rFonts w:ascii="Arial" w:hAnsi="Arial" w:cs="Arial"/>
        </w:rPr>
        <w:t>ing</w:t>
      </w:r>
      <w:r w:rsidR="003A259F">
        <w:rPr>
          <w:rFonts w:ascii="Arial" w:hAnsi="Arial" w:cs="Arial"/>
        </w:rPr>
        <w:t xml:space="preserve"> to share any such information </w:t>
      </w:r>
      <w:r>
        <w:rPr>
          <w:rFonts w:ascii="Arial" w:hAnsi="Arial" w:cs="Arial"/>
        </w:rPr>
        <w:t xml:space="preserve">to be able to </w:t>
      </w:r>
      <w:r w:rsidR="005E50CA">
        <w:rPr>
          <w:rFonts w:ascii="Arial" w:hAnsi="Arial" w:cs="Arial"/>
        </w:rPr>
        <w:t xml:space="preserve">show robust grounds for </w:t>
      </w:r>
      <w:r w:rsidR="00A054A4">
        <w:rPr>
          <w:rFonts w:ascii="Arial" w:hAnsi="Arial" w:cs="Arial"/>
        </w:rPr>
        <w:t>doing so.</w:t>
      </w:r>
    </w:p>
    <w:p w14:paraId="29656613" w14:textId="20FB53E9" w:rsidR="003B21A7" w:rsidRPr="00237868" w:rsidRDefault="000266A4">
      <w:pPr>
        <w:pStyle w:val="ListParagraph"/>
        <w:numPr>
          <w:ilvl w:val="0"/>
          <w:numId w:val="2"/>
        </w:numPr>
        <w:spacing w:line="276" w:lineRule="auto"/>
        <w:ind w:left="567" w:hanging="567"/>
        <w:contextualSpacing w:val="0"/>
        <w:rPr>
          <w:rFonts w:ascii="Arial" w:hAnsi="Arial" w:cs="Arial"/>
        </w:rPr>
      </w:pPr>
      <w:r w:rsidRPr="00237868">
        <w:rPr>
          <w:rFonts w:ascii="Arial" w:hAnsi="Arial" w:cs="Arial"/>
        </w:rPr>
        <w:t>The Panel notes that</w:t>
      </w:r>
      <w:r w:rsidR="000A77BE" w:rsidRPr="00237868">
        <w:rPr>
          <w:rFonts w:ascii="Arial" w:hAnsi="Arial" w:cs="Arial"/>
        </w:rPr>
        <w:t>, in this case, HNY ICB’s initial refusal to provide information on the identity of individuals making decisions was based on a</w:t>
      </w:r>
      <w:r w:rsidR="004840DF" w:rsidRPr="00237868">
        <w:rPr>
          <w:rFonts w:ascii="Arial" w:hAnsi="Arial" w:cs="Arial"/>
        </w:rPr>
        <w:t>n erroneous understanding of its obligations under the PSR regulations</w:t>
      </w:r>
      <w:r w:rsidR="00893BC2" w:rsidRPr="00237868">
        <w:rPr>
          <w:rFonts w:ascii="Arial" w:hAnsi="Arial" w:cs="Arial"/>
        </w:rPr>
        <w:t>.</w:t>
      </w:r>
      <w:r w:rsidR="00237868" w:rsidRPr="00237868">
        <w:rPr>
          <w:rFonts w:ascii="Arial" w:hAnsi="Arial" w:cs="Arial"/>
        </w:rPr>
        <w:t xml:space="preserve"> </w:t>
      </w:r>
      <w:r w:rsidR="000D0AEB" w:rsidRPr="00237868">
        <w:rPr>
          <w:rFonts w:ascii="Arial" w:hAnsi="Arial" w:cs="Arial"/>
        </w:rPr>
        <w:t>T</w:t>
      </w:r>
      <w:r w:rsidR="003B21A7" w:rsidRPr="00237868">
        <w:rPr>
          <w:rFonts w:ascii="Arial" w:hAnsi="Arial" w:cs="Arial"/>
        </w:rPr>
        <w:t xml:space="preserve">he Panel </w:t>
      </w:r>
      <w:r w:rsidR="000D0AEB" w:rsidRPr="00237868">
        <w:rPr>
          <w:rFonts w:ascii="Arial" w:hAnsi="Arial" w:cs="Arial"/>
        </w:rPr>
        <w:t xml:space="preserve">therefore </w:t>
      </w:r>
      <w:r w:rsidR="003B21A7" w:rsidRPr="00237868">
        <w:rPr>
          <w:rFonts w:ascii="Arial" w:hAnsi="Arial" w:cs="Arial"/>
        </w:rPr>
        <w:t xml:space="preserve">finds that </w:t>
      </w:r>
      <w:r w:rsidR="008A1D9D" w:rsidRPr="00237868">
        <w:rPr>
          <w:rFonts w:ascii="Arial" w:hAnsi="Arial" w:cs="Arial"/>
        </w:rPr>
        <w:t>HNY ICB</w:t>
      </w:r>
      <w:r w:rsidR="009149B3">
        <w:rPr>
          <w:rFonts w:ascii="Arial" w:hAnsi="Arial" w:cs="Arial"/>
        </w:rPr>
        <w:t xml:space="preserve">’s decision not </w:t>
      </w:r>
      <w:r w:rsidR="00151570">
        <w:rPr>
          <w:rFonts w:ascii="Arial" w:hAnsi="Arial" w:cs="Arial"/>
        </w:rPr>
        <w:t xml:space="preserve">to provide information </w:t>
      </w:r>
      <w:r w:rsidR="0070634F">
        <w:rPr>
          <w:rFonts w:ascii="Arial" w:hAnsi="Arial" w:cs="Arial"/>
        </w:rPr>
        <w:t>on evaluators’ identities,</w:t>
      </w:r>
      <w:r w:rsidR="008A1D9D" w:rsidRPr="00237868">
        <w:rPr>
          <w:rFonts w:ascii="Arial" w:hAnsi="Arial" w:cs="Arial"/>
        </w:rPr>
        <w:t xml:space="preserve"> </w:t>
      </w:r>
      <w:r w:rsidR="00D62E69">
        <w:rPr>
          <w:rFonts w:ascii="Arial" w:hAnsi="Arial" w:cs="Arial"/>
        </w:rPr>
        <w:t>based on evaluators not being decision makers</w:t>
      </w:r>
      <w:r w:rsidR="0070701A">
        <w:rPr>
          <w:rFonts w:ascii="Arial" w:hAnsi="Arial" w:cs="Arial"/>
        </w:rPr>
        <w:t>,</w:t>
      </w:r>
      <w:r w:rsidR="00D62E69">
        <w:rPr>
          <w:rFonts w:ascii="Arial" w:hAnsi="Arial" w:cs="Arial"/>
        </w:rPr>
        <w:t xml:space="preserve"> </w:t>
      </w:r>
      <w:r w:rsidR="008A1D9D" w:rsidRPr="00237868">
        <w:rPr>
          <w:rFonts w:ascii="Arial" w:hAnsi="Arial" w:cs="Arial"/>
        </w:rPr>
        <w:t>breached the PSR regulations</w:t>
      </w:r>
      <w:r w:rsidR="004D606C">
        <w:rPr>
          <w:rFonts w:ascii="Arial" w:hAnsi="Arial" w:cs="Arial"/>
        </w:rPr>
        <w:t xml:space="preserve"> with respect to its obligations under </w:t>
      </w:r>
      <w:r w:rsidR="008A1D9D" w:rsidRPr="00237868">
        <w:rPr>
          <w:rFonts w:ascii="Arial" w:hAnsi="Arial" w:cs="Arial"/>
        </w:rPr>
        <w:t>Regulation</w:t>
      </w:r>
      <w:r w:rsidR="00CB6370">
        <w:rPr>
          <w:rFonts w:ascii="Arial" w:hAnsi="Arial" w:cs="Arial"/>
        </w:rPr>
        <w:t> </w:t>
      </w:r>
      <w:r w:rsidR="008A1D9D" w:rsidRPr="00237868">
        <w:rPr>
          <w:rFonts w:ascii="Arial" w:hAnsi="Arial" w:cs="Arial"/>
        </w:rPr>
        <w:t>12(4).</w:t>
      </w:r>
    </w:p>
    <w:p w14:paraId="05CEA551" w14:textId="5AE6B92B" w:rsidR="00B4199F" w:rsidRPr="00C04C54" w:rsidRDefault="00B4199F" w:rsidP="00B4199F">
      <w:pPr>
        <w:keepNext/>
        <w:spacing w:before="240" w:line="276" w:lineRule="auto"/>
        <w:rPr>
          <w:rFonts w:ascii="Arial" w:hAnsi="Arial" w:cs="Arial"/>
          <w:b/>
          <w:bCs/>
        </w:rPr>
      </w:pPr>
      <w:r>
        <w:rPr>
          <w:rFonts w:ascii="Arial" w:hAnsi="Arial" w:cs="Arial"/>
          <w:b/>
          <w:bCs/>
        </w:rPr>
        <w:t>7.3.</w:t>
      </w:r>
      <w:r w:rsidR="00CB6370">
        <w:rPr>
          <w:rFonts w:ascii="Arial" w:hAnsi="Arial" w:cs="Arial"/>
          <w:b/>
          <w:bCs/>
        </w:rPr>
        <w:t>3</w:t>
      </w:r>
      <w:r>
        <w:rPr>
          <w:rFonts w:ascii="Arial" w:hAnsi="Arial" w:cs="Arial"/>
          <w:b/>
          <w:bCs/>
        </w:rPr>
        <w:t xml:space="preserve"> </w:t>
      </w:r>
      <w:r w:rsidR="00876474">
        <w:rPr>
          <w:rFonts w:ascii="Arial" w:hAnsi="Arial" w:cs="Arial"/>
          <w:b/>
          <w:bCs/>
        </w:rPr>
        <w:t xml:space="preserve">Provision of </w:t>
      </w:r>
      <w:r w:rsidR="00BA1D23">
        <w:rPr>
          <w:rFonts w:ascii="Arial" w:hAnsi="Arial" w:cs="Arial"/>
          <w:b/>
          <w:bCs/>
        </w:rPr>
        <w:t>records</w:t>
      </w:r>
      <w:r w:rsidR="00876474">
        <w:rPr>
          <w:rFonts w:ascii="Arial" w:hAnsi="Arial" w:cs="Arial"/>
          <w:b/>
          <w:bCs/>
        </w:rPr>
        <w:t xml:space="preserve"> on conflicts of interest</w:t>
      </w:r>
    </w:p>
    <w:p w14:paraId="74FA687B" w14:textId="6046BC31" w:rsidR="00A44D28" w:rsidRDefault="00843DCF">
      <w:pPr>
        <w:pStyle w:val="ListParagraph"/>
        <w:numPr>
          <w:ilvl w:val="0"/>
          <w:numId w:val="2"/>
        </w:numPr>
        <w:spacing w:line="276" w:lineRule="auto"/>
        <w:ind w:left="567" w:hanging="567"/>
        <w:contextualSpacing w:val="0"/>
        <w:rPr>
          <w:rFonts w:ascii="Arial" w:hAnsi="Arial" w:cs="Arial"/>
        </w:rPr>
      </w:pPr>
      <w:bookmarkStart w:id="40" w:name="_Ref196226019"/>
      <w:r w:rsidRPr="00067B2E">
        <w:rPr>
          <w:rFonts w:ascii="Arial" w:hAnsi="Arial" w:cs="Arial"/>
        </w:rPr>
        <w:t xml:space="preserve">Barkhill requested that </w:t>
      </w:r>
      <w:r w:rsidR="00F075EC" w:rsidRPr="00067B2E">
        <w:rPr>
          <w:rFonts w:ascii="Arial" w:hAnsi="Arial" w:cs="Arial"/>
        </w:rPr>
        <w:t xml:space="preserve">HNY ICB provide </w:t>
      </w:r>
      <w:r w:rsidR="008D6FA5">
        <w:rPr>
          <w:rFonts w:ascii="Arial" w:hAnsi="Arial" w:cs="Arial"/>
        </w:rPr>
        <w:t>its records on</w:t>
      </w:r>
      <w:r w:rsidR="006D4831">
        <w:rPr>
          <w:rFonts w:ascii="Arial" w:hAnsi="Arial" w:cs="Arial"/>
        </w:rPr>
        <w:t xml:space="preserve"> </w:t>
      </w:r>
      <w:r w:rsidR="00F075EC" w:rsidRPr="00067B2E">
        <w:rPr>
          <w:rFonts w:ascii="Arial" w:hAnsi="Arial" w:cs="Arial"/>
        </w:rPr>
        <w:t xml:space="preserve">conflicts of interest </w:t>
      </w:r>
      <w:r w:rsidR="003C480D">
        <w:rPr>
          <w:rFonts w:ascii="Arial" w:hAnsi="Arial" w:cs="Arial"/>
        </w:rPr>
        <w:t xml:space="preserve">pursuant to </w:t>
      </w:r>
      <w:r w:rsidR="00F075EC" w:rsidRPr="00067B2E">
        <w:rPr>
          <w:rFonts w:ascii="Arial" w:hAnsi="Arial" w:cs="Arial"/>
        </w:rPr>
        <w:t xml:space="preserve">Regulation 24(h) and (i). </w:t>
      </w:r>
      <w:r w:rsidR="00F40B55" w:rsidRPr="00067B2E">
        <w:rPr>
          <w:rFonts w:ascii="Arial" w:hAnsi="Arial" w:cs="Arial"/>
        </w:rPr>
        <w:t xml:space="preserve">Under </w:t>
      </w:r>
      <w:r w:rsidR="00604817" w:rsidRPr="00067B2E">
        <w:rPr>
          <w:rFonts w:ascii="Arial" w:hAnsi="Arial" w:cs="Arial"/>
        </w:rPr>
        <w:t>Regulation 24(h) and (i)</w:t>
      </w:r>
      <w:r w:rsidR="00F40B55" w:rsidRPr="00067B2E">
        <w:rPr>
          <w:rFonts w:ascii="Arial" w:hAnsi="Arial" w:cs="Arial"/>
        </w:rPr>
        <w:t xml:space="preserve">, the commissioner must keep a record of </w:t>
      </w:r>
      <w:r w:rsidR="0002697F" w:rsidRPr="00067B2E">
        <w:rPr>
          <w:rFonts w:ascii="Arial" w:hAnsi="Arial" w:cs="Arial"/>
        </w:rPr>
        <w:t>“declared conflicts or potential conflicts of interest”</w:t>
      </w:r>
      <w:r w:rsidR="004C47B8" w:rsidRPr="00067B2E">
        <w:rPr>
          <w:rFonts w:ascii="Arial" w:hAnsi="Arial" w:cs="Arial"/>
        </w:rPr>
        <w:t xml:space="preserve"> and “how any conflicts or potential conflicts of interest were man</w:t>
      </w:r>
      <w:r w:rsidR="006B32ED">
        <w:rPr>
          <w:rFonts w:ascii="Arial" w:hAnsi="Arial" w:cs="Arial"/>
        </w:rPr>
        <w:t>a</w:t>
      </w:r>
      <w:r w:rsidR="004C47B8" w:rsidRPr="00067B2E">
        <w:rPr>
          <w:rFonts w:ascii="Arial" w:hAnsi="Arial" w:cs="Arial"/>
        </w:rPr>
        <w:t>ged for each decision”.</w:t>
      </w:r>
    </w:p>
    <w:p w14:paraId="4C729747" w14:textId="2027A86D" w:rsidR="000042F8" w:rsidRDefault="0001271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notes that, as discussed in </w:t>
      </w:r>
      <w:r w:rsidR="002362AF">
        <w:rPr>
          <w:rFonts w:ascii="Arial" w:hAnsi="Arial" w:cs="Arial"/>
        </w:rPr>
        <w:t>paragraph</w:t>
      </w:r>
      <w:r w:rsidR="00924E82">
        <w:rPr>
          <w:rFonts w:ascii="Arial" w:hAnsi="Arial" w:cs="Arial"/>
        </w:rPr>
        <w:t xml:space="preserve"> </w:t>
      </w:r>
      <w:r w:rsidR="00DD4795">
        <w:rPr>
          <w:rFonts w:ascii="Arial" w:hAnsi="Arial" w:cs="Arial"/>
        </w:rPr>
        <w:t>98</w:t>
      </w:r>
      <w:r w:rsidR="00924E82">
        <w:rPr>
          <w:rFonts w:ascii="Arial" w:hAnsi="Arial" w:cs="Arial"/>
        </w:rPr>
        <w:t xml:space="preserve">, Barkhill was supplied with </w:t>
      </w:r>
      <w:r w:rsidR="00337E16">
        <w:rPr>
          <w:rFonts w:ascii="Arial" w:hAnsi="Arial" w:cs="Arial"/>
        </w:rPr>
        <w:t>further</w:t>
      </w:r>
      <w:r w:rsidR="00924E82">
        <w:rPr>
          <w:rFonts w:ascii="Arial" w:hAnsi="Arial" w:cs="Arial"/>
        </w:rPr>
        <w:t xml:space="preserve"> information </w:t>
      </w:r>
      <w:r w:rsidR="00AF2A01">
        <w:rPr>
          <w:rFonts w:ascii="Arial" w:hAnsi="Arial" w:cs="Arial"/>
        </w:rPr>
        <w:t xml:space="preserve">on </w:t>
      </w:r>
      <w:r w:rsidR="00337E16">
        <w:rPr>
          <w:rFonts w:ascii="Arial" w:hAnsi="Arial" w:cs="Arial"/>
        </w:rPr>
        <w:t xml:space="preserve">conflicts of interest on </w:t>
      </w:r>
      <w:r w:rsidR="00AF2A01">
        <w:rPr>
          <w:rFonts w:ascii="Arial" w:hAnsi="Arial" w:cs="Arial"/>
        </w:rPr>
        <w:t>4 March 2025.</w:t>
      </w:r>
      <w:r w:rsidR="004B7639">
        <w:rPr>
          <w:rFonts w:ascii="Arial" w:hAnsi="Arial" w:cs="Arial"/>
        </w:rPr>
        <w:t xml:space="preserve"> </w:t>
      </w:r>
      <w:r w:rsidR="00A475BF">
        <w:rPr>
          <w:rFonts w:ascii="Arial" w:hAnsi="Arial" w:cs="Arial"/>
        </w:rPr>
        <w:t>Given the Panel’s findings set out in Section 7.2.5, the Panel does not consider it necessary to reach any further findings on this issue.</w:t>
      </w:r>
    </w:p>
    <w:p w14:paraId="233F02C9" w14:textId="710F5151" w:rsidR="00250DB0" w:rsidRPr="009120FE" w:rsidRDefault="00250DB0" w:rsidP="00250DB0">
      <w:pPr>
        <w:pStyle w:val="Heading1"/>
        <w:numPr>
          <w:ilvl w:val="0"/>
          <w:numId w:val="1"/>
        </w:numPr>
        <w:spacing w:before="360" w:after="240"/>
        <w:ind w:left="0" w:firstLine="0"/>
        <w:rPr>
          <w:rFonts w:ascii="Arial" w:hAnsi="Arial" w:cs="Arial"/>
          <w:b/>
          <w:bCs/>
          <w:color w:val="000000" w:themeColor="text1"/>
          <w:sz w:val="28"/>
          <w:szCs w:val="28"/>
        </w:rPr>
      </w:pPr>
      <w:bookmarkStart w:id="41" w:name="_Toc196726472"/>
      <w:bookmarkStart w:id="42" w:name="_Toc196726473"/>
      <w:bookmarkStart w:id="43" w:name="_Toc196726474"/>
      <w:bookmarkStart w:id="44" w:name="_Toc198745109"/>
      <w:bookmarkEnd w:id="40"/>
      <w:bookmarkEnd w:id="41"/>
      <w:bookmarkEnd w:id="42"/>
      <w:bookmarkEnd w:id="43"/>
      <w:r>
        <w:rPr>
          <w:rFonts w:ascii="Arial" w:hAnsi="Arial" w:cs="Arial"/>
          <w:b/>
          <w:bCs/>
          <w:color w:val="000000" w:themeColor="text1"/>
          <w:sz w:val="28"/>
          <w:szCs w:val="28"/>
        </w:rPr>
        <w:t>Clarendon’s r</w:t>
      </w:r>
      <w:r w:rsidRPr="11A3D504">
        <w:rPr>
          <w:rFonts w:ascii="Arial" w:hAnsi="Arial" w:cs="Arial"/>
          <w:b/>
          <w:bCs/>
          <w:color w:val="000000" w:themeColor="text1"/>
          <w:sz w:val="28"/>
          <w:szCs w:val="28"/>
        </w:rPr>
        <w:t>epresentations to the Panel</w:t>
      </w:r>
      <w:bookmarkEnd w:id="44"/>
    </w:p>
    <w:p w14:paraId="40FD5B4B" w14:textId="7E5E7F8B" w:rsidR="00250DB0" w:rsidRDefault="00250DB0" w:rsidP="005E6DD8">
      <w:pPr>
        <w:pStyle w:val="ListParagraph"/>
        <w:numPr>
          <w:ilvl w:val="0"/>
          <w:numId w:val="2"/>
        </w:numPr>
        <w:spacing w:after="120" w:line="276" w:lineRule="auto"/>
        <w:ind w:left="567" w:hanging="567"/>
        <w:contextualSpacing w:val="0"/>
        <w:rPr>
          <w:rFonts w:ascii="Arial" w:hAnsi="Arial" w:cs="Arial"/>
        </w:rPr>
      </w:pPr>
      <w:bookmarkStart w:id="45" w:name="_Ref195728519"/>
      <w:r w:rsidRPr="001506CC">
        <w:rPr>
          <w:rFonts w:ascii="Arial" w:hAnsi="Arial" w:cs="Arial"/>
        </w:rPr>
        <w:t xml:space="preserve">Clarendon’s concerns about the provider selection process for </w:t>
      </w:r>
      <w:r w:rsidR="00423E41">
        <w:rPr>
          <w:rFonts w:ascii="Arial" w:hAnsi="Arial" w:cs="Arial"/>
        </w:rPr>
        <w:t>IMOS</w:t>
      </w:r>
      <w:r w:rsidRPr="001506CC">
        <w:rPr>
          <w:rFonts w:ascii="Arial" w:hAnsi="Arial" w:cs="Arial"/>
        </w:rPr>
        <w:t xml:space="preserve"> </w:t>
      </w:r>
      <w:r w:rsidR="00423E41">
        <w:rPr>
          <w:rFonts w:ascii="Arial" w:hAnsi="Arial" w:cs="Arial"/>
        </w:rPr>
        <w:t>s</w:t>
      </w:r>
      <w:r w:rsidRPr="001506CC">
        <w:rPr>
          <w:rFonts w:ascii="Arial" w:hAnsi="Arial" w:cs="Arial"/>
        </w:rPr>
        <w:t>ervices</w:t>
      </w:r>
      <w:r w:rsidR="00592EB7">
        <w:rPr>
          <w:rFonts w:ascii="Arial" w:hAnsi="Arial" w:cs="Arial"/>
        </w:rPr>
        <w:t xml:space="preserve"> in Yorkshire and Humber</w:t>
      </w:r>
      <w:r w:rsidRPr="001506CC">
        <w:rPr>
          <w:rFonts w:ascii="Arial" w:hAnsi="Arial" w:cs="Arial"/>
        </w:rPr>
        <w:t>, as summarised in its submission to the Panel, are as follows:</w:t>
      </w:r>
      <w:bookmarkEnd w:id="45"/>
    </w:p>
    <w:p w14:paraId="37C517C9" w14:textId="51D0BD0D" w:rsidR="00592EB7" w:rsidRDefault="00F838E2" w:rsidP="00A9305B">
      <w:pPr>
        <w:pStyle w:val="ListParagraph"/>
        <w:spacing w:after="120" w:line="276" w:lineRule="auto"/>
        <w:ind w:left="851"/>
        <w:contextualSpacing w:val="0"/>
        <w:rPr>
          <w:rFonts w:ascii="Arial" w:hAnsi="Arial" w:cs="Arial"/>
          <w:sz w:val="21"/>
          <w:szCs w:val="21"/>
        </w:rPr>
      </w:pPr>
      <w:r>
        <w:rPr>
          <w:rFonts w:ascii="Arial" w:hAnsi="Arial" w:cs="Arial"/>
          <w:sz w:val="21"/>
          <w:szCs w:val="21"/>
        </w:rPr>
        <w:t>“</w:t>
      </w:r>
      <w:r w:rsidR="00293B50" w:rsidRPr="00293B50">
        <w:rPr>
          <w:rFonts w:ascii="Arial" w:hAnsi="Arial" w:cs="Arial"/>
          <w:sz w:val="21"/>
          <w:szCs w:val="21"/>
        </w:rPr>
        <w:t xml:space="preserve">Written representations </w:t>
      </w:r>
      <w:r w:rsidR="00B545C4">
        <w:rPr>
          <w:rFonts w:ascii="Arial" w:hAnsi="Arial" w:cs="Arial"/>
          <w:sz w:val="21"/>
          <w:szCs w:val="21"/>
        </w:rPr>
        <w:t xml:space="preserve">[by Clarendon] </w:t>
      </w:r>
      <w:r w:rsidR="00293B50" w:rsidRPr="00293B50">
        <w:rPr>
          <w:rFonts w:ascii="Arial" w:hAnsi="Arial" w:cs="Arial"/>
          <w:sz w:val="21"/>
          <w:szCs w:val="21"/>
        </w:rPr>
        <w:t xml:space="preserve">under regulation 12(3) of the Health Care Services (Provider Selection Regime) Regulations 2023 (the regulations) were submitted </w:t>
      </w:r>
      <w:r w:rsidR="00B545C4">
        <w:rPr>
          <w:rFonts w:ascii="Arial" w:hAnsi="Arial" w:cs="Arial"/>
          <w:sz w:val="21"/>
          <w:szCs w:val="21"/>
        </w:rPr>
        <w:t xml:space="preserve">[to HNY ICB] </w:t>
      </w:r>
      <w:r w:rsidR="00293B50" w:rsidRPr="00293B50">
        <w:rPr>
          <w:rFonts w:ascii="Arial" w:hAnsi="Arial" w:cs="Arial"/>
          <w:sz w:val="21"/>
          <w:szCs w:val="21"/>
        </w:rPr>
        <w:t>on 20</w:t>
      </w:r>
      <w:r w:rsidR="00FE4298">
        <w:rPr>
          <w:rFonts w:ascii="Arial" w:hAnsi="Arial" w:cs="Arial"/>
          <w:sz w:val="21"/>
          <w:szCs w:val="21"/>
        </w:rPr>
        <w:t> </w:t>
      </w:r>
      <w:r w:rsidR="00293B50" w:rsidRPr="00293B50">
        <w:rPr>
          <w:rFonts w:ascii="Arial" w:hAnsi="Arial" w:cs="Arial"/>
          <w:sz w:val="21"/>
          <w:szCs w:val="21"/>
        </w:rPr>
        <w:t xml:space="preserve">December 2024. The representations raised concerns under regulation 12(3)(a) and (b). The 12(3)(a) representations were supported by an appendix to the letter, setting out the Applicant’s </w:t>
      </w:r>
      <w:r w:rsidR="00293B50">
        <w:rPr>
          <w:rFonts w:ascii="Arial" w:hAnsi="Arial" w:cs="Arial"/>
          <w:sz w:val="21"/>
          <w:szCs w:val="21"/>
        </w:rPr>
        <w:t xml:space="preserve">[Clarendon] </w:t>
      </w:r>
      <w:r w:rsidR="00293B50" w:rsidRPr="00293B50">
        <w:rPr>
          <w:rFonts w:ascii="Arial" w:hAnsi="Arial" w:cs="Arial"/>
          <w:sz w:val="21"/>
          <w:szCs w:val="21"/>
        </w:rPr>
        <w:t>detailed analysis of the way in which the assessment criteria had been applied and the numerous inconsistencies and anomalies in the apparent decision</w:t>
      </w:r>
      <w:r w:rsidR="003D14AE" w:rsidRPr="00293B50">
        <w:rPr>
          <w:rFonts w:ascii="Arial" w:hAnsi="Arial" w:cs="Arial"/>
          <w:sz w:val="21"/>
          <w:szCs w:val="21"/>
        </w:rPr>
        <w:t>-</w:t>
      </w:r>
      <w:r w:rsidR="00293B50" w:rsidRPr="00293B50">
        <w:rPr>
          <w:rFonts w:ascii="Arial" w:hAnsi="Arial" w:cs="Arial"/>
          <w:sz w:val="21"/>
          <w:szCs w:val="21"/>
        </w:rPr>
        <w:t xml:space="preserve">making process. On 4 March 2025 the ICB emailed an undated letter to the Applicant’s representatives. The letter </w:t>
      </w:r>
      <w:r w:rsidR="00293B50" w:rsidRPr="00293B50">
        <w:rPr>
          <w:rFonts w:ascii="Arial" w:hAnsi="Arial" w:cs="Arial"/>
          <w:sz w:val="21"/>
          <w:szCs w:val="21"/>
        </w:rPr>
        <w:lastRenderedPageBreak/>
        <w:t>purported to address the concerns set out in the Applicant’s appendix A. Regulation 12(4)(c) requires the relevant authority to review the decision to award the contract, not to justify the reasons for not awarding the contract to the Applicant.</w:t>
      </w:r>
    </w:p>
    <w:p w14:paraId="1EE26EE7" w14:textId="34C6C80A" w:rsidR="00F838E2" w:rsidRDefault="001A4B30" w:rsidP="005E6DD8">
      <w:pPr>
        <w:pStyle w:val="ListParagraph"/>
        <w:spacing w:after="120" w:line="276" w:lineRule="auto"/>
        <w:ind w:left="851"/>
        <w:contextualSpacing w:val="0"/>
        <w:rPr>
          <w:rFonts w:ascii="Arial" w:hAnsi="Arial" w:cs="Arial"/>
          <w:sz w:val="21"/>
          <w:szCs w:val="21"/>
        </w:rPr>
      </w:pPr>
      <w:r>
        <w:rPr>
          <w:rFonts w:ascii="Arial" w:hAnsi="Arial" w:cs="Arial"/>
          <w:sz w:val="21"/>
          <w:szCs w:val="21"/>
        </w:rPr>
        <w:t>“</w:t>
      </w:r>
      <w:r w:rsidR="00293B50" w:rsidRPr="00293B50">
        <w:rPr>
          <w:rFonts w:ascii="Arial" w:hAnsi="Arial" w:cs="Arial"/>
          <w:sz w:val="21"/>
          <w:szCs w:val="21"/>
        </w:rPr>
        <w:t>There is no evidence within the letter that those assessing the application have reviewed the information submitted by the successful contractor, or made any meaningful comparison against the information submitted by the Applicant. The letter fails to properly consider the complaints of the Applicant, contained within the 9</w:t>
      </w:r>
      <w:r w:rsidR="003D14AE" w:rsidRPr="00293B50">
        <w:rPr>
          <w:rFonts w:ascii="Arial" w:hAnsi="Arial" w:cs="Arial"/>
          <w:sz w:val="21"/>
          <w:szCs w:val="21"/>
        </w:rPr>
        <w:t>-</w:t>
      </w:r>
      <w:r w:rsidR="00293B50" w:rsidRPr="00293B50">
        <w:rPr>
          <w:rFonts w:ascii="Arial" w:hAnsi="Arial" w:cs="Arial"/>
          <w:sz w:val="21"/>
          <w:szCs w:val="21"/>
        </w:rPr>
        <w:t>page Appendix A, lacks clarity and discloses no evidence of any significant analysis. The letter of 4 March makes no reference to the procedural errors outlined in the letter of 20</w:t>
      </w:r>
      <w:r w:rsidR="007E46D1">
        <w:rPr>
          <w:rFonts w:ascii="Arial" w:hAnsi="Arial" w:cs="Arial"/>
          <w:sz w:val="21"/>
          <w:szCs w:val="21"/>
        </w:rPr>
        <w:t> </w:t>
      </w:r>
      <w:r w:rsidR="00293B50" w:rsidRPr="00293B50">
        <w:rPr>
          <w:rFonts w:ascii="Arial" w:hAnsi="Arial" w:cs="Arial"/>
          <w:sz w:val="21"/>
          <w:szCs w:val="21"/>
        </w:rPr>
        <w:t>December 202</w:t>
      </w:r>
      <w:r w:rsidR="007E46D1">
        <w:rPr>
          <w:rFonts w:ascii="Arial" w:hAnsi="Arial" w:cs="Arial"/>
          <w:sz w:val="21"/>
          <w:szCs w:val="21"/>
        </w:rPr>
        <w:t>4</w:t>
      </w:r>
      <w:r w:rsidR="00293B50" w:rsidRPr="00293B50">
        <w:rPr>
          <w:rFonts w:ascii="Arial" w:hAnsi="Arial" w:cs="Arial"/>
          <w:sz w:val="21"/>
          <w:szCs w:val="21"/>
        </w:rPr>
        <w:t>, leading those representing the Applicant to assume that those concerns had not been considered at all</w:t>
      </w:r>
      <w:r w:rsidR="00FF701F">
        <w:rPr>
          <w:rFonts w:ascii="Arial" w:hAnsi="Arial" w:cs="Arial"/>
          <w:sz w:val="21"/>
          <w:szCs w:val="21"/>
        </w:rPr>
        <w:t xml:space="preserve"> </w:t>
      </w:r>
      <w:r w:rsidR="00707902">
        <w:rPr>
          <w:rFonts w:ascii="Arial" w:hAnsi="Arial" w:cs="Arial"/>
          <w:sz w:val="21"/>
          <w:szCs w:val="21"/>
        </w:rPr>
        <w:t xml:space="preserve">… </w:t>
      </w:r>
      <w:r w:rsidR="00293B50" w:rsidRPr="00293B50">
        <w:rPr>
          <w:rFonts w:ascii="Arial" w:hAnsi="Arial" w:cs="Arial"/>
          <w:sz w:val="21"/>
          <w:szCs w:val="21"/>
        </w:rPr>
        <w:t>There is no evidence that the panel were instructed to or did consider the procedural concerns raised.</w:t>
      </w:r>
    </w:p>
    <w:p w14:paraId="52A41407" w14:textId="4FE1A777" w:rsidR="00250DB0" w:rsidRPr="00BB717C" w:rsidRDefault="00250DB0" w:rsidP="00250DB0">
      <w:pPr>
        <w:pStyle w:val="ListParagraph"/>
        <w:spacing w:after="120" w:line="276" w:lineRule="auto"/>
        <w:ind w:left="851"/>
        <w:contextualSpacing w:val="0"/>
        <w:rPr>
          <w:rFonts w:ascii="Arial" w:hAnsi="Arial" w:cs="Arial"/>
          <w:sz w:val="21"/>
          <w:szCs w:val="21"/>
        </w:rPr>
      </w:pPr>
      <w:r w:rsidRPr="00BB717C">
        <w:rPr>
          <w:rFonts w:ascii="Arial" w:hAnsi="Arial" w:cs="Arial"/>
          <w:sz w:val="21"/>
          <w:szCs w:val="21"/>
        </w:rPr>
        <w:t>“The representations under regulation 12(3)(b) were contained within a letter from JFH Law LLP, and detailed failures by the ICB to properly apply the stages of the Competitive Process as required under regulation 11. It was asserted that the failures were so substantial that the ICB had failed in their duty to implement a fair and transparent competitive tendering process. The ICB were invited to return to Step 2 of the process to ensure an appropriate and fair competitive process was followed at all times.</w:t>
      </w:r>
    </w:p>
    <w:p w14:paraId="7BA12AD4" w14:textId="5917FFE7" w:rsidR="00250DB0" w:rsidRPr="00BB717C" w:rsidRDefault="00250DB0" w:rsidP="00250DB0">
      <w:pPr>
        <w:pStyle w:val="ListParagraph"/>
        <w:spacing w:after="120" w:line="276" w:lineRule="auto"/>
        <w:ind w:left="851"/>
        <w:contextualSpacing w:val="0"/>
        <w:rPr>
          <w:rFonts w:ascii="Arial" w:hAnsi="Arial" w:cs="Arial"/>
          <w:sz w:val="21"/>
          <w:szCs w:val="21"/>
        </w:rPr>
      </w:pPr>
      <w:r w:rsidRPr="00BB717C">
        <w:rPr>
          <w:rFonts w:ascii="Arial" w:hAnsi="Arial" w:cs="Arial"/>
          <w:sz w:val="21"/>
          <w:szCs w:val="21"/>
        </w:rPr>
        <w:t>“The representations were made on the following grounds:</w:t>
      </w:r>
    </w:p>
    <w:p w14:paraId="70F5027F" w14:textId="77777777" w:rsidR="00250DB0" w:rsidRPr="00BB717C" w:rsidRDefault="00250DB0" w:rsidP="00250DB0">
      <w:pPr>
        <w:pStyle w:val="ListParagraph"/>
        <w:spacing w:after="120" w:line="276" w:lineRule="auto"/>
        <w:ind w:left="851"/>
        <w:contextualSpacing w:val="0"/>
        <w:rPr>
          <w:rFonts w:ascii="Arial" w:hAnsi="Arial" w:cs="Arial"/>
          <w:sz w:val="21"/>
          <w:szCs w:val="21"/>
        </w:rPr>
      </w:pPr>
      <w:r w:rsidRPr="00BB717C">
        <w:rPr>
          <w:rFonts w:ascii="Arial" w:hAnsi="Arial" w:cs="Arial"/>
          <w:sz w:val="21"/>
          <w:szCs w:val="21"/>
        </w:rPr>
        <w:t>“1. The Applicant was aggrieved by the result on the grounds that the decision was irrational and lacked transparency. The scoring was applied inconsistently across different ‘Lots’ which suggests a lack of objectivity in the application of the assessment process. The feedback referenced rules or data protection issues that have no basis in law or regulation (such as the use of the secure messaging app, WhatsApp, for clinicians to discuss clinical matters). These failings resulted in the Applicant narrowly missing out on all tendered opportunities, despite having been a successful provider for over a decade.</w:t>
      </w:r>
    </w:p>
    <w:p w14:paraId="026DA92B" w14:textId="77777777" w:rsidR="00250DB0" w:rsidRPr="00BB717C" w:rsidRDefault="00250DB0" w:rsidP="00250DB0">
      <w:pPr>
        <w:pStyle w:val="ListParagraph"/>
        <w:spacing w:after="120" w:line="276" w:lineRule="auto"/>
        <w:ind w:left="851"/>
        <w:contextualSpacing w:val="0"/>
        <w:rPr>
          <w:rFonts w:ascii="Arial" w:hAnsi="Arial" w:cs="Arial"/>
          <w:sz w:val="21"/>
          <w:szCs w:val="21"/>
        </w:rPr>
      </w:pPr>
      <w:r w:rsidRPr="00BB717C">
        <w:rPr>
          <w:rFonts w:ascii="Arial" w:hAnsi="Arial" w:cs="Arial"/>
          <w:sz w:val="21"/>
          <w:szCs w:val="21"/>
        </w:rPr>
        <w:t>“2. The ICB failed to comply with the procedural requirements of the Regulations, in particular Reg 11 and the corresponding schedules 8 and 10. Regulation 11 sets out the stages of the Competitive Process that must be followed by the ICB.</w:t>
      </w:r>
    </w:p>
    <w:p w14:paraId="43FF80CE" w14:textId="77777777" w:rsidR="00250DB0" w:rsidRPr="00BB717C" w:rsidRDefault="00250DB0" w:rsidP="00250DB0">
      <w:pPr>
        <w:pStyle w:val="ListParagraph"/>
        <w:spacing w:after="120" w:line="276" w:lineRule="auto"/>
        <w:ind w:left="1134"/>
        <w:contextualSpacing w:val="0"/>
        <w:rPr>
          <w:rFonts w:ascii="Arial" w:hAnsi="Arial" w:cs="Arial"/>
          <w:sz w:val="21"/>
          <w:szCs w:val="21"/>
        </w:rPr>
      </w:pPr>
      <w:r w:rsidRPr="00BB717C">
        <w:rPr>
          <w:rFonts w:ascii="Arial" w:hAnsi="Arial" w:cs="Arial"/>
          <w:sz w:val="21"/>
          <w:szCs w:val="21"/>
        </w:rPr>
        <w:t>“a. The contract notice published on 20 September 2024 (Notice reference: 2024/S 000-030168), failed to properly specify the contract award criteria. Stating only: ’Price is not the only award criterion and all criteria are stated only in the procurement documents’.</w:t>
      </w:r>
      <w:r>
        <w:rPr>
          <w:rFonts w:ascii="Arial" w:hAnsi="Arial" w:cs="Arial"/>
          <w:sz w:val="21"/>
          <w:szCs w:val="21"/>
        </w:rPr>
        <w:t xml:space="preserve"> </w:t>
      </w:r>
      <w:r w:rsidRPr="00BB717C">
        <w:rPr>
          <w:rFonts w:ascii="Arial" w:hAnsi="Arial" w:cs="Arial"/>
          <w:sz w:val="21"/>
          <w:szCs w:val="21"/>
        </w:rPr>
        <w:t>This is clearly insufficient to satisfy the requirements of Schedule 8. Further, there is no statement as to how offers will assessed, or whether there are any stages involved in this assessment.</w:t>
      </w:r>
    </w:p>
    <w:p w14:paraId="3BFD42CB" w14:textId="111DFDC2" w:rsidR="00250DB0" w:rsidRPr="00BB717C" w:rsidRDefault="00250DB0" w:rsidP="00250DB0">
      <w:pPr>
        <w:pStyle w:val="ListParagraph"/>
        <w:spacing w:after="120" w:line="276" w:lineRule="auto"/>
        <w:ind w:left="1134"/>
        <w:contextualSpacing w:val="0"/>
        <w:rPr>
          <w:rFonts w:ascii="Arial" w:hAnsi="Arial" w:cs="Arial"/>
          <w:sz w:val="21"/>
          <w:szCs w:val="21"/>
        </w:rPr>
      </w:pPr>
      <w:r w:rsidRPr="00BB717C">
        <w:rPr>
          <w:rFonts w:ascii="Arial" w:hAnsi="Arial" w:cs="Arial"/>
          <w:sz w:val="21"/>
          <w:szCs w:val="21"/>
        </w:rPr>
        <w:t>“b. The contract award notification published on 10 December 2024, failed to provide any reason for selecting the chosen provider, and merely stated that the “providers have been assessed and passed against the relevant 5 key criteria and mandatory requirements”. This is not sufficient to meet the requirements of schedule 10. Further, if this is intended to represent the reason for selecting the chosen provider, the implication is that no other offeror passed against the relevant 5 key criteria, which is clearly not the case.</w:t>
      </w:r>
    </w:p>
    <w:p w14:paraId="7DF83C0F" w14:textId="469CB76B" w:rsidR="00250DB0" w:rsidRPr="00BB717C" w:rsidRDefault="00250DB0" w:rsidP="00250DB0">
      <w:pPr>
        <w:pStyle w:val="ListParagraph"/>
        <w:spacing w:after="120" w:line="276" w:lineRule="auto"/>
        <w:ind w:left="1134"/>
        <w:contextualSpacing w:val="0"/>
        <w:rPr>
          <w:rFonts w:ascii="Arial" w:hAnsi="Arial" w:cs="Arial"/>
          <w:sz w:val="21"/>
          <w:szCs w:val="21"/>
        </w:rPr>
      </w:pPr>
      <w:r w:rsidRPr="00BB717C">
        <w:rPr>
          <w:rFonts w:ascii="Arial" w:hAnsi="Arial" w:cs="Arial"/>
          <w:sz w:val="21"/>
          <w:szCs w:val="21"/>
        </w:rPr>
        <w:t xml:space="preserve">“c. The contract award notification failed to declare any conflict or potential conflicts of interest. The notice stated only; “Any Conflicts of interest were monitored and </w:t>
      </w:r>
      <w:r w:rsidRPr="00BB717C">
        <w:rPr>
          <w:rFonts w:ascii="Arial" w:hAnsi="Arial" w:cs="Arial"/>
          <w:sz w:val="21"/>
          <w:szCs w:val="21"/>
        </w:rPr>
        <w:lastRenderedPageBreak/>
        <w:t>managed with mitigations in place throughout the project if/ when required.” Schedule 10 requires this notice to set out information as to how any conflicts of interest were managed. This requirement is clearly not met. Failure to properly address conflicts of interests in this way is a serious and fundamental failure by the ICB in their duty to implement a fair and transparent competitive tendering process.</w:t>
      </w:r>
    </w:p>
    <w:p w14:paraId="3725153E" w14:textId="77777777" w:rsidR="00250DB0" w:rsidRPr="00BB717C" w:rsidRDefault="00250DB0" w:rsidP="00250DB0">
      <w:pPr>
        <w:pStyle w:val="ListParagraph"/>
        <w:spacing w:line="276" w:lineRule="auto"/>
        <w:ind w:left="851"/>
        <w:contextualSpacing w:val="0"/>
        <w:rPr>
          <w:rFonts w:ascii="Arial" w:hAnsi="Arial" w:cs="Arial"/>
          <w:sz w:val="21"/>
          <w:szCs w:val="21"/>
        </w:rPr>
      </w:pPr>
      <w:r w:rsidRPr="00BB717C">
        <w:rPr>
          <w:rFonts w:ascii="Arial" w:hAnsi="Arial" w:cs="Arial"/>
          <w:sz w:val="21"/>
          <w:szCs w:val="21"/>
        </w:rPr>
        <w:t>“The ICB have attempted to rectify these serious procedural failings with the issuing of two corrigendum notices on 7 March 2025. However, they cannot retrospectively correct the failings under schedule 8.”</w:t>
      </w:r>
    </w:p>
    <w:p w14:paraId="65CF7321" w14:textId="09166956" w:rsidR="00AC7EC8" w:rsidRPr="00CB0AFE" w:rsidRDefault="00AC7EC8" w:rsidP="00AC7EC8">
      <w:pPr>
        <w:pStyle w:val="Heading1"/>
        <w:numPr>
          <w:ilvl w:val="0"/>
          <w:numId w:val="1"/>
        </w:numPr>
        <w:spacing w:before="360" w:after="240"/>
        <w:ind w:left="0" w:firstLine="0"/>
        <w:rPr>
          <w:rFonts w:ascii="Arial" w:hAnsi="Arial" w:cs="Arial"/>
          <w:b/>
          <w:bCs/>
          <w:color w:val="000000" w:themeColor="text1"/>
          <w:sz w:val="28"/>
          <w:szCs w:val="28"/>
        </w:rPr>
      </w:pPr>
      <w:bookmarkStart w:id="46" w:name="_Toc198745110"/>
      <w:r w:rsidRPr="00CB0AFE">
        <w:rPr>
          <w:rFonts w:ascii="Arial" w:hAnsi="Arial" w:cs="Arial"/>
          <w:b/>
          <w:bCs/>
          <w:color w:val="000000" w:themeColor="text1"/>
          <w:sz w:val="28"/>
          <w:szCs w:val="28"/>
        </w:rPr>
        <w:t xml:space="preserve">PSR regulations relevant to </w:t>
      </w:r>
      <w:r>
        <w:rPr>
          <w:rFonts w:ascii="Arial" w:hAnsi="Arial" w:cs="Arial"/>
          <w:b/>
          <w:bCs/>
          <w:color w:val="000000" w:themeColor="text1"/>
          <w:sz w:val="28"/>
          <w:szCs w:val="28"/>
        </w:rPr>
        <w:t>Clarendon’s representations</w:t>
      </w:r>
      <w:bookmarkEnd w:id="46"/>
    </w:p>
    <w:p w14:paraId="7E4194CF" w14:textId="7932C7B3" w:rsidR="00CB78D6" w:rsidRDefault="00FD5733" w:rsidP="00AC7EC8">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Clarendon’s </w:t>
      </w:r>
      <w:r w:rsidR="00AC7EC8" w:rsidRPr="009B1E87">
        <w:rPr>
          <w:rFonts w:ascii="Arial" w:hAnsi="Arial" w:cs="Arial"/>
        </w:rPr>
        <w:t xml:space="preserve">representations to the Panel, </w:t>
      </w:r>
      <w:r>
        <w:rPr>
          <w:rFonts w:ascii="Arial" w:hAnsi="Arial" w:cs="Arial"/>
        </w:rPr>
        <w:t xml:space="preserve">for the most part, relate to </w:t>
      </w:r>
      <w:r w:rsidR="00CB78D6">
        <w:rPr>
          <w:rFonts w:ascii="Arial" w:hAnsi="Arial" w:cs="Arial"/>
        </w:rPr>
        <w:t xml:space="preserve">those parts of the PSR regulations </w:t>
      </w:r>
      <w:r w:rsidR="009E3375">
        <w:rPr>
          <w:rFonts w:ascii="Arial" w:hAnsi="Arial" w:cs="Arial"/>
        </w:rPr>
        <w:t>that are also relevant to Barkhill’s representations</w:t>
      </w:r>
      <w:r w:rsidR="002B420E">
        <w:rPr>
          <w:rFonts w:ascii="Arial" w:hAnsi="Arial" w:cs="Arial"/>
        </w:rPr>
        <w:t xml:space="preserve">, namely Regulations </w:t>
      </w:r>
      <w:r w:rsidR="005E0CCB">
        <w:rPr>
          <w:rFonts w:ascii="Arial" w:hAnsi="Arial" w:cs="Arial"/>
        </w:rPr>
        <w:t>4, 11, 12 and 24</w:t>
      </w:r>
      <w:r w:rsidR="00D11930">
        <w:rPr>
          <w:rFonts w:ascii="Arial" w:hAnsi="Arial" w:cs="Arial"/>
        </w:rPr>
        <w:t xml:space="preserve"> and Schedule 10 of the PSR regulations</w:t>
      </w:r>
      <w:r w:rsidR="005E0CCB">
        <w:rPr>
          <w:rFonts w:ascii="Arial" w:hAnsi="Arial" w:cs="Arial"/>
        </w:rPr>
        <w:t>. The</w:t>
      </w:r>
      <w:r w:rsidR="00AD0900">
        <w:rPr>
          <w:rFonts w:ascii="Arial" w:hAnsi="Arial" w:cs="Arial"/>
        </w:rPr>
        <w:t xml:space="preserve"> relevant parts of the</w:t>
      </w:r>
      <w:r w:rsidR="005E0CCB">
        <w:rPr>
          <w:rFonts w:ascii="Arial" w:hAnsi="Arial" w:cs="Arial"/>
        </w:rPr>
        <w:t xml:space="preserve">se regulations are set out </w:t>
      </w:r>
      <w:r w:rsidR="00E0221F">
        <w:rPr>
          <w:rFonts w:ascii="Arial" w:hAnsi="Arial" w:cs="Arial"/>
        </w:rPr>
        <w:t>in Section 6.</w:t>
      </w:r>
    </w:p>
    <w:p w14:paraId="788A13C1" w14:textId="0EBCF7B3" w:rsidR="006C5848" w:rsidRDefault="006C5848" w:rsidP="00A9305B">
      <w:pPr>
        <w:pStyle w:val="ListParagraph"/>
        <w:numPr>
          <w:ilvl w:val="0"/>
          <w:numId w:val="2"/>
        </w:numPr>
        <w:spacing w:after="0" w:line="276" w:lineRule="auto"/>
        <w:ind w:left="567" w:hanging="567"/>
        <w:contextualSpacing w:val="0"/>
        <w:rPr>
          <w:rFonts w:ascii="Arial" w:hAnsi="Arial" w:cs="Arial"/>
        </w:rPr>
      </w:pPr>
      <w:bookmarkStart w:id="47" w:name="_Ref196759715"/>
      <w:r>
        <w:rPr>
          <w:rFonts w:ascii="Arial" w:hAnsi="Arial" w:cs="Arial"/>
        </w:rPr>
        <w:t xml:space="preserve">Clarendon’s representations additionally relate to Schedule </w:t>
      </w:r>
      <w:r w:rsidR="00601ABE">
        <w:rPr>
          <w:rFonts w:ascii="Arial" w:hAnsi="Arial" w:cs="Arial"/>
        </w:rPr>
        <w:t>8 of the PSR regulations</w:t>
      </w:r>
      <w:r w:rsidR="00F56352">
        <w:rPr>
          <w:rFonts w:ascii="Arial" w:hAnsi="Arial" w:cs="Arial"/>
        </w:rPr>
        <w:t xml:space="preserve">. Schedule 8 </w:t>
      </w:r>
      <w:r w:rsidR="00FD5A0B">
        <w:rPr>
          <w:rFonts w:ascii="Arial" w:hAnsi="Arial" w:cs="Arial"/>
        </w:rPr>
        <w:t>set</w:t>
      </w:r>
      <w:r w:rsidR="00DC12E5">
        <w:rPr>
          <w:rFonts w:ascii="Arial" w:hAnsi="Arial" w:cs="Arial"/>
        </w:rPr>
        <w:t>s</w:t>
      </w:r>
      <w:r w:rsidR="00FD5A0B">
        <w:rPr>
          <w:rFonts w:ascii="Arial" w:hAnsi="Arial" w:cs="Arial"/>
        </w:rPr>
        <w:t xml:space="preserve"> out </w:t>
      </w:r>
      <w:r w:rsidR="00DC12E5">
        <w:rPr>
          <w:rFonts w:ascii="Arial" w:hAnsi="Arial" w:cs="Arial"/>
        </w:rPr>
        <w:t xml:space="preserve">the content </w:t>
      </w:r>
      <w:r w:rsidR="00F56352">
        <w:rPr>
          <w:rFonts w:ascii="Arial" w:hAnsi="Arial" w:cs="Arial"/>
        </w:rPr>
        <w:t xml:space="preserve">to be included in </w:t>
      </w:r>
      <w:r w:rsidR="00DC12E5">
        <w:rPr>
          <w:rFonts w:ascii="Arial" w:hAnsi="Arial" w:cs="Arial"/>
        </w:rPr>
        <w:t>notices inviting offers</w:t>
      </w:r>
      <w:r w:rsidR="00F56352">
        <w:rPr>
          <w:rFonts w:ascii="Arial" w:hAnsi="Arial" w:cs="Arial"/>
        </w:rPr>
        <w:t>, namely</w:t>
      </w:r>
      <w:r w:rsidR="00DC12E5">
        <w:rPr>
          <w:rFonts w:ascii="Arial" w:hAnsi="Arial" w:cs="Arial"/>
        </w:rPr>
        <w:t>:</w:t>
      </w:r>
      <w:bookmarkEnd w:id="47"/>
    </w:p>
    <w:p w14:paraId="18DFF46C" w14:textId="6F4AA001" w:rsidR="00F225E1" w:rsidRPr="00A9305B" w:rsidRDefault="00546241" w:rsidP="00A9305B">
      <w:pPr>
        <w:spacing w:after="0" w:line="276" w:lineRule="auto"/>
        <w:ind w:left="1287"/>
        <w:rPr>
          <w:rFonts w:ascii="Arial" w:hAnsi="Arial" w:cs="Arial"/>
          <w:sz w:val="21"/>
          <w:szCs w:val="21"/>
        </w:rPr>
      </w:pPr>
      <w:r w:rsidRPr="00A9305B">
        <w:rPr>
          <w:rFonts w:ascii="Arial" w:hAnsi="Arial" w:cs="Arial"/>
          <w:sz w:val="21"/>
          <w:szCs w:val="21"/>
        </w:rPr>
        <w:t xml:space="preserve">1. </w:t>
      </w:r>
      <w:r w:rsidR="00F225E1" w:rsidRPr="00A9305B">
        <w:rPr>
          <w:rFonts w:ascii="Arial" w:hAnsi="Arial" w:cs="Arial"/>
          <w:sz w:val="21"/>
          <w:szCs w:val="21"/>
        </w:rPr>
        <w:t>The contract or framework agreement title and reference.</w:t>
      </w:r>
    </w:p>
    <w:p w14:paraId="2BED061B" w14:textId="388C01DF" w:rsidR="00F225E1" w:rsidRPr="00A9305B" w:rsidRDefault="00546241" w:rsidP="00A9305B">
      <w:pPr>
        <w:spacing w:after="0" w:line="276" w:lineRule="auto"/>
        <w:ind w:left="1287"/>
        <w:rPr>
          <w:rFonts w:ascii="Arial" w:hAnsi="Arial" w:cs="Arial"/>
          <w:sz w:val="21"/>
          <w:szCs w:val="21"/>
        </w:rPr>
      </w:pPr>
      <w:r w:rsidRPr="00A9305B">
        <w:rPr>
          <w:rFonts w:ascii="Arial" w:hAnsi="Arial" w:cs="Arial"/>
          <w:sz w:val="21"/>
          <w:szCs w:val="21"/>
        </w:rPr>
        <w:t xml:space="preserve">2. </w:t>
      </w:r>
      <w:r w:rsidR="00F225E1" w:rsidRPr="00A9305B">
        <w:rPr>
          <w:rFonts w:ascii="Arial" w:hAnsi="Arial" w:cs="Arial"/>
          <w:sz w:val="21"/>
          <w:szCs w:val="21"/>
        </w:rPr>
        <w:t>A description of the relevant health care services to which the contract or framework agreement relates, including the most relevant CPV code.</w:t>
      </w:r>
    </w:p>
    <w:p w14:paraId="3F1006FC" w14:textId="55AD4003" w:rsidR="00F225E1" w:rsidRPr="00A9305B" w:rsidRDefault="00546241" w:rsidP="00A9305B">
      <w:pPr>
        <w:spacing w:after="0" w:line="276" w:lineRule="auto"/>
        <w:ind w:left="1287"/>
        <w:rPr>
          <w:rFonts w:ascii="Arial" w:hAnsi="Arial" w:cs="Arial"/>
          <w:sz w:val="21"/>
          <w:szCs w:val="21"/>
        </w:rPr>
      </w:pPr>
      <w:r w:rsidRPr="00A9305B">
        <w:rPr>
          <w:rFonts w:ascii="Arial" w:hAnsi="Arial" w:cs="Arial"/>
          <w:sz w:val="21"/>
          <w:szCs w:val="21"/>
        </w:rPr>
        <w:t xml:space="preserve">3. </w:t>
      </w:r>
      <w:r w:rsidR="00344922" w:rsidRPr="00A9305B">
        <w:rPr>
          <w:rFonts w:ascii="Arial" w:hAnsi="Arial" w:cs="Arial"/>
          <w:sz w:val="21"/>
          <w:szCs w:val="21"/>
        </w:rPr>
        <w:t xml:space="preserve">The intended or estimated dates – </w:t>
      </w:r>
    </w:p>
    <w:p w14:paraId="7BB16620" w14:textId="087E8F98" w:rsidR="00344922" w:rsidRPr="00A9305B" w:rsidRDefault="007F2DD4" w:rsidP="00A9305B">
      <w:pPr>
        <w:pStyle w:val="ListParagraph"/>
        <w:numPr>
          <w:ilvl w:val="1"/>
          <w:numId w:val="16"/>
        </w:numPr>
        <w:spacing w:after="0" w:line="276" w:lineRule="auto"/>
        <w:ind w:left="2127"/>
        <w:contextualSpacing w:val="0"/>
        <w:rPr>
          <w:rFonts w:ascii="Arial" w:hAnsi="Arial" w:cs="Arial"/>
          <w:sz w:val="21"/>
          <w:szCs w:val="21"/>
        </w:rPr>
      </w:pPr>
      <w:r w:rsidRPr="00A9305B">
        <w:rPr>
          <w:rFonts w:ascii="Arial" w:hAnsi="Arial" w:cs="Arial"/>
          <w:sz w:val="21"/>
          <w:szCs w:val="21"/>
        </w:rPr>
        <w:t>between which the services must be provided and the duration of the contract including potential extensions beyond the initial term; or</w:t>
      </w:r>
    </w:p>
    <w:p w14:paraId="6D7C9478" w14:textId="025CF19D" w:rsidR="007F2DD4" w:rsidRPr="00A9305B" w:rsidRDefault="007F2DD4" w:rsidP="00A9305B">
      <w:pPr>
        <w:pStyle w:val="ListParagraph"/>
        <w:numPr>
          <w:ilvl w:val="1"/>
          <w:numId w:val="16"/>
        </w:numPr>
        <w:spacing w:after="0" w:line="276" w:lineRule="auto"/>
        <w:ind w:left="2127"/>
        <w:contextualSpacing w:val="0"/>
        <w:rPr>
          <w:rFonts w:ascii="Arial" w:hAnsi="Arial" w:cs="Arial"/>
          <w:sz w:val="21"/>
          <w:szCs w:val="21"/>
        </w:rPr>
      </w:pPr>
      <w:r w:rsidRPr="00A9305B">
        <w:rPr>
          <w:rFonts w:ascii="Arial" w:hAnsi="Arial" w:cs="Arial"/>
          <w:sz w:val="21"/>
          <w:szCs w:val="21"/>
        </w:rPr>
        <w:t>of the term of the framework agreement.</w:t>
      </w:r>
    </w:p>
    <w:p w14:paraId="64E8CED5" w14:textId="2ECBBFE4" w:rsidR="00F225E1" w:rsidRPr="00A9305B" w:rsidRDefault="00546241" w:rsidP="00A9305B">
      <w:pPr>
        <w:spacing w:after="0" w:line="276" w:lineRule="auto"/>
        <w:ind w:left="1287"/>
        <w:rPr>
          <w:rFonts w:ascii="Arial" w:hAnsi="Arial" w:cs="Arial"/>
          <w:sz w:val="21"/>
          <w:szCs w:val="21"/>
        </w:rPr>
      </w:pPr>
      <w:r w:rsidRPr="00A9305B">
        <w:rPr>
          <w:rFonts w:ascii="Arial" w:hAnsi="Arial" w:cs="Arial"/>
          <w:sz w:val="21"/>
          <w:szCs w:val="21"/>
        </w:rPr>
        <w:t xml:space="preserve">4. </w:t>
      </w:r>
      <w:r w:rsidR="00F225E1" w:rsidRPr="00A9305B">
        <w:rPr>
          <w:rFonts w:ascii="Arial" w:hAnsi="Arial" w:cs="Arial"/>
          <w:sz w:val="21"/>
          <w:szCs w:val="21"/>
        </w:rPr>
        <w:t>The approximate lifetime value of the contract or framework agreement.</w:t>
      </w:r>
    </w:p>
    <w:p w14:paraId="5253A0B0" w14:textId="58E6768D" w:rsidR="00F225E1" w:rsidRPr="00A9305B" w:rsidRDefault="00546241" w:rsidP="00A9305B">
      <w:pPr>
        <w:spacing w:after="0" w:line="276" w:lineRule="auto"/>
        <w:ind w:left="1287"/>
        <w:rPr>
          <w:rFonts w:ascii="Arial" w:hAnsi="Arial" w:cs="Arial"/>
          <w:sz w:val="21"/>
          <w:szCs w:val="21"/>
        </w:rPr>
      </w:pPr>
      <w:r w:rsidRPr="00A9305B">
        <w:rPr>
          <w:rFonts w:ascii="Arial" w:hAnsi="Arial" w:cs="Arial"/>
          <w:sz w:val="21"/>
          <w:szCs w:val="21"/>
        </w:rPr>
        <w:t xml:space="preserve">5. </w:t>
      </w:r>
      <w:r w:rsidR="00485FE8" w:rsidRPr="00A9305B">
        <w:rPr>
          <w:rFonts w:ascii="Arial" w:hAnsi="Arial" w:cs="Arial"/>
          <w:sz w:val="21"/>
          <w:szCs w:val="21"/>
        </w:rPr>
        <w:t>The contract or framework criteria.</w:t>
      </w:r>
    </w:p>
    <w:p w14:paraId="6D485B93" w14:textId="485075DB" w:rsidR="00F225E1" w:rsidRPr="00A9305B" w:rsidRDefault="00546241" w:rsidP="00A9305B">
      <w:pPr>
        <w:spacing w:after="0" w:line="276" w:lineRule="auto"/>
        <w:ind w:left="1287"/>
        <w:rPr>
          <w:rFonts w:ascii="Arial" w:hAnsi="Arial" w:cs="Arial"/>
          <w:sz w:val="21"/>
          <w:szCs w:val="21"/>
        </w:rPr>
      </w:pPr>
      <w:r w:rsidRPr="00A9305B">
        <w:rPr>
          <w:rFonts w:ascii="Arial" w:hAnsi="Arial" w:cs="Arial"/>
          <w:sz w:val="21"/>
          <w:szCs w:val="21"/>
        </w:rPr>
        <w:t xml:space="preserve">6. </w:t>
      </w:r>
      <w:r w:rsidR="00485FE8" w:rsidRPr="00A9305B">
        <w:rPr>
          <w:rFonts w:ascii="Arial" w:hAnsi="Arial" w:cs="Arial"/>
          <w:sz w:val="21"/>
          <w:szCs w:val="21"/>
        </w:rPr>
        <w:t>Where the notice relates to a proposed framework agreement, the relevant authorities which will be able to use</w:t>
      </w:r>
      <w:r w:rsidR="00CB2E85" w:rsidRPr="00A9305B">
        <w:rPr>
          <w:rFonts w:ascii="Arial" w:hAnsi="Arial" w:cs="Arial"/>
          <w:sz w:val="21"/>
          <w:szCs w:val="21"/>
        </w:rPr>
        <w:t xml:space="preserve"> the framework agreement.</w:t>
      </w:r>
    </w:p>
    <w:p w14:paraId="0BEDF5DD" w14:textId="020A7A24" w:rsidR="00F225E1" w:rsidRPr="00A9305B" w:rsidRDefault="00546241" w:rsidP="00A9305B">
      <w:pPr>
        <w:spacing w:after="0" w:line="276" w:lineRule="auto"/>
        <w:ind w:left="1287"/>
        <w:rPr>
          <w:rFonts w:ascii="Arial" w:hAnsi="Arial" w:cs="Arial"/>
          <w:sz w:val="21"/>
          <w:szCs w:val="21"/>
        </w:rPr>
      </w:pPr>
      <w:r w:rsidRPr="00A9305B">
        <w:rPr>
          <w:rFonts w:ascii="Arial" w:hAnsi="Arial" w:cs="Arial"/>
          <w:sz w:val="21"/>
          <w:szCs w:val="21"/>
        </w:rPr>
        <w:t xml:space="preserve">7. </w:t>
      </w:r>
      <w:r w:rsidR="00CB2E85" w:rsidRPr="00A9305B">
        <w:rPr>
          <w:rFonts w:ascii="Arial" w:hAnsi="Arial" w:cs="Arial"/>
          <w:sz w:val="21"/>
          <w:szCs w:val="21"/>
        </w:rPr>
        <w:t>A statement as to how offers must be made, which must be by electronic means</w:t>
      </w:r>
      <w:r w:rsidR="00F225E1" w:rsidRPr="00A9305B">
        <w:rPr>
          <w:rFonts w:ascii="Arial" w:hAnsi="Arial" w:cs="Arial"/>
          <w:sz w:val="21"/>
          <w:szCs w:val="21"/>
        </w:rPr>
        <w:t>.</w:t>
      </w:r>
    </w:p>
    <w:p w14:paraId="42FDE2A5" w14:textId="1CE927EC" w:rsidR="00F225E1" w:rsidRPr="00A9305B" w:rsidRDefault="00546241" w:rsidP="00A9305B">
      <w:pPr>
        <w:spacing w:after="0" w:line="276" w:lineRule="auto"/>
        <w:ind w:left="1287"/>
        <w:rPr>
          <w:rFonts w:ascii="Arial" w:hAnsi="Arial" w:cs="Arial"/>
          <w:sz w:val="21"/>
          <w:szCs w:val="21"/>
        </w:rPr>
      </w:pPr>
      <w:r w:rsidRPr="00A9305B">
        <w:rPr>
          <w:rFonts w:ascii="Arial" w:hAnsi="Arial" w:cs="Arial"/>
          <w:sz w:val="21"/>
          <w:szCs w:val="21"/>
        </w:rPr>
        <w:t xml:space="preserve">8. </w:t>
      </w:r>
      <w:r w:rsidR="00CB2E85" w:rsidRPr="00A9305B">
        <w:rPr>
          <w:rFonts w:ascii="Arial" w:hAnsi="Arial" w:cs="Arial"/>
          <w:sz w:val="21"/>
          <w:szCs w:val="21"/>
        </w:rPr>
        <w:t>A statement as to how offers will be assessed, including whether the assessment will be in stages.</w:t>
      </w:r>
    </w:p>
    <w:p w14:paraId="6250E47A" w14:textId="002BF2A3" w:rsidR="00176E06" w:rsidRPr="00F93DDE" w:rsidRDefault="00820BB3" w:rsidP="00F93DDE">
      <w:pPr>
        <w:pStyle w:val="Heading1"/>
        <w:numPr>
          <w:ilvl w:val="0"/>
          <w:numId w:val="1"/>
        </w:numPr>
        <w:spacing w:before="360" w:after="240"/>
        <w:ind w:left="0" w:firstLine="0"/>
        <w:rPr>
          <w:rFonts w:ascii="Arial" w:hAnsi="Arial" w:cs="Arial"/>
          <w:b/>
          <w:bCs/>
          <w:color w:val="000000" w:themeColor="text1"/>
          <w:sz w:val="28"/>
          <w:szCs w:val="28"/>
        </w:rPr>
      </w:pPr>
      <w:bookmarkStart w:id="48" w:name="_Toc198745111"/>
      <w:r>
        <w:rPr>
          <w:rFonts w:ascii="Arial" w:hAnsi="Arial" w:cs="Arial"/>
          <w:b/>
          <w:bCs/>
          <w:color w:val="000000" w:themeColor="text1"/>
          <w:sz w:val="28"/>
          <w:szCs w:val="28"/>
        </w:rPr>
        <w:t>A</w:t>
      </w:r>
      <w:r w:rsidR="00176E06" w:rsidRPr="00F93DDE">
        <w:rPr>
          <w:rFonts w:ascii="Arial" w:hAnsi="Arial" w:cs="Arial"/>
          <w:b/>
          <w:bCs/>
          <w:color w:val="000000" w:themeColor="text1"/>
          <w:sz w:val="28"/>
          <w:szCs w:val="28"/>
        </w:rPr>
        <w:t>ssessment of Clarendon</w:t>
      </w:r>
      <w:r>
        <w:rPr>
          <w:rFonts w:ascii="Arial" w:hAnsi="Arial" w:cs="Arial"/>
          <w:b/>
          <w:bCs/>
          <w:color w:val="000000" w:themeColor="text1"/>
          <w:sz w:val="28"/>
          <w:szCs w:val="28"/>
        </w:rPr>
        <w:t>’s representations</w:t>
      </w:r>
      <w:bookmarkEnd w:id="48"/>
    </w:p>
    <w:p w14:paraId="41D60E4A" w14:textId="60A91CE8" w:rsidR="00A17F62" w:rsidRPr="00E9315A" w:rsidRDefault="00A17F62" w:rsidP="00A17F62">
      <w:pPr>
        <w:pStyle w:val="ListParagraph"/>
        <w:numPr>
          <w:ilvl w:val="0"/>
          <w:numId w:val="2"/>
        </w:numPr>
        <w:spacing w:after="0" w:line="276" w:lineRule="auto"/>
        <w:ind w:left="567" w:hanging="567"/>
        <w:contextualSpacing w:val="0"/>
        <w:rPr>
          <w:rFonts w:ascii="Arial" w:hAnsi="Arial" w:cs="Arial"/>
        </w:rPr>
      </w:pPr>
      <w:r w:rsidRPr="00E9315A">
        <w:rPr>
          <w:rFonts w:ascii="Arial" w:hAnsi="Arial" w:cs="Arial"/>
        </w:rPr>
        <w:t xml:space="preserve">This section sets out the Panel’s assessment of </w:t>
      </w:r>
      <w:r>
        <w:rPr>
          <w:rFonts w:ascii="Arial" w:hAnsi="Arial" w:cs="Arial"/>
        </w:rPr>
        <w:t>Clarendon’s</w:t>
      </w:r>
      <w:r w:rsidRPr="00E9315A">
        <w:rPr>
          <w:rFonts w:ascii="Arial" w:hAnsi="Arial" w:cs="Arial"/>
        </w:rPr>
        <w:t xml:space="preserve"> representations and its findings on whether HNY ICB complied with the PSR regulations</w:t>
      </w:r>
      <w:r>
        <w:rPr>
          <w:rFonts w:ascii="Arial" w:hAnsi="Arial" w:cs="Arial"/>
        </w:rPr>
        <w:t xml:space="preserve"> in relation to</w:t>
      </w:r>
      <w:r w:rsidRPr="00E9315A">
        <w:rPr>
          <w:rFonts w:ascii="Arial" w:hAnsi="Arial" w:cs="Arial"/>
        </w:rPr>
        <w:t>:</w:t>
      </w:r>
    </w:p>
    <w:p w14:paraId="4BEF061F" w14:textId="51585F1C" w:rsidR="00A17F62" w:rsidRPr="00C4143F" w:rsidRDefault="00A17F62" w:rsidP="00A17F62">
      <w:pPr>
        <w:pStyle w:val="ListParagraph"/>
        <w:numPr>
          <w:ilvl w:val="1"/>
          <w:numId w:val="2"/>
        </w:numPr>
        <w:spacing w:after="0" w:line="276" w:lineRule="auto"/>
        <w:ind w:left="1134" w:hanging="283"/>
        <w:contextualSpacing w:val="0"/>
        <w:rPr>
          <w:rFonts w:ascii="Arial" w:hAnsi="Arial" w:cs="Arial"/>
        </w:rPr>
      </w:pPr>
      <w:r>
        <w:rPr>
          <w:rFonts w:ascii="Arial" w:hAnsi="Arial" w:cs="Arial"/>
        </w:rPr>
        <w:t xml:space="preserve">first, </w:t>
      </w:r>
      <w:r w:rsidR="008070D7">
        <w:rPr>
          <w:rFonts w:ascii="Arial" w:hAnsi="Arial" w:cs="Arial"/>
        </w:rPr>
        <w:t xml:space="preserve">the </w:t>
      </w:r>
      <w:r>
        <w:rPr>
          <w:rFonts w:ascii="Arial" w:eastAsiaTheme="majorEastAsia" w:hAnsi="Arial" w:cs="Arial"/>
          <w:color w:val="000000" w:themeColor="text1"/>
        </w:rPr>
        <w:t xml:space="preserve">evaluation of </w:t>
      </w:r>
      <w:r w:rsidR="00B465BA">
        <w:rPr>
          <w:rFonts w:ascii="Arial" w:eastAsiaTheme="majorEastAsia" w:hAnsi="Arial" w:cs="Arial"/>
          <w:color w:val="000000" w:themeColor="text1"/>
        </w:rPr>
        <w:t>Clarendon’s</w:t>
      </w:r>
      <w:r>
        <w:rPr>
          <w:rFonts w:ascii="Arial" w:eastAsiaTheme="majorEastAsia" w:hAnsi="Arial" w:cs="Arial"/>
          <w:color w:val="000000" w:themeColor="text1"/>
        </w:rPr>
        <w:t xml:space="preserve"> proposals (Section </w:t>
      </w:r>
      <w:r w:rsidR="004D15D0">
        <w:rPr>
          <w:rFonts w:ascii="Arial" w:eastAsiaTheme="majorEastAsia" w:hAnsi="Arial" w:cs="Arial"/>
          <w:color w:val="000000" w:themeColor="text1"/>
        </w:rPr>
        <w:t>10</w:t>
      </w:r>
      <w:r>
        <w:rPr>
          <w:rFonts w:ascii="Arial" w:eastAsiaTheme="majorEastAsia" w:hAnsi="Arial" w:cs="Arial"/>
          <w:color w:val="000000" w:themeColor="text1"/>
        </w:rPr>
        <w:t>.1);</w:t>
      </w:r>
    </w:p>
    <w:p w14:paraId="2BCAB9EA" w14:textId="4FEEF834" w:rsidR="00A17F62" w:rsidRPr="004D15D0" w:rsidRDefault="00A17F62" w:rsidP="00A17F62">
      <w:pPr>
        <w:pStyle w:val="ListParagraph"/>
        <w:numPr>
          <w:ilvl w:val="1"/>
          <w:numId w:val="2"/>
        </w:numPr>
        <w:spacing w:after="0" w:line="276" w:lineRule="auto"/>
        <w:ind w:left="1134" w:hanging="283"/>
        <w:contextualSpacing w:val="0"/>
        <w:rPr>
          <w:rFonts w:ascii="Arial" w:hAnsi="Arial" w:cs="Arial"/>
        </w:rPr>
      </w:pPr>
      <w:r>
        <w:rPr>
          <w:rFonts w:ascii="Arial" w:eastAsiaTheme="majorEastAsia" w:hAnsi="Arial" w:cs="Arial"/>
          <w:color w:val="000000" w:themeColor="text1"/>
        </w:rPr>
        <w:t xml:space="preserve">second, </w:t>
      </w:r>
      <w:r w:rsidR="008070D7">
        <w:rPr>
          <w:rFonts w:ascii="Arial" w:eastAsiaTheme="majorEastAsia" w:hAnsi="Arial" w:cs="Arial"/>
          <w:color w:val="000000" w:themeColor="text1"/>
        </w:rPr>
        <w:t>the</w:t>
      </w:r>
      <w:r>
        <w:rPr>
          <w:rFonts w:ascii="Arial" w:eastAsiaTheme="majorEastAsia" w:hAnsi="Arial" w:cs="Arial"/>
          <w:color w:val="000000" w:themeColor="text1"/>
        </w:rPr>
        <w:t xml:space="preserve"> </w:t>
      </w:r>
      <w:r w:rsidR="00D0215B">
        <w:rPr>
          <w:rFonts w:ascii="Arial" w:eastAsiaTheme="majorEastAsia" w:hAnsi="Arial" w:cs="Arial"/>
          <w:color w:val="000000" w:themeColor="text1"/>
        </w:rPr>
        <w:t xml:space="preserve">notice inviting offers </w:t>
      </w:r>
      <w:r w:rsidR="00671384">
        <w:rPr>
          <w:rFonts w:ascii="Arial" w:eastAsiaTheme="majorEastAsia" w:hAnsi="Arial" w:cs="Arial"/>
          <w:color w:val="000000" w:themeColor="text1"/>
        </w:rPr>
        <w:t xml:space="preserve">published </w:t>
      </w:r>
      <w:r w:rsidR="00D0215B">
        <w:rPr>
          <w:rFonts w:ascii="Arial" w:eastAsiaTheme="majorEastAsia" w:hAnsi="Arial" w:cs="Arial"/>
          <w:color w:val="000000" w:themeColor="text1"/>
        </w:rPr>
        <w:t xml:space="preserve">on 20 September 2024 </w:t>
      </w:r>
      <w:r>
        <w:rPr>
          <w:rFonts w:ascii="Arial" w:eastAsiaTheme="majorEastAsia" w:hAnsi="Arial" w:cs="Arial"/>
          <w:color w:val="000000" w:themeColor="text1"/>
        </w:rPr>
        <w:t>(Section</w:t>
      </w:r>
      <w:r w:rsidR="00671384">
        <w:rPr>
          <w:rFonts w:ascii="Arial" w:eastAsiaTheme="majorEastAsia" w:hAnsi="Arial" w:cs="Arial"/>
          <w:color w:val="000000" w:themeColor="text1"/>
        </w:rPr>
        <w:t> </w:t>
      </w:r>
      <w:r w:rsidR="004D15D0">
        <w:rPr>
          <w:rFonts w:ascii="Arial" w:eastAsiaTheme="majorEastAsia" w:hAnsi="Arial" w:cs="Arial"/>
          <w:color w:val="000000" w:themeColor="text1"/>
        </w:rPr>
        <w:t>10</w:t>
      </w:r>
      <w:r>
        <w:rPr>
          <w:rFonts w:ascii="Arial" w:eastAsiaTheme="majorEastAsia" w:hAnsi="Arial" w:cs="Arial"/>
          <w:color w:val="000000" w:themeColor="text1"/>
        </w:rPr>
        <w:t>.2);</w:t>
      </w:r>
    </w:p>
    <w:p w14:paraId="74242811" w14:textId="636C271E" w:rsidR="004D15D0" w:rsidRPr="00C4143F" w:rsidRDefault="004D15D0" w:rsidP="004D15D0">
      <w:pPr>
        <w:pStyle w:val="ListParagraph"/>
        <w:numPr>
          <w:ilvl w:val="1"/>
          <w:numId w:val="2"/>
        </w:numPr>
        <w:spacing w:after="0" w:line="276" w:lineRule="auto"/>
        <w:ind w:left="1134" w:hanging="283"/>
        <w:contextualSpacing w:val="0"/>
        <w:rPr>
          <w:rFonts w:ascii="Arial" w:hAnsi="Arial" w:cs="Arial"/>
        </w:rPr>
      </w:pPr>
      <w:r>
        <w:rPr>
          <w:rFonts w:ascii="Arial" w:eastAsiaTheme="majorEastAsia" w:hAnsi="Arial" w:cs="Arial"/>
          <w:color w:val="000000" w:themeColor="text1"/>
        </w:rPr>
        <w:t xml:space="preserve">third, </w:t>
      </w:r>
      <w:r w:rsidR="00671384">
        <w:rPr>
          <w:rFonts w:ascii="Arial" w:eastAsiaTheme="majorEastAsia" w:hAnsi="Arial" w:cs="Arial"/>
          <w:color w:val="000000" w:themeColor="text1"/>
        </w:rPr>
        <w:t xml:space="preserve">the notice </w:t>
      </w:r>
      <w:r w:rsidR="00F73E9F">
        <w:rPr>
          <w:rFonts w:ascii="Arial" w:eastAsiaTheme="majorEastAsia" w:hAnsi="Arial" w:cs="Arial"/>
          <w:color w:val="000000" w:themeColor="text1"/>
        </w:rPr>
        <w:t xml:space="preserve">of intention published on 10 December 2024 and the corrigenda </w:t>
      </w:r>
      <w:r w:rsidR="00130F53">
        <w:rPr>
          <w:rFonts w:ascii="Arial" w:eastAsiaTheme="majorEastAsia" w:hAnsi="Arial" w:cs="Arial"/>
          <w:color w:val="000000" w:themeColor="text1"/>
        </w:rPr>
        <w:t xml:space="preserve">to this notice </w:t>
      </w:r>
      <w:r w:rsidR="009024ED">
        <w:rPr>
          <w:rFonts w:ascii="Arial" w:eastAsiaTheme="majorEastAsia" w:hAnsi="Arial" w:cs="Arial"/>
          <w:color w:val="000000" w:themeColor="text1"/>
        </w:rPr>
        <w:t xml:space="preserve">published on 13 January and 4 March 2025 </w:t>
      </w:r>
      <w:r>
        <w:rPr>
          <w:rFonts w:ascii="Arial" w:eastAsiaTheme="majorEastAsia" w:hAnsi="Arial" w:cs="Arial"/>
          <w:color w:val="000000" w:themeColor="text1"/>
        </w:rPr>
        <w:t>(Section 10.3); and</w:t>
      </w:r>
    </w:p>
    <w:p w14:paraId="240EC591" w14:textId="0C93D289" w:rsidR="004D15D0" w:rsidRPr="00C4143F" w:rsidRDefault="004D15D0" w:rsidP="004D15D0">
      <w:pPr>
        <w:pStyle w:val="ListParagraph"/>
        <w:numPr>
          <w:ilvl w:val="1"/>
          <w:numId w:val="2"/>
        </w:numPr>
        <w:spacing w:line="276" w:lineRule="auto"/>
        <w:ind w:left="1135" w:hanging="284"/>
        <w:contextualSpacing w:val="0"/>
        <w:rPr>
          <w:rFonts w:ascii="Arial" w:hAnsi="Arial" w:cs="Arial"/>
        </w:rPr>
      </w:pPr>
      <w:r>
        <w:rPr>
          <w:rFonts w:ascii="Arial" w:eastAsiaTheme="majorEastAsia" w:hAnsi="Arial" w:cs="Arial"/>
          <w:color w:val="000000" w:themeColor="text1"/>
        </w:rPr>
        <w:t xml:space="preserve">finally, </w:t>
      </w:r>
      <w:r w:rsidR="0056190F">
        <w:rPr>
          <w:rFonts w:ascii="Arial" w:hAnsi="Arial" w:cs="Arial"/>
        </w:rPr>
        <w:t>the</w:t>
      </w:r>
      <w:r>
        <w:rPr>
          <w:rFonts w:ascii="Arial" w:eastAsiaTheme="majorEastAsia" w:hAnsi="Arial" w:cs="Arial"/>
          <w:color w:val="000000" w:themeColor="text1"/>
        </w:rPr>
        <w:t xml:space="preserve"> </w:t>
      </w:r>
      <w:r w:rsidR="00A858D2">
        <w:rPr>
          <w:rFonts w:ascii="Arial" w:eastAsiaTheme="majorEastAsia" w:hAnsi="Arial" w:cs="Arial"/>
          <w:color w:val="000000" w:themeColor="text1"/>
        </w:rPr>
        <w:t xml:space="preserve">review of Clarendon’s </w:t>
      </w:r>
      <w:r>
        <w:rPr>
          <w:rFonts w:ascii="Arial" w:eastAsiaTheme="majorEastAsia" w:hAnsi="Arial" w:cs="Arial"/>
          <w:color w:val="000000" w:themeColor="text1"/>
        </w:rPr>
        <w:t>representations (Section 10.4).</w:t>
      </w:r>
    </w:p>
    <w:p w14:paraId="50877814" w14:textId="3BBB271A" w:rsidR="00F17EBC" w:rsidRPr="00176E06" w:rsidRDefault="00DB61C0" w:rsidP="00176E06">
      <w:pPr>
        <w:pStyle w:val="Heading2"/>
        <w:numPr>
          <w:ilvl w:val="1"/>
          <w:numId w:val="1"/>
        </w:numPr>
        <w:spacing w:before="240" w:after="160"/>
        <w:ind w:left="0" w:firstLine="0"/>
        <w:rPr>
          <w:rFonts w:ascii="Arial" w:hAnsi="Arial" w:cs="Arial"/>
          <w:b/>
          <w:color w:val="000000" w:themeColor="text1"/>
          <w:sz w:val="24"/>
          <w:szCs w:val="24"/>
        </w:rPr>
      </w:pPr>
      <w:bookmarkStart w:id="49" w:name="_Toc198745112"/>
      <w:r>
        <w:rPr>
          <w:rFonts w:ascii="Arial" w:hAnsi="Arial" w:cs="Arial"/>
          <w:b/>
          <w:color w:val="000000" w:themeColor="text1"/>
          <w:sz w:val="24"/>
          <w:szCs w:val="24"/>
        </w:rPr>
        <w:t>HNY ICB’s e</w:t>
      </w:r>
      <w:r w:rsidR="00BC240C" w:rsidRPr="00176E06">
        <w:rPr>
          <w:rFonts w:ascii="Arial" w:hAnsi="Arial" w:cs="Arial"/>
          <w:b/>
          <w:color w:val="000000" w:themeColor="text1"/>
          <w:sz w:val="24"/>
          <w:szCs w:val="24"/>
        </w:rPr>
        <w:t xml:space="preserve">valuation of Clarendon’s </w:t>
      </w:r>
      <w:r>
        <w:rPr>
          <w:rFonts w:ascii="Arial" w:hAnsi="Arial" w:cs="Arial"/>
          <w:b/>
          <w:color w:val="000000" w:themeColor="text1"/>
          <w:sz w:val="24"/>
          <w:szCs w:val="24"/>
        </w:rPr>
        <w:t>proposals</w:t>
      </w:r>
      <w:bookmarkEnd w:id="49"/>
    </w:p>
    <w:p w14:paraId="262AB1E0" w14:textId="00D4A0E4" w:rsidR="007F65D5" w:rsidRDefault="00E472E1" w:rsidP="00E472E1">
      <w:pPr>
        <w:pStyle w:val="ListParagraph"/>
        <w:numPr>
          <w:ilvl w:val="0"/>
          <w:numId w:val="2"/>
        </w:numPr>
        <w:spacing w:line="276" w:lineRule="auto"/>
        <w:ind w:left="567" w:hanging="567"/>
        <w:contextualSpacing w:val="0"/>
        <w:rPr>
          <w:rFonts w:ascii="Arial" w:hAnsi="Arial" w:cs="Arial"/>
        </w:rPr>
      </w:pPr>
      <w:bookmarkStart w:id="50" w:name="_Ref196991494"/>
      <w:r w:rsidRPr="0080580A">
        <w:rPr>
          <w:rFonts w:ascii="Arial" w:hAnsi="Arial" w:cs="Arial"/>
        </w:rPr>
        <w:t xml:space="preserve">Clarendon, in its representations to the Panel about HNY ICB’s evaluation of its proposals, said that it “was aggrieved by the result on the grounds that the decision was irrational and lacked transparency. The scoring was applied inconsistently across </w:t>
      </w:r>
      <w:r w:rsidRPr="0080580A">
        <w:rPr>
          <w:rFonts w:ascii="Arial" w:hAnsi="Arial" w:cs="Arial"/>
        </w:rPr>
        <w:lastRenderedPageBreak/>
        <w:t xml:space="preserve">different ‘Lots’ which suggests a lack of objectivity in the application of the assessment process. The feedback referenced rules or data protection issues that have no basis in law or regulation (such as the use of the secure messaging app, WhatsApp, for clinicians to discuss clinical matters)” (see paragraph </w:t>
      </w:r>
      <w:r w:rsidR="00331A6A">
        <w:rPr>
          <w:rFonts w:ascii="Arial" w:hAnsi="Arial" w:cs="Arial"/>
        </w:rPr>
        <w:t>136</w:t>
      </w:r>
      <w:r w:rsidRPr="0080580A">
        <w:rPr>
          <w:rFonts w:ascii="Arial" w:hAnsi="Arial" w:cs="Arial"/>
        </w:rPr>
        <w:t>).</w:t>
      </w:r>
      <w:r>
        <w:rPr>
          <w:rStyle w:val="FootnoteReference"/>
          <w:rFonts w:ascii="Arial" w:hAnsi="Arial" w:cs="Arial"/>
        </w:rPr>
        <w:footnoteReference w:id="44"/>
      </w:r>
      <w:bookmarkEnd w:id="50"/>
    </w:p>
    <w:p w14:paraId="71B5BCF4" w14:textId="7ADB79D6" w:rsidR="00E472E1" w:rsidRDefault="00E472E1" w:rsidP="00E472E1">
      <w:pPr>
        <w:pStyle w:val="ListParagraph"/>
        <w:numPr>
          <w:ilvl w:val="0"/>
          <w:numId w:val="2"/>
        </w:numPr>
        <w:spacing w:line="276" w:lineRule="auto"/>
        <w:ind w:left="567" w:hanging="567"/>
        <w:contextualSpacing w:val="0"/>
        <w:rPr>
          <w:rFonts w:ascii="Arial" w:hAnsi="Arial" w:cs="Arial"/>
        </w:rPr>
      </w:pPr>
      <w:r w:rsidRPr="0080580A">
        <w:rPr>
          <w:rFonts w:ascii="Arial" w:hAnsi="Arial" w:cs="Arial"/>
        </w:rPr>
        <w:t>Clarendon further summarised its concerns</w:t>
      </w:r>
      <w:r w:rsidR="00207DAC">
        <w:rPr>
          <w:rFonts w:ascii="Arial" w:hAnsi="Arial" w:cs="Arial"/>
        </w:rPr>
        <w:t xml:space="preserve"> in a paper for the Panel</w:t>
      </w:r>
      <w:r w:rsidR="00F85A7B">
        <w:rPr>
          <w:rFonts w:ascii="Arial" w:hAnsi="Arial" w:cs="Arial"/>
        </w:rPr>
        <w:t xml:space="preserve"> that was submitted before </w:t>
      </w:r>
      <w:r w:rsidRPr="0080580A">
        <w:rPr>
          <w:rFonts w:ascii="Arial" w:hAnsi="Arial" w:cs="Arial"/>
        </w:rPr>
        <w:t>its meeting with the Panel on 9 April 2025.</w:t>
      </w:r>
      <w:r>
        <w:rPr>
          <w:rStyle w:val="FootnoteReference"/>
          <w:rFonts w:ascii="Arial" w:hAnsi="Arial" w:cs="Arial"/>
        </w:rPr>
        <w:footnoteReference w:id="45"/>
      </w:r>
    </w:p>
    <w:p w14:paraId="32516CA4" w14:textId="46E31E05" w:rsidR="002B070D" w:rsidRDefault="000D696F" w:rsidP="009028F6">
      <w:pPr>
        <w:pStyle w:val="ListParagraph"/>
        <w:numPr>
          <w:ilvl w:val="0"/>
          <w:numId w:val="2"/>
        </w:numPr>
        <w:spacing w:line="276" w:lineRule="auto"/>
        <w:ind w:left="567" w:hanging="567"/>
        <w:rPr>
          <w:rFonts w:ascii="Arial" w:hAnsi="Arial" w:cs="Arial"/>
        </w:rPr>
      </w:pPr>
      <w:r w:rsidRPr="0041021E">
        <w:rPr>
          <w:rFonts w:ascii="Arial" w:hAnsi="Arial" w:cs="Arial"/>
        </w:rPr>
        <w:t>Th</w:t>
      </w:r>
      <w:r w:rsidR="00184E27">
        <w:rPr>
          <w:rFonts w:ascii="Arial" w:hAnsi="Arial" w:cs="Arial"/>
        </w:rPr>
        <w:t>e</w:t>
      </w:r>
      <w:r w:rsidRPr="0041021E">
        <w:rPr>
          <w:rFonts w:ascii="Arial" w:hAnsi="Arial" w:cs="Arial"/>
        </w:rPr>
        <w:t xml:space="preserve"> Panel’s assessment of Clarendon’s concerns about </w:t>
      </w:r>
      <w:r w:rsidR="00184E27">
        <w:rPr>
          <w:rFonts w:ascii="Arial" w:hAnsi="Arial" w:cs="Arial"/>
        </w:rPr>
        <w:t xml:space="preserve">the </w:t>
      </w:r>
      <w:r w:rsidRPr="0041021E">
        <w:rPr>
          <w:rFonts w:ascii="Arial" w:hAnsi="Arial" w:cs="Arial"/>
        </w:rPr>
        <w:t xml:space="preserve">evaluation of </w:t>
      </w:r>
      <w:r w:rsidR="00F171FA">
        <w:rPr>
          <w:rFonts w:ascii="Arial" w:hAnsi="Arial" w:cs="Arial"/>
        </w:rPr>
        <w:t>its</w:t>
      </w:r>
      <w:r w:rsidR="00EE78D8" w:rsidRPr="0041021E">
        <w:rPr>
          <w:rFonts w:ascii="Arial" w:hAnsi="Arial" w:cs="Arial"/>
        </w:rPr>
        <w:t xml:space="preserve"> </w:t>
      </w:r>
      <w:r w:rsidR="00470248">
        <w:rPr>
          <w:rFonts w:ascii="Arial" w:hAnsi="Arial" w:cs="Arial"/>
        </w:rPr>
        <w:t>proposals</w:t>
      </w:r>
      <w:r w:rsidR="00270D11">
        <w:rPr>
          <w:rFonts w:ascii="Arial" w:hAnsi="Arial" w:cs="Arial"/>
        </w:rPr>
        <w:t xml:space="preserve"> </w:t>
      </w:r>
      <w:r w:rsidR="006C3877">
        <w:rPr>
          <w:rFonts w:ascii="Arial" w:hAnsi="Arial" w:cs="Arial"/>
        </w:rPr>
        <w:t>is set out as follows</w:t>
      </w:r>
      <w:r w:rsidR="00270D11">
        <w:rPr>
          <w:rFonts w:ascii="Arial" w:hAnsi="Arial" w:cs="Arial"/>
        </w:rPr>
        <w:t>:</w:t>
      </w:r>
    </w:p>
    <w:p w14:paraId="2B37C646" w14:textId="2A3CAD9A" w:rsidR="001268B6" w:rsidRDefault="002D4B9B" w:rsidP="005E6DD8">
      <w:pPr>
        <w:pStyle w:val="ListParagraph"/>
        <w:numPr>
          <w:ilvl w:val="1"/>
          <w:numId w:val="2"/>
        </w:numPr>
        <w:spacing w:after="0" w:line="276" w:lineRule="auto"/>
        <w:ind w:left="1134" w:hanging="283"/>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Clarendon’s concerns about inconsistent </w:t>
      </w:r>
      <w:r w:rsidR="001460D4">
        <w:rPr>
          <w:rFonts w:ascii="Arial" w:eastAsiaTheme="majorEastAsia" w:hAnsi="Arial" w:cs="Arial"/>
          <w:color w:val="000000" w:themeColor="text1"/>
        </w:rPr>
        <w:t>evaluation and scoring</w:t>
      </w:r>
      <w:r>
        <w:rPr>
          <w:rFonts w:ascii="Arial" w:eastAsiaTheme="majorEastAsia" w:hAnsi="Arial" w:cs="Arial"/>
          <w:color w:val="000000" w:themeColor="text1"/>
        </w:rPr>
        <w:t xml:space="preserve"> across the local questions</w:t>
      </w:r>
      <w:r w:rsidR="001460D4">
        <w:rPr>
          <w:rFonts w:ascii="Arial" w:eastAsiaTheme="majorEastAsia" w:hAnsi="Arial" w:cs="Arial"/>
          <w:color w:val="000000" w:themeColor="text1"/>
        </w:rPr>
        <w:t xml:space="preserve"> </w:t>
      </w:r>
      <w:r w:rsidR="006C3877">
        <w:rPr>
          <w:rFonts w:ascii="Arial" w:eastAsiaTheme="majorEastAsia" w:hAnsi="Arial" w:cs="Arial"/>
          <w:color w:val="000000" w:themeColor="text1"/>
        </w:rPr>
        <w:t xml:space="preserve">is discussed in </w:t>
      </w:r>
      <w:r w:rsidR="001460D4">
        <w:rPr>
          <w:rFonts w:ascii="Arial" w:eastAsiaTheme="majorEastAsia" w:hAnsi="Arial" w:cs="Arial"/>
          <w:color w:val="000000" w:themeColor="text1"/>
        </w:rPr>
        <w:t>Section 10.1.</w:t>
      </w:r>
      <w:r w:rsidR="00225152">
        <w:rPr>
          <w:rFonts w:ascii="Arial" w:eastAsiaTheme="majorEastAsia" w:hAnsi="Arial" w:cs="Arial"/>
          <w:color w:val="000000" w:themeColor="text1"/>
        </w:rPr>
        <w:t>1</w:t>
      </w:r>
      <w:r w:rsidR="00561DE2">
        <w:rPr>
          <w:rFonts w:ascii="Arial" w:eastAsiaTheme="majorEastAsia" w:hAnsi="Arial" w:cs="Arial"/>
          <w:color w:val="000000" w:themeColor="text1"/>
        </w:rPr>
        <w:t>;</w:t>
      </w:r>
    </w:p>
    <w:p w14:paraId="699FE109" w14:textId="5405273A" w:rsidR="001460D4" w:rsidRDefault="001460D4" w:rsidP="00270D11">
      <w:pPr>
        <w:pStyle w:val="ListParagraph"/>
        <w:numPr>
          <w:ilvl w:val="1"/>
          <w:numId w:val="2"/>
        </w:numPr>
        <w:spacing w:after="0" w:line="276" w:lineRule="auto"/>
        <w:ind w:left="1134" w:hanging="283"/>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Clarendon’s concerns about </w:t>
      </w:r>
      <w:r w:rsidR="00561DE2">
        <w:rPr>
          <w:rFonts w:ascii="Arial" w:eastAsiaTheme="majorEastAsia" w:hAnsi="Arial" w:cs="Arial"/>
          <w:color w:val="000000" w:themeColor="text1"/>
        </w:rPr>
        <w:t xml:space="preserve">inconsistencies in the evaluation concerning its proposed use of the WhatsApp messaging system </w:t>
      </w:r>
      <w:r w:rsidR="006C3877">
        <w:rPr>
          <w:rFonts w:ascii="Arial" w:eastAsiaTheme="majorEastAsia" w:hAnsi="Arial" w:cs="Arial"/>
          <w:color w:val="000000" w:themeColor="text1"/>
        </w:rPr>
        <w:t xml:space="preserve">is discussed in </w:t>
      </w:r>
      <w:r w:rsidR="00561DE2">
        <w:rPr>
          <w:rFonts w:ascii="Arial" w:eastAsiaTheme="majorEastAsia" w:hAnsi="Arial" w:cs="Arial"/>
          <w:color w:val="000000" w:themeColor="text1"/>
        </w:rPr>
        <w:t>Section 10.1.</w:t>
      </w:r>
      <w:r w:rsidR="00225152">
        <w:rPr>
          <w:rFonts w:ascii="Arial" w:eastAsiaTheme="majorEastAsia" w:hAnsi="Arial" w:cs="Arial"/>
          <w:color w:val="000000" w:themeColor="text1"/>
        </w:rPr>
        <w:t>2</w:t>
      </w:r>
      <w:r w:rsidR="00561DE2">
        <w:rPr>
          <w:rFonts w:ascii="Arial" w:eastAsiaTheme="majorEastAsia" w:hAnsi="Arial" w:cs="Arial"/>
          <w:color w:val="000000" w:themeColor="text1"/>
        </w:rPr>
        <w:t>; and</w:t>
      </w:r>
    </w:p>
    <w:p w14:paraId="37E9C685" w14:textId="03C87826" w:rsidR="00561DE2" w:rsidRPr="00270D11" w:rsidRDefault="00561DE2" w:rsidP="00270D11">
      <w:pPr>
        <w:pStyle w:val="ListParagraph"/>
        <w:numPr>
          <w:ilvl w:val="1"/>
          <w:numId w:val="2"/>
        </w:numPr>
        <w:spacing w:after="0" w:line="276" w:lineRule="auto"/>
        <w:ind w:left="1134" w:hanging="283"/>
        <w:contextualSpacing w:val="0"/>
        <w:rPr>
          <w:rFonts w:ascii="Arial" w:eastAsiaTheme="majorEastAsia" w:hAnsi="Arial" w:cs="Arial"/>
          <w:color w:val="000000" w:themeColor="text1"/>
        </w:rPr>
      </w:pPr>
      <w:r>
        <w:rPr>
          <w:rFonts w:ascii="Arial" w:eastAsiaTheme="majorEastAsia" w:hAnsi="Arial" w:cs="Arial"/>
          <w:color w:val="000000" w:themeColor="text1"/>
        </w:rPr>
        <w:t>Clarendon’s other concerns</w:t>
      </w:r>
      <w:r w:rsidR="009028F6">
        <w:rPr>
          <w:rFonts w:ascii="Arial" w:eastAsiaTheme="majorEastAsia" w:hAnsi="Arial" w:cs="Arial"/>
          <w:color w:val="000000" w:themeColor="text1"/>
        </w:rPr>
        <w:t xml:space="preserve"> about the evaluation of its proposals </w:t>
      </w:r>
      <w:r w:rsidR="00CC607B">
        <w:rPr>
          <w:rFonts w:ascii="Arial" w:eastAsiaTheme="majorEastAsia" w:hAnsi="Arial" w:cs="Arial"/>
          <w:color w:val="000000" w:themeColor="text1"/>
        </w:rPr>
        <w:t xml:space="preserve">are discussed in </w:t>
      </w:r>
      <w:r w:rsidR="009028F6">
        <w:rPr>
          <w:rFonts w:ascii="Arial" w:eastAsiaTheme="majorEastAsia" w:hAnsi="Arial" w:cs="Arial"/>
          <w:color w:val="000000" w:themeColor="text1"/>
        </w:rPr>
        <w:t>Section</w:t>
      </w:r>
      <w:r w:rsidR="00BF7216">
        <w:rPr>
          <w:rFonts w:ascii="Arial" w:eastAsiaTheme="majorEastAsia" w:hAnsi="Arial" w:cs="Arial"/>
          <w:color w:val="000000" w:themeColor="text1"/>
        </w:rPr>
        <w:t> </w:t>
      </w:r>
      <w:r w:rsidR="009028F6">
        <w:rPr>
          <w:rFonts w:ascii="Arial" w:eastAsiaTheme="majorEastAsia" w:hAnsi="Arial" w:cs="Arial"/>
          <w:color w:val="000000" w:themeColor="text1"/>
        </w:rPr>
        <w:t>10.1.</w:t>
      </w:r>
      <w:r w:rsidR="00225152">
        <w:rPr>
          <w:rFonts w:ascii="Arial" w:eastAsiaTheme="majorEastAsia" w:hAnsi="Arial" w:cs="Arial"/>
          <w:color w:val="000000" w:themeColor="text1"/>
        </w:rPr>
        <w:t>3</w:t>
      </w:r>
      <w:r w:rsidR="009028F6">
        <w:rPr>
          <w:rFonts w:ascii="Arial" w:eastAsiaTheme="majorEastAsia" w:hAnsi="Arial" w:cs="Arial"/>
          <w:color w:val="000000" w:themeColor="text1"/>
        </w:rPr>
        <w:t>.</w:t>
      </w:r>
    </w:p>
    <w:p w14:paraId="7816718D" w14:textId="41303068" w:rsidR="00EC508F" w:rsidRPr="007748C6" w:rsidRDefault="007748C6" w:rsidP="007748C6">
      <w:pPr>
        <w:keepNext/>
        <w:spacing w:before="240" w:line="276" w:lineRule="auto"/>
        <w:rPr>
          <w:rFonts w:ascii="Arial" w:hAnsi="Arial" w:cs="Arial"/>
          <w:b/>
          <w:bCs/>
        </w:rPr>
      </w:pPr>
      <w:r>
        <w:rPr>
          <w:rFonts w:ascii="Arial" w:hAnsi="Arial" w:cs="Arial"/>
          <w:b/>
          <w:bCs/>
        </w:rPr>
        <w:t>10.1.</w:t>
      </w:r>
      <w:r w:rsidR="00225152">
        <w:rPr>
          <w:rFonts w:ascii="Arial" w:hAnsi="Arial" w:cs="Arial"/>
          <w:b/>
          <w:bCs/>
        </w:rPr>
        <w:t>1</w:t>
      </w:r>
      <w:r>
        <w:rPr>
          <w:rFonts w:ascii="Arial" w:hAnsi="Arial" w:cs="Arial"/>
          <w:b/>
          <w:bCs/>
        </w:rPr>
        <w:t xml:space="preserve"> Inconsistent </w:t>
      </w:r>
      <w:r w:rsidR="0019624C">
        <w:rPr>
          <w:rFonts w:ascii="Arial" w:hAnsi="Arial" w:cs="Arial"/>
          <w:b/>
          <w:bCs/>
        </w:rPr>
        <w:t xml:space="preserve">scoring across </w:t>
      </w:r>
      <w:r w:rsidR="00D475FD">
        <w:rPr>
          <w:rFonts w:ascii="Arial" w:hAnsi="Arial" w:cs="Arial"/>
          <w:b/>
          <w:bCs/>
        </w:rPr>
        <w:t>lots</w:t>
      </w:r>
    </w:p>
    <w:p w14:paraId="3D727CDE" w14:textId="1922773F" w:rsidR="00225152" w:rsidRPr="00F70BAD" w:rsidRDefault="00225152" w:rsidP="00212702">
      <w:pPr>
        <w:pStyle w:val="ListParagraph"/>
        <w:numPr>
          <w:ilvl w:val="0"/>
          <w:numId w:val="2"/>
        </w:numPr>
        <w:spacing w:line="276" w:lineRule="auto"/>
        <w:ind w:left="567" w:hanging="567"/>
        <w:contextualSpacing w:val="0"/>
        <w:rPr>
          <w:rFonts w:ascii="Arial" w:hAnsi="Arial" w:cs="Arial"/>
        </w:rPr>
      </w:pPr>
      <w:r>
        <w:rPr>
          <w:rFonts w:ascii="Arial" w:hAnsi="Arial" w:cs="Arial"/>
        </w:rPr>
        <w:t>Clarendon told the Panel</w:t>
      </w:r>
      <w:r w:rsidR="005406A2">
        <w:rPr>
          <w:rFonts w:ascii="Arial" w:hAnsi="Arial" w:cs="Arial"/>
        </w:rPr>
        <w:t xml:space="preserve"> </w:t>
      </w:r>
      <w:r w:rsidR="004332BB">
        <w:rPr>
          <w:rFonts w:ascii="Arial" w:hAnsi="Arial" w:cs="Arial"/>
        </w:rPr>
        <w:t xml:space="preserve">that “the scoring was applied inconsistently across different ‘Lots’ which suggests a lack of objectivity in the application </w:t>
      </w:r>
      <w:r w:rsidR="004D5555">
        <w:rPr>
          <w:rFonts w:ascii="Arial" w:hAnsi="Arial" w:cs="Arial"/>
        </w:rPr>
        <w:t>of the assessment process”</w:t>
      </w:r>
      <w:r w:rsidR="002D23DD">
        <w:rPr>
          <w:rFonts w:ascii="Arial" w:hAnsi="Arial" w:cs="Arial"/>
        </w:rPr>
        <w:t xml:space="preserve"> (see paragraph </w:t>
      </w:r>
      <w:r w:rsidR="00331A6A">
        <w:rPr>
          <w:rFonts w:ascii="Arial" w:hAnsi="Arial" w:cs="Arial"/>
        </w:rPr>
        <w:t>140</w:t>
      </w:r>
      <w:r w:rsidR="00937EE8">
        <w:rPr>
          <w:rFonts w:ascii="Arial" w:hAnsi="Arial" w:cs="Arial"/>
        </w:rPr>
        <w:t>).</w:t>
      </w:r>
      <w:r w:rsidR="00053B5B">
        <w:rPr>
          <w:rFonts w:ascii="Arial" w:hAnsi="Arial" w:cs="Arial"/>
        </w:rPr>
        <w:t xml:space="preserve"> Clarendon</w:t>
      </w:r>
      <w:r w:rsidR="001A1C38">
        <w:rPr>
          <w:rFonts w:ascii="Arial" w:hAnsi="Arial" w:cs="Arial"/>
        </w:rPr>
        <w:t xml:space="preserve">’s concern is that it submitted the same answer </w:t>
      </w:r>
      <w:r w:rsidR="00CB0B25" w:rsidRPr="00CB0B25">
        <w:rPr>
          <w:rFonts w:ascii="Arial" w:hAnsi="Arial" w:cs="Arial"/>
        </w:rPr>
        <w:t>(subject to the names of the areas and lots being amended accordingly)</w:t>
      </w:r>
      <w:r w:rsidR="00CB0B25">
        <w:rPr>
          <w:rFonts w:ascii="Arial" w:hAnsi="Arial" w:cs="Arial"/>
        </w:rPr>
        <w:t xml:space="preserve"> </w:t>
      </w:r>
      <w:r w:rsidR="001A1C38">
        <w:rPr>
          <w:rFonts w:ascii="Arial" w:hAnsi="Arial" w:cs="Arial"/>
        </w:rPr>
        <w:t xml:space="preserve">for </w:t>
      </w:r>
      <w:r w:rsidR="002772E1">
        <w:rPr>
          <w:rFonts w:ascii="Arial" w:hAnsi="Arial" w:cs="Arial"/>
        </w:rPr>
        <w:t>some</w:t>
      </w:r>
      <w:r w:rsidR="001A1C38">
        <w:rPr>
          <w:rFonts w:ascii="Arial" w:hAnsi="Arial" w:cs="Arial"/>
        </w:rPr>
        <w:t xml:space="preserve"> of the ‘local’ questions</w:t>
      </w:r>
      <w:r w:rsidR="009F13FE">
        <w:rPr>
          <w:rFonts w:ascii="Arial" w:hAnsi="Arial" w:cs="Arial"/>
        </w:rPr>
        <w:t xml:space="preserve"> across the lots for which it was bidding</w:t>
      </w:r>
      <w:r w:rsidR="001A1C38">
        <w:rPr>
          <w:rFonts w:ascii="Arial" w:hAnsi="Arial" w:cs="Arial"/>
        </w:rPr>
        <w:t xml:space="preserve">, but </w:t>
      </w:r>
      <w:r w:rsidR="009D409B">
        <w:rPr>
          <w:rFonts w:ascii="Arial" w:hAnsi="Arial" w:cs="Arial"/>
        </w:rPr>
        <w:t>was awarded</w:t>
      </w:r>
      <w:r w:rsidR="001A1C38" w:rsidRPr="00F70BAD">
        <w:rPr>
          <w:rFonts w:ascii="Arial" w:hAnsi="Arial" w:cs="Arial"/>
        </w:rPr>
        <w:t xml:space="preserve"> different scores </w:t>
      </w:r>
      <w:r w:rsidR="00402255">
        <w:rPr>
          <w:rFonts w:ascii="Arial" w:hAnsi="Arial" w:cs="Arial"/>
        </w:rPr>
        <w:t>in</w:t>
      </w:r>
      <w:r w:rsidR="002E3B53" w:rsidRPr="00225AA7">
        <w:rPr>
          <w:rFonts w:ascii="Arial" w:hAnsi="Arial" w:cs="Arial"/>
        </w:rPr>
        <w:t xml:space="preserve"> </w:t>
      </w:r>
      <w:r w:rsidR="002E3B53" w:rsidRPr="00F70BAD">
        <w:rPr>
          <w:rFonts w:ascii="Arial" w:hAnsi="Arial" w:cs="Arial"/>
        </w:rPr>
        <w:t>different lots.</w:t>
      </w:r>
    </w:p>
    <w:p w14:paraId="506A0644" w14:textId="47DB27F2" w:rsidR="00375CD0" w:rsidRDefault="00375CD0" w:rsidP="0021270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notes that </w:t>
      </w:r>
      <w:r w:rsidR="003C0287">
        <w:rPr>
          <w:rFonts w:ascii="Arial" w:hAnsi="Arial" w:cs="Arial"/>
        </w:rPr>
        <w:t xml:space="preserve">bidders were advised that ‘local’ questions “require a response for each Lot that a provider selects to compete upon and should consider the geographical and demographic aspects of the Lot when answering these questions” (see paragraph </w:t>
      </w:r>
      <w:r w:rsidR="004E236B">
        <w:rPr>
          <w:rFonts w:ascii="Arial" w:hAnsi="Arial" w:cs="Arial"/>
        </w:rPr>
        <w:t>3</w:t>
      </w:r>
      <w:r w:rsidR="0059404A">
        <w:rPr>
          <w:rFonts w:ascii="Arial" w:hAnsi="Arial" w:cs="Arial"/>
        </w:rPr>
        <w:t>7</w:t>
      </w:r>
      <w:r w:rsidR="003C0287">
        <w:rPr>
          <w:rFonts w:ascii="Arial" w:hAnsi="Arial" w:cs="Arial"/>
        </w:rPr>
        <w:t>).</w:t>
      </w:r>
      <w:r w:rsidR="0062284F">
        <w:rPr>
          <w:rFonts w:ascii="Arial" w:hAnsi="Arial" w:cs="Arial"/>
        </w:rPr>
        <w:t xml:space="preserve"> The Panel notes that Clarendon chose to submit </w:t>
      </w:r>
      <w:r w:rsidR="00F8240D">
        <w:rPr>
          <w:rFonts w:ascii="Arial" w:hAnsi="Arial" w:cs="Arial"/>
        </w:rPr>
        <w:t xml:space="preserve">answers </w:t>
      </w:r>
      <w:r w:rsidR="004D0A1B">
        <w:rPr>
          <w:rFonts w:ascii="Arial" w:hAnsi="Arial" w:cs="Arial"/>
        </w:rPr>
        <w:t>to</w:t>
      </w:r>
      <w:r w:rsidR="004D0A1B" w:rsidDel="00D24B75">
        <w:rPr>
          <w:rFonts w:ascii="Arial" w:hAnsi="Arial" w:cs="Arial"/>
        </w:rPr>
        <w:t xml:space="preserve"> </w:t>
      </w:r>
      <w:r w:rsidR="004D0A1B">
        <w:rPr>
          <w:rFonts w:ascii="Arial" w:hAnsi="Arial" w:cs="Arial"/>
        </w:rPr>
        <w:t xml:space="preserve">local questions </w:t>
      </w:r>
      <w:r w:rsidR="00D24B75" w:rsidRPr="00D24B75">
        <w:rPr>
          <w:rFonts w:ascii="Arial" w:hAnsi="Arial" w:cs="Arial"/>
        </w:rPr>
        <w:t xml:space="preserve">that were, for all intents and purposes, uniform </w:t>
      </w:r>
      <w:r w:rsidR="004D0A1B">
        <w:rPr>
          <w:rFonts w:ascii="Arial" w:hAnsi="Arial" w:cs="Arial"/>
        </w:rPr>
        <w:t>rather than varying its answer by lot.</w:t>
      </w:r>
    </w:p>
    <w:p w14:paraId="474F3223" w14:textId="689AC400" w:rsidR="008D35B3" w:rsidRPr="00406E6B" w:rsidRDefault="00FF33D6" w:rsidP="000E1396">
      <w:pPr>
        <w:pStyle w:val="ListParagraph"/>
        <w:numPr>
          <w:ilvl w:val="0"/>
          <w:numId w:val="2"/>
        </w:numPr>
        <w:spacing w:line="276" w:lineRule="auto"/>
        <w:ind w:left="567" w:hanging="567"/>
        <w:contextualSpacing w:val="0"/>
        <w:rPr>
          <w:rFonts w:ascii="Arial" w:hAnsi="Arial" w:cs="Arial"/>
        </w:rPr>
      </w:pPr>
      <w:r w:rsidRPr="00406E6B">
        <w:rPr>
          <w:rFonts w:ascii="Arial" w:hAnsi="Arial" w:cs="Arial"/>
        </w:rPr>
        <w:t>The Panel considers that</w:t>
      </w:r>
      <w:r w:rsidR="00F54B30" w:rsidRPr="00406E6B">
        <w:rPr>
          <w:rFonts w:ascii="Arial" w:hAnsi="Arial" w:cs="Arial"/>
        </w:rPr>
        <w:t xml:space="preserve">, </w:t>
      </w:r>
      <w:r w:rsidR="00C5774F" w:rsidRPr="00406E6B">
        <w:rPr>
          <w:rFonts w:ascii="Arial" w:hAnsi="Arial" w:cs="Arial"/>
        </w:rPr>
        <w:t>as a matter of</w:t>
      </w:r>
      <w:r w:rsidR="00F54B30" w:rsidRPr="00406E6B">
        <w:rPr>
          <w:rFonts w:ascii="Arial" w:hAnsi="Arial" w:cs="Arial"/>
        </w:rPr>
        <w:t xml:space="preserve"> principle, it </w:t>
      </w:r>
      <w:r w:rsidR="00C616E4" w:rsidRPr="00406E6B">
        <w:rPr>
          <w:rFonts w:ascii="Arial" w:hAnsi="Arial" w:cs="Arial"/>
        </w:rPr>
        <w:t xml:space="preserve">might be expected that a uniform answer to </w:t>
      </w:r>
      <w:r w:rsidR="001D3806" w:rsidRPr="00406E6B">
        <w:rPr>
          <w:rFonts w:ascii="Arial" w:hAnsi="Arial" w:cs="Arial"/>
        </w:rPr>
        <w:t xml:space="preserve">one of </w:t>
      </w:r>
      <w:r w:rsidR="00C616E4" w:rsidRPr="00406E6B">
        <w:rPr>
          <w:rFonts w:ascii="Arial" w:hAnsi="Arial" w:cs="Arial"/>
        </w:rPr>
        <w:t xml:space="preserve">the </w:t>
      </w:r>
      <w:r w:rsidR="007E3969" w:rsidRPr="00406E6B">
        <w:rPr>
          <w:rFonts w:ascii="Arial" w:hAnsi="Arial" w:cs="Arial"/>
        </w:rPr>
        <w:t xml:space="preserve">‘local’ questions </w:t>
      </w:r>
      <w:r w:rsidR="006348B1" w:rsidRPr="00406E6B">
        <w:rPr>
          <w:rFonts w:ascii="Arial" w:hAnsi="Arial" w:cs="Arial"/>
        </w:rPr>
        <w:t>would</w:t>
      </w:r>
      <w:r w:rsidR="004A3278" w:rsidRPr="00406E6B">
        <w:rPr>
          <w:rFonts w:ascii="Arial" w:hAnsi="Arial" w:cs="Arial"/>
        </w:rPr>
        <w:t xml:space="preserve"> </w:t>
      </w:r>
      <w:r w:rsidR="007E3969" w:rsidRPr="00406E6B">
        <w:rPr>
          <w:rFonts w:ascii="Arial" w:hAnsi="Arial" w:cs="Arial"/>
        </w:rPr>
        <w:t xml:space="preserve">better suit the circumstances of some areas than others, </w:t>
      </w:r>
      <w:r w:rsidR="004A3278" w:rsidRPr="00406E6B">
        <w:rPr>
          <w:rFonts w:ascii="Arial" w:hAnsi="Arial" w:cs="Arial"/>
        </w:rPr>
        <w:t>thus</w:t>
      </w:r>
      <w:r w:rsidR="007E3969" w:rsidRPr="00406E6B">
        <w:rPr>
          <w:rFonts w:ascii="Arial" w:hAnsi="Arial" w:cs="Arial"/>
        </w:rPr>
        <w:t xml:space="preserve"> result</w:t>
      </w:r>
      <w:r w:rsidR="00661C1F" w:rsidRPr="00406E6B">
        <w:rPr>
          <w:rFonts w:ascii="Arial" w:hAnsi="Arial" w:cs="Arial"/>
        </w:rPr>
        <w:t>ing</w:t>
      </w:r>
      <w:r w:rsidR="007E3969" w:rsidRPr="00406E6B">
        <w:rPr>
          <w:rFonts w:ascii="Arial" w:hAnsi="Arial" w:cs="Arial"/>
        </w:rPr>
        <w:t xml:space="preserve"> in </w:t>
      </w:r>
      <w:r w:rsidR="00677E21" w:rsidRPr="00406E6B">
        <w:rPr>
          <w:rFonts w:ascii="Arial" w:hAnsi="Arial" w:cs="Arial"/>
        </w:rPr>
        <w:t>the answer</w:t>
      </w:r>
      <w:r w:rsidR="004A3278" w:rsidRPr="00406E6B">
        <w:rPr>
          <w:rFonts w:ascii="Arial" w:hAnsi="Arial" w:cs="Arial"/>
        </w:rPr>
        <w:t xml:space="preserve"> </w:t>
      </w:r>
      <w:r w:rsidR="00661C1F" w:rsidRPr="00406E6B">
        <w:rPr>
          <w:rFonts w:ascii="Arial" w:hAnsi="Arial" w:cs="Arial"/>
        </w:rPr>
        <w:t xml:space="preserve">being awarded </w:t>
      </w:r>
      <w:r w:rsidR="007E3969" w:rsidRPr="00406E6B">
        <w:rPr>
          <w:rFonts w:ascii="Arial" w:hAnsi="Arial" w:cs="Arial"/>
        </w:rPr>
        <w:t xml:space="preserve">higher scores </w:t>
      </w:r>
      <w:r w:rsidR="00C96D5E" w:rsidRPr="00406E6B">
        <w:rPr>
          <w:rFonts w:ascii="Arial" w:hAnsi="Arial" w:cs="Arial"/>
        </w:rPr>
        <w:t xml:space="preserve">in </w:t>
      </w:r>
      <w:r w:rsidR="007E3969" w:rsidRPr="00406E6B">
        <w:rPr>
          <w:rFonts w:ascii="Arial" w:hAnsi="Arial" w:cs="Arial"/>
        </w:rPr>
        <w:t xml:space="preserve">some lots </w:t>
      </w:r>
      <w:r w:rsidR="00C96D5E" w:rsidRPr="00406E6B">
        <w:rPr>
          <w:rFonts w:ascii="Arial" w:hAnsi="Arial" w:cs="Arial"/>
        </w:rPr>
        <w:t>and lower scores in other lots</w:t>
      </w:r>
      <w:r w:rsidR="007E3969" w:rsidRPr="00406E6B">
        <w:rPr>
          <w:rFonts w:ascii="Arial" w:hAnsi="Arial" w:cs="Arial"/>
        </w:rPr>
        <w:t>.</w:t>
      </w:r>
      <w:r w:rsidR="00406E6B">
        <w:rPr>
          <w:rFonts w:ascii="Arial" w:hAnsi="Arial" w:cs="Arial"/>
        </w:rPr>
        <w:t xml:space="preserve"> </w:t>
      </w:r>
      <w:r w:rsidR="00DB444D" w:rsidRPr="00406E6B">
        <w:rPr>
          <w:rFonts w:ascii="Arial" w:hAnsi="Arial" w:cs="Arial"/>
        </w:rPr>
        <w:t xml:space="preserve">The Panel also considers </w:t>
      </w:r>
      <w:r w:rsidR="00BB1A6A" w:rsidRPr="00406E6B">
        <w:rPr>
          <w:rFonts w:ascii="Arial" w:hAnsi="Arial" w:cs="Arial"/>
        </w:rPr>
        <w:t>that it is possible for different evaluators to reach different conclusions reasonably, even when faced with effectively the same response and applying the same criteria.</w:t>
      </w:r>
      <w:r w:rsidR="00406E6B" w:rsidRPr="00406E6B">
        <w:rPr>
          <w:rFonts w:ascii="Arial" w:hAnsi="Arial" w:cs="Arial"/>
        </w:rPr>
        <w:t xml:space="preserve"> </w:t>
      </w:r>
      <w:r w:rsidR="00406E6B">
        <w:rPr>
          <w:rFonts w:ascii="Arial" w:hAnsi="Arial" w:cs="Arial"/>
        </w:rPr>
        <w:t>Given this</w:t>
      </w:r>
      <w:r w:rsidR="008D35B3" w:rsidRPr="00406E6B">
        <w:rPr>
          <w:rFonts w:ascii="Arial" w:hAnsi="Arial" w:cs="Arial"/>
        </w:rPr>
        <w:t xml:space="preserve">, the fact that </w:t>
      </w:r>
      <w:r w:rsidR="00830070" w:rsidRPr="00406E6B">
        <w:rPr>
          <w:rFonts w:ascii="Arial" w:hAnsi="Arial" w:cs="Arial"/>
        </w:rPr>
        <w:t xml:space="preserve">what is </w:t>
      </w:r>
      <w:r w:rsidR="008D35B3" w:rsidRPr="00406E6B">
        <w:rPr>
          <w:rFonts w:ascii="Arial" w:hAnsi="Arial" w:cs="Arial"/>
        </w:rPr>
        <w:t xml:space="preserve">effectively the same answer has been scored differently in different </w:t>
      </w:r>
      <w:r w:rsidR="00566087" w:rsidRPr="00406E6B">
        <w:rPr>
          <w:rFonts w:ascii="Arial" w:hAnsi="Arial" w:cs="Arial"/>
        </w:rPr>
        <w:t>l</w:t>
      </w:r>
      <w:r w:rsidR="008D35B3" w:rsidRPr="00406E6B">
        <w:rPr>
          <w:rFonts w:ascii="Arial" w:hAnsi="Arial" w:cs="Arial"/>
        </w:rPr>
        <w:t>ots is not, on its own, demonstrative of the bidder having been treated unfairly.</w:t>
      </w:r>
    </w:p>
    <w:p w14:paraId="52AF73B4" w14:textId="188073DB" w:rsidR="008B64CF" w:rsidRDefault="001B6B93" w:rsidP="00212702">
      <w:pPr>
        <w:pStyle w:val="ListParagraph"/>
        <w:numPr>
          <w:ilvl w:val="0"/>
          <w:numId w:val="2"/>
        </w:numPr>
        <w:spacing w:line="276" w:lineRule="auto"/>
        <w:ind w:left="567" w:hanging="567"/>
        <w:contextualSpacing w:val="0"/>
        <w:rPr>
          <w:rFonts w:ascii="Arial" w:hAnsi="Arial" w:cs="Arial"/>
        </w:rPr>
      </w:pPr>
      <w:r>
        <w:rPr>
          <w:rFonts w:ascii="Arial" w:hAnsi="Arial" w:cs="Arial"/>
        </w:rPr>
        <w:t>Clarendon</w:t>
      </w:r>
      <w:r w:rsidR="00DB6855">
        <w:rPr>
          <w:rFonts w:ascii="Arial" w:hAnsi="Arial" w:cs="Arial"/>
        </w:rPr>
        <w:t xml:space="preserve"> </w:t>
      </w:r>
      <w:r w:rsidR="00470B26">
        <w:rPr>
          <w:rFonts w:ascii="Arial" w:hAnsi="Arial" w:cs="Arial"/>
        </w:rPr>
        <w:t xml:space="preserve">in Appendix A to its representations </w:t>
      </w:r>
      <w:r w:rsidR="00EC0C3D">
        <w:rPr>
          <w:rFonts w:ascii="Arial" w:hAnsi="Arial" w:cs="Arial"/>
        </w:rPr>
        <w:t xml:space="preserve">letter </w:t>
      </w:r>
      <w:r w:rsidR="00470B26">
        <w:rPr>
          <w:rFonts w:ascii="Arial" w:hAnsi="Arial" w:cs="Arial"/>
        </w:rPr>
        <w:t xml:space="preserve">to </w:t>
      </w:r>
      <w:r w:rsidR="00EC191A">
        <w:rPr>
          <w:rFonts w:ascii="Arial" w:hAnsi="Arial" w:cs="Arial"/>
        </w:rPr>
        <w:t>HNY</w:t>
      </w:r>
      <w:r w:rsidR="00470B26">
        <w:rPr>
          <w:rFonts w:ascii="Arial" w:hAnsi="Arial" w:cs="Arial"/>
        </w:rPr>
        <w:t xml:space="preserve"> ICB</w:t>
      </w:r>
      <w:r w:rsidR="00E25483">
        <w:rPr>
          <w:rFonts w:ascii="Arial" w:hAnsi="Arial" w:cs="Arial"/>
        </w:rPr>
        <w:t xml:space="preserve"> raises some </w:t>
      </w:r>
      <w:r w:rsidR="00C21170">
        <w:rPr>
          <w:rFonts w:ascii="Arial" w:hAnsi="Arial" w:cs="Arial"/>
        </w:rPr>
        <w:t xml:space="preserve">specific points of concern about </w:t>
      </w:r>
      <w:r w:rsidR="0013299D">
        <w:rPr>
          <w:rFonts w:ascii="Arial" w:hAnsi="Arial" w:cs="Arial"/>
        </w:rPr>
        <w:t>inconsistent treatment in the evaluation of the ‘local’ questions</w:t>
      </w:r>
      <w:r w:rsidR="004D0D1F">
        <w:rPr>
          <w:rFonts w:ascii="Arial" w:hAnsi="Arial" w:cs="Arial"/>
        </w:rPr>
        <w:t xml:space="preserve"> that go beyond the points of principle discussed above</w:t>
      </w:r>
      <w:r w:rsidR="0013299D">
        <w:rPr>
          <w:rFonts w:ascii="Arial" w:hAnsi="Arial" w:cs="Arial"/>
        </w:rPr>
        <w:t>.</w:t>
      </w:r>
      <w:r w:rsidR="00BF27C9">
        <w:rPr>
          <w:rFonts w:ascii="Arial" w:hAnsi="Arial" w:cs="Arial"/>
        </w:rPr>
        <w:t xml:space="preserve"> These include </w:t>
      </w:r>
      <w:r w:rsidR="006F4CDE">
        <w:rPr>
          <w:rFonts w:ascii="Arial" w:hAnsi="Arial" w:cs="Arial"/>
        </w:rPr>
        <w:t xml:space="preserve">concerns about </w:t>
      </w:r>
      <w:r w:rsidR="0037119F">
        <w:rPr>
          <w:rFonts w:ascii="Arial" w:hAnsi="Arial" w:cs="Arial"/>
        </w:rPr>
        <w:t>the evaluation of its responses with respect to tran</w:t>
      </w:r>
      <w:r w:rsidR="008514B5">
        <w:rPr>
          <w:rFonts w:ascii="Arial" w:hAnsi="Arial" w:cs="Arial"/>
        </w:rPr>
        <w:t xml:space="preserve">slation services, parking </w:t>
      </w:r>
      <w:r w:rsidR="00F35FF0">
        <w:rPr>
          <w:rFonts w:ascii="Arial" w:hAnsi="Arial" w:cs="Arial"/>
        </w:rPr>
        <w:t>and opening hours.</w:t>
      </w:r>
      <w:r w:rsidR="00AB7B47">
        <w:rPr>
          <w:rFonts w:ascii="Arial" w:hAnsi="Arial" w:cs="Arial"/>
        </w:rPr>
        <w:t xml:space="preserve"> The Panel</w:t>
      </w:r>
      <w:r w:rsidR="00711706">
        <w:rPr>
          <w:rFonts w:ascii="Arial" w:hAnsi="Arial" w:cs="Arial"/>
        </w:rPr>
        <w:t xml:space="preserve"> considers </w:t>
      </w:r>
      <w:r w:rsidR="00AB7B47">
        <w:rPr>
          <w:rFonts w:ascii="Arial" w:hAnsi="Arial" w:cs="Arial"/>
        </w:rPr>
        <w:t xml:space="preserve">that </w:t>
      </w:r>
      <w:r w:rsidR="00BB0860">
        <w:rPr>
          <w:rFonts w:ascii="Arial" w:hAnsi="Arial" w:cs="Arial"/>
        </w:rPr>
        <w:t xml:space="preserve">the inconsistencies perceived by Clarendon </w:t>
      </w:r>
      <w:r w:rsidR="00BB0860">
        <w:rPr>
          <w:rFonts w:ascii="Arial" w:hAnsi="Arial" w:cs="Arial"/>
        </w:rPr>
        <w:lastRenderedPageBreak/>
        <w:t xml:space="preserve">arise from different </w:t>
      </w:r>
      <w:r w:rsidR="00D8636D">
        <w:rPr>
          <w:rFonts w:ascii="Arial" w:hAnsi="Arial" w:cs="Arial"/>
        </w:rPr>
        <w:t xml:space="preserve">groups of </w:t>
      </w:r>
      <w:r w:rsidR="00BB0860">
        <w:rPr>
          <w:rFonts w:ascii="Arial" w:hAnsi="Arial" w:cs="Arial"/>
        </w:rPr>
        <w:t>evaluat</w:t>
      </w:r>
      <w:r w:rsidR="00D8636D">
        <w:rPr>
          <w:rFonts w:ascii="Arial" w:hAnsi="Arial" w:cs="Arial"/>
        </w:rPr>
        <w:t xml:space="preserve">ors </w:t>
      </w:r>
      <w:r w:rsidR="00CC1211">
        <w:rPr>
          <w:rFonts w:ascii="Arial" w:hAnsi="Arial" w:cs="Arial"/>
        </w:rPr>
        <w:t xml:space="preserve">being used </w:t>
      </w:r>
      <w:r w:rsidR="00D53982">
        <w:rPr>
          <w:rFonts w:ascii="Arial" w:hAnsi="Arial" w:cs="Arial"/>
        </w:rPr>
        <w:t xml:space="preserve">to evaluate answers to the local questions across </w:t>
      </w:r>
      <w:r w:rsidR="00CC1211">
        <w:rPr>
          <w:rFonts w:ascii="Arial" w:hAnsi="Arial" w:cs="Arial"/>
        </w:rPr>
        <w:t xml:space="preserve">the </w:t>
      </w:r>
      <w:r w:rsidR="00D53982">
        <w:rPr>
          <w:rFonts w:ascii="Arial" w:hAnsi="Arial" w:cs="Arial"/>
        </w:rPr>
        <w:t xml:space="preserve">three </w:t>
      </w:r>
      <w:r w:rsidR="00CC1211">
        <w:rPr>
          <w:rFonts w:ascii="Arial" w:hAnsi="Arial" w:cs="Arial"/>
        </w:rPr>
        <w:t>ICBs</w:t>
      </w:r>
      <w:r w:rsidR="005E18CE">
        <w:rPr>
          <w:rFonts w:ascii="Arial" w:hAnsi="Arial" w:cs="Arial"/>
        </w:rPr>
        <w:t xml:space="preserve">. </w:t>
      </w:r>
      <w:r w:rsidR="004A59B7">
        <w:rPr>
          <w:rFonts w:ascii="Arial" w:hAnsi="Arial" w:cs="Arial"/>
        </w:rPr>
        <w:t>This in itself, however, is not a cause for concern about fairness</w:t>
      </w:r>
      <w:r w:rsidR="00603823">
        <w:rPr>
          <w:rFonts w:ascii="Arial" w:hAnsi="Arial" w:cs="Arial"/>
        </w:rPr>
        <w:t xml:space="preserve"> so long as </w:t>
      </w:r>
      <w:r w:rsidR="008C55FD">
        <w:rPr>
          <w:rFonts w:ascii="Arial" w:hAnsi="Arial" w:cs="Arial"/>
        </w:rPr>
        <w:t xml:space="preserve">each group of evaluators applied a consistent approach to evaluating </w:t>
      </w:r>
      <w:r w:rsidR="00CE657B">
        <w:rPr>
          <w:rFonts w:ascii="Arial" w:hAnsi="Arial" w:cs="Arial"/>
        </w:rPr>
        <w:t xml:space="preserve">all of the bidders’ </w:t>
      </w:r>
      <w:r w:rsidR="008C55FD">
        <w:rPr>
          <w:rFonts w:ascii="Arial" w:hAnsi="Arial" w:cs="Arial"/>
        </w:rPr>
        <w:t xml:space="preserve">answers </w:t>
      </w:r>
      <w:r w:rsidR="00CE657B">
        <w:rPr>
          <w:rFonts w:ascii="Arial" w:hAnsi="Arial" w:cs="Arial"/>
        </w:rPr>
        <w:t>for each lot for which they were responsible.</w:t>
      </w:r>
      <w:r w:rsidR="00AF79A3" w:rsidRPr="00AF79A3">
        <w:rPr>
          <w:rFonts w:ascii="Arial" w:hAnsi="Arial" w:cs="Arial"/>
        </w:rPr>
        <w:t xml:space="preserve"> T</w:t>
      </w:r>
      <w:r w:rsidR="009559EB" w:rsidRPr="00AF79A3">
        <w:rPr>
          <w:rFonts w:ascii="Arial" w:hAnsi="Arial" w:cs="Arial"/>
        </w:rPr>
        <w:t>he</w:t>
      </w:r>
      <w:r w:rsidR="009559EB">
        <w:rPr>
          <w:rFonts w:ascii="Arial" w:hAnsi="Arial" w:cs="Arial"/>
        </w:rPr>
        <w:t xml:space="preserve"> Panel, in reviewing the evaluation of answers to the local questions, did not see evidence that HNY ICB did not act fairly in its evaluation.</w:t>
      </w:r>
    </w:p>
    <w:p w14:paraId="052CCC60" w14:textId="12E94BD0" w:rsidR="00556876" w:rsidRPr="000E6339" w:rsidRDefault="00CB22AF">
      <w:pPr>
        <w:pStyle w:val="ListParagraph"/>
        <w:numPr>
          <w:ilvl w:val="0"/>
          <w:numId w:val="2"/>
        </w:numPr>
        <w:spacing w:line="276" w:lineRule="auto"/>
        <w:ind w:left="567" w:hanging="567"/>
        <w:contextualSpacing w:val="0"/>
        <w:rPr>
          <w:rFonts w:ascii="Arial" w:hAnsi="Arial" w:cs="Arial"/>
        </w:rPr>
      </w:pPr>
      <w:r w:rsidRPr="000E6339">
        <w:rPr>
          <w:rFonts w:ascii="Arial" w:hAnsi="Arial" w:cs="Arial"/>
        </w:rPr>
        <w:t xml:space="preserve">The Panel finds that </w:t>
      </w:r>
      <w:r w:rsidR="003717D2">
        <w:rPr>
          <w:rFonts w:ascii="Arial" w:hAnsi="Arial" w:cs="Arial"/>
        </w:rPr>
        <w:t xml:space="preserve">HNY ICB, in evaluating </w:t>
      </w:r>
      <w:r w:rsidR="00620E32">
        <w:rPr>
          <w:rFonts w:ascii="Arial" w:hAnsi="Arial" w:cs="Arial"/>
        </w:rPr>
        <w:t xml:space="preserve">Clarendon’s </w:t>
      </w:r>
      <w:r w:rsidR="003717D2">
        <w:rPr>
          <w:rFonts w:ascii="Arial" w:hAnsi="Arial" w:cs="Arial"/>
        </w:rPr>
        <w:t xml:space="preserve">answers to the ‘local’ questions did not breach </w:t>
      </w:r>
      <w:r w:rsidR="00620E32">
        <w:rPr>
          <w:rFonts w:ascii="Arial" w:hAnsi="Arial" w:cs="Arial"/>
        </w:rPr>
        <w:t xml:space="preserve">its obligations under the PSR regulations </w:t>
      </w:r>
      <w:r w:rsidR="00504B42">
        <w:rPr>
          <w:rFonts w:ascii="Arial" w:hAnsi="Arial" w:cs="Arial"/>
        </w:rPr>
        <w:t>including</w:t>
      </w:r>
      <w:r w:rsidR="00620E32">
        <w:rPr>
          <w:rFonts w:ascii="Arial" w:hAnsi="Arial" w:cs="Arial"/>
        </w:rPr>
        <w:t xml:space="preserve">, in particular, </w:t>
      </w:r>
      <w:r w:rsidR="00C507AE">
        <w:rPr>
          <w:rFonts w:ascii="Arial" w:hAnsi="Arial" w:cs="Arial"/>
        </w:rPr>
        <w:t>the obligation under Regulation 4 to act fairly.</w:t>
      </w:r>
    </w:p>
    <w:p w14:paraId="0DDA327B" w14:textId="6CCBA0E2" w:rsidR="00D56AEB" w:rsidRPr="007748C6" w:rsidRDefault="00D56AEB" w:rsidP="00D56AEB">
      <w:pPr>
        <w:keepNext/>
        <w:spacing w:before="240" w:line="276" w:lineRule="auto"/>
        <w:rPr>
          <w:rFonts w:ascii="Arial" w:hAnsi="Arial" w:cs="Arial"/>
          <w:b/>
          <w:bCs/>
        </w:rPr>
      </w:pPr>
      <w:r>
        <w:rPr>
          <w:rFonts w:ascii="Arial" w:hAnsi="Arial" w:cs="Arial"/>
          <w:b/>
          <w:bCs/>
        </w:rPr>
        <w:t>10.1.</w:t>
      </w:r>
      <w:r w:rsidR="00096C33">
        <w:rPr>
          <w:rFonts w:ascii="Arial" w:hAnsi="Arial" w:cs="Arial"/>
          <w:b/>
          <w:bCs/>
        </w:rPr>
        <w:t>2</w:t>
      </w:r>
      <w:r>
        <w:rPr>
          <w:rFonts w:ascii="Arial" w:hAnsi="Arial" w:cs="Arial"/>
          <w:b/>
          <w:bCs/>
        </w:rPr>
        <w:t xml:space="preserve"> </w:t>
      </w:r>
      <w:r w:rsidR="00D57054">
        <w:rPr>
          <w:rFonts w:ascii="Arial" w:hAnsi="Arial" w:cs="Arial"/>
          <w:b/>
          <w:bCs/>
        </w:rPr>
        <w:t>Evaluation of Clarendon’s proposed use of WhatsApp</w:t>
      </w:r>
    </w:p>
    <w:p w14:paraId="7ED4EA52" w14:textId="0579693D" w:rsidR="00C97DCB" w:rsidRDefault="00C97DCB" w:rsidP="00C97DCB">
      <w:pPr>
        <w:pStyle w:val="ListParagraph"/>
        <w:numPr>
          <w:ilvl w:val="0"/>
          <w:numId w:val="2"/>
        </w:numPr>
        <w:spacing w:after="120" w:line="276" w:lineRule="auto"/>
        <w:ind w:left="567" w:hanging="567"/>
        <w:contextualSpacing w:val="0"/>
        <w:rPr>
          <w:rFonts w:ascii="Arial" w:hAnsi="Arial" w:cs="Arial"/>
        </w:rPr>
      </w:pPr>
      <w:r>
        <w:rPr>
          <w:rFonts w:ascii="Arial" w:hAnsi="Arial" w:cs="Arial"/>
        </w:rPr>
        <w:t>Clarendon’s proposal described how it would use WhatsApp in two ways to help deliver its services</w:t>
      </w:r>
      <w:r w:rsidR="003C4381">
        <w:rPr>
          <w:rFonts w:ascii="Arial" w:hAnsi="Arial" w:cs="Arial"/>
        </w:rPr>
        <w:t>:</w:t>
      </w:r>
    </w:p>
    <w:p w14:paraId="492E5163" w14:textId="744FDC79" w:rsidR="00C97DCB" w:rsidRPr="00995331" w:rsidRDefault="00C97DCB" w:rsidP="0019613E">
      <w:pPr>
        <w:pStyle w:val="ListParagraph"/>
        <w:numPr>
          <w:ilvl w:val="1"/>
          <w:numId w:val="2"/>
        </w:numPr>
        <w:spacing w:after="120" w:line="276" w:lineRule="auto"/>
        <w:ind w:left="1134"/>
        <w:contextualSpacing w:val="0"/>
        <w:rPr>
          <w:rFonts w:ascii="Arial" w:hAnsi="Arial" w:cs="Arial"/>
        </w:rPr>
      </w:pPr>
      <w:r w:rsidRPr="0019613E">
        <w:rPr>
          <w:rFonts w:ascii="Arial" w:eastAsiaTheme="majorEastAsia" w:hAnsi="Arial" w:cs="Arial"/>
          <w:color w:val="000000" w:themeColor="text1"/>
        </w:rPr>
        <w:t xml:space="preserve">first, in response </w:t>
      </w:r>
      <w:r w:rsidRPr="00FD32F7">
        <w:rPr>
          <w:rFonts w:ascii="Arial" w:eastAsiaTheme="majorEastAsia" w:hAnsi="Arial" w:cs="Arial"/>
          <w:color w:val="000000" w:themeColor="text1"/>
        </w:rPr>
        <w:t>to</w:t>
      </w:r>
      <w:r w:rsidRPr="0019613E">
        <w:rPr>
          <w:rFonts w:ascii="Arial" w:eastAsiaTheme="majorEastAsia" w:hAnsi="Arial" w:cs="Arial"/>
          <w:color w:val="000000" w:themeColor="text1"/>
        </w:rPr>
        <w:t xml:space="preserve"> </w:t>
      </w:r>
      <w:r w:rsidR="00B66536">
        <w:rPr>
          <w:rFonts w:ascii="Arial" w:eastAsiaTheme="majorEastAsia" w:hAnsi="Arial" w:cs="Arial"/>
          <w:color w:val="000000" w:themeColor="text1"/>
        </w:rPr>
        <w:t>Q</w:t>
      </w:r>
      <w:r w:rsidRPr="0019613E">
        <w:rPr>
          <w:rFonts w:ascii="Arial" w:eastAsiaTheme="majorEastAsia" w:hAnsi="Arial" w:cs="Arial"/>
          <w:color w:val="000000" w:themeColor="text1"/>
        </w:rPr>
        <w:t xml:space="preserve">uestion CSD02, which asked bidders to describe the patient pathway, </w:t>
      </w:r>
      <w:r w:rsidRPr="00995331">
        <w:rPr>
          <w:rFonts w:ascii="Arial" w:hAnsi="Arial" w:cs="Arial"/>
        </w:rPr>
        <w:t xml:space="preserve">Clarendon </w:t>
      </w:r>
      <w:r w:rsidRPr="00995331" w:rsidDel="00A73E05">
        <w:rPr>
          <w:rFonts w:ascii="Arial" w:hAnsi="Arial" w:cs="Arial"/>
        </w:rPr>
        <w:t>referenced the use of WhatsApp by clinicians to discuss patient cases</w:t>
      </w:r>
      <w:r w:rsidRPr="00995331">
        <w:rPr>
          <w:rFonts w:ascii="Arial" w:hAnsi="Arial" w:cs="Arial"/>
        </w:rPr>
        <w:t>; and</w:t>
      </w:r>
    </w:p>
    <w:p w14:paraId="10F517B6" w14:textId="36C9FEBA" w:rsidR="00C97DCB" w:rsidRPr="0019613E" w:rsidRDefault="00C97DCB" w:rsidP="0062616C">
      <w:pPr>
        <w:pStyle w:val="ListParagraph"/>
        <w:numPr>
          <w:ilvl w:val="1"/>
          <w:numId w:val="2"/>
        </w:numPr>
        <w:spacing w:line="276" w:lineRule="auto"/>
        <w:ind w:left="1135" w:hanging="284"/>
        <w:contextualSpacing w:val="0"/>
        <w:rPr>
          <w:rFonts w:ascii="Arial" w:eastAsiaTheme="majorEastAsia" w:hAnsi="Arial" w:cs="Arial"/>
          <w:color w:val="000000" w:themeColor="text1"/>
        </w:rPr>
      </w:pPr>
      <w:r w:rsidRPr="0019613E">
        <w:rPr>
          <w:rFonts w:ascii="Arial" w:eastAsiaTheme="majorEastAsia" w:hAnsi="Arial" w:cs="Arial"/>
          <w:color w:val="000000" w:themeColor="text1"/>
        </w:rPr>
        <w:t xml:space="preserve">second, in response to </w:t>
      </w:r>
      <w:r w:rsidR="00B66536">
        <w:rPr>
          <w:rFonts w:ascii="Arial" w:eastAsiaTheme="majorEastAsia" w:hAnsi="Arial" w:cs="Arial"/>
          <w:color w:val="000000" w:themeColor="text1"/>
        </w:rPr>
        <w:t>Q</w:t>
      </w:r>
      <w:r w:rsidRPr="0019613E">
        <w:rPr>
          <w:rFonts w:ascii="Arial" w:eastAsiaTheme="majorEastAsia" w:hAnsi="Arial" w:cs="Arial"/>
          <w:color w:val="000000" w:themeColor="text1"/>
        </w:rPr>
        <w:t>uestion CSD05, which asked bidders to describe the processes that they will implement to ensure that the experience of service users, including both patients and referring dentists, contributes to future service development</w:t>
      </w:r>
      <w:r w:rsidRPr="00F73CCC">
        <w:rPr>
          <w:rFonts w:ascii="Arial" w:hAnsi="Arial" w:cs="Arial"/>
        </w:rPr>
        <w:t xml:space="preserve">, Clarendon </w:t>
      </w:r>
      <w:r w:rsidRPr="00F73CCC" w:rsidDel="00BC7DFA">
        <w:rPr>
          <w:rFonts w:ascii="Arial" w:hAnsi="Arial" w:cs="Arial"/>
        </w:rPr>
        <w:t>said that it provided secure WhatsApp group chats with referring clinicians.</w:t>
      </w:r>
    </w:p>
    <w:p w14:paraId="558A200D" w14:textId="4E4031B9" w:rsidR="00C97DCB" w:rsidRDefault="00C97DCB" w:rsidP="00C97DC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HNY ICB, in its evaluation of Clarendon’s response to </w:t>
      </w:r>
      <w:r w:rsidR="00243446">
        <w:rPr>
          <w:rFonts w:ascii="Arial" w:hAnsi="Arial" w:cs="Arial"/>
        </w:rPr>
        <w:t xml:space="preserve">Question </w:t>
      </w:r>
      <w:r>
        <w:rPr>
          <w:rFonts w:ascii="Arial" w:hAnsi="Arial" w:cs="Arial"/>
        </w:rPr>
        <w:t>CSD02, gave a score of 2 (i.e. Meets Requirements) and made five points in the feedback</w:t>
      </w:r>
      <w:r w:rsidRPr="00997C1F">
        <w:rPr>
          <w:rFonts w:ascii="Arial" w:hAnsi="Arial" w:cs="Arial"/>
        </w:rPr>
        <w:t>.</w:t>
      </w:r>
      <w:r>
        <w:rPr>
          <w:rFonts w:ascii="Arial" w:hAnsi="Arial" w:cs="Arial"/>
        </w:rPr>
        <w:t xml:space="preserve"> One of these points concerned the use of WhatsApp, </w:t>
      </w:r>
      <w:r w:rsidRPr="00997C1F">
        <w:rPr>
          <w:rFonts w:ascii="Arial" w:hAnsi="Arial" w:cs="Arial"/>
        </w:rPr>
        <w:t xml:space="preserve">saying </w:t>
      </w:r>
      <w:r>
        <w:rPr>
          <w:rFonts w:ascii="Arial" w:hAnsi="Arial" w:cs="Arial"/>
        </w:rPr>
        <w:t>“Evaluators would suggest that the provider checks the rules on the use of WhatsApp as a means of discussing patient cases</w:t>
      </w:r>
      <w:r w:rsidRPr="00997C1F">
        <w:rPr>
          <w:rFonts w:ascii="Arial" w:hAnsi="Arial" w:cs="Arial"/>
        </w:rPr>
        <w:t>”</w:t>
      </w:r>
      <w:r>
        <w:rPr>
          <w:rFonts w:ascii="Arial" w:hAnsi="Arial" w:cs="Arial"/>
        </w:rPr>
        <w:t>.</w:t>
      </w:r>
      <w:r w:rsidR="00121F89" w:rsidRPr="00121F89">
        <w:rPr>
          <w:rFonts w:ascii="Arial" w:hAnsi="Arial" w:cs="Arial"/>
        </w:rPr>
        <w:t xml:space="preserve"> I</w:t>
      </w:r>
      <w:r w:rsidRPr="00121F89">
        <w:rPr>
          <w:rFonts w:ascii="Arial" w:hAnsi="Arial" w:cs="Arial"/>
        </w:rPr>
        <w:t>n</w:t>
      </w:r>
      <w:r w:rsidRPr="00997C1F">
        <w:rPr>
          <w:rFonts w:ascii="Arial" w:hAnsi="Arial" w:cs="Arial"/>
        </w:rPr>
        <w:t xml:space="preserve"> its </w:t>
      </w:r>
      <w:r>
        <w:rPr>
          <w:rFonts w:ascii="Arial" w:hAnsi="Arial" w:cs="Arial"/>
        </w:rPr>
        <w:t xml:space="preserve">evaluation of </w:t>
      </w:r>
      <w:r w:rsidRPr="00997C1F">
        <w:rPr>
          <w:rFonts w:ascii="Arial" w:hAnsi="Arial" w:cs="Arial"/>
        </w:rPr>
        <w:t xml:space="preserve">Clarendon’s response to </w:t>
      </w:r>
      <w:r w:rsidR="00243446">
        <w:rPr>
          <w:rFonts w:ascii="Arial" w:hAnsi="Arial" w:cs="Arial"/>
        </w:rPr>
        <w:t xml:space="preserve">Question </w:t>
      </w:r>
      <w:r w:rsidRPr="00997C1F">
        <w:rPr>
          <w:rFonts w:ascii="Arial" w:hAnsi="Arial" w:cs="Arial"/>
        </w:rPr>
        <w:t>CS</w:t>
      </w:r>
      <w:r>
        <w:rPr>
          <w:rFonts w:ascii="Arial" w:hAnsi="Arial" w:cs="Arial"/>
        </w:rPr>
        <w:t>D</w:t>
      </w:r>
      <w:r w:rsidRPr="00997C1F">
        <w:rPr>
          <w:rFonts w:ascii="Arial" w:hAnsi="Arial" w:cs="Arial"/>
        </w:rPr>
        <w:t>0</w:t>
      </w:r>
      <w:r>
        <w:rPr>
          <w:rFonts w:ascii="Arial" w:hAnsi="Arial" w:cs="Arial"/>
        </w:rPr>
        <w:t>5,</w:t>
      </w:r>
      <w:r w:rsidRPr="00997C1F">
        <w:rPr>
          <w:rFonts w:ascii="Arial" w:hAnsi="Arial" w:cs="Arial"/>
        </w:rPr>
        <w:t xml:space="preserve"> </w:t>
      </w:r>
      <w:r w:rsidR="00121F89" w:rsidRPr="00121F89">
        <w:rPr>
          <w:rFonts w:ascii="Arial" w:hAnsi="Arial" w:cs="Arial"/>
        </w:rPr>
        <w:t xml:space="preserve">HNY ICB awarded </w:t>
      </w:r>
      <w:r w:rsidRPr="00997C1F">
        <w:rPr>
          <w:rFonts w:ascii="Arial" w:hAnsi="Arial" w:cs="Arial"/>
        </w:rPr>
        <w:t xml:space="preserve">a score of </w:t>
      </w:r>
      <w:r>
        <w:rPr>
          <w:rFonts w:ascii="Arial" w:hAnsi="Arial" w:cs="Arial"/>
        </w:rPr>
        <w:t>4 (i.e. Excellent) and made six points in the feedback. One of these points concerned the use of WhatsApp, saying “Provider states engagement with GDPs [general dental practitioners] with ‘lunch and learn’ sessions and WhatsApp group chats”.</w:t>
      </w:r>
    </w:p>
    <w:p w14:paraId="2EFC6DD6" w14:textId="0FC06465" w:rsidR="00C97DCB" w:rsidRDefault="00C97DCB" w:rsidP="00D73336">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Clarendon, in its representations to HNY ICB, raised concerns about the consistency of the evaluation in relation to its </w:t>
      </w:r>
      <w:r w:rsidR="006A4A85">
        <w:rPr>
          <w:rFonts w:ascii="Arial" w:hAnsi="Arial" w:cs="Arial"/>
        </w:rPr>
        <w:t xml:space="preserve">proposed </w:t>
      </w:r>
      <w:r>
        <w:rPr>
          <w:rFonts w:ascii="Arial" w:hAnsi="Arial" w:cs="Arial"/>
        </w:rPr>
        <w:t>use of WhatsApp, saying the “feedback criticises WhatsApp usage in CSD02 while applauding it in CSD05”, and “The evaluation included contradictory feedback on the use of technology (WhatsApp), which was penalised in some sections while praised in others. This inconsistency further undermines the credibility of the evaluation process”.</w:t>
      </w:r>
      <w:r>
        <w:rPr>
          <w:rStyle w:val="FootnoteReference"/>
          <w:rFonts w:ascii="Arial" w:hAnsi="Arial" w:cs="Arial"/>
        </w:rPr>
        <w:footnoteReference w:id="46"/>
      </w:r>
      <w:r>
        <w:rPr>
          <w:rFonts w:ascii="Arial" w:hAnsi="Arial" w:cs="Arial"/>
        </w:rPr>
        <w:t xml:space="preserve"> In response, HNY ICB said:</w:t>
      </w:r>
    </w:p>
    <w:p w14:paraId="250E7FCA" w14:textId="77777777" w:rsidR="00C97DCB" w:rsidRPr="0042149B" w:rsidRDefault="00C97DCB" w:rsidP="00C97DCB">
      <w:pPr>
        <w:pStyle w:val="ListParagraph"/>
        <w:spacing w:line="276" w:lineRule="auto"/>
        <w:ind w:left="1134"/>
        <w:contextualSpacing w:val="0"/>
        <w:rPr>
          <w:rFonts w:ascii="Arial" w:hAnsi="Arial" w:cs="Arial"/>
          <w:sz w:val="21"/>
          <w:szCs w:val="21"/>
        </w:rPr>
      </w:pPr>
      <w:r>
        <w:rPr>
          <w:rFonts w:ascii="Arial" w:hAnsi="Arial" w:cs="Arial"/>
          <w:sz w:val="21"/>
          <w:szCs w:val="21"/>
        </w:rPr>
        <w:t>“</w:t>
      </w:r>
      <w:r w:rsidRPr="0042149B">
        <w:rPr>
          <w:rFonts w:ascii="Arial" w:hAnsi="Arial" w:cs="Arial"/>
          <w:sz w:val="21"/>
          <w:szCs w:val="21"/>
        </w:rPr>
        <w:t xml:space="preserve">You state that there was contradictory feedback about the proposed use of Whatsapp as a method of communication. The panel reviewed the responses and consider the feedback not to be contradictory. The response proposed the use of Whatsapp in two different contexts, one as a method of professional networking, and the other as a means of carrying out discussions of specific patient cases. The second proposed use, raises information governance concerns which were not </w:t>
      </w:r>
      <w:r w:rsidRPr="0042149B">
        <w:rPr>
          <w:rFonts w:ascii="Arial" w:hAnsi="Arial" w:cs="Arial"/>
          <w:sz w:val="21"/>
          <w:szCs w:val="21"/>
        </w:rPr>
        <w:lastRenderedPageBreak/>
        <w:t>acknowledged or addressed in your response and was therefore flagged as a source of concern</w:t>
      </w:r>
      <w:r>
        <w:rPr>
          <w:rFonts w:ascii="Arial" w:hAnsi="Arial" w:cs="Arial"/>
          <w:sz w:val="21"/>
          <w:szCs w:val="21"/>
        </w:rPr>
        <w:t>”.</w:t>
      </w:r>
      <w:r>
        <w:rPr>
          <w:rStyle w:val="FootnoteReference"/>
          <w:rFonts w:ascii="Arial" w:hAnsi="Arial" w:cs="Arial"/>
          <w:sz w:val="21"/>
          <w:szCs w:val="21"/>
        </w:rPr>
        <w:footnoteReference w:id="47"/>
      </w:r>
    </w:p>
    <w:p w14:paraId="03567217" w14:textId="00E37773" w:rsidR="00AA1DF8" w:rsidRDefault="00AA1DF8" w:rsidP="00AA1DF8">
      <w:pPr>
        <w:pStyle w:val="ListParagraph"/>
        <w:numPr>
          <w:ilvl w:val="0"/>
          <w:numId w:val="2"/>
        </w:numPr>
        <w:spacing w:after="120" w:line="276" w:lineRule="auto"/>
        <w:ind w:left="567" w:hanging="567"/>
        <w:contextualSpacing w:val="0"/>
        <w:rPr>
          <w:rFonts w:ascii="Arial" w:hAnsi="Arial" w:cs="Arial"/>
        </w:rPr>
      </w:pPr>
      <w:bookmarkStart w:id="51" w:name="_Ref198745347"/>
      <w:r w:rsidRPr="004B0851">
        <w:rPr>
          <w:rFonts w:ascii="Arial" w:hAnsi="Arial" w:cs="Arial"/>
        </w:rPr>
        <w:t xml:space="preserve">In its representations to the Panel, Clarendon said that </w:t>
      </w:r>
      <w:r>
        <w:rPr>
          <w:rFonts w:ascii="Arial" w:hAnsi="Arial" w:cs="Arial"/>
        </w:rPr>
        <w:t xml:space="preserve">HNY ICB’s decision was irrational, in part because </w:t>
      </w:r>
      <w:r w:rsidRPr="004B0851">
        <w:rPr>
          <w:rFonts w:ascii="Arial" w:hAnsi="Arial" w:cs="Arial"/>
        </w:rPr>
        <w:t>“The feedback referenced rules or data protection issues that have no basis in law or regulation (such as the use of the secure messaging app, WhatsApp, for clinicians to discuss clinical matters)” (see paragraph</w:t>
      </w:r>
      <w:r w:rsidR="00846DFB">
        <w:rPr>
          <w:rFonts w:ascii="Arial" w:hAnsi="Arial" w:cs="Arial"/>
        </w:rPr>
        <w:t xml:space="preserve"> </w:t>
      </w:r>
      <w:r w:rsidR="0059404A">
        <w:rPr>
          <w:rFonts w:ascii="Arial" w:hAnsi="Arial" w:cs="Arial"/>
        </w:rPr>
        <w:t>136</w:t>
      </w:r>
      <w:r w:rsidRPr="004B0851">
        <w:rPr>
          <w:rFonts w:ascii="Arial" w:hAnsi="Arial" w:cs="Arial"/>
        </w:rPr>
        <w:t>).</w:t>
      </w:r>
      <w:r>
        <w:rPr>
          <w:rFonts w:ascii="Arial" w:hAnsi="Arial" w:cs="Arial"/>
        </w:rPr>
        <w:t xml:space="preserve"> Ahead of its meeting with the Panel, Clarendon </w:t>
      </w:r>
      <w:r w:rsidRPr="00EB570C">
        <w:rPr>
          <w:rFonts w:ascii="Arial" w:hAnsi="Arial" w:cs="Arial"/>
        </w:rPr>
        <w:t>further elaborated</w:t>
      </w:r>
      <w:r>
        <w:rPr>
          <w:rFonts w:ascii="Arial" w:hAnsi="Arial" w:cs="Arial"/>
        </w:rPr>
        <w:t>:</w:t>
      </w:r>
      <w:bookmarkEnd w:id="51"/>
    </w:p>
    <w:p w14:paraId="2663808C" w14:textId="77777777" w:rsidR="00AA1DF8" w:rsidRDefault="00AA1DF8" w:rsidP="00AA1DF8">
      <w:pPr>
        <w:pStyle w:val="ListParagraph"/>
        <w:spacing w:after="120" w:line="276" w:lineRule="auto"/>
        <w:ind w:left="1134"/>
        <w:contextualSpacing w:val="0"/>
        <w:rPr>
          <w:rFonts w:ascii="Arial" w:hAnsi="Arial" w:cs="Arial"/>
          <w:sz w:val="21"/>
          <w:szCs w:val="21"/>
        </w:rPr>
      </w:pPr>
      <w:r>
        <w:rPr>
          <w:rFonts w:ascii="Arial" w:hAnsi="Arial" w:cs="Arial"/>
          <w:sz w:val="21"/>
          <w:szCs w:val="21"/>
        </w:rPr>
        <w:t>“</w:t>
      </w:r>
      <w:r w:rsidRPr="00F15864">
        <w:rPr>
          <w:rFonts w:ascii="Arial" w:hAnsi="Arial" w:cs="Arial"/>
          <w:sz w:val="21"/>
          <w:szCs w:val="21"/>
        </w:rPr>
        <w:t xml:space="preserve">NHS England have no guidance regarding the use of WhatsApp. The current guidance in respect of the use of mobile messaging, published in December 2022, says as follows: </w:t>
      </w:r>
      <w:r>
        <w:rPr>
          <w:rFonts w:ascii="Arial" w:hAnsi="Arial" w:cs="Arial"/>
          <w:sz w:val="21"/>
          <w:szCs w:val="21"/>
        </w:rPr>
        <w:t>‘</w:t>
      </w:r>
      <w:r w:rsidRPr="00F15864">
        <w:rPr>
          <w:rFonts w:ascii="Arial" w:hAnsi="Arial" w:cs="Arial"/>
          <w:sz w:val="21"/>
          <w:szCs w:val="21"/>
        </w:rPr>
        <w:t>In some circumstances, it is appropriate to use mobile messaging to communicate with colleagues and patients/service users. Where there is no practical alternative and the benefits outweigh the risk, it may be appropriate to use commercial, off-the-shelf applications. You should check with your IG team what your organisational policy is, such as whether it has approved a specific app for use, and in which circumstances</w:t>
      </w:r>
      <w:r>
        <w:rPr>
          <w:rFonts w:ascii="Arial" w:hAnsi="Arial" w:cs="Arial"/>
          <w:sz w:val="21"/>
          <w:szCs w:val="21"/>
        </w:rPr>
        <w:t>’</w:t>
      </w:r>
      <w:r w:rsidRPr="00F15864">
        <w:rPr>
          <w:rFonts w:ascii="Arial" w:hAnsi="Arial" w:cs="Arial"/>
          <w:sz w:val="21"/>
          <w:szCs w:val="21"/>
        </w:rPr>
        <w:t>.</w:t>
      </w:r>
    </w:p>
    <w:p w14:paraId="52474A6F" w14:textId="77777777" w:rsidR="00AA1DF8" w:rsidRDefault="00AA1DF8" w:rsidP="00AA1DF8">
      <w:pPr>
        <w:pStyle w:val="ListParagraph"/>
        <w:spacing w:after="120" w:line="276" w:lineRule="auto"/>
        <w:ind w:left="1134"/>
        <w:contextualSpacing w:val="0"/>
        <w:rPr>
          <w:rFonts w:ascii="Arial" w:hAnsi="Arial" w:cs="Arial"/>
          <w:sz w:val="21"/>
          <w:szCs w:val="21"/>
        </w:rPr>
      </w:pPr>
      <w:r>
        <w:rPr>
          <w:rFonts w:ascii="Arial" w:hAnsi="Arial" w:cs="Arial"/>
          <w:sz w:val="21"/>
          <w:szCs w:val="21"/>
        </w:rPr>
        <w:t>“</w:t>
      </w:r>
      <w:r w:rsidRPr="00F15864">
        <w:rPr>
          <w:rFonts w:ascii="Arial" w:hAnsi="Arial" w:cs="Arial"/>
          <w:sz w:val="21"/>
          <w:szCs w:val="21"/>
        </w:rPr>
        <w:t>There is no suggestion within the submission that Clarendon are sharing confidential, identifiable patient data on a WhatsApp group. Instead, the clinicians are using the messaging service as an efficient and effective way to assess if L3 cases can be treated in primary care practice (this would involve the disclosure of a radiograph for example, not identifiable patient data). This is a function commonly used by dentists across the UK and should not have resulted in a reduction in score due to the assessor’s misunderstanding of data protection laws.</w:t>
      </w:r>
    </w:p>
    <w:p w14:paraId="13FF5A6B" w14:textId="77777777" w:rsidR="00AA1DF8" w:rsidRPr="00F15864" w:rsidRDefault="00AA1DF8" w:rsidP="00AA1DF8">
      <w:pPr>
        <w:pStyle w:val="ListParagraph"/>
        <w:spacing w:line="276" w:lineRule="auto"/>
        <w:ind w:left="1134"/>
        <w:contextualSpacing w:val="0"/>
        <w:rPr>
          <w:rFonts w:ascii="Arial" w:hAnsi="Arial" w:cs="Arial"/>
          <w:sz w:val="21"/>
          <w:szCs w:val="21"/>
        </w:rPr>
      </w:pPr>
      <w:r>
        <w:rPr>
          <w:rFonts w:ascii="Arial" w:hAnsi="Arial" w:cs="Arial"/>
          <w:sz w:val="21"/>
          <w:szCs w:val="21"/>
        </w:rPr>
        <w:t>“</w:t>
      </w:r>
      <w:r w:rsidRPr="00F15864">
        <w:rPr>
          <w:rFonts w:ascii="Arial" w:hAnsi="Arial" w:cs="Arial"/>
          <w:sz w:val="21"/>
          <w:szCs w:val="21"/>
        </w:rPr>
        <w:t>For the avoidance of doubt, there is nothing within the Data Protection Act 2018 that prohibits the use of data in this way when properly anonymised, as is the case here. If the assessors had questions regarding the use of WhatsApp, they could have been asked. Instead, Clarendon were improperly marked down.</w:t>
      </w:r>
      <w:r>
        <w:rPr>
          <w:rFonts w:ascii="Arial" w:hAnsi="Arial" w:cs="Arial"/>
          <w:sz w:val="21"/>
          <w:szCs w:val="21"/>
        </w:rPr>
        <w:t>”</w:t>
      </w:r>
      <w:r>
        <w:rPr>
          <w:rStyle w:val="FootnoteReference"/>
          <w:rFonts w:ascii="Arial" w:hAnsi="Arial" w:cs="Arial"/>
          <w:sz w:val="21"/>
          <w:szCs w:val="21"/>
        </w:rPr>
        <w:footnoteReference w:id="48"/>
      </w:r>
    </w:p>
    <w:p w14:paraId="1155DD88" w14:textId="0C98AC9E" w:rsidR="00A135C3" w:rsidRDefault="00CC6461" w:rsidP="00D73336">
      <w:pPr>
        <w:pStyle w:val="ListParagraph"/>
        <w:numPr>
          <w:ilvl w:val="0"/>
          <w:numId w:val="2"/>
        </w:numPr>
        <w:spacing w:after="120" w:line="276" w:lineRule="auto"/>
        <w:ind w:left="567" w:hanging="567"/>
        <w:contextualSpacing w:val="0"/>
        <w:rPr>
          <w:rFonts w:ascii="Arial" w:hAnsi="Arial" w:cs="Arial"/>
        </w:rPr>
      </w:pPr>
      <w:r>
        <w:rPr>
          <w:rFonts w:ascii="Arial" w:hAnsi="Arial" w:cs="Arial"/>
        </w:rPr>
        <w:t>HNY ICB’s</w:t>
      </w:r>
      <w:r w:rsidR="00867F2E">
        <w:rPr>
          <w:rFonts w:ascii="Arial" w:hAnsi="Arial" w:cs="Arial"/>
        </w:rPr>
        <w:t xml:space="preserve"> feedback </w:t>
      </w:r>
      <w:r>
        <w:rPr>
          <w:rFonts w:ascii="Arial" w:hAnsi="Arial" w:cs="Arial"/>
        </w:rPr>
        <w:t xml:space="preserve">to </w:t>
      </w:r>
      <w:r w:rsidR="00867F2E">
        <w:rPr>
          <w:rFonts w:ascii="Arial" w:hAnsi="Arial" w:cs="Arial"/>
        </w:rPr>
        <w:t xml:space="preserve">Clarendon </w:t>
      </w:r>
      <w:r>
        <w:rPr>
          <w:rFonts w:ascii="Arial" w:hAnsi="Arial" w:cs="Arial"/>
        </w:rPr>
        <w:t xml:space="preserve">regarding </w:t>
      </w:r>
      <w:r w:rsidR="00867F2E">
        <w:rPr>
          <w:rFonts w:ascii="Arial" w:hAnsi="Arial" w:cs="Arial"/>
        </w:rPr>
        <w:t xml:space="preserve">its </w:t>
      </w:r>
      <w:r>
        <w:rPr>
          <w:rFonts w:ascii="Arial" w:hAnsi="Arial" w:cs="Arial"/>
        </w:rPr>
        <w:t xml:space="preserve">answer </w:t>
      </w:r>
      <w:r w:rsidR="00867F2E">
        <w:rPr>
          <w:rFonts w:ascii="Arial" w:hAnsi="Arial" w:cs="Arial"/>
        </w:rPr>
        <w:t xml:space="preserve">to </w:t>
      </w:r>
      <w:r w:rsidR="009E0C98">
        <w:rPr>
          <w:rFonts w:ascii="Arial" w:hAnsi="Arial" w:cs="Arial"/>
        </w:rPr>
        <w:t xml:space="preserve">Question </w:t>
      </w:r>
      <w:r w:rsidR="00867F2E">
        <w:rPr>
          <w:rFonts w:ascii="Arial" w:hAnsi="Arial" w:cs="Arial"/>
        </w:rPr>
        <w:t xml:space="preserve">CSD02 </w:t>
      </w:r>
      <w:r w:rsidR="007C3D47">
        <w:rPr>
          <w:rFonts w:ascii="Arial" w:hAnsi="Arial" w:cs="Arial"/>
        </w:rPr>
        <w:t xml:space="preserve">is </w:t>
      </w:r>
      <w:r w:rsidR="00F255AB">
        <w:rPr>
          <w:rFonts w:ascii="Arial" w:hAnsi="Arial" w:cs="Arial"/>
        </w:rPr>
        <w:t>set out below</w:t>
      </w:r>
      <w:r w:rsidR="00910494">
        <w:rPr>
          <w:rFonts w:ascii="Arial" w:hAnsi="Arial" w:cs="Arial"/>
        </w:rPr>
        <w:t>.</w:t>
      </w:r>
    </w:p>
    <w:p w14:paraId="74D5828A" w14:textId="5822E99C" w:rsidR="00402EF0" w:rsidRDefault="00D73336" w:rsidP="0019613E">
      <w:pPr>
        <w:pStyle w:val="ListParagraph"/>
        <w:spacing w:after="120" w:line="276" w:lineRule="auto"/>
        <w:ind w:left="1134"/>
        <w:contextualSpacing w:val="0"/>
        <w:rPr>
          <w:rFonts w:ascii="Arial" w:hAnsi="Arial" w:cs="Arial"/>
          <w:sz w:val="21"/>
          <w:szCs w:val="21"/>
        </w:rPr>
      </w:pPr>
      <w:r>
        <w:rPr>
          <w:rFonts w:ascii="Arial" w:hAnsi="Arial" w:cs="Arial"/>
          <w:sz w:val="21"/>
          <w:szCs w:val="21"/>
        </w:rPr>
        <w:t>“</w:t>
      </w:r>
      <w:r w:rsidRPr="00D73336">
        <w:rPr>
          <w:rFonts w:ascii="Arial" w:hAnsi="Arial" w:cs="Arial"/>
          <w:sz w:val="21"/>
          <w:szCs w:val="21"/>
        </w:rPr>
        <w:t>The provider understands the issues and requirements and addresses them appropriately with sufficient information but lacking reliable substance.</w:t>
      </w:r>
    </w:p>
    <w:p w14:paraId="2CD9FFAC" w14:textId="2EC35D07" w:rsidR="00402EF0" w:rsidRDefault="00402EF0" w:rsidP="0019613E">
      <w:pPr>
        <w:pStyle w:val="ListParagraph"/>
        <w:spacing w:after="120" w:line="276" w:lineRule="auto"/>
        <w:ind w:left="1134"/>
        <w:contextualSpacing w:val="0"/>
        <w:rPr>
          <w:rFonts w:ascii="Arial" w:hAnsi="Arial" w:cs="Arial"/>
          <w:sz w:val="21"/>
          <w:szCs w:val="21"/>
        </w:rPr>
      </w:pPr>
      <w:r>
        <w:rPr>
          <w:rFonts w:ascii="Arial" w:hAnsi="Arial" w:cs="Arial"/>
          <w:sz w:val="21"/>
          <w:szCs w:val="21"/>
        </w:rPr>
        <w:t>“</w:t>
      </w:r>
      <w:r w:rsidR="00D73336" w:rsidRPr="00D73336">
        <w:rPr>
          <w:rFonts w:ascii="Arial" w:hAnsi="Arial" w:cs="Arial"/>
          <w:sz w:val="21"/>
          <w:szCs w:val="21"/>
        </w:rPr>
        <w:t>The response mentioned the management of complications briefly but does not provide detail on how they would be managed practically or what learning is in place from complications and how the specialist/consultant will interface with this.</w:t>
      </w:r>
    </w:p>
    <w:p w14:paraId="39566DDE" w14:textId="1E3414E0" w:rsidR="00402EF0" w:rsidRDefault="00402EF0" w:rsidP="0019613E">
      <w:pPr>
        <w:pStyle w:val="ListParagraph"/>
        <w:spacing w:after="120" w:line="276" w:lineRule="auto"/>
        <w:ind w:left="1134"/>
        <w:contextualSpacing w:val="0"/>
        <w:rPr>
          <w:rFonts w:ascii="Arial" w:hAnsi="Arial" w:cs="Arial"/>
          <w:sz w:val="21"/>
          <w:szCs w:val="21"/>
        </w:rPr>
      </w:pPr>
      <w:r>
        <w:rPr>
          <w:rFonts w:ascii="Arial" w:hAnsi="Arial" w:cs="Arial"/>
          <w:sz w:val="21"/>
          <w:szCs w:val="21"/>
        </w:rPr>
        <w:t>“</w:t>
      </w:r>
      <w:r w:rsidR="00D73336" w:rsidRPr="00D73336">
        <w:rPr>
          <w:rFonts w:ascii="Arial" w:hAnsi="Arial" w:cs="Arial"/>
          <w:sz w:val="21"/>
          <w:szCs w:val="21"/>
        </w:rPr>
        <w:t xml:space="preserve">The response could have provided more information as to how the provider would work with the eRMS around incomplete referrals discharge. </w:t>
      </w:r>
    </w:p>
    <w:p w14:paraId="3CB7BAE7" w14:textId="663A3539" w:rsidR="00402EF0" w:rsidRDefault="00402EF0" w:rsidP="0019613E">
      <w:pPr>
        <w:pStyle w:val="ListParagraph"/>
        <w:spacing w:after="120" w:line="276" w:lineRule="auto"/>
        <w:ind w:left="1134"/>
        <w:contextualSpacing w:val="0"/>
        <w:rPr>
          <w:rFonts w:ascii="Arial" w:hAnsi="Arial" w:cs="Arial"/>
          <w:sz w:val="21"/>
          <w:szCs w:val="21"/>
        </w:rPr>
      </w:pPr>
      <w:r>
        <w:rPr>
          <w:rFonts w:ascii="Arial" w:hAnsi="Arial" w:cs="Arial"/>
          <w:sz w:val="21"/>
          <w:szCs w:val="21"/>
        </w:rPr>
        <w:t>“</w:t>
      </w:r>
      <w:r w:rsidR="00D73336" w:rsidRPr="00D73336">
        <w:rPr>
          <w:rFonts w:ascii="Arial" w:hAnsi="Arial" w:cs="Arial"/>
          <w:sz w:val="21"/>
          <w:szCs w:val="21"/>
        </w:rPr>
        <w:t>Evaluators would suggest that the provider checks the rules on the use of WhatsApp as a means of discussing patient cases.</w:t>
      </w:r>
    </w:p>
    <w:p w14:paraId="49101065" w14:textId="4F11A9F8" w:rsidR="00D73336" w:rsidRPr="00D73336" w:rsidRDefault="00402EF0" w:rsidP="00D73336">
      <w:pPr>
        <w:pStyle w:val="ListParagraph"/>
        <w:spacing w:line="276" w:lineRule="auto"/>
        <w:ind w:left="1134"/>
        <w:contextualSpacing w:val="0"/>
        <w:rPr>
          <w:rFonts w:ascii="Arial" w:hAnsi="Arial" w:cs="Arial"/>
          <w:sz w:val="21"/>
          <w:szCs w:val="21"/>
        </w:rPr>
      </w:pPr>
      <w:r>
        <w:rPr>
          <w:rFonts w:ascii="Arial" w:hAnsi="Arial" w:cs="Arial"/>
          <w:sz w:val="21"/>
          <w:szCs w:val="21"/>
        </w:rPr>
        <w:t>“</w:t>
      </w:r>
      <w:r w:rsidR="00D73336" w:rsidRPr="00D73336">
        <w:rPr>
          <w:rFonts w:ascii="Arial" w:hAnsi="Arial" w:cs="Arial"/>
          <w:sz w:val="21"/>
          <w:szCs w:val="21"/>
        </w:rPr>
        <w:t>Evaluators appreciated the robust triage service and the patient pathways.</w:t>
      </w:r>
      <w:r w:rsidR="00D73336">
        <w:rPr>
          <w:rFonts w:ascii="Arial" w:hAnsi="Arial" w:cs="Arial"/>
          <w:sz w:val="21"/>
          <w:szCs w:val="21"/>
        </w:rPr>
        <w:t>”</w:t>
      </w:r>
    </w:p>
    <w:p w14:paraId="2DDF64EF" w14:textId="15DF20F9" w:rsidR="00C97DCB" w:rsidRDefault="00CF5E64" w:rsidP="03A9380A">
      <w:pPr>
        <w:pStyle w:val="ListParagraph"/>
        <w:numPr>
          <w:ilvl w:val="0"/>
          <w:numId w:val="2"/>
        </w:numPr>
        <w:spacing w:line="276" w:lineRule="auto"/>
        <w:ind w:left="567" w:hanging="567"/>
        <w:contextualSpacing w:val="0"/>
        <w:rPr>
          <w:rFonts w:ascii="Arial" w:hAnsi="Arial" w:cs="Arial"/>
        </w:rPr>
      </w:pPr>
      <w:r>
        <w:rPr>
          <w:rFonts w:ascii="Arial" w:hAnsi="Arial" w:cs="Arial"/>
        </w:rPr>
        <w:t>The Panel</w:t>
      </w:r>
      <w:r w:rsidR="000C185A">
        <w:rPr>
          <w:rFonts w:ascii="Arial" w:hAnsi="Arial" w:cs="Arial"/>
        </w:rPr>
        <w:t xml:space="preserve"> </w:t>
      </w:r>
      <w:r>
        <w:rPr>
          <w:rFonts w:ascii="Arial" w:hAnsi="Arial" w:cs="Arial"/>
        </w:rPr>
        <w:t xml:space="preserve">notes that </w:t>
      </w:r>
      <w:r w:rsidR="00E203E2">
        <w:rPr>
          <w:rFonts w:ascii="Arial" w:hAnsi="Arial" w:cs="Arial"/>
        </w:rPr>
        <w:t xml:space="preserve">the feedback </w:t>
      </w:r>
      <w:r w:rsidR="009A4BA0">
        <w:rPr>
          <w:rFonts w:ascii="Arial" w:hAnsi="Arial" w:cs="Arial"/>
        </w:rPr>
        <w:t>on</w:t>
      </w:r>
      <w:r w:rsidR="00E203E2">
        <w:rPr>
          <w:rFonts w:ascii="Arial" w:hAnsi="Arial" w:cs="Arial"/>
        </w:rPr>
        <w:t xml:space="preserve"> WhatsApp was </w:t>
      </w:r>
      <w:r w:rsidR="0095408A">
        <w:rPr>
          <w:rFonts w:ascii="Arial" w:hAnsi="Arial" w:cs="Arial"/>
        </w:rPr>
        <w:t>neutral</w:t>
      </w:r>
      <w:r w:rsidR="00BA6D41">
        <w:rPr>
          <w:rFonts w:ascii="Arial" w:hAnsi="Arial" w:cs="Arial"/>
        </w:rPr>
        <w:t xml:space="preserve"> in tone</w:t>
      </w:r>
      <w:r w:rsidR="004C7DF9">
        <w:rPr>
          <w:rFonts w:ascii="Arial" w:hAnsi="Arial" w:cs="Arial"/>
        </w:rPr>
        <w:t>.</w:t>
      </w:r>
      <w:r w:rsidR="00BF3BF2" w:rsidRPr="00BF3BF2">
        <w:rPr>
          <w:rFonts w:ascii="Arial" w:hAnsi="Arial" w:cs="Arial"/>
        </w:rPr>
        <w:t xml:space="preserve"> </w:t>
      </w:r>
      <w:r w:rsidR="00F35AAE">
        <w:rPr>
          <w:rFonts w:ascii="Arial" w:hAnsi="Arial" w:cs="Arial"/>
        </w:rPr>
        <w:t xml:space="preserve">Moreover, while </w:t>
      </w:r>
      <w:r w:rsidR="006D73ED">
        <w:rPr>
          <w:rFonts w:ascii="Arial" w:hAnsi="Arial" w:cs="Arial"/>
        </w:rPr>
        <w:t xml:space="preserve">Clarendon </w:t>
      </w:r>
      <w:r w:rsidR="00F35AAE">
        <w:rPr>
          <w:rFonts w:ascii="Arial" w:hAnsi="Arial" w:cs="Arial"/>
        </w:rPr>
        <w:t xml:space="preserve">has subsequently confirmed that the </w:t>
      </w:r>
      <w:r w:rsidR="006D73ED">
        <w:rPr>
          <w:rFonts w:ascii="Arial" w:hAnsi="Arial" w:cs="Arial"/>
        </w:rPr>
        <w:t>WhatsApp</w:t>
      </w:r>
      <w:r w:rsidR="00F35AAE">
        <w:rPr>
          <w:rFonts w:ascii="Arial" w:hAnsi="Arial" w:cs="Arial"/>
        </w:rPr>
        <w:t xml:space="preserve"> communications referred to in its </w:t>
      </w:r>
      <w:r w:rsidR="00F674F0">
        <w:rPr>
          <w:rFonts w:ascii="Arial" w:hAnsi="Arial" w:cs="Arial"/>
        </w:rPr>
        <w:t xml:space="preserve">answer to </w:t>
      </w:r>
      <w:r w:rsidR="00013C86">
        <w:rPr>
          <w:rFonts w:ascii="Arial" w:hAnsi="Arial" w:cs="Arial"/>
        </w:rPr>
        <w:t xml:space="preserve">Question </w:t>
      </w:r>
      <w:r w:rsidR="00F35AAE">
        <w:rPr>
          <w:rFonts w:ascii="Arial" w:hAnsi="Arial" w:cs="Arial"/>
        </w:rPr>
        <w:t xml:space="preserve">CDS02 </w:t>
      </w:r>
      <w:r w:rsidR="00CB2E93">
        <w:rPr>
          <w:rFonts w:ascii="Arial" w:hAnsi="Arial" w:cs="Arial"/>
        </w:rPr>
        <w:t xml:space="preserve">did not include </w:t>
      </w:r>
      <w:r w:rsidR="00CE52FE">
        <w:rPr>
          <w:rFonts w:ascii="Arial" w:hAnsi="Arial" w:cs="Arial"/>
        </w:rPr>
        <w:t>patient identifiable data</w:t>
      </w:r>
      <w:r w:rsidR="00EB4399">
        <w:rPr>
          <w:rFonts w:ascii="Arial" w:hAnsi="Arial" w:cs="Arial"/>
        </w:rPr>
        <w:t xml:space="preserve">, this is not </w:t>
      </w:r>
      <w:r w:rsidR="00834204">
        <w:rPr>
          <w:rFonts w:ascii="Arial" w:hAnsi="Arial" w:cs="Arial"/>
        </w:rPr>
        <w:t xml:space="preserve">necessarily </w:t>
      </w:r>
      <w:r w:rsidR="00EB4399">
        <w:rPr>
          <w:rFonts w:ascii="Arial" w:hAnsi="Arial" w:cs="Arial"/>
        </w:rPr>
        <w:t>clear from their response to the question itself</w:t>
      </w:r>
      <w:r w:rsidR="00834204">
        <w:rPr>
          <w:rFonts w:ascii="Arial" w:hAnsi="Arial" w:cs="Arial"/>
        </w:rPr>
        <w:t>.</w:t>
      </w:r>
      <w:r w:rsidR="00BF3BF2" w:rsidRPr="00BF3BF2">
        <w:rPr>
          <w:rFonts w:ascii="Arial" w:hAnsi="Arial" w:cs="Arial"/>
        </w:rPr>
        <w:t xml:space="preserve"> </w:t>
      </w:r>
      <w:r w:rsidR="0050224A" w:rsidRPr="00F06BAE">
        <w:rPr>
          <w:rFonts w:ascii="Arial" w:hAnsi="Arial" w:cs="Arial"/>
        </w:rPr>
        <w:t xml:space="preserve">The Panel considers that </w:t>
      </w:r>
      <w:r w:rsidR="0050224A" w:rsidRPr="00F06BAE">
        <w:rPr>
          <w:rFonts w:ascii="Arial" w:hAnsi="Arial" w:cs="Arial"/>
        </w:rPr>
        <w:lastRenderedPageBreak/>
        <w:t xml:space="preserve">HNY ICB’s feedback in relation to Clarendon’s proposed use of WhatsApp was not irrational, particularly in the context of NHS England’s guidance on mobile messaging (see paragraph </w:t>
      </w:r>
      <w:r w:rsidR="00EB2829">
        <w:rPr>
          <w:rFonts w:ascii="Arial" w:hAnsi="Arial" w:cs="Arial"/>
        </w:rPr>
        <w:t>151</w:t>
      </w:r>
      <w:r w:rsidR="0050224A" w:rsidRPr="00F06BAE">
        <w:rPr>
          <w:rFonts w:ascii="Arial" w:hAnsi="Arial" w:cs="Arial"/>
        </w:rPr>
        <w:t>) which refers to “benefits” and “risk” and the need to check with IG [information governance] teams about organisational policies.</w:t>
      </w:r>
      <w:r w:rsidR="00F06BAE" w:rsidRPr="00F06BAE">
        <w:rPr>
          <w:rFonts w:ascii="Arial" w:hAnsi="Arial" w:cs="Arial"/>
        </w:rPr>
        <w:t xml:space="preserve"> </w:t>
      </w:r>
      <w:r w:rsidR="00BF3BF2">
        <w:rPr>
          <w:rFonts w:ascii="Arial" w:hAnsi="Arial" w:cs="Arial"/>
        </w:rPr>
        <w:t xml:space="preserve">The Panel also notes that it was open to Clarendon to provide reassurance on information governance issues regarding the use of WhatsApp in its </w:t>
      </w:r>
      <w:r w:rsidR="005A66AB">
        <w:rPr>
          <w:rFonts w:ascii="Arial" w:hAnsi="Arial" w:cs="Arial"/>
        </w:rPr>
        <w:t>answer</w:t>
      </w:r>
      <w:r w:rsidR="00A53E57">
        <w:rPr>
          <w:rFonts w:ascii="Arial" w:hAnsi="Arial" w:cs="Arial"/>
        </w:rPr>
        <w:t>.</w:t>
      </w:r>
    </w:p>
    <w:p w14:paraId="6E3000E9" w14:textId="2E876C52" w:rsidR="00C97DCB" w:rsidRPr="00A9305B" w:rsidRDefault="00C97DCB" w:rsidP="00C97DC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finds </w:t>
      </w:r>
      <w:r w:rsidR="00BF6BA9">
        <w:rPr>
          <w:rFonts w:ascii="Arial" w:hAnsi="Arial" w:cs="Arial"/>
        </w:rPr>
        <w:t xml:space="preserve">that </w:t>
      </w:r>
      <w:r w:rsidR="00BE51BE">
        <w:rPr>
          <w:rFonts w:ascii="Arial" w:hAnsi="Arial" w:cs="Arial"/>
        </w:rPr>
        <w:t xml:space="preserve">HNY ICB in evaluating Clarendon’s proposed use of WhatsApp did not breach its obligations under the PSR regulations </w:t>
      </w:r>
      <w:r w:rsidR="00FF370B">
        <w:rPr>
          <w:rFonts w:ascii="Arial" w:hAnsi="Arial" w:cs="Arial"/>
        </w:rPr>
        <w:t>including</w:t>
      </w:r>
      <w:r w:rsidR="00BE51BE">
        <w:rPr>
          <w:rFonts w:ascii="Arial" w:hAnsi="Arial" w:cs="Arial"/>
        </w:rPr>
        <w:t>, in particular, the obligation under Regulation 4 to act fairly.</w:t>
      </w:r>
    </w:p>
    <w:p w14:paraId="62A025C1" w14:textId="287F6B60" w:rsidR="00013AFB" w:rsidRPr="00A9305B" w:rsidRDefault="00D57054" w:rsidP="00D57054">
      <w:pPr>
        <w:keepNext/>
        <w:spacing w:before="240" w:line="276" w:lineRule="auto"/>
        <w:rPr>
          <w:rFonts w:ascii="Arial" w:hAnsi="Arial" w:cs="Arial"/>
          <w:b/>
          <w:bCs/>
        </w:rPr>
      </w:pPr>
      <w:r>
        <w:rPr>
          <w:rFonts w:ascii="Arial" w:hAnsi="Arial" w:cs="Arial"/>
          <w:b/>
          <w:bCs/>
        </w:rPr>
        <w:t>10.1.</w:t>
      </w:r>
      <w:r w:rsidR="00D7690A">
        <w:rPr>
          <w:rFonts w:ascii="Arial" w:hAnsi="Arial" w:cs="Arial"/>
          <w:b/>
          <w:bCs/>
        </w:rPr>
        <w:t>3</w:t>
      </w:r>
      <w:r>
        <w:rPr>
          <w:rFonts w:ascii="Arial" w:hAnsi="Arial" w:cs="Arial"/>
          <w:b/>
          <w:bCs/>
        </w:rPr>
        <w:t xml:space="preserve"> </w:t>
      </w:r>
      <w:r w:rsidR="00A81EAC">
        <w:rPr>
          <w:rFonts w:ascii="Arial" w:hAnsi="Arial" w:cs="Arial"/>
          <w:b/>
          <w:bCs/>
        </w:rPr>
        <w:t>Clarendon’s other concerns about the evaluation of its proposals</w:t>
      </w:r>
    </w:p>
    <w:p w14:paraId="47EBA95A" w14:textId="6E53089E" w:rsidR="00062F40" w:rsidRDefault="002D4B40" w:rsidP="007E3AC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Clarendon raised a number of </w:t>
      </w:r>
      <w:r w:rsidR="00A5231D">
        <w:rPr>
          <w:rFonts w:ascii="Arial" w:hAnsi="Arial" w:cs="Arial"/>
        </w:rPr>
        <w:t>other</w:t>
      </w:r>
      <w:r w:rsidR="001F49B6">
        <w:rPr>
          <w:rFonts w:ascii="Arial" w:hAnsi="Arial" w:cs="Arial"/>
        </w:rPr>
        <w:t xml:space="preserve"> concerns about the evaluation of </w:t>
      </w:r>
      <w:r w:rsidR="00A5231D">
        <w:rPr>
          <w:rFonts w:ascii="Arial" w:hAnsi="Arial" w:cs="Arial"/>
        </w:rPr>
        <w:t xml:space="preserve">its proposals </w:t>
      </w:r>
      <w:r w:rsidR="00DE174E">
        <w:rPr>
          <w:rFonts w:ascii="Arial" w:hAnsi="Arial" w:cs="Arial"/>
        </w:rPr>
        <w:t xml:space="preserve">in </w:t>
      </w:r>
      <w:r w:rsidR="00A5231D">
        <w:rPr>
          <w:rFonts w:ascii="Arial" w:hAnsi="Arial" w:cs="Arial"/>
        </w:rPr>
        <w:t xml:space="preserve">Appendix A of its </w:t>
      </w:r>
      <w:r w:rsidR="00842E06">
        <w:rPr>
          <w:rFonts w:ascii="Arial" w:hAnsi="Arial" w:cs="Arial"/>
        </w:rPr>
        <w:t>representations letter to HNY ICB of 23 December 2024.</w:t>
      </w:r>
      <w:r w:rsidR="003D0BF5">
        <w:rPr>
          <w:rFonts w:ascii="Arial" w:hAnsi="Arial" w:cs="Arial"/>
        </w:rPr>
        <w:t xml:space="preserve"> These concerns relate to </w:t>
      </w:r>
      <w:r w:rsidR="0072705E">
        <w:rPr>
          <w:rFonts w:ascii="Arial" w:hAnsi="Arial" w:cs="Arial"/>
        </w:rPr>
        <w:t xml:space="preserve">a variety of issues </w:t>
      </w:r>
      <w:r w:rsidR="00942E54">
        <w:rPr>
          <w:rFonts w:ascii="Arial" w:hAnsi="Arial" w:cs="Arial"/>
        </w:rPr>
        <w:t xml:space="preserve">across </w:t>
      </w:r>
      <w:r w:rsidR="0074453C">
        <w:rPr>
          <w:rFonts w:ascii="Arial" w:hAnsi="Arial" w:cs="Arial"/>
        </w:rPr>
        <w:t xml:space="preserve">eight of the </w:t>
      </w:r>
      <w:r w:rsidR="008F29CD">
        <w:rPr>
          <w:rFonts w:ascii="Arial" w:hAnsi="Arial" w:cs="Arial"/>
        </w:rPr>
        <w:t xml:space="preserve">twelve </w:t>
      </w:r>
      <w:r w:rsidR="0074453C">
        <w:rPr>
          <w:rFonts w:ascii="Arial" w:hAnsi="Arial" w:cs="Arial"/>
        </w:rPr>
        <w:t>quality questions that were asked of bidders.</w:t>
      </w:r>
    </w:p>
    <w:p w14:paraId="4BCEF1DC" w14:textId="430DC9EE" w:rsidR="00CB007C" w:rsidRDefault="00CB007C" w:rsidP="007E3AC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w:t>
      </w:r>
      <w:r w:rsidR="0074453C">
        <w:rPr>
          <w:rFonts w:ascii="Arial" w:hAnsi="Arial" w:cs="Arial"/>
        </w:rPr>
        <w:t>considered</w:t>
      </w:r>
      <w:r w:rsidR="00F067D6">
        <w:rPr>
          <w:rFonts w:ascii="Arial" w:hAnsi="Arial" w:cs="Arial"/>
        </w:rPr>
        <w:t xml:space="preserve"> </w:t>
      </w:r>
      <w:r w:rsidR="00DF59D1">
        <w:rPr>
          <w:rFonts w:ascii="Arial" w:hAnsi="Arial" w:cs="Arial"/>
        </w:rPr>
        <w:t xml:space="preserve">Clarendon’s </w:t>
      </w:r>
      <w:r w:rsidR="00F067D6">
        <w:rPr>
          <w:rFonts w:ascii="Arial" w:hAnsi="Arial" w:cs="Arial"/>
        </w:rPr>
        <w:t xml:space="preserve">concerns </w:t>
      </w:r>
      <w:r w:rsidR="0074453C">
        <w:rPr>
          <w:rFonts w:ascii="Arial" w:hAnsi="Arial" w:cs="Arial"/>
        </w:rPr>
        <w:t>as part of this review</w:t>
      </w:r>
      <w:r w:rsidR="00D475B1">
        <w:rPr>
          <w:rFonts w:ascii="Arial" w:hAnsi="Arial" w:cs="Arial"/>
        </w:rPr>
        <w:t xml:space="preserve">, and notes that the matters raised by Clarendon are, </w:t>
      </w:r>
      <w:r w:rsidR="005A56D1">
        <w:rPr>
          <w:rFonts w:ascii="Arial" w:hAnsi="Arial" w:cs="Arial"/>
        </w:rPr>
        <w:t>in many places</w:t>
      </w:r>
      <w:r w:rsidR="00D475B1">
        <w:rPr>
          <w:rFonts w:ascii="Arial" w:hAnsi="Arial" w:cs="Arial"/>
        </w:rPr>
        <w:t xml:space="preserve">, disagreements with </w:t>
      </w:r>
      <w:r w:rsidR="001139CD">
        <w:rPr>
          <w:rFonts w:ascii="Arial" w:hAnsi="Arial" w:cs="Arial"/>
        </w:rPr>
        <w:t xml:space="preserve">evaluators’ conclusions about the merits of Clarendon’s answers. </w:t>
      </w:r>
      <w:r w:rsidR="00F34695">
        <w:rPr>
          <w:rFonts w:ascii="Arial" w:hAnsi="Arial" w:cs="Arial"/>
        </w:rPr>
        <w:t>Th</w:t>
      </w:r>
      <w:r w:rsidR="001945AB">
        <w:rPr>
          <w:rFonts w:ascii="Arial" w:hAnsi="Arial" w:cs="Arial"/>
        </w:rPr>
        <w:t>ese disagreements do not, in themselves, raise issues of concern about HNY ICB’s compliance with the PSR regulations.</w:t>
      </w:r>
      <w:r w:rsidR="00A608B2">
        <w:rPr>
          <w:rStyle w:val="FootnoteReference"/>
          <w:rFonts w:ascii="Arial" w:hAnsi="Arial" w:cs="Arial"/>
        </w:rPr>
        <w:footnoteReference w:id="49"/>
      </w:r>
    </w:p>
    <w:p w14:paraId="48163028" w14:textId="04838AB6" w:rsidR="001945AB" w:rsidRDefault="00AA577F" w:rsidP="007E3AC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w:t>
      </w:r>
      <w:r w:rsidR="003E61D5">
        <w:rPr>
          <w:rFonts w:ascii="Arial" w:hAnsi="Arial" w:cs="Arial"/>
        </w:rPr>
        <w:t>in its review</w:t>
      </w:r>
      <w:r w:rsidR="00E27290">
        <w:rPr>
          <w:rFonts w:ascii="Arial" w:hAnsi="Arial" w:cs="Arial"/>
        </w:rPr>
        <w:t xml:space="preserve"> </w:t>
      </w:r>
      <w:r w:rsidR="00F66008">
        <w:rPr>
          <w:rFonts w:ascii="Arial" w:hAnsi="Arial" w:cs="Arial"/>
        </w:rPr>
        <w:t xml:space="preserve">of these concerns </w:t>
      </w:r>
      <w:r w:rsidR="003E61D5">
        <w:rPr>
          <w:rFonts w:ascii="Arial" w:hAnsi="Arial" w:cs="Arial"/>
        </w:rPr>
        <w:t xml:space="preserve">has not </w:t>
      </w:r>
      <w:r w:rsidR="003B34A4">
        <w:rPr>
          <w:rFonts w:ascii="Arial" w:hAnsi="Arial" w:cs="Arial"/>
        </w:rPr>
        <w:t xml:space="preserve">seen any evidence to support a conclusion that </w:t>
      </w:r>
      <w:r w:rsidR="00865673">
        <w:rPr>
          <w:rFonts w:ascii="Arial" w:hAnsi="Arial" w:cs="Arial"/>
        </w:rPr>
        <w:t xml:space="preserve">HNY ICB </w:t>
      </w:r>
      <w:r w:rsidR="00AB2E4F">
        <w:rPr>
          <w:rFonts w:ascii="Arial" w:hAnsi="Arial" w:cs="Arial"/>
        </w:rPr>
        <w:t xml:space="preserve">did not act fairly or otherwise </w:t>
      </w:r>
      <w:r w:rsidR="00DA24CF">
        <w:rPr>
          <w:rFonts w:ascii="Arial" w:hAnsi="Arial" w:cs="Arial"/>
        </w:rPr>
        <w:t>failed to meet its obligations under the PSR regulations</w:t>
      </w:r>
      <w:r w:rsidR="004C24F4">
        <w:rPr>
          <w:rFonts w:ascii="Arial" w:hAnsi="Arial" w:cs="Arial"/>
        </w:rPr>
        <w:t>.</w:t>
      </w:r>
    </w:p>
    <w:p w14:paraId="2224C4A8" w14:textId="77777777" w:rsidR="002F1DA3" w:rsidRPr="00176E06" w:rsidRDefault="002F1DA3" w:rsidP="002F1DA3">
      <w:pPr>
        <w:pStyle w:val="Heading2"/>
        <w:numPr>
          <w:ilvl w:val="1"/>
          <w:numId w:val="1"/>
        </w:numPr>
        <w:spacing w:before="240" w:after="160"/>
        <w:ind w:left="0" w:firstLine="0"/>
        <w:rPr>
          <w:rFonts w:ascii="Arial" w:hAnsi="Arial" w:cs="Arial"/>
          <w:b/>
          <w:color w:val="000000" w:themeColor="text1"/>
          <w:sz w:val="24"/>
          <w:szCs w:val="24"/>
        </w:rPr>
      </w:pPr>
      <w:bookmarkStart w:id="52" w:name="_Toc198745113"/>
      <w:r>
        <w:rPr>
          <w:rFonts w:ascii="Arial" w:hAnsi="Arial" w:cs="Arial"/>
          <w:b/>
          <w:color w:val="000000" w:themeColor="text1"/>
          <w:sz w:val="24"/>
          <w:szCs w:val="24"/>
        </w:rPr>
        <w:t xml:space="preserve">HNY ICB’s </w:t>
      </w:r>
      <w:r w:rsidRPr="00176E06">
        <w:rPr>
          <w:rFonts w:ascii="Arial" w:hAnsi="Arial" w:cs="Arial"/>
          <w:b/>
          <w:color w:val="000000" w:themeColor="text1"/>
          <w:sz w:val="24"/>
          <w:szCs w:val="24"/>
        </w:rPr>
        <w:t xml:space="preserve">notice </w:t>
      </w:r>
      <w:r>
        <w:rPr>
          <w:rFonts w:ascii="Arial" w:hAnsi="Arial" w:cs="Arial"/>
          <w:b/>
          <w:color w:val="000000" w:themeColor="text1"/>
          <w:sz w:val="24"/>
          <w:szCs w:val="24"/>
        </w:rPr>
        <w:t>inviting offers</w:t>
      </w:r>
      <w:bookmarkEnd w:id="52"/>
    </w:p>
    <w:p w14:paraId="29D896FC" w14:textId="54D3549D" w:rsidR="00AF1CA0" w:rsidRPr="007D0115" w:rsidRDefault="00C27E86" w:rsidP="6D71841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Clarendon raised concerns </w:t>
      </w:r>
      <w:r w:rsidR="005C68A1">
        <w:rPr>
          <w:rFonts w:ascii="Arial" w:hAnsi="Arial" w:cs="Arial"/>
        </w:rPr>
        <w:t>about th</w:t>
      </w:r>
      <w:r w:rsidR="001C3028">
        <w:rPr>
          <w:rFonts w:ascii="Arial" w:hAnsi="Arial" w:cs="Arial"/>
        </w:rPr>
        <w:t>e</w:t>
      </w:r>
      <w:r w:rsidR="005C68A1">
        <w:rPr>
          <w:rFonts w:ascii="Arial" w:hAnsi="Arial" w:cs="Arial"/>
        </w:rPr>
        <w:t xml:space="preserve"> notice</w:t>
      </w:r>
      <w:r w:rsidR="001C3028" w:rsidRPr="001C3028">
        <w:rPr>
          <w:rFonts w:ascii="Arial" w:hAnsi="Arial" w:cs="Arial"/>
        </w:rPr>
        <w:t xml:space="preserve"> </w:t>
      </w:r>
      <w:r w:rsidR="002D276C">
        <w:rPr>
          <w:rFonts w:ascii="Arial" w:hAnsi="Arial" w:cs="Arial"/>
        </w:rPr>
        <w:t xml:space="preserve">inviting offers published by </w:t>
      </w:r>
      <w:r w:rsidR="001C3028">
        <w:rPr>
          <w:rFonts w:ascii="Arial" w:hAnsi="Arial" w:cs="Arial"/>
        </w:rPr>
        <w:t>HNY ICB on 20 September 2024</w:t>
      </w:r>
      <w:r w:rsidR="002D276C">
        <w:rPr>
          <w:rFonts w:ascii="Arial" w:hAnsi="Arial" w:cs="Arial"/>
        </w:rPr>
        <w:t xml:space="preserve">. </w:t>
      </w:r>
      <w:r w:rsidR="002D276C" w:rsidRPr="007D0115">
        <w:rPr>
          <w:rFonts w:ascii="Arial" w:hAnsi="Arial" w:cs="Arial"/>
        </w:rPr>
        <w:t xml:space="preserve">Clarendon </w:t>
      </w:r>
      <w:r w:rsidR="00AF1BA4">
        <w:rPr>
          <w:rFonts w:ascii="Arial" w:hAnsi="Arial" w:cs="Arial"/>
        </w:rPr>
        <w:t xml:space="preserve">considers </w:t>
      </w:r>
      <w:r w:rsidR="00057E05" w:rsidRPr="007D0115">
        <w:rPr>
          <w:rFonts w:ascii="Arial" w:hAnsi="Arial" w:cs="Arial"/>
        </w:rPr>
        <w:t xml:space="preserve">that </w:t>
      </w:r>
      <w:r w:rsidR="00F22685" w:rsidRPr="007D0115">
        <w:rPr>
          <w:rFonts w:ascii="Arial" w:hAnsi="Arial" w:cs="Arial"/>
        </w:rPr>
        <w:t xml:space="preserve">the notice </w:t>
      </w:r>
      <w:r w:rsidR="00057E05" w:rsidRPr="007D0115">
        <w:rPr>
          <w:rFonts w:ascii="Arial" w:hAnsi="Arial" w:cs="Arial"/>
        </w:rPr>
        <w:t>failed to properly specify the contract award criteria</w:t>
      </w:r>
      <w:r w:rsidR="00C82F6C" w:rsidRPr="007D0115">
        <w:rPr>
          <w:rFonts w:ascii="Arial" w:hAnsi="Arial" w:cs="Arial"/>
        </w:rPr>
        <w:t xml:space="preserve"> or how the contract award criteria </w:t>
      </w:r>
      <w:r w:rsidR="00635BC6">
        <w:rPr>
          <w:rFonts w:ascii="Arial" w:hAnsi="Arial" w:cs="Arial"/>
        </w:rPr>
        <w:t xml:space="preserve">would </w:t>
      </w:r>
      <w:r w:rsidR="00C82F6C" w:rsidRPr="007D0115">
        <w:rPr>
          <w:rFonts w:ascii="Arial" w:hAnsi="Arial" w:cs="Arial"/>
        </w:rPr>
        <w:t xml:space="preserve">be assessed (see paragraph </w:t>
      </w:r>
      <w:r w:rsidR="00EB2829">
        <w:rPr>
          <w:rFonts w:ascii="Arial" w:hAnsi="Arial" w:cs="Arial"/>
        </w:rPr>
        <w:t>136</w:t>
      </w:r>
      <w:r w:rsidR="00C82F6C" w:rsidRPr="007D0115">
        <w:rPr>
          <w:rFonts w:ascii="Arial" w:hAnsi="Arial" w:cs="Arial"/>
        </w:rPr>
        <w:t>). Clarendon considers that,</w:t>
      </w:r>
      <w:r w:rsidR="00057E05" w:rsidRPr="007D0115">
        <w:rPr>
          <w:rFonts w:ascii="Arial" w:hAnsi="Arial" w:cs="Arial"/>
        </w:rPr>
        <w:t xml:space="preserve"> </w:t>
      </w:r>
      <w:r w:rsidR="00AF1CA0" w:rsidRPr="007D0115">
        <w:rPr>
          <w:rFonts w:ascii="Arial" w:hAnsi="Arial" w:cs="Arial"/>
        </w:rPr>
        <w:t>as a result</w:t>
      </w:r>
      <w:r w:rsidR="00C82F6C" w:rsidRPr="007D0115">
        <w:rPr>
          <w:rFonts w:ascii="Arial" w:hAnsi="Arial" w:cs="Arial"/>
        </w:rPr>
        <w:t xml:space="preserve">, the </w:t>
      </w:r>
      <w:r w:rsidR="00FA76A8" w:rsidRPr="007D0115">
        <w:rPr>
          <w:rFonts w:ascii="Arial" w:hAnsi="Arial" w:cs="Arial"/>
        </w:rPr>
        <w:t>notice</w:t>
      </w:r>
      <w:r w:rsidR="00AF1CA0" w:rsidRPr="007D0115">
        <w:rPr>
          <w:rFonts w:ascii="Arial" w:hAnsi="Arial" w:cs="Arial"/>
        </w:rPr>
        <w:t xml:space="preserve"> did not </w:t>
      </w:r>
      <w:r w:rsidR="000A2ECA" w:rsidRPr="007D0115">
        <w:rPr>
          <w:rFonts w:ascii="Arial" w:hAnsi="Arial" w:cs="Arial"/>
        </w:rPr>
        <w:t xml:space="preserve">satisfy the requirements set out in </w:t>
      </w:r>
      <w:r w:rsidR="00FA76A8" w:rsidRPr="007D0115">
        <w:rPr>
          <w:rFonts w:ascii="Arial" w:hAnsi="Arial" w:cs="Arial"/>
        </w:rPr>
        <w:t xml:space="preserve">Regulation 11 and </w:t>
      </w:r>
      <w:r w:rsidR="000A2ECA" w:rsidRPr="007D0115">
        <w:rPr>
          <w:rFonts w:ascii="Arial" w:hAnsi="Arial" w:cs="Arial"/>
        </w:rPr>
        <w:t>Schedule 8 of the PSR regulations.</w:t>
      </w:r>
    </w:p>
    <w:p w14:paraId="3BBFE0F4" w14:textId="11EFFC39" w:rsidR="005D4392" w:rsidRDefault="005D4392" w:rsidP="00774F02">
      <w:pPr>
        <w:pStyle w:val="ListParagraph"/>
        <w:numPr>
          <w:ilvl w:val="0"/>
          <w:numId w:val="2"/>
        </w:numPr>
        <w:spacing w:line="276" w:lineRule="auto"/>
        <w:ind w:left="567" w:hanging="567"/>
        <w:contextualSpacing w:val="0"/>
        <w:rPr>
          <w:rFonts w:ascii="Arial" w:hAnsi="Arial" w:cs="Arial"/>
        </w:rPr>
      </w:pPr>
      <w:r w:rsidRPr="00774F02">
        <w:rPr>
          <w:rFonts w:ascii="Arial" w:hAnsi="Arial" w:cs="Arial"/>
        </w:rPr>
        <w:t>Regulation 11 sets out the steps in the competitive process, and Regulation 11(3) states that the commissioner must submit “a notice for publication on the e-notification service inviting offers to provide the relevant health care services in relation to which the contract is to be awarded”</w:t>
      </w:r>
      <w:r w:rsidR="00CA4CC4" w:rsidRPr="00774F02">
        <w:rPr>
          <w:rFonts w:ascii="Arial" w:hAnsi="Arial" w:cs="Arial"/>
        </w:rPr>
        <w:t xml:space="preserve"> (i.e. the notice inviting offers)</w:t>
      </w:r>
      <w:r w:rsidRPr="00774F02">
        <w:rPr>
          <w:rFonts w:ascii="Arial" w:hAnsi="Arial" w:cs="Arial"/>
        </w:rPr>
        <w:t xml:space="preserve">. Regulation 11(4) says that this notice “must include the information set out in Schedule 8”. </w:t>
      </w:r>
      <w:r w:rsidR="00774F02" w:rsidRPr="00774F02">
        <w:rPr>
          <w:rFonts w:ascii="Arial" w:hAnsi="Arial" w:cs="Arial"/>
        </w:rPr>
        <w:t xml:space="preserve">The information set out in </w:t>
      </w:r>
      <w:r w:rsidRPr="00774F02">
        <w:rPr>
          <w:rFonts w:ascii="Arial" w:hAnsi="Arial" w:cs="Arial"/>
        </w:rPr>
        <w:t xml:space="preserve">Schedule 8 </w:t>
      </w:r>
      <w:r w:rsidR="003A299F" w:rsidRPr="00774F02">
        <w:rPr>
          <w:rFonts w:ascii="Arial" w:hAnsi="Arial" w:cs="Arial"/>
        </w:rPr>
        <w:t>includ</w:t>
      </w:r>
      <w:r w:rsidR="00774F02">
        <w:rPr>
          <w:rFonts w:ascii="Arial" w:hAnsi="Arial" w:cs="Arial"/>
        </w:rPr>
        <w:t>es</w:t>
      </w:r>
      <w:r w:rsidR="003A299F" w:rsidRPr="00774F02">
        <w:rPr>
          <w:rFonts w:ascii="Arial" w:hAnsi="Arial" w:cs="Arial"/>
        </w:rPr>
        <w:t xml:space="preserve"> </w:t>
      </w:r>
      <w:r w:rsidRPr="00774F02">
        <w:rPr>
          <w:rFonts w:ascii="Arial" w:hAnsi="Arial" w:cs="Arial"/>
        </w:rPr>
        <w:t>“the contract or framework award criteria” and “a statement as to how offers will be assessed, including whether the assessment will be in stages”</w:t>
      </w:r>
      <w:r w:rsidR="00774F02">
        <w:rPr>
          <w:rFonts w:ascii="Arial" w:hAnsi="Arial" w:cs="Arial"/>
        </w:rPr>
        <w:t xml:space="preserve"> (see paragraph </w:t>
      </w:r>
      <w:r w:rsidR="0003620F">
        <w:rPr>
          <w:rFonts w:ascii="Arial" w:hAnsi="Arial" w:cs="Arial"/>
        </w:rPr>
        <w:t>138</w:t>
      </w:r>
      <w:r w:rsidR="00FF01CD">
        <w:rPr>
          <w:rFonts w:ascii="Arial" w:hAnsi="Arial" w:cs="Arial"/>
        </w:rPr>
        <w:t>)</w:t>
      </w:r>
      <w:r w:rsidRPr="00774F02">
        <w:rPr>
          <w:rFonts w:ascii="Arial" w:hAnsi="Arial" w:cs="Arial"/>
        </w:rPr>
        <w:t>.</w:t>
      </w:r>
    </w:p>
    <w:p w14:paraId="210E3F0B" w14:textId="50C8BD31" w:rsidR="00503B2A" w:rsidRDefault="00503B2A" w:rsidP="6D71841B">
      <w:pPr>
        <w:pStyle w:val="ListParagraph"/>
        <w:numPr>
          <w:ilvl w:val="0"/>
          <w:numId w:val="2"/>
        </w:numPr>
        <w:spacing w:line="276" w:lineRule="auto"/>
        <w:ind w:left="567" w:hanging="567"/>
        <w:contextualSpacing w:val="0"/>
        <w:rPr>
          <w:rFonts w:ascii="Arial" w:hAnsi="Arial" w:cs="Arial"/>
        </w:rPr>
      </w:pPr>
      <w:r>
        <w:rPr>
          <w:rFonts w:ascii="Arial" w:hAnsi="Arial" w:cs="Arial"/>
        </w:rPr>
        <w:lastRenderedPageBreak/>
        <w:t xml:space="preserve">The PSR </w:t>
      </w:r>
      <w:r w:rsidR="003E17B6">
        <w:rPr>
          <w:rFonts w:ascii="Arial" w:hAnsi="Arial" w:cs="Arial"/>
        </w:rPr>
        <w:t>s</w:t>
      </w:r>
      <w:r>
        <w:rPr>
          <w:rFonts w:ascii="Arial" w:hAnsi="Arial" w:cs="Arial"/>
        </w:rPr>
        <w:t xml:space="preserve">tatutory </w:t>
      </w:r>
      <w:r w:rsidR="003E17B6">
        <w:rPr>
          <w:rFonts w:ascii="Arial" w:hAnsi="Arial" w:cs="Arial"/>
        </w:rPr>
        <w:t>g</w:t>
      </w:r>
      <w:r>
        <w:rPr>
          <w:rFonts w:ascii="Arial" w:hAnsi="Arial" w:cs="Arial"/>
        </w:rPr>
        <w:t xml:space="preserve">uidance </w:t>
      </w:r>
      <w:r w:rsidR="00384F51">
        <w:rPr>
          <w:rFonts w:ascii="Arial" w:hAnsi="Arial" w:cs="Arial"/>
        </w:rPr>
        <w:t xml:space="preserve">says </w:t>
      </w:r>
      <w:r w:rsidR="00485BC3">
        <w:rPr>
          <w:rFonts w:ascii="Arial" w:hAnsi="Arial" w:cs="Arial"/>
        </w:rPr>
        <w:t xml:space="preserve">“The contract notice, </w:t>
      </w:r>
      <w:r w:rsidR="00485BC3" w:rsidRPr="00A9305B">
        <w:rPr>
          <w:rFonts w:ascii="Arial" w:hAnsi="Arial" w:cs="Arial"/>
          <w:i/>
        </w:rPr>
        <w:t>or the documents provided in the content of the notice (e.g. tendering documents)</w:t>
      </w:r>
      <w:r w:rsidR="00485BC3">
        <w:rPr>
          <w:rFonts w:ascii="Arial" w:hAnsi="Arial" w:cs="Arial"/>
        </w:rPr>
        <w:t xml:space="preserve"> must include: </w:t>
      </w:r>
      <w:r w:rsidR="00666317">
        <w:rPr>
          <w:rFonts w:ascii="Arial" w:hAnsi="Arial" w:cs="Arial"/>
        </w:rPr>
        <w:t>…</w:t>
      </w:r>
      <w:r w:rsidR="008A266A">
        <w:rPr>
          <w:rFonts w:ascii="Arial" w:hAnsi="Arial" w:cs="Arial"/>
        </w:rPr>
        <w:t xml:space="preserve"> contract or framework award criteria</w:t>
      </w:r>
      <w:r w:rsidR="006323BB">
        <w:rPr>
          <w:rFonts w:ascii="Arial" w:hAnsi="Arial" w:cs="Arial"/>
        </w:rPr>
        <w:t xml:space="preserve"> … explanation of how offers (bids) will be assessed, including whether </w:t>
      </w:r>
      <w:r w:rsidR="00A42158">
        <w:rPr>
          <w:rFonts w:ascii="Arial" w:hAnsi="Arial" w:cs="Arial"/>
        </w:rPr>
        <w:t>the assessment will be in stages”</w:t>
      </w:r>
      <w:r w:rsidR="00A1441B">
        <w:rPr>
          <w:rFonts w:ascii="Arial" w:hAnsi="Arial" w:cs="Arial"/>
        </w:rPr>
        <w:t xml:space="preserve"> [emphasis added]</w:t>
      </w:r>
      <w:r w:rsidR="00A42158">
        <w:rPr>
          <w:rFonts w:ascii="Arial" w:hAnsi="Arial" w:cs="Arial"/>
        </w:rPr>
        <w:t>.</w:t>
      </w:r>
      <w:r w:rsidR="00A42158">
        <w:rPr>
          <w:rStyle w:val="FootnoteReference"/>
          <w:rFonts w:ascii="Arial" w:hAnsi="Arial" w:cs="Arial"/>
        </w:rPr>
        <w:footnoteReference w:id="50"/>
      </w:r>
      <w:r w:rsidR="002E0042">
        <w:rPr>
          <w:rFonts w:ascii="Arial" w:hAnsi="Arial" w:cs="Arial"/>
        </w:rPr>
        <w:t xml:space="preserve"> </w:t>
      </w:r>
      <w:r w:rsidR="00BA12A5">
        <w:rPr>
          <w:rFonts w:ascii="Arial" w:hAnsi="Arial" w:cs="Arial"/>
        </w:rPr>
        <w:t xml:space="preserve">That is, the statutory guidance makes it clear that </w:t>
      </w:r>
      <w:r w:rsidR="004F3538">
        <w:rPr>
          <w:rFonts w:ascii="Arial" w:hAnsi="Arial" w:cs="Arial"/>
        </w:rPr>
        <w:t xml:space="preserve">a Schedule 8 notice will be </w:t>
      </w:r>
      <w:r w:rsidR="00EA74D3">
        <w:rPr>
          <w:rFonts w:ascii="Arial" w:hAnsi="Arial" w:cs="Arial"/>
        </w:rPr>
        <w:t xml:space="preserve">compliant with the requirements of the PSR regulations if </w:t>
      </w:r>
      <w:r w:rsidR="00963B20">
        <w:rPr>
          <w:rFonts w:ascii="Arial" w:hAnsi="Arial" w:cs="Arial"/>
        </w:rPr>
        <w:t xml:space="preserve">information about the </w:t>
      </w:r>
      <w:r w:rsidR="00144A21">
        <w:rPr>
          <w:rFonts w:ascii="Arial" w:hAnsi="Arial" w:cs="Arial"/>
        </w:rPr>
        <w:t xml:space="preserve">contract award criteria and assessment of bids </w:t>
      </w:r>
      <w:r w:rsidR="00EA74D3">
        <w:rPr>
          <w:rFonts w:ascii="Arial" w:hAnsi="Arial" w:cs="Arial"/>
        </w:rPr>
        <w:t xml:space="preserve">is included either directly in the notice itself or in documents </w:t>
      </w:r>
      <w:r w:rsidR="0018366B">
        <w:rPr>
          <w:rFonts w:ascii="Arial" w:hAnsi="Arial" w:cs="Arial"/>
        </w:rPr>
        <w:t xml:space="preserve">to </w:t>
      </w:r>
      <w:r w:rsidR="000C0933">
        <w:rPr>
          <w:rFonts w:ascii="Arial" w:hAnsi="Arial" w:cs="Arial"/>
        </w:rPr>
        <w:t xml:space="preserve">which </w:t>
      </w:r>
      <w:r w:rsidR="00EA74D3">
        <w:rPr>
          <w:rFonts w:ascii="Arial" w:hAnsi="Arial" w:cs="Arial"/>
        </w:rPr>
        <w:t>readers of the notice</w:t>
      </w:r>
      <w:r w:rsidR="000C0933">
        <w:rPr>
          <w:rFonts w:ascii="Arial" w:hAnsi="Arial" w:cs="Arial"/>
        </w:rPr>
        <w:t xml:space="preserve"> are signposted and are accessible.</w:t>
      </w:r>
    </w:p>
    <w:p w14:paraId="6EC04AC6" w14:textId="1D458A2A" w:rsidR="00FA45D6" w:rsidRDefault="00731C6F" w:rsidP="00774F0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HNY ICB’s </w:t>
      </w:r>
      <w:r w:rsidR="00F64DBE">
        <w:rPr>
          <w:rFonts w:ascii="Arial" w:hAnsi="Arial" w:cs="Arial"/>
        </w:rPr>
        <w:t>notice inviting offers</w:t>
      </w:r>
      <w:r>
        <w:rPr>
          <w:rFonts w:ascii="Arial" w:hAnsi="Arial" w:cs="Arial"/>
        </w:rPr>
        <w:t xml:space="preserve">, </w:t>
      </w:r>
      <w:r w:rsidR="00F64DBE">
        <w:rPr>
          <w:rFonts w:ascii="Arial" w:hAnsi="Arial" w:cs="Arial"/>
        </w:rPr>
        <w:t xml:space="preserve">published </w:t>
      </w:r>
      <w:r>
        <w:rPr>
          <w:rFonts w:ascii="Arial" w:hAnsi="Arial" w:cs="Arial"/>
        </w:rPr>
        <w:t>on 20 September 2024, says “</w:t>
      </w:r>
      <w:r w:rsidR="00301798">
        <w:rPr>
          <w:rFonts w:ascii="Arial" w:hAnsi="Arial" w:cs="Arial"/>
        </w:rPr>
        <w:t xml:space="preserve">Price is not the only award criterion and </w:t>
      </w:r>
      <w:r w:rsidR="004213C4">
        <w:rPr>
          <w:rFonts w:ascii="Arial" w:hAnsi="Arial" w:cs="Arial"/>
        </w:rPr>
        <w:t>all criteria are stated only in the procurement documents”. It also says “</w:t>
      </w:r>
      <w:r w:rsidR="006C627A">
        <w:rPr>
          <w:rFonts w:ascii="Arial" w:hAnsi="Arial" w:cs="Arial"/>
        </w:rPr>
        <w:t>The procurement documents are available for unrestricted and full direct access, free of charge</w:t>
      </w:r>
      <w:r w:rsidR="00634D2F">
        <w:rPr>
          <w:rFonts w:ascii="Arial" w:hAnsi="Arial" w:cs="Arial"/>
        </w:rPr>
        <w:t xml:space="preserve">” and provides a </w:t>
      </w:r>
      <w:r w:rsidR="000F632A">
        <w:rPr>
          <w:rFonts w:ascii="Arial" w:hAnsi="Arial" w:cs="Arial"/>
        </w:rPr>
        <w:t>link to the website where the documents may be accessed.</w:t>
      </w:r>
      <w:r w:rsidR="000F632A">
        <w:rPr>
          <w:rStyle w:val="FootnoteReference"/>
          <w:rFonts w:ascii="Arial" w:hAnsi="Arial" w:cs="Arial"/>
        </w:rPr>
        <w:footnoteReference w:id="51"/>
      </w:r>
    </w:p>
    <w:p w14:paraId="1EE874F2" w14:textId="7BD669B0" w:rsidR="00F3686D" w:rsidRDefault="001A0F13" w:rsidP="002A1CD0">
      <w:pPr>
        <w:pStyle w:val="ListParagraph"/>
        <w:numPr>
          <w:ilvl w:val="0"/>
          <w:numId w:val="2"/>
        </w:numPr>
        <w:spacing w:line="276" w:lineRule="auto"/>
        <w:ind w:left="567" w:hanging="567"/>
        <w:contextualSpacing w:val="0"/>
        <w:rPr>
          <w:rFonts w:ascii="Arial" w:hAnsi="Arial" w:cs="Arial"/>
        </w:rPr>
      </w:pPr>
      <w:r w:rsidRPr="002A1CD0">
        <w:rPr>
          <w:rFonts w:ascii="Arial" w:hAnsi="Arial" w:cs="Arial"/>
        </w:rPr>
        <w:t>The Panel’s view is that</w:t>
      </w:r>
      <w:r w:rsidR="00EE4803" w:rsidRPr="002A1CD0">
        <w:rPr>
          <w:rFonts w:ascii="Arial" w:hAnsi="Arial" w:cs="Arial"/>
        </w:rPr>
        <w:t>, given the PSR statutory guidance,</w:t>
      </w:r>
      <w:r w:rsidRPr="002A1CD0">
        <w:rPr>
          <w:rFonts w:ascii="Arial" w:hAnsi="Arial" w:cs="Arial"/>
        </w:rPr>
        <w:t xml:space="preserve"> </w:t>
      </w:r>
      <w:r w:rsidR="00475735" w:rsidRPr="002A1CD0">
        <w:rPr>
          <w:rFonts w:ascii="Arial" w:hAnsi="Arial" w:cs="Arial"/>
        </w:rPr>
        <w:t>HNY ICB’s notice</w:t>
      </w:r>
      <w:r w:rsidR="00F939E5" w:rsidRPr="002A1CD0">
        <w:rPr>
          <w:rFonts w:ascii="Arial" w:hAnsi="Arial" w:cs="Arial"/>
        </w:rPr>
        <w:t xml:space="preserve"> </w:t>
      </w:r>
      <w:r w:rsidR="00EE4803" w:rsidRPr="002A1CD0">
        <w:rPr>
          <w:rFonts w:ascii="Arial" w:hAnsi="Arial" w:cs="Arial"/>
        </w:rPr>
        <w:t xml:space="preserve">inviting offers </w:t>
      </w:r>
      <w:r w:rsidR="004A17BF" w:rsidRPr="002A1CD0">
        <w:rPr>
          <w:rFonts w:ascii="Arial" w:hAnsi="Arial" w:cs="Arial"/>
        </w:rPr>
        <w:t>was sufficient to comply with the PSR regulations</w:t>
      </w:r>
      <w:r w:rsidR="002A1CD0" w:rsidRPr="002A1CD0">
        <w:rPr>
          <w:rFonts w:ascii="Arial" w:hAnsi="Arial" w:cs="Arial"/>
        </w:rPr>
        <w:t xml:space="preserve">. </w:t>
      </w:r>
      <w:r w:rsidR="00A93FEA" w:rsidRPr="002A1CD0">
        <w:rPr>
          <w:rFonts w:ascii="Arial" w:hAnsi="Arial" w:cs="Arial"/>
        </w:rPr>
        <w:t xml:space="preserve">As a result, </w:t>
      </w:r>
      <w:r w:rsidR="00F3686D" w:rsidRPr="006D54E4">
        <w:rPr>
          <w:rFonts w:ascii="Arial" w:hAnsi="Arial" w:cs="Arial"/>
        </w:rPr>
        <w:t>the Panel finds that</w:t>
      </w:r>
      <w:r w:rsidR="00F3686D">
        <w:rPr>
          <w:rFonts w:ascii="Arial" w:hAnsi="Arial" w:cs="Arial"/>
        </w:rPr>
        <w:t>,</w:t>
      </w:r>
      <w:r w:rsidR="00F3686D" w:rsidRPr="006D54E4">
        <w:rPr>
          <w:rFonts w:ascii="Arial" w:hAnsi="Arial" w:cs="Arial"/>
        </w:rPr>
        <w:t xml:space="preserve"> </w:t>
      </w:r>
      <w:r w:rsidR="00F3686D" w:rsidRPr="00EA5392">
        <w:rPr>
          <w:rFonts w:ascii="Arial" w:hAnsi="Arial" w:cs="Arial"/>
        </w:rPr>
        <w:t>in publishing its notice inviting offers on 20</w:t>
      </w:r>
      <w:r w:rsidR="00F3686D">
        <w:rPr>
          <w:rFonts w:ascii="Arial" w:hAnsi="Arial" w:cs="Arial"/>
        </w:rPr>
        <w:t> </w:t>
      </w:r>
      <w:r w:rsidR="00F3686D" w:rsidRPr="00EA5392">
        <w:rPr>
          <w:rFonts w:ascii="Arial" w:hAnsi="Arial" w:cs="Arial"/>
        </w:rPr>
        <w:t>September 2024</w:t>
      </w:r>
      <w:r w:rsidR="00F3686D">
        <w:rPr>
          <w:rFonts w:ascii="Arial" w:hAnsi="Arial" w:cs="Arial"/>
        </w:rPr>
        <w:t>,</w:t>
      </w:r>
      <w:r w:rsidR="00F3686D" w:rsidRPr="00EA5392">
        <w:rPr>
          <w:rFonts w:ascii="Arial" w:hAnsi="Arial" w:cs="Arial"/>
        </w:rPr>
        <w:t xml:space="preserve"> HNY ICB </w:t>
      </w:r>
      <w:r w:rsidR="00F3686D">
        <w:rPr>
          <w:rFonts w:ascii="Arial" w:hAnsi="Arial" w:cs="Arial"/>
        </w:rPr>
        <w:t xml:space="preserve">did not </w:t>
      </w:r>
      <w:r w:rsidR="00F3686D" w:rsidRPr="00EA5392">
        <w:rPr>
          <w:rFonts w:ascii="Arial" w:hAnsi="Arial" w:cs="Arial"/>
        </w:rPr>
        <w:t xml:space="preserve">breach the PSR regulations, and in particular </w:t>
      </w:r>
      <w:r w:rsidR="00F3686D">
        <w:rPr>
          <w:rFonts w:ascii="Arial" w:hAnsi="Arial" w:cs="Arial"/>
        </w:rPr>
        <w:t xml:space="preserve">the requirements set out in </w:t>
      </w:r>
      <w:r w:rsidR="00F3686D" w:rsidRPr="00EA5392">
        <w:rPr>
          <w:rFonts w:ascii="Arial" w:hAnsi="Arial" w:cs="Arial"/>
        </w:rPr>
        <w:t>Regulation 11(4)</w:t>
      </w:r>
      <w:r w:rsidR="00F3686D">
        <w:rPr>
          <w:rFonts w:ascii="Arial" w:hAnsi="Arial" w:cs="Arial"/>
        </w:rPr>
        <w:t xml:space="preserve"> and Schedule 8.</w:t>
      </w:r>
    </w:p>
    <w:p w14:paraId="1D11CB9B" w14:textId="65862D09" w:rsidR="00BC240C" w:rsidRPr="00176E06" w:rsidRDefault="00DB61C0" w:rsidP="00176E06">
      <w:pPr>
        <w:pStyle w:val="Heading2"/>
        <w:numPr>
          <w:ilvl w:val="1"/>
          <w:numId w:val="1"/>
        </w:numPr>
        <w:spacing w:before="240" w:after="160"/>
        <w:ind w:left="0" w:firstLine="0"/>
        <w:rPr>
          <w:rFonts w:ascii="Arial" w:hAnsi="Arial" w:cs="Arial"/>
          <w:b/>
          <w:color w:val="000000" w:themeColor="text1"/>
          <w:sz w:val="24"/>
          <w:szCs w:val="24"/>
        </w:rPr>
      </w:pPr>
      <w:bookmarkStart w:id="53" w:name="_Toc198745114"/>
      <w:r>
        <w:rPr>
          <w:rFonts w:ascii="Arial" w:hAnsi="Arial" w:cs="Arial"/>
          <w:b/>
          <w:color w:val="000000" w:themeColor="text1"/>
          <w:sz w:val="24"/>
          <w:szCs w:val="24"/>
        </w:rPr>
        <w:t>HNY ICB’s notice of intention to make a contract award</w:t>
      </w:r>
      <w:bookmarkEnd w:id="53"/>
    </w:p>
    <w:p w14:paraId="1793B817" w14:textId="14EB35AE" w:rsidR="00B066DC" w:rsidRDefault="00C06CCC" w:rsidP="00B066DC">
      <w:pPr>
        <w:pStyle w:val="ListParagraph"/>
        <w:numPr>
          <w:ilvl w:val="0"/>
          <w:numId w:val="2"/>
        </w:numPr>
        <w:spacing w:line="276" w:lineRule="auto"/>
        <w:ind w:left="567" w:hanging="567"/>
        <w:contextualSpacing w:val="0"/>
        <w:rPr>
          <w:rFonts w:ascii="Arial" w:hAnsi="Arial" w:cs="Arial"/>
        </w:rPr>
      </w:pPr>
      <w:r>
        <w:rPr>
          <w:rFonts w:ascii="Arial" w:hAnsi="Arial" w:cs="Arial"/>
        </w:rPr>
        <w:t>Clarendon</w:t>
      </w:r>
      <w:r w:rsidRPr="002918DC">
        <w:rPr>
          <w:rFonts w:ascii="Arial" w:hAnsi="Arial" w:cs="Arial"/>
        </w:rPr>
        <w:t xml:space="preserve"> has raised concerns </w:t>
      </w:r>
      <w:r>
        <w:rPr>
          <w:rFonts w:ascii="Arial" w:hAnsi="Arial" w:cs="Arial"/>
        </w:rPr>
        <w:t xml:space="preserve">about the notice of intention to make a contract award </w:t>
      </w:r>
      <w:r w:rsidR="00B23C40">
        <w:rPr>
          <w:rFonts w:ascii="Arial" w:hAnsi="Arial" w:cs="Arial"/>
        </w:rPr>
        <w:t xml:space="preserve">(notice of intention) </w:t>
      </w:r>
      <w:r>
        <w:rPr>
          <w:rFonts w:ascii="Arial" w:hAnsi="Arial" w:cs="Arial"/>
        </w:rPr>
        <w:t xml:space="preserve">published by HNY ICB on 10 December 2024. </w:t>
      </w:r>
      <w:r w:rsidR="00D86EF2">
        <w:rPr>
          <w:rFonts w:ascii="Arial" w:hAnsi="Arial" w:cs="Arial"/>
        </w:rPr>
        <w:t>In particular, Clarendon is concerned that</w:t>
      </w:r>
      <w:r w:rsidR="00A13779">
        <w:rPr>
          <w:rFonts w:ascii="Arial" w:hAnsi="Arial" w:cs="Arial"/>
        </w:rPr>
        <w:t xml:space="preserve">: first, the notice </w:t>
      </w:r>
      <w:r w:rsidR="00B23C40">
        <w:rPr>
          <w:rFonts w:ascii="Arial" w:hAnsi="Arial" w:cs="Arial"/>
        </w:rPr>
        <w:t xml:space="preserve">of intention </w:t>
      </w:r>
      <w:r w:rsidR="00A13779">
        <w:rPr>
          <w:rFonts w:ascii="Arial" w:hAnsi="Arial" w:cs="Arial"/>
        </w:rPr>
        <w:t>failed to provide any reason for the selection of the chosen provider</w:t>
      </w:r>
      <w:r w:rsidR="00281BEB">
        <w:rPr>
          <w:rFonts w:ascii="Arial" w:hAnsi="Arial" w:cs="Arial"/>
        </w:rPr>
        <w:t>s</w:t>
      </w:r>
      <w:r w:rsidR="00A13779">
        <w:rPr>
          <w:rFonts w:ascii="Arial" w:hAnsi="Arial" w:cs="Arial"/>
        </w:rPr>
        <w:t xml:space="preserve">; and second, </w:t>
      </w:r>
      <w:r w:rsidR="00692BC6">
        <w:rPr>
          <w:rFonts w:ascii="Arial" w:hAnsi="Arial" w:cs="Arial"/>
        </w:rPr>
        <w:t xml:space="preserve">the notice </w:t>
      </w:r>
      <w:r w:rsidR="00B23C40">
        <w:rPr>
          <w:rFonts w:ascii="Arial" w:hAnsi="Arial" w:cs="Arial"/>
        </w:rPr>
        <w:t xml:space="preserve">of intention </w:t>
      </w:r>
      <w:r w:rsidR="00692BC6">
        <w:rPr>
          <w:rFonts w:ascii="Arial" w:hAnsi="Arial" w:cs="Arial"/>
        </w:rPr>
        <w:t>failed to declare any conflict</w:t>
      </w:r>
      <w:r w:rsidR="005D7263">
        <w:rPr>
          <w:rFonts w:ascii="Arial" w:hAnsi="Arial" w:cs="Arial"/>
        </w:rPr>
        <w:t>s</w:t>
      </w:r>
      <w:r w:rsidR="00692BC6">
        <w:rPr>
          <w:rFonts w:ascii="Arial" w:hAnsi="Arial" w:cs="Arial"/>
        </w:rPr>
        <w:t xml:space="preserve"> or potential conflicts of interest.</w:t>
      </w:r>
    </w:p>
    <w:p w14:paraId="3A49A98F" w14:textId="4A22297A" w:rsidR="006E3EC8" w:rsidRDefault="006700E2" w:rsidP="00D86EF2">
      <w:pPr>
        <w:pStyle w:val="ListParagraph"/>
        <w:numPr>
          <w:ilvl w:val="0"/>
          <w:numId w:val="2"/>
        </w:numPr>
        <w:spacing w:line="276" w:lineRule="auto"/>
        <w:ind w:left="567" w:hanging="567"/>
        <w:contextualSpacing w:val="0"/>
        <w:rPr>
          <w:rFonts w:ascii="Arial" w:hAnsi="Arial" w:cs="Arial"/>
        </w:rPr>
      </w:pPr>
      <w:r>
        <w:rPr>
          <w:rFonts w:ascii="Arial" w:hAnsi="Arial" w:cs="Arial"/>
        </w:rPr>
        <w:t>HNY ICB, a</w:t>
      </w:r>
      <w:r w:rsidR="005109DE">
        <w:rPr>
          <w:rFonts w:ascii="Arial" w:hAnsi="Arial" w:cs="Arial"/>
        </w:rPr>
        <w:t xml:space="preserve">fter receiving further correspondence from </w:t>
      </w:r>
      <w:r w:rsidR="00F054EB">
        <w:rPr>
          <w:rFonts w:ascii="Arial" w:hAnsi="Arial" w:cs="Arial"/>
        </w:rPr>
        <w:t xml:space="preserve">Clarendon following </w:t>
      </w:r>
      <w:r>
        <w:rPr>
          <w:rFonts w:ascii="Arial" w:hAnsi="Arial" w:cs="Arial"/>
        </w:rPr>
        <w:t>its</w:t>
      </w:r>
      <w:r w:rsidR="00F054EB">
        <w:rPr>
          <w:rFonts w:ascii="Arial" w:hAnsi="Arial" w:cs="Arial"/>
        </w:rPr>
        <w:t xml:space="preserve"> </w:t>
      </w:r>
      <w:r w:rsidR="00275F0D">
        <w:rPr>
          <w:rFonts w:ascii="Arial" w:hAnsi="Arial" w:cs="Arial"/>
        </w:rPr>
        <w:t xml:space="preserve">further </w:t>
      </w:r>
      <w:r w:rsidR="00F054EB">
        <w:rPr>
          <w:rFonts w:ascii="Arial" w:hAnsi="Arial" w:cs="Arial"/>
        </w:rPr>
        <w:t>decision letter</w:t>
      </w:r>
      <w:r>
        <w:rPr>
          <w:rFonts w:ascii="Arial" w:hAnsi="Arial" w:cs="Arial"/>
        </w:rPr>
        <w:t xml:space="preserve"> of 7 March 2025</w:t>
      </w:r>
      <w:r w:rsidR="00F054EB">
        <w:rPr>
          <w:rFonts w:ascii="Arial" w:hAnsi="Arial" w:cs="Arial"/>
        </w:rPr>
        <w:t xml:space="preserve">, </w:t>
      </w:r>
      <w:r w:rsidR="00F05771">
        <w:rPr>
          <w:rFonts w:ascii="Arial" w:hAnsi="Arial" w:cs="Arial"/>
        </w:rPr>
        <w:t>told Clarendon that</w:t>
      </w:r>
      <w:r w:rsidR="00630744">
        <w:rPr>
          <w:rFonts w:ascii="Arial" w:hAnsi="Arial" w:cs="Arial"/>
        </w:rPr>
        <w:t xml:space="preserve">, in relation to the </w:t>
      </w:r>
      <w:r w:rsidR="006E791C">
        <w:rPr>
          <w:rFonts w:ascii="Arial" w:hAnsi="Arial" w:cs="Arial"/>
        </w:rPr>
        <w:t xml:space="preserve">reasons for </w:t>
      </w:r>
      <w:r w:rsidR="00281BEB">
        <w:rPr>
          <w:rFonts w:ascii="Arial" w:hAnsi="Arial" w:cs="Arial"/>
        </w:rPr>
        <w:t>selecting the chosen providers</w:t>
      </w:r>
      <w:r w:rsidR="00F05771">
        <w:rPr>
          <w:rFonts w:ascii="Arial" w:hAnsi="Arial" w:cs="Arial"/>
        </w:rPr>
        <w:t xml:space="preserve"> </w:t>
      </w:r>
      <w:r w:rsidR="0097588D">
        <w:rPr>
          <w:rFonts w:ascii="Arial" w:hAnsi="Arial" w:cs="Arial"/>
        </w:rPr>
        <w:t>“</w:t>
      </w:r>
      <w:r w:rsidR="00091FA8">
        <w:rPr>
          <w:rFonts w:ascii="Arial" w:hAnsi="Arial" w:cs="Arial"/>
        </w:rPr>
        <w:t>we consider</w:t>
      </w:r>
      <w:r w:rsidR="0097588D">
        <w:rPr>
          <w:rFonts w:ascii="Arial" w:hAnsi="Arial" w:cs="Arial"/>
        </w:rPr>
        <w:t xml:space="preserve"> that </w:t>
      </w:r>
      <w:r w:rsidR="00091FA8">
        <w:rPr>
          <w:rFonts w:ascii="Arial" w:hAnsi="Arial" w:cs="Arial"/>
        </w:rPr>
        <w:t>this [</w:t>
      </w:r>
      <w:r w:rsidR="0097588D">
        <w:rPr>
          <w:rFonts w:ascii="Arial" w:hAnsi="Arial" w:cs="Arial"/>
        </w:rPr>
        <w:t>the 10 December 2024 notice</w:t>
      </w:r>
      <w:r w:rsidR="00091FA8">
        <w:rPr>
          <w:rFonts w:ascii="Arial" w:hAnsi="Arial" w:cs="Arial"/>
        </w:rPr>
        <w:t xml:space="preserve">] is </w:t>
      </w:r>
      <w:r w:rsidR="0097588D" w:rsidRPr="00B02A60">
        <w:rPr>
          <w:rFonts w:ascii="Arial" w:hAnsi="Arial" w:cs="Arial"/>
        </w:rPr>
        <w:t>sufficient to meet the requirements of the regulations</w:t>
      </w:r>
      <w:r w:rsidR="00666D87">
        <w:rPr>
          <w:rFonts w:ascii="Arial" w:hAnsi="Arial" w:cs="Arial"/>
        </w:rPr>
        <w:t xml:space="preserve"> </w:t>
      </w:r>
      <w:r w:rsidR="0097588D" w:rsidRPr="00B02A60">
        <w:rPr>
          <w:rFonts w:ascii="Arial" w:hAnsi="Arial" w:cs="Arial"/>
        </w:rPr>
        <w:t>however we intend to publish a corrigendum notice giving further information on the key criteria assessment of this procurement exercise”</w:t>
      </w:r>
      <w:r w:rsidR="0097588D">
        <w:rPr>
          <w:rFonts w:ascii="Arial" w:hAnsi="Arial" w:cs="Arial"/>
        </w:rPr>
        <w:t>.</w:t>
      </w:r>
      <w:r w:rsidR="0097588D">
        <w:rPr>
          <w:rStyle w:val="FootnoteReference"/>
          <w:rFonts w:ascii="Arial" w:hAnsi="Arial" w:cs="Arial"/>
        </w:rPr>
        <w:footnoteReference w:id="52"/>
      </w:r>
    </w:p>
    <w:p w14:paraId="5043DF06" w14:textId="73CC36F7" w:rsidR="00362638" w:rsidRDefault="00362638" w:rsidP="00362638">
      <w:pPr>
        <w:pStyle w:val="ListParagraph"/>
        <w:numPr>
          <w:ilvl w:val="0"/>
          <w:numId w:val="2"/>
        </w:numPr>
        <w:spacing w:line="276" w:lineRule="auto"/>
        <w:ind w:left="567" w:hanging="567"/>
        <w:contextualSpacing w:val="0"/>
        <w:rPr>
          <w:rFonts w:ascii="Arial" w:hAnsi="Arial" w:cs="Arial"/>
        </w:rPr>
      </w:pPr>
      <w:r w:rsidRPr="00951842">
        <w:rPr>
          <w:rFonts w:ascii="Arial" w:hAnsi="Arial" w:cs="Arial"/>
        </w:rPr>
        <w:t xml:space="preserve">Consistent with the Panel’s </w:t>
      </w:r>
      <w:r>
        <w:rPr>
          <w:rFonts w:ascii="Arial" w:hAnsi="Arial" w:cs="Arial"/>
        </w:rPr>
        <w:t xml:space="preserve">conclusions and </w:t>
      </w:r>
      <w:r w:rsidRPr="00951842">
        <w:rPr>
          <w:rFonts w:ascii="Arial" w:hAnsi="Arial" w:cs="Arial"/>
        </w:rPr>
        <w:t>findings set out in Sections 7.2.</w:t>
      </w:r>
      <w:r w:rsidR="00E01A49">
        <w:rPr>
          <w:rFonts w:ascii="Arial" w:hAnsi="Arial" w:cs="Arial"/>
        </w:rPr>
        <w:t>4</w:t>
      </w:r>
      <w:r w:rsidRPr="00951842">
        <w:rPr>
          <w:rFonts w:ascii="Arial" w:hAnsi="Arial" w:cs="Arial"/>
        </w:rPr>
        <w:t xml:space="preserve"> and 7.2.</w:t>
      </w:r>
      <w:r w:rsidR="00CE01B8">
        <w:rPr>
          <w:rFonts w:ascii="Arial" w:hAnsi="Arial" w:cs="Arial"/>
        </w:rPr>
        <w:t>7</w:t>
      </w:r>
      <w:r w:rsidRPr="00951842">
        <w:rPr>
          <w:rFonts w:ascii="Arial" w:hAnsi="Arial" w:cs="Arial"/>
        </w:rPr>
        <w:t>, the Panel considers that the additional statement published by HNY ICB in relation to decision makers’ reasons for selecting the chosen provider was not sufficient to meet the requirements of the PSR regulations, and in particular Regulations 11(10) and Schedule 10.</w:t>
      </w:r>
      <w:r w:rsidR="00E812EA">
        <w:rPr>
          <w:rFonts w:ascii="Arial" w:hAnsi="Arial" w:cs="Arial"/>
        </w:rPr>
        <w:t xml:space="preserve"> As a result, the Panel finds that </w:t>
      </w:r>
      <w:r w:rsidR="00782EDD">
        <w:rPr>
          <w:rFonts w:ascii="Arial" w:hAnsi="Arial" w:cs="Arial"/>
        </w:rPr>
        <w:t xml:space="preserve">HNY ICB </w:t>
      </w:r>
      <w:r w:rsidR="00234453">
        <w:rPr>
          <w:rFonts w:ascii="Arial" w:hAnsi="Arial" w:cs="Arial"/>
        </w:rPr>
        <w:t xml:space="preserve">breached the PSR regulations </w:t>
      </w:r>
      <w:r w:rsidR="00830D66">
        <w:rPr>
          <w:rFonts w:ascii="Arial" w:hAnsi="Arial" w:cs="Arial"/>
        </w:rPr>
        <w:t xml:space="preserve">by not including a statement explaining the </w:t>
      </w:r>
      <w:r w:rsidR="001869A5">
        <w:rPr>
          <w:rFonts w:ascii="Arial" w:hAnsi="Arial" w:cs="Arial"/>
        </w:rPr>
        <w:t>ICB’s</w:t>
      </w:r>
      <w:r w:rsidR="00830D66">
        <w:rPr>
          <w:rFonts w:ascii="Arial" w:hAnsi="Arial" w:cs="Arial"/>
        </w:rPr>
        <w:t xml:space="preserve"> reasons for selecting the chosen providers </w:t>
      </w:r>
      <w:r w:rsidR="001869A5">
        <w:rPr>
          <w:rFonts w:ascii="Arial" w:hAnsi="Arial" w:cs="Arial"/>
        </w:rPr>
        <w:t>contrary</w:t>
      </w:r>
      <w:r w:rsidR="00830D66">
        <w:rPr>
          <w:rFonts w:ascii="Arial" w:hAnsi="Arial" w:cs="Arial"/>
        </w:rPr>
        <w:t xml:space="preserve"> to the </w:t>
      </w:r>
      <w:r w:rsidR="001869A5">
        <w:rPr>
          <w:rFonts w:ascii="Arial" w:hAnsi="Arial" w:cs="Arial"/>
        </w:rPr>
        <w:t xml:space="preserve">requirements of </w:t>
      </w:r>
      <w:r w:rsidR="00830D66">
        <w:rPr>
          <w:rFonts w:ascii="Arial" w:hAnsi="Arial" w:cs="Arial"/>
        </w:rPr>
        <w:t>Regulation 11(10)</w:t>
      </w:r>
      <w:r w:rsidR="000D79D9">
        <w:rPr>
          <w:rFonts w:ascii="Arial" w:hAnsi="Arial" w:cs="Arial"/>
        </w:rPr>
        <w:t xml:space="preserve"> and Schedule 10</w:t>
      </w:r>
      <w:r w:rsidR="002D5644">
        <w:rPr>
          <w:rFonts w:ascii="Arial" w:hAnsi="Arial" w:cs="Arial"/>
        </w:rPr>
        <w:t>.</w:t>
      </w:r>
    </w:p>
    <w:p w14:paraId="5542DB05" w14:textId="0002736B" w:rsidR="00C83DB5" w:rsidRDefault="006E3EC8" w:rsidP="00D86EF2">
      <w:pPr>
        <w:pStyle w:val="ListParagraph"/>
        <w:numPr>
          <w:ilvl w:val="0"/>
          <w:numId w:val="2"/>
        </w:numPr>
        <w:spacing w:line="276" w:lineRule="auto"/>
        <w:ind w:left="567" w:hanging="567"/>
        <w:contextualSpacing w:val="0"/>
        <w:rPr>
          <w:rFonts w:ascii="Arial" w:hAnsi="Arial" w:cs="Arial"/>
        </w:rPr>
      </w:pPr>
      <w:r>
        <w:rPr>
          <w:rFonts w:ascii="Arial" w:hAnsi="Arial" w:cs="Arial"/>
        </w:rPr>
        <w:t>HNY ICB</w:t>
      </w:r>
      <w:r w:rsidR="00326233">
        <w:rPr>
          <w:rFonts w:ascii="Arial" w:hAnsi="Arial" w:cs="Arial"/>
        </w:rPr>
        <w:t xml:space="preserve"> also </w:t>
      </w:r>
      <w:r w:rsidR="00362638" w:rsidRPr="009A409E">
        <w:rPr>
          <w:rFonts w:ascii="Arial" w:hAnsi="Arial" w:cs="Arial"/>
        </w:rPr>
        <w:t>told Clarendon</w:t>
      </w:r>
      <w:r w:rsidR="009A409E" w:rsidRPr="009A409E">
        <w:rPr>
          <w:rFonts w:ascii="Arial" w:hAnsi="Arial" w:cs="Arial"/>
        </w:rPr>
        <w:t xml:space="preserve"> in further correspondence</w:t>
      </w:r>
      <w:r w:rsidR="00EF613D">
        <w:rPr>
          <w:rFonts w:ascii="Arial" w:hAnsi="Arial" w:cs="Arial"/>
        </w:rPr>
        <w:t>,</w:t>
      </w:r>
      <w:r w:rsidR="009A409E" w:rsidRPr="009A409E">
        <w:rPr>
          <w:rFonts w:ascii="Arial" w:hAnsi="Arial" w:cs="Arial"/>
        </w:rPr>
        <w:t xml:space="preserve"> following the </w:t>
      </w:r>
      <w:r w:rsidR="00EF613D">
        <w:rPr>
          <w:rFonts w:ascii="Arial" w:hAnsi="Arial" w:cs="Arial"/>
        </w:rPr>
        <w:t>further</w:t>
      </w:r>
      <w:r w:rsidR="00EF613D" w:rsidRPr="009A409E">
        <w:rPr>
          <w:rFonts w:ascii="Arial" w:hAnsi="Arial" w:cs="Arial"/>
        </w:rPr>
        <w:t xml:space="preserve"> </w:t>
      </w:r>
      <w:r w:rsidR="009A409E" w:rsidRPr="009A409E">
        <w:rPr>
          <w:rFonts w:ascii="Arial" w:hAnsi="Arial" w:cs="Arial"/>
        </w:rPr>
        <w:t>decision letter</w:t>
      </w:r>
      <w:r w:rsidR="00EF613D">
        <w:rPr>
          <w:rFonts w:ascii="Arial" w:hAnsi="Arial" w:cs="Arial"/>
        </w:rPr>
        <w:t>,</w:t>
      </w:r>
      <w:r w:rsidR="009A409E" w:rsidRPr="009A409E">
        <w:rPr>
          <w:rFonts w:ascii="Arial" w:hAnsi="Arial" w:cs="Arial"/>
        </w:rPr>
        <w:t xml:space="preserve"> that</w:t>
      </w:r>
      <w:r w:rsidR="00326233">
        <w:rPr>
          <w:rFonts w:ascii="Arial" w:hAnsi="Arial" w:cs="Arial"/>
        </w:rPr>
        <w:t xml:space="preserve"> in relation to conflicts of interest, “</w:t>
      </w:r>
      <w:r w:rsidR="00394252">
        <w:rPr>
          <w:rFonts w:ascii="Arial" w:hAnsi="Arial" w:cs="Arial"/>
        </w:rPr>
        <w:t>You raise further issues about the level of detail given around management of conflicts of interest</w:t>
      </w:r>
      <w:r w:rsidR="000820E9">
        <w:rPr>
          <w:rFonts w:ascii="Arial" w:hAnsi="Arial" w:cs="Arial"/>
        </w:rPr>
        <w:t xml:space="preserve"> in the notice</w:t>
      </w:r>
      <w:r w:rsidR="00DA17EC">
        <w:rPr>
          <w:rFonts w:ascii="Arial" w:hAnsi="Arial" w:cs="Arial"/>
        </w:rPr>
        <w:t xml:space="preserve">, and on further </w:t>
      </w:r>
      <w:r w:rsidR="00DA17EC">
        <w:rPr>
          <w:rFonts w:ascii="Arial" w:hAnsi="Arial" w:cs="Arial"/>
        </w:rPr>
        <w:lastRenderedPageBreak/>
        <w:t>consideration we intend to publish a corrigendum notice giving further information on the management of conflicts of interest relating to this procurement exercise. For the avoidance of doubt</w:t>
      </w:r>
      <w:r w:rsidR="00B052A7">
        <w:rPr>
          <w:rFonts w:ascii="Arial" w:hAnsi="Arial" w:cs="Arial"/>
        </w:rPr>
        <w:t>, there were no conflicts of interest which in any way affected the outcome of the procurement exercise</w:t>
      </w:r>
      <w:r w:rsidR="00504ADE">
        <w:rPr>
          <w:rFonts w:ascii="Arial" w:hAnsi="Arial" w:cs="Arial"/>
        </w:rPr>
        <w:t>”.</w:t>
      </w:r>
      <w:r w:rsidR="003521A8">
        <w:rPr>
          <w:rStyle w:val="FootnoteReference"/>
          <w:rFonts w:ascii="Arial" w:hAnsi="Arial" w:cs="Arial"/>
        </w:rPr>
        <w:footnoteReference w:id="53"/>
      </w:r>
    </w:p>
    <w:p w14:paraId="511B3964" w14:textId="53166A05" w:rsidR="0084397D" w:rsidRDefault="00FA301C" w:rsidP="00D86EF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HNY ICB </w:t>
      </w:r>
      <w:r w:rsidR="00982597">
        <w:rPr>
          <w:rFonts w:ascii="Arial" w:hAnsi="Arial" w:cs="Arial"/>
        </w:rPr>
        <w:t>concluded its 7 March 2025 letter to Clarendon</w:t>
      </w:r>
      <w:r w:rsidR="000A01B1">
        <w:rPr>
          <w:rFonts w:ascii="Arial" w:hAnsi="Arial" w:cs="Arial"/>
        </w:rPr>
        <w:t>’s legal representatives</w:t>
      </w:r>
      <w:r w:rsidR="00982597">
        <w:rPr>
          <w:rFonts w:ascii="Arial" w:hAnsi="Arial" w:cs="Arial"/>
        </w:rPr>
        <w:t xml:space="preserve"> by saying “To allow time for your client</w:t>
      </w:r>
      <w:r w:rsidR="000A01B1">
        <w:rPr>
          <w:rFonts w:ascii="Arial" w:hAnsi="Arial" w:cs="Arial"/>
        </w:rPr>
        <w:t xml:space="preserve"> to review the information provided, we confirm that we are extending the Standstill Period until 5.00pm</w:t>
      </w:r>
      <w:r w:rsidR="00607839">
        <w:rPr>
          <w:rFonts w:ascii="Arial" w:hAnsi="Arial" w:cs="Arial"/>
        </w:rPr>
        <w:t xml:space="preserve"> Tuesday, 18 March 2025</w:t>
      </w:r>
      <w:r w:rsidR="000D675C">
        <w:rPr>
          <w:rFonts w:ascii="Arial" w:hAnsi="Arial" w:cs="Arial"/>
        </w:rPr>
        <w:t>”</w:t>
      </w:r>
      <w:r w:rsidR="00607839">
        <w:rPr>
          <w:rFonts w:ascii="Arial" w:hAnsi="Arial" w:cs="Arial"/>
        </w:rPr>
        <w:t>.</w:t>
      </w:r>
      <w:r w:rsidR="000D675C">
        <w:rPr>
          <w:rStyle w:val="FootnoteReference"/>
          <w:rFonts w:ascii="Arial" w:hAnsi="Arial" w:cs="Arial"/>
        </w:rPr>
        <w:footnoteReference w:id="54"/>
      </w:r>
      <w:r w:rsidR="00E6297E">
        <w:rPr>
          <w:rFonts w:ascii="Arial" w:hAnsi="Arial" w:cs="Arial"/>
        </w:rPr>
        <w:t xml:space="preserve"> </w:t>
      </w:r>
    </w:p>
    <w:p w14:paraId="36A045A4" w14:textId="33B39A81" w:rsidR="00277899" w:rsidRDefault="009D68FF" w:rsidP="009D68F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w:t>
      </w:r>
      <w:r w:rsidR="000E3817">
        <w:rPr>
          <w:rFonts w:ascii="Arial" w:hAnsi="Arial" w:cs="Arial"/>
        </w:rPr>
        <w:t>notes that</w:t>
      </w:r>
      <w:r w:rsidR="00E42E0A">
        <w:rPr>
          <w:rFonts w:ascii="Arial" w:hAnsi="Arial" w:cs="Arial"/>
        </w:rPr>
        <w:t xml:space="preserve"> </w:t>
      </w:r>
      <w:r w:rsidR="00506F8C">
        <w:rPr>
          <w:rFonts w:ascii="Arial" w:hAnsi="Arial" w:cs="Arial"/>
        </w:rPr>
        <w:t xml:space="preserve">HNY ICB </w:t>
      </w:r>
      <w:r w:rsidR="00277899">
        <w:rPr>
          <w:rFonts w:ascii="Arial" w:hAnsi="Arial" w:cs="Arial"/>
        </w:rPr>
        <w:t>by publishing this corrigendum with substantive new information</w:t>
      </w:r>
      <w:r w:rsidR="00277899">
        <w:rPr>
          <w:rStyle w:val="FootnoteReference"/>
          <w:rFonts w:ascii="Arial" w:hAnsi="Arial" w:cs="Arial"/>
        </w:rPr>
        <w:footnoteReference w:id="55"/>
      </w:r>
      <w:r w:rsidR="00277899">
        <w:rPr>
          <w:rFonts w:ascii="Arial" w:hAnsi="Arial" w:cs="Arial"/>
        </w:rPr>
        <w:t xml:space="preserve"> following Clarendon’s representations, returned to an earlier step in the provider selection process. Having decided to return to </w:t>
      </w:r>
      <w:r w:rsidR="00277899" w:rsidRPr="004E6AAB">
        <w:rPr>
          <w:rFonts w:ascii="Arial" w:hAnsi="Arial" w:cs="Arial"/>
        </w:rPr>
        <w:t xml:space="preserve">an earlier step in the </w:t>
      </w:r>
      <w:r w:rsidR="00D52521">
        <w:rPr>
          <w:rFonts w:ascii="Arial" w:hAnsi="Arial" w:cs="Arial"/>
        </w:rPr>
        <w:t>provider</w:t>
      </w:r>
      <w:r w:rsidR="00277899" w:rsidRPr="004E6AAB">
        <w:rPr>
          <w:rFonts w:ascii="Arial" w:hAnsi="Arial" w:cs="Arial"/>
        </w:rPr>
        <w:t xml:space="preserve"> selection process, HNY ICB was obliged, under the terms of Regulation 12(4), to repeat the subsequent steps in the provider selection process. In this case, the subsequent steps should have involved re-starting the standstill period after the corrigendum was published for a period of eight working days to allow all unsuccessful bidders</w:t>
      </w:r>
      <w:r w:rsidR="00D8581E">
        <w:rPr>
          <w:rFonts w:ascii="Arial" w:hAnsi="Arial" w:cs="Arial"/>
        </w:rPr>
        <w:t>, not just Clarendon,</w:t>
      </w:r>
      <w:r w:rsidR="00277899" w:rsidRPr="004E6AAB">
        <w:rPr>
          <w:rFonts w:ascii="Arial" w:hAnsi="Arial" w:cs="Arial"/>
        </w:rPr>
        <w:t xml:space="preserve"> the opportunity to make further representations based on the revised notice of intention.</w:t>
      </w:r>
    </w:p>
    <w:p w14:paraId="48CD945B" w14:textId="47EFFFAD" w:rsidR="005F72BD" w:rsidRDefault="00BC2C23" w:rsidP="0095184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As </w:t>
      </w:r>
      <w:r w:rsidR="00AC41A6">
        <w:rPr>
          <w:rFonts w:ascii="Arial" w:hAnsi="Arial" w:cs="Arial"/>
        </w:rPr>
        <w:t xml:space="preserve">set out in Section 7.2.7, the Panel finds that HNY ICB </w:t>
      </w:r>
      <w:r w:rsidR="00882174">
        <w:rPr>
          <w:rFonts w:ascii="Arial" w:hAnsi="Arial" w:cs="Arial"/>
        </w:rPr>
        <w:t xml:space="preserve">breached the PSR regulations </w:t>
      </w:r>
      <w:r w:rsidR="005F72BD" w:rsidRPr="00341D87">
        <w:rPr>
          <w:rFonts w:ascii="Arial" w:hAnsi="Arial" w:cs="Arial"/>
        </w:rPr>
        <w:t>by returning to an earlier step in the provider selection process</w:t>
      </w:r>
      <w:r w:rsidR="005F72BD">
        <w:rPr>
          <w:rFonts w:ascii="Arial" w:hAnsi="Arial" w:cs="Arial"/>
        </w:rPr>
        <w:t>,</w:t>
      </w:r>
      <w:r w:rsidR="005F72BD" w:rsidRPr="00341D87">
        <w:rPr>
          <w:rFonts w:ascii="Arial" w:hAnsi="Arial" w:cs="Arial"/>
        </w:rPr>
        <w:t xml:space="preserve"> through making a substantive correction to the notice of intention </w:t>
      </w:r>
      <w:r w:rsidR="005F72BD">
        <w:rPr>
          <w:rFonts w:ascii="Arial" w:hAnsi="Arial" w:cs="Arial"/>
        </w:rPr>
        <w:t xml:space="preserve">via the corrigendum of 7 March 2025, </w:t>
      </w:r>
      <w:r w:rsidR="005F72BD" w:rsidRPr="00341D87">
        <w:rPr>
          <w:rFonts w:ascii="Arial" w:hAnsi="Arial" w:cs="Arial"/>
        </w:rPr>
        <w:t xml:space="preserve">and not repeating the subsequent steps in the </w:t>
      </w:r>
      <w:r w:rsidR="005F72BD">
        <w:rPr>
          <w:rFonts w:ascii="Arial" w:hAnsi="Arial" w:cs="Arial"/>
        </w:rPr>
        <w:t xml:space="preserve">provider </w:t>
      </w:r>
      <w:r w:rsidR="005F72BD" w:rsidRPr="00341D87">
        <w:rPr>
          <w:rFonts w:ascii="Arial" w:hAnsi="Arial" w:cs="Arial"/>
        </w:rPr>
        <w:t>selection process</w:t>
      </w:r>
      <w:r w:rsidR="005F72BD">
        <w:rPr>
          <w:rFonts w:ascii="Arial" w:hAnsi="Arial" w:cs="Arial"/>
        </w:rPr>
        <w:t xml:space="preserve"> (contrary to the requirements of </w:t>
      </w:r>
      <w:r w:rsidR="005F72BD" w:rsidRPr="00341D87">
        <w:rPr>
          <w:rFonts w:ascii="Arial" w:hAnsi="Arial" w:cs="Arial"/>
        </w:rPr>
        <w:t>Regulation 12(4)</w:t>
      </w:r>
      <w:r w:rsidR="005F72BD">
        <w:rPr>
          <w:rFonts w:ascii="Arial" w:hAnsi="Arial" w:cs="Arial"/>
        </w:rPr>
        <w:t>)</w:t>
      </w:r>
      <w:r w:rsidR="00882174">
        <w:rPr>
          <w:rFonts w:ascii="Arial" w:hAnsi="Arial" w:cs="Arial"/>
        </w:rPr>
        <w:t>.</w:t>
      </w:r>
    </w:p>
    <w:p w14:paraId="1BBDA588" w14:textId="5DBCFFC4" w:rsidR="00BC240C" w:rsidRPr="00F93DDE" w:rsidRDefault="00DA533E" w:rsidP="00F93DDE">
      <w:pPr>
        <w:pStyle w:val="Heading2"/>
        <w:numPr>
          <w:ilvl w:val="1"/>
          <w:numId w:val="1"/>
        </w:numPr>
        <w:spacing w:before="240" w:after="160"/>
        <w:ind w:left="0" w:firstLine="0"/>
        <w:rPr>
          <w:rFonts w:ascii="Arial" w:hAnsi="Arial" w:cs="Arial"/>
          <w:b/>
          <w:color w:val="000000" w:themeColor="text1"/>
          <w:sz w:val="24"/>
          <w:szCs w:val="24"/>
        </w:rPr>
      </w:pPr>
      <w:bookmarkStart w:id="54" w:name="_Toc198745115"/>
      <w:r>
        <w:rPr>
          <w:rFonts w:ascii="Arial" w:hAnsi="Arial" w:cs="Arial"/>
          <w:b/>
          <w:color w:val="000000" w:themeColor="text1"/>
          <w:sz w:val="24"/>
          <w:szCs w:val="24"/>
        </w:rPr>
        <w:t xml:space="preserve">HNY ICB’s </w:t>
      </w:r>
      <w:r w:rsidR="00BC240C" w:rsidRPr="00F93DDE">
        <w:rPr>
          <w:rFonts w:ascii="Arial" w:hAnsi="Arial" w:cs="Arial"/>
          <w:b/>
          <w:color w:val="000000" w:themeColor="text1"/>
          <w:sz w:val="24"/>
          <w:szCs w:val="24"/>
        </w:rPr>
        <w:t xml:space="preserve">review </w:t>
      </w:r>
      <w:r w:rsidR="00992500">
        <w:rPr>
          <w:rFonts w:ascii="Arial" w:hAnsi="Arial" w:cs="Arial"/>
          <w:b/>
          <w:color w:val="000000" w:themeColor="text1"/>
          <w:sz w:val="24"/>
          <w:szCs w:val="24"/>
        </w:rPr>
        <w:t>of Clarendon’s representations</w:t>
      </w:r>
      <w:bookmarkEnd w:id="54"/>
    </w:p>
    <w:p w14:paraId="5584159E" w14:textId="40BD28E8" w:rsidR="00BC240C" w:rsidRDefault="00017FEF" w:rsidP="00BC240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Clarendon </w:t>
      </w:r>
      <w:r w:rsidR="00AE7FF4">
        <w:rPr>
          <w:rFonts w:ascii="Arial" w:hAnsi="Arial" w:cs="Arial"/>
        </w:rPr>
        <w:t xml:space="preserve">has raised </w:t>
      </w:r>
      <w:r>
        <w:rPr>
          <w:rFonts w:ascii="Arial" w:hAnsi="Arial" w:cs="Arial"/>
        </w:rPr>
        <w:t>concerns about HNY ICB’s review of</w:t>
      </w:r>
      <w:r w:rsidR="008E09DA">
        <w:rPr>
          <w:rFonts w:ascii="Arial" w:hAnsi="Arial" w:cs="Arial"/>
        </w:rPr>
        <w:t xml:space="preserve"> its representations</w:t>
      </w:r>
      <w:r w:rsidR="00065BC5">
        <w:rPr>
          <w:rFonts w:ascii="Arial" w:hAnsi="Arial" w:cs="Arial"/>
        </w:rPr>
        <w:t xml:space="preserve"> to the ICB. Clarendon told the Panel that </w:t>
      </w:r>
      <w:r w:rsidR="00C646D7" w:rsidRPr="00186570">
        <w:rPr>
          <w:rFonts w:ascii="Arial" w:hAnsi="Arial" w:cs="Arial"/>
        </w:rPr>
        <w:t>HNY ICB’s review of its contract award decision had assessed the information Clarendon had provided in its representations, but had only focused on setting out the reasons for not awarding the contract to Clarendon</w:t>
      </w:r>
      <w:r w:rsidR="00126585">
        <w:rPr>
          <w:rFonts w:ascii="Arial" w:hAnsi="Arial" w:cs="Arial"/>
        </w:rPr>
        <w:t>.</w:t>
      </w:r>
      <w:r w:rsidR="007E006B">
        <w:rPr>
          <w:rFonts w:ascii="Arial" w:hAnsi="Arial" w:cs="Arial"/>
        </w:rPr>
        <w:t xml:space="preserve"> Clarendon is concerned that this </w:t>
      </w:r>
      <w:r w:rsidR="0087257E">
        <w:rPr>
          <w:rFonts w:ascii="Arial" w:hAnsi="Arial" w:cs="Arial"/>
        </w:rPr>
        <w:t xml:space="preserve">is in breach of Regulation </w:t>
      </w:r>
      <w:r w:rsidR="00C646D7" w:rsidRPr="00186570">
        <w:rPr>
          <w:rFonts w:ascii="Arial" w:hAnsi="Arial" w:cs="Arial"/>
        </w:rPr>
        <w:t xml:space="preserve">12(4)(c), </w:t>
      </w:r>
      <w:r w:rsidR="0087257E">
        <w:rPr>
          <w:rFonts w:ascii="Arial" w:hAnsi="Arial" w:cs="Arial"/>
        </w:rPr>
        <w:t>which requires HNY ICB to “</w:t>
      </w:r>
      <w:r w:rsidR="00E776AE">
        <w:rPr>
          <w:rFonts w:ascii="Arial" w:hAnsi="Arial" w:cs="Arial"/>
        </w:rPr>
        <w:t>review the decision to award the contract … taking into account the representations made”.</w:t>
      </w:r>
    </w:p>
    <w:p w14:paraId="0F17E40B" w14:textId="502107A2" w:rsidR="0099759A" w:rsidRPr="008D7FFA" w:rsidRDefault="00E21FA2">
      <w:pPr>
        <w:pStyle w:val="ListParagraph"/>
        <w:numPr>
          <w:ilvl w:val="0"/>
          <w:numId w:val="2"/>
        </w:numPr>
        <w:spacing w:line="276" w:lineRule="auto"/>
        <w:ind w:left="567" w:hanging="567"/>
        <w:contextualSpacing w:val="0"/>
        <w:rPr>
          <w:rFonts w:ascii="Arial" w:hAnsi="Arial" w:cs="Arial"/>
        </w:rPr>
      </w:pPr>
      <w:r w:rsidRPr="008D7FFA">
        <w:rPr>
          <w:rFonts w:ascii="Arial" w:hAnsi="Arial" w:cs="Arial"/>
        </w:rPr>
        <w:t xml:space="preserve">The Panel notes that </w:t>
      </w:r>
      <w:r w:rsidR="00581501" w:rsidRPr="008D7FFA">
        <w:rPr>
          <w:rFonts w:ascii="Arial" w:hAnsi="Arial" w:cs="Arial"/>
        </w:rPr>
        <w:t>HNY</w:t>
      </w:r>
      <w:r w:rsidR="00564924" w:rsidRPr="008D7FFA">
        <w:rPr>
          <w:rFonts w:ascii="Arial" w:hAnsi="Arial" w:cs="Arial"/>
        </w:rPr>
        <w:t xml:space="preserve"> ICB</w:t>
      </w:r>
      <w:r w:rsidR="00586E34" w:rsidRPr="008D7FFA">
        <w:rPr>
          <w:rFonts w:ascii="Arial" w:hAnsi="Arial" w:cs="Arial"/>
        </w:rPr>
        <w:t xml:space="preserve">, </w:t>
      </w:r>
      <w:r w:rsidR="00A46B0F" w:rsidRPr="008D7FFA">
        <w:rPr>
          <w:rFonts w:ascii="Arial" w:hAnsi="Arial" w:cs="Arial"/>
        </w:rPr>
        <w:t>when</w:t>
      </w:r>
      <w:r w:rsidR="00586E34" w:rsidRPr="008D7FFA">
        <w:rPr>
          <w:rFonts w:ascii="Arial" w:hAnsi="Arial" w:cs="Arial"/>
        </w:rPr>
        <w:t xml:space="preserve"> responding to </w:t>
      </w:r>
      <w:r w:rsidR="000F6D33" w:rsidRPr="008D7FFA">
        <w:rPr>
          <w:rFonts w:ascii="Arial" w:hAnsi="Arial" w:cs="Arial"/>
        </w:rPr>
        <w:t>Clarendon’s</w:t>
      </w:r>
      <w:r w:rsidR="00586E34" w:rsidRPr="008D7FFA">
        <w:rPr>
          <w:rFonts w:ascii="Arial" w:hAnsi="Arial" w:cs="Arial"/>
        </w:rPr>
        <w:t xml:space="preserve"> representations,</w:t>
      </w:r>
      <w:r w:rsidR="00581501" w:rsidRPr="008D7FFA">
        <w:rPr>
          <w:rFonts w:ascii="Arial" w:hAnsi="Arial" w:cs="Arial"/>
        </w:rPr>
        <w:t xml:space="preserve"> </w:t>
      </w:r>
      <w:r w:rsidR="00A46B0F" w:rsidRPr="008D7FFA">
        <w:rPr>
          <w:rFonts w:ascii="Arial" w:hAnsi="Arial" w:cs="Arial"/>
        </w:rPr>
        <w:t xml:space="preserve">set out its response </w:t>
      </w:r>
      <w:r w:rsidR="00E24776" w:rsidRPr="008D7FFA">
        <w:rPr>
          <w:rFonts w:ascii="Arial" w:hAnsi="Arial" w:cs="Arial"/>
        </w:rPr>
        <w:t xml:space="preserve">under the same six headings into which Clarendon had summarised its concerns </w:t>
      </w:r>
      <w:r w:rsidR="008D7FFA" w:rsidRPr="008D7FFA">
        <w:rPr>
          <w:rFonts w:ascii="Arial" w:hAnsi="Arial" w:cs="Arial"/>
        </w:rPr>
        <w:t xml:space="preserve">in </w:t>
      </w:r>
      <w:r w:rsidR="005B4AC5" w:rsidRPr="008D7FFA">
        <w:rPr>
          <w:rFonts w:ascii="Arial" w:hAnsi="Arial" w:cs="Arial"/>
        </w:rPr>
        <w:t>Appendix A</w:t>
      </w:r>
      <w:r w:rsidR="008D7FFA" w:rsidRPr="008D7FFA">
        <w:rPr>
          <w:rFonts w:ascii="Arial" w:hAnsi="Arial" w:cs="Arial"/>
        </w:rPr>
        <w:t xml:space="preserve"> to its representations.</w:t>
      </w:r>
      <w:r w:rsidR="008D7FFA">
        <w:rPr>
          <w:rStyle w:val="FootnoteReference"/>
          <w:rFonts w:ascii="Arial" w:hAnsi="Arial" w:cs="Arial"/>
        </w:rPr>
        <w:footnoteReference w:id="56"/>
      </w:r>
      <w:r w:rsidR="00766FC1">
        <w:rPr>
          <w:rFonts w:ascii="Arial" w:hAnsi="Arial" w:cs="Arial"/>
        </w:rPr>
        <w:t xml:space="preserve"> Clarendon </w:t>
      </w:r>
      <w:r w:rsidR="006B173F">
        <w:rPr>
          <w:rFonts w:ascii="Arial" w:hAnsi="Arial" w:cs="Arial"/>
        </w:rPr>
        <w:t>replied</w:t>
      </w:r>
      <w:r w:rsidR="00766FC1">
        <w:rPr>
          <w:rFonts w:ascii="Arial" w:hAnsi="Arial" w:cs="Arial"/>
        </w:rPr>
        <w:t xml:space="preserve"> </w:t>
      </w:r>
      <w:r w:rsidR="006B173F">
        <w:rPr>
          <w:rFonts w:ascii="Arial" w:hAnsi="Arial" w:cs="Arial"/>
        </w:rPr>
        <w:t xml:space="preserve">to </w:t>
      </w:r>
      <w:r w:rsidR="005962C7">
        <w:rPr>
          <w:rFonts w:ascii="Arial" w:hAnsi="Arial" w:cs="Arial"/>
        </w:rPr>
        <w:t>HNY ICB</w:t>
      </w:r>
      <w:r w:rsidR="00773279">
        <w:rPr>
          <w:rFonts w:ascii="Arial" w:hAnsi="Arial" w:cs="Arial"/>
        </w:rPr>
        <w:t xml:space="preserve"> saying that the ICB’s response did not address Clarendon’s </w:t>
      </w:r>
      <w:r w:rsidR="00A32638">
        <w:rPr>
          <w:rFonts w:ascii="Arial" w:hAnsi="Arial" w:cs="Arial"/>
        </w:rPr>
        <w:t xml:space="preserve">full </w:t>
      </w:r>
      <w:r w:rsidR="00773279">
        <w:rPr>
          <w:rFonts w:ascii="Arial" w:hAnsi="Arial" w:cs="Arial"/>
        </w:rPr>
        <w:t>representations</w:t>
      </w:r>
      <w:r w:rsidR="009B62F1">
        <w:rPr>
          <w:rFonts w:ascii="Arial" w:hAnsi="Arial" w:cs="Arial"/>
        </w:rPr>
        <w:t xml:space="preserve"> but only those set out in Appendix A</w:t>
      </w:r>
      <w:r w:rsidR="00C4252E">
        <w:rPr>
          <w:rFonts w:ascii="Arial" w:hAnsi="Arial" w:cs="Arial"/>
        </w:rPr>
        <w:t xml:space="preserve">, and asking </w:t>
      </w:r>
      <w:r w:rsidR="009A2E71">
        <w:rPr>
          <w:rFonts w:ascii="Arial" w:hAnsi="Arial" w:cs="Arial"/>
        </w:rPr>
        <w:t xml:space="preserve">the ICB to confirm </w:t>
      </w:r>
      <w:r w:rsidR="00882B46">
        <w:rPr>
          <w:rFonts w:ascii="Arial" w:hAnsi="Arial" w:cs="Arial"/>
        </w:rPr>
        <w:t>that</w:t>
      </w:r>
      <w:r w:rsidR="00EC44E7">
        <w:rPr>
          <w:rFonts w:ascii="Arial" w:hAnsi="Arial" w:cs="Arial"/>
        </w:rPr>
        <w:t xml:space="preserve"> </w:t>
      </w:r>
      <w:r w:rsidR="00C4252E">
        <w:rPr>
          <w:rFonts w:ascii="Arial" w:hAnsi="Arial" w:cs="Arial"/>
        </w:rPr>
        <w:t xml:space="preserve">the ICB review panel had reviewed and considered </w:t>
      </w:r>
      <w:r w:rsidR="0018784F">
        <w:rPr>
          <w:rFonts w:ascii="Arial" w:hAnsi="Arial" w:cs="Arial"/>
        </w:rPr>
        <w:t>Clarendon’s</w:t>
      </w:r>
      <w:r w:rsidR="00C4252E">
        <w:rPr>
          <w:rFonts w:ascii="Arial" w:hAnsi="Arial" w:cs="Arial"/>
        </w:rPr>
        <w:t xml:space="preserve"> representations</w:t>
      </w:r>
      <w:r w:rsidR="008547E2">
        <w:rPr>
          <w:rFonts w:ascii="Arial" w:hAnsi="Arial" w:cs="Arial"/>
        </w:rPr>
        <w:t xml:space="preserve">, and </w:t>
      </w:r>
      <w:r w:rsidR="009A2E71">
        <w:rPr>
          <w:rFonts w:ascii="Arial" w:hAnsi="Arial" w:cs="Arial"/>
        </w:rPr>
        <w:t xml:space="preserve">that </w:t>
      </w:r>
      <w:r w:rsidR="00E149AA">
        <w:rPr>
          <w:rFonts w:ascii="Arial" w:hAnsi="Arial" w:cs="Arial"/>
        </w:rPr>
        <w:t xml:space="preserve">the ICB’s letter of 4 March </w:t>
      </w:r>
      <w:r w:rsidR="008547E2">
        <w:rPr>
          <w:rFonts w:ascii="Arial" w:hAnsi="Arial" w:cs="Arial"/>
        </w:rPr>
        <w:t>provided their full response</w:t>
      </w:r>
      <w:r w:rsidR="0018784F">
        <w:rPr>
          <w:rFonts w:ascii="Arial" w:hAnsi="Arial" w:cs="Arial"/>
        </w:rPr>
        <w:t>.</w:t>
      </w:r>
      <w:r w:rsidR="0018784F">
        <w:rPr>
          <w:rStyle w:val="FootnoteReference"/>
          <w:rFonts w:ascii="Arial" w:hAnsi="Arial" w:cs="Arial"/>
        </w:rPr>
        <w:footnoteReference w:id="57"/>
      </w:r>
      <w:r w:rsidR="00C35837">
        <w:rPr>
          <w:rFonts w:ascii="Arial" w:hAnsi="Arial" w:cs="Arial"/>
        </w:rPr>
        <w:t xml:space="preserve"> HNY ICB, in turn, replied saying </w:t>
      </w:r>
      <w:r w:rsidR="0029008D">
        <w:rPr>
          <w:rFonts w:ascii="Arial" w:hAnsi="Arial" w:cs="Arial"/>
        </w:rPr>
        <w:t xml:space="preserve">that it had considered all of the points in </w:t>
      </w:r>
      <w:r w:rsidR="008D0C5E">
        <w:rPr>
          <w:rFonts w:ascii="Arial" w:hAnsi="Arial" w:cs="Arial"/>
        </w:rPr>
        <w:t>Clarendon’s representations.</w:t>
      </w:r>
      <w:r w:rsidR="008D0C5E">
        <w:rPr>
          <w:rStyle w:val="FootnoteReference"/>
          <w:rFonts w:ascii="Arial" w:hAnsi="Arial" w:cs="Arial"/>
        </w:rPr>
        <w:footnoteReference w:id="58"/>
      </w:r>
    </w:p>
    <w:p w14:paraId="52DED063" w14:textId="049D516F" w:rsidR="00112123" w:rsidRDefault="00BC6303" w:rsidP="00DA1A1B">
      <w:pPr>
        <w:pStyle w:val="ListParagraph"/>
        <w:numPr>
          <w:ilvl w:val="0"/>
          <w:numId w:val="2"/>
        </w:numPr>
        <w:spacing w:line="276" w:lineRule="auto"/>
        <w:ind w:left="567" w:hanging="567"/>
        <w:contextualSpacing w:val="0"/>
        <w:rPr>
          <w:rFonts w:ascii="Arial" w:hAnsi="Arial" w:cs="Arial"/>
        </w:rPr>
      </w:pPr>
      <w:r w:rsidRPr="00DA1A1B">
        <w:rPr>
          <w:rFonts w:ascii="Arial" w:hAnsi="Arial" w:cs="Arial"/>
        </w:rPr>
        <w:lastRenderedPageBreak/>
        <w:t>HNY ICB</w:t>
      </w:r>
      <w:r w:rsidR="00C01C5E" w:rsidRPr="00DA1A1B">
        <w:rPr>
          <w:rFonts w:ascii="Arial" w:hAnsi="Arial" w:cs="Arial"/>
        </w:rPr>
        <w:t xml:space="preserve"> </w:t>
      </w:r>
      <w:r w:rsidR="006D693F">
        <w:rPr>
          <w:rFonts w:ascii="Arial" w:hAnsi="Arial" w:cs="Arial"/>
        </w:rPr>
        <w:t>told</w:t>
      </w:r>
      <w:r>
        <w:rPr>
          <w:rFonts w:ascii="Arial" w:hAnsi="Arial" w:cs="Arial"/>
        </w:rPr>
        <w:t xml:space="preserve"> the Panel</w:t>
      </w:r>
      <w:r w:rsidR="00B64867">
        <w:rPr>
          <w:rFonts w:ascii="Arial" w:hAnsi="Arial" w:cs="Arial"/>
        </w:rPr>
        <w:t xml:space="preserve"> </w:t>
      </w:r>
      <w:r w:rsidR="00210746" w:rsidRPr="00EF11EC">
        <w:rPr>
          <w:rFonts w:ascii="Arial" w:hAnsi="Arial" w:cs="Arial"/>
        </w:rPr>
        <w:t xml:space="preserve">during this review </w:t>
      </w:r>
      <w:r w:rsidR="00B64867" w:rsidRPr="00EF11EC">
        <w:rPr>
          <w:rFonts w:ascii="Arial" w:hAnsi="Arial" w:cs="Arial"/>
        </w:rPr>
        <w:t>that</w:t>
      </w:r>
      <w:r w:rsidR="00B64867" w:rsidRPr="00DA1A1B">
        <w:rPr>
          <w:rFonts w:ascii="Arial" w:hAnsi="Arial" w:cs="Arial"/>
        </w:rPr>
        <w:t xml:space="preserve"> </w:t>
      </w:r>
      <w:r w:rsidR="0028758D" w:rsidRPr="00DA1A1B">
        <w:rPr>
          <w:rFonts w:ascii="Arial" w:hAnsi="Arial" w:cs="Arial"/>
        </w:rPr>
        <w:t xml:space="preserve">it had convened an </w:t>
      </w:r>
      <w:r w:rsidR="00B064E6" w:rsidRPr="00DA1A1B">
        <w:rPr>
          <w:rFonts w:ascii="Arial" w:hAnsi="Arial" w:cs="Arial"/>
        </w:rPr>
        <w:t>internal panel</w:t>
      </w:r>
      <w:r w:rsidR="00286D67" w:rsidRPr="00DA1A1B">
        <w:rPr>
          <w:rFonts w:ascii="Arial" w:hAnsi="Arial" w:cs="Arial"/>
        </w:rPr>
        <w:t xml:space="preserve"> to consider </w:t>
      </w:r>
      <w:r w:rsidR="00112123" w:rsidRPr="00DA1A1B">
        <w:rPr>
          <w:rFonts w:ascii="Arial" w:hAnsi="Arial" w:cs="Arial"/>
        </w:rPr>
        <w:t>“the overall process and contract award decision, specifically reviewing relevant evidence from both the representations and wider procurement to analyse and compare/contrast perceived errors in scoring or other discrepancies</w:t>
      </w:r>
      <w:r w:rsidR="00112123" w:rsidRPr="00FB03E2">
        <w:rPr>
          <w:rFonts w:ascii="Arial" w:hAnsi="Arial" w:cs="Arial"/>
        </w:rPr>
        <w:t>”</w:t>
      </w:r>
      <w:r w:rsidR="00112123" w:rsidRPr="00DA1A1B">
        <w:rPr>
          <w:rFonts w:ascii="Arial" w:hAnsi="Arial" w:cs="Arial"/>
        </w:rPr>
        <w:t>.</w:t>
      </w:r>
      <w:r w:rsidR="00112123" w:rsidRPr="00FB03E2">
        <w:rPr>
          <w:rFonts w:ascii="Arial" w:hAnsi="Arial" w:cs="Arial"/>
        </w:rPr>
        <w:t xml:space="preserve"> </w:t>
      </w:r>
      <w:r w:rsidR="00F853D9" w:rsidRPr="00FB03E2">
        <w:rPr>
          <w:rFonts w:ascii="Arial" w:hAnsi="Arial" w:cs="Arial"/>
        </w:rPr>
        <w:t>This internal panel consisted of clinical specialists and senior procurement staff from the three ICBs</w:t>
      </w:r>
      <w:r w:rsidR="0075218E" w:rsidRPr="00FB03E2">
        <w:rPr>
          <w:rFonts w:ascii="Arial" w:hAnsi="Arial" w:cs="Arial"/>
        </w:rPr>
        <w:t>, with “decision-making panel members who had not been involved in the original procurement evaluation</w:t>
      </w:r>
      <w:r w:rsidR="00DB2C0B" w:rsidRPr="00FB03E2">
        <w:rPr>
          <w:rFonts w:ascii="Arial" w:hAnsi="Arial" w:cs="Arial"/>
        </w:rPr>
        <w:t>”</w:t>
      </w:r>
      <w:r w:rsidR="0075218E" w:rsidRPr="00FB03E2">
        <w:rPr>
          <w:rFonts w:ascii="Arial" w:hAnsi="Arial" w:cs="Arial"/>
        </w:rPr>
        <w:t>.</w:t>
      </w:r>
      <w:r w:rsidR="00AD031F">
        <w:rPr>
          <w:rStyle w:val="FootnoteReference"/>
          <w:rFonts w:ascii="Arial" w:hAnsi="Arial" w:cs="Arial"/>
        </w:rPr>
        <w:footnoteReference w:id="59"/>
      </w:r>
      <w:r w:rsidR="009D0E90">
        <w:rPr>
          <w:rFonts w:ascii="Arial" w:hAnsi="Arial" w:cs="Arial"/>
        </w:rPr>
        <w:t xml:space="preserve"> </w:t>
      </w:r>
      <w:r w:rsidR="00AD031F">
        <w:rPr>
          <w:rFonts w:ascii="Arial" w:hAnsi="Arial" w:cs="Arial"/>
        </w:rPr>
        <w:t>HNY ICB</w:t>
      </w:r>
      <w:r w:rsidR="00044E6D">
        <w:rPr>
          <w:rFonts w:ascii="Arial" w:hAnsi="Arial" w:cs="Arial"/>
        </w:rPr>
        <w:t xml:space="preserve"> also</w:t>
      </w:r>
      <w:r w:rsidR="00AD031F">
        <w:rPr>
          <w:rFonts w:ascii="Arial" w:hAnsi="Arial" w:cs="Arial"/>
        </w:rPr>
        <w:t xml:space="preserve"> told the Panel that </w:t>
      </w:r>
      <w:r w:rsidR="00C55ED7" w:rsidRPr="00EF11EC">
        <w:rPr>
          <w:rFonts w:ascii="Arial" w:hAnsi="Arial" w:cs="Arial"/>
        </w:rPr>
        <w:t>“</w:t>
      </w:r>
      <w:r w:rsidR="00C55ED7" w:rsidRPr="00ED0CA8">
        <w:rPr>
          <w:rFonts w:ascii="Arial" w:hAnsi="Arial" w:cs="Arial"/>
        </w:rPr>
        <w:t>the ICBs can offer assurance that these have been thoroughly considered in accordance with the PSR Regulations</w:t>
      </w:r>
      <w:r w:rsidR="009D0E90" w:rsidRPr="00EF11EC">
        <w:rPr>
          <w:rFonts w:ascii="Arial" w:hAnsi="Arial" w:cs="Arial"/>
        </w:rPr>
        <w:t>”.</w:t>
      </w:r>
      <w:r w:rsidR="00FF5137">
        <w:rPr>
          <w:rStyle w:val="FootnoteReference"/>
          <w:rFonts w:ascii="Arial" w:hAnsi="Arial" w:cs="Arial"/>
        </w:rPr>
        <w:footnoteReference w:id="60"/>
      </w:r>
    </w:p>
    <w:p w14:paraId="73F14AE9" w14:textId="19B611FA" w:rsidR="00DA1620" w:rsidRDefault="00DA1620">
      <w:pPr>
        <w:pStyle w:val="ListParagraph"/>
        <w:numPr>
          <w:ilvl w:val="0"/>
          <w:numId w:val="2"/>
        </w:numPr>
        <w:spacing w:line="276" w:lineRule="auto"/>
        <w:ind w:left="567" w:hanging="567"/>
        <w:contextualSpacing w:val="0"/>
        <w:rPr>
          <w:rFonts w:ascii="Arial" w:hAnsi="Arial" w:cs="Arial"/>
        </w:rPr>
      </w:pPr>
      <w:r>
        <w:rPr>
          <w:rFonts w:ascii="Arial" w:hAnsi="Arial" w:cs="Arial"/>
        </w:rPr>
        <w:t>The Panel</w:t>
      </w:r>
      <w:r w:rsidR="00140807">
        <w:rPr>
          <w:rFonts w:ascii="Arial" w:hAnsi="Arial" w:cs="Arial"/>
        </w:rPr>
        <w:t>, in assessing the issues raised by Clarendon,</w:t>
      </w:r>
      <w:r>
        <w:rPr>
          <w:rFonts w:ascii="Arial" w:hAnsi="Arial" w:cs="Arial"/>
        </w:rPr>
        <w:t xml:space="preserve"> reviewed </w:t>
      </w:r>
      <w:r w:rsidR="008B1315">
        <w:rPr>
          <w:rFonts w:ascii="Arial" w:hAnsi="Arial" w:cs="Arial"/>
        </w:rPr>
        <w:t xml:space="preserve">the representations log maintained by HNY ICB, and </w:t>
      </w:r>
      <w:r w:rsidR="005D63E1">
        <w:rPr>
          <w:rFonts w:ascii="Arial" w:hAnsi="Arial" w:cs="Arial"/>
        </w:rPr>
        <w:t xml:space="preserve">HNY ICB’s </w:t>
      </w:r>
      <w:r w:rsidR="00DC1EC8">
        <w:rPr>
          <w:rFonts w:ascii="Arial" w:hAnsi="Arial" w:cs="Arial"/>
        </w:rPr>
        <w:t xml:space="preserve">correspondence with </w:t>
      </w:r>
      <w:r w:rsidR="00140807">
        <w:rPr>
          <w:rFonts w:ascii="Arial" w:hAnsi="Arial" w:cs="Arial"/>
        </w:rPr>
        <w:t>Clarendon regarding its representations review process</w:t>
      </w:r>
      <w:r w:rsidR="008B1315">
        <w:rPr>
          <w:rFonts w:ascii="Arial" w:hAnsi="Arial" w:cs="Arial"/>
        </w:rPr>
        <w:t xml:space="preserve">. The Panel notes that the representations log </w:t>
      </w:r>
      <w:r w:rsidR="00A857DA">
        <w:rPr>
          <w:rFonts w:ascii="Arial" w:hAnsi="Arial" w:cs="Arial"/>
        </w:rPr>
        <w:t xml:space="preserve">sets out the detail of </w:t>
      </w:r>
      <w:r w:rsidR="006462C2">
        <w:rPr>
          <w:rFonts w:ascii="Arial" w:hAnsi="Arial" w:cs="Arial"/>
        </w:rPr>
        <w:t>Clarendon’s representations</w:t>
      </w:r>
      <w:r w:rsidR="0045500E">
        <w:rPr>
          <w:rFonts w:ascii="Arial" w:hAnsi="Arial" w:cs="Arial"/>
        </w:rPr>
        <w:t xml:space="preserve">, including the detail of the concerns raised by Clarendon </w:t>
      </w:r>
      <w:r w:rsidR="000625DE">
        <w:rPr>
          <w:rFonts w:ascii="Arial" w:hAnsi="Arial" w:cs="Arial"/>
        </w:rPr>
        <w:t>in Appendix A of its representations letter of 23 December 2024.</w:t>
      </w:r>
      <w:r w:rsidR="009D16EA">
        <w:rPr>
          <w:rFonts w:ascii="Arial" w:hAnsi="Arial" w:cs="Arial"/>
        </w:rPr>
        <w:t xml:space="preserve"> The representation log also includes </w:t>
      </w:r>
      <w:r w:rsidR="00C02E88">
        <w:rPr>
          <w:rFonts w:ascii="Arial" w:hAnsi="Arial" w:cs="Arial"/>
        </w:rPr>
        <w:t xml:space="preserve">details of the documentation that was reviewed </w:t>
      </w:r>
      <w:r w:rsidR="007D79A9">
        <w:rPr>
          <w:rFonts w:ascii="Arial" w:hAnsi="Arial" w:cs="Arial"/>
        </w:rPr>
        <w:t xml:space="preserve">in relation to each concern. </w:t>
      </w:r>
      <w:r w:rsidR="00B657F9">
        <w:rPr>
          <w:rFonts w:ascii="Arial" w:hAnsi="Arial" w:cs="Arial"/>
        </w:rPr>
        <w:t xml:space="preserve">The Panel’s view is that </w:t>
      </w:r>
      <w:r w:rsidR="001A1383">
        <w:rPr>
          <w:rFonts w:ascii="Arial" w:hAnsi="Arial" w:cs="Arial"/>
        </w:rPr>
        <w:t xml:space="preserve">the representations log, combined with the correspondence from HNY ICB in relation to </w:t>
      </w:r>
      <w:r w:rsidR="000943FA">
        <w:rPr>
          <w:rFonts w:ascii="Arial" w:hAnsi="Arial" w:cs="Arial"/>
        </w:rPr>
        <w:t xml:space="preserve">Clarendon’s representations, </w:t>
      </w:r>
      <w:r w:rsidR="00B214ED">
        <w:rPr>
          <w:rFonts w:ascii="Arial" w:hAnsi="Arial" w:cs="Arial"/>
        </w:rPr>
        <w:t xml:space="preserve">shows that </w:t>
      </w:r>
      <w:r w:rsidR="00B30A71">
        <w:rPr>
          <w:rFonts w:ascii="Arial" w:hAnsi="Arial" w:cs="Arial"/>
        </w:rPr>
        <w:t xml:space="preserve">HNY ICB took into account </w:t>
      </w:r>
      <w:r w:rsidR="005D209B">
        <w:rPr>
          <w:rFonts w:ascii="Arial" w:hAnsi="Arial" w:cs="Arial"/>
        </w:rPr>
        <w:t xml:space="preserve">all of </w:t>
      </w:r>
      <w:r w:rsidR="00B30A71">
        <w:rPr>
          <w:rFonts w:ascii="Arial" w:hAnsi="Arial" w:cs="Arial"/>
        </w:rPr>
        <w:t>the representations made by Clarendon when reviewing its provider selection decision.</w:t>
      </w:r>
      <w:r w:rsidR="00E82041">
        <w:rPr>
          <w:rStyle w:val="FootnoteReference"/>
          <w:rFonts w:ascii="Arial" w:hAnsi="Arial" w:cs="Arial"/>
        </w:rPr>
        <w:footnoteReference w:id="61"/>
      </w:r>
    </w:p>
    <w:p w14:paraId="5DF3E308" w14:textId="00203CF2" w:rsidR="007922E8" w:rsidRDefault="007D1858">
      <w:pPr>
        <w:pStyle w:val="ListParagraph"/>
        <w:numPr>
          <w:ilvl w:val="0"/>
          <w:numId w:val="2"/>
        </w:numPr>
        <w:spacing w:line="276" w:lineRule="auto"/>
        <w:ind w:left="567" w:hanging="567"/>
        <w:contextualSpacing w:val="0"/>
        <w:rPr>
          <w:rFonts w:ascii="Arial" w:hAnsi="Arial" w:cs="Arial"/>
        </w:rPr>
      </w:pPr>
      <w:r>
        <w:rPr>
          <w:rFonts w:ascii="Arial" w:hAnsi="Arial" w:cs="Arial"/>
        </w:rPr>
        <w:t>As a result, t</w:t>
      </w:r>
      <w:r w:rsidR="00B30A71">
        <w:rPr>
          <w:rFonts w:ascii="Arial" w:hAnsi="Arial" w:cs="Arial"/>
        </w:rPr>
        <w:t xml:space="preserve">he Panel finds that </w:t>
      </w:r>
      <w:r w:rsidR="007922E8">
        <w:rPr>
          <w:rFonts w:ascii="Arial" w:hAnsi="Arial" w:cs="Arial"/>
        </w:rPr>
        <w:t>HNY ICB, in reviewing Clarendon’s representations</w:t>
      </w:r>
      <w:r w:rsidR="00827115">
        <w:rPr>
          <w:rFonts w:ascii="Arial" w:hAnsi="Arial" w:cs="Arial"/>
        </w:rPr>
        <w:t xml:space="preserve"> regarding the provider selection process, did not breach the PSR regulations, and in particular Regulation 12(4), which requires HNY ICB to review the decision to award the contract taking into account the representations made.</w:t>
      </w:r>
    </w:p>
    <w:p w14:paraId="78CFC7AD" w14:textId="471431B5" w:rsidR="00F5340F" w:rsidRPr="00E7501E" w:rsidRDefault="00E7501E" w:rsidP="00E7501E">
      <w:pPr>
        <w:pStyle w:val="Heading1"/>
        <w:numPr>
          <w:ilvl w:val="0"/>
          <w:numId w:val="1"/>
        </w:numPr>
        <w:spacing w:before="360" w:after="240"/>
        <w:ind w:left="0" w:firstLine="0"/>
        <w:rPr>
          <w:rFonts w:ascii="Arial" w:hAnsi="Arial" w:cs="Arial"/>
          <w:b/>
          <w:bCs/>
          <w:color w:val="000000" w:themeColor="text1"/>
          <w:sz w:val="28"/>
          <w:szCs w:val="28"/>
        </w:rPr>
      </w:pPr>
      <w:bookmarkStart w:id="55" w:name="_Toc166083481"/>
      <w:bookmarkStart w:id="56" w:name="_Toc198745116"/>
      <w:r w:rsidRPr="00E7501E">
        <w:rPr>
          <w:rFonts w:ascii="Arial" w:hAnsi="Arial" w:cs="Arial"/>
          <w:b/>
          <w:bCs/>
          <w:color w:val="000000" w:themeColor="text1"/>
          <w:sz w:val="28"/>
          <w:szCs w:val="28"/>
        </w:rPr>
        <w:t xml:space="preserve">Panel </w:t>
      </w:r>
      <w:r w:rsidR="001D7682">
        <w:rPr>
          <w:rFonts w:ascii="Arial" w:hAnsi="Arial" w:cs="Arial"/>
          <w:b/>
          <w:bCs/>
          <w:color w:val="000000" w:themeColor="text1"/>
          <w:sz w:val="28"/>
          <w:szCs w:val="28"/>
        </w:rPr>
        <w:t>a</w:t>
      </w:r>
      <w:r w:rsidR="00F5340F" w:rsidRPr="00E7501E">
        <w:rPr>
          <w:rFonts w:ascii="Arial" w:hAnsi="Arial" w:cs="Arial"/>
          <w:b/>
          <w:bCs/>
          <w:color w:val="000000" w:themeColor="text1"/>
          <w:sz w:val="28"/>
          <w:szCs w:val="28"/>
        </w:rPr>
        <w:t>dvice</w:t>
      </w:r>
      <w:bookmarkEnd w:id="55"/>
      <w:r w:rsidR="008D327E">
        <w:rPr>
          <w:rFonts w:ascii="Arial" w:hAnsi="Arial" w:cs="Arial"/>
          <w:b/>
          <w:bCs/>
          <w:color w:val="000000" w:themeColor="text1"/>
          <w:sz w:val="28"/>
          <w:szCs w:val="28"/>
        </w:rPr>
        <w:t xml:space="preserve"> and recommendations</w:t>
      </w:r>
      <w:bookmarkEnd w:id="56"/>
    </w:p>
    <w:p w14:paraId="0218BADA" w14:textId="65D4D0CA" w:rsidR="00B15D0E" w:rsidRDefault="00507335" w:rsidP="00C41D46">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section sets out the Panel’s advice </w:t>
      </w:r>
      <w:r w:rsidR="00FF4FF1">
        <w:rPr>
          <w:rFonts w:ascii="Arial" w:hAnsi="Arial" w:cs="Arial"/>
        </w:rPr>
        <w:t xml:space="preserve">to HNY ICB in relation to </w:t>
      </w:r>
      <w:r>
        <w:rPr>
          <w:rFonts w:ascii="Arial" w:hAnsi="Arial" w:cs="Arial"/>
        </w:rPr>
        <w:t xml:space="preserve">the </w:t>
      </w:r>
      <w:r w:rsidR="0011260F">
        <w:rPr>
          <w:rFonts w:ascii="Arial" w:hAnsi="Arial" w:cs="Arial"/>
        </w:rPr>
        <w:t>representations made by Barkhill and Clarendon.</w:t>
      </w:r>
      <w:r w:rsidR="0046498A">
        <w:rPr>
          <w:rFonts w:ascii="Arial" w:hAnsi="Arial" w:cs="Arial"/>
        </w:rPr>
        <w:t xml:space="preserve"> </w:t>
      </w:r>
      <w:r w:rsidR="00B15D0E">
        <w:rPr>
          <w:rFonts w:ascii="Arial" w:hAnsi="Arial" w:cs="Arial"/>
        </w:rPr>
        <w:t>For each, the Panel’s find</w:t>
      </w:r>
      <w:r w:rsidR="002D7672">
        <w:rPr>
          <w:rFonts w:ascii="Arial" w:hAnsi="Arial" w:cs="Arial"/>
        </w:rPr>
        <w:t>ing</w:t>
      </w:r>
      <w:r w:rsidR="00B15D0E">
        <w:rPr>
          <w:rFonts w:ascii="Arial" w:hAnsi="Arial" w:cs="Arial"/>
        </w:rPr>
        <w:t>s are summarised</w:t>
      </w:r>
      <w:r w:rsidR="0026047E">
        <w:rPr>
          <w:rFonts w:ascii="Arial" w:hAnsi="Arial" w:cs="Arial"/>
        </w:rPr>
        <w:t>,</w:t>
      </w:r>
      <w:r w:rsidR="00E7790F">
        <w:rPr>
          <w:rFonts w:ascii="Arial" w:hAnsi="Arial" w:cs="Arial"/>
        </w:rPr>
        <w:t xml:space="preserve"> </w:t>
      </w:r>
      <w:r w:rsidR="0052382E">
        <w:rPr>
          <w:rFonts w:ascii="Arial" w:hAnsi="Arial" w:cs="Arial"/>
        </w:rPr>
        <w:t xml:space="preserve">the materiality of </w:t>
      </w:r>
      <w:r w:rsidR="002D7672">
        <w:rPr>
          <w:rFonts w:ascii="Arial" w:hAnsi="Arial" w:cs="Arial"/>
        </w:rPr>
        <w:t xml:space="preserve">any breaches of the PSR regulations are </w:t>
      </w:r>
      <w:r w:rsidR="0026047E">
        <w:rPr>
          <w:rFonts w:ascii="Arial" w:hAnsi="Arial" w:cs="Arial"/>
        </w:rPr>
        <w:t xml:space="preserve">then </w:t>
      </w:r>
      <w:r w:rsidR="002D7672">
        <w:rPr>
          <w:rFonts w:ascii="Arial" w:hAnsi="Arial" w:cs="Arial"/>
        </w:rPr>
        <w:t>assessed</w:t>
      </w:r>
      <w:r w:rsidR="0026047E">
        <w:rPr>
          <w:rFonts w:ascii="Arial" w:hAnsi="Arial" w:cs="Arial"/>
        </w:rPr>
        <w:t>,</w:t>
      </w:r>
      <w:r w:rsidR="002C5981">
        <w:rPr>
          <w:rFonts w:ascii="Arial" w:hAnsi="Arial" w:cs="Arial"/>
        </w:rPr>
        <w:t xml:space="preserve"> </w:t>
      </w:r>
      <w:r w:rsidR="00891AF4">
        <w:rPr>
          <w:rFonts w:ascii="Arial" w:hAnsi="Arial" w:cs="Arial"/>
        </w:rPr>
        <w:t xml:space="preserve">and then </w:t>
      </w:r>
      <w:r w:rsidR="002C5981">
        <w:rPr>
          <w:rFonts w:ascii="Arial" w:hAnsi="Arial" w:cs="Arial"/>
        </w:rPr>
        <w:t>the Panel’s advice is set out.</w:t>
      </w:r>
    </w:p>
    <w:p w14:paraId="10F11ED0" w14:textId="377B0C11" w:rsidR="00335206" w:rsidRDefault="00335206" w:rsidP="00335206">
      <w:pPr>
        <w:pStyle w:val="Heading2"/>
        <w:numPr>
          <w:ilvl w:val="1"/>
          <w:numId w:val="1"/>
        </w:numPr>
        <w:spacing w:before="240" w:after="160"/>
        <w:ind w:left="0" w:firstLine="0"/>
        <w:rPr>
          <w:rFonts w:ascii="Arial" w:hAnsi="Arial" w:cs="Arial"/>
          <w:b/>
          <w:color w:val="000000" w:themeColor="text1"/>
          <w:sz w:val="24"/>
          <w:szCs w:val="24"/>
        </w:rPr>
      </w:pPr>
      <w:bookmarkStart w:id="57" w:name="_Toc198745117"/>
      <w:r>
        <w:rPr>
          <w:rFonts w:ascii="Arial" w:hAnsi="Arial" w:cs="Arial"/>
          <w:b/>
          <w:color w:val="000000" w:themeColor="text1"/>
          <w:sz w:val="24"/>
          <w:szCs w:val="24"/>
        </w:rPr>
        <w:t>Barkhill</w:t>
      </w:r>
      <w:r w:rsidR="00AD2289">
        <w:rPr>
          <w:rFonts w:ascii="Arial" w:hAnsi="Arial" w:cs="Arial"/>
          <w:b/>
          <w:color w:val="000000" w:themeColor="text1"/>
          <w:sz w:val="24"/>
          <w:szCs w:val="24"/>
        </w:rPr>
        <w:t>’s</w:t>
      </w:r>
      <w:r w:rsidR="00A17B77">
        <w:rPr>
          <w:rFonts w:ascii="Arial" w:hAnsi="Arial" w:cs="Arial"/>
          <w:b/>
          <w:color w:val="000000" w:themeColor="text1"/>
          <w:sz w:val="24"/>
          <w:szCs w:val="24"/>
        </w:rPr>
        <w:t xml:space="preserve"> representations</w:t>
      </w:r>
      <w:bookmarkEnd w:id="57"/>
    </w:p>
    <w:p w14:paraId="0F917762" w14:textId="505C943A" w:rsidR="00296025" w:rsidRPr="00296025" w:rsidRDefault="00296025" w:rsidP="00296025">
      <w:pPr>
        <w:keepNext/>
        <w:spacing w:before="240" w:line="276" w:lineRule="auto"/>
        <w:rPr>
          <w:rFonts w:ascii="Arial" w:hAnsi="Arial" w:cs="Arial"/>
          <w:b/>
          <w:bCs/>
        </w:rPr>
      </w:pPr>
      <w:r>
        <w:rPr>
          <w:rFonts w:ascii="Arial" w:hAnsi="Arial" w:cs="Arial"/>
          <w:b/>
          <w:bCs/>
        </w:rPr>
        <w:t>11.1.1 Summary of Panel findings</w:t>
      </w:r>
    </w:p>
    <w:p w14:paraId="6F7CAB79" w14:textId="2462D97E" w:rsidR="006C75B3" w:rsidRDefault="00CB67E1" w:rsidP="00203B6D">
      <w:pPr>
        <w:pStyle w:val="ListParagraph"/>
        <w:numPr>
          <w:ilvl w:val="0"/>
          <w:numId w:val="2"/>
        </w:numPr>
        <w:spacing w:after="120" w:line="276" w:lineRule="auto"/>
        <w:ind w:left="567" w:hanging="567"/>
        <w:contextualSpacing w:val="0"/>
        <w:rPr>
          <w:rFonts w:ascii="Arial" w:hAnsi="Arial" w:cs="Arial"/>
        </w:rPr>
      </w:pPr>
      <w:r>
        <w:rPr>
          <w:rFonts w:ascii="Arial" w:hAnsi="Arial" w:cs="Arial"/>
        </w:rPr>
        <w:t>Following consideration</w:t>
      </w:r>
      <w:r w:rsidR="006670B3">
        <w:rPr>
          <w:rFonts w:ascii="Arial" w:hAnsi="Arial" w:cs="Arial"/>
        </w:rPr>
        <w:t xml:space="preserve"> of Barkhill’s representations, t</w:t>
      </w:r>
      <w:r w:rsidR="006C75B3">
        <w:rPr>
          <w:rFonts w:ascii="Arial" w:hAnsi="Arial" w:cs="Arial"/>
        </w:rPr>
        <w:t xml:space="preserve">he Panel </w:t>
      </w:r>
      <w:r w:rsidR="00812DE6">
        <w:rPr>
          <w:rFonts w:ascii="Arial" w:hAnsi="Arial" w:cs="Arial"/>
        </w:rPr>
        <w:t>finds</w:t>
      </w:r>
      <w:r w:rsidR="006C75B3">
        <w:rPr>
          <w:rFonts w:ascii="Arial" w:hAnsi="Arial" w:cs="Arial"/>
        </w:rPr>
        <w:t xml:space="preserve"> </w:t>
      </w:r>
      <w:r w:rsidR="003509C7">
        <w:rPr>
          <w:rFonts w:ascii="Arial" w:hAnsi="Arial" w:cs="Arial"/>
        </w:rPr>
        <w:t xml:space="preserve">that HNY ICB breached the PSR regulations </w:t>
      </w:r>
      <w:r w:rsidR="0048294E">
        <w:rPr>
          <w:rFonts w:ascii="Arial" w:hAnsi="Arial" w:cs="Arial"/>
        </w:rPr>
        <w:t>in relation to</w:t>
      </w:r>
      <w:r w:rsidR="0073468C">
        <w:rPr>
          <w:rFonts w:ascii="Arial" w:hAnsi="Arial" w:cs="Arial"/>
        </w:rPr>
        <w:t>: (a)</w:t>
      </w:r>
      <w:r w:rsidR="0048294E">
        <w:rPr>
          <w:rFonts w:ascii="Arial" w:hAnsi="Arial" w:cs="Arial"/>
        </w:rPr>
        <w:t xml:space="preserve"> </w:t>
      </w:r>
      <w:r w:rsidR="003A48A7">
        <w:rPr>
          <w:rFonts w:ascii="Arial" w:hAnsi="Arial" w:cs="Arial"/>
        </w:rPr>
        <w:t>the</w:t>
      </w:r>
      <w:r w:rsidR="00433647">
        <w:rPr>
          <w:rFonts w:ascii="Arial" w:hAnsi="Arial" w:cs="Arial"/>
        </w:rPr>
        <w:t xml:space="preserve"> notice of intention</w:t>
      </w:r>
      <w:r w:rsidR="0073468C">
        <w:rPr>
          <w:rFonts w:ascii="Arial" w:hAnsi="Arial" w:cs="Arial"/>
        </w:rPr>
        <w:t>;</w:t>
      </w:r>
      <w:r w:rsidR="00433647">
        <w:rPr>
          <w:rFonts w:ascii="Arial" w:hAnsi="Arial" w:cs="Arial"/>
        </w:rPr>
        <w:t xml:space="preserve"> </w:t>
      </w:r>
      <w:r w:rsidR="0079250E">
        <w:rPr>
          <w:rFonts w:ascii="Arial" w:hAnsi="Arial" w:cs="Arial"/>
        </w:rPr>
        <w:t xml:space="preserve">and </w:t>
      </w:r>
      <w:r w:rsidR="0073468C">
        <w:rPr>
          <w:rFonts w:ascii="Arial" w:hAnsi="Arial" w:cs="Arial"/>
        </w:rPr>
        <w:t>(b)</w:t>
      </w:r>
      <w:r w:rsidR="000F4B77">
        <w:rPr>
          <w:rFonts w:ascii="Arial" w:hAnsi="Arial" w:cs="Arial"/>
        </w:rPr>
        <w:t> </w:t>
      </w:r>
      <w:r w:rsidR="00E95AFC">
        <w:rPr>
          <w:rFonts w:ascii="Arial" w:hAnsi="Arial" w:cs="Arial"/>
        </w:rPr>
        <w:t xml:space="preserve">its response to Barkhill’s </w:t>
      </w:r>
      <w:r w:rsidR="00E75FE1">
        <w:rPr>
          <w:rFonts w:ascii="Arial" w:hAnsi="Arial" w:cs="Arial"/>
        </w:rPr>
        <w:t>request</w:t>
      </w:r>
      <w:r w:rsidR="00174688">
        <w:rPr>
          <w:rFonts w:ascii="Arial" w:hAnsi="Arial" w:cs="Arial"/>
        </w:rPr>
        <w:t xml:space="preserve"> for information </w:t>
      </w:r>
      <w:r w:rsidR="001F5712">
        <w:rPr>
          <w:rFonts w:ascii="Arial" w:hAnsi="Arial" w:cs="Arial"/>
        </w:rPr>
        <w:t xml:space="preserve">during </w:t>
      </w:r>
      <w:r w:rsidR="003A48A7">
        <w:rPr>
          <w:rFonts w:ascii="Arial" w:hAnsi="Arial" w:cs="Arial"/>
        </w:rPr>
        <w:t>its</w:t>
      </w:r>
      <w:r w:rsidR="001F5712">
        <w:rPr>
          <w:rFonts w:ascii="Arial" w:hAnsi="Arial" w:cs="Arial"/>
        </w:rPr>
        <w:t xml:space="preserve"> </w:t>
      </w:r>
      <w:r w:rsidR="00174688">
        <w:rPr>
          <w:rFonts w:ascii="Arial" w:hAnsi="Arial" w:cs="Arial"/>
        </w:rPr>
        <w:t>representations to the ICB.</w:t>
      </w:r>
    </w:p>
    <w:p w14:paraId="10824036" w14:textId="4A1910C8" w:rsidR="00625112" w:rsidRDefault="00525244" w:rsidP="00BF3A6C">
      <w:pPr>
        <w:pStyle w:val="ListParagraph"/>
        <w:numPr>
          <w:ilvl w:val="0"/>
          <w:numId w:val="2"/>
        </w:numPr>
        <w:spacing w:after="120" w:line="276" w:lineRule="auto"/>
        <w:ind w:left="567" w:hanging="567"/>
        <w:rPr>
          <w:rFonts w:ascii="Arial" w:hAnsi="Arial" w:cs="Arial"/>
        </w:rPr>
      </w:pPr>
      <w:r>
        <w:rPr>
          <w:rFonts w:ascii="Arial" w:hAnsi="Arial" w:cs="Arial"/>
        </w:rPr>
        <w:t>Regarding the notice of intention</w:t>
      </w:r>
      <w:r w:rsidR="00625112">
        <w:rPr>
          <w:rFonts w:ascii="Arial" w:hAnsi="Arial" w:cs="Arial"/>
        </w:rPr>
        <w:t>, the Panel finds that HNY ICB breached the PSR regulations:</w:t>
      </w:r>
    </w:p>
    <w:p w14:paraId="6FE613DB" w14:textId="15D33F51" w:rsidR="00625112" w:rsidRDefault="00625112" w:rsidP="00BF3A6C">
      <w:pPr>
        <w:pStyle w:val="ListParagraph"/>
        <w:numPr>
          <w:ilvl w:val="0"/>
          <w:numId w:val="13"/>
        </w:numPr>
        <w:spacing w:after="120" w:line="276" w:lineRule="auto"/>
        <w:ind w:left="1434" w:hanging="357"/>
        <w:rPr>
          <w:rFonts w:ascii="Arial" w:hAnsi="Arial" w:cs="Arial"/>
        </w:rPr>
      </w:pPr>
      <w:r>
        <w:rPr>
          <w:rFonts w:ascii="Arial" w:hAnsi="Arial" w:cs="Arial"/>
        </w:rPr>
        <w:t xml:space="preserve">by not </w:t>
      </w:r>
      <w:r w:rsidR="00646D9F">
        <w:rPr>
          <w:rFonts w:ascii="Arial" w:hAnsi="Arial" w:cs="Arial"/>
        </w:rPr>
        <w:t>including</w:t>
      </w:r>
      <w:r w:rsidR="003E5AFE">
        <w:rPr>
          <w:rFonts w:ascii="Arial" w:hAnsi="Arial" w:cs="Arial"/>
        </w:rPr>
        <w:t xml:space="preserve"> </w:t>
      </w:r>
      <w:r w:rsidR="00675628">
        <w:rPr>
          <w:rFonts w:ascii="Arial" w:hAnsi="Arial" w:cs="Arial"/>
        </w:rPr>
        <w:t xml:space="preserve">the </w:t>
      </w:r>
      <w:r>
        <w:rPr>
          <w:rFonts w:ascii="Arial" w:hAnsi="Arial" w:cs="Arial"/>
        </w:rPr>
        <w:t>full address</w:t>
      </w:r>
      <w:r w:rsidR="00675628">
        <w:rPr>
          <w:rFonts w:ascii="Arial" w:hAnsi="Arial" w:cs="Arial"/>
        </w:rPr>
        <w:t xml:space="preserve">es of the </w:t>
      </w:r>
      <w:r w:rsidR="006C4400">
        <w:rPr>
          <w:rFonts w:ascii="Arial" w:hAnsi="Arial" w:cs="Arial"/>
        </w:rPr>
        <w:t xml:space="preserve">successful bidders </w:t>
      </w:r>
      <w:r w:rsidR="0045456D">
        <w:rPr>
          <w:rFonts w:ascii="Arial" w:hAnsi="Arial" w:cs="Arial"/>
        </w:rPr>
        <w:t xml:space="preserve">(contrary to the requirements of </w:t>
      </w:r>
      <w:r>
        <w:rPr>
          <w:rFonts w:ascii="Arial" w:hAnsi="Arial" w:cs="Arial"/>
        </w:rPr>
        <w:t>Regulation 11(10) and Schedule 10</w:t>
      </w:r>
      <w:r w:rsidR="0045456D">
        <w:rPr>
          <w:rFonts w:ascii="Arial" w:hAnsi="Arial" w:cs="Arial"/>
        </w:rPr>
        <w:t>)</w:t>
      </w:r>
      <w:r>
        <w:rPr>
          <w:rFonts w:ascii="Arial" w:hAnsi="Arial" w:cs="Arial"/>
        </w:rPr>
        <w:t>;</w:t>
      </w:r>
    </w:p>
    <w:p w14:paraId="6894BA42" w14:textId="5638817A" w:rsidR="00625112" w:rsidRDefault="00625112" w:rsidP="00BF3A6C">
      <w:pPr>
        <w:pStyle w:val="ListParagraph"/>
        <w:numPr>
          <w:ilvl w:val="0"/>
          <w:numId w:val="13"/>
        </w:numPr>
        <w:spacing w:after="120" w:line="276" w:lineRule="auto"/>
        <w:ind w:left="1434" w:hanging="357"/>
        <w:rPr>
          <w:rFonts w:ascii="Arial" w:hAnsi="Arial" w:cs="Arial"/>
        </w:rPr>
      </w:pPr>
      <w:r>
        <w:rPr>
          <w:rFonts w:ascii="Arial" w:hAnsi="Arial" w:cs="Arial"/>
        </w:rPr>
        <w:lastRenderedPageBreak/>
        <w:t xml:space="preserve">by not including a statement </w:t>
      </w:r>
      <w:r w:rsidR="00B3185F">
        <w:rPr>
          <w:rFonts w:ascii="Arial" w:hAnsi="Arial" w:cs="Arial"/>
        </w:rPr>
        <w:t>that adequately explained the ICB’s</w:t>
      </w:r>
      <w:r>
        <w:rPr>
          <w:rFonts w:ascii="Arial" w:hAnsi="Arial" w:cs="Arial"/>
        </w:rPr>
        <w:t xml:space="preserve"> reasons for selecting the </w:t>
      </w:r>
      <w:r w:rsidR="00B3185F">
        <w:rPr>
          <w:rFonts w:ascii="Arial" w:hAnsi="Arial" w:cs="Arial"/>
        </w:rPr>
        <w:t>successful bidders</w:t>
      </w:r>
      <w:r w:rsidR="003E5AFE">
        <w:rPr>
          <w:rFonts w:ascii="Arial" w:hAnsi="Arial" w:cs="Arial"/>
        </w:rPr>
        <w:t xml:space="preserve"> (contrary to the requirements of </w:t>
      </w:r>
      <w:r>
        <w:rPr>
          <w:rFonts w:ascii="Arial" w:hAnsi="Arial" w:cs="Arial"/>
        </w:rPr>
        <w:t>Regulation 11(10) and Schedule 10</w:t>
      </w:r>
      <w:r w:rsidR="003E5AFE">
        <w:rPr>
          <w:rFonts w:ascii="Arial" w:hAnsi="Arial" w:cs="Arial"/>
        </w:rPr>
        <w:t>)</w:t>
      </w:r>
      <w:r>
        <w:rPr>
          <w:rFonts w:ascii="Arial" w:hAnsi="Arial" w:cs="Arial"/>
        </w:rPr>
        <w:t>; and</w:t>
      </w:r>
    </w:p>
    <w:p w14:paraId="2CBA6000" w14:textId="29761B4A" w:rsidR="00625112" w:rsidRDefault="00625112" w:rsidP="00625112">
      <w:pPr>
        <w:pStyle w:val="ListParagraph"/>
        <w:numPr>
          <w:ilvl w:val="0"/>
          <w:numId w:val="13"/>
        </w:numPr>
        <w:spacing w:line="276" w:lineRule="auto"/>
        <w:ind w:left="1434" w:hanging="357"/>
        <w:contextualSpacing w:val="0"/>
        <w:rPr>
          <w:rFonts w:ascii="Arial" w:hAnsi="Arial" w:cs="Arial"/>
        </w:rPr>
      </w:pPr>
      <w:r>
        <w:rPr>
          <w:rFonts w:ascii="Arial" w:hAnsi="Arial" w:cs="Arial"/>
        </w:rPr>
        <w:t xml:space="preserve">by returning </w:t>
      </w:r>
      <w:r w:rsidR="00A12298">
        <w:rPr>
          <w:rFonts w:ascii="Arial" w:hAnsi="Arial" w:cs="Arial"/>
        </w:rPr>
        <w:t>to an earlier step in the provider selection process</w:t>
      </w:r>
      <w:r w:rsidR="00CD00CF">
        <w:rPr>
          <w:rFonts w:ascii="Arial" w:hAnsi="Arial" w:cs="Arial"/>
        </w:rPr>
        <w:t>,</w:t>
      </w:r>
      <w:r w:rsidR="00CD00CF" w:rsidRPr="00341D87">
        <w:rPr>
          <w:rFonts w:ascii="Arial" w:hAnsi="Arial" w:cs="Arial"/>
        </w:rPr>
        <w:t xml:space="preserve"> through making</w:t>
      </w:r>
      <w:r w:rsidR="0022453A">
        <w:rPr>
          <w:rFonts w:ascii="Arial" w:hAnsi="Arial" w:cs="Arial"/>
        </w:rPr>
        <w:t xml:space="preserve"> a </w:t>
      </w:r>
      <w:r w:rsidR="00CD00CF" w:rsidRPr="00341D87">
        <w:rPr>
          <w:rFonts w:ascii="Arial" w:hAnsi="Arial" w:cs="Arial"/>
        </w:rPr>
        <w:t xml:space="preserve">substantive correction </w:t>
      </w:r>
      <w:r w:rsidR="0022453A">
        <w:rPr>
          <w:rFonts w:ascii="Arial" w:hAnsi="Arial" w:cs="Arial"/>
        </w:rPr>
        <w:t xml:space="preserve">to the notice of intention </w:t>
      </w:r>
      <w:r w:rsidR="00CD00CF">
        <w:rPr>
          <w:rFonts w:ascii="Arial" w:hAnsi="Arial" w:cs="Arial"/>
        </w:rPr>
        <w:t xml:space="preserve">via the corrigendum </w:t>
      </w:r>
      <w:r w:rsidR="0022453A">
        <w:rPr>
          <w:rFonts w:ascii="Arial" w:hAnsi="Arial" w:cs="Arial"/>
        </w:rPr>
        <w:t xml:space="preserve">of </w:t>
      </w:r>
      <w:r w:rsidR="00CD00CF">
        <w:rPr>
          <w:rFonts w:ascii="Arial" w:hAnsi="Arial" w:cs="Arial"/>
        </w:rPr>
        <w:t xml:space="preserve">7 March 2025, </w:t>
      </w:r>
      <w:r w:rsidR="00CD00CF" w:rsidRPr="00341D87">
        <w:rPr>
          <w:rFonts w:ascii="Arial" w:hAnsi="Arial" w:cs="Arial"/>
        </w:rPr>
        <w:t>and not</w:t>
      </w:r>
      <w:r w:rsidR="003255AB">
        <w:rPr>
          <w:rFonts w:ascii="Arial" w:hAnsi="Arial" w:cs="Arial"/>
        </w:rPr>
        <w:t xml:space="preserve"> </w:t>
      </w:r>
      <w:r>
        <w:rPr>
          <w:rFonts w:ascii="Arial" w:hAnsi="Arial" w:cs="Arial"/>
        </w:rPr>
        <w:t xml:space="preserve">repeating the subsequent steps in the </w:t>
      </w:r>
      <w:r w:rsidR="00573B0B">
        <w:rPr>
          <w:rFonts w:ascii="Arial" w:hAnsi="Arial" w:cs="Arial"/>
        </w:rPr>
        <w:t xml:space="preserve">provider </w:t>
      </w:r>
      <w:r>
        <w:rPr>
          <w:rFonts w:ascii="Arial" w:hAnsi="Arial" w:cs="Arial"/>
        </w:rPr>
        <w:t>selection process</w:t>
      </w:r>
      <w:r w:rsidR="007406DA">
        <w:rPr>
          <w:rFonts w:ascii="Arial" w:hAnsi="Arial" w:cs="Arial"/>
        </w:rPr>
        <w:t xml:space="preserve"> (contrary to the </w:t>
      </w:r>
      <w:r>
        <w:rPr>
          <w:rFonts w:ascii="Arial" w:hAnsi="Arial" w:cs="Arial"/>
        </w:rPr>
        <w:t xml:space="preserve">requirements </w:t>
      </w:r>
      <w:r w:rsidR="007406DA">
        <w:rPr>
          <w:rFonts w:ascii="Arial" w:hAnsi="Arial" w:cs="Arial"/>
        </w:rPr>
        <w:t>of</w:t>
      </w:r>
      <w:r>
        <w:rPr>
          <w:rFonts w:ascii="Arial" w:hAnsi="Arial" w:cs="Arial"/>
        </w:rPr>
        <w:t xml:space="preserve"> Regulation 12(4)</w:t>
      </w:r>
      <w:r w:rsidR="007406DA">
        <w:rPr>
          <w:rFonts w:ascii="Arial" w:hAnsi="Arial" w:cs="Arial"/>
        </w:rPr>
        <w:t>)</w:t>
      </w:r>
      <w:r>
        <w:rPr>
          <w:rFonts w:ascii="Arial" w:hAnsi="Arial" w:cs="Arial"/>
        </w:rPr>
        <w:t>.</w:t>
      </w:r>
    </w:p>
    <w:p w14:paraId="6E9B474E" w14:textId="26527478" w:rsidR="00BF3A6C" w:rsidRDefault="00C56148" w:rsidP="00BF3A6C">
      <w:pPr>
        <w:pStyle w:val="ListParagraph"/>
        <w:numPr>
          <w:ilvl w:val="0"/>
          <w:numId w:val="2"/>
        </w:numPr>
        <w:spacing w:line="276" w:lineRule="auto"/>
        <w:ind w:left="567" w:hanging="567"/>
        <w:rPr>
          <w:rFonts w:ascii="Arial" w:hAnsi="Arial" w:cs="Arial"/>
        </w:rPr>
      </w:pPr>
      <w:r>
        <w:rPr>
          <w:rFonts w:ascii="Arial" w:hAnsi="Arial" w:cs="Arial"/>
        </w:rPr>
        <w:t xml:space="preserve">Regarding </w:t>
      </w:r>
      <w:r w:rsidR="007B10E9">
        <w:rPr>
          <w:rFonts w:ascii="Arial" w:hAnsi="Arial" w:cs="Arial"/>
        </w:rPr>
        <w:t xml:space="preserve">Barkhill’s request for information during its representations to the ICB, </w:t>
      </w:r>
      <w:r w:rsidR="00625112" w:rsidRPr="001066E6">
        <w:rPr>
          <w:rFonts w:ascii="Arial" w:hAnsi="Arial" w:cs="Arial"/>
        </w:rPr>
        <w:t xml:space="preserve">the Panel finds that HNY ICB breached </w:t>
      </w:r>
      <w:r w:rsidR="00391A26">
        <w:rPr>
          <w:rFonts w:ascii="Arial" w:hAnsi="Arial" w:cs="Arial"/>
        </w:rPr>
        <w:t>Regulation 12(4)</w:t>
      </w:r>
      <w:r w:rsidR="00625112" w:rsidRPr="001066E6">
        <w:rPr>
          <w:rFonts w:ascii="Arial" w:hAnsi="Arial" w:cs="Arial"/>
        </w:rPr>
        <w:t xml:space="preserve"> by failing to provide </w:t>
      </w:r>
      <w:r w:rsidR="006C69A5">
        <w:rPr>
          <w:rFonts w:ascii="Arial" w:hAnsi="Arial" w:cs="Arial"/>
        </w:rPr>
        <w:t xml:space="preserve">Barkhill with </w:t>
      </w:r>
      <w:r w:rsidR="00625112" w:rsidRPr="001066E6">
        <w:rPr>
          <w:rFonts w:ascii="Arial" w:hAnsi="Arial" w:cs="Arial"/>
        </w:rPr>
        <w:t>its records on</w:t>
      </w:r>
      <w:r w:rsidR="00EF5E3D">
        <w:rPr>
          <w:rFonts w:ascii="Arial" w:hAnsi="Arial" w:cs="Arial"/>
        </w:rPr>
        <w:t>:</w:t>
      </w:r>
    </w:p>
    <w:p w14:paraId="3D3551A9" w14:textId="77777777" w:rsidR="00BF3A6C" w:rsidRDefault="00625112" w:rsidP="00BF3A6C">
      <w:pPr>
        <w:pStyle w:val="ListParagraph"/>
        <w:numPr>
          <w:ilvl w:val="0"/>
          <w:numId w:val="13"/>
        </w:numPr>
        <w:spacing w:after="120" w:line="276" w:lineRule="auto"/>
        <w:ind w:left="1434" w:hanging="357"/>
        <w:rPr>
          <w:rFonts w:ascii="Arial" w:hAnsi="Arial" w:cs="Arial"/>
        </w:rPr>
      </w:pPr>
      <w:r w:rsidRPr="001066E6">
        <w:rPr>
          <w:rFonts w:ascii="Arial" w:hAnsi="Arial" w:cs="Arial"/>
        </w:rPr>
        <w:t>its decision making process, including the way in which key criteria were taken into account</w:t>
      </w:r>
      <w:r w:rsidR="00EF5E3D">
        <w:rPr>
          <w:rFonts w:ascii="Arial" w:hAnsi="Arial" w:cs="Arial"/>
        </w:rPr>
        <w:t>;</w:t>
      </w:r>
    </w:p>
    <w:p w14:paraId="746C0BA8" w14:textId="77777777" w:rsidR="00BF3A6C" w:rsidRDefault="00EF5E3D" w:rsidP="00BF3A6C">
      <w:pPr>
        <w:pStyle w:val="ListParagraph"/>
        <w:numPr>
          <w:ilvl w:val="0"/>
          <w:numId w:val="13"/>
        </w:numPr>
        <w:spacing w:after="120" w:line="276" w:lineRule="auto"/>
        <w:ind w:left="1434" w:hanging="357"/>
        <w:rPr>
          <w:rFonts w:ascii="Arial" w:hAnsi="Arial" w:cs="Arial"/>
        </w:rPr>
      </w:pPr>
      <w:r>
        <w:rPr>
          <w:rFonts w:ascii="Arial" w:hAnsi="Arial" w:cs="Arial"/>
        </w:rPr>
        <w:t>how</w:t>
      </w:r>
      <w:r w:rsidR="00625112" w:rsidRPr="001066E6">
        <w:rPr>
          <w:rFonts w:ascii="Arial" w:hAnsi="Arial" w:cs="Arial"/>
        </w:rPr>
        <w:t xml:space="preserve"> the basic selection criteria were assessed and contract award criteria were evaluated</w:t>
      </w:r>
      <w:r>
        <w:rPr>
          <w:rFonts w:ascii="Arial" w:hAnsi="Arial" w:cs="Arial"/>
        </w:rPr>
        <w:t>;</w:t>
      </w:r>
    </w:p>
    <w:p w14:paraId="0FF2F554" w14:textId="77777777" w:rsidR="00BF3A6C" w:rsidRDefault="00625112" w:rsidP="00BF3A6C">
      <w:pPr>
        <w:pStyle w:val="ListParagraph"/>
        <w:numPr>
          <w:ilvl w:val="0"/>
          <w:numId w:val="13"/>
        </w:numPr>
        <w:spacing w:after="120" w:line="276" w:lineRule="auto"/>
        <w:ind w:left="1434" w:hanging="357"/>
        <w:rPr>
          <w:rFonts w:ascii="Arial" w:hAnsi="Arial" w:cs="Arial"/>
        </w:rPr>
      </w:pPr>
      <w:r w:rsidRPr="001066E6">
        <w:rPr>
          <w:rFonts w:ascii="Arial" w:hAnsi="Arial" w:cs="Arial"/>
        </w:rPr>
        <w:t>the reasons for the decision to award the contract for Lots 11 and 12 to Haricovert</w:t>
      </w:r>
      <w:r w:rsidR="00135DC9">
        <w:rPr>
          <w:rFonts w:ascii="Arial" w:hAnsi="Arial" w:cs="Arial"/>
        </w:rPr>
        <w:t>;</w:t>
      </w:r>
      <w:r w:rsidRPr="001066E6">
        <w:rPr>
          <w:rFonts w:ascii="Arial" w:hAnsi="Arial" w:cs="Arial"/>
        </w:rPr>
        <w:t xml:space="preserve"> and</w:t>
      </w:r>
    </w:p>
    <w:p w14:paraId="55059A45" w14:textId="0644941E" w:rsidR="00625112" w:rsidRPr="001066E6" w:rsidRDefault="00625112" w:rsidP="00BF3A6C">
      <w:pPr>
        <w:pStyle w:val="ListParagraph"/>
        <w:numPr>
          <w:ilvl w:val="0"/>
          <w:numId w:val="13"/>
        </w:numPr>
        <w:spacing w:line="276" w:lineRule="auto"/>
        <w:ind w:left="1434" w:hanging="357"/>
        <w:contextualSpacing w:val="0"/>
        <w:rPr>
          <w:rFonts w:ascii="Arial" w:hAnsi="Arial" w:cs="Arial"/>
        </w:rPr>
      </w:pPr>
      <w:r w:rsidRPr="001066E6">
        <w:rPr>
          <w:rFonts w:ascii="Arial" w:hAnsi="Arial" w:cs="Arial"/>
        </w:rPr>
        <w:t>evaluators’ identities.</w:t>
      </w:r>
    </w:p>
    <w:p w14:paraId="6F64A0BD" w14:textId="1BEBF921" w:rsidR="00927BB1" w:rsidRDefault="001A7DB4" w:rsidP="00203B6D">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The Panel also finds that HNY ICB did not breach the PSR regulations </w:t>
      </w:r>
      <w:r w:rsidR="00500A5A">
        <w:rPr>
          <w:rFonts w:ascii="Arial" w:hAnsi="Arial" w:cs="Arial"/>
        </w:rPr>
        <w:t xml:space="preserve">both </w:t>
      </w:r>
      <w:r>
        <w:rPr>
          <w:rFonts w:ascii="Arial" w:hAnsi="Arial" w:cs="Arial"/>
        </w:rPr>
        <w:t xml:space="preserve">in </w:t>
      </w:r>
      <w:r w:rsidR="002016C9">
        <w:rPr>
          <w:rFonts w:ascii="Arial" w:hAnsi="Arial" w:cs="Arial"/>
        </w:rPr>
        <w:t>relation to its evaluation of Barkhill’s proposals</w:t>
      </w:r>
      <w:r w:rsidR="00500A5A">
        <w:rPr>
          <w:rFonts w:ascii="Arial" w:hAnsi="Arial" w:cs="Arial"/>
        </w:rPr>
        <w:t xml:space="preserve"> and in relation to other aspects of its notice of intention where concerns were raised by Barkhill.</w:t>
      </w:r>
    </w:p>
    <w:p w14:paraId="22FDFB83" w14:textId="460EAE0D" w:rsidR="005B6410" w:rsidRDefault="000468B7" w:rsidP="00F92066">
      <w:pPr>
        <w:pStyle w:val="ListParagraph"/>
        <w:numPr>
          <w:ilvl w:val="0"/>
          <w:numId w:val="2"/>
        </w:numPr>
        <w:spacing w:after="120" w:line="276" w:lineRule="auto"/>
        <w:ind w:left="567" w:hanging="567"/>
        <w:rPr>
          <w:rFonts w:ascii="Arial" w:hAnsi="Arial" w:cs="Arial"/>
        </w:rPr>
      </w:pPr>
      <w:r>
        <w:rPr>
          <w:rFonts w:ascii="Arial" w:hAnsi="Arial" w:cs="Arial"/>
        </w:rPr>
        <w:t xml:space="preserve">Regarding the evaluation of </w:t>
      </w:r>
      <w:r w:rsidR="003042A2">
        <w:rPr>
          <w:rFonts w:ascii="Arial" w:hAnsi="Arial" w:cs="Arial"/>
        </w:rPr>
        <w:t xml:space="preserve">Barkhill’s proposals </w:t>
      </w:r>
      <w:r w:rsidR="000B6AFD">
        <w:rPr>
          <w:rFonts w:ascii="Arial" w:hAnsi="Arial" w:cs="Arial"/>
        </w:rPr>
        <w:t>the Panel finds</w:t>
      </w:r>
      <w:r w:rsidR="00F92066">
        <w:rPr>
          <w:rFonts w:ascii="Arial" w:hAnsi="Arial" w:cs="Arial"/>
        </w:rPr>
        <w:t xml:space="preserve"> that</w:t>
      </w:r>
      <w:r w:rsidR="00E56A92">
        <w:rPr>
          <w:rFonts w:ascii="Arial" w:hAnsi="Arial" w:cs="Arial"/>
        </w:rPr>
        <w:t>:</w:t>
      </w:r>
    </w:p>
    <w:p w14:paraId="378768A7" w14:textId="0F247E7C" w:rsidR="00AA5636" w:rsidRDefault="00AA5636" w:rsidP="00F92066">
      <w:pPr>
        <w:pStyle w:val="ListParagraph"/>
        <w:numPr>
          <w:ilvl w:val="0"/>
          <w:numId w:val="4"/>
        </w:numPr>
        <w:spacing w:after="120" w:line="276" w:lineRule="auto"/>
        <w:ind w:left="1417" w:hanging="425"/>
        <w:rPr>
          <w:rFonts w:ascii="Arial" w:hAnsi="Arial" w:cs="Arial"/>
        </w:rPr>
      </w:pPr>
      <w:r>
        <w:rPr>
          <w:rFonts w:ascii="Arial" w:hAnsi="Arial" w:cs="Arial"/>
        </w:rPr>
        <w:t xml:space="preserve">HNY ICB did not fail to apply the evaluation criteria in the manner in which they were described in the tender documentation and as a result did not breach the PSR regulations, and in particular its obligation under Regulation 4 to act </w:t>
      </w:r>
      <w:r w:rsidR="00A962BD">
        <w:rPr>
          <w:rFonts w:ascii="Arial" w:hAnsi="Arial" w:cs="Arial"/>
        </w:rPr>
        <w:t xml:space="preserve">fairly and </w:t>
      </w:r>
      <w:r>
        <w:rPr>
          <w:rFonts w:ascii="Arial" w:hAnsi="Arial" w:cs="Arial"/>
        </w:rPr>
        <w:t>transparently; and</w:t>
      </w:r>
    </w:p>
    <w:p w14:paraId="60C69061" w14:textId="0B29D3A5" w:rsidR="00AA5636" w:rsidRDefault="7F813756" w:rsidP="00203B6D">
      <w:pPr>
        <w:pStyle w:val="ListParagraph"/>
        <w:numPr>
          <w:ilvl w:val="0"/>
          <w:numId w:val="4"/>
        </w:numPr>
        <w:spacing w:line="276" w:lineRule="auto"/>
        <w:ind w:left="1417" w:hanging="425"/>
        <w:contextualSpacing w:val="0"/>
        <w:rPr>
          <w:rFonts w:ascii="Arial" w:hAnsi="Arial" w:cs="Arial"/>
        </w:rPr>
      </w:pPr>
      <w:r w:rsidRPr="0B2A13D6">
        <w:rPr>
          <w:rFonts w:ascii="Arial" w:hAnsi="Arial" w:cs="Arial"/>
        </w:rPr>
        <w:t>HNY ICB’s tender outcome letter did not breach the PSR regulations, and in particular its obligations under Regulation 11(8)(b) and Schedule 9, to provide Barkhill with “the reasons why the successful provider was successful” and “the reasons why the unsuccessful provider was unsuccessful”.</w:t>
      </w:r>
    </w:p>
    <w:p w14:paraId="58C6AEC3" w14:textId="6B9EFA04" w:rsidR="00681778" w:rsidRPr="00993C36" w:rsidRDefault="00C737A6" w:rsidP="00C07DB1">
      <w:pPr>
        <w:pStyle w:val="ListParagraph"/>
        <w:numPr>
          <w:ilvl w:val="0"/>
          <w:numId w:val="2"/>
        </w:numPr>
        <w:spacing w:after="120" w:line="276" w:lineRule="auto"/>
        <w:ind w:left="567" w:hanging="567"/>
        <w:rPr>
          <w:rFonts w:ascii="Arial" w:hAnsi="Arial" w:cs="Arial"/>
        </w:rPr>
      </w:pPr>
      <w:r>
        <w:rPr>
          <w:rFonts w:ascii="Arial" w:hAnsi="Arial" w:cs="Arial"/>
        </w:rPr>
        <w:t>Regarding the notice of intention</w:t>
      </w:r>
      <w:r w:rsidR="00C07DB1">
        <w:rPr>
          <w:rFonts w:ascii="Arial" w:hAnsi="Arial" w:cs="Arial"/>
        </w:rPr>
        <w:t>, t</w:t>
      </w:r>
      <w:r w:rsidR="00681778">
        <w:rPr>
          <w:rFonts w:ascii="Arial" w:hAnsi="Arial" w:cs="Arial"/>
        </w:rPr>
        <w:t>he Panel finds that:</w:t>
      </w:r>
    </w:p>
    <w:p w14:paraId="592B5CAF" w14:textId="77777777" w:rsidR="00681778" w:rsidRDefault="00681778" w:rsidP="00C07DB1">
      <w:pPr>
        <w:pStyle w:val="ListParagraph"/>
        <w:numPr>
          <w:ilvl w:val="0"/>
          <w:numId w:val="13"/>
        </w:numPr>
        <w:spacing w:after="120" w:line="276" w:lineRule="auto"/>
        <w:ind w:left="1434" w:hanging="357"/>
        <w:rPr>
          <w:rFonts w:ascii="Arial" w:hAnsi="Arial" w:cs="Arial"/>
        </w:rPr>
      </w:pPr>
      <w:r>
        <w:rPr>
          <w:rFonts w:ascii="Arial" w:hAnsi="Arial" w:cs="Arial"/>
        </w:rPr>
        <w:t>by publishing a corrigendum to the notice of intention with an additional CPV code, HNY ICB did not breach the PSR regulations with respect to its obligation under Regulation 11(10) and Schedule 10 to include the most relevant CPV code in its notice of intention; and</w:t>
      </w:r>
    </w:p>
    <w:p w14:paraId="6F8F8A5A" w14:textId="77777777" w:rsidR="00681778" w:rsidRDefault="00681778" w:rsidP="00681778">
      <w:pPr>
        <w:pStyle w:val="ListParagraph"/>
        <w:numPr>
          <w:ilvl w:val="0"/>
          <w:numId w:val="13"/>
        </w:numPr>
        <w:spacing w:line="276" w:lineRule="auto"/>
        <w:ind w:left="1434" w:hanging="357"/>
        <w:contextualSpacing w:val="0"/>
        <w:rPr>
          <w:rFonts w:ascii="Arial" w:hAnsi="Arial" w:cs="Arial"/>
        </w:rPr>
      </w:pPr>
      <w:r>
        <w:rPr>
          <w:rFonts w:ascii="Arial" w:hAnsi="Arial" w:cs="Arial"/>
        </w:rPr>
        <w:t>when publishing its notice of intention on FTS using the contract award notice template, HNY ICB did not breach the PSR regulations and the notice was valid to start the standstill period under Regulation 12(2).</w:t>
      </w:r>
    </w:p>
    <w:p w14:paraId="10B39873" w14:textId="79CEDBBC" w:rsidR="00462ADC" w:rsidRPr="00835A70" w:rsidRDefault="00835A70" w:rsidP="00835A70">
      <w:pPr>
        <w:keepNext/>
        <w:spacing w:before="240" w:line="276" w:lineRule="auto"/>
        <w:rPr>
          <w:rFonts w:ascii="Arial" w:hAnsi="Arial" w:cs="Arial"/>
          <w:b/>
        </w:rPr>
      </w:pPr>
      <w:r>
        <w:rPr>
          <w:rFonts w:ascii="Arial" w:hAnsi="Arial" w:cs="Arial"/>
          <w:b/>
          <w:bCs/>
        </w:rPr>
        <w:t xml:space="preserve">11.1.2 </w:t>
      </w:r>
      <w:r w:rsidR="00EE38C8" w:rsidRPr="00835A70">
        <w:rPr>
          <w:rFonts w:ascii="Arial" w:hAnsi="Arial" w:cs="Arial"/>
          <w:b/>
          <w:bCs/>
        </w:rPr>
        <w:t xml:space="preserve">Materiality of </w:t>
      </w:r>
      <w:r w:rsidR="00D25219" w:rsidRPr="00835A70">
        <w:rPr>
          <w:rFonts w:ascii="Arial" w:hAnsi="Arial" w:cs="Arial"/>
          <w:b/>
          <w:bCs/>
        </w:rPr>
        <w:t xml:space="preserve">HNY ICB’s breaches of </w:t>
      </w:r>
      <w:r w:rsidR="00335206" w:rsidRPr="00835A70">
        <w:rPr>
          <w:rFonts w:ascii="Arial" w:hAnsi="Arial" w:cs="Arial"/>
          <w:b/>
          <w:bCs/>
        </w:rPr>
        <w:t>the PSR regulations with respect to Barkhill</w:t>
      </w:r>
    </w:p>
    <w:p w14:paraId="0D3E37BB" w14:textId="4754A0E0" w:rsidR="00C775B0" w:rsidRDefault="00780CBE" w:rsidP="00335206">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214C90">
        <w:rPr>
          <w:rFonts w:ascii="Arial" w:hAnsi="Arial" w:cs="Arial"/>
        </w:rPr>
        <w:t>he Panel</w:t>
      </w:r>
      <w:r w:rsidR="0083263D">
        <w:rPr>
          <w:rFonts w:ascii="Arial" w:hAnsi="Arial" w:cs="Arial"/>
        </w:rPr>
        <w:t xml:space="preserve"> has</w:t>
      </w:r>
      <w:r w:rsidR="00214C90">
        <w:rPr>
          <w:rFonts w:ascii="Arial" w:hAnsi="Arial" w:cs="Arial"/>
        </w:rPr>
        <w:t xml:space="preserve"> assess</w:t>
      </w:r>
      <w:r w:rsidR="0083263D">
        <w:rPr>
          <w:rFonts w:ascii="Arial" w:hAnsi="Arial" w:cs="Arial"/>
        </w:rPr>
        <w:t>ed</w:t>
      </w:r>
      <w:r w:rsidR="00214C90">
        <w:rPr>
          <w:rFonts w:ascii="Arial" w:hAnsi="Arial" w:cs="Arial"/>
        </w:rPr>
        <w:t xml:space="preserve"> </w:t>
      </w:r>
      <w:r w:rsidR="00E85832">
        <w:rPr>
          <w:rFonts w:ascii="Arial" w:hAnsi="Arial" w:cs="Arial"/>
        </w:rPr>
        <w:t xml:space="preserve">the materiality of </w:t>
      </w:r>
      <w:r w:rsidR="00264E73">
        <w:rPr>
          <w:rFonts w:ascii="Arial" w:hAnsi="Arial" w:cs="Arial"/>
        </w:rPr>
        <w:t>HNY ICB</w:t>
      </w:r>
      <w:r w:rsidR="00E85832">
        <w:rPr>
          <w:rFonts w:ascii="Arial" w:hAnsi="Arial" w:cs="Arial"/>
        </w:rPr>
        <w:t>’s</w:t>
      </w:r>
      <w:r w:rsidR="00264E73">
        <w:rPr>
          <w:rFonts w:ascii="Arial" w:hAnsi="Arial" w:cs="Arial"/>
        </w:rPr>
        <w:t xml:space="preserve"> breache</w:t>
      </w:r>
      <w:r w:rsidR="00E85832">
        <w:rPr>
          <w:rFonts w:ascii="Arial" w:hAnsi="Arial" w:cs="Arial"/>
        </w:rPr>
        <w:t xml:space="preserve">s of </w:t>
      </w:r>
      <w:r w:rsidR="00264E73">
        <w:rPr>
          <w:rFonts w:ascii="Arial" w:hAnsi="Arial" w:cs="Arial"/>
        </w:rPr>
        <w:t xml:space="preserve">the PSR regulations with respect to </w:t>
      </w:r>
      <w:r w:rsidR="000F5618">
        <w:rPr>
          <w:rFonts w:ascii="Arial" w:hAnsi="Arial" w:cs="Arial"/>
        </w:rPr>
        <w:t>its</w:t>
      </w:r>
      <w:r w:rsidR="00264E73">
        <w:rPr>
          <w:rFonts w:ascii="Arial" w:hAnsi="Arial" w:cs="Arial"/>
        </w:rPr>
        <w:t xml:space="preserve"> </w:t>
      </w:r>
      <w:r w:rsidR="00E95A27">
        <w:rPr>
          <w:rFonts w:ascii="Arial" w:hAnsi="Arial" w:cs="Arial"/>
        </w:rPr>
        <w:t xml:space="preserve">notice of intention and </w:t>
      </w:r>
      <w:r w:rsidR="000F5618">
        <w:rPr>
          <w:rFonts w:ascii="Arial" w:hAnsi="Arial" w:cs="Arial"/>
        </w:rPr>
        <w:t>its</w:t>
      </w:r>
      <w:r w:rsidR="00E95A27">
        <w:rPr>
          <w:rFonts w:ascii="Arial" w:hAnsi="Arial" w:cs="Arial"/>
        </w:rPr>
        <w:t xml:space="preserve"> respon</w:t>
      </w:r>
      <w:r w:rsidR="00FF2027">
        <w:rPr>
          <w:rFonts w:ascii="Arial" w:hAnsi="Arial" w:cs="Arial"/>
        </w:rPr>
        <w:t xml:space="preserve">se </w:t>
      </w:r>
      <w:r w:rsidR="00E95A27">
        <w:rPr>
          <w:rFonts w:ascii="Arial" w:hAnsi="Arial" w:cs="Arial"/>
        </w:rPr>
        <w:t>to Barkhill’s information request</w:t>
      </w:r>
      <w:r w:rsidR="007D2D05">
        <w:rPr>
          <w:rFonts w:ascii="Arial" w:hAnsi="Arial" w:cs="Arial"/>
        </w:rPr>
        <w:t>s</w:t>
      </w:r>
      <w:r w:rsidR="00E95A27">
        <w:rPr>
          <w:rFonts w:ascii="Arial" w:hAnsi="Arial" w:cs="Arial"/>
        </w:rPr>
        <w:t>.</w:t>
      </w:r>
    </w:p>
    <w:p w14:paraId="1C4434A6" w14:textId="02A40B88" w:rsidR="00B37BB8" w:rsidRDefault="00BA66EC" w:rsidP="00B37BB8">
      <w:pPr>
        <w:pStyle w:val="ListParagraph"/>
        <w:numPr>
          <w:ilvl w:val="0"/>
          <w:numId w:val="2"/>
        </w:numPr>
        <w:spacing w:after="120" w:line="276" w:lineRule="auto"/>
        <w:ind w:left="567" w:hanging="567"/>
        <w:contextualSpacing w:val="0"/>
        <w:rPr>
          <w:rFonts w:ascii="Arial" w:hAnsi="Arial" w:cs="Arial"/>
        </w:rPr>
      </w:pPr>
      <w:r>
        <w:rPr>
          <w:rFonts w:ascii="Arial" w:hAnsi="Arial" w:cs="Arial"/>
        </w:rPr>
        <w:lastRenderedPageBreak/>
        <w:t xml:space="preserve">The </w:t>
      </w:r>
      <w:r w:rsidR="00B37BB8">
        <w:rPr>
          <w:rFonts w:ascii="Arial" w:hAnsi="Arial" w:cs="Arial"/>
        </w:rPr>
        <w:t>Panel does not consider</w:t>
      </w:r>
      <w:r w:rsidR="005327C2">
        <w:rPr>
          <w:rFonts w:ascii="Arial" w:hAnsi="Arial" w:cs="Arial"/>
        </w:rPr>
        <w:t xml:space="preserve"> that HNY ICB’s </w:t>
      </w:r>
      <w:r>
        <w:rPr>
          <w:rFonts w:ascii="Arial" w:hAnsi="Arial" w:cs="Arial"/>
        </w:rPr>
        <w:t xml:space="preserve">breaches of the PSR regulations in relation to </w:t>
      </w:r>
      <w:r w:rsidR="00B37BB8">
        <w:rPr>
          <w:rFonts w:ascii="Arial" w:hAnsi="Arial" w:cs="Arial"/>
        </w:rPr>
        <w:t xml:space="preserve">its notice of intention </w:t>
      </w:r>
      <w:r w:rsidR="005327C2">
        <w:rPr>
          <w:rFonts w:ascii="Arial" w:hAnsi="Arial" w:cs="Arial"/>
        </w:rPr>
        <w:t xml:space="preserve">had a material effect on HNY ICB’s </w:t>
      </w:r>
      <w:r w:rsidR="00A01E8A">
        <w:rPr>
          <w:rFonts w:ascii="Arial" w:hAnsi="Arial" w:cs="Arial"/>
        </w:rPr>
        <w:t xml:space="preserve">provider </w:t>
      </w:r>
      <w:r w:rsidR="005327C2">
        <w:rPr>
          <w:rFonts w:ascii="Arial" w:hAnsi="Arial" w:cs="Arial"/>
        </w:rPr>
        <w:t xml:space="preserve">selection </w:t>
      </w:r>
      <w:r w:rsidR="00A01E8A">
        <w:rPr>
          <w:rFonts w:ascii="Arial" w:hAnsi="Arial" w:cs="Arial"/>
        </w:rPr>
        <w:t>process</w:t>
      </w:r>
      <w:r>
        <w:rPr>
          <w:rFonts w:ascii="Arial" w:hAnsi="Arial" w:cs="Arial"/>
        </w:rPr>
        <w:t>.</w:t>
      </w:r>
    </w:p>
    <w:p w14:paraId="7FA48138" w14:textId="77777777" w:rsidR="00B37BB8" w:rsidRDefault="00B37BB8" w:rsidP="00B37BB8">
      <w:pPr>
        <w:pStyle w:val="ListParagraph"/>
        <w:numPr>
          <w:ilvl w:val="0"/>
          <w:numId w:val="13"/>
        </w:numPr>
        <w:spacing w:after="120" w:line="276" w:lineRule="auto"/>
        <w:ind w:left="1434" w:hanging="357"/>
        <w:contextualSpacing w:val="0"/>
        <w:rPr>
          <w:rFonts w:ascii="Arial" w:hAnsi="Arial" w:cs="Arial"/>
        </w:rPr>
      </w:pPr>
      <w:r>
        <w:rPr>
          <w:rFonts w:ascii="Arial" w:hAnsi="Arial" w:cs="Arial"/>
        </w:rPr>
        <w:t>Regarding the notice of intention’s lack of a full address for the successful bidders, the Panel considers that the limited address information in the notice of intention was sufficient for any interested party to find the successful bidders’ addresses using online search tools, including Companies House information.</w:t>
      </w:r>
    </w:p>
    <w:p w14:paraId="64FE3508" w14:textId="53F7DD7D" w:rsidR="00B37BB8" w:rsidRDefault="00B37BB8" w:rsidP="00ED56C4">
      <w:pPr>
        <w:pStyle w:val="ListParagraph"/>
        <w:numPr>
          <w:ilvl w:val="0"/>
          <w:numId w:val="13"/>
        </w:numPr>
        <w:spacing w:after="120" w:line="276" w:lineRule="auto"/>
        <w:ind w:left="1434" w:hanging="357"/>
        <w:contextualSpacing w:val="0"/>
        <w:rPr>
          <w:rFonts w:ascii="Arial" w:hAnsi="Arial" w:cs="Arial"/>
        </w:rPr>
      </w:pPr>
      <w:r>
        <w:rPr>
          <w:rFonts w:ascii="Arial" w:hAnsi="Arial" w:cs="Arial"/>
        </w:rPr>
        <w:t xml:space="preserve">Regarding the notice of intention’s lack of a statement </w:t>
      </w:r>
      <w:r w:rsidR="007B3375">
        <w:rPr>
          <w:rFonts w:ascii="Arial" w:hAnsi="Arial" w:cs="Arial"/>
        </w:rPr>
        <w:t xml:space="preserve">adequately </w:t>
      </w:r>
      <w:r>
        <w:rPr>
          <w:rFonts w:ascii="Arial" w:hAnsi="Arial" w:cs="Arial"/>
        </w:rPr>
        <w:t xml:space="preserve">explaining the decision-makers’ reasons for selecting the chosen providers with reference to the key criteria, the Panel notes that all of the unsuccessful bidders </w:t>
      </w:r>
      <w:r w:rsidR="008F46F5">
        <w:rPr>
          <w:rFonts w:ascii="Arial" w:hAnsi="Arial" w:cs="Arial"/>
        </w:rPr>
        <w:t>separately</w:t>
      </w:r>
      <w:r>
        <w:rPr>
          <w:rFonts w:ascii="Arial" w:hAnsi="Arial" w:cs="Arial"/>
        </w:rPr>
        <w:t xml:space="preserve"> received information in their tender outcome letter</w:t>
      </w:r>
      <w:r w:rsidR="00C24445">
        <w:rPr>
          <w:rFonts w:ascii="Arial" w:hAnsi="Arial" w:cs="Arial"/>
        </w:rPr>
        <w:t xml:space="preserve"> on the reasons why </w:t>
      </w:r>
      <w:r w:rsidR="00DB7A95">
        <w:rPr>
          <w:rFonts w:ascii="Arial" w:hAnsi="Arial" w:cs="Arial"/>
        </w:rPr>
        <w:t xml:space="preserve">they were unsuccessful and why </w:t>
      </w:r>
      <w:r w:rsidR="00C24445">
        <w:rPr>
          <w:rFonts w:ascii="Arial" w:hAnsi="Arial" w:cs="Arial"/>
        </w:rPr>
        <w:t xml:space="preserve">the </w:t>
      </w:r>
      <w:r w:rsidR="008F46F5">
        <w:rPr>
          <w:rFonts w:ascii="Arial" w:hAnsi="Arial" w:cs="Arial"/>
        </w:rPr>
        <w:t>successful bidder was successful</w:t>
      </w:r>
      <w:r>
        <w:rPr>
          <w:rFonts w:ascii="Arial" w:hAnsi="Arial" w:cs="Arial"/>
        </w:rPr>
        <w:t>. As a result, the only parties who may have been disadvantaged by this shortcoming in the notice of intention were those who did not bid for the contract. The Panel does not believe that the inclusion of this information in the notice of intention would have been likely to result in representations that could have led to a different outcome to the provider selection process.</w:t>
      </w:r>
    </w:p>
    <w:p w14:paraId="456F5BBF" w14:textId="27F30B00" w:rsidR="00B37BB8" w:rsidRDefault="009D42EC" w:rsidP="00B37BB8">
      <w:pPr>
        <w:pStyle w:val="ListParagraph"/>
        <w:numPr>
          <w:ilvl w:val="0"/>
          <w:numId w:val="13"/>
        </w:numPr>
        <w:spacing w:line="276" w:lineRule="auto"/>
        <w:ind w:left="1434" w:hanging="357"/>
        <w:contextualSpacing w:val="0"/>
        <w:rPr>
          <w:rFonts w:ascii="Arial" w:hAnsi="Arial" w:cs="Arial"/>
        </w:rPr>
      </w:pPr>
      <w:r>
        <w:rPr>
          <w:rFonts w:ascii="Arial" w:hAnsi="Arial" w:cs="Arial"/>
        </w:rPr>
        <w:t xml:space="preserve">Regarding </w:t>
      </w:r>
      <w:r w:rsidR="00ED56C4">
        <w:rPr>
          <w:rFonts w:ascii="Arial" w:hAnsi="Arial" w:cs="Arial"/>
        </w:rPr>
        <w:t>HNY ICB’s return to an earlier step in the provider selection process, through publishing the corrigendum of 7 March 2025 without repeating the subsequent steps in the provider selection process</w:t>
      </w:r>
      <w:r w:rsidR="00A8326F">
        <w:rPr>
          <w:rFonts w:ascii="Arial" w:hAnsi="Arial" w:cs="Arial"/>
        </w:rPr>
        <w:t xml:space="preserve">, the Panel </w:t>
      </w:r>
      <w:r w:rsidR="00C271B7">
        <w:rPr>
          <w:rFonts w:ascii="Arial" w:hAnsi="Arial" w:cs="Arial"/>
        </w:rPr>
        <w:t>considers</w:t>
      </w:r>
      <w:r w:rsidR="00A8326F">
        <w:rPr>
          <w:rFonts w:ascii="Arial" w:hAnsi="Arial" w:cs="Arial"/>
        </w:rPr>
        <w:t xml:space="preserve"> that </w:t>
      </w:r>
      <w:r w:rsidR="00466C0B">
        <w:rPr>
          <w:rFonts w:ascii="Arial" w:hAnsi="Arial" w:cs="Arial"/>
        </w:rPr>
        <w:t xml:space="preserve">the revised conflict of interest information published by </w:t>
      </w:r>
      <w:r w:rsidR="005571C0">
        <w:rPr>
          <w:rFonts w:ascii="Arial" w:hAnsi="Arial" w:cs="Arial"/>
        </w:rPr>
        <w:t xml:space="preserve">HNY ICB did not </w:t>
      </w:r>
      <w:r w:rsidR="00C271B7">
        <w:rPr>
          <w:rFonts w:ascii="Arial" w:hAnsi="Arial" w:cs="Arial"/>
        </w:rPr>
        <w:t>reveal</w:t>
      </w:r>
      <w:r w:rsidR="00EE5CF0">
        <w:rPr>
          <w:rFonts w:ascii="Arial" w:hAnsi="Arial" w:cs="Arial"/>
        </w:rPr>
        <w:t xml:space="preserve"> any information that raised concerns about the conduct of the provider selection process.</w:t>
      </w:r>
    </w:p>
    <w:p w14:paraId="6BA6D45A" w14:textId="6AC9B1B4" w:rsidR="00BA66EC" w:rsidRDefault="00BA66EC" w:rsidP="00BA66EC">
      <w:pPr>
        <w:pStyle w:val="ListParagraph"/>
        <w:numPr>
          <w:ilvl w:val="0"/>
          <w:numId w:val="2"/>
        </w:numPr>
        <w:spacing w:line="276" w:lineRule="auto"/>
        <w:ind w:left="567" w:hanging="567"/>
        <w:contextualSpacing w:val="0"/>
        <w:rPr>
          <w:rFonts w:ascii="Arial" w:hAnsi="Arial" w:cs="Arial"/>
        </w:rPr>
      </w:pPr>
      <w:r>
        <w:rPr>
          <w:rFonts w:ascii="Arial" w:hAnsi="Arial" w:cs="Arial"/>
        </w:rPr>
        <w:t>The Panel</w:t>
      </w:r>
      <w:r w:rsidR="001866A3">
        <w:rPr>
          <w:rFonts w:ascii="Arial" w:hAnsi="Arial" w:cs="Arial"/>
        </w:rPr>
        <w:t xml:space="preserve">, however, considers </w:t>
      </w:r>
      <w:r w:rsidR="005327C2">
        <w:rPr>
          <w:rFonts w:ascii="Arial" w:hAnsi="Arial" w:cs="Arial"/>
        </w:rPr>
        <w:t xml:space="preserve">that HNY ICB’s </w:t>
      </w:r>
      <w:r>
        <w:rPr>
          <w:rFonts w:ascii="Arial" w:hAnsi="Arial" w:cs="Arial"/>
        </w:rPr>
        <w:t xml:space="preserve">breach of the PSR regulations in relation to Barkhill’s information request </w:t>
      </w:r>
      <w:r w:rsidR="005327C2">
        <w:rPr>
          <w:rFonts w:ascii="Arial" w:hAnsi="Arial" w:cs="Arial"/>
        </w:rPr>
        <w:t xml:space="preserve">may have had a material effect on HNY ICB’s </w:t>
      </w:r>
      <w:r w:rsidR="00A01E8A">
        <w:rPr>
          <w:rFonts w:ascii="Arial" w:hAnsi="Arial" w:cs="Arial"/>
        </w:rPr>
        <w:t xml:space="preserve">provider </w:t>
      </w:r>
      <w:r w:rsidR="005327C2">
        <w:rPr>
          <w:rFonts w:ascii="Arial" w:hAnsi="Arial" w:cs="Arial"/>
        </w:rPr>
        <w:t xml:space="preserve">selection </w:t>
      </w:r>
      <w:r w:rsidR="00A01E8A">
        <w:rPr>
          <w:rFonts w:ascii="Arial" w:hAnsi="Arial" w:cs="Arial"/>
        </w:rPr>
        <w:t>process</w:t>
      </w:r>
      <w:r>
        <w:rPr>
          <w:rFonts w:ascii="Arial" w:hAnsi="Arial" w:cs="Arial"/>
        </w:rPr>
        <w:t>.</w:t>
      </w:r>
      <w:r w:rsidR="00A715F6">
        <w:rPr>
          <w:rFonts w:ascii="Arial" w:hAnsi="Arial" w:cs="Arial"/>
        </w:rPr>
        <w:t xml:space="preserve"> </w:t>
      </w:r>
      <w:r w:rsidR="005327C2">
        <w:rPr>
          <w:rFonts w:ascii="Arial" w:hAnsi="Arial" w:cs="Arial"/>
        </w:rPr>
        <w:t xml:space="preserve">This is because </w:t>
      </w:r>
      <w:r w:rsidR="00A17144">
        <w:rPr>
          <w:rFonts w:ascii="Arial" w:hAnsi="Arial" w:cs="Arial"/>
        </w:rPr>
        <w:t xml:space="preserve">a representation review process carried out in accordance with the PSR regulations, including </w:t>
      </w:r>
      <w:r w:rsidR="00A80F39">
        <w:rPr>
          <w:rFonts w:ascii="Arial" w:hAnsi="Arial" w:cs="Arial"/>
        </w:rPr>
        <w:t>the supply of information in response to Barkhill’s request</w:t>
      </w:r>
      <w:r w:rsidR="005D6595">
        <w:rPr>
          <w:rFonts w:ascii="Arial" w:hAnsi="Arial" w:cs="Arial"/>
        </w:rPr>
        <w:t xml:space="preserve">, may have resulted in a different </w:t>
      </w:r>
      <w:r w:rsidR="00DC3501">
        <w:rPr>
          <w:rFonts w:ascii="Arial" w:hAnsi="Arial" w:cs="Arial"/>
        </w:rPr>
        <w:t>outcome for the provider selection process.</w:t>
      </w:r>
    </w:p>
    <w:p w14:paraId="7014C8D2" w14:textId="0CF60E6C" w:rsidR="00173CE1" w:rsidRPr="00EB2A0B" w:rsidRDefault="00EB2A0B" w:rsidP="00EB2A0B">
      <w:pPr>
        <w:keepNext/>
        <w:spacing w:before="240" w:line="276" w:lineRule="auto"/>
        <w:rPr>
          <w:rFonts w:ascii="Arial" w:hAnsi="Arial" w:cs="Arial"/>
          <w:b/>
        </w:rPr>
      </w:pPr>
      <w:r>
        <w:rPr>
          <w:rFonts w:ascii="Arial" w:hAnsi="Arial" w:cs="Arial"/>
          <w:b/>
          <w:bCs/>
        </w:rPr>
        <w:t xml:space="preserve">11.1.3 </w:t>
      </w:r>
      <w:r w:rsidR="006A697C" w:rsidRPr="00EB2A0B">
        <w:rPr>
          <w:rFonts w:ascii="Arial" w:hAnsi="Arial" w:cs="Arial"/>
          <w:b/>
          <w:bCs/>
        </w:rPr>
        <w:t>Panel recommendations with respect to Barkhill’s representations</w:t>
      </w:r>
    </w:p>
    <w:p w14:paraId="6CD89C31" w14:textId="25A0AC8F" w:rsidR="00C3664B" w:rsidRPr="005F1BC9" w:rsidRDefault="00C3664B" w:rsidP="00A011EB">
      <w:pPr>
        <w:pStyle w:val="ListParagraph"/>
        <w:numPr>
          <w:ilvl w:val="0"/>
          <w:numId w:val="2"/>
        </w:numPr>
        <w:spacing w:after="120" w:line="276" w:lineRule="auto"/>
        <w:ind w:left="567" w:hanging="567"/>
        <w:rPr>
          <w:rFonts w:ascii="Arial" w:eastAsiaTheme="majorEastAsia" w:hAnsi="Arial" w:cs="Arial"/>
          <w:color w:val="000000" w:themeColor="text1"/>
        </w:rPr>
      </w:pPr>
      <w:r>
        <w:rPr>
          <w:rFonts w:ascii="Arial" w:eastAsiaTheme="majorEastAsia" w:hAnsi="Arial" w:cs="Arial"/>
          <w:color w:val="000000" w:themeColor="text1"/>
        </w:rPr>
        <w:t xml:space="preserve">Where the Panel has </w:t>
      </w:r>
      <w:r w:rsidR="007B06BE">
        <w:rPr>
          <w:rFonts w:ascii="Arial" w:eastAsiaTheme="majorEastAsia" w:hAnsi="Arial" w:cs="Arial"/>
          <w:color w:val="000000" w:themeColor="text1"/>
        </w:rPr>
        <w:t xml:space="preserve">found breaches of the PSR regulations, </w:t>
      </w:r>
      <w:r w:rsidRPr="005F1BC9">
        <w:rPr>
          <w:rFonts w:ascii="Arial" w:eastAsiaTheme="majorEastAsia" w:hAnsi="Arial" w:cs="Arial"/>
          <w:color w:val="000000" w:themeColor="text1"/>
        </w:rPr>
        <w:t xml:space="preserve">three options are open to </w:t>
      </w:r>
      <w:r w:rsidR="007B06BE">
        <w:rPr>
          <w:rFonts w:ascii="Arial" w:eastAsiaTheme="majorEastAsia" w:hAnsi="Arial" w:cs="Arial"/>
          <w:color w:val="000000" w:themeColor="text1"/>
        </w:rPr>
        <w:t>it</w:t>
      </w:r>
      <w:r w:rsidRPr="005F1BC9">
        <w:rPr>
          <w:rFonts w:ascii="Arial" w:eastAsiaTheme="majorEastAsia" w:hAnsi="Arial" w:cs="Arial"/>
          <w:color w:val="000000" w:themeColor="text1"/>
        </w:rPr>
        <w:t>. The Panel may advise that:</w:t>
      </w:r>
    </w:p>
    <w:p w14:paraId="4CECE92E" w14:textId="77777777" w:rsidR="00C3664B" w:rsidRPr="005F1BC9" w:rsidRDefault="00C3664B" w:rsidP="00A011EB">
      <w:pPr>
        <w:pStyle w:val="ListParagraph"/>
        <w:numPr>
          <w:ilvl w:val="0"/>
          <w:numId w:val="4"/>
        </w:numPr>
        <w:spacing w:after="120" w:line="276" w:lineRule="auto"/>
        <w:ind w:left="1418" w:hanging="425"/>
        <w:rPr>
          <w:rFonts w:ascii="Arial" w:hAnsi="Arial" w:cs="Arial"/>
        </w:rPr>
      </w:pPr>
      <w:r w:rsidRPr="005F1BC9">
        <w:rPr>
          <w:rFonts w:ascii="Arial" w:hAnsi="Arial" w:cs="Arial"/>
        </w:rPr>
        <w:t xml:space="preserve">the breaches had no material effect on </w:t>
      </w:r>
      <w:r>
        <w:rPr>
          <w:rFonts w:ascii="Arial" w:hAnsi="Arial" w:cs="Arial"/>
        </w:rPr>
        <w:t>HNY ICB</w:t>
      </w:r>
      <w:r w:rsidRPr="005F1BC9">
        <w:rPr>
          <w:rFonts w:ascii="Arial" w:hAnsi="Arial" w:cs="Arial"/>
        </w:rPr>
        <w:t xml:space="preserve">’s </w:t>
      </w:r>
      <w:r>
        <w:rPr>
          <w:rFonts w:ascii="Arial" w:hAnsi="Arial" w:cs="Arial"/>
        </w:rPr>
        <w:t xml:space="preserve">provider </w:t>
      </w:r>
      <w:r w:rsidRPr="005F1BC9">
        <w:rPr>
          <w:rFonts w:ascii="Arial" w:hAnsi="Arial" w:cs="Arial"/>
        </w:rPr>
        <w:t xml:space="preserve">selection </w:t>
      </w:r>
      <w:r>
        <w:rPr>
          <w:rFonts w:ascii="Arial" w:hAnsi="Arial" w:cs="Arial"/>
        </w:rPr>
        <w:t xml:space="preserve">process </w:t>
      </w:r>
      <w:r w:rsidRPr="005F1BC9">
        <w:rPr>
          <w:rFonts w:ascii="Arial" w:hAnsi="Arial" w:cs="Arial"/>
        </w:rPr>
        <w:t>and it should proceed with awarding the contract as originally intended;</w:t>
      </w:r>
    </w:p>
    <w:p w14:paraId="37BA5A69" w14:textId="77777777" w:rsidR="00C3664B" w:rsidRPr="005F1BC9" w:rsidRDefault="00C3664B" w:rsidP="00A011EB">
      <w:pPr>
        <w:pStyle w:val="ListParagraph"/>
        <w:numPr>
          <w:ilvl w:val="0"/>
          <w:numId w:val="4"/>
        </w:numPr>
        <w:spacing w:after="120" w:line="276" w:lineRule="auto"/>
        <w:ind w:left="1418" w:hanging="425"/>
        <w:rPr>
          <w:rFonts w:ascii="Arial" w:hAnsi="Arial" w:cs="Arial"/>
        </w:rPr>
      </w:pPr>
      <w:r>
        <w:rPr>
          <w:rFonts w:ascii="Arial" w:hAnsi="Arial" w:cs="Arial"/>
        </w:rPr>
        <w:t xml:space="preserve">HNY ICB </w:t>
      </w:r>
      <w:r w:rsidRPr="005F1BC9">
        <w:rPr>
          <w:rFonts w:ascii="Arial" w:hAnsi="Arial" w:cs="Arial"/>
        </w:rPr>
        <w:t>should return to an earlier step in the provider selection process to rectify the issues identified by the Panel; or</w:t>
      </w:r>
    </w:p>
    <w:p w14:paraId="032B39AD" w14:textId="77777777" w:rsidR="00C3664B" w:rsidRPr="005F1BC9" w:rsidRDefault="00C3664B" w:rsidP="00C3664B">
      <w:pPr>
        <w:pStyle w:val="ListParagraph"/>
        <w:numPr>
          <w:ilvl w:val="0"/>
          <w:numId w:val="4"/>
        </w:numPr>
        <w:spacing w:line="276" w:lineRule="auto"/>
        <w:ind w:left="1418" w:hanging="425"/>
        <w:contextualSpacing w:val="0"/>
        <w:rPr>
          <w:rFonts w:ascii="Arial" w:hAnsi="Arial" w:cs="Arial"/>
        </w:rPr>
      </w:pPr>
      <w:r>
        <w:rPr>
          <w:rFonts w:ascii="Arial" w:hAnsi="Arial" w:cs="Arial"/>
        </w:rPr>
        <w:t xml:space="preserve">HNY ICB </w:t>
      </w:r>
      <w:r w:rsidRPr="005F1BC9">
        <w:rPr>
          <w:rFonts w:ascii="Arial" w:hAnsi="Arial" w:cs="Arial"/>
        </w:rPr>
        <w:t>should abandon the current provider selection process.</w:t>
      </w:r>
    </w:p>
    <w:p w14:paraId="4F08EB80" w14:textId="0CBEC385" w:rsidR="009B47BE" w:rsidRDefault="00460B2A" w:rsidP="00A9305B">
      <w:pPr>
        <w:pStyle w:val="ListParagraph"/>
        <w:numPr>
          <w:ilvl w:val="0"/>
          <w:numId w:val="2"/>
        </w:numPr>
        <w:spacing w:line="276" w:lineRule="auto"/>
        <w:ind w:left="567" w:hanging="567"/>
        <w:contextualSpacing w:val="0"/>
        <w:rPr>
          <w:rFonts w:ascii="Arial" w:hAnsi="Arial" w:cs="Arial"/>
        </w:rPr>
      </w:pPr>
      <w:r>
        <w:rPr>
          <w:rFonts w:ascii="Arial" w:hAnsi="Arial" w:cs="Arial"/>
        </w:rPr>
        <w:t>The Panel</w:t>
      </w:r>
      <w:r w:rsidR="00645EB9">
        <w:rPr>
          <w:rFonts w:ascii="Arial" w:hAnsi="Arial" w:cs="Arial"/>
        </w:rPr>
        <w:t>’s advice, given that it</w:t>
      </w:r>
      <w:r w:rsidR="00097298">
        <w:rPr>
          <w:rFonts w:ascii="Arial" w:hAnsi="Arial" w:cs="Arial"/>
        </w:rPr>
        <w:t xml:space="preserve">s conclusion that </w:t>
      </w:r>
      <w:r w:rsidR="00ED4173">
        <w:rPr>
          <w:rFonts w:ascii="Arial" w:hAnsi="Arial" w:cs="Arial"/>
        </w:rPr>
        <w:t xml:space="preserve">HNY ICB’s </w:t>
      </w:r>
      <w:r w:rsidR="00D27E47">
        <w:rPr>
          <w:rFonts w:ascii="Arial" w:hAnsi="Arial" w:cs="Arial"/>
        </w:rPr>
        <w:t>breach of the PSR regulations in relation to Barkhill’s information request may have had a material effect on HNY ICB’s provider selection process</w:t>
      </w:r>
      <w:r w:rsidR="006737F8">
        <w:rPr>
          <w:rFonts w:ascii="Arial" w:hAnsi="Arial" w:cs="Arial"/>
        </w:rPr>
        <w:t xml:space="preserve">, is that HNY ICB return to </w:t>
      </w:r>
      <w:r w:rsidR="005A06C0">
        <w:rPr>
          <w:rFonts w:ascii="Arial" w:hAnsi="Arial" w:cs="Arial"/>
        </w:rPr>
        <w:t>an earlier step in the provider selection process</w:t>
      </w:r>
      <w:r w:rsidR="000F06F1">
        <w:rPr>
          <w:rFonts w:ascii="Arial" w:hAnsi="Arial" w:cs="Arial"/>
        </w:rPr>
        <w:t xml:space="preserve"> for Lots 11 and 12</w:t>
      </w:r>
      <w:r w:rsidR="005A06C0">
        <w:rPr>
          <w:rFonts w:ascii="Arial" w:hAnsi="Arial" w:cs="Arial"/>
        </w:rPr>
        <w:t xml:space="preserve">, namely </w:t>
      </w:r>
      <w:r w:rsidR="00F53584">
        <w:rPr>
          <w:rFonts w:ascii="Arial" w:hAnsi="Arial" w:cs="Arial"/>
        </w:rPr>
        <w:t>Step 8</w:t>
      </w:r>
      <w:r w:rsidR="006C67F3">
        <w:rPr>
          <w:rFonts w:ascii="Arial" w:hAnsi="Arial" w:cs="Arial"/>
        </w:rPr>
        <w:t>(a)</w:t>
      </w:r>
      <w:r w:rsidR="00F53584">
        <w:rPr>
          <w:rFonts w:ascii="Arial" w:hAnsi="Arial" w:cs="Arial"/>
        </w:rPr>
        <w:t xml:space="preserve"> of the Competitive Process</w:t>
      </w:r>
      <w:r w:rsidR="00455B0F">
        <w:rPr>
          <w:rFonts w:ascii="Arial" w:hAnsi="Arial" w:cs="Arial"/>
        </w:rPr>
        <w:t xml:space="preserve"> (Regulation 11(13)</w:t>
      </w:r>
      <w:r w:rsidR="00B51CC6">
        <w:rPr>
          <w:rFonts w:ascii="Arial" w:hAnsi="Arial" w:cs="Arial"/>
        </w:rPr>
        <w:t>)</w:t>
      </w:r>
      <w:r w:rsidR="00B05E4B">
        <w:rPr>
          <w:rFonts w:ascii="Arial" w:hAnsi="Arial" w:cs="Arial"/>
        </w:rPr>
        <w:t xml:space="preserve">, </w:t>
      </w:r>
      <w:r w:rsidR="006C67F3">
        <w:rPr>
          <w:rFonts w:ascii="Arial" w:hAnsi="Arial" w:cs="Arial"/>
        </w:rPr>
        <w:t xml:space="preserve">which </w:t>
      </w:r>
      <w:r w:rsidR="00F75DE8">
        <w:rPr>
          <w:rFonts w:ascii="Arial" w:hAnsi="Arial" w:cs="Arial"/>
        </w:rPr>
        <w:t>requires th</w:t>
      </w:r>
      <w:r w:rsidR="006A1B38">
        <w:rPr>
          <w:rFonts w:ascii="Arial" w:hAnsi="Arial" w:cs="Arial"/>
        </w:rPr>
        <w:t>at the relevant authority “</w:t>
      </w:r>
      <w:r w:rsidR="006A1B38" w:rsidRPr="006A1B38">
        <w:rPr>
          <w:rFonts w:ascii="Arial" w:hAnsi="Arial" w:cs="Arial"/>
        </w:rPr>
        <w:t xml:space="preserve">carries out the requirements specified in regulation 12(4) where written representations are made in </w:t>
      </w:r>
      <w:r w:rsidR="006A1B38" w:rsidRPr="006A1B38">
        <w:rPr>
          <w:rFonts w:ascii="Arial" w:hAnsi="Arial" w:cs="Arial"/>
        </w:rPr>
        <w:lastRenderedPageBreak/>
        <w:t>accordance with regulation 12(3)</w:t>
      </w:r>
      <w:r w:rsidR="006A1B38">
        <w:rPr>
          <w:rFonts w:ascii="Arial" w:hAnsi="Arial" w:cs="Arial"/>
        </w:rPr>
        <w:t>”</w:t>
      </w:r>
      <w:r w:rsidR="0038387F">
        <w:rPr>
          <w:rFonts w:ascii="Arial" w:hAnsi="Arial" w:cs="Arial"/>
        </w:rPr>
        <w:t>.</w:t>
      </w:r>
      <w:r w:rsidR="00B05E4B">
        <w:rPr>
          <w:rFonts w:ascii="Arial" w:hAnsi="Arial" w:cs="Arial"/>
        </w:rPr>
        <w:t xml:space="preserve"> </w:t>
      </w:r>
      <w:r w:rsidR="001B1D90">
        <w:rPr>
          <w:rFonts w:ascii="Arial" w:hAnsi="Arial" w:cs="Arial"/>
        </w:rPr>
        <w:t xml:space="preserve">This is </w:t>
      </w:r>
      <w:r w:rsidR="004A0949" w:rsidRPr="004A0949">
        <w:rPr>
          <w:rFonts w:ascii="Arial" w:hAnsi="Arial" w:cs="Arial"/>
        </w:rPr>
        <w:t xml:space="preserve">the point at which </w:t>
      </w:r>
      <w:r w:rsidR="004A0949">
        <w:rPr>
          <w:rFonts w:ascii="Arial" w:hAnsi="Arial" w:cs="Arial"/>
        </w:rPr>
        <w:t>Barkhill’s</w:t>
      </w:r>
      <w:r w:rsidR="004A0949" w:rsidRPr="004A0949">
        <w:rPr>
          <w:rFonts w:ascii="Arial" w:hAnsi="Arial" w:cs="Arial"/>
        </w:rPr>
        <w:t xml:space="preserve"> representations were received following the initial contract award decision.</w:t>
      </w:r>
    </w:p>
    <w:p w14:paraId="0912374D" w14:textId="101B5499" w:rsidR="005C5BE9" w:rsidRDefault="006D75F4" w:rsidP="4DFE3663">
      <w:pPr>
        <w:pStyle w:val="ListParagraph"/>
        <w:numPr>
          <w:ilvl w:val="0"/>
          <w:numId w:val="2"/>
        </w:numPr>
        <w:spacing w:line="276" w:lineRule="auto"/>
        <w:ind w:left="567" w:hanging="567"/>
        <w:rPr>
          <w:rFonts w:ascii="Arial" w:hAnsi="Arial" w:cs="Arial"/>
        </w:rPr>
      </w:pPr>
      <w:r>
        <w:rPr>
          <w:rFonts w:ascii="Arial" w:hAnsi="Arial" w:cs="Arial"/>
        </w:rPr>
        <w:t xml:space="preserve">In line with Regulation </w:t>
      </w:r>
      <w:r w:rsidR="00110C2B">
        <w:rPr>
          <w:rFonts w:ascii="Arial" w:hAnsi="Arial" w:cs="Arial"/>
        </w:rPr>
        <w:t xml:space="preserve">12(4), </w:t>
      </w:r>
      <w:r w:rsidR="004A0949">
        <w:rPr>
          <w:rFonts w:ascii="Arial" w:hAnsi="Arial" w:cs="Arial"/>
        </w:rPr>
        <w:t xml:space="preserve">HNY </w:t>
      </w:r>
      <w:r w:rsidR="004A0949" w:rsidRPr="004A0949">
        <w:rPr>
          <w:rFonts w:ascii="Arial" w:hAnsi="Arial" w:cs="Arial"/>
        </w:rPr>
        <w:t xml:space="preserve">ICB should provide </w:t>
      </w:r>
      <w:r w:rsidR="004A0949">
        <w:rPr>
          <w:rFonts w:ascii="Arial" w:hAnsi="Arial" w:cs="Arial"/>
        </w:rPr>
        <w:t>Barkhill</w:t>
      </w:r>
      <w:r w:rsidR="004A0949" w:rsidRPr="004A0949">
        <w:rPr>
          <w:rFonts w:ascii="Arial" w:hAnsi="Arial" w:cs="Arial"/>
        </w:rPr>
        <w:t xml:space="preserve"> with the information that it requested (subject to </w:t>
      </w:r>
      <w:r w:rsidR="00EC1654">
        <w:rPr>
          <w:rFonts w:ascii="Arial" w:hAnsi="Arial" w:cs="Arial"/>
        </w:rPr>
        <w:t>the proper application</w:t>
      </w:r>
      <w:r w:rsidR="004A0949" w:rsidRPr="004A0949">
        <w:rPr>
          <w:rFonts w:ascii="Arial" w:hAnsi="Arial" w:cs="Arial"/>
        </w:rPr>
        <w:t xml:space="preserve"> of any </w:t>
      </w:r>
      <w:r w:rsidR="00EC1654">
        <w:rPr>
          <w:rFonts w:ascii="Arial" w:hAnsi="Arial" w:cs="Arial"/>
        </w:rPr>
        <w:t>measures in accordance with Regulation 12(5)</w:t>
      </w:r>
      <w:r w:rsidR="004A0949" w:rsidRPr="004A0949">
        <w:rPr>
          <w:rFonts w:ascii="Arial" w:hAnsi="Arial" w:cs="Arial"/>
        </w:rPr>
        <w:t xml:space="preserve">), allow </w:t>
      </w:r>
      <w:r w:rsidR="004A0949">
        <w:rPr>
          <w:rFonts w:ascii="Arial" w:hAnsi="Arial" w:cs="Arial"/>
        </w:rPr>
        <w:t>Barkhill</w:t>
      </w:r>
      <w:r w:rsidR="004A0949" w:rsidRPr="004A0949">
        <w:rPr>
          <w:rFonts w:ascii="Arial" w:hAnsi="Arial" w:cs="Arial"/>
        </w:rPr>
        <w:t xml:space="preserve"> an opportunity to </w:t>
      </w:r>
      <w:r w:rsidR="004A48D2">
        <w:rPr>
          <w:rFonts w:ascii="Arial" w:hAnsi="Arial" w:cs="Arial"/>
        </w:rPr>
        <w:t xml:space="preserve">“explain </w:t>
      </w:r>
      <w:r w:rsidR="00F916B3">
        <w:rPr>
          <w:rFonts w:ascii="Arial" w:hAnsi="Arial" w:cs="Arial"/>
        </w:rPr>
        <w:t xml:space="preserve">or clarify the representations made” (i.e. </w:t>
      </w:r>
      <w:r w:rsidR="004A0949" w:rsidRPr="004A0949">
        <w:rPr>
          <w:rFonts w:ascii="Arial" w:hAnsi="Arial" w:cs="Arial"/>
        </w:rPr>
        <w:t>make any further representations arising from this information</w:t>
      </w:r>
      <w:r w:rsidR="00F916B3">
        <w:rPr>
          <w:rFonts w:ascii="Arial" w:hAnsi="Arial" w:cs="Arial"/>
        </w:rPr>
        <w:t>)</w:t>
      </w:r>
      <w:r w:rsidR="004A0949" w:rsidRPr="004A0949">
        <w:rPr>
          <w:rFonts w:ascii="Arial" w:hAnsi="Arial" w:cs="Arial"/>
        </w:rPr>
        <w:t xml:space="preserve">, and then </w:t>
      </w:r>
      <w:r w:rsidR="00FA6613">
        <w:rPr>
          <w:rFonts w:ascii="Arial" w:hAnsi="Arial" w:cs="Arial"/>
        </w:rPr>
        <w:t>continue to f</w:t>
      </w:r>
      <w:r w:rsidR="00FA6613" w:rsidRPr="00FA6613">
        <w:rPr>
          <w:rFonts w:ascii="Arial" w:hAnsi="Arial" w:cs="Arial"/>
        </w:rPr>
        <w:t xml:space="preserve">ollow the representations review process as laid out in the </w:t>
      </w:r>
      <w:r w:rsidR="00FA6613">
        <w:rPr>
          <w:rFonts w:ascii="Arial" w:hAnsi="Arial" w:cs="Arial"/>
        </w:rPr>
        <w:t xml:space="preserve">Regulations and </w:t>
      </w:r>
      <w:r w:rsidR="00FA6613" w:rsidRPr="00FA6613">
        <w:rPr>
          <w:rFonts w:ascii="Arial" w:hAnsi="Arial" w:cs="Arial"/>
        </w:rPr>
        <w:t>Statutory Guidance</w:t>
      </w:r>
      <w:r w:rsidR="00FA6613">
        <w:rPr>
          <w:rFonts w:ascii="Arial" w:hAnsi="Arial" w:cs="Arial"/>
        </w:rPr>
        <w:t>, in</w:t>
      </w:r>
      <w:r w:rsidR="004A0949" w:rsidRPr="004A0949">
        <w:rPr>
          <w:rFonts w:ascii="Arial" w:hAnsi="Arial" w:cs="Arial"/>
        </w:rPr>
        <w:t xml:space="preserve"> light of </w:t>
      </w:r>
      <w:r w:rsidR="004A0949">
        <w:rPr>
          <w:rFonts w:ascii="Arial" w:hAnsi="Arial" w:cs="Arial"/>
        </w:rPr>
        <w:t xml:space="preserve">any </w:t>
      </w:r>
      <w:r w:rsidR="00921971">
        <w:rPr>
          <w:rFonts w:ascii="Arial" w:hAnsi="Arial" w:cs="Arial"/>
        </w:rPr>
        <w:t>further</w:t>
      </w:r>
      <w:r w:rsidR="004A0949" w:rsidRPr="004A0949">
        <w:rPr>
          <w:rFonts w:ascii="Arial" w:hAnsi="Arial" w:cs="Arial"/>
        </w:rPr>
        <w:t xml:space="preserve"> representations </w:t>
      </w:r>
      <w:r w:rsidR="004A0949">
        <w:rPr>
          <w:rFonts w:ascii="Arial" w:hAnsi="Arial" w:cs="Arial"/>
        </w:rPr>
        <w:t>by Barkhill</w:t>
      </w:r>
      <w:r w:rsidR="004A0949" w:rsidRPr="004A0949">
        <w:rPr>
          <w:rFonts w:ascii="Arial" w:hAnsi="Arial" w:cs="Arial"/>
        </w:rPr>
        <w:t>.</w:t>
      </w:r>
    </w:p>
    <w:p w14:paraId="44EF887C" w14:textId="2FE607A9" w:rsidR="008678D0" w:rsidRDefault="008678D0" w:rsidP="008678D0">
      <w:pPr>
        <w:pStyle w:val="Heading2"/>
        <w:numPr>
          <w:ilvl w:val="1"/>
          <w:numId w:val="1"/>
        </w:numPr>
        <w:spacing w:before="240" w:after="160"/>
        <w:ind w:left="0" w:firstLine="0"/>
        <w:rPr>
          <w:rFonts w:ascii="Arial" w:hAnsi="Arial" w:cs="Arial"/>
          <w:b/>
          <w:color w:val="000000" w:themeColor="text1"/>
          <w:sz w:val="24"/>
          <w:szCs w:val="24"/>
        </w:rPr>
      </w:pPr>
      <w:bookmarkStart w:id="58" w:name="_Toc198745118"/>
      <w:r>
        <w:rPr>
          <w:rFonts w:ascii="Arial" w:hAnsi="Arial" w:cs="Arial"/>
          <w:b/>
          <w:color w:val="000000" w:themeColor="text1"/>
          <w:sz w:val="24"/>
          <w:szCs w:val="24"/>
        </w:rPr>
        <w:t>Clarendon’s representations</w:t>
      </w:r>
      <w:bookmarkEnd w:id="58"/>
    </w:p>
    <w:p w14:paraId="3453D158" w14:textId="464F0430" w:rsidR="008678D0" w:rsidRPr="008678D0" w:rsidRDefault="008678D0" w:rsidP="008678D0">
      <w:pPr>
        <w:keepNext/>
        <w:spacing w:before="240" w:line="276" w:lineRule="auto"/>
        <w:rPr>
          <w:rFonts w:ascii="Arial" w:hAnsi="Arial" w:cs="Arial"/>
          <w:b/>
          <w:bCs/>
        </w:rPr>
      </w:pPr>
      <w:r>
        <w:rPr>
          <w:rFonts w:ascii="Arial" w:hAnsi="Arial" w:cs="Arial"/>
          <w:b/>
          <w:bCs/>
        </w:rPr>
        <w:t xml:space="preserve">11.2.1 </w:t>
      </w:r>
      <w:r w:rsidRPr="008678D0">
        <w:rPr>
          <w:rFonts w:ascii="Arial" w:hAnsi="Arial" w:cs="Arial"/>
          <w:b/>
          <w:bCs/>
        </w:rPr>
        <w:t>Summary of Panel findings</w:t>
      </w:r>
    </w:p>
    <w:p w14:paraId="202A153C" w14:textId="77777777" w:rsidR="007576FE" w:rsidRDefault="006B55FD" w:rsidP="007C2B61">
      <w:pPr>
        <w:pStyle w:val="ListParagraph"/>
        <w:numPr>
          <w:ilvl w:val="0"/>
          <w:numId w:val="2"/>
        </w:numPr>
        <w:spacing w:line="276" w:lineRule="auto"/>
        <w:ind w:left="567" w:hanging="567"/>
        <w:rPr>
          <w:rFonts w:ascii="Arial" w:hAnsi="Arial" w:cs="Arial"/>
        </w:rPr>
      </w:pPr>
      <w:r>
        <w:rPr>
          <w:rFonts w:ascii="Arial" w:hAnsi="Arial" w:cs="Arial"/>
        </w:rPr>
        <w:t>Following consideration</w:t>
      </w:r>
      <w:r w:rsidR="006670B3" w:rsidRPr="004B26A6">
        <w:rPr>
          <w:rFonts w:ascii="Arial" w:hAnsi="Arial" w:cs="Arial"/>
        </w:rPr>
        <w:t xml:space="preserve"> of Clarendon’s representations, the Panel finds that HNY ICB</w:t>
      </w:r>
      <w:r w:rsidR="00B25E3E">
        <w:rPr>
          <w:rFonts w:ascii="Arial" w:hAnsi="Arial" w:cs="Arial"/>
        </w:rPr>
        <w:t xml:space="preserve"> breached the PSR regulations in relation to the notice of intention</w:t>
      </w:r>
      <w:r w:rsidR="007576FE">
        <w:rPr>
          <w:rFonts w:ascii="Arial" w:hAnsi="Arial" w:cs="Arial"/>
        </w:rPr>
        <w:t>:</w:t>
      </w:r>
    </w:p>
    <w:p w14:paraId="77E939F2" w14:textId="3F7280D2" w:rsidR="006670B3" w:rsidRPr="004B26A6" w:rsidRDefault="008D400F" w:rsidP="00A011EB">
      <w:pPr>
        <w:pStyle w:val="ListParagraph"/>
        <w:numPr>
          <w:ilvl w:val="0"/>
          <w:numId w:val="13"/>
        </w:numPr>
        <w:spacing w:after="120" w:line="276" w:lineRule="auto"/>
        <w:ind w:left="1434" w:hanging="441"/>
        <w:rPr>
          <w:rFonts w:ascii="Arial" w:hAnsi="Arial" w:cs="Arial"/>
        </w:rPr>
      </w:pPr>
      <w:r w:rsidRPr="004B26A6">
        <w:rPr>
          <w:rFonts w:ascii="Arial" w:hAnsi="Arial" w:cs="Arial"/>
        </w:rPr>
        <w:t xml:space="preserve">by not including a statement </w:t>
      </w:r>
      <w:r w:rsidR="00EA2F9E">
        <w:rPr>
          <w:rFonts w:ascii="Arial" w:hAnsi="Arial" w:cs="Arial"/>
        </w:rPr>
        <w:t xml:space="preserve">that </w:t>
      </w:r>
      <w:r w:rsidR="007B3375">
        <w:rPr>
          <w:rFonts w:ascii="Arial" w:hAnsi="Arial" w:cs="Arial"/>
        </w:rPr>
        <w:t xml:space="preserve">adequately </w:t>
      </w:r>
      <w:r w:rsidRPr="004B26A6">
        <w:rPr>
          <w:rFonts w:ascii="Arial" w:hAnsi="Arial" w:cs="Arial"/>
        </w:rPr>
        <w:t>explain</w:t>
      </w:r>
      <w:r w:rsidR="00EA2F9E">
        <w:rPr>
          <w:rFonts w:ascii="Arial" w:hAnsi="Arial" w:cs="Arial"/>
        </w:rPr>
        <w:t xml:space="preserve">ed </w:t>
      </w:r>
      <w:r w:rsidRPr="004B26A6">
        <w:rPr>
          <w:rFonts w:ascii="Arial" w:hAnsi="Arial" w:cs="Arial"/>
        </w:rPr>
        <w:t xml:space="preserve">the </w:t>
      </w:r>
      <w:r w:rsidR="00F27F10">
        <w:rPr>
          <w:rFonts w:ascii="Arial" w:hAnsi="Arial" w:cs="Arial"/>
        </w:rPr>
        <w:t>ICB’s</w:t>
      </w:r>
      <w:r w:rsidRPr="004B26A6">
        <w:rPr>
          <w:rFonts w:ascii="Arial" w:hAnsi="Arial" w:cs="Arial"/>
        </w:rPr>
        <w:t xml:space="preserve"> reasons for selecting the chosen providers </w:t>
      </w:r>
      <w:r w:rsidR="00F27F10">
        <w:rPr>
          <w:rFonts w:ascii="Arial" w:hAnsi="Arial" w:cs="Arial"/>
        </w:rPr>
        <w:t>contrary to the requirements of</w:t>
      </w:r>
      <w:r w:rsidRPr="004B26A6">
        <w:rPr>
          <w:rFonts w:ascii="Arial" w:hAnsi="Arial" w:cs="Arial"/>
        </w:rPr>
        <w:t xml:space="preserve"> Regulations 11(10)</w:t>
      </w:r>
      <w:r w:rsidR="00D21FB2">
        <w:rPr>
          <w:rFonts w:ascii="Arial" w:hAnsi="Arial" w:cs="Arial"/>
        </w:rPr>
        <w:t xml:space="preserve"> and Schedule 10</w:t>
      </w:r>
      <w:r w:rsidR="00EA2F9E">
        <w:rPr>
          <w:rFonts w:ascii="Arial" w:hAnsi="Arial" w:cs="Arial"/>
        </w:rPr>
        <w:t>;</w:t>
      </w:r>
      <w:r w:rsidRPr="004B26A6">
        <w:rPr>
          <w:rFonts w:ascii="Arial" w:hAnsi="Arial" w:cs="Arial"/>
        </w:rPr>
        <w:t xml:space="preserve"> and</w:t>
      </w:r>
    </w:p>
    <w:p w14:paraId="5E4AC1A2" w14:textId="3FF54E9B" w:rsidR="00DD0C0D" w:rsidRPr="00341D87" w:rsidRDefault="00DD0C0D" w:rsidP="00A011EB">
      <w:pPr>
        <w:pStyle w:val="ListParagraph"/>
        <w:numPr>
          <w:ilvl w:val="0"/>
          <w:numId w:val="13"/>
        </w:numPr>
        <w:spacing w:line="276" w:lineRule="auto"/>
        <w:ind w:left="1434" w:hanging="441"/>
        <w:contextualSpacing w:val="0"/>
        <w:rPr>
          <w:rFonts w:ascii="Arial" w:hAnsi="Arial" w:cs="Arial"/>
        </w:rPr>
      </w:pPr>
      <w:r w:rsidRPr="00341D87">
        <w:rPr>
          <w:rFonts w:ascii="Arial" w:hAnsi="Arial" w:cs="Arial"/>
        </w:rPr>
        <w:t xml:space="preserve">by </w:t>
      </w:r>
      <w:r w:rsidR="00CF0011" w:rsidRPr="00341D87">
        <w:rPr>
          <w:rFonts w:ascii="Arial" w:hAnsi="Arial" w:cs="Arial"/>
        </w:rPr>
        <w:t>returning to an earlier step in the provider selection process</w:t>
      </w:r>
      <w:r w:rsidR="00C17809">
        <w:rPr>
          <w:rFonts w:ascii="Arial" w:hAnsi="Arial" w:cs="Arial"/>
        </w:rPr>
        <w:t>,</w:t>
      </w:r>
      <w:r w:rsidR="00341D87" w:rsidRPr="00341D87">
        <w:rPr>
          <w:rFonts w:ascii="Arial" w:hAnsi="Arial" w:cs="Arial"/>
        </w:rPr>
        <w:t xml:space="preserve"> through </w:t>
      </w:r>
      <w:r w:rsidRPr="00341D87">
        <w:rPr>
          <w:rFonts w:ascii="Arial" w:hAnsi="Arial" w:cs="Arial"/>
        </w:rPr>
        <w:t xml:space="preserve">making a substantive correction to the notice of intention </w:t>
      </w:r>
      <w:r w:rsidR="00341D87">
        <w:rPr>
          <w:rFonts w:ascii="Arial" w:hAnsi="Arial" w:cs="Arial"/>
        </w:rPr>
        <w:t>via the corrigendum of 7 March 2025</w:t>
      </w:r>
      <w:r w:rsidR="00C17809">
        <w:rPr>
          <w:rFonts w:ascii="Arial" w:hAnsi="Arial" w:cs="Arial"/>
        </w:rPr>
        <w:t>,</w:t>
      </w:r>
      <w:r w:rsidR="00341D87">
        <w:rPr>
          <w:rFonts w:ascii="Arial" w:hAnsi="Arial" w:cs="Arial"/>
        </w:rPr>
        <w:t xml:space="preserve"> </w:t>
      </w:r>
      <w:r w:rsidR="00CF0011" w:rsidRPr="00341D87">
        <w:rPr>
          <w:rFonts w:ascii="Arial" w:hAnsi="Arial" w:cs="Arial"/>
        </w:rPr>
        <w:t xml:space="preserve">and </w:t>
      </w:r>
      <w:r w:rsidRPr="00341D87">
        <w:rPr>
          <w:rFonts w:ascii="Arial" w:hAnsi="Arial" w:cs="Arial"/>
        </w:rPr>
        <w:t xml:space="preserve">not repeating the subsequent steps in the </w:t>
      </w:r>
      <w:r w:rsidR="00C17809">
        <w:rPr>
          <w:rFonts w:ascii="Arial" w:hAnsi="Arial" w:cs="Arial"/>
        </w:rPr>
        <w:t xml:space="preserve">provider </w:t>
      </w:r>
      <w:r w:rsidRPr="00341D87">
        <w:rPr>
          <w:rFonts w:ascii="Arial" w:hAnsi="Arial" w:cs="Arial"/>
        </w:rPr>
        <w:t>selection process</w:t>
      </w:r>
      <w:r w:rsidR="00C17809">
        <w:rPr>
          <w:rFonts w:ascii="Arial" w:hAnsi="Arial" w:cs="Arial"/>
        </w:rPr>
        <w:t xml:space="preserve"> (contrary to the requirements </w:t>
      </w:r>
      <w:r w:rsidR="00D412F5">
        <w:rPr>
          <w:rFonts w:ascii="Arial" w:hAnsi="Arial" w:cs="Arial"/>
        </w:rPr>
        <w:t xml:space="preserve">of </w:t>
      </w:r>
      <w:r w:rsidRPr="00341D87">
        <w:rPr>
          <w:rFonts w:ascii="Arial" w:hAnsi="Arial" w:cs="Arial"/>
        </w:rPr>
        <w:t>Regulation 12(4)</w:t>
      </w:r>
      <w:r w:rsidR="00D412F5">
        <w:rPr>
          <w:rFonts w:ascii="Arial" w:hAnsi="Arial" w:cs="Arial"/>
        </w:rPr>
        <w:t>)</w:t>
      </w:r>
      <w:r w:rsidRPr="00341D87">
        <w:rPr>
          <w:rFonts w:ascii="Arial" w:hAnsi="Arial" w:cs="Arial"/>
        </w:rPr>
        <w:t>.</w:t>
      </w:r>
    </w:p>
    <w:p w14:paraId="2624CAFA" w14:textId="5ABDB916" w:rsidR="00C5663D" w:rsidRDefault="004B26A6" w:rsidP="00A011EB">
      <w:pPr>
        <w:pStyle w:val="ListParagraph"/>
        <w:numPr>
          <w:ilvl w:val="0"/>
          <w:numId w:val="2"/>
        </w:numPr>
        <w:spacing w:after="120" w:line="276" w:lineRule="auto"/>
        <w:ind w:left="567" w:hanging="567"/>
        <w:rPr>
          <w:rFonts w:ascii="Arial" w:hAnsi="Arial" w:cs="Arial"/>
        </w:rPr>
      </w:pPr>
      <w:r w:rsidRPr="0019127F">
        <w:rPr>
          <w:rFonts w:ascii="Arial" w:hAnsi="Arial" w:cs="Arial"/>
        </w:rPr>
        <w:t xml:space="preserve">The Panel also finds that HNY ICB did not breach the PSR regulations </w:t>
      </w:r>
      <w:r w:rsidR="0019127F" w:rsidRPr="0019127F">
        <w:rPr>
          <w:rFonts w:ascii="Arial" w:hAnsi="Arial" w:cs="Arial"/>
        </w:rPr>
        <w:t>in the following respects:</w:t>
      </w:r>
    </w:p>
    <w:p w14:paraId="6C8BB248" w14:textId="1F12B547" w:rsidR="00C5663D" w:rsidRPr="00DA1B29" w:rsidRDefault="002A681A" w:rsidP="00A011EB">
      <w:pPr>
        <w:pStyle w:val="ListParagraph"/>
        <w:numPr>
          <w:ilvl w:val="0"/>
          <w:numId w:val="4"/>
        </w:numPr>
        <w:spacing w:after="120" w:line="276" w:lineRule="auto"/>
        <w:ind w:left="1417" w:hanging="425"/>
        <w:rPr>
          <w:rFonts w:ascii="Arial" w:hAnsi="Arial" w:cs="Arial"/>
        </w:rPr>
      </w:pPr>
      <w:r w:rsidRPr="00526CC0">
        <w:rPr>
          <w:rFonts w:ascii="Arial" w:hAnsi="Arial" w:cs="Arial"/>
        </w:rPr>
        <w:t xml:space="preserve">in evaluating Clarendon’s </w:t>
      </w:r>
      <w:r w:rsidR="002371B6" w:rsidRPr="00526CC0">
        <w:rPr>
          <w:rFonts w:ascii="Arial" w:hAnsi="Arial" w:cs="Arial"/>
        </w:rPr>
        <w:t>proposals</w:t>
      </w:r>
      <w:r w:rsidR="0019127F">
        <w:rPr>
          <w:rFonts w:ascii="Arial" w:hAnsi="Arial" w:cs="Arial"/>
        </w:rPr>
        <w:t>,</w:t>
      </w:r>
      <w:r w:rsidR="002371B6" w:rsidRPr="00526CC0">
        <w:rPr>
          <w:rFonts w:ascii="Arial" w:hAnsi="Arial" w:cs="Arial"/>
        </w:rPr>
        <w:t xml:space="preserve"> </w:t>
      </w:r>
      <w:r w:rsidR="0019127F" w:rsidRPr="00526CC0">
        <w:rPr>
          <w:rFonts w:ascii="Arial" w:hAnsi="Arial" w:cs="Arial"/>
        </w:rPr>
        <w:t xml:space="preserve">HNY ICB </w:t>
      </w:r>
      <w:r w:rsidRPr="00526CC0">
        <w:rPr>
          <w:rFonts w:ascii="Arial" w:hAnsi="Arial" w:cs="Arial"/>
        </w:rPr>
        <w:t>did not breach the PSR regulations and, in particular, the obligation under Regulation 4 to act fairly</w:t>
      </w:r>
      <w:r w:rsidR="00ED52A3">
        <w:rPr>
          <w:rFonts w:ascii="Arial" w:hAnsi="Arial" w:cs="Arial"/>
        </w:rPr>
        <w:t>;</w:t>
      </w:r>
    </w:p>
    <w:p w14:paraId="46436FB7" w14:textId="437D3A2D" w:rsidR="00C5663D" w:rsidRDefault="00021B55" w:rsidP="00A011EB">
      <w:pPr>
        <w:pStyle w:val="ListParagraph"/>
        <w:numPr>
          <w:ilvl w:val="0"/>
          <w:numId w:val="4"/>
        </w:numPr>
        <w:spacing w:after="120" w:line="276" w:lineRule="auto"/>
        <w:ind w:left="1417" w:hanging="425"/>
        <w:rPr>
          <w:rFonts w:ascii="Arial" w:hAnsi="Arial" w:cs="Arial"/>
        </w:rPr>
      </w:pPr>
      <w:r w:rsidRPr="00EA5392">
        <w:rPr>
          <w:rFonts w:ascii="Arial" w:hAnsi="Arial" w:cs="Arial"/>
        </w:rPr>
        <w:t>in publishing its notice inviting offers on 20</w:t>
      </w:r>
      <w:r>
        <w:rPr>
          <w:rFonts w:ascii="Arial" w:hAnsi="Arial" w:cs="Arial"/>
        </w:rPr>
        <w:t> </w:t>
      </w:r>
      <w:r w:rsidRPr="00EA5392">
        <w:rPr>
          <w:rFonts w:ascii="Arial" w:hAnsi="Arial" w:cs="Arial"/>
        </w:rPr>
        <w:t>September 2024</w:t>
      </w:r>
      <w:r w:rsidR="00286268">
        <w:rPr>
          <w:rFonts w:ascii="Arial" w:hAnsi="Arial" w:cs="Arial"/>
        </w:rPr>
        <w:t>,</w:t>
      </w:r>
      <w:r w:rsidRPr="00EA5392">
        <w:rPr>
          <w:rFonts w:ascii="Arial" w:hAnsi="Arial" w:cs="Arial"/>
        </w:rPr>
        <w:t xml:space="preserve"> </w:t>
      </w:r>
      <w:r w:rsidR="00286268" w:rsidRPr="00EA5392">
        <w:rPr>
          <w:rFonts w:ascii="Arial" w:hAnsi="Arial" w:cs="Arial"/>
        </w:rPr>
        <w:t xml:space="preserve">HNY ICB </w:t>
      </w:r>
      <w:r w:rsidR="00624D00">
        <w:rPr>
          <w:rFonts w:ascii="Arial" w:hAnsi="Arial" w:cs="Arial"/>
        </w:rPr>
        <w:t xml:space="preserve">did not </w:t>
      </w:r>
      <w:r w:rsidRPr="00EA5392">
        <w:rPr>
          <w:rFonts w:ascii="Arial" w:hAnsi="Arial" w:cs="Arial"/>
        </w:rPr>
        <w:t xml:space="preserve">breach the PSR regulations, and in particular </w:t>
      </w:r>
      <w:r w:rsidR="00ED52A3">
        <w:rPr>
          <w:rFonts w:ascii="Arial" w:hAnsi="Arial" w:cs="Arial"/>
        </w:rPr>
        <w:t>its obligations under</w:t>
      </w:r>
      <w:r>
        <w:rPr>
          <w:rFonts w:ascii="Arial" w:hAnsi="Arial" w:cs="Arial"/>
        </w:rPr>
        <w:t xml:space="preserve"> </w:t>
      </w:r>
      <w:r w:rsidRPr="00EA5392">
        <w:rPr>
          <w:rFonts w:ascii="Arial" w:hAnsi="Arial" w:cs="Arial"/>
        </w:rPr>
        <w:t>Regulation 11(4)</w:t>
      </w:r>
      <w:r>
        <w:rPr>
          <w:rFonts w:ascii="Arial" w:hAnsi="Arial" w:cs="Arial"/>
        </w:rPr>
        <w:t xml:space="preserve"> and Schedule 8</w:t>
      </w:r>
      <w:r w:rsidR="00ED52A3">
        <w:rPr>
          <w:rFonts w:ascii="Arial" w:hAnsi="Arial" w:cs="Arial"/>
        </w:rPr>
        <w:t>; and</w:t>
      </w:r>
    </w:p>
    <w:p w14:paraId="24218730" w14:textId="66DED121" w:rsidR="00C5663D" w:rsidRDefault="00FB7493" w:rsidP="00C5663D">
      <w:pPr>
        <w:pStyle w:val="ListParagraph"/>
        <w:numPr>
          <w:ilvl w:val="0"/>
          <w:numId w:val="4"/>
        </w:numPr>
        <w:spacing w:line="276" w:lineRule="auto"/>
        <w:ind w:left="1417" w:hanging="425"/>
        <w:contextualSpacing w:val="0"/>
        <w:rPr>
          <w:rFonts w:ascii="Arial" w:hAnsi="Arial" w:cs="Arial"/>
        </w:rPr>
      </w:pPr>
      <w:r w:rsidRPr="00FB7493">
        <w:rPr>
          <w:rFonts w:ascii="Arial" w:hAnsi="Arial" w:cs="Arial"/>
        </w:rPr>
        <w:t>in reviewing Clarendon’s</w:t>
      </w:r>
      <w:r>
        <w:rPr>
          <w:rFonts w:ascii="Arial" w:hAnsi="Arial" w:cs="Arial"/>
        </w:rPr>
        <w:t xml:space="preserve"> representations regarding the provider selection process, </w:t>
      </w:r>
      <w:r w:rsidR="00D046B5">
        <w:rPr>
          <w:rFonts w:ascii="Arial" w:hAnsi="Arial" w:cs="Arial"/>
        </w:rPr>
        <w:t xml:space="preserve">HNY ICB </w:t>
      </w:r>
      <w:r>
        <w:rPr>
          <w:rFonts w:ascii="Arial" w:hAnsi="Arial" w:cs="Arial"/>
        </w:rPr>
        <w:t xml:space="preserve">did not breach the PSR regulations, and in particular </w:t>
      </w:r>
      <w:r w:rsidR="00D046B5">
        <w:rPr>
          <w:rFonts w:ascii="Arial" w:hAnsi="Arial" w:cs="Arial"/>
        </w:rPr>
        <w:t xml:space="preserve">its obligation under </w:t>
      </w:r>
      <w:r>
        <w:rPr>
          <w:rFonts w:ascii="Arial" w:hAnsi="Arial" w:cs="Arial"/>
        </w:rPr>
        <w:t>Regulation 12(4) to review the decision to award the contract taking into account the representations made.</w:t>
      </w:r>
    </w:p>
    <w:p w14:paraId="53208E20" w14:textId="53816C46" w:rsidR="00883DE8" w:rsidRPr="00A9305B" w:rsidRDefault="0080108A" w:rsidP="0080108A">
      <w:pPr>
        <w:keepNext/>
        <w:spacing w:before="240" w:line="276" w:lineRule="auto"/>
        <w:rPr>
          <w:rFonts w:ascii="Arial" w:hAnsi="Arial" w:cs="Arial"/>
          <w:b/>
          <w:color w:val="000000" w:themeColor="text1"/>
          <w:sz w:val="24"/>
          <w:szCs w:val="24"/>
        </w:rPr>
      </w:pPr>
      <w:r>
        <w:rPr>
          <w:rFonts w:ascii="Arial" w:hAnsi="Arial" w:cs="Arial"/>
          <w:b/>
          <w:bCs/>
        </w:rPr>
        <w:t xml:space="preserve">11.2.2 </w:t>
      </w:r>
      <w:r w:rsidR="00883DE8" w:rsidRPr="0080108A">
        <w:rPr>
          <w:rFonts w:ascii="Arial" w:hAnsi="Arial" w:cs="Arial"/>
          <w:b/>
        </w:rPr>
        <w:t>Materiality of HNY ICB’s breaches of the PSR regulations with respect to Clarendon</w:t>
      </w:r>
    </w:p>
    <w:p w14:paraId="4B9C0FAF" w14:textId="77777777" w:rsidR="0085488F" w:rsidRDefault="00E82502" w:rsidP="005074BD">
      <w:pPr>
        <w:pStyle w:val="ListParagraph"/>
        <w:numPr>
          <w:ilvl w:val="0"/>
          <w:numId w:val="2"/>
        </w:numPr>
        <w:spacing w:line="276" w:lineRule="auto"/>
        <w:ind w:left="567" w:hanging="567"/>
        <w:contextualSpacing w:val="0"/>
        <w:rPr>
          <w:rFonts w:ascii="Arial" w:hAnsi="Arial" w:cs="Arial"/>
        </w:rPr>
      </w:pPr>
      <w:r w:rsidRPr="0085488F">
        <w:rPr>
          <w:rFonts w:ascii="Arial" w:hAnsi="Arial" w:cs="Arial"/>
        </w:rPr>
        <w:t>The Panel does not consider that HNY ICB’s breach of the PSR regulations</w:t>
      </w:r>
      <w:r w:rsidR="005408A0" w:rsidRPr="0085488F">
        <w:rPr>
          <w:rFonts w:ascii="Arial" w:hAnsi="Arial" w:cs="Arial"/>
        </w:rPr>
        <w:t xml:space="preserve">, by </w:t>
      </w:r>
      <w:r w:rsidR="00D21FB2" w:rsidRPr="0085488F">
        <w:rPr>
          <w:rFonts w:ascii="Arial" w:hAnsi="Arial" w:cs="Arial"/>
        </w:rPr>
        <w:t xml:space="preserve">not including in </w:t>
      </w:r>
      <w:r w:rsidR="005408A0" w:rsidRPr="0085488F">
        <w:rPr>
          <w:rFonts w:ascii="Arial" w:hAnsi="Arial" w:cs="Arial"/>
        </w:rPr>
        <w:t xml:space="preserve">the notice of intention a statement explaining the </w:t>
      </w:r>
      <w:r w:rsidR="00D21FB2" w:rsidRPr="0085488F">
        <w:rPr>
          <w:rFonts w:ascii="Arial" w:hAnsi="Arial" w:cs="Arial"/>
        </w:rPr>
        <w:t>ICB’s</w:t>
      </w:r>
      <w:r w:rsidR="005408A0" w:rsidRPr="0085488F">
        <w:rPr>
          <w:rFonts w:ascii="Arial" w:hAnsi="Arial" w:cs="Arial"/>
        </w:rPr>
        <w:t xml:space="preserve"> reasons for selecting the chosen providers </w:t>
      </w:r>
      <w:r w:rsidRPr="0085488F">
        <w:rPr>
          <w:rFonts w:ascii="Arial" w:hAnsi="Arial" w:cs="Arial"/>
        </w:rPr>
        <w:t>had a material effect on HNY ICB’s provider selection process.</w:t>
      </w:r>
      <w:r w:rsidR="0085488F" w:rsidRPr="0085488F">
        <w:rPr>
          <w:rFonts w:ascii="Arial" w:hAnsi="Arial" w:cs="Arial"/>
        </w:rPr>
        <w:t xml:space="preserve"> This is because </w:t>
      </w:r>
      <w:r w:rsidR="00A60905" w:rsidRPr="0085488F">
        <w:rPr>
          <w:rFonts w:ascii="Arial" w:hAnsi="Arial" w:cs="Arial"/>
        </w:rPr>
        <w:t xml:space="preserve">all of the unsuccessful bidders received information </w:t>
      </w:r>
      <w:r w:rsidR="00237CCA" w:rsidRPr="0085488F">
        <w:rPr>
          <w:rFonts w:ascii="Arial" w:hAnsi="Arial" w:cs="Arial"/>
        </w:rPr>
        <w:t xml:space="preserve">on the reasons </w:t>
      </w:r>
      <w:r w:rsidR="00CA4C87" w:rsidRPr="0085488F">
        <w:rPr>
          <w:rFonts w:ascii="Arial" w:hAnsi="Arial" w:cs="Arial"/>
        </w:rPr>
        <w:t xml:space="preserve">why the successful provider was successful and the unsuccessful provider was unsuccessful </w:t>
      </w:r>
      <w:r w:rsidR="00A60905" w:rsidRPr="0085488F">
        <w:rPr>
          <w:rFonts w:ascii="Arial" w:hAnsi="Arial" w:cs="Arial"/>
        </w:rPr>
        <w:t>in their tender outcome letter.</w:t>
      </w:r>
    </w:p>
    <w:p w14:paraId="1F65A13C" w14:textId="3B587562" w:rsidR="00A60905" w:rsidRPr="00A60905" w:rsidRDefault="00A60905" w:rsidP="005074BD">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As a result, the only parties who may have been disadvantaged by this shortcoming in the notice of intention were those who did not bid for the contract. The Panel </w:t>
      </w:r>
      <w:r w:rsidR="00E347E1" w:rsidRPr="0085488F">
        <w:rPr>
          <w:rFonts w:ascii="Arial" w:hAnsi="Arial" w:cs="Arial"/>
        </w:rPr>
        <w:t>does</w:t>
      </w:r>
      <w:r>
        <w:rPr>
          <w:rFonts w:ascii="Arial" w:hAnsi="Arial" w:cs="Arial"/>
        </w:rPr>
        <w:t xml:space="preserve"> not </w:t>
      </w:r>
      <w:r w:rsidR="00E347E1" w:rsidRPr="0085488F">
        <w:rPr>
          <w:rFonts w:ascii="Arial" w:hAnsi="Arial" w:cs="Arial"/>
        </w:rPr>
        <w:t>believe</w:t>
      </w:r>
      <w:r>
        <w:rPr>
          <w:rFonts w:ascii="Arial" w:hAnsi="Arial" w:cs="Arial"/>
        </w:rPr>
        <w:t xml:space="preserve"> that the inclusion of this information in the notice of intention would have been </w:t>
      </w:r>
      <w:r>
        <w:rPr>
          <w:rFonts w:ascii="Arial" w:hAnsi="Arial" w:cs="Arial"/>
        </w:rPr>
        <w:lastRenderedPageBreak/>
        <w:t>likely to result in representations that could have led to a different outcome to the provider selection process.</w:t>
      </w:r>
    </w:p>
    <w:p w14:paraId="70E448F8" w14:textId="60C9A22F" w:rsidR="005C3FBC" w:rsidRPr="0085488F" w:rsidRDefault="005C3FBC" w:rsidP="000E1396">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Regarding HNY ICB’s return to an earlier step in the provider selection process, through publishing the corrigendum of 7 March 2025 without repeating the subsequent steps in the provider selection process, the Panel considers that the revised conflict of interest information published by HNY ICB did not reveal any information that raised concerns </w:t>
      </w:r>
      <w:r w:rsidR="00C7020E">
        <w:rPr>
          <w:rFonts w:ascii="Arial" w:hAnsi="Arial" w:cs="Arial"/>
        </w:rPr>
        <w:t xml:space="preserve">that could have had a material effect on </w:t>
      </w:r>
      <w:r>
        <w:rPr>
          <w:rFonts w:ascii="Arial" w:hAnsi="Arial" w:cs="Arial"/>
        </w:rPr>
        <w:t>the provider selection process.</w:t>
      </w:r>
    </w:p>
    <w:p w14:paraId="6A4481D4" w14:textId="383754C6" w:rsidR="0083701E" w:rsidRPr="00080615" w:rsidRDefault="0080108A" w:rsidP="0080108A">
      <w:pPr>
        <w:keepNext/>
        <w:spacing w:before="240" w:line="276" w:lineRule="auto"/>
        <w:rPr>
          <w:rFonts w:ascii="Arial" w:hAnsi="Arial" w:cs="Arial"/>
          <w:b/>
          <w:color w:val="000000" w:themeColor="text1"/>
        </w:rPr>
      </w:pPr>
      <w:r>
        <w:rPr>
          <w:rFonts w:ascii="Arial" w:hAnsi="Arial" w:cs="Arial"/>
          <w:b/>
          <w:bCs/>
        </w:rPr>
        <w:t xml:space="preserve">11.2.3 </w:t>
      </w:r>
      <w:r w:rsidR="0083701E" w:rsidRPr="0080108A">
        <w:rPr>
          <w:rFonts w:ascii="Arial" w:hAnsi="Arial" w:cs="Arial"/>
          <w:b/>
        </w:rPr>
        <w:t xml:space="preserve">Panel recommendations with respect to </w:t>
      </w:r>
      <w:r w:rsidR="00B524E1" w:rsidRPr="00080615">
        <w:rPr>
          <w:rFonts w:ascii="Arial" w:hAnsi="Arial" w:cs="Arial"/>
          <w:b/>
          <w:color w:val="000000" w:themeColor="text1"/>
        </w:rPr>
        <w:t>Clarendon’s</w:t>
      </w:r>
      <w:r w:rsidR="0083701E" w:rsidRPr="00080615">
        <w:rPr>
          <w:rFonts w:ascii="Arial" w:hAnsi="Arial" w:cs="Arial"/>
          <w:b/>
          <w:color w:val="000000" w:themeColor="text1"/>
        </w:rPr>
        <w:t xml:space="preserve"> representations</w:t>
      </w:r>
    </w:p>
    <w:p w14:paraId="4539AF02" w14:textId="77777777" w:rsidR="00B524E1" w:rsidRPr="005F1BC9" w:rsidRDefault="00B524E1" w:rsidP="00A011EB">
      <w:pPr>
        <w:pStyle w:val="ListParagraph"/>
        <w:numPr>
          <w:ilvl w:val="0"/>
          <w:numId w:val="2"/>
        </w:numPr>
        <w:spacing w:after="120" w:line="276" w:lineRule="auto"/>
        <w:ind w:left="567" w:hanging="567"/>
        <w:rPr>
          <w:rFonts w:ascii="Arial" w:eastAsiaTheme="majorEastAsia" w:hAnsi="Arial" w:cs="Arial"/>
          <w:color w:val="000000" w:themeColor="text1"/>
        </w:rPr>
      </w:pPr>
      <w:r>
        <w:rPr>
          <w:rFonts w:ascii="Arial" w:eastAsiaTheme="majorEastAsia" w:hAnsi="Arial" w:cs="Arial"/>
          <w:color w:val="000000" w:themeColor="text1"/>
        </w:rPr>
        <w:t xml:space="preserve">Where the Panel has found breaches of the PSR regulations, </w:t>
      </w:r>
      <w:r w:rsidRPr="005F1BC9">
        <w:rPr>
          <w:rFonts w:ascii="Arial" w:eastAsiaTheme="majorEastAsia" w:hAnsi="Arial" w:cs="Arial"/>
          <w:color w:val="000000" w:themeColor="text1"/>
        </w:rPr>
        <w:t xml:space="preserve">three options are open to </w:t>
      </w:r>
      <w:r>
        <w:rPr>
          <w:rFonts w:ascii="Arial" w:eastAsiaTheme="majorEastAsia" w:hAnsi="Arial" w:cs="Arial"/>
          <w:color w:val="000000" w:themeColor="text1"/>
        </w:rPr>
        <w:t>it</w:t>
      </w:r>
      <w:r w:rsidRPr="005F1BC9">
        <w:rPr>
          <w:rFonts w:ascii="Arial" w:eastAsiaTheme="majorEastAsia" w:hAnsi="Arial" w:cs="Arial"/>
          <w:color w:val="000000" w:themeColor="text1"/>
        </w:rPr>
        <w:t>. The Panel may advise that:</w:t>
      </w:r>
    </w:p>
    <w:p w14:paraId="50FBC780" w14:textId="77777777" w:rsidR="00B524E1" w:rsidRPr="005F1BC9" w:rsidRDefault="00B524E1" w:rsidP="00A011EB">
      <w:pPr>
        <w:pStyle w:val="ListParagraph"/>
        <w:numPr>
          <w:ilvl w:val="0"/>
          <w:numId w:val="4"/>
        </w:numPr>
        <w:spacing w:after="120" w:line="276" w:lineRule="auto"/>
        <w:ind w:left="1418" w:hanging="425"/>
        <w:rPr>
          <w:rFonts w:ascii="Arial" w:hAnsi="Arial" w:cs="Arial"/>
        </w:rPr>
      </w:pPr>
      <w:r w:rsidRPr="005F1BC9">
        <w:rPr>
          <w:rFonts w:ascii="Arial" w:hAnsi="Arial" w:cs="Arial"/>
        </w:rPr>
        <w:t xml:space="preserve">the breaches had no material effect on </w:t>
      </w:r>
      <w:r>
        <w:rPr>
          <w:rFonts w:ascii="Arial" w:hAnsi="Arial" w:cs="Arial"/>
        </w:rPr>
        <w:t>HNY ICB</w:t>
      </w:r>
      <w:r w:rsidRPr="005F1BC9">
        <w:rPr>
          <w:rFonts w:ascii="Arial" w:hAnsi="Arial" w:cs="Arial"/>
        </w:rPr>
        <w:t xml:space="preserve">’s </w:t>
      </w:r>
      <w:r>
        <w:rPr>
          <w:rFonts w:ascii="Arial" w:hAnsi="Arial" w:cs="Arial"/>
        </w:rPr>
        <w:t xml:space="preserve">provider </w:t>
      </w:r>
      <w:r w:rsidRPr="005F1BC9">
        <w:rPr>
          <w:rFonts w:ascii="Arial" w:hAnsi="Arial" w:cs="Arial"/>
        </w:rPr>
        <w:t xml:space="preserve">selection </w:t>
      </w:r>
      <w:r>
        <w:rPr>
          <w:rFonts w:ascii="Arial" w:hAnsi="Arial" w:cs="Arial"/>
        </w:rPr>
        <w:t xml:space="preserve">process </w:t>
      </w:r>
      <w:r w:rsidRPr="005F1BC9">
        <w:rPr>
          <w:rFonts w:ascii="Arial" w:hAnsi="Arial" w:cs="Arial"/>
        </w:rPr>
        <w:t>and it should proceed with awarding the contract as originally intended;</w:t>
      </w:r>
    </w:p>
    <w:p w14:paraId="6621694A" w14:textId="77777777" w:rsidR="00B524E1" w:rsidRPr="005F1BC9" w:rsidRDefault="00B524E1" w:rsidP="00A011EB">
      <w:pPr>
        <w:pStyle w:val="ListParagraph"/>
        <w:numPr>
          <w:ilvl w:val="0"/>
          <w:numId w:val="4"/>
        </w:numPr>
        <w:spacing w:after="120" w:line="276" w:lineRule="auto"/>
        <w:ind w:left="1418" w:hanging="425"/>
        <w:rPr>
          <w:rFonts w:ascii="Arial" w:hAnsi="Arial" w:cs="Arial"/>
        </w:rPr>
      </w:pPr>
      <w:r>
        <w:rPr>
          <w:rFonts w:ascii="Arial" w:hAnsi="Arial" w:cs="Arial"/>
        </w:rPr>
        <w:t xml:space="preserve">HNY ICB </w:t>
      </w:r>
      <w:r w:rsidRPr="005F1BC9">
        <w:rPr>
          <w:rFonts w:ascii="Arial" w:hAnsi="Arial" w:cs="Arial"/>
        </w:rPr>
        <w:t>should return to an earlier step in the provider selection process to rectify the issues identified by the Panel; or</w:t>
      </w:r>
    </w:p>
    <w:p w14:paraId="2AD13C63" w14:textId="77777777" w:rsidR="00B524E1" w:rsidRPr="005F1BC9" w:rsidRDefault="00B524E1" w:rsidP="00B524E1">
      <w:pPr>
        <w:pStyle w:val="ListParagraph"/>
        <w:numPr>
          <w:ilvl w:val="0"/>
          <w:numId w:val="4"/>
        </w:numPr>
        <w:spacing w:line="276" w:lineRule="auto"/>
        <w:ind w:left="1418" w:hanging="425"/>
        <w:contextualSpacing w:val="0"/>
        <w:rPr>
          <w:rFonts w:ascii="Arial" w:hAnsi="Arial" w:cs="Arial"/>
        </w:rPr>
      </w:pPr>
      <w:r>
        <w:rPr>
          <w:rFonts w:ascii="Arial" w:hAnsi="Arial" w:cs="Arial"/>
        </w:rPr>
        <w:t xml:space="preserve">HNY ICB </w:t>
      </w:r>
      <w:r w:rsidRPr="005F1BC9">
        <w:rPr>
          <w:rFonts w:ascii="Arial" w:hAnsi="Arial" w:cs="Arial"/>
        </w:rPr>
        <w:t>should abandon the current provider selection process.</w:t>
      </w:r>
    </w:p>
    <w:p w14:paraId="38066926" w14:textId="23BD1F34" w:rsidR="00B524E1" w:rsidRDefault="00411564" w:rsidP="00B524E1">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Having concluded that the breach of the PSR regulations </w:t>
      </w:r>
      <w:r w:rsidR="00C32C61" w:rsidRPr="005F1BC9">
        <w:rPr>
          <w:rFonts w:ascii="Arial" w:hAnsi="Arial" w:cs="Arial"/>
        </w:rPr>
        <w:t xml:space="preserve">had no material effect on </w:t>
      </w:r>
      <w:r w:rsidR="00C32C61">
        <w:rPr>
          <w:rFonts w:ascii="Arial" w:hAnsi="Arial" w:cs="Arial"/>
        </w:rPr>
        <w:t>HNY ICB</w:t>
      </w:r>
      <w:r w:rsidR="00C32C61" w:rsidRPr="005F1BC9">
        <w:rPr>
          <w:rFonts w:ascii="Arial" w:hAnsi="Arial" w:cs="Arial"/>
        </w:rPr>
        <w:t xml:space="preserve">’s </w:t>
      </w:r>
      <w:r w:rsidR="00C32C61">
        <w:rPr>
          <w:rFonts w:ascii="Arial" w:hAnsi="Arial" w:cs="Arial"/>
        </w:rPr>
        <w:t xml:space="preserve">provider </w:t>
      </w:r>
      <w:r w:rsidR="00C32C61" w:rsidRPr="005F1BC9">
        <w:rPr>
          <w:rFonts w:ascii="Arial" w:hAnsi="Arial" w:cs="Arial"/>
        </w:rPr>
        <w:t xml:space="preserve">selection </w:t>
      </w:r>
      <w:r w:rsidR="00C32C61">
        <w:rPr>
          <w:rFonts w:ascii="Arial" w:hAnsi="Arial" w:cs="Arial"/>
        </w:rPr>
        <w:t>process</w:t>
      </w:r>
      <w:r w:rsidR="00163E16">
        <w:rPr>
          <w:rFonts w:ascii="Arial" w:hAnsi="Arial" w:cs="Arial"/>
        </w:rPr>
        <w:t xml:space="preserve">, </w:t>
      </w:r>
      <w:r w:rsidR="009538D1">
        <w:rPr>
          <w:rFonts w:ascii="Arial" w:hAnsi="Arial" w:cs="Arial"/>
        </w:rPr>
        <w:t>the Panel’s advice is that HNY ICB should proceed with awarding the contracts as originally intended with respect to Lots 1</w:t>
      </w:r>
      <w:r w:rsidR="004C093B">
        <w:rPr>
          <w:rFonts w:ascii="Arial" w:hAnsi="Arial" w:cs="Arial"/>
        </w:rPr>
        <w:t xml:space="preserve">, 3-10, </w:t>
      </w:r>
      <w:r w:rsidR="00367E76">
        <w:rPr>
          <w:rFonts w:ascii="Arial" w:hAnsi="Arial" w:cs="Arial"/>
        </w:rPr>
        <w:t>and 13-16.</w:t>
      </w:r>
    </w:p>
    <w:p w14:paraId="05262289" w14:textId="77777777" w:rsidR="00735E35" w:rsidRDefault="00735E35" w:rsidP="00735E35">
      <w:pPr>
        <w:spacing w:line="276" w:lineRule="auto"/>
        <w:rPr>
          <w:rFonts w:ascii="Arial" w:hAnsi="Arial" w:cs="Arial"/>
        </w:rPr>
      </w:pPr>
    </w:p>
    <w:p w14:paraId="466AD76B" w14:textId="6AF23EF0" w:rsidR="00AE62F1" w:rsidRPr="00227502" w:rsidRDefault="00AE62F1" w:rsidP="00A9305B">
      <w:pPr>
        <w:spacing w:line="276" w:lineRule="auto"/>
        <w:rPr>
          <w:rFonts w:ascii="Arial" w:hAnsi="Arial" w:cs="Arial"/>
          <w:highlight w:val="cyan"/>
        </w:rPr>
      </w:pPr>
    </w:p>
    <w:sectPr w:rsidR="00AE62F1" w:rsidRPr="00227502" w:rsidSect="0032522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EE323" w14:textId="77777777" w:rsidR="00B46462" w:rsidRDefault="00B46462" w:rsidP="005744EB">
      <w:pPr>
        <w:spacing w:after="0" w:line="240" w:lineRule="auto"/>
      </w:pPr>
      <w:r>
        <w:separator/>
      </w:r>
    </w:p>
  </w:endnote>
  <w:endnote w:type="continuationSeparator" w:id="0">
    <w:p w14:paraId="4B390707" w14:textId="77777777" w:rsidR="00B46462" w:rsidRDefault="00B46462" w:rsidP="005744EB">
      <w:pPr>
        <w:spacing w:after="0" w:line="240" w:lineRule="auto"/>
      </w:pPr>
      <w:r>
        <w:continuationSeparator/>
      </w:r>
    </w:p>
  </w:endnote>
  <w:endnote w:type="continuationNotice" w:id="1">
    <w:p w14:paraId="63881F66" w14:textId="77777777" w:rsidR="00B46462" w:rsidRDefault="00B46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29597764"/>
      <w:docPartObj>
        <w:docPartGallery w:val="Page Numbers (Bottom of Page)"/>
        <w:docPartUnique/>
      </w:docPartObj>
    </w:sdtPr>
    <w:sdtEndPr>
      <w:rPr>
        <w:noProof/>
        <w:sz w:val="20"/>
        <w:szCs w:val="20"/>
      </w:rPr>
    </w:sdtEndPr>
    <w:sdtContent>
      <w:p w14:paraId="56F08406" w14:textId="2749920D" w:rsidR="00325220" w:rsidRPr="00AA58CA" w:rsidRDefault="00325220">
        <w:pPr>
          <w:pStyle w:val="Footer"/>
          <w:jc w:val="right"/>
          <w:rPr>
            <w:rFonts w:ascii="Arial" w:hAnsi="Arial" w:cs="Arial"/>
            <w:sz w:val="20"/>
            <w:szCs w:val="20"/>
          </w:rPr>
        </w:pPr>
        <w:r w:rsidRPr="00AA58CA">
          <w:rPr>
            <w:rFonts w:ascii="Arial" w:hAnsi="Arial" w:cs="Arial"/>
            <w:sz w:val="20"/>
            <w:szCs w:val="20"/>
          </w:rPr>
          <w:fldChar w:fldCharType="begin"/>
        </w:r>
        <w:r w:rsidRPr="00AA58CA">
          <w:rPr>
            <w:rFonts w:ascii="Arial" w:hAnsi="Arial" w:cs="Arial"/>
            <w:sz w:val="20"/>
            <w:szCs w:val="20"/>
          </w:rPr>
          <w:instrText xml:space="preserve"> PAGE   \* MERGEFORMAT </w:instrText>
        </w:r>
        <w:r w:rsidRPr="00AA58CA">
          <w:rPr>
            <w:rFonts w:ascii="Arial" w:hAnsi="Arial" w:cs="Arial"/>
            <w:sz w:val="20"/>
            <w:szCs w:val="20"/>
          </w:rPr>
          <w:fldChar w:fldCharType="separate"/>
        </w:r>
        <w:r w:rsidRPr="00AA58CA">
          <w:rPr>
            <w:rFonts w:ascii="Arial" w:hAnsi="Arial" w:cs="Arial"/>
            <w:noProof/>
            <w:sz w:val="20"/>
            <w:szCs w:val="20"/>
          </w:rPr>
          <w:t>2</w:t>
        </w:r>
        <w:r w:rsidRPr="00AA58CA">
          <w:rPr>
            <w:rFonts w:ascii="Arial" w:hAnsi="Arial" w:cs="Arial"/>
            <w:noProof/>
            <w:sz w:val="20"/>
            <w:szCs w:val="20"/>
          </w:rPr>
          <w:fldChar w:fldCharType="end"/>
        </w:r>
      </w:p>
    </w:sdtContent>
  </w:sdt>
  <w:p w14:paraId="6917190D" w14:textId="77777777" w:rsidR="006736DC" w:rsidRDefault="0067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2FE10" w14:textId="77777777" w:rsidR="00B46462" w:rsidRDefault="00B46462" w:rsidP="005744EB">
      <w:pPr>
        <w:spacing w:after="0" w:line="240" w:lineRule="auto"/>
      </w:pPr>
      <w:r>
        <w:separator/>
      </w:r>
    </w:p>
  </w:footnote>
  <w:footnote w:type="continuationSeparator" w:id="0">
    <w:p w14:paraId="0173294A" w14:textId="77777777" w:rsidR="00B46462" w:rsidRDefault="00B46462" w:rsidP="005744EB">
      <w:pPr>
        <w:spacing w:after="0" w:line="240" w:lineRule="auto"/>
      </w:pPr>
      <w:r>
        <w:continuationSeparator/>
      </w:r>
    </w:p>
  </w:footnote>
  <w:footnote w:type="continuationNotice" w:id="1">
    <w:p w14:paraId="37ADCDA7" w14:textId="77777777" w:rsidR="00B46462" w:rsidRDefault="00B46462">
      <w:pPr>
        <w:spacing w:after="0" w:line="240" w:lineRule="auto"/>
      </w:pPr>
    </w:p>
  </w:footnote>
  <w:footnote w:id="2">
    <w:p w14:paraId="61A8963D" w14:textId="369DA8A7" w:rsidR="00691DEF" w:rsidRPr="006737D1" w:rsidRDefault="00691DEF">
      <w:pPr>
        <w:pStyle w:val="FootnoteText"/>
        <w:rPr>
          <w:rFonts w:ascii="Arial" w:hAnsi="Arial" w:cs="Arial"/>
          <w:sz w:val="16"/>
          <w:szCs w:val="16"/>
        </w:rPr>
      </w:pPr>
      <w:r w:rsidRPr="00F935D1">
        <w:rPr>
          <w:rStyle w:val="FootnoteReference"/>
          <w:rFonts w:ascii="Arial" w:hAnsi="Arial" w:cs="Arial"/>
          <w:sz w:val="16"/>
          <w:szCs w:val="16"/>
        </w:rPr>
        <w:footnoteRef/>
      </w:r>
      <w:r w:rsidRPr="00F935D1">
        <w:rPr>
          <w:rFonts w:ascii="Arial" w:hAnsi="Arial" w:cs="Arial"/>
          <w:sz w:val="16"/>
          <w:szCs w:val="16"/>
        </w:rPr>
        <w:t xml:space="preserve"> </w:t>
      </w:r>
      <w:r w:rsidR="006737D1">
        <w:rPr>
          <w:rFonts w:ascii="Arial" w:hAnsi="Arial" w:cs="Arial"/>
          <w:sz w:val="16"/>
          <w:szCs w:val="16"/>
        </w:rPr>
        <w:t xml:space="preserve">Further information on Barkhill can be found on </w:t>
      </w:r>
      <w:r w:rsidR="009F22F8">
        <w:rPr>
          <w:rFonts w:ascii="Arial" w:hAnsi="Arial" w:cs="Arial"/>
          <w:sz w:val="16"/>
          <w:szCs w:val="16"/>
        </w:rPr>
        <w:t>its</w:t>
      </w:r>
      <w:r w:rsidR="006737D1">
        <w:rPr>
          <w:rFonts w:ascii="Arial" w:hAnsi="Arial" w:cs="Arial"/>
          <w:sz w:val="16"/>
          <w:szCs w:val="16"/>
        </w:rPr>
        <w:t xml:space="preserve"> website at </w:t>
      </w:r>
      <w:hyperlink r:id="rId1" w:history="1">
        <w:r w:rsidR="00DD75FF" w:rsidRPr="00724A0F">
          <w:rPr>
            <w:rStyle w:val="Hyperlink"/>
            <w:rFonts w:ascii="Arial" w:hAnsi="Arial" w:cs="Arial"/>
            <w:sz w:val="16"/>
            <w:szCs w:val="16"/>
          </w:rPr>
          <w:t>https://www.barkhilldental.com/</w:t>
        </w:r>
      </w:hyperlink>
      <w:r w:rsidR="008F1098">
        <w:rPr>
          <w:rFonts w:ascii="Arial" w:hAnsi="Arial" w:cs="Arial"/>
          <w:sz w:val="16"/>
          <w:szCs w:val="16"/>
        </w:rPr>
        <w:t>.</w:t>
      </w:r>
    </w:p>
  </w:footnote>
  <w:footnote w:id="3">
    <w:p w14:paraId="268BF183" w14:textId="416B9076" w:rsidR="006737D1" w:rsidRPr="006737D1" w:rsidRDefault="006737D1">
      <w:pPr>
        <w:pStyle w:val="FootnoteText"/>
        <w:rPr>
          <w:rFonts w:ascii="Arial" w:hAnsi="Arial" w:cs="Arial"/>
          <w:sz w:val="16"/>
          <w:szCs w:val="16"/>
        </w:rPr>
      </w:pPr>
      <w:r w:rsidRPr="00F935D1">
        <w:rPr>
          <w:rStyle w:val="FootnoteReference"/>
          <w:rFonts w:ascii="Arial" w:hAnsi="Arial" w:cs="Arial"/>
          <w:sz w:val="16"/>
          <w:szCs w:val="16"/>
        </w:rPr>
        <w:footnoteRef/>
      </w:r>
      <w:r w:rsidRPr="00F935D1">
        <w:rPr>
          <w:rFonts w:ascii="Arial" w:hAnsi="Arial" w:cs="Arial"/>
          <w:sz w:val="16"/>
          <w:szCs w:val="16"/>
        </w:rPr>
        <w:t xml:space="preserve"> </w:t>
      </w:r>
      <w:r w:rsidRPr="006737D1">
        <w:rPr>
          <w:rFonts w:ascii="Arial" w:hAnsi="Arial" w:cs="Arial"/>
          <w:sz w:val="16"/>
          <w:szCs w:val="16"/>
        </w:rPr>
        <w:t xml:space="preserve">Further information on </w:t>
      </w:r>
      <w:r w:rsidR="004C3C7A">
        <w:rPr>
          <w:rFonts w:ascii="Arial" w:hAnsi="Arial" w:cs="Arial"/>
          <w:sz w:val="16"/>
          <w:szCs w:val="16"/>
        </w:rPr>
        <w:t>Clarendon</w:t>
      </w:r>
      <w:r w:rsidRPr="006737D1">
        <w:rPr>
          <w:rFonts w:ascii="Arial" w:hAnsi="Arial" w:cs="Arial"/>
          <w:sz w:val="16"/>
          <w:szCs w:val="16"/>
        </w:rPr>
        <w:t xml:space="preserve"> can be found on </w:t>
      </w:r>
      <w:r w:rsidR="009F22F8">
        <w:rPr>
          <w:rFonts w:ascii="Arial" w:hAnsi="Arial" w:cs="Arial"/>
          <w:sz w:val="16"/>
          <w:szCs w:val="16"/>
        </w:rPr>
        <w:t>its</w:t>
      </w:r>
      <w:r w:rsidRPr="006737D1">
        <w:rPr>
          <w:rFonts w:ascii="Arial" w:hAnsi="Arial" w:cs="Arial"/>
          <w:sz w:val="16"/>
          <w:szCs w:val="16"/>
        </w:rPr>
        <w:t xml:space="preserve"> website at</w:t>
      </w:r>
      <w:r>
        <w:rPr>
          <w:rFonts w:ascii="Arial" w:hAnsi="Arial" w:cs="Arial"/>
          <w:sz w:val="16"/>
          <w:szCs w:val="16"/>
        </w:rPr>
        <w:t xml:space="preserve"> </w:t>
      </w:r>
      <w:hyperlink r:id="rId2" w:history="1">
        <w:r w:rsidR="004C3C7A" w:rsidRPr="00724A0F">
          <w:rPr>
            <w:rStyle w:val="Hyperlink"/>
            <w:rFonts w:ascii="Arial" w:hAnsi="Arial" w:cs="Arial"/>
            <w:sz w:val="16"/>
            <w:szCs w:val="16"/>
          </w:rPr>
          <w:t>https://www.clarendondentalspa.co.uk/</w:t>
        </w:r>
      </w:hyperlink>
      <w:r w:rsidR="004C3C7A">
        <w:rPr>
          <w:rFonts w:ascii="Arial" w:hAnsi="Arial" w:cs="Arial"/>
          <w:sz w:val="16"/>
          <w:szCs w:val="16"/>
        </w:rPr>
        <w:t>.</w:t>
      </w:r>
    </w:p>
  </w:footnote>
  <w:footnote w:id="4">
    <w:p w14:paraId="770531B6" w14:textId="77777777" w:rsidR="00592B7E" w:rsidRPr="00D57C0E" w:rsidRDefault="00592B7E" w:rsidP="00592B7E">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Panel’s case acceptance criteria are available at </w:t>
      </w:r>
      <w:hyperlink r:id="rId3" w:history="1">
        <w:r w:rsidRPr="00D57C0E">
          <w:rPr>
            <w:rStyle w:val="Hyperlink"/>
            <w:rFonts w:ascii="Arial" w:hAnsi="Arial" w:cs="Arial"/>
            <w:sz w:val="16"/>
            <w:szCs w:val="16"/>
          </w:rPr>
          <w:t>https://www.england.nhs.uk/commissioning/how-commissioning-is-changing/nhs-provider-selection-regime/independent-patient-choice-and-procurement-panel/</w:t>
        </w:r>
      </w:hyperlink>
      <w:r w:rsidRPr="00D57C0E">
        <w:rPr>
          <w:rFonts w:ascii="Arial" w:hAnsi="Arial" w:cs="Arial"/>
          <w:sz w:val="16"/>
          <w:szCs w:val="16"/>
        </w:rPr>
        <w:t>.</w:t>
      </w:r>
    </w:p>
  </w:footnote>
  <w:footnote w:id="5">
    <w:p w14:paraId="6182711F" w14:textId="77777777" w:rsidR="005371BE" w:rsidRPr="00D57C0E" w:rsidRDefault="005371BE" w:rsidP="005371BE">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Biographies of Panel members are available at </w:t>
      </w:r>
      <w:hyperlink r:id="rId4" w:history="1">
        <w:r w:rsidRPr="00D57C0E">
          <w:rPr>
            <w:rStyle w:val="Hyperlink"/>
            <w:rFonts w:ascii="Arial" w:hAnsi="Arial" w:cs="Arial"/>
            <w:sz w:val="16"/>
            <w:szCs w:val="16"/>
          </w:rPr>
          <w:t>https://www.england.nhs.uk/commissioning/how-commissioning-is-changing/nhs-provider-selection-regime/independent-patient-choice-and-procurement-panel/panel-members/</w:t>
        </w:r>
      </w:hyperlink>
      <w:r w:rsidRPr="00D57C0E">
        <w:rPr>
          <w:rFonts w:ascii="Arial" w:hAnsi="Arial" w:cs="Arial"/>
          <w:sz w:val="16"/>
          <w:szCs w:val="16"/>
        </w:rPr>
        <w:t>.</w:t>
      </w:r>
    </w:p>
  </w:footnote>
  <w:footnote w:id="6">
    <w:p w14:paraId="413CE41A" w14:textId="77777777" w:rsidR="00B54100" w:rsidRPr="00D57C0E" w:rsidRDefault="00B54100" w:rsidP="00B54100">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Panel’s Standard Operating Procedures are available at </w:t>
      </w:r>
      <w:hyperlink r:id="rId5" w:history="1">
        <w:r w:rsidRPr="00D57C0E">
          <w:rPr>
            <w:rStyle w:val="Hyperlink"/>
            <w:rFonts w:ascii="Arial" w:hAnsi="Arial" w:cs="Arial"/>
            <w:sz w:val="16"/>
            <w:szCs w:val="16"/>
          </w:rPr>
          <w:t>https://www.england.nhs.uk/commissioning/how-commissioning-is-changing/nhs-provider-selection-regime/independent-patient-choice-and-procurement-panel/</w:t>
        </w:r>
      </w:hyperlink>
      <w:r w:rsidRPr="00D57C0E">
        <w:rPr>
          <w:rFonts w:ascii="Arial" w:hAnsi="Arial" w:cs="Arial"/>
          <w:sz w:val="16"/>
          <w:szCs w:val="16"/>
        </w:rPr>
        <w:t>.</w:t>
      </w:r>
    </w:p>
  </w:footnote>
  <w:footnote w:id="7">
    <w:p w14:paraId="6C7B129E" w14:textId="77777777" w:rsidR="003E3485" w:rsidRPr="00D57C0E" w:rsidRDefault="003E3485" w:rsidP="003E3485">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w:t>
      </w:r>
      <w:r>
        <w:rPr>
          <w:rFonts w:ascii="Arial" w:hAnsi="Arial" w:cs="Arial"/>
          <w:sz w:val="16"/>
          <w:szCs w:val="16"/>
        </w:rPr>
        <w:t>T</w:t>
      </w:r>
      <w:r w:rsidRPr="00D57C0E">
        <w:rPr>
          <w:rFonts w:ascii="Arial" w:hAnsi="Arial" w:cs="Arial"/>
          <w:color w:val="000000" w:themeColor="text1"/>
          <w:sz w:val="16"/>
          <w:szCs w:val="16"/>
        </w:rPr>
        <w:t>he Panel’s advice is provided under para 23 of the PSR Regulations and takes account of the representations made to the Panel prior to forming its opinion.</w:t>
      </w:r>
    </w:p>
  </w:footnote>
  <w:footnote w:id="8">
    <w:p w14:paraId="3926EC17" w14:textId="77777777" w:rsidR="00235498" w:rsidRPr="00D57C0E" w:rsidRDefault="00235498" w:rsidP="00235498">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PSR Regulations are available at </w:t>
      </w:r>
      <w:hyperlink r:id="rId6" w:history="1">
        <w:r w:rsidRPr="00D57C0E">
          <w:rPr>
            <w:rStyle w:val="Hyperlink"/>
            <w:rFonts w:ascii="Arial" w:hAnsi="Arial" w:cs="Arial"/>
            <w:sz w:val="16"/>
            <w:szCs w:val="16"/>
          </w:rPr>
          <w:t>https://www.legislation.gov.uk/uksi/2023/1348/contents/made</w:t>
        </w:r>
      </w:hyperlink>
      <w:r w:rsidRPr="00D57C0E">
        <w:rPr>
          <w:rFonts w:ascii="Arial" w:hAnsi="Arial" w:cs="Arial"/>
          <w:sz w:val="16"/>
          <w:szCs w:val="16"/>
        </w:rPr>
        <w:t xml:space="preserve"> and the accompanying statutory guidance is available at NHS England, </w:t>
      </w:r>
      <w:r w:rsidRPr="00D57C0E">
        <w:rPr>
          <w:rFonts w:ascii="Arial" w:hAnsi="Arial" w:cs="Arial"/>
          <w:i/>
          <w:iCs/>
          <w:sz w:val="16"/>
          <w:szCs w:val="16"/>
        </w:rPr>
        <w:t>The Provider Selection Regime: statutory guidance</w:t>
      </w:r>
      <w:r w:rsidRPr="00D57C0E">
        <w:rPr>
          <w:rFonts w:ascii="Arial" w:hAnsi="Arial" w:cs="Arial"/>
          <w:sz w:val="16"/>
          <w:szCs w:val="16"/>
        </w:rPr>
        <w:t xml:space="preserve">, </w:t>
      </w:r>
      <w:hyperlink r:id="rId7" w:history="1">
        <w:r w:rsidRPr="00D57C0E">
          <w:rPr>
            <w:rStyle w:val="Hyperlink"/>
            <w:rFonts w:ascii="Arial" w:hAnsi="Arial" w:cs="Arial"/>
            <w:sz w:val="16"/>
            <w:szCs w:val="16"/>
          </w:rPr>
          <w:t>https://www.england.nhs.uk/long-read/the-provider-selection-regime-statutory-guidance/</w:t>
        </w:r>
      </w:hyperlink>
      <w:r w:rsidRPr="00D57C0E">
        <w:rPr>
          <w:rFonts w:ascii="Arial" w:hAnsi="Arial" w:cs="Arial"/>
          <w:sz w:val="16"/>
          <w:szCs w:val="16"/>
        </w:rPr>
        <w:t>.</w:t>
      </w:r>
    </w:p>
  </w:footnote>
  <w:footnote w:id="9">
    <w:p w14:paraId="0390D7D8" w14:textId="303E2CD7" w:rsidR="009C45F6" w:rsidRPr="00D379A0" w:rsidRDefault="009C45F6">
      <w:pPr>
        <w:pStyle w:val="FootnoteText"/>
        <w:rPr>
          <w:rFonts w:ascii="Arial" w:hAnsi="Arial" w:cs="Arial"/>
          <w:sz w:val="16"/>
          <w:szCs w:val="16"/>
        </w:rPr>
      </w:pPr>
      <w:r w:rsidRPr="00D379A0">
        <w:rPr>
          <w:rStyle w:val="FootnoteReference"/>
          <w:rFonts w:ascii="Arial" w:hAnsi="Arial" w:cs="Arial"/>
          <w:sz w:val="16"/>
          <w:szCs w:val="16"/>
        </w:rPr>
        <w:footnoteRef/>
      </w:r>
      <w:r w:rsidRPr="00D379A0">
        <w:rPr>
          <w:rFonts w:ascii="Arial" w:hAnsi="Arial" w:cs="Arial"/>
          <w:sz w:val="16"/>
          <w:szCs w:val="16"/>
        </w:rPr>
        <w:t xml:space="preserve"> Further information on HNY ICB can be found on </w:t>
      </w:r>
      <w:r w:rsidR="00D379A0" w:rsidRPr="00D379A0">
        <w:rPr>
          <w:rFonts w:ascii="Arial" w:hAnsi="Arial" w:cs="Arial"/>
          <w:sz w:val="16"/>
          <w:szCs w:val="16"/>
        </w:rPr>
        <w:t xml:space="preserve">its </w:t>
      </w:r>
      <w:r w:rsidRPr="00D379A0">
        <w:rPr>
          <w:rFonts w:ascii="Arial" w:hAnsi="Arial" w:cs="Arial"/>
          <w:sz w:val="16"/>
          <w:szCs w:val="16"/>
        </w:rPr>
        <w:t xml:space="preserve">website at </w:t>
      </w:r>
      <w:hyperlink r:id="rId8" w:history="1">
        <w:r w:rsidR="00D379A0" w:rsidRPr="00D379A0">
          <w:rPr>
            <w:rStyle w:val="Hyperlink"/>
            <w:rFonts w:ascii="Arial" w:hAnsi="Arial" w:cs="Arial"/>
            <w:sz w:val="16"/>
            <w:szCs w:val="16"/>
          </w:rPr>
          <w:t>https://humberandnorthyorkshire.icb.nhs.uk/</w:t>
        </w:r>
      </w:hyperlink>
    </w:p>
  </w:footnote>
  <w:footnote w:id="10">
    <w:p w14:paraId="7851651E" w14:textId="6E3E2B04" w:rsidR="00C65E5E" w:rsidRPr="00836F66" w:rsidRDefault="00C65E5E">
      <w:pPr>
        <w:pStyle w:val="FootnoteText"/>
        <w:rPr>
          <w:rFonts w:ascii="Arial" w:hAnsi="Arial" w:cs="Arial"/>
          <w:sz w:val="16"/>
          <w:szCs w:val="16"/>
        </w:rPr>
      </w:pPr>
      <w:r w:rsidRPr="00836F66">
        <w:rPr>
          <w:rStyle w:val="FootnoteReference"/>
          <w:rFonts w:ascii="Arial" w:hAnsi="Arial" w:cs="Arial"/>
          <w:sz w:val="16"/>
          <w:szCs w:val="16"/>
        </w:rPr>
        <w:footnoteRef/>
      </w:r>
      <w:r w:rsidRPr="00836F66">
        <w:rPr>
          <w:rFonts w:ascii="Arial" w:hAnsi="Arial" w:cs="Arial"/>
          <w:sz w:val="16"/>
          <w:szCs w:val="16"/>
        </w:rPr>
        <w:t xml:space="preserve"> </w:t>
      </w:r>
      <w:r w:rsidR="0007252F" w:rsidRPr="00836F66">
        <w:rPr>
          <w:rFonts w:ascii="Arial" w:hAnsi="Arial" w:cs="Arial"/>
          <w:sz w:val="16"/>
          <w:szCs w:val="16"/>
        </w:rPr>
        <w:t xml:space="preserve">JFH Law, </w:t>
      </w:r>
      <w:r w:rsidR="002B08DA" w:rsidRPr="00836F66">
        <w:rPr>
          <w:rFonts w:ascii="Arial" w:hAnsi="Arial" w:cs="Arial"/>
          <w:i/>
          <w:sz w:val="16"/>
          <w:szCs w:val="16"/>
        </w:rPr>
        <w:t>Report prepared on behalf of Clarendon</w:t>
      </w:r>
      <w:r w:rsidR="003F7B1D" w:rsidRPr="00836F66">
        <w:rPr>
          <w:rFonts w:ascii="Arial" w:hAnsi="Arial" w:cs="Arial"/>
          <w:i/>
          <w:iCs/>
          <w:sz w:val="16"/>
          <w:szCs w:val="16"/>
        </w:rPr>
        <w:t xml:space="preserve"> for the </w:t>
      </w:r>
      <w:r w:rsidR="00836F66" w:rsidRPr="00836F66">
        <w:rPr>
          <w:rFonts w:ascii="Arial" w:hAnsi="Arial" w:cs="Arial"/>
          <w:i/>
          <w:iCs/>
          <w:sz w:val="16"/>
          <w:szCs w:val="16"/>
        </w:rPr>
        <w:t>purposes of the meeting with the Panel</w:t>
      </w:r>
      <w:r w:rsidR="00836F66" w:rsidRPr="00836F66">
        <w:rPr>
          <w:rFonts w:ascii="Arial" w:hAnsi="Arial" w:cs="Arial"/>
          <w:sz w:val="16"/>
          <w:szCs w:val="16"/>
        </w:rPr>
        <w:t>, 9 April 2025.</w:t>
      </w:r>
    </w:p>
  </w:footnote>
  <w:footnote w:id="11">
    <w:p w14:paraId="441962AC" w14:textId="06174630" w:rsidR="00EA02D9" w:rsidRPr="00DB0894" w:rsidRDefault="00EA02D9">
      <w:pPr>
        <w:pStyle w:val="FootnoteText"/>
        <w:rPr>
          <w:rFonts w:ascii="Arial" w:hAnsi="Arial" w:cs="Arial"/>
          <w:sz w:val="16"/>
          <w:szCs w:val="16"/>
        </w:rPr>
      </w:pPr>
      <w:r w:rsidRPr="00DB0894">
        <w:rPr>
          <w:rStyle w:val="FootnoteReference"/>
          <w:rFonts w:ascii="Arial" w:hAnsi="Arial" w:cs="Arial"/>
          <w:sz w:val="16"/>
          <w:szCs w:val="16"/>
        </w:rPr>
        <w:footnoteRef/>
      </w:r>
      <w:r w:rsidRPr="00DB0894">
        <w:rPr>
          <w:rFonts w:ascii="Arial" w:hAnsi="Arial" w:cs="Arial"/>
          <w:sz w:val="16"/>
          <w:szCs w:val="16"/>
        </w:rPr>
        <w:t xml:space="preserve"> </w:t>
      </w:r>
      <w:r w:rsidR="003F702D" w:rsidRPr="00DB0894">
        <w:rPr>
          <w:rFonts w:ascii="Arial" w:hAnsi="Arial" w:cs="Arial"/>
          <w:sz w:val="16"/>
          <w:szCs w:val="16"/>
        </w:rPr>
        <w:t xml:space="preserve">HNY ICB, </w:t>
      </w:r>
      <w:r w:rsidR="00DB0894" w:rsidRPr="00DB0894">
        <w:rPr>
          <w:rFonts w:ascii="Arial" w:hAnsi="Arial" w:cs="Arial"/>
          <w:i/>
          <w:iCs/>
          <w:sz w:val="16"/>
          <w:szCs w:val="16"/>
        </w:rPr>
        <w:t>Opening statement to the Independent Patient Choice and Procurement Panel</w:t>
      </w:r>
      <w:r w:rsidR="00DB0894" w:rsidRPr="00DB0894">
        <w:rPr>
          <w:rFonts w:ascii="Arial" w:hAnsi="Arial" w:cs="Arial"/>
          <w:sz w:val="16"/>
          <w:szCs w:val="16"/>
        </w:rPr>
        <w:t>, 11 April 2025.</w:t>
      </w:r>
    </w:p>
  </w:footnote>
  <w:footnote w:id="12">
    <w:p w14:paraId="38ABC5A7" w14:textId="7D179133" w:rsidR="00377929" w:rsidRPr="00DD3459" w:rsidRDefault="00377929">
      <w:pPr>
        <w:pStyle w:val="FootnoteText"/>
        <w:rPr>
          <w:rFonts w:ascii="Arial" w:hAnsi="Arial" w:cs="Arial"/>
          <w:sz w:val="16"/>
          <w:szCs w:val="16"/>
        </w:rPr>
      </w:pPr>
      <w:r w:rsidRPr="00DD3459">
        <w:rPr>
          <w:rStyle w:val="FootnoteReference"/>
          <w:rFonts w:ascii="Arial" w:hAnsi="Arial" w:cs="Arial"/>
          <w:sz w:val="16"/>
          <w:szCs w:val="16"/>
        </w:rPr>
        <w:footnoteRef/>
      </w:r>
      <w:r w:rsidRPr="00DD3459">
        <w:rPr>
          <w:rFonts w:ascii="Arial" w:hAnsi="Arial" w:cs="Arial"/>
          <w:sz w:val="16"/>
          <w:szCs w:val="16"/>
        </w:rPr>
        <w:t xml:space="preserve"> HNY ICB, </w:t>
      </w:r>
      <w:r w:rsidRPr="00BC4E58">
        <w:rPr>
          <w:rFonts w:ascii="Arial" w:hAnsi="Arial" w:cs="Arial"/>
          <w:i/>
          <w:iCs/>
          <w:sz w:val="16"/>
          <w:szCs w:val="16"/>
        </w:rPr>
        <w:t>Contract</w:t>
      </w:r>
      <w:r w:rsidR="00DD3459" w:rsidRPr="00BC4E58">
        <w:rPr>
          <w:rFonts w:ascii="Arial" w:hAnsi="Arial" w:cs="Arial"/>
          <w:i/>
          <w:iCs/>
          <w:sz w:val="16"/>
          <w:szCs w:val="16"/>
        </w:rPr>
        <w:t xml:space="preserve"> Notice</w:t>
      </w:r>
      <w:r w:rsidR="008F23FE">
        <w:rPr>
          <w:rFonts w:ascii="Arial" w:hAnsi="Arial" w:cs="Arial"/>
          <w:i/>
          <w:iCs/>
          <w:sz w:val="16"/>
          <w:szCs w:val="16"/>
        </w:rPr>
        <w:t xml:space="preserve"> on Find a Tender Service</w:t>
      </w:r>
      <w:r w:rsidR="00DD3459" w:rsidRPr="00DD3459">
        <w:rPr>
          <w:rFonts w:ascii="Arial" w:hAnsi="Arial" w:cs="Arial"/>
          <w:sz w:val="16"/>
          <w:szCs w:val="16"/>
        </w:rPr>
        <w:t>, 20 September 202</w:t>
      </w:r>
      <w:r w:rsidR="00F05902">
        <w:rPr>
          <w:rFonts w:ascii="Arial" w:hAnsi="Arial" w:cs="Arial"/>
          <w:sz w:val="16"/>
          <w:szCs w:val="16"/>
        </w:rPr>
        <w:t>4</w:t>
      </w:r>
      <w:r w:rsidR="00DD3459" w:rsidRPr="00DD3459">
        <w:rPr>
          <w:rFonts w:ascii="Arial" w:hAnsi="Arial" w:cs="Arial"/>
          <w:sz w:val="16"/>
          <w:szCs w:val="16"/>
        </w:rPr>
        <w:t>.</w:t>
      </w:r>
    </w:p>
  </w:footnote>
  <w:footnote w:id="13">
    <w:p w14:paraId="2ADCCA61" w14:textId="77777777" w:rsidR="008A4B34" w:rsidRPr="00DB0894" w:rsidRDefault="008A4B34" w:rsidP="008A4B34">
      <w:pPr>
        <w:pStyle w:val="FootnoteText"/>
        <w:rPr>
          <w:rFonts w:ascii="Arial" w:hAnsi="Arial" w:cs="Arial"/>
          <w:sz w:val="16"/>
          <w:szCs w:val="16"/>
        </w:rPr>
      </w:pPr>
      <w:r w:rsidRPr="00DB0894">
        <w:rPr>
          <w:rStyle w:val="FootnoteReference"/>
          <w:rFonts w:ascii="Arial" w:hAnsi="Arial" w:cs="Arial"/>
          <w:sz w:val="16"/>
          <w:szCs w:val="16"/>
        </w:rPr>
        <w:footnoteRef/>
      </w:r>
      <w:r w:rsidRPr="00DB0894">
        <w:rPr>
          <w:rFonts w:ascii="Arial" w:hAnsi="Arial" w:cs="Arial"/>
          <w:sz w:val="16"/>
          <w:szCs w:val="16"/>
        </w:rPr>
        <w:t xml:space="preserve"> HNY ICB, </w:t>
      </w:r>
      <w:r w:rsidRPr="00A9305B">
        <w:rPr>
          <w:rFonts w:ascii="Arial" w:hAnsi="Arial" w:cs="Arial"/>
          <w:i/>
          <w:sz w:val="16"/>
          <w:szCs w:val="16"/>
        </w:rPr>
        <w:t>Provider Response Document</w:t>
      </w:r>
      <w:r>
        <w:rPr>
          <w:rFonts w:ascii="Arial" w:hAnsi="Arial" w:cs="Arial"/>
          <w:sz w:val="16"/>
          <w:szCs w:val="16"/>
        </w:rPr>
        <w:t>, July 2024, p.59</w:t>
      </w:r>
      <w:r w:rsidRPr="00DB0894">
        <w:rPr>
          <w:rFonts w:ascii="Arial" w:hAnsi="Arial" w:cs="Arial"/>
          <w:sz w:val="16"/>
          <w:szCs w:val="16"/>
        </w:rPr>
        <w:t>.</w:t>
      </w:r>
    </w:p>
  </w:footnote>
  <w:footnote w:id="14">
    <w:p w14:paraId="7A9036E0" w14:textId="77777777" w:rsidR="0092227D" w:rsidRPr="00DB0894" w:rsidRDefault="0092227D" w:rsidP="0092227D">
      <w:pPr>
        <w:pStyle w:val="FootnoteText"/>
        <w:rPr>
          <w:rFonts w:ascii="Arial" w:hAnsi="Arial" w:cs="Arial"/>
          <w:sz w:val="16"/>
          <w:szCs w:val="16"/>
        </w:rPr>
      </w:pPr>
      <w:r w:rsidRPr="00DB0894">
        <w:rPr>
          <w:rStyle w:val="FootnoteReference"/>
          <w:rFonts w:ascii="Arial" w:hAnsi="Arial" w:cs="Arial"/>
          <w:sz w:val="16"/>
          <w:szCs w:val="16"/>
        </w:rPr>
        <w:footnoteRef/>
      </w:r>
      <w:r w:rsidRPr="00DB0894">
        <w:rPr>
          <w:rFonts w:ascii="Arial" w:hAnsi="Arial" w:cs="Arial"/>
          <w:sz w:val="16"/>
          <w:szCs w:val="16"/>
        </w:rPr>
        <w:t xml:space="preserve"> HNY ICB, </w:t>
      </w:r>
      <w:r w:rsidRPr="00DB0894">
        <w:rPr>
          <w:rFonts w:ascii="Arial" w:hAnsi="Arial" w:cs="Arial"/>
          <w:i/>
          <w:iCs/>
          <w:sz w:val="16"/>
          <w:szCs w:val="16"/>
        </w:rPr>
        <w:t>Opening statement to the Independent Patient Choice and Procurement Panel</w:t>
      </w:r>
      <w:r w:rsidRPr="00DB0894">
        <w:rPr>
          <w:rFonts w:ascii="Arial" w:hAnsi="Arial" w:cs="Arial"/>
          <w:sz w:val="16"/>
          <w:szCs w:val="16"/>
        </w:rPr>
        <w:t>, 11 April 2025.</w:t>
      </w:r>
    </w:p>
  </w:footnote>
  <w:footnote w:id="15">
    <w:p w14:paraId="74E12BDF" w14:textId="694A8350" w:rsidR="00945828" w:rsidRPr="007721FF" w:rsidRDefault="00945828" w:rsidP="00945828">
      <w:pPr>
        <w:pStyle w:val="FootnoteText"/>
        <w:rPr>
          <w:rFonts w:ascii="Arial" w:hAnsi="Arial" w:cs="Arial"/>
          <w:sz w:val="16"/>
          <w:szCs w:val="16"/>
        </w:rPr>
      </w:pPr>
      <w:r w:rsidRPr="007721FF">
        <w:rPr>
          <w:rStyle w:val="FootnoteReference"/>
          <w:rFonts w:ascii="Arial" w:hAnsi="Arial" w:cs="Arial"/>
          <w:sz w:val="16"/>
          <w:szCs w:val="16"/>
        </w:rPr>
        <w:footnoteRef/>
      </w:r>
      <w:r w:rsidRPr="007721FF">
        <w:rPr>
          <w:rFonts w:ascii="Arial" w:hAnsi="Arial" w:cs="Arial"/>
          <w:sz w:val="16"/>
          <w:szCs w:val="16"/>
        </w:rPr>
        <w:t xml:space="preserve"> H</w:t>
      </w:r>
      <w:r w:rsidR="006C62BD">
        <w:rPr>
          <w:rFonts w:ascii="Arial" w:hAnsi="Arial" w:cs="Arial"/>
          <w:sz w:val="16"/>
          <w:szCs w:val="16"/>
        </w:rPr>
        <w:t>N</w:t>
      </w:r>
      <w:r w:rsidRPr="007721FF">
        <w:rPr>
          <w:rFonts w:ascii="Arial" w:hAnsi="Arial" w:cs="Arial"/>
          <w:sz w:val="16"/>
          <w:szCs w:val="16"/>
        </w:rPr>
        <w:t xml:space="preserve">Y ICB, </w:t>
      </w:r>
      <w:r>
        <w:rPr>
          <w:rFonts w:ascii="Arial" w:hAnsi="Arial" w:cs="Arial"/>
          <w:i/>
          <w:iCs/>
          <w:sz w:val="16"/>
          <w:szCs w:val="16"/>
        </w:rPr>
        <w:t>Corrigendum</w:t>
      </w:r>
      <w:r w:rsidRPr="004A31F8">
        <w:rPr>
          <w:rFonts w:ascii="Arial" w:hAnsi="Arial" w:cs="Arial"/>
          <w:i/>
          <w:iCs/>
          <w:sz w:val="16"/>
          <w:szCs w:val="16"/>
        </w:rPr>
        <w:t xml:space="preserve"> </w:t>
      </w:r>
      <w:r>
        <w:rPr>
          <w:rFonts w:ascii="Arial" w:hAnsi="Arial" w:cs="Arial"/>
          <w:i/>
          <w:iCs/>
          <w:sz w:val="16"/>
          <w:szCs w:val="16"/>
        </w:rPr>
        <w:t>n</w:t>
      </w:r>
      <w:r w:rsidRPr="007721FF">
        <w:rPr>
          <w:rFonts w:ascii="Arial" w:hAnsi="Arial" w:cs="Arial"/>
          <w:i/>
          <w:iCs/>
          <w:sz w:val="16"/>
          <w:szCs w:val="16"/>
        </w:rPr>
        <w:t xml:space="preserve">otice </w:t>
      </w:r>
      <w:r>
        <w:rPr>
          <w:rFonts w:ascii="Arial" w:hAnsi="Arial" w:cs="Arial"/>
          <w:i/>
          <w:iCs/>
          <w:sz w:val="16"/>
          <w:szCs w:val="16"/>
        </w:rPr>
        <w:t>for changes or additional information</w:t>
      </w:r>
      <w:r w:rsidR="00A82A16">
        <w:rPr>
          <w:rFonts w:ascii="Arial" w:hAnsi="Arial" w:cs="Arial"/>
          <w:i/>
          <w:iCs/>
          <w:sz w:val="16"/>
          <w:szCs w:val="16"/>
        </w:rPr>
        <w:t xml:space="preserve"> on</w:t>
      </w:r>
      <w:r>
        <w:rPr>
          <w:rFonts w:ascii="Arial" w:hAnsi="Arial" w:cs="Arial"/>
          <w:i/>
          <w:iCs/>
          <w:sz w:val="16"/>
          <w:szCs w:val="16"/>
        </w:rPr>
        <w:t xml:space="preserve"> </w:t>
      </w:r>
      <w:r w:rsidRPr="00A82A16">
        <w:rPr>
          <w:rFonts w:ascii="Arial" w:hAnsi="Arial" w:cs="Arial"/>
          <w:i/>
          <w:iCs/>
          <w:sz w:val="16"/>
          <w:szCs w:val="16"/>
        </w:rPr>
        <w:t>Find a Tender Service</w:t>
      </w:r>
      <w:r w:rsidRPr="00995E89">
        <w:rPr>
          <w:rFonts w:ascii="Arial" w:hAnsi="Arial" w:cs="Arial"/>
          <w:sz w:val="16"/>
          <w:szCs w:val="16"/>
        </w:rPr>
        <w:t>,</w:t>
      </w:r>
      <w:r w:rsidRPr="007721FF">
        <w:rPr>
          <w:rFonts w:ascii="Arial" w:hAnsi="Arial" w:cs="Arial"/>
          <w:sz w:val="16"/>
          <w:szCs w:val="16"/>
        </w:rPr>
        <w:t xml:space="preserve"> 7 March 2025.</w:t>
      </w:r>
    </w:p>
  </w:footnote>
  <w:footnote w:id="16">
    <w:p w14:paraId="0BF48519" w14:textId="5026D27E" w:rsidR="00E6742E" w:rsidRPr="007C4FDF" w:rsidRDefault="00E6742E">
      <w:pPr>
        <w:pStyle w:val="FootnoteText"/>
        <w:rPr>
          <w:rFonts w:ascii="Arial" w:hAnsi="Arial" w:cs="Arial"/>
          <w:sz w:val="16"/>
          <w:szCs w:val="16"/>
        </w:rPr>
      </w:pPr>
      <w:r w:rsidRPr="007C4FDF">
        <w:rPr>
          <w:rStyle w:val="FootnoteReference"/>
          <w:rFonts w:ascii="Arial" w:hAnsi="Arial" w:cs="Arial"/>
          <w:sz w:val="16"/>
          <w:szCs w:val="16"/>
        </w:rPr>
        <w:footnoteRef/>
      </w:r>
      <w:r w:rsidRPr="007C4FDF">
        <w:rPr>
          <w:rFonts w:ascii="Arial" w:hAnsi="Arial" w:cs="Arial"/>
          <w:sz w:val="16"/>
          <w:szCs w:val="16"/>
        </w:rPr>
        <w:t xml:space="preserve"> NHS England, </w:t>
      </w:r>
      <w:r w:rsidRPr="007C4FDF">
        <w:rPr>
          <w:rFonts w:ascii="Arial" w:hAnsi="Arial" w:cs="Arial"/>
          <w:i/>
          <w:iCs/>
          <w:sz w:val="16"/>
          <w:szCs w:val="16"/>
        </w:rPr>
        <w:t>The Provider Selection Regime: statutory guidance</w:t>
      </w:r>
      <w:r w:rsidRPr="007C4FDF">
        <w:rPr>
          <w:rFonts w:ascii="Arial" w:hAnsi="Arial" w:cs="Arial"/>
          <w:sz w:val="16"/>
          <w:szCs w:val="16"/>
        </w:rPr>
        <w:t xml:space="preserve">, </w:t>
      </w:r>
      <w:r w:rsidR="0017114F">
        <w:rPr>
          <w:rFonts w:ascii="Arial" w:hAnsi="Arial" w:cs="Arial"/>
          <w:sz w:val="16"/>
          <w:szCs w:val="16"/>
        </w:rPr>
        <w:t>April 2025</w:t>
      </w:r>
      <w:r w:rsidR="007C4FDF" w:rsidRPr="007C4FDF">
        <w:rPr>
          <w:rFonts w:ascii="Arial" w:hAnsi="Arial" w:cs="Arial"/>
          <w:sz w:val="16"/>
          <w:szCs w:val="16"/>
        </w:rPr>
        <w:t>, p.2.</w:t>
      </w:r>
    </w:p>
  </w:footnote>
  <w:footnote w:id="17">
    <w:p w14:paraId="74C855E6" w14:textId="4DB6D0AF" w:rsidR="00152BE9" w:rsidRPr="00DA1A1B" w:rsidRDefault="00152BE9">
      <w:pPr>
        <w:pStyle w:val="FootnoteText"/>
        <w:rPr>
          <w:rFonts w:ascii="Arial" w:hAnsi="Arial" w:cs="Arial"/>
          <w:sz w:val="16"/>
          <w:szCs w:val="16"/>
        </w:rPr>
      </w:pPr>
      <w:r w:rsidRPr="00DA1A1B">
        <w:rPr>
          <w:rStyle w:val="FootnoteReference"/>
          <w:rFonts w:ascii="Arial" w:hAnsi="Arial" w:cs="Arial"/>
          <w:sz w:val="16"/>
          <w:szCs w:val="16"/>
        </w:rPr>
        <w:footnoteRef/>
      </w:r>
      <w:r w:rsidRPr="00DA1A1B">
        <w:rPr>
          <w:rFonts w:ascii="Arial" w:hAnsi="Arial" w:cs="Arial"/>
          <w:sz w:val="16"/>
          <w:szCs w:val="16"/>
        </w:rPr>
        <w:t xml:space="preserve"> The PSR Statutory Guidance was updated in April 2025. </w:t>
      </w:r>
      <w:r w:rsidR="009764CF" w:rsidRPr="00DA1A1B">
        <w:rPr>
          <w:rFonts w:ascii="Arial" w:hAnsi="Arial" w:cs="Arial"/>
          <w:sz w:val="16"/>
          <w:szCs w:val="16"/>
        </w:rPr>
        <w:t xml:space="preserve">However, references to the Statutory Guidance in this report are to </w:t>
      </w:r>
      <w:r w:rsidR="0068347C" w:rsidRPr="00DA1A1B">
        <w:rPr>
          <w:rFonts w:ascii="Arial" w:hAnsi="Arial" w:cs="Arial"/>
          <w:sz w:val="16"/>
          <w:szCs w:val="16"/>
        </w:rPr>
        <w:t xml:space="preserve">the </w:t>
      </w:r>
      <w:r w:rsidR="00AF2184">
        <w:rPr>
          <w:rFonts w:ascii="Arial" w:hAnsi="Arial" w:cs="Arial"/>
          <w:sz w:val="16"/>
          <w:szCs w:val="16"/>
        </w:rPr>
        <w:t>February 2024</w:t>
      </w:r>
      <w:r w:rsidR="0068347C" w:rsidRPr="00DA1A1B">
        <w:rPr>
          <w:rFonts w:ascii="Arial" w:hAnsi="Arial" w:cs="Arial"/>
          <w:sz w:val="16"/>
          <w:szCs w:val="16"/>
        </w:rPr>
        <w:t xml:space="preserve"> version </w:t>
      </w:r>
      <w:r w:rsidR="00CF7582">
        <w:rPr>
          <w:rFonts w:ascii="Arial" w:hAnsi="Arial" w:cs="Arial"/>
          <w:sz w:val="16"/>
          <w:szCs w:val="16"/>
        </w:rPr>
        <w:t xml:space="preserve">of the </w:t>
      </w:r>
      <w:r w:rsidR="008D1010">
        <w:rPr>
          <w:rFonts w:ascii="Arial" w:hAnsi="Arial" w:cs="Arial"/>
          <w:sz w:val="16"/>
          <w:szCs w:val="16"/>
        </w:rPr>
        <w:t>g</w:t>
      </w:r>
      <w:r w:rsidR="00E472B7">
        <w:rPr>
          <w:rFonts w:ascii="Arial" w:hAnsi="Arial" w:cs="Arial"/>
          <w:sz w:val="16"/>
          <w:szCs w:val="16"/>
        </w:rPr>
        <w:t xml:space="preserve">uidance </w:t>
      </w:r>
      <w:r w:rsidR="0068347C" w:rsidRPr="00DA1A1B">
        <w:rPr>
          <w:rFonts w:ascii="Arial" w:hAnsi="Arial" w:cs="Arial"/>
          <w:sz w:val="16"/>
          <w:szCs w:val="16"/>
        </w:rPr>
        <w:t xml:space="preserve">as this was the version in force </w:t>
      </w:r>
      <w:r w:rsidR="00E472B7">
        <w:rPr>
          <w:rFonts w:ascii="Arial" w:hAnsi="Arial" w:cs="Arial"/>
          <w:sz w:val="16"/>
          <w:szCs w:val="16"/>
        </w:rPr>
        <w:t>during th</w:t>
      </w:r>
      <w:r w:rsidR="002D7DA3">
        <w:rPr>
          <w:rFonts w:ascii="Arial" w:hAnsi="Arial" w:cs="Arial"/>
          <w:sz w:val="16"/>
          <w:szCs w:val="16"/>
        </w:rPr>
        <w:t>is</w:t>
      </w:r>
      <w:r w:rsidR="00E472B7">
        <w:rPr>
          <w:rFonts w:ascii="Arial" w:hAnsi="Arial" w:cs="Arial"/>
          <w:sz w:val="16"/>
          <w:szCs w:val="16"/>
        </w:rPr>
        <w:t xml:space="preserve"> </w:t>
      </w:r>
      <w:r w:rsidR="00B96758" w:rsidRPr="00DA1A1B">
        <w:rPr>
          <w:rFonts w:ascii="Arial" w:hAnsi="Arial" w:cs="Arial"/>
          <w:sz w:val="16"/>
          <w:szCs w:val="16"/>
        </w:rPr>
        <w:t>provider selection process</w:t>
      </w:r>
      <w:r w:rsidR="0068347C" w:rsidRPr="00DA1A1B">
        <w:rPr>
          <w:rFonts w:ascii="Arial" w:hAnsi="Arial" w:cs="Arial"/>
          <w:sz w:val="16"/>
          <w:szCs w:val="16"/>
        </w:rPr>
        <w:t>.</w:t>
      </w:r>
      <w:r w:rsidR="00B96758" w:rsidRPr="00DA1A1B">
        <w:rPr>
          <w:rFonts w:ascii="Arial" w:hAnsi="Arial" w:cs="Arial"/>
          <w:sz w:val="16"/>
          <w:szCs w:val="16"/>
        </w:rPr>
        <w:t xml:space="preserve"> Where </w:t>
      </w:r>
      <w:r w:rsidR="00BF4213">
        <w:rPr>
          <w:rFonts w:ascii="Arial" w:hAnsi="Arial" w:cs="Arial"/>
          <w:sz w:val="16"/>
          <w:szCs w:val="16"/>
        </w:rPr>
        <w:t xml:space="preserve">relevant, </w:t>
      </w:r>
      <w:r w:rsidR="00B96758" w:rsidRPr="00DA1A1B">
        <w:rPr>
          <w:rFonts w:ascii="Arial" w:hAnsi="Arial" w:cs="Arial"/>
          <w:sz w:val="16"/>
          <w:szCs w:val="16"/>
        </w:rPr>
        <w:t xml:space="preserve">differences between the two versions of the Statutory Guidance are noted in </w:t>
      </w:r>
      <w:r w:rsidR="00A3745C" w:rsidRPr="00DA1A1B">
        <w:rPr>
          <w:rFonts w:ascii="Arial" w:hAnsi="Arial" w:cs="Arial"/>
          <w:sz w:val="16"/>
          <w:szCs w:val="16"/>
        </w:rPr>
        <w:t>th</w:t>
      </w:r>
      <w:r w:rsidR="00A3745C">
        <w:rPr>
          <w:rFonts w:ascii="Arial" w:hAnsi="Arial" w:cs="Arial"/>
          <w:sz w:val="16"/>
          <w:szCs w:val="16"/>
        </w:rPr>
        <w:t>is</w:t>
      </w:r>
      <w:r w:rsidR="00A3745C" w:rsidRPr="00DA1A1B">
        <w:rPr>
          <w:rFonts w:ascii="Arial" w:hAnsi="Arial" w:cs="Arial"/>
          <w:sz w:val="16"/>
          <w:szCs w:val="16"/>
        </w:rPr>
        <w:t xml:space="preserve"> </w:t>
      </w:r>
      <w:r w:rsidR="00B96758" w:rsidRPr="00DA1A1B">
        <w:rPr>
          <w:rFonts w:ascii="Arial" w:hAnsi="Arial" w:cs="Arial"/>
          <w:sz w:val="16"/>
          <w:szCs w:val="16"/>
        </w:rPr>
        <w:t>report.</w:t>
      </w:r>
    </w:p>
  </w:footnote>
  <w:footnote w:id="18">
    <w:p w14:paraId="53920124" w14:textId="77777777" w:rsidR="005B166D" w:rsidRPr="00054C88" w:rsidRDefault="005B166D" w:rsidP="005B166D">
      <w:pPr>
        <w:pStyle w:val="FootnoteText"/>
        <w:rPr>
          <w:rFonts w:ascii="Arial" w:hAnsi="Arial" w:cs="Arial"/>
          <w:sz w:val="16"/>
          <w:szCs w:val="16"/>
        </w:rPr>
      </w:pPr>
      <w:r w:rsidRPr="00054C88">
        <w:rPr>
          <w:rStyle w:val="FootnoteReference"/>
          <w:rFonts w:ascii="Arial" w:hAnsi="Arial" w:cs="Arial"/>
          <w:sz w:val="16"/>
          <w:szCs w:val="16"/>
        </w:rPr>
        <w:footnoteRef/>
      </w:r>
      <w:r w:rsidRPr="00054C88">
        <w:rPr>
          <w:rFonts w:ascii="Arial" w:hAnsi="Arial" w:cs="Arial"/>
          <w:sz w:val="16"/>
          <w:szCs w:val="16"/>
        </w:rPr>
        <w:t xml:space="preserve"> Panel meeting with Barkhill, 9 April 2025.</w:t>
      </w:r>
    </w:p>
  </w:footnote>
  <w:footnote w:id="19">
    <w:p w14:paraId="55390428" w14:textId="77777777" w:rsidR="007126C8" w:rsidRPr="005F32C6" w:rsidRDefault="007126C8" w:rsidP="007126C8">
      <w:pPr>
        <w:pStyle w:val="FootnoteText"/>
        <w:rPr>
          <w:rFonts w:ascii="Arial" w:hAnsi="Arial" w:cs="Arial"/>
          <w:sz w:val="16"/>
          <w:szCs w:val="16"/>
        </w:rPr>
      </w:pPr>
      <w:r w:rsidRPr="005F32C6">
        <w:rPr>
          <w:rStyle w:val="FootnoteReference"/>
          <w:rFonts w:ascii="Arial" w:hAnsi="Arial" w:cs="Arial"/>
          <w:sz w:val="16"/>
          <w:szCs w:val="16"/>
        </w:rPr>
        <w:footnoteRef/>
      </w:r>
      <w:r w:rsidRPr="005F32C6">
        <w:rPr>
          <w:rFonts w:ascii="Arial" w:hAnsi="Arial" w:cs="Arial"/>
          <w:sz w:val="16"/>
          <w:szCs w:val="16"/>
        </w:rPr>
        <w:t xml:space="preserve"> Panel meeting with HNY ICB, 11 April 2025.</w:t>
      </w:r>
    </w:p>
  </w:footnote>
  <w:footnote w:id="20">
    <w:p w14:paraId="7CB2E057" w14:textId="43D1B8E2" w:rsidR="00A064F0" w:rsidRPr="00DE4715" w:rsidRDefault="00A064F0" w:rsidP="006D71CD">
      <w:pPr>
        <w:pStyle w:val="FootnoteText"/>
        <w:rPr>
          <w:rFonts w:ascii="Arial" w:hAnsi="Arial" w:cs="Arial"/>
          <w:sz w:val="16"/>
          <w:szCs w:val="16"/>
        </w:rPr>
      </w:pPr>
      <w:r w:rsidRPr="00DE4715">
        <w:rPr>
          <w:rStyle w:val="FootnoteReference"/>
          <w:rFonts w:ascii="Arial" w:hAnsi="Arial" w:cs="Arial"/>
          <w:sz w:val="16"/>
          <w:szCs w:val="16"/>
        </w:rPr>
        <w:footnoteRef/>
      </w:r>
      <w:r w:rsidRPr="00DE4715">
        <w:rPr>
          <w:rFonts w:ascii="Arial" w:hAnsi="Arial" w:cs="Arial"/>
          <w:sz w:val="16"/>
          <w:szCs w:val="16"/>
        </w:rPr>
        <w:t xml:space="preserve"> HNY ICB, </w:t>
      </w:r>
      <w:r w:rsidRPr="00DE4715">
        <w:rPr>
          <w:rFonts w:ascii="Arial" w:hAnsi="Arial" w:cs="Arial"/>
          <w:i/>
          <w:iCs/>
          <w:sz w:val="16"/>
          <w:szCs w:val="16"/>
        </w:rPr>
        <w:t>Provider Response Document NHSE1023</w:t>
      </w:r>
      <w:r w:rsidRPr="00DE4715">
        <w:rPr>
          <w:rFonts w:ascii="Arial" w:hAnsi="Arial" w:cs="Arial"/>
          <w:sz w:val="16"/>
          <w:szCs w:val="16"/>
        </w:rPr>
        <w:t>, 20 September 2024</w:t>
      </w:r>
      <w:r w:rsidR="001A2DC0">
        <w:rPr>
          <w:rFonts w:ascii="Arial" w:hAnsi="Arial" w:cs="Arial"/>
          <w:sz w:val="16"/>
          <w:szCs w:val="16"/>
        </w:rPr>
        <w:t>, pp.</w:t>
      </w:r>
      <w:r w:rsidR="00CB0767">
        <w:rPr>
          <w:rFonts w:ascii="Arial" w:hAnsi="Arial" w:cs="Arial"/>
          <w:sz w:val="16"/>
          <w:szCs w:val="16"/>
        </w:rPr>
        <w:t>82-8</w:t>
      </w:r>
      <w:r w:rsidR="009F7D1F">
        <w:rPr>
          <w:rFonts w:ascii="Arial" w:hAnsi="Arial" w:cs="Arial"/>
          <w:sz w:val="16"/>
          <w:szCs w:val="16"/>
        </w:rPr>
        <w:t>3</w:t>
      </w:r>
      <w:r w:rsidR="00CB0767">
        <w:rPr>
          <w:rFonts w:ascii="Arial" w:hAnsi="Arial" w:cs="Arial"/>
          <w:sz w:val="16"/>
          <w:szCs w:val="16"/>
        </w:rPr>
        <w:t>.</w:t>
      </w:r>
    </w:p>
  </w:footnote>
  <w:footnote w:id="21">
    <w:p w14:paraId="1031F7C7" w14:textId="77777777" w:rsidR="009C1FA8" w:rsidRPr="00DE4715" w:rsidRDefault="009C1FA8" w:rsidP="009C1FA8">
      <w:pPr>
        <w:pStyle w:val="FootnoteText"/>
        <w:rPr>
          <w:rFonts w:ascii="Arial" w:hAnsi="Arial" w:cs="Arial"/>
          <w:sz w:val="16"/>
          <w:szCs w:val="16"/>
        </w:rPr>
      </w:pPr>
      <w:r w:rsidRPr="00DE4715">
        <w:rPr>
          <w:rStyle w:val="FootnoteReference"/>
          <w:rFonts w:ascii="Arial" w:hAnsi="Arial" w:cs="Arial"/>
          <w:sz w:val="16"/>
          <w:szCs w:val="16"/>
        </w:rPr>
        <w:footnoteRef/>
      </w:r>
      <w:r w:rsidRPr="00DE4715">
        <w:rPr>
          <w:rFonts w:ascii="Arial" w:hAnsi="Arial" w:cs="Arial"/>
          <w:sz w:val="16"/>
          <w:szCs w:val="16"/>
        </w:rPr>
        <w:t xml:space="preserve"> HNY ICB, </w:t>
      </w:r>
      <w:r w:rsidRPr="00DE4715">
        <w:rPr>
          <w:rFonts w:ascii="Arial" w:hAnsi="Arial" w:cs="Arial"/>
          <w:i/>
          <w:iCs/>
          <w:sz w:val="16"/>
          <w:szCs w:val="16"/>
        </w:rPr>
        <w:t>Provider Response Document NHSE1023</w:t>
      </w:r>
      <w:r w:rsidRPr="00DE4715">
        <w:rPr>
          <w:rFonts w:ascii="Arial" w:hAnsi="Arial" w:cs="Arial"/>
          <w:sz w:val="16"/>
          <w:szCs w:val="16"/>
        </w:rPr>
        <w:t>, 20 September 2024</w:t>
      </w:r>
      <w:r>
        <w:rPr>
          <w:rFonts w:ascii="Arial" w:hAnsi="Arial" w:cs="Arial"/>
          <w:sz w:val="16"/>
          <w:szCs w:val="16"/>
        </w:rPr>
        <w:t>, pp.60-67.</w:t>
      </w:r>
    </w:p>
  </w:footnote>
  <w:footnote w:id="22">
    <w:p w14:paraId="11B86128" w14:textId="7C7A8388" w:rsidR="002A70DC" w:rsidRPr="009947DE" w:rsidRDefault="002A70DC">
      <w:pPr>
        <w:pStyle w:val="FootnoteText"/>
        <w:rPr>
          <w:rFonts w:ascii="Arial" w:hAnsi="Arial" w:cs="Arial"/>
          <w:sz w:val="16"/>
          <w:szCs w:val="16"/>
        </w:rPr>
      </w:pPr>
      <w:r w:rsidRPr="009947DE">
        <w:rPr>
          <w:rStyle w:val="FootnoteReference"/>
          <w:rFonts w:ascii="Arial" w:hAnsi="Arial" w:cs="Arial"/>
          <w:sz w:val="16"/>
          <w:szCs w:val="16"/>
        </w:rPr>
        <w:footnoteRef/>
      </w:r>
      <w:r w:rsidRPr="009947DE">
        <w:rPr>
          <w:rFonts w:ascii="Arial" w:hAnsi="Arial" w:cs="Arial"/>
          <w:sz w:val="16"/>
          <w:szCs w:val="16"/>
        </w:rPr>
        <w:t xml:space="preserve"> For example, the grade definition for a score of 4 (Excellent) says in its first sentence that the answer will be “Excellent, addresses all issues raised and/or a thorough understanding of the requirements”. The subsequent sentences provide a further description of what an excellent response looks like, saying “The response is very detailed and well evidenced and is of a quality and level of understanding that provides certainty of delivery and permits full contractual reliance (where applicable). Fully identifies any system/stakeholder benefits with strong evidence/rationale”.</w:t>
      </w:r>
    </w:p>
  </w:footnote>
  <w:footnote w:id="23">
    <w:p w14:paraId="46B7BAF9" w14:textId="2864E861" w:rsidR="003B6166" w:rsidRPr="00DA1A1B" w:rsidRDefault="003B6166" w:rsidP="003B6166">
      <w:pPr>
        <w:pStyle w:val="FootnoteText"/>
        <w:rPr>
          <w:rFonts w:ascii="Arial" w:hAnsi="Arial" w:cs="Arial"/>
          <w:sz w:val="16"/>
          <w:szCs w:val="16"/>
        </w:rPr>
      </w:pPr>
      <w:r w:rsidRPr="00DA1A1B">
        <w:rPr>
          <w:rStyle w:val="FootnoteReference"/>
          <w:rFonts w:ascii="Arial" w:hAnsi="Arial" w:cs="Arial"/>
          <w:sz w:val="16"/>
          <w:szCs w:val="16"/>
        </w:rPr>
        <w:footnoteRef/>
      </w:r>
      <w:r w:rsidRPr="00DA1A1B">
        <w:rPr>
          <w:rFonts w:ascii="Arial" w:hAnsi="Arial" w:cs="Arial"/>
          <w:sz w:val="16"/>
          <w:szCs w:val="16"/>
        </w:rPr>
        <w:t xml:space="preserve"> </w:t>
      </w:r>
      <w:r w:rsidR="008F23FE">
        <w:rPr>
          <w:rFonts w:ascii="Arial" w:hAnsi="Arial" w:cs="Arial"/>
          <w:sz w:val="16"/>
          <w:szCs w:val="16"/>
        </w:rPr>
        <w:t>HNY ICB</w:t>
      </w:r>
      <w:r w:rsidRPr="00DA1A1B">
        <w:rPr>
          <w:rFonts w:ascii="Arial" w:hAnsi="Arial" w:cs="Arial"/>
          <w:sz w:val="16"/>
          <w:szCs w:val="16"/>
        </w:rPr>
        <w:t xml:space="preserve">, </w:t>
      </w:r>
      <w:r w:rsidRPr="00DA1A1B">
        <w:rPr>
          <w:rFonts w:ascii="Arial" w:hAnsi="Arial" w:cs="Arial"/>
          <w:i/>
          <w:iCs/>
          <w:sz w:val="16"/>
          <w:szCs w:val="16"/>
        </w:rPr>
        <w:t>Tender Evaluation Training, Intermediate Minor Oral Surgery Services for Yorkshire and the Humber</w:t>
      </w:r>
      <w:r w:rsidRPr="00DA1A1B">
        <w:rPr>
          <w:rFonts w:ascii="Arial" w:hAnsi="Arial" w:cs="Arial"/>
          <w:sz w:val="16"/>
          <w:szCs w:val="16"/>
        </w:rPr>
        <w:t>, October 2024.</w:t>
      </w:r>
    </w:p>
  </w:footnote>
  <w:footnote w:id="24">
    <w:p w14:paraId="4492B73C" w14:textId="77777777" w:rsidR="00CC2844" w:rsidRPr="00E679B2" w:rsidRDefault="00CC2844" w:rsidP="00CC2844">
      <w:pPr>
        <w:pStyle w:val="FootnoteText"/>
        <w:rPr>
          <w:rFonts w:ascii="Arial" w:hAnsi="Arial" w:cs="Arial"/>
          <w:sz w:val="16"/>
          <w:szCs w:val="16"/>
        </w:rPr>
      </w:pPr>
      <w:r w:rsidRPr="00E679B2">
        <w:rPr>
          <w:rStyle w:val="FootnoteReference"/>
          <w:rFonts w:ascii="Arial" w:hAnsi="Arial" w:cs="Arial"/>
          <w:sz w:val="16"/>
          <w:szCs w:val="16"/>
        </w:rPr>
        <w:footnoteRef/>
      </w:r>
      <w:r w:rsidRPr="00E679B2">
        <w:rPr>
          <w:rFonts w:ascii="Arial" w:hAnsi="Arial" w:cs="Arial"/>
          <w:sz w:val="16"/>
          <w:szCs w:val="16"/>
        </w:rPr>
        <w:t xml:space="preserve"> </w:t>
      </w:r>
      <w:r w:rsidRPr="00CA4136">
        <w:rPr>
          <w:rFonts w:ascii="Arial" w:hAnsi="Arial" w:cs="Arial"/>
          <w:sz w:val="16"/>
          <w:szCs w:val="16"/>
        </w:rPr>
        <w:t>The Panel notes that for the generic question IM&amp;T02 Haricovert were awarded a score of 2, and the final feedback includes “The response meets requirements but lacks sufficient information”. The Panel’s view is that this is a drafting error born of a contraction of the element of the grade definition which states “The provider understands the issues and requirements and addresses them appropriately with sufficient information but lacking reliable substance</w:t>
      </w:r>
      <w:r w:rsidR="005E1E37">
        <w:rPr>
          <w:rFonts w:ascii="Arial" w:hAnsi="Arial" w:cs="Arial"/>
          <w:sz w:val="16"/>
          <w:szCs w:val="16"/>
        </w:rPr>
        <w:t xml:space="preserve"> </w:t>
      </w:r>
      <w:r w:rsidRPr="00CA4136">
        <w:rPr>
          <w:rFonts w:ascii="Arial" w:hAnsi="Arial" w:cs="Arial"/>
          <w:sz w:val="16"/>
          <w:szCs w:val="16"/>
        </w:rPr>
        <w:t>…” rather than a misapplication of the scoring matrix.</w:t>
      </w:r>
    </w:p>
  </w:footnote>
  <w:footnote w:id="25">
    <w:p w14:paraId="7F6B863D" w14:textId="77777777" w:rsidR="00A04629" w:rsidRPr="00DB576A" w:rsidRDefault="00A04629" w:rsidP="00A04629">
      <w:pPr>
        <w:pStyle w:val="FootnoteText"/>
        <w:rPr>
          <w:rFonts w:ascii="Arial" w:hAnsi="Arial" w:cs="Arial"/>
          <w:sz w:val="16"/>
          <w:szCs w:val="16"/>
        </w:rPr>
      </w:pPr>
      <w:r w:rsidRPr="00DB576A">
        <w:rPr>
          <w:rStyle w:val="FootnoteReference"/>
          <w:rFonts w:ascii="Arial" w:hAnsi="Arial" w:cs="Arial"/>
          <w:sz w:val="16"/>
          <w:szCs w:val="16"/>
        </w:rPr>
        <w:footnoteRef/>
      </w:r>
      <w:r w:rsidRPr="00DB576A">
        <w:rPr>
          <w:rFonts w:ascii="Arial" w:hAnsi="Arial" w:cs="Arial"/>
          <w:sz w:val="16"/>
          <w:szCs w:val="16"/>
        </w:rPr>
        <w:t xml:space="preserve"> Barkhill, </w:t>
      </w:r>
      <w:r w:rsidRPr="00DB576A">
        <w:rPr>
          <w:rFonts w:ascii="Arial" w:hAnsi="Arial" w:cs="Arial"/>
          <w:i/>
          <w:iCs/>
          <w:sz w:val="16"/>
          <w:szCs w:val="16"/>
        </w:rPr>
        <w:t>Representations to HNY ICB</w:t>
      </w:r>
      <w:r w:rsidRPr="00DB576A">
        <w:rPr>
          <w:rFonts w:ascii="Arial" w:hAnsi="Arial" w:cs="Arial"/>
          <w:sz w:val="16"/>
          <w:szCs w:val="16"/>
        </w:rPr>
        <w:t>, 23 December 202</w:t>
      </w:r>
      <w:r>
        <w:rPr>
          <w:rFonts w:ascii="Arial" w:hAnsi="Arial" w:cs="Arial"/>
          <w:sz w:val="16"/>
          <w:szCs w:val="16"/>
        </w:rPr>
        <w:t>4</w:t>
      </w:r>
      <w:r w:rsidRPr="00DB576A">
        <w:rPr>
          <w:rFonts w:ascii="Arial" w:hAnsi="Arial" w:cs="Arial"/>
          <w:sz w:val="16"/>
          <w:szCs w:val="16"/>
        </w:rPr>
        <w:t>.</w:t>
      </w:r>
    </w:p>
  </w:footnote>
  <w:footnote w:id="26">
    <w:p w14:paraId="1228D971" w14:textId="77777777" w:rsidR="00BB427C" w:rsidRPr="002E797D" w:rsidRDefault="00BB427C" w:rsidP="00BB427C">
      <w:pPr>
        <w:pStyle w:val="FootnoteText"/>
        <w:rPr>
          <w:rFonts w:ascii="Arial" w:hAnsi="Arial" w:cs="Arial"/>
          <w:sz w:val="16"/>
          <w:szCs w:val="16"/>
        </w:rPr>
      </w:pPr>
      <w:r w:rsidRPr="002E797D">
        <w:rPr>
          <w:rStyle w:val="FootnoteReference"/>
          <w:rFonts w:ascii="Arial" w:hAnsi="Arial" w:cs="Arial"/>
          <w:sz w:val="16"/>
          <w:szCs w:val="16"/>
        </w:rPr>
        <w:footnoteRef/>
      </w:r>
      <w:r w:rsidRPr="002E797D">
        <w:rPr>
          <w:rFonts w:ascii="Arial" w:hAnsi="Arial" w:cs="Arial"/>
          <w:sz w:val="16"/>
          <w:szCs w:val="16"/>
        </w:rPr>
        <w:t xml:space="preserve"> HNY ICB, </w:t>
      </w:r>
      <w:r w:rsidRPr="002E797D">
        <w:rPr>
          <w:rFonts w:ascii="Arial" w:hAnsi="Arial" w:cs="Arial"/>
          <w:i/>
          <w:iCs/>
          <w:sz w:val="16"/>
          <w:szCs w:val="16"/>
        </w:rPr>
        <w:t>Representations response letter</w:t>
      </w:r>
      <w:r w:rsidRPr="002E797D">
        <w:rPr>
          <w:rFonts w:ascii="Arial" w:hAnsi="Arial" w:cs="Arial"/>
          <w:sz w:val="16"/>
          <w:szCs w:val="16"/>
        </w:rPr>
        <w:t>, 4 March 2025.</w:t>
      </w:r>
    </w:p>
  </w:footnote>
  <w:footnote w:id="27">
    <w:p w14:paraId="622CC872" w14:textId="360553B0" w:rsidR="00847098" w:rsidRPr="009409D1" w:rsidRDefault="00847098" w:rsidP="00847098">
      <w:pPr>
        <w:pStyle w:val="FootnoteText"/>
        <w:rPr>
          <w:rFonts w:ascii="Arial" w:hAnsi="Arial" w:cs="Arial"/>
          <w:sz w:val="16"/>
          <w:szCs w:val="16"/>
        </w:rPr>
      </w:pPr>
      <w:r w:rsidRPr="009409D1">
        <w:rPr>
          <w:rStyle w:val="FootnoteReference"/>
          <w:rFonts w:ascii="Arial" w:hAnsi="Arial" w:cs="Arial"/>
          <w:sz w:val="16"/>
          <w:szCs w:val="16"/>
        </w:rPr>
        <w:footnoteRef/>
      </w:r>
      <w:r w:rsidR="002E27C7">
        <w:rPr>
          <w:rFonts w:ascii="Arial" w:hAnsi="Arial" w:cs="Arial"/>
          <w:sz w:val="16"/>
          <w:szCs w:val="16"/>
        </w:rPr>
        <w:t xml:space="preserve"> </w:t>
      </w:r>
      <w:r w:rsidRPr="009409D1">
        <w:rPr>
          <w:rFonts w:ascii="Arial" w:hAnsi="Arial" w:cs="Arial"/>
          <w:sz w:val="16"/>
          <w:szCs w:val="16"/>
        </w:rPr>
        <w:t xml:space="preserve">HNY ICB, </w:t>
      </w:r>
      <w:r w:rsidRPr="009409D1">
        <w:rPr>
          <w:rFonts w:ascii="Arial" w:hAnsi="Arial" w:cs="Arial"/>
          <w:i/>
          <w:iCs/>
          <w:sz w:val="16"/>
          <w:szCs w:val="16"/>
        </w:rPr>
        <w:t>Contract Award Notice on Find a Tender Service</w:t>
      </w:r>
      <w:r w:rsidRPr="009409D1">
        <w:rPr>
          <w:rFonts w:ascii="Arial" w:hAnsi="Arial" w:cs="Arial"/>
          <w:sz w:val="16"/>
          <w:szCs w:val="16"/>
        </w:rPr>
        <w:t>, 10 December 2024.</w:t>
      </w:r>
    </w:p>
  </w:footnote>
  <w:footnote w:id="28">
    <w:p w14:paraId="3C77B4EE" w14:textId="69E1E612" w:rsidR="00E66584" w:rsidRPr="00E66584" w:rsidRDefault="00E66584">
      <w:pPr>
        <w:pStyle w:val="FootnoteText"/>
        <w:rPr>
          <w:rFonts w:ascii="Arial" w:hAnsi="Arial" w:cs="Arial"/>
          <w:sz w:val="16"/>
          <w:szCs w:val="16"/>
        </w:rPr>
      </w:pPr>
      <w:r w:rsidRPr="00E66584">
        <w:rPr>
          <w:rStyle w:val="FootnoteReference"/>
          <w:rFonts w:ascii="Arial" w:hAnsi="Arial" w:cs="Arial"/>
          <w:sz w:val="16"/>
          <w:szCs w:val="16"/>
        </w:rPr>
        <w:footnoteRef/>
      </w:r>
      <w:r w:rsidRPr="00E66584">
        <w:rPr>
          <w:rFonts w:ascii="Arial" w:hAnsi="Arial" w:cs="Arial"/>
          <w:sz w:val="16"/>
          <w:szCs w:val="16"/>
        </w:rPr>
        <w:t xml:space="preserve"> </w:t>
      </w:r>
      <w:r w:rsidR="00C43269" w:rsidRPr="00DB576A">
        <w:rPr>
          <w:rFonts w:ascii="Arial" w:hAnsi="Arial" w:cs="Arial"/>
          <w:sz w:val="16"/>
          <w:szCs w:val="16"/>
        </w:rPr>
        <w:t xml:space="preserve">Barkhill, </w:t>
      </w:r>
      <w:r w:rsidR="00C43269">
        <w:rPr>
          <w:rFonts w:ascii="Arial" w:hAnsi="Arial" w:cs="Arial"/>
          <w:i/>
          <w:iCs/>
          <w:sz w:val="16"/>
          <w:szCs w:val="16"/>
        </w:rPr>
        <w:t>Letter</w:t>
      </w:r>
      <w:r w:rsidR="00C43269" w:rsidRPr="00DB576A">
        <w:rPr>
          <w:rFonts w:ascii="Arial" w:hAnsi="Arial" w:cs="Arial"/>
          <w:i/>
          <w:iCs/>
          <w:sz w:val="16"/>
          <w:szCs w:val="16"/>
        </w:rPr>
        <w:t xml:space="preserve"> to HNY ICB</w:t>
      </w:r>
      <w:r w:rsidR="00C43269" w:rsidRPr="00DB576A">
        <w:rPr>
          <w:rFonts w:ascii="Arial" w:hAnsi="Arial" w:cs="Arial"/>
          <w:sz w:val="16"/>
          <w:szCs w:val="16"/>
        </w:rPr>
        <w:t xml:space="preserve">, </w:t>
      </w:r>
      <w:r w:rsidR="00C43269">
        <w:rPr>
          <w:rFonts w:ascii="Arial" w:hAnsi="Arial" w:cs="Arial"/>
          <w:sz w:val="16"/>
          <w:szCs w:val="16"/>
        </w:rPr>
        <w:t>19</w:t>
      </w:r>
      <w:r w:rsidR="00C43269" w:rsidRPr="00DB576A">
        <w:rPr>
          <w:rFonts w:ascii="Arial" w:hAnsi="Arial" w:cs="Arial"/>
          <w:sz w:val="16"/>
          <w:szCs w:val="16"/>
        </w:rPr>
        <w:t xml:space="preserve"> December 202</w:t>
      </w:r>
      <w:r w:rsidR="00C43269">
        <w:rPr>
          <w:rFonts w:ascii="Arial" w:hAnsi="Arial" w:cs="Arial"/>
          <w:sz w:val="16"/>
          <w:szCs w:val="16"/>
        </w:rPr>
        <w:t>4</w:t>
      </w:r>
      <w:r w:rsidR="00C43269" w:rsidRPr="00DB576A">
        <w:rPr>
          <w:rFonts w:ascii="Arial" w:hAnsi="Arial" w:cs="Arial"/>
          <w:sz w:val="16"/>
          <w:szCs w:val="16"/>
        </w:rPr>
        <w:t>.</w:t>
      </w:r>
    </w:p>
  </w:footnote>
  <w:footnote w:id="29">
    <w:p w14:paraId="37D055AE" w14:textId="2533F174" w:rsidR="00072597" w:rsidRPr="00072597" w:rsidRDefault="00072597">
      <w:pPr>
        <w:pStyle w:val="FootnoteText"/>
        <w:rPr>
          <w:rFonts w:ascii="Arial" w:hAnsi="Arial" w:cs="Arial"/>
          <w:sz w:val="16"/>
          <w:szCs w:val="16"/>
        </w:rPr>
      </w:pPr>
      <w:r w:rsidRPr="00072597">
        <w:rPr>
          <w:rStyle w:val="FootnoteReference"/>
          <w:rFonts w:ascii="Arial" w:hAnsi="Arial" w:cs="Arial"/>
          <w:sz w:val="16"/>
          <w:szCs w:val="16"/>
        </w:rPr>
        <w:footnoteRef/>
      </w:r>
      <w:r w:rsidRPr="00072597">
        <w:rPr>
          <w:rFonts w:ascii="Arial" w:hAnsi="Arial" w:cs="Arial"/>
          <w:sz w:val="16"/>
          <w:szCs w:val="16"/>
        </w:rPr>
        <w:t xml:space="preserve"> HNY ICB, </w:t>
      </w:r>
      <w:r w:rsidRPr="00072597">
        <w:rPr>
          <w:rFonts w:ascii="Arial" w:hAnsi="Arial" w:cs="Arial"/>
          <w:i/>
          <w:iCs/>
          <w:sz w:val="16"/>
          <w:szCs w:val="16"/>
        </w:rPr>
        <w:t>Representations response letter</w:t>
      </w:r>
      <w:r w:rsidRPr="00072597">
        <w:rPr>
          <w:rFonts w:ascii="Arial" w:hAnsi="Arial" w:cs="Arial"/>
          <w:sz w:val="16"/>
          <w:szCs w:val="16"/>
        </w:rPr>
        <w:t>, 4 March 2025.</w:t>
      </w:r>
    </w:p>
  </w:footnote>
  <w:footnote w:id="30">
    <w:p w14:paraId="37CFC06D" w14:textId="5B126D5F" w:rsidR="00135AC8" w:rsidRPr="009409D1" w:rsidRDefault="00135AC8" w:rsidP="00135AC8">
      <w:pPr>
        <w:pStyle w:val="FootnoteText"/>
        <w:rPr>
          <w:rFonts w:ascii="Arial" w:hAnsi="Arial" w:cs="Arial"/>
          <w:sz w:val="16"/>
          <w:szCs w:val="16"/>
        </w:rPr>
      </w:pPr>
      <w:r w:rsidRPr="009409D1">
        <w:rPr>
          <w:rStyle w:val="FootnoteReference"/>
          <w:rFonts w:ascii="Arial" w:hAnsi="Arial" w:cs="Arial"/>
          <w:sz w:val="16"/>
          <w:szCs w:val="16"/>
        </w:rPr>
        <w:footnoteRef/>
      </w:r>
      <w:r w:rsidRPr="009409D1">
        <w:rPr>
          <w:rFonts w:ascii="Arial" w:hAnsi="Arial" w:cs="Arial"/>
          <w:sz w:val="16"/>
          <w:szCs w:val="16"/>
        </w:rPr>
        <w:t xml:space="preserve"> HNY ICB, </w:t>
      </w:r>
      <w:r w:rsidRPr="009409D1">
        <w:rPr>
          <w:rFonts w:ascii="Arial" w:hAnsi="Arial" w:cs="Arial"/>
          <w:i/>
          <w:iCs/>
          <w:sz w:val="16"/>
          <w:szCs w:val="16"/>
        </w:rPr>
        <w:t xml:space="preserve">Corrigendum </w:t>
      </w:r>
      <w:r>
        <w:rPr>
          <w:rFonts w:ascii="Arial" w:hAnsi="Arial" w:cs="Arial"/>
          <w:i/>
          <w:iCs/>
          <w:sz w:val="16"/>
          <w:szCs w:val="16"/>
        </w:rPr>
        <w:t>N</w:t>
      </w:r>
      <w:r w:rsidRPr="009409D1">
        <w:rPr>
          <w:rFonts w:ascii="Arial" w:hAnsi="Arial" w:cs="Arial"/>
          <w:i/>
          <w:iCs/>
          <w:sz w:val="16"/>
          <w:szCs w:val="16"/>
        </w:rPr>
        <w:t>otice for changes or additional information</w:t>
      </w:r>
      <w:r w:rsidR="00A82A16">
        <w:rPr>
          <w:rFonts w:ascii="Arial" w:hAnsi="Arial" w:cs="Arial"/>
          <w:i/>
          <w:iCs/>
          <w:sz w:val="16"/>
          <w:szCs w:val="16"/>
        </w:rPr>
        <w:t xml:space="preserve"> on Find a Tender Service</w:t>
      </w:r>
      <w:r w:rsidRPr="009409D1">
        <w:rPr>
          <w:rFonts w:ascii="Arial" w:hAnsi="Arial" w:cs="Arial"/>
          <w:sz w:val="16"/>
          <w:szCs w:val="16"/>
        </w:rPr>
        <w:t>, 7 March 2025.</w:t>
      </w:r>
    </w:p>
  </w:footnote>
  <w:footnote w:id="31">
    <w:p w14:paraId="2668B854" w14:textId="691EB30F" w:rsidR="00765366" w:rsidRPr="00765366" w:rsidRDefault="00765366">
      <w:pPr>
        <w:pStyle w:val="FootnoteText"/>
        <w:rPr>
          <w:rFonts w:ascii="Arial" w:hAnsi="Arial" w:cs="Arial"/>
          <w:sz w:val="16"/>
          <w:szCs w:val="16"/>
        </w:rPr>
      </w:pPr>
      <w:r w:rsidRPr="00B20330">
        <w:rPr>
          <w:rStyle w:val="FootnoteReference"/>
          <w:rFonts w:ascii="Arial" w:hAnsi="Arial" w:cs="Arial"/>
          <w:sz w:val="16"/>
          <w:szCs w:val="16"/>
        </w:rPr>
        <w:footnoteRef/>
      </w:r>
      <w:r w:rsidRPr="00B20330">
        <w:rPr>
          <w:rFonts w:ascii="Arial" w:hAnsi="Arial" w:cs="Arial"/>
          <w:sz w:val="16"/>
          <w:szCs w:val="16"/>
        </w:rPr>
        <w:t xml:space="preserve"> </w:t>
      </w:r>
      <w:r w:rsidRPr="009409D1">
        <w:rPr>
          <w:rFonts w:ascii="Arial" w:hAnsi="Arial" w:cs="Arial"/>
          <w:sz w:val="16"/>
          <w:szCs w:val="16"/>
        </w:rPr>
        <w:t xml:space="preserve">HNY ICB, </w:t>
      </w:r>
      <w:r w:rsidRPr="009409D1">
        <w:rPr>
          <w:rFonts w:ascii="Arial" w:hAnsi="Arial" w:cs="Arial"/>
          <w:i/>
          <w:iCs/>
          <w:sz w:val="16"/>
          <w:szCs w:val="16"/>
        </w:rPr>
        <w:t>Corrigendum notice for changes or additional information</w:t>
      </w:r>
      <w:r w:rsidR="00A82A16">
        <w:rPr>
          <w:rFonts w:ascii="Arial" w:hAnsi="Arial" w:cs="Arial"/>
          <w:i/>
          <w:iCs/>
          <w:sz w:val="16"/>
          <w:szCs w:val="16"/>
        </w:rPr>
        <w:t xml:space="preserve"> on Find a Tender Service</w:t>
      </w:r>
      <w:r w:rsidRPr="009409D1">
        <w:rPr>
          <w:rFonts w:ascii="Arial" w:hAnsi="Arial" w:cs="Arial"/>
          <w:sz w:val="16"/>
          <w:szCs w:val="16"/>
        </w:rPr>
        <w:t>, 7 March 2025.</w:t>
      </w:r>
    </w:p>
  </w:footnote>
  <w:footnote w:id="32">
    <w:p w14:paraId="7BCD1028" w14:textId="77777777" w:rsidR="00481076" w:rsidRPr="009D42AC" w:rsidRDefault="00481076" w:rsidP="00481076">
      <w:pPr>
        <w:pStyle w:val="FootnoteText"/>
        <w:rPr>
          <w:rFonts w:ascii="Arial" w:hAnsi="Arial" w:cs="Arial"/>
          <w:sz w:val="16"/>
          <w:szCs w:val="16"/>
        </w:rPr>
      </w:pPr>
      <w:r w:rsidRPr="009D42AC">
        <w:rPr>
          <w:rStyle w:val="FootnoteReference"/>
          <w:rFonts w:ascii="Arial" w:hAnsi="Arial" w:cs="Arial"/>
          <w:sz w:val="16"/>
          <w:szCs w:val="16"/>
        </w:rPr>
        <w:footnoteRef/>
      </w:r>
      <w:r w:rsidRPr="009D42AC">
        <w:rPr>
          <w:rFonts w:ascii="Arial" w:hAnsi="Arial" w:cs="Arial"/>
          <w:sz w:val="16"/>
          <w:szCs w:val="16"/>
        </w:rPr>
        <w:t xml:space="preserve"> The Panel distinguishes here between a corrigendum that contains substantive new information and a corrigendum that only contains a minor correction of an earlier notice.</w:t>
      </w:r>
    </w:p>
  </w:footnote>
  <w:footnote w:id="33">
    <w:p w14:paraId="6899FD96" w14:textId="5759D6A6" w:rsidR="00241EE1" w:rsidRPr="00EB46F0" w:rsidRDefault="00241EE1" w:rsidP="00241EE1">
      <w:pPr>
        <w:pStyle w:val="FootnoteText"/>
        <w:rPr>
          <w:rFonts w:ascii="Arial" w:hAnsi="Arial" w:cs="Arial"/>
          <w:sz w:val="16"/>
          <w:szCs w:val="16"/>
        </w:rPr>
      </w:pPr>
      <w:r w:rsidRPr="00EB46F0">
        <w:rPr>
          <w:rStyle w:val="FootnoteReference"/>
          <w:rFonts w:ascii="Arial" w:hAnsi="Arial" w:cs="Arial"/>
          <w:sz w:val="16"/>
          <w:szCs w:val="16"/>
        </w:rPr>
        <w:footnoteRef/>
      </w:r>
      <w:r w:rsidRPr="00EB46F0">
        <w:rPr>
          <w:rFonts w:ascii="Arial" w:hAnsi="Arial" w:cs="Arial"/>
          <w:sz w:val="16"/>
          <w:szCs w:val="16"/>
        </w:rPr>
        <w:t xml:space="preserve"> The Panel notes that the template notices available to commissioners for publication on FTS are aligned with the former Public Contracts Regulations (PCR) and the Procurement Act. Guidance for commissioners of health care services says that PCR template notices should be used for the purposes of publishing notices under the PSR. In particular, </w:t>
      </w:r>
      <w:r w:rsidR="00BA52A3">
        <w:rPr>
          <w:rFonts w:ascii="Arial" w:hAnsi="Arial" w:cs="Arial"/>
          <w:sz w:val="16"/>
          <w:szCs w:val="16"/>
        </w:rPr>
        <w:t>confirmation of</w:t>
      </w:r>
      <w:r w:rsidRPr="00EB46F0">
        <w:rPr>
          <w:rFonts w:ascii="Arial" w:hAnsi="Arial" w:cs="Arial"/>
          <w:sz w:val="16"/>
          <w:szCs w:val="16"/>
        </w:rPr>
        <w:t xml:space="preserve"> contract award notices under PSR should be published using the template for the PCR’s corrigendum to a</w:t>
      </w:r>
      <w:r w:rsidR="00130687">
        <w:rPr>
          <w:rFonts w:ascii="Arial" w:hAnsi="Arial" w:cs="Arial"/>
          <w:sz w:val="16"/>
          <w:szCs w:val="16"/>
        </w:rPr>
        <w:t xml:space="preserve"> contract</w:t>
      </w:r>
      <w:r w:rsidRPr="00EB46F0">
        <w:rPr>
          <w:rFonts w:ascii="Arial" w:hAnsi="Arial" w:cs="Arial"/>
          <w:sz w:val="16"/>
          <w:szCs w:val="16"/>
        </w:rPr>
        <w:t xml:space="preserve"> award notice. The Panel notes that where it refers to corrigendum notices in this report, it is referring to a corrigendum notice for the purposes of </w:t>
      </w:r>
      <w:r w:rsidR="001558D2">
        <w:rPr>
          <w:rFonts w:ascii="Arial" w:hAnsi="Arial" w:cs="Arial"/>
          <w:sz w:val="16"/>
          <w:szCs w:val="16"/>
        </w:rPr>
        <w:t xml:space="preserve">making changes to a </w:t>
      </w:r>
      <w:r w:rsidRPr="00EB46F0">
        <w:rPr>
          <w:rFonts w:ascii="Arial" w:hAnsi="Arial" w:cs="Arial"/>
          <w:sz w:val="16"/>
          <w:szCs w:val="16"/>
        </w:rPr>
        <w:t>PSR</w:t>
      </w:r>
      <w:r w:rsidR="003C1705">
        <w:rPr>
          <w:rFonts w:ascii="Arial" w:hAnsi="Arial" w:cs="Arial"/>
          <w:sz w:val="16"/>
          <w:szCs w:val="16"/>
        </w:rPr>
        <w:t xml:space="preserve"> intention to award notice</w:t>
      </w:r>
      <w:r w:rsidRPr="00EB46F0">
        <w:rPr>
          <w:rFonts w:ascii="Arial" w:hAnsi="Arial" w:cs="Arial"/>
          <w:sz w:val="16"/>
          <w:szCs w:val="16"/>
        </w:rPr>
        <w:t>, and is not referring to the template corrigendum notice under PCR which has been re-purposed for use in PSR.</w:t>
      </w:r>
    </w:p>
  </w:footnote>
  <w:footnote w:id="34">
    <w:p w14:paraId="682725FC" w14:textId="2017DC57" w:rsidR="007E396A" w:rsidRPr="00EB46F0" w:rsidRDefault="007E396A">
      <w:pPr>
        <w:pStyle w:val="FootnoteText"/>
        <w:rPr>
          <w:rFonts w:ascii="Arial" w:hAnsi="Arial" w:cs="Arial"/>
          <w:sz w:val="16"/>
          <w:szCs w:val="16"/>
        </w:rPr>
      </w:pPr>
      <w:r w:rsidRPr="00EB46F0">
        <w:rPr>
          <w:rStyle w:val="FootnoteReference"/>
          <w:rFonts w:ascii="Arial" w:hAnsi="Arial" w:cs="Arial"/>
          <w:sz w:val="16"/>
          <w:szCs w:val="16"/>
        </w:rPr>
        <w:footnoteRef/>
      </w:r>
      <w:r w:rsidRPr="00EB46F0">
        <w:rPr>
          <w:rFonts w:ascii="Arial" w:hAnsi="Arial" w:cs="Arial"/>
          <w:sz w:val="16"/>
          <w:szCs w:val="16"/>
        </w:rPr>
        <w:t xml:space="preserve"> HNY ICB, </w:t>
      </w:r>
      <w:r w:rsidR="00770280" w:rsidRPr="00D03CB9">
        <w:rPr>
          <w:rFonts w:ascii="Arial" w:hAnsi="Arial" w:cs="Arial"/>
          <w:i/>
          <w:sz w:val="16"/>
          <w:szCs w:val="16"/>
        </w:rPr>
        <w:t>Representations response letter</w:t>
      </w:r>
      <w:r w:rsidRPr="00EB46F0">
        <w:rPr>
          <w:rFonts w:ascii="Arial" w:hAnsi="Arial" w:cs="Arial"/>
          <w:sz w:val="16"/>
          <w:szCs w:val="16"/>
        </w:rPr>
        <w:t>, 4 March 2025.</w:t>
      </w:r>
    </w:p>
  </w:footnote>
  <w:footnote w:id="35">
    <w:p w14:paraId="2B71A6C8" w14:textId="72F8FD60" w:rsidR="007E396A" w:rsidRPr="00EB46F0" w:rsidRDefault="007E396A">
      <w:pPr>
        <w:pStyle w:val="FootnoteText"/>
        <w:rPr>
          <w:rFonts w:ascii="Arial" w:hAnsi="Arial" w:cs="Arial"/>
          <w:sz w:val="16"/>
          <w:szCs w:val="16"/>
        </w:rPr>
      </w:pPr>
      <w:r w:rsidRPr="00EB46F0">
        <w:rPr>
          <w:rStyle w:val="FootnoteReference"/>
          <w:rFonts w:ascii="Arial" w:hAnsi="Arial" w:cs="Arial"/>
          <w:sz w:val="16"/>
          <w:szCs w:val="16"/>
        </w:rPr>
        <w:footnoteRef/>
      </w:r>
      <w:r w:rsidRPr="00EB46F0">
        <w:rPr>
          <w:rFonts w:ascii="Arial" w:hAnsi="Arial" w:cs="Arial"/>
          <w:sz w:val="16"/>
          <w:szCs w:val="16"/>
        </w:rPr>
        <w:t xml:space="preserve"> HNY ICB, </w:t>
      </w:r>
      <w:r w:rsidRPr="00D03CB9">
        <w:rPr>
          <w:rFonts w:ascii="Arial" w:hAnsi="Arial" w:cs="Arial"/>
          <w:i/>
          <w:sz w:val="16"/>
          <w:szCs w:val="16"/>
        </w:rPr>
        <w:t>Letter to Barkhill</w:t>
      </w:r>
      <w:r w:rsidRPr="00EB46F0">
        <w:rPr>
          <w:rFonts w:ascii="Arial" w:hAnsi="Arial" w:cs="Arial"/>
          <w:sz w:val="16"/>
          <w:szCs w:val="16"/>
        </w:rPr>
        <w:t>, 5 March 2025.</w:t>
      </w:r>
    </w:p>
  </w:footnote>
  <w:footnote w:id="36">
    <w:p w14:paraId="6FD9BDB1" w14:textId="15A6C3AA" w:rsidR="00353A0B" w:rsidRPr="00EB46F0" w:rsidRDefault="00353A0B">
      <w:pPr>
        <w:pStyle w:val="FootnoteText"/>
        <w:rPr>
          <w:rFonts w:ascii="Arial" w:hAnsi="Arial" w:cs="Arial"/>
          <w:sz w:val="16"/>
          <w:szCs w:val="16"/>
        </w:rPr>
      </w:pPr>
      <w:r w:rsidRPr="00EB46F0">
        <w:rPr>
          <w:rStyle w:val="FootnoteReference"/>
          <w:rFonts w:ascii="Arial" w:hAnsi="Arial" w:cs="Arial"/>
          <w:sz w:val="16"/>
          <w:szCs w:val="16"/>
        </w:rPr>
        <w:footnoteRef/>
      </w:r>
      <w:r w:rsidRPr="00EB46F0">
        <w:rPr>
          <w:rFonts w:ascii="Arial" w:hAnsi="Arial" w:cs="Arial"/>
          <w:sz w:val="16"/>
          <w:szCs w:val="16"/>
        </w:rPr>
        <w:t xml:space="preserve"> </w:t>
      </w:r>
      <w:r w:rsidR="006643E3" w:rsidRPr="00EB46F0">
        <w:rPr>
          <w:rFonts w:ascii="Arial" w:hAnsi="Arial" w:cs="Arial"/>
          <w:sz w:val="16"/>
          <w:szCs w:val="16"/>
        </w:rPr>
        <w:t>NHS England</w:t>
      </w:r>
      <w:r w:rsidR="006643E3" w:rsidRPr="00D03CB9">
        <w:rPr>
          <w:rFonts w:ascii="Arial" w:hAnsi="Arial" w:cs="Arial"/>
          <w:i/>
          <w:sz w:val="16"/>
          <w:szCs w:val="16"/>
        </w:rPr>
        <w:t>, Find a Tender Service (FTS) supplementary guide</w:t>
      </w:r>
      <w:r w:rsidR="00D91336" w:rsidRPr="00D03CB9">
        <w:rPr>
          <w:rFonts w:ascii="Arial" w:hAnsi="Arial" w:cs="Arial"/>
          <w:i/>
          <w:sz w:val="16"/>
          <w:szCs w:val="16"/>
        </w:rPr>
        <w:t>,</w:t>
      </w:r>
      <w:r w:rsidR="00D91336" w:rsidRPr="00EB46F0">
        <w:rPr>
          <w:rFonts w:ascii="Arial" w:hAnsi="Arial" w:cs="Arial"/>
          <w:sz w:val="16"/>
          <w:szCs w:val="16"/>
        </w:rPr>
        <w:t xml:space="preserve"> ‘Competitive Process’ tab, 10 July 2024.</w:t>
      </w:r>
    </w:p>
  </w:footnote>
  <w:footnote w:id="37">
    <w:p w14:paraId="3ED2787E" w14:textId="77777777" w:rsidR="00B064E7" w:rsidRPr="00487C48" w:rsidRDefault="00B064E7" w:rsidP="00B064E7">
      <w:pPr>
        <w:pStyle w:val="FootnoteText"/>
        <w:rPr>
          <w:rFonts w:ascii="Arial" w:hAnsi="Arial" w:cs="Arial"/>
          <w:sz w:val="16"/>
          <w:szCs w:val="16"/>
        </w:rPr>
      </w:pPr>
      <w:r w:rsidRPr="00487C48">
        <w:rPr>
          <w:rStyle w:val="FootnoteReference"/>
          <w:rFonts w:ascii="Arial" w:hAnsi="Arial" w:cs="Arial"/>
          <w:sz w:val="16"/>
          <w:szCs w:val="16"/>
        </w:rPr>
        <w:footnoteRef/>
      </w:r>
      <w:r w:rsidRPr="00487C48">
        <w:rPr>
          <w:rFonts w:ascii="Arial" w:hAnsi="Arial" w:cs="Arial"/>
          <w:sz w:val="16"/>
          <w:szCs w:val="16"/>
        </w:rPr>
        <w:t xml:space="preserve"> </w:t>
      </w:r>
      <w:r w:rsidRPr="00DB576A">
        <w:rPr>
          <w:rFonts w:ascii="Arial" w:hAnsi="Arial" w:cs="Arial"/>
          <w:sz w:val="16"/>
          <w:szCs w:val="16"/>
        </w:rPr>
        <w:t xml:space="preserve">Barkhill, </w:t>
      </w:r>
      <w:r w:rsidRPr="00DB576A">
        <w:rPr>
          <w:rFonts w:ascii="Arial" w:hAnsi="Arial" w:cs="Arial"/>
          <w:i/>
          <w:iCs/>
          <w:sz w:val="16"/>
          <w:szCs w:val="16"/>
        </w:rPr>
        <w:t>Representations to HNY ICB</w:t>
      </w:r>
      <w:r w:rsidRPr="00DB576A">
        <w:rPr>
          <w:rFonts w:ascii="Arial" w:hAnsi="Arial" w:cs="Arial"/>
          <w:sz w:val="16"/>
          <w:szCs w:val="16"/>
        </w:rPr>
        <w:t>, 23 December 202</w:t>
      </w:r>
      <w:r>
        <w:rPr>
          <w:rFonts w:ascii="Arial" w:hAnsi="Arial" w:cs="Arial"/>
          <w:sz w:val="16"/>
          <w:szCs w:val="16"/>
        </w:rPr>
        <w:t>4.</w:t>
      </w:r>
    </w:p>
  </w:footnote>
  <w:footnote w:id="38">
    <w:p w14:paraId="752AF8CD" w14:textId="77777777" w:rsidR="00B178A6" w:rsidRPr="00487C48" w:rsidRDefault="00B178A6" w:rsidP="00B178A6">
      <w:pPr>
        <w:pStyle w:val="FootnoteText"/>
        <w:rPr>
          <w:rFonts w:ascii="Arial" w:hAnsi="Arial" w:cs="Arial"/>
          <w:sz w:val="16"/>
          <w:szCs w:val="16"/>
        </w:rPr>
      </w:pPr>
      <w:r w:rsidRPr="00487C48">
        <w:rPr>
          <w:rStyle w:val="FootnoteReference"/>
          <w:rFonts w:ascii="Arial" w:hAnsi="Arial" w:cs="Arial"/>
          <w:sz w:val="16"/>
          <w:szCs w:val="16"/>
        </w:rPr>
        <w:footnoteRef/>
      </w:r>
      <w:r w:rsidRPr="00487C48">
        <w:rPr>
          <w:rFonts w:ascii="Arial" w:hAnsi="Arial" w:cs="Arial"/>
          <w:sz w:val="16"/>
          <w:szCs w:val="16"/>
        </w:rPr>
        <w:t xml:space="preserve"> </w:t>
      </w:r>
      <w:r w:rsidRPr="00DB576A">
        <w:rPr>
          <w:rFonts w:ascii="Arial" w:hAnsi="Arial" w:cs="Arial"/>
          <w:sz w:val="16"/>
          <w:szCs w:val="16"/>
        </w:rPr>
        <w:t xml:space="preserve">Barkhill, </w:t>
      </w:r>
      <w:r w:rsidRPr="00DB576A">
        <w:rPr>
          <w:rFonts w:ascii="Arial" w:hAnsi="Arial" w:cs="Arial"/>
          <w:i/>
          <w:iCs/>
          <w:sz w:val="16"/>
          <w:szCs w:val="16"/>
        </w:rPr>
        <w:t>Representations to HNY ICB</w:t>
      </w:r>
      <w:r w:rsidRPr="00DB576A">
        <w:rPr>
          <w:rFonts w:ascii="Arial" w:hAnsi="Arial" w:cs="Arial"/>
          <w:sz w:val="16"/>
          <w:szCs w:val="16"/>
        </w:rPr>
        <w:t>, 23 December 202</w:t>
      </w:r>
      <w:r>
        <w:rPr>
          <w:rFonts w:ascii="Arial" w:hAnsi="Arial" w:cs="Arial"/>
          <w:sz w:val="16"/>
          <w:szCs w:val="16"/>
        </w:rPr>
        <w:t>4.</w:t>
      </w:r>
    </w:p>
  </w:footnote>
  <w:footnote w:id="39">
    <w:p w14:paraId="551F3A96" w14:textId="77777777" w:rsidR="00B178A6" w:rsidRPr="00487C48" w:rsidRDefault="00B178A6" w:rsidP="00B178A6">
      <w:pPr>
        <w:pStyle w:val="FootnoteText"/>
        <w:rPr>
          <w:rFonts w:ascii="Arial" w:hAnsi="Arial" w:cs="Arial"/>
          <w:sz w:val="16"/>
          <w:szCs w:val="16"/>
        </w:rPr>
      </w:pPr>
      <w:r w:rsidRPr="00487C48">
        <w:rPr>
          <w:rStyle w:val="FootnoteReference"/>
          <w:rFonts w:ascii="Arial" w:hAnsi="Arial" w:cs="Arial"/>
          <w:sz w:val="16"/>
          <w:szCs w:val="16"/>
        </w:rPr>
        <w:footnoteRef/>
      </w:r>
      <w:r w:rsidRPr="00487C48">
        <w:rPr>
          <w:rFonts w:ascii="Arial" w:hAnsi="Arial" w:cs="Arial"/>
          <w:sz w:val="16"/>
          <w:szCs w:val="16"/>
        </w:rPr>
        <w:t xml:space="preserve"> </w:t>
      </w:r>
      <w:r w:rsidRPr="00072597">
        <w:rPr>
          <w:rFonts w:ascii="Arial" w:hAnsi="Arial" w:cs="Arial"/>
          <w:sz w:val="16"/>
          <w:szCs w:val="16"/>
        </w:rPr>
        <w:t xml:space="preserve">HNY ICB, </w:t>
      </w:r>
      <w:r w:rsidRPr="00072597">
        <w:rPr>
          <w:rFonts w:ascii="Arial" w:hAnsi="Arial" w:cs="Arial"/>
          <w:i/>
          <w:iCs/>
          <w:sz w:val="16"/>
          <w:szCs w:val="16"/>
        </w:rPr>
        <w:t>Representations response letter</w:t>
      </w:r>
      <w:r w:rsidRPr="00072597">
        <w:rPr>
          <w:rFonts w:ascii="Arial" w:hAnsi="Arial" w:cs="Arial"/>
          <w:sz w:val="16"/>
          <w:szCs w:val="16"/>
        </w:rPr>
        <w:t>, 4 March 2025</w:t>
      </w:r>
      <w:r>
        <w:rPr>
          <w:rFonts w:ascii="Arial" w:hAnsi="Arial" w:cs="Arial"/>
          <w:sz w:val="16"/>
          <w:szCs w:val="16"/>
        </w:rPr>
        <w:t>.</w:t>
      </w:r>
    </w:p>
  </w:footnote>
  <w:footnote w:id="40">
    <w:p w14:paraId="5FD30B4E" w14:textId="18963146" w:rsidR="00960AA0" w:rsidRPr="003B5FA8" w:rsidRDefault="00960AA0">
      <w:pPr>
        <w:pStyle w:val="FootnoteText"/>
        <w:rPr>
          <w:rFonts w:ascii="Arial" w:hAnsi="Arial" w:cs="Arial"/>
          <w:sz w:val="16"/>
          <w:szCs w:val="16"/>
        </w:rPr>
      </w:pPr>
      <w:r w:rsidRPr="003B5FA8">
        <w:rPr>
          <w:rStyle w:val="FootnoteReference"/>
          <w:rFonts w:ascii="Arial" w:hAnsi="Arial" w:cs="Arial"/>
          <w:sz w:val="16"/>
          <w:szCs w:val="16"/>
        </w:rPr>
        <w:footnoteRef/>
      </w:r>
      <w:r w:rsidRPr="003B5FA8">
        <w:rPr>
          <w:rFonts w:ascii="Arial" w:hAnsi="Arial" w:cs="Arial"/>
          <w:sz w:val="16"/>
          <w:szCs w:val="16"/>
        </w:rPr>
        <w:t xml:space="preserve"> </w:t>
      </w:r>
      <w:r w:rsidR="00E7093B" w:rsidRPr="003B5FA8">
        <w:rPr>
          <w:rFonts w:ascii="Arial" w:hAnsi="Arial" w:cs="Arial"/>
          <w:sz w:val="16"/>
          <w:szCs w:val="16"/>
        </w:rPr>
        <w:t xml:space="preserve">Independent Patient Choice and Procurement Panel, </w:t>
      </w:r>
      <w:r w:rsidR="00CE05BE" w:rsidRPr="003B5FA8">
        <w:rPr>
          <w:rFonts w:ascii="Arial" w:hAnsi="Arial" w:cs="Arial"/>
          <w:i/>
          <w:sz w:val="16"/>
          <w:szCs w:val="16"/>
        </w:rPr>
        <w:t>Review of a proposed contract award: Community Aural Microsuction Service for Norfolk and Waveney</w:t>
      </w:r>
      <w:r w:rsidR="00CE05BE" w:rsidRPr="003B5FA8">
        <w:rPr>
          <w:rFonts w:ascii="Arial" w:hAnsi="Arial" w:cs="Arial"/>
          <w:sz w:val="16"/>
          <w:szCs w:val="16"/>
        </w:rPr>
        <w:t xml:space="preserve">, </w:t>
      </w:r>
      <w:r w:rsidR="003B5FA8" w:rsidRPr="003B5FA8">
        <w:rPr>
          <w:rFonts w:ascii="Arial" w:hAnsi="Arial" w:cs="Arial"/>
          <w:sz w:val="16"/>
          <w:szCs w:val="16"/>
        </w:rPr>
        <w:t xml:space="preserve">CR0011-25, 8 April 2025, </w:t>
      </w:r>
      <w:r w:rsidR="00E7093B" w:rsidRPr="003B5FA8">
        <w:rPr>
          <w:rFonts w:ascii="Arial" w:hAnsi="Arial" w:cs="Arial"/>
          <w:sz w:val="16"/>
          <w:szCs w:val="16"/>
        </w:rPr>
        <w:t xml:space="preserve">paras </w:t>
      </w:r>
      <w:r w:rsidR="00DF5788" w:rsidRPr="003B5FA8">
        <w:rPr>
          <w:rFonts w:ascii="Arial" w:hAnsi="Arial" w:cs="Arial"/>
          <w:sz w:val="16"/>
          <w:szCs w:val="16"/>
        </w:rPr>
        <w:t>43-45.</w:t>
      </w:r>
    </w:p>
  </w:footnote>
  <w:footnote w:id="41">
    <w:p w14:paraId="20B72101" w14:textId="77777777" w:rsidR="005C26C7" w:rsidRPr="005F32C6" w:rsidRDefault="005C26C7" w:rsidP="005C26C7">
      <w:pPr>
        <w:pStyle w:val="FootnoteText"/>
        <w:rPr>
          <w:rFonts w:ascii="Arial" w:hAnsi="Arial" w:cs="Arial"/>
          <w:sz w:val="16"/>
          <w:szCs w:val="16"/>
        </w:rPr>
      </w:pPr>
      <w:r w:rsidRPr="005F32C6">
        <w:rPr>
          <w:rStyle w:val="FootnoteReference"/>
          <w:rFonts w:ascii="Arial" w:hAnsi="Arial" w:cs="Arial"/>
          <w:sz w:val="16"/>
          <w:szCs w:val="16"/>
        </w:rPr>
        <w:footnoteRef/>
      </w:r>
      <w:r w:rsidRPr="005F32C6">
        <w:rPr>
          <w:rFonts w:ascii="Arial" w:hAnsi="Arial" w:cs="Arial"/>
          <w:sz w:val="16"/>
          <w:szCs w:val="16"/>
        </w:rPr>
        <w:t xml:space="preserve"> Panel meeting with HNY ICB, 11 April 2025.</w:t>
      </w:r>
    </w:p>
  </w:footnote>
  <w:footnote w:id="42">
    <w:p w14:paraId="2B820DFD" w14:textId="77777777" w:rsidR="007318A6" w:rsidRPr="005F32C6" w:rsidRDefault="007318A6" w:rsidP="007318A6">
      <w:pPr>
        <w:pStyle w:val="FootnoteText"/>
        <w:rPr>
          <w:rFonts w:ascii="Arial" w:hAnsi="Arial" w:cs="Arial"/>
          <w:sz w:val="16"/>
          <w:szCs w:val="16"/>
        </w:rPr>
      </w:pPr>
      <w:r w:rsidRPr="005F32C6">
        <w:rPr>
          <w:rStyle w:val="FootnoteReference"/>
          <w:rFonts w:ascii="Arial" w:hAnsi="Arial" w:cs="Arial"/>
          <w:sz w:val="16"/>
          <w:szCs w:val="16"/>
        </w:rPr>
        <w:footnoteRef/>
      </w:r>
      <w:r w:rsidRPr="005F32C6">
        <w:rPr>
          <w:rFonts w:ascii="Arial" w:hAnsi="Arial" w:cs="Arial"/>
          <w:sz w:val="16"/>
          <w:szCs w:val="16"/>
        </w:rPr>
        <w:t xml:space="preserve"> Panel meeting with HNY ICB, 11 April 2025.</w:t>
      </w:r>
    </w:p>
  </w:footnote>
  <w:footnote w:id="43">
    <w:p w14:paraId="62D110E8" w14:textId="52E64171" w:rsidR="008C4C94" w:rsidRPr="008C4C94" w:rsidRDefault="008C4C94" w:rsidP="008C4C94">
      <w:pPr>
        <w:pStyle w:val="FootnoteText"/>
        <w:rPr>
          <w:rFonts w:ascii="Arial" w:hAnsi="Arial" w:cs="Arial"/>
          <w:sz w:val="16"/>
          <w:szCs w:val="16"/>
        </w:rPr>
      </w:pPr>
      <w:r w:rsidRPr="008C4C94">
        <w:rPr>
          <w:rStyle w:val="FootnoteReference"/>
          <w:rFonts w:ascii="Arial" w:hAnsi="Arial" w:cs="Arial"/>
          <w:sz w:val="16"/>
          <w:szCs w:val="16"/>
        </w:rPr>
        <w:footnoteRef/>
      </w:r>
      <w:r w:rsidRPr="008C4C94">
        <w:rPr>
          <w:rFonts w:ascii="Arial" w:hAnsi="Arial" w:cs="Arial"/>
          <w:sz w:val="16"/>
          <w:szCs w:val="16"/>
        </w:rPr>
        <w:t xml:space="preserve"> </w:t>
      </w:r>
      <w:r w:rsidRPr="007B1C21">
        <w:rPr>
          <w:rFonts w:ascii="Arial" w:hAnsi="Arial" w:cs="Arial"/>
          <w:sz w:val="16"/>
          <w:szCs w:val="16"/>
        </w:rPr>
        <w:t>The Panel notes that the PSR statutory guidance specifically allows for the publication of the name of a committee or job titles of individuals for the purposes of this notice (</w:t>
      </w:r>
      <w:r w:rsidRPr="008C4C94">
        <w:rPr>
          <w:rFonts w:ascii="Arial" w:hAnsi="Arial" w:cs="Arial"/>
          <w:sz w:val="16"/>
          <w:szCs w:val="16"/>
        </w:rPr>
        <w:t xml:space="preserve">PSR Statutory Guidance, </w:t>
      </w:r>
      <w:r w:rsidR="00427581">
        <w:rPr>
          <w:rFonts w:ascii="Arial" w:hAnsi="Arial" w:cs="Arial"/>
          <w:sz w:val="16"/>
          <w:szCs w:val="16"/>
        </w:rPr>
        <w:t>February 2024</w:t>
      </w:r>
      <w:r w:rsidRPr="008C4C94">
        <w:rPr>
          <w:rFonts w:ascii="Arial" w:hAnsi="Arial" w:cs="Arial"/>
          <w:sz w:val="16"/>
          <w:szCs w:val="16"/>
        </w:rPr>
        <w:t>, p.41).</w:t>
      </w:r>
    </w:p>
  </w:footnote>
  <w:footnote w:id="44">
    <w:p w14:paraId="641EC7DC" w14:textId="77777777" w:rsidR="00E472E1" w:rsidRPr="00A9305B" w:rsidRDefault="00E472E1" w:rsidP="00E472E1">
      <w:pPr>
        <w:pStyle w:val="FootnoteText"/>
        <w:rPr>
          <w:rFonts w:ascii="Arial" w:hAnsi="Arial" w:cs="Arial"/>
          <w:sz w:val="16"/>
          <w:szCs w:val="16"/>
        </w:rPr>
      </w:pPr>
      <w:r w:rsidRPr="00A9305B">
        <w:rPr>
          <w:rStyle w:val="FootnoteReference"/>
          <w:rFonts w:ascii="Arial" w:hAnsi="Arial" w:cs="Arial"/>
          <w:sz w:val="16"/>
          <w:szCs w:val="16"/>
        </w:rPr>
        <w:footnoteRef/>
      </w:r>
      <w:r w:rsidRPr="00A9305B">
        <w:rPr>
          <w:rFonts w:ascii="Arial" w:hAnsi="Arial" w:cs="Arial"/>
          <w:sz w:val="16"/>
          <w:szCs w:val="16"/>
        </w:rPr>
        <w:t xml:space="preserve"> HNY ICB, </w:t>
      </w:r>
      <w:r w:rsidRPr="00A9305B">
        <w:rPr>
          <w:rFonts w:ascii="Arial" w:hAnsi="Arial" w:cs="Arial"/>
          <w:i/>
          <w:iCs/>
          <w:sz w:val="16"/>
          <w:szCs w:val="16"/>
        </w:rPr>
        <w:t>Representations to the Panel pro forma</w:t>
      </w:r>
      <w:r w:rsidRPr="00A9305B">
        <w:rPr>
          <w:rFonts w:ascii="Arial" w:hAnsi="Arial" w:cs="Arial"/>
          <w:sz w:val="16"/>
          <w:szCs w:val="16"/>
        </w:rPr>
        <w:t>, 12 March 2025.</w:t>
      </w:r>
    </w:p>
  </w:footnote>
  <w:footnote w:id="45">
    <w:p w14:paraId="0BE6406E" w14:textId="77777777" w:rsidR="00E472E1" w:rsidRPr="005F1BC9" w:rsidRDefault="00E472E1" w:rsidP="00E472E1">
      <w:pPr>
        <w:pStyle w:val="FootnoteText"/>
        <w:rPr>
          <w:rFonts w:ascii="Arial" w:hAnsi="Arial" w:cs="Arial"/>
          <w:sz w:val="16"/>
          <w:szCs w:val="16"/>
        </w:rPr>
      </w:pPr>
      <w:r w:rsidRPr="005F1BC9">
        <w:rPr>
          <w:rStyle w:val="FootnoteReference"/>
          <w:rFonts w:ascii="Arial" w:hAnsi="Arial" w:cs="Arial"/>
          <w:sz w:val="16"/>
          <w:szCs w:val="16"/>
        </w:rPr>
        <w:footnoteRef/>
      </w:r>
      <w:r w:rsidRPr="005F1BC9">
        <w:rPr>
          <w:rFonts w:ascii="Arial" w:hAnsi="Arial" w:cs="Arial"/>
          <w:sz w:val="16"/>
          <w:szCs w:val="16"/>
        </w:rPr>
        <w:t xml:space="preserve"> JFH Law, </w:t>
      </w:r>
      <w:r w:rsidRPr="005F1BC9">
        <w:rPr>
          <w:rFonts w:ascii="Arial" w:hAnsi="Arial" w:cs="Arial"/>
          <w:i/>
          <w:iCs/>
          <w:sz w:val="16"/>
          <w:szCs w:val="16"/>
        </w:rPr>
        <w:t>Report prepared on behalf of Clarendon for the purposes of the meeting with the Panel</w:t>
      </w:r>
      <w:r w:rsidRPr="005F1BC9">
        <w:rPr>
          <w:rFonts w:ascii="Arial" w:hAnsi="Arial" w:cs="Arial"/>
          <w:sz w:val="16"/>
          <w:szCs w:val="16"/>
        </w:rPr>
        <w:t xml:space="preserve">, </w:t>
      </w:r>
      <w:r>
        <w:rPr>
          <w:rFonts w:ascii="Arial" w:hAnsi="Arial" w:cs="Arial"/>
          <w:sz w:val="16"/>
          <w:szCs w:val="16"/>
        </w:rPr>
        <w:t>8</w:t>
      </w:r>
      <w:r w:rsidRPr="005F1BC9">
        <w:rPr>
          <w:rFonts w:ascii="Arial" w:hAnsi="Arial" w:cs="Arial"/>
          <w:sz w:val="16"/>
          <w:szCs w:val="16"/>
        </w:rPr>
        <w:t xml:space="preserve"> April 2025</w:t>
      </w:r>
      <w:r>
        <w:rPr>
          <w:rFonts w:ascii="Arial" w:hAnsi="Arial" w:cs="Arial"/>
          <w:sz w:val="16"/>
          <w:szCs w:val="16"/>
        </w:rPr>
        <w:t>.</w:t>
      </w:r>
    </w:p>
  </w:footnote>
  <w:footnote w:id="46">
    <w:p w14:paraId="429FCD8D" w14:textId="77777777" w:rsidR="00C97DCB" w:rsidRPr="00F36661" w:rsidRDefault="00C97DCB" w:rsidP="00C97DCB">
      <w:pPr>
        <w:pStyle w:val="FootnoteText"/>
        <w:rPr>
          <w:rFonts w:ascii="Arial" w:hAnsi="Arial" w:cs="Arial"/>
          <w:sz w:val="16"/>
          <w:szCs w:val="16"/>
        </w:rPr>
      </w:pPr>
      <w:r w:rsidRPr="00F36661">
        <w:rPr>
          <w:rStyle w:val="FootnoteReference"/>
          <w:rFonts w:ascii="Arial" w:hAnsi="Arial" w:cs="Arial"/>
          <w:sz w:val="16"/>
          <w:szCs w:val="16"/>
        </w:rPr>
        <w:footnoteRef/>
      </w:r>
      <w:r w:rsidRPr="00F36661">
        <w:rPr>
          <w:rFonts w:ascii="Arial" w:hAnsi="Arial" w:cs="Arial"/>
          <w:sz w:val="16"/>
          <w:szCs w:val="16"/>
        </w:rPr>
        <w:t xml:space="preserve"> Clarendon, </w:t>
      </w:r>
      <w:r w:rsidRPr="00F36661">
        <w:rPr>
          <w:rFonts w:ascii="Arial" w:hAnsi="Arial" w:cs="Arial"/>
          <w:i/>
          <w:iCs/>
          <w:sz w:val="16"/>
          <w:szCs w:val="16"/>
        </w:rPr>
        <w:t>Detailed Analysis of Tender Scoring and Feedback</w:t>
      </w:r>
      <w:r w:rsidRPr="00F36661">
        <w:rPr>
          <w:rFonts w:ascii="Arial" w:hAnsi="Arial" w:cs="Arial"/>
          <w:sz w:val="16"/>
          <w:szCs w:val="16"/>
        </w:rPr>
        <w:t>, 20 December 2024.</w:t>
      </w:r>
    </w:p>
  </w:footnote>
  <w:footnote w:id="47">
    <w:p w14:paraId="079D6B13" w14:textId="77777777" w:rsidR="00C97DCB" w:rsidRPr="005D6452" w:rsidRDefault="00C97DCB" w:rsidP="00C97DCB">
      <w:pPr>
        <w:pStyle w:val="FootnoteText"/>
        <w:rPr>
          <w:rFonts w:ascii="Arial" w:hAnsi="Arial" w:cs="Arial"/>
          <w:sz w:val="16"/>
          <w:szCs w:val="16"/>
        </w:rPr>
      </w:pPr>
      <w:r w:rsidRPr="005D6452">
        <w:rPr>
          <w:rStyle w:val="FootnoteReference"/>
          <w:rFonts w:ascii="Arial" w:hAnsi="Arial" w:cs="Arial"/>
          <w:sz w:val="16"/>
          <w:szCs w:val="16"/>
        </w:rPr>
        <w:footnoteRef/>
      </w:r>
      <w:r w:rsidRPr="005D6452">
        <w:rPr>
          <w:rFonts w:ascii="Arial" w:hAnsi="Arial" w:cs="Arial"/>
          <w:sz w:val="16"/>
          <w:szCs w:val="16"/>
        </w:rPr>
        <w:t xml:space="preserve"> HNY ICB, </w:t>
      </w:r>
      <w:r w:rsidRPr="00F36661">
        <w:rPr>
          <w:rFonts w:ascii="Arial" w:hAnsi="Arial" w:cs="Arial"/>
          <w:i/>
          <w:iCs/>
          <w:sz w:val="16"/>
          <w:szCs w:val="16"/>
        </w:rPr>
        <w:t>Representations response letter</w:t>
      </w:r>
      <w:r w:rsidRPr="005D6452">
        <w:rPr>
          <w:rFonts w:ascii="Arial" w:hAnsi="Arial" w:cs="Arial"/>
          <w:sz w:val="16"/>
          <w:szCs w:val="16"/>
        </w:rPr>
        <w:t>, 4 March 2025.</w:t>
      </w:r>
    </w:p>
  </w:footnote>
  <w:footnote w:id="48">
    <w:p w14:paraId="463C8965" w14:textId="77777777" w:rsidR="00AA1DF8" w:rsidRPr="00C714DF" w:rsidRDefault="00AA1DF8" w:rsidP="00AA1DF8">
      <w:pPr>
        <w:pStyle w:val="FootnoteText"/>
        <w:rPr>
          <w:rFonts w:ascii="Arial" w:hAnsi="Arial" w:cs="Arial"/>
          <w:sz w:val="16"/>
          <w:szCs w:val="16"/>
        </w:rPr>
      </w:pPr>
      <w:r w:rsidRPr="00C714DF">
        <w:rPr>
          <w:rStyle w:val="FootnoteReference"/>
          <w:rFonts w:ascii="Arial" w:hAnsi="Arial" w:cs="Arial"/>
          <w:sz w:val="16"/>
          <w:szCs w:val="16"/>
        </w:rPr>
        <w:footnoteRef/>
      </w:r>
      <w:r w:rsidRPr="00C714DF">
        <w:rPr>
          <w:rFonts w:ascii="Arial" w:hAnsi="Arial" w:cs="Arial"/>
          <w:sz w:val="16"/>
          <w:szCs w:val="16"/>
        </w:rPr>
        <w:t xml:space="preserve"> JFH Law, </w:t>
      </w:r>
      <w:r w:rsidRPr="00C714DF">
        <w:rPr>
          <w:rFonts w:ascii="Arial" w:hAnsi="Arial" w:cs="Arial"/>
          <w:i/>
          <w:iCs/>
          <w:sz w:val="16"/>
          <w:szCs w:val="16"/>
        </w:rPr>
        <w:t>Report prepared on behalf of Clarendon for the purposes of the meeting with the Panel</w:t>
      </w:r>
      <w:r w:rsidRPr="00C714DF">
        <w:rPr>
          <w:rFonts w:ascii="Arial" w:hAnsi="Arial" w:cs="Arial"/>
          <w:sz w:val="16"/>
          <w:szCs w:val="16"/>
        </w:rPr>
        <w:t>, 9 April 2025</w:t>
      </w:r>
      <w:r>
        <w:rPr>
          <w:rFonts w:ascii="Arial" w:hAnsi="Arial" w:cs="Arial"/>
          <w:sz w:val="16"/>
          <w:szCs w:val="16"/>
        </w:rPr>
        <w:t>.</w:t>
      </w:r>
    </w:p>
  </w:footnote>
  <w:footnote w:id="49">
    <w:p w14:paraId="0308931F" w14:textId="45663BB9" w:rsidR="00A608B2" w:rsidRPr="00EB46F0" w:rsidRDefault="00A608B2">
      <w:pPr>
        <w:pStyle w:val="FootnoteText"/>
        <w:rPr>
          <w:rFonts w:ascii="Arial" w:hAnsi="Arial" w:cs="Arial"/>
          <w:sz w:val="16"/>
          <w:szCs w:val="16"/>
        </w:rPr>
      </w:pPr>
      <w:r w:rsidRPr="00EB46F0">
        <w:rPr>
          <w:rStyle w:val="FootnoteReference"/>
          <w:rFonts w:ascii="Arial" w:hAnsi="Arial" w:cs="Arial"/>
          <w:sz w:val="16"/>
          <w:szCs w:val="16"/>
        </w:rPr>
        <w:footnoteRef/>
      </w:r>
      <w:r w:rsidRPr="00EB46F0">
        <w:rPr>
          <w:rFonts w:ascii="Arial" w:hAnsi="Arial" w:cs="Arial"/>
          <w:sz w:val="16"/>
          <w:szCs w:val="16"/>
        </w:rPr>
        <w:t xml:space="preserve"> The Panel further notes that </w:t>
      </w:r>
      <w:r w:rsidR="008D7CD5" w:rsidRPr="00EB46F0">
        <w:rPr>
          <w:rFonts w:ascii="Arial" w:hAnsi="Arial" w:cs="Arial"/>
          <w:sz w:val="16"/>
          <w:szCs w:val="16"/>
        </w:rPr>
        <w:t>Clarendon</w:t>
      </w:r>
      <w:r w:rsidR="00BC653B" w:rsidRPr="00EB46F0">
        <w:rPr>
          <w:rFonts w:ascii="Arial" w:hAnsi="Arial" w:cs="Arial"/>
          <w:sz w:val="16"/>
          <w:szCs w:val="16"/>
        </w:rPr>
        <w:t xml:space="preserve"> in Appendix A to its representations letter </w:t>
      </w:r>
      <w:r w:rsidR="003B6143" w:rsidRPr="00EB46F0">
        <w:rPr>
          <w:rFonts w:ascii="Arial" w:hAnsi="Arial" w:cs="Arial"/>
          <w:sz w:val="16"/>
          <w:szCs w:val="16"/>
        </w:rPr>
        <w:t>to the ICB of 23 December 2024 said</w:t>
      </w:r>
      <w:r w:rsidR="008D7CD5" w:rsidRPr="00EB46F0">
        <w:rPr>
          <w:rFonts w:ascii="Arial" w:hAnsi="Arial" w:cs="Arial"/>
          <w:sz w:val="16"/>
          <w:szCs w:val="16"/>
        </w:rPr>
        <w:t xml:space="preserve">, under the heading </w:t>
      </w:r>
      <w:r w:rsidR="00BC653B" w:rsidRPr="00EB46F0">
        <w:rPr>
          <w:rFonts w:ascii="Arial" w:hAnsi="Arial" w:cs="Arial"/>
          <w:sz w:val="16"/>
          <w:szCs w:val="16"/>
        </w:rPr>
        <w:t>“</w:t>
      </w:r>
      <w:r w:rsidR="008D7CD5" w:rsidRPr="00EB46F0">
        <w:rPr>
          <w:rFonts w:ascii="Arial" w:hAnsi="Arial" w:cs="Arial"/>
          <w:sz w:val="16"/>
          <w:szCs w:val="16"/>
        </w:rPr>
        <w:t>Transparency Issues</w:t>
      </w:r>
      <w:r w:rsidR="00BC653B" w:rsidRPr="00EB46F0">
        <w:rPr>
          <w:rFonts w:ascii="Arial" w:hAnsi="Arial" w:cs="Arial"/>
          <w:sz w:val="16"/>
          <w:szCs w:val="16"/>
        </w:rPr>
        <w:t>”</w:t>
      </w:r>
      <w:r w:rsidR="008D7CD5" w:rsidRPr="00EB46F0">
        <w:rPr>
          <w:rFonts w:ascii="Arial" w:hAnsi="Arial" w:cs="Arial"/>
          <w:sz w:val="16"/>
          <w:szCs w:val="16"/>
        </w:rPr>
        <w:t xml:space="preserve"> that “</w:t>
      </w:r>
      <w:r w:rsidR="003B6143" w:rsidRPr="00EB46F0">
        <w:rPr>
          <w:rFonts w:ascii="Arial" w:hAnsi="Arial" w:cs="Arial"/>
          <w:sz w:val="16"/>
          <w:szCs w:val="16"/>
        </w:rPr>
        <w:t>T</w:t>
      </w:r>
      <w:r w:rsidR="008D7CD5" w:rsidRPr="00EB46F0">
        <w:rPr>
          <w:rFonts w:ascii="Arial" w:hAnsi="Arial" w:cs="Arial"/>
          <w:sz w:val="16"/>
          <w:szCs w:val="16"/>
        </w:rPr>
        <w:t xml:space="preserve">here is a pressing need for transparency regarding how scores were determined and how they align with the stated evaluation criteria. </w:t>
      </w:r>
      <w:r w:rsidR="00BC653B" w:rsidRPr="00EB46F0">
        <w:rPr>
          <w:rFonts w:ascii="Arial" w:hAnsi="Arial" w:cs="Arial"/>
          <w:sz w:val="16"/>
          <w:szCs w:val="16"/>
        </w:rPr>
        <w:t xml:space="preserve">Access to the full scoring scheme and responses from the highest scoring bidder is essential for ensuring fairness in this process”. </w:t>
      </w:r>
      <w:r w:rsidR="005026F5" w:rsidRPr="00EB46F0">
        <w:rPr>
          <w:rFonts w:ascii="Arial" w:hAnsi="Arial" w:cs="Arial"/>
          <w:sz w:val="16"/>
          <w:szCs w:val="16"/>
        </w:rPr>
        <w:t>It is not entirely clear to the Panel whether Clarendon</w:t>
      </w:r>
      <w:r w:rsidR="00117EE0" w:rsidRPr="00EB46F0">
        <w:rPr>
          <w:rFonts w:ascii="Arial" w:hAnsi="Arial" w:cs="Arial"/>
          <w:sz w:val="16"/>
          <w:szCs w:val="16"/>
        </w:rPr>
        <w:t>’s</w:t>
      </w:r>
      <w:r w:rsidR="005026F5" w:rsidRPr="00EB46F0">
        <w:rPr>
          <w:rFonts w:ascii="Arial" w:hAnsi="Arial" w:cs="Arial"/>
          <w:sz w:val="16"/>
          <w:szCs w:val="16"/>
        </w:rPr>
        <w:t xml:space="preserve"> inten</w:t>
      </w:r>
      <w:r w:rsidR="00117EE0" w:rsidRPr="00EB46F0">
        <w:rPr>
          <w:rFonts w:ascii="Arial" w:hAnsi="Arial" w:cs="Arial"/>
          <w:sz w:val="16"/>
          <w:szCs w:val="16"/>
        </w:rPr>
        <w:t xml:space="preserve">tion was </w:t>
      </w:r>
      <w:r w:rsidR="005026F5" w:rsidRPr="00EB46F0">
        <w:rPr>
          <w:rFonts w:ascii="Arial" w:hAnsi="Arial" w:cs="Arial"/>
          <w:sz w:val="16"/>
          <w:szCs w:val="16"/>
        </w:rPr>
        <w:t xml:space="preserve">for this statement </w:t>
      </w:r>
      <w:r w:rsidR="00117EE0" w:rsidRPr="00EB46F0">
        <w:rPr>
          <w:rFonts w:ascii="Arial" w:hAnsi="Arial" w:cs="Arial"/>
          <w:sz w:val="16"/>
          <w:szCs w:val="16"/>
        </w:rPr>
        <w:t xml:space="preserve">to be </w:t>
      </w:r>
      <w:r w:rsidR="005026F5" w:rsidRPr="00EB46F0">
        <w:rPr>
          <w:rFonts w:ascii="Arial" w:hAnsi="Arial" w:cs="Arial"/>
          <w:sz w:val="16"/>
          <w:szCs w:val="16"/>
        </w:rPr>
        <w:t>a</w:t>
      </w:r>
      <w:r w:rsidR="00117EE0" w:rsidRPr="00EB46F0">
        <w:rPr>
          <w:rFonts w:ascii="Arial" w:hAnsi="Arial" w:cs="Arial"/>
          <w:sz w:val="16"/>
          <w:szCs w:val="16"/>
        </w:rPr>
        <w:t xml:space="preserve"> request to HNY ICB for </w:t>
      </w:r>
      <w:r w:rsidR="005026F5" w:rsidRPr="00EB46F0">
        <w:rPr>
          <w:rFonts w:ascii="Arial" w:hAnsi="Arial" w:cs="Arial"/>
          <w:sz w:val="16"/>
          <w:szCs w:val="16"/>
        </w:rPr>
        <w:t xml:space="preserve">information </w:t>
      </w:r>
      <w:r w:rsidR="00117EE0" w:rsidRPr="00EB46F0">
        <w:rPr>
          <w:rFonts w:ascii="Arial" w:hAnsi="Arial" w:cs="Arial"/>
          <w:sz w:val="16"/>
          <w:szCs w:val="16"/>
        </w:rPr>
        <w:t>or records</w:t>
      </w:r>
      <w:r w:rsidR="005026F5" w:rsidRPr="00EB46F0">
        <w:rPr>
          <w:rFonts w:ascii="Arial" w:hAnsi="Arial" w:cs="Arial"/>
          <w:sz w:val="16"/>
          <w:szCs w:val="16"/>
        </w:rPr>
        <w:t>.</w:t>
      </w:r>
      <w:r w:rsidR="001A592D" w:rsidRPr="00EB46F0">
        <w:rPr>
          <w:rFonts w:ascii="Arial" w:hAnsi="Arial" w:cs="Arial"/>
          <w:sz w:val="16"/>
          <w:szCs w:val="16"/>
        </w:rPr>
        <w:t xml:space="preserve"> The Panel considers that Clarendon would have had access to </w:t>
      </w:r>
      <w:r w:rsidR="00D45F0E" w:rsidRPr="00EB46F0">
        <w:rPr>
          <w:rFonts w:ascii="Arial" w:hAnsi="Arial" w:cs="Arial"/>
          <w:sz w:val="16"/>
          <w:szCs w:val="16"/>
        </w:rPr>
        <w:t xml:space="preserve">much of </w:t>
      </w:r>
      <w:r w:rsidR="001A592D" w:rsidRPr="00EB46F0">
        <w:rPr>
          <w:rFonts w:ascii="Arial" w:hAnsi="Arial" w:cs="Arial"/>
          <w:sz w:val="16"/>
          <w:szCs w:val="16"/>
        </w:rPr>
        <w:t xml:space="preserve">this information </w:t>
      </w:r>
      <w:r w:rsidR="00A3096F" w:rsidRPr="00EB46F0">
        <w:rPr>
          <w:rFonts w:ascii="Arial" w:hAnsi="Arial" w:cs="Arial"/>
          <w:sz w:val="16"/>
          <w:szCs w:val="16"/>
        </w:rPr>
        <w:t>through the tender outcome letter</w:t>
      </w:r>
      <w:r w:rsidR="00D45F0E" w:rsidRPr="00EB46F0">
        <w:rPr>
          <w:rFonts w:ascii="Arial" w:hAnsi="Arial" w:cs="Arial"/>
          <w:sz w:val="16"/>
          <w:szCs w:val="16"/>
        </w:rPr>
        <w:t xml:space="preserve">, while </w:t>
      </w:r>
      <w:r w:rsidR="00473610" w:rsidRPr="00EB46F0">
        <w:rPr>
          <w:rFonts w:ascii="Arial" w:hAnsi="Arial" w:cs="Arial"/>
          <w:sz w:val="16"/>
          <w:szCs w:val="16"/>
        </w:rPr>
        <w:t xml:space="preserve">access to the highest scoring bidders’ responses is unlikely to have been </w:t>
      </w:r>
      <w:r w:rsidR="004D585E" w:rsidRPr="00EB46F0">
        <w:rPr>
          <w:rFonts w:ascii="Arial" w:hAnsi="Arial" w:cs="Arial"/>
          <w:sz w:val="16"/>
          <w:szCs w:val="16"/>
        </w:rPr>
        <w:t>possible given commercial confidentiality considerations.</w:t>
      </w:r>
    </w:p>
  </w:footnote>
  <w:footnote w:id="50">
    <w:p w14:paraId="5867D6FC" w14:textId="6D60D73F" w:rsidR="00A42158" w:rsidRPr="00A9305B" w:rsidRDefault="00A42158">
      <w:pPr>
        <w:pStyle w:val="FootnoteText"/>
        <w:rPr>
          <w:rFonts w:ascii="Arial" w:hAnsi="Arial" w:cs="Arial"/>
          <w:sz w:val="16"/>
          <w:szCs w:val="16"/>
        </w:rPr>
      </w:pPr>
      <w:r w:rsidRPr="00A9305B">
        <w:rPr>
          <w:rStyle w:val="FootnoteReference"/>
          <w:rFonts w:ascii="Arial" w:hAnsi="Arial" w:cs="Arial"/>
          <w:sz w:val="16"/>
          <w:szCs w:val="16"/>
        </w:rPr>
        <w:footnoteRef/>
      </w:r>
      <w:r w:rsidRPr="00A9305B">
        <w:rPr>
          <w:rFonts w:ascii="Arial" w:hAnsi="Arial" w:cs="Arial"/>
          <w:sz w:val="16"/>
          <w:szCs w:val="16"/>
        </w:rPr>
        <w:t xml:space="preserve"> PSR Statutory Guidance, </w:t>
      </w:r>
      <w:r w:rsidR="009C144B">
        <w:rPr>
          <w:rFonts w:ascii="Arial" w:hAnsi="Arial" w:cs="Arial"/>
          <w:sz w:val="16"/>
          <w:szCs w:val="16"/>
        </w:rPr>
        <w:t>February 2024</w:t>
      </w:r>
      <w:r w:rsidR="00910951" w:rsidRPr="00A9305B">
        <w:rPr>
          <w:rFonts w:ascii="Arial" w:hAnsi="Arial" w:cs="Arial"/>
          <w:sz w:val="16"/>
          <w:szCs w:val="16"/>
        </w:rPr>
        <w:t xml:space="preserve">, </w:t>
      </w:r>
      <w:r w:rsidRPr="00A9305B">
        <w:rPr>
          <w:rFonts w:ascii="Arial" w:hAnsi="Arial" w:cs="Arial"/>
          <w:sz w:val="16"/>
          <w:szCs w:val="16"/>
        </w:rPr>
        <w:t>p.40.</w:t>
      </w:r>
    </w:p>
  </w:footnote>
  <w:footnote w:id="51">
    <w:p w14:paraId="0FD22EC0" w14:textId="2CC0440F" w:rsidR="000F632A" w:rsidRPr="00A9305B" w:rsidRDefault="000F632A">
      <w:pPr>
        <w:pStyle w:val="FootnoteText"/>
        <w:rPr>
          <w:rFonts w:ascii="Arial" w:hAnsi="Arial" w:cs="Arial"/>
          <w:sz w:val="16"/>
          <w:szCs w:val="16"/>
        </w:rPr>
      </w:pPr>
      <w:r w:rsidRPr="00A9305B">
        <w:rPr>
          <w:rStyle w:val="FootnoteReference"/>
          <w:rFonts w:ascii="Arial" w:hAnsi="Arial" w:cs="Arial"/>
          <w:sz w:val="16"/>
          <w:szCs w:val="16"/>
        </w:rPr>
        <w:footnoteRef/>
      </w:r>
      <w:r w:rsidRPr="00A9305B">
        <w:rPr>
          <w:rFonts w:ascii="Arial" w:hAnsi="Arial" w:cs="Arial"/>
          <w:sz w:val="16"/>
          <w:szCs w:val="16"/>
        </w:rPr>
        <w:t xml:space="preserve"> </w:t>
      </w:r>
      <w:r w:rsidR="00FE0A25" w:rsidRPr="00A9305B">
        <w:rPr>
          <w:rFonts w:ascii="Arial" w:hAnsi="Arial" w:cs="Arial"/>
          <w:sz w:val="16"/>
          <w:szCs w:val="16"/>
        </w:rPr>
        <w:t xml:space="preserve">HNY ICB, </w:t>
      </w:r>
      <w:r w:rsidR="00F05902" w:rsidRPr="00F05902">
        <w:rPr>
          <w:rFonts w:ascii="Arial" w:hAnsi="Arial" w:cs="Arial"/>
          <w:i/>
          <w:iCs/>
          <w:sz w:val="16"/>
          <w:szCs w:val="16"/>
        </w:rPr>
        <w:t>Contract Notice on Find a Tender Service</w:t>
      </w:r>
      <w:r w:rsidR="00CF4615" w:rsidRPr="00A9305B">
        <w:rPr>
          <w:rFonts w:ascii="Arial" w:hAnsi="Arial" w:cs="Arial"/>
          <w:sz w:val="16"/>
          <w:szCs w:val="16"/>
        </w:rPr>
        <w:t>, 20 September 2024.</w:t>
      </w:r>
    </w:p>
  </w:footnote>
  <w:footnote w:id="52">
    <w:p w14:paraId="7F057F91" w14:textId="2258A3D2" w:rsidR="0097588D" w:rsidRPr="009F6853" w:rsidRDefault="0097588D" w:rsidP="0097588D">
      <w:pPr>
        <w:pStyle w:val="FootnoteText"/>
        <w:rPr>
          <w:rFonts w:ascii="Arial" w:hAnsi="Arial" w:cs="Arial"/>
          <w:sz w:val="16"/>
          <w:szCs w:val="16"/>
        </w:rPr>
      </w:pPr>
      <w:r w:rsidRPr="009F6853">
        <w:rPr>
          <w:rStyle w:val="FootnoteReference"/>
          <w:rFonts w:ascii="Arial" w:hAnsi="Arial" w:cs="Arial"/>
          <w:sz w:val="16"/>
          <w:szCs w:val="16"/>
        </w:rPr>
        <w:footnoteRef/>
      </w:r>
      <w:r w:rsidRPr="009F6853">
        <w:rPr>
          <w:rFonts w:ascii="Arial" w:hAnsi="Arial" w:cs="Arial"/>
          <w:sz w:val="16"/>
          <w:szCs w:val="16"/>
        </w:rPr>
        <w:t xml:space="preserve"> HNY ICB, </w:t>
      </w:r>
      <w:r w:rsidRPr="00D03CB9">
        <w:rPr>
          <w:rFonts w:ascii="Arial" w:hAnsi="Arial" w:cs="Arial"/>
          <w:i/>
          <w:sz w:val="16"/>
          <w:szCs w:val="16"/>
        </w:rPr>
        <w:t>Representations response</w:t>
      </w:r>
      <w:r w:rsidR="002C16C3" w:rsidRPr="00D03CB9">
        <w:rPr>
          <w:rFonts w:ascii="Arial" w:hAnsi="Arial" w:cs="Arial"/>
          <w:i/>
          <w:sz w:val="16"/>
          <w:szCs w:val="16"/>
        </w:rPr>
        <w:t>, further</w:t>
      </w:r>
      <w:r w:rsidRPr="00D03CB9">
        <w:rPr>
          <w:rFonts w:ascii="Arial" w:hAnsi="Arial" w:cs="Arial"/>
          <w:i/>
          <w:sz w:val="16"/>
          <w:szCs w:val="16"/>
        </w:rPr>
        <w:t xml:space="preserve"> letter</w:t>
      </w:r>
      <w:r w:rsidRPr="009F6853">
        <w:rPr>
          <w:rFonts w:ascii="Arial" w:hAnsi="Arial" w:cs="Arial"/>
          <w:sz w:val="16"/>
          <w:szCs w:val="16"/>
        </w:rPr>
        <w:t xml:space="preserve">, </w:t>
      </w:r>
      <w:r w:rsidR="002C16C3">
        <w:rPr>
          <w:rFonts w:ascii="Arial" w:hAnsi="Arial" w:cs="Arial"/>
          <w:sz w:val="16"/>
          <w:szCs w:val="16"/>
        </w:rPr>
        <w:t>7</w:t>
      </w:r>
      <w:r w:rsidRPr="009F6853">
        <w:rPr>
          <w:rFonts w:ascii="Arial" w:hAnsi="Arial" w:cs="Arial"/>
          <w:sz w:val="16"/>
          <w:szCs w:val="16"/>
        </w:rPr>
        <w:t xml:space="preserve"> March 2025.</w:t>
      </w:r>
    </w:p>
  </w:footnote>
  <w:footnote w:id="53">
    <w:p w14:paraId="708F9B61" w14:textId="77777777" w:rsidR="003521A8" w:rsidRPr="009F6853" w:rsidRDefault="003521A8" w:rsidP="003521A8">
      <w:pPr>
        <w:pStyle w:val="FootnoteText"/>
        <w:rPr>
          <w:rFonts w:ascii="Arial" w:hAnsi="Arial" w:cs="Arial"/>
          <w:sz w:val="16"/>
          <w:szCs w:val="16"/>
        </w:rPr>
      </w:pPr>
      <w:r w:rsidRPr="009F6853">
        <w:rPr>
          <w:rStyle w:val="FootnoteReference"/>
          <w:rFonts w:ascii="Arial" w:hAnsi="Arial" w:cs="Arial"/>
          <w:sz w:val="16"/>
          <w:szCs w:val="16"/>
        </w:rPr>
        <w:footnoteRef/>
      </w:r>
      <w:r w:rsidRPr="009F6853">
        <w:rPr>
          <w:rFonts w:ascii="Arial" w:hAnsi="Arial" w:cs="Arial"/>
          <w:sz w:val="16"/>
          <w:szCs w:val="16"/>
        </w:rPr>
        <w:t xml:space="preserve"> HNY ICB, </w:t>
      </w:r>
      <w:r w:rsidRPr="00D03CB9">
        <w:rPr>
          <w:rFonts w:ascii="Arial" w:hAnsi="Arial" w:cs="Arial"/>
          <w:i/>
          <w:sz w:val="16"/>
          <w:szCs w:val="16"/>
        </w:rPr>
        <w:t>Representations response, further letter</w:t>
      </w:r>
      <w:r w:rsidRPr="009F6853">
        <w:rPr>
          <w:rFonts w:ascii="Arial" w:hAnsi="Arial" w:cs="Arial"/>
          <w:sz w:val="16"/>
          <w:szCs w:val="16"/>
        </w:rPr>
        <w:t xml:space="preserve">, </w:t>
      </w:r>
      <w:r>
        <w:rPr>
          <w:rFonts w:ascii="Arial" w:hAnsi="Arial" w:cs="Arial"/>
          <w:sz w:val="16"/>
          <w:szCs w:val="16"/>
        </w:rPr>
        <w:t>7</w:t>
      </w:r>
      <w:r w:rsidRPr="009F6853">
        <w:rPr>
          <w:rFonts w:ascii="Arial" w:hAnsi="Arial" w:cs="Arial"/>
          <w:sz w:val="16"/>
          <w:szCs w:val="16"/>
        </w:rPr>
        <w:t xml:space="preserve"> March 2025.</w:t>
      </w:r>
    </w:p>
  </w:footnote>
  <w:footnote w:id="54">
    <w:p w14:paraId="3ED67D66" w14:textId="77777777" w:rsidR="000D675C" w:rsidRPr="009F6853" w:rsidRDefault="000D675C" w:rsidP="000D675C">
      <w:pPr>
        <w:pStyle w:val="FootnoteText"/>
        <w:rPr>
          <w:rFonts w:ascii="Arial" w:hAnsi="Arial" w:cs="Arial"/>
          <w:sz w:val="16"/>
          <w:szCs w:val="16"/>
        </w:rPr>
      </w:pPr>
      <w:r w:rsidRPr="009F6853">
        <w:rPr>
          <w:rStyle w:val="FootnoteReference"/>
          <w:rFonts w:ascii="Arial" w:hAnsi="Arial" w:cs="Arial"/>
          <w:sz w:val="16"/>
          <w:szCs w:val="16"/>
        </w:rPr>
        <w:footnoteRef/>
      </w:r>
      <w:r w:rsidRPr="009F6853">
        <w:rPr>
          <w:rFonts w:ascii="Arial" w:hAnsi="Arial" w:cs="Arial"/>
          <w:sz w:val="16"/>
          <w:szCs w:val="16"/>
        </w:rPr>
        <w:t xml:space="preserve"> HNY ICB, </w:t>
      </w:r>
      <w:r w:rsidRPr="00D03CB9">
        <w:rPr>
          <w:rFonts w:ascii="Arial" w:hAnsi="Arial" w:cs="Arial"/>
          <w:i/>
          <w:sz w:val="16"/>
          <w:szCs w:val="16"/>
        </w:rPr>
        <w:t>Representations response, further letter</w:t>
      </w:r>
      <w:r w:rsidRPr="009F6853">
        <w:rPr>
          <w:rFonts w:ascii="Arial" w:hAnsi="Arial" w:cs="Arial"/>
          <w:sz w:val="16"/>
          <w:szCs w:val="16"/>
        </w:rPr>
        <w:t xml:space="preserve">, </w:t>
      </w:r>
      <w:r>
        <w:rPr>
          <w:rFonts w:ascii="Arial" w:hAnsi="Arial" w:cs="Arial"/>
          <w:sz w:val="16"/>
          <w:szCs w:val="16"/>
        </w:rPr>
        <w:t>7</w:t>
      </w:r>
      <w:r w:rsidRPr="009F6853">
        <w:rPr>
          <w:rFonts w:ascii="Arial" w:hAnsi="Arial" w:cs="Arial"/>
          <w:sz w:val="16"/>
          <w:szCs w:val="16"/>
        </w:rPr>
        <w:t xml:space="preserve"> March 2025.</w:t>
      </w:r>
    </w:p>
  </w:footnote>
  <w:footnote w:id="55">
    <w:p w14:paraId="098BE8BF" w14:textId="77777777" w:rsidR="00277899" w:rsidRPr="009D42AC" w:rsidRDefault="00277899" w:rsidP="00277899">
      <w:pPr>
        <w:pStyle w:val="FootnoteText"/>
        <w:rPr>
          <w:rFonts w:ascii="Arial" w:hAnsi="Arial" w:cs="Arial"/>
          <w:sz w:val="16"/>
          <w:szCs w:val="16"/>
        </w:rPr>
      </w:pPr>
      <w:r w:rsidRPr="009D42AC">
        <w:rPr>
          <w:rStyle w:val="FootnoteReference"/>
          <w:rFonts w:ascii="Arial" w:hAnsi="Arial" w:cs="Arial"/>
          <w:sz w:val="16"/>
          <w:szCs w:val="16"/>
        </w:rPr>
        <w:footnoteRef/>
      </w:r>
      <w:r w:rsidRPr="009D42AC">
        <w:rPr>
          <w:rFonts w:ascii="Arial" w:hAnsi="Arial" w:cs="Arial"/>
          <w:sz w:val="16"/>
          <w:szCs w:val="16"/>
        </w:rPr>
        <w:t xml:space="preserve"> The Panel distinguishes here between a corrigendum that contains substantive new information and a corrigendum that only contains a minor correction of an earlier notice.</w:t>
      </w:r>
    </w:p>
  </w:footnote>
  <w:footnote w:id="56">
    <w:p w14:paraId="5E7459C7" w14:textId="77777777" w:rsidR="008D7FFA" w:rsidRPr="00E03AD3" w:rsidRDefault="008D7FFA" w:rsidP="008D7FFA">
      <w:pPr>
        <w:pStyle w:val="FootnoteText"/>
        <w:rPr>
          <w:rFonts w:ascii="Arial" w:hAnsi="Arial" w:cs="Arial"/>
          <w:sz w:val="16"/>
          <w:szCs w:val="16"/>
        </w:rPr>
      </w:pPr>
      <w:r w:rsidRPr="00E03AD3">
        <w:rPr>
          <w:rStyle w:val="FootnoteReference"/>
          <w:rFonts w:ascii="Arial" w:hAnsi="Arial" w:cs="Arial"/>
          <w:sz w:val="16"/>
          <w:szCs w:val="16"/>
        </w:rPr>
        <w:footnoteRef/>
      </w:r>
      <w:r w:rsidRPr="00E03AD3">
        <w:rPr>
          <w:rFonts w:ascii="Arial" w:hAnsi="Arial" w:cs="Arial"/>
          <w:sz w:val="16"/>
          <w:szCs w:val="16"/>
        </w:rPr>
        <w:t xml:space="preserve"> HNY ICB, </w:t>
      </w:r>
      <w:r w:rsidRPr="00E03AD3">
        <w:rPr>
          <w:rFonts w:ascii="Arial" w:hAnsi="Arial" w:cs="Arial"/>
          <w:i/>
          <w:iCs/>
          <w:sz w:val="16"/>
          <w:szCs w:val="16"/>
        </w:rPr>
        <w:t>Representations response letter</w:t>
      </w:r>
      <w:r w:rsidRPr="00E03AD3">
        <w:rPr>
          <w:rFonts w:ascii="Arial" w:hAnsi="Arial" w:cs="Arial"/>
          <w:sz w:val="16"/>
          <w:szCs w:val="16"/>
        </w:rPr>
        <w:t>, 4 March 2025.</w:t>
      </w:r>
    </w:p>
  </w:footnote>
  <w:footnote w:id="57">
    <w:p w14:paraId="2C78DDEB" w14:textId="77777777" w:rsidR="0018784F" w:rsidRPr="00DA1A1B" w:rsidRDefault="0018784F" w:rsidP="0018784F">
      <w:pPr>
        <w:pStyle w:val="FootnoteText"/>
        <w:rPr>
          <w:rFonts w:ascii="Arial" w:hAnsi="Arial" w:cs="Arial"/>
          <w:sz w:val="16"/>
          <w:szCs w:val="16"/>
        </w:rPr>
      </w:pPr>
      <w:r w:rsidRPr="00DA1A1B">
        <w:rPr>
          <w:rStyle w:val="FootnoteReference"/>
          <w:rFonts w:ascii="Arial" w:hAnsi="Arial" w:cs="Arial"/>
          <w:sz w:val="16"/>
          <w:szCs w:val="16"/>
        </w:rPr>
        <w:footnoteRef/>
      </w:r>
      <w:r w:rsidRPr="00DA1A1B">
        <w:rPr>
          <w:rFonts w:ascii="Arial" w:hAnsi="Arial" w:cs="Arial"/>
          <w:sz w:val="16"/>
          <w:szCs w:val="16"/>
        </w:rPr>
        <w:t xml:space="preserve"> Clarendon, </w:t>
      </w:r>
      <w:r w:rsidRPr="00DA1A1B">
        <w:rPr>
          <w:rFonts w:ascii="Arial" w:hAnsi="Arial" w:cs="Arial"/>
          <w:i/>
          <w:sz w:val="16"/>
          <w:szCs w:val="16"/>
        </w:rPr>
        <w:t>Letter to HNY ICB</w:t>
      </w:r>
      <w:r w:rsidRPr="00DA1A1B">
        <w:rPr>
          <w:rFonts w:ascii="Arial" w:hAnsi="Arial" w:cs="Arial"/>
          <w:sz w:val="16"/>
          <w:szCs w:val="16"/>
        </w:rPr>
        <w:t>, 5 March 2025.</w:t>
      </w:r>
    </w:p>
  </w:footnote>
  <w:footnote w:id="58">
    <w:p w14:paraId="010D532F" w14:textId="77777777" w:rsidR="008D0C5E" w:rsidRPr="00E21D5A" w:rsidRDefault="008D0C5E" w:rsidP="008D0C5E">
      <w:pPr>
        <w:pStyle w:val="FootnoteText"/>
        <w:rPr>
          <w:rFonts w:ascii="Arial" w:hAnsi="Arial" w:cs="Arial"/>
          <w:sz w:val="16"/>
          <w:szCs w:val="16"/>
        </w:rPr>
      </w:pPr>
      <w:r w:rsidRPr="00E21D5A">
        <w:rPr>
          <w:rStyle w:val="FootnoteReference"/>
          <w:rFonts w:ascii="Arial" w:hAnsi="Arial" w:cs="Arial"/>
          <w:sz w:val="16"/>
          <w:szCs w:val="16"/>
        </w:rPr>
        <w:footnoteRef/>
      </w:r>
      <w:r w:rsidRPr="00E21D5A">
        <w:rPr>
          <w:rFonts w:ascii="Arial" w:hAnsi="Arial" w:cs="Arial"/>
          <w:sz w:val="16"/>
          <w:szCs w:val="16"/>
        </w:rPr>
        <w:t xml:space="preserve"> HNY ICB</w:t>
      </w:r>
      <w:r w:rsidRPr="00E21D5A">
        <w:rPr>
          <w:rFonts w:ascii="Arial" w:hAnsi="Arial" w:cs="Arial"/>
          <w:i/>
          <w:iCs/>
          <w:sz w:val="16"/>
          <w:szCs w:val="16"/>
        </w:rPr>
        <w:t>, Letter to Clarendon</w:t>
      </w:r>
      <w:r w:rsidRPr="00E21D5A">
        <w:rPr>
          <w:rFonts w:ascii="Arial" w:hAnsi="Arial" w:cs="Arial"/>
          <w:sz w:val="16"/>
          <w:szCs w:val="16"/>
        </w:rPr>
        <w:t>, 7 March 2025.</w:t>
      </w:r>
    </w:p>
  </w:footnote>
  <w:footnote w:id="59">
    <w:p w14:paraId="0CAE7603" w14:textId="07FB8044" w:rsidR="00AD031F" w:rsidRPr="003A626A" w:rsidRDefault="00AD031F">
      <w:pPr>
        <w:pStyle w:val="FootnoteText"/>
        <w:rPr>
          <w:rFonts w:ascii="Arial" w:hAnsi="Arial" w:cs="Arial"/>
          <w:sz w:val="16"/>
          <w:szCs w:val="16"/>
        </w:rPr>
      </w:pPr>
      <w:r w:rsidRPr="003A626A">
        <w:rPr>
          <w:rStyle w:val="FootnoteReference"/>
          <w:rFonts w:ascii="Arial" w:hAnsi="Arial" w:cs="Arial"/>
          <w:sz w:val="16"/>
          <w:szCs w:val="16"/>
        </w:rPr>
        <w:footnoteRef/>
      </w:r>
      <w:r w:rsidRPr="003A626A">
        <w:rPr>
          <w:rFonts w:ascii="Arial" w:hAnsi="Arial" w:cs="Arial"/>
          <w:sz w:val="16"/>
          <w:szCs w:val="16"/>
        </w:rPr>
        <w:t xml:space="preserve"> </w:t>
      </w:r>
      <w:r w:rsidRPr="00200E05">
        <w:rPr>
          <w:rFonts w:ascii="Arial" w:hAnsi="Arial" w:cs="Arial"/>
          <w:sz w:val="16"/>
          <w:szCs w:val="16"/>
        </w:rPr>
        <w:t xml:space="preserve">HNY ICB, </w:t>
      </w:r>
      <w:r w:rsidRPr="00200E05">
        <w:rPr>
          <w:rFonts w:ascii="Arial" w:hAnsi="Arial" w:cs="Arial"/>
          <w:i/>
          <w:iCs/>
          <w:sz w:val="16"/>
          <w:szCs w:val="16"/>
        </w:rPr>
        <w:t>IMOS Presentation to the Panel</w:t>
      </w:r>
      <w:r w:rsidRPr="00200E05">
        <w:rPr>
          <w:rFonts w:ascii="Arial" w:hAnsi="Arial" w:cs="Arial"/>
          <w:sz w:val="16"/>
          <w:szCs w:val="16"/>
        </w:rPr>
        <w:t>, 11 April 2025.</w:t>
      </w:r>
    </w:p>
  </w:footnote>
  <w:footnote w:id="60">
    <w:p w14:paraId="6F84FE10" w14:textId="484865BC" w:rsidR="00FF5137" w:rsidRPr="00DA1A1B" w:rsidRDefault="00FF5137">
      <w:pPr>
        <w:pStyle w:val="FootnoteText"/>
        <w:rPr>
          <w:rFonts w:ascii="Arial" w:hAnsi="Arial" w:cs="Arial"/>
          <w:sz w:val="16"/>
          <w:szCs w:val="16"/>
        </w:rPr>
      </w:pPr>
      <w:r w:rsidRPr="00DA1A1B">
        <w:rPr>
          <w:rStyle w:val="FootnoteReference"/>
          <w:rFonts w:ascii="Arial" w:hAnsi="Arial" w:cs="Arial"/>
          <w:sz w:val="16"/>
          <w:szCs w:val="16"/>
        </w:rPr>
        <w:footnoteRef/>
      </w:r>
      <w:r w:rsidRPr="00DA1A1B">
        <w:rPr>
          <w:rFonts w:ascii="Arial" w:hAnsi="Arial" w:cs="Arial"/>
          <w:sz w:val="16"/>
          <w:szCs w:val="16"/>
        </w:rPr>
        <w:t xml:space="preserve"> </w:t>
      </w:r>
      <w:r w:rsidR="006D693F" w:rsidRPr="00DA1A1B">
        <w:rPr>
          <w:rFonts w:ascii="Arial" w:hAnsi="Arial" w:cs="Arial"/>
          <w:sz w:val="16"/>
          <w:szCs w:val="16"/>
        </w:rPr>
        <w:t xml:space="preserve">HNY ICB, </w:t>
      </w:r>
      <w:r w:rsidR="0059442A" w:rsidRPr="00DA1A1B">
        <w:rPr>
          <w:rFonts w:ascii="Arial" w:hAnsi="Arial" w:cs="Arial"/>
          <w:i/>
          <w:iCs/>
          <w:sz w:val="16"/>
          <w:szCs w:val="16"/>
        </w:rPr>
        <w:t>IMOS Presentation</w:t>
      </w:r>
      <w:r w:rsidR="004D789D" w:rsidRPr="00DA1A1B">
        <w:rPr>
          <w:rFonts w:ascii="Arial" w:hAnsi="Arial" w:cs="Arial"/>
          <w:i/>
          <w:iCs/>
          <w:sz w:val="16"/>
          <w:szCs w:val="16"/>
        </w:rPr>
        <w:t xml:space="preserve"> to the Panel</w:t>
      </w:r>
      <w:r w:rsidR="004D789D" w:rsidRPr="00DA1A1B">
        <w:rPr>
          <w:rFonts w:ascii="Arial" w:hAnsi="Arial" w:cs="Arial"/>
          <w:sz w:val="16"/>
          <w:szCs w:val="16"/>
        </w:rPr>
        <w:t xml:space="preserve">, </w:t>
      </w:r>
      <w:r w:rsidR="005300F5" w:rsidRPr="00DA1A1B">
        <w:rPr>
          <w:rFonts w:ascii="Arial" w:hAnsi="Arial" w:cs="Arial"/>
          <w:sz w:val="16"/>
          <w:szCs w:val="16"/>
        </w:rPr>
        <w:t>11 April 2025.</w:t>
      </w:r>
    </w:p>
  </w:footnote>
  <w:footnote w:id="61">
    <w:p w14:paraId="0BF112A5" w14:textId="78A91FB6" w:rsidR="00E82041" w:rsidRPr="003A626A" w:rsidRDefault="00E82041">
      <w:pPr>
        <w:pStyle w:val="FootnoteText"/>
        <w:rPr>
          <w:rFonts w:ascii="Arial" w:hAnsi="Arial" w:cs="Arial"/>
          <w:sz w:val="16"/>
          <w:szCs w:val="16"/>
        </w:rPr>
      </w:pPr>
      <w:r w:rsidRPr="003A626A">
        <w:rPr>
          <w:rStyle w:val="FootnoteReference"/>
          <w:rFonts w:ascii="Arial" w:hAnsi="Arial" w:cs="Arial"/>
          <w:sz w:val="16"/>
          <w:szCs w:val="16"/>
        </w:rPr>
        <w:footnoteRef/>
      </w:r>
      <w:r w:rsidRPr="003A626A">
        <w:rPr>
          <w:rFonts w:ascii="Arial" w:hAnsi="Arial" w:cs="Arial"/>
          <w:sz w:val="16"/>
          <w:szCs w:val="16"/>
        </w:rPr>
        <w:t xml:space="preserve"> </w:t>
      </w:r>
      <w:r w:rsidR="0086086B" w:rsidRPr="003A626A">
        <w:rPr>
          <w:rFonts w:ascii="Arial" w:hAnsi="Arial" w:cs="Arial"/>
          <w:sz w:val="16"/>
          <w:szCs w:val="16"/>
        </w:rPr>
        <w:t xml:space="preserve">HNY ICB, </w:t>
      </w:r>
      <w:r w:rsidR="0086086B" w:rsidRPr="00D03CB9">
        <w:rPr>
          <w:rFonts w:ascii="Arial" w:hAnsi="Arial" w:cs="Arial"/>
          <w:i/>
          <w:sz w:val="16"/>
          <w:szCs w:val="16"/>
        </w:rPr>
        <w:t>Representations Log</w:t>
      </w:r>
      <w:r w:rsidR="00524A04" w:rsidRPr="00D03CB9">
        <w:rPr>
          <w:rFonts w:ascii="Arial" w:hAnsi="Arial" w:cs="Arial"/>
          <w:i/>
          <w:sz w:val="16"/>
          <w:szCs w:val="16"/>
        </w:rPr>
        <w:t>- NHSE1023 – Clarendon</w:t>
      </w:r>
      <w:r w:rsidR="00524A04" w:rsidRPr="003A626A">
        <w:rPr>
          <w:rFonts w:ascii="Arial" w:hAnsi="Arial" w:cs="Arial"/>
          <w:sz w:val="16"/>
          <w:szCs w:val="16"/>
        </w:rPr>
        <w:t>,</w:t>
      </w:r>
      <w:r w:rsidR="0039640E">
        <w:rPr>
          <w:rFonts w:ascii="Arial" w:hAnsi="Arial" w:cs="Arial"/>
          <w:sz w:val="16"/>
          <w:szCs w:val="16"/>
        </w:rPr>
        <w:t xml:space="preserve"> March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BE9"/>
    <w:multiLevelType w:val="hybridMultilevel"/>
    <w:tmpl w:val="350208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9094B98"/>
    <w:multiLevelType w:val="multilevel"/>
    <w:tmpl w:val="AF7474A2"/>
    <w:lvl w:ilvl="0">
      <w:start w:val="11"/>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5158B3"/>
    <w:multiLevelType w:val="multilevel"/>
    <w:tmpl w:val="36ACE0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B96D2C"/>
    <w:multiLevelType w:val="hybridMultilevel"/>
    <w:tmpl w:val="1544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F7212"/>
    <w:multiLevelType w:val="hybridMultilevel"/>
    <w:tmpl w:val="B0C4C45C"/>
    <w:lvl w:ilvl="0" w:tplc="08090019">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57E11E1"/>
    <w:multiLevelType w:val="multilevel"/>
    <w:tmpl w:val="364E9508"/>
    <w:lvl w:ilvl="0">
      <w:start w:val="1"/>
      <w:numFmt w:val="decimal"/>
      <w:lvlText w:val="%1."/>
      <w:lvlJc w:val="left"/>
      <w:pPr>
        <w:ind w:left="1920" w:hanging="360"/>
      </w:pPr>
      <w:rPr>
        <w:rFonts w:hint="default"/>
        <w:b/>
        <w:bCs/>
        <w:color w:val="auto"/>
      </w:rPr>
    </w:lvl>
    <w:lvl w:ilvl="1">
      <w:start w:val="1"/>
      <w:numFmt w:val="decimal"/>
      <w:isLgl/>
      <w:lvlText w:val="%1.%2"/>
      <w:lvlJc w:val="left"/>
      <w:pPr>
        <w:ind w:left="1682"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15:restartNumberingAfterBreak="0">
    <w:nsid w:val="29B71E71"/>
    <w:multiLevelType w:val="hybridMultilevel"/>
    <w:tmpl w:val="CCC8BE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D566FE"/>
    <w:multiLevelType w:val="hybridMultilevel"/>
    <w:tmpl w:val="5EAC670A"/>
    <w:lvl w:ilvl="0" w:tplc="0809000F">
      <w:start w:val="1"/>
      <w:numFmt w:val="decimal"/>
      <w:lvlText w:val="%1."/>
      <w:lvlJc w:val="left"/>
      <w:pPr>
        <w:ind w:left="928"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416AE23A">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59631B"/>
    <w:multiLevelType w:val="hybridMultilevel"/>
    <w:tmpl w:val="F2EAA450"/>
    <w:lvl w:ilvl="0" w:tplc="FFFFFFFF">
      <w:start w:val="1"/>
      <w:numFmt w:val="decimal"/>
      <w:lvlText w:val="%1."/>
      <w:lvlJc w:val="left"/>
      <w:pPr>
        <w:ind w:left="1647" w:hanging="360"/>
      </w:pPr>
      <w:rPr>
        <w:rFonts w:hint="default"/>
      </w:rPr>
    </w:lvl>
    <w:lvl w:ilvl="1" w:tplc="FFFFFFFF">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9" w15:restartNumberingAfterBreak="0">
    <w:nsid w:val="38111E57"/>
    <w:multiLevelType w:val="multilevel"/>
    <w:tmpl w:val="739A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BA56F7"/>
    <w:multiLevelType w:val="hybridMultilevel"/>
    <w:tmpl w:val="0EEE1C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9FA3E03"/>
    <w:multiLevelType w:val="hybridMultilevel"/>
    <w:tmpl w:val="CA721704"/>
    <w:lvl w:ilvl="0" w:tplc="82C0748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 w15:restartNumberingAfterBreak="0">
    <w:nsid w:val="513C2611"/>
    <w:multiLevelType w:val="multilevel"/>
    <w:tmpl w:val="4DC61D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8F1534E"/>
    <w:multiLevelType w:val="hybridMultilevel"/>
    <w:tmpl w:val="480EA8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A145E0B"/>
    <w:multiLevelType w:val="hybridMultilevel"/>
    <w:tmpl w:val="33161BC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6EC96E20"/>
    <w:multiLevelType w:val="hybridMultilevel"/>
    <w:tmpl w:val="F2EAA450"/>
    <w:lvl w:ilvl="0" w:tplc="07CEDA6C">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6" w15:restartNumberingAfterBreak="0">
    <w:nsid w:val="7BEB410A"/>
    <w:multiLevelType w:val="hybridMultilevel"/>
    <w:tmpl w:val="D1761C8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810948165">
    <w:abstractNumId w:val="5"/>
  </w:num>
  <w:num w:numId="2" w16cid:durableId="1711148116">
    <w:abstractNumId w:val="7"/>
  </w:num>
  <w:num w:numId="3" w16cid:durableId="528419737">
    <w:abstractNumId w:val="3"/>
  </w:num>
  <w:num w:numId="4" w16cid:durableId="875046486">
    <w:abstractNumId w:val="14"/>
  </w:num>
  <w:num w:numId="5" w16cid:durableId="1538663556">
    <w:abstractNumId w:val="0"/>
  </w:num>
  <w:num w:numId="6" w16cid:durableId="335886005">
    <w:abstractNumId w:val="16"/>
  </w:num>
  <w:num w:numId="7" w16cid:durableId="1417749179">
    <w:abstractNumId w:val="4"/>
  </w:num>
  <w:num w:numId="8" w16cid:durableId="231815079">
    <w:abstractNumId w:val="10"/>
  </w:num>
  <w:num w:numId="9" w16cid:durableId="468129172">
    <w:abstractNumId w:val="12"/>
  </w:num>
  <w:num w:numId="10" w16cid:durableId="1152990128">
    <w:abstractNumId w:val="2"/>
  </w:num>
  <w:num w:numId="11" w16cid:durableId="736241067">
    <w:abstractNumId w:val="13"/>
  </w:num>
  <w:num w:numId="12" w16cid:durableId="585382732">
    <w:abstractNumId w:val="9"/>
  </w:num>
  <w:num w:numId="13" w16cid:durableId="1615021711">
    <w:abstractNumId w:val="6"/>
  </w:num>
  <w:num w:numId="14" w16cid:durableId="32465791">
    <w:abstractNumId w:val="11"/>
  </w:num>
  <w:num w:numId="15" w16cid:durableId="1351834549">
    <w:abstractNumId w:val="15"/>
  </w:num>
  <w:num w:numId="16" w16cid:durableId="1223711376">
    <w:abstractNumId w:val="8"/>
  </w:num>
  <w:num w:numId="17" w16cid:durableId="16630051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wHBZvFm0tQtrf3cSAihlCcHo5lHvdpTlyQieUlLQ8cibeXnKiQDDF9XiWpFc7lPkHqIbuLbcA/xKHJPNB8VUw==" w:salt="SZ3d5JLbsHIzV7ID2HHJk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5"/>
    <w:rsid w:val="0000004C"/>
    <w:rsid w:val="000003E3"/>
    <w:rsid w:val="000005A3"/>
    <w:rsid w:val="0000063B"/>
    <w:rsid w:val="0000067C"/>
    <w:rsid w:val="00000B87"/>
    <w:rsid w:val="00000D94"/>
    <w:rsid w:val="00000E32"/>
    <w:rsid w:val="00001060"/>
    <w:rsid w:val="000010FB"/>
    <w:rsid w:val="00001176"/>
    <w:rsid w:val="00001469"/>
    <w:rsid w:val="00001549"/>
    <w:rsid w:val="0000158F"/>
    <w:rsid w:val="00001853"/>
    <w:rsid w:val="000018FD"/>
    <w:rsid w:val="00001958"/>
    <w:rsid w:val="00001ABD"/>
    <w:rsid w:val="00001AD3"/>
    <w:rsid w:val="00001B11"/>
    <w:rsid w:val="00001E5E"/>
    <w:rsid w:val="000020B8"/>
    <w:rsid w:val="000021C9"/>
    <w:rsid w:val="00002340"/>
    <w:rsid w:val="0000239D"/>
    <w:rsid w:val="0000240E"/>
    <w:rsid w:val="0000262F"/>
    <w:rsid w:val="00002704"/>
    <w:rsid w:val="000028BC"/>
    <w:rsid w:val="00002BA3"/>
    <w:rsid w:val="00002D1E"/>
    <w:rsid w:val="00002D71"/>
    <w:rsid w:val="00002DC0"/>
    <w:rsid w:val="00002E75"/>
    <w:rsid w:val="000031BD"/>
    <w:rsid w:val="0000349C"/>
    <w:rsid w:val="000038E8"/>
    <w:rsid w:val="00003B63"/>
    <w:rsid w:val="00003B75"/>
    <w:rsid w:val="00003BDE"/>
    <w:rsid w:val="00003EFC"/>
    <w:rsid w:val="00003F58"/>
    <w:rsid w:val="00004213"/>
    <w:rsid w:val="000042F8"/>
    <w:rsid w:val="000044F5"/>
    <w:rsid w:val="0000458E"/>
    <w:rsid w:val="000045D9"/>
    <w:rsid w:val="00004650"/>
    <w:rsid w:val="0000474B"/>
    <w:rsid w:val="000047ED"/>
    <w:rsid w:val="00004870"/>
    <w:rsid w:val="00004977"/>
    <w:rsid w:val="000049F9"/>
    <w:rsid w:val="00004DD9"/>
    <w:rsid w:val="00004F81"/>
    <w:rsid w:val="00005061"/>
    <w:rsid w:val="000052E0"/>
    <w:rsid w:val="0000562C"/>
    <w:rsid w:val="000056B9"/>
    <w:rsid w:val="000057A3"/>
    <w:rsid w:val="000058C7"/>
    <w:rsid w:val="000059FB"/>
    <w:rsid w:val="00005A74"/>
    <w:rsid w:val="00005C49"/>
    <w:rsid w:val="00005C55"/>
    <w:rsid w:val="00005CFE"/>
    <w:rsid w:val="00005F41"/>
    <w:rsid w:val="00006126"/>
    <w:rsid w:val="00006425"/>
    <w:rsid w:val="0000644B"/>
    <w:rsid w:val="00006588"/>
    <w:rsid w:val="00006668"/>
    <w:rsid w:val="0000694E"/>
    <w:rsid w:val="00006A9A"/>
    <w:rsid w:val="00006C1C"/>
    <w:rsid w:val="00006CD9"/>
    <w:rsid w:val="00006CFB"/>
    <w:rsid w:val="00006F0F"/>
    <w:rsid w:val="000074E2"/>
    <w:rsid w:val="0000756B"/>
    <w:rsid w:val="000075AE"/>
    <w:rsid w:val="000075D8"/>
    <w:rsid w:val="000078C5"/>
    <w:rsid w:val="00007ABD"/>
    <w:rsid w:val="00007AD9"/>
    <w:rsid w:val="00007C68"/>
    <w:rsid w:val="00007D97"/>
    <w:rsid w:val="00007E07"/>
    <w:rsid w:val="0001004E"/>
    <w:rsid w:val="0001024C"/>
    <w:rsid w:val="000107BC"/>
    <w:rsid w:val="00010A86"/>
    <w:rsid w:val="00010ADA"/>
    <w:rsid w:val="00010C92"/>
    <w:rsid w:val="00010D78"/>
    <w:rsid w:val="00011981"/>
    <w:rsid w:val="00011EA8"/>
    <w:rsid w:val="0001235A"/>
    <w:rsid w:val="00012549"/>
    <w:rsid w:val="000126AD"/>
    <w:rsid w:val="0001271B"/>
    <w:rsid w:val="00012720"/>
    <w:rsid w:val="00012845"/>
    <w:rsid w:val="0001292F"/>
    <w:rsid w:val="0001294B"/>
    <w:rsid w:val="00012A45"/>
    <w:rsid w:val="00012D48"/>
    <w:rsid w:val="00012F46"/>
    <w:rsid w:val="00012F66"/>
    <w:rsid w:val="0001318E"/>
    <w:rsid w:val="00013520"/>
    <w:rsid w:val="0001378D"/>
    <w:rsid w:val="00013AFB"/>
    <w:rsid w:val="00013C86"/>
    <w:rsid w:val="0001452C"/>
    <w:rsid w:val="00014A34"/>
    <w:rsid w:val="00014AF8"/>
    <w:rsid w:val="00014EFA"/>
    <w:rsid w:val="000150A8"/>
    <w:rsid w:val="00015132"/>
    <w:rsid w:val="00015169"/>
    <w:rsid w:val="000154E3"/>
    <w:rsid w:val="00015548"/>
    <w:rsid w:val="000158C8"/>
    <w:rsid w:val="00015D9B"/>
    <w:rsid w:val="00015E87"/>
    <w:rsid w:val="00015F31"/>
    <w:rsid w:val="00015F92"/>
    <w:rsid w:val="00016349"/>
    <w:rsid w:val="000166AB"/>
    <w:rsid w:val="000166D5"/>
    <w:rsid w:val="00016723"/>
    <w:rsid w:val="00016750"/>
    <w:rsid w:val="000167D7"/>
    <w:rsid w:val="000167F6"/>
    <w:rsid w:val="00016B09"/>
    <w:rsid w:val="00016B9C"/>
    <w:rsid w:val="00017016"/>
    <w:rsid w:val="000176A9"/>
    <w:rsid w:val="0001771C"/>
    <w:rsid w:val="0001780C"/>
    <w:rsid w:val="00017D03"/>
    <w:rsid w:val="00017D84"/>
    <w:rsid w:val="00017FEF"/>
    <w:rsid w:val="00020030"/>
    <w:rsid w:val="0002009C"/>
    <w:rsid w:val="00020315"/>
    <w:rsid w:val="000208DC"/>
    <w:rsid w:val="00020A02"/>
    <w:rsid w:val="00020A14"/>
    <w:rsid w:val="00020BF9"/>
    <w:rsid w:val="00020E09"/>
    <w:rsid w:val="00020E6D"/>
    <w:rsid w:val="00020E8B"/>
    <w:rsid w:val="00020E8C"/>
    <w:rsid w:val="0002116E"/>
    <w:rsid w:val="000211FA"/>
    <w:rsid w:val="000212B4"/>
    <w:rsid w:val="000212F9"/>
    <w:rsid w:val="000216CE"/>
    <w:rsid w:val="000216EC"/>
    <w:rsid w:val="00021751"/>
    <w:rsid w:val="00021878"/>
    <w:rsid w:val="00021B3F"/>
    <w:rsid w:val="00021B55"/>
    <w:rsid w:val="00021DAC"/>
    <w:rsid w:val="00022426"/>
    <w:rsid w:val="000224A9"/>
    <w:rsid w:val="00022558"/>
    <w:rsid w:val="00022584"/>
    <w:rsid w:val="0002260A"/>
    <w:rsid w:val="000228BE"/>
    <w:rsid w:val="000228DB"/>
    <w:rsid w:val="000228F2"/>
    <w:rsid w:val="0002296F"/>
    <w:rsid w:val="00022BFE"/>
    <w:rsid w:val="00022C1C"/>
    <w:rsid w:val="00022C38"/>
    <w:rsid w:val="00022EC7"/>
    <w:rsid w:val="00022EC8"/>
    <w:rsid w:val="000230BF"/>
    <w:rsid w:val="000236A6"/>
    <w:rsid w:val="00023916"/>
    <w:rsid w:val="000239A3"/>
    <w:rsid w:val="00023B8A"/>
    <w:rsid w:val="00023D73"/>
    <w:rsid w:val="00023D86"/>
    <w:rsid w:val="00024047"/>
    <w:rsid w:val="0002430B"/>
    <w:rsid w:val="00024523"/>
    <w:rsid w:val="00024651"/>
    <w:rsid w:val="000249BD"/>
    <w:rsid w:val="000249F7"/>
    <w:rsid w:val="00024E1A"/>
    <w:rsid w:val="00024FA2"/>
    <w:rsid w:val="0002502E"/>
    <w:rsid w:val="000251ED"/>
    <w:rsid w:val="00025269"/>
    <w:rsid w:val="00025281"/>
    <w:rsid w:val="00025330"/>
    <w:rsid w:val="0002551E"/>
    <w:rsid w:val="000257AC"/>
    <w:rsid w:val="000257E9"/>
    <w:rsid w:val="00025803"/>
    <w:rsid w:val="00025844"/>
    <w:rsid w:val="00026031"/>
    <w:rsid w:val="0002606C"/>
    <w:rsid w:val="00026121"/>
    <w:rsid w:val="000261E5"/>
    <w:rsid w:val="0002625F"/>
    <w:rsid w:val="000262C5"/>
    <w:rsid w:val="00026482"/>
    <w:rsid w:val="000264E5"/>
    <w:rsid w:val="00026556"/>
    <w:rsid w:val="000266A4"/>
    <w:rsid w:val="00026887"/>
    <w:rsid w:val="000268A0"/>
    <w:rsid w:val="0002697F"/>
    <w:rsid w:val="00026A48"/>
    <w:rsid w:val="00026B1D"/>
    <w:rsid w:val="00026C49"/>
    <w:rsid w:val="00026D8E"/>
    <w:rsid w:val="00026DAF"/>
    <w:rsid w:val="00026E5F"/>
    <w:rsid w:val="000273B8"/>
    <w:rsid w:val="00027552"/>
    <w:rsid w:val="000277A8"/>
    <w:rsid w:val="0002788B"/>
    <w:rsid w:val="00027CCC"/>
    <w:rsid w:val="00027CE7"/>
    <w:rsid w:val="00027D0D"/>
    <w:rsid w:val="0003029E"/>
    <w:rsid w:val="00030513"/>
    <w:rsid w:val="00030816"/>
    <w:rsid w:val="00030833"/>
    <w:rsid w:val="00030A83"/>
    <w:rsid w:val="00030B12"/>
    <w:rsid w:val="00030C3B"/>
    <w:rsid w:val="00030C67"/>
    <w:rsid w:val="00030D4F"/>
    <w:rsid w:val="00030D6D"/>
    <w:rsid w:val="00030E6C"/>
    <w:rsid w:val="00030F4E"/>
    <w:rsid w:val="0003138B"/>
    <w:rsid w:val="00031B6F"/>
    <w:rsid w:val="00031E1C"/>
    <w:rsid w:val="00031E2B"/>
    <w:rsid w:val="000320DF"/>
    <w:rsid w:val="00032337"/>
    <w:rsid w:val="000326B9"/>
    <w:rsid w:val="00032761"/>
    <w:rsid w:val="000329F2"/>
    <w:rsid w:val="00032C50"/>
    <w:rsid w:val="00032D66"/>
    <w:rsid w:val="00032EE7"/>
    <w:rsid w:val="00032FF6"/>
    <w:rsid w:val="000330F3"/>
    <w:rsid w:val="0003353D"/>
    <w:rsid w:val="0003368F"/>
    <w:rsid w:val="0003370E"/>
    <w:rsid w:val="00033A22"/>
    <w:rsid w:val="00033CFA"/>
    <w:rsid w:val="00033D4D"/>
    <w:rsid w:val="00033E71"/>
    <w:rsid w:val="00034008"/>
    <w:rsid w:val="00034222"/>
    <w:rsid w:val="000344E1"/>
    <w:rsid w:val="000344E6"/>
    <w:rsid w:val="00034502"/>
    <w:rsid w:val="000345AB"/>
    <w:rsid w:val="000346EE"/>
    <w:rsid w:val="00034907"/>
    <w:rsid w:val="00034B83"/>
    <w:rsid w:val="00034BCE"/>
    <w:rsid w:val="00034CCE"/>
    <w:rsid w:val="00034D66"/>
    <w:rsid w:val="00034E7C"/>
    <w:rsid w:val="0003503A"/>
    <w:rsid w:val="0003509F"/>
    <w:rsid w:val="00035100"/>
    <w:rsid w:val="00035112"/>
    <w:rsid w:val="00035481"/>
    <w:rsid w:val="000358BD"/>
    <w:rsid w:val="00035C0D"/>
    <w:rsid w:val="00035D69"/>
    <w:rsid w:val="00035E49"/>
    <w:rsid w:val="00035EC0"/>
    <w:rsid w:val="0003602D"/>
    <w:rsid w:val="000361FE"/>
    <w:rsid w:val="0003620F"/>
    <w:rsid w:val="00036255"/>
    <w:rsid w:val="00036340"/>
    <w:rsid w:val="00036349"/>
    <w:rsid w:val="00036402"/>
    <w:rsid w:val="00036468"/>
    <w:rsid w:val="000367B7"/>
    <w:rsid w:val="00036890"/>
    <w:rsid w:val="00036964"/>
    <w:rsid w:val="00036D67"/>
    <w:rsid w:val="00037118"/>
    <w:rsid w:val="00037512"/>
    <w:rsid w:val="00037682"/>
    <w:rsid w:val="00037712"/>
    <w:rsid w:val="000377B0"/>
    <w:rsid w:val="00037C55"/>
    <w:rsid w:val="00037F61"/>
    <w:rsid w:val="00037FEB"/>
    <w:rsid w:val="0004069F"/>
    <w:rsid w:val="00040A39"/>
    <w:rsid w:val="00040A89"/>
    <w:rsid w:val="00040B37"/>
    <w:rsid w:val="00040CA5"/>
    <w:rsid w:val="00040DBB"/>
    <w:rsid w:val="00040EF1"/>
    <w:rsid w:val="00040FD2"/>
    <w:rsid w:val="000411D7"/>
    <w:rsid w:val="0004142D"/>
    <w:rsid w:val="00041469"/>
    <w:rsid w:val="000414B4"/>
    <w:rsid w:val="0004152C"/>
    <w:rsid w:val="00041547"/>
    <w:rsid w:val="0004154D"/>
    <w:rsid w:val="000416DA"/>
    <w:rsid w:val="0004172B"/>
    <w:rsid w:val="0004188D"/>
    <w:rsid w:val="000419A3"/>
    <w:rsid w:val="00041DB6"/>
    <w:rsid w:val="00041E53"/>
    <w:rsid w:val="00041FCB"/>
    <w:rsid w:val="00042147"/>
    <w:rsid w:val="0004228E"/>
    <w:rsid w:val="000422BA"/>
    <w:rsid w:val="0004244E"/>
    <w:rsid w:val="00042613"/>
    <w:rsid w:val="00042647"/>
    <w:rsid w:val="00042EC1"/>
    <w:rsid w:val="00042EF6"/>
    <w:rsid w:val="0004301B"/>
    <w:rsid w:val="00043022"/>
    <w:rsid w:val="00043025"/>
    <w:rsid w:val="000432A0"/>
    <w:rsid w:val="000435D1"/>
    <w:rsid w:val="000435FC"/>
    <w:rsid w:val="00043C57"/>
    <w:rsid w:val="00043C5D"/>
    <w:rsid w:val="00043D45"/>
    <w:rsid w:val="000440F9"/>
    <w:rsid w:val="00044204"/>
    <w:rsid w:val="000442ED"/>
    <w:rsid w:val="00044306"/>
    <w:rsid w:val="0004446C"/>
    <w:rsid w:val="00044597"/>
    <w:rsid w:val="0004459E"/>
    <w:rsid w:val="000446DA"/>
    <w:rsid w:val="000448BD"/>
    <w:rsid w:val="000449CE"/>
    <w:rsid w:val="000449F0"/>
    <w:rsid w:val="00044E6D"/>
    <w:rsid w:val="0004511D"/>
    <w:rsid w:val="0004517D"/>
    <w:rsid w:val="0004585D"/>
    <w:rsid w:val="00045A80"/>
    <w:rsid w:val="00045B8A"/>
    <w:rsid w:val="00045BCE"/>
    <w:rsid w:val="00045BD1"/>
    <w:rsid w:val="00045E97"/>
    <w:rsid w:val="00046214"/>
    <w:rsid w:val="00046697"/>
    <w:rsid w:val="000467E0"/>
    <w:rsid w:val="000468B7"/>
    <w:rsid w:val="00046C27"/>
    <w:rsid w:val="00046C40"/>
    <w:rsid w:val="000471A4"/>
    <w:rsid w:val="00047562"/>
    <w:rsid w:val="00047E7A"/>
    <w:rsid w:val="00047F7A"/>
    <w:rsid w:val="00047FAB"/>
    <w:rsid w:val="000501D3"/>
    <w:rsid w:val="00050245"/>
    <w:rsid w:val="00050268"/>
    <w:rsid w:val="00050288"/>
    <w:rsid w:val="000502DA"/>
    <w:rsid w:val="00050366"/>
    <w:rsid w:val="00050578"/>
    <w:rsid w:val="000505CD"/>
    <w:rsid w:val="00050990"/>
    <w:rsid w:val="000509B1"/>
    <w:rsid w:val="00050AE2"/>
    <w:rsid w:val="00050D17"/>
    <w:rsid w:val="00050D5C"/>
    <w:rsid w:val="00050F04"/>
    <w:rsid w:val="00050F66"/>
    <w:rsid w:val="0005193D"/>
    <w:rsid w:val="00051D10"/>
    <w:rsid w:val="00051D7A"/>
    <w:rsid w:val="00051E71"/>
    <w:rsid w:val="00052483"/>
    <w:rsid w:val="0005249A"/>
    <w:rsid w:val="0005257F"/>
    <w:rsid w:val="0005260A"/>
    <w:rsid w:val="00052C86"/>
    <w:rsid w:val="00052DEF"/>
    <w:rsid w:val="00052F09"/>
    <w:rsid w:val="00053289"/>
    <w:rsid w:val="000533D5"/>
    <w:rsid w:val="000533DD"/>
    <w:rsid w:val="00053423"/>
    <w:rsid w:val="000537D0"/>
    <w:rsid w:val="0005381A"/>
    <w:rsid w:val="00053974"/>
    <w:rsid w:val="000539B9"/>
    <w:rsid w:val="00053B5B"/>
    <w:rsid w:val="00053B65"/>
    <w:rsid w:val="00053EAC"/>
    <w:rsid w:val="00053EE7"/>
    <w:rsid w:val="00053FA5"/>
    <w:rsid w:val="00053FAD"/>
    <w:rsid w:val="0005413E"/>
    <w:rsid w:val="000542FF"/>
    <w:rsid w:val="000543C8"/>
    <w:rsid w:val="00054B8F"/>
    <w:rsid w:val="00054C88"/>
    <w:rsid w:val="00054CCE"/>
    <w:rsid w:val="00054F7B"/>
    <w:rsid w:val="00054F8A"/>
    <w:rsid w:val="0005500F"/>
    <w:rsid w:val="000550D7"/>
    <w:rsid w:val="00055268"/>
    <w:rsid w:val="00055442"/>
    <w:rsid w:val="00055545"/>
    <w:rsid w:val="00055761"/>
    <w:rsid w:val="000557F0"/>
    <w:rsid w:val="000558F5"/>
    <w:rsid w:val="000559DD"/>
    <w:rsid w:val="00055A1E"/>
    <w:rsid w:val="00055BB2"/>
    <w:rsid w:val="00055C4D"/>
    <w:rsid w:val="00055D1C"/>
    <w:rsid w:val="00055D68"/>
    <w:rsid w:val="00055FC2"/>
    <w:rsid w:val="00056046"/>
    <w:rsid w:val="000561DE"/>
    <w:rsid w:val="00056758"/>
    <w:rsid w:val="00056A7F"/>
    <w:rsid w:val="00056EA3"/>
    <w:rsid w:val="00056FF2"/>
    <w:rsid w:val="0005759A"/>
    <w:rsid w:val="000577A7"/>
    <w:rsid w:val="00057A79"/>
    <w:rsid w:val="00057B65"/>
    <w:rsid w:val="00057BE2"/>
    <w:rsid w:val="00057E05"/>
    <w:rsid w:val="00060137"/>
    <w:rsid w:val="0006030C"/>
    <w:rsid w:val="00060377"/>
    <w:rsid w:val="000603AC"/>
    <w:rsid w:val="00060510"/>
    <w:rsid w:val="00060598"/>
    <w:rsid w:val="0006076D"/>
    <w:rsid w:val="000607B3"/>
    <w:rsid w:val="00060863"/>
    <w:rsid w:val="00060905"/>
    <w:rsid w:val="00060B6F"/>
    <w:rsid w:val="00060C5A"/>
    <w:rsid w:val="00060C9A"/>
    <w:rsid w:val="00060E07"/>
    <w:rsid w:val="00060F80"/>
    <w:rsid w:val="000613F5"/>
    <w:rsid w:val="00061953"/>
    <w:rsid w:val="00061AE2"/>
    <w:rsid w:val="00061C03"/>
    <w:rsid w:val="00061C97"/>
    <w:rsid w:val="00061EAA"/>
    <w:rsid w:val="000620D9"/>
    <w:rsid w:val="000620DD"/>
    <w:rsid w:val="000623D8"/>
    <w:rsid w:val="000623FF"/>
    <w:rsid w:val="000624C2"/>
    <w:rsid w:val="000625DE"/>
    <w:rsid w:val="00062ACA"/>
    <w:rsid w:val="00062B5C"/>
    <w:rsid w:val="00062BD0"/>
    <w:rsid w:val="00062C71"/>
    <w:rsid w:val="00062F40"/>
    <w:rsid w:val="0006304C"/>
    <w:rsid w:val="000637FE"/>
    <w:rsid w:val="000638D3"/>
    <w:rsid w:val="00063905"/>
    <w:rsid w:val="0006390A"/>
    <w:rsid w:val="00063B13"/>
    <w:rsid w:val="00063B6A"/>
    <w:rsid w:val="00063CC3"/>
    <w:rsid w:val="00063E9B"/>
    <w:rsid w:val="00063EEC"/>
    <w:rsid w:val="0006406A"/>
    <w:rsid w:val="00064101"/>
    <w:rsid w:val="000641E5"/>
    <w:rsid w:val="000645E9"/>
    <w:rsid w:val="0006487B"/>
    <w:rsid w:val="00064B39"/>
    <w:rsid w:val="00064BCE"/>
    <w:rsid w:val="00064C1D"/>
    <w:rsid w:val="00064D17"/>
    <w:rsid w:val="00064F4C"/>
    <w:rsid w:val="00064FC6"/>
    <w:rsid w:val="00065287"/>
    <w:rsid w:val="000653CA"/>
    <w:rsid w:val="0006544B"/>
    <w:rsid w:val="0006559F"/>
    <w:rsid w:val="00065A9D"/>
    <w:rsid w:val="00065BC5"/>
    <w:rsid w:val="00065C1C"/>
    <w:rsid w:val="00065C20"/>
    <w:rsid w:val="0006600C"/>
    <w:rsid w:val="00066251"/>
    <w:rsid w:val="000663AD"/>
    <w:rsid w:val="00066875"/>
    <w:rsid w:val="00066906"/>
    <w:rsid w:val="00066B5C"/>
    <w:rsid w:val="0006702D"/>
    <w:rsid w:val="000670A4"/>
    <w:rsid w:val="0006722A"/>
    <w:rsid w:val="0006722C"/>
    <w:rsid w:val="00067280"/>
    <w:rsid w:val="00067525"/>
    <w:rsid w:val="00067608"/>
    <w:rsid w:val="00067840"/>
    <w:rsid w:val="00067870"/>
    <w:rsid w:val="000679DD"/>
    <w:rsid w:val="00067AC0"/>
    <w:rsid w:val="00067B2E"/>
    <w:rsid w:val="00067B7B"/>
    <w:rsid w:val="00067DAC"/>
    <w:rsid w:val="00067E15"/>
    <w:rsid w:val="00067E98"/>
    <w:rsid w:val="0007010D"/>
    <w:rsid w:val="00070131"/>
    <w:rsid w:val="00070826"/>
    <w:rsid w:val="00070869"/>
    <w:rsid w:val="0007089A"/>
    <w:rsid w:val="0007098D"/>
    <w:rsid w:val="00070C50"/>
    <w:rsid w:val="00070E16"/>
    <w:rsid w:val="00070E5C"/>
    <w:rsid w:val="00071111"/>
    <w:rsid w:val="0007124B"/>
    <w:rsid w:val="000719C4"/>
    <w:rsid w:val="000719E2"/>
    <w:rsid w:val="00071BF4"/>
    <w:rsid w:val="00072025"/>
    <w:rsid w:val="00072050"/>
    <w:rsid w:val="00072069"/>
    <w:rsid w:val="0007215B"/>
    <w:rsid w:val="000723B5"/>
    <w:rsid w:val="0007252F"/>
    <w:rsid w:val="00072597"/>
    <w:rsid w:val="000725D1"/>
    <w:rsid w:val="0007295C"/>
    <w:rsid w:val="00072B14"/>
    <w:rsid w:val="00072BDB"/>
    <w:rsid w:val="00072D41"/>
    <w:rsid w:val="00072DA5"/>
    <w:rsid w:val="00072F05"/>
    <w:rsid w:val="00073038"/>
    <w:rsid w:val="0007314D"/>
    <w:rsid w:val="0007318B"/>
    <w:rsid w:val="00073226"/>
    <w:rsid w:val="0007397A"/>
    <w:rsid w:val="00073CDD"/>
    <w:rsid w:val="00073CFB"/>
    <w:rsid w:val="00073D72"/>
    <w:rsid w:val="00073F53"/>
    <w:rsid w:val="00073F93"/>
    <w:rsid w:val="0007407E"/>
    <w:rsid w:val="000740A8"/>
    <w:rsid w:val="0007425F"/>
    <w:rsid w:val="0007454A"/>
    <w:rsid w:val="00074A1E"/>
    <w:rsid w:val="00074AE5"/>
    <w:rsid w:val="00074B77"/>
    <w:rsid w:val="00074CD0"/>
    <w:rsid w:val="00074CE9"/>
    <w:rsid w:val="00074DA7"/>
    <w:rsid w:val="00074E19"/>
    <w:rsid w:val="00074E8B"/>
    <w:rsid w:val="000754B8"/>
    <w:rsid w:val="00075675"/>
    <w:rsid w:val="00075786"/>
    <w:rsid w:val="00075999"/>
    <w:rsid w:val="00075B94"/>
    <w:rsid w:val="00075DE3"/>
    <w:rsid w:val="000761AB"/>
    <w:rsid w:val="00076522"/>
    <w:rsid w:val="00076846"/>
    <w:rsid w:val="00076A96"/>
    <w:rsid w:val="000771BA"/>
    <w:rsid w:val="000772EC"/>
    <w:rsid w:val="00077347"/>
    <w:rsid w:val="000773A4"/>
    <w:rsid w:val="0007763B"/>
    <w:rsid w:val="000776A1"/>
    <w:rsid w:val="0007777A"/>
    <w:rsid w:val="000779A0"/>
    <w:rsid w:val="000779AF"/>
    <w:rsid w:val="00077B75"/>
    <w:rsid w:val="00077BC9"/>
    <w:rsid w:val="00077D22"/>
    <w:rsid w:val="00077D9B"/>
    <w:rsid w:val="00077EE4"/>
    <w:rsid w:val="00077F8C"/>
    <w:rsid w:val="00080183"/>
    <w:rsid w:val="00080205"/>
    <w:rsid w:val="00080305"/>
    <w:rsid w:val="000804BD"/>
    <w:rsid w:val="000805CF"/>
    <w:rsid w:val="00080615"/>
    <w:rsid w:val="0008062D"/>
    <w:rsid w:val="000808F9"/>
    <w:rsid w:val="00080A85"/>
    <w:rsid w:val="00080A9D"/>
    <w:rsid w:val="00080AD7"/>
    <w:rsid w:val="00080CD9"/>
    <w:rsid w:val="00080CE2"/>
    <w:rsid w:val="00080E98"/>
    <w:rsid w:val="00081219"/>
    <w:rsid w:val="000812BE"/>
    <w:rsid w:val="00081356"/>
    <w:rsid w:val="00081395"/>
    <w:rsid w:val="000813BF"/>
    <w:rsid w:val="000814A4"/>
    <w:rsid w:val="0008169B"/>
    <w:rsid w:val="00081712"/>
    <w:rsid w:val="00081950"/>
    <w:rsid w:val="0008199F"/>
    <w:rsid w:val="00081AE5"/>
    <w:rsid w:val="00081C1F"/>
    <w:rsid w:val="00082033"/>
    <w:rsid w:val="000820E9"/>
    <w:rsid w:val="000822B9"/>
    <w:rsid w:val="000824DD"/>
    <w:rsid w:val="00082903"/>
    <w:rsid w:val="00082BAD"/>
    <w:rsid w:val="00082DC7"/>
    <w:rsid w:val="00082ED6"/>
    <w:rsid w:val="0008355F"/>
    <w:rsid w:val="0008371F"/>
    <w:rsid w:val="000837E3"/>
    <w:rsid w:val="00083D54"/>
    <w:rsid w:val="00083DD1"/>
    <w:rsid w:val="00083EEB"/>
    <w:rsid w:val="0008420A"/>
    <w:rsid w:val="0008425E"/>
    <w:rsid w:val="000845E0"/>
    <w:rsid w:val="000846D7"/>
    <w:rsid w:val="00084826"/>
    <w:rsid w:val="00084F3D"/>
    <w:rsid w:val="0008504B"/>
    <w:rsid w:val="00085135"/>
    <w:rsid w:val="00085240"/>
    <w:rsid w:val="000852E2"/>
    <w:rsid w:val="00085330"/>
    <w:rsid w:val="00085512"/>
    <w:rsid w:val="0008561E"/>
    <w:rsid w:val="00085640"/>
    <w:rsid w:val="00085668"/>
    <w:rsid w:val="0008582A"/>
    <w:rsid w:val="000858C1"/>
    <w:rsid w:val="00085BAA"/>
    <w:rsid w:val="00085BFA"/>
    <w:rsid w:val="00085E1E"/>
    <w:rsid w:val="00085E72"/>
    <w:rsid w:val="00085F2F"/>
    <w:rsid w:val="00086219"/>
    <w:rsid w:val="000863CF"/>
    <w:rsid w:val="0008680A"/>
    <w:rsid w:val="00086BBC"/>
    <w:rsid w:val="00086BC6"/>
    <w:rsid w:val="00086D0B"/>
    <w:rsid w:val="00087153"/>
    <w:rsid w:val="00087299"/>
    <w:rsid w:val="000873AB"/>
    <w:rsid w:val="000873F1"/>
    <w:rsid w:val="00087914"/>
    <w:rsid w:val="00087AEB"/>
    <w:rsid w:val="00087B46"/>
    <w:rsid w:val="00087BF4"/>
    <w:rsid w:val="00087D5E"/>
    <w:rsid w:val="00087F58"/>
    <w:rsid w:val="00087FDA"/>
    <w:rsid w:val="000904C1"/>
    <w:rsid w:val="00090576"/>
    <w:rsid w:val="0009094E"/>
    <w:rsid w:val="00090A45"/>
    <w:rsid w:val="00090CCF"/>
    <w:rsid w:val="00090D9A"/>
    <w:rsid w:val="00090EB7"/>
    <w:rsid w:val="000916C5"/>
    <w:rsid w:val="000916DF"/>
    <w:rsid w:val="000916EA"/>
    <w:rsid w:val="00091AC2"/>
    <w:rsid w:val="00091BAF"/>
    <w:rsid w:val="00091C12"/>
    <w:rsid w:val="00091C3D"/>
    <w:rsid w:val="00091CB2"/>
    <w:rsid w:val="00091D47"/>
    <w:rsid w:val="00091DA3"/>
    <w:rsid w:val="00091F1F"/>
    <w:rsid w:val="00091FA8"/>
    <w:rsid w:val="0009200B"/>
    <w:rsid w:val="00092194"/>
    <w:rsid w:val="0009222F"/>
    <w:rsid w:val="000922E2"/>
    <w:rsid w:val="0009237A"/>
    <w:rsid w:val="0009277F"/>
    <w:rsid w:val="0009284B"/>
    <w:rsid w:val="000928BD"/>
    <w:rsid w:val="00092BD8"/>
    <w:rsid w:val="00092CE9"/>
    <w:rsid w:val="00092E74"/>
    <w:rsid w:val="0009323A"/>
    <w:rsid w:val="00093305"/>
    <w:rsid w:val="00093355"/>
    <w:rsid w:val="000935E8"/>
    <w:rsid w:val="000935ED"/>
    <w:rsid w:val="000936AB"/>
    <w:rsid w:val="00093CAE"/>
    <w:rsid w:val="00093D9C"/>
    <w:rsid w:val="00093E8C"/>
    <w:rsid w:val="0009424F"/>
    <w:rsid w:val="000943FA"/>
    <w:rsid w:val="00094509"/>
    <w:rsid w:val="000946D5"/>
    <w:rsid w:val="00094785"/>
    <w:rsid w:val="000947BC"/>
    <w:rsid w:val="000947C2"/>
    <w:rsid w:val="00094A15"/>
    <w:rsid w:val="00094B32"/>
    <w:rsid w:val="00094B45"/>
    <w:rsid w:val="00094B9B"/>
    <w:rsid w:val="00094C65"/>
    <w:rsid w:val="00094C98"/>
    <w:rsid w:val="00094CC2"/>
    <w:rsid w:val="00094E4F"/>
    <w:rsid w:val="00094F05"/>
    <w:rsid w:val="000951F5"/>
    <w:rsid w:val="000953CE"/>
    <w:rsid w:val="0009585E"/>
    <w:rsid w:val="00095B92"/>
    <w:rsid w:val="00095E40"/>
    <w:rsid w:val="00096091"/>
    <w:rsid w:val="00096179"/>
    <w:rsid w:val="000961C2"/>
    <w:rsid w:val="00096A9C"/>
    <w:rsid w:val="00096C33"/>
    <w:rsid w:val="00096DAC"/>
    <w:rsid w:val="00096E8D"/>
    <w:rsid w:val="00097298"/>
    <w:rsid w:val="00097313"/>
    <w:rsid w:val="000973AD"/>
    <w:rsid w:val="00097502"/>
    <w:rsid w:val="00097D1C"/>
    <w:rsid w:val="00097E1C"/>
    <w:rsid w:val="00097FC2"/>
    <w:rsid w:val="000A01B1"/>
    <w:rsid w:val="000A0737"/>
    <w:rsid w:val="000A09E4"/>
    <w:rsid w:val="000A0A7E"/>
    <w:rsid w:val="000A0AA2"/>
    <w:rsid w:val="000A0AE3"/>
    <w:rsid w:val="000A0EDF"/>
    <w:rsid w:val="000A0F5E"/>
    <w:rsid w:val="000A11AC"/>
    <w:rsid w:val="000A14AF"/>
    <w:rsid w:val="000A1535"/>
    <w:rsid w:val="000A1939"/>
    <w:rsid w:val="000A1991"/>
    <w:rsid w:val="000A1A59"/>
    <w:rsid w:val="000A1D58"/>
    <w:rsid w:val="000A1D84"/>
    <w:rsid w:val="000A1FB3"/>
    <w:rsid w:val="000A1FCD"/>
    <w:rsid w:val="000A2177"/>
    <w:rsid w:val="000A21F4"/>
    <w:rsid w:val="000A2584"/>
    <w:rsid w:val="000A26F7"/>
    <w:rsid w:val="000A2716"/>
    <w:rsid w:val="000A27EA"/>
    <w:rsid w:val="000A2823"/>
    <w:rsid w:val="000A2A59"/>
    <w:rsid w:val="000A2B65"/>
    <w:rsid w:val="000A2ECA"/>
    <w:rsid w:val="000A2F8C"/>
    <w:rsid w:val="000A311D"/>
    <w:rsid w:val="000A33DD"/>
    <w:rsid w:val="000A34D7"/>
    <w:rsid w:val="000A350B"/>
    <w:rsid w:val="000A3599"/>
    <w:rsid w:val="000A37C4"/>
    <w:rsid w:val="000A39F0"/>
    <w:rsid w:val="000A3D32"/>
    <w:rsid w:val="000A3EC6"/>
    <w:rsid w:val="000A3EEE"/>
    <w:rsid w:val="000A42F3"/>
    <w:rsid w:val="000A4348"/>
    <w:rsid w:val="000A437A"/>
    <w:rsid w:val="000A43C5"/>
    <w:rsid w:val="000A4727"/>
    <w:rsid w:val="000A4977"/>
    <w:rsid w:val="000A4F75"/>
    <w:rsid w:val="000A5310"/>
    <w:rsid w:val="000A5A3A"/>
    <w:rsid w:val="000A5CBD"/>
    <w:rsid w:val="000A5E54"/>
    <w:rsid w:val="000A5F9D"/>
    <w:rsid w:val="000A608C"/>
    <w:rsid w:val="000A6131"/>
    <w:rsid w:val="000A6279"/>
    <w:rsid w:val="000A6324"/>
    <w:rsid w:val="000A63F0"/>
    <w:rsid w:val="000A6458"/>
    <w:rsid w:val="000A669F"/>
    <w:rsid w:val="000A66E4"/>
    <w:rsid w:val="000A6834"/>
    <w:rsid w:val="000A6CA7"/>
    <w:rsid w:val="000A6CAA"/>
    <w:rsid w:val="000A6D32"/>
    <w:rsid w:val="000A6E08"/>
    <w:rsid w:val="000A6E61"/>
    <w:rsid w:val="000A6F82"/>
    <w:rsid w:val="000A70FE"/>
    <w:rsid w:val="000A714A"/>
    <w:rsid w:val="000A733A"/>
    <w:rsid w:val="000A7346"/>
    <w:rsid w:val="000A75B2"/>
    <w:rsid w:val="000A77BE"/>
    <w:rsid w:val="000A7936"/>
    <w:rsid w:val="000A7B17"/>
    <w:rsid w:val="000A7C43"/>
    <w:rsid w:val="000A7D6C"/>
    <w:rsid w:val="000A7F66"/>
    <w:rsid w:val="000A7FF2"/>
    <w:rsid w:val="000B002C"/>
    <w:rsid w:val="000B0335"/>
    <w:rsid w:val="000B0369"/>
    <w:rsid w:val="000B0BCC"/>
    <w:rsid w:val="000B0C58"/>
    <w:rsid w:val="000B0C79"/>
    <w:rsid w:val="000B0C97"/>
    <w:rsid w:val="000B0D8C"/>
    <w:rsid w:val="000B1391"/>
    <w:rsid w:val="000B1401"/>
    <w:rsid w:val="000B17A9"/>
    <w:rsid w:val="000B197B"/>
    <w:rsid w:val="000B1DC1"/>
    <w:rsid w:val="000B1FFD"/>
    <w:rsid w:val="000B2065"/>
    <w:rsid w:val="000B20B0"/>
    <w:rsid w:val="000B225F"/>
    <w:rsid w:val="000B2268"/>
    <w:rsid w:val="000B26E3"/>
    <w:rsid w:val="000B27C1"/>
    <w:rsid w:val="000B27D4"/>
    <w:rsid w:val="000B2817"/>
    <w:rsid w:val="000B285B"/>
    <w:rsid w:val="000B2C54"/>
    <w:rsid w:val="000B307D"/>
    <w:rsid w:val="000B3100"/>
    <w:rsid w:val="000B349B"/>
    <w:rsid w:val="000B3A8F"/>
    <w:rsid w:val="000B3B33"/>
    <w:rsid w:val="000B3D6D"/>
    <w:rsid w:val="000B3E9F"/>
    <w:rsid w:val="000B3F1F"/>
    <w:rsid w:val="000B3F63"/>
    <w:rsid w:val="000B4098"/>
    <w:rsid w:val="000B4121"/>
    <w:rsid w:val="000B4300"/>
    <w:rsid w:val="000B447F"/>
    <w:rsid w:val="000B448A"/>
    <w:rsid w:val="000B4566"/>
    <w:rsid w:val="000B48E6"/>
    <w:rsid w:val="000B4964"/>
    <w:rsid w:val="000B4B30"/>
    <w:rsid w:val="000B4E27"/>
    <w:rsid w:val="000B4EA8"/>
    <w:rsid w:val="000B5171"/>
    <w:rsid w:val="000B52EA"/>
    <w:rsid w:val="000B5547"/>
    <w:rsid w:val="000B55CF"/>
    <w:rsid w:val="000B5640"/>
    <w:rsid w:val="000B5C65"/>
    <w:rsid w:val="000B61B4"/>
    <w:rsid w:val="000B6201"/>
    <w:rsid w:val="000B63CE"/>
    <w:rsid w:val="000B63D4"/>
    <w:rsid w:val="000B6487"/>
    <w:rsid w:val="000B6840"/>
    <w:rsid w:val="000B699C"/>
    <w:rsid w:val="000B6A74"/>
    <w:rsid w:val="000B6AFD"/>
    <w:rsid w:val="000B6B3D"/>
    <w:rsid w:val="000B6B57"/>
    <w:rsid w:val="000B6D14"/>
    <w:rsid w:val="000B6D99"/>
    <w:rsid w:val="000B6DD0"/>
    <w:rsid w:val="000B6F63"/>
    <w:rsid w:val="000B6F6D"/>
    <w:rsid w:val="000B6FC0"/>
    <w:rsid w:val="000B7134"/>
    <w:rsid w:val="000B717D"/>
    <w:rsid w:val="000B7321"/>
    <w:rsid w:val="000B73C2"/>
    <w:rsid w:val="000B73CD"/>
    <w:rsid w:val="000B768F"/>
    <w:rsid w:val="000B7772"/>
    <w:rsid w:val="000B7803"/>
    <w:rsid w:val="000B7A16"/>
    <w:rsid w:val="000B7BA8"/>
    <w:rsid w:val="000B7C6E"/>
    <w:rsid w:val="000B7D8E"/>
    <w:rsid w:val="000B7FF7"/>
    <w:rsid w:val="000C00A6"/>
    <w:rsid w:val="000C0158"/>
    <w:rsid w:val="000C0408"/>
    <w:rsid w:val="000C042D"/>
    <w:rsid w:val="000C058F"/>
    <w:rsid w:val="000C090E"/>
    <w:rsid w:val="000C0933"/>
    <w:rsid w:val="000C0BDD"/>
    <w:rsid w:val="000C0C0D"/>
    <w:rsid w:val="000C0C3E"/>
    <w:rsid w:val="000C10B6"/>
    <w:rsid w:val="000C12D7"/>
    <w:rsid w:val="000C1369"/>
    <w:rsid w:val="000C14C2"/>
    <w:rsid w:val="000C14D7"/>
    <w:rsid w:val="000C1625"/>
    <w:rsid w:val="000C185A"/>
    <w:rsid w:val="000C1921"/>
    <w:rsid w:val="000C1990"/>
    <w:rsid w:val="000C1CDB"/>
    <w:rsid w:val="000C1D6A"/>
    <w:rsid w:val="000C1EBA"/>
    <w:rsid w:val="000C2166"/>
    <w:rsid w:val="000C221B"/>
    <w:rsid w:val="000C2312"/>
    <w:rsid w:val="000C2392"/>
    <w:rsid w:val="000C24DC"/>
    <w:rsid w:val="000C2620"/>
    <w:rsid w:val="000C265C"/>
    <w:rsid w:val="000C2706"/>
    <w:rsid w:val="000C2916"/>
    <w:rsid w:val="000C2A9C"/>
    <w:rsid w:val="000C2BDF"/>
    <w:rsid w:val="000C2E02"/>
    <w:rsid w:val="000C2F26"/>
    <w:rsid w:val="000C31BA"/>
    <w:rsid w:val="000C3278"/>
    <w:rsid w:val="000C33A4"/>
    <w:rsid w:val="000C33DE"/>
    <w:rsid w:val="000C3460"/>
    <w:rsid w:val="000C346A"/>
    <w:rsid w:val="000C371C"/>
    <w:rsid w:val="000C3862"/>
    <w:rsid w:val="000C38E4"/>
    <w:rsid w:val="000C395E"/>
    <w:rsid w:val="000C3B49"/>
    <w:rsid w:val="000C3BC9"/>
    <w:rsid w:val="000C3BF7"/>
    <w:rsid w:val="000C3BFB"/>
    <w:rsid w:val="000C4218"/>
    <w:rsid w:val="000C438C"/>
    <w:rsid w:val="000C4709"/>
    <w:rsid w:val="000C47A7"/>
    <w:rsid w:val="000C4AEB"/>
    <w:rsid w:val="000C4F23"/>
    <w:rsid w:val="000C520B"/>
    <w:rsid w:val="000C5239"/>
    <w:rsid w:val="000C54B1"/>
    <w:rsid w:val="000C560C"/>
    <w:rsid w:val="000C57F7"/>
    <w:rsid w:val="000C5810"/>
    <w:rsid w:val="000C5880"/>
    <w:rsid w:val="000C5907"/>
    <w:rsid w:val="000C5AB7"/>
    <w:rsid w:val="000C5B6B"/>
    <w:rsid w:val="000C5BBE"/>
    <w:rsid w:val="000C5C5E"/>
    <w:rsid w:val="000C5D75"/>
    <w:rsid w:val="000C5E5C"/>
    <w:rsid w:val="000C5F9F"/>
    <w:rsid w:val="000C6051"/>
    <w:rsid w:val="000C6207"/>
    <w:rsid w:val="000C63B4"/>
    <w:rsid w:val="000C64E9"/>
    <w:rsid w:val="000C6583"/>
    <w:rsid w:val="000C665E"/>
    <w:rsid w:val="000C669D"/>
    <w:rsid w:val="000C6ADF"/>
    <w:rsid w:val="000C6B87"/>
    <w:rsid w:val="000C6D85"/>
    <w:rsid w:val="000C6F0E"/>
    <w:rsid w:val="000C7144"/>
    <w:rsid w:val="000C7284"/>
    <w:rsid w:val="000C76F3"/>
    <w:rsid w:val="000C7746"/>
    <w:rsid w:val="000C7811"/>
    <w:rsid w:val="000C78D8"/>
    <w:rsid w:val="000C790E"/>
    <w:rsid w:val="000C7A07"/>
    <w:rsid w:val="000C7B3C"/>
    <w:rsid w:val="000C7EA6"/>
    <w:rsid w:val="000C7F37"/>
    <w:rsid w:val="000C7F3B"/>
    <w:rsid w:val="000D00BA"/>
    <w:rsid w:val="000D0348"/>
    <w:rsid w:val="000D0428"/>
    <w:rsid w:val="000D05F7"/>
    <w:rsid w:val="000D06B5"/>
    <w:rsid w:val="000D0AEB"/>
    <w:rsid w:val="000D0B76"/>
    <w:rsid w:val="000D0C3A"/>
    <w:rsid w:val="000D0D6B"/>
    <w:rsid w:val="000D0EA9"/>
    <w:rsid w:val="000D0F25"/>
    <w:rsid w:val="000D10AB"/>
    <w:rsid w:val="000D1271"/>
    <w:rsid w:val="000D1843"/>
    <w:rsid w:val="000D1918"/>
    <w:rsid w:val="000D1933"/>
    <w:rsid w:val="000D1953"/>
    <w:rsid w:val="000D19F1"/>
    <w:rsid w:val="000D1D98"/>
    <w:rsid w:val="000D22AB"/>
    <w:rsid w:val="000D2657"/>
    <w:rsid w:val="000D2B84"/>
    <w:rsid w:val="000D2D0C"/>
    <w:rsid w:val="000D2D21"/>
    <w:rsid w:val="000D2EA1"/>
    <w:rsid w:val="000D2EA5"/>
    <w:rsid w:val="000D2FB0"/>
    <w:rsid w:val="000D35B4"/>
    <w:rsid w:val="000D35EA"/>
    <w:rsid w:val="000D36B0"/>
    <w:rsid w:val="000D3763"/>
    <w:rsid w:val="000D3849"/>
    <w:rsid w:val="000D3D17"/>
    <w:rsid w:val="000D3D28"/>
    <w:rsid w:val="000D3E25"/>
    <w:rsid w:val="000D3F9E"/>
    <w:rsid w:val="000D3FF1"/>
    <w:rsid w:val="000D4234"/>
    <w:rsid w:val="000D4587"/>
    <w:rsid w:val="000D490C"/>
    <w:rsid w:val="000D4C0E"/>
    <w:rsid w:val="000D505C"/>
    <w:rsid w:val="000D5289"/>
    <w:rsid w:val="000D53DC"/>
    <w:rsid w:val="000D54C4"/>
    <w:rsid w:val="000D5612"/>
    <w:rsid w:val="000D5765"/>
    <w:rsid w:val="000D57C8"/>
    <w:rsid w:val="000D58C4"/>
    <w:rsid w:val="000D5BD8"/>
    <w:rsid w:val="000D5D16"/>
    <w:rsid w:val="000D5F91"/>
    <w:rsid w:val="000D604A"/>
    <w:rsid w:val="000D6126"/>
    <w:rsid w:val="000D6209"/>
    <w:rsid w:val="000D65F4"/>
    <w:rsid w:val="000D662D"/>
    <w:rsid w:val="000D6685"/>
    <w:rsid w:val="000D675C"/>
    <w:rsid w:val="000D6808"/>
    <w:rsid w:val="000D696F"/>
    <w:rsid w:val="000D69FA"/>
    <w:rsid w:val="000D6F15"/>
    <w:rsid w:val="000D6F65"/>
    <w:rsid w:val="000D6FC1"/>
    <w:rsid w:val="000D70AF"/>
    <w:rsid w:val="000D70FA"/>
    <w:rsid w:val="000D7133"/>
    <w:rsid w:val="000D7408"/>
    <w:rsid w:val="000D7433"/>
    <w:rsid w:val="000D75EF"/>
    <w:rsid w:val="000D7619"/>
    <w:rsid w:val="000D7844"/>
    <w:rsid w:val="000D7904"/>
    <w:rsid w:val="000D7908"/>
    <w:rsid w:val="000D790D"/>
    <w:rsid w:val="000D79D9"/>
    <w:rsid w:val="000D7CA4"/>
    <w:rsid w:val="000E00B2"/>
    <w:rsid w:val="000E0232"/>
    <w:rsid w:val="000E027B"/>
    <w:rsid w:val="000E0376"/>
    <w:rsid w:val="000E0470"/>
    <w:rsid w:val="000E07AE"/>
    <w:rsid w:val="000E0BA3"/>
    <w:rsid w:val="000E0BEF"/>
    <w:rsid w:val="000E0D81"/>
    <w:rsid w:val="000E0DB8"/>
    <w:rsid w:val="000E0E59"/>
    <w:rsid w:val="000E0F10"/>
    <w:rsid w:val="000E0FBD"/>
    <w:rsid w:val="000E1338"/>
    <w:rsid w:val="000E1396"/>
    <w:rsid w:val="000E14CC"/>
    <w:rsid w:val="000E1583"/>
    <w:rsid w:val="000E17BA"/>
    <w:rsid w:val="000E194E"/>
    <w:rsid w:val="000E197C"/>
    <w:rsid w:val="000E1ACB"/>
    <w:rsid w:val="000E1BB9"/>
    <w:rsid w:val="000E1D3F"/>
    <w:rsid w:val="000E1F39"/>
    <w:rsid w:val="000E2358"/>
    <w:rsid w:val="000E26F1"/>
    <w:rsid w:val="000E281C"/>
    <w:rsid w:val="000E281F"/>
    <w:rsid w:val="000E2A5F"/>
    <w:rsid w:val="000E2AE2"/>
    <w:rsid w:val="000E2B94"/>
    <w:rsid w:val="000E2C59"/>
    <w:rsid w:val="000E2DAB"/>
    <w:rsid w:val="000E2E8B"/>
    <w:rsid w:val="000E30C1"/>
    <w:rsid w:val="000E35F7"/>
    <w:rsid w:val="000E3817"/>
    <w:rsid w:val="000E3A7E"/>
    <w:rsid w:val="000E3BA0"/>
    <w:rsid w:val="000E3CA1"/>
    <w:rsid w:val="000E3DBF"/>
    <w:rsid w:val="000E3EF9"/>
    <w:rsid w:val="000E437F"/>
    <w:rsid w:val="000E4523"/>
    <w:rsid w:val="000E453D"/>
    <w:rsid w:val="000E45B0"/>
    <w:rsid w:val="000E462E"/>
    <w:rsid w:val="000E46A7"/>
    <w:rsid w:val="000E4818"/>
    <w:rsid w:val="000E487E"/>
    <w:rsid w:val="000E4947"/>
    <w:rsid w:val="000E4BB5"/>
    <w:rsid w:val="000E4E89"/>
    <w:rsid w:val="000E4F2A"/>
    <w:rsid w:val="000E5060"/>
    <w:rsid w:val="000E559F"/>
    <w:rsid w:val="000E5674"/>
    <w:rsid w:val="000E5822"/>
    <w:rsid w:val="000E5826"/>
    <w:rsid w:val="000E5AD2"/>
    <w:rsid w:val="000E5BEC"/>
    <w:rsid w:val="000E5DDB"/>
    <w:rsid w:val="000E6147"/>
    <w:rsid w:val="000E61A3"/>
    <w:rsid w:val="000E6240"/>
    <w:rsid w:val="000E6339"/>
    <w:rsid w:val="000E63FF"/>
    <w:rsid w:val="000E644C"/>
    <w:rsid w:val="000E65AC"/>
    <w:rsid w:val="000E6786"/>
    <w:rsid w:val="000E67B6"/>
    <w:rsid w:val="000E69D4"/>
    <w:rsid w:val="000E6C13"/>
    <w:rsid w:val="000E6C23"/>
    <w:rsid w:val="000E6CD2"/>
    <w:rsid w:val="000E6EF0"/>
    <w:rsid w:val="000E6EFB"/>
    <w:rsid w:val="000E6F27"/>
    <w:rsid w:val="000E7156"/>
    <w:rsid w:val="000E72A4"/>
    <w:rsid w:val="000E72AE"/>
    <w:rsid w:val="000E72F1"/>
    <w:rsid w:val="000E738C"/>
    <w:rsid w:val="000E7D7E"/>
    <w:rsid w:val="000E7D99"/>
    <w:rsid w:val="000F0148"/>
    <w:rsid w:val="000F030D"/>
    <w:rsid w:val="000F0351"/>
    <w:rsid w:val="000F04D4"/>
    <w:rsid w:val="000F06BE"/>
    <w:rsid w:val="000F06F1"/>
    <w:rsid w:val="000F0804"/>
    <w:rsid w:val="000F08EF"/>
    <w:rsid w:val="000F0DD0"/>
    <w:rsid w:val="000F0FB7"/>
    <w:rsid w:val="000F0FDE"/>
    <w:rsid w:val="000F11D6"/>
    <w:rsid w:val="000F1392"/>
    <w:rsid w:val="000F1561"/>
    <w:rsid w:val="000F1640"/>
    <w:rsid w:val="000F17A6"/>
    <w:rsid w:val="000F17B2"/>
    <w:rsid w:val="000F1ABC"/>
    <w:rsid w:val="000F1B02"/>
    <w:rsid w:val="000F2264"/>
    <w:rsid w:val="000F248C"/>
    <w:rsid w:val="000F2AA5"/>
    <w:rsid w:val="000F2CCF"/>
    <w:rsid w:val="000F2F92"/>
    <w:rsid w:val="000F3123"/>
    <w:rsid w:val="000F3214"/>
    <w:rsid w:val="000F3264"/>
    <w:rsid w:val="000F3318"/>
    <w:rsid w:val="000F37DF"/>
    <w:rsid w:val="000F3840"/>
    <w:rsid w:val="000F3CF0"/>
    <w:rsid w:val="000F3D6D"/>
    <w:rsid w:val="000F3DB6"/>
    <w:rsid w:val="000F3E66"/>
    <w:rsid w:val="000F408F"/>
    <w:rsid w:val="000F46B4"/>
    <w:rsid w:val="000F486B"/>
    <w:rsid w:val="000F48CD"/>
    <w:rsid w:val="000F499C"/>
    <w:rsid w:val="000F4B57"/>
    <w:rsid w:val="000F4B77"/>
    <w:rsid w:val="000F4F2B"/>
    <w:rsid w:val="000F5006"/>
    <w:rsid w:val="000F504B"/>
    <w:rsid w:val="000F5107"/>
    <w:rsid w:val="000F51C8"/>
    <w:rsid w:val="000F53C1"/>
    <w:rsid w:val="000F550F"/>
    <w:rsid w:val="000F5618"/>
    <w:rsid w:val="000F5830"/>
    <w:rsid w:val="000F58B8"/>
    <w:rsid w:val="000F5921"/>
    <w:rsid w:val="000F5977"/>
    <w:rsid w:val="000F5D81"/>
    <w:rsid w:val="000F630F"/>
    <w:rsid w:val="000F632A"/>
    <w:rsid w:val="000F6926"/>
    <w:rsid w:val="000F6982"/>
    <w:rsid w:val="000F69E4"/>
    <w:rsid w:val="000F6B94"/>
    <w:rsid w:val="000F6C48"/>
    <w:rsid w:val="000F6C4C"/>
    <w:rsid w:val="000F6CDD"/>
    <w:rsid w:val="000F6D33"/>
    <w:rsid w:val="000F6E3F"/>
    <w:rsid w:val="000F70B5"/>
    <w:rsid w:val="000F72A0"/>
    <w:rsid w:val="000F72E0"/>
    <w:rsid w:val="000F74EB"/>
    <w:rsid w:val="000F7560"/>
    <w:rsid w:val="000F7716"/>
    <w:rsid w:val="000F78B0"/>
    <w:rsid w:val="000F7978"/>
    <w:rsid w:val="000F7D0D"/>
    <w:rsid w:val="000F7F55"/>
    <w:rsid w:val="0010015A"/>
    <w:rsid w:val="0010076E"/>
    <w:rsid w:val="00100B93"/>
    <w:rsid w:val="00100D36"/>
    <w:rsid w:val="001010AE"/>
    <w:rsid w:val="00101103"/>
    <w:rsid w:val="0010114F"/>
    <w:rsid w:val="00101530"/>
    <w:rsid w:val="00101790"/>
    <w:rsid w:val="00101A8B"/>
    <w:rsid w:val="00101BA8"/>
    <w:rsid w:val="00101E4C"/>
    <w:rsid w:val="0010211B"/>
    <w:rsid w:val="00102183"/>
    <w:rsid w:val="00102204"/>
    <w:rsid w:val="0010241B"/>
    <w:rsid w:val="001026C2"/>
    <w:rsid w:val="0010299B"/>
    <w:rsid w:val="00102ECA"/>
    <w:rsid w:val="001033F1"/>
    <w:rsid w:val="00103643"/>
    <w:rsid w:val="001037AF"/>
    <w:rsid w:val="0010391D"/>
    <w:rsid w:val="00103E2C"/>
    <w:rsid w:val="00103EF6"/>
    <w:rsid w:val="001040D9"/>
    <w:rsid w:val="00104442"/>
    <w:rsid w:val="00104607"/>
    <w:rsid w:val="001047BD"/>
    <w:rsid w:val="001047C4"/>
    <w:rsid w:val="00104992"/>
    <w:rsid w:val="00104B02"/>
    <w:rsid w:val="00104BAA"/>
    <w:rsid w:val="00104F5F"/>
    <w:rsid w:val="001051D8"/>
    <w:rsid w:val="00105224"/>
    <w:rsid w:val="001052A0"/>
    <w:rsid w:val="00105338"/>
    <w:rsid w:val="0010541F"/>
    <w:rsid w:val="00105426"/>
    <w:rsid w:val="00105626"/>
    <w:rsid w:val="001056FF"/>
    <w:rsid w:val="0010587E"/>
    <w:rsid w:val="00105961"/>
    <w:rsid w:val="00105C07"/>
    <w:rsid w:val="00106189"/>
    <w:rsid w:val="001062CC"/>
    <w:rsid w:val="00106487"/>
    <w:rsid w:val="001066E6"/>
    <w:rsid w:val="001068FB"/>
    <w:rsid w:val="00106955"/>
    <w:rsid w:val="00106A18"/>
    <w:rsid w:val="00106A25"/>
    <w:rsid w:val="00106DF9"/>
    <w:rsid w:val="00107132"/>
    <w:rsid w:val="0010717D"/>
    <w:rsid w:val="0010721B"/>
    <w:rsid w:val="001073A8"/>
    <w:rsid w:val="001077F0"/>
    <w:rsid w:val="00107BAB"/>
    <w:rsid w:val="00107E4A"/>
    <w:rsid w:val="00107F0C"/>
    <w:rsid w:val="00107F19"/>
    <w:rsid w:val="0011011E"/>
    <w:rsid w:val="001101AB"/>
    <w:rsid w:val="001101F3"/>
    <w:rsid w:val="0011063F"/>
    <w:rsid w:val="00110665"/>
    <w:rsid w:val="001108DB"/>
    <w:rsid w:val="001108EB"/>
    <w:rsid w:val="00110962"/>
    <w:rsid w:val="00110AD5"/>
    <w:rsid w:val="00110BB1"/>
    <w:rsid w:val="00110C2B"/>
    <w:rsid w:val="00110FAD"/>
    <w:rsid w:val="00110FF7"/>
    <w:rsid w:val="001111A4"/>
    <w:rsid w:val="001113E0"/>
    <w:rsid w:val="00111473"/>
    <w:rsid w:val="0011148E"/>
    <w:rsid w:val="001115C1"/>
    <w:rsid w:val="001116F6"/>
    <w:rsid w:val="00111BCB"/>
    <w:rsid w:val="00112123"/>
    <w:rsid w:val="001121BC"/>
    <w:rsid w:val="0011220D"/>
    <w:rsid w:val="0011222F"/>
    <w:rsid w:val="0011260F"/>
    <w:rsid w:val="0011265C"/>
    <w:rsid w:val="00112785"/>
    <w:rsid w:val="001127ED"/>
    <w:rsid w:val="00112A08"/>
    <w:rsid w:val="00112A76"/>
    <w:rsid w:val="00112BF7"/>
    <w:rsid w:val="00112D92"/>
    <w:rsid w:val="00112ECF"/>
    <w:rsid w:val="00112EF6"/>
    <w:rsid w:val="00112F63"/>
    <w:rsid w:val="001134C5"/>
    <w:rsid w:val="00113519"/>
    <w:rsid w:val="00113562"/>
    <w:rsid w:val="001139CD"/>
    <w:rsid w:val="00113B90"/>
    <w:rsid w:val="00113BC6"/>
    <w:rsid w:val="00113DB3"/>
    <w:rsid w:val="00114332"/>
    <w:rsid w:val="00114355"/>
    <w:rsid w:val="0011455B"/>
    <w:rsid w:val="001145E5"/>
    <w:rsid w:val="001146E8"/>
    <w:rsid w:val="001148C3"/>
    <w:rsid w:val="00114B38"/>
    <w:rsid w:val="001152AF"/>
    <w:rsid w:val="001157B1"/>
    <w:rsid w:val="001158BB"/>
    <w:rsid w:val="00115A89"/>
    <w:rsid w:val="0011627C"/>
    <w:rsid w:val="001162A0"/>
    <w:rsid w:val="00116413"/>
    <w:rsid w:val="00116765"/>
    <w:rsid w:val="0011691A"/>
    <w:rsid w:val="00116D3E"/>
    <w:rsid w:val="00116F50"/>
    <w:rsid w:val="00116F5C"/>
    <w:rsid w:val="00117079"/>
    <w:rsid w:val="00117191"/>
    <w:rsid w:val="00117324"/>
    <w:rsid w:val="0011754B"/>
    <w:rsid w:val="00117684"/>
    <w:rsid w:val="001177B9"/>
    <w:rsid w:val="00117934"/>
    <w:rsid w:val="001179C1"/>
    <w:rsid w:val="00117A73"/>
    <w:rsid w:val="00117B01"/>
    <w:rsid w:val="00117C2A"/>
    <w:rsid w:val="00117D39"/>
    <w:rsid w:val="00117EE0"/>
    <w:rsid w:val="001202CF"/>
    <w:rsid w:val="001205DD"/>
    <w:rsid w:val="00120650"/>
    <w:rsid w:val="00120975"/>
    <w:rsid w:val="00120B23"/>
    <w:rsid w:val="00120D47"/>
    <w:rsid w:val="001212F8"/>
    <w:rsid w:val="00121548"/>
    <w:rsid w:val="001215AA"/>
    <w:rsid w:val="001216DD"/>
    <w:rsid w:val="0012172F"/>
    <w:rsid w:val="001217DC"/>
    <w:rsid w:val="0012189E"/>
    <w:rsid w:val="00121970"/>
    <w:rsid w:val="00121A9B"/>
    <w:rsid w:val="00121E12"/>
    <w:rsid w:val="00121EC3"/>
    <w:rsid w:val="00121F6C"/>
    <w:rsid w:val="00121F89"/>
    <w:rsid w:val="00122051"/>
    <w:rsid w:val="0012208A"/>
    <w:rsid w:val="00122835"/>
    <w:rsid w:val="001229DD"/>
    <w:rsid w:val="00122A84"/>
    <w:rsid w:val="00122DCF"/>
    <w:rsid w:val="00122E97"/>
    <w:rsid w:val="0012305D"/>
    <w:rsid w:val="0012308D"/>
    <w:rsid w:val="0012314C"/>
    <w:rsid w:val="001232B1"/>
    <w:rsid w:val="001232DF"/>
    <w:rsid w:val="00123716"/>
    <w:rsid w:val="00123773"/>
    <w:rsid w:val="0012397F"/>
    <w:rsid w:val="00123A0E"/>
    <w:rsid w:val="00123A99"/>
    <w:rsid w:val="00123D1A"/>
    <w:rsid w:val="00123D91"/>
    <w:rsid w:val="00123E1A"/>
    <w:rsid w:val="00123E5C"/>
    <w:rsid w:val="00123F54"/>
    <w:rsid w:val="001240DF"/>
    <w:rsid w:val="00124234"/>
    <w:rsid w:val="0012424A"/>
    <w:rsid w:val="0012473D"/>
    <w:rsid w:val="001247B9"/>
    <w:rsid w:val="001247D3"/>
    <w:rsid w:val="001248D7"/>
    <w:rsid w:val="001249AE"/>
    <w:rsid w:val="00124A59"/>
    <w:rsid w:val="00124C18"/>
    <w:rsid w:val="0012502A"/>
    <w:rsid w:val="0012522B"/>
    <w:rsid w:val="0012528D"/>
    <w:rsid w:val="0012531B"/>
    <w:rsid w:val="00125821"/>
    <w:rsid w:val="0012583C"/>
    <w:rsid w:val="001258C5"/>
    <w:rsid w:val="00125926"/>
    <w:rsid w:val="00125C7C"/>
    <w:rsid w:val="00125ED2"/>
    <w:rsid w:val="00125F4D"/>
    <w:rsid w:val="00126210"/>
    <w:rsid w:val="00126286"/>
    <w:rsid w:val="00126585"/>
    <w:rsid w:val="00126729"/>
    <w:rsid w:val="001268B6"/>
    <w:rsid w:val="00126979"/>
    <w:rsid w:val="0012698E"/>
    <w:rsid w:val="00126A06"/>
    <w:rsid w:val="00126A2A"/>
    <w:rsid w:val="00126A93"/>
    <w:rsid w:val="00126D7D"/>
    <w:rsid w:val="0012715A"/>
    <w:rsid w:val="00127630"/>
    <w:rsid w:val="00127765"/>
    <w:rsid w:val="001277EA"/>
    <w:rsid w:val="0012789C"/>
    <w:rsid w:val="00127B6B"/>
    <w:rsid w:val="00130005"/>
    <w:rsid w:val="00130259"/>
    <w:rsid w:val="0013025C"/>
    <w:rsid w:val="00130281"/>
    <w:rsid w:val="00130330"/>
    <w:rsid w:val="00130441"/>
    <w:rsid w:val="00130687"/>
    <w:rsid w:val="001306CB"/>
    <w:rsid w:val="00130A4A"/>
    <w:rsid w:val="00130B7A"/>
    <w:rsid w:val="00130D16"/>
    <w:rsid w:val="00130E0F"/>
    <w:rsid w:val="00130F53"/>
    <w:rsid w:val="00131205"/>
    <w:rsid w:val="00131692"/>
    <w:rsid w:val="001316D3"/>
    <w:rsid w:val="00131726"/>
    <w:rsid w:val="00131842"/>
    <w:rsid w:val="00131BEE"/>
    <w:rsid w:val="00131F97"/>
    <w:rsid w:val="00132188"/>
    <w:rsid w:val="00132387"/>
    <w:rsid w:val="001323C5"/>
    <w:rsid w:val="0013263F"/>
    <w:rsid w:val="00132669"/>
    <w:rsid w:val="001326B3"/>
    <w:rsid w:val="001327D6"/>
    <w:rsid w:val="001328D5"/>
    <w:rsid w:val="0013299D"/>
    <w:rsid w:val="00132A18"/>
    <w:rsid w:val="00132ED4"/>
    <w:rsid w:val="00132F78"/>
    <w:rsid w:val="001332A0"/>
    <w:rsid w:val="00133675"/>
    <w:rsid w:val="00133818"/>
    <w:rsid w:val="001339A5"/>
    <w:rsid w:val="001339AB"/>
    <w:rsid w:val="00133C45"/>
    <w:rsid w:val="00133E04"/>
    <w:rsid w:val="0013411F"/>
    <w:rsid w:val="001345D2"/>
    <w:rsid w:val="0013460B"/>
    <w:rsid w:val="001346EF"/>
    <w:rsid w:val="00134AD4"/>
    <w:rsid w:val="00134C15"/>
    <w:rsid w:val="00134D17"/>
    <w:rsid w:val="00134E5F"/>
    <w:rsid w:val="00134FBF"/>
    <w:rsid w:val="0013518A"/>
    <w:rsid w:val="00135260"/>
    <w:rsid w:val="001352B4"/>
    <w:rsid w:val="00135425"/>
    <w:rsid w:val="00135466"/>
    <w:rsid w:val="00135480"/>
    <w:rsid w:val="0013574E"/>
    <w:rsid w:val="00135AC8"/>
    <w:rsid w:val="00135B4E"/>
    <w:rsid w:val="00135BAC"/>
    <w:rsid w:val="00135BF8"/>
    <w:rsid w:val="00135CD3"/>
    <w:rsid w:val="00135DC9"/>
    <w:rsid w:val="001360D6"/>
    <w:rsid w:val="00136137"/>
    <w:rsid w:val="00136225"/>
    <w:rsid w:val="0013668F"/>
    <w:rsid w:val="00136995"/>
    <w:rsid w:val="00136AA4"/>
    <w:rsid w:val="00136B0D"/>
    <w:rsid w:val="00136D19"/>
    <w:rsid w:val="00136F72"/>
    <w:rsid w:val="0013704B"/>
    <w:rsid w:val="0013718C"/>
    <w:rsid w:val="0013772F"/>
    <w:rsid w:val="00137A7B"/>
    <w:rsid w:val="00137AF9"/>
    <w:rsid w:val="00137B5F"/>
    <w:rsid w:val="00137D54"/>
    <w:rsid w:val="00137EBC"/>
    <w:rsid w:val="00137F16"/>
    <w:rsid w:val="00140189"/>
    <w:rsid w:val="0014035D"/>
    <w:rsid w:val="0014045B"/>
    <w:rsid w:val="00140528"/>
    <w:rsid w:val="00140807"/>
    <w:rsid w:val="00140AC1"/>
    <w:rsid w:val="00140E26"/>
    <w:rsid w:val="00140E8F"/>
    <w:rsid w:val="00140FB4"/>
    <w:rsid w:val="00140FBC"/>
    <w:rsid w:val="0014101F"/>
    <w:rsid w:val="001412B1"/>
    <w:rsid w:val="001412F8"/>
    <w:rsid w:val="00141449"/>
    <w:rsid w:val="001414D8"/>
    <w:rsid w:val="00141573"/>
    <w:rsid w:val="00141597"/>
    <w:rsid w:val="001415FC"/>
    <w:rsid w:val="0014171A"/>
    <w:rsid w:val="001421F1"/>
    <w:rsid w:val="00142314"/>
    <w:rsid w:val="001423A6"/>
    <w:rsid w:val="00142851"/>
    <w:rsid w:val="00142AE7"/>
    <w:rsid w:val="00142B36"/>
    <w:rsid w:val="00142CBD"/>
    <w:rsid w:val="00142EC1"/>
    <w:rsid w:val="001437B2"/>
    <w:rsid w:val="0014385B"/>
    <w:rsid w:val="001438DF"/>
    <w:rsid w:val="00143C75"/>
    <w:rsid w:val="00143D4F"/>
    <w:rsid w:val="00143EA0"/>
    <w:rsid w:val="00143FF5"/>
    <w:rsid w:val="00144004"/>
    <w:rsid w:val="00144038"/>
    <w:rsid w:val="001440E5"/>
    <w:rsid w:val="00144202"/>
    <w:rsid w:val="00144227"/>
    <w:rsid w:val="00144355"/>
    <w:rsid w:val="00144536"/>
    <w:rsid w:val="00144A21"/>
    <w:rsid w:val="00144E3A"/>
    <w:rsid w:val="00144EDC"/>
    <w:rsid w:val="0014511C"/>
    <w:rsid w:val="00145290"/>
    <w:rsid w:val="00145D04"/>
    <w:rsid w:val="00145D43"/>
    <w:rsid w:val="00145DA7"/>
    <w:rsid w:val="00145DB2"/>
    <w:rsid w:val="001460D4"/>
    <w:rsid w:val="001464BC"/>
    <w:rsid w:val="00146754"/>
    <w:rsid w:val="001469F1"/>
    <w:rsid w:val="00146C25"/>
    <w:rsid w:val="00146E30"/>
    <w:rsid w:val="00146E7F"/>
    <w:rsid w:val="00146F99"/>
    <w:rsid w:val="00147327"/>
    <w:rsid w:val="00147364"/>
    <w:rsid w:val="001474AE"/>
    <w:rsid w:val="00147711"/>
    <w:rsid w:val="0014780E"/>
    <w:rsid w:val="00147908"/>
    <w:rsid w:val="001479C7"/>
    <w:rsid w:val="00147A34"/>
    <w:rsid w:val="00147A78"/>
    <w:rsid w:val="00147A8C"/>
    <w:rsid w:val="00147BA5"/>
    <w:rsid w:val="00147C44"/>
    <w:rsid w:val="00150353"/>
    <w:rsid w:val="001503F8"/>
    <w:rsid w:val="00150575"/>
    <w:rsid w:val="00150628"/>
    <w:rsid w:val="001506CC"/>
    <w:rsid w:val="0015122C"/>
    <w:rsid w:val="0015126C"/>
    <w:rsid w:val="0015155A"/>
    <w:rsid w:val="00151570"/>
    <w:rsid w:val="001515B2"/>
    <w:rsid w:val="001517D1"/>
    <w:rsid w:val="0015180D"/>
    <w:rsid w:val="00151B95"/>
    <w:rsid w:val="00151C71"/>
    <w:rsid w:val="001526ED"/>
    <w:rsid w:val="00152B34"/>
    <w:rsid w:val="00152B77"/>
    <w:rsid w:val="00152BE9"/>
    <w:rsid w:val="00152D10"/>
    <w:rsid w:val="00152DB6"/>
    <w:rsid w:val="00152DEB"/>
    <w:rsid w:val="00152F2F"/>
    <w:rsid w:val="00152FF6"/>
    <w:rsid w:val="00153305"/>
    <w:rsid w:val="0015347D"/>
    <w:rsid w:val="001534DE"/>
    <w:rsid w:val="0015350C"/>
    <w:rsid w:val="0015384B"/>
    <w:rsid w:val="0015392D"/>
    <w:rsid w:val="00153986"/>
    <w:rsid w:val="00153E1A"/>
    <w:rsid w:val="00153FFA"/>
    <w:rsid w:val="001541A9"/>
    <w:rsid w:val="00154372"/>
    <w:rsid w:val="00154645"/>
    <w:rsid w:val="00154BA3"/>
    <w:rsid w:val="00154BE9"/>
    <w:rsid w:val="00154CFB"/>
    <w:rsid w:val="00155012"/>
    <w:rsid w:val="00155071"/>
    <w:rsid w:val="001550D9"/>
    <w:rsid w:val="001556A6"/>
    <w:rsid w:val="0015581F"/>
    <w:rsid w:val="001558D2"/>
    <w:rsid w:val="00155AEF"/>
    <w:rsid w:val="00155C01"/>
    <w:rsid w:val="00155C35"/>
    <w:rsid w:val="00155D3B"/>
    <w:rsid w:val="00156073"/>
    <w:rsid w:val="0015635A"/>
    <w:rsid w:val="00156801"/>
    <w:rsid w:val="00156855"/>
    <w:rsid w:val="00156942"/>
    <w:rsid w:val="00156B72"/>
    <w:rsid w:val="00156EBB"/>
    <w:rsid w:val="00156FE4"/>
    <w:rsid w:val="00157016"/>
    <w:rsid w:val="0015714D"/>
    <w:rsid w:val="001572B1"/>
    <w:rsid w:val="001576E9"/>
    <w:rsid w:val="00157BF6"/>
    <w:rsid w:val="00157D6A"/>
    <w:rsid w:val="00157DB5"/>
    <w:rsid w:val="00157E36"/>
    <w:rsid w:val="00157F04"/>
    <w:rsid w:val="001600AB"/>
    <w:rsid w:val="001603EC"/>
    <w:rsid w:val="00160409"/>
    <w:rsid w:val="00160975"/>
    <w:rsid w:val="0016099C"/>
    <w:rsid w:val="0016134A"/>
    <w:rsid w:val="00161359"/>
    <w:rsid w:val="00161452"/>
    <w:rsid w:val="00161968"/>
    <w:rsid w:val="00161A70"/>
    <w:rsid w:val="00161ABE"/>
    <w:rsid w:val="00161B73"/>
    <w:rsid w:val="00161D17"/>
    <w:rsid w:val="00162040"/>
    <w:rsid w:val="00162132"/>
    <w:rsid w:val="0016246B"/>
    <w:rsid w:val="001626DA"/>
    <w:rsid w:val="001628F6"/>
    <w:rsid w:val="00162A38"/>
    <w:rsid w:val="00162B40"/>
    <w:rsid w:val="00162CA1"/>
    <w:rsid w:val="00162D42"/>
    <w:rsid w:val="00163095"/>
    <w:rsid w:val="001631B0"/>
    <w:rsid w:val="001631C7"/>
    <w:rsid w:val="001632CA"/>
    <w:rsid w:val="0016346F"/>
    <w:rsid w:val="00163479"/>
    <w:rsid w:val="00163811"/>
    <w:rsid w:val="00163963"/>
    <w:rsid w:val="00163B1F"/>
    <w:rsid w:val="00163BAE"/>
    <w:rsid w:val="00163C7A"/>
    <w:rsid w:val="00163E16"/>
    <w:rsid w:val="00163F5F"/>
    <w:rsid w:val="00164072"/>
    <w:rsid w:val="00164183"/>
    <w:rsid w:val="001644A6"/>
    <w:rsid w:val="001646D7"/>
    <w:rsid w:val="00164760"/>
    <w:rsid w:val="001648A5"/>
    <w:rsid w:val="00164A2B"/>
    <w:rsid w:val="00164E6B"/>
    <w:rsid w:val="00164EBE"/>
    <w:rsid w:val="00164F2D"/>
    <w:rsid w:val="00164FD0"/>
    <w:rsid w:val="001653DD"/>
    <w:rsid w:val="00165491"/>
    <w:rsid w:val="001654A5"/>
    <w:rsid w:val="001654B7"/>
    <w:rsid w:val="0016592B"/>
    <w:rsid w:val="00165EAA"/>
    <w:rsid w:val="00165EEE"/>
    <w:rsid w:val="0016630F"/>
    <w:rsid w:val="0016686B"/>
    <w:rsid w:val="0016695D"/>
    <w:rsid w:val="00166A2D"/>
    <w:rsid w:val="00166C41"/>
    <w:rsid w:val="00166E2C"/>
    <w:rsid w:val="00166E3C"/>
    <w:rsid w:val="0016701E"/>
    <w:rsid w:val="00167397"/>
    <w:rsid w:val="00167470"/>
    <w:rsid w:val="001674A1"/>
    <w:rsid w:val="001676FD"/>
    <w:rsid w:val="001677BF"/>
    <w:rsid w:val="0016786E"/>
    <w:rsid w:val="00167D65"/>
    <w:rsid w:val="00167DA8"/>
    <w:rsid w:val="00167E82"/>
    <w:rsid w:val="001701C2"/>
    <w:rsid w:val="001703A6"/>
    <w:rsid w:val="0017048C"/>
    <w:rsid w:val="00170872"/>
    <w:rsid w:val="00170A4F"/>
    <w:rsid w:val="00170C70"/>
    <w:rsid w:val="00170D39"/>
    <w:rsid w:val="00170F57"/>
    <w:rsid w:val="0017103B"/>
    <w:rsid w:val="0017114F"/>
    <w:rsid w:val="001714E1"/>
    <w:rsid w:val="00171733"/>
    <w:rsid w:val="00171FB8"/>
    <w:rsid w:val="00172074"/>
    <w:rsid w:val="0017223A"/>
    <w:rsid w:val="001724FD"/>
    <w:rsid w:val="00172D02"/>
    <w:rsid w:val="0017305B"/>
    <w:rsid w:val="001731D6"/>
    <w:rsid w:val="001732E0"/>
    <w:rsid w:val="0017348C"/>
    <w:rsid w:val="0017377F"/>
    <w:rsid w:val="0017385F"/>
    <w:rsid w:val="00173868"/>
    <w:rsid w:val="0017387C"/>
    <w:rsid w:val="00173962"/>
    <w:rsid w:val="00173CE1"/>
    <w:rsid w:val="00174527"/>
    <w:rsid w:val="00174688"/>
    <w:rsid w:val="001748B3"/>
    <w:rsid w:val="001748D4"/>
    <w:rsid w:val="001749B2"/>
    <w:rsid w:val="00174A30"/>
    <w:rsid w:val="00174AC7"/>
    <w:rsid w:val="00174AF3"/>
    <w:rsid w:val="00174E6A"/>
    <w:rsid w:val="00174ED6"/>
    <w:rsid w:val="00175089"/>
    <w:rsid w:val="001750EF"/>
    <w:rsid w:val="00175191"/>
    <w:rsid w:val="001753E7"/>
    <w:rsid w:val="001753F4"/>
    <w:rsid w:val="00175451"/>
    <w:rsid w:val="00175723"/>
    <w:rsid w:val="001758DF"/>
    <w:rsid w:val="00175CD3"/>
    <w:rsid w:val="00175D1E"/>
    <w:rsid w:val="00175F6F"/>
    <w:rsid w:val="0017629A"/>
    <w:rsid w:val="001762A1"/>
    <w:rsid w:val="00176787"/>
    <w:rsid w:val="001767CE"/>
    <w:rsid w:val="00176DC1"/>
    <w:rsid w:val="00176DF4"/>
    <w:rsid w:val="00176E06"/>
    <w:rsid w:val="00177059"/>
    <w:rsid w:val="001771A7"/>
    <w:rsid w:val="0017721A"/>
    <w:rsid w:val="001773E1"/>
    <w:rsid w:val="001775DB"/>
    <w:rsid w:val="0017766D"/>
    <w:rsid w:val="0017791D"/>
    <w:rsid w:val="0017792A"/>
    <w:rsid w:val="00177DDA"/>
    <w:rsid w:val="0018058D"/>
    <w:rsid w:val="001806D4"/>
    <w:rsid w:val="001808AE"/>
    <w:rsid w:val="0018097B"/>
    <w:rsid w:val="00180A03"/>
    <w:rsid w:val="00180A62"/>
    <w:rsid w:val="00180D78"/>
    <w:rsid w:val="00180DF3"/>
    <w:rsid w:val="00180E03"/>
    <w:rsid w:val="00180F0C"/>
    <w:rsid w:val="00180F62"/>
    <w:rsid w:val="00181001"/>
    <w:rsid w:val="001811F0"/>
    <w:rsid w:val="00181556"/>
    <w:rsid w:val="00181946"/>
    <w:rsid w:val="00181CED"/>
    <w:rsid w:val="00181D3B"/>
    <w:rsid w:val="00181D63"/>
    <w:rsid w:val="00181D92"/>
    <w:rsid w:val="00181DD4"/>
    <w:rsid w:val="00181DE2"/>
    <w:rsid w:val="001821CD"/>
    <w:rsid w:val="001822DF"/>
    <w:rsid w:val="00182479"/>
    <w:rsid w:val="00182496"/>
    <w:rsid w:val="001825AE"/>
    <w:rsid w:val="0018272D"/>
    <w:rsid w:val="00182794"/>
    <w:rsid w:val="00182B64"/>
    <w:rsid w:val="00182E27"/>
    <w:rsid w:val="00182EE7"/>
    <w:rsid w:val="00182F61"/>
    <w:rsid w:val="0018366B"/>
    <w:rsid w:val="0018371E"/>
    <w:rsid w:val="00183B5D"/>
    <w:rsid w:val="00183BAB"/>
    <w:rsid w:val="00183C7E"/>
    <w:rsid w:val="00183DD8"/>
    <w:rsid w:val="00183ED0"/>
    <w:rsid w:val="00183F58"/>
    <w:rsid w:val="001840BD"/>
    <w:rsid w:val="0018426F"/>
    <w:rsid w:val="0018427A"/>
    <w:rsid w:val="001845A5"/>
    <w:rsid w:val="00184C1D"/>
    <w:rsid w:val="00184CE9"/>
    <w:rsid w:val="00184D2D"/>
    <w:rsid w:val="00184E27"/>
    <w:rsid w:val="00184F52"/>
    <w:rsid w:val="00185195"/>
    <w:rsid w:val="00185416"/>
    <w:rsid w:val="00185694"/>
    <w:rsid w:val="00185715"/>
    <w:rsid w:val="00185725"/>
    <w:rsid w:val="001857EB"/>
    <w:rsid w:val="00185885"/>
    <w:rsid w:val="001859F2"/>
    <w:rsid w:val="00185E1B"/>
    <w:rsid w:val="00185F69"/>
    <w:rsid w:val="00186050"/>
    <w:rsid w:val="00186350"/>
    <w:rsid w:val="00186570"/>
    <w:rsid w:val="00186595"/>
    <w:rsid w:val="001866A3"/>
    <w:rsid w:val="001867D6"/>
    <w:rsid w:val="00186800"/>
    <w:rsid w:val="001869A5"/>
    <w:rsid w:val="00186B5B"/>
    <w:rsid w:val="00186C1F"/>
    <w:rsid w:val="00186D9F"/>
    <w:rsid w:val="00186DCC"/>
    <w:rsid w:val="00186F57"/>
    <w:rsid w:val="00186F7E"/>
    <w:rsid w:val="00187055"/>
    <w:rsid w:val="001871CA"/>
    <w:rsid w:val="001871E4"/>
    <w:rsid w:val="001871E8"/>
    <w:rsid w:val="0018784F"/>
    <w:rsid w:val="00187BDA"/>
    <w:rsid w:val="00187F70"/>
    <w:rsid w:val="00190057"/>
    <w:rsid w:val="001900CE"/>
    <w:rsid w:val="00190190"/>
    <w:rsid w:val="0019022B"/>
    <w:rsid w:val="00190638"/>
    <w:rsid w:val="0019082F"/>
    <w:rsid w:val="00190A10"/>
    <w:rsid w:val="00190C58"/>
    <w:rsid w:val="00190CC1"/>
    <w:rsid w:val="001911C2"/>
    <w:rsid w:val="001911E0"/>
    <w:rsid w:val="0019127F"/>
    <w:rsid w:val="00191462"/>
    <w:rsid w:val="001914B6"/>
    <w:rsid w:val="00191B0B"/>
    <w:rsid w:val="00191C10"/>
    <w:rsid w:val="00191F5A"/>
    <w:rsid w:val="00191FF8"/>
    <w:rsid w:val="00192047"/>
    <w:rsid w:val="0019210D"/>
    <w:rsid w:val="001921F2"/>
    <w:rsid w:val="00192477"/>
    <w:rsid w:val="0019250A"/>
    <w:rsid w:val="0019277C"/>
    <w:rsid w:val="001927E0"/>
    <w:rsid w:val="00192C06"/>
    <w:rsid w:val="00192FF0"/>
    <w:rsid w:val="001935CE"/>
    <w:rsid w:val="0019366D"/>
    <w:rsid w:val="001938D6"/>
    <w:rsid w:val="00193917"/>
    <w:rsid w:val="00193987"/>
    <w:rsid w:val="00193D40"/>
    <w:rsid w:val="00193E1D"/>
    <w:rsid w:val="00193FB5"/>
    <w:rsid w:val="0019428E"/>
    <w:rsid w:val="001942A3"/>
    <w:rsid w:val="0019430B"/>
    <w:rsid w:val="0019445C"/>
    <w:rsid w:val="001944E4"/>
    <w:rsid w:val="001945AB"/>
    <w:rsid w:val="001945BD"/>
    <w:rsid w:val="00194622"/>
    <w:rsid w:val="00194692"/>
    <w:rsid w:val="0019471F"/>
    <w:rsid w:val="00194745"/>
    <w:rsid w:val="0019482F"/>
    <w:rsid w:val="00194895"/>
    <w:rsid w:val="00194AFE"/>
    <w:rsid w:val="00194BEB"/>
    <w:rsid w:val="00194C26"/>
    <w:rsid w:val="00194CEC"/>
    <w:rsid w:val="00194DD5"/>
    <w:rsid w:val="00194F40"/>
    <w:rsid w:val="00194F5C"/>
    <w:rsid w:val="00194F73"/>
    <w:rsid w:val="00194FDC"/>
    <w:rsid w:val="00195034"/>
    <w:rsid w:val="001950F2"/>
    <w:rsid w:val="00195159"/>
    <w:rsid w:val="001952F0"/>
    <w:rsid w:val="00195338"/>
    <w:rsid w:val="00195627"/>
    <w:rsid w:val="00195648"/>
    <w:rsid w:val="00195713"/>
    <w:rsid w:val="00195B5B"/>
    <w:rsid w:val="00195C64"/>
    <w:rsid w:val="00195F9C"/>
    <w:rsid w:val="00195FE8"/>
    <w:rsid w:val="0019613E"/>
    <w:rsid w:val="00196194"/>
    <w:rsid w:val="0019624C"/>
    <w:rsid w:val="0019665E"/>
    <w:rsid w:val="00196BAC"/>
    <w:rsid w:val="00196C83"/>
    <w:rsid w:val="00196E81"/>
    <w:rsid w:val="0019726F"/>
    <w:rsid w:val="00197661"/>
    <w:rsid w:val="00197AB0"/>
    <w:rsid w:val="00197D70"/>
    <w:rsid w:val="001A0263"/>
    <w:rsid w:val="001A032C"/>
    <w:rsid w:val="001A0655"/>
    <w:rsid w:val="001A07C8"/>
    <w:rsid w:val="001A0861"/>
    <w:rsid w:val="001A0CBF"/>
    <w:rsid w:val="001A0F13"/>
    <w:rsid w:val="001A1100"/>
    <w:rsid w:val="001A111F"/>
    <w:rsid w:val="001A1170"/>
    <w:rsid w:val="001A11F4"/>
    <w:rsid w:val="001A1290"/>
    <w:rsid w:val="001A1383"/>
    <w:rsid w:val="001A17A0"/>
    <w:rsid w:val="001A17F5"/>
    <w:rsid w:val="001A1C38"/>
    <w:rsid w:val="001A1F4A"/>
    <w:rsid w:val="001A2155"/>
    <w:rsid w:val="001A22AA"/>
    <w:rsid w:val="001A2328"/>
    <w:rsid w:val="001A2347"/>
    <w:rsid w:val="001A238E"/>
    <w:rsid w:val="001A276D"/>
    <w:rsid w:val="001A2827"/>
    <w:rsid w:val="001A2A81"/>
    <w:rsid w:val="001A2DC0"/>
    <w:rsid w:val="001A2F23"/>
    <w:rsid w:val="001A3088"/>
    <w:rsid w:val="001A3173"/>
    <w:rsid w:val="001A3259"/>
    <w:rsid w:val="001A3404"/>
    <w:rsid w:val="001A358C"/>
    <w:rsid w:val="001A36BF"/>
    <w:rsid w:val="001A3709"/>
    <w:rsid w:val="001A3729"/>
    <w:rsid w:val="001A3B77"/>
    <w:rsid w:val="001A3EC1"/>
    <w:rsid w:val="001A3EF5"/>
    <w:rsid w:val="001A40C1"/>
    <w:rsid w:val="001A451B"/>
    <w:rsid w:val="001A4765"/>
    <w:rsid w:val="001A4AC2"/>
    <w:rsid w:val="001A4B30"/>
    <w:rsid w:val="001A52A9"/>
    <w:rsid w:val="001A52BF"/>
    <w:rsid w:val="001A5879"/>
    <w:rsid w:val="001A5897"/>
    <w:rsid w:val="001A592D"/>
    <w:rsid w:val="001A5BEE"/>
    <w:rsid w:val="001A5DB0"/>
    <w:rsid w:val="001A6374"/>
    <w:rsid w:val="001A644F"/>
    <w:rsid w:val="001A6A3B"/>
    <w:rsid w:val="001A6A53"/>
    <w:rsid w:val="001A6C42"/>
    <w:rsid w:val="001A6D46"/>
    <w:rsid w:val="001A7227"/>
    <w:rsid w:val="001A7287"/>
    <w:rsid w:val="001A72EB"/>
    <w:rsid w:val="001A73B9"/>
    <w:rsid w:val="001A78B7"/>
    <w:rsid w:val="001A7B00"/>
    <w:rsid w:val="001A7D1B"/>
    <w:rsid w:val="001A7D4C"/>
    <w:rsid w:val="001A7DB4"/>
    <w:rsid w:val="001A7F80"/>
    <w:rsid w:val="001A7FF7"/>
    <w:rsid w:val="001B0364"/>
    <w:rsid w:val="001B0381"/>
    <w:rsid w:val="001B0484"/>
    <w:rsid w:val="001B05F8"/>
    <w:rsid w:val="001B0831"/>
    <w:rsid w:val="001B09EB"/>
    <w:rsid w:val="001B0DD5"/>
    <w:rsid w:val="001B0EC8"/>
    <w:rsid w:val="001B1338"/>
    <w:rsid w:val="001B1897"/>
    <w:rsid w:val="001B18F7"/>
    <w:rsid w:val="001B1C4E"/>
    <w:rsid w:val="001B1D90"/>
    <w:rsid w:val="001B1F98"/>
    <w:rsid w:val="001B2169"/>
    <w:rsid w:val="001B23C2"/>
    <w:rsid w:val="001B25EB"/>
    <w:rsid w:val="001B265A"/>
    <w:rsid w:val="001B2788"/>
    <w:rsid w:val="001B289E"/>
    <w:rsid w:val="001B2A58"/>
    <w:rsid w:val="001B2C4C"/>
    <w:rsid w:val="001B2CD8"/>
    <w:rsid w:val="001B2D32"/>
    <w:rsid w:val="001B2DC0"/>
    <w:rsid w:val="001B2E10"/>
    <w:rsid w:val="001B34B3"/>
    <w:rsid w:val="001B3533"/>
    <w:rsid w:val="001B35FC"/>
    <w:rsid w:val="001B3634"/>
    <w:rsid w:val="001B3836"/>
    <w:rsid w:val="001B38B2"/>
    <w:rsid w:val="001B38FE"/>
    <w:rsid w:val="001B3AA7"/>
    <w:rsid w:val="001B3E01"/>
    <w:rsid w:val="001B3FC8"/>
    <w:rsid w:val="001B4278"/>
    <w:rsid w:val="001B433F"/>
    <w:rsid w:val="001B44FD"/>
    <w:rsid w:val="001B4AA4"/>
    <w:rsid w:val="001B4B27"/>
    <w:rsid w:val="001B4B91"/>
    <w:rsid w:val="001B4EBF"/>
    <w:rsid w:val="001B507B"/>
    <w:rsid w:val="001B52D6"/>
    <w:rsid w:val="001B52DC"/>
    <w:rsid w:val="001B5517"/>
    <w:rsid w:val="001B583B"/>
    <w:rsid w:val="001B596D"/>
    <w:rsid w:val="001B5A4A"/>
    <w:rsid w:val="001B5A99"/>
    <w:rsid w:val="001B5B09"/>
    <w:rsid w:val="001B5E15"/>
    <w:rsid w:val="001B5F27"/>
    <w:rsid w:val="001B5F45"/>
    <w:rsid w:val="001B6005"/>
    <w:rsid w:val="001B6034"/>
    <w:rsid w:val="001B604B"/>
    <w:rsid w:val="001B6058"/>
    <w:rsid w:val="001B6344"/>
    <w:rsid w:val="001B65F4"/>
    <w:rsid w:val="001B66B0"/>
    <w:rsid w:val="001B68DC"/>
    <w:rsid w:val="001B6B93"/>
    <w:rsid w:val="001B6C75"/>
    <w:rsid w:val="001B6D0D"/>
    <w:rsid w:val="001B6D48"/>
    <w:rsid w:val="001B7076"/>
    <w:rsid w:val="001B75EE"/>
    <w:rsid w:val="001B7894"/>
    <w:rsid w:val="001B78F4"/>
    <w:rsid w:val="001B7955"/>
    <w:rsid w:val="001B79D1"/>
    <w:rsid w:val="001B7E19"/>
    <w:rsid w:val="001B7F11"/>
    <w:rsid w:val="001B7F7F"/>
    <w:rsid w:val="001C020E"/>
    <w:rsid w:val="001C037B"/>
    <w:rsid w:val="001C0541"/>
    <w:rsid w:val="001C0768"/>
    <w:rsid w:val="001C09DD"/>
    <w:rsid w:val="001C0E07"/>
    <w:rsid w:val="001C0E7B"/>
    <w:rsid w:val="001C1002"/>
    <w:rsid w:val="001C1496"/>
    <w:rsid w:val="001C16AE"/>
    <w:rsid w:val="001C1776"/>
    <w:rsid w:val="001C195E"/>
    <w:rsid w:val="001C1AD4"/>
    <w:rsid w:val="001C1EA8"/>
    <w:rsid w:val="001C201E"/>
    <w:rsid w:val="001C284B"/>
    <w:rsid w:val="001C2940"/>
    <w:rsid w:val="001C2A5C"/>
    <w:rsid w:val="001C2D20"/>
    <w:rsid w:val="001C2FE6"/>
    <w:rsid w:val="001C3028"/>
    <w:rsid w:val="001C30B5"/>
    <w:rsid w:val="001C33DD"/>
    <w:rsid w:val="001C35BE"/>
    <w:rsid w:val="001C3819"/>
    <w:rsid w:val="001C3A2C"/>
    <w:rsid w:val="001C4215"/>
    <w:rsid w:val="001C4378"/>
    <w:rsid w:val="001C4572"/>
    <w:rsid w:val="001C4711"/>
    <w:rsid w:val="001C485D"/>
    <w:rsid w:val="001C48DC"/>
    <w:rsid w:val="001C49F0"/>
    <w:rsid w:val="001C4ABB"/>
    <w:rsid w:val="001C4B07"/>
    <w:rsid w:val="001C4EAD"/>
    <w:rsid w:val="001C50B9"/>
    <w:rsid w:val="001C50FC"/>
    <w:rsid w:val="001C51F8"/>
    <w:rsid w:val="001C5271"/>
    <w:rsid w:val="001C53B6"/>
    <w:rsid w:val="001C5828"/>
    <w:rsid w:val="001C5920"/>
    <w:rsid w:val="001C5C3E"/>
    <w:rsid w:val="001C5CEF"/>
    <w:rsid w:val="001C5F84"/>
    <w:rsid w:val="001C618C"/>
    <w:rsid w:val="001C63CD"/>
    <w:rsid w:val="001C646D"/>
    <w:rsid w:val="001C6543"/>
    <w:rsid w:val="001C6555"/>
    <w:rsid w:val="001C6605"/>
    <w:rsid w:val="001C66FA"/>
    <w:rsid w:val="001C676D"/>
    <w:rsid w:val="001C698B"/>
    <w:rsid w:val="001C6B95"/>
    <w:rsid w:val="001C6BF4"/>
    <w:rsid w:val="001C6FA9"/>
    <w:rsid w:val="001C7092"/>
    <w:rsid w:val="001C7115"/>
    <w:rsid w:val="001C722D"/>
    <w:rsid w:val="001C727E"/>
    <w:rsid w:val="001C7312"/>
    <w:rsid w:val="001C745B"/>
    <w:rsid w:val="001C753A"/>
    <w:rsid w:val="001C76DB"/>
    <w:rsid w:val="001C76F4"/>
    <w:rsid w:val="001C79CA"/>
    <w:rsid w:val="001C7B1A"/>
    <w:rsid w:val="001C7BBC"/>
    <w:rsid w:val="001C7C6A"/>
    <w:rsid w:val="001C7CB6"/>
    <w:rsid w:val="001C7F03"/>
    <w:rsid w:val="001C7FB1"/>
    <w:rsid w:val="001D043E"/>
    <w:rsid w:val="001D0472"/>
    <w:rsid w:val="001D04E1"/>
    <w:rsid w:val="001D09D9"/>
    <w:rsid w:val="001D0A41"/>
    <w:rsid w:val="001D0BF8"/>
    <w:rsid w:val="001D0D90"/>
    <w:rsid w:val="001D0DB7"/>
    <w:rsid w:val="001D0DE9"/>
    <w:rsid w:val="001D0E32"/>
    <w:rsid w:val="001D0F66"/>
    <w:rsid w:val="001D12F9"/>
    <w:rsid w:val="001D14CA"/>
    <w:rsid w:val="001D1632"/>
    <w:rsid w:val="001D18CF"/>
    <w:rsid w:val="001D1AAF"/>
    <w:rsid w:val="001D1F44"/>
    <w:rsid w:val="001D1F59"/>
    <w:rsid w:val="001D2066"/>
    <w:rsid w:val="001D29EB"/>
    <w:rsid w:val="001D2CB4"/>
    <w:rsid w:val="001D2D5C"/>
    <w:rsid w:val="001D3806"/>
    <w:rsid w:val="001D38DF"/>
    <w:rsid w:val="001D3B51"/>
    <w:rsid w:val="001D3D57"/>
    <w:rsid w:val="001D409E"/>
    <w:rsid w:val="001D4525"/>
    <w:rsid w:val="001D478A"/>
    <w:rsid w:val="001D4A3B"/>
    <w:rsid w:val="001D4BFD"/>
    <w:rsid w:val="001D50EF"/>
    <w:rsid w:val="001D5472"/>
    <w:rsid w:val="001D5519"/>
    <w:rsid w:val="001D55CC"/>
    <w:rsid w:val="001D561D"/>
    <w:rsid w:val="001D565A"/>
    <w:rsid w:val="001D5717"/>
    <w:rsid w:val="001D5739"/>
    <w:rsid w:val="001D577C"/>
    <w:rsid w:val="001D5794"/>
    <w:rsid w:val="001D59E5"/>
    <w:rsid w:val="001D5A59"/>
    <w:rsid w:val="001D5BFD"/>
    <w:rsid w:val="001D5C5D"/>
    <w:rsid w:val="001D5C67"/>
    <w:rsid w:val="001D5E50"/>
    <w:rsid w:val="001D5E8B"/>
    <w:rsid w:val="001D5F15"/>
    <w:rsid w:val="001D6044"/>
    <w:rsid w:val="001D627B"/>
    <w:rsid w:val="001D657F"/>
    <w:rsid w:val="001D65F8"/>
    <w:rsid w:val="001D673F"/>
    <w:rsid w:val="001D6841"/>
    <w:rsid w:val="001D6B78"/>
    <w:rsid w:val="001D6C6A"/>
    <w:rsid w:val="001D6F1B"/>
    <w:rsid w:val="001D71B3"/>
    <w:rsid w:val="001D741A"/>
    <w:rsid w:val="001D7430"/>
    <w:rsid w:val="001D7682"/>
    <w:rsid w:val="001D7987"/>
    <w:rsid w:val="001D7A94"/>
    <w:rsid w:val="001D7A97"/>
    <w:rsid w:val="001D7AF9"/>
    <w:rsid w:val="001E019F"/>
    <w:rsid w:val="001E0207"/>
    <w:rsid w:val="001E02BC"/>
    <w:rsid w:val="001E02CF"/>
    <w:rsid w:val="001E04F7"/>
    <w:rsid w:val="001E090F"/>
    <w:rsid w:val="001E0A73"/>
    <w:rsid w:val="001E0A79"/>
    <w:rsid w:val="001E0A9E"/>
    <w:rsid w:val="001E0C5A"/>
    <w:rsid w:val="001E0DDB"/>
    <w:rsid w:val="001E10BD"/>
    <w:rsid w:val="001E1178"/>
    <w:rsid w:val="001E1421"/>
    <w:rsid w:val="001E15A9"/>
    <w:rsid w:val="001E15D8"/>
    <w:rsid w:val="001E16A7"/>
    <w:rsid w:val="001E16B0"/>
    <w:rsid w:val="001E16E3"/>
    <w:rsid w:val="001E17D0"/>
    <w:rsid w:val="001E1988"/>
    <w:rsid w:val="001E19EB"/>
    <w:rsid w:val="001E1D5F"/>
    <w:rsid w:val="001E1DEB"/>
    <w:rsid w:val="001E21A1"/>
    <w:rsid w:val="001E2299"/>
    <w:rsid w:val="001E22A4"/>
    <w:rsid w:val="001E2442"/>
    <w:rsid w:val="001E25DC"/>
    <w:rsid w:val="001E2686"/>
    <w:rsid w:val="001E26A9"/>
    <w:rsid w:val="001E2799"/>
    <w:rsid w:val="001E29BA"/>
    <w:rsid w:val="001E2A0F"/>
    <w:rsid w:val="001E2B43"/>
    <w:rsid w:val="001E2CAF"/>
    <w:rsid w:val="001E2DAF"/>
    <w:rsid w:val="001E31A7"/>
    <w:rsid w:val="001E320B"/>
    <w:rsid w:val="001E34E7"/>
    <w:rsid w:val="001E3DDD"/>
    <w:rsid w:val="001E42B9"/>
    <w:rsid w:val="001E4824"/>
    <w:rsid w:val="001E48A7"/>
    <w:rsid w:val="001E4ADF"/>
    <w:rsid w:val="001E4BAD"/>
    <w:rsid w:val="001E4FCD"/>
    <w:rsid w:val="001E50AA"/>
    <w:rsid w:val="001E50CB"/>
    <w:rsid w:val="001E512E"/>
    <w:rsid w:val="001E524E"/>
    <w:rsid w:val="001E52DF"/>
    <w:rsid w:val="001E5359"/>
    <w:rsid w:val="001E5533"/>
    <w:rsid w:val="001E578B"/>
    <w:rsid w:val="001E582F"/>
    <w:rsid w:val="001E5CE1"/>
    <w:rsid w:val="001E5F43"/>
    <w:rsid w:val="001E6179"/>
    <w:rsid w:val="001E6304"/>
    <w:rsid w:val="001E630A"/>
    <w:rsid w:val="001E63DA"/>
    <w:rsid w:val="001E66F0"/>
    <w:rsid w:val="001E69C3"/>
    <w:rsid w:val="001E6CC3"/>
    <w:rsid w:val="001E6DD1"/>
    <w:rsid w:val="001E6F5E"/>
    <w:rsid w:val="001E7074"/>
    <w:rsid w:val="001E70BE"/>
    <w:rsid w:val="001E736A"/>
    <w:rsid w:val="001E73DE"/>
    <w:rsid w:val="001E74FA"/>
    <w:rsid w:val="001E7A07"/>
    <w:rsid w:val="001E7A1A"/>
    <w:rsid w:val="001E7A4A"/>
    <w:rsid w:val="001E7D29"/>
    <w:rsid w:val="001E7D36"/>
    <w:rsid w:val="001E7EAB"/>
    <w:rsid w:val="001F0057"/>
    <w:rsid w:val="001F0316"/>
    <w:rsid w:val="001F0544"/>
    <w:rsid w:val="001F05CE"/>
    <w:rsid w:val="001F070C"/>
    <w:rsid w:val="001F0827"/>
    <w:rsid w:val="001F098B"/>
    <w:rsid w:val="001F0A99"/>
    <w:rsid w:val="001F0DF1"/>
    <w:rsid w:val="001F1029"/>
    <w:rsid w:val="001F10A4"/>
    <w:rsid w:val="001F1494"/>
    <w:rsid w:val="001F14B2"/>
    <w:rsid w:val="001F14CA"/>
    <w:rsid w:val="001F1523"/>
    <w:rsid w:val="001F15D7"/>
    <w:rsid w:val="001F1907"/>
    <w:rsid w:val="001F1A28"/>
    <w:rsid w:val="001F1E40"/>
    <w:rsid w:val="001F1E53"/>
    <w:rsid w:val="001F22B9"/>
    <w:rsid w:val="001F285D"/>
    <w:rsid w:val="001F288C"/>
    <w:rsid w:val="001F28DF"/>
    <w:rsid w:val="001F2921"/>
    <w:rsid w:val="001F2C02"/>
    <w:rsid w:val="001F2D72"/>
    <w:rsid w:val="001F2F12"/>
    <w:rsid w:val="001F3320"/>
    <w:rsid w:val="001F3434"/>
    <w:rsid w:val="001F37BE"/>
    <w:rsid w:val="001F3B22"/>
    <w:rsid w:val="001F3D2F"/>
    <w:rsid w:val="001F3EA4"/>
    <w:rsid w:val="001F3EA6"/>
    <w:rsid w:val="001F3F3D"/>
    <w:rsid w:val="001F3F49"/>
    <w:rsid w:val="001F3FD0"/>
    <w:rsid w:val="001F4127"/>
    <w:rsid w:val="001F41D0"/>
    <w:rsid w:val="001F42FA"/>
    <w:rsid w:val="001F4377"/>
    <w:rsid w:val="001F4403"/>
    <w:rsid w:val="001F44A7"/>
    <w:rsid w:val="001F45BA"/>
    <w:rsid w:val="001F4653"/>
    <w:rsid w:val="001F471C"/>
    <w:rsid w:val="001F49B6"/>
    <w:rsid w:val="001F4B9D"/>
    <w:rsid w:val="001F4EE2"/>
    <w:rsid w:val="001F518F"/>
    <w:rsid w:val="001F521A"/>
    <w:rsid w:val="001F5414"/>
    <w:rsid w:val="001F562A"/>
    <w:rsid w:val="001F56DA"/>
    <w:rsid w:val="001F5712"/>
    <w:rsid w:val="001F5746"/>
    <w:rsid w:val="001F5ACC"/>
    <w:rsid w:val="001F5AEA"/>
    <w:rsid w:val="001F5BDC"/>
    <w:rsid w:val="001F5BE4"/>
    <w:rsid w:val="001F5D9C"/>
    <w:rsid w:val="001F5DDD"/>
    <w:rsid w:val="001F5FBD"/>
    <w:rsid w:val="001F5FDE"/>
    <w:rsid w:val="001F6063"/>
    <w:rsid w:val="001F6140"/>
    <w:rsid w:val="001F63F4"/>
    <w:rsid w:val="001F652A"/>
    <w:rsid w:val="001F67DE"/>
    <w:rsid w:val="001F6858"/>
    <w:rsid w:val="001F6B46"/>
    <w:rsid w:val="001F6B5F"/>
    <w:rsid w:val="001F6B89"/>
    <w:rsid w:val="001F6C85"/>
    <w:rsid w:val="001F6DE9"/>
    <w:rsid w:val="001F6EBC"/>
    <w:rsid w:val="001F6F92"/>
    <w:rsid w:val="001F7034"/>
    <w:rsid w:val="001F70B9"/>
    <w:rsid w:val="001F70FC"/>
    <w:rsid w:val="001F71F5"/>
    <w:rsid w:val="001F7299"/>
    <w:rsid w:val="001F761C"/>
    <w:rsid w:val="001F7637"/>
    <w:rsid w:val="001F76CD"/>
    <w:rsid w:val="001F7919"/>
    <w:rsid w:val="00200210"/>
    <w:rsid w:val="002003B7"/>
    <w:rsid w:val="002004A5"/>
    <w:rsid w:val="002004C5"/>
    <w:rsid w:val="002004D6"/>
    <w:rsid w:val="00200549"/>
    <w:rsid w:val="002006A7"/>
    <w:rsid w:val="002006C1"/>
    <w:rsid w:val="002007C7"/>
    <w:rsid w:val="00200951"/>
    <w:rsid w:val="002009E5"/>
    <w:rsid w:val="00200A2C"/>
    <w:rsid w:val="002010B3"/>
    <w:rsid w:val="00201230"/>
    <w:rsid w:val="00201507"/>
    <w:rsid w:val="00201698"/>
    <w:rsid w:val="002016C9"/>
    <w:rsid w:val="002019AF"/>
    <w:rsid w:val="00202046"/>
    <w:rsid w:val="0020214D"/>
    <w:rsid w:val="002023E3"/>
    <w:rsid w:val="002024FF"/>
    <w:rsid w:val="0020258E"/>
    <w:rsid w:val="00202714"/>
    <w:rsid w:val="002027EB"/>
    <w:rsid w:val="00202C51"/>
    <w:rsid w:val="00202C56"/>
    <w:rsid w:val="00202EA4"/>
    <w:rsid w:val="00202EE7"/>
    <w:rsid w:val="0020303B"/>
    <w:rsid w:val="002031EC"/>
    <w:rsid w:val="002032FF"/>
    <w:rsid w:val="002033F8"/>
    <w:rsid w:val="00203429"/>
    <w:rsid w:val="0020386B"/>
    <w:rsid w:val="00203B6D"/>
    <w:rsid w:val="00203EA0"/>
    <w:rsid w:val="00203FA5"/>
    <w:rsid w:val="00204246"/>
    <w:rsid w:val="00204580"/>
    <w:rsid w:val="002046A8"/>
    <w:rsid w:val="00204710"/>
    <w:rsid w:val="00204738"/>
    <w:rsid w:val="00204945"/>
    <w:rsid w:val="0020498B"/>
    <w:rsid w:val="002049F6"/>
    <w:rsid w:val="00204B23"/>
    <w:rsid w:val="00204B4F"/>
    <w:rsid w:val="00204B97"/>
    <w:rsid w:val="00204BB9"/>
    <w:rsid w:val="00204E8E"/>
    <w:rsid w:val="00204F55"/>
    <w:rsid w:val="00205191"/>
    <w:rsid w:val="002053D1"/>
    <w:rsid w:val="002053EC"/>
    <w:rsid w:val="00205403"/>
    <w:rsid w:val="0020582D"/>
    <w:rsid w:val="002058D5"/>
    <w:rsid w:val="0020592E"/>
    <w:rsid w:val="00205AC6"/>
    <w:rsid w:val="00205B3C"/>
    <w:rsid w:val="00205B6F"/>
    <w:rsid w:val="00205B91"/>
    <w:rsid w:val="00205C78"/>
    <w:rsid w:val="00205D04"/>
    <w:rsid w:val="00205F34"/>
    <w:rsid w:val="00206614"/>
    <w:rsid w:val="00206821"/>
    <w:rsid w:val="00206D89"/>
    <w:rsid w:val="00206E2F"/>
    <w:rsid w:val="0020703F"/>
    <w:rsid w:val="002070D3"/>
    <w:rsid w:val="0020733D"/>
    <w:rsid w:val="00207470"/>
    <w:rsid w:val="00207609"/>
    <w:rsid w:val="00207672"/>
    <w:rsid w:val="00207682"/>
    <w:rsid w:val="00207895"/>
    <w:rsid w:val="0020799B"/>
    <w:rsid w:val="002079BA"/>
    <w:rsid w:val="002079DE"/>
    <w:rsid w:val="002079F4"/>
    <w:rsid w:val="00207BAF"/>
    <w:rsid w:val="00207DAC"/>
    <w:rsid w:val="00207F24"/>
    <w:rsid w:val="0021021F"/>
    <w:rsid w:val="002102CD"/>
    <w:rsid w:val="002103BD"/>
    <w:rsid w:val="002103C0"/>
    <w:rsid w:val="00210746"/>
    <w:rsid w:val="002107A5"/>
    <w:rsid w:val="002107E9"/>
    <w:rsid w:val="002108E7"/>
    <w:rsid w:val="00210982"/>
    <w:rsid w:val="002109A6"/>
    <w:rsid w:val="002109AC"/>
    <w:rsid w:val="00210D2F"/>
    <w:rsid w:val="00210EF2"/>
    <w:rsid w:val="00210F73"/>
    <w:rsid w:val="002110AD"/>
    <w:rsid w:val="00211155"/>
    <w:rsid w:val="0021118B"/>
    <w:rsid w:val="00211432"/>
    <w:rsid w:val="00211618"/>
    <w:rsid w:val="0021170F"/>
    <w:rsid w:val="00211714"/>
    <w:rsid w:val="00211876"/>
    <w:rsid w:val="002119B9"/>
    <w:rsid w:val="00211A70"/>
    <w:rsid w:val="00211CCD"/>
    <w:rsid w:val="00211DA8"/>
    <w:rsid w:val="00211E21"/>
    <w:rsid w:val="00212183"/>
    <w:rsid w:val="002122AE"/>
    <w:rsid w:val="00212301"/>
    <w:rsid w:val="00212702"/>
    <w:rsid w:val="00212743"/>
    <w:rsid w:val="00212945"/>
    <w:rsid w:val="00212A0B"/>
    <w:rsid w:val="00212BB6"/>
    <w:rsid w:val="00212D7E"/>
    <w:rsid w:val="0021304D"/>
    <w:rsid w:val="002131EA"/>
    <w:rsid w:val="0021354A"/>
    <w:rsid w:val="00213771"/>
    <w:rsid w:val="002138A1"/>
    <w:rsid w:val="00213963"/>
    <w:rsid w:val="00213CE1"/>
    <w:rsid w:val="00213E83"/>
    <w:rsid w:val="002140A8"/>
    <w:rsid w:val="002140B4"/>
    <w:rsid w:val="0021420C"/>
    <w:rsid w:val="002144BC"/>
    <w:rsid w:val="00214534"/>
    <w:rsid w:val="0021457B"/>
    <w:rsid w:val="002147E8"/>
    <w:rsid w:val="00214855"/>
    <w:rsid w:val="00214980"/>
    <w:rsid w:val="00214A61"/>
    <w:rsid w:val="00214B7E"/>
    <w:rsid w:val="00214BA2"/>
    <w:rsid w:val="00214C90"/>
    <w:rsid w:val="00214D03"/>
    <w:rsid w:val="00214F20"/>
    <w:rsid w:val="00214F50"/>
    <w:rsid w:val="0021526A"/>
    <w:rsid w:val="0021531E"/>
    <w:rsid w:val="0021533B"/>
    <w:rsid w:val="00215549"/>
    <w:rsid w:val="00215982"/>
    <w:rsid w:val="00215D37"/>
    <w:rsid w:val="00215E03"/>
    <w:rsid w:val="00216197"/>
    <w:rsid w:val="002161B8"/>
    <w:rsid w:val="002162B8"/>
    <w:rsid w:val="002162D1"/>
    <w:rsid w:val="0021685B"/>
    <w:rsid w:val="00216983"/>
    <w:rsid w:val="0021699A"/>
    <w:rsid w:val="00216C95"/>
    <w:rsid w:val="00216D0E"/>
    <w:rsid w:val="00216D27"/>
    <w:rsid w:val="00216D7D"/>
    <w:rsid w:val="00216FAA"/>
    <w:rsid w:val="002170E8"/>
    <w:rsid w:val="0021721F"/>
    <w:rsid w:val="00217440"/>
    <w:rsid w:val="0021793D"/>
    <w:rsid w:val="002179DF"/>
    <w:rsid w:val="00217A23"/>
    <w:rsid w:val="00217ADC"/>
    <w:rsid w:val="00217E88"/>
    <w:rsid w:val="00217EB0"/>
    <w:rsid w:val="0022004E"/>
    <w:rsid w:val="002203CD"/>
    <w:rsid w:val="002203D4"/>
    <w:rsid w:val="00220505"/>
    <w:rsid w:val="00220CA8"/>
    <w:rsid w:val="002210D5"/>
    <w:rsid w:val="002210F1"/>
    <w:rsid w:val="00221292"/>
    <w:rsid w:val="002212C6"/>
    <w:rsid w:val="00221360"/>
    <w:rsid w:val="002213D2"/>
    <w:rsid w:val="002213E8"/>
    <w:rsid w:val="002213FE"/>
    <w:rsid w:val="0022140A"/>
    <w:rsid w:val="002215B7"/>
    <w:rsid w:val="00221640"/>
    <w:rsid w:val="002216FB"/>
    <w:rsid w:val="00221895"/>
    <w:rsid w:val="0022189A"/>
    <w:rsid w:val="00221943"/>
    <w:rsid w:val="00221BA9"/>
    <w:rsid w:val="00221CFA"/>
    <w:rsid w:val="00221CFF"/>
    <w:rsid w:val="00221FDE"/>
    <w:rsid w:val="002222F8"/>
    <w:rsid w:val="0022244D"/>
    <w:rsid w:val="00222532"/>
    <w:rsid w:val="002226CD"/>
    <w:rsid w:val="002227BE"/>
    <w:rsid w:val="002227C7"/>
    <w:rsid w:val="0022296A"/>
    <w:rsid w:val="00222BB0"/>
    <w:rsid w:val="00222E22"/>
    <w:rsid w:val="002230C4"/>
    <w:rsid w:val="002232B6"/>
    <w:rsid w:val="002233A0"/>
    <w:rsid w:val="002233FB"/>
    <w:rsid w:val="00223591"/>
    <w:rsid w:val="00223638"/>
    <w:rsid w:val="0022369A"/>
    <w:rsid w:val="00223F5A"/>
    <w:rsid w:val="00223F8E"/>
    <w:rsid w:val="002240C4"/>
    <w:rsid w:val="0022414F"/>
    <w:rsid w:val="00224165"/>
    <w:rsid w:val="0022453A"/>
    <w:rsid w:val="0022461B"/>
    <w:rsid w:val="00224EAC"/>
    <w:rsid w:val="00224F7F"/>
    <w:rsid w:val="00225152"/>
    <w:rsid w:val="002252B0"/>
    <w:rsid w:val="00225415"/>
    <w:rsid w:val="00225560"/>
    <w:rsid w:val="00225637"/>
    <w:rsid w:val="00225641"/>
    <w:rsid w:val="0022581D"/>
    <w:rsid w:val="00225982"/>
    <w:rsid w:val="002259B8"/>
    <w:rsid w:val="00225AA7"/>
    <w:rsid w:val="00226019"/>
    <w:rsid w:val="00226053"/>
    <w:rsid w:val="00226201"/>
    <w:rsid w:val="00226207"/>
    <w:rsid w:val="0022621B"/>
    <w:rsid w:val="00226225"/>
    <w:rsid w:val="0022651F"/>
    <w:rsid w:val="002265D0"/>
    <w:rsid w:val="002267C4"/>
    <w:rsid w:val="002268C1"/>
    <w:rsid w:val="00226917"/>
    <w:rsid w:val="00226F0B"/>
    <w:rsid w:val="00226FDB"/>
    <w:rsid w:val="0022706E"/>
    <w:rsid w:val="00227089"/>
    <w:rsid w:val="00227502"/>
    <w:rsid w:val="00227508"/>
    <w:rsid w:val="002275D0"/>
    <w:rsid w:val="00227698"/>
    <w:rsid w:val="002276DC"/>
    <w:rsid w:val="002276F3"/>
    <w:rsid w:val="0022777B"/>
    <w:rsid w:val="00227956"/>
    <w:rsid w:val="00227A64"/>
    <w:rsid w:val="00227ABF"/>
    <w:rsid w:val="00227D91"/>
    <w:rsid w:val="0023039D"/>
    <w:rsid w:val="002306B6"/>
    <w:rsid w:val="002306F2"/>
    <w:rsid w:val="002307EC"/>
    <w:rsid w:val="00230962"/>
    <w:rsid w:val="0023096C"/>
    <w:rsid w:val="00230ADB"/>
    <w:rsid w:val="00230DF0"/>
    <w:rsid w:val="00230F95"/>
    <w:rsid w:val="00230FD6"/>
    <w:rsid w:val="00231075"/>
    <w:rsid w:val="002310E0"/>
    <w:rsid w:val="002310FE"/>
    <w:rsid w:val="00231189"/>
    <w:rsid w:val="002312E8"/>
    <w:rsid w:val="0023138F"/>
    <w:rsid w:val="002313C5"/>
    <w:rsid w:val="002315D0"/>
    <w:rsid w:val="00231628"/>
    <w:rsid w:val="0023190C"/>
    <w:rsid w:val="00231B8D"/>
    <w:rsid w:val="00231C76"/>
    <w:rsid w:val="00231E06"/>
    <w:rsid w:val="00231F42"/>
    <w:rsid w:val="002325B7"/>
    <w:rsid w:val="002325BF"/>
    <w:rsid w:val="002326A0"/>
    <w:rsid w:val="002327AB"/>
    <w:rsid w:val="002329B0"/>
    <w:rsid w:val="00233150"/>
    <w:rsid w:val="0023328A"/>
    <w:rsid w:val="00233367"/>
    <w:rsid w:val="00233918"/>
    <w:rsid w:val="00233919"/>
    <w:rsid w:val="002339ED"/>
    <w:rsid w:val="00233D22"/>
    <w:rsid w:val="00233E01"/>
    <w:rsid w:val="00234369"/>
    <w:rsid w:val="00234453"/>
    <w:rsid w:val="0023495B"/>
    <w:rsid w:val="00234B24"/>
    <w:rsid w:val="00234F9C"/>
    <w:rsid w:val="00235144"/>
    <w:rsid w:val="00235417"/>
    <w:rsid w:val="00235498"/>
    <w:rsid w:val="0023559F"/>
    <w:rsid w:val="00235668"/>
    <w:rsid w:val="00235709"/>
    <w:rsid w:val="00235C0B"/>
    <w:rsid w:val="00235D8D"/>
    <w:rsid w:val="00235F54"/>
    <w:rsid w:val="00236060"/>
    <w:rsid w:val="002362AF"/>
    <w:rsid w:val="002362FB"/>
    <w:rsid w:val="002363F1"/>
    <w:rsid w:val="0023640C"/>
    <w:rsid w:val="0023651A"/>
    <w:rsid w:val="002365FA"/>
    <w:rsid w:val="00236BB8"/>
    <w:rsid w:val="00236C1F"/>
    <w:rsid w:val="00236C2C"/>
    <w:rsid w:val="00236FA7"/>
    <w:rsid w:val="002371B6"/>
    <w:rsid w:val="002373D7"/>
    <w:rsid w:val="0023758D"/>
    <w:rsid w:val="002375B6"/>
    <w:rsid w:val="00237786"/>
    <w:rsid w:val="00237867"/>
    <w:rsid w:val="00237868"/>
    <w:rsid w:val="002378A2"/>
    <w:rsid w:val="00237992"/>
    <w:rsid w:val="002379C5"/>
    <w:rsid w:val="00237CCA"/>
    <w:rsid w:val="00237F6B"/>
    <w:rsid w:val="002401C7"/>
    <w:rsid w:val="002402AB"/>
    <w:rsid w:val="00240493"/>
    <w:rsid w:val="0024060A"/>
    <w:rsid w:val="00240C18"/>
    <w:rsid w:val="00240CE4"/>
    <w:rsid w:val="00240FF6"/>
    <w:rsid w:val="00241537"/>
    <w:rsid w:val="00241667"/>
    <w:rsid w:val="0024166F"/>
    <w:rsid w:val="002416F8"/>
    <w:rsid w:val="00241772"/>
    <w:rsid w:val="0024186E"/>
    <w:rsid w:val="00241B90"/>
    <w:rsid w:val="00241CEC"/>
    <w:rsid w:val="00241D62"/>
    <w:rsid w:val="00241EE1"/>
    <w:rsid w:val="0024211D"/>
    <w:rsid w:val="002424F5"/>
    <w:rsid w:val="0024295A"/>
    <w:rsid w:val="00242999"/>
    <w:rsid w:val="00242B7F"/>
    <w:rsid w:val="00242CA8"/>
    <w:rsid w:val="00242DC0"/>
    <w:rsid w:val="00242EC9"/>
    <w:rsid w:val="00242F71"/>
    <w:rsid w:val="002430F8"/>
    <w:rsid w:val="00243446"/>
    <w:rsid w:val="002437F5"/>
    <w:rsid w:val="002438AA"/>
    <w:rsid w:val="002438B2"/>
    <w:rsid w:val="00243CD1"/>
    <w:rsid w:val="00243CF5"/>
    <w:rsid w:val="00243DE0"/>
    <w:rsid w:val="0024440C"/>
    <w:rsid w:val="0024455C"/>
    <w:rsid w:val="002446A3"/>
    <w:rsid w:val="002447EB"/>
    <w:rsid w:val="0024484A"/>
    <w:rsid w:val="00244D3F"/>
    <w:rsid w:val="00244D6E"/>
    <w:rsid w:val="00244F80"/>
    <w:rsid w:val="00244FC8"/>
    <w:rsid w:val="00244FD4"/>
    <w:rsid w:val="002454F1"/>
    <w:rsid w:val="002454FA"/>
    <w:rsid w:val="0024561F"/>
    <w:rsid w:val="002456C5"/>
    <w:rsid w:val="002456CA"/>
    <w:rsid w:val="00245739"/>
    <w:rsid w:val="00245787"/>
    <w:rsid w:val="00245BF7"/>
    <w:rsid w:val="00245EB4"/>
    <w:rsid w:val="00245FD9"/>
    <w:rsid w:val="00246242"/>
    <w:rsid w:val="00246455"/>
    <w:rsid w:val="002464ED"/>
    <w:rsid w:val="002466DC"/>
    <w:rsid w:val="0024685C"/>
    <w:rsid w:val="00246895"/>
    <w:rsid w:val="00246AEA"/>
    <w:rsid w:val="00246AF1"/>
    <w:rsid w:val="00246BC2"/>
    <w:rsid w:val="00246CF5"/>
    <w:rsid w:val="00247084"/>
    <w:rsid w:val="002470EB"/>
    <w:rsid w:val="00247798"/>
    <w:rsid w:val="002478DB"/>
    <w:rsid w:val="002478E6"/>
    <w:rsid w:val="00247909"/>
    <w:rsid w:val="00247954"/>
    <w:rsid w:val="00247B46"/>
    <w:rsid w:val="00247BB1"/>
    <w:rsid w:val="00247E82"/>
    <w:rsid w:val="00247F96"/>
    <w:rsid w:val="00250188"/>
    <w:rsid w:val="0025042F"/>
    <w:rsid w:val="002504FD"/>
    <w:rsid w:val="00250647"/>
    <w:rsid w:val="002506B4"/>
    <w:rsid w:val="0025077F"/>
    <w:rsid w:val="00250953"/>
    <w:rsid w:val="00250DB0"/>
    <w:rsid w:val="00251108"/>
    <w:rsid w:val="0025178F"/>
    <w:rsid w:val="0025194E"/>
    <w:rsid w:val="00251ABB"/>
    <w:rsid w:val="00251AEE"/>
    <w:rsid w:val="00251B01"/>
    <w:rsid w:val="00251CE1"/>
    <w:rsid w:val="00251E71"/>
    <w:rsid w:val="00251F6F"/>
    <w:rsid w:val="0025234F"/>
    <w:rsid w:val="002524DD"/>
    <w:rsid w:val="002525BF"/>
    <w:rsid w:val="0025290B"/>
    <w:rsid w:val="0025298A"/>
    <w:rsid w:val="00252BB2"/>
    <w:rsid w:val="00252D01"/>
    <w:rsid w:val="00252EF0"/>
    <w:rsid w:val="002537A1"/>
    <w:rsid w:val="0025399A"/>
    <w:rsid w:val="00253B3A"/>
    <w:rsid w:val="00253BB3"/>
    <w:rsid w:val="00253C58"/>
    <w:rsid w:val="00254301"/>
    <w:rsid w:val="00254842"/>
    <w:rsid w:val="00254A0A"/>
    <w:rsid w:val="00254B32"/>
    <w:rsid w:val="00254C56"/>
    <w:rsid w:val="00254EE6"/>
    <w:rsid w:val="0025538E"/>
    <w:rsid w:val="00255431"/>
    <w:rsid w:val="0025556F"/>
    <w:rsid w:val="0025586F"/>
    <w:rsid w:val="0025588C"/>
    <w:rsid w:val="00255D54"/>
    <w:rsid w:val="00255D5B"/>
    <w:rsid w:val="00256394"/>
    <w:rsid w:val="002563D2"/>
    <w:rsid w:val="00256D24"/>
    <w:rsid w:val="00256F4B"/>
    <w:rsid w:val="00257445"/>
    <w:rsid w:val="0025747D"/>
    <w:rsid w:val="002578CB"/>
    <w:rsid w:val="00257920"/>
    <w:rsid w:val="00257BC0"/>
    <w:rsid w:val="00257BE0"/>
    <w:rsid w:val="00257D7B"/>
    <w:rsid w:val="00257DEB"/>
    <w:rsid w:val="0026047E"/>
    <w:rsid w:val="0026049D"/>
    <w:rsid w:val="002604F5"/>
    <w:rsid w:val="0026055D"/>
    <w:rsid w:val="00260625"/>
    <w:rsid w:val="0026062C"/>
    <w:rsid w:val="002607E5"/>
    <w:rsid w:val="002607F7"/>
    <w:rsid w:val="002607FA"/>
    <w:rsid w:val="002609A9"/>
    <w:rsid w:val="00260A33"/>
    <w:rsid w:val="00260C1E"/>
    <w:rsid w:val="00260C47"/>
    <w:rsid w:val="0026100F"/>
    <w:rsid w:val="00261140"/>
    <w:rsid w:val="00261243"/>
    <w:rsid w:val="002612E2"/>
    <w:rsid w:val="00261532"/>
    <w:rsid w:val="00261578"/>
    <w:rsid w:val="00261650"/>
    <w:rsid w:val="002616BB"/>
    <w:rsid w:val="00261816"/>
    <w:rsid w:val="00261884"/>
    <w:rsid w:val="0026192E"/>
    <w:rsid w:val="00261961"/>
    <w:rsid w:val="00261A4D"/>
    <w:rsid w:val="00261A8D"/>
    <w:rsid w:val="00261EC2"/>
    <w:rsid w:val="0026211A"/>
    <w:rsid w:val="002624AD"/>
    <w:rsid w:val="00262727"/>
    <w:rsid w:val="0026295A"/>
    <w:rsid w:val="0026296B"/>
    <w:rsid w:val="00262A24"/>
    <w:rsid w:val="00262A9E"/>
    <w:rsid w:val="00262B92"/>
    <w:rsid w:val="00262C51"/>
    <w:rsid w:val="00262C9C"/>
    <w:rsid w:val="00262DCC"/>
    <w:rsid w:val="00262F50"/>
    <w:rsid w:val="002632C7"/>
    <w:rsid w:val="00263618"/>
    <w:rsid w:val="00263A6B"/>
    <w:rsid w:val="002641C2"/>
    <w:rsid w:val="0026429A"/>
    <w:rsid w:val="002644E0"/>
    <w:rsid w:val="002645DB"/>
    <w:rsid w:val="0026460A"/>
    <w:rsid w:val="00264BBD"/>
    <w:rsid w:val="00264C28"/>
    <w:rsid w:val="00264C68"/>
    <w:rsid w:val="00264D53"/>
    <w:rsid w:val="00264E73"/>
    <w:rsid w:val="00264F4F"/>
    <w:rsid w:val="00264F83"/>
    <w:rsid w:val="00264FBD"/>
    <w:rsid w:val="00265047"/>
    <w:rsid w:val="0026531C"/>
    <w:rsid w:val="00265377"/>
    <w:rsid w:val="0026554C"/>
    <w:rsid w:val="00265988"/>
    <w:rsid w:val="00265A47"/>
    <w:rsid w:val="00265A83"/>
    <w:rsid w:val="00265D2E"/>
    <w:rsid w:val="00265ED0"/>
    <w:rsid w:val="00265F0F"/>
    <w:rsid w:val="00265FC7"/>
    <w:rsid w:val="00266233"/>
    <w:rsid w:val="00266522"/>
    <w:rsid w:val="002665CE"/>
    <w:rsid w:val="0026675B"/>
    <w:rsid w:val="00266907"/>
    <w:rsid w:val="00266C0D"/>
    <w:rsid w:val="00266EB5"/>
    <w:rsid w:val="002676C3"/>
    <w:rsid w:val="002678FE"/>
    <w:rsid w:val="00270000"/>
    <w:rsid w:val="002703BF"/>
    <w:rsid w:val="00270500"/>
    <w:rsid w:val="0027051E"/>
    <w:rsid w:val="00270583"/>
    <w:rsid w:val="002706D0"/>
    <w:rsid w:val="00270894"/>
    <w:rsid w:val="00270947"/>
    <w:rsid w:val="00270B0A"/>
    <w:rsid w:val="00270D11"/>
    <w:rsid w:val="00270E62"/>
    <w:rsid w:val="002711B0"/>
    <w:rsid w:val="0027129E"/>
    <w:rsid w:val="002714D7"/>
    <w:rsid w:val="0027169E"/>
    <w:rsid w:val="002717F4"/>
    <w:rsid w:val="00271BAE"/>
    <w:rsid w:val="00271BD1"/>
    <w:rsid w:val="002721A2"/>
    <w:rsid w:val="00272714"/>
    <w:rsid w:val="002728D8"/>
    <w:rsid w:val="00272983"/>
    <w:rsid w:val="002729B8"/>
    <w:rsid w:val="00272A17"/>
    <w:rsid w:val="00272DAA"/>
    <w:rsid w:val="00272F0A"/>
    <w:rsid w:val="00272FD4"/>
    <w:rsid w:val="002730E7"/>
    <w:rsid w:val="002731E1"/>
    <w:rsid w:val="00273D18"/>
    <w:rsid w:val="00274156"/>
    <w:rsid w:val="00274169"/>
    <w:rsid w:val="00274206"/>
    <w:rsid w:val="00274538"/>
    <w:rsid w:val="0027455B"/>
    <w:rsid w:val="002747C4"/>
    <w:rsid w:val="00274A0F"/>
    <w:rsid w:val="00274AA3"/>
    <w:rsid w:val="00274AAA"/>
    <w:rsid w:val="00274B28"/>
    <w:rsid w:val="00274B39"/>
    <w:rsid w:val="00274B3E"/>
    <w:rsid w:val="00274CFF"/>
    <w:rsid w:val="0027509D"/>
    <w:rsid w:val="002758C5"/>
    <w:rsid w:val="00275C81"/>
    <w:rsid w:val="00275F0D"/>
    <w:rsid w:val="002761DD"/>
    <w:rsid w:val="0027625E"/>
    <w:rsid w:val="0027630B"/>
    <w:rsid w:val="00276598"/>
    <w:rsid w:val="00276719"/>
    <w:rsid w:val="002767B6"/>
    <w:rsid w:val="002768F8"/>
    <w:rsid w:val="00276BA2"/>
    <w:rsid w:val="00276C27"/>
    <w:rsid w:val="00276DED"/>
    <w:rsid w:val="00276E9F"/>
    <w:rsid w:val="0027709A"/>
    <w:rsid w:val="002772E1"/>
    <w:rsid w:val="002774F3"/>
    <w:rsid w:val="0027770A"/>
    <w:rsid w:val="00277770"/>
    <w:rsid w:val="00277797"/>
    <w:rsid w:val="00277899"/>
    <w:rsid w:val="00277BB4"/>
    <w:rsid w:val="00277BB7"/>
    <w:rsid w:val="00277EC8"/>
    <w:rsid w:val="00280342"/>
    <w:rsid w:val="00280A74"/>
    <w:rsid w:val="00280CFA"/>
    <w:rsid w:val="00280D9B"/>
    <w:rsid w:val="00280E26"/>
    <w:rsid w:val="00280E61"/>
    <w:rsid w:val="00280E6D"/>
    <w:rsid w:val="00280F5B"/>
    <w:rsid w:val="00280FF6"/>
    <w:rsid w:val="00281255"/>
    <w:rsid w:val="00281302"/>
    <w:rsid w:val="00281AF5"/>
    <w:rsid w:val="00281BEB"/>
    <w:rsid w:val="00281C59"/>
    <w:rsid w:val="00281DBE"/>
    <w:rsid w:val="00281DFF"/>
    <w:rsid w:val="00281EF5"/>
    <w:rsid w:val="002822C3"/>
    <w:rsid w:val="00282901"/>
    <w:rsid w:val="002829CD"/>
    <w:rsid w:val="00282CBE"/>
    <w:rsid w:val="00283097"/>
    <w:rsid w:val="0028323D"/>
    <w:rsid w:val="002834BF"/>
    <w:rsid w:val="002834FA"/>
    <w:rsid w:val="00283539"/>
    <w:rsid w:val="00283546"/>
    <w:rsid w:val="002836A8"/>
    <w:rsid w:val="00283759"/>
    <w:rsid w:val="002837D9"/>
    <w:rsid w:val="002838BF"/>
    <w:rsid w:val="00283D69"/>
    <w:rsid w:val="00283DCE"/>
    <w:rsid w:val="00283E34"/>
    <w:rsid w:val="0028402E"/>
    <w:rsid w:val="0028406F"/>
    <w:rsid w:val="00284169"/>
    <w:rsid w:val="002841BF"/>
    <w:rsid w:val="002843CE"/>
    <w:rsid w:val="002843EE"/>
    <w:rsid w:val="0028481D"/>
    <w:rsid w:val="00284C30"/>
    <w:rsid w:val="00284D46"/>
    <w:rsid w:val="00284F6E"/>
    <w:rsid w:val="00285080"/>
    <w:rsid w:val="00285104"/>
    <w:rsid w:val="0028511D"/>
    <w:rsid w:val="002856F5"/>
    <w:rsid w:val="0028595A"/>
    <w:rsid w:val="00285985"/>
    <w:rsid w:val="00285B6E"/>
    <w:rsid w:val="00285EA4"/>
    <w:rsid w:val="00285F58"/>
    <w:rsid w:val="00285F6E"/>
    <w:rsid w:val="00285FE4"/>
    <w:rsid w:val="0028624E"/>
    <w:rsid w:val="00286268"/>
    <w:rsid w:val="00286534"/>
    <w:rsid w:val="00286AB1"/>
    <w:rsid w:val="00286CEC"/>
    <w:rsid w:val="00286D30"/>
    <w:rsid w:val="00286D67"/>
    <w:rsid w:val="00286D76"/>
    <w:rsid w:val="00286E14"/>
    <w:rsid w:val="00286E2B"/>
    <w:rsid w:val="002870A8"/>
    <w:rsid w:val="002871E7"/>
    <w:rsid w:val="002874EC"/>
    <w:rsid w:val="0028758D"/>
    <w:rsid w:val="0028787B"/>
    <w:rsid w:val="002878D5"/>
    <w:rsid w:val="00287927"/>
    <w:rsid w:val="00287D14"/>
    <w:rsid w:val="00287FD4"/>
    <w:rsid w:val="0029008D"/>
    <w:rsid w:val="0029023E"/>
    <w:rsid w:val="002902F7"/>
    <w:rsid w:val="002904FD"/>
    <w:rsid w:val="00290571"/>
    <w:rsid w:val="002907D5"/>
    <w:rsid w:val="002907E9"/>
    <w:rsid w:val="00290BC1"/>
    <w:rsid w:val="00290D23"/>
    <w:rsid w:val="00290D89"/>
    <w:rsid w:val="00290DD7"/>
    <w:rsid w:val="00290F89"/>
    <w:rsid w:val="00291152"/>
    <w:rsid w:val="002913D0"/>
    <w:rsid w:val="0029143C"/>
    <w:rsid w:val="0029175E"/>
    <w:rsid w:val="002918DC"/>
    <w:rsid w:val="00291973"/>
    <w:rsid w:val="00291A7E"/>
    <w:rsid w:val="00291B51"/>
    <w:rsid w:val="00291BC9"/>
    <w:rsid w:val="00291ED6"/>
    <w:rsid w:val="002920D2"/>
    <w:rsid w:val="00292137"/>
    <w:rsid w:val="0029229D"/>
    <w:rsid w:val="002922F0"/>
    <w:rsid w:val="002924CD"/>
    <w:rsid w:val="002924D1"/>
    <w:rsid w:val="00292511"/>
    <w:rsid w:val="00292834"/>
    <w:rsid w:val="0029290F"/>
    <w:rsid w:val="00292C85"/>
    <w:rsid w:val="00292D33"/>
    <w:rsid w:val="00292D3B"/>
    <w:rsid w:val="00292D66"/>
    <w:rsid w:val="00292D96"/>
    <w:rsid w:val="00292E97"/>
    <w:rsid w:val="00292EA7"/>
    <w:rsid w:val="00293555"/>
    <w:rsid w:val="00293597"/>
    <w:rsid w:val="002936BB"/>
    <w:rsid w:val="002937AB"/>
    <w:rsid w:val="002937DD"/>
    <w:rsid w:val="002939BD"/>
    <w:rsid w:val="00293B21"/>
    <w:rsid w:val="00293B50"/>
    <w:rsid w:val="00293DD3"/>
    <w:rsid w:val="0029412B"/>
    <w:rsid w:val="002942C5"/>
    <w:rsid w:val="002943D6"/>
    <w:rsid w:val="0029446E"/>
    <w:rsid w:val="002947B1"/>
    <w:rsid w:val="002947BB"/>
    <w:rsid w:val="0029484C"/>
    <w:rsid w:val="002948FD"/>
    <w:rsid w:val="00294B4C"/>
    <w:rsid w:val="00294BF2"/>
    <w:rsid w:val="00294C34"/>
    <w:rsid w:val="00294F45"/>
    <w:rsid w:val="00294FC5"/>
    <w:rsid w:val="00295131"/>
    <w:rsid w:val="0029564B"/>
    <w:rsid w:val="0029571A"/>
    <w:rsid w:val="00295844"/>
    <w:rsid w:val="00295995"/>
    <w:rsid w:val="002959D4"/>
    <w:rsid w:val="00295B96"/>
    <w:rsid w:val="00295ED9"/>
    <w:rsid w:val="00295EE3"/>
    <w:rsid w:val="00295FE4"/>
    <w:rsid w:val="00296025"/>
    <w:rsid w:val="00296057"/>
    <w:rsid w:val="00296132"/>
    <w:rsid w:val="0029613B"/>
    <w:rsid w:val="00296370"/>
    <w:rsid w:val="00296423"/>
    <w:rsid w:val="0029675E"/>
    <w:rsid w:val="00296953"/>
    <w:rsid w:val="0029696B"/>
    <w:rsid w:val="002969D9"/>
    <w:rsid w:val="00296D72"/>
    <w:rsid w:val="00296DC3"/>
    <w:rsid w:val="002971BE"/>
    <w:rsid w:val="00297369"/>
    <w:rsid w:val="00297379"/>
    <w:rsid w:val="002974A5"/>
    <w:rsid w:val="0029759C"/>
    <w:rsid w:val="002975B0"/>
    <w:rsid w:val="002975D0"/>
    <w:rsid w:val="002A0098"/>
    <w:rsid w:val="002A00F8"/>
    <w:rsid w:val="002A02C3"/>
    <w:rsid w:val="002A095A"/>
    <w:rsid w:val="002A0984"/>
    <w:rsid w:val="002A0A06"/>
    <w:rsid w:val="002A0B64"/>
    <w:rsid w:val="002A0C87"/>
    <w:rsid w:val="002A0C9D"/>
    <w:rsid w:val="002A1090"/>
    <w:rsid w:val="002A123C"/>
    <w:rsid w:val="002A14AE"/>
    <w:rsid w:val="002A153F"/>
    <w:rsid w:val="002A15EF"/>
    <w:rsid w:val="002A1769"/>
    <w:rsid w:val="002A1833"/>
    <w:rsid w:val="002A19DA"/>
    <w:rsid w:val="002A1CD0"/>
    <w:rsid w:val="002A1D00"/>
    <w:rsid w:val="002A1D48"/>
    <w:rsid w:val="002A2177"/>
    <w:rsid w:val="002A25A8"/>
    <w:rsid w:val="002A275D"/>
    <w:rsid w:val="002A2D5E"/>
    <w:rsid w:val="002A319E"/>
    <w:rsid w:val="002A33D0"/>
    <w:rsid w:val="002A353B"/>
    <w:rsid w:val="002A36E2"/>
    <w:rsid w:val="002A3819"/>
    <w:rsid w:val="002A38B9"/>
    <w:rsid w:val="002A3A4C"/>
    <w:rsid w:val="002A3A8A"/>
    <w:rsid w:val="002A3ABB"/>
    <w:rsid w:val="002A3BA1"/>
    <w:rsid w:val="002A3BF6"/>
    <w:rsid w:val="002A3C5C"/>
    <w:rsid w:val="002A3C6B"/>
    <w:rsid w:val="002A3E14"/>
    <w:rsid w:val="002A3E27"/>
    <w:rsid w:val="002A4144"/>
    <w:rsid w:val="002A4452"/>
    <w:rsid w:val="002A4880"/>
    <w:rsid w:val="002A49AF"/>
    <w:rsid w:val="002A49F3"/>
    <w:rsid w:val="002A4ACE"/>
    <w:rsid w:val="002A4CA4"/>
    <w:rsid w:val="002A4D39"/>
    <w:rsid w:val="002A4EEE"/>
    <w:rsid w:val="002A4F78"/>
    <w:rsid w:val="002A5378"/>
    <w:rsid w:val="002A596B"/>
    <w:rsid w:val="002A5A2F"/>
    <w:rsid w:val="002A5D1E"/>
    <w:rsid w:val="002A5E11"/>
    <w:rsid w:val="002A5E98"/>
    <w:rsid w:val="002A5E9C"/>
    <w:rsid w:val="002A6433"/>
    <w:rsid w:val="002A64FD"/>
    <w:rsid w:val="002A6540"/>
    <w:rsid w:val="002A6592"/>
    <w:rsid w:val="002A6674"/>
    <w:rsid w:val="002A673D"/>
    <w:rsid w:val="002A681A"/>
    <w:rsid w:val="002A6B50"/>
    <w:rsid w:val="002A6C01"/>
    <w:rsid w:val="002A6CE9"/>
    <w:rsid w:val="002A6F70"/>
    <w:rsid w:val="002A70DC"/>
    <w:rsid w:val="002A71BE"/>
    <w:rsid w:val="002A736F"/>
    <w:rsid w:val="002A7437"/>
    <w:rsid w:val="002A7541"/>
    <w:rsid w:val="002A76B3"/>
    <w:rsid w:val="002A7994"/>
    <w:rsid w:val="002A79CD"/>
    <w:rsid w:val="002A7C98"/>
    <w:rsid w:val="002A7D3D"/>
    <w:rsid w:val="002A7F62"/>
    <w:rsid w:val="002A7F8C"/>
    <w:rsid w:val="002B00B6"/>
    <w:rsid w:val="002B028F"/>
    <w:rsid w:val="002B0539"/>
    <w:rsid w:val="002B05B4"/>
    <w:rsid w:val="002B070D"/>
    <w:rsid w:val="002B08DA"/>
    <w:rsid w:val="002B093A"/>
    <w:rsid w:val="002B095F"/>
    <w:rsid w:val="002B0A04"/>
    <w:rsid w:val="002B0F12"/>
    <w:rsid w:val="002B0F73"/>
    <w:rsid w:val="002B123E"/>
    <w:rsid w:val="002B141F"/>
    <w:rsid w:val="002B148A"/>
    <w:rsid w:val="002B1491"/>
    <w:rsid w:val="002B1580"/>
    <w:rsid w:val="002B1AD3"/>
    <w:rsid w:val="002B1D61"/>
    <w:rsid w:val="002B1E30"/>
    <w:rsid w:val="002B1FEF"/>
    <w:rsid w:val="002B2075"/>
    <w:rsid w:val="002B22BF"/>
    <w:rsid w:val="002B22D9"/>
    <w:rsid w:val="002B2557"/>
    <w:rsid w:val="002B2610"/>
    <w:rsid w:val="002B27F5"/>
    <w:rsid w:val="002B28CA"/>
    <w:rsid w:val="002B2AAF"/>
    <w:rsid w:val="002B2E38"/>
    <w:rsid w:val="002B2F1D"/>
    <w:rsid w:val="002B3190"/>
    <w:rsid w:val="002B337F"/>
    <w:rsid w:val="002B3397"/>
    <w:rsid w:val="002B3476"/>
    <w:rsid w:val="002B3792"/>
    <w:rsid w:val="002B37C1"/>
    <w:rsid w:val="002B385F"/>
    <w:rsid w:val="002B39B8"/>
    <w:rsid w:val="002B3ABE"/>
    <w:rsid w:val="002B3FBC"/>
    <w:rsid w:val="002B3FC1"/>
    <w:rsid w:val="002B40A3"/>
    <w:rsid w:val="002B40AB"/>
    <w:rsid w:val="002B420E"/>
    <w:rsid w:val="002B42C7"/>
    <w:rsid w:val="002B43F1"/>
    <w:rsid w:val="002B4820"/>
    <w:rsid w:val="002B4985"/>
    <w:rsid w:val="002B49BB"/>
    <w:rsid w:val="002B4BD5"/>
    <w:rsid w:val="002B4CD3"/>
    <w:rsid w:val="002B4D5F"/>
    <w:rsid w:val="002B4D9B"/>
    <w:rsid w:val="002B4ECC"/>
    <w:rsid w:val="002B4FC9"/>
    <w:rsid w:val="002B5060"/>
    <w:rsid w:val="002B51FE"/>
    <w:rsid w:val="002B532A"/>
    <w:rsid w:val="002B53A3"/>
    <w:rsid w:val="002B5449"/>
    <w:rsid w:val="002B55E3"/>
    <w:rsid w:val="002B561F"/>
    <w:rsid w:val="002B57C9"/>
    <w:rsid w:val="002B595E"/>
    <w:rsid w:val="002B5CFC"/>
    <w:rsid w:val="002B5FF9"/>
    <w:rsid w:val="002B6172"/>
    <w:rsid w:val="002B63E1"/>
    <w:rsid w:val="002B6503"/>
    <w:rsid w:val="002B655A"/>
    <w:rsid w:val="002B69C5"/>
    <w:rsid w:val="002B69D8"/>
    <w:rsid w:val="002B6A85"/>
    <w:rsid w:val="002B6B84"/>
    <w:rsid w:val="002B6DA0"/>
    <w:rsid w:val="002B7011"/>
    <w:rsid w:val="002B7257"/>
    <w:rsid w:val="002B75C5"/>
    <w:rsid w:val="002B772B"/>
    <w:rsid w:val="002B77B3"/>
    <w:rsid w:val="002B786B"/>
    <w:rsid w:val="002B7AE3"/>
    <w:rsid w:val="002B7BDF"/>
    <w:rsid w:val="002B7C54"/>
    <w:rsid w:val="002B7CFE"/>
    <w:rsid w:val="002B7D0A"/>
    <w:rsid w:val="002B7E23"/>
    <w:rsid w:val="002B7E64"/>
    <w:rsid w:val="002B7EEC"/>
    <w:rsid w:val="002B7F60"/>
    <w:rsid w:val="002C00B3"/>
    <w:rsid w:val="002C08B2"/>
    <w:rsid w:val="002C0996"/>
    <w:rsid w:val="002C09EF"/>
    <w:rsid w:val="002C0A09"/>
    <w:rsid w:val="002C0A44"/>
    <w:rsid w:val="002C0D0A"/>
    <w:rsid w:val="002C0D0F"/>
    <w:rsid w:val="002C0EB3"/>
    <w:rsid w:val="002C0F11"/>
    <w:rsid w:val="002C1522"/>
    <w:rsid w:val="002C16C3"/>
    <w:rsid w:val="002C1914"/>
    <w:rsid w:val="002C1B6D"/>
    <w:rsid w:val="002C1FB4"/>
    <w:rsid w:val="002C2210"/>
    <w:rsid w:val="002C22DA"/>
    <w:rsid w:val="002C22EC"/>
    <w:rsid w:val="002C2788"/>
    <w:rsid w:val="002C2874"/>
    <w:rsid w:val="002C288D"/>
    <w:rsid w:val="002C2941"/>
    <w:rsid w:val="002C294E"/>
    <w:rsid w:val="002C2A8C"/>
    <w:rsid w:val="002C2D3D"/>
    <w:rsid w:val="002C2ED5"/>
    <w:rsid w:val="002C2F2F"/>
    <w:rsid w:val="002C2F58"/>
    <w:rsid w:val="002C3517"/>
    <w:rsid w:val="002C3559"/>
    <w:rsid w:val="002C378B"/>
    <w:rsid w:val="002C389D"/>
    <w:rsid w:val="002C3BDF"/>
    <w:rsid w:val="002C3DD6"/>
    <w:rsid w:val="002C3E75"/>
    <w:rsid w:val="002C3EA4"/>
    <w:rsid w:val="002C3ED5"/>
    <w:rsid w:val="002C4096"/>
    <w:rsid w:val="002C4171"/>
    <w:rsid w:val="002C4782"/>
    <w:rsid w:val="002C47D9"/>
    <w:rsid w:val="002C493F"/>
    <w:rsid w:val="002C4C86"/>
    <w:rsid w:val="002C4D05"/>
    <w:rsid w:val="002C5164"/>
    <w:rsid w:val="002C5235"/>
    <w:rsid w:val="002C54BB"/>
    <w:rsid w:val="002C5981"/>
    <w:rsid w:val="002C5B21"/>
    <w:rsid w:val="002C62E5"/>
    <w:rsid w:val="002C632C"/>
    <w:rsid w:val="002C633A"/>
    <w:rsid w:val="002C6CB4"/>
    <w:rsid w:val="002C7055"/>
    <w:rsid w:val="002C71F5"/>
    <w:rsid w:val="002C73F9"/>
    <w:rsid w:val="002C74FD"/>
    <w:rsid w:val="002C7AC7"/>
    <w:rsid w:val="002C7E1D"/>
    <w:rsid w:val="002C7EE9"/>
    <w:rsid w:val="002D0493"/>
    <w:rsid w:val="002D07D5"/>
    <w:rsid w:val="002D0AC4"/>
    <w:rsid w:val="002D0C57"/>
    <w:rsid w:val="002D0EA6"/>
    <w:rsid w:val="002D0F45"/>
    <w:rsid w:val="002D1937"/>
    <w:rsid w:val="002D1A49"/>
    <w:rsid w:val="002D1CD0"/>
    <w:rsid w:val="002D1D0C"/>
    <w:rsid w:val="002D1D85"/>
    <w:rsid w:val="002D2235"/>
    <w:rsid w:val="002D22CB"/>
    <w:rsid w:val="002D22F1"/>
    <w:rsid w:val="002D23DD"/>
    <w:rsid w:val="002D2699"/>
    <w:rsid w:val="002D269E"/>
    <w:rsid w:val="002D276C"/>
    <w:rsid w:val="002D288D"/>
    <w:rsid w:val="002D29C8"/>
    <w:rsid w:val="002D30AE"/>
    <w:rsid w:val="002D3351"/>
    <w:rsid w:val="002D3359"/>
    <w:rsid w:val="002D3C70"/>
    <w:rsid w:val="002D3FB5"/>
    <w:rsid w:val="002D3FF6"/>
    <w:rsid w:val="002D41CF"/>
    <w:rsid w:val="002D4204"/>
    <w:rsid w:val="002D45A0"/>
    <w:rsid w:val="002D45BF"/>
    <w:rsid w:val="002D489C"/>
    <w:rsid w:val="002D48FD"/>
    <w:rsid w:val="002D4A30"/>
    <w:rsid w:val="002D4A31"/>
    <w:rsid w:val="002D4A57"/>
    <w:rsid w:val="002D4B40"/>
    <w:rsid w:val="002D4B9B"/>
    <w:rsid w:val="002D4BA2"/>
    <w:rsid w:val="002D4C09"/>
    <w:rsid w:val="002D4CD2"/>
    <w:rsid w:val="002D4FF6"/>
    <w:rsid w:val="002D5305"/>
    <w:rsid w:val="002D53FB"/>
    <w:rsid w:val="002D55F1"/>
    <w:rsid w:val="002D5644"/>
    <w:rsid w:val="002D576E"/>
    <w:rsid w:val="002D5868"/>
    <w:rsid w:val="002D59D6"/>
    <w:rsid w:val="002D5A52"/>
    <w:rsid w:val="002D5AFE"/>
    <w:rsid w:val="002D5B9E"/>
    <w:rsid w:val="002D5DDF"/>
    <w:rsid w:val="002D6100"/>
    <w:rsid w:val="002D6289"/>
    <w:rsid w:val="002D6530"/>
    <w:rsid w:val="002D65EA"/>
    <w:rsid w:val="002D67FC"/>
    <w:rsid w:val="002D6909"/>
    <w:rsid w:val="002D6B3B"/>
    <w:rsid w:val="002D6D94"/>
    <w:rsid w:val="002D6F7E"/>
    <w:rsid w:val="002D71AF"/>
    <w:rsid w:val="002D7672"/>
    <w:rsid w:val="002D778E"/>
    <w:rsid w:val="002D7899"/>
    <w:rsid w:val="002D7996"/>
    <w:rsid w:val="002D79B9"/>
    <w:rsid w:val="002D7B58"/>
    <w:rsid w:val="002D7D91"/>
    <w:rsid w:val="002D7DA3"/>
    <w:rsid w:val="002D7EB7"/>
    <w:rsid w:val="002E0042"/>
    <w:rsid w:val="002E0090"/>
    <w:rsid w:val="002E0362"/>
    <w:rsid w:val="002E0418"/>
    <w:rsid w:val="002E0512"/>
    <w:rsid w:val="002E05F0"/>
    <w:rsid w:val="002E0766"/>
    <w:rsid w:val="002E0855"/>
    <w:rsid w:val="002E090D"/>
    <w:rsid w:val="002E0A6D"/>
    <w:rsid w:val="002E0A78"/>
    <w:rsid w:val="002E0BFE"/>
    <w:rsid w:val="002E0C55"/>
    <w:rsid w:val="002E0C62"/>
    <w:rsid w:val="002E0D4E"/>
    <w:rsid w:val="002E0DB4"/>
    <w:rsid w:val="002E0E8E"/>
    <w:rsid w:val="002E0FF3"/>
    <w:rsid w:val="002E12CE"/>
    <w:rsid w:val="002E1369"/>
    <w:rsid w:val="002E13CC"/>
    <w:rsid w:val="002E1442"/>
    <w:rsid w:val="002E1779"/>
    <w:rsid w:val="002E18D6"/>
    <w:rsid w:val="002E1A03"/>
    <w:rsid w:val="002E1A26"/>
    <w:rsid w:val="002E1AB0"/>
    <w:rsid w:val="002E1C65"/>
    <w:rsid w:val="002E1DB5"/>
    <w:rsid w:val="002E1ECC"/>
    <w:rsid w:val="002E21D0"/>
    <w:rsid w:val="002E21E1"/>
    <w:rsid w:val="002E228A"/>
    <w:rsid w:val="002E2593"/>
    <w:rsid w:val="002E2665"/>
    <w:rsid w:val="002E27C7"/>
    <w:rsid w:val="002E28A0"/>
    <w:rsid w:val="002E28D4"/>
    <w:rsid w:val="002E292A"/>
    <w:rsid w:val="002E2CC1"/>
    <w:rsid w:val="002E2D1D"/>
    <w:rsid w:val="002E2EDA"/>
    <w:rsid w:val="002E2FA7"/>
    <w:rsid w:val="002E2FE1"/>
    <w:rsid w:val="002E3072"/>
    <w:rsid w:val="002E3113"/>
    <w:rsid w:val="002E3185"/>
    <w:rsid w:val="002E3290"/>
    <w:rsid w:val="002E34A1"/>
    <w:rsid w:val="002E34BD"/>
    <w:rsid w:val="002E35E5"/>
    <w:rsid w:val="002E3636"/>
    <w:rsid w:val="002E37E0"/>
    <w:rsid w:val="002E38A5"/>
    <w:rsid w:val="002E38A8"/>
    <w:rsid w:val="002E39C0"/>
    <w:rsid w:val="002E39DA"/>
    <w:rsid w:val="002E3B53"/>
    <w:rsid w:val="002E3B85"/>
    <w:rsid w:val="002E3BCB"/>
    <w:rsid w:val="002E3D05"/>
    <w:rsid w:val="002E3F43"/>
    <w:rsid w:val="002E3FD8"/>
    <w:rsid w:val="002E408E"/>
    <w:rsid w:val="002E4329"/>
    <w:rsid w:val="002E4650"/>
    <w:rsid w:val="002E4909"/>
    <w:rsid w:val="002E49BB"/>
    <w:rsid w:val="002E4BB0"/>
    <w:rsid w:val="002E4D7B"/>
    <w:rsid w:val="002E4DAE"/>
    <w:rsid w:val="002E4EC0"/>
    <w:rsid w:val="002E5044"/>
    <w:rsid w:val="002E50B6"/>
    <w:rsid w:val="002E5392"/>
    <w:rsid w:val="002E549B"/>
    <w:rsid w:val="002E55E7"/>
    <w:rsid w:val="002E560B"/>
    <w:rsid w:val="002E5B17"/>
    <w:rsid w:val="002E5BA8"/>
    <w:rsid w:val="002E638D"/>
    <w:rsid w:val="002E639D"/>
    <w:rsid w:val="002E640A"/>
    <w:rsid w:val="002E6547"/>
    <w:rsid w:val="002E6570"/>
    <w:rsid w:val="002E66AE"/>
    <w:rsid w:val="002E677D"/>
    <w:rsid w:val="002E689A"/>
    <w:rsid w:val="002E6E63"/>
    <w:rsid w:val="002E70BF"/>
    <w:rsid w:val="002E7288"/>
    <w:rsid w:val="002E72E9"/>
    <w:rsid w:val="002E737D"/>
    <w:rsid w:val="002E75E4"/>
    <w:rsid w:val="002E797D"/>
    <w:rsid w:val="002E7A35"/>
    <w:rsid w:val="002E7A48"/>
    <w:rsid w:val="002E7AAE"/>
    <w:rsid w:val="002E7EAD"/>
    <w:rsid w:val="002F009F"/>
    <w:rsid w:val="002F01B6"/>
    <w:rsid w:val="002F0276"/>
    <w:rsid w:val="002F033F"/>
    <w:rsid w:val="002F04A3"/>
    <w:rsid w:val="002F08DF"/>
    <w:rsid w:val="002F0A2E"/>
    <w:rsid w:val="002F0B30"/>
    <w:rsid w:val="002F10A8"/>
    <w:rsid w:val="002F11B5"/>
    <w:rsid w:val="002F12EB"/>
    <w:rsid w:val="002F1639"/>
    <w:rsid w:val="002F18A2"/>
    <w:rsid w:val="002F18FC"/>
    <w:rsid w:val="002F1932"/>
    <w:rsid w:val="002F1DA3"/>
    <w:rsid w:val="002F1E8D"/>
    <w:rsid w:val="002F28C7"/>
    <w:rsid w:val="002F2981"/>
    <w:rsid w:val="002F2AE0"/>
    <w:rsid w:val="002F2CE7"/>
    <w:rsid w:val="002F32C6"/>
    <w:rsid w:val="002F376C"/>
    <w:rsid w:val="002F38CB"/>
    <w:rsid w:val="002F390B"/>
    <w:rsid w:val="002F39E6"/>
    <w:rsid w:val="002F39F6"/>
    <w:rsid w:val="002F3D88"/>
    <w:rsid w:val="002F3EEE"/>
    <w:rsid w:val="002F3F62"/>
    <w:rsid w:val="002F3F7A"/>
    <w:rsid w:val="002F3FC1"/>
    <w:rsid w:val="002F3FD6"/>
    <w:rsid w:val="002F4387"/>
    <w:rsid w:val="002F4ACD"/>
    <w:rsid w:val="002F4B26"/>
    <w:rsid w:val="002F5299"/>
    <w:rsid w:val="002F537F"/>
    <w:rsid w:val="002F53E0"/>
    <w:rsid w:val="002F549E"/>
    <w:rsid w:val="002F56C8"/>
    <w:rsid w:val="002F58C5"/>
    <w:rsid w:val="002F5B42"/>
    <w:rsid w:val="002F5BBF"/>
    <w:rsid w:val="002F5D32"/>
    <w:rsid w:val="002F5F93"/>
    <w:rsid w:val="002F600A"/>
    <w:rsid w:val="002F6406"/>
    <w:rsid w:val="002F64C2"/>
    <w:rsid w:val="002F65BF"/>
    <w:rsid w:val="002F6668"/>
    <w:rsid w:val="002F66A5"/>
    <w:rsid w:val="002F6718"/>
    <w:rsid w:val="002F6771"/>
    <w:rsid w:val="002F6A3A"/>
    <w:rsid w:val="002F6A5C"/>
    <w:rsid w:val="002F6A6D"/>
    <w:rsid w:val="002F6B56"/>
    <w:rsid w:val="002F6E4C"/>
    <w:rsid w:val="002F6F5D"/>
    <w:rsid w:val="002F7013"/>
    <w:rsid w:val="002F707B"/>
    <w:rsid w:val="002F7230"/>
    <w:rsid w:val="002F7317"/>
    <w:rsid w:val="002F76E5"/>
    <w:rsid w:val="002F77B0"/>
    <w:rsid w:val="002F77E5"/>
    <w:rsid w:val="002F79C7"/>
    <w:rsid w:val="002F7B2A"/>
    <w:rsid w:val="002F7CC7"/>
    <w:rsid w:val="002F7D1E"/>
    <w:rsid w:val="002F7EB6"/>
    <w:rsid w:val="002F7F7A"/>
    <w:rsid w:val="003000C2"/>
    <w:rsid w:val="00300397"/>
    <w:rsid w:val="0030083C"/>
    <w:rsid w:val="0030096A"/>
    <w:rsid w:val="003009A8"/>
    <w:rsid w:val="00300BDF"/>
    <w:rsid w:val="00300DBE"/>
    <w:rsid w:val="00300F3B"/>
    <w:rsid w:val="00300FF7"/>
    <w:rsid w:val="003012BD"/>
    <w:rsid w:val="00301602"/>
    <w:rsid w:val="003016FC"/>
    <w:rsid w:val="00301798"/>
    <w:rsid w:val="0030188B"/>
    <w:rsid w:val="00301AC1"/>
    <w:rsid w:val="00301AC9"/>
    <w:rsid w:val="00301B29"/>
    <w:rsid w:val="003022BB"/>
    <w:rsid w:val="003023BA"/>
    <w:rsid w:val="00302488"/>
    <w:rsid w:val="003027CA"/>
    <w:rsid w:val="0030297A"/>
    <w:rsid w:val="00302A9B"/>
    <w:rsid w:val="00302ADB"/>
    <w:rsid w:val="00302D7A"/>
    <w:rsid w:val="00302E76"/>
    <w:rsid w:val="003030B1"/>
    <w:rsid w:val="003036BF"/>
    <w:rsid w:val="003039B5"/>
    <w:rsid w:val="00303A4D"/>
    <w:rsid w:val="00303A5B"/>
    <w:rsid w:val="00303A78"/>
    <w:rsid w:val="00303CF7"/>
    <w:rsid w:val="00303D72"/>
    <w:rsid w:val="00304227"/>
    <w:rsid w:val="003042A2"/>
    <w:rsid w:val="003044DC"/>
    <w:rsid w:val="003045D8"/>
    <w:rsid w:val="00304ADB"/>
    <w:rsid w:val="00304DC2"/>
    <w:rsid w:val="00304E85"/>
    <w:rsid w:val="00304EE5"/>
    <w:rsid w:val="00304F8B"/>
    <w:rsid w:val="00305070"/>
    <w:rsid w:val="00305253"/>
    <w:rsid w:val="003055AC"/>
    <w:rsid w:val="003058C8"/>
    <w:rsid w:val="00305F3C"/>
    <w:rsid w:val="00306017"/>
    <w:rsid w:val="003060BC"/>
    <w:rsid w:val="003060C7"/>
    <w:rsid w:val="00306243"/>
    <w:rsid w:val="00306282"/>
    <w:rsid w:val="00306462"/>
    <w:rsid w:val="0030668B"/>
    <w:rsid w:val="00306760"/>
    <w:rsid w:val="003067A3"/>
    <w:rsid w:val="003068C7"/>
    <w:rsid w:val="00306A15"/>
    <w:rsid w:val="00306B2F"/>
    <w:rsid w:val="00306D8A"/>
    <w:rsid w:val="00306DC2"/>
    <w:rsid w:val="00306DCA"/>
    <w:rsid w:val="00306DD5"/>
    <w:rsid w:val="00306EBF"/>
    <w:rsid w:val="00306FB0"/>
    <w:rsid w:val="0030728B"/>
    <w:rsid w:val="003073A6"/>
    <w:rsid w:val="00307539"/>
    <w:rsid w:val="003077D8"/>
    <w:rsid w:val="00307A39"/>
    <w:rsid w:val="00307CB2"/>
    <w:rsid w:val="00307D82"/>
    <w:rsid w:val="00307DF0"/>
    <w:rsid w:val="00310061"/>
    <w:rsid w:val="0031038C"/>
    <w:rsid w:val="00310454"/>
    <w:rsid w:val="003106D8"/>
    <w:rsid w:val="003106FB"/>
    <w:rsid w:val="00310B18"/>
    <w:rsid w:val="00310BE0"/>
    <w:rsid w:val="00310CE7"/>
    <w:rsid w:val="00310D64"/>
    <w:rsid w:val="00310EB0"/>
    <w:rsid w:val="00310EDD"/>
    <w:rsid w:val="00310FFE"/>
    <w:rsid w:val="0031101D"/>
    <w:rsid w:val="00311065"/>
    <w:rsid w:val="003111BC"/>
    <w:rsid w:val="003113E3"/>
    <w:rsid w:val="003113E4"/>
    <w:rsid w:val="003114A5"/>
    <w:rsid w:val="003116AB"/>
    <w:rsid w:val="003117C9"/>
    <w:rsid w:val="003118DB"/>
    <w:rsid w:val="003119F5"/>
    <w:rsid w:val="003119F7"/>
    <w:rsid w:val="00311AB7"/>
    <w:rsid w:val="00311B55"/>
    <w:rsid w:val="00311C05"/>
    <w:rsid w:val="00311C4D"/>
    <w:rsid w:val="003120D4"/>
    <w:rsid w:val="0031214E"/>
    <w:rsid w:val="00312169"/>
    <w:rsid w:val="00312249"/>
    <w:rsid w:val="0031224B"/>
    <w:rsid w:val="00312542"/>
    <w:rsid w:val="0031264F"/>
    <w:rsid w:val="003126B9"/>
    <w:rsid w:val="003129C2"/>
    <w:rsid w:val="00313018"/>
    <w:rsid w:val="0031322C"/>
    <w:rsid w:val="0031334C"/>
    <w:rsid w:val="00313394"/>
    <w:rsid w:val="003133E9"/>
    <w:rsid w:val="003134D7"/>
    <w:rsid w:val="00313A61"/>
    <w:rsid w:val="00313CFE"/>
    <w:rsid w:val="00313DD7"/>
    <w:rsid w:val="00314103"/>
    <w:rsid w:val="0031417D"/>
    <w:rsid w:val="0031423B"/>
    <w:rsid w:val="00314267"/>
    <w:rsid w:val="0031427F"/>
    <w:rsid w:val="003143A0"/>
    <w:rsid w:val="00314600"/>
    <w:rsid w:val="0031472D"/>
    <w:rsid w:val="00314732"/>
    <w:rsid w:val="00314EF3"/>
    <w:rsid w:val="003151DF"/>
    <w:rsid w:val="00315516"/>
    <w:rsid w:val="0031557B"/>
    <w:rsid w:val="00315B91"/>
    <w:rsid w:val="00315E57"/>
    <w:rsid w:val="00315EE2"/>
    <w:rsid w:val="00315FC4"/>
    <w:rsid w:val="00316158"/>
    <w:rsid w:val="0031624E"/>
    <w:rsid w:val="00316287"/>
    <w:rsid w:val="00316820"/>
    <w:rsid w:val="00316927"/>
    <w:rsid w:val="00316A53"/>
    <w:rsid w:val="00316A5F"/>
    <w:rsid w:val="00316A70"/>
    <w:rsid w:val="00316A7E"/>
    <w:rsid w:val="00316BB6"/>
    <w:rsid w:val="00316C3A"/>
    <w:rsid w:val="00317217"/>
    <w:rsid w:val="003172FA"/>
    <w:rsid w:val="00317323"/>
    <w:rsid w:val="00317464"/>
    <w:rsid w:val="003174AE"/>
    <w:rsid w:val="003174F8"/>
    <w:rsid w:val="00317624"/>
    <w:rsid w:val="0031788C"/>
    <w:rsid w:val="00317996"/>
    <w:rsid w:val="00317AE7"/>
    <w:rsid w:val="00317BB5"/>
    <w:rsid w:val="00317DDB"/>
    <w:rsid w:val="00317E77"/>
    <w:rsid w:val="00317F7E"/>
    <w:rsid w:val="00320707"/>
    <w:rsid w:val="003208DB"/>
    <w:rsid w:val="003209BA"/>
    <w:rsid w:val="003209BC"/>
    <w:rsid w:val="00320A41"/>
    <w:rsid w:val="00320AC6"/>
    <w:rsid w:val="00320FCC"/>
    <w:rsid w:val="00321001"/>
    <w:rsid w:val="0032150F"/>
    <w:rsid w:val="00321532"/>
    <w:rsid w:val="0032162F"/>
    <w:rsid w:val="003219FA"/>
    <w:rsid w:val="00321A52"/>
    <w:rsid w:val="00321B11"/>
    <w:rsid w:val="00321BB4"/>
    <w:rsid w:val="00321D72"/>
    <w:rsid w:val="00321E2F"/>
    <w:rsid w:val="00321E73"/>
    <w:rsid w:val="00321F42"/>
    <w:rsid w:val="0032226C"/>
    <w:rsid w:val="00322370"/>
    <w:rsid w:val="00322537"/>
    <w:rsid w:val="00322723"/>
    <w:rsid w:val="0032280E"/>
    <w:rsid w:val="00322BEF"/>
    <w:rsid w:val="00322CC2"/>
    <w:rsid w:val="00322F7A"/>
    <w:rsid w:val="00323002"/>
    <w:rsid w:val="00323196"/>
    <w:rsid w:val="003232A8"/>
    <w:rsid w:val="003233A3"/>
    <w:rsid w:val="00323449"/>
    <w:rsid w:val="003235E0"/>
    <w:rsid w:val="00323668"/>
    <w:rsid w:val="00323B15"/>
    <w:rsid w:val="00323C19"/>
    <w:rsid w:val="00323F5B"/>
    <w:rsid w:val="00324018"/>
    <w:rsid w:val="0032402A"/>
    <w:rsid w:val="00324061"/>
    <w:rsid w:val="00324197"/>
    <w:rsid w:val="00324479"/>
    <w:rsid w:val="003244CE"/>
    <w:rsid w:val="0032457D"/>
    <w:rsid w:val="0032457F"/>
    <w:rsid w:val="00324654"/>
    <w:rsid w:val="00324890"/>
    <w:rsid w:val="00324990"/>
    <w:rsid w:val="00324D8B"/>
    <w:rsid w:val="00324EBB"/>
    <w:rsid w:val="00325026"/>
    <w:rsid w:val="00325220"/>
    <w:rsid w:val="00325228"/>
    <w:rsid w:val="00325306"/>
    <w:rsid w:val="003254C5"/>
    <w:rsid w:val="0032557E"/>
    <w:rsid w:val="003255AB"/>
    <w:rsid w:val="003255CD"/>
    <w:rsid w:val="00325695"/>
    <w:rsid w:val="003257FB"/>
    <w:rsid w:val="00325BD1"/>
    <w:rsid w:val="00325D9B"/>
    <w:rsid w:val="00326224"/>
    <w:rsid w:val="00326233"/>
    <w:rsid w:val="0032659B"/>
    <w:rsid w:val="00326658"/>
    <w:rsid w:val="00326729"/>
    <w:rsid w:val="0032673C"/>
    <w:rsid w:val="003267D6"/>
    <w:rsid w:val="00326B8D"/>
    <w:rsid w:val="00326C02"/>
    <w:rsid w:val="00326D2E"/>
    <w:rsid w:val="00326E2A"/>
    <w:rsid w:val="00326FF3"/>
    <w:rsid w:val="00327011"/>
    <w:rsid w:val="00327324"/>
    <w:rsid w:val="00327691"/>
    <w:rsid w:val="003278D8"/>
    <w:rsid w:val="00327CC9"/>
    <w:rsid w:val="00327DB3"/>
    <w:rsid w:val="00327F3C"/>
    <w:rsid w:val="00327F88"/>
    <w:rsid w:val="00330103"/>
    <w:rsid w:val="0033028D"/>
    <w:rsid w:val="00330291"/>
    <w:rsid w:val="00330683"/>
    <w:rsid w:val="0033078E"/>
    <w:rsid w:val="003307A9"/>
    <w:rsid w:val="0033087D"/>
    <w:rsid w:val="0033096E"/>
    <w:rsid w:val="00330A64"/>
    <w:rsid w:val="00330BF0"/>
    <w:rsid w:val="00330DAB"/>
    <w:rsid w:val="00330E47"/>
    <w:rsid w:val="00330E6A"/>
    <w:rsid w:val="0033100E"/>
    <w:rsid w:val="0033147B"/>
    <w:rsid w:val="0033155E"/>
    <w:rsid w:val="0033156A"/>
    <w:rsid w:val="00331715"/>
    <w:rsid w:val="00331952"/>
    <w:rsid w:val="00331A6A"/>
    <w:rsid w:val="00331AF9"/>
    <w:rsid w:val="00331BB2"/>
    <w:rsid w:val="00331CF2"/>
    <w:rsid w:val="00331E21"/>
    <w:rsid w:val="00331F50"/>
    <w:rsid w:val="00331F77"/>
    <w:rsid w:val="0033210A"/>
    <w:rsid w:val="00332118"/>
    <w:rsid w:val="00332126"/>
    <w:rsid w:val="00332359"/>
    <w:rsid w:val="003324F0"/>
    <w:rsid w:val="00332529"/>
    <w:rsid w:val="00332863"/>
    <w:rsid w:val="003328AF"/>
    <w:rsid w:val="00332906"/>
    <w:rsid w:val="003329B0"/>
    <w:rsid w:val="00332C18"/>
    <w:rsid w:val="00332CB5"/>
    <w:rsid w:val="00332D18"/>
    <w:rsid w:val="00332F0C"/>
    <w:rsid w:val="00333322"/>
    <w:rsid w:val="003333C6"/>
    <w:rsid w:val="003333D5"/>
    <w:rsid w:val="003334AA"/>
    <w:rsid w:val="003335E2"/>
    <w:rsid w:val="003336F4"/>
    <w:rsid w:val="00333A4F"/>
    <w:rsid w:val="00333B8B"/>
    <w:rsid w:val="00333B8F"/>
    <w:rsid w:val="00333C78"/>
    <w:rsid w:val="00333C87"/>
    <w:rsid w:val="00333CBD"/>
    <w:rsid w:val="00334242"/>
    <w:rsid w:val="003343D8"/>
    <w:rsid w:val="0033440D"/>
    <w:rsid w:val="0033451D"/>
    <w:rsid w:val="00334B0F"/>
    <w:rsid w:val="00334B2A"/>
    <w:rsid w:val="00334B50"/>
    <w:rsid w:val="00334BF0"/>
    <w:rsid w:val="00334CE8"/>
    <w:rsid w:val="00334D57"/>
    <w:rsid w:val="00334E8D"/>
    <w:rsid w:val="00334EFF"/>
    <w:rsid w:val="00334FD8"/>
    <w:rsid w:val="00335076"/>
    <w:rsid w:val="0033510D"/>
    <w:rsid w:val="00335206"/>
    <w:rsid w:val="003359CD"/>
    <w:rsid w:val="00335A66"/>
    <w:rsid w:val="00335B52"/>
    <w:rsid w:val="00335EDD"/>
    <w:rsid w:val="0033658C"/>
    <w:rsid w:val="00336693"/>
    <w:rsid w:val="00336769"/>
    <w:rsid w:val="00336B2F"/>
    <w:rsid w:val="003370A8"/>
    <w:rsid w:val="00337261"/>
    <w:rsid w:val="0033740F"/>
    <w:rsid w:val="0033744E"/>
    <w:rsid w:val="003376A1"/>
    <w:rsid w:val="003379B2"/>
    <w:rsid w:val="00337A8B"/>
    <w:rsid w:val="00337AA5"/>
    <w:rsid w:val="00337C1C"/>
    <w:rsid w:val="00337CF4"/>
    <w:rsid w:val="00337DB9"/>
    <w:rsid w:val="00337DDC"/>
    <w:rsid w:val="00337DF5"/>
    <w:rsid w:val="00337E16"/>
    <w:rsid w:val="00337EA5"/>
    <w:rsid w:val="00340085"/>
    <w:rsid w:val="00340382"/>
    <w:rsid w:val="0034041D"/>
    <w:rsid w:val="003405D7"/>
    <w:rsid w:val="00340646"/>
    <w:rsid w:val="0034082E"/>
    <w:rsid w:val="003409A9"/>
    <w:rsid w:val="00340A12"/>
    <w:rsid w:val="00340B3A"/>
    <w:rsid w:val="00340EFB"/>
    <w:rsid w:val="0034117C"/>
    <w:rsid w:val="00341257"/>
    <w:rsid w:val="00341262"/>
    <w:rsid w:val="0034131A"/>
    <w:rsid w:val="0034153E"/>
    <w:rsid w:val="00341ABC"/>
    <w:rsid w:val="00341B0A"/>
    <w:rsid w:val="00341B43"/>
    <w:rsid w:val="00341BBB"/>
    <w:rsid w:val="00341D87"/>
    <w:rsid w:val="00341E83"/>
    <w:rsid w:val="00341E8E"/>
    <w:rsid w:val="0034206B"/>
    <w:rsid w:val="003423DB"/>
    <w:rsid w:val="003423FF"/>
    <w:rsid w:val="003425C0"/>
    <w:rsid w:val="003425EC"/>
    <w:rsid w:val="003426F7"/>
    <w:rsid w:val="00342A52"/>
    <w:rsid w:val="00342AC5"/>
    <w:rsid w:val="00342B0F"/>
    <w:rsid w:val="00343200"/>
    <w:rsid w:val="003433A6"/>
    <w:rsid w:val="0034356E"/>
    <w:rsid w:val="00343758"/>
    <w:rsid w:val="003438C5"/>
    <w:rsid w:val="00343FEE"/>
    <w:rsid w:val="0034408A"/>
    <w:rsid w:val="0034412C"/>
    <w:rsid w:val="003443DD"/>
    <w:rsid w:val="0034456B"/>
    <w:rsid w:val="00344613"/>
    <w:rsid w:val="00344859"/>
    <w:rsid w:val="00344922"/>
    <w:rsid w:val="003449FF"/>
    <w:rsid w:val="00344DA2"/>
    <w:rsid w:val="00345018"/>
    <w:rsid w:val="003451FF"/>
    <w:rsid w:val="0034547B"/>
    <w:rsid w:val="0034583C"/>
    <w:rsid w:val="00345DD3"/>
    <w:rsid w:val="00345DF0"/>
    <w:rsid w:val="00345EA9"/>
    <w:rsid w:val="003462E7"/>
    <w:rsid w:val="00346340"/>
    <w:rsid w:val="00346344"/>
    <w:rsid w:val="00346453"/>
    <w:rsid w:val="003465B3"/>
    <w:rsid w:val="00346787"/>
    <w:rsid w:val="00346931"/>
    <w:rsid w:val="0034695D"/>
    <w:rsid w:val="003469E4"/>
    <w:rsid w:val="00346A03"/>
    <w:rsid w:val="00346A05"/>
    <w:rsid w:val="00346ED7"/>
    <w:rsid w:val="00347718"/>
    <w:rsid w:val="00347805"/>
    <w:rsid w:val="003478EE"/>
    <w:rsid w:val="00347A0A"/>
    <w:rsid w:val="00347BCF"/>
    <w:rsid w:val="00347D3F"/>
    <w:rsid w:val="00347DBA"/>
    <w:rsid w:val="00350232"/>
    <w:rsid w:val="003505E5"/>
    <w:rsid w:val="0035060E"/>
    <w:rsid w:val="003509C7"/>
    <w:rsid w:val="00351316"/>
    <w:rsid w:val="0035139F"/>
    <w:rsid w:val="003514D9"/>
    <w:rsid w:val="003515EB"/>
    <w:rsid w:val="003519CD"/>
    <w:rsid w:val="00351A58"/>
    <w:rsid w:val="00351E00"/>
    <w:rsid w:val="00351E33"/>
    <w:rsid w:val="00351E82"/>
    <w:rsid w:val="00351FF2"/>
    <w:rsid w:val="003521A4"/>
    <w:rsid w:val="003521A8"/>
    <w:rsid w:val="003521EC"/>
    <w:rsid w:val="00352211"/>
    <w:rsid w:val="003523F8"/>
    <w:rsid w:val="0035246E"/>
    <w:rsid w:val="00352538"/>
    <w:rsid w:val="0035282B"/>
    <w:rsid w:val="00352975"/>
    <w:rsid w:val="00352A2D"/>
    <w:rsid w:val="00352C77"/>
    <w:rsid w:val="003530DD"/>
    <w:rsid w:val="0035320C"/>
    <w:rsid w:val="0035335D"/>
    <w:rsid w:val="003534C2"/>
    <w:rsid w:val="0035391B"/>
    <w:rsid w:val="00353A0B"/>
    <w:rsid w:val="00353A6A"/>
    <w:rsid w:val="00353D47"/>
    <w:rsid w:val="00353F41"/>
    <w:rsid w:val="003543A9"/>
    <w:rsid w:val="003543FE"/>
    <w:rsid w:val="003544BF"/>
    <w:rsid w:val="0035459D"/>
    <w:rsid w:val="00354A98"/>
    <w:rsid w:val="00354B40"/>
    <w:rsid w:val="00354D14"/>
    <w:rsid w:val="00354E56"/>
    <w:rsid w:val="00354EA7"/>
    <w:rsid w:val="00355115"/>
    <w:rsid w:val="0035517F"/>
    <w:rsid w:val="0035527C"/>
    <w:rsid w:val="003554A1"/>
    <w:rsid w:val="00355626"/>
    <w:rsid w:val="0035562E"/>
    <w:rsid w:val="003556F6"/>
    <w:rsid w:val="00355FB8"/>
    <w:rsid w:val="0035603D"/>
    <w:rsid w:val="00356041"/>
    <w:rsid w:val="00356075"/>
    <w:rsid w:val="003561D2"/>
    <w:rsid w:val="003562B3"/>
    <w:rsid w:val="00356465"/>
    <w:rsid w:val="00356B14"/>
    <w:rsid w:val="00356D1D"/>
    <w:rsid w:val="00356D41"/>
    <w:rsid w:val="003570A4"/>
    <w:rsid w:val="0035718F"/>
    <w:rsid w:val="0035757F"/>
    <w:rsid w:val="003575FD"/>
    <w:rsid w:val="003576F2"/>
    <w:rsid w:val="00357AA1"/>
    <w:rsid w:val="00357C86"/>
    <w:rsid w:val="00357CE1"/>
    <w:rsid w:val="00360080"/>
    <w:rsid w:val="003602F4"/>
    <w:rsid w:val="0036041E"/>
    <w:rsid w:val="00360476"/>
    <w:rsid w:val="0036058C"/>
    <w:rsid w:val="003608F5"/>
    <w:rsid w:val="00360A31"/>
    <w:rsid w:val="00360A80"/>
    <w:rsid w:val="00360B12"/>
    <w:rsid w:val="00360C97"/>
    <w:rsid w:val="00360DA7"/>
    <w:rsid w:val="00360F0B"/>
    <w:rsid w:val="00361130"/>
    <w:rsid w:val="003611A9"/>
    <w:rsid w:val="0036138D"/>
    <w:rsid w:val="00361C01"/>
    <w:rsid w:val="00361C22"/>
    <w:rsid w:val="00361DAD"/>
    <w:rsid w:val="00362043"/>
    <w:rsid w:val="003621C9"/>
    <w:rsid w:val="00362638"/>
    <w:rsid w:val="00362A65"/>
    <w:rsid w:val="00362AC5"/>
    <w:rsid w:val="00362BA9"/>
    <w:rsid w:val="00362D80"/>
    <w:rsid w:val="00363051"/>
    <w:rsid w:val="00363054"/>
    <w:rsid w:val="003633EF"/>
    <w:rsid w:val="003634E2"/>
    <w:rsid w:val="003635B8"/>
    <w:rsid w:val="0036373B"/>
    <w:rsid w:val="003639BD"/>
    <w:rsid w:val="00363AA3"/>
    <w:rsid w:val="00363D49"/>
    <w:rsid w:val="00363F4E"/>
    <w:rsid w:val="00363F65"/>
    <w:rsid w:val="003641C8"/>
    <w:rsid w:val="003644F3"/>
    <w:rsid w:val="003647F0"/>
    <w:rsid w:val="0036492D"/>
    <w:rsid w:val="0036493E"/>
    <w:rsid w:val="0036496E"/>
    <w:rsid w:val="003649BB"/>
    <w:rsid w:val="003649F4"/>
    <w:rsid w:val="00364A11"/>
    <w:rsid w:val="00364A6A"/>
    <w:rsid w:val="00364D3E"/>
    <w:rsid w:val="00364DD0"/>
    <w:rsid w:val="00364EB0"/>
    <w:rsid w:val="00364FC7"/>
    <w:rsid w:val="00364FDD"/>
    <w:rsid w:val="00364FE8"/>
    <w:rsid w:val="0036513A"/>
    <w:rsid w:val="00365317"/>
    <w:rsid w:val="00365514"/>
    <w:rsid w:val="0036556D"/>
    <w:rsid w:val="00365A15"/>
    <w:rsid w:val="00365A82"/>
    <w:rsid w:val="00365CFE"/>
    <w:rsid w:val="00365D82"/>
    <w:rsid w:val="00365E44"/>
    <w:rsid w:val="00365E50"/>
    <w:rsid w:val="00365F74"/>
    <w:rsid w:val="00366151"/>
    <w:rsid w:val="00366319"/>
    <w:rsid w:val="00366464"/>
    <w:rsid w:val="00366966"/>
    <w:rsid w:val="003669E2"/>
    <w:rsid w:val="00366DE9"/>
    <w:rsid w:val="0036708C"/>
    <w:rsid w:val="0036709C"/>
    <w:rsid w:val="00367151"/>
    <w:rsid w:val="00367270"/>
    <w:rsid w:val="003675AE"/>
    <w:rsid w:val="003676A0"/>
    <w:rsid w:val="00367709"/>
    <w:rsid w:val="0036791B"/>
    <w:rsid w:val="0036796D"/>
    <w:rsid w:val="003679E3"/>
    <w:rsid w:val="00367C13"/>
    <w:rsid w:val="00367C48"/>
    <w:rsid w:val="00367CC9"/>
    <w:rsid w:val="00367CD5"/>
    <w:rsid w:val="00367CE2"/>
    <w:rsid w:val="00367D53"/>
    <w:rsid w:val="00367E76"/>
    <w:rsid w:val="00367EF3"/>
    <w:rsid w:val="00367FF9"/>
    <w:rsid w:val="00370213"/>
    <w:rsid w:val="00370278"/>
    <w:rsid w:val="003702BF"/>
    <w:rsid w:val="0037039A"/>
    <w:rsid w:val="00370747"/>
    <w:rsid w:val="00370B84"/>
    <w:rsid w:val="00370E16"/>
    <w:rsid w:val="003710AC"/>
    <w:rsid w:val="0037113F"/>
    <w:rsid w:val="0037119F"/>
    <w:rsid w:val="00371319"/>
    <w:rsid w:val="00371482"/>
    <w:rsid w:val="0037150C"/>
    <w:rsid w:val="003717D2"/>
    <w:rsid w:val="003719F2"/>
    <w:rsid w:val="00371AB8"/>
    <w:rsid w:val="00371C90"/>
    <w:rsid w:val="00371CD9"/>
    <w:rsid w:val="00371E51"/>
    <w:rsid w:val="00372176"/>
    <w:rsid w:val="003722DB"/>
    <w:rsid w:val="003723D9"/>
    <w:rsid w:val="00372482"/>
    <w:rsid w:val="00372738"/>
    <w:rsid w:val="00372826"/>
    <w:rsid w:val="00372847"/>
    <w:rsid w:val="00372858"/>
    <w:rsid w:val="00372BDD"/>
    <w:rsid w:val="00372C8E"/>
    <w:rsid w:val="00372F0D"/>
    <w:rsid w:val="003730FF"/>
    <w:rsid w:val="00373155"/>
    <w:rsid w:val="003731C2"/>
    <w:rsid w:val="003731F9"/>
    <w:rsid w:val="0037334B"/>
    <w:rsid w:val="003733BF"/>
    <w:rsid w:val="00373413"/>
    <w:rsid w:val="00373546"/>
    <w:rsid w:val="00373611"/>
    <w:rsid w:val="00373647"/>
    <w:rsid w:val="00373694"/>
    <w:rsid w:val="0037371A"/>
    <w:rsid w:val="00373780"/>
    <w:rsid w:val="0037397D"/>
    <w:rsid w:val="003739FA"/>
    <w:rsid w:val="00373A5B"/>
    <w:rsid w:val="00373B5E"/>
    <w:rsid w:val="00373BCF"/>
    <w:rsid w:val="00373BE8"/>
    <w:rsid w:val="00373CC5"/>
    <w:rsid w:val="00373EED"/>
    <w:rsid w:val="00373F63"/>
    <w:rsid w:val="00374249"/>
    <w:rsid w:val="003746A0"/>
    <w:rsid w:val="003747B1"/>
    <w:rsid w:val="0037489E"/>
    <w:rsid w:val="0037494D"/>
    <w:rsid w:val="00374BA4"/>
    <w:rsid w:val="00374F65"/>
    <w:rsid w:val="0037517D"/>
    <w:rsid w:val="0037552A"/>
    <w:rsid w:val="00375618"/>
    <w:rsid w:val="00375663"/>
    <w:rsid w:val="003757A8"/>
    <w:rsid w:val="0037590C"/>
    <w:rsid w:val="00375AE9"/>
    <w:rsid w:val="00375B5A"/>
    <w:rsid w:val="00375BF0"/>
    <w:rsid w:val="00375CD0"/>
    <w:rsid w:val="00375DD7"/>
    <w:rsid w:val="00375E07"/>
    <w:rsid w:val="00376176"/>
    <w:rsid w:val="003761BD"/>
    <w:rsid w:val="00376344"/>
    <w:rsid w:val="00376724"/>
    <w:rsid w:val="0037688A"/>
    <w:rsid w:val="00376D72"/>
    <w:rsid w:val="00376E4A"/>
    <w:rsid w:val="00376FA8"/>
    <w:rsid w:val="0037702D"/>
    <w:rsid w:val="0037711C"/>
    <w:rsid w:val="003776D7"/>
    <w:rsid w:val="003777A0"/>
    <w:rsid w:val="00377929"/>
    <w:rsid w:val="00377EBD"/>
    <w:rsid w:val="00377ED4"/>
    <w:rsid w:val="0038012D"/>
    <w:rsid w:val="003801E2"/>
    <w:rsid w:val="00380939"/>
    <w:rsid w:val="00380A55"/>
    <w:rsid w:val="00380CE4"/>
    <w:rsid w:val="00380DA3"/>
    <w:rsid w:val="00380F2C"/>
    <w:rsid w:val="00381037"/>
    <w:rsid w:val="003814D1"/>
    <w:rsid w:val="0038171C"/>
    <w:rsid w:val="00382143"/>
    <w:rsid w:val="00382356"/>
    <w:rsid w:val="003826D4"/>
    <w:rsid w:val="003829A2"/>
    <w:rsid w:val="00382E99"/>
    <w:rsid w:val="00382F97"/>
    <w:rsid w:val="003830CC"/>
    <w:rsid w:val="003833AA"/>
    <w:rsid w:val="003836A2"/>
    <w:rsid w:val="003836B2"/>
    <w:rsid w:val="00383802"/>
    <w:rsid w:val="0038387F"/>
    <w:rsid w:val="00383974"/>
    <w:rsid w:val="0038402E"/>
    <w:rsid w:val="00384164"/>
    <w:rsid w:val="003841CE"/>
    <w:rsid w:val="003844ED"/>
    <w:rsid w:val="00384C78"/>
    <w:rsid w:val="00384EA8"/>
    <w:rsid w:val="00384F51"/>
    <w:rsid w:val="00384FF6"/>
    <w:rsid w:val="00385023"/>
    <w:rsid w:val="00385354"/>
    <w:rsid w:val="003854E5"/>
    <w:rsid w:val="00385603"/>
    <w:rsid w:val="003857AF"/>
    <w:rsid w:val="003857CD"/>
    <w:rsid w:val="00385874"/>
    <w:rsid w:val="00385DC1"/>
    <w:rsid w:val="00385EAA"/>
    <w:rsid w:val="003860FC"/>
    <w:rsid w:val="0038616B"/>
    <w:rsid w:val="003862A5"/>
    <w:rsid w:val="003862C4"/>
    <w:rsid w:val="0038661E"/>
    <w:rsid w:val="00386644"/>
    <w:rsid w:val="00386930"/>
    <w:rsid w:val="00386BC0"/>
    <w:rsid w:val="00386CF3"/>
    <w:rsid w:val="00386E41"/>
    <w:rsid w:val="0038719F"/>
    <w:rsid w:val="003872AF"/>
    <w:rsid w:val="00387314"/>
    <w:rsid w:val="00387537"/>
    <w:rsid w:val="0038772E"/>
    <w:rsid w:val="0038799F"/>
    <w:rsid w:val="00387C18"/>
    <w:rsid w:val="00387C78"/>
    <w:rsid w:val="00387EC7"/>
    <w:rsid w:val="00390495"/>
    <w:rsid w:val="0039071D"/>
    <w:rsid w:val="00390C56"/>
    <w:rsid w:val="003913FC"/>
    <w:rsid w:val="00391444"/>
    <w:rsid w:val="00391558"/>
    <w:rsid w:val="00391576"/>
    <w:rsid w:val="00391581"/>
    <w:rsid w:val="0039170E"/>
    <w:rsid w:val="00391919"/>
    <w:rsid w:val="0039196A"/>
    <w:rsid w:val="00391A26"/>
    <w:rsid w:val="00391C9B"/>
    <w:rsid w:val="00391F6F"/>
    <w:rsid w:val="00392204"/>
    <w:rsid w:val="00392434"/>
    <w:rsid w:val="00392495"/>
    <w:rsid w:val="0039264C"/>
    <w:rsid w:val="003926A3"/>
    <w:rsid w:val="003926D3"/>
    <w:rsid w:val="00392730"/>
    <w:rsid w:val="00392789"/>
    <w:rsid w:val="00392A00"/>
    <w:rsid w:val="00392B61"/>
    <w:rsid w:val="00392C13"/>
    <w:rsid w:val="00392C5F"/>
    <w:rsid w:val="00392C89"/>
    <w:rsid w:val="00392DB7"/>
    <w:rsid w:val="00392EC2"/>
    <w:rsid w:val="00392F26"/>
    <w:rsid w:val="00392F91"/>
    <w:rsid w:val="00393051"/>
    <w:rsid w:val="003932C5"/>
    <w:rsid w:val="00393476"/>
    <w:rsid w:val="003936BB"/>
    <w:rsid w:val="00393789"/>
    <w:rsid w:val="003937AE"/>
    <w:rsid w:val="00393CAA"/>
    <w:rsid w:val="00393D63"/>
    <w:rsid w:val="00393ED6"/>
    <w:rsid w:val="00393F31"/>
    <w:rsid w:val="00394252"/>
    <w:rsid w:val="0039445B"/>
    <w:rsid w:val="00394515"/>
    <w:rsid w:val="003946DB"/>
    <w:rsid w:val="0039489C"/>
    <w:rsid w:val="00394F5D"/>
    <w:rsid w:val="003951FE"/>
    <w:rsid w:val="00395217"/>
    <w:rsid w:val="003953A5"/>
    <w:rsid w:val="003956E2"/>
    <w:rsid w:val="003957B7"/>
    <w:rsid w:val="003957EE"/>
    <w:rsid w:val="0039583B"/>
    <w:rsid w:val="00395B74"/>
    <w:rsid w:val="00395C7C"/>
    <w:rsid w:val="00395D76"/>
    <w:rsid w:val="00395EFD"/>
    <w:rsid w:val="00395FA3"/>
    <w:rsid w:val="003960B8"/>
    <w:rsid w:val="0039611D"/>
    <w:rsid w:val="0039622E"/>
    <w:rsid w:val="0039628A"/>
    <w:rsid w:val="003962E7"/>
    <w:rsid w:val="003963A8"/>
    <w:rsid w:val="0039640E"/>
    <w:rsid w:val="00396436"/>
    <w:rsid w:val="003966F7"/>
    <w:rsid w:val="0039680E"/>
    <w:rsid w:val="0039688F"/>
    <w:rsid w:val="003968A5"/>
    <w:rsid w:val="003971E0"/>
    <w:rsid w:val="0039757E"/>
    <w:rsid w:val="003975F1"/>
    <w:rsid w:val="003976B6"/>
    <w:rsid w:val="003977B0"/>
    <w:rsid w:val="00397A30"/>
    <w:rsid w:val="00397AAB"/>
    <w:rsid w:val="00397AE6"/>
    <w:rsid w:val="00397B5D"/>
    <w:rsid w:val="00397E51"/>
    <w:rsid w:val="003A0007"/>
    <w:rsid w:val="003A01CE"/>
    <w:rsid w:val="003A044B"/>
    <w:rsid w:val="003A067A"/>
    <w:rsid w:val="003A07A9"/>
    <w:rsid w:val="003A1032"/>
    <w:rsid w:val="003A1128"/>
    <w:rsid w:val="003A1821"/>
    <w:rsid w:val="003A18B7"/>
    <w:rsid w:val="003A199E"/>
    <w:rsid w:val="003A1A78"/>
    <w:rsid w:val="003A1ABC"/>
    <w:rsid w:val="003A1BA1"/>
    <w:rsid w:val="003A1E6F"/>
    <w:rsid w:val="003A1F98"/>
    <w:rsid w:val="003A206C"/>
    <w:rsid w:val="003A214F"/>
    <w:rsid w:val="003A259F"/>
    <w:rsid w:val="003A263F"/>
    <w:rsid w:val="003A26A9"/>
    <w:rsid w:val="003A299F"/>
    <w:rsid w:val="003A29DC"/>
    <w:rsid w:val="003A2AAD"/>
    <w:rsid w:val="003A2D20"/>
    <w:rsid w:val="003A2D42"/>
    <w:rsid w:val="003A2D4F"/>
    <w:rsid w:val="003A3006"/>
    <w:rsid w:val="003A31A6"/>
    <w:rsid w:val="003A33A9"/>
    <w:rsid w:val="003A33C1"/>
    <w:rsid w:val="003A384F"/>
    <w:rsid w:val="003A38F1"/>
    <w:rsid w:val="003A40F9"/>
    <w:rsid w:val="003A4327"/>
    <w:rsid w:val="003A44A0"/>
    <w:rsid w:val="003A44E8"/>
    <w:rsid w:val="003A48A7"/>
    <w:rsid w:val="003A4AA4"/>
    <w:rsid w:val="003A4ADB"/>
    <w:rsid w:val="003A4B7F"/>
    <w:rsid w:val="003A4D98"/>
    <w:rsid w:val="003A5330"/>
    <w:rsid w:val="003A5423"/>
    <w:rsid w:val="003A5430"/>
    <w:rsid w:val="003A56F2"/>
    <w:rsid w:val="003A5717"/>
    <w:rsid w:val="003A58B0"/>
    <w:rsid w:val="003A5B58"/>
    <w:rsid w:val="003A5CD2"/>
    <w:rsid w:val="003A5E40"/>
    <w:rsid w:val="003A6199"/>
    <w:rsid w:val="003A626A"/>
    <w:rsid w:val="003A6540"/>
    <w:rsid w:val="003A6623"/>
    <w:rsid w:val="003A6673"/>
    <w:rsid w:val="003A66A9"/>
    <w:rsid w:val="003A6FA5"/>
    <w:rsid w:val="003A70DB"/>
    <w:rsid w:val="003A755F"/>
    <w:rsid w:val="003A75EF"/>
    <w:rsid w:val="003A77EA"/>
    <w:rsid w:val="003A7A48"/>
    <w:rsid w:val="003A7AF9"/>
    <w:rsid w:val="003A7FB5"/>
    <w:rsid w:val="003A7FC0"/>
    <w:rsid w:val="003B00A8"/>
    <w:rsid w:val="003B01F7"/>
    <w:rsid w:val="003B03EA"/>
    <w:rsid w:val="003B06B0"/>
    <w:rsid w:val="003B0A79"/>
    <w:rsid w:val="003B0B05"/>
    <w:rsid w:val="003B0BF9"/>
    <w:rsid w:val="003B0D0F"/>
    <w:rsid w:val="003B0DAD"/>
    <w:rsid w:val="003B106A"/>
    <w:rsid w:val="003B1182"/>
    <w:rsid w:val="003B12D0"/>
    <w:rsid w:val="003B13DB"/>
    <w:rsid w:val="003B14C7"/>
    <w:rsid w:val="003B1536"/>
    <w:rsid w:val="003B15C1"/>
    <w:rsid w:val="003B1A34"/>
    <w:rsid w:val="003B1A3E"/>
    <w:rsid w:val="003B1AC0"/>
    <w:rsid w:val="003B1C84"/>
    <w:rsid w:val="003B1CC7"/>
    <w:rsid w:val="003B1D1C"/>
    <w:rsid w:val="003B1DAA"/>
    <w:rsid w:val="003B205B"/>
    <w:rsid w:val="003B20C8"/>
    <w:rsid w:val="003B21A7"/>
    <w:rsid w:val="003B21B7"/>
    <w:rsid w:val="003B22BA"/>
    <w:rsid w:val="003B2427"/>
    <w:rsid w:val="003B26F2"/>
    <w:rsid w:val="003B2708"/>
    <w:rsid w:val="003B27DC"/>
    <w:rsid w:val="003B287F"/>
    <w:rsid w:val="003B29CD"/>
    <w:rsid w:val="003B2A5F"/>
    <w:rsid w:val="003B2C8A"/>
    <w:rsid w:val="003B2F66"/>
    <w:rsid w:val="003B2FD0"/>
    <w:rsid w:val="003B310F"/>
    <w:rsid w:val="003B3313"/>
    <w:rsid w:val="003B3442"/>
    <w:rsid w:val="003B34A4"/>
    <w:rsid w:val="003B38B0"/>
    <w:rsid w:val="003B3CF6"/>
    <w:rsid w:val="003B4039"/>
    <w:rsid w:val="003B4089"/>
    <w:rsid w:val="003B444F"/>
    <w:rsid w:val="003B470A"/>
    <w:rsid w:val="003B490B"/>
    <w:rsid w:val="003B49CC"/>
    <w:rsid w:val="003B4A7E"/>
    <w:rsid w:val="003B4AF3"/>
    <w:rsid w:val="003B4C52"/>
    <w:rsid w:val="003B4CDB"/>
    <w:rsid w:val="003B4DEE"/>
    <w:rsid w:val="003B4EE4"/>
    <w:rsid w:val="003B4EFC"/>
    <w:rsid w:val="003B4F7C"/>
    <w:rsid w:val="003B5120"/>
    <w:rsid w:val="003B522F"/>
    <w:rsid w:val="003B540C"/>
    <w:rsid w:val="003B5433"/>
    <w:rsid w:val="003B57A5"/>
    <w:rsid w:val="003B57A8"/>
    <w:rsid w:val="003B5890"/>
    <w:rsid w:val="003B594A"/>
    <w:rsid w:val="003B59EA"/>
    <w:rsid w:val="003B5AB3"/>
    <w:rsid w:val="003B5BFC"/>
    <w:rsid w:val="003B5C58"/>
    <w:rsid w:val="003B5C94"/>
    <w:rsid w:val="003B5FA8"/>
    <w:rsid w:val="003B6063"/>
    <w:rsid w:val="003B6143"/>
    <w:rsid w:val="003B6166"/>
    <w:rsid w:val="003B62ED"/>
    <w:rsid w:val="003B643E"/>
    <w:rsid w:val="003B6490"/>
    <w:rsid w:val="003B6796"/>
    <w:rsid w:val="003B6A20"/>
    <w:rsid w:val="003B6A5B"/>
    <w:rsid w:val="003B6BC5"/>
    <w:rsid w:val="003B6C76"/>
    <w:rsid w:val="003B6CDF"/>
    <w:rsid w:val="003B6CEF"/>
    <w:rsid w:val="003B70C2"/>
    <w:rsid w:val="003B7171"/>
    <w:rsid w:val="003B72AE"/>
    <w:rsid w:val="003B7720"/>
    <w:rsid w:val="003B774C"/>
    <w:rsid w:val="003B7859"/>
    <w:rsid w:val="003B797A"/>
    <w:rsid w:val="003B7995"/>
    <w:rsid w:val="003B7AC3"/>
    <w:rsid w:val="003B7B8C"/>
    <w:rsid w:val="003B7D22"/>
    <w:rsid w:val="003B7D45"/>
    <w:rsid w:val="003B7DB2"/>
    <w:rsid w:val="003C0004"/>
    <w:rsid w:val="003C0136"/>
    <w:rsid w:val="003C01F6"/>
    <w:rsid w:val="003C0287"/>
    <w:rsid w:val="003C050D"/>
    <w:rsid w:val="003C07DE"/>
    <w:rsid w:val="003C0973"/>
    <w:rsid w:val="003C0993"/>
    <w:rsid w:val="003C1177"/>
    <w:rsid w:val="003C11C2"/>
    <w:rsid w:val="003C1242"/>
    <w:rsid w:val="003C13EE"/>
    <w:rsid w:val="003C145D"/>
    <w:rsid w:val="003C146C"/>
    <w:rsid w:val="003C1705"/>
    <w:rsid w:val="003C17AD"/>
    <w:rsid w:val="003C17D6"/>
    <w:rsid w:val="003C1817"/>
    <w:rsid w:val="003C18FB"/>
    <w:rsid w:val="003C1A53"/>
    <w:rsid w:val="003C1C16"/>
    <w:rsid w:val="003C1C31"/>
    <w:rsid w:val="003C1DF5"/>
    <w:rsid w:val="003C1E3E"/>
    <w:rsid w:val="003C1EC8"/>
    <w:rsid w:val="003C1F15"/>
    <w:rsid w:val="003C2112"/>
    <w:rsid w:val="003C2152"/>
    <w:rsid w:val="003C23AF"/>
    <w:rsid w:val="003C2A8A"/>
    <w:rsid w:val="003C2AD0"/>
    <w:rsid w:val="003C2E32"/>
    <w:rsid w:val="003C2F4B"/>
    <w:rsid w:val="003C2FA3"/>
    <w:rsid w:val="003C3154"/>
    <w:rsid w:val="003C33A7"/>
    <w:rsid w:val="003C392E"/>
    <w:rsid w:val="003C3A82"/>
    <w:rsid w:val="003C3AAF"/>
    <w:rsid w:val="003C3D35"/>
    <w:rsid w:val="003C3DB4"/>
    <w:rsid w:val="003C41E6"/>
    <w:rsid w:val="003C4381"/>
    <w:rsid w:val="003C4397"/>
    <w:rsid w:val="003C4425"/>
    <w:rsid w:val="003C4545"/>
    <w:rsid w:val="003C461E"/>
    <w:rsid w:val="003C4652"/>
    <w:rsid w:val="003C47D4"/>
    <w:rsid w:val="003C480D"/>
    <w:rsid w:val="003C49BE"/>
    <w:rsid w:val="003C49EB"/>
    <w:rsid w:val="003C49F2"/>
    <w:rsid w:val="003C4B48"/>
    <w:rsid w:val="003C4B8D"/>
    <w:rsid w:val="003C4B93"/>
    <w:rsid w:val="003C4E02"/>
    <w:rsid w:val="003C5153"/>
    <w:rsid w:val="003C52D1"/>
    <w:rsid w:val="003C55A0"/>
    <w:rsid w:val="003C5757"/>
    <w:rsid w:val="003C57FC"/>
    <w:rsid w:val="003C5978"/>
    <w:rsid w:val="003C5ABE"/>
    <w:rsid w:val="003C5B27"/>
    <w:rsid w:val="003C5B7A"/>
    <w:rsid w:val="003C5DCF"/>
    <w:rsid w:val="003C6108"/>
    <w:rsid w:val="003C62B2"/>
    <w:rsid w:val="003C6685"/>
    <w:rsid w:val="003C69F6"/>
    <w:rsid w:val="003C6A90"/>
    <w:rsid w:val="003C6AA5"/>
    <w:rsid w:val="003C6AD1"/>
    <w:rsid w:val="003C6C3C"/>
    <w:rsid w:val="003C6E48"/>
    <w:rsid w:val="003C732B"/>
    <w:rsid w:val="003C7346"/>
    <w:rsid w:val="003C745D"/>
    <w:rsid w:val="003C78FB"/>
    <w:rsid w:val="003C7A33"/>
    <w:rsid w:val="003C7C81"/>
    <w:rsid w:val="003D003C"/>
    <w:rsid w:val="003D036F"/>
    <w:rsid w:val="003D0635"/>
    <w:rsid w:val="003D08B1"/>
    <w:rsid w:val="003D08BE"/>
    <w:rsid w:val="003D0AB5"/>
    <w:rsid w:val="003D0BF5"/>
    <w:rsid w:val="003D0C42"/>
    <w:rsid w:val="003D0E32"/>
    <w:rsid w:val="003D0F63"/>
    <w:rsid w:val="003D1339"/>
    <w:rsid w:val="003D13B1"/>
    <w:rsid w:val="003D14AE"/>
    <w:rsid w:val="003D15D2"/>
    <w:rsid w:val="003D1621"/>
    <w:rsid w:val="003D1A82"/>
    <w:rsid w:val="003D1D5D"/>
    <w:rsid w:val="003D24F1"/>
    <w:rsid w:val="003D2562"/>
    <w:rsid w:val="003D25C8"/>
    <w:rsid w:val="003D2648"/>
    <w:rsid w:val="003D2B9C"/>
    <w:rsid w:val="003D2BC1"/>
    <w:rsid w:val="003D2CBB"/>
    <w:rsid w:val="003D2CE7"/>
    <w:rsid w:val="003D2D39"/>
    <w:rsid w:val="003D2E71"/>
    <w:rsid w:val="003D3260"/>
    <w:rsid w:val="003D3599"/>
    <w:rsid w:val="003D3998"/>
    <w:rsid w:val="003D3A15"/>
    <w:rsid w:val="003D3A44"/>
    <w:rsid w:val="003D3A88"/>
    <w:rsid w:val="003D3BF2"/>
    <w:rsid w:val="003D3CE7"/>
    <w:rsid w:val="003D3E5A"/>
    <w:rsid w:val="003D4059"/>
    <w:rsid w:val="003D412A"/>
    <w:rsid w:val="003D4426"/>
    <w:rsid w:val="003D46DA"/>
    <w:rsid w:val="003D4815"/>
    <w:rsid w:val="003D4903"/>
    <w:rsid w:val="003D4C1F"/>
    <w:rsid w:val="003D4C81"/>
    <w:rsid w:val="003D4F05"/>
    <w:rsid w:val="003D5583"/>
    <w:rsid w:val="003D5914"/>
    <w:rsid w:val="003D5AF6"/>
    <w:rsid w:val="003D6057"/>
    <w:rsid w:val="003D60B3"/>
    <w:rsid w:val="003D6530"/>
    <w:rsid w:val="003D6705"/>
    <w:rsid w:val="003D6867"/>
    <w:rsid w:val="003D6989"/>
    <w:rsid w:val="003D6A0A"/>
    <w:rsid w:val="003D6CBF"/>
    <w:rsid w:val="003D6DE0"/>
    <w:rsid w:val="003D6E9B"/>
    <w:rsid w:val="003D7036"/>
    <w:rsid w:val="003D7077"/>
    <w:rsid w:val="003D70F8"/>
    <w:rsid w:val="003D711C"/>
    <w:rsid w:val="003D725D"/>
    <w:rsid w:val="003D7361"/>
    <w:rsid w:val="003D73DA"/>
    <w:rsid w:val="003D7434"/>
    <w:rsid w:val="003D745A"/>
    <w:rsid w:val="003D7486"/>
    <w:rsid w:val="003D74BB"/>
    <w:rsid w:val="003D76FA"/>
    <w:rsid w:val="003D7826"/>
    <w:rsid w:val="003D783E"/>
    <w:rsid w:val="003D78CB"/>
    <w:rsid w:val="003D78D0"/>
    <w:rsid w:val="003D797D"/>
    <w:rsid w:val="003D7BE4"/>
    <w:rsid w:val="003D7C24"/>
    <w:rsid w:val="003D7CB5"/>
    <w:rsid w:val="003D7EE1"/>
    <w:rsid w:val="003E0147"/>
    <w:rsid w:val="003E04A6"/>
    <w:rsid w:val="003E073B"/>
    <w:rsid w:val="003E09F6"/>
    <w:rsid w:val="003E0A40"/>
    <w:rsid w:val="003E0CB6"/>
    <w:rsid w:val="003E0CBE"/>
    <w:rsid w:val="003E0F71"/>
    <w:rsid w:val="003E13EB"/>
    <w:rsid w:val="003E17B6"/>
    <w:rsid w:val="003E17E9"/>
    <w:rsid w:val="003E18F6"/>
    <w:rsid w:val="003E193D"/>
    <w:rsid w:val="003E1B8E"/>
    <w:rsid w:val="003E1FDF"/>
    <w:rsid w:val="003E2140"/>
    <w:rsid w:val="003E22B1"/>
    <w:rsid w:val="003E2325"/>
    <w:rsid w:val="003E261C"/>
    <w:rsid w:val="003E26BC"/>
    <w:rsid w:val="003E29C4"/>
    <w:rsid w:val="003E2B21"/>
    <w:rsid w:val="003E2E28"/>
    <w:rsid w:val="003E2F18"/>
    <w:rsid w:val="003E30B4"/>
    <w:rsid w:val="003E30FC"/>
    <w:rsid w:val="003E313A"/>
    <w:rsid w:val="003E31E5"/>
    <w:rsid w:val="003E3485"/>
    <w:rsid w:val="003E3732"/>
    <w:rsid w:val="003E3816"/>
    <w:rsid w:val="003E3A52"/>
    <w:rsid w:val="003E3B26"/>
    <w:rsid w:val="003E3CE5"/>
    <w:rsid w:val="003E3F7E"/>
    <w:rsid w:val="003E3F86"/>
    <w:rsid w:val="003E3FBC"/>
    <w:rsid w:val="003E41BB"/>
    <w:rsid w:val="003E4508"/>
    <w:rsid w:val="003E4652"/>
    <w:rsid w:val="003E47E3"/>
    <w:rsid w:val="003E4B43"/>
    <w:rsid w:val="003E4C52"/>
    <w:rsid w:val="003E4D13"/>
    <w:rsid w:val="003E4F81"/>
    <w:rsid w:val="003E535B"/>
    <w:rsid w:val="003E53DA"/>
    <w:rsid w:val="003E54C0"/>
    <w:rsid w:val="003E597D"/>
    <w:rsid w:val="003E5AFE"/>
    <w:rsid w:val="003E5C59"/>
    <w:rsid w:val="003E5D80"/>
    <w:rsid w:val="003E61D5"/>
    <w:rsid w:val="003E636E"/>
    <w:rsid w:val="003E639C"/>
    <w:rsid w:val="003E65A1"/>
    <w:rsid w:val="003E6645"/>
    <w:rsid w:val="003E66A9"/>
    <w:rsid w:val="003E68A4"/>
    <w:rsid w:val="003E6CEE"/>
    <w:rsid w:val="003E72FA"/>
    <w:rsid w:val="003E7595"/>
    <w:rsid w:val="003E759A"/>
    <w:rsid w:val="003E7A0D"/>
    <w:rsid w:val="003E7C6B"/>
    <w:rsid w:val="003E7CFD"/>
    <w:rsid w:val="003E7DA4"/>
    <w:rsid w:val="003F011F"/>
    <w:rsid w:val="003F0176"/>
    <w:rsid w:val="003F0482"/>
    <w:rsid w:val="003F04D5"/>
    <w:rsid w:val="003F0BB1"/>
    <w:rsid w:val="003F0D32"/>
    <w:rsid w:val="003F0D3A"/>
    <w:rsid w:val="003F0D3D"/>
    <w:rsid w:val="003F0F9D"/>
    <w:rsid w:val="003F103C"/>
    <w:rsid w:val="003F104A"/>
    <w:rsid w:val="003F1306"/>
    <w:rsid w:val="003F1358"/>
    <w:rsid w:val="003F14F7"/>
    <w:rsid w:val="003F15C1"/>
    <w:rsid w:val="003F1606"/>
    <w:rsid w:val="003F1AE5"/>
    <w:rsid w:val="003F1F13"/>
    <w:rsid w:val="003F2600"/>
    <w:rsid w:val="003F282B"/>
    <w:rsid w:val="003F2832"/>
    <w:rsid w:val="003F2C2D"/>
    <w:rsid w:val="003F2DD5"/>
    <w:rsid w:val="003F2F40"/>
    <w:rsid w:val="003F3098"/>
    <w:rsid w:val="003F325E"/>
    <w:rsid w:val="003F32B8"/>
    <w:rsid w:val="003F341F"/>
    <w:rsid w:val="003F35B0"/>
    <w:rsid w:val="003F3932"/>
    <w:rsid w:val="003F3994"/>
    <w:rsid w:val="003F3ADE"/>
    <w:rsid w:val="003F3B13"/>
    <w:rsid w:val="003F3C55"/>
    <w:rsid w:val="003F3E53"/>
    <w:rsid w:val="003F3F67"/>
    <w:rsid w:val="003F403A"/>
    <w:rsid w:val="003F419A"/>
    <w:rsid w:val="003F41E2"/>
    <w:rsid w:val="003F422A"/>
    <w:rsid w:val="003F4441"/>
    <w:rsid w:val="003F49F1"/>
    <w:rsid w:val="003F4A5B"/>
    <w:rsid w:val="003F4C47"/>
    <w:rsid w:val="003F4D40"/>
    <w:rsid w:val="003F4EDF"/>
    <w:rsid w:val="003F4FCA"/>
    <w:rsid w:val="003F5215"/>
    <w:rsid w:val="003F57B7"/>
    <w:rsid w:val="003F582B"/>
    <w:rsid w:val="003F5BC9"/>
    <w:rsid w:val="003F618B"/>
    <w:rsid w:val="003F61F6"/>
    <w:rsid w:val="003F623A"/>
    <w:rsid w:val="003F64FB"/>
    <w:rsid w:val="003F6927"/>
    <w:rsid w:val="003F6A6C"/>
    <w:rsid w:val="003F6ECC"/>
    <w:rsid w:val="003F6F70"/>
    <w:rsid w:val="003F6FBB"/>
    <w:rsid w:val="003F702D"/>
    <w:rsid w:val="003F7065"/>
    <w:rsid w:val="003F7208"/>
    <w:rsid w:val="003F72B2"/>
    <w:rsid w:val="003F72F5"/>
    <w:rsid w:val="003F73E6"/>
    <w:rsid w:val="003F745D"/>
    <w:rsid w:val="003F746A"/>
    <w:rsid w:val="003F7833"/>
    <w:rsid w:val="003F7886"/>
    <w:rsid w:val="003F79E2"/>
    <w:rsid w:val="003F7B1D"/>
    <w:rsid w:val="003F7CBD"/>
    <w:rsid w:val="003F7D86"/>
    <w:rsid w:val="003F7D8E"/>
    <w:rsid w:val="003F7E60"/>
    <w:rsid w:val="003F7E8C"/>
    <w:rsid w:val="004002E2"/>
    <w:rsid w:val="004004E2"/>
    <w:rsid w:val="004007F5"/>
    <w:rsid w:val="00400B19"/>
    <w:rsid w:val="00400DA5"/>
    <w:rsid w:val="00400FA9"/>
    <w:rsid w:val="0040113C"/>
    <w:rsid w:val="004015B5"/>
    <w:rsid w:val="004016F5"/>
    <w:rsid w:val="00401706"/>
    <w:rsid w:val="0040174C"/>
    <w:rsid w:val="0040180D"/>
    <w:rsid w:val="004019E9"/>
    <w:rsid w:val="00401A11"/>
    <w:rsid w:val="00401B72"/>
    <w:rsid w:val="00401C10"/>
    <w:rsid w:val="00401F9B"/>
    <w:rsid w:val="00402157"/>
    <w:rsid w:val="00402255"/>
    <w:rsid w:val="004022D8"/>
    <w:rsid w:val="00402614"/>
    <w:rsid w:val="004027D5"/>
    <w:rsid w:val="00402A84"/>
    <w:rsid w:val="00402C2A"/>
    <w:rsid w:val="00402E18"/>
    <w:rsid w:val="00402EF0"/>
    <w:rsid w:val="00403450"/>
    <w:rsid w:val="0040352B"/>
    <w:rsid w:val="004036C2"/>
    <w:rsid w:val="00403B85"/>
    <w:rsid w:val="00403C21"/>
    <w:rsid w:val="00403CF1"/>
    <w:rsid w:val="00403D08"/>
    <w:rsid w:val="00403D1F"/>
    <w:rsid w:val="00403D9F"/>
    <w:rsid w:val="00404154"/>
    <w:rsid w:val="004041A9"/>
    <w:rsid w:val="004041FD"/>
    <w:rsid w:val="004042D8"/>
    <w:rsid w:val="004043B3"/>
    <w:rsid w:val="00404588"/>
    <w:rsid w:val="004046B7"/>
    <w:rsid w:val="004047B5"/>
    <w:rsid w:val="0040485A"/>
    <w:rsid w:val="004048C8"/>
    <w:rsid w:val="004050D0"/>
    <w:rsid w:val="00405153"/>
    <w:rsid w:val="004052C7"/>
    <w:rsid w:val="00405591"/>
    <w:rsid w:val="00405601"/>
    <w:rsid w:val="0040564E"/>
    <w:rsid w:val="004057E5"/>
    <w:rsid w:val="00405879"/>
    <w:rsid w:val="0040587C"/>
    <w:rsid w:val="004059E7"/>
    <w:rsid w:val="00405B59"/>
    <w:rsid w:val="00405C63"/>
    <w:rsid w:val="00405C8C"/>
    <w:rsid w:val="00405ECF"/>
    <w:rsid w:val="00405F2C"/>
    <w:rsid w:val="0040608F"/>
    <w:rsid w:val="0040656E"/>
    <w:rsid w:val="00406912"/>
    <w:rsid w:val="00406968"/>
    <w:rsid w:val="00406DA9"/>
    <w:rsid w:val="00406E6B"/>
    <w:rsid w:val="00407056"/>
    <w:rsid w:val="004073D7"/>
    <w:rsid w:val="00407771"/>
    <w:rsid w:val="004077D3"/>
    <w:rsid w:val="004077F9"/>
    <w:rsid w:val="004101A1"/>
    <w:rsid w:val="0041021E"/>
    <w:rsid w:val="004102B0"/>
    <w:rsid w:val="004103A7"/>
    <w:rsid w:val="00410421"/>
    <w:rsid w:val="004104AE"/>
    <w:rsid w:val="0041059B"/>
    <w:rsid w:val="00410A21"/>
    <w:rsid w:val="00410A29"/>
    <w:rsid w:val="00410D22"/>
    <w:rsid w:val="00410D51"/>
    <w:rsid w:val="00410E61"/>
    <w:rsid w:val="00410E7B"/>
    <w:rsid w:val="00410E9F"/>
    <w:rsid w:val="00410FC2"/>
    <w:rsid w:val="004114DC"/>
    <w:rsid w:val="00411564"/>
    <w:rsid w:val="00411773"/>
    <w:rsid w:val="0041184D"/>
    <w:rsid w:val="00411E9D"/>
    <w:rsid w:val="00412115"/>
    <w:rsid w:val="00412307"/>
    <w:rsid w:val="0041247B"/>
    <w:rsid w:val="0041252D"/>
    <w:rsid w:val="0041294C"/>
    <w:rsid w:val="00412CDB"/>
    <w:rsid w:val="00412F9A"/>
    <w:rsid w:val="0041328A"/>
    <w:rsid w:val="004137C2"/>
    <w:rsid w:val="00413C24"/>
    <w:rsid w:val="00414177"/>
    <w:rsid w:val="00414368"/>
    <w:rsid w:val="00414619"/>
    <w:rsid w:val="00414688"/>
    <w:rsid w:val="00414C0B"/>
    <w:rsid w:val="00414D39"/>
    <w:rsid w:val="00414E12"/>
    <w:rsid w:val="00414E65"/>
    <w:rsid w:val="00414E66"/>
    <w:rsid w:val="00414F11"/>
    <w:rsid w:val="00414F51"/>
    <w:rsid w:val="004150D8"/>
    <w:rsid w:val="00415153"/>
    <w:rsid w:val="00415188"/>
    <w:rsid w:val="004151C9"/>
    <w:rsid w:val="004152D9"/>
    <w:rsid w:val="004152E9"/>
    <w:rsid w:val="0041546B"/>
    <w:rsid w:val="004154FD"/>
    <w:rsid w:val="00415611"/>
    <w:rsid w:val="00415690"/>
    <w:rsid w:val="0041584A"/>
    <w:rsid w:val="00415A72"/>
    <w:rsid w:val="00415B9A"/>
    <w:rsid w:val="00415CDA"/>
    <w:rsid w:val="00415D6F"/>
    <w:rsid w:val="00415FA4"/>
    <w:rsid w:val="00415FF2"/>
    <w:rsid w:val="004164AA"/>
    <w:rsid w:val="00416687"/>
    <w:rsid w:val="004168AE"/>
    <w:rsid w:val="004168B7"/>
    <w:rsid w:val="004169B7"/>
    <w:rsid w:val="00416BFF"/>
    <w:rsid w:val="00416D1B"/>
    <w:rsid w:val="00416E40"/>
    <w:rsid w:val="0041701A"/>
    <w:rsid w:val="0041706C"/>
    <w:rsid w:val="00417390"/>
    <w:rsid w:val="004176F3"/>
    <w:rsid w:val="00417F36"/>
    <w:rsid w:val="00417F9C"/>
    <w:rsid w:val="004200E5"/>
    <w:rsid w:val="00420462"/>
    <w:rsid w:val="0042067C"/>
    <w:rsid w:val="00420805"/>
    <w:rsid w:val="0042088D"/>
    <w:rsid w:val="00420929"/>
    <w:rsid w:val="00420963"/>
    <w:rsid w:val="004209DD"/>
    <w:rsid w:val="00420C66"/>
    <w:rsid w:val="00420F1B"/>
    <w:rsid w:val="0042101A"/>
    <w:rsid w:val="0042101C"/>
    <w:rsid w:val="00421234"/>
    <w:rsid w:val="00421250"/>
    <w:rsid w:val="004213C4"/>
    <w:rsid w:val="0042149B"/>
    <w:rsid w:val="004215A1"/>
    <w:rsid w:val="00421837"/>
    <w:rsid w:val="00421AB7"/>
    <w:rsid w:val="00421B1B"/>
    <w:rsid w:val="00421ECD"/>
    <w:rsid w:val="00422152"/>
    <w:rsid w:val="0042222E"/>
    <w:rsid w:val="004224BA"/>
    <w:rsid w:val="004224FE"/>
    <w:rsid w:val="004226C3"/>
    <w:rsid w:val="00422741"/>
    <w:rsid w:val="004227B4"/>
    <w:rsid w:val="00422803"/>
    <w:rsid w:val="004229C5"/>
    <w:rsid w:val="0042315A"/>
    <w:rsid w:val="0042319A"/>
    <w:rsid w:val="004231B2"/>
    <w:rsid w:val="0042321A"/>
    <w:rsid w:val="00423328"/>
    <w:rsid w:val="004234F1"/>
    <w:rsid w:val="0042357B"/>
    <w:rsid w:val="004235D7"/>
    <w:rsid w:val="00423824"/>
    <w:rsid w:val="0042382B"/>
    <w:rsid w:val="0042384C"/>
    <w:rsid w:val="004239FB"/>
    <w:rsid w:val="00423C0E"/>
    <w:rsid w:val="00423DE0"/>
    <w:rsid w:val="00423E41"/>
    <w:rsid w:val="00423ED8"/>
    <w:rsid w:val="00424481"/>
    <w:rsid w:val="00424571"/>
    <w:rsid w:val="0042470E"/>
    <w:rsid w:val="0042485E"/>
    <w:rsid w:val="0042490B"/>
    <w:rsid w:val="00424965"/>
    <w:rsid w:val="00424B08"/>
    <w:rsid w:val="00424B83"/>
    <w:rsid w:val="00424E4B"/>
    <w:rsid w:val="00424F6B"/>
    <w:rsid w:val="0042519D"/>
    <w:rsid w:val="00425233"/>
    <w:rsid w:val="0042536F"/>
    <w:rsid w:val="004253CF"/>
    <w:rsid w:val="0042551E"/>
    <w:rsid w:val="0042565D"/>
    <w:rsid w:val="00425799"/>
    <w:rsid w:val="00425FB2"/>
    <w:rsid w:val="004268EE"/>
    <w:rsid w:val="00426ACA"/>
    <w:rsid w:val="00426DA9"/>
    <w:rsid w:val="004271ED"/>
    <w:rsid w:val="0042728C"/>
    <w:rsid w:val="0042736E"/>
    <w:rsid w:val="00427401"/>
    <w:rsid w:val="00427581"/>
    <w:rsid w:val="00427646"/>
    <w:rsid w:val="00427691"/>
    <w:rsid w:val="004276B1"/>
    <w:rsid w:val="004277FF"/>
    <w:rsid w:val="00427A30"/>
    <w:rsid w:val="00427ADC"/>
    <w:rsid w:val="00427D84"/>
    <w:rsid w:val="00427DE2"/>
    <w:rsid w:val="00427E8C"/>
    <w:rsid w:val="0043014F"/>
    <w:rsid w:val="00430167"/>
    <w:rsid w:val="00430432"/>
    <w:rsid w:val="004304AB"/>
    <w:rsid w:val="004305EB"/>
    <w:rsid w:val="004305FF"/>
    <w:rsid w:val="00430660"/>
    <w:rsid w:val="004306AD"/>
    <w:rsid w:val="0043074F"/>
    <w:rsid w:val="00430913"/>
    <w:rsid w:val="00430A35"/>
    <w:rsid w:val="00430A6A"/>
    <w:rsid w:val="00430B15"/>
    <w:rsid w:val="00430C89"/>
    <w:rsid w:val="00430E7B"/>
    <w:rsid w:val="00431405"/>
    <w:rsid w:val="004316C2"/>
    <w:rsid w:val="00431725"/>
    <w:rsid w:val="0043178F"/>
    <w:rsid w:val="004317C1"/>
    <w:rsid w:val="00431841"/>
    <w:rsid w:val="00431C86"/>
    <w:rsid w:val="00431FDF"/>
    <w:rsid w:val="0043212B"/>
    <w:rsid w:val="00432450"/>
    <w:rsid w:val="004325C2"/>
    <w:rsid w:val="0043280E"/>
    <w:rsid w:val="00432E30"/>
    <w:rsid w:val="004330F2"/>
    <w:rsid w:val="00433146"/>
    <w:rsid w:val="004331C6"/>
    <w:rsid w:val="004332BB"/>
    <w:rsid w:val="00433647"/>
    <w:rsid w:val="00433818"/>
    <w:rsid w:val="00433931"/>
    <w:rsid w:val="00433B27"/>
    <w:rsid w:val="00433BB2"/>
    <w:rsid w:val="00433D97"/>
    <w:rsid w:val="00433E88"/>
    <w:rsid w:val="00433E9F"/>
    <w:rsid w:val="00434104"/>
    <w:rsid w:val="00434207"/>
    <w:rsid w:val="004342D6"/>
    <w:rsid w:val="00434382"/>
    <w:rsid w:val="00434AD8"/>
    <w:rsid w:val="00434FAD"/>
    <w:rsid w:val="0043511C"/>
    <w:rsid w:val="0043512D"/>
    <w:rsid w:val="004351F3"/>
    <w:rsid w:val="004352C3"/>
    <w:rsid w:val="004358EF"/>
    <w:rsid w:val="00435B31"/>
    <w:rsid w:val="00435D0D"/>
    <w:rsid w:val="00435F22"/>
    <w:rsid w:val="00436000"/>
    <w:rsid w:val="0043600A"/>
    <w:rsid w:val="0043635A"/>
    <w:rsid w:val="00436378"/>
    <w:rsid w:val="00436673"/>
    <w:rsid w:val="00436D4F"/>
    <w:rsid w:val="00436E8C"/>
    <w:rsid w:val="00437209"/>
    <w:rsid w:val="00437638"/>
    <w:rsid w:val="00437795"/>
    <w:rsid w:val="00437FEB"/>
    <w:rsid w:val="004402B9"/>
    <w:rsid w:val="00440FE1"/>
    <w:rsid w:val="0044112E"/>
    <w:rsid w:val="0044125A"/>
    <w:rsid w:val="0044153C"/>
    <w:rsid w:val="00441635"/>
    <w:rsid w:val="0044167A"/>
    <w:rsid w:val="00441769"/>
    <w:rsid w:val="004417BB"/>
    <w:rsid w:val="004418E0"/>
    <w:rsid w:val="00441A2A"/>
    <w:rsid w:val="00441D83"/>
    <w:rsid w:val="00441F6F"/>
    <w:rsid w:val="004421BA"/>
    <w:rsid w:val="004426BC"/>
    <w:rsid w:val="004427FB"/>
    <w:rsid w:val="0044282B"/>
    <w:rsid w:val="00442954"/>
    <w:rsid w:val="00442C59"/>
    <w:rsid w:val="00442D13"/>
    <w:rsid w:val="00442F13"/>
    <w:rsid w:val="00442FF5"/>
    <w:rsid w:val="00443088"/>
    <w:rsid w:val="0044309D"/>
    <w:rsid w:val="004435EB"/>
    <w:rsid w:val="00443ADF"/>
    <w:rsid w:val="00443E47"/>
    <w:rsid w:val="0044429F"/>
    <w:rsid w:val="004444F3"/>
    <w:rsid w:val="00444541"/>
    <w:rsid w:val="00444936"/>
    <w:rsid w:val="00444976"/>
    <w:rsid w:val="004450C5"/>
    <w:rsid w:val="00445288"/>
    <w:rsid w:val="004452BC"/>
    <w:rsid w:val="004454AB"/>
    <w:rsid w:val="004457CF"/>
    <w:rsid w:val="00445E35"/>
    <w:rsid w:val="00445F29"/>
    <w:rsid w:val="00445F4A"/>
    <w:rsid w:val="0044629B"/>
    <w:rsid w:val="004462B2"/>
    <w:rsid w:val="00446DD1"/>
    <w:rsid w:val="00446F58"/>
    <w:rsid w:val="00446FEA"/>
    <w:rsid w:val="004470D3"/>
    <w:rsid w:val="004473F4"/>
    <w:rsid w:val="004473F8"/>
    <w:rsid w:val="00447424"/>
    <w:rsid w:val="00447C04"/>
    <w:rsid w:val="00447E4C"/>
    <w:rsid w:val="004501A9"/>
    <w:rsid w:val="00450289"/>
    <w:rsid w:val="0045037F"/>
    <w:rsid w:val="00450465"/>
    <w:rsid w:val="0045051D"/>
    <w:rsid w:val="004505FF"/>
    <w:rsid w:val="004506EB"/>
    <w:rsid w:val="00450828"/>
    <w:rsid w:val="0045083E"/>
    <w:rsid w:val="0045093E"/>
    <w:rsid w:val="00450C41"/>
    <w:rsid w:val="00450D40"/>
    <w:rsid w:val="00450E4A"/>
    <w:rsid w:val="00450F4D"/>
    <w:rsid w:val="00451064"/>
    <w:rsid w:val="004510C0"/>
    <w:rsid w:val="00451175"/>
    <w:rsid w:val="00451558"/>
    <w:rsid w:val="0045159B"/>
    <w:rsid w:val="0045165B"/>
    <w:rsid w:val="004519C8"/>
    <w:rsid w:val="00451AD4"/>
    <w:rsid w:val="00451AD5"/>
    <w:rsid w:val="00451E17"/>
    <w:rsid w:val="00452197"/>
    <w:rsid w:val="00452394"/>
    <w:rsid w:val="00452411"/>
    <w:rsid w:val="00452572"/>
    <w:rsid w:val="00452653"/>
    <w:rsid w:val="004527EC"/>
    <w:rsid w:val="00452A11"/>
    <w:rsid w:val="00452B0B"/>
    <w:rsid w:val="00452B37"/>
    <w:rsid w:val="00452DAF"/>
    <w:rsid w:val="00452FEA"/>
    <w:rsid w:val="0045302F"/>
    <w:rsid w:val="004531BB"/>
    <w:rsid w:val="00453218"/>
    <w:rsid w:val="004533D4"/>
    <w:rsid w:val="004536A3"/>
    <w:rsid w:val="00453AC1"/>
    <w:rsid w:val="00453AF0"/>
    <w:rsid w:val="00453AF3"/>
    <w:rsid w:val="00453B22"/>
    <w:rsid w:val="00453BCB"/>
    <w:rsid w:val="00453E95"/>
    <w:rsid w:val="00453ECD"/>
    <w:rsid w:val="00453FEB"/>
    <w:rsid w:val="0045414B"/>
    <w:rsid w:val="00454206"/>
    <w:rsid w:val="004542FD"/>
    <w:rsid w:val="00454323"/>
    <w:rsid w:val="00454383"/>
    <w:rsid w:val="0045444E"/>
    <w:rsid w:val="0045456D"/>
    <w:rsid w:val="0045472C"/>
    <w:rsid w:val="004548B8"/>
    <w:rsid w:val="00454A9E"/>
    <w:rsid w:val="00454B7E"/>
    <w:rsid w:val="00454BB6"/>
    <w:rsid w:val="00454E83"/>
    <w:rsid w:val="0045500E"/>
    <w:rsid w:val="0045523F"/>
    <w:rsid w:val="00455275"/>
    <w:rsid w:val="004552BB"/>
    <w:rsid w:val="00455373"/>
    <w:rsid w:val="0045569B"/>
    <w:rsid w:val="004557F7"/>
    <w:rsid w:val="00455A12"/>
    <w:rsid w:val="00455B0F"/>
    <w:rsid w:val="00455F47"/>
    <w:rsid w:val="004560C1"/>
    <w:rsid w:val="004560F5"/>
    <w:rsid w:val="00456116"/>
    <w:rsid w:val="00456355"/>
    <w:rsid w:val="0045645D"/>
    <w:rsid w:val="0045659D"/>
    <w:rsid w:val="00456809"/>
    <w:rsid w:val="00457369"/>
    <w:rsid w:val="0045758A"/>
    <w:rsid w:val="00457679"/>
    <w:rsid w:val="0045767D"/>
    <w:rsid w:val="00457ACE"/>
    <w:rsid w:val="00460194"/>
    <w:rsid w:val="00460271"/>
    <w:rsid w:val="0046041E"/>
    <w:rsid w:val="004606FA"/>
    <w:rsid w:val="004609F3"/>
    <w:rsid w:val="00460AA7"/>
    <w:rsid w:val="00460B2A"/>
    <w:rsid w:val="00460BC4"/>
    <w:rsid w:val="00460E19"/>
    <w:rsid w:val="00460FD2"/>
    <w:rsid w:val="00461174"/>
    <w:rsid w:val="004614A0"/>
    <w:rsid w:val="00461578"/>
    <w:rsid w:val="0046157E"/>
    <w:rsid w:val="004615A5"/>
    <w:rsid w:val="004615EB"/>
    <w:rsid w:val="0046175E"/>
    <w:rsid w:val="00461773"/>
    <w:rsid w:val="004617C0"/>
    <w:rsid w:val="00461964"/>
    <w:rsid w:val="00461BAD"/>
    <w:rsid w:val="00461CA1"/>
    <w:rsid w:val="00461D53"/>
    <w:rsid w:val="00461D5D"/>
    <w:rsid w:val="00461DC1"/>
    <w:rsid w:val="00461E01"/>
    <w:rsid w:val="00461E70"/>
    <w:rsid w:val="00461F4B"/>
    <w:rsid w:val="00461FAD"/>
    <w:rsid w:val="00461FEC"/>
    <w:rsid w:val="004621F0"/>
    <w:rsid w:val="004623EB"/>
    <w:rsid w:val="00462456"/>
    <w:rsid w:val="004624E7"/>
    <w:rsid w:val="0046259E"/>
    <w:rsid w:val="0046264A"/>
    <w:rsid w:val="004629E8"/>
    <w:rsid w:val="00462ADC"/>
    <w:rsid w:val="00462C3E"/>
    <w:rsid w:val="00462E9D"/>
    <w:rsid w:val="00462F26"/>
    <w:rsid w:val="00463035"/>
    <w:rsid w:val="00463152"/>
    <w:rsid w:val="00463160"/>
    <w:rsid w:val="00463197"/>
    <w:rsid w:val="004639BA"/>
    <w:rsid w:val="00463CDA"/>
    <w:rsid w:val="004640B6"/>
    <w:rsid w:val="00464295"/>
    <w:rsid w:val="004648E3"/>
    <w:rsid w:val="0046498A"/>
    <w:rsid w:val="00464B68"/>
    <w:rsid w:val="00464BA6"/>
    <w:rsid w:val="00464CC0"/>
    <w:rsid w:val="00465027"/>
    <w:rsid w:val="004650B7"/>
    <w:rsid w:val="00465837"/>
    <w:rsid w:val="0046591B"/>
    <w:rsid w:val="00465B63"/>
    <w:rsid w:val="00466156"/>
    <w:rsid w:val="004661FB"/>
    <w:rsid w:val="004663CC"/>
    <w:rsid w:val="0046689C"/>
    <w:rsid w:val="00466C0B"/>
    <w:rsid w:val="00466CF2"/>
    <w:rsid w:val="00466D02"/>
    <w:rsid w:val="00467092"/>
    <w:rsid w:val="0046723D"/>
    <w:rsid w:val="00467576"/>
    <w:rsid w:val="00467627"/>
    <w:rsid w:val="0046789A"/>
    <w:rsid w:val="00467C0F"/>
    <w:rsid w:val="00467E4C"/>
    <w:rsid w:val="00467E5D"/>
    <w:rsid w:val="00470099"/>
    <w:rsid w:val="004700C7"/>
    <w:rsid w:val="00470248"/>
    <w:rsid w:val="004704DD"/>
    <w:rsid w:val="0047081B"/>
    <w:rsid w:val="004708D8"/>
    <w:rsid w:val="00470967"/>
    <w:rsid w:val="00470B26"/>
    <w:rsid w:val="00470D92"/>
    <w:rsid w:val="00470DD0"/>
    <w:rsid w:val="00470F6D"/>
    <w:rsid w:val="0047109B"/>
    <w:rsid w:val="0047113C"/>
    <w:rsid w:val="004711E4"/>
    <w:rsid w:val="004714A7"/>
    <w:rsid w:val="0047197B"/>
    <w:rsid w:val="00471B9C"/>
    <w:rsid w:val="00471DF3"/>
    <w:rsid w:val="00471DF4"/>
    <w:rsid w:val="00471E0B"/>
    <w:rsid w:val="00472172"/>
    <w:rsid w:val="004725D1"/>
    <w:rsid w:val="004726F6"/>
    <w:rsid w:val="00472979"/>
    <w:rsid w:val="00472CFA"/>
    <w:rsid w:val="00472DAB"/>
    <w:rsid w:val="00472EB1"/>
    <w:rsid w:val="00472EC1"/>
    <w:rsid w:val="00472ECF"/>
    <w:rsid w:val="00473264"/>
    <w:rsid w:val="00473531"/>
    <w:rsid w:val="00473610"/>
    <w:rsid w:val="0047366D"/>
    <w:rsid w:val="004737EF"/>
    <w:rsid w:val="00473DA5"/>
    <w:rsid w:val="00473E2E"/>
    <w:rsid w:val="00474083"/>
    <w:rsid w:val="004740A7"/>
    <w:rsid w:val="004746EB"/>
    <w:rsid w:val="00474BE0"/>
    <w:rsid w:val="00474D40"/>
    <w:rsid w:val="0047512E"/>
    <w:rsid w:val="00475135"/>
    <w:rsid w:val="0047518C"/>
    <w:rsid w:val="0047523C"/>
    <w:rsid w:val="00475428"/>
    <w:rsid w:val="004755C8"/>
    <w:rsid w:val="00475735"/>
    <w:rsid w:val="0047575A"/>
    <w:rsid w:val="00475849"/>
    <w:rsid w:val="00475ABA"/>
    <w:rsid w:val="00475BC6"/>
    <w:rsid w:val="00475C62"/>
    <w:rsid w:val="0047600D"/>
    <w:rsid w:val="00476037"/>
    <w:rsid w:val="00476244"/>
    <w:rsid w:val="004763C9"/>
    <w:rsid w:val="0047642A"/>
    <w:rsid w:val="00476733"/>
    <w:rsid w:val="0047674A"/>
    <w:rsid w:val="00476BBE"/>
    <w:rsid w:val="00476D5C"/>
    <w:rsid w:val="004770E2"/>
    <w:rsid w:val="00477178"/>
    <w:rsid w:val="0047744E"/>
    <w:rsid w:val="00477640"/>
    <w:rsid w:val="0047768F"/>
    <w:rsid w:val="00477731"/>
    <w:rsid w:val="00477B57"/>
    <w:rsid w:val="00477C72"/>
    <w:rsid w:val="00477C77"/>
    <w:rsid w:val="00477CB6"/>
    <w:rsid w:val="00477FEB"/>
    <w:rsid w:val="004801D6"/>
    <w:rsid w:val="004802E0"/>
    <w:rsid w:val="00480310"/>
    <w:rsid w:val="0048037E"/>
    <w:rsid w:val="004804BE"/>
    <w:rsid w:val="00480731"/>
    <w:rsid w:val="00480855"/>
    <w:rsid w:val="004808AE"/>
    <w:rsid w:val="00480B52"/>
    <w:rsid w:val="00481076"/>
    <w:rsid w:val="0048140E"/>
    <w:rsid w:val="004814A7"/>
    <w:rsid w:val="00481533"/>
    <w:rsid w:val="00481537"/>
    <w:rsid w:val="0048175C"/>
    <w:rsid w:val="00481873"/>
    <w:rsid w:val="00481CB2"/>
    <w:rsid w:val="00481D2E"/>
    <w:rsid w:val="00481E50"/>
    <w:rsid w:val="00482024"/>
    <w:rsid w:val="004820CD"/>
    <w:rsid w:val="0048221F"/>
    <w:rsid w:val="00482259"/>
    <w:rsid w:val="00482333"/>
    <w:rsid w:val="00482482"/>
    <w:rsid w:val="004824CA"/>
    <w:rsid w:val="004827D9"/>
    <w:rsid w:val="004828C6"/>
    <w:rsid w:val="004828C9"/>
    <w:rsid w:val="0048294E"/>
    <w:rsid w:val="00482B3C"/>
    <w:rsid w:val="00482EE7"/>
    <w:rsid w:val="00482FA9"/>
    <w:rsid w:val="00482FBF"/>
    <w:rsid w:val="0048329E"/>
    <w:rsid w:val="004833E7"/>
    <w:rsid w:val="0048341B"/>
    <w:rsid w:val="00483505"/>
    <w:rsid w:val="00483534"/>
    <w:rsid w:val="004837DB"/>
    <w:rsid w:val="00483871"/>
    <w:rsid w:val="004839AA"/>
    <w:rsid w:val="00483AB9"/>
    <w:rsid w:val="00483B07"/>
    <w:rsid w:val="00483BCD"/>
    <w:rsid w:val="00483C52"/>
    <w:rsid w:val="00483DA0"/>
    <w:rsid w:val="00483FE3"/>
    <w:rsid w:val="00484009"/>
    <w:rsid w:val="004840B0"/>
    <w:rsid w:val="004840DF"/>
    <w:rsid w:val="00484130"/>
    <w:rsid w:val="00484315"/>
    <w:rsid w:val="00484482"/>
    <w:rsid w:val="00484591"/>
    <w:rsid w:val="00484616"/>
    <w:rsid w:val="004849EB"/>
    <w:rsid w:val="00484B8A"/>
    <w:rsid w:val="00484D57"/>
    <w:rsid w:val="00484E1A"/>
    <w:rsid w:val="00485081"/>
    <w:rsid w:val="0048508A"/>
    <w:rsid w:val="0048509F"/>
    <w:rsid w:val="00485426"/>
    <w:rsid w:val="00485571"/>
    <w:rsid w:val="00485611"/>
    <w:rsid w:val="004859E2"/>
    <w:rsid w:val="00485A40"/>
    <w:rsid w:val="00485BC3"/>
    <w:rsid w:val="00485C7D"/>
    <w:rsid w:val="00485CC9"/>
    <w:rsid w:val="00485FE8"/>
    <w:rsid w:val="004867B7"/>
    <w:rsid w:val="00486A6B"/>
    <w:rsid w:val="00486B01"/>
    <w:rsid w:val="00486C0A"/>
    <w:rsid w:val="00487010"/>
    <w:rsid w:val="0048723B"/>
    <w:rsid w:val="004874C4"/>
    <w:rsid w:val="00487669"/>
    <w:rsid w:val="004876DD"/>
    <w:rsid w:val="0048777B"/>
    <w:rsid w:val="00487887"/>
    <w:rsid w:val="00487C48"/>
    <w:rsid w:val="00487DB8"/>
    <w:rsid w:val="004904B1"/>
    <w:rsid w:val="00490721"/>
    <w:rsid w:val="00490A04"/>
    <w:rsid w:val="00490A93"/>
    <w:rsid w:val="00490DBD"/>
    <w:rsid w:val="00491428"/>
    <w:rsid w:val="00491562"/>
    <w:rsid w:val="004916B1"/>
    <w:rsid w:val="004919D9"/>
    <w:rsid w:val="00491A14"/>
    <w:rsid w:val="00491AA8"/>
    <w:rsid w:val="00491CDA"/>
    <w:rsid w:val="00491CF1"/>
    <w:rsid w:val="00491EE1"/>
    <w:rsid w:val="00492201"/>
    <w:rsid w:val="00492211"/>
    <w:rsid w:val="00492212"/>
    <w:rsid w:val="00492236"/>
    <w:rsid w:val="004922B8"/>
    <w:rsid w:val="004928F6"/>
    <w:rsid w:val="00492A0C"/>
    <w:rsid w:val="00492C61"/>
    <w:rsid w:val="00492D78"/>
    <w:rsid w:val="00492DC2"/>
    <w:rsid w:val="00492E32"/>
    <w:rsid w:val="004930BD"/>
    <w:rsid w:val="004932B2"/>
    <w:rsid w:val="004933C3"/>
    <w:rsid w:val="0049347C"/>
    <w:rsid w:val="00493BC4"/>
    <w:rsid w:val="00493D07"/>
    <w:rsid w:val="00493E10"/>
    <w:rsid w:val="0049416D"/>
    <w:rsid w:val="004942B0"/>
    <w:rsid w:val="0049446F"/>
    <w:rsid w:val="00494597"/>
    <w:rsid w:val="00494678"/>
    <w:rsid w:val="0049479F"/>
    <w:rsid w:val="004947B7"/>
    <w:rsid w:val="00494871"/>
    <w:rsid w:val="004948B1"/>
    <w:rsid w:val="00494BCB"/>
    <w:rsid w:val="00494E72"/>
    <w:rsid w:val="00494F36"/>
    <w:rsid w:val="004950A1"/>
    <w:rsid w:val="0049549A"/>
    <w:rsid w:val="00495577"/>
    <w:rsid w:val="004956F3"/>
    <w:rsid w:val="00495719"/>
    <w:rsid w:val="00495850"/>
    <w:rsid w:val="00495922"/>
    <w:rsid w:val="00495ABE"/>
    <w:rsid w:val="00495B90"/>
    <w:rsid w:val="00495C81"/>
    <w:rsid w:val="00495E1F"/>
    <w:rsid w:val="00496195"/>
    <w:rsid w:val="004961FF"/>
    <w:rsid w:val="0049620B"/>
    <w:rsid w:val="00496245"/>
    <w:rsid w:val="004962E7"/>
    <w:rsid w:val="00496337"/>
    <w:rsid w:val="0049648B"/>
    <w:rsid w:val="0049656D"/>
    <w:rsid w:val="00496A13"/>
    <w:rsid w:val="00496A92"/>
    <w:rsid w:val="00496AE6"/>
    <w:rsid w:val="00496F0A"/>
    <w:rsid w:val="00496F12"/>
    <w:rsid w:val="004971A7"/>
    <w:rsid w:val="004971AA"/>
    <w:rsid w:val="004974DE"/>
    <w:rsid w:val="0049754D"/>
    <w:rsid w:val="00497883"/>
    <w:rsid w:val="00497AC2"/>
    <w:rsid w:val="00497B2E"/>
    <w:rsid w:val="004A0025"/>
    <w:rsid w:val="004A025C"/>
    <w:rsid w:val="004A0949"/>
    <w:rsid w:val="004A097B"/>
    <w:rsid w:val="004A09FD"/>
    <w:rsid w:val="004A0B5F"/>
    <w:rsid w:val="004A0BCA"/>
    <w:rsid w:val="004A0C08"/>
    <w:rsid w:val="004A0C48"/>
    <w:rsid w:val="004A0E08"/>
    <w:rsid w:val="004A0E09"/>
    <w:rsid w:val="004A0E2F"/>
    <w:rsid w:val="004A0EF6"/>
    <w:rsid w:val="004A10F9"/>
    <w:rsid w:val="004A14D5"/>
    <w:rsid w:val="004A157E"/>
    <w:rsid w:val="004A17BF"/>
    <w:rsid w:val="004A17CA"/>
    <w:rsid w:val="004A17DC"/>
    <w:rsid w:val="004A18C9"/>
    <w:rsid w:val="004A1C50"/>
    <w:rsid w:val="004A1D75"/>
    <w:rsid w:val="004A1DF2"/>
    <w:rsid w:val="004A1E41"/>
    <w:rsid w:val="004A2082"/>
    <w:rsid w:val="004A2136"/>
    <w:rsid w:val="004A2542"/>
    <w:rsid w:val="004A2677"/>
    <w:rsid w:val="004A2C4E"/>
    <w:rsid w:val="004A2F0A"/>
    <w:rsid w:val="004A2FAC"/>
    <w:rsid w:val="004A31D6"/>
    <w:rsid w:val="004A31F8"/>
    <w:rsid w:val="004A3278"/>
    <w:rsid w:val="004A3381"/>
    <w:rsid w:val="004A35B2"/>
    <w:rsid w:val="004A379C"/>
    <w:rsid w:val="004A398A"/>
    <w:rsid w:val="004A3A56"/>
    <w:rsid w:val="004A3B67"/>
    <w:rsid w:val="004A3D3F"/>
    <w:rsid w:val="004A4059"/>
    <w:rsid w:val="004A41E5"/>
    <w:rsid w:val="004A4342"/>
    <w:rsid w:val="004A458E"/>
    <w:rsid w:val="004A46CE"/>
    <w:rsid w:val="004A4819"/>
    <w:rsid w:val="004A48D2"/>
    <w:rsid w:val="004A49D9"/>
    <w:rsid w:val="004A49E4"/>
    <w:rsid w:val="004A4BA3"/>
    <w:rsid w:val="004A4D2C"/>
    <w:rsid w:val="004A4D54"/>
    <w:rsid w:val="004A4D5B"/>
    <w:rsid w:val="004A50C8"/>
    <w:rsid w:val="004A5473"/>
    <w:rsid w:val="004A5655"/>
    <w:rsid w:val="004A5883"/>
    <w:rsid w:val="004A592F"/>
    <w:rsid w:val="004A59B7"/>
    <w:rsid w:val="004A5ACA"/>
    <w:rsid w:val="004A5CFF"/>
    <w:rsid w:val="004A5D22"/>
    <w:rsid w:val="004A5D4D"/>
    <w:rsid w:val="004A5F74"/>
    <w:rsid w:val="004A6000"/>
    <w:rsid w:val="004A6420"/>
    <w:rsid w:val="004A68EC"/>
    <w:rsid w:val="004A6AAC"/>
    <w:rsid w:val="004A6AB5"/>
    <w:rsid w:val="004A6ACC"/>
    <w:rsid w:val="004A6ECD"/>
    <w:rsid w:val="004A70EC"/>
    <w:rsid w:val="004A7164"/>
    <w:rsid w:val="004A7381"/>
    <w:rsid w:val="004A771B"/>
    <w:rsid w:val="004A7793"/>
    <w:rsid w:val="004A7987"/>
    <w:rsid w:val="004A7A23"/>
    <w:rsid w:val="004A7AD8"/>
    <w:rsid w:val="004A7B17"/>
    <w:rsid w:val="004A7B66"/>
    <w:rsid w:val="004A7D0E"/>
    <w:rsid w:val="004A7E2D"/>
    <w:rsid w:val="004B00F6"/>
    <w:rsid w:val="004B0492"/>
    <w:rsid w:val="004B074C"/>
    <w:rsid w:val="004B07C4"/>
    <w:rsid w:val="004B0828"/>
    <w:rsid w:val="004B0851"/>
    <w:rsid w:val="004B0963"/>
    <w:rsid w:val="004B0CB6"/>
    <w:rsid w:val="004B0F7C"/>
    <w:rsid w:val="004B1122"/>
    <w:rsid w:val="004B1430"/>
    <w:rsid w:val="004B164D"/>
    <w:rsid w:val="004B16D6"/>
    <w:rsid w:val="004B1C95"/>
    <w:rsid w:val="004B1F4F"/>
    <w:rsid w:val="004B21CB"/>
    <w:rsid w:val="004B2237"/>
    <w:rsid w:val="004B25A4"/>
    <w:rsid w:val="004B26A6"/>
    <w:rsid w:val="004B277B"/>
    <w:rsid w:val="004B2B6E"/>
    <w:rsid w:val="004B2E2E"/>
    <w:rsid w:val="004B2F38"/>
    <w:rsid w:val="004B36AD"/>
    <w:rsid w:val="004B3801"/>
    <w:rsid w:val="004B3869"/>
    <w:rsid w:val="004B390A"/>
    <w:rsid w:val="004B3918"/>
    <w:rsid w:val="004B391D"/>
    <w:rsid w:val="004B399F"/>
    <w:rsid w:val="004B3AE3"/>
    <w:rsid w:val="004B3AF7"/>
    <w:rsid w:val="004B3B39"/>
    <w:rsid w:val="004B3C51"/>
    <w:rsid w:val="004B3D32"/>
    <w:rsid w:val="004B3D85"/>
    <w:rsid w:val="004B3F3D"/>
    <w:rsid w:val="004B3F9D"/>
    <w:rsid w:val="004B412E"/>
    <w:rsid w:val="004B4263"/>
    <w:rsid w:val="004B433A"/>
    <w:rsid w:val="004B44E2"/>
    <w:rsid w:val="004B456A"/>
    <w:rsid w:val="004B456C"/>
    <w:rsid w:val="004B493F"/>
    <w:rsid w:val="004B4A4E"/>
    <w:rsid w:val="004B4B32"/>
    <w:rsid w:val="004B4F3C"/>
    <w:rsid w:val="004B4F8D"/>
    <w:rsid w:val="004B5403"/>
    <w:rsid w:val="004B54A2"/>
    <w:rsid w:val="004B55B3"/>
    <w:rsid w:val="004B585A"/>
    <w:rsid w:val="004B5C6E"/>
    <w:rsid w:val="004B5D97"/>
    <w:rsid w:val="004B5DE5"/>
    <w:rsid w:val="004B5FD5"/>
    <w:rsid w:val="004B63CC"/>
    <w:rsid w:val="004B6587"/>
    <w:rsid w:val="004B6649"/>
    <w:rsid w:val="004B69C9"/>
    <w:rsid w:val="004B69CC"/>
    <w:rsid w:val="004B6A64"/>
    <w:rsid w:val="004B6AB2"/>
    <w:rsid w:val="004B7056"/>
    <w:rsid w:val="004B71E5"/>
    <w:rsid w:val="004B720C"/>
    <w:rsid w:val="004B7347"/>
    <w:rsid w:val="004B745B"/>
    <w:rsid w:val="004B75B5"/>
    <w:rsid w:val="004B7639"/>
    <w:rsid w:val="004B764E"/>
    <w:rsid w:val="004B7742"/>
    <w:rsid w:val="004B77BE"/>
    <w:rsid w:val="004B79BC"/>
    <w:rsid w:val="004B79C0"/>
    <w:rsid w:val="004B7AB0"/>
    <w:rsid w:val="004B7C88"/>
    <w:rsid w:val="004B7DD8"/>
    <w:rsid w:val="004B7EE6"/>
    <w:rsid w:val="004B7FAF"/>
    <w:rsid w:val="004C027C"/>
    <w:rsid w:val="004C02FE"/>
    <w:rsid w:val="004C03C9"/>
    <w:rsid w:val="004C0611"/>
    <w:rsid w:val="004C08A8"/>
    <w:rsid w:val="004C093B"/>
    <w:rsid w:val="004C09B8"/>
    <w:rsid w:val="004C09CC"/>
    <w:rsid w:val="004C0E9A"/>
    <w:rsid w:val="004C1236"/>
    <w:rsid w:val="004C1571"/>
    <w:rsid w:val="004C16D8"/>
    <w:rsid w:val="004C16EF"/>
    <w:rsid w:val="004C182B"/>
    <w:rsid w:val="004C1A75"/>
    <w:rsid w:val="004C1A85"/>
    <w:rsid w:val="004C1AF6"/>
    <w:rsid w:val="004C1C77"/>
    <w:rsid w:val="004C1D96"/>
    <w:rsid w:val="004C1DC3"/>
    <w:rsid w:val="004C1E5A"/>
    <w:rsid w:val="004C1EE7"/>
    <w:rsid w:val="004C1FDF"/>
    <w:rsid w:val="004C21EA"/>
    <w:rsid w:val="004C23C8"/>
    <w:rsid w:val="004C2496"/>
    <w:rsid w:val="004C24F4"/>
    <w:rsid w:val="004C24FA"/>
    <w:rsid w:val="004C2599"/>
    <w:rsid w:val="004C28B9"/>
    <w:rsid w:val="004C2E12"/>
    <w:rsid w:val="004C3243"/>
    <w:rsid w:val="004C3645"/>
    <w:rsid w:val="004C36E8"/>
    <w:rsid w:val="004C3720"/>
    <w:rsid w:val="004C3891"/>
    <w:rsid w:val="004C38EC"/>
    <w:rsid w:val="004C3AAE"/>
    <w:rsid w:val="004C3C7A"/>
    <w:rsid w:val="004C3EF1"/>
    <w:rsid w:val="004C3F85"/>
    <w:rsid w:val="004C408F"/>
    <w:rsid w:val="004C4590"/>
    <w:rsid w:val="004C46F0"/>
    <w:rsid w:val="004C47B8"/>
    <w:rsid w:val="004C4C22"/>
    <w:rsid w:val="004C4C28"/>
    <w:rsid w:val="004C4DE5"/>
    <w:rsid w:val="004C5187"/>
    <w:rsid w:val="004C51EF"/>
    <w:rsid w:val="004C5317"/>
    <w:rsid w:val="004C5443"/>
    <w:rsid w:val="004C54E3"/>
    <w:rsid w:val="004C5519"/>
    <w:rsid w:val="004C5676"/>
    <w:rsid w:val="004C58C8"/>
    <w:rsid w:val="004C5A7E"/>
    <w:rsid w:val="004C5BF4"/>
    <w:rsid w:val="004C5F71"/>
    <w:rsid w:val="004C60A0"/>
    <w:rsid w:val="004C631E"/>
    <w:rsid w:val="004C653B"/>
    <w:rsid w:val="004C65FD"/>
    <w:rsid w:val="004C66C1"/>
    <w:rsid w:val="004C691A"/>
    <w:rsid w:val="004C692B"/>
    <w:rsid w:val="004C6A3D"/>
    <w:rsid w:val="004C6C51"/>
    <w:rsid w:val="004C6E6F"/>
    <w:rsid w:val="004C71D7"/>
    <w:rsid w:val="004C7705"/>
    <w:rsid w:val="004C7801"/>
    <w:rsid w:val="004C7989"/>
    <w:rsid w:val="004C7A49"/>
    <w:rsid w:val="004C7B58"/>
    <w:rsid w:val="004C7CCA"/>
    <w:rsid w:val="004C7DF9"/>
    <w:rsid w:val="004C7E06"/>
    <w:rsid w:val="004C7F8F"/>
    <w:rsid w:val="004C7F97"/>
    <w:rsid w:val="004D00EA"/>
    <w:rsid w:val="004D0356"/>
    <w:rsid w:val="004D0670"/>
    <w:rsid w:val="004D08FB"/>
    <w:rsid w:val="004D0A1B"/>
    <w:rsid w:val="004D0A3D"/>
    <w:rsid w:val="004D0B93"/>
    <w:rsid w:val="004D0BDA"/>
    <w:rsid w:val="004D0D1F"/>
    <w:rsid w:val="004D0EEF"/>
    <w:rsid w:val="004D0F7F"/>
    <w:rsid w:val="004D0F80"/>
    <w:rsid w:val="004D13D6"/>
    <w:rsid w:val="004D1423"/>
    <w:rsid w:val="004D15D0"/>
    <w:rsid w:val="004D1BE9"/>
    <w:rsid w:val="004D1D8D"/>
    <w:rsid w:val="004D1E28"/>
    <w:rsid w:val="004D21EE"/>
    <w:rsid w:val="004D226E"/>
    <w:rsid w:val="004D24BD"/>
    <w:rsid w:val="004D2522"/>
    <w:rsid w:val="004D286C"/>
    <w:rsid w:val="004D28D5"/>
    <w:rsid w:val="004D2CB8"/>
    <w:rsid w:val="004D2CED"/>
    <w:rsid w:val="004D2D02"/>
    <w:rsid w:val="004D2F51"/>
    <w:rsid w:val="004D3174"/>
    <w:rsid w:val="004D3237"/>
    <w:rsid w:val="004D32AF"/>
    <w:rsid w:val="004D3334"/>
    <w:rsid w:val="004D3643"/>
    <w:rsid w:val="004D37BD"/>
    <w:rsid w:val="004D385D"/>
    <w:rsid w:val="004D3B46"/>
    <w:rsid w:val="004D3E16"/>
    <w:rsid w:val="004D3F62"/>
    <w:rsid w:val="004D4376"/>
    <w:rsid w:val="004D4971"/>
    <w:rsid w:val="004D4CEC"/>
    <w:rsid w:val="004D5280"/>
    <w:rsid w:val="004D52EC"/>
    <w:rsid w:val="004D5555"/>
    <w:rsid w:val="004D5584"/>
    <w:rsid w:val="004D56BD"/>
    <w:rsid w:val="004D585E"/>
    <w:rsid w:val="004D5E0B"/>
    <w:rsid w:val="004D5E8F"/>
    <w:rsid w:val="004D606C"/>
    <w:rsid w:val="004D6294"/>
    <w:rsid w:val="004D644A"/>
    <w:rsid w:val="004D67F1"/>
    <w:rsid w:val="004D6817"/>
    <w:rsid w:val="004D68F1"/>
    <w:rsid w:val="004D6956"/>
    <w:rsid w:val="004D695E"/>
    <w:rsid w:val="004D6BD9"/>
    <w:rsid w:val="004D6EBD"/>
    <w:rsid w:val="004D7131"/>
    <w:rsid w:val="004D71ED"/>
    <w:rsid w:val="004D71F6"/>
    <w:rsid w:val="004D73C1"/>
    <w:rsid w:val="004D7453"/>
    <w:rsid w:val="004D75E2"/>
    <w:rsid w:val="004D75E4"/>
    <w:rsid w:val="004D771B"/>
    <w:rsid w:val="004D789D"/>
    <w:rsid w:val="004D78C8"/>
    <w:rsid w:val="004D7925"/>
    <w:rsid w:val="004D7A7A"/>
    <w:rsid w:val="004D7B49"/>
    <w:rsid w:val="004D7DD8"/>
    <w:rsid w:val="004E002F"/>
    <w:rsid w:val="004E02E6"/>
    <w:rsid w:val="004E036B"/>
    <w:rsid w:val="004E03E7"/>
    <w:rsid w:val="004E0480"/>
    <w:rsid w:val="004E0499"/>
    <w:rsid w:val="004E0509"/>
    <w:rsid w:val="004E0563"/>
    <w:rsid w:val="004E0BCD"/>
    <w:rsid w:val="004E0C38"/>
    <w:rsid w:val="004E0EB1"/>
    <w:rsid w:val="004E108B"/>
    <w:rsid w:val="004E12A8"/>
    <w:rsid w:val="004E1523"/>
    <w:rsid w:val="004E158A"/>
    <w:rsid w:val="004E17AC"/>
    <w:rsid w:val="004E1C63"/>
    <w:rsid w:val="004E1D23"/>
    <w:rsid w:val="004E20B2"/>
    <w:rsid w:val="004E236B"/>
    <w:rsid w:val="004E2416"/>
    <w:rsid w:val="004E26BE"/>
    <w:rsid w:val="004E270B"/>
    <w:rsid w:val="004E288F"/>
    <w:rsid w:val="004E296F"/>
    <w:rsid w:val="004E2A77"/>
    <w:rsid w:val="004E2C44"/>
    <w:rsid w:val="004E3002"/>
    <w:rsid w:val="004E319C"/>
    <w:rsid w:val="004E31EE"/>
    <w:rsid w:val="004E31F8"/>
    <w:rsid w:val="004E33EF"/>
    <w:rsid w:val="004E373B"/>
    <w:rsid w:val="004E3798"/>
    <w:rsid w:val="004E37F5"/>
    <w:rsid w:val="004E397C"/>
    <w:rsid w:val="004E399F"/>
    <w:rsid w:val="004E3DDB"/>
    <w:rsid w:val="004E3E63"/>
    <w:rsid w:val="004E4169"/>
    <w:rsid w:val="004E4261"/>
    <w:rsid w:val="004E462A"/>
    <w:rsid w:val="004E466F"/>
    <w:rsid w:val="004E494B"/>
    <w:rsid w:val="004E4A05"/>
    <w:rsid w:val="004E4D68"/>
    <w:rsid w:val="004E4ED0"/>
    <w:rsid w:val="004E5019"/>
    <w:rsid w:val="004E51CD"/>
    <w:rsid w:val="004E52F0"/>
    <w:rsid w:val="004E54EA"/>
    <w:rsid w:val="004E58C1"/>
    <w:rsid w:val="004E5A9D"/>
    <w:rsid w:val="004E6422"/>
    <w:rsid w:val="004E6572"/>
    <w:rsid w:val="004E657E"/>
    <w:rsid w:val="004E67C2"/>
    <w:rsid w:val="004E684F"/>
    <w:rsid w:val="004E6AAB"/>
    <w:rsid w:val="004E6C8A"/>
    <w:rsid w:val="004E6F93"/>
    <w:rsid w:val="004E7234"/>
    <w:rsid w:val="004E75AE"/>
    <w:rsid w:val="004E7858"/>
    <w:rsid w:val="004E78D4"/>
    <w:rsid w:val="004E7BA9"/>
    <w:rsid w:val="004E7CD8"/>
    <w:rsid w:val="004E7D1F"/>
    <w:rsid w:val="004E7D67"/>
    <w:rsid w:val="004F0085"/>
    <w:rsid w:val="004F0354"/>
    <w:rsid w:val="004F06BF"/>
    <w:rsid w:val="004F0934"/>
    <w:rsid w:val="004F09EA"/>
    <w:rsid w:val="004F0B9C"/>
    <w:rsid w:val="004F0DE4"/>
    <w:rsid w:val="004F1601"/>
    <w:rsid w:val="004F188A"/>
    <w:rsid w:val="004F19AF"/>
    <w:rsid w:val="004F19D2"/>
    <w:rsid w:val="004F1B1D"/>
    <w:rsid w:val="004F1C84"/>
    <w:rsid w:val="004F1DF0"/>
    <w:rsid w:val="004F1EE8"/>
    <w:rsid w:val="004F1F0C"/>
    <w:rsid w:val="004F1F6F"/>
    <w:rsid w:val="004F21BE"/>
    <w:rsid w:val="004F2448"/>
    <w:rsid w:val="004F251C"/>
    <w:rsid w:val="004F2549"/>
    <w:rsid w:val="004F2706"/>
    <w:rsid w:val="004F29C3"/>
    <w:rsid w:val="004F2A75"/>
    <w:rsid w:val="004F2AAF"/>
    <w:rsid w:val="004F2FB1"/>
    <w:rsid w:val="004F3092"/>
    <w:rsid w:val="004F31C6"/>
    <w:rsid w:val="004F322C"/>
    <w:rsid w:val="004F342E"/>
    <w:rsid w:val="004F3538"/>
    <w:rsid w:val="004F365E"/>
    <w:rsid w:val="004F370A"/>
    <w:rsid w:val="004F399E"/>
    <w:rsid w:val="004F3B58"/>
    <w:rsid w:val="004F3D32"/>
    <w:rsid w:val="004F3D6D"/>
    <w:rsid w:val="004F3D7D"/>
    <w:rsid w:val="004F3DE3"/>
    <w:rsid w:val="004F426E"/>
    <w:rsid w:val="004F4666"/>
    <w:rsid w:val="004F4885"/>
    <w:rsid w:val="004F48AF"/>
    <w:rsid w:val="004F48B6"/>
    <w:rsid w:val="004F4972"/>
    <w:rsid w:val="004F4A16"/>
    <w:rsid w:val="004F4A42"/>
    <w:rsid w:val="004F541D"/>
    <w:rsid w:val="004F5566"/>
    <w:rsid w:val="004F56DD"/>
    <w:rsid w:val="004F57A0"/>
    <w:rsid w:val="004F5939"/>
    <w:rsid w:val="004F5CC5"/>
    <w:rsid w:val="004F5D29"/>
    <w:rsid w:val="004F5DE4"/>
    <w:rsid w:val="004F5FA4"/>
    <w:rsid w:val="004F6109"/>
    <w:rsid w:val="004F612B"/>
    <w:rsid w:val="004F61C0"/>
    <w:rsid w:val="004F61F8"/>
    <w:rsid w:val="004F6215"/>
    <w:rsid w:val="004F63B7"/>
    <w:rsid w:val="004F66F0"/>
    <w:rsid w:val="004F6803"/>
    <w:rsid w:val="004F6956"/>
    <w:rsid w:val="004F698E"/>
    <w:rsid w:val="004F6FD1"/>
    <w:rsid w:val="004F7029"/>
    <w:rsid w:val="004F74D2"/>
    <w:rsid w:val="004F78B0"/>
    <w:rsid w:val="004F78D2"/>
    <w:rsid w:val="004F7A55"/>
    <w:rsid w:val="004F7A8D"/>
    <w:rsid w:val="004F7C88"/>
    <w:rsid w:val="004F7D75"/>
    <w:rsid w:val="0050006E"/>
    <w:rsid w:val="00500151"/>
    <w:rsid w:val="0050049A"/>
    <w:rsid w:val="005004A4"/>
    <w:rsid w:val="0050050E"/>
    <w:rsid w:val="0050079F"/>
    <w:rsid w:val="005007B9"/>
    <w:rsid w:val="00500A5A"/>
    <w:rsid w:val="00500B1A"/>
    <w:rsid w:val="00500B92"/>
    <w:rsid w:val="00500E65"/>
    <w:rsid w:val="0050103E"/>
    <w:rsid w:val="005010BE"/>
    <w:rsid w:val="0050121A"/>
    <w:rsid w:val="0050123E"/>
    <w:rsid w:val="0050143E"/>
    <w:rsid w:val="0050147D"/>
    <w:rsid w:val="0050154C"/>
    <w:rsid w:val="0050159A"/>
    <w:rsid w:val="00501686"/>
    <w:rsid w:val="00501A7D"/>
    <w:rsid w:val="00501BF5"/>
    <w:rsid w:val="00501DF5"/>
    <w:rsid w:val="00501F33"/>
    <w:rsid w:val="00502002"/>
    <w:rsid w:val="00502022"/>
    <w:rsid w:val="0050209C"/>
    <w:rsid w:val="0050224A"/>
    <w:rsid w:val="00502376"/>
    <w:rsid w:val="0050237A"/>
    <w:rsid w:val="00502422"/>
    <w:rsid w:val="0050249E"/>
    <w:rsid w:val="005026F5"/>
    <w:rsid w:val="0050284F"/>
    <w:rsid w:val="005028A0"/>
    <w:rsid w:val="0050294F"/>
    <w:rsid w:val="00502A5D"/>
    <w:rsid w:val="00502B03"/>
    <w:rsid w:val="00502CC2"/>
    <w:rsid w:val="00502DCE"/>
    <w:rsid w:val="005031BD"/>
    <w:rsid w:val="005031EA"/>
    <w:rsid w:val="005032AA"/>
    <w:rsid w:val="0050334D"/>
    <w:rsid w:val="00503378"/>
    <w:rsid w:val="005035B4"/>
    <w:rsid w:val="00503637"/>
    <w:rsid w:val="0050379D"/>
    <w:rsid w:val="005037E8"/>
    <w:rsid w:val="00503819"/>
    <w:rsid w:val="005038EF"/>
    <w:rsid w:val="00503B2A"/>
    <w:rsid w:val="00503C40"/>
    <w:rsid w:val="00503D25"/>
    <w:rsid w:val="005041F3"/>
    <w:rsid w:val="00504287"/>
    <w:rsid w:val="0050431A"/>
    <w:rsid w:val="0050434E"/>
    <w:rsid w:val="005043B9"/>
    <w:rsid w:val="005044C7"/>
    <w:rsid w:val="00504553"/>
    <w:rsid w:val="00504779"/>
    <w:rsid w:val="00504820"/>
    <w:rsid w:val="00504A6E"/>
    <w:rsid w:val="00504AB9"/>
    <w:rsid w:val="00504ADE"/>
    <w:rsid w:val="00504B42"/>
    <w:rsid w:val="00504F04"/>
    <w:rsid w:val="00504F1A"/>
    <w:rsid w:val="00505480"/>
    <w:rsid w:val="005054A2"/>
    <w:rsid w:val="005059FC"/>
    <w:rsid w:val="00505B4E"/>
    <w:rsid w:val="00505BAA"/>
    <w:rsid w:val="00505BD8"/>
    <w:rsid w:val="00505E44"/>
    <w:rsid w:val="00505F5D"/>
    <w:rsid w:val="00505F90"/>
    <w:rsid w:val="0050603B"/>
    <w:rsid w:val="00506279"/>
    <w:rsid w:val="005063AC"/>
    <w:rsid w:val="00506485"/>
    <w:rsid w:val="005066DB"/>
    <w:rsid w:val="00506764"/>
    <w:rsid w:val="0050694A"/>
    <w:rsid w:val="00506B90"/>
    <w:rsid w:val="00506BBC"/>
    <w:rsid w:val="00506C6B"/>
    <w:rsid w:val="00506E14"/>
    <w:rsid w:val="00506E25"/>
    <w:rsid w:val="00506F3E"/>
    <w:rsid w:val="00506F8C"/>
    <w:rsid w:val="00507335"/>
    <w:rsid w:val="005074BD"/>
    <w:rsid w:val="00507757"/>
    <w:rsid w:val="005078D8"/>
    <w:rsid w:val="005078F5"/>
    <w:rsid w:val="00507BC4"/>
    <w:rsid w:val="00507C52"/>
    <w:rsid w:val="00507CC5"/>
    <w:rsid w:val="00507D46"/>
    <w:rsid w:val="0051030B"/>
    <w:rsid w:val="005103AE"/>
    <w:rsid w:val="00510719"/>
    <w:rsid w:val="00510855"/>
    <w:rsid w:val="00510886"/>
    <w:rsid w:val="005109DE"/>
    <w:rsid w:val="00510CBA"/>
    <w:rsid w:val="00510E05"/>
    <w:rsid w:val="00510FE9"/>
    <w:rsid w:val="00510FF4"/>
    <w:rsid w:val="00511097"/>
    <w:rsid w:val="005110C5"/>
    <w:rsid w:val="0051115B"/>
    <w:rsid w:val="005111D8"/>
    <w:rsid w:val="005112B3"/>
    <w:rsid w:val="005116C1"/>
    <w:rsid w:val="00511852"/>
    <w:rsid w:val="00511923"/>
    <w:rsid w:val="005119E8"/>
    <w:rsid w:val="00511A0C"/>
    <w:rsid w:val="00511BF5"/>
    <w:rsid w:val="00511C53"/>
    <w:rsid w:val="00511D22"/>
    <w:rsid w:val="00512024"/>
    <w:rsid w:val="005120D7"/>
    <w:rsid w:val="00512105"/>
    <w:rsid w:val="005123B5"/>
    <w:rsid w:val="005124C8"/>
    <w:rsid w:val="00512593"/>
    <w:rsid w:val="00512B61"/>
    <w:rsid w:val="00512DE8"/>
    <w:rsid w:val="00512E3B"/>
    <w:rsid w:val="00512F09"/>
    <w:rsid w:val="00512F1F"/>
    <w:rsid w:val="00512F63"/>
    <w:rsid w:val="00512FB4"/>
    <w:rsid w:val="0051302B"/>
    <w:rsid w:val="005130F7"/>
    <w:rsid w:val="00513438"/>
    <w:rsid w:val="00513549"/>
    <w:rsid w:val="00513A0E"/>
    <w:rsid w:val="00513CAD"/>
    <w:rsid w:val="00513D06"/>
    <w:rsid w:val="00513D30"/>
    <w:rsid w:val="00513E6F"/>
    <w:rsid w:val="00513F80"/>
    <w:rsid w:val="00514212"/>
    <w:rsid w:val="0051454B"/>
    <w:rsid w:val="005145DB"/>
    <w:rsid w:val="005146E1"/>
    <w:rsid w:val="00514737"/>
    <w:rsid w:val="00514A9E"/>
    <w:rsid w:val="00515149"/>
    <w:rsid w:val="005156C0"/>
    <w:rsid w:val="005157BE"/>
    <w:rsid w:val="005157F6"/>
    <w:rsid w:val="00515976"/>
    <w:rsid w:val="00515A8D"/>
    <w:rsid w:val="00515BC3"/>
    <w:rsid w:val="00516041"/>
    <w:rsid w:val="00516075"/>
    <w:rsid w:val="00516246"/>
    <w:rsid w:val="005162A6"/>
    <w:rsid w:val="005162E6"/>
    <w:rsid w:val="0051636D"/>
    <w:rsid w:val="005164B0"/>
    <w:rsid w:val="005164B9"/>
    <w:rsid w:val="00516585"/>
    <w:rsid w:val="00516664"/>
    <w:rsid w:val="00516B2F"/>
    <w:rsid w:val="00516D00"/>
    <w:rsid w:val="00516D58"/>
    <w:rsid w:val="00516E74"/>
    <w:rsid w:val="00516F3E"/>
    <w:rsid w:val="005170DB"/>
    <w:rsid w:val="005170E4"/>
    <w:rsid w:val="005170F4"/>
    <w:rsid w:val="00517267"/>
    <w:rsid w:val="005172B7"/>
    <w:rsid w:val="005173D2"/>
    <w:rsid w:val="00517634"/>
    <w:rsid w:val="005179DC"/>
    <w:rsid w:val="00517B42"/>
    <w:rsid w:val="00517D4A"/>
    <w:rsid w:val="00517DF5"/>
    <w:rsid w:val="00517E77"/>
    <w:rsid w:val="00517EB9"/>
    <w:rsid w:val="00517F40"/>
    <w:rsid w:val="0052033A"/>
    <w:rsid w:val="00520B0C"/>
    <w:rsid w:val="00520C1F"/>
    <w:rsid w:val="00520CE2"/>
    <w:rsid w:val="00520EB8"/>
    <w:rsid w:val="005210C1"/>
    <w:rsid w:val="0052115F"/>
    <w:rsid w:val="0052127D"/>
    <w:rsid w:val="00521380"/>
    <w:rsid w:val="00521387"/>
    <w:rsid w:val="0052152E"/>
    <w:rsid w:val="0052191E"/>
    <w:rsid w:val="00521FA1"/>
    <w:rsid w:val="0052203F"/>
    <w:rsid w:val="005222A7"/>
    <w:rsid w:val="0052231C"/>
    <w:rsid w:val="005223F4"/>
    <w:rsid w:val="00522555"/>
    <w:rsid w:val="0052289A"/>
    <w:rsid w:val="00522A90"/>
    <w:rsid w:val="0052312D"/>
    <w:rsid w:val="005231B2"/>
    <w:rsid w:val="00523586"/>
    <w:rsid w:val="0052364F"/>
    <w:rsid w:val="005236F0"/>
    <w:rsid w:val="00523720"/>
    <w:rsid w:val="00523746"/>
    <w:rsid w:val="0052382E"/>
    <w:rsid w:val="00523909"/>
    <w:rsid w:val="00523C16"/>
    <w:rsid w:val="00523CAD"/>
    <w:rsid w:val="00523DA5"/>
    <w:rsid w:val="005240DA"/>
    <w:rsid w:val="00524433"/>
    <w:rsid w:val="00524512"/>
    <w:rsid w:val="0052459C"/>
    <w:rsid w:val="0052473E"/>
    <w:rsid w:val="0052485F"/>
    <w:rsid w:val="00524906"/>
    <w:rsid w:val="00524A04"/>
    <w:rsid w:val="00524CE0"/>
    <w:rsid w:val="00524E87"/>
    <w:rsid w:val="00525244"/>
    <w:rsid w:val="005252A2"/>
    <w:rsid w:val="0052540C"/>
    <w:rsid w:val="00525661"/>
    <w:rsid w:val="00525814"/>
    <w:rsid w:val="005259C8"/>
    <w:rsid w:val="00525C71"/>
    <w:rsid w:val="00525E17"/>
    <w:rsid w:val="00525E30"/>
    <w:rsid w:val="00525E48"/>
    <w:rsid w:val="005260D6"/>
    <w:rsid w:val="00526436"/>
    <w:rsid w:val="005268D2"/>
    <w:rsid w:val="00526CC0"/>
    <w:rsid w:val="00526DE3"/>
    <w:rsid w:val="00526DED"/>
    <w:rsid w:val="00526EBD"/>
    <w:rsid w:val="00526F4B"/>
    <w:rsid w:val="00526FD0"/>
    <w:rsid w:val="00527032"/>
    <w:rsid w:val="005270D5"/>
    <w:rsid w:val="005270E2"/>
    <w:rsid w:val="005272A8"/>
    <w:rsid w:val="005272E4"/>
    <w:rsid w:val="0052730E"/>
    <w:rsid w:val="00527333"/>
    <w:rsid w:val="005273C5"/>
    <w:rsid w:val="005273EC"/>
    <w:rsid w:val="005276EB"/>
    <w:rsid w:val="0052779F"/>
    <w:rsid w:val="005277B2"/>
    <w:rsid w:val="00527B16"/>
    <w:rsid w:val="00527C4A"/>
    <w:rsid w:val="00527EBD"/>
    <w:rsid w:val="00527F00"/>
    <w:rsid w:val="00530034"/>
    <w:rsid w:val="00530078"/>
    <w:rsid w:val="005300F5"/>
    <w:rsid w:val="0053034E"/>
    <w:rsid w:val="005304E6"/>
    <w:rsid w:val="005305F2"/>
    <w:rsid w:val="00530AA3"/>
    <w:rsid w:val="00530EC4"/>
    <w:rsid w:val="00530ECB"/>
    <w:rsid w:val="005310E3"/>
    <w:rsid w:val="0053111C"/>
    <w:rsid w:val="005313C0"/>
    <w:rsid w:val="0053177F"/>
    <w:rsid w:val="005319DA"/>
    <w:rsid w:val="00531D6F"/>
    <w:rsid w:val="00531FA7"/>
    <w:rsid w:val="00531FC1"/>
    <w:rsid w:val="00532074"/>
    <w:rsid w:val="005321C5"/>
    <w:rsid w:val="005322FC"/>
    <w:rsid w:val="00532589"/>
    <w:rsid w:val="005326DE"/>
    <w:rsid w:val="005327C2"/>
    <w:rsid w:val="005329DB"/>
    <w:rsid w:val="00532AB8"/>
    <w:rsid w:val="00532D2A"/>
    <w:rsid w:val="00532E6F"/>
    <w:rsid w:val="00532EFF"/>
    <w:rsid w:val="005331E5"/>
    <w:rsid w:val="005334EF"/>
    <w:rsid w:val="00533598"/>
    <w:rsid w:val="00533A06"/>
    <w:rsid w:val="00533A30"/>
    <w:rsid w:val="00533C19"/>
    <w:rsid w:val="00534031"/>
    <w:rsid w:val="00534100"/>
    <w:rsid w:val="00534139"/>
    <w:rsid w:val="00534483"/>
    <w:rsid w:val="00534662"/>
    <w:rsid w:val="0053489B"/>
    <w:rsid w:val="00534967"/>
    <w:rsid w:val="00534E0A"/>
    <w:rsid w:val="00534F04"/>
    <w:rsid w:val="00534FC0"/>
    <w:rsid w:val="00535250"/>
    <w:rsid w:val="0053528E"/>
    <w:rsid w:val="005352CD"/>
    <w:rsid w:val="005353EE"/>
    <w:rsid w:val="005354FC"/>
    <w:rsid w:val="005356B4"/>
    <w:rsid w:val="00535731"/>
    <w:rsid w:val="00535765"/>
    <w:rsid w:val="005357EB"/>
    <w:rsid w:val="00535910"/>
    <w:rsid w:val="00535C4A"/>
    <w:rsid w:val="00535D06"/>
    <w:rsid w:val="00535D8B"/>
    <w:rsid w:val="00536031"/>
    <w:rsid w:val="005361B8"/>
    <w:rsid w:val="00536258"/>
    <w:rsid w:val="005362C3"/>
    <w:rsid w:val="005367C9"/>
    <w:rsid w:val="0053683A"/>
    <w:rsid w:val="00536996"/>
    <w:rsid w:val="00536B38"/>
    <w:rsid w:val="00536C88"/>
    <w:rsid w:val="00536F45"/>
    <w:rsid w:val="00536F5B"/>
    <w:rsid w:val="0053702D"/>
    <w:rsid w:val="0053711F"/>
    <w:rsid w:val="005371BE"/>
    <w:rsid w:val="0053723B"/>
    <w:rsid w:val="005372EF"/>
    <w:rsid w:val="00537D51"/>
    <w:rsid w:val="00537DD6"/>
    <w:rsid w:val="00537EA9"/>
    <w:rsid w:val="00538194"/>
    <w:rsid w:val="00540050"/>
    <w:rsid w:val="00540126"/>
    <w:rsid w:val="00540633"/>
    <w:rsid w:val="00540652"/>
    <w:rsid w:val="00540682"/>
    <w:rsid w:val="005406A2"/>
    <w:rsid w:val="005408A0"/>
    <w:rsid w:val="00540A2E"/>
    <w:rsid w:val="00540ECE"/>
    <w:rsid w:val="00540F08"/>
    <w:rsid w:val="00540FA6"/>
    <w:rsid w:val="005410F4"/>
    <w:rsid w:val="0054115D"/>
    <w:rsid w:val="0054198A"/>
    <w:rsid w:val="00541C85"/>
    <w:rsid w:val="00541CBF"/>
    <w:rsid w:val="00542206"/>
    <w:rsid w:val="005426A8"/>
    <w:rsid w:val="0054295E"/>
    <w:rsid w:val="00542B9A"/>
    <w:rsid w:val="00542CF0"/>
    <w:rsid w:val="00542DDA"/>
    <w:rsid w:val="00542DEA"/>
    <w:rsid w:val="00542EE0"/>
    <w:rsid w:val="00542F57"/>
    <w:rsid w:val="005430EB"/>
    <w:rsid w:val="00543248"/>
    <w:rsid w:val="00543375"/>
    <w:rsid w:val="00543665"/>
    <w:rsid w:val="005437FD"/>
    <w:rsid w:val="00543CB1"/>
    <w:rsid w:val="00543D37"/>
    <w:rsid w:val="00543DBC"/>
    <w:rsid w:val="00544378"/>
    <w:rsid w:val="0054442F"/>
    <w:rsid w:val="005444CD"/>
    <w:rsid w:val="00544916"/>
    <w:rsid w:val="00544CD9"/>
    <w:rsid w:val="00544E6E"/>
    <w:rsid w:val="00545004"/>
    <w:rsid w:val="0054502A"/>
    <w:rsid w:val="005450F9"/>
    <w:rsid w:val="00545395"/>
    <w:rsid w:val="0054545B"/>
    <w:rsid w:val="00545463"/>
    <w:rsid w:val="00545534"/>
    <w:rsid w:val="005456CB"/>
    <w:rsid w:val="005456FD"/>
    <w:rsid w:val="00545B0E"/>
    <w:rsid w:val="00545E7C"/>
    <w:rsid w:val="00545F7C"/>
    <w:rsid w:val="00545F9C"/>
    <w:rsid w:val="00546241"/>
    <w:rsid w:val="005462FE"/>
    <w:rsid w:val="0054652C"/>
    <w:rsid w:val="0054656B"/>
    <w:rsid w:val="00546787"/>
    <w:rsid w:val="005468EB"/>
    <w:rsid w:val="00546D56"/>
    <w:rsid w:val="005471D4"/>
    <w:rsid w:val="005472A5"/>
    <w:rsid w:val="00547414"/>
    <w:rsid w:val="005476E3"/>
    <w:rsid w:val="00547731"/>
    <w:rsid w:val="005477DE"/>
    <w:rsid w:val="005478A5"/>
    <w:rsid w:val="00547923"/>
    <w:rsid w:val="00547CB8"/>
    <w:rsid w:val="00547FBD"/>
    <w:rsid w:val="00547FF0"/>
    <w:rsid w:val="00547FFE"/>
    <w:rsid w:val="0055093B"/>
    <w:rsid w:val="00550C79"/>
    <w:rsid w:val="00550D29"/>
    <w:rsid w:val="00550D4D"/>
    <w:rsid w:val="00550EEC"/>
    <w:rsid w:val="00551118"/>
    <w:rsid w:val="005514BF"/>
    <w:rsid w:val="005515AD"/>
    <w:rsid w:val="00551637"/>
    <w:rsid w:val="00551654"/>
    <w:rsid w:val="005517CE"/>
    <w:rsid w:val="00551A15"/>
    <w:rsid w:val="00551B80"/>
    <w:rsid w:val="00551BEA"/>
    <w:rsid w:val="00551EF3"/>
    <w:rsid w:val="00551F89"/>
    <w:rsid w:val="00552392"/>
    <w:rsid w:val="005525EC"/>
    <w:rsid w:val="00552742"/>
    <w:rsid w:val="0055283D"/>
    <w:rsid w:val="00552983"/>
    <w:rsid w:val="00552B03"/>
    <w:rsid w:val="00552B8E"/>
    <w:rsid w:val="00552F0F"/>
    <w:rsid w:val="00552FEC"/>
    <w:rsid w:val="0055317B"/>
    <w:rsid w:val="00553751"/>
    <w:rsid w:val="00553913"/>
    <w:rsid w:val="00553AE0"/>
    <w:rsid w:val="00553C01"/>
    <w:rsid w:val="00553DFD"/>
    <w:rsid w:val="00553E74"/>
    <w:rsid w:val="00554449"/>
    <w:rsid w:val="005545DF"/>
    <w:rsid w:val="00554850"/>
    <w:rsid w:val="005548C3"/>
    <w:rsid w:val="00554BA0"/>
    <w:rsid w:val="00554BC2"/>
    <w:rsid w:val="00554EA1"/>
    <w:rsid w:val="0055508D"/>
    <w:rsid w:val="00555208"/>
    <w:rsid w:val="0055526F"/>
    <w:rsid w:val="00555340"/>
    <w:rsid w:val="00555676"/>
    <w:rsid w:val="005557A8"/>
    <w:rsid w:val="00555ABB"/>
    <w:rsid w:val="00555E12"/>
    <w:rsid w:val="00555F56"/>
    <w:rsid w:val="00556154"/>
    <w:rsid w:val="005561B3"/>
    <w:rsid w:val="00556324"/>
    <w:rsid w:val="00556353"/>
    <w:rsid w:val="00556360"/>
    <w:rsid w:val="0055662B"/>
    <w:rsid w:val="0055686F"/>
    <w:rsid w:val="00556876"/>
    <w:rsid w:val="005568DC"/>
    <w:rsid w:val="0055695A"/>
    <w:rsid w:val="005569B5"/>
    <w:rsid w:val="00556CF0"/>
    <w:rsid w:val="00556D9A"/>
    <w:rsid w:val="00556DD9"/>
    <w:rsid w:val="00556EF9"/>
    <w:rsid w:val="005571C0"/>
    <w:rsid w:val="005573CC"/>
    <w:rsid w:val="005573E7"/>
    <w:rsid w:val="00557485"/>
    <w:rsid w:val="005574EF"/>
    <w:rsid w:val="00557645"/>
    <w:rsid w:val="005576F3"/>
    <w:rsid w:val="00557DD9"/>
    <w:rsid w:val="00560073"/>
    <w:rsid w:val="00560314"/>
    <w:rsid w:val="00560440"/>
    <w:rsid w:val="0056046E"/>
    <w:rsid w:val="0056049A"/>
    <w:rsid w:val="00560545"/>
    <w:rsid w:val="00560625"/>
    <w:rsid w:val="00560644"/>
    <w:rsid w:val="00560CE0"/>
    <w:rsid w:val="00561075"/>
    <w:rsid w:val="005611BC"/>
    <w:rsid w:val="00561247"/>
    <w:rsid w:val="0056128C"/>
    <w:rsid w:val="005612BE"/>
    <w:rsid w:val="005612D8"/>
    <w:rsid w:val="005613D0"/>
    <w:rsid w:val="00561735"/>
    <w:rsid w:val="0056175C"/>
    <w:rsid w:val="0056186D"/>
    <w:rsid w:val="0056190F"/>
    <w:rsid w:val="00561B2B"/>
    <w:rsid w:val="00561DE2"/>
    <w:rsid w:val="00561E9B"/>
    <w:rsid w:val="00562081"/>
    <w:rsid w:val="005620C8"/>
    <w:rsid w:val="00562226"/>
    <w:rsid w:val="005622B1"/>
    <w:rsid w:val="00562537"/>
    <w:rsid w:val="005625FA"/>
    <w:rsid w:val="005626A6"/>
    <w:rsid w:val="00562706"/>
    <w:rsid w:val="005629A0"/>
    <w:rsid w:val="005629EB"/>
    <w:rsid w:val="00562A96"/>
    <w:rsid w:val="00562AC4"/>
    <w:rsid w:val="00562CDB"/>
    <w:rsid w:val="00562CF7"/>
    <w:rsid w:val="00562D84"/>
    <w:rsid w:val="00562E8A"/>
    <w:rsid w:val="0056314A"/>
    <w:rsid w:val="0056316C"/>
    <w:rsid w:val="005632CF"/>
    <w:rsid w:val="00563316"/>
    <w:rsid w:val="005634BC"/>
    <w:rsid w:val="00563C6A"/>
    <w:rsid w:val="00563F2F"/>
    <w:rsid w:val="00563F68"/>
    <w:rsid w:val="0056402D"/>
    <w:rsid w:val="0056413D"/>
    <w:rsid w:val="0056421C"/>
    <w:rsid w:val="00564584"/>
    <w:rsid w:val="005645D7"/>
    <w:rsid w:val="00564924"/>
    <w:rsid w:val="00564932"/>
    <w:rsid w:val="0056493B"/>
    <w:rsid w:val="005649F9"/>
    <w:rsid w:val="00564BB2"/>
    <w:rsid w:val="0056509B"/>
    <w:rsid w:val="005650C6"/>
    <w:rsid w:val="005650D8"/>
    <w:rsid w:val="00565233"/>
    <w:rsid w:val="0056528E"/>
    <w:rsid w:val="005652F4"/>
    <w:rsid w:val="005653E5"/>
    <w:rsid w:val="0056571F"/>
    <w:rsid w:val="0056574F"/>
    <w:rsid w:val="0056595C"/>
    <w:rsid w:val="005659A7"/>
    <w:rsid w:val="005659B2"/>
    <w:rsid w:val="00565BDA"/>
    <w:rsid w:val="00565F48"/>
    <w:rsid w:val="00565FD1"/>
    <w:rsid w:val="00565FE5"/>
    <w:rsid w:val="00566087"/>
    <w:rsid w:val="0056625C"/>
    <w:rsid w:val="00566383"/>
    <w:rsid w:val="005663B5"/>
    <w:rsid w:val="005663C1"/>
    <w:rsid w:val="00566731"/>
    <w:rsid w:val="0056682D"/>
    <w:rsid w:val="005668E6"/>
    <w:rsid w:val="00566A74"/>
    <w:rsid w:val="00566A9D"/>
    <w:rsid w:val="00566CB5"/>
    <w:rsid w:val="00566D31"/>
    <w:rsid w:val="0056717A"/>
    <w:rsid w:val="0056729F"/>
    <w:rsid w:val="005672D4"/>
    <w:rsid w:val="0056750D"/>
    <w:rsid w:val="00567745"/>
    <w:rsid w:val="005677CE"/>
    <w:rsid w:val="00567C80"/>
    <w:rsid w:val="00567CF7"/>
    <w:rsid w:val="00567D3F"/>
    <w:rsid w:val="00567FDF"/>
    <w:rsid w:val="00570190"/>
    <w:rsid w:val="00570257"/>
    <w:rsid w:val="0057061F"/>
    <w:rsid w:val="0057076E"/>
    <w:rsid w:val="00570776"/>
    <w:rsid w:val="00570807"/>
    <w:rsid w:val="005708FC"/>
    <w:rsid w:val="00570982"/>
    <w:rsid w:val="00570A96"/>
    <w:rsid w:val="00570CC5"/>
    <w:rsid w:val="005710EA"/>
    <w:rsid w:val="0057113D"/>
    <w:rsid w:val="00571578"/>
    <w:rsid w:val="0057158B"/>
    <w:rsid w:val="00571726"/>
    <w:rsid w:val="005717FF"/>
    <w:rsid w:val="00571D6E"/>
    <w:rsid w:val="00571D85"/>
    <w:rsid w:val="005720F3"/>
    <w:rsid w:val="00572122"/>
    <w:rsid w:val="0057244F"/>
    <w:rsid w:val="005725B0"/>
    <w:rsid w:val="005725EA"/>
    <w:rsid w:val="005727F4"/>
    <w:rsid w:val="00572805"/>
    <w:rsid w:val="00572875"/>
    <w:rsid w:val="00572B3C"/>
    <w:rsid w:val="00572BFE"/>
    <w:rsid w:val="00572D3C"/>
    <w:rsid w:val="00572DC1"/>
    <w:rsid w:val="00572E26"/>
    <w:rsid w:val="00572E3E"/>
    <w:rsid w:val="00573283"/>
    <w:rsid w:val="005734AE"/>
    <w:rsid w:val="00573B0B"/>
    <w:rsid w:val="00573E10"/>
    <w:rsid w:val="0057407A"/>
    <w:rsid w:val="005741F8"/>
    <w:rsid w:val="00574358"/>
    <w:rsid w:val="00574458"/>
    <w:rsid w:val="005744EB"/>
    <w:rsid w:val="00574692"/>
    <w:rsid w:val="00574887"/>
    <w:rsid w:val="00574CCC"/>
    <w:rsid w:val="00574CD1"/>
    <w:rsid w:val="005751E4"/>
    <w:rsid w:val="005752BF"/>
    <w:rsid w:val="00575328"/>
    <w:rsid w:val="00575624"/>
    <w:rsid w:val="0057563D"/>
    <w:rsid w:val="005756A3"/>
    <w:rsid w:val="005759B3"/>
    <w:rsid w:val="00575A77"/>
    <w:rsid w:val="00575B6F"/>
    <w:rsid w:val="00575B84"/>
    <w:rsid w:val="00575BED"/>
    <w:rsid w:val="00575E1B"/>
    <w:rsid w:val="0057612D"/>
    <w:rsid w:val="005764EB"/>
    <w:rsid w:val="00576640"/>
    <w:rsid w:val="0057667F"/>
    <w:rsid w:val="00576977"/>
    <w:rsid w:val="005769BC"/>
    <w:rsid w:val="00576B82"/>
    <w:rsid w:val="00576D1E"/>
    <w:rsid w:val="00576F3D"/>
    <w:rsid w:val="00576F53"/>
    <w:rsid w:val="005770C8"/>
    <w:rsid w:val="0057733A"/>
    <w:rsid w:val="005773FD"/>
    <w:rsid w:val="005774BD"/>
    <w:rsid w:val="00577B5B"/>
    <w:rsid w:val="00577D85"/>
    <w:rsid w:val="00577EF3"/>
    <w:rsid w:val="00577FE6"/>
    <w:rsid w:val="005800BC"/>
    <w:rsid w:val="0058037D"/>
    <w:rsid w:val="00580608"/>
    <w:rsid w:val="00580688"/>
    <w:rsid w:val="00580BA8"/>
    <w:rsid w:val="00580BF7"/>
    <w:rsid w:val="00580C70"/>
    <w:rsid w:val="00580DCD"/>
    <w:rsid w:val="00580DCF"/>
    <w:rsid w:val="00581097"/>
    <w:rsid w:val="00581240"/>
    <w:rsid w:val="00581501"/>
    <w:rsid w:val="005815A2"/>
    <w:rsid w:val="005815A3"/>
    <w:rsid w:val="005815D0"/>
    <w:rsid w:val="00581BB1"/>
    <w:rsid w:val="00581D08"/>
    <w:rsid w:val="00581F98"/>
    <w:rsid w:val="00581FE3"/>
    <w:rsid w:val="0058207E"/>
    <w:rsid w:val="005822C7"/>
    <w:rsid w:val="005823AE"/>
    <w:rsid w:val="00582489"/>
    <w:rsid w:val="00582839"/>
    <w:rsid w:val="005828A4"/>
    <w:rsid w:val="00582B89"/>
    <w:rsid w:val="00582D78"/>
    <w:rsid w:val="00582E26"/>
    <w:rsid w:val="00582FA6"/>
    <w:rsid w:val="00582FF4"/>
    <w:rsid w:val="005832F2"/>
    <w:rsid w:val="0058337E"/>
    <w:rsid w:val="00583528"/>
    <w:rsid w:val="0058352F"/>
    <w:rsid w:val="00583640"/>
    <w:rsid w:val="00583780"/>
    <w:rsid w:val="00583803"/>
    <w:rsid w:val="00583B11"/>
    <w:rsid w:val="00583B50"/>
    <w:rsid w:val="00583E2E"/>
    <w:rsid w:val="00583E31"/>
    <w:rsid w:val="005841C5"/>
    <w:rsid w:val="00584217"/>
    <w:rsid w:val="0058421A"/>
    <w:rsid w:val="005843FB"/>
    <w:rsid w:val="00584423"/>
    <w:rsid w:val="005845AB"/>
    <w:rsid w:val="00584757"/>
    <w:rsid w:val="005848D5"/>
    <w:rsid w:val="00584AC3"/>
    <w:rsid w:val="00584B0A"/>
    <w:rsid w:val="00584C2B"/>
    <w:rsid w:val="00584D09"/>
    <w:rsid w:val="00584D34"/>
    <w:rsid w:val="00584D7A"/>
    <w:rsid w:val="00584E3F"/>
    <w:rsid w:val="00584EFB"/>
    <w:rsid w:val="00584F22"/>
    <w:rsid w:val="005850C0"/>
    <w:rsid w:val="005852AA"/>
    <w:rsid w:val="005852AC"/>
    <w:rsid w:val="00585307"/>
    <w:rsid w:val="00585514"/>
    <w:rsid w:val="0058577D"/>
    <w:rsid w:val="005858A3"/>
    <w:rsid w:val="005858FE"/>
    <w:rsid w:val="0058597A"/>
    <w:rsid w:val="005859F0"/>
    <w:rsid w:val="00585BFF"/>
    <w:rsid w:val="00586714"/>
    <w:rsid w:val="0058675D"/>
    <w:rsid w:val="00586970"/>
    <w:rsid w:val="00586A51"/>
    <w:rsid w:val="00586AB8"/>
    <w:rsid w:val="00586DFD"/>
    <w:rsid w:val="00586E34"/>
    <w:rsid w:val="00587037"/>
    <w:rsid w:val="005870D0"/>
    <w:rsid w:val="005870ED"/>
    <w:rsid w:val="00587377"/>
    <w:rsid w:val="0058738D"/>
    <w:rsid w:val="00587669"/>
    <w:rsid w:val="0058780B"/>
    <w:rsid w:val="0058792D"/>
    <w:rsid w:val="005879F9"/>
    <w:rsid w:val="00587D49"/>
    <w:rsid w:val="005900AB"/>
    <w:rsid w:val="0059011E"/>
    <w:rsid w:val="0059090E"/>
    <w:rsid w:val="00590A10"/>
    <w:rsid w:val="00590B29"/>
    <w:rsid w:val="00590E78"/>
    <w:rsid w:val="00590FCB"/>
    <w:rsid w:val="00591274"/>
    <w:rsid w:val="00591379"/>
    <w:rsid w:val="005913CD"/>
    <w:rsid w:val="00591724"/>
    <w:rsid w:val="005917B6"/>
    <w:rsid w:val="00591A49"/>
    <w:rsid w:val="00591B91"/>
    <w:rsid w:val="00591CAE"/>
    <w:rsid w:val="00591D01"/>
    <w:rsid w:val="00591EEE"/>
    <w:rsid w:val="00591F8C"/>
    <w:rsid w:val="00591FBC"/>
    <w:rsid w:val="005923A2"/>
    <w:rsid w:val="005927AC"/>
    <w:rsid w:val="005929A9"/>
    <w:rsid w:val="00592B7E"/>
    <w:rsid w:val="00592E14"/>
    <w:rsid w:val="00592EB7"/>
    <w:rsid w:val="00592F01"/>
    <w:rsid w:val="0059329E"/>
    <w:rsid w:val="005937FC"/>
    <w:rsid w:val="005939BC"/>
    <w:rsid w:val="00593A01"/>
    <w:rsid w:val="00593B01"/>
    <w:rsid w:val="00593B11"/>
    <w:rsid w:val="00593C7C"/>
    <w:rsid w:val="0059404A"/>
    <w:rsid w:val="0059425D"/>
    <w:rsid w:val="0059442A"/>
    <w:rsid w:val="0059456D"/>
    <w:rsid w:val="0059462A"/>
    <w:rsid w:val="005947A9"/>
    <w:rsid w:val="005948B2"/>
    <w:rsid w:val="00594D83"/>
    <w:rsid w:val="00594E0E"/>
    <w:rsid w:val="00594E9A"/>
    <w:rsid w:val="00594FDC"/>
    <w:rsid w:val="00595011"/>
    <w:rsid w:val="00595905"/>
    <w:rsid w:val="0059591E"/>
    <w:rsid w:val="00595998"/>
    <w:rsid w:val="00595A98"/>
    <w:rsid w:val="00595D19"/>
    <w:rsid w:val="00595DE5"/>
    <w:rsid w:val="00595ECE"/>
    <w:rsid w:val="005961A2"/>
    <w:rsid w:val="005962C7"/>
    <w:rsid w:val="005968D3"/>
    <w:rsid w:val="00596A9B"/>
    <w:rsid w:val="00596B4F"/>
    <w:rsid w:val="00596B78"/>
    <w:rsid w:val="00596B9D"/>
    <w:rsid w:val="00596C79"/>
    <w:rsid w:val="00596EB1"/>
    <w:rsid w:val="00596F45"/>
    <w:rsid w:val="00596FE1"/>
    <w:rsid w:val="005970AF"/>
    <w:rsid w:val="005972F0"/>
    <w:rsid w:val="00597383"/>
    <w:rsid w:val="0059748A"/>
    <w:rsid w:val="005975A4"/>
    <w:rsid w:val="00597953"/>
    <w:rsid w:val="00597BAB"/>
    <w:rsid w:val="00597FF0"/>
    <w:rsid w:val="005A00FC"/>
    <w:rsid w:val="005A022C"/>
    <w:rsid w:val="005A053B"/>
    <w:rsid w:val="005A06C0"/>
    <w:rsid w:val="005A0870"/>
    <w:rsid w:val="005A09EE"/>
    <w:rsid w:val="005A0AA2"/>
    <w:rsid w:val="005A0C2F"/>
    <w:rsid w:val="005A0D68"/>
    <w:rsid w:val="005A0DC8"/>
    <w:rsid w:val="005A0E2C"/>
    <w:rsid w:val="005A0F10"/>
    <w:rsid w:val="005A0FFF"/>
    <w:rsid w:val="005A1325"/>
    <w:rsid w:val="005A1972"/>
    <w:rsid w:val="005A1A12"/>
    <w:rsid w:val="005A1A49"/>
    <w:rsid w:val="005A1A85"/>
    <w:rsid w:val="005A1A88"/>
    <w:rsid w:val="005A1AB2"/>
    <w:rsid w:val="005A1BF5"/>
    <w:rsid w:val="005A1CBA"/>
    <w:rsid w:val="005A1D3B"/>
    <w:rsid w:val="005A1E8F"/>
    <w:rsid w:val="005A1EF4"/>
    <w:rsid w:val="005A204E"/>
    <w:rsid w:val="005A2211"/>
    <w:rsid w:val="005A2682"/>
    <w:rsid w:val="005A2759"/>
    <w:rsid w:val="005A2856"/>
    <w:rsid w:val="005A2AAD"/>
    <w:rsid w:val="005A2AC9"/>
    <w:rsid w:val="005A2BD1"/>
    <w:rsid w:val="005A3169"/>
    <w:rsid w:val="005A31AA"/>
    <w:rsid w:val="005A3216"/>
    <w:rsid w:val="005A3369"/>
    <w:rsid w:val="005A33DF"/>
    <w:rsid w:val="005A3766"/>
    <w:rsid w:val="005A3799"/>
    <w:rsid w:val="005A37E7"/>
    <w:rsid w:val="005A3980"/>
    <w:rsid w:val="005A3B99"/>
    <w:rsid w:val="005A3C70"/>
    <w:rsid w:val="005A3CC3"/>
    <w:rsid w:val="005A3D36"/>
    <w:rsid w:val="005A404C"/>
    <w:rsid w:val="005A4050"/>
    <w:rsid w:val="005A4070"/>
    <w:rsid w:val="005A4802"/>
    <w:rsid w:val="005A4972"/>
    <w:rsid w:val="005A49F4"/>
    <w:rsid w:val="005A4A4E"/>
    <w:rsid w:val="005A4A57"/>
    <w:rsid w:val="005A4A6D"/>
    <w:rsid w:val="005A4D35"/>
    <w:rsid w:val="005A4DA6"/>
    <w:rsid w:val="005A4E13"/>
    <w:rsid w:val="005A4FBC"/>
    <w:rsid w:val="005A522B"/>
    <w:rsid w:val="005A5399"/>
    <w:rsid w:val="005A53C7"/>
    <w:rsid w:val="005A54A1"/>
    <w:rsid w:val="005A56D1"/>
    <w:rsid w:val="005A57CD"/>
    <w:rsid w:val="005A589E"/>
    <w:rsid w:val="005A5ABB"/>
    <w:rsid w:val="005A5ADB"/>
    <w:rsid w:val="005A5BD9"/>
    <w:rsid w:val="005A5BDC"/>
    <w:rsid w:val="005A5C6C"/>
    <w:rsid w:val="005A5C76"/>
    <w:rsid w:val="005A5CAE"/>
    <w:rsid w:val="005A649A"/>
    <w:rsid w:val="005A6604"/>
    <w:rsid w:val="005A6683"/>
    <w:rsid w:val="005A66AB"/>
    <w:rsid w:val="005A680A"/>
    <w:rsid w:val="005A68CE"/>
    <w:rsid w:val="005A6C34"/>
    <w:rsid w:val="005A6FF2"/>
    <w:rsid w:val="005A7246"/>
    <w:rsid w:val="005A7415"/>
    <w:rsid w:val="005A7688"/>
    <w:rsid w:val="005A7719"/>
    <w:rsid w:val="005A7874"/>
    <w:rsid w:val="005A7C23"/>
    <w:rsid w:val="005A7E28"/>
    <w:rsid w:val="005B010B"/>
    <w:rsid w:val="005B0168"/>
    <w:rsid w:val="005B0810"/>
    <w:rsid w:val="005B0892"/>
    <w:rsid w:val="005B0D43"/>
    <w:rsid w:val="005B0F67"/>
    <w:rsid w:val="005B122A"/>
    <w:rsid w:val="005B166D"/>
    <w:rsid w:val="005B17F2"/>
    <w:rsid w:val="005B1914"/>
    <w:rsid w:val="005B19AB"/>
    <w:rsid w:val="005B19F5"/>
    <w:rsid w:val="005B1B36"/>
    <w:rsid w:val="005B2052"/>
    <w:rsid w:val="005B2138"/>
    <w:rsid w:val="005B21F9"/>
    <w:rsid w:val="005B2503"/>
    <w:rsid w:val="005B2510"/>
    <w:rsid w:val="005B2684"/>
    <w:rsid w:val="005B2817"/>
    <w:rsid w:val="005B2A18"/>
    <w:rsid w:val="005B2B5F"/>
    <w:rsid w:val="005B2C15"/>
    <w:rsid w:val="005B2C57"/>
    <w:rsid w:val="005B2E26"/>
    <w:rsid w:val="005B2E55"/>
    <w:rsid w:val="005B2F20"/>
    <w:rsid w:val="005B2F46"/>
    <w:rsid w:val="005B2FFC"/>
    <w:rsid w:val="005B31E9"/>
    <w:rsid w:val="005B31FC"/>
    <w:rsid w:val="005B344F"/>
    <w:rsid w:val="005B3588"/>
    <w:rsid w:val="005B3D17"/>
    <w:rsid w:val="005B3DBC"/>
    <w:rsid w:val="005B40A3"/>
    <w:rsid w:val="005B4111"/>
    <w:rsid w:val="005B4215"/>
    <w:rsid w:val="005B4389"/>
    <w:rsid w:val="005B4912"/>
    <w:rsid w:val="005B4915"/>
    <w:rsid w:val="005B4A77"/>
    <w:rsid w:val="005B4AC5"/>
    <w:rsid w:val="005B5109"/>
    <w:rsid w:val="005B5414"/>
    <w:rsid w:val="005B58E8"/>
    <w:rsid w:val="005B58F8"/>
    <w:rsid w:val="005B5C53"/>
    <w:rsid w:val="005B5CFD"/>
    <w:rsid w:val="005B5D38"/>
    <w:rsid w:val="005B5F01"/>
    <w:rsid w:val="005B61A3"/>
    <w:rsid w:val="005B6287"/>
    <w:rsid w:val="005B6410"/>
    <w:rsid w:val="005B66B7"/>
    <w:rsid w:val="005B6C29"/>
    <w:rsid w:val="005B6DA6"/>
    <w:rsid w:val="005B70E7"/>
    <w:rsid w:val="005B738E"/>
    <w:rsid w:val="005B73DD"/>
    <w:rsid w:val="005B74B9"/>
    <w:rsid w:val="005B76FF"/>
    <w:rsid w:val="005B7716"/>
    <w:rsid w:val="005B7B25"/>
    <w:rsid w:val="005B7B3F"/>
    <w:rsid w:val="005B7CA0"/>
    <w:rsid w:val="005C0114"/>
    <w:rsid w:val="005C035F"/>
    <w:rsid w:val="005C03BE"/>
    <w:rsid w:val="005C06E9"/>
    <w:rsid w:val="005C0879"/>
    <w:rsid w:val="005C08D4"/>
    <w:rsid w:val="005C0C21"/>
    <w:rsid w:val="005C0FC3"/>
    <w:rsid w:val="005C106D"/>
    <w:rsid w:val="005C10F9"/>
    <w:rsid w:val="005C11A3"/>
    <w:rsid w:val="005C12E1"/>
    <w:rsid w:val="005C1535"/>
    <w:rsid w:val="005C174E"/>
    <w:rsid w:val="005C1966"/>
    <w:rsid w:val="005C1EC4"/>
    <w:rsid w:val="005C1F15"/>
    <w:rsid w:val="005C25C7"/>
    <w:rsid w:val="005C26C7"/>
    <w:rsid w:val="005C2F14"/>
    <w:rsid w:val="005C30FD"/>
    <w:rsid w:val="005C3162"/>
    <w:rsid w:val="005C3223"/>
    <w:rsid w:val="005C36A3"/>
    <w:rsid w:val="005C375F"/>
    <w:rsid w:val="005C3C2F"/>
    <w:rsid w:val="005C3CBA"/>
    <w:rsid w:val="005C3ED0"/>
    <w:rsid w:val="005C3F08"/>
    <w:rsid w:val="005C3F41"/>
    <w:rsid w:val="005C3FBC"/>
    <w:rsid w:val="005C4058"/>
    <w:rsid w:val="005C432E"/>
    <w:rsid w:val="005C49C8"/>
    <w:rsid w:val="005C4A5C"/>
    <w:rsid w:val="005C4C60"/>
    <w:rsid w:val="005C4F65"/>
    <w:rsid w:val="005C5005"/>
    <w:rsid w:val="005C544D"/>
    <w:rsid w:val="005C554C"/>
    <w:rsid w:val="005C57E4"/>
    <w:rsid w:val="005C5BE9"/>
    <w:rsid w:val="005C5EBE"/>
    <w:rsid w:val="005C6019"/>
    <w:rsid w:val="005C6272"/>
    <w:rsid w:val="005C64AD"/>
    <w:rsid w:val="005C65A3"/>
    <w:rsid w:val="005C68A1"/>
    <w:rsid w:val="005C763E"/>
    <w:rsid w:val="005C7B30"/>
    <w:rsid w:val="005C7BF6"/>
    <w:rsid w:val="005C7CF4"/>
    <w:rsid w:val="005C7CF6"/>
    <w:rsid w:val="005D0219"/>
    <w:rsid w:val="005D0345"/>
    <w:rsid w:val="005D038D"/>
    <w:rsid w:val="005D0612"/>
    <w:rsid w:val="005D066A"/>
    <w:rsid w:val="005D0B57"/>
    <w:rsid w:val="005D0BBC"/>
    <w:rsid w:val="005D0BDA"/>
    <w:rsid w:val="005D0CB0"/>
    <w:rsid w:val="005D115E"/>
    <w:rsid w:val="005D13E4"/>
    <w:rsid w:val="005D14E9"/>
    <w:rsid w:val="005D1664"/>
    <w:rsid w:val="005D1763"/>
    <w:rsid w:val="005D180C"/>
    <w:rsid w:val="005D1834"/>
    <w:rsid w:val="005D1AEB"/>
    <w:rsid w:val="005D1CB9"/>
    <w:rsid w:val="005D1E54"/>
    <w:rsid w:val="005D2045"/>
    <w:rsid w:val="005D209B"/>
    <w:rsid w:val="005D2101"/>
    <w:rsid w:val="005D22F8"/>
    <w:rsid w:val="005D24F5"/>
    <w:rsid w:val="005D255A"/>
    <w:rsid w:val="005D2664"/>
    <w:rsid w:val="005D26B1"/>
    <w:rsid w:val="005D27CD"/>
    <w:rsid w:val="005D2957"/>
    <w:rsid w:val="005D2A3A"/>
    <w:rsid w:val="005D2B01"/>
    <w:rsid w:val="005D2D77"/>
    <w:rsid w:val="005D3060"/>
    <w:rsid w:val="005D323A"/>
    <w:rsid w:val="005D3428"/>
    <w:rsid w:val="005D349C"/>
    <w:rsid w:val="005D34F3"/>
    <w:rsid w:val="005D383B"/>
    <w:rsid w:val="005D39BB"/>
    <w:rsid w:val="005D3AD6"/>
    <w:rsid w:val="005D3D25"/>
    <w:rsid w:val="005D42B4"/>
    <w:rsid w:val="005D4392"/>
    <w:rsid w:val="005D448D"/>
    <w:rsid w:val="005D45B2"/>
    <w:rsid w:val="005D4816"/>
    <w:rsid w:val="005D4AEF"/>
    <w:rsid w:val="005D4B4A"/>
    <w:rsid w:val="005D4C31"/>
    <w:rsid w:val="005D4EE8"/>
    <w:rsid w:val="005D4F0F"/>
    <w:rsid w:val="005D52F4"/>
    <w:rsid w:val="005D532C"/>
    <w:rsid w:val="005D5429"/>
    <w:rsid w:val="005D54B6"/>
    <w:rsid w:val="005D551A"/>
    <w:rsid w:val="005D55B2"/>
    <w:rsid w:val="005D5CF0"/>
    <w:rsid w:val="005D617D"/>
    <w:rsid w:val="005D620A"/>
    <w:rsid w:val="005D6215"/>
    <w:rsid w:val="005D63E1"/>
    <w:rsid w:val="005D6452"/>
    <w:rsid w:val="005D655A"/>
    <w:rsid w:val="005D6595"/>
    <w:rsid w:val="005D6881"/>
    <w:rsid w:val="005D6B72"/>
    <w:rsid w:val="005D6E01"/>
    <w:rsid w:val="005D7263"/>
    <w:rsid w:val="005D72B8"/>
    <w:rsid w:val="005D7365"/>
    <w:rsid w:val="005D73CD"/>
    <w:rsid w:val="005D75DB"/>
    <w:rsid w:val="005D7694"/>
    <w:rsid w:val="005D786A"/>
    <w:rsid w:val="005D7984"/>
    <w:rsid w:val="005D7A95"/>
    <w:rsid w:val="005D7B16"/>
    <w:rsid w:val="005D7D3E"/>
    <w:rsid w:val="005D7D98"/>
    <w:rsid w:val="005D7DCA"/>
    <w:rsid w:val="005D7EF3"/>
    <w:rsid w:val="005E0382"/>
    <w:rsid w:val="005E0449"/>
    <w:rsid w:val="005E0503"/>
    <w:rsid w:val="005E065F"/>
    <w:rsid w:val="005E075C"/>
    <w:rsid w:val="005E0925"/>
    <w:rsid w:val="005E0AC2"/>
    <w:rsid w:val="005E0C8B"/>
    <w:rsid w:val="005E0CCB"/>
    <w:rsid w:val="005E0D51"/>
    <w:rsid w:val="005E0DAF"/>
    <w:rsid w:val="005E1002"/>
    <w:rsid w:val="005E1138"/>
    <w:rsid w:val="005E11E0"/>
    <w:rsid w:val="005E15E3"/>
    <w:rsid w:val="005E17C0"/>
    <w:rsid w:val="005E18C0"/>
    <w:rsid w:val="005E18CE"/>
    <w:rsid w:val="005E1980"/>
    <w:rsid w:val="005E1A4F"/>
    <w:rsid w:val="005E1B62"/>
    <w:rsid w:val="005E1CF8"/>
    <w:rsid w:val="005E1E37"/>
    <w:rsid w:val="005E2364"/>
    <w:rsid w:val="005E2627"/>
    <w:rsid w:val="005E281A"/>
    <w:rsid w:val="005E28AF"/>
    <w:rsid w:val="005E2908"/>
    <w:rsid w:val="005E2993"/>
    <w:rsid w:val="005E2CEF"/>
    <w:rsid w:val="005E2DA9"/>
    <w:rsid w:val="005E2F72"/>
    <w:rsid w:val="005E31B1"/>
    <w:rsid w:val="005E3220"/>
    <w:rsid w:val="005E36FA"/>
    <w:rsid w:val="005E371A"/>
    <w:rsid w:val="005E3A33"/>
    <w:rsid w:val="005E3ADD"/>
    <w:rsid w:val="005E3C33"/>
    <w:rsid w:val="005E3E6A"/>
    <w:rsid w:val="005E3FC1"/>
    <w:rsid w:val="005E4314"/>
    <w:rsid w:val="005E4892"/>
    <w:rsid w:val="005E4998"/>
    <w:rsid w:val="005E4C0D"/>
    <w:rsid w:val="005E5047"/>
    <w:rsid w:val="005E50CA"/>
    <w:rsid w:val="005E53CC"/>
    <w:rsid w:val="005E5502"/>
    <w:rsid w:val="005E5616"/>
    <w:rsid w:val="005E581A"/>
    <w:rsid w:val="005E58C4"/>
    <w:rsid w:val="005E59C6"/>
    <w:rsid w:val="005E59CC"/>
    <w:rsid w:val="005E59DF"/>
    <w:rsid w:val="005E5B04"/>
    <w:rsid w:val="005E5BDF"/>
    <w:rsid w:val="005E5DAF"/>
    <w:rsid w:val="005E5FCE"/>
    <w:rsid w:val="005E60F4"/>
    <w:rsid w:val="005E67D1"/>
    <w:rsid w:val="005E68A3"/>
    <w:rsid w:val="005E699C"/>
    <w:rsid w:val="005E6C31"/>
    <w:rsid w:val="005E6DD8"/>
    <w:rsid w:val="005E6DF5"/>
    <w:rsid w:val="005E6EF9"/>
    <w:rsid w:val="005E6F29"/>
    <w:rsid w:val="005E6F99"/>
    <w:rsid w:val="005E6FA9"/>
    <w:rsid w:val="005E70CA"/>
    <w:rsid w:val="005E72C7"/>
    <w:rsid w:val="005E7359"/>
    <w:rsid w:val="005E7608"/>
    <w:rsid w:val="005E77F6"/>
    <w:rsid w:val="005E79D7"/>
    <w:rsid w:val="005E7A2F"/>
    <w:rsid w:val="005E7A62"/>
    <w:rsid w:val="005E7AAE"/>
    <w:rsid w:val="005E7B95"/>
    <w:rsid w:val="005E7E11"/>
    <w:rsid w:val="005E7E30"/>
    <w:rsid w:val="005E7F01"/>
    <w:rsid w:val="005F02B2"/>
    <w:rsid w:val="005F05B5"/>
    <w:rsid w:val="005F06FA"/>
    <w:rsid w:val="005F0801"/>
    <w:rsid w:val="005F0812"/>
    <w:rsid w:val="005F08DF"/>
    <w:rsid w:val="005F0ACD"/>
    <w:rsid w:val="005F0B9F"/>
    <w:rsid w:val="005F0BB1"/>
    <w:rsid w:val="005F0FAE"/>
    <w:rsid w:val="005F1048"/>
    <w:rsid w:val="005F109C"/>
    <w:rsid w:val="005F12D1"/>
    <w:rsid w:val="005F12FF"/>
    <w:rsid w:val="005F140A"/>
    <w:rsid w:val="005F15E0"/>
    <w:rsid w:val="005F15F3"/>
    <w:rsid w:val="005F184A"/>
    <w:rsid w:val="005F18F7"/>
    <w:rsid w:val="005F1A29"/>
    <w:rsid w:val="005F1B0F"/>
    <w:rsid w:val="005F1B8F"/>
    <w:rsid w:val="005F1E0B"/>
    <w:rsid w:val="005F1E86"/>
    <w:rsid w:val="005F2062"/>
    <w:rsid w:val="005F20BA"/>
    <w:rsid w:val="005F20F1"/>
    <w:rsid w:val="005F2126"/>
    <w:rsid w:val="005F21CE"/>
    <w:rsid w:val="005F220E"/>
    <w:rsid w:val="005F2236"/>
    <w:rsid w:val="005F2385"/>
    <w:rsid w:val="005F2469"/>
    <w:rsid w:val="005F284B"/>
    <w:rsid w:val="005F2991"/>
    <w:rsid w:val="005F2A0C"/>
    <w:rsid w:val="005F2BC8"/>
    <w:rsid w:val="005F2DB6"/>
    <w:rsid w:val="005F302B"/>
    <w:rsid w:val="005F31C7"/>
    <w:rsid w:val="005F31C9"/>
    <w:rsid w:val="005F3242"/>
    <w:rsid w:val="005F32C6"/>
    <w:rsid w:val="005F3647"/>
    <w:rsid w:val="005F3831"/>
    <w:rsid w:val="005F3AD4"/>
    <w:rsid w:val="005F3C59"/>
    <w:rsid w:val="005F3F21"/>
    <w:rsid w:val="005F3FAC"/>
    <w:rsid w:val="005F41CE"/>
    <w:rsid w:val="005F41D3"/>
    <w:rsid w:val="005F43A2"/>
    <w:rsid w:val="005F442D"/>
    <w:rsid w:val="005F4522"/>
    <w:rsid w:val="005F45CF"/>
    <w:rsid w:val="005F4A05"/>
    <w:rsid w:val="005F4BB5"/>
    <w:rsid w:val="005F4E17"/>
    <w:rsid w:val="005F5068"/>
    <w:rsid w:val="005F50D0"/>
    <w:rsid w:val="005F51EB"/>
    <w:rsid w:val="005F53C2"/>
    <w:rsid w:val="005F53C7"/>
    <w:rsid w:val="005F5476"/>
    <w:rsid w:val="005F54F0"/>
    <w:rsid w:val="005F5B6B"/>
    <w:rsid w:val="005F5CB3"/>
    <w:rsid w:val="005F5E63"/>
    <w:rsid w:val="005F5EAB"/>
    <w:rsid w:val="005F5EF0"/>
    <w:rsid w:val="005F603C"/>
    <w:rsid w:val="005F6155"/>
    <w:rsid w:val="005F6293"/>
    <w:rsid w:val="005F6381"/>
    <w:rsid w:val="005F6458"/>
    <w:rsid w:val="005F64FD"/>
    <w:rsid w:val="005F66E2"/>
    <w:rsid w:val="005F670E"/>
    <w:rsid w:val="005F6777"/>
    <w:rsid w:val="005F67FB"/>
    <w:rsid w:val="005F69D9"/>
    <w:rsid w:val="005F6B11"/>
    <w:rsid w:val="005F6FA1"/>
    <w:rsid w:val="005F71BA"/>
    <w:rsid w:val="005F7273"/>
    <w:rsid w:val="005F72BD"/>
    <w:rsid w:val="005F7371"/>
    <w:rsid w:val="005F76F5"/>
    <w:rsid w:val="005F77E8"/>
    <w:rsid w:val="005F7CDA"/>
    <w:rsid w:val="005F7D5B"/>
    <w:rsid w:val="005F7E91"/>
    <w:rsid w:val="005F7F14"/>
    <w:rsid w:val="005F7FAC"/>
    <w:rsid w:val="0060009D"/>
    <w:rsid w:val="00600181"/>
    <w:rsid w:val="006001ED"/>
    <w:rsid w:val="006001F1"/>
    <w:rsid w:val="00600501"/>
    <w:rsid w:val="0060060E"/>
    <w:rsid w:val="006006DD"/>
    <w:rsid w:val="0060072E"/>
    <w:rsid w:val="00600ABE"/>
    <w:rsid w:val="00600AE1"/>
    <w:rsid w:val="00600CA0"/>
    <w:rsid w:val="00600D0D"/>
    <w:rsid w:val="00600F2A"/>
    <w:rsid w:val="00601086"/>
    <w:rsid w:val="0060115B"/>
    <w:rsid w:val="0060119D"/>
    <w:rsid w:val="00601322"/>
    <w:rsid w:val="00601602"/>
    <w:rsid w:val="0060162A"/>
    <w:rsid w:val="00601650"/>
    <w:rsid w:val="006018AF"/>
    <w:rsid w:val="0060190C"/>
    <w:rsid w:val="00601A59"/>
    <w:rsid w:val="00601ABE"/>
    <w:rsid w:val="00601BDD"/>
    <w:rsid w:val="00601F13"/>
    <w:rsid w:val="00601F7D"/>
    <w:rsid w:val="00602125"/>
    <w:rsid w:val="00602135"/>
    <w:rsid w:val="006021BF"/>
    <w:rsid w:val="00602273"/>
    <w:rsid w:val="00602622"/>
    <w:rsid w:val="00602847"/>
    <w:rsid w:val="006029DD"/>
    <w:rsid w:val="00602AB9"/>
    <w:rsid w:val="00602B0A"/>
    <w:rsid w:val="00602F46"/>
    <w:rsid w:val="00603216"/>
    <w:rsid w:val="0060322C"/>
    <w:rsid w:val="00603823"/>
    <w:rsid w:val="006038F3"/>
    <w:rsid w:val="00603A22"/>
    <w:rsid w:val="006040B2"/>
    <w:rsid w:val="00604199"/>
    <w:rsid w:val="006041F2"/>
    <w:rsid w:val="00604283"/>
    <w:rsid w:val="0060434E"/>
    <w:rsid w:val="00604417"/>
    <w:rsid w:val="006046B5"/>
    <w:rsid w:val="006047EE"/>
    <w:rsid w:val="00604817"/>
    <w:rsid w:val="00604A02"/>
    <w:rsid w:val="00604EB6"/>
    <w:rsid w:val="00604FC4"/>
    <w:rsid w:val="006050FD"/>
    <w:rsid w:val="00605216"/>
    <w:rsid w:val="00605466"/>
    <w:rsid w:val="006055E1"/>
    <w:rsid w:val="006057EC"/>
    <w:rsid w:val="0060587C"/>
    <w:rsid w:val="00605ACA"/>
    <w:rsid w:val="00605BB2"/>
    <w:rsid w:val="00605BC4"/>
    <w:rsid w:val="00606095"/>
    <w:rsid w:val="00606272"/>
    <w:rsid w:val="00606705"/>
    <w:rsid w:val="00606A28"/>
    <w:rsid w:val="00606A8D"/>
    <w:rsid w:val="00606AAB"/>
    <w:rsid w:val="00606C47"/>
    <w:rsid w:val="00606C83"/>
    <w:rsid w:val="00606CB4"/>
    <w:rsid w:val="0060733C"/>
    <w:rsid w:val="006074C6"/>
    <w:rsid w:val="006075EE"/>
    <w:rsid w:val="00607839"/>
    <w:rsid w:val="00607872"/>
    <w:rsid w:val="00607961"/>
    <w:rsid w:val="00607963"/>
    <w:rsid w:val="006079E4"/>
    <w:rsid w:val="00607B84"/>
    <w:rsid w:val="00610203"/>
    <w:rsid w:val="0061022E"/>
    <w:rsid w:val="006102FA"/>
    <w:rsid w:val="006104BD"/>
    <w:rsid w:val="006104DE"/>
    <w:rsid w:val="00610553"/>
    <w:rsid w:val="006105A0"/>
    <w:rsid w:val="00610605"/>
    <w:rsid w:val="006107A1"/>
    <w:rsid w:val="00610975"/>
    <w:rsid w:val="00610BCB"/>
    <w:rsid w:val="00610C7D"/>
    <w:rsid w:val="00610CDC"/>
    <w:rsid w:val="00610CE0"/>
    <w:rsid w:val="00610D43"/>
    <w:rsid w:val="00610DBF"/>
    <w:rsid w:val="00610F39"/>
    <w:rsid w:val="00611046"/>
    <w:rsid w:val="006110A6"/>
    <w:rsid w:val="0061127E"/>
    <w:rsid w:val="006113E5"/>
    <w:rsid w:val="0061150B"/>
    <w:rsid w:val="00611613"/>
    <w:rsid w:val="00611631"/>
    <w:rsid w:val="00611882"/>
    <w:rsid w:val="00611917"/>
    <w:rsid w:val="00611B0F"/>
    <w:rsid w:val="00611CA7"/>
    <w:rsid w:val="00611E51"/>
    <w:rsid w:val="00611F3D"/>
    <w:rsid w:val="00612338"/>
    <w:rsid w:val="0061248F"/>
    <w:rsid w:val="0061263C"/>
    <w:rsid w:val="00612AA5"/>
    <w:rsid w:val="00612F12"/>
    <w:rsid w:val="00612F16"/>
    <w:rsid w:val="0061306D"/>
    <w:rsid w:val="00613091"/>
    <w:rsid w:val="006131DF"/>
    <w:rsid w:val="0061322E"/>
    <w:rsid w:val="0061343E"/>
    <w:rsid w:val="00613525"/>
    <w:rsid w:val="00613606"/>
    <w:rsid w:val="006138AF"/>
    <w:rsid w:val="00613C2D"/>
    <w:rsid w:val="00613EAD"/>
    <w:rsid w:val="00614035"/>
    <w:rsid w:val="006142A9"/>
    <w:rsid w:val="00614467"/>
    <w:rsid w:val="006147A4"/>
    <w:rsid w:val="0061480B"/>
    <w:rsid w:val="00614865"/>
    <w:rsid w:val="006148F5"/>
    <w:rsid w:val="006151CA"/>
    <w:rsid w:val="006152A7"/>
    <w:rsid w:val="00615608"/>
    <w:rsid w:val="006156B9"/>
    <w:rsid w:val="00615805"/>
    <w:rsid w:val="00615C7B"/>
    <w:rsid w:val="00615E49"/>
    <w:rsid w:val="0061610E"/>
    <w:rsid w:val="00616274"/>
    <w:rsid w:val="00616561"/>
    <w:rsid w:val="006168F3"/>
    <w:rsid w:val="00616A57"/>
    <w:rsid w:val="00616A97"/>
    <w:rsid w:val="00617179"/>
    <w:rsid w:val="00617252"/>
    <w:rsid w:val="00617313"/>
    <w:rsid w:val="0061737C"/>
    <w:rsid w:val="00617453"/>
    <w:rsid w:val="0061749F"/>
    <w:rsid w:val="006177B8"/>
    <w:rsid w:val="00617807"/>
    <w:rsid w:val="0061794C"/>
    <w:rsid w:val="00620028"/>
    <w:rsid w:val="00620227"/>
    <w:rsid w:val="00620317"/>
    <w:rsid w:val="00620612"/>
    <w:rsid w:val="00620736"/>
    <w:rsid w:val="00620A68"/>
    <w:rsid w:val="00620E13"/>
    <w:rsid w:val="00620E21"/>
    <w:rsid w:val="00620E32"/>
    <w:rsid w:val="00621256"/>
    <w:rsid w:val="0062144E"/>
    <w:rsid w:val="00621607"/>
    <w:rsid w:val="00621877"/>
    <w:rsid w:val="006218EA"/>
    <w:rsid w:val="00621936"/>
    <w:rsid w:val="00621998"/>
    <w:rsid w:val="00622236"/>
    <w:rsid w:val="00622267"/>
    <w:rsid w:val="00622426"/>
    <w:rsid w:val="00622469"/>
    <w:rsid w:val="0062260E"/>
    <w:rsid w:val="0062284F"/>
    <w:rsid w:val="00622B39"/>
    <w:rsid w:val="00622B99"/>
    <w:rsid w:val="00622BAB"/>
    <w:rsid w:val="00622CD3"/>
    <w:rsid w:val="00622E0D"/>
    <w:rsid w:val="00622F07"/>
    <w:rsid w:val="00623112"/>
    <w:rsid w:val="0062324D"/>
    <w:rsid w:val="006233BB"/>
    <w:rsid w:val="00623605"/>
    <w:rsid w:val="00623761"/>
    <w:rsid w:val="006237C0"/>
    <w:rsid w:val="0062385C"/>
    <w:rsid w:val="00623931"/>
    <w:rsid w:val="00623BA9"/>
    <w:rsid w:val="00623D5C"/>
    <w:rsid w:val="00624088"/>
    <w:rsid w:val="0062421F"/>
    <w:rsid w:val="0062430E"/>
    <w:rsid w:val="006243B5"/>
    <w:rsid w:val="0062449A"/>
    <w:rsid w:val="006247C0"/>
    <w:rsid w:val="00624852"/>
    <w:rsid w:val="00624D00"/>
    <w:rsid w:val="00624D17"/>
    <w:rsid w:val="00624D88"/>
    <w:rsid w:val="00624E37"/>
    <w:rsid w:val="00625112"/>
    <w:rsid w:val="006252C8"/>
    <w:rsid w:val="0062551D"/>
    <w:rsid w:val="00625710"/>
    <w:rsid w:val="00625B66"/>
    <w:rsid w:val="00625CA4"/>
    <w:rsid w:val="00625D82"/>
    <w:rsid w:val="00625EAD"/>
    <w:rsid w:val="00626039"/>
    <w:rsid w:val="0062616C"/>
    <w:rsid w:val="00626386"/>
    <w:rsid w:val="006264AE"/>
    <w:rsid w:val="00626A70"/>
    <w:rsid w:val="00626C52"/>
    <w:rsid w:val="00626C89"/>
    <w:rsid w:val="00626F17"/>
    <w:rsid w:val="00627236"/>
    <w:rsid w:val="00627366"/>
    <w:rsid w:val="006273C4"/>
    <w:rsid w:val="006275C4"/>
    <w:rsid w:val="00627846"/>
    <w:rsid w:val="0062795B"/>
    <w:rsid w:val="00627A8A"/>
    <w:rsid w:val="00627D8D"/>
    <w:rsid w:val="00627E26"/>
    <w:rsid w:val="006301D3"/>
    <w:rsid w:val="006301D7"/>
    <w:rsid w:val="0063031D"/>
    <w:rsid w:val="0063064F"/>
    <w:rsid w:val="00630744"/>
    <w:rsid w:val="006309FD"/>
    <w:rsid w:val="00630B02"/>
    <w:rsid w:val="00630CB4"/>
    <w:rsid w:val="0063100E"/>
    <w:rsid w:val="00631037"/>
    <w:rsid w:val="006310DE"/>
    <w:rsid w:val="00631187"/>
    <w:rsid w:val="00631238"/>
    <w:rsid w:val="00631753"/>
    <w:rsid w:val="00631922"/>
    <w:rsid w:val="00631AA7"/>
    <w:rsid w:val="00631AE6"/>
    <w:rsid w:val="00631DA4"/>
    <w:rsid w:val="00631E68"/>
    <w:rsid w:val="00631F1F"/>
    <w:rsid w:val="00631F2E"/>
    <w:rsid w:val="00632101"/>
    <w:rsid w:val="0063214C"/>
    <w:rsid w:val="006322AF"/>
    <w:rsid w:val="006323BB"/>
    <w:rsid w:val="006324FB"/>
    <w:rsid w:val="006326B1"/>
    <w:rsid w:val="006328A6"/>
    <w:rsid w:val="00632AF2"/>
    <w:rsid w:val="00632B63"/>
    <w:rsid w:val="00632BE1"/>
    <w:rsid w:val="00632CCD"/>
    <w:rsid w:val="00632E4E"/>
    <w:rsid w:val="00632F08"/>
    <w:rsid w:val="00632FE1"/>
    <w:rsid w:val="00632FFB"/>
    <w:rsid w:val="0063356D"/>
    <w:rsid w:val="00633793"/>
    <w:rsid w:val="00633B2B"/>
    <w:rsid w:val="00633D8B"/>
    <w:rsid w:val="00633F6F"/>
    <w:rsid w:val="00633FE1"/>
    <w:rsid w:val="00634466"/>
    <w:rsid w:val="006345A4"/>
    <w:rsid w:val="00634609"/>
    <w:rsid w:val="00634762"/>
    <w:rsid w:val="006348B1"/>
    <w:rsid w:val="00634A34"/>
    <w:rsid w:val="00634CE4"/>
    <w:rsid w:val="00634D2F"/>
    <w:rsid w:val="00634E15"/>
    <w:rsid w:val="00634EA0"/>
    <w:rsid w:val="00634ED1"/>
    <w:rsid w:val="00634F04"/>
    <w:rsid w:val="00634F60"/>
    <w:rsid w:val="00634FD5"/>
    <w:rsid w:val="00634FDC"/>
    <w:rsid w:val="0063501A"/>
    <w:rsid w:val="0063514E"/>
    <w:rsid w:val="00635601"/>
    <w:rsid w:val="00635B2F"/>
    <w:rsid w:val="00635BC6"/>
    <w:rsid w:val="006363BB"/>
    <w:rsid w:val="00636806"/>
    <w:rsid w:val="00636921"/>
    <w:rsid w:val="00636AFC"/>
    <w:rsid w:val="00636C43"/>
    <w:rsid w:val="00636E6E"/>
    <w:rsid w:val="00636ECE"/>
    <w:rsid w:val="0063738C"/>
    <w:rsid w:val="00637531"/>
    <w:rsid w:val="006375A0"/>
    <w:rsid w:val="0063764C"/>
    <w:rsid w:val="0063788C"/>
    <w:rsid w:val="00637971"/>
    <w:rsid w:val="00637D5A"/>
    <w:rsid w:val="00637DE0"/>
    <w:rsid w:val="0064017B"/>
    <w:rsid w:val="006402FA"/>
    <w:rsid w:val="0064051B"/>
    <w:rsid w:val="00640B04"/>
    <w:rsid w:val="00640B71"/>
    <w:rsid w:val="00640CC0"/>
    <w:rsid w:val="00640EA3"/>
    <w:rsid w:val="0064113A"/>
    <w:rsid w:val="0064124D"/>
    <w:rsid w:val="00641472"/>
    <w:rsid w:val="006418C0"/>
    <w:rsid w:val="00641D47"/>
    <w:rsid w:val="00641E1A"/>
    <w:rsid w:val="00641E26"/>
    <w:rsid w:val="00641EF9"/>
    <w:rsid w:val="006421DC"/>
    <w:rsid w:val="00642350"/>
    <w:rsid w:val="00642664"/>
    <w:rsid w:val="00642776"/>
    <w:rsid w:val="006427B2"/>
    <w:rsid w:val="00642C37"/>
    <w:rsid w:val="00643182"/>
    <w:rsid w:val="00643422"/>
    <w:rsid w:val="006435ED"/>
    <w:rsid w:val="00643AB6"/>
    <w:rsid w:val="00643B90"/>
    <w:rsid w:val="00643C08"/>
    <w:rsid w:val="00643EE6"/>
    <w:rsid w:val="00644035"/>
    <w:rsid w:val="0064406F"/>
    <w:rsid w:val="00644191"/>
    <w:rsid w:val="006441B9"/>
    <w:rsid w:val="006441BB"/>
    <w:rsid w:val="00644264"/>
    <w:rsid w:val="0064446C"/>
    <w:rsid w:val="006444D8"/>
    <w:rsid w:val="00644571"/>
    <w:rsid w:val="0064464E"/>
    <w:rsid w:val="00644865"/>
    <w:rsid w:val="00644869"/>
    <w:rsid w:val="00644C5E"/>
    <w:rsid w:val="0064509E"/>
    <w:rsid w:val="00645340"/>
    <w:rsid w:val="00645351"/>
    <w:rsid w:val="00645452"/>
    <w:rsid w:val="006457E2"/>
    <w:rsid w:val="0064590D"/>
    <w:rsid w:val="00645944"/>
    <w:rsid w:val="006459BE"/>
    <w:rsid w:val="00645EB9"/>
    <w:rsid w:val="00646011"/>
    <w:rsid w:val="006462C2"/>
    <w:rsid w:val="00646519"/>
    <w:rsid w:val="0064672A"/>
    <w:rsid w:val="00646772"/>
    <w:rsid w:val="006469EB"/>
    <w:rsid w:val="00646A76"/>
    <w:rsid w:val="00646CBC"/>
    <w:rsid w:val="00646D2A"/>
    <w:rsid w:val="00646D9F"/>
    <w:rsid w:val="00646FA6"/>
    <w:rsid w:val="00646FF4"/>
    <w:rsid w:val="006472BA"/>
    <w:rsid w:val="006473FD"/>
    <w:rsid w:val="00647794"/>
    <w:rsid w:val="006477C5"/>
    <w:rsid w:val="00647A7B"/>
    <w:rsid w:val="00647B72"/>
    <w:rsid w:val="00647CF2"/>
    <w:rsid w:val="00647D89"/>
    <w:rsid w:val="00647DA3"/>
    <w:rsid w:val="00647E44"/>
    <w:rsid w:val="00647F6C"/>
    <w:rsid w:val="00647F6F"/>
    <w:rsid w:val="00650065"/>
    <w:rsid w:val="00650073"/>
    <w:rsid w:val="0065026D"/>
    <w:rsid w:val="006502E2"/>
    <w:rsid w:val="0065042A"/>
    <w:rsid w:val="0065098D"/>
    <w:rsid w:val="00650AB4"/>
    <w:rsid w:val="00650BA9"/>
    <w:rsid w:val="00650C5E"/>
    <w:rsid w:val="006510F0"/>
    <w:rsid w:val="00651540"/>
    <w:rsid w:val="00651598"/>
    <w:rsid w:val="00651657"/>
    <w:rsid w:val="006516AA"/>
    <w:rsid w:val="00651FB4"/>
    <w:rsid w:val="00652382"/>
    <w:rsid w:val="006523DD"/>
    <w:rsid w:val="00652907"/>
    <w:rsid w:val="006529F0"/>
    <w:rsid w:val="00652A66"/>
    <w:rsid w:val="00652B1B"/>
    <w:rsid w:val="00652B79"/>
    <w:rsid w:val="00652DEC"/>
    <w:rsid w:val="00652F12"/>
    <w:rsid w:val="0065325F"/>
    <w:rsid w:val="0065345D"/>
    <w:rsid w:val="0065345E"/>
    <w:rsid w:val="0065346F"/>
    <w:rsid w:val="0065352B"/>
    <w:rsid w:val="006536E8"/>
    <w:rsid w:val="006537C3"/>
    <w:rsid w:val="00653D8E"/>
    <w:rsid w:val="00653E06"/>
    <w:rsid w:val="00653F21"/>
    <w:rsid w:val="00653F7B"/>
    <w:rsid w:val="006540FE"/>
    <w:rsid w:val="0065438E"/>
    <w:rsid w:val="006545A0"/>
    <w:rsid w:val="0065464E"/>
    <w:rsid w:val="00654680"/>
    <w:rsid w:val="006546A7"/>
    <w:rsid w:val="006547C0"/>
    <w:rsid w:val="006547EF"/>
    <w:rsid w:val="00654839"/>
    <w:rsid w:val="00654897"/>
    <w:rsid w:val="00654B2F"/>
    <w:rsid w:val="00654DC7"/>
    <w:rsid w:val="00654E8C"/>
    <w:rsid w:val="00654FB5"/>
    <w:rsid w:val="006554D3"/>
    <w:rsid w:val="00655584"/>
    <w:rsid w:val="0065572B"/>
    <w:rsid w:val="006559F1"/>
    <w:rsid w:val="00655AB7"/>
    <w:rsid w:val="00655D58"/>
    <w:rsid w:val="00655D67"/>
    <w:rsid w:val="00655EB8"/>
    <w:rsid w:val="00655FDE"/>
    <w:rsid w:val="00656007"/>
    <w:rsid w:val="00656092"/>
    <w:rsid w:val="0065644E"/>
    <w:rsid w:val="00656495"/>
    <w:rsid w:val="00656A2A"/>
    <w:rsid w:val="00656A36"/>
    <w:rsid w:val="00656D12"/>
    <w:rsid w:val="00656DFF"/>
    <w:rsid w:val="00656EE1"/>
    <w:rsid w:val="00656F42"/>
    <w:rsid w:val="00656F85"/>
    <w:rsid w:val="00657039"/>
    <w:rsid w:val="006574CB"/>
    <w:rsid w:val="00657757"/>
    <w:rsid w:val="00657760"/>
    <w:rsid w:val="0065781D"/>
    <w:rsid w:val="00657C03"/>
    <w:rsid w:val="00657C07"/>
    <w:rsid w:val="00657C0C"/>
    <w:rsid w:val="00657D77"/>
    <w:rsid w:val="00657E77"/>
    <w:rsid w:val="00657FC6"/>
    <w:rsid w:val="0066012F"/>
    <w:rsid w:val="006603C2"/>
    <w:rsid w:val="006603FE"/>
    <w:rsid w:val="00660686"/>
    <w:rsid w:val="006607DA"/>
    <w:rsid w:val="006609B9"/>
    <w:rsid w:val="006609DA"/>
    <w:rsid w:val="00660AC6"/>
    <w:rsid w:val="00660CC5"/>
    <w:rsid w:val="00660DE6"/>
    <w:rsid w:val="00660DFB"/>
    <w:rsid w:val="00661063"/>
    <w:rsid w:val="00661268"/>
    <w:rsid w:val="0066176B"/>
    <w:rsid w:val="00661A1B"/>
    <w:rsid w:val="00661C1F"/>
    <w:rsid w:val="0066243C"/>
    <w:rsid w:val="00662486"/>
    <w:rsid w:val="006626A5"/>
    <w:rsid w:val="0066271A"/>
    <w:rsid w:val="006627BE"/>
    <w:rsid w:val="00662967"/>
    <w:rsid w:val="00662C65"/>
    <w:rsid w:val="00662FBE"/>
    <w:rsid w:val="00663187"/>
    <w:rsid w:val="0066366F"/>
    <w:rsid w:val="00663694"/>
    <w:rsid w:val="00663B9A"/>
    <w:rsid w:val="00663C98"/>
    <w:rsid w:val="00663F7C"/>
    <w:rsid w:val="00664243"/>
    <w:rsid w:val="006643E3"/>
    <w:rsid w:val="006643F6"/>
    <w:rsid w:val="00664840"/>
    <w:rsid w:val="00664A5D"/>
    <w:rsid w:val="00664C97"/>
    <w:rsid w:val="00664D6B"/>
    <w:rsid w:val="00664F7F"/>
    <w:rsid w:val="00664F8D"/>
    <w:rsid w:val="00665496"/>
    <w:rsid w:val="006655F9"/>
    <w:rsid w:val="006656A6"/>
    <w:rsid w:val="006656CF"/>
    <w:rsid w:val="0066582C"/>
    <w:rsid w:val="00665986"/>
    <w:rsid w:val="00665A1B"/>
    <w:rsid w:val="00665A6E"/>
    <w:rsid w:val="00665CC9"/>
    <w:rsid w:val="00665CD6"/>
    <w:rsid w:val="00665EBB"/>
    <w:rsid w:val="00665EEC"/>
    <w:rsid w:val="00665FBD"/>
    <w:rsid w:val="0066629E"/>
    <w:rsid w:val="00666317"/>
    <w:rsid w:val="00666589"/>
    <w:rsid w:val="0066679C"/>
    <w:rsid w:val="00666ADA"/>
    <w:rsid w:val="00666C34"/>
    <w:rsid w:val="00666D87"/>
    <w:rsid w:val="00666E50"/>
    <w:rsid w:val="00666EA1"/>
    <w:rsid w:val="00666F06"/>
    <w:rsid w:val="006670B3"/>
    <w:rsid w:val="006670F2"/>
    <w:rsid w:val="006670F8"/>
    <w:rsid w:val="006673BB"/>
    <w:rsid w:val="006674A3"/>
    <w:rsid w:val="006675E2"/>
    <w:rsid w:val="006676CB"/>
    <w:rsid w:val="006676DE"/>
    <w:rsid w:val="00667B2D"/>
    <w:rsid w:val="00667E04"/>
    <w:rsid w:val="00667E8D"/>
    <w:rsid w:val="0067007E"/>
    <w:rsid w:val="006700E2"/>
    <w:rsid w:val="0067028F"/>
    <w:rsid w:val="00670366"/>
    <w:rsid w:val="00670541"/>
    <w:rsid w:val="006705C1"/>
    <w:rsid w:val="00670690"/>
    <w:rsid w:val="006707A1"/>
    <w:rsid w:val="006707BF"/>
    <w:rsid w:val="006708A1"/>
    <w:rsid w:val="00670B35"/>
    <w:rsid w:val="00670B3A"/>
    <w:rsid w:val="00670D06"/>
    <w:rsid w:val="00670FA6"/>
    <w:rsid w:val="00670FD3"/>
    <w:rsid w:val="00671105"/>
    <w:rsid w:val="00671384"/>
    <w:rsid w:val="00671399"/>
    <w:rsid w:val="00671940"/>
    <w:rsid w:val="00671EF6"/>
    <w:rsid w:val="00671F30"/>
    <w:rsid w:val="006721D9"/>
    <w:rsid w:val="00672213"/>
    <w:rsid w:val="00672493"/>
    <w:rsid w:val="006724B2"/>
    <w:rsid w:val="006726E3"/>
    <w:rsid w:val="00672835"/>
    <w:rsid w:val="00672844"/>
    <w:rsid w:val="00672BAC"/>
    <w:rsid w:val="00672C4B"/>
    <w:rsid w:val="00672D5E"/>
    <w:rsid w:val="0067304F"/>
    <w:rsid w:val="0067329F"/>
    <w:rsid w:val="00673509"/>
    <w:rsid w:val="00673607"/>
    <w:rsid w:val="006736DC"/>
    <w:rsid w:val="006737D1"/>
    <w:rsid w:val="006737F8"/>
    <w:rsid w:val="00673B3F"/>
    <w:rsid w:val="00673CEE"/>
    <w:rsid w:val="00673D30"/>
    <w:rsid w:val="00673FB8"/>
    <w:rsid w:val="0067415F"/>
    <w:rsid w:val="00674A1F"/>
    <w:rsid w:val="00674C2A"/>
    <w:rsid w:val="00674D3B"/>
    <w:rsid w:val="00674FB2"/>
    <w:rsid w:val="00675380"/>
    <w:rsid w:val="006753EF"/>
    <w:rsid w:val="006754FA"/>
    <w:rsid w:val="00675556"/>
    <w:rsid w:val="00675628"/>
    <w:rsid w:val="0067565B"/>
    <w:rsid w:val="006756A1"/>
    <w:rsid w:val="00675A43"/>
    <w:rsid w:val="00675D46"/>
    <w:rsid w:val="00675E22"/>
    <w:rsid w:val="00675F1F"/>
    <w:rsid w:val="00675F42"/>
    <w:rsid w:val="00676004"/>
    <w:rsid w:val="0067605E"/>
    <w:rsid w:val="006760DD"/>
    <w:rsid w:val="00676261"/>
    <w:rsid w:val="00676390"/>
    <w:rsid w:val="006766CF"/>
    <w:rsid w:val="00676CB3"/>
    <w:rsid w:val="00676D0C"/>
    <w:rsid w:val="00676DDF"/>
    <w:rsid w:val="00676E4F"/>
    <w:rsid w:val="00676EBA"/>
    <w:rsid w:val="00676FAB"/>
    <w:rsid w:val="006774A2"/>
    <w:rsid w:val="0067759C"/>
    <w:rsid w:val="0067759F"/>
    <w:rsid w:val="006775B2"/>
    <w:rsid w:val="006776AB"/>
    <w:rsid w:val="00677A35"/>
    <w:rsid w:val="00677C1B"/>
    <w:rsid w:val="00677CB9"/>
    <w:rsid w:val="00677DB5"/>
    <w:rsid w:val="00677E21"/>
    <w:rsid w:val="00680549"/>
    <w:rsid w:val="00680DF2"/>
    <w:rsid w:val="006810FF"/>
    <w:rsid w:val="006811F0"/>
    <w:rsid w:val="006811F6"/>
    <w:rsid w:val="00681297"/>
    <w:rsid w:val="0068135E"/>
    <w:rsid w:val="0068148B"/>
    <w:rsid w:val="0068160B"/>
    <w:rsid w:val="00681778"/>
    <w:rsid w:val="006817CD"/>
    <w:rsid w:val="006817F0"/>
    <w:rsid w:val="00681909"/>
    <w:rsid w:val="00681D80"/>
    <w:rsid w:val="00681D91"/>
    <w:rsid w:val="00681E85"/>
    <w:rsid w:val="00682272"/>
    <w:rsid w:val="006824F7"/>
    <w:rsid w:val="00682707"/>
    <w:rsid w:val="006827A5"/>
    <w:rsid w:val="006829A8"/>
    <w:rsid w:val="00682A3D"/>
    <w:rsid w:val="00682A8F"/>
    <w:rsid w:val="00682A91"/>
    <w:rsid w:val="00682B11"/>
    <w:rsid w:val="00682B16"/>
    <w:rsid w:val="00682F68"/>
    <w:rsid w:val="00683127"/>
    <w:rsid w:val="0068344D"/>
    <w:rsid w:val="0068347C"/>
    <w:rsid w:val="00683586"/>
    <w:rsid w:val="00683C9A"/>
    <w:rsid w:val="00683CA1"/>
    <w:rsid w:val="006840BA"/>
    <w:rsid w:val="006841CA"/>
    <w:rsid w:val="00684286"/>
    <w:rsid w:val="006843DC"/>
    <w:rsid w:val="006845CA"/>
    <w:rsid w:val="00684715"/>
    <w:rsid w:val="0068497F"/>
    <w:rsid w:val="00684A8E"/>
    <w:rsid w:val="00684BE3"/>
    <w:rsid w:val="00684D86"/>
    <w:rsid w:val="00684FE8"/>
    <w:rsid w:val="0068501D"/>
    <w:rsid w:val="00685057"/>
    <w:rsid w:val="00685231"/>
    <w:rsid w:val="00685441"/>
    <w:rsid w:val="00685463"/>
    <w:rsid w:val="00685843"/>
    <w:rsid w:val="00685924"/>
    <w:rsid w:val="00685C45"/>
    <w:rsid w:val="00685E13"/>
    <w:rsid w:val="00685FDC"/>
    <w:rsid w:val="00686225"/>
    <w:rsid w:val="006863AE"/>
    <w:rsid w:val="006863F6"/>
    <w:rsid w:val="00686402"/>
    <w:rsid w:val="00686442"/>
    <w:rsid w:val="00686496"/>
    <w:rsid w:val="00686517"/>
    <w:rsid w:val="0068668E"/>
    <w:rsid w:val="00686725"/>
    <w:rsid w:val="00686AC6"/>
    <w:rsid w:val="00686CB9"/>
    <w:rsid w:val="00686E05"/>
    <w:rsid w:val="00686E5F"/>
    <w:rsid w:val="00686F36"/>
    <w:rsid w:val="006870B9"/>
    <w:rsid w:val="0068721F"/>
    <w:rsid w:val="006872AA"/>
    <w:rsid w:val="006872AC"/>
    <w:rsid w:val="00687462"/>
    <w:rsid w:val="00687987"/>
    <w:rsid w:val="00687ADC"/>
    <w:rsid w:val="00687B38"/>
    <w:rsid w:val="00687D5D"/>
    <w:rsid w:val="00687E91"/>
    <w:rsid w:val="00687F0F"/>
    <w:rsid w:val="00687FC8"/>
    <w:rsid w:val="0069008C"/>
    <w:rsid w:val="006900E9"/>
    <w:rsid w:val="0069014F"/>
    <w:rsid w:val="00690161"/>
    <w:rsid w:val="00690438"/>
    <w:rsid w:val="006908EF"/>
    <w:rsid w:val="0069099C"/>
    <w:rsid w:val="00690A1B"/>
    <w:rsid w:val="00690A45"/>
    <w:rsid w:val="00690CBC"/>
    <w:rsid w:val="006913B8"/>
    <w:rsid w:val="00691541"/>
    <w:rsid w:val="00691582"/>
    <w:rsid w:val="00691666"/>
    <w:rsid w:val="00691924"/>
    <w:rsid w:val="006919CF"/>
    <w:rsid w:val="00691BAF"/>
    <w:rsid w:val="00691D81"/>
    <w:rsid w:val="00691DAA"/>
    <w:rsid w:val="00691DEF"/>
    <w:rsid w:val="00691E79"/>
    <w:rsid w:val="00691F19"/>
    <w:rsid w:val="0069208B"/>
    <w:rsid w:val="0069209E"/>
    <w:rsid w:val="00692517"/>
    <w:rsid w:val="006926BF"/>
    <w:rsid w:val="00692BC6"/>
    <w:rsid w:val="00692EF3"/>
    <w:rsid w:val="0069306C"/>
    <w:rsid w:val="006932F8"/>
    <w:rsid w:val="00693371"/>
    <w:rsid w:val="00693579"/>
    <w:rsid w:val="006936B9"/>
    <w:rsid w:val="006937EC"/>
    <w:rsid w:val="0069391A"/>
    <w:rsid w:val="00694202"/>
    <w:rsid w:val="0069436E"/>
    <w:rsid w:val="0069448B"/>
    <w:rsid w:val="0069458C"/>
    <w:rsid w:val="006945D6"/>
    <w:rsid w:val="006948D6"/>
    <w:rsid w:val="00694E9A"/>
    <w:rsid w:val="0069511A"/>
    <w:rsid w:val="00695153"/>
    <w:rsid w:val="00695183"/>
    <w:rsid w:val="006951C1"/>
    <w:rsid w:val="006951E7"/>
    <w:rsid w:val="006954B6"/>
    <w:rsid w:val="006954FB"/>
    <w:rsid w:val="00695852"/>
    <w:rsid w:val="00695895"/>
    <w:rsid w:val="00695984"/>
    <w:rsid w:val="00695D31"/>
    <w:rsid w:val="00695D78"/>
    <w:rsid w:val="00695DE7"/>
    <w:rsid w:val="00695E64"/>
    <w:rsid w:val="00695EC4"/>
    <w:rsid w:val="00696073"/>
    <w:rsid w:val="00696112"/>
    <w:rsid w:val="006964CE"/>
    <w:rsid w:val="00696575"/>
    <w:rsid w:val="00696851"/>
    <w:rsid w:val="006968CB"/>
    <w:rsid w:val="00696DD2"/>
    <w:rsid w:val="00696F3A"/>
    <w:rsid w:val="00696FDB"/>
    <w:rsid w:val="0069707A"/>
    <w:rsid w:val="00697097"/>
    <w:rsid w:val="006970A1"/>
    <w:rsid w:val="00697106"/>
    <w:rsid w:val="006973FB"/>
    <w:rsid w:val="0069782E"/>
    <w:rsid w:val="006979EC"/>
    <w:rsid w:val="00697B8A"/>
    <w:rsid w:val="006A0531"/>
    <w:rsid w:val="006A0573"/>
    <w:rsid w:val="006A063C"/>
    <w:rsid w:val="006A0970"/>
    <w:rsid w:val="006A0BD6"/>
    <w:rsid w:val="006A11D6"/>
    <w:rsid w:val="006A1225"/>
    <w:rsid w:val="006A12E0"/>
    <w:rsid w:val="006A12F3"/>
    <w:rsid w:val="006A1318"/>
    <w:rsid w:val="006A13F1"/>
    <w:rsid w:val="006A1540"/>
    <w:rsid w:val="006A15E1"/>
    <w:rsid w:val="006A173D"/>
    <w:rsid w:val="006A180E"/>
    <w:rsid w:val="006A19EA"/>
    <w:rsid w:val="006A19FD"/>
    <w:rsid w:val="006A1B38"/>
    <w:rsid w:val="006A1B77"/>
    <w:rsid w:val="006A1D1F"/>
    <w:rsid w:val="006A1D56"/>
    <w:rsid w:val="006A2146"/>
    <w:rsid w:val="006A2207"/>
    <w:rsid w:val="006A23E4"/>
    <w:rsid w:val="006A2AE2"/>
    <w:rsid w:val="006A2B0D"/>
    <w:rsid w:val="006A2C60"/>
    <w:rsid w:val="006A2D71"/>
    <w:rsid w:val="006A2DE9"/>
    <w:rsid w:val="006A2F1B"/>
    <w:rsid w:val="006A3174"/>
    <w:rsid w:val="006A34E1"/>
    <w:rsid w:val="006A389E"/>
    <w:rsid w:val="006A39F1"/>
    <w:rsid w:val="006A3AA7"/>
    <w:rsid w:val="006A3E0B"/>
    <w:rsid w:val="006A3FB4"/>
    <w:rsid w:val="006A3FE7"/>
    <w:rsid w:val="006A4228"/>
    <w:rsid w:val="006A434F"/>
    <w:rsid w:val="006A4498"/>
    <w:rsid w:val="006A454A"/>
    <w:rsid w:val="006A47D7"/>
    <w:rsid w:val="006A48F5"/>
    <w:rsid w:val="006A4924"/>
    <w:rsid w:val="006A4A85"/>
    <w:rsid w:val="006A4A96"/>
    <w:rsid w:val="006A4B81"/>
    <w:rsid w:val="006A4B9A"/>
    <w:rsid w:val="006A4C73"/>
    <w:rsid w:val="006A4D28"/>
    <w:rsid w:val="006A4DAA"/>
    <w:rsid w:val="006A4E60"/>
    <w:rsid w:val="006A4EC3"/>
    <w:rsid w:val="006A509A"/>
    <w:rsid w:val="006A52A8"/>
    <w:rsid w:val="006A5363"/>
    <w:rsid w:val="006A53A1"/>
    <w:rsid w:val="006A54D9"/>
    <w:rsid w:val="006A5AA7"/>
    <w:rsid w:val="006A5C01"/>
    <w:rsid w:val="006A60D1"/>
    <w:rsid w:val="006A6112"/>
    <w:rsid w:val="006A62C9"/>
    <w:rsid w:val="006A64B1"/>
    <w:rsid w:val="006A6767"/>
    <w:rsid w:val="006A67D2"/>
    <w:rsid w:val="006A697C"/>
    <w:rsid w:val="006A6B33"/>
    <w:rsid w:val="006A6D00"/>
    <w:rsid w:val="006A7156"/>
    <w:rsid w:val="006A7372"/>
    <w:rsid w:val="006A7515"/>
    <w:rsid w:val="006A75A6"/>
    <w:rsid w:val="006A75E4"/>
    <w:rsid w:val="006A77BE"/>
    <w:rsid w:val="006A7826"/>
    <w:rsid w:val="006A7CDB"/>
    <w:rsid w:val="006A7FF5"/>
    <w:rsid w:val="006A7FF6"/>
    <w:rsid w:val="006B01FA"/>
    <w:rsid w:val="006B02E3"/>
    <w:rsid w:val="006B031F"/>
    <w:rsid w:val="006B05BC"/>
    <w:rsid w:val="006B0859"/>
    <w:rsid w:val="006B089E"/>
    <w:rsid w:val="006B0A6B"/>
    <w:rsid w:val="006B0AF7"/>
    <w:rsid w:val="006B0B01"/>
    <w:rsid w:val="006B0CE6"/>
    <w:rsid w:val="006B0DFB"/>
    <w:rsid w:val="006B0FFB"/>
    <w:rsid w:val="006B1128"/>
    <w:rsid w:val="006B1618"/>
    <w:rsid w:val="006B16A6"/>
    <w:rsid w:val="006B173F"/>
    <w:rsid w:val="006B179B"/>
    <w:rsid w:val="006B17AB"/>
    <w:rsid w:val="006B18E5"/>
    <w:rsid w:val="006B1A01"/>
    <w:rsid w:val="006B1B36"/>
    <w:rsid w:val="006B1C63"/>
    <w:rsid w:val="006B1C70"/>
    <w:rsid w:val="006B1E71"/>
    <w:rsid w:val="006B200D"/>
    <w:rsid w:val="006B2077"/>
    <w:rsid w:val="006B212B"/>
    <w:rsid w:val="006B225F"/>
    <w:rsid w:val="006B2432"/>
    <w:rsid w:val="006B250A"/>
    <w:rsid w:val="006B2553"/>
    <w:rsid w:val="006B25DF"/>
    <w:rsid w:val="006B2625"/>
    <w:rsid w:val="006B2845"/>
    <w:rsid w:val="006B28FB"/>
    <w:rsid w:val="006B2930"/>
    <w:rsid w:val="006B2958"/>
    <w:rsid w:val="006B2AE0"/>
    <w:rsid w:val="006B2AEB"/>
    <w:rsid w:val="006B2DDE"/>
    <w:rsid w:val="006B2E5C"/>
    <w:rsid w:val="006B2E95"/>
    <w:rsid w:val="006B2EC8"/>
    <w:rsid w:val="006B302E"/>
    <w:rsid w:val="006B30C0"/>
    <w:rsid w:val="006B3237"/>
    <w:rsid w:val="006B32CF"/>
    <w:rsid w:val="006B32ED"/>
    <w:rsid w:val="006B330A"/>
    <w:rsid w:val="006B343C"/>
    <w:rsid w:val="006B3644"/>
    <w:rsid w:val="006B3BA0"/>
    <w:rsid w:val="006B3DC9"/>
    <w:rsid w:val="006B3E37"/>
    <w:rsid w:val="006B3E4D"/>
    <w:rsid w:val="006B3EAB"/>
    <w:rsid w:val="006B3EC1"/>
    <w:rsid w:val="006B4061"/>
    <w:rsid w:val="006B436F"/>
    <w:rsid w:val="006B45FE"/>
    <w:rsid w:val="006B479D"/>
    <w:rsid w:val="006B4891"/>
    <w:rsid w:val="006B4BED"/>
    <w:rsid w:val="006B4DE8"/>
    <w:rsid w:val="006B4DF9"/>
    <w:rsid w:val="006B4E64"/>
    <w:rsid w:val="006B5367"/>
    <w:rsid w:val="006B5459"/>
    <w:rsid w:val="006B55FD"/>
    <w:rsid w:val="006B566E"/>
    <w:rsid w:val="006B5748"/>
    <w:rsid w:val="006B583A"/>
    <w:rsid w:val="006B583B"/>
    <w:rsid w:val="006B594C"/>
    <w:rsid w:val="006B5C90"/>
    <w:rsid w:val="006B6225"/>
    <w:rsid w:val="006B63B3"/>
    <w:rsid w:val="006B641D"/>
    <w:rsid w:val="006B652A"/>
    <w:rsid w:val="006B6653"/>
    <w:rsid w:val="006B66E7"/>
    <w:rsid w:val="006B6782"/>
    <w:rsid w:val="006B6BA3"/>
    <w:rsid w:val="006B6D38"/>
    <w:rsid w:val="006B6D80"/>
    <w:rsid w:val="006B6E66"/>
    <w:rsid w:val="006B6EEF"/>
    <w:rsid w:val="006B6F4E"/>
    <w:rsid w:val="006B6F89"/>
    <w:rsid w:val="006B735D"/>
    <w:rsid w:val="006B7498"/>
    <w:rsid w:val="006B74AF"/>
    <w:rsid w:val="006B7510"/>
    <w:rsid w:val="006B7703"/>
    <w:rsid w:val="006B770A"/>
    <w:rsid w:val="006B77F6"/>
    <w:rsid w:val="006B7B8F"/>
    <w:rsid w:val="006B7C8B"/>
    <w:rsid w:val="006B7FD6"/>
    <w:rsid w:val="006C003C"/>
    <w:rsid w:val="006C005C"/>
    <w:rsid w:val="006C06CD"/>
    <w:rsid w:val="006C07ED"/>
    <w:rsid w:val="006C09A4"/>
    <w:rsid w:val="006C0DCA"/>
    <w:rsid w:val="006C1240"/>
    <w:rsid w:val="006C1E2E"/>
    <w:rsid w:val="006C1E34"/>
    <w:rsid w:val="006C1EDC"/>
    <w:rsid w:val="006C2154"/>
    <w:rsid w:val="006C2364"/>
    <w:rsid w:val="006C23F5"/>
    <w:rsid w:val="006C291E"/>
    <w:rsid w:val="006C2938"/>
    <w:rsid w:val="006C2B77"/>
    <w:rsid w:val="006C2C63"/>
    <w:rsid w:val="006C2ECC"/>
    <w:rsid w:val="006C300E"/>
    <w:rsid w:val="006C3235"/>
    <w:rsid w:val="006C3304"/>
    <w:rsid w:val="006C3389"/>
    <w:rsid w:val="006C338F"/>
    <w:rsid w:val="006C3428"/>
    <w:rsid w:val="006C35C2"/>
    <w:rsid w:val="006C3641"/>
    <w:rsid w:val="006C3775"/>
    <w:rsid w:val="006C37BC"/>
    <w:rsid w:val="006C3818"/>
    <w:rsid w:val="006C3877"/>
    <w:rsid w:val="006C399D"/>
    <w:rsid w:val="006C3AD1"/>
    <w:rsid w:val="006C3DB6"/>
    <w:rsid w:val="006C3DB9"/>
    <w:rsid w:val="006C41F6"/>
    <w:rsid w:val="006C43A1"/>
    <w:rsid w:val="006C4400"/>
    <w:rsid w:val="006C4568"/>
    <w:rsid w:val="006C4665"/>
    <w:rsid w:val="006C470D"/>
    <w:rsid w:val="006C48C3"/>
    <w:rsid w:val="006C4A00"/>
    <w:rsid w:val="006C4B4F"/>
    <w:rsid w:val="006C4CB3"/>
    <w:rsid w:val="006C5644"/>
    <w:rsid w:val="006C5848"/>
    <w:rsid w:val="006C594B"/>
    <w:rsid w:val="006C5B93"/>
    <w:rsid w:val="006C6185"/>
    <w:rsid w:val="006C627A"/>
    <w:rsid w:val="006C62BD"/>
    <w:rsid w:val="006C63BB"/>
    <w:rsid w:val="006C66B6"/>
    <w:rsid w:val="006C67F3"/>
    <w:rsid w:val="006C68EF"/>
    <w:rsid w:val="006C68F8"/>
    <w:rsid w:val="006C69A3"/>
    <w:rsid w:val="006C69A5"/>
    <w:rsid w:val="006C6FE8"/>
    <w:rsid w:val="006C7458"/>
    <w:rsid w:val="006C7593"/>
    <w:rsid w:val="006C75B3"/>
    <w:rsid w:val="006C7698"/>
    <w:rsid w:val="006C78EC"/>
    <w:rsid w:val="006C7B2B"/>
    <w:rsid w:val="006C7B89"/>
    <w:rsid w:val="006D001A"/>
    <w:rsid w:val="006D008B"/>
    <w:rsid w:val="006D0096"/>
    <w:rsid w:val="006D0232"/>
    <w:rsid w:val="006D0473"/>
    <w:rsid w:val="006D051B"/>
    <w:rsid w:val="006D061B"/>
    <w:rsid w:val="006D069B"/>
    <w:rsid w:val="006D0733"/>
    <w:rsid w:val="006D0768"/>
    <w:rsid w:val="006D0B1F"/>
    <w:rsid w:val="006D0E93"/>
    <w:rsid w:val="006D1684"/>
    <w:rsid w:val="006D18B9"/>
    <w:rsid w:val="006D1972"/>
    <w:rsid w:val="006D1EA3"/>
    <w:rsid w:val="006D2194"/>
    <w:rsid w:val="006D2370"/>
    <w:rsid w:val="006D242A"/>
    <w:rsid w:val="006D262B"/>
    <w:rsid w:val="006D283E"/>
    <w:rsid w:val="006D2A20"/>
    <w:rsid w:val="006D2B49"/>
    <w:rsid w:val="006D2C92"/>
    <w:rsid w:val="006D2D44"/>
    <w:rsid w:val="006D2D58"/>
    <w:rsid w:val="006D2F0F"/>
    <w:rsid w:val="006D2FD3"/>
    <w:rsid w:val="006D3033"/>
    <w:rsid w:val="006D3158"/>
    <w:rsid w:val="006D3271"/>
    <w:rsid w:val="006D3333"/>
    <w:rsid w:val="006D3826"/>
    <w:rsid w:val="006D3A4B"/>
    <w:rsid w:val="006D3BA3"/>
    <w:rsid w:val="006D3BAD"/>
    <w:rsid w:val="006D3C32"/>
    <w:rsid w:val="006D3D2D"/>
    <w:rsid w:val="006D4056"/>
    <w:rsid w:val="006D42F5"/>
    <w:rsid w:val="006D4681"/>
    <w:rsid w:val="006D4831"/>
    <w:rsid w:val="006D4AA5"/>
    <w:rsid w:val="006D4ABE"/>
    <w:rsid w:val="006D4BB0"/>
    <w:rsid w:val="006D4C10"/>
    <w:rsid w:val="006D4C7D"/>
    <w:rsid w:val="006D4F41"/>
    <w:rsid w:val="006D510F"/>
    <w:rsid w:val="006D518A"/>
    <w:rsid w:val="006D52DD"/>
    <w:rsid w:val="006D5434"/>
    <w:rsid w:val="006D54E4"/>
    <w:rsid w:val="006D5977"/>
    <w:rsid w:val="006D598D"/>
    <w:rsid w:val="006D5A98"/>
    <w:rsid w:val="006D5EFF"/>
    <w:rsid w:val="006D6098"/>
    <w:rsid w:val="006D6545"/>
    <w:rsid w:val="006D683D"/>
    <w:rsid w:val="006D693F"/>
    <w:rsid w:val="006D6981"/>
    <w:rsid w:val="006D6C1D"/>
    <w:rsid w:val="006D6E27"/>
    <w:rsid w:val="006D71CD"/>
    <w:rsid w:val="006D73ED"/>
    <w:rsid w:val="006D7469"/>
    <w:rsid w:val="006D75F4"/>
    <w:rsid w:val="006D77AA"/>
    <w:rsid w:val="006D7AB0"/>
    <w:rsid w:val="006D7BB7"/>
    <w:rsid w:val="006D7C6B"/>
    <w:rsid w:val="006D7CA1"/>
    <w:rsid w:val="006D7D4E"/>
    <w:rsid w:val="006E04FB"/>
    <w:rsid w:val="006E0522"/>
    <w:rsid w:val="006E0690"/>
    <w:rsid w:val="006E06B4"/>
    <w:rsid w:val="006E0E42"/>
    <w:rsid w:val="006E110E"/>
    <w:rsid w:val="006E16C9"/>
    <w:rsid w:val="006E2033"/>
    <w:rsid w:val="006E2111"/>
    <w:rsid w:val="006E213D"/>
    <w:rsid w:val="006E21B9"/>
    <w:rsid w:val="006E22B7"/>
    <w:rsid w:val="006E2549"/>
    <w:rsid w:val="006E258C"/>
    <w:rsid w:val="006E274F"/>
    <w:rsid w:val="006E28CE"/>
    <w:rsid w:val="006E314B"/>
    <w:rsid w:val="006E317F"/>
    <w:rsid w:val="006E32B5"/>
    <w:rsid w:val="006E3310"/>
    <w:rsid w:val="006E333C"/>
    <w:rsid w:val="006E3569"/>
    <w:rsid w:val="006E3732"/>
    <w:rsid w:val="006E395B"/>
    <w:rsid w:val="006E3967"/>
    <w:rsid w:val="006E3CDE"/>
    <w:rsid w:val="006E3D17"/>
    <w:rsid w:val="006E3D96"/>
    <w:rsid w:val="006E3EC8"/>
    <w:rsid w:val="006E401A"/>
    <w:rsid w:val="006E41C5"/>
    <w:rsid w:val="006E452D"/>
    <w:rsid w:val="006E486D"/>
    <w:rsid w:val="006E4882"/>
    <w:rsid w:val="006E4958"/>
    <w:rsid w:val="006E4E48"/>
    <w:rsid w:val="006E5559"/>
    <w:rsid w:val="006E585C"/>
    <w:rsid w:val="006E5FC0"/>
    <w:rsid w:val="006E5FF7"/>
    <w:rsid w:val="006E60AB"/>
    <w:rsid w:val="006E61E5"/>
    <w:rsid w:val="006E6329"/>
    <w:rsid w:val="006E633C"/>
    <w:rsid w:val="006E635F"/>
    <w:rsid w:val="006E6620"/>
    <w:rsid w:val="006E68C4"/>
    <w:rsid w:val="006E6916"/>
    <w:rsid w:val="006E6A51"/>
    <w:rsid w:val="006E6ADC"/>
    <w:rsid w:val="006E6E8E"/>
    <w:rsid w:val="006E721A"/>
    <w:rsid w:val="006E7482"/>
    <w:rsid w:val="006E7679"/>
    <w:rsid w:val="006E773C"/>
    <w:rsid w:val="006E77F7"/>
    <w:rsid w:val="006E791C"/>
    <w:rsid w:val="006E79C2"/>
    <w:rsid w:val="006E7A6E"/>
    <w:rsid w:val="006E7CDA"/>
    <w:rsid w:val="006E7DB9"/>
    <w:rsid w:val="006F00E7"/>
    <w:rsid w:val="006F01CF"/>
    <w:rsid w:val="006F021D"/>
    <w:rsid w:val="006F03B7"/>
    <w:rsid w:val="006F05DA"/>
    <w:rsid w:val="006F0868"/>
    <w:rsid w:val="006F08DB"/>
    <w:rsid w:val="006F0C56"/>
    <w:rsid w:val="006F0C58"/>
    <w:rsid w:val="006F0D44"/>
    <w:rsid w:val="006F0EF2"/>
    <w:rsid w:val="006F0FE9"/>
    <w:rsid w:val="006F1075"/>
    <w:rsid w:val="006F1099"/>
    <w:rsid w:val="006F12F2"/>
    <w:rsid w:val="006F1427"/>
    <w:rsid w:val="006F1995"/>
    <w:rsid w:val="006F1A7D"/>
    <w:rsid w:val="006F1D6D"/>
    <w:rsid w:val="006F2119"/>
    <w:rsid w:val="006F212F"/>
    <w:rsid w:val="006F2201"/>
    <w:rsid w:val="006F23A8"/>
    <w:rsid w:val="006F242A"/>
    <w:rsid w:val="006F2C94"/>
    <w:rsid w:val="006F31BE"/>
    <w:rsid w:val="006F325E"/>
    <w:rsid w:val="006F33AF"/>
    <w:rsid w:val="006F33E0"/>
    <w:rsid w:val="006F34BF"/>
    <w:rsid w:val="006F3916"/>
    <w:rsid w:val="006F3A1A"/>
    <w:rsid w:val="006F3ABC"/>
    <w:rsid w:val="006F3ECF"/>
    <w:rsid w:val="006F3FD8"/>
    <w:rsid w:val="006F3FEF"/>
    <w:rsid w:val="006F40C9"/>
    <w:rsid w:val="006F41BE"/>
    <w:rsid w:val="006F46FF"/>
    <w:rsid w:val="006F474D"/>
    <w:rsid w:val="006F49AD"/>
    <w:rsid w:val="006F4B04"/>
    <w:rsid w:val="006F4B16"/>
    <w:rsid w:val="006F4B49"/>
    <w:rsid w:val="006F4CDE"/>
    <w:rsid w:val="006F5096"/>
    <w:rsid w:val="006F50C3"/>
    <w:rsid w:val="006F511E"/>
    <w:rsid w:val="006F512C"/>
    <w:rsid w:val="006F52D5"/>
    <w:rsid w:val="006F539E"/>
    <w:rsid w:val="006F53D5"/>
    <w:rsid w:val="006F5587"/>
    <w:rsid w:val="006F575E"/>
    <w:rsid w:val="006F57E3"/>
    <w:rsid w:val="006F5B62"/>
    <w:rsid w:val="006F5BE0"/>
    <w:rsid w:val="006F5D15"/>
    <w:rsid w:val="006F5D4E"/>
    <w:rsid w:val="006F5EA9"/>
    <w:rsid w:val="006F5FD6"/>
    <w:rsid w:val="006F6184"/>
    <w:rsid w:val="006F6509"/>
    <w:rsid w:val="006F66B6"/>
    <w:rsid w:val="006F6789"/>
    <w:rsid w:val="006F7122"/>
    <w:rsid w:val="006F7362"/>
    <w:rsid w:val="006F76A6"/>
    <w:rsid w:val="006F76FB"/>
    <w:rsid w:val="006F7713"/>
    <w:rsid w:val="006F7816"/>
    <w:rsid w:val="00700891"/>
    <w:rsid w:val="00700F6A"/>
    <w:rsid w:val="00701393"/>
    <w:rsid w:val="007015DB"/>
    <w:rsid w:val="00701765"/>
    <w:rsid w:val="0070196E"/>
    <w:rsid w:val="00701A04"/>
    <w:rsid w:val="00701A80"/>
    <w:rsid w:val="00701FE2"/>
    <w:rsid w:val="007020F8"/>
    <w:rsid w:val="0070226E"/>
    <w:rsid w:val="00702289"/>
    <w:rsid w:val="0070245F"/>
    <w:rsid w:val="007025B3"/>
    <w:rsid w:val="00702809"/>
    <w:rsid w:val="00702A1C"/>
    <w:rsid w:val="00702A50"/>
    <w:rsid w:val="00702ABF"/>
    <w:rsid w:val="00702BC7"/>
    <w:rsid w:val="00702C23"/>
    <w:rsid w:val="00702CA0"/>
    <w:rsid w:val="00702DC8"/>
    <w:rsid w:val="0070300A"/>
    <w:rsid w:val="00703179"/>
    <w:rsid w:val="0070323A"/>
    <w:rsid w:val="007039A8"/>
    <w:rsid w:val="00703E1A"/>
    <w:rsid w:val="00703E88"/>
    <w:rsid w:val="00704025"/>
    <w:rsid w:val="00704059"/>
    <w:rsid w:val="00704149"/>
    <w:rsid w:val="007041DE"/>
    <w:rsid w:val="0070425E"/>
    <w:rsid w:val="00704431"/>
    <w:rsid w:val="007045D3"/>
    <w:rsid w:val="00704914"/>
    <w:rsid w:val="0070496E"/>
    <w:rsid w:val="00704988"/>
    <w:rsid w:val="00704AA3"/>
    <w:rsid w:val="00704B9E"/>
    <w:rsid w:val="00704E6D"/>
    <w:rsid w:val="007050E7"/>
    <w:rsid w:val="00705316"/>
    <w:rsid w:val="007054BF"/>
    <w:rsid w:val="007054FB"/>
    <w:rsid w:val="007055FA"/>
    <w:rsid w:val="00705803"/>
    <w:rsid w:val="00705AEF"/>
    <w:rsid w:val="00705C29"/>
    <w:rsid w:val="00705DB0"/>
    <w:rsid w:val="00705E3A"/>
    <w:rsid w:val="00705FE4"/>
    <w:rsid w:val="0070604B"/>
    <w:rsid w:val="007062F1"/>
    <w:rsid w:val="007062F2"/>
    <w:rsid w:val="0070634F"/>
    <w:rsid w:val="00706351"/>
    <w:rsid w:val="00706418"/>
    <w:rsid w:val="00706567"/>
    <w:rsid w:val="007065E0"/>
    <w:rsid w:val="0070664D"/>
    <w:rsid w:val="00706664"/>
    <w:rsid w:val="007066D1"/>
    <w:rsid w:val="00706710"/>
    <w:rsid w:val="0070674C"/>
    <w:rsid w:val="007069B5"/>
    <w:rsid w:val="00706A5F"/>
    <w:rsid w:val="00706AC3"/>
    <w:rsid w:val="00706CF9"/>
    <w:rsid w:val="00706E4E"/>
    <w:rsid w:val="00706F62"/>
    <w:rsid w:val="00706FAD"/>
    <w:rsid w:val="0070701A"/>
    <w:rsid w:val="0070727B"/>
    <w:rsid w:val="00707581"/>
    <w:rsid w:val="00707623"/>
    <w:rsid w:val="00707710"/>
    <w:rsid w:val="00707902"/>
    <w:rsid w:val="00707A46"/>
    <w:rsid w:val="00707BC1"/>
    <w:rsid w:val="00707ED8"/>
    <w:rsid w:val="00710020"/>
    <w:rsid w:val="0071062F"/>
    <w:rsid w:val="00710635"/>
    <w:rsid w:val="0071065D"/>
    <w:rsid w:val="0071085F"/>
    <w:rsid w:val="00710884"/>
    <w:rsid w:val="00710D93"/>
    <w:rsid w:val="00710E75"/>
    <w:rsid w:val="00711065"/>
    <w:rsid w:val="007111D9"/>
    <w:rsid w:val="00711229"/>
    <w:rsid w:val="0071130A"/>
    <w:rsid w:val="0071146C"/>
    <w:rsid w:val="0071149A"/>
    <w:rsid w:val="0071159F"/>
    <w:rsid w:val="007116F0"/>
    <w:rsid w:val="00711706"/>
    <w:rsid w:val="00711825"/>
    <w:rsid w:val="00711B6C"/>
    <w:rsid w:val="00711CBC"/>
    <w:rsid w:val="00711E38"/>
    <w:rsid w:val="00711E78"/>
    <w:rsid w:val="00711F46"/>
    <w:rsid w:val="00711F5D"/>
    <w:rsid w:val="00711FFE"/>
    <w:rsid w:val="00712091"/>
    <w:rsid w:val="007120F8"/>
    <w:rsid w:val="0071219B"/>
    <w:rsid w:val="0071250F"/>
    <w:rsid w:val="00712584"/>
    <w:rsid w:val="007126C8"/>
    <w:rsid w:val="00712862"/>
    <w:rsid w:val="00712A39"/>
    <w:rsid w:val="00712A85"/>
    <w:rsid w:val="00713787"/>
    <w:rsid w:val="007137E0"/>
    <w:rsid w:val="00713CD0"/>
    <w:rsid w:val="00713E23"/>
    <w:rsid w:val="00714279"/>
    <w:rsid w:val="007142AF"/>
    <w:rsid w:val="00714645"/>
    <w:rsid w:val="007146EE"/>
    <w:rsid w:val="00714B20"/>
    <w:rsid w:val="00714F45"/>
    <w:rsid w:val="00715160"/>
    <w:rsid w:val="007151D6"/>
    <w:rsid w:val="00715416"/>
    <w:rsid w:val="0071556D"/>
    <w:rsid w:val="00715784"/>
    <w:rsid w:val="00715989"/>
    <w:rsid w:val="00715A1B"/>
    <w:rsid w:val="00715AB1"/>
    <w:rsid w:val="00715CFA"/>
    <w:rsid w:val="00715E5E"/>
    <w:rsid w:val="007162A2"/>
    <w:rsid w:val="00716387"/>
    <w:rsid w:val="007163BC"/>
    <w:rsid w:val="007163D7"/>
    <w:rsid w:val="007164EC"/>
    <w:rsid w:val="0071673A"/>
    <w:rsid w:val="0071693C"/>
    <w:rsid w:val="00716C14"/>
    <w:rsid w:val="00716D91"/>
    <w:rsid w:val="00716FED"/>
    <w:rsid w:val="007174BA"/>
    <w:rsid w:val="007175CA"/>
    <w:rsid w:val="00717671"/>
    <w:rsid w:val="00717772"/>
    <w:rsid w:val="00717AC4"/>
    <w:rsid w:val="00717AE5"/>
    <w:rsid w:val="00717B4B"/>
    <w:rsid w:val="00717D05"/>
    <w:rsid w:val="00717E30"/>
    <w:rsid w:val="00717F04"/>
    <w:rsid w:val="00717F30"/>
    <w:rsid w:val="00720035"/>
    <w:rsid w:val="007203D7"/>
    <w:rsid w:val="00720478"/>
    <w:rsid w:val="00720491"/>
    <w:rsid w:val="00720F34"/>
    <w:rsid w:val="00721093"/>
    <w:rsid w:val="007210C7"/>
    <w:rsid w:val="00721270"/>
    <w:rsid w:val="00721373"/>
    <w:rsid w:val="007215BE"/>
    <w:rsid w:val="007217C1"/>
    <w:rsid w:val="007217F8"/>
    <w:rsid w:val="0072183A"/>
    <w:rsid w:val="00721A32"/>
    <w:rsid w:val="00721B0A"/>
    <w:rsid w:val="00721E82"/>
    <w:rsid w:val="00722151"/>
    <w:rsid w:val="0072224E"/>
    <w:rsid w:val="007225EA"/>
    <w:rsid w:val="0072266D"/>
    <w:rsid w:val="00722925"/>
    <w:rsid w:val="00722937"/>
    <w:rsid w:val="0072296F"/>
    <w:rsid w:val="00722AD9"/>
    <w:rsid w:val="00722AE0"/>
    <w:rsid w:val="00722C61"/>
    <w:rsid w:val="00722E29"/>
    <w:rsid w:val="0072351A"/>
    <w:rsid w:val="00723540"/>
    <w:rsid w:val="00723851"/>
    <w:rsid w:val="00723987"/>
    <w:rsid w:val="007239DB"/>
    <w:rsid w:val="00723A62"/>
    <w:rsid w:val="00723A88"/>
    <w:rsid w:val="00723E9E"/>
    <w:rsid w:val="0072424B"/>
    <w:rsid w:val="00724287"/>
    <w:rsid w:val="00724694"/>
    <w:rsid w:val="007246CA"/>
    <w:rsid w:val="00724938"/>
    <w:rsid w:val="00724E9E"/>
    <w:rsid w:val="00724ED3"/>
    <w:rsid w:val="00725407"/>
    <w:rsid w:val="00725492"/>
    <w:rsid w:val="00725629"/>
    <w:rsid w:val="007258F5"/>
    <w:rsid w:val="0072597E"/>
    <w:rsid w:val="00725A25"/>
    <w:rsid w:val="00725B3F"/>
    <w:rsid w:val="00725D45"/>
    <w:rsid w:val="00726358"/>
    <w:rsid w:val="0072645E"/>
    <w:rsid w:val="007264CF"/>
    <w:rsid w:val="0072653E"/>
    <w:rsid w:val="00726E24"/>
    <w:rsid w:val="00726EF1"/>
    <w:rsid w:val="00726F2B"/>
    <w:rsid w:val="0072705E"/>
    <w:rsid w:val="007274D9"/>
    <w:rsid w:val="00727750"/>
    <w:rsid w:val="00727888"/>
    <w:rsid w:val="007279E9"/>
    <w:rsid w:val="00727D24"/>
    <w:rsid w:val="00727F2E"/>
    <w:rsid w:val="007301CB"/>
    <w:rsid w:val="00730206"/>
    <w:rsid w:val="007302DC"/>
    <w:rsid w:val="00730377"/>
    <w:rsid w:val="00730531"/>
    <w:rsid w:val="00730588"/>
    <w:rsid w:val="00730B52"/>
    <w:rsid w:val="00730B97"/>
    <w:rsid w:val="00730FAB"/>
    <w:rsid w:val="00731043"/>
    <w:rsid w:val="00731111"/>
    <w:rsid w:val="007313FC"/>
    <w:rsid w:val="00731574"/>
    <w:rsid w:val="007318A6"/>
    <w:rsid w:val="00731C6F"/>
    <w:rsid w:val="00731D31"/>
    <w:rsid w:val="00731F1E"/>
    <w:rsid w:val="0073203F"/>
    <w:rsid w:val="0073212C"/>
    <w:rsid w:val="00732286"/>
    <w:rsid w:val="00732390"/>
    <w:rsid w:val="0073255E"/>
    <w:rsid w:val="00732594"/>
    <w:rsid w:val="007325C6"/>
    <w:rsid w:val="0073269A"/>
    <w:rsid w:val="0073269E"/>
    <w:rsid w:val="00732965"/>
    <w:rsid w:val="007329EB"/>
    <w:rsid w:val="00732A86"/>
    <w:rsid w:val="00732CC4"/>
    <w:rsid w:val="00732D95"/>
    <w:rsid w:val="00732EC5"/>
    <w:rsid w:val="00732F20"/>
    <w:rsid w:val="007331F7"/>
    <w:rsid w:val="00733252"/>
    <w:rsid w:val="007333B0"/>
    <w:rsid w:val="00733734"/>
    <w:rsid w:val="00733945"/>
    <w:rsid w:val="007339A5"/>
    <w:rsid w:val="00733D78"/>
    <w:rsid w:val="00733F0A"/>
    <w:rsid w:val="00734057"/>
    <w:rsid w:val="00734113"/>
    <w:rsid w:val="007341BA"/>
    <w:rsid w:val="00734362"/>
    <w:rsid w:val="0073468C"/>
    <w:rsid w:val="00734A2F"/>
    <w:rsid w:val="00734B7C"/>
    <w:rsid w:val="00734C6A"/>
    <w:rsid w:val="00734C75"/>
    <w:rsid w:val="00734EBB"/>
    <w:rsid w:val="00734F39"/>
    <w:rsid w:val="00735075"/>
    <w:rsid w:val="00735392"/>
    <w:rsid w:val="00735617"/>
    <w:rsid w:val="00735708"/>
    <w:rsid w:val="00735A46"/>
    <w:rsid w:val="00735E35"/>
    <w:rsid w:val="00735E7C"/>
    <w:rsid w:val="00736147"/>
    <w:rsid w:val="00736245"/>
    <w:rsid w:val="007366D3"/>
    <w:rsid w:val="00736731"/>
    <w:rsid w:val="0073682B"/>
    <w:rsid w:val="007368D1"/>
    <w:rsid w:val="00736D05"/>
    <w:rsid w:val="00736DDB"/>
    <w:rsid w:val="00736E5D"/>
    <w:rsid w:val="00736E7F"/>
    <w:rsid w:val="00737106"/>
    <w:rsid w:val="00737306"/>
    <w:rsid w:val="007373D9"/>
    <w:rsid w:val="007374E4"/>
    <w:rsid w:val="00737A0A"/>
    <w:rsid w:val="00737A46"/>
    <w:rsid w:val="00737B39"/>
    <w:rsid w:val="00737D6F"/>
    <w:rsid w:val="00737E89"/>
    <w:rsid w:val="00737EE9"/>
    <w:rsid w:val="00737F1B"/>
    <w:rsid w:val="00737F1D"/>
    <w:rsid w:val="007402BB"/>
    <w:rsid w:val="007402FA"/>
    <w:rsid w:val="00740523"/>
    <w:rsid w:val="0074062F"/>
    <w:rsid w:val="007406DA"/>
    <w:rsid w:val="0074071D"/>
    <w:rsid w:val="00740815"/>
    <w:rsid w:val="00740902"/>
    <w:rsid w:val="00740A67"/>
    <w:rsid w:val="00740AEF"/>
    <w:rsid w:val="00740E07"/>
    <w:rsid w:val="00740EC7"/>
    <w:rsid w:val="00740FB6"/>
    <w:rsid w:val="0074101A"/>
    <w:rsid w:val="007415CD"/>
    <w:rsid w:val="007418E5"/>
    <w:rsid w:val="00741957"/>
    <w:rsid w:val="00741AB9"/>
    <w:rsid w:val="00741B77"/>
    <w:rsid w:val="00741EC5"/>
    <w:rsid w:val="00741FFA"/>
    <w:rsid w:val="007420FF"/>
    <w:rsid w:val="007423FB"/>
    <w:rsid w:val="0074256E"/>
    <w:rsid w:val="00742596"/>
    <w:rsid w:val="007425E1"/>
    <w:rsid w:val="007426AC"/>
    <w:rsid w:val="007427A8"/>
    <w:rsid w:val="00742896"/>
    <w:rsid w:val="00742968"/>
    <w:rsid w:val="00742A91"/>
    <w:rsid w:val="007430A4"/>
    <w:rsid w:val="00743557"/>
    <w:rsid w:val="00743576"/>
    <w:rsid w:val="007436AC"/>
    <w:rsid w:val="007439D7"/>
    <w:rsid w:val="00743F85"/>
    <w:rsid w:val="0074432B"/>
    <w:rsid w:val="0074453C"/>
    <w:rsid w:val="00744C85"/>
    <w:rsid w:val="00744E98"/>
    <w:rsid w:val="00744F63"/>
    <w:rsid w:val="00745074"/>
    <w:rsid w:val="007451B9"/>
    <w:rsid w:val="007452EF"/>
    <w:rsid w:val="00745386"/>
    <w:rsid w:val="00745431"/>
    <w:rsid w:val="007455BA"/>
    <w:rsid w:val="00745601"/>
    <w:rsid w:val="007462B7"/>
    <w:rsid w:val="007462DA"/>
    <w:rsid w:val="00746333"/>
    <w:rsid w:val="00746457"/>
    <w:rsid w:val="00746559"/>
    <w:rsid w:val="007465EE"/>
    <w:rsid w:val="007465FB"/>
    <w:rsid w:val="0074671D"/>
    <w:rsid w:val="00746838"/>
    <w:rsid w:val="00746AD3"/>
    <w:rsid w:val="00746D97"/>
    <w:rsid w:val="00746E15"/>
    <w:rsid w:val="0074704B"/>
    <w:rsid w:val="00747072"/>
    <w:rsid w:val="0074712C"/>
    <w:rsid w:val="0074732F"/>
    <w:rsid w:val="007474D7"/>
    <w:rsid w:val="0074787B"/>
    <w:rsid w:val="0074794C"/>
    <w:rsid w:val="00747E16"/>
    <w:rsid w:val="007501A0"/>
    <w:rsid w:val="0075023C"/>
    <w:rsid w:val="00750401"/>
    <w:rsid w:val="00750482"/>
    <w:rsid w:val="00750765"/>
    <w:rsid w:val="0075079D"/>
    <w:rsid w:val="0075080D"/>
    <w:rsid w:val="00750A50"/>
    <w:rsid w:val="00750A70"/>
    <w:rsid w:val="00750B12"/>
    <w:rsid w:val="00750DBA"/>
    <w:rsid w:val="00750DE8"/>
    <w:rsid w:val="00750DF6"/>
    <w:rsid w:val="00751142"/>
    <w:rsid w:val="00751209"/>
    <w:rsid w:val="00751290"/>
    <w:rsid w:val="007515EC"/>
    <w:rsid w:val="0075185F"/>
    <w:rsid w:val="00751C6F"/>
    <w:rsid w:val="00751E62"/>
    <w:rsid w:val="00751F6C"/>
    <w:rsid w:val="0075218E"/>
    <w:rsid w:val="007523BE"/>
    <w:rsid w:val="0075248E"/>
    <w:rsid w:val="0075265A"/>
    <w:rsid w:val="00752782"/>
    <w:rsid w:val="007527D3"/>
    <w:rsid w:val="00752A66"/>
    <w:rsid w:val="00752C8E"/>
    <w:rsid w:val="00752D0A"/>
    <w:rsid w:val="00752D69"/>
    <w:rsid w:val="00752D75"/>
    <w:rsid w:val="00752DAC"/>
    <w:rsid w:val="00753032"/>
    <w:rsid w:val="00753728"/>
    <w:rsid w:val="00753A2D"/>
    <w:rsid w:val="00753AAC"/>
    <w:rsid w:val="00753CE8"/>
    <w:rsid w:val="00754173"/>
    <w:rsid w:val="00754200"/>
    <w:rsid w:val="0075420A"/>
    <w:rsid w:val="007542F3"/>
    <w:rsid w:val="0075437A"/>
    <w:rsid w:val="007544D3"/>
    <w:rsid w:val="007544FF"/>
    <w:rsid w:val="00754659"/>
    <w:rsid w:val="00754886"/>
    <w:rsid w:val="007548FA"/>
    <w:rsid w:val="00754A1E"/>
    <w:rsid w:val="00754D8E"/>
    <w:rsid w:val="00755003"/>
    <w:rsid w:val="0075520B"/>
    <w:rsid w:val="007552A0"/>
    <w:rsid w:val="00755465"/>
    <w:rsid w:val="007554F6"/>
    <w:rsid w:val="00755508"/>
    <w:rsid w:val="00755574"/>
    <w:rsid w:val="00755703"/>
    <w:rsid w:val="00755988"/>
    <w:rsid w:val="007559E9"/>
    <w:rsid w:val="00755C22"/>
    <w:rsid w:val="00755C7C"/>
    <w:rsid w:val="00755C83"/>
    <w:rsid w:val="00755F8E"/>
    <w:rsid w:val="0075637D"/>
    <w:rsid w:val="0075651E"/>
    <w:rsid w:val="0075680D"/>
    <w:rsid w:val="0075697F"/>
    <w:rsid w:val="00756D66"/>
    <w:rsid w:val="00756E6F"/>
    <w:rsid w:val="00756FCC"/>
    <w:rsid w:val="00757073"/>
    <w:rsid w:val="00757125"/>
    <w:rsid w:val="00757172"/>
    <w:rsid w:val="007576FE"/>
    <w:rsid w:val="00757837"/>
    <w:rsid w:val="00757908"/>
    <w:rsid w:val="00757A89"/>
    <w:rsid w:val="00757CF8"/>
    <w:rsid w:val="00757DD2"/>
    <w:rsid w:val="00757E99"/>
    <w:rsid w:val="00757FA3"/>
    <w:rsid w:val="00760085"/>
    <w:rsid w:val="007602F6"/>
    <w:rsid w:val="00760390"/>
    <w:rsid w:val="007603D2"/>
    <w:rsid w:val="007604BE"/>
    <w:rsid w:val="007607F3"/>
    <w:rsid w:val="007609DA"/>
    <w:rsid w:val="007609F1"/>
    <w:rsid w:val="00760CC3"/>
    <w:rsid w:val="00760CF8"/>
    <w:rsid w:val="00760D5D"/>
    <w:rsid w:val="00760E5F"/>
    <w:rsid w:val="007610C0"/>
    <w:rsid w:val="0076110E"/>
    <w:rsid w:val="0076121E"/>
    <w:rsid w:val="007612BF"/>
    <w:rsid w:val="00761382"/>
    <w:rsid w:val="007614FF"/>
    <w:rsid w:val="007615B2"/>
    <w:rsid w:val="007616AA"/>
    <w:rsid w:val="007616B8"/>
    <w:rsid w:val="00761A68"/>
    <w:rsid w:val="00761B3D"/>
    <w:rsid w:val="00761C76"/>
    <w:rsid w:val="00761CF9"/>
    <w:rsid w:val="00761E8E"/>
    <w:rsid w:val="00761F1D"/>
    <w:rsid w:val="0076202B"/>
    <w:rsid w:val="0076212B"/>
    <w:rsid w:val="0076220F"/>
    <w:rsid w:val="0076224C"/>
    <w:rsid w:val="007622F0"/>
    <w:rsid w:val="00762678"/>
    <w:rsid w:val="00762A8D"/>
    <w:rsid w:val="00762B50"/>
    <w:rsid w:val="00762E41"/>
    <w:rsid w:val="007630AC"/>
    <w:rsid w:val="0076315D"/>
    <w:rsid w:val="007631FF"/>
    <w:rsid w:val="007634FD"/>
    <w:rsid w:val="007637BD"/>
    <w:rsid w:val="0076383B"/>
    <w:rsid w:val="00763E59"/>
    <w:rsid w:val="0076407A"/>
    <w:rsid w:val="0076418B"/>
    <w:rsid w:val="007641B4"/>
    <w:rsid w:val="007641FF"/>
    <w:rsid w:val="0076421D"/>
    <w:rsid w:val="00764262"/>
    <w:rsid w:val="0076469F"/>
    <w:rsid w:val="007646A3"/>
    <w:rsid w:val="0076476A"/>
    <w:rsid w:val="00764CF4"/>
    <w:rsid w:val="00764D24"/>
    <w:rsid w:val="00764DAD"/>
    <w:rsid w:val="00765157"/>
    <w:rsid w:val="00765201"/>
    <w:rsid w:val="0076532C"/>
    <w:rsid w:val="00765366"/>
    <w:rsid w:val="007653D9"/>
    <w:rsid w:val="00765412"/>
    <w:rsid w:val="007656BF"/>
    <w:rsid w:val="00765905"/>
    <w:rsid w:val="00765B86"/>
    <w:rsid w:val="00765BEE"/>
    <w:rsid w:val="00765D03"/>
    <w:rsid w:val="00765E35"/>
    <w:rsid w:val="007661CC"/>
    <w:rsid w:val="0076634D"/>
    <w:rsid w:val="0076668F"/>
    <w:rsid w:val="00766A76"/>
    <w:rsid w:val="00766DE9"/>
    <w:rsid w:val="00766FC1"/>
    <w:rsid w:val="00767059"/>
    <w:rsid w:val="007672E6"/>
    <w:rsid w:val="007673E8"/>
    <w:rsid w:val="0076743C"/>
    <w:rsid w:val="00767470"/>
    <w:rsid w:val="007675D6"/>
    <w:rsid w:val="00767659"/>
    <w:rsid w:val="00767897"/>
    <w:rsid w:val="007679AB"/>
    <w:rsid w:val="00767A66"/>
    <w:rsid w:val="00767AB7"/>
    <w:rsid w:val="00767E0C"/>
    <w:rsid w:val="00767F68"/>
    <w:rsid w:val="00768535"/>
    <w:rsid w:val="00770122"/>
    <w:rsid w:val="00770155"/>
    <w:rsid w:val="00770232"/>
    <w:rsid w:val="00770280"/>
    <w:rsid w:val="00770439"/>
    <w:rsid w:val="00770532"/>
    <w:rsid w:val="007707B9"/>
    <w:rsid w:val="00770883"/>
    <w:rsid w:val="00770945"/>
    <w:rsid w:val="007710BF"/>
    <w:rsid w:val="00771122"/>
    <w:rsid w:val="00771398"/>
    <w:rsid w:val="007716F5"/>
    <w:rsid w:val="00771763"/>
    <w:rsid w:val="00771828"/>
    <w:rsid w:val="007718AC"/>
    <w:rsid w:val="00771A2E"/>
    <w:rsid w:val="00771D88"/>
    <w:rsid w:val="00771DAC"/>
    <w:rsid w:val="00771E79"/>
    <w:rsid w:val="00771F19"/>
    <w:rsid w:val="00772134"/>
    <w:rsid w:val="007721FF"/>
    <w:rsid w:val="00772259"/>
    <w:rsid w:val="00772399"/>
    <w:rsid w:val="007725C9"/>
    <w:rsid w:val="00772A1E"/>
    <w:rsid w:val="00772AD3"/>
    <w:rsid w:val="00772BD4"/>
    <w:rsid w:val="00772BD7"/>
    <w:rsid w:val="00772C81"/>
    <w:rsid w:val="00772C84"/>
    <w:rsid w:val="00772EEE"/>
    <w:rsid w:val="00772FBB"/>
    <w:rsid w:val="007730C2"/>
    <w:rsid w:val="0077320B"/>
    <w:rsid w:val="00773279"/>
    <w:rsid w:val="007736F5"/>
    <w:rsid w:val="0077389F"/>
    <w:rsid w:val="0077395C"/>
    <w:rsid w:val="00773B75"/>
    <w:rsid w:val="00773BB5"/>
    <w:rsid w:val="00773D4B"/>
    <w:rsid w:val="00773FA2"/>
    <w:rsid w:val="007743B2"/>
    <w:rsid w:val="0077468B"/>
    <w:rsid w:val="0077470F"/>
    <w:rsid w:val="007747B2"/>
    <w:rsid w:val="007748C6"/>
    <w:rsid w:val="00774C43"/>
    <w:rsid w:val="00774E35"/>
    <w:rsid w:val="00774F02"/>
    <w:rsid w:val="00775058"/>
    <w:rsid w:val="007752A0"/>
    <w:rsid w:val="00775451"/>
    <w:rsid w:val="00775A2A"/>
    <w:rsid w:val="00775AE0"/>
    <w:rsid w:val="00775BB2"/>
    <w:rsid w:val="00775BC0"/>
    <w:rsid w:val="00775C6D"/>
    <w:rsid w:val="00775D43"/>
    <w:rsid w:val="00775DF9"/>
    <w:rsid w:val="00775FD0"/>
    <w:rsid w:val="00776060"/>
    <w:rsid w:val="0077658F"/>
    <w:rsid w:val="007765E2"/>
    <w:rsid w:val="007766DC"/>
    <w:rsid w:val="007766E9"/>
    <w:rsid w:val="00776899"/>
    <w:rsid w:val="007768B0"/>
    <w:rsid w:val="00776934"/>
    <w:rsid w:val="007769C4"/>
    <w:rsid w:val="007769D7"/>
    <w:rsid w:val="00776B4F"/>
    <w:rsid w:val="00776C0E"/>
    <w:rsid w:val="00776EEB"/>
    <w:rsid w:val="00776F2B"/>
    <w:rsid w:val="00776F5D"/>
    <w:rsid w:val="007771A0"/>
    <w:rsid w:val="0077788F"/>
    <w:rsid w:val="00777B7E"/>
    <w:rsid w:val="00777C7B"/>
    <w:rsid w:val="00777E19"/>
    <w:rsid w:val="00777E23"/>
    <w:rsid w:val="00780015"/>
    <w:rsid w:val="00780431"/>
    <w:rsid w:val="007804EF"/>
    <w:rsid w:val="00780664"/>
    <w:rsid w:val="007807EA"/>
    <w:rsid w:val="00780879"/>
    <w:rsid w:val="00780BCE"/>
    <w:rsid w:val="00780CBE"/>
    <w:rsid w:val="00780CE8"/>
    <w:rsid w:val="00780E31"/>
    <w:rsid w:val="0078102C"/>
    <w:rsid w:val="0078109D"/>
    <w:rsid w:val="007810C8"/>
    <w:rsid w:val="007812B3"/>
    <w:rsid w:val="007812C2"/>
    <w:rsid w:val="007815F1"/>
    <w:rsid w:val="00781974"/>
    <w:rsid w:val="00781A17"/>
    <w:rsid w:val="00781B18"/>
    <w:rsid w:val="00781C3A"/>
    <w:rsid w:val="00781C55"/>
    <w:rsid w:val="00781E90"/>
    <w:rsid w:val="0078220D"/>
    <w:rsid w:val="007824CC"/>
    <w:rsid w:val="00782A6C"/>
    <w:rsid w:val="00782AF2"/>
    <w:rsid w:val="00782C98"/>
    <w:rsid w:val="00782C9F"/>
    <w:rsid w:val="00782DA5"/>
    <w:rsid w:val="00782E8A"/>
    <w:rsid w:val="00782EDD"/>
    <w:rsid w:val="00783059"/>
    <w:rsid w:val="007830F6"/>
    <w:rsid w:val="00783288"/>
    <w:rsid w:val="00783A4D"/>
    <w:rsid w:val="00783ACA"/>
    <w:rsid w:val="00783E64"/>
    <w:rsid w:val="00783EFA"/>
    <w:rsid w:val="00783F9B"/>
    <w:rsid w:val="00784054"/>
    <w:rsid w:val="007840D0"/>
    <w:rsid w:val="00784384"/>
    <w:rsid w:val="007843B7"/>
    <w:rsid w:val="007843D1"/>
    <w:rsid w:val="007844DC"/>
    <w:rsid w:val="0078454D"/>
    <w:rsid w:val="00784AD7"/>
    <w:rsid w:val="00784AD8"/>
    <w:rsid w:val="00784D4D"/>
    <w:rsid w:val="00784DFE"/>
    <w:rsid w:val="00784E5E"/>
    <w:rsid w:val="007851F2"/>
    <w:rsid w:val="00785286"/>
    <w:rsid w:val="007853A7"/>
    <w:rsid w:val="00785692"/>
    <w:rsid w:val="00785925"/>
    <w:rsid w:val="007859F3"/>
    <w:rsid w:val="00786359"/>
    <w:rsid w:val="007864E1"/>
    <w:rsid w:val="00786582"/>
    <w:rsid w:val="0078675A"/>
    <w:rsid w:val="007869A1"/>
    <w:rsid w:val="00786BAD"/>
    <w:rsid w:val="00786BDF"/>
    <w:rsid w:val="00786C88"/>
    <w:rsid w:val="00786D3E"/>
    <w:rsid w:val="00786F15"/>
    <w:rsid w:val="00786F3D"/>
    <w:rsid w:val="007878C5"/>
    <w:rsid w:val="007878F0"/>
    <w:rsid w:val="00787914"/>
    <w:rsid w:val="00787C08"/>
    <w:rsid w:val="007901F8"/>
    <w:rsid w:val="0079025C"/>
    <w:rsid w:val="0079038B"/>
    <w:rsid w:val="0079081B"/>
    <w:rsid w:val="00790B7A"/>
    <w:rsid w:val="00790D37"/>
    <w:rsid w:val="0079107B"/>
    <w:rsid w:val="0079120D"/>
    <w:rsid w:val="00791367"/>
    <w:rsid w:val="0079156B"/>
    <w:rsid w:val="007917E1"/>
    <w:rsid w:val="0079185F"/>
    <w:rsid w:val="00791952"/>
    <w:rsid w:val="00791AEC"/>
    <w:rsid w:val="007920B7"/>
    <w:rsid w:val="00792278"/>
    <w:rsid w:val="007922BD"/>
    <w:rsid w:val="007922E8"/>
    <w:rsid w:val="007923EF"/>
    <w:rsid w:val="0079250E"/>
    <w:rsid w:val="00792570"/>
    <w:rsid w:val="00792674"/>
    <w:rsid w:val="007926AE"/>
    <w:rsid w:val="0079282F"/>
    <w:rsid w:val="00792BB8"/>
    <w:rsid w:val="00792C63"/>
    <w:rsid w:val="00792F04"/>
    <w:rsid w:val="00792F22"/>
    <w:rsid w:val="007931F9"/>
    <w:rsid w:val="00793262"/>
    <w:rsid w:val="007932AD"/>
    <w:rsid w:val="007932F2"/>
    <w:rsid w:val="00793327"/>
    <w:rsid w:val="00793457"/>
    <w:rsid w:val="0079373D"/>
    <w:rsid w:val="007937BA"/>
    <w:rsid w:val="007939EB"/>
    <w:rsid w:val="00793B2B"/>
    <w:rsid w:val="00793B3B"/>
    <w:rsid w:val="00793C95"/>
    <w:rsid w:val="00793DEC"/>
    <w:rsid w:val="00793EC4"/>
    <w:rsid w:val="0079407B"/>
    <w:rsid w:val="00794290"/>
    <w:rsid w:val="007943CF"/>
    <w:rsid w:val="00794563"/>
    <w:rsid w:val="0079466D"/>
    <w:rsid w:val="007947B5"/>
    <w:rsid w:val="007947E3"/>
    <w:rsid w:val="007947EE"/>
    <w:rsid w:val="007949CE"/>
    <w:rsid w:val="00794CD4"/>
    <w:rsid w:val="00794DC0"/>
    <w:rsid w:val="00794E01"/>
    <w:rsid w:val="00794E3B"/>
    <w:rsid w:val="00794FC2"/>
    <w:rsid w:val="0079524E"/>
    <w:rsid w:val="00795326"/>
    <w:rsid w:val="00795422"/>
    <w:rsid w:val="0079550B"/>
    <w:rsid w:val="007956CF"/>
    <w:rsid w:val="00795710"/>
    <w:rsid w:val="00795B6C"/>
    <w:rsid w:val="00795E64"/>
    <w:rsid w:val="00796001"/>
    <w:rsid w:val="0079600E"/>
    <w:rsid w:val="00796124"/>
    <w:rsid w:val="00796609"/>
    <w:rsid w:val="007966B0"/>
    <w:rsid w:val="007966E5"/>
    <w:rsid w:val="007967F0"/>
    <w:rsid w:val="00796844"/>
    <w:rsid w:val="00796B2E"/>
    <w:rsid w:val="00796C26"/>
    <w:rsid w:val="00796C42"/>
    <w:rsid w:val="00796EC8"/>
    <w:rsid w:val="0079773F"/>
    <w:rsid w:val="00797793"/>
    <w:rsid w:val="007977E6"/>
    <w:rsid w:val="00797979"/>
    <w:rsid w:val="00797993"/>
    <w:rsid w:val="00797A9C"/>
    <w:rsid w:val="00797B14"/>
    <w:rsid w:val="00797BF7"/>
    <w:rsid w:val="00797C42"/>
    <w:rsid w:val="00797CC7"/>
    <w:rsid w:val="00797D70"/>
    <w:rsid w:val="00797E93"/>
    <w:rsid w:val="00797F73"/>
    <w:rsid w:val="00797F9D"/>
    <w:rsid w:val="007A0581"/>
    <w:rsid w:val="007A0614"/>
    <w:rsid w:val="007A0878"/>
    <w:rsid w:val="007A0D23"/>
    <w:rsid w:val="007A0D57"/>
    <w:rsid w:val="007A104A"/>
    <w:rsid w:val="007A114B"/>
    <w:rsid w:val="007A1626"/>
    <w:rsid w:val="007A174A"/>
    <w:rsid w:val="007A1795"/>
    <w:rsid w:val="007A1841"/>
    <w:rsid w:val="007A199D"/>
    <w:rsid w:val="007A1CA3"/>
    <w:rsid w:val="007A1CD2"/>
    <w:rsid w:val="007A1FD9"/>
    <w:rsid w:val="007A20D6"/>
    <w:rsid w:val="007A2482"/>
    <w:rsid w:val="007A24FB"/>
    <w:rsid w:val="007A2D0E"/>
    <w:rsid w:val="007A2DEE"/>
    <w:rsid w:val="007A2E38"/>
    <w:rsid w:val="007A35DA"/>
    <w:rsid w:val="007A362A"/>
    <w:rsid w:val="007A380E"/>
    <w:rsid w:val="007A3BB2"/>
    <w:rsid w:val="007A3E24"/>
    <w:rsid w:val="007A3E54"/>
    <w:rsid w:val="007A3EE4"/>
    <w:rsid w:val="007A42B4"/>
    <w:rsid w:val="007A43D0"/>
    <w:rsid w:val="007A43D7"/>
    <w:rsid w:val="007A44BB"/>
    <w:rsid w:val="007A45B3"/>
    <w:rsid w:val="007A461D"/>
    <w:rsid w:val="007A4697"/>
    <w:rsid w:val="007A478D"/>
    <w:rsid w:val="007A481F"/>
    <w:rsid w:val="007A48E2"/>
    <w:rsid w:val="007A4C99"/>
    <w:rsid w:val="007A4DE8"/>
    <w:rsid w:val="007A4EB5"/>
    <w:rsid w:val="007A4F83"/>
    <w:rsid w:val="007A5085"/>
    <w:rsid w:val="007A50ED"/>
    <w:rsid w:val="007A519F"/>
    <w:rsid w:val="007A537B"/>
    <w:rsid w:val="007A538B"/>
    <w:rsid w:val="007A53BC"/>
    <w:rsid w:val="007A5DE7"/>
    <w:rsid w:val="007A5F6A"/>
    <w:rsid w:val="007A6138"/>
    <w:rsid w:val="007A648E"/>
    <w:rsid w:val="007A6577"/>
    <w:rsid w:val="007A6665"/>
    <w:rsid w:val="007A68A6"/>
    <w:rsid w:val="007A69A2"/>
    <w:rsid w:val="007A6A19"/>
    <w:rsid w:val="007A6B4E"/>
    <w:rsid w:val="007A6BB4"/>
    <w:rsid w:val="007A6E3E"/>
    <w:rsid w:val="007A6E7E"/>
    <w:rsid w:val="007A6F67"/>
    <w:rsid w:val="007A702D"/>
    <w:rsid w:val="007A722B"/>
    <w:rsid w:val="007A725D"/>
    <w:rsid w:val="007A72A2"/>
    <w:rsid w:val="007A72CA"/>
    <w:rsid w:val="007A7378"/>
    <w:rsid w:val="007A73F6"/>
    <w:rsid w:val="007A74BA"/>
    <w:rsid w:val="007A7631"/>
    <w:rsid w:val="007A77E7"/>
    <w:rsid w:val="007A7A24"/>
    <w:rsid w:val="007B046E"/>
    <w:rsid w:val="007B05FD"/>
    <w:rsid w:val="007B0676"/>
    <w:rsid w:val="007B067B"/>
    <w:rsid w:val="007B068D"/>
    <w:rsid w:val="007B0693"/>
    <w:rsid w:val="007B06BE"/>
    <w:rsid w:val="007B07E5"/>
    <w:rsid w:val="007B084F"/>
    <w:rsid w:val="007B086A"/>
    <w:rsid w:val="007B0948"/>
    <w:rsid w:val="007B0976"/>
    <w:rsid w:val="007B0A15"/>
    <w:rsid w:val="007B0E84"/>
    <w:rsid w:val="007B0F6B"/>
    <w:rsid w:val="007B10E9"/>
    <w:rsid w:val="007B1235"/>
    <w:rsid w:val="007B142E"/>
    <w:rsid w:val="007B1464"/>
    <w:rsid w:val="007B1870"/>
    <w:rsid w:val="007B1886"/>
    <w:rsid w:val="007B1A1B"/>
    <w:rsid w:val="007B1AAF"/>
    <w:rsid w:val="007B1F4A"/>
    <w:rsid w:val="007B210F"/>
    <w:rsid w:val="007B211B"/>
    <w:rsid w:val="007B22E6"/>
    <w:rsid w:val="007B2355"/>
    <w:rsid w:val="007B2565"/>
    <w:rsid w:val="007B25ED"/>
    <w:rsid w:val="007B266E"/>
    <w:rsid w:val="007B28E4"/>
    <w:rsid w:val="007B28F5"/>
    <w:rsid w:val="007B2B2C"/>
    <w:rsid w:val="007B2BCF"/>
    <w:rsid w:val="007B2D88"/>
    <w:rsid w:val="007B2EF8"/>
    <w:rsid w:val="007B2F7A"/>
    <w:rsid w:val="007B3375"/>
    <w:rsid w:val="007B33EF"/>
    <w:rsid w:val="007B36F2"/>
    <w:rsid w:val="007B3987"/>
    <w:rsid w:val="007B3BEB"/>
    <w:rsid w:val="007B4191"/>
    <w:rsid w:val="007B4296"/>
    <w:rsid w:val="007B43B9"/>
    <w:rsid w:val="007B441F"/>
    <w:rsid w:val="007B448E"/>
    <w:rsid w:val="007B455E"/>
    <w:rsid w:val="007B48A1"/>
    <w:rsid w:val="007B4942"/>
    <w:rsid w:val="007B4C39"/>
    <w:rsid w:val="007B4F20"/>
    <w:rsid w:val="007B517C"/>
    <w:rsid w:val="007B530F"/>
    <w:rsid w:val="007B53E2"/>
    <w:rsid w:val="007B5834"/>
    <w:rsid w:val="007B5995"/>
    <w:rsid w:val="007B5A69"/>
    <w:rsid w:val="007B5AC4"/>
    <w:rsid w:val="007B5D5D"/>
    <w:rsid w:val="007B5D90"/>
    <w:rsid w:val="007B5DF0"/>
    <w:rsid w:val="007B608A"/>
    <w:rsid w:val="007B61B9"/>
    <w:rsid w:val="007B63EA"/>
    <w:rsid w:val="007B64D1"/>
    <w:rsid w:val="007B6722"/>
    <w:rsid w:val="007B6965"/>
    <w:rsid w:val="007B6BE4"/>
    <w:rsid w:val="007B766D"/>
    <w:rsid w:val="007B7674"/>
    <w:rsid w:val="007B77ED"/>
    <w:rsid w:val="007B7BB8"/>
    <w:rsid w:val="007B7D3A"/>
    <w:rsid w:val="007B7E08"/>
    <w:rsid w:val="007B7EAA"/>
    <w:rsid w:val="007B7F6C"/>
    <w:rsid w:val="007B7FFC"/>
    <w:rsid w:val="007C014C"/>
    <w:rsid w:val="007C01C5"/>
    <w:rsid w:val="007C033A"/>
    <w:rsid w:val="007C0841"/>
    <w:rsid w:val="007C0910"/>
    <w:rsid w:val="007C0E5F"/>
    <w:rsid w:val="007C0F69"/>
    <w:rsid w:val="007C144D"/>
    <w:rsid w:val="007C196F"/>
    <w:rsid w:val="007C198F"/>
    <w:rsid w:val="007C1A41"/>
    <w:rsid w:val="007C1C16"/>
    <w:rsid w:val="007C22A5"/>
    <w:rsid w:val="007C22D4"/>
    <w:rsid w:val="007C242D"/>
    <w:rsid w:val="007C2999"/>
    <w:rsid w:val="007C2B61"/>
    <w:rsid w:val="007C2D0B"/>
    <w:rsid w:val="007C2D49"/>
    <w:rsid w:val="007C2DA5"/>
    <w:rsid w:val="007C2E8C"/>
    <w:rsid w:val="007C2FB0"/>
    <w:rsid w:val="007C305E"/>
    <w:rsid w:val="007C31F9"/>
    <w:rsid w:val="007C33EE"/>
    <w:rsid w:val="007C33F9"/>
    <w:rsid w:val="007C36CC"/>
    <w:rsid w:val="007C3756"/>
    <w:rsid w:val="007C386B"/>
    <w:rsid w:val="007C38E5"/>
    <w:rsid w:val="007C395B"/>
    <w:rsid w:val="007C3D47"/>
    <w:rsid w:val="007C3D75"/>
    <w:rsid w:val="007C3D8E"/>
    <w:rsid w:val="007C3D97"/>
    <w:rsid w:val="007C3F1C"/>
    <w:rsid w:val="007C44FE"/>
    <w:rsid w:val="007C4531"/>
    <w:rsid w:val="007C478C"/>
    <w:rsid w:val="007C494E"/>
    <w:rsid w:val="007C4AE6"/>
    <w:rsid w:val="007C4BD1"/>
    <w:rsid w:val="007C4DD5"/>
    <w:rsid w:val="007C4EA6"/>
    <w:rsid w:val="007C4FBD"/>
    <w:rsid w:val="007C4FDF"/>
    <w:rsid w:val="007C5590"/>
    <w:rsid w:val="007C5631"/>
    <w:rsid w:val="007C5701"/>
    <w:rsid w:val="007C57B6"/>
    <w:rsid w:val="007C582C"/>
    <w:rsid w:val="007C5A8B"/>
    <w:rsid w:val="007C5DB1"/>
    <w:rsid w:val="007C5F72"/>
    <w:rsid w:val="007C5F76"/>
    <w:rsid w:val="007C623C"/>
    <w:rsid w:val="007C6813"/>
    <w:rsid w:val="007C68FC"/>
    <w:rsid w:val="007C6B3E"/>
    <w:rsid w:val="007C6C92"/>
    <w:rsid w:val="007C6F9E"/>
    <w:rsid w:val="007C7271"/>
    <w:rsid w:val="007C7AC4"/>
    <w:rsid w:val="007C7D70"/>
    <w:rsid w:val="007C7DB3"/>
    <w:rsid w:val="007C7F09"/>
    <w:rsid w:val="007D00B1"/>
    <w:rsid w:val="007D0115"/>
    <w:rsid w:val="007D0186"/>
    <w:rsid w:val="007D02AB"/>
    <w:rsid w:val="007D0375"/>
    <w:rsid w:val="007D0450"/>
    <w:rsid w:val="007D07BE"/>
    <w:rsid w:val="007D0919"/>
    <w:rsid w:val="007D0989"/>
    <w:rsid w:val="007D0B49"/>
    <w:rsid w:val="007D0D45"/>
    <w:rsid w:val="007D10D6"/>
    <w:rsid w:val="007D114E"/>
    <w:rsid w:val="007D11BF"/>
    <w:rsid w:val="007D122E"/>
    <w:rsid w:val="007D177F"/>
    <w:rsid w:val="007D17F6"/>
    <w:rsid w:val="007D1858"/>
    <w:rsid w:val="007D1909"/>
    <w:rsid w:val="007D19F7"/>
    <w:rsid w:val="007D1BE5"/>
    <w:rsid w:val="007D1CE3"/>
    <w:rsid w:val="007D204A"/>
    <w:rsid w:val="007D2154"/>
    <w:rsid w:val="007D23E2"/>
    <w:rsid w:val="007D27B4"/>
    <w:rsid w:val="007D299F"/>
    <w:rsid w:val="007D2A3D"/>
    <w:rsid w:val="007D2B4E"/>
    <w:rsid w:val="007D2C27"/>
    <w:rsid w:val="007D2C63"/>
    <w:rsid w:val="007D2D05"/>
    <w:rsid w:val="007D2F15"/>
    <w:rsid w:val="007D3069"/>
    <w:rsid w:val="007D30A9"/>
    <w:rsid w:val="007D312B"/>
    <w:rsid w:val="007D3202"/>
    <w:rsid w:val="007D3AB1"/>
    <w:rsid w:val="007D3B5E"/>
    <w:rsid w:val="007D3C87"/>
    <w:rsid w:val="007D41E5"/>
    <w:rsid w:val="007D4450"/>
    <w:rsid w:val="007D449D"/>
    <w:rsid w:val="007D45CD"/>
    <w:rsid w:val="007D48E6"/>
    <w:rsid w:val="007D4E7C"/>
    <w:rsid w:val="007D4F7B"/>
    <w:rsid w:val="007D5044"/>
    <w:rsid w:val="007D52D1"/>
    <w:rsid w:val="007D52EC"/>
    <w:rsid w:val="007D56B9"/>
    <w:rsid w:val="007D5972"/>
    <w:rsid w:val="007D5986"/>
    <w:rsid w:val="007D5BA6"/>
    <w:rsid w:val="007D5D12"/>
    <w:rsid w:val="007D5F7B"/>
    <w:rsid w:val="007D62AB"/>
    <w:rsid w:val="007D692D"/>
    <w:rsid w:val="007D695D"/>
    <w:rsid w:val="007D6F08"/>
    <w:rsid w:val="007D700B"/>
    <w:rsid w:val="007D7264"/>
    <w:rsid w:val="007D72CC"/>
    <w:rsid w:val="007D7396"/>
    <w:rsid w:val="007D7401"/>
    <w:rsid w:val="007D7524"/>
    <w:rsid w:val="007D75AC"/>
    <w:rsid w:val="007D75BD"/>
    <w:rsid w:val="007D796C"/>
    <w:rsid w:val="007D79A9"/>
    <w:rsid w:val="007D7A11"/>
    <w:rsid w:val="007D7EAC"/>
    <w:rsid w:val="007E006B"/>
    <w:rsid w:val="007E00EF"/>
    <w:rsid w:val="007E021D"/>
    <w:rsid w:val="007E0269"/>
    <w:rsid w:val="007E04DC"/>
    <w:rsid w:val="007E05E3"/>
    <w:rsid w:val="007E064B"/>
    <w:rsid w:val="007E0697"/>
    <w:rsid w:val="007E06B1"/>
    <w:rsid w:val="007E0780"/>
    <w:rsid w:val="007E078C"/>
    <w:rsid w:val="007E08A2"/>
    <w:rsid w:val="007E08C3"/>
    <w:rsid w:val="007E095C"/>
    <w:rsid w:val="007E099F"/>
    <w:rsid w:val="007E0A13"/>
    <w:rsid w:val="007E0B4B"/>
    <w:rsid w:val="007E0BB0"/>
    <w:rsid w:val="007E0D09"/>
    <w:rsid w:val="007E0D4D"/>
    <w:rsid w:val="007E0E10"/>
    <w:rsid w:val="007E0EC3"/>
    <w:rsid w:val="007E0EE7"/>
    <w:rsid w:val="007E0F2A"/>
    <w:rsid w:val="007E10C6"/>
    <w:rsid w:val="007E1172"/>
    <w:rsid w:val="007E125D"/>
    <w:rsid w:val="007E14D9"/>
    <w:rsid w:val="007E154E"/>
    <w:rsid w:val="007E1634"/>
    <w:rsid w:val="007E1823"/>
    <w:rsid w:val="007E1A89"/>
    <w:rsid w:val="007E1AF6"/>
    <w:rsid w:val="007E1D2E"/>
    <w:rsid w:val="007E1D6A"/>
    <w:rsid w:val="007E2258"/>
    <w:rsid w:val="007E2A1F"/>
    <w:rsid w:val="007E2B04"/>
    <w:rsid w:val="007E2C66"/>
    <w:rsid w:val="007E2D17"/>
    <w:rsid w:val="007E2D37"/>
    <w:rsid w:val="007E2D3B"/>
    <w:rsid w:val="007E2E7D"/>
    <w:rsid w:val="007E2EA1"/>
    <w:rsid w:val="007E30AA"/>
    <w:rsid w:val="007E34A8"/>
    <w:rsid w:val="007E3655"/>
    <w:rsid w:val="007E37C1"/>
    <w:rsid w:val="007E3969"/>
    <w:rsid w:val="007E396A"/>
    <w:rsid w:val="007E3AC2"/>
    <w:rsid w:val="007E3B2C"/>
    <w:rsid w:val="007E3EA7"/>
    <w:rsid w:val="007E3EAF"/>
    <w:rsid w:val="007E3F84"/>
    <w:rsid w:val="007E3F99"/>
    <w:rsid w:val="007E41E4"/>
    <w:rsid w:val="007E4435"/>
    <w:rsid w:val="007E4465"/>
    <w:rsid w:val="007E466E"/>
    <w:rsid w:val="007E46D1"/>
    <w:rsid w:val="007E46EB"/>
    <w:rsid w:val="007E4838"/>
    <w:rsid w:val="007E4886"/>
    <w:rsid w:val="007E49AC"/>
    <w:rsid w:val="007E4A45"/>
    <w:rsid w:val="007E4C66"/>
    <w:rsid w:val="007E4E41"/>
    <w:rsid w:val="007E4E48"/>
    <w:rsid w:val="007E5540"/>
    <w:rsid w:val="007E5622"/>
    <w:rsid w:val="007E5712"/>
    <w:rsid w:val="007E574F"/>
    <w:rsid w:val="007E588A"/>
    <w:rsid w:val="007E58A0"/>
    <w:rsid w:val="007E59FB"/>
    <w:rsid w:val="007E5A4A"/>
    <w:rsid w:val="007E5A85"/>
    <w:rsid w:val="007E5E96"/>
    <w:rsid w:val="007E5FED"/>
    <w:rsid w:val="007E6093"/>
    <w:rsid w:val="007E60A5"/>
    <w:rsid w:val="007E6210"/>
    <w:rsid w:val="007E622C"/>
    <w:rsid w:val="007E6370"/>
    <w:rsid w:val="007E6467"/>
    <w:rsid w:val="007E6473"/>
    <w:rsid w:val="007E64C2"/>
    <w:rsid w:val="007E6C59"/>
    <w:rsid w:val="007E6E80"/>
    <w:rsid w:val="007E6F59"/>
    <w:rsid w:val="007E71CB"/>
    <w:rsid w:val="007E725E"/>
    <w:rsid w:val="007E74AE"/>
    <w:rsid w:val="007E757B"/>
    <w:rsid w:val="007E7683"/>
    <w:rsid w:val="007E77BF"/>
    <w:rsid w:val="007E7995"/>
    <w:rsid w:val="007E7C03"/>
    <w:rsid w:val="007E7DB7"/>
    <w:rsid w:val="007E7E23"/>
    <w:rsid w:val="007F03BE"/>
    <w:rsid w:val="007F041B"/>
    <w:rsid w:val="007F04C1"/>
    <w:rsid w:val="007F074B"/>
    <w:rsid w:val="007F0A31"/>
    <w:rsid w:val="007F0B6E"/>
    <w:rsid w:val="007F0FF6"/>
    <w:rsid w:val="007F130B"/>
    <w:rsid w:val="007F136C"/>
    <w:rsid w:val="007F1389"/>
    <w:rsid w:val="007F17EB"/>
    <w:rsid w:val="007F1EC9"/>
    <w:rsid w:val="007F1F95"/>
    <w:rsid w:val="007F222C"/>
    <w:rsid w:val="007F24CC"/>
    <w:rsid w:val="007F25BC"/>
    <w:rsid w:val="007F26D3"/>
    <w:rsid w:val="007F27F7"/>
    <w:rsid w:val="007F28C2"/>
    <w:rsid w:val="007F2C8C"/>
    <w:rsid w:val="007F2DD4"/>
    <w:rsid w:val="007F2FCC"/>
    <w:rsid w:val="007F304A"/>
    <w:rsid w:val="007F31FE"/>
    <w:rsid w:val="007F331A"/>
    <w:rsid w:val="007F3466"/>
    <w:rsid w:val="007F3967"/>
    <w:rsid w:val="007F3B30"/>
    <w:rsid w:val="007F3C52"/>
    <w:rsid w:val="007F3CDC"/>
    <w:rsid w:val="007F3E77"/>
    <w:rsid w:val="007F3EF2"/>
    <w:rsid w:val="007F410B"/>
    <w:rsid w:val="007F4225"/>
    <w:rsid w:val="007F4408"/>
    <w:rsid w:val="007F44FD"/>
    <w:rsid w:val="007F4897"/>
    <w:rsid w:val="007F4908"/>
    <w:rsid w:val="007F49D9"/>
    <w:rsid w:val="007F4A3A"/>
    <w:rsid w:val="007F4A3F"/>
    <w:rsid w:val="007F4AE3"/>
    <w:rsid w:val="007F4B2A"/>
    <w:rsid w:val="007F4E02"/>
    <w:rsid w:val="007F4E24"/>
    <w:rsid w:val="007F50B8"/>
    <w:rsid w:val="007F51B5"/>
    <w:rsid w:val="007F51CC"/>
    <w:rsid w:val="007F5215"/>
    <w:rsid w:val="007F52A5"/>
    <w:rsid w:val="007F551F"/>
    <w:rsid w:val="007F5791"/>
    <w:rsid w:val="007F586F"/>
    <w:rsid w:val="007F5979"/>
    <w:rsid w:val="007F5BD2"/>
    <w:rsid w:val="007F5DF4"/>
    <w:rsid w:val="007F5E66"/>
    <w:rsid w:val="007F62C8"/>
    <w:rsid w:val="007F65D5"/>
    <w:rsid w:val="007F6867"/>
    <w:rsid w:val="007F68E5"/>
    <w:rsid w:val="007F6A0E"/>
    <w:rsid w:val="007F70B5"/>
    <w:rsid w:val="007F71AC"/>
    <w:rsid w:val="007F75C6"/>
    <w:rsid w:val="007F77B8"/>
    <w:rsid w:val="007F78A8"/>
    <w:rsid w:val="007F79C2"/>
    <w:rsid w:val="007F7E13"/>
    <w:rsid w:val="007F7E2C"/>
    <w:rsid w:val="007F7F4F"/>
    <w:rsid w:val="008001F6"/>
    <w:rsid w:val="008003B9"/>
    <w:rsid w:val="00800444"/>
    <w:rsid w:val="00800918"/>
    <w:rsid w:val="00800937"/>
    <w:rsid w:val="008009E3"/>
    <w:rsid w:val="00800D16"/>
    <w:rsid w:val="0080101E"/>
    <w:rsid w:val="0080108A"/>
    <w:rsid w:val="00801135"/>
    <w:rsid w:val="008013A3"/>
    <w:rsid w:val="008013DF"/>
    <w:rsid w:val="0080159D"/>
    <w:rsid w:val="00801633"/>
    <w:rsid w:val="00801935"/>
    <w:rsid w:val="00801A14"/>
    <w:rsid w:val="00801BD9"/>
    <w:rsid w:val="00801F98"/>
    <w:rsid w:val="00801FB6"/>
    <w:rsid w:val="00801FD2"/>
    <w:rsid w:val="008021D8"/>
    <w:rsid w:val="008022A2"/>
    <w:rsid w:val="00802388"/>
    <w:rsid w:val="008027B0"/>
    <w:rsid w:val="008028C1"/>
    <w:rsid w:val="00802999"/>
    <w:rsid w:val="00802A43"/>
    <w:rsid w:val="00802AB7"/>
    <w:rsid w:val="00802AD1"/>
    <w:rsid w:val="00802BD9"/>
    <w:rsid w:val="00802DB3"/>
    <w:rsid w:val="00802E32"/>
    <w:rsid w:val="00802EBC"/>
    <w:rsid w:val="00803701"/>
    <w:rsid w:val="0080370B"/>
    <w:rsid w:val="008037DC"/>
    <w:rsid w:val="00803BF6"/>
    <w:rsid w:val="00803F15"/>
    <w:rsid w:val="0080413D"/>
    <w:rsid w:val="00804531"/>
    <w:rsid w:val="008045FF"/>
    <w:rsid w:val="0080486E"/>
    <w:rsid w:val="00804CF0"/>
    <w:rsid w:val="00804D19"/>
    <w:rsid w:val="00804F79"/>
    <w:rsid w:val="00804FAB"/>
    <w:rsid w:val="00805243"/>
    <w:rsid w:val="00805504"/>
    <w:rsid w:val="00805561"/>
    <w:rsid w:val="008057AA"/>
    <w:rsid w:val="0080580A"/>
    <w:rsid w:val="00805829"/>
    <w:rsid w:val="00805937"/>
    <w:rsid w:val="00805939"/>
    <w:rsid w:val="0080598F"/>
    <w:rsid w:val="00805A02"/>
    <w:rsid w:val="00805AD5"/>
    <w:rsid w:val="00805B67"/>
    <w:rsid w:val="00805D7D"/>
    <w:rsid w:val="00806038"/>
    <w:rsid w:val="008062F0"/>
    <w:rsid w:val="00806501"/>
    <w:rsid w:val="00806615"/>
    <w:rsid w:val="008067C0"/>
    <w:rsid w:val="00806845"/>
    <w:rsid w:val="00806A04"/>
    <w:rsid w:val="00806B45"/>
    <w:rsid w:val="00806EE3"/>
    <w:rsid w:val="00806F1B"/>
    <w:rsid w:val="008070D7"/>
    <w:rsid w:val="0080714D"/>
    <w:rsid w:val="00807188"/>
    <w:rsid w:val="008074B3"/>
    <w:rsid w:val="0080759A"/>
    <w:rsid w:val="00807794"/>
    <w:rsid w:val="0080786A"/>
    <w:rsid w:val="008078C5"/>
    <w:rsid w:val="00807910"/>
    <w:rsid w:val="00810090"/>
    <w:rsid w:val="008100F0"/>
    <w:rsid w:val="00810456"/>
    <w:rsid w:val="0081048F"/>
    <w:rsid w:val="00810515"/>
    <w:rsid w:val="0081062C"/>
    <w:rsid w:val="0081078D"/>
    <w:rsid w:val="008107CE"/>
    <w:rsid w:val="0081095D"/>
    <w:rsid w:val="00810C9E"/>
    <w:rsid w:val="00810D1D"/>
    <w:rsid w:val="00810D9C"/>
    <w:rsid w:val="008112E7"/>
    <w:rsid w:val="00811482"/>
    <w:rsid w:val="008115D5"/>
    <w:rsid w:val="00811AE0"/>
    <w:rsid w:val="00811B0D"/>
    <w:rsid w:val="00811BBC"/>
    <w:rsid w:val="00811BD6"/>
    <w:rsid w:val="00811CC2"/>
    <w:rsid w:val="00811D2A"/>
    <w:rsid w:val="00811FC8"/>
    <w:rsid w:val="008122CE"/>
    <w:rsid w:val="0081252B"/>
    <w:rsid w:val="008129EC"/>
    <w:rsid w:val="00812CBD"/>
    <w:rsid w:val="00812D3E"/>
    <w:rsid w:val="00812DE6"/>
    <w:rsid w:val="00812F67"/>
    <w:rsid w:val="00813101"/>
    <w:rsid w:val="0081320A"/>
    <w:rsid w:val="0081324B"/>
    <w:rsid w:val="00813494"/>
    <w:rsid w:val="00813504"/>
    <w:rsid w:val="00813A01"/>
    <w:rsid w:val="0081411D"/>
    <w:rsid w:val="008141B0"/>
    <w:rsid w:val="00814396"/>
    <w:rsid w:val="00814954"/>
    <w:rsid w:val="00814992"/>
    <w:rsid w:val="00814D87"/>
    <w:rsid w:val="00814E3B"/>
    <w:rsid w:val="00814F37"/>
    <w:rsid w:val="0081526C"/>
    <w:rsid w:val="00815396"/>
    <w:rsid w:val="00815635"/>
    <w:rsid w:val="008157BE"/>
    <w:rsid w:val="00815953"/>
    <w:rsid w:val="008159D4"/>
    <w:rsid w:val="00815A1D"/>
    <w:rsid w:val="00815B38"/>
    <w:rsid w:val="00815C1D"/>
    <w:rsid w:val="008160F8"/>
    <w:rsid w:val="0081649D"/>
    <w:rsid w:val="00816553"/>
    <w:rsid w:val="008167C9"/>
    <w:rsid w:val="008168D1"/>
    <w:rsid w:val="00816925"/>
    <w:rsid w:val="008169D5"/>
    <w:rsid w:val="00816F5A"/>
    <w:rsid w:val="00816F98"/>
    <w:rsid w:val="0081726D"/>
    <w:rsid w:val="008174CA"/>
    <w:rsid w:val="008175AD"/>
    <w:rsid w:val="0081765A"/>
    <w:rsid w:val="00817B14"/>
    <w:rsid w:val="00817D86"/>
    <w:rsid w:val="00817DB2"/>
    <w:rsid w:val="00820149"/>
    <w:rsid w:val="0082018C"/>
    <w:rsid w:val="008206DC"/>
    <w:rsid w:val="0082072A"/>
    <w:rsid w:val="00820907"/>
    <w:rsid w:val="00820BB3"/>
    <w:rsid w:val="00820C4E"/>
    <w:rsid w:val="00820C92"/>
    <w:rsid w:val="00820CAF"/>
    <w:rsid w:val="0082126C"/>
    <w:rsid w:val="008213D1"/>
    <w:rsid w:val="00821406"/>
    <w:rsid w:val="0082160B"/>
    <w:rsid w:val="008216AD"/>
    <w:rsid w:val="0082172E"/>
    <w:rsid w:val="008218D9"/>
    <w:rsid w:val="008219CD"/>
    <w:rsid w:val="008219EC"/>
    <w:rsid w:val="00821B75"/>
    <w:rsid w:val="00821B9B"/>
    <w:rsid w:val="00821DCD"/>
    <w:rsid w:val="00821DFC"/>
    <w:rsid w:val="00821E8C"/>
    <w:rsid w:val="0082210D"/>
    <w:rsid w:val="008222FF"/>
    <w:rsid w:val="008223B1"/>
    <w:rsid w:val="008223E1"/>
    <w:rsid w:val="008224F7"/>
    <w:rsid w:val="00822593"/>
    <w:rsid w:val="00822929"/>
    <w:rsid w:val="00822A38"/>
    <w:rsid w:val="00822AB0"/>
    <w:rsid w:val="00822C2E"/>
    <w:rsid w:val="008231BA"/>
    <w:rsid w:val="00823784"/>
    <w:rsid w:val="0082379A"/>
    <w:rsid w:val="0082389C"/>
    <w:rsid w:val="008238FE"/>
    <w:rsid w:val="00823F7E"/>
    <w:rsid w:val="00823FD5"/>
    <w:rsid w:val="00824332"/>
    <w:rsid w:val="0082461B"/>
    <w:rsid w:val="008246E9"/>
    <w:rsid w:val="00824A14"/>
    <w:rsid w:val="00824B55"/>
    <w:rsid w:val="00824E5F"/>
    <w:rsid w:val="00824E95"/>
    <w:rsid w:val="00824EA6"/>
    <w:rsid w:val="008254AE"/>
    <w:rsid w:val="0082579B"/>
    <w:rsid w:val="008258EF"/>
    <w:rsid w:val="00825EC8"/>
    <w:rsid w:val="00825F64"/>
    <w:rsid w:val="00826596"/>
    <w:rsid w:val="008267C6"/>
    <w:rsid w:val="00826A3A"/>
    <w:rsid w:val="00826A68"/>
    <w:rsid w:val="00826A87"/>
    <w:rsid w:val="00826AEA"/>
    <w:rsid w:val="00826B8D"/>
    <w:rsid w:val="00826D4D"/>
    <w:rsid w:val="00826D9B"/>
    <w:rsid w:val="00827061"/>
    <w:rsid w:val="008270CA"/>
    <w:rsid w:val="00827115"/>
    <w:rsid w:val="008272DD"/>
    <w:rsid w:val="008274C4"/>
    <w:rsid w:val="00827531"/>
    <w:rsid w:val="008275E1"/>
    <w:rsid w:val="00827712"/>
    <w:rsid w:val="00827829"/>
    <w:rsid w:val="00827B70"/>
    <w:rsid w:val="00827E27"/>
    <w:rsid w:val="00827E3E"/>
    <w:rsid w:val="00830006"/>
    <w:rsid w:val="00830070"/>
    <w:rsid w:val="008300C1"/>
    <w:rsid w:val="008300E5"/>
    <w:rsid w:val="008300F2"/>
    <w:rsid w:val="008300FD"/>
    <w:rsid w:val="00830575"/>
    <w:rsid w:val="00830668"/>
    <w:rsid w:val="008309FC"/>
    <w:rsid w:val="00830D66"/>
    <w:rsid w:val="00831159"/>
    <w:rsid w:val="008311CA"/>
    <w:rsid w:val="0083120D"/>
    <w:rsid w:val="00831378"/>
    <w:rsid w:val="008314E7"/>
    <w:rsid w:val="0083158F"/>
    <w:rsid w:val="00831624"/>
    <w:rsid w:val="0083192E"/>
    <w:rsid w:val="00831980"/>
    <w:rsid w:val="008319BD"/>
    <w:rsid w:val="00831A13"/>
    <w:rsid w:val="00831D54"/>
    <w:rsid w:val="00831EE7"/>
    <w:rsid w:val="00832032"/>
    <w:rsid w:val="0083210F"/>
    <w:rsid w:val="00832110"/>
    <w:rsid w:val="00832316"/>
    <w:rsid w:val="008325B4"/>
    <w:rsid w:val="008325FC"/>
    <w:rsid w:val="0083263D"/>
    <w:rsid w:val="0083270F"/>
    <w:rsid w:val="0083285D"/>
    <w:rsid w:val="00832A5E"/>
    <w:rsid w:val="00832F3A"/>
    <w:rsid w:val="00833109"/>
    <w:rsid w:val="00833119"/>
    <w:rsid w:val="008332D3"/>
    <w:rsid w:val="008332E6"/>
    <w:rsid w:val="00833398"/>
    <w:rsid w:val="008333FA"/>
    <w:rsid w:val="00833AE2"/>
    <w:rsid w:val="00833C44"/>
    <w:rsid w:val="00833E62"/>
    <w:rsid w:val="00833E8F"/>
    <w:rsid w:val="00833E9D"/>
    <w:rsid w:val="00833EAA"/>
    <w:rsid w:val="00834000"/>
    <w:rsid w:val="008340D4"/>
    <w:rsid w:val="00834136"/>
    <w:rsid w:val="00834204"/>
    <w:rsid w:val="0083420C"/>
    <w:rsid w:val="00834293"/>
    <w:rsid w:val="008344E5"/>
    <w:rsid w:val="0083466B"/>
    <w:rsid w:val="008347E8"/>
    <w:rsid w:val="0083483A"/>
    <w:rsid w:val="00834BE4"/>
    <w:rsid w:val="00834E34"/>
    <w:rsid w:val="00834EDE"/>
    <w:rsid w:val="0083507C"/>
    <w:rsid w:val="0083513D"/>
    <w:rsid w:val="008351A8"/>
    <w:rsid w:val="008353BE"/>
    <w:rsid w:val="00835498"/>
    <w:rsid w:val="008358B9"/>
    <w:rsid w:val="008359D8"/>
    <w:rsid w:val="008359DA"/>
    <w:rsid w:val="00835A30"/>
    <w:rsid w:val="00835A70"/>
    <w:rsid w:val="00835CF3"/>
    <w:rsid w:val="00835D8F"/>
    <w:rsid w:val="00835EF8"/>
    <w:rsid w:val="00836045"/>
    <w:rsid w:val="008362E6"/>
    <w:rsid w:val="00836352"/>
    <w:rsid w:val="0083640E"/>
    <w:rsid w:val="00836492"/>
    <w:rsid w:val="008368A3"/>
    <w:rsid w:val="008369AC"/>
    <w:rsid w:val="008369D7"/>
    <w:rsid w:val="00836D05"/>
    <w:rsid w:val="00836DC4"/>
    <w:rsid w:val="00836F66"/>
    <w:rsid w:val="0083701E"/>
    <w:rsid w:val="008371C3"/>
    <w:rsid w:val="0083735A"/>
    <w:rsid w:val="00837573"/>
    <w:rsid w:val="00837AFF"/>
    <w:rsid w:val="00837BE9"/>
    <w:rsid w:val="0084018C"/>
    <w:rsid w:val="008403B5"/>
    <w:rsid w:val="008403E1"/>
    <w:rsid w:val="008406A6"/>
    <w:rsid w:val="00840706"/>
    <w:rsid w:val="0084076E"/>
    <w:rsid w:val="00840A7D"/>
    <w:rsid w:val="00840BB0"/>
    <w:rsid w:val="00840C41"/>
    <w:rsid w:val="00840E05"/>
    <w:rsid w:val="00840F8A"/>
    <w:rsid w:val="00840F9E"/>
    <w:rsid w:val="0084186B"/>
    <w:rsid w:val="00841B09"/>
    <w:rsid w:val="00841BEF"/>
    <w:rsid w:val="00841D79"/>
    <w:rsid w:val="00841FBC"/>
    <w:rsid w:val="0084207E"/>
    <w:rsid w:val="00842125"/>
    <w:rsid w:val="00842173"/>
    <w:rsid w:val="00842432"/>
    <w:rsid w:val="008425A8"/>
    <w:rsid w:val="008425AB"/>
    <w:rsid w:val="0084272B"/>
    <w:rsid w:val="008427CA"/>
    <w:rsid w:val="0084283D"/>
    <w:rsid w:val="00842B04"/>
    <w:rsid w:val="00842CDA"/>
    <w:rsid w:val="00842E06"/>
    <w:rsid w:val="00842F28"/>
    <w:rsid w:val="00842FED"/>
    <w:rsid w:val="0084302A"/>
    <w:rsid w:val="00843262"/>
    <w:rsid w:val="008432AF"/>
    <w:rsid w:val="0084342E"/>
    <w:rsid w:val="0084397D"/>
    <w:rsid w:val="00843A69"/>
    <w:rsid w:val="00843BF9"/>
    <w:rsid w:val="00843C76"/>
    <w:rsid w:val="00843DCF"/>
    <w:rsid w:val="0084415E"/>
    <w:rsid w:val="0084442C"/>
    <w:rsid w:val="00844700"/>
    <w:rsid w:val="0084485D"/>
    <w:rsid w:val="008449B7"/>
    <w:rsid w:val="00844B87"/>
    <w:rsid w:val="00844E9C"/>
    <w:rsid w:val="00844F0B"/>
    <w:rsid w:val="0084554E"/>
    <w:rsid w:val="0084570C"/>
    <w:rsid w:val="0084575A"/>
    <w:rsid w:val="0084583C"/>
    <w:rsid w:val="008459FF"/>
    <w:rsid w:val="00845D07"/>
    <w:rsid w:val="00846037"/>
    <w:rsid w:val="008460AA"/>
    <w:rsid w:val="0084624D"/>
    <w:rsid w:val="00846334"/>
    <w:rsid w:val="00846424"/>
    <w:rsid w:val="008464D3"/>
    <w:rsid w:val="00846501"/>
    <w:rsid w:val="00846522"/>
    <w:rsid w:val="00846B30"/>
    <w:rsid w:val="00846C2D"/>
    <w:rsid w:val="00846C3B"/>
    <w:rsid w:val="00846C98"/>
    <w:rsid w:val="00846DFB"/>
    <w:rsid w:val="00846F92"/>
    <w:rsid w:val="00847098"/>
    <w:rsid w:val="0084714E"/>
    <w:rsid w:val="008471FD"/>
    <w:rsid w:val="00847309"/>
    <w:rsid w:val="00847442"/>
    <w:rsid w:val="0084759C"/>
    <w:rsid w:val="008476D2"/>
    <w:rsid w:val="008477AF"/>
    <w:rsid w:val="00847993"/>
    <w:rsid w:val="00847C66"/>
    <w:rsid w:val="00847F4C"/>
    <w:rsid w:val="00847FC7"/>
    <w:rsid w:val="008502C1"/>
    <w:rsid w:val="0085046C"/>
    <w:rsid w:val="008506F0"/>
    <w:rsid w:val="00850755"/>
    <w:rsid w:val="00850D02"/>
    <w:rsid w:val="00850F3F"/>
    <w:rsid w:val="00850F6C"/>
    <w:rsid w:val="00850F96"/>
    <w:rsid w:val="0085114B"/>
    <w:rsid w:val="00851351"/>
    <w:rsid w:val="0085135D"/>
    <w:rsid w:val="0085135F"/>
    <w:rsid w:val="0085136E"/>
    <w:rsid w:val="008514B5"/>
    <w:rsid w:val="00851639"/>
    <w:rsid w:val="0085169A"/>
    <w:rsid w:val="008516B0"/>
    <w:rsid w:val="00851739"/>
    <w:rsid w:val="008517C0"/>
    <w:rsid w:val="00851A31"/>
    <w:rsid w:val="00851B2A"/>
    <w:rsid w:val="00851CC7"/>
    <w:rsid w:val="00851DCA"/>
    <w:rsid w:val="00851FAA"/>
    <w:rsid w:val="0085203D"/>
    <w:rsid w:val="008523FF"/>
    <w:rsid w:val="008524A3"/>
    <w:rsid w:val="0085254B"/>
    <w:rsid w:val="008526BA"/>
    <w:rsid w:val="0085276C"/>
    <w:rsid w:val="00852B92"/>
    <w:rsid w:val="0085329B"/>
    <w:rsid w:val="00853324"/>
    <w:rsid w:val="00853645"/>
    <w:rsid w:val="0085370F"/>
    <w:rsid w:val="00853A0D"/>
    <w:rsid w:val="00853B5E"/>
    <w:rsid w:val="00853B8C"/>
    <w:rsid w:val="00853CDC"/>
    <w:rsid w:val="00853D8B"/>
    <w:rsid w:val="00854200"/>
    <w:rsid w:val="00854418"/>
    <w:rsid w:val="00854473"/>
    <w:rsid w:val="0085479E"/>
    <w:rsid w:val="008547E2"/>
    <w:rsid w:val="0085488F"/>
    <w:rsid w:val="00854E64"/>
    <w:rsid w:val="008551BA"/>
    <w:rsid w:val="00855423"/>
    <w:rsid w:val="008554A3"/>
    <w:rsid w:val="00855656"/>
    <w:rsid w:val="008558E2"/>
    <w:rsid w:val="0085597F"/>
    <w:rsid w:val="0085599D"/>
    <w:rsid w:val="00855D4E"/>
    <w:rsid w:val="00855DA1"/>
    <w:rsid w:val="00855FD7"/>
    <w:rsid w:val="0085602C"/>
    <w:rsid w:val="008560D6"/>
    <w:rsid w:val="00856410"/>
    <w:rsid w:val="00856476"/>
    <w:rsid w:val="0085657A"/>
    <w:rsid w:val="008565B0"/>
    <w:rsid w:val="00856843"/>
    <w:rsid w:val="00856AB0"/>
    <w:rsid w:val="00856ADB"/>
    <w:rsid w:val="00856B64"/>
    <w:rsid w:val="008571CA"/>
    <w:rsid w:val="008573A8"/>
    <w:rsid w:val="00857563"/>
    <w:rsid w:val="00857665"/>
    <w:rsid w:val="008576B6"/>
    <w:rsid w:val="00857D17"/>
    <w:rsid w:val="00857FC9"/>
    <w:rsid w:val="008600A3"/>
    <w:rsid w:val="0086064D"/>
    <w:rsid w:val="0086086B"/>
    <w:rsid w:val="008608F3"/>
    <w:rsid w:val="00860A27"/>
    <w:rsid w:val="00860A3C"/>
    <w:rsid w:val="00860AF8"/>
    <w:rsid w:val="00860FBB"/>
    <w:rsid w:val="0086118A"/>
    <w:rsid w:val="0086149E"/>
    <w:rsid w:val="00861503"/>
    <w:rsid w:val="00861529"/>
    <w:rsid w:val="00861AEA"/>
    <w:rsid w:val="00861BD0"/>
    <w:rsid w:val="00861DFA"/>
    <w:rsid w:val="00861E47"/>
    <w:rsid w:val="00861FCF"/>
    <w:rsid w:val="008622BC"/>
    <w:rsid w:val="0086232F"/>
    <w:rsid w:val="008625B3"/>
    <w:rsid w:val="0086272D"/>
    <w:rsid w:val="00862AC0"/>
    <w:rsid w:val="00862AF9"/>
    <w:rsid w:val="00862D55"/>
    <w:rsid w:val="00862E79"/>
    <w:rsid w:val="00862F53"/>
    <w:rsid w:val="00863217"/>
    <w:rsid w:val="00863370"/>
    <w:rsid w:val="0086349E"/>
    <w:rsid w:val="008634E0"/>
    <w:rsid w:val="008636A0"/>
    <w:rsid w:val="008637C6"/>
    <w:rsid w:val="00863B28"/>
    <w:rsid w:val="00863BA0"/>
    <w:rsid w:val="00863FB3"/>
    <w:rsid w:val="00864067"/>
    <w:rsid w:val="008641D7"/>
    <w:rsid w:val="008642D0"/>
    <w:rsid w:val="008647AD"/>
    <w:rsid w:val="00864855"/>
    <w:rsid w:val="00864B23"/>
    <w:rsid w:val="00864B5F"/>
    <w:rsid w:val="00864EC9"/>
    <w:rsid w:val="00865110"/>
    <w:rsid w:val="00865192"/>
    <w:rsid w:val="00865326"/>
    <w:rsid w:val="008655B7"/>
    <w:rsid w:val="00865673"/>
    <w:rsid w:val="0086584D"/>
    <w:rsid w:val="008658F3"/>
    <w:rsid w:val="00865CDA"/>
    <w:rsid w:val="00865D32"/>
    <w:rsid w:val="00865D6F"/>
    <w:rsid w:val="00865E15"/>
    <w:rsid w:val="00865ECE"/>
    <w:rsid w:val="00866037"/>
    <w:rsid w:val="008660EB"/>
    <w:rsid w:val="00866195"/>
    <w:rsid w:val="00866203"/>
    <w:rsid w:val="0086638A"/>
    <w:rsid w:val="00866560"/>
    <w:rsid w:val="0086688A"/>
    <w:rsid w:val="00866960"/>
    <w:rsid w:val="00866BCC"/>
    <w:rsid w:val="00866C0D"/>
    <w:rsid w:val="00866DD5"/>
    <w:rsid w:val="00867183"/>
    <w:rsid w:val="008676C2"/>
    <w:rsid w:val="00867728"/>
    <w:rsid w:val="0086779A"/>
    <w:rsid w:val="0086783E"/>
    <w:rsid w:val="008678D0"/>
    <w:rsid w:val="00867936"/>
    <w:rsid w:val="00867D1C"/>
    <w:rsid w:val="00867D9B"/>
    <w:rsid w:val="00867E9A"/>
    <w:rsid w:val="00867F2E"/>
    <w:rsid w:val="00870233"/>
    <w:rsid w:val="00870658"/>
    <w:rsid w:val="00870855"/>
    <w:rsid w:val="0087088E"/>
    <w:rsid w:val="0087099B"/>
    <w:rsid w:val="00870A96"/>
    <w:rsid w:val="00870B86"/>
    <w:rsid w:val="00870BFD"/>
    <w:rsid w:val="00870C67"/>
    <w:rsid w:val="00870D91"/>
    <w:rsid w:val="00870DD1"/>
    <w:rsid w:val="00871164"/>
    <w:rsid w:val="008711DB"/>
    <w:rsid w:val="00871249"/>
    <w:rsid w:val="00871336"/>
    <w:rsid w:val="00871366"/>
    <w:rsid w:val="00871437"/>
    <w:rsid w:val="00871582"/>
    <w:rsid w:val="00871926"/>
    <w:rsid w:val="00871A7D"/>
    <w:rsid w:val="00871AD2"/>
    <w:rsid w:val="00871B0B"/>
    <w:rsid w:val="00871B24"/>
    <w:rsid w:val="00871BEC"/>
    <w:rsid w:val="00871EE0"/>
    <w:rsid w:val="00871F83"/>
    <w:rsid w:val="008721CA"/>
    <w:rsid w:val="00872406"/>
    <w:rsid w:val="0087257E"/>
    <w:rsid w:val="008725C8"/>
    <w:rsid w:val="00872684"/>
    <w:rsid w:val="008729BF"/>
    <w:rsid w:val="00872BE5"/>
    <w:rsid w:val="00872ECB"/>
    <w:rsid w:val="00872F49"/>
    <w:rsid w:val="008732A4"/>
    <w:rsid w:val="0087383B"/>
    <w:rsid w:val="008739C9"/>
    <w:rsid w:val="00873B69"/>
    <w:rsid w:val="00873CAC"/>
    <w:rsid w:val="00873F38"/>
    <w:rsid w:val="0087412C"/>
    <w:rsid w:val="008741C2"/>
    <w:rsid w:val="00874285"/>
    <w:rsid w:val="008743AC"/>
    <w:rsid w:val="00874508"/>
    <w:rsid w:val="00874777"/>
    <w:rsid w:val="00874785"/>
    <w:rsid w:val="00874AF3"/>
    <w:rsid w:val="00874CCB"/>
    <w:rsid w:val="00874D51"/>
    <w:rsid w:val="00874DBC"/>
    <w:rsid w:val="00874EDA"/>
    <w:rsid w:val="00874F8E"/>
    <w:rsid w:val="00875104"/>
    <w:rsid w:val="00875275"/>
    <w:rsid w:val="00875315"/>
    <w:rsid w:val="008753C4"/>
    <w:rsid w:val="00875429"/>
    <w:rsid w:val="008754A0"/>
    <w:rsid w:val="008754A1"/>
    <w:rsid w:val="00875DFC"/>
    <w:rsid w:val="00875E4E"/>
    <w:rsid w:val="0087605F"/>
    <w:rsid w:val="008761EB"/>
    <w:rsid w:val="0087629A"/>
    <w:rsid w:val="00876474"/>
    <w:rsid w:val="00876625"/>
    <w:rsid w:val="00876BA8"/>
    <w:rsid w:val="00876BB1"/>
    <w:rsid w:val="008770C3"/>
    <w:rsid w:val="00877168"/>
    <w:rsid w:val="0087730B"/>
    <w:rsid w:val="00877509"/>
    <w:rsid w:val="0087753C"/>
    <w:rsid w:val="00877579"/>
    <w:rsid w:val="008777BD"/>
    <w:rsid w:val="00877A6B"/>
    <w:rsid w:val="00877B06"/>
    <w:rsid w:val="00877CEA"/>
    <w:rsid w:val="00877DCD"/>
    <w:rsid w:val="00877F4E"/>
    <w:rsid w:val="00877FB3"/>
    <w:rsid w:val="008801E3"/>
    <w:rsid w:val="00880452"/>
    <w:rsid w:val="008804C2"/>
    <w:rsid w:val="008804C5"/>
    <w:rsid w:val="0088052A"/>
    <w:rsid w:val="0088088A"/>
    <w:rsid w:val="00880965"/>
    <w:rsid w:val="00880A5E"/>
    <w:rsid w:val="00880DB9"/>
    <w:rsid w:val="00880E89"/>
    <w:rsid w:val="00881010"/>
    <w:rsid w:val="008810C8"/>
    <w:rsid w:val="008812E0"/>
    <w:rsid w:val="00881389"/>
    <w:rsid w:val="00881C57"/>
    <w:rsid w:val="00881D0F"/>
    <w:rsid w:val="008820B1"/>
    <w:rsid w:val="00882174"/>
    <w:rsid w:val="008822CB"/>
    <w:rsid w:val="0088241B"/>
    <w:rsid w:val="00882608"/>
    <w:rsid w:val="008827ED"/>
    <w:rsid w:val="008828D2"/>
    <w:rsid w:val="00882930"/>
    <w:rsid w:val="00882B24"/>
    <w:rsid w:val="00882B46"/>
    <w:rsid w:val="00882C19"/>
    <w:rsid w:val="00882D0F"/>
    <w:rsid w:val="00882ED0"/>
    <w:rsid w:val="00882FD3"/>
    <w:rsid w:val="00883094"/>
    <w:rsid w:val="0088344B"/>
    <w:rsid w:val="0088388B"/>
    <w:rsid w:val="00883DE8"/>
    <w:rsid w:val="00883E88"/>
    <w:rsid w:val="0088421F"/>
    <w:rsid w:val="008842D0"/>
    <w:rsid w:val="00884511"/>
    <w:rsid w:val="008845E9"/>
    <w:rsid w:val="00884610"/>
    <w:rsid w:val="00884C68"/>
    <w:rsid w:val="00884C90"/>
    <w:rsid w:val="00884D13"/>
    <w:rsid w:val="00885000"/>
    <w:rsid w:val="00885061"/>
    <w:rsid w:val="00885256"/>
    <w:rsid w:val="0088561D"/>
    <w:rsid w:val="00885670"/>
    <w:rsid w:val="008856E8"/>
    <w:rsid w:val="008857C3"/>
    <w:rsid w:val="00885A2D"/>
    <w:rsid w:val="00885BF7"/>
    <w:rsid w:val="008864E6"/>
    <w:rsid w:val="008865EC"/>
    <w:rsid w:val="00886640"/>
    <w:rsid w:val="00886704"/>
    <w:rsid w:val="00886752"/>
    <w:rsid w:val="00886E29"/>
    <w:rsid w:val="008871D9"/>
    <w:rsid w:val="00887359"/>
    <w:rsid w:val="00887AB6"/>
    <w:rsid w:val="00887D0A"/>
    <w:rsid w:val="00887DEA"/>
    <w:rsid w:val="00887E10"/>
    <w:rsid w:val="00887E33"/>
    <w:rsid w:val="00887EB0"/>
    <w:rsid w:val="00887F5E"/>
    <w:rsid w:val="00890207"/>
    <w:rsid w:val="008903D8"/>
    <w:rsid w:val="008903E7"/>
    <w:rsid w:val="00890623"/>
    <w:rsid w:val="008909B9"/>
    <w:rsid w:val="00890AD7"/>
    <w:rsid w:val="00890E5E"/>
    <w:rsid w:val="00890FCD"/>
    <w:rsid w:val="00891164"/>
    <w:rsid w:val="00891523"/>
    <w:rsid w:val="00891622"/>
    <w:rsid w:val="008917A7"/>
    <w:rsid w:val="00891A06"/>
    <w:rsid w:val="00891AF4"/>
    <w:rsid w:val="00891BC0"/>
    <w:rsid w:val="00891BF5"/>
    <w:rsid w:val="00891BFA"/>
    <w:rsid w:val="00891CA6"/>
    <w:rsid w:val="00891D62"/>
    <w:rsid w:val="00891E41"/>
    <w:rsid w:val="00891EB5"/>
    <w:rsid w:val="00891F4F"/>
    <w:rsid w:val="00891FC7"/>
    <w:rsid w:val="00892117"/>
    <w:rsid w:val="00892619"/>
    <w:rsid w:val="00892B35"/>
    <w:rsid w:val="00892DA4"/>
    <w:rsid w:val="008933F8"/>
    <w:rsid w:val="0089362F"/>
    <w:rsid w:val="0089364C"/>
    <w:rsid w:val="0089365C"/>
    <w:rsid w:val="008936C0"/>
    <w:rsid w:val="00893785"/>
    <w:rsid w:val="00893987"/>
    <w:rsid w:val="00893BC2"/>
    <w:rsid w:val="00893C12"/>
    <w:rsid w:val="00893D0D"/>
    <w:rsid w:val="00893D40"/>
    <w:rsid w:val="008940EB"/>
    <w:rsid w:val="008941A6"/>
    <w:rsid w:val="00894482"/>
    <w:rsid w:val="008945F1"/>
    <w:rsid w:val="008946B6"/>
    <w:rsid w:val="0089473F"/>
    <w:rsid w:val="00894782"/>
    <w:rsid w:val="008949BD"/>
    <w:rsid w:val="00894D3B"/>
    <w:rsid w:val="008953B8"/>
    <w:rsid w:val="0089546F"/>
    <w:rsid w:val="008954D4"/>
    <w:rsid w:val="008955D1"/>
    <w:rsid w:val="008957D4"/>
    <w:rsid w:val="0089600F"/>
    <w:rsid w:val="0089617A"/>
    <w:rsid w:val="00896243"/>
    <w:rsid w:val="008962D4"/>
    <w:rsid w:val="00896A16"/>
    <w:rsid w:val="00896C57"/>
    <w:rsid w:val="00896FAE"/>
    <w:rsid w:val="00896FCC"/>
    <w:rsid w:val="00897059"/>
    <w:rsid w:val="0089709B"/>
    <w:rsid w:val="0089724D"/>
    <w:rsid w:val="008973B4"/>
    <w:rsid w:val="00897670"/>
    <w:rsid w:val="0089793E"/>
    <w:rsid w:val="00897B6B"/>
    <w:rsid w:val="008A0248"/>
    <w:rsid w:val="008A0358"/>
    <w:rsid w:val="008A03DC"/>
    <w:rsid w:val="008A04F1"/>
    <w:rsid w:val="008A0C3C"/>
    <w:rsid w:val="008A0F24"/>
    <w:rsid w:val="008A0F61"/>
    <w:rsid w:val="008A16D6"/>
    <w:rsid w:val="008A1750"/>
    <w:rsid w:val="008A1823"/>
    <w:rsid w:val="008A18BE"/>
    <w:rsid w:val="008A1910"/>
    <w:rsid w:val="008A1B16"/>
    <w:rsid w:val="008A1C1F"/>
    <w:rsid w:val="008A1D9D"/>
    <w:rsid w:val="008A1FD0"/>
    <w:rsid w:val="008A2003"/>
    <w:rsid w:val="008A2109"/>
    <w:rsid w:val="008A23B1"/>
    <w:rsid w:val="008A266A"/>
    <w:rsid w:val="008A274D"/>
    <w:rsid w:val="008A2CDD"/>
    <w:rsid w:val="008A3241"/>
    <w:rsid w:val="008A34E0"/>
    <w:rsid w:val="008A350A"/>
    <w:rsid w:val="008A35FC"/>
    <w:rsid w:val="008A379B"/>
    <w:rsid w:val="008A387F"/>
    <w:rsid w:val="008A38D9"/>
    <w:rsid w:val="008A38F6"/>
    <w:rsid w:val="008A3A56"/>
    <w:rsid w:val="008A3A76"/>
    <w:rsid w:val="008A3BF5"/>
    <w:rsid w:val="008A3DF7"/>
    <w:rsid w:val="008A4244"/>
    <w:rsid w:val="008A428F"/>
    <w:rsid w:val="008A429D"/>
    <w:rsid w:val="008A436F"/>
    <w:rsid w:val="008A43C1"/>
    <w:rsid w:val="008A46E4"/>
    <w:rsid w:val="008A4704"/>
    <w:rsid w:val="008A4897"/>
    <w:rsid w:val="008A4B34"/>
    <w:rsid w:val="008A4B5C"/>
    <w:rsid w:val="008A4CC2"/>
    <w:rsid w:val="008A4E27"/>
    <w:rsid w:val="008A50BF"/>
    <w:rsid w:val="008A5382"/>
    <w:rsid w:val="008A53AA"/>
    <w:rsid w:val="008A53F1"/>
    <w:rsid w:val="008A558F"/>
    <w:rsid w:val="008A55A8"/>
    <w:rsid w:val="008A57F6"/>
    <w:rsid w:val="008A5887"/>
    <w:rsid w:val="008A5EFE"/>
    <w:rsid w:val="008A62D3"/>
    <w:rsid w:val="008A65F3"/>
    <w:rsid w:val="008A660B"/>
    <w:rsid w:val="008A6772"/>
    <w:rsid w:val="008A6CAF"/>
    <w:rsid w:val="008A6F24"/>
    <w:rsid w:val="008A6FD6"/>
    <w:rsid w:val="008A7289"/>
    <w:rsid w:val="008A72C0"/>
    <w:rsid w:val="008A74A4"/>
    <w:rsid w:val="008A7595"/>
    <w:rsid w:val="008A75EB"/>
    <w:rsid w:val="008A7649"/>
    <w:rsid w:val="008A76DA"/>
    <w:rsid w:val="008A7702"/>
    <w:rsid w:val="008A7706"/>
    <w:rsid w:val="008A7865"/>
    <w:rsid w:val="008A78B9"/>
    <w:rsid w:val="008A78E3"/>
    <w:rsid w:val="008A7BF9"/>
    <w:rsid w:val="008A7E3E"/>
    <w:rsid w:val="008A7E92"/>
    <w:rsid w:val="008B012B"/>
    <w:rsid w:val="008B03D0"/>
    <w:rsid w:val="008B096E"/>
    <w:rsid w:val="008B0B39"/>
    <w:rsid w:val="008B0C49"/>
    <w:rsid w:val="008B0CFB"/>
    <w:rsid w:val="008B0D0E"/>
    <w:rsid w:val="008B1133"/>
    <w:rsid w:val="008B1315"/>
    <w:rsid w:val="008B1534"/>
    <w:rsid w:val="008B169A"/>
    <w:rsid w:val="008B194F"/>
    <w:rsid w:val="008B1960"/>
    <w:rsid w:val="008B1A12"/>
    <w:rsid w:val="008B1B2F"/>
    <w:rsid w:val="008B2747"/>
    <w:rsid w:val="008B282C"/>
    <w:rsid w:val="008B2883"/>
    <w:rsid w:val="008B299C"/>
    <w:rsid w:val="008B2B8A"/>
    <w:rsid w:val="008B2EE9"/>
    <w:rsid w:val="008B313A"/>
    <w:rsid w:val="008B325D"/>
    <w:rsid w:val="008B33B6"/>
    <w:rsid w:val="008B340D"/>
    <w:rsid w:val="008B34E4"/>
    <w:rsid w:val="008B364C"/>
    <w:rsid w:val="008B38C1"/>
    <w:rsid w:val="008B3977"/>
    <w:rsid w:val="008B3C45"/>
    <w:rsid w:val="008B3C98"/>
    <w:rsid w:val="008B3DD1"/>
    <w:rsid w:val="008B3F59"/>
    <w:rsid w:val="008B3FE6"/>
    <w:rsid w:val="008B40D8"/>
    <w:rsid w:val="008B434E"/>
    <w:rsid w:val="008B4563"/>
    <w:rsid w:val="008B45EF"/>
    <w:rsid w:val="008B4626"/>
    <w:rsid w:val="008B467E"/>
    <w:rsid w:val="008B4774"/>
    <w:rsid w:val="008B4790"/>
    <w:rsid w:val="008B47F3"/>
    <w:rsid w:val="008B48D7"/>
    <w:rsid w:val="008B48FD"/>
    <w:rsid w:val="008B4931"/>
    <w:rsid w:val="008B4A6D"/>
    <w:rsid w:val="008B4D33"/>
    <w:rsid w:val="008B4D3F"/>
    <w:rsid w:val="008B4F76"/>
    <w:rsid w:val="008B4FFE"/>
    <w:rsid w:val="008B500F"/>
    <w:rsid w:val="008B5080"/>
    <w:rsid w:val="008B51DA"/>
    <w:rsid w:val="008B5223"/>
    <w:rsid w:val="008B56E8"/>
    <w:rsid w:val="008B56F6"/>
    <w:rsid w:val="008B5B3E"/>
    <w:rsid w:val="008B5DF7"/>
    <w:rsid w:val="008B604E"/>
    <w:rsid w:val="008B6110"/>
    <w:rsid w:val="008B6138"/>
    <w:rsid w:val="008B647B"/>
    <w:rsid w:val="008B64CF"/>
    <w:rsid w:val="008B66F5"/>
    <w:rsid w:val="008B6756"/>
    <w:rsid w:val="008B6909"/>
    <w:rsid w:val="008B690A"/>
    <w:rsid w:val="008B6B6A"/>
    <w:rsid w:val="008B6BEC"/>
    <w:rsid w:val="008B7566"/>
    <w:rsid w:val="008B76F4"/>
    <w:rsid w:val="008B7766"/>
    <w:rsid w:val="008B7AE6"/>
    <w:rsid w:val="008B7DFD"/>
    <w:rsid w:val="008B7FE0"/>
    <w:rsid w:val="008C0392"/>
    <w:rsid w:val="008C03B4"/>
    <w:rsid w:val="008C0435"/>
    <w:rsid w:val="008C0547"/>
    <w:rsid w:val="008C0646"/>
    <w:rsid w:val="008C0C6B"/>
    <w:rsid w:val="008C0F61"/>
    <w:rsid w:val="008C0F88"/>
    <w:rsid w:val="008C0FEC"/>
    <w:rsid w:val="008C1004"/>
    <w:rsid w:val="008C1083"/>
    <w:rsid w:val="008C10C7"/>
    <w:rsid w:val="008C1182"/>
    <w:rsid w:val="008C1443"/>
    <w:rsid w:val="008C14D7"/>
    <w:rsid w:val="008C1560"/>
    <w:rsid w:val="008C1567"/>
    <w:rsid w:val="008C16F5"/>
    <w:rsid w:val="008C1708"/>
    <w:rsid w:val="008C1710"/>
    <w:rsid w:val="008C17BA"/>
    <w:rsid w:val="008C1A0D"/>
    <w:rsid w:val="008C1A34"/>
    <w:rsid w:val="008C1B17"/>
    <w:rsid w:val="008C1C33"/>
    <w:rsid w:val="008C1E32"/>
    <w:rsid w:val="008C2479"/>
    <w:rsid w:val="008C2491"/>
    <w:rsid w:val="008C2649"/>
    <w:rsid w:val="008C27D6"/>
    <w:rsid w:val="008C2A8A"/>
    <w:rsid w:val="008C2B7F"/>
    <w:rsid w:val="008C2D5E"/>
    <w:rsid w:val="008C325E"/>
    <w:rsid w:val="008C32E0"/>
    <w:rsid w:val="008C3663"/>
    <w:rsid w:val="008C3754"/>
    <w:rsid w:val="008C3956"/>
    <w:rsid w:val="008C3A89"/>
    <w:rsid w:val="008C3DF0"/>
    <w:rsid w:val="008C3E11"/>
    <w:rsid w:val="008C3F73"/>
    <w:rsid w:val="008C3FBA"/>
    <w:rsid w:val="008C4099"/>
    <w:rsid w:val="008C411B"/>
    <w:rsid w:val="008C4197"/>
    <w:rsid w:val="008C42AE"/>
    <w:rsid w:val="008C43DA"/>
    <w:rsid w:val="008C458D"/>
    <w:rsid w:val="008C472E"/>
    <w:rsid w:val="008C485D"/>
    <w:rsid w:val="008C4965"/>
    <w:rsid w:val="008C4A97"/>
    <w:rsid w:val="008C4B13"/>
    <w:rsid w:val="008C4C94"/>
    <w:rsid w:val="008C502A"/>
    <w:rsid w:val="008C52C2"/>
    <w:rsid w:val="008C5572"/>
    <w:rsid w:val="008C55FD"/>
    <w:rsid w:val="008C5813"/>
    <w:rsid w:val="008C59FB"/>
    <w:rsid w:val="008C5C25"/>
    <w:rsid w:val="008C5EF0"/>
    <w:rsid w:val="008C6134"/>
    <w:rsid w:val="008C649C"/>
    <w:rsid w:val="008C64CE"/>
    <w:rsid w:val="008C6847"/>
    <w:rsid w:val="008C6AC0"/>
    <w:rsid w:val="008C6B6B"/>
    <w:rsid w:val="008C6B9E"/>
    <w:rsid w:val="008C6D95"/>
    <w:rsid w:val="008C6E40"/>
    <w:rsid w:val="008C71AC"/>
    <w:rsid w:val="008C74C3"/>
    <w:rsid w:val="008C7623"/>
    <w:rsid w:val="008C764C"/>
    <w:rsid w:val="008C76F9"/>
    <w:rsid w:val="008C77C8"/>
    <w:rsid w:val="008D009D"/>
    <w:rsid w:val="008D0272"/>
    <w:rsid w:val="008D03D6"/>
    <w:rsid w:val="008D043A"/>
    <w:rsid w:val="008D069D"/>
    <w:rsid w:val="008D0861"/>
    <w:rsid w:val="008D0C5E"/>
    <w:rsid w:val="008D0D7F"/>
    <w:rsid w:val="008D1010"/>
    <w:rsid w:val="008D1388"/>
    <w:rsid w:val="008D1ABE"/>
    <w:rsid w:val="008D1CF4"/>
    <w:rsid w:val="008D1EB9"/>
    <w:rsid w:val="008D20BF"/>
    <w:rsid w:val="008D253E"/>
    <w:rsid w:val="008D25B7"/>
    <w:rsid w:val="008D2971"/>
    <w:rsid w:val="008D2A7D"/>
    <w:rsid w:val="008D2F8A"/>
    <w:rsid w:val="008D2FEC"/>
    <w:rsid w:val="008D3172"/>
    <w:rsid w:val="008D327E"/>
    <w:rsid w:val="008D3355"/>
    <w:rsid w:val="008D3363"/>
    <w:rsid w:val="008D3373"/>
    <w:rsid w:val="008D340D"/>
    <w:rsid w:val="008D35B3"/>
    <w:rsid w:val="008D36B2"/>
    <w:rsid w:val="008D3976"/>
    <w:rsid w:val="008D3A9E"/>
    <w:rsid w:val="008D3B21"/>
    <w:rsid w:val="008D3C44"/>
    <w:rsid w:val="008D3C65"/>
    <w:rsid w:val="008D3CC5"/>
    <w:rsid w:val="008D3D22"/>
    <w:rsid w:val="008D400F"/>
    <w:rsid w:val="008D4103"/>
    <w:rsid w:val="008D446C"/>
    <w:rsid w:val="008D4778"/>
    <w:rsid w:val="008D4A93"/>
    <w:rsid w:val="008D4DA4"/>
    <w:rsid w:val="008D4EEF"/>
    <w:rsid w:val="008D5199"/>
    <w:rsid w:val="008D5344"/>
    <w:rsid w:val="008D53C2"/>
    <w:rsid w:val="008D543B"/>
    <w:rsid w:val="008D5440"/>
    <w:rsid w:val="008D5C69"/>
    <w:rsid w:val="008D6130"/>
    <w:rsid w:val="008D61A0"/>
    <w:rsid w:val="008D639B"/>
    <w:rsid w:val="008D65EB"/>
    <w:rsid w:val="008D6831"/>
    <w:rsid w:val="008D6A44"/>
    <w:rsid w:val="008D6DCB"/>
    <w:rsid w:val="008D6FA5"/>
    <w:rsid w:val="008D700A"/>
    <w:rsid w:val="008D7676"/>
    <w:rsid w:val="008D7821"/>
    <w:rsid w:val="008D78BB"/>
    <w:rsid w:val="008D7CA8"/>
    <w:rsid w:val="008D7CD5"/>
    <w:rsid w:val="008D7D49"/>
    <w:rsid w:val="008D7E03"/>
    <w:rsid w:val="008D7FFA"/>
    <w:rsid w:val="008E03EB"/>
    <w:rsid w:val="008E09DA"/>
    <w:rsid w:val="008E0BE3"/>
    <w:rsid w:val="008E12C9"/>
    <w:rsid w:val="008E135C"/>
    <w:rsid w:val="008E181D"/>
    <w:rsid w:val="008E1C4D"/>
    <w:rsid w:val="008E1CAD"/>
    <w:rsid w:val="008E1F3F"/>
    <w:rsid w:val="008E206D"/>
    <w:rsid w:val="008E23FD"/>
    <w:rsid w:val="008E2803"/>
    <w:rsid w:val="008E28BE"/>
    <w:rsid w:val="008E2A63"/>
    <w:rsid w:val="008E2BB0"/>
    <w:rsid w:val="008E310E"/>
    <w:rsid w:val="008E31D8"/>
    <w:rsid w:val="008E332A"/>
    <w:rsid w:val="008E365C"/>
    <w:rsid w:val="008E383A"/>
    <w:rsid w:val="008E3CC5"/>
    <w:rsid w:val="008E3D65"/>
    <w:rsid w:val="008E40F2"/>
    <w:rsid w:val="008E413C"/>
    <w:rsid w:val="008E4163"/>
    <w:rsid w:val="008E41ED"/>
    <w:rsid w:val="008E42A3"/>
    <w:rsid w:val="008E450F"/>
    <w:rsid w:val="008E4519"/>
    <w:rsid w:val="008E4565"/>
    <w:rsid w:val="008E48DF"/>
    <w:rsid w:val="008E49A5"/>
    <w:rsid w:val="008E49C5"/>
    <w:rsid w:val="008E49F7"/>
    <w:rsid w:val="008E4BCD"/>
    <w:rsid w:val="008E4BDB"/>
    <w:rsid w:val="008E4C3A"/>
    <w:rsid w:val="008E51F8"/>
    <w:rsid w:val="008E5755"/>
    <w:rsid w:val="008E588F"/>
    <w:rsid w:val="008E5B56"/>
    <w:rsid w:val="008E5C78"/>
    <w:rsid w:val="008E5CB2"/>
    <w:rsid w:val="008E5DA5"/>
    <w:rsid w:val="008E6190"/>
    <w:rsid w:val="008E6237"/>
    <w:rsid w:val="008E6281"/>
    <w:rsid w:val="008E6352"/>
    <w:rsid w:val="008E636D"/>
    <w:rsid w:val="008E6630"/>
    <w:rsid w:val="008E66B2"/>
    <w:rsid w:val="008E67CD"/>
    <w:rsid w:val="008E6882"/>
    <w:rsid w:val="008E6959"/>
    <w:rsid w:val="008E6C1C"/>
    <w:rsid w:val="008E6D4B"/>
    <w:rsid w:val="008E7207"/>
    <w:rsid w:val="008E7314"/>
    <w:rsid w:val="008E7410"/>
    <w:rsid w:val="008E7617"/>
    <w:rsid w:val="008E7972"/>
    <w:rsid w:val="008E7E94"/>
    <w:rsid w:val="008E7F9F"/>
    <w:rsid w:val="008F0352"/>
    <w:rsid w:val="008F04BA"/>
    <w:rsid w:val="008F06AB"/>
    <w:rsid w:val="008F097D"/>
    <w:rsid w:val="008F0C13"/>
    <w:rsid w:val="008F0C5D"/>
    <w:rsid w:val="008F0D79"/>
    <w:rsid w:val="008F0E76"/>
    <w:rsid w:val="008F0E94"/>
    <w:rsid w:val="008F0F6F"/>
    <w:rsid w:val="008F1098"/>
    <w:rsid w:val="008F10AF"/>
    <w:rsid w:val="008F1282"/>
    <w:rsid w:val="008F1452"/>
    <w:rsid w:val="008F150F"/>
    <w:rsid w:val="008F15A2"/>
    <w:rsid w:val="008F1618"/>
    <w:rsid w:val="008F16ED"/>
    <w:rsid w:val="008F19D4"/>
    <w:rsid w:val="008F1AD4"/>
    <w:rsid w:val="008F1BC5"/>
    <w:rsid w:val="008F1DCE"/>
    <w:rsid w:val="008F1EE7"/>
    <w:rsid w:val="008F1FE2"/>
    <w:rsid w:val="008F1FE9"/>
    <w:rsid w:val="008F2016"/>
    <w:rsid w:val="008F20F3"/>
    <w:rsid w:val="008F2172"/>
    <w:rsid w:val="008F21D1"/>
    <w:rsid w:val="008F23FE"/>
    <w:rsid w:val="008F2407"/>
    <w:rsid w:val="008F25E7"/>
    <w:rsid w:val="008F2725"/>
    <w:rsid w:val="008F29CD"/>
    <w:rsid w:val="008F2AC3"/>
    <w:rsid w:val="008F2DD4"/>
    <w:rsid w:val="008F3032"/>
    <w:rsid w:val="008F30CD"/>
    <w:rsid w:val="008F3271"/>
    <w:rsid w:val="008F3371"/>
    <w:rsid w:val="008F3699"/>
    <w:rsid w:val="008F3B21"/>
    <w:rsid w:val="008F3FF2"/>
    <w:rsid w:val="008F4646"/>
    <w:rsid w:val="008F46F5"/>
    <w:rsid w:val="008F48B7"/>
    <w:rsid w:val="008F4A0D"/>
    <w:rsid w:val="008F4A2B"/>
    <w:rsid w:val="008F4CD2"/>
    <w:rsid w:val="008F4D6E"/>
    <w:rsid w:val="008F4FAF"/>
    <w:rsid w:val="008F51A6"/>
    <w:rsid w:val="008F5420"/>
    <w:rsid w:val="008F553B"/>
    <w:rsid w:val="008F5603"/>
    <w:rsid w:val="008F59C4"/>
    <w:rsid w:val="008F5ADC"/>
    <w:rsid w:val="008F5B26"/>
    <w:rsid w:val="008F5B5B"/>
    <w:rsid w:val="008F5C46"/>
    <w:rsid w:val="008F5CEB"/>
    <w:rsid w:val="008F5EB7"/>
    <w:rsid w:val="008F5FB2"/>
    <w:rsid w:val="008F644B"/>
    <w:rsid w:val="008F64B0"/>
    <w:rsid w:val="008F6512"/>
    <w:rsid w:val="008F6A07"/>
    <w:rsid w:val="008F6C1C"/>
    <w:rsid w:val="008F6C36"/>
    <w:rsid w:val="008F6C8F"/>
    <w:rsid w:val="008F6CE3"/>
    <w:rsid w:val="008F7773"/>
    <w:rsid w:val="008F79C4"/>
    <w:rsid w:val="008F7BA1"/>
    <w:rsid w:val="008F7BFA"/>
    <w:rsid w:val="008F7D70"/>
    <w:rsid w:val="0090027F"/>
    <w:rsid w:val="009002D7"/>
    <w:rsid w:val="009002DD"/>
    <w:rsid w:val="00900894"/>
    <w:rsid w:val="0090093F"/>
    <w:rsid w:val="00900951"/>
    <w:rsid w:val="00900AF0"/>
    <w:rsid w:val="00900BA7"/>
    <w:rsid w:val="00900C70"/>
    <w:rsid w:val="00900D66"/>
    <w:rsid w:val="009010AC"/>
    <w:rsid w:val="00901340"/>
    <w:rsid w:val="00901464"/>
    <w:rsid w:val="00901497"/>
    <w:rsid w:val="00901743"/>
    <w:rsid w:val="00901926"/>
    <w:rsid w:val="009019B4"/>
    <w:rsid w:val="009019C7"/>
    <w:rsid w:val="00901BA1"/>
    <w:rsid w:val="00901EFE"/>
    <w:rsid w:val="0090200E"/>
    <w:rsid w:val="009023FE"/>
    <w:rsid w:val="009024ED"/>
    <w:rsid w:val="0090253C"/>
    <w:rsid w:val="00902759"/>
    <w:rsid w:val="0090276B"/>
    <w:rsid w:val="00902776"/>
    <w:rsid w:val="00902895"/>
    <w:rsid w:val="009028F6"/>
    <w:rsid w:val="00902A1A"/>
    <w:rsid w:val="00902ACB"/>
    <w:rsid w:val="00902B34"/>
    <w:rsid w:val="00902CEE"/>
    <w:rsid w:val="00902E63"/>
    <w:rsid w:val="00902EA5"/>
    <w:rsid w:val="00902ECF"/>
    <w:rsid w:val="00902EDB"/>
    <w:rsid w:val="00903182"/>
    <w:rsid w:val="009031F2"/>
    <w:rsid w:val="00903738"/>
    <w:rsid w:val="0090373F"/>
    <w:rsid w:val="00903804"/>
    <w:rsid w:val="0090381E"/>
    <w:rsid w:val="009038F9"/>
    <w:rsid w:val="009039B3"/>
    <w:rsid w:val="009039E7"/>
    <w:rsid w:val="00903F4C"/>
    <w:rsid w:val="0090431E"/>
    <w:rsid w:val="009043BB"/>
    <w:rsid w:val="0090444D"/>
    <w:rsid w:val="0090456C"/>
    <w:rsid w:val="009045F9"/>
    <w:rsid w:val="009048E3"/>
    <w:rsid w:val="00904965"/>
    <w:rsid w:val="0090499D"/>
    <w:rsid w:val="00904B49"/>
    <w:rsid w:val="00904C39"/>
    <w:rsid w:val="00904CD4"/>
    <w:rsid w:val="00904EBC"/>
    <w:rsid w:val="009052F0"/>
    <w:rsid w:val="00905429"/>
    <w:rsid w:val="00905653"/>
    <w:rsid w:val="00905734"/>
    <w:rsid w:val="0090584D"/>
    <w:rsid w:val="00905974"/>
    <w:rsid w:val="00905CE7"/>
    <w:rsid w:val="00905D38"/>
    <w:rsid w:val="00905DE7"/>
    <w:rsid w:val="00905EC7"/>
    <w:rsid w:val="00905F93"/>
    <w:rsid w:val="00905FDB"/>
    <w:rsid w:val="00906090"/>
    <w:rsid w:val="0090631C"/>
    <w:rsid w:val="00906336"/>
    <w:rsid w:val="009064B5"/>
    <w:rsid w:val="00906673"/>
    <w:rsid w:val="009066B8"/>
    <w:rsid w:val="0090678D"/>
    <w:rsid w:val="0090699B"/>
    <w:rsid w:val="00906F07"/>
    <w:rsid w:val="00906F18"/>
    <w:rsid w:val="0090701F"/>
    <w:rsid w:val="009072A7"/>
    <w:rsid w:val="009072CF"/>
    <w:rsid w:val="00907382"/>
    <w:rsid w:val="0090739E"/>
    <w:rsid w:val="00907437"/>
    <w:rsid w:val="00907A3E"/>
    <w:rsid w:val="00907A70"/>
    <w:rsid w:val="00907B5C"/>
    <w:rsid w:val="00907D21"/>
    <w:rsid w:val="00907DCE"/>
    <w:rsid w:val="00910157"/>
    <w:rsid w:val="0091036B"/>
    <w:rsid w:val="00910395"/>
    <w:rsid w:val="00910494"/>
    <w:rsid w:val="0091093B"/>
    <w:rsid w:val="00910951"/>
    <w:rsid w:val="00911077"/>
    <w:rsid w:val="009110C8"/>
    <w:rsid w:val="00911118"/>
    <w:rsid w:val="00911217"/>
    <w:rsid w:val="0091159F"/>
    <w:rsid w:val="0091160C"/>
    <w:rsid w:val="00911CE4"/>
    <w:rsid w:val="00911CE6"/>
    <w:rsid w:val="00911D92"/>
    <w:rsid w:val="009120B7"/>
    <w:rsid w:val="009120FE"/>
    <w:rsid w:val="0091220B"/>
    <w:rsid w:val="0091230B"/>
    <w:rsid w:val="00912534"/>
    <w:rsid w:val="009129D4"/>
    <w:rsid w:val="00912B65"/>
    <w:rsid w:val="0091324C"/>
    <w:rsid w:val="009133FB"/>
    <w:rsid w:val="00913634"/>
    <w:rsid w:val="009136D3"/>
    <w:rsid w:val="0091393B"/>
    <w:rsid w:val="00913A34"/>
    <w:rsid w:val="00913D10"/>
    <w:rsid w:val="00913D45"/>
    <w:rsid w:val="00913F9D"/>
    <w:rsid w:val="00914467"/>
    <w:rsid w:val="00914653"/>
    <w:rsid w:val="009148B4"/>
    <w:rsid w:val="009149B3"/>
    <w:rsid w:val="00914AAE"/>
    <w:rsid w:val="00914C4D"/>
    <w:rsid w:val="009151F6"/>
    <w:rsid w:val="0091535C"/>
    <w:rsid w:val="00915530"/>
    <w:rsid w:val="0091569F"/>
    <w:rsid w:val="009156F2"/>
    <w:rsid w:val="00915EA8"/>
    <w:rsid w:val="00915FFA"/>
    <w:rsid w:val="0091607A"/>
    <w:rsid w:val="0091623B"/>
    <w:rsid w:val="0091624A"/>
    <w:rsid w:val="0091626A"/>
    <w:rsid w:val="009163A7"/>
    <w:rsid w:val="009164D3"/>
    <w:rsid w:val="009167C0"/>
    <w:rsid w:val="009167C8"/>
    <w:rsid w:val="00916A5A"/>
    <w:rsid w:val="00916D6A"/>
    <w:rsid w:val="009170A6"/>
    <w:rsid w:val="0091747A"/>
    <w:rsid w:val="0091748E"/>
    <w:rsid w:val="00917584"/>
    <w:rsid w:val="00917667"/>
    <w:rsid w:val="0091767A"/>
    <w:rsid w:val="00917794"/>
    <w:rsid w:val="00917874"/>
    <w:rsid w:val="00917C2E"/>
    <w:rsid w:val="00917D94"/>
    <w:rsid w:val="00917E89"/>
    <w:rsid w:val="009203EC"/>
    <w:rsid w:val="0092045F"/>
    <w:rsid w:val="00920ACE"/>
    <w:rsid w:val="00920B90"/>
    <w:rsid w:val="00920D58"/>
    <w:rsid w:val="00920DDD"/>
    <w:rsid w:val="0092105F"/>
    <w:rsid w:val="009211C5"/>
    <w:rsid w:val="00921227"/>
    <w:rsid w:val="009217BA"/>
    <w:rsid w:val="009217C2"/>
    <w:rsid w:val="009218E2"/>
    <w:rsid w:val="00921971"/>
    <w:rsid w:val="00921AF6"/>
    <w:rsid w:val="00921E01"/>
    <w:rsid w:val="00922125"/>
    <w:rsid w:val="00922237"/>
    <w:rsid w:val="0092224D"/>
    <w:rsid w:val="0092227D"/>
    <w:rsid w:val="0092232E"/>
    <w:rsid w:val="009223F5"/>
    <w:rsid w:val="009224D7"/>
    <w:rsid w:val="009224E4"/>
    <w:rsid w:val="009225CC"/>
    <w:rsid w:val="0092280B"/>
    <w:rsid w:val="0092288D"/>
    <w:rsid w:val="009229CD"/>
    <w:rsid w:val="00922A37"/>
    <w:rsid w:val="00922B77"/>
    <w:rsid w:val="00922C7B"/>
    <w:rsid w:val="00922F84"/>
    <w:rsid w:val="00922FE7"/>
    <w:rsid w:val="009236F4"/>
    <w:rsid w:val="00923E6D"/>
    <w:rsid w:val="00923F2C"/>
    <w:rsid w:val="00923FCA"/>
    <w:rsid w:val="009241D1"/>
    <w:rsid w:val="00924605"/>
    <w:rsid w:val="0092460F"/>
    <w:rsid w:val="00924988"/>
    <w:rsid w:val="00924B84"/>
    <w:rsid w:val="00924B90"/>
    <w:rsid w:val="00924E82"/>
    <w:rsid w:val="00924F13"/>
    <w:rsid w:val="009250B7"/>
    <w:rsid w:val="00925152"/>
    <w:rsid w:val="009253B8"/>
    <w:rsid w:val="009254F5"/>
    <w:rsid w:val="00925A05"/>
    <w:rsid w:val="00925E75"/>
    <w:rsid w:val="00925F4A"/>
    <w:rsid w:val="0092605C"/>
    <w:rsid w:val="00926061"/>
    <w:rsid w:val="00926213"/>
    <w:rsid w:val="009263FA"/>
    <w:rsid w:val="00926662"/>
    <w:rsid w:val="00926696"/>
    <w:rsid w:val="0092678F"/>
    <w:rsid w:val="009269D6"/>
    <w:rsid w:val="00926B2B"/>
    <w:rsid w:val="00926CC1"/>
    <w:rsid w:val="00926CE6"/>
    <w:rsid w:val="00926E40"/>
    <w:rsid w:val="00926F9B"/>
    <w:rsid w:val="009273A0"/>
    <w:rsid w:val="009274FB"/>
    <w:rsid w:val="009275DF"/>
    <w:rsid w:val="00927660"/>
    <w:rsid w:val="009276EF"/>
    <w:rsid w:val="0092776A"/>
    <w:rsid w:val="00927BB1"/>
    <w:rsid w:val="00927D1C"/>
    <w:rsid w:val="00927E5C"/>
    <w:rsid w:val="00930116"/>
    <w:rsid w:val="0093024F"/>
    <w:rsid w:val="00930740"/>
    <w:rsid w:val="00930DD0"/>
    <w:rsid w:val="00930EE5"/>
    <w:rsid w:val="00931176"/>
    <w:rsid w:val="009311E9"/>
    <w:rsid w:val="0093127D"/>
    <w:rsid w:val="00931320"/>
    <w:rsid w:val="0093149B"/>
    <w:rsid w:val="009315CF"/>
    <w:rsid w:val="0093173B"/>
    <w:rsid w:val="0093175E"/>
    <w:rsid w:val="00931897"/>
    <w:rsid w:val="009318E0"/>
    <w:rsid w:val="009319AB"/>
    <w:rsid w:val="00931AB8"/>
    <w:rsid w:val="00931B2B"/>
    <w:rsid w:val="00931DAF"/>
    <w:rsid w:val="00931DD8"/>
    <w:rsid w:val="00931EC3"/>
    <w:rsid w:val="00931F1C"/>
    <w:rsid w:val="00931F35"/>
    <w:rsid w:val="00931F6D"/>
    <w:rsid w:val="00931FB7"/>
    <w:rsid w:val="00932052"/>
    <w:rsid w:val="00932089"/>
    <w:rsid w:val="0093225D"/>
    <w:rsid w:val="009322B1"/>
    <w:rsid w:val="00932834"/>
    <w:rsid w:val="00932BB7"/>
    <w:rsid w:val="00932D5B"/>
    <w:rsid w:val="00932F50"/>
    <w:rsid w:val="00932F52"/>
    <w:rsid w:val="00932F56"/>
    <w:rsid w:val="00932FDD"/>
    <w:rsid w:val="009332D7"/>
    <w:rsid w:val="009336CF"/>
    <w:rsid w:val="00933702"/>
    <w:rsid w:val="00933839"/>
    <w:rsid w:val="00933A7A"/>
    <w:rsid w:val="00933C49"/>
    <w:rsid w:val="00933C71"/>
    <w:rsid w:val="00934268"/>
    <w:rsid w:val="00934413"/>
    <w:rsid w:val="00934776"/>
    <w:rsid w:val="00934E71"/>
    <w:rsid w:val="00935112"/>
    <w:rsid w:val="009353DC"/>
    <w:rsid w:val="00935B18"/>
    <w:rsid w:val="00935B53"/>
    <w:rsid w:val="00935BCB"/>
    <w:rsid w:val="00935D7E"/>
    <w:rsid w:val="00935DD4"/>
    <w:rsid w:val="00935F11"/>
    <w:rsid w:val="00936005"/>
    <w:rsid w:val="009363A2"/>
    <w:rsid w:val="00936417"/>
    <w:rsid w:val="00936562"/>
    <w:rsid w:val="009365A7"/>
    <w:rsid w:val="0093666E"/>
    <w:rsid w:val="00936838"/>
    <w:rsid w:val="009369BE"/>
    <w:rsid w:val="00936A1C"/>
    <w:rsid w:val="00936AA5"/>
    <w:rsid w:val="00936B7A"/>
    <w:rsid w:val="00936C6D"/>
    <w:rsid w:val="00936D40"/>
    <w:rsid w:val="009371E8"/>
    <w:rsid w:val="00937326"/>
    <w:rsid w:val="00937637"/>
    <w:rsid w:val="00937695"/>
    <w:rsid w:val="009378BA"/>
    <w:rsid w:val="00937D02"/>
    <w:rsid w:val="00937EE8"/>
    <w:rsid w:val="00937FD5"/>
    <w:rsid w:val="00937FDA"/>
    <w:rsid w:val="009400C6"/>
    <w:rsid w:val="00940254"/>
    <w:rsid w:val="009403E4"/>
    <w:rsid w:val="00940947"/>
    <w:rsid w:val="0094096A"/>
    <w:rsid w:val="009409D1"/>
    <w:rsid w:val="00940C41"/>
    <w:rsid w:val="00940C77"/>
    <w:rsid w:val="00940ECE"/>
    <w:rsid w:val="00940FFA"/>
    <w:rsid w:val="0094108B"/>
    <w:rsid w:val="009410A6"/>
    <w:rsid w:val="009412CF"/>
    <w:rsid w:val="00941492"/>
    <w:rsid w:val="00941684"/>
    <w:rsid w:val="00941750"/>
    <w:rsid w:val="009417CE"/>
    <w:rsid w:val="00941D51"/>
    <w:rsid w:val="00941ECB"/>
    <w:rsid w:val="009420B7"/>
    <w:rsid w:val="009421FF"/>
    <w:rsid w:val="009423A6"/>
    <w:rsid w:val="0094241D"/>
    <w:rsid w:val="00942468"/>
    <w:rsid w:val="009427F4"/>
    <w:rsid w:val="009428B2"/>
    <w:rsid w:val="00942DA9"/>
    <w:rsid w:val="00942DBC"/>
    <w:rsid w:val="00942E54"/>
    <w:rsid w:val="00942F80"/>
    <w:rsid w:val="00942FC1"/>
    <w:rsid w:val="009431A2"/>
    <w:rsid w:val="009432B4"/>
    <w:rsid w:val="0094344B"/>
    <w:rsid w:val="0094356D"/>
    <w:rsid w:val="00943665"/>
    <w:rsid w:val="00943833"/>
    <w:rsid w:val="00943AAB"/>
    <w:rsid w:val="00943C7F"/>
    <w:rsid w:val="00943DD8"/>
    <w:rsid w:val="009440A4"/>
    <w:rsid w:val="00944367"/>
    <w:rsid w:val="00944398"/>
    <w:rsid w:val="009446EF"/>
    <w:rsid w:val="00944736"/>
    <w:rsid w:val="00944778"/>
    <w:rsid w:val="009447CE"/>
    <w:rsid w:val="009447ED"/>
    <w:rsid w:val="00944AD2"/>
    <w:rsid w:val="00944C4C"/>
    <w:rsid w:val="00944D4C"/>
    <w:rsid w:val="00944F29"/>
    <w:rsid w:val="0094510E"/>
    <w:rsid w:val="0094526B"/>
    <w:rsid w:val="009452D2"/>
    <w:rsid w:val="009453B2"/>
    <w:rsid w:val="00945828"/>
    <w:rsid w:val="00945BCD"/>
    <w:rsid w:val="00945CF6"/>
    <w:rsid w:val="00945D0F"/>
    <w:rsid w:val="00945DE9"/>
    <w:rsid w:val="00945F76"/>
    <w:rsid w:val="00946079"/>
    <w:rsid w:val="00946259"/>
    <w:rsid w:val="009462D7"/>
    <w:rsid w:val="00946403"/>
    <w:rsid w:val="00946590"/>
    <w:rsid w:val="00946824"/>
    <w:rsid w:val="00946997"/>
    <w:rsid w:val="00946A04"/>
    <w:rsid w:val="00946BC8"/>
    <w:rsid w:val="00946CF6"/>
    <w:rsid w:val="00946ECB"/>
    <w:rsid w:val="00946FA7"/>
    <w:rsid w:val="009471A2"/>
    <w:rsid w:val="009473E3"/>
    <w:rsid w:val="00947907"/>
    <w:rsid w:val="00947A21"/>
    <w:rsid w:val="00947EED"/>
    <w:rsid w:val="00950046"/>
    <w:rsid w:val="009504A9"/>
    <w:rsid w:val="00950616"/>
    <w:rsid w:val="00950C76"/>
    <w:rsid w:val="00950E0E"/>
    <w:rsid w:val="00950F1E"/>
    <w:rsid w:val="00950F90"/>
    <w:rsid w:val="00950FF6"/>
    <w:rsid w:val="00951520"/>
    <w:rsid w:val="00951589"/>
    <w:rsid w:val="00951626"/>
    <w:rsid w:val="009516D0"/>
    <w:rsid w:val="00951842"/>
    <w:rsid w:val="00951C5E"/>
    <w:rsid w:val="00951CBE"/>
    <w:rsid w:val="00952193"/>
    <w:rsid w:val="009523DA"/>
    <w:rsid w:val="0095277F"/>
    <w:rsid w:val="00952A45"/>
    <w:rsid w:val="009531CD"/>
    <w:rsid w:val="009534FC"/>
    <w:rsid w:val="009535C3"/>
    <w:rsid w:val="009538D1"/>
    <w:rsid w:val="00953A49"/>
    <w:rsid w:val="00953A63"/>
    <w:rsid w:val="00953AE2"/>
    <w:rsid w:val="00953CA1"/>
    <w:rsid w:val="00953E31"/>
    <w:rsid w:val="0095408A"/>
    <w:rsid w:val="009542EC"/>
    <w:rsid w:val="00954377"/>
    <w:rsid w:val="0095460C"/>
    <w:rsid w:val="0095463E"/>
    <w:rsid w:val="00954753"/>
    <w:rsid w:val="00954A99"/>
    <w:rsid w:val="0095523C"/>
    <w:rsid w:val="009554D5"/>
    <w:rsid w:val="00955701"/>
    <w:rsid w:val="00955983"/>
    <w:rsid w:val="009559EB"/>
    <w:rsid w:val="00955EF4"/>
    <w:rsid w:val="00955FAB"/>
    <w:rsid w:val="00956542"/>
    <w:rsid w:val="00956705"/>
    <w:rsid w:val="009567C2"/>
    <w:rsid w:val="009568FC"/>
    <w:rsid w:val="0095691C"/>
    <w:rsid w:val="00956B58"/>
    <w:rsid w:val="00956E05"/>
    <w:rsid w:val="009571AD"/>
    <w:rsid w:val="0095728E"/>
    <w:rsid w:val="0095751B"/>
    <w:rsid w:val="00957520"/>
    <w:rsid w:val="0095792A"/>
    <w:rsid w:val="00957CBD"/>
    <w:rsid w:val="00957D70"/>
    <w:rsid w:val="00957E10"/>
    <w:rsid w:val="00957EB5"/>
    <w:rsid w:val="00960058"/>
    <w:rsid w:val="009600E2"/>
    <w:rsid w:val="0096015D"/>
    <w:rsid w:val="0096019B"/>
    <w:rsid w:val="0096062F"/>
    <w:rsid w:val="0096068A"/>
    <w:rsid w:val="009606D2"/>
    <w:rsid w:val="0096090F"/>
    <w:rsid w:val="00960A04"/>
    <w:rsid w:val="00960A63"/>
    <w:rsid w:val="00960A7B"/>
    <w:rsid w:val="00960A8E"/>
    <w:rsid w:val="00960AA0"/>
    <w:rsid w:val="009610AB"/>
    <w:rsid w:val="00961140"/>
    <w:rsid w:val="009611D8"/>
    <w:rsid w:val="0096160F"/>
    <w:rsid w:val="00962018"/>
    <w:rsid w:val="009620B9"/>
    <w:rsid w:val="00962204"/>
    <w:rsid w:val="009622C9"/>
    <w:rsid w:val="0096238E"/>
    <w:rsid w:val="00962835"/>
    <w:rsid w:val="0096286C"/>
    <w:rsid w:val="00962894"/>
    <w:rsid w:val="0096297B"/>
    <w:rsid w:val="00962A5C"/>
    <w:rsid w:val="00962C52"/>
    <w:rsid w:val="00962C7A"/>
    <w:rsid w:val="00962D64"/>
    <w:rsid w:val="00962E96"/>
    <w:rsid w:val="00962F37"/>
    <w:rsid w:val="00962FFF"/>
    <w:rsid w:val="0096302D"/>
    <w:rsid w:val="009630C7"/>
    <w:rsid w:val="009635C9"/>
    <w:rsid w:val="00963877"/>
    <w:rsid w:val="00963970"/>
    <w:rsid w:val="00963B19"/>
    <w:rsid w:val="00963B20"/>
    <w:rsid w:val="00963DCC"/>
    <w:rsid w:val="009643FC"/>
    <w:rsid w:val="00964433"/>
    <w:rsid w:val="00964555"/>
    <w:rsid w:val="009646EE"/>
    <w:rsid w:val="009647A6"/>
    <w:rsid w:val="009649B3"/>
    <w:rsid w:val="00964FFB"/>
    <w:rsid w:val="00965121"/>
    <w:rsid w:val="0096519A"/>
    <w:rsid w:val="0096519E"/>
    <w:rsid w:val="00965388"/>
    <w:rsid w:val="009654AA"/>
    <w:rsid w:val="00965572"/>
    <w:rsid w:val="009655E0"/>
    <w:rsid w:val="009659B8"/>
    <w:rsid w:val="00965A6E"/>
    <w:rsid w:val="00965EBE"/>
    <w:rsid w:val="00965F75"/>
    <w:rsid w:val="00966086"/>
    <w:rsid w:val="00966093"/>
    <w:rsid w:val="009661CF"/>
    <w:rsid w:val="0096678F"/>
    <w:rsid w:val="00966A15"/>
    <w:rsid w:val="00966AD3"/>
    <w:rsid w:val="00966B8E"/>
    <w:rsid w:val="00966E22"/>
    <w:rsid w:val="00966F10"/>
    <w:rsid w:val="009671C7"/>
    <w:rsid w:val="0096736A"/>
    <w:rsid w:val="0096771C"/>
    <w:rsid w:val="00967886"/>
    <w:rsid w:val="009678E1"/>
    <w:rsid w:val="00967A09"/>
    <w:rsid w:val="00967AA6"/>
    <w:rsid w:val="00967C44"/>
    <w:rsid w:val="00967DD5"/>
    <w:rsid w:val="00967F48"/>
    <w:rsid w:val="00967FCB"/>
    <w:rsid w:val="009700F4"/>
    <w:rsid w:val="009705E5"/>
    <w:rsid w:val="009706C0"/>
    <w:rsid w:val="0097081C"/>
    <w:rsid w:val="00970972"/>
    <w:rsid w:val="00970BB8"/>
    <w:rsid w:val="00970C26"/>
    <w:rsid w:val="00970F7F"/>
    <w:rsid w:val="00970FF2"/>
    <w:rsid w:val="00971008"/>
    <w:rsid w:val="009712AE"/>
    <w:rsid w:val="00971323"/>
    <w:rsid w:val="009713D4"/>
    <w:rsid w:val="00971567"/>
    <w:rsid w:val="0097196C"/>
    <w:rsid w:val="009719F6"/>
    <w:rsid w:val="00971A64"/>
    <w:rsid w:val="00971AB3"/>
    <w:rsid w:val="00971AE2"/>
    <w:rsid w:val="00971B4D"/>
    <w:rsid w:val="00971D94"/>
    <w:rsid w:val="00971FC7"/>
    <w:rsid w:val="00972161"/>
    <w:rsid w:val="0097220F"/>
    <w:rsid w:val="009722AB"/>
    <w:rsid w:val="0097257F"/>
    <w:rsid w:val="00972742"/>
    <w:rsid w:val="00972CFD"/>
    <w:rsid w:val="00972F96"/>
    <w:rsid w:val="009732BD"/>
    <w:rsid w:val="009732CF"/>
    <w:rsid w:val="009734E8"/>
    <w:rsid w:val="009735F1"/>
    <w:rsid w:val="0097360B"/>
    <w:rsid w:val="00973676"/>
    <w:rsid w:val="009736FF"/>
    <w:rsid w:val="00973D34"/>
    <w:rsid w:val="0097404B"/>
    <w:rsid w:val="009741E6"/>
    <w:rsid w:val="00974380"/>
    <w:rsid w:val="009743C5"/>
    <w:rsid w:val="009745A6"/>
    <w:rsid w:val="009745D5"/>
    <w:rsid w:val="009746D0"/>
    <w:rsid w:val="009747D9"/>
    <w:rsid w:val="00974CA0"/>
    <w:rsid w:val="00974D44"/>
    <w:rsid w:val="00974D72"/>
    <w:rsid w:val="00974F21"/>
    <w:rsid w:val="00975029"/>
    <w:rsid w:val="0097505B"/>
    <w:rsid w:val="00975332"/>
    <w:rsid w:val="00975333"/>
    <w:rsid w:val="0097541E"/>
    <w:rsid w:val="0097557E"/>
    <w:rsid w:val="009756D0"/>
    <w:rsid w:val="009756F7"/>
    <w:rsid w:val="00975751"/>
    <w:rsid w:val="0097588D"/>
    <w:rsid w:val="009758FA"/>
    <w:rsid w:val="00975A6C"/>
    <w:rsid w:val="00975ADC"/>
    <w:rsid w:val="00975DD4"/>
    <w:rsid w:val="00975FD4"/>
    <w:rsid w:val="00976069"/>
    <w:rsid w:val="009760BF"/>
    <w:rsid w:val="009760E7"/>
    <w:rsid w:val="0097623A"/>
    <w:rsid w:val="00976290"/>
    <w:rsid w:val="009764CF"/>
    <w:rsid w:val="0097653B"/>
    <w:rsid w:val="009765A4"/>
    <w:rsid w:val="00976638"/>
    <w:rsid w:val="0097670D"/>
    <w:rsid w:val="00976890"/>
    <w:rsid w:val="009768DF"/>
    <w:rsid w:val="00976BBA"/>
    <w:rsid w:val="00976BC3"/>
    <w:rsid w:val="00976BD4"/>
    <w:rsid w:val="009770E4"/>
    <w:rsid w:val="009771B9"/>
    <w:rsid w:val="009773C6"/>
    <w:rsid w:val="00977528"/>
    <w:rsid w:val="00977E8A"/>
    <w:rsid w:val="00977F1E"/>
    <w:rsid w:val="00977FCE"/>
    <w:rsid w:val="009803F9"/>
    <w:rsid w:val="0098046B"/>
    <w:rsid w:val="0098055A"/>
    <w:rsid w:val="00980909"/>
    <w:rsid w:val="00980CC0"/>
    <w:rsid w:val="00980F95"/>
    <w:rsid w:val="00981051"/>
    <w:rsid w:val="00981141"/>
    <w:rsid w:val="00981151"/>
    <w:rsid w:val="0098122A"/>
    <w:rsid w:val="009813BA"/>
    <w:rsid w:val="00981650"/>
    <w:rsid w:val="009816E0"/>
    <w:rsid w:val="00981BEF"/>
    <w:rsid w:val="00981C0B"/>
    <w:rsid w:val="00981C5C"/>
    <w:rsid w:val="00981E27"/>
    <w:rsid w:val="00981F0B"/>
    <w:rsid w:val="009824DA"/>
    <w:rsid w:val="00982503"/>
    <w:rsid w:val="0098252A"/>
    <w:rsid w:val="00982597"/>
    <w:rsid w:val="009825D7"/>
    <w:rsid w:val="00982713"/>
    <w:rsid w:val="00982ADE"/>
    <w:rsid w:val="00982C75"/>
    <w:rsid w:val="00983212"/>
    <w:rsid w:val="009836B2"/>
    <w:rsid w:val="00983748"/>
    <w:rsid w:val="0098393C"/>
    <w:rsid w:val="00983B7C"/>
    <w:rsid w:val="00983C9E"/>
    <w:rsid w:val="009841C5"/>
    <w:rsid w:val="0098422A"/>
    <w:rsid w:val="009842B1"/>
    <w:rsid w:val="00984ACE"/>
    <w:rsid w:val="00984AEE"/>
    <w:rsid w:val="00984B3E"/>
    <w:rsid w:val="00984DEC"/>
    <w:rsid w:val="00984E18"/>
    <w:rsid w:val="00984EAF"/>
    <w:rsid w:val="00984F31"/>
    <w:rsid w:val="00985043"/>
    <w:rsid w:val="00985057"/>
    <w:rsid w:val="00985479"/>
    <w:rsid w:val="009859E4"/>
    <w:rsid w:val="00985A13"/>
    <w:rsid w:val="00985C06"/>
    <w:rsid w:val="00985D09"/>
    <w:rsid w:val="00985E5D"/>
    <w:rsid w:val="00985ECF"/>
    <w:rsid w:val="00985EDF"/>
    <w:rsid w:val="009860D2"/>
    <w:rsid w:val="00986383"/>
    <w:rsid w:val="009864CD"/>
    <w:rsid w:val="00986862"/>
    <w:rsid w:val="009868AA"/>
    <w:rsid w:val="009868AC"/>
    <w:rsid w:val="009868D9"/>
    <w:rsid w:val="00986BF5"/>
    <w:rsid w:val="00986C1C"/>
    <w:rsid w:val="00986DD2"/>
    <w:rsid w:val="00986E3E"/>
    <w:rsid w:val="00986EEC"/>
    <w:rsid w:val="00986F7B"/>
    <w:rsid w:val="00986FCF"/>
    <w:rsid w:val="0098704A"/>
    <w:rsid w:val="00987058"/>
    <w:rsid w:val="009870F2"/>
    <w:rsid w:val="009875A8"/>
    <w:rsid w:val="00987AD9"/>
    <w:rsid w:val="00987B5E"/>
    <w:rsid w:val="00987C18"/>
    <w:rsid w:val="00987E1A"/>
    <w:rsid w:val="0099004F"/>
    <w:rsid w:val="00990438"/>
    <w:rsid w:val="00990600"/>
    <w:rsid w:val="00990A16"/>
    <w:rsid w:val="00990A7F"/>
    <w:rsid w:val="00990C73"/>
    <w:rsid w:val="00990ED8"/>
    <w:rsid w:val="00990FC4"/>
    <w:rsid w:val="00990FE0"/>
    <w:rsid w:val="0099175D"/>
    <w:rsid w:val="00991842"/>
    <w:rsid w:val="009918F7"/>
    <w:rsid w:val="00991988"/>
    <w:rsid w:val="00991BB5"/>
    <w:rsid w:val="00991BB9"/>
    <w:rsid w:val="00991D89"/>
    <w:rsid w:val="00992000"/>
    <w:rsid w:val="009924DE"/>
    <w:rsid w:val="009924ED"/>
    <w:rsid w:val="00992500"/>
    <w:rsid w:val="009925DD"/>
    <w:rsid w:val="009925F7"/>
    <w:rsid w:val="00992618"/>
    <w:rsid w:val="00992624"/>
    <w:rsid w:val="0099271C"/>
    <w:rsid w:val="0099277D"/>
    <w:rsid w:val="00992863"/>
    <w:rsid w:val="00992B7D"/>
    <w:rsid w:val="00992C37"/>
    <w:rsid w:val="00992D58"/>
    <w:rsid w:val="0099315A"/>
    <w:rsid w:val="00993206"/>
    <w:rsid w:val="00993516"/>
    <w:rsid w:val="009936A4"/>
    <w:rsid w:val="00993811"/>
    <w:rsid w:val="00993863"/>
    <w:rsid w:val="009939B9"/>
    <w:rsid w:val="009939E2"/>
    <w:rsid w:val="00993C36"/>
    <w:rsid w:val="00994006"/>
    <w:rsid w:val="00994066"/>
    <w:rsid w:val="00994230"/>
    <w:rsid w:val="00994246"/>
    <w:rsid w:val="009946A6"/>
    <w:rsid w:val="00994745"/>
    <w:rsid w:val="009947DE"/>
    <w:rsid w:val="00994D3E"/>
    <w:rsid w:val="00994DB7"/>
    <w:rsid w:val="00994E4D"/>
    <w:rsid w:val="00994FD5"/>
    <w:rsid w:val="00995232"/>
    <w:rsid w:val="00995331"/>
    <w:rsid w:val="0099543C"/>
    <w:rsid w:val="00995632"/>
    <w:rsid w:val="00995964"/>
    <w:rsid w:val="00995A21"/>
    <w:rsid w:val="00995BCD"/>
    <w:rsid w:val="00995E89"/>
    <w:rsid w:val="00995F00"/>
    <w:rsid w:val="00995F95"/>
    <w:rsid w:val="00995FBC"/>
    <w:rsid w:val="00996015"/>
    <w:rsid w:val="00996107"/>
    <w:rsid w:val="009961EB"/>
    <w:rsid w:val="009964DA"/>
    <w:rsid w:val="0099667E"/>
    <w:rsid w:val="009967DD"/>
    <w:rsid w:val="00996B6D"/>
    <w:rsid w:val="0099712A"/>
    <w:rsid w:val="009971B5"/>
    <w:rsid w:val="0099759A"/>
    <w:rsid w:val="009977DC"/>
    <w:rsid w:val="00997B89"/>
    <w:rsid w:val="00997BF9"/>
    <w:rsid w:val="00997C1F"/>
    <w:rsid w:val="00997C5B"/>
    <w:rsid w:val="00997EF5"/>
    <w:rsid w:val="00997FEA"/>
    <w:rsid w:val="009A0009"/>
    <w:rsid w:val="009A0314"/>
    <w:rsid w:val="009A04A6"/>
    <w:rsid w:val="009A054A"/>
    <w:rsid w:val="009A05C1"/>
    <w:rsid w:val="009A09C3"/>
    <w:rsid w:val="009A0B6C"/>
    <w:rsid w:val="009A0BD8"/>
    <w:rsid w:val="009A0D61"/>
    <w:rsid w:val="009A0D7F"/>
    <w:rsid w:val="009A0E2D"/>
    <w:rsid w:val="009A0E87"/>
    <w:rsid w:val="009A0F21"/>
    <w:rsid w:val="009A102F"/>
    <w:rsid w:val="009A1151"/>
    <w:rsid w:val="009A1198"/>
    <w:rsid w:val="009A11A8"/>
    <w:rsid w:val="009A1489"/>
    <w:rsid w:val="009A1601"/>
    <w:rsid w:val="009A1676"/>
    <w:rsid w:val="009A175A"/>
    <w:rsid w:val="009A19B8"/>
    <w:rsid w:val="009A1A61"/>
    <w:rsid w:val="009A20BD"/>
    <w:rsid w:val="009A26D1"/>
    <w:rsid w:val="009A295B"/>
    <w:rsid w:val="009A2B59"/>
    <w:rsid w:val="009A2BB1"/>
    <w:rsid w:val="009A2E71"/>
    <w:rsid w:val="009A3080"/>
    <w:rsid w:val="009A3652"/>
    <w:rsid w:val="009A386C"/>
    <w:rsid w:val="009A3B6B"/>
    <w:rsid w:val="009A3B89"/>
    <w:rsid w:val="009A3E29"/>
    <w:rsid w:val="009A409E"/>
    <w:rsid w:val="009A4261"/>
    <w:rsid w:val="009A4573"/>
    <w:rsid w:val="009A47A3"/>
    <w:rsid w:val="009A47E8"/>
    <w:rsid w:val="009A4863"/>
    <w:rsid w:val="009A4874"/>
    <w:rsid w:val="009A4BA0"/>
    <w:rsid w:val="009A4CE1"/>
    <w:rsid w:val="009A4E9E"/>
    <w:rsid w:val="009A4F6F"/>
    <w:rsid w:val="009A57D9"/>
    <w:rsid w:val="009A59D3"/>
    <w:rsid w:val="009A5CEB"/>
    <w:rsid w:val="009A6030"/>
    <w:rsid w:val="009A60C4"/>
    <w:rsid w:val="009A612A"/>
    <w:rsid w:val="009A6231"/>
    <w:rsid w:val="009A62FA"/>
    <w:rsid w:val="009A64E4"/>
    <w:rsid w:val="009A66F1"/>
    <w:rsid w:val="009A67E2"/>
    <w:rsid w:val="009A6A93"/>
    <w:rsid w:val="009A6C92"/>
    <w:rsid w:val="009A6E9B"/>
    <w:rsid w:val="009A6F5E"/>
    <w:rsid w:val="009A725B"/>
    <w:rsid w:val="009A737C"/>
    <w:rsid w:val="009A73A4"/>
    <w:rsid w:val="009A7A47"/>
    <w:rsid w:val="009B0233"/>
    <w:rsid w:val="009B04F8"/>
    <w:rsid w:val="009B067C"/>
    <w:rsid w:val="009B096F"/>
    <w:rsid w:val="009B09CB"/>
    <w:rsid w:val="009B0BF6"/>
    <w:rsid w:val="009B0C95"/>
    <w:rsid w:val="009B0CEE"/>
    <w:rsid w:val="009B0F1C"/>
    <w:rsid w:val="009B1017"/>
    <w:rsid w:val="009B1098"/>
    <w:rsid w:val="009B11AC"/>
    <w:rsid w:val="009B126B"/>
    <w:rsid w:val="009B182F"/>
    <w:rsid w:val="009B1CA2"/>
    <w:rsid w:val="009B1D5F"/>
    <w:rsid w:val="009B1E87"/>
    <w:rsid w:val="009B2321"/>
    <w:rsid w:val="009B2338"/>
    <w:rsid w:val="009B28B8"/>
    <w:rsid w:val="009B2A39"/>
    <w:rsid w:val="009B2B2A"/>
    <w:rsid w:val="009B2BD2"/>
    <w:rsid w:val="009B2D19"/>
    <w:rsid w:val="009B3113"/>
    <w:rsid w:val="009B330D"/>
    <w:rsid w:val="009B36B8"/>
    <w:rsid w:val="009B38EF"/>
    <w:rsid w:val="009B38F4"/>
    <w:rsid w:val="009B3957"/>
    <w:rsid w:val="009B3A0B"/>
    <w:rsid w:val="009B3D3E"/>
    <w:rsid w:val="009B3DB9"/>
    <w:rsid w:val="009B3FA0"/>
    <w:rsid w:val="009B42EA"/>
    <w:rsid w:val="009B4390"/>
    <w:rsid w:val="009B43D0"/>
    <w:rsid w:val="009B4503"/>
    <w:rsid w:val="009B45C0"/>
    <w:rsid w:val="009B45FD"/>
    <w:rsid w:val="009B47BE"/>
    <w:rsid w:val="009B4A49"/>
    <w:rsid w:val="009B4A97"/>
    <w:rsid w:val="009B4D83"/>
    <w:rsid w:val="009B4F2F"/>
    <w:rsid w:val="009B5245"/>
    <w:rsid w:val="009B53AF"/>
    <w:rsid w:val="009B5643"/>
    <w:rsid w:val="009B5795"/>
    <w:rsid w:val="009B5AFC"/>
    <w:rsid w:val="009B5C1F"/>
    <w:rsid w:val="009B5F23"/>
    <w:rsid w:val="009B5F6F"/>
    <w:rsid w:val="009B604D"/>
    <w:rsid w:val="009B61D7"/>
    <w:rsid w:val="009B62F1"/>
    <w:rsid w:val="009B65B7"/>
    <w:rsid w:val="009B66C1"/>
    <w:rsid w:val="009B67FD"/>
    <w:rsid w:val="009B69F2"/>
    <w:rsid w:val="009B6C68"/>
    <w:rsid w:val="009B6C91"/>
    <w:rsid w:val="009B6DC2"/>
    <w:rsid w:val="009B6E4F"/>
    <w:rsid w:val="009B6F26"/>
    <w:rsid w:val="009B7024"/>
    <w:rsid w:val="009B70D0"/>
    <w:rsid w:val="009B7228"/>
    <w:rsid w:val="009B727F"/>
    <w:rsid w:val="009B72B0"/>
    <w:rsid w:val="009B7806"/>
    <w:rsid w:val="009B7A1D"/>
    <w:rsid w:val="009B7A73"/>
    <w:rsid w:val="009B7D8E"/>
    <w:rsid w:val="009B7FA3"/>
    <w:rsid w:val="009C03AE"/>
    <w:rsid w:val="009C0BEC"/>
    <w:rsid w:val="009C107E"/>
    <w:rsid w:val="009C12BE"/>
    <w:rsid w:val="009C1343"/>
    <w:rsid w:val="009C13D8"/>
    <w:rsid w:val="009C144B"/>
    <w:rsid w:val="009C1508"/>
    <w:rsid w:val="009C1633"/>
    <w:rsid w:val="009C188B"/>
    <w:rsid w:val="009C1B69"/>
    <w:rsid w:val="009C1C02"/>
    <w:rsid w:val="009C1C80"/>
    <w:rsid w:val="009C1EF1"/>
    <w:rsid w:val="009C1FA8"/>
    <w:rsid w:val="009C2058"/>
    <w:rsid w:val="009C225A"/>
    <w:rsid w:val="009C24B5"/>
    <w:rsid w:val="009C25F4"/>
    <w:rsid w:val="009C2791"/>
    <w:rsid w:val="009C27C5"/>
    <w:rsid w:val="009C28E5"/>
    <w:rsid w:val="009C28EC"/>
    <w:rsid w:val="009C2B80"/>
    <w:rsid w:val="009C2D3C"/>
    <w:rsid w:val="009C2E85"/>
    <w:rsid w:val="009C2F9F"/>
    <w:rsid w:val="009C3485"/>
    <w:rsid w:val="009C3604"/>
    <w:rsid w:val="009C3715"/>
    <w:rsid w:val="009C375F"/>
    <w:rsid w:val="009C3985"/>
    <w:rsid w:val="009C3B23"/>
    <w:rsid w:val="009C3DC5"/>
    <w:rsid w:val="009C3EC2"/>
    <w:rsid w:val="009C3F0F"/>
    <w:rsid w:val="009C4106"/>
    <w:rsid w:val="009C4385"/>
    <w:rsid w:val="009C4424"/>
    <w:rsid w:val="009C44C5"/>
    <w:rsid w:val="009C45F6"/>
    <w:rsid w:val="009C4720"/>
    <w:rsid w:val="009C478B"/>
    <w:rsid w:val="009C49CB"/>
    <w:rsid w:val="009C4BF6"/>
    <w:rsid w:val="009C4BFD"/>
    <w:rsid w:val="009C4D13"/>
    <w:rsid w:val="009C4D3F"/>
    <w:rsid w:val="009C4DC8"/>
    <w:rsid w:val="009C5030"/>
    <w:rsid w:val="009C5448"/>
    <w:rsid w:val="009C56C3"/>
    <w:rsid w:val="009C572D"/>
    <w:rsid w:val="009C5A70"/>
    <w:rsid w:val="009C5E0C"/>
    <w:rsid w:val="009C681D"/>
    <w:rsid w:val="009C6A23"/>
    <w:rsid w:val="009C6BF1"/>
    <w:rsid w:val="009C6CAE"/>
    <w:rsid w:val="009C6E0D"/>
    <w:rsid w:val="009C6E26"/>
    <w:rsid w:val="009C6FD8"/>
    <w:rsid w:val="009C721A"/>
    <w:rsid w:val="009C73BA"/>
    <w:rsid w:val="009C7563"/>
    <w:rsid w:val="009C76E8"/>
    <w:rsid w:val="009C7898"/>
    <w:rsid w:val="009C78FD"/>
    <w:rsid w:val="009C7939"/>
    <w:rsid w:val="009C793D"/>
    <w:rsid w:val="009C7CDB"/>
    <w:rsid w:val="009D00BA"/>
    <w:rsid w:val="009D04AF"/>
    <w:rsid w:val="009D0711"/>
    <w:rsid w:val="009D08AC"/>
    <w:rsid w:val="009D096A"/>
    <w:rsid w:val="009D0AED"/>
    <w:rsid w:val="009D0B03"/>
    <w:rsid w:val="009D0B22"/>
    <w:rsid w:val="009D0BFF"/>
    <w:rsid w:val="009D0D81"/>
    <w:rsid w:val="009D0E90"/>
    <w:rsid w:val="009D100E"/>
    <w:rsid w:val="009D1028"/>
    <w:rsid w:val="009D1072"/>
    <w:rsid w:val="009D11D5"/>
    <w:rsid w:val="009D143E"/>
    <w:rsid w:val="009D15D4"/>
    <w:rsid w:val="009D16EA"/>
    <w:rsid w:val="009D174B"/>
    <w:rsid w:val="009D1B14"/>
    <w:rsid w:val="009D1D30"/>
    <w:rsid w:val="009D1D96"/>
    <w:rsid w:val="009D2526"/>
    <w:rsid w:val="009D2572"/>
    <w:rsid w:val="009D2882"/>
    <w:rsid w:val="009D2C0D"/>
    <w:rsid w:val="009D2E60"/>
    <w:rsid w:val="009D2E88"/>
    <w:rsid w:val="009D2F62"/>
    <w:rsid w:val="009D31E8"/>
    <w:rsid w:val="009D32A9"/>
    <w:rsid w:val="009D33E3"/>
    <w:rsid w:val="009D354B"/>
    <w:rsid w:val="009D3847"/>
    <w:rsid w:val="009D38A2"/>
    <w:rsid w:val="009D3BF2"/>
    <w:rsid w:val="009D3CE5"/>
    <w:rsid w:val="009D3FE7"/>
    <w:rsid w:val="009D409B"/>
    <w:rsid w:val="009D42EC"/>
    <w:rsid w:val="009D4355"/>
    <w:rsid w:val="009D45CE"/>
    <w:rsid w:val="009D473C"/>
    <w:rsid w:val="009D4794"/>
    <w:rsid w:val="009D47A1"/>
    <w:rsid w:val="009D49D2"/>
    <w:rsid w:val="009D4A41"/>
    <w:rsid w:val="009D4A8A"/>
    <w:rsid w:val="009D4D30"/>
    <w:rsid w:val="009D4E89"/>
    <w:rsid w:val="009D50A0"/>
    <w:rsid w:val="009D5479"/>
    <w:rsid w:val="009D5536"/>
    <w:rsid w:val="009D5706"/>
    <w:rsid w:val="009D580E"/>
    <w:rsid w:val="009D5B91"/>
    <w:rsid w:val="009D5E63"/>
    <w:rsid w:val="009D5E83"/>
    <w:rsid w:val="009D5FB4"/>
    <w:rsid w:val="009D611A"/>
    <w:rsid w:val="009D64ED"/>
    <w:rsid w:val="009D6541"/>
    <w:rsid w:val="009D68FF"/>
    <w:rsid w:val="009D6B71"/>
    <w:rsid w:val="009D71D0"/>
    <w:rsid w:val="009D73A4"/>
    <w:rsid w:val="009D763C"/>
    <w:rsid w:val="009D767E"/>
    <w:rsid w:val="009D7708"/>
    <w:rsid w:val="009D79DA"/>
    <w:rsid w:val="009D7B8A"/>
    <w:rsid w:val="009D7BE5"/>
    <w:rsid w:val="009D7C49"/>
    <w:rsid w:val="009D7F45"/>
    <w:rsid w:val="009E000B"/>
    <w:rsid w:val="009E02E8"/>
    <w:rsid w:val="009E0443"/>
    <w:rsid w:val="009E0798"/>
    <w:rsid w:val="009E09DD"/>
    <w:rsid w:val="009E0C02"/>
    <w:rsid w:val="009E0C98"/>
    <w:rsid w:val="009E0E5F"/>
    <w:rsid w:val="009E1161"/>
    <w:rsid w:val="009E1511"/>
    <w:rsid w:val="009E185B"/>
    <w:rsid w:val="009E198A"/>
    <w:rsid w:val="009E1A4E"/>
    <w:rsid w:val="009E1A7C"/>
    <w:rsid w:val="009E1AA7"/>
    <w:rsid w:val="009E1ABB"/>
    <w:rsid w:val="009E1D2F"/>
    <w:rsid w:val="009E2062"/>
    <w:rsid w:val="009E235E"/>
    <w:rsid w:val="009E2567"/>
    <w:rsid w:val="009E2BD0"/>
    <w:rsid w:val="009E2CDF"/>
    <w:rsid w:val="009E3109"/>
    <w:rsid w:val="009E31E3"/>
    <w:rsid w:val="009E3364"/>
    <w:rsid w:val="009E3375"/>
    <w:rsid w:val="009E377A"/>
    <w:rsid w:val="009E3873"/>
    <w:rsid w:val="009E3CA5"/>
    <w:rsid w:val="009E3CE9"/>
    <w:rsid w:val="009E40BE"/>
    <w:rsid w:val="009E41D0"/>
    <w:rsid w:val="009E43A0"/>
    <w:rsid w:val="009E4416"/>
    <w:rsid w:val="009E445C"/>
    <w:rsid w:val="009E4486"/>
    <w:rsid w:val="009E4BEB"/>
    <w:rsid w:val="009E4D6B"/>
    <w:rsid w:val="009E4F38"/>
    <w:rsid w:val="009E4FF4"/>
    <w:rsid w:val="009E521E"/>
    <w:rsid w:val="009E52EE"/>
    <w:rsid w:val="009E53A5"/>
    <w:rsid w:val="009E5895"/>
    <w:rsid w:val="009E5968"/>
    <w:rsid w:val="009E596C"/>
    <w:rsid w:val="009E59F4"/>
    <w:rsid w:val="009E5B57"/>
    <w:rsid w:val="009E5B89"/>
    <w:rsid w:val="009E5C82"/>
    <w:rsid w:val="009E5D35"/>
    <w:rsid w:val="009E5E71"/>
    <w:rsid w:val="009E6170"/>
    <w:rsid w:val="009E6317"/>
    <w:rsid w:val="009E6644"/>
    <w:rsid w:val="009E6707"/>
    <w:rsid w:val="009E6A0C"/>
    <w:rsid w:val="009E702F"/>
    <w:rsid w:val="009E714E"/>
    <w:rsid w:val="009E7164"/>
    <w:rsid w:val="009E7496"/>
    <w:rsid w:val="009E7700"/>
    <w:rsid w:val="009E7743"/>
    <w:rsid w:val="009E7BF0"/>
    <w:rsid w:val="009E7CA4"/>
    <w:rsid w:val="009F000D"/>
    <w:rsid w:val="009F04AA"/>
    <w:rsid w:val="009F0558"/>
    <w:rsid w:val="009F057D"/>
    <w:rsid w:val="009F05B0"/>
    <w:rsid w:val="009F06F5"/>
    <w:rsid w:val="009F0A5D"/>
    <w:rsid w:val="009F0C32"/>
    <w:rsid w:val="009F0E69"/>
    <w:rsid w:val="009F1046"/>
    <w:rsid w:val="009F13C6"/>
    <w:rsid w:val="009F13FE"/>
    <w:rsid w:val="009F1590"/>
    <w:rsid w:val="009F1A91"/>
    <w:rsid w:val="009F1B91"/>
    <w:rsid w:val="009F1C15"/>
    <w:rsid w:val="009F1CC8"/>
    <w:rsid w:val="009F1F02"/>
    <w:rsid w:val="009F22F8"/>
    <w:rsid w:val="009F2588"/>
    <w:rsid w:val="009F2628"/>
    <w:rsid w:val="009F262D"/>
    <w:rsid w:val="009F2B37"/>
    <w:rsid w:val="009F2E21"/>
    <w:rsid w:val="009F2FE1"/>
    <w:rsid w:val="009F3037"/>
    <w:rsid w:val="009F32C5"/>
    <w:rsid w:val="009F32FB"/>
    <w:rsid w:val="009F33FB"/>
    <w:rsid w:val="009F3617"/>
    <w:rsid w:val="009F37C0"/>
    <w:rsid w:val="009F37DA"/>
    <w:rsid w:val="009F3FCC"/>
    <w:rsid w:val="009F4294"/>
    <w:rsid w:val="009F42BF"/>
    <w:rsid w:val="009F4366"/>
    <w:rsid w:val="009F44B9"/>
    <w:rsid w:val="009F46BF"/>
    <w:rsid w:val="009F477B"/>
    <w:rsid w:val="009F487C"/>
    <w:rsid w:val="009F4A27"/>
    <w:rsid w:val="009F4A66"/>
    <w:rsid w:val="009F5074"/>
    <w:rsid w:val="009F50E7"/>
    <w:rsid w:val="009F53CE"/>
    <w:rsid w:val="009F546D"/>
    <w:rsid w:val="009F546E"/>
    <w:rsid w:val="009F553F"/>
    <w:rsid w:val="009F5705"/>
    <w:rsid w:val="009F5708"/>
    <w:rsid w:val="009F571F"/>
    <w:rsid w:val="009F5735"/>
    <w:rsid w:val="009F59B3"/>
    <w:rsid w:val="009F59D7"/>
    <w:rsid w:val="009F5CA3"/>
    <w:rsid w:val="009F5D35"/>
    <w:rsid w:val="009F5D54"/>
    <w:rsid w:val="009F5E7C"/>
    <w:rsid w:val="009F5F85"/>
    <w:rsid w:val="009F602D"/>
    <w:rsid w:val="009F60B2"/>
    <w:rsid w:val="009F6284"/>
    <w:rsid w:val="009F631A"/>
    <w:rsid w:val="009F65DF"/>
    <w:rsid w:val="009F668B"/>
    <w:rsid w:val="009F6853"/>
    <w:rsid w:val="009F6890"/>
    <w:rsid w:val="009F6D4E"/>
    <w:rsid w:val="009F6DA2"/>
    <w:rsid w:val="009F7026"/>
    <w:rsid w:val="009F73A0"/>
    <w:rsid w:val="009F7A78"/>
    <w:rsid w:val="009F7BEC"/>
    <w:rsid w:val="009F7D1F"/>
    <w:rsid w:val="00A00160"/>
    <w:rsid w:val="00A00680"/>
    <w:rsid w:val="00A00860"/>
    <w:rsid w:val="00A00C2C"/>
    <w:rsid w:val="00A00F23"/>
    <w:rsid w:val="00A0107D"/>
    <w:rsid w:val="00A01108"/>
    <w:rsid w:val="00A01167"/>
    <w:rsid w:val="00A0116F"/>
    <w:rsid w:val="00A011EB"/>
    <w:rsid w:val="00A013DF"/>
    <w:rsid w:val="00A01450"/>
    <w:rsid w:val="00A0152B"/>
    <w:rsid w:val="00A01555"/>
    <w:rsid w:val="00A0159E"/>
    <w:rsid w:val="00A01654"/>
    <w:rsid w:val="00A01784"/>
    <w:rsid w:val="00A01AA1"/>
    <w:rsid w:val="00A01AFB"/>
    <w:rsid w:val="00A01C0B"/>
    <w:rsid w:val="00A01E8A"/>
    <w:rsid w:val="00A01EAE"/>
    <w:rsid w:val="00A01FCB"/>
    <w:rsid w:val="00A02161"/>
    <w:rsid w:val="00A024BC"/>
    <w:rsid w:val="00A028E6"/>
    <w:rsid w:val="00A02A54"/>
    <w:rsid w:val="00A02C24"/>
    <w:rsid w:val="00A02C27"/>
    <w:rsid w:val="00A02C48"/>
    <w:rsid w:val="00A02C99"/>
    <w:rsid w:val="00A03007"/>
    <w:rsid w:val="00A035EA"/>
    <w:rsid w:val="00A03865"/>
    <w:rsid w:val="00A039E1"/>
    <w:rsid w:val="00A03A15"/>
    <w:rsid w:val="00A03ADF"/>
    <w:rsid w:val="00A03BA9"/>
    <w:rsid w:val="00A03D8E"/>
    <w:rsid w:val="00A03E93"/>
    <w:rsid w:val="00A03F54"/>
    <w:rsid w:val="00A042CD"/>
    <w:rsid w:val="00A045B7"/>
    <w:rsid w:val="00A045FD"/>
    <w:rsid w:val="00A04629"/>
    <w:rsid w:val="00A047E0"/>
    <w:rsid w:val="00A04A59"/>
    <w:rsid w:val="00A04DBB"/>
    <w:rsid w:val="00A04FA6"/>
    <w:rsid w:val="00A05055"/>
    <w:rsid w:val="00A05324"/>
    <w:rsid w:val="00A0544F"/>
    <w:rsid w:val="00A054A4"/>
    <w:rsid w:val="00A0555E"/>
    <w:rsid w:val="00A05601"/>
    <w:rsid w:val="00A05988"/>
    <w:rsid w:val="00A05995"/>
    <w:rsid w:val="00A05B32"/>
    <w:rsid w:val="00A05F8F"/>
    <w:rsid w:val="00A06016"/>
    <w:rsid w:val="00A061C4"/>
    <w:rsid w:val="00A0626D"/>
    <w:rsid w:val="00A0631E"/>
    <w:rsid w:val="00A063B6"/>
    <w:rsid w:val="00A06494"/>
    <w:rsid w:val="00A064F0"/>
    <w:rsid w:val="00A064F7"/>
    <w:rsid w:val="00A065E9"/>
    <w:rsid w:val="00A06AD8"/>
    <w:rsid w:val="00A06B3E"/>
    <w:rsid w:val="00A06DD6"/>
    <w:rsid w:val="00A0718F"/>
    <w:rsid w:val="00A072B5"/>
    <w:rsid w:val="00A072E0"/>
    <w:rsid w:val="00A07384"/>
    <w:rsid w:val="00A07412"/>
    <w:rsid w:val="00A07490"/>
    <w:rsid w:val="00A074D2"/>
    <w:rsid w:val="00A07513"/>
    <w:rsid w:val="00A0764F"/>
    <w:rsid w:val="00A077A0"/>
    <w:rsid w:val="00A07E28"/>
    <w:rsid w:val="00A101B2"/>
    <w:rsid w:val="00A106DF"/>
    <w:rsid w:val="00A107B5"/>
    <w:rsid w:val="00A10C8A"/>
    <w:rsid w:val="00A10CCB"/>
    <w:rsid w:val="00A10DD4"/>
    <w:rsid w:val="00A10E20"/>
    <w:rsid w:val="00A10E22"/>
    <w:rsid w:val="00A11072"/>
    <w:rsid w:val="00A11933"/>
    <w:rsid w:val="00A12122"/>
    <w:rsid w:val="00A121EB"/>
    <w:rsid w:val="00A12298"/>
    <w:rsid w:val="00A12828"/>
    <w:rsid w:val="00A129AD"/>
    <w:rsid w:val="00A12B27"/>
    <w:rsid w:val="00A1318E"/>
    <w:rsid w:val="00A13250"/>
    <w:rsid w:val="00A1331E"/>
    <w:rsid w:val="00A1341F"/>
    <w:rsid w:val="00A1345A"/>
    <w:rsid w:val="00A135C3"/>
    <w:rsid w:val="00A13779"/>
    <w:rsid w:val="00A137CB"/>
    <w:rsid w:val="00A13D06"/>
    <w:rsid w:val="00A13D98"/>
    <w:rsid w:val="00A13E27"/>
    <w:rsid w:val="00A141D4"/>
    <w:rsid w:val="00A1441B"/>
    <w:rsid w:val="00A1467F"/>
    <w:rsid w:val="00A14C8F"/>
    <w:rsid w:val="00A14D39"/>
    <w:rsid w:val="00A15246"/>
    <w:rsid w:val="00A1557E"/>
    <w:rsid w:val="00A15965"/>
    <w:rsid w:val="00A15ACC"/>
    <w:rsid w:val="00A15BD2"/>
    <w:rsid w:val="00A15D80"/>
    <w:rsid w:val="00A160D1"/>
    <w:rsid w:val="00A1644C"/>
    <w:rsid w:val="00A164B7"/>
    <w:rsid w:val="00A166BB"/>
    <w:rsid w:val="00A167B3"/>
    <w:rsid w:val="00A1684C"/>
    <w:rsid w:val="00A16A11"/>
    <w:rsid w:val="00A16AFE"/>
    <w:rsid w:val="00A16BAF"/>
    <w:rsid w:val="00A16CFF"/>
    <w:rsid w:val="00A16E18"/>
    <w:rsid w:val="00A17040"/>
    <w:rsid w:val="00A170D6"/>
    <w:rsid w:val="00A17144"/>
    <w:rsid w:val="00A172BA"/>
    <w:rsid w:val="00A17303"/>
    <w:rsid w:val="00A1733D"/>
    <w:rsid w:val="00A17517"/>
    <w:rsid w:val="00A1760A"/>
    <w:rsid w:val="00A17A0B"/>
    <w:rsid w:val="00A17B77"/>
    <w:rsid w:val="00A17CF8"/>
    <w:rsid w:val="00A17D08"/>
    <w:rsid w:val="00A17D15"/>
    <w:rsid w:val="00A17F62"/>
    <w:rsid w:val="00A17FC0"/>
    <w:rsid w:val="00A202DA"/>
    <w:rsid w:val="00A20491"/>
    <w:rsid w:val="00A204B1"/>
    <w:rsid w:val="00A204EC"/>
    <w:rsid w:val="00A2060F"/>
    <w:rsid w:val="00A20819"/>
    <w:rsid w:val="00A2086B"/>
    <w:rsid w:val="00A20B1C"/>
    <w:rsid w:val="00A20D3D"/>
    <w:rsid w:val="00A20DE3"/>
    <w:rsid w:val="00A20FAF"/>
    <w:rsid w:val="00A211D4"/>
    <w:rsid w:val="00A212BD"/>
    <w:rsid w:val="00A212E6"/>
    <w:rsid w:val="00A214C4"/>
    <w:rsid w:val="00A215F2"/>
    <w:rsid w:val="00A21771"/>
    <w:rsid w:val="00A217D5"/>
    <w:rsid w:val="00A21AC3"/>
    <w:rsid w:val="00A21BD2"/>
    <w:rsid w:val="00A2203D"/>
    <w:rsid w:val="00A2218B"/>
    <w:rsid w:val="00A22255"/>
    <w:rsid w:val="00A222A1"/>
    <w:rsid w:val="00A22397"/>
    <w:rsid w:val="00A224A2"/>
    <w:rsid w:val="00A22502"/>
    <w:rsid w:val="00A22758"/>
    <w:rsid w:val="00A227D9"/>
    <w:rsid w:val="00A2281C"/>
    <w:rsid w:val="00A231FF"/>
    <w:rsid w:val="00A23249"/>
    <w:rsid w:val="00A233A3"/>
    <w:rsid w:val="00A234EE"/>
    <w:rsid w:val="00A23736"/>
    <w:rsid w:val="00A23914"/>
    <w:rsid w:val="00A239BC"/>
    <w:rsid w:val="00A239D3"/>
    <w:rsid w:val="00A23BF7"/>
    <w:rsid w:val="00A23E1E"/>
    <w:rsid w:val="00A23E73"/>
    <w:rsid w:val="00A23EEF"/>
    <w:rsid w:val="00A242E3"/>
    <w:rsid w:val="00A2435F"/>
    <w:rsid w:val="00A24503"/>
    <w:rsid w:val="00A24CEF"/>
    <w:rsid w:val="00A24D0E"/>
    <w:rsid w:val="00A24D74"/>
    <w:rsid w:val="00A25722"/>
    <w:rsid w:val="00A25742"/>
    <w:rsid w:val="00A257FE"/>
    <w:rsid w:val="00A25AAB"/>
    <w:rsid w:val="00A25ACD"/>
    <w:rsid w:val="00A25B22"/>
    <w:rsid w:val="00A25C0D"/>
    <w:rsid w:val="00A25CEC"/>
    <w:rsid w:val="00A25E87"/>
    <w:rsid w:val="00A25F51"/>
    <w:rsid w:val="00A26145"/>
    <w:rsid w:val="00A2627F"/>
    <w:rsid w:val="00A265F9"/>
    <w:rsid w:val="00A2661D"/>
    <w:rsid w:val="00A2685F"/>
    <w:rsid w:val="00A269A7"/>
    <w:rsid w:val="00A26B7A"/>
    <w:rsid w:val="00A26CF8"/>
    <w:rsid w:val="00A26F54"/>
    <w:rsid w:val="00A2711A"/>
    <w:rsid w:val="00A275C8"/>
    <w:rsid w:val="00A2764F"/>
    <w:rsid w:val="00A276FA"/>
    <w:rsid w:val="00A27700"/>
    <w:rsid w:val="00A2770D"/>
    <w:rsid w:val="00A277AC"/>
    <w:rsid w:val="00A27A5B"/>
    <w:rsid w:val="00A27B71"/>
    <w:rsid w:val="00A27BE7"/>
    <w:rsid w:val="00A27C8E"/>
    <w:rsid w:val="00A27CD4"/>
    <w:rsid w:val="00A3000F"/>
    <w:rsid w:val="00A302C1"/>
    <w:rsid w:val="00A3030B"/>
    <w:rsid w:val="00A30374"/>
    <w:rsid w:val="00A303AE"/>
    <w:rsid w:val="00A30647"/>
    <w:rsid w:val="00A306C2"/>
    <w:rsid w:val="00A307F5"/>
    <w:rsid w:val="00A30884"/>
    <w:rsid w:val="00A3093D"/>
    <w:rsid w:val="00A3096F"/>
    <w:rsid w:val="00A309E7"/>
    <w:rsid w:val="00A30A37"/>
    <w:rsid w:val="00A30ADC"/>
    <w:rsid w:val="00A30B43"/>
    <w:rsid w:val="00A30BFA"/>
    <w:rsid w:val="00A30C07"/>
    <w:rsid w:val="00A30CA2"/>
    <w:rsid w:val="00A30E23"/>
    <w:rsid w:val="00A3101B"/>
    <w:rsid w:val="00A31277"/>
    <w:rsid w:val="00A3133F"/>
    <w:rsid w:val="00A3152A"/>
    <w:rsid w:val="00A315E6"/>
    <w:rsid w:val="00A31704"/>
    <w:rsid w:val="00A3171A"/>
    <w:rsid w:val="00A317A9"/>
    <w:rsid w:val="00A3191A"/>
    <w:rsid w:val="00A31958"/>
    <w:rsid w:val="00A31A84"/>
    <w:rsid w:val="00A31B45"/>
    <w:rsid w:val="00A31B51"/>
    <w:rsid w:val="00A322E3"/>
    <w:rsid w:val="00A3245B"/>
    <w:rsid w:val="00A324F4"/>
    <w:rsid w:val="00A325AB"/>
    <w:rsid w:val="00A32638"/>
    <w:rsid w:val="00A32A37"/>
    <w:rsid w:val="00A32A59"/>
    <w:rsid w:val="00A32B4B"/>
    <w:rsid w:val="00A32BBD"/>
    <w:rsid w:val="00A32BC5"/>
    <w:rsid w:val="00A32C9D"/>
    <w:rsid w:val="00A32CC2"/>
    <w:rsid w:val="00A32D13"/>
    <w:rsid w:val="00A32D40"/>
    <w:rsid w:val="00A32E52"/>
    <w:rsid w:val="00A33045"/>
    <w:rsid w:val="00A331C0"/>
    <w:rsid w:val="00A332EB"/>
    <w:rsid w:val="00A33449"/>
    <w:rsid w:val="00A33459"/>
    <w:rsid w:val="00A3355E"/>
    <w:rsid w:val="00A337B5"/>
    <w:rsid w:val="00A33AFE"/>
    <w:rsid w:val="00A33D84"/>
    <w:rsid w:val="00A33DD6"/>
    <w:rsid w:val="00A33FDB"/>
    <w:rsid w:val="00A34266"/>
    <w:rsid w:val="00A34312"/>
    <w:rsid w:val="00A34545"/>
    <w:rsid w:val="00A3455E"/>
    <w:rsid w:val="00A347B7"/>
    <w:rsid w:val="00A349AF"/>
    <w:rsid w:val="00A34B67"/>
    <w:rsid w:val="00A34EDB"/>
    <w:rsid w:val="00A35060"/>
    <w:rsid w:val="00A3512E"/>
    <w:rsid w:val="00A352E3"/>
    <w:rsid w:val="00A3538E"/>
    <w:rsid w:val="00A354CD"/>
    <w:rsid w:val="00A35619"/>
    <w:rsid w:val="00A357CD"/>
    <w:rsid w:val="00A358C5"/>
    <w:rsid w:val="00A358CC"/>
    <w:rsid w:val="00A359B5"/>
    <w:rsid w:val="00A359F4"/>
    <w:rsid w:val="00A35DA9"/>
    <w:rsid w:val="00A35EDA"/>
    <w:rsid w:val="00A36114"/>
    <w:rsid w:val="00A361AF"/>
    <w:rsid w:val="00A362F0"/>
    <w:rsid w:val="00A3655B"/>
    <w:rsid w:val="00A3657F"/>
    <w:rsid w:val="00A36660"/>
    <w:rsid w:val="00A3674D"/>
    <w:rsid w:val="00A368E9"/>
    <w:rsid w:val="00A36985"/>
    <w:rsid w:val="00A369A5"/>
    <w:rsid w:val="00A36A6D"/>
    <w:rsid w:val="00A36BF3"/>
    <w:rsid w:val="00A36DE4"/>
    <w:rsid w:val="00A36F15"/>
    <w:rsid w:val="00A370EF"/>
    <w:rsid w:val="00A3745C"/>
    <w:rsid w:val="00A3787B"/>
    <w:rsid w:val="00A378BC"/>
    <w:rsid w:val="00A3797F"/>
    <w:rsid w:val="00A379F9"/>
    <w:rsid w:val="00A37B20"/>
    <w:rsid w:val="00A37D8F"/>
    <w:rsid w:val="00A37E5C"/>
    <w:rsid w:val="00A37EF3"/>
    <w:rsid w:val="00A37EF8"/>
    <w:rsid w:val="00A37FFD"/>
    <w:rsid w:val="00A40041"/>
    <w:rsid w:val="00A40177"/>
    <w:rsid w:val="00A4022A"/>
    <w:rsid w:val="00A407A6"/>
    <w:rsid w:val="00A40D41"/>
    <w:rsid w:val="00A40D8F"/>
    <w:rsid w:val="00A40DB9"/>
    <w:rsid w:val="00A410AF"/>
    <w:rsid w:val="00A41377"/>
    <w:rsid w:val="00A413B6"/>
    <w:rsid w:val="00A415C4"/>
    <w:rsid w:val="00A41853"/>
    <w:rsid w:val="00A41995"/>
    <w:rsid w:val="00A41BAC"/>
    <w:rsid w:val="00A41CF5"/>
    <w:rsid w:val="00A41F73"/>
    <w:rsid w:val="00A42002"/>
    <w:rsid w:val="00A42158"/>
    <w:rsid w:val="00A42248"/>
    <w:rsid w:val="00A423CA"/>
    <w:rsid w:val="00A424E2"/>
    <w:rsid w:val="00A424FA"/>
    <w:rsid w:val="00A4256B"/>
    <w:rsid w:val="00A427D1"/>
    <w:rsid w:val="00A42807"/>
    <w:rsid w:val="00A42851"/>
    <w:rsid w:val="00A42A13"/>
    <w:rsid w:val="00A42F29"/>
    <w:rsid w:val="00A42F4C"/>
    <w:rsid w:val="00A43409"/>
    <w:rsid w:val="00A4350B"/>
    <w:rsid w:val="00A4368E"/>
    <w:rsid w:val="00A43AC9"/>
    <w:rsid w:val="00A43C44"/>
    <w:rsid w:val="00A43CD9"/>
    <w:rsid w:val="00A43D04"/>
    <w:rsid w:val="00A43DE7"/>
    <w:rsid w:val="00A43E7E"/>
    <w:rsid w:val="00A43FD0"/>
    <w:rsid w:val="00A44395"/>
    <w:rsid w:val="00A443C2"/>
    <w:rsid w:val="00A444DF"/>
    <w:rsid w:val="00A44699"/>
    <w:rsid w:val="00A44B12"/>
    <w:rsid w:val="00A44B6C"/>
    <w:rsid w:val="00A44BBD"/>
    <w:rsid w:val="00A44D28"/>
    <w:rsid w:val="00A44E5E"/>
    <w:rsid w:val="00A44F48"/>
    <w:rsid w:val="00A44F54"/>
    <w:rsid w:val="00A44F6F"/>
    <w:rsid w:val="00A44FAB"/>
    <w:rsid w:val="00A45215"/>
    <w:rsid w:val="00A4525B"/>
    <w:rsid w:val="00A4539F"/>
    <w:rsid w:val="00A458CF"/>
    <w:rsid w:val="00A45B46"/>
    <w:rsid w:val="00A45C17"/>
    <w:rsid w:val="00A45DE0"/>
    <w:rsid w:val="00A460CF"/>
    <w:rsid w:val="00A46185"/>
    <w:rsid w:val="00A4630C"/>
    <w:rsid w:val="00A46334"/>
    <w:rsid w:val="00A4655D"/>
    <w:rsid w:val="00A46630"/>
    <w:rsid w:val="00A4674A"/>
    <w:rsid w:val="00A4684C"/>
    <w:rsid w:val="00A46A71"/>
    <w:rsid w:val="00A46B0F"/>
    <w:rsid w:val="00A46BD9"/>
    <w:rsid w:val="00A46C0D"/>
    <w:rsid w:val="00A46DB3"/>
    <w:rsid w:val="00A46E6F"/>
    <w:rsid w:val="00A46F80"/>
    <w:rsid w:val="00A46FE5"/>
    <w:rsid w:val="00A47292"/>
    <w:rsid w:val="00A47422"/>
    <w:rsid w:val="00A475BF"/>
    <w:rsid w:val="00A47757"/>
    <w:rsid w:val="00A47853"/>
    <w:rsid w:val="00A47902"/>
    <w:rsid w:val="00A47918"/>
    <w:rsid w:val="00A47BFA"/>
    <w:rsid w:val="00A47E14"/>
    <w:rsid w:val="00A47E34"/>
    <w:rsid w:val="00A503F4"/>
    <w:rsid w:val="00A5062F"/>
    <w:rsid w:val="00A506FC"/>
    <w:rsid w:val="00A5079E"/>
    <w:rsid w:val="00A5083E"/>
    <w:rsid w:val="00A5088B"/>
    <w:rsid w:val="00A509B8"/>
    <w:rsid w:val="00A50C0B"/>
    <w:rsid w:val="00A51182"/>
    <w:rsid w:val="00A51191"/>
    <w:rsid w:val="00A512AE"/>
    <w:rsid w:val="00A5163A"/>
    <w:rsid w:val="00A51ED3"/>
    <w:rsid w:val="00A51EE7"/>
    <w:rsid w:val="00A51F05"/>
    <w:rsid w:val="00A51F3B"/>
    <w:rsid w:val="00A522EE"/>
    <w:rsid w:val="00A5231D"/>
    <w:rsid w:val="00A52357"/>
    <w:rsid w:val="00A52371"/>
    <w:rsid w:val="00A5237E"/>
    <w:rsid w:val="00A5256B"/>
    <w:rsid w:val="00A52979"/>
    <w:rsid w:val="00A52B12"/>
    <w:rsid w:val="00A52C13"/>
    <w:rsid w:val="00A52EF4"/>
    <w:rsid w:val="00A52EFC"/>
    <w:rsid w:val="00A52F16"/>
    <w:rsid w:val="00A52F52"/>
    <w:rsid w:val="00A52F62"/>
    <w:rsid w:val="00A53112"/>
    <w:rsid w:val="00A532A6"/>
    <w:rsid w:val="00A532AB"/>
    <w:rsid w:val="00A532F4"/>
    <w:rsid w:val="00A53620"/>
    <w:rsid w:val="00A5388C"/>
    <w:rsid w:val="00A53AAF"/>
    <w:rsid w:val="00A53BFF"/>
    <w:rsid w:val="00A53E57"/>
    <w:rsid w:val="00A53F0B"/>
    <w:rsid w:val="00A53F1C"/>
    <w:rsid w:val="00A5401F"/>
    <w:rsid w:val="00A5417D"/>
    <w:rsid w:val="00A54270"/>
    <w:rsid w:val="00A5450C"/>
    <w:rsid w:val="00A54577"/>
    <w:rsid w:val="00A5485F"/>
    <w:rsid w:val="00A549E4"/>
    <w:rsid w:val="00A54A10"/>
    <w:rsid w:val="00A55297"/>
    <w:rsid w:val="00A552A5"/>
    <w:rsid w:val="00A553BE"/>
    <w:rsid w:val="00A55498"/>
    <w:rsid w:val="00A55554"/>
    <w:rsid w:val="00A5562D"/>
    <w:rsid w:val="00A55837"/>
    <w:rsid w:val="00A558EE"/>
    <w:rsid w:val="00A55971"/>
    <w:rsid w:val="00A55AE5"/>
    <w:rsid w:val="00A55CA8"/>
    <w:rsid w:val="00A55E04"/>
    <w:rsid w:val="00A563A3"/>
    <w:rsid w:val="00A56774"/>
    <w:rsid w:val="00A567B3"/>
    <w:rsid w:val="00A568A1"/>
    <w:rsid w:val="00A56964"/>
    <w:rsid w:val="00A56DA2"/>
    <w:rsid w:val="00A56E9A"/>
    <w:rsid w:val="00A571DD"/>
    <w:rsid w:val="00A57360"/>
    <w:rsid w:val="00A57658"/>
    <w:rsid w:val="00A576D4"/>
    <w:rsid w:val="00A5782A"/>
    <w:rsid w:val="00A57A00"/>
    <w:rsid w:val="00A57BA0"/>
    <w:rsid w:val="00A57F44"/>
    <w:rsid w:val="00A57FE3"/>
    <w:rsid w:val="00A60084"/>
    <w:rsid w:val="00A6011D"/>
    <w:rsid w:val="00A6017F"/>
    <w:rsid w:val="00A60461"/>
    <w:rsid w:val="00A60491"/>
    <w:rsid w:val="00A60743"/>
    <w:rsid w:val="00A607BF"/>
    <w:rsid w:val="00A60867"/>
    <w:rsid w:val="00A608B2"/>
    <w:rsid w:val="00A60905"/>
    <w:rsid w:val="00A60B42"/>
    <w:rsid w:val="00A60BFE"/>
    <w:rsid w:val="00A61069"/>
    <w:rsid w:val="00A61234"/>
    <w:rsid w:val="00A617CC"/>
    <w:rsid w:val="00A61826"/>
    <w:rsid w:val="00A61C20"/>
    <w:rsid w:val="00A61C2D"/>
    <w:rsid w:val="00A61DEC"/>
    <w:rsid w:val="00A61F9C"/>
    <w:rsid w:val="00A621FA"/>
    <w:rsid w:val="00A6248B"/>
    <w:rsid w:val="00A626B6"/>
    <w:rsid w:val="00A6303C"/>
    <w:rsid w:val="00A636FD"/>
    <w:rsid w:val="00A63901"/>
    <w:rsid w:val="00A63BE2"/>
    <w:rsid w:val="00A640A7"/>
    <w:rsid w:val="00A641E9"/>
    <w:rsid w:val="00A64400"/>
    <w:rsid w:val="00A644E8"/>
    <w:rsid w:val="00A64633"/>
    <w:rsid w:val="00A64B01"/>
    <w:rsid w:val="00A64B17"/>
    <w:rsid w:val="00A64F1C"/>
    <w:rsid w:val="00A651F1"/>
    <w:rsid w:val="00A651FE"/>
    <w:rsid w:val="00A6554E"/>
    <w:rsid w:val="00A65DFB"/>
    <w:rsid w:val="00A65E0A"/>
    <w:rsid w:val="00A660B3"/>
    <w:rsid w:val="00A66383"/>
    <w:rsid w:val="00A66386"/>
    <w:rsid w:val="00A6649E"/>
    <w:rsid w:val="00A6651F"/>
    <w:rsid w:val="00A66678"/>
    <w:rsid w:val="00A666DF"/>
    <w:rsid w:val="00A6670D"/>
    <w:rsid w:val="00A66758"/>
    <w:rsid w:val="00A6679E"/>
    <w:rsid w:val="00A667EB"/>
    <w:rsid w:val="00A66E71"/>
    <w:rsid w:val="00A66ED4"/>
    <w:rsid w:val="00A674F6"/>
    <w:rsid w:val="00A6757A"/>
    <w:rsid w:val="00A6786E"/>
    <w:rsid w:val="00A67BC7"/>
    <w:rsid w:val="00A67C2A"/>
    <w:rsid w:val="00A67C37"/>
    <w:rsid w:val="00A70234"/>
    <w:rsid w:val="00A703E4"/>
    <w:rsid w:val="00A7049F"/>
    <w:rsid w:val="00A70617"/>
    <w:rsid w:val="00A70656"/>
    <w:rsid w:val="00A706F3"/>
    <w:rsid w:val="00A7082D"/>
    <w:rsid w:val="00A70AEF"/>
    <w:rsid w:val="00A710F1"/>
    <w:rsid w:val="00A71272"/>
    <w:rsid w:val="00A71366"/>
    <w:rsid w:val="00A713AA"/>
    <w:rsid w:val="00A715DC"/>
    <w:rsid w:val="00A715F6"/>
    <w:rsid w:val="00A71697"/>
    <w:rsid w:val="00A71843"/>
    <w:rsid w:val="00A7191E"/>
    <w:rsid w:val="00A71970"/>
    <w:rsid w:val="00A71C7A"/>
    <w:rsid w:val="00A71DC4"/>
    <w:rsid w:val="00A7212A"/>
    <w:rsid w:val="00A72151"/>
    <w:rsid w:val="00A724D6"/>
    <w:rsid w:val="00A7277A"/>
    <w:rsid w:val="00A7281B"/>
    <w:rsid w:val="00A72847"/>
    <w:rsid w:val="00A72999"/>
    <w:rsid w:val="00A72F16"/>
    <w:rsid w:val="00A72F34"/>
    <w:rsid w:val="00A730DE"/>
    <w:rsid w:val="00A732A1"/>
    <w:rsid w:val="00A7361E"/>
    <w:rsid w:val="00A73B20"/>
    <w:rsid w:val="00A73D70"/>
    <w:rsid w:val="00A73E05"/>
    <w:rsid w:val="00A73EB0"/>
    <w:rsid w:val="00A740D6"/>
    <w:rsid w:val="00A741A4"/>
    <w:rsid w:val="00A7432E"/>
    <w:rsid w:val="00A74411"/>
    <w:rsid w:val="00A7456D"/>
    <w:rsid w:val="00A746F6"/>
    <w:rsid w:val="00A74701"/>
    <w:rsid w:val="00A74865"/>
    <w:rsid w:val="00A7487C"/>
    <w:rsid w:val="00A74BA3"/>
    <w:rsid w:val="00A74D3F"/>
    <w:rsid w:val="00A75253"/>
    <w:rsid w:val="00A753EC"/>
    <w:rsid w:val="00A755F2"/>
    <w:rsid w:val="00A755F4"/>
    <w:rsid w:val="00A7599C"/>
    <w:rsid w:val="00A75D08"/>
    <w:rsid w:val="00A75D8D"/>
    <w:rsid w:val="00A75EC0"/>
    <w:rsid w:val="00A75ECC"/>
    <w:rsid w:val="00A75F68"/>
    <w:rsid w:val="00A762E6"/>
    <w:rsid w:val="00A76352"/>
    <w:rsid w:val="00A7640A"/>
    <w:rsid w:val="00A76543"/>
    <w:rsid w:val="00A765A2"/>
    <w:rsid w:val="00A7685D"/>
    <w:rsid w:val="00A76914"/>
    <w:rsid w:val="00A769E6"/>
    <w:rsid w:val="00A76B4B"/>
    <w:rsid w:val="00A772E2"/>
    <w:rsid w:val="00A773E5"/>
    <w:rsid w:val="00A774FD"/>
    <w:rsid w:val="00A77576"/>
    <w:rsid w:val="00A775A0"/>
    <w:rsid w:val="00A777A2"/>
    <w:rsid w:val="00A778B2"/>
    <w:rsid w:val="00A77E3C"/>
    <w:rsid w:val="00A80019"/>
    <w:rsid w:val="00A800DD"/>
    <w:rsid w:val="00A80140"/>
    <w:rsid w:val="00A801F7"/>
    <w:rsid w:val="00A805A8"/>
    <w:rsid w:val="00A8081C"/>
    <w:rsid w:val="00A80C87"/>
    <w:rsid w:val="00A80F13"/>
    <w:rsid w:val="00A80F39"/>
    <w:rsid w:val="00A81000"/>
    <w:rsid w:val="00A811C0"/>
    <w:rsid w:val="00A81358"/>
    <w:rsid w:val="00A815B9"/>
    <w:rsid w:val="00A8183C"/>
    <w:rsid w:val="00A81D14"/>
    <w:rsid w:val="00A81EAC"/>
    <w:rsid w:val="00A823A2"/>
    <w:rsid w:val="00A823A9"/>
    <w:rsid w:val="00A82414"/>
    <w:rsid w:val="00A8248E"/>
    <w:rsid w:val="00A824BD"/>
    <w:rsid w:val="00A827D3"/>
    <w:rsid w:val="00A828E9"/>
    <w:rsid w:val="00A829B3"/>
    <w:rsid w:val="00A82A16"/>
    <w:rsid w:val="00A82B22"/>
    <w:rsid w:val="00A82BD0"/>
    <w:rsid w:val="00A82BE3"/>
    <w:rsid w:val="00A82EE2"/>
    <w:rsid w:val="00A8307C"/>
    <w:rsid w:val="00A830EF"/>
    <w:rsid w:val="00A8326F"/>
    <w:rsid w:val="00A8331A"/>
    <w:rsid w:val="00A83638"/>
    <w:rsid w:val="00A83991"/>
    <w:rsid w:val="00A83B83"/>
    <w:rsid w:val="00A83E3E"/>
    <w:rsid w:val="00A84062"/>
    <w:rsid w:val="00A84212"/>
    <w:rsid w:val="00A84408"/>
    <w:rsid w:val="00A84413"/>
    <w:rsid w:val="00A84461"/>
    <w:rsid w:val="00A845A8"/>
    <w:rsid w:val="00A846FD"/>
    <w:rsid w:val="00A849BD"/>
    <w:rsid w:val="00A84A71"/>
    <w:rsid w:val="00A84BE1"/>
    <w:rsid w:val="00A84C5E"/>
    <w:rsid w:val="00A84F3F"/>
    <w:rsid w:val="00A84FDB"/>
    <w:rsid w:val="00A850A1"/>
    <w:rsid w:val="00A8562E"/>
    <w:rsid w:val="00A85660"/>
    <w:rsid w:val="00A8566B"/>
    <w:rsid w:val="00A857DA"/>
    <w:rsid w:val="00A858D2"/>
    <w:rsid w:val="00A85928"/>
    <w:rsid w:val="00A85A95"/>
    <w:rsid w:val="00A85AD5"/>
    <w:rsid w:val="00A85C77"/>
    <w:rsid w:val="00A85DB1"/>
    <w:rsid w:val="00A8602A"/>
    <w:rsid w:val="00A861FE"/>
    <w:rsid w:val="00A868B5"/>
    <w:rsid w:val="00A869A8"/>
    <w:rsid w:val="00A86A0E"/>
    <w:rsid w:val="00A86ABE"/>
    <w:rsid w:val="00A86D4F"/>
    <w:rsid w:val="00A86E39"/>
    <w:rsid w:val="00A8700C"/>
    <w:rsid w:val="00A87015"/>
    <w:rsid w:val="00A8709B"/>
    <w:rsid w:val="00A87130"/>
    <w:rsid w:val="00A871A0"/>
    <w:rsid w:val="00A8722C"/>
    <w:rsid w:val="00A8764C"/>
    <w:rsid w:val="00A87746"/>
    <w:rsid w:val="00A87811"/>
    <w:rsid w:val="00A878F5"/>
    <w:rsid w:val="00A87B67"/>
    <w:rsid w:val="00A87BCA"/>
    <w:rsid w:val="00A87E46"/>
    <w:rsid w:val="00A900B1"/>
    <w:rsid w:val="00A901D3"/>
    <w:rsid w:val="00A902E7"/>
    <w:rsid w:val="00A90679"/>
    <w:rsid w:val="00A9084C"/>
    <w:rsid w:val="00A90AED"/>
    <w:rsid w:val="00A90D95"/>
    <w:rsid w:val="00A91101"/>
    <w:rsid w:val="00A912B0"/>
    <w:rsid w:val="00A913AC"/>
    <w:rsid w:val="00A915F6"/>
    <w:rsid w:val="00A916BA"/>
    <w:rsid w:val="00A916DD"/>
    <w:rsid w:val="00A91743"/>
    <w:rsid w:val="00A91770"/>
    <w:rsid w:val="00A91BC7"/>
    <w:rsid w:val="00A91C21"/>
    <w:rsid w:val="00A91C2A"/>
    <w:rsid w:val="00A91F5C"/>
    <w:rsid w:val="00A921D2"/>
    <w:rsid w:val="00A92540"/>
    <w:rsid w:val="00A92B81"/>
    <w:rsid w:val="00A92D6C"/>
    <w:rsid w:val="00A92D8E"/>
    <w:rsid w:val="00A9305B"/>
    <w:rsid w:val="00A93207"/>
    <w:rsid w:val="00A93342"/>
    <w:rsid w:val="00A93381"/>
    <w:rsid w:val="00A9339D"/>
    <w:rsid w:val="00A934FE"/>
    <w:rsid w:val="00A93816"/>
    <w:rsid w:val="00A938F0"/>
    <w:rsid w:val="00A939E3"/>
    <w:rsid w:val="00A93BEC"/>
    <w:rsid w:val="00A93C41"/>
    <w:rsid w:val="00A93D3C"/>
    <w:rsid w:val="00A93F1A"/>
    <w:rsid w:val="00A93FEA"/>
    <w:rsid w:val="00A94051"/>
    <w:rsid w:val="00A9414E"/>
    <w:rsid w:val="00A9415E"/>
    <w:rsid w:val="00A94663"/>
    <w:rsid w:val="00A94A0C"/>
    <w:rsid w:val="00A94E1F"/>
    <w:rsid w:val="00A94EF8"/>
    <w:rsid w:val="00A952BF"/>
    <w:rsid w:val="00A952F9"/>
    <w:rsid w:val="00A9533F"/>
    <w:rsid w:val="00A95810"/>
    <w:rsid w:val="00A959F2"/>
    <w:rsid w:val="00A96027"/>
    <w:rsid w:val="00A96260"/>
    <w:rsid w:val="00A962BD"/>
    <w:rsid w:val="00A9667A"/>
    <w:rsid w:val="00A9692E"/>
    <w:rsid w:val="00A96985"/>
    <w:rsid w:val="00A96CFC"/>
    <w:rsid w:val="00A96E41"/>
    <w:rsid w:val="00A96E69"/>
    <w:rsid w:val="00A971D6"/>
    <w:rsid w:val="00A97266"/>
    <w:rsid w:val="00A9742D"/>
    <w:rsid w:val="00A9747F"/>
    <w:rsid w:val="00A9760A"/>
    <w:rsid w:val="00A9779F"/>
    <w:rsid w:val="00A97D79"/>
    <w:rsid w:val="00A97D91"/>
    <w:rsid w:val="00A97E08"/>
    <w:rsid w:val="00A97E77"/>
    <w:rsid w:val="00A97E93"/>
    <w:rsid w:val="00AA0069"/>
    <w:rsid w:val="00AA0139"/>
    <w:rsid w:val="00AA0305"/>
    <w:rsid w:val="00AA038A"/>
    <w:rsid w:val="00AA04B0"/>
    <w:rsid w:val="00AA061C"/>
    <w:rsid w:val="00AA07A4"/>
    <w:rsid w:val="00AA0B9E"/>
    <w:rsid w:val="00AA0CB7"/>
    <w:rsid w:val="00AA0CD5"/>
    <w:rsid w:val="00AA0E05"/>
    <w:rsid w:val="00AA0E9C"/>
    <w:rsid w:val="00AA0EFF"/>
    <w:rsid w:val="00AA0FDF"/>
    <w:rsid w:val="00AA0FF3"/>
    <w:rsid w:val="00AA12EC"/>
    <w:rsid w:val="00AA1334"/>
    <w:rsid w:val="00AA13FE"/>
    <w:rsid w:val="00AA1461"/>
    <w:rsid w:val="00AA14E5"/>
    <w:rsid w:val="00AA16FD"/>
    <w:rsid w:val="00AA172A"/>
    <w:rsid w:val="00AA1DA4"/>
    <w:rsid w:val="00AA1DF8"/>
    <w:rsid w:val="00AA2083"/>
    <w:rsid w:val="00AA2244"/>
    <w:rsid w:val="00AA233C"/>
    <w:rsid w:val="00AA2428"/>
    <w:rsid w:val="00AA267C"/>
    <w:rsid w:val="00AA2804"/>
    <w:rsid w:val="00AA2856"/>
    <w:rsid w:val="00AA28F9"/>
    <w:rsid w:val="00AA2CC0"/>
    <w:rsid w:val="00AA2F57"/>
    <w:rsid w:val="00AA320C"/>
    <w:rsid w:val="00AA3410"/>
    <w:rsid w:val="00AA346F"/>
    <w:rsid w:val="00AA3679"/>
    <w:rsid w:val="00AA3CDF"/>
    <w:rsid w:val="00AA410D"/>
    <w:rsid w:val="00AA42F2"/>
    <w:rsid w:val="00AA4367"/>
    <w:rsid w:val="00AA4640"/>
    <w:rsid w:val="00AA46E4"/>
    <w:rsid w:val="00AA4AEA"/>
    <w:rsid w:val="00AA4B51"/>
    <w:rsid w:val="00AA4BDB"/>
    <w:rsid w:val="00AA4BFA"/>
    <w:rsid w:val="00AA4C1E"/>
    <w:rsid w:val="00AA5413"/>
    <w:rsid w:val="00AA5455"/>
    <w:rsid w:val="00AA553F"/>
    <w:rsid w:val="00AA5636"/>
    <w:rsid w:val="00AA577F"/>
    <w:rsid w:val="00AA5807"/>
    <w:rsid w:val="00AA58CA"/>
    <w:rsid w:val="00AA5C97"/>
    <w:rsid w:val="00AA5D8B"/>
    <w:rsid w:val="00AA606D"/>
    <w:rsid w:val="00AA63C0"/>
    <w:rsid w:val="00AA6480"/>
    <w:rsid w:val="00AA6565"/>
    <w:rsid w:val="00AA6672"/>
    <w:rsid w:val="00AA68C7"/>
    <w:rsid w:val="00AA6A21"/>
    <w:rsid w:val="00AA6C24"/>
    <w:rsid w:val="00AA7318"/>
    <w:rsid w:val="00AA751D"/>
    <w:rsid w:val="00AA75D9"/>
    <w:rsid w:val="00AA7777"/>
    <w:rsid w:val="00AA77AD"/>
    <w:rsid w:val="00AA7C15"/>
    <w:rsid w:val="00AA7E13"/>
    <w:rsid w:val="00AB008D"/>
    <w:rsid w:val="00AB0254"/>
    <w:rsid w:val="00AB0285"/>
    <w:rsid w:val="00AB032C"/>
    <w:rsid w:val="00AB04C1"/>
    <w:rsid w:val="00AB0567"/>
    <w:rsid w:val="00AB064B"/>
    <w:rsid w:val="00AB072C"/>
    <w:rsid w:val="00AB076E"/>
    <w:rsid w:val="00AB089F"/>
    <w:rsid w:val="00AB0A1E"/>
    <w:rsid w:val="00AB0CFB"/>
    <w:rsid w:val="00AB0EE3"/>
    <w:rsid w:val="00AB0EED"/>
    <w:rsid w:val="00AB0F2F"/>
    <w:rsid w:val="00AB1305"/>
    <w:rsid w:val="00AB13F7"/>
    <w:rsid w:val="00AB14EA"/>
    <w:rsid w:val="00AB1516"/>
    <w:rsid w:val="00AB162A"/>
    <w:rsid w:val="00AB1989"/>
    <w:rsid w:val="00AB1BC1"/>
    <w:rsid w:val="00AB1DF6"/>
    <w:rsid w:val="00AB28DD"/>
    <w:rsid w:val="00AB2A1E"/>
    <w:rsid w:val="00AB2DEC"/>
    <w:rsid w:val="00AB2E07"/>
    <w:rsid w:val="00AB2E4F"/>
    <w:rsid w:val="00AB2F2C"/>
    <w:rsid w:val="00AB3168"/>
    <w:rsid w:val="00AB316D"/>
    <w:rsid w:val="00AB3172"/>
    <w:rsid w:val="00AB31BB"/>
    <w:rsid w:val="00AB32B4"/>
    <w:rsid w:val="00AB341F"/>
    <w:rsid w:val="00AB3828"/>
    <w:rsid w:val="00AB3B25"/>
    <w:rsid w:val="00AB3C4B"/>
    <w:rsid w:val="00AB3E5B"/>
    <w:rsid w:val="00AB40D7"/>
    <w:rsid w:val="00AB41F2"/>
    <w:rsid w:val="00AB438C"/>
    <w:rsid w:val="00AB4467"/>
    <w:rsid w:val="00AB4673"/>
    <w:rsid w:val="00AB48A3"/>
    <w:rsid w:val="00AB4C37"/>
    <w:rsid w:val="00AB5065"/>
    <w:rsid w:val="00AB50D5"/>
    <w:rsid w:val="00AB5406"/>
    <w:rsid w:val="00AB5426"/>
    <w:rsid w:val="00AB56B0"/>
    <w:rsid w:val="00AB5881"/>
    <w:rsid w:val="00AB5BF5"/>
    <w:rsid w:val="00AB5D45"/>
    <w:rsid w:val="00AB5D5E"/>
    <w:rsid w:val="00AB5FAD"/>
    <w:rsid w:val="00AB6168"/>
    <w:rsid w:val="00AB6224"/>
    <w:rsid w:val="00AB6235"/>
    <w:rsid w:val="00AB624E"/>
    <w:rsid w:val="00AB62C0"/>
    <w:rsid w:val="00AB6BBD"/>
    <w:rsid w:val="00AB6C0F"/>
    <w:rsid w:val="00AB6DBD"/>
    <w:rsid w:val="00AB6F16"/>
    <w:rsid w:val="00AB7197"/>
    <w:rsid w:val="00AB7275"/>
    <w:rsid w:val="00AB7336"/>
    <w:rsid w:val="00AB7B31"/>
    <w:rsid w:val="00AB7B47"/>
    <w:rsid w:val="00AB7B78"/>
    <w:rsid w:val="00AB7CAA"/>
    <w:rsid w:val="00AB7EC7"/>
    <w:rsid w:val="00AC004F"/>
    <w:rsid w:val="00AC01C6"/>
    <w:rsid w:val="00AC02D4"/>
    <w:rsid w:val="00AC071B"/>
    <w:rsid w:val="00AC0C52"/>
    <w:rsid w:val="00AC0CF1"/>
    <w:rsid w:val="00AC0D82"/>
    <w:rsid w:val="00AC0D9E"/>
    <w:rsid w:val="00AC0E6A"/>
    <w:rsid w:val="00AC0F3B"/>
    <w:rsid w:val="00AC0F80"/>
    <w:rsid w:val="00AC0FEE"/>
    <w:rsid w:val="00AC1124"/>
    <w:rsid w:val="00AC136E"/>
    <w:rsid w:val="00AC154C"/>
    <w:rsid w:val="00AC15CC"/>
    <w:rsid w:val="00AC1A75"/>
    <w:rsid w:val="00AC1AD4"/>
    <w:rsid w:val="00AC1BA6"/>
    <w:rsid w:val="00AC1C0F"/>
    <w:rsid w:val="00AC1DB3"/>
    <w:rsid w:val="00AC2326"/>
    <w:rsid w:val="00AC2399"/>
    <w:rsid w:val="00AC242F"/>
    <w:rsid w:val="00AC2559"/>
    <w:rsid w:val="00AC277E"/>
    <w:rsid w:val="00AC2791"/>
    <w:rsid w:val="00AC285E"/>
    <w:rsid w:val="00AC2884"/>
    <w:rsid w:val="00AC29C8"/>
    <w:rsid w:val="00AC2CB3"/>
    <w:rsid w:val="00AC2D6E"/>
    <w:rsid w:val="00AC2E72"/>
    <w:rsid w:val="00AC2F10"/>
    <w:rsid w:val="00AC2FD8"/>
    <w:rsid w:val="00AC307D"/>
    <w:rsid w:val="00AC35E7"/>
    <w:rsid w:val="00AC39F2"/>
    <w:rsid w:val="00AC3B23"/>
    <w:rsid w:val="00AC3DDB"/>
    <w:rsid w:val="00AC3E8C"/>
    <w:rsid w:val="00AC407C"/>
    <w:rsid w:val="00AC40E6"/>
    <w:rsid w:val="00AC41A6"/>
    <w:rsid w:val="00AC4533"/>
    <w:rsid w:val="00AC470A"/>
    <w:rsid w:val="00AC47B1"/>
    <w:rsid w:val="00AC4980"/>
    <w:rsid w:val="00AC49B9"/>
    <w:rsid w:val="00AC4A46"/>
    <w:rsid w:val="00AC4DB3"/>
    <w:rsid w:val="00AC5048"/>
    <w:rsid w:val="00AC5156"/>
    <w:rsid w:val="00AC5385"/>
    <w:rsid w:val="00AC58D9"/>
    <w:rsid w:val="00AC5BED"/>
    <w:rsid w:val="00AC5D0B"/>
    <w:rsid w:val="00AC5F20"/>
    <w:rsid w:val="00AC6077"/>
    <w:rsid w:val="00AC6156"/>
    <w:rsid w:val="00AC624F"/>
    <w:rsid w:val="00AC68EA"/>
    <w:rsid w:val="00AC6B97"/>
    <w:rsid w:val="00AC6F9E"/>
    <w:rsid w:val="00AC77D1"/>
    <w:rsid w:val="00AC77D4"/>
    <w:rsid w:val="00AC783E"/>
    <w:rsid w:val="00AC79A7"/>
    <w:rsid w:val="00AC7D83"/>
    <w:rsid w:val="00AC7DF6"/>
    <w:rsid w:val="00AC7E81"/>
    <w:rsid w:val="00AC7EC8"/>
    <w:rsid w:val="00AC7ED0"/>
    <w:rsid w:val="00AC7F9A"/>
    <w:rsid w:val="00AD00E3"/>
    <w:rsid w:val="00AD00EC"/>
    <w:rsid w:val="00AD01A3"/>
    <w:rsid w:val="00AD031F"/>
    <w:rsid w:val="00AD0449"/>
    <w:rsid w:val="00AD05F5"/>
    <w:rsid w:val="00AD062F"/>
    <w:rsid w:val="00AD0744"/>
    <w:rsid w:val="00AD07C7"/>
    <w:rsid w:val="00AD07FE"/>
    <w:rsid w:val="00AD0900"/>
    <w:rsid w:val="00AD0D39"/>
    <w:rsid w:val="00AD0F19"/>
    <w:rsid w:val="00AD0FE9"/>
    <w:rsid w:val="00AD118A"/>
    <w:rsid w:val="00AD130E"/>
    <w:rsid w:val="00AD141A"/>
    <w:rsid w:val="00AD15B5"/>
    <w:rsid w:val="00AD1645"/>
    <w:rsid w:val="00AD1A39"/>
    <w:rsid w:val="00AD1AA4"/>
    <w:rsid w:val="00AD1F37"/>
    <w:rsid w:val="00AD20D5"/>
    <w:rsid w:val="00AD2289"/>
    <w:rsid w:val="00AD22B7"/>
    <w:rsid w:val="00AD2328"/>
    <w:rsid w:val="00AD2415"/>
    <w:rsid w:val="00AD2483"/>
    <w:rsid w:val="00AD2758"/>
    <w:rsid w:val="00AD2803"/>
    <w:rsid w:val="00AD2C47"/>
    <w:rsid w:val="00AD2E19"/>
    <w:rsid w:val="00AD2E67"/>
    <w:rsid w:val="00AD3113"/>
    <w:rsid w:val="00AD31CB"/>
    <w:rsid w:val="00AD333F"/>
    <w:rsid w:val="00AD3393"/>
    <w:rsid w:val="00AD3562"/>
    <w:rsid w:val="00AD3BEC"/>
    <w:rsid w:val="00AD446B"/>
    <w:rsid w:val="00AD451C"/>
    <w:rsid w:val="00AD47DC"/>
    <w:rsid w:val="00AD49AB"/>
    <w:rsid w:val="00AD4ABF"/>
    <w:rsid w:val="00AD4B38"/>
    <w:rsid w:val="00AD4B53"/>
    <w:rsid w:val="00AD4BE8"/>
    <w:rsid w:val="00AD4CEE"/>
    <w:rsid w:val="00AD4D31"/>
    <w:rsid w:val="00AD4E72"/>
    <w:rsid w:val="00AD50B5"/>
    <w:rsid w:val="00AD5138"/>
    <w:rsid w:val="00AD520D"/>
    <w:rsid w:val="00AD5236"/>
    <w:rsid w:val="00AD530A"/>
    <w:rsid w:val="00AD561E"/>
    <w:rsid w:val="00AD5620"/>
    <w:rsid w:val="00AD56D3"/>
    <w:rsid w:val="00AD58C6"/>
    <w:rsid w:val="00AD59D2"/>
    <w:rsid w:val="00AD5AE0"/>
    <w:rsid w:val="00AD5B72"/>
    <w:rsid w:val="00AD5B76"/>
    <w:rsid w:val="00AD5B92"/>
    <w:rsid w:val="00AD5E54"/>
    <w:rsid w:val="00AD6180"/>
    <w:rsid w:val="00AD6339"/>
    <w:rsid w:val="00AD63AA"/>
    <w:rsid w:val="00AD645D"/>
    <w:rsid w:val="00AD65C0"/>
    <w:rsid w:val="00AD66C8"/>
    <w:rsid w:val="00AD6A25"/>
    <w:rsid w:val="00AD6A4D"/>
    <w:rsid w:val="00AD6B50"/>
    <w:rsid w:val="00AD6CB3"/>
    <w:rsid w:val="00AD6EBC"/>
    <w:rsid w:val="00AD7496"/>
    <w:rsid w:val="00AD7532"/>
    <w:rsid w:val="00AD75C5"/>
    <w:rsid w:val="00AD76DE"/>
    <w:rsid w:val="00AD7712"/>
    <w:rsid w:val="00AD7888"/>
    <w:rsid w:val="00AD7A0B"/>
    <w:rsid w:val="00AD7A22"/>
    <w:rsid w:val="00AD7CFC"/>
    <w:rsid w:val="00AD7D2F"/>
    <w:rsid w:val="00AD7E05"/>
    <w:rsid w:val="00AD7E0D"/>
    <w:rsid w:val="00AD7EC8"/>
    <w:rsid w:val="00AD7ED8"/>
    <w:rsid w:val="00AD7F66"/>
    <w:rsid w:val="00AD7FE7"/>
    <w:rsid w:val="00AE0445"/>
    <w:rsid w:val="00AE0524"/>
    <w:rsid w:val="00AE07CD"/>
    <w:rsid w:val="00AE0DA9"/>
    <w:rsid w:val="00AE105E"/>
    <w:rsid w:val="00AE10DF"/>
    <w:rsid w:val="00AE19F0"/>
    <w:rsid w:val="00AE1A76"/>
    <w:rsid w:val="00AE1BD1"/>
    <w:rsid w:val="00AE2056"/>
    <w:rsid w:val="00AE21A2"/>
    <w:rsid w:val="00AE2298"/>
    <w:rsid w:val="00AE2461"/>
    <w:rsid w:val="00AE2BA5"/>
    <w:rsid w:val="00AE2C8A"/>
    <w:rsid w:val="00AE2CFD"/>
    <w:rsid w:val="00AE316E"/>
    <w:rsid w:val="00AE3324"/>
    <w:rsid w:val="00AE36D9"/>
    <w:rsid w:val="00AE37B6"/>
    <w:rsid w:val="00AE39D5"/>
    <w:rsid w:val="00AE3F06"/>
    <w:rsid w:val="00AE4383"/>
    <w:rsid w:val="00AE43CE"/>
    <w:rsid w:val="00AE4548"/>
    <w:rsid w:val="00AE4598"/>
    <w:rsid w:val="00AE4712"/>
    <w:rsid w:val="00AE4AB5"/>
    <w:rsid w:val="00AE4C72"/>
    <w:rsid w:val="00AE4D58"/>
    <w:rsid w:val="00AE4DE7"/>
    <w:rsid w:val="00AE4EE1"/>
    <w:rsid w:val="00AE4F39"/>
    <w:rsid w:val="00AE5174"/>
    <w:rsid w:val="00AE51E7"/>
    <w:rsid w:val="00AE5709"/>
    <w:rsid w:val="00AE588E"/>
    <w:rsid w:val="00AE58E6"/>
    <w:rsid w:val="00AE5941"/>
    <w:rsid w:val="00AE59D1"/>
    <w:rsid w:val="00AE5B62"/>
    <w:rsid w:val="00AE5E3B"/>
    <w:rsid w:val="00AE5F1C"/>
    <w:rsid w:val="00AE61DB"/>
    <w:rsid w:val="00AE62F1"/>
    <w:rsid w:val="00AE649C"/>
    <w:rsid w:val="00AE64F1"/>
    <w:rsid w:val="00AE6521"/>
    <w:rsid w:val="00AE654C"/>
    <w:rsid w:val="00AE659D"/>
    <w:rsid w:val="00AE65CC"/>
    <w:rsid w:val="00AE6820"/>
    <w:rsid w:val="00AE6984"/>
    <w:rsid w:val="00AE6E96"/>
    <w:rsid w:val="00AE6F79"/>
    <w:rsid w:val="00AE73CC"/>
    <w:rsid w:val="00AE742C"/>
    <w:rsid w:val="00AE74F7"/>
    <w:rsid w:val="00AE7626"/>
    <w:rsid w:val="00AE7705"/>
    <w:rsid w:val="00AE7841"/>
    <w:rsid w:val="00AE78F2"/>
    <w:rsid w:val="00AE7B04"/>
    <w:rsid w:val="00AE7B3E"/>
    <w:rsid w:val="00AE7B7E"/>
    <w:rsid w:val="00AE7CEA"/>
    <w:rsid w:val="00AE7DE1"/>
    <w:rsid w:val="00AE7FF4"/>
    <w:rsid w:val="00AF00EB"/>
    <w:rsid w:val="00AF0198"/>
    <w:rsid w:val="00AF023D"/>
    <w:rsid w:val="00AF05FC"/>
    <w:rsid w:val="00AF0631"/>
    <w:rsid w:val="00AF0647"/>
    <w:rsid w:val="00AF0920"/>
    <w:rsid w:val="00AF0994"/>
    <w:rsid w:val="00AF0A5F"/>
    <w:rsid w:val="00AF0E98"/>
    <w:rsid w:val="00AF0FD7"/>
    <w:rsid w:val="00AF1067"/>
    <w:rsid w:val="00AF114F"/>
    <w:rsid w:val="00AF1167"/>
    <w:rsid w:val="00AF1209"/>
    <w:rsid w:val="00AF15E7"/>
    <w:rsid w:val="00AF1634"/>
    <w:rsid w:val="00AF1BA4"/>
    <w:rsid w:val="00AF1CA0"/>
    <w:rsid w:val="00AF1D92"/>
    <w:rsid w:val="00AF2184"/>
    <w:rsid w:val="00AF234A"/>
    <w:rsid w:val="00AF2367"/>
    <w:rsid w:val="00AF23F5"/>
    <w:rsid w:val="00AF26FB"/>
    <w:rsid w:val="00AF270F"/>
    <w:rsid w:val="00AF2A01"/>
    <w:rsid w:val="00AF2A30"/>
    <w:rsid w:val="00AF2E67"/>
    <w:rsid w:val="00AF3133"/>
    <w:rsid w:val="00AF31CC"/>
    <w:rsid w:val="00AF328E"/>
    <w:rsid w:val="00AF3451"/>
    <w:rsid w:val="00AF3957"/>
    <w:rsid w:val="00AF39B5"/>
    <w:rsid w:val="00AF39E2"/>
    <w:rsid w:val="00AF3A4C"/>
    <w:rsid w:val="00AF3BF2"/>
    <w:rsid w:val="00AF3C39"/>
    <w:rsid w:val="00AF3C73"/>
    <w:rsid w:val="00AF3E1F"/>
    <w:rsid w:val="00AF3EF0"/>
    <w:rsid w:val="00AF40D4"/>
    <w:rsid w:val="00AF434C"/>
    <w:rsid w:val="00AF450F"/>
    <w:rsid w:val="00AF460A"/>
    <w:rsid w:val="00AF46FF"/>
    <w:rsid w:val="00AF4B38"/>
    <w:rsid w:val="00AF4D66"/>
    <w:rsid w:val="00AF4F62"/>
    <w:rsid w:val="00AF52EE"/>
    <w:rsid w:val="00AF5309"/>
    <w:rsid w:val="00AF5649"/>
    <w:rsid w:val="00AF569D"/>
    <w:rsid w:val="00AF58AA"/>
    <w:rsid w:val="00AF59C2"/>
    <w:rsid w:val="00AF5B07"/>
    <w:rsid w:val="00AF5B48"/>
    <w:rsid w:val="00AF5B70"/>
    <w:rsid w:val="00AF5D27"/>
    <w:rsid w:val="00AF5D2E"/>
    <w:rsid w:val="00AF5DED"/>
    <w:rsid w:val="00AF60B4"/>
    <w:rsid w:val="00AF60BA"/>
    <w:rsid w:val="00AF61F7"/>
    <w:rsid w:val="00AF633B"/>
    <w:rsid w:val="00AF63F8"/>
    <w:rsid w:val="00AF67E5"/>
    <w:rsid w:val="00AF68B4"/>
    <w:rsid w:val="00AF68FD"/>
    <w:rsid w:val="00AF6AB0"/>
    <w:rsid w:val="00AF6B4B"/>
    <w:rsid w:val="00AF6CED"/>
    <w:rsid w:val="00AF6FBA"/>
    <w:rsid w:val="00AF6FFC"/>
    <w:rsid w:val="00AF7200"/>
    <w:rsid w:val="00AF7367"/>
    <w:rsid w:val="00AF79A3"/>
    <w:rsid w:val="00AF79B4"/>
    <w:rsid w:val="00AF7B4A"/>
    <w:rsid w:val="00AF7C5B"/>
    <w:rsid w:val="00AF7C70"/>
    <w:rsid w:val="00AF7CB2"/>
    <w:rsid w:val="00AF7CFC"/>
    <w:rsid w:val="00B00147"/>
    <w:rsid w:val="00B0014A"/>
    <w:rsid w:val="00B00168"/>
    <w:rsid w:val="00B00175"/>
    <w:rsid w:val="00B00196"/>
    <w:rsid w:val="00B0031D"/>
    <w:rsid w:val="00B00327"/>
    <w:rsid w:val="00B0098E"/>
    <w:rsid w:val="00B00AB2"/>
    <w:rsid w:val="00B00C59"/>
    <w:rsid w:val="00B013D1"/>
    <w:rsid w:val="00B017E7"/>
    <w:rsid w:val="00B0187B"/>
    <w:rsid w:val="00B01B2D"/>
    <w:rsid w:val="00B01D14"/>
    <w:rsid w:val="00B01E72"/>
    <w:rsid w:val="00B01F8D"/>
    <w:rsid w:val="00B022C3"/>
    <w:rsid w:val="00B02501"/>
    <w:rsid w:val="00B026DB"/>
    <w:rsid w:val="00B02786"/>
    <w:rsid w:val="00B02879"/>
    <w:rsid w:val="00B02910"/>
    <w:rsid w:val="00B0298C"/>
    <w:rsid w:val="00B02A0A"/>
    <w:rsid w:val="00B02A2A"/>
    <w:rsid w:val="00B02A60"/>
    <w:rsid w:val="00B02CFC"/>
    <w:rsid w:val="00B02E48"/>
    <w:rsid w:val="00B02E86"/>
    <w:rsid w:val="00B02F22"/>
    <w:rsid w:val="00B02F7E"/>
    <w:rsid w:val="00B02FB3"/>
    <w:rsid w:val="00B03077"/>
    <w:rsid w:val="00B03497"/>
    <w:rsid w:val="00B034A5"/>
    <w:rsid w:val="00B039A9"/>
    <w:rsid w:val="00B03B01"/>
    <w:rsid w:val="00B03B60"/>
    <w:rsid w:val="00B03EE1"/>
    <w:rsid w:val="00B040BD"/>
    <w:rsid w:val="00B042CB"/>
    <w:rsid w:val="00B04577"/>
    <w:rsid w:val="00B0478B"/>
    <w:rsid w:val="00B04793"/>
    <w:rsid w:val="00B04852"/>
    <w:rsid w:val="00B04ABC"/>
    <w:rsid w:val="00B04B8E"/>
    <w:rsid w:val="00B04D1D"/>
    <w:rsid w:val="00B04E7C"/>
    <w:rsid w:val="00B052A7"/>
    <w:rsid w:val="00B052F1"/>
    <w:rsid w:val="00B0542A"/>
    <w:rsid w:val="00B05544"/>
    <w:rsid w:val="00B0567C"/>
    <w:rsid w:val="00B0567D"/>
    <w:rsid w:val="00B056C2"/>
    <w:rsid w:val="00B059B7"/>
    <w:rsid w:val="00B05C73"/>
    <w:rsid w:val="00B05E4B"/>
    <w:rsid w:val="00B05F28"/>
    <w:rsid w:val="00B05F38"/>
    <w:rsid w:val="00B05F85"/>
    <w:rsid w:val="00B06068"/>
    <w:rsid w:val="00B06144"/>
    <w:rsid w:val="00B064E6"/>
    <w:rsid w:val="00B064E7"/>
    <w:rsid w:val="00B066DC"/>
    <w:rsid w:val="00B0688F"/>
    <w:rsid w:val="00B06B98"/>
    <w:rsid w:val="00B070D2"/>
    <w:rsid w:val="00B07924"/>
    <w:rsid w:val="00B07C6C"/>
    <w:rsid w:val="00B07E73"/>
    <w:rsid w:val="00B1034B"/>
    <w:rsid w:val="00B103E2"/>
    <w:rsid w:val="00B10425"/>
    <w:rsid w:val="00B1045F"/>
    <w:rsid w:val="00B10560"/>
    <w:rsid w:val="00B10894"/>
    <w:rsid w:val="00B10ABE"/>
    <w:rsid w:val="00B10D71"/>
    <w:rsid w:val="00B10E49"/>
    <w:rsid w:val="00B113A6"/>
    <w:rsid w:val="00B11507"/>
    <w:rsid w:val="00B11622"/>
    <w:rsid w:val="00B117E4"/>
    <w:rsid w:val="00B11D30"/>
    <w:rsid w:val="00B11F1B"/>
    <w:rsid w:val="00B12133"/>
    <w:rsid w:val="00B122F8"/>
    <w:rsid w:val="00B12307"/>
    <w:rsid w:val="00B123AD"/>
    <w:rsid w:val="00B12657"/>
    <w:rsid w:val="00B127BA"/>
    <w:rsid w:val="00B12932"/>
    <w:rsid w:val="00B12A83"/>
    <w:rsid w:val="00B12D75"/>
    <w:rsid w:val="00B13239"/>
    <w:rsid w:val="00B1343B"/>
    <w:rsid w:val="00B135E8"/>
    <w:rsid w:val="00B1386C"/>
    <w:rsid w:val="00B13891"/>
    <w:rsid w:val="00B13ABD"/>
    <w:rsid w:val="00B13B08"/>
    <w:rsid w:val="00B13B41"/>
    <w:rsid w:val="00B13DB4"/>
    <w:rsid w:val="00B14202"/>
    <w:rsid w:val="00B14453"/>
    <w:rsid w:val="00B14641"/>
    <w:rsid w:val="00B14B78"/>
    <w:rsid w:val="00B14CA8"/>
    <w:rsid w:val="00B14D6E"/>
    <w:rsid w:val="00B152DD"/>
    <w:rsid w:val="00B153CE"/>
    <w:rsid w:val="00B154FA"/>
    <w:rsid w:val="00B1567D"/>
    <w:rsid w:val="00B15B1B"/>
    <w:rsid w:val="00B15C52"/>
    <w:rsid w:val="00B15D0E"/>
    <w:rsid w:val="00B15FBD"/>
    <w:rsid w:val="00B160B7"/>
    <w:rsid w:val="00B1638F"/>
    <w:rsid w:val="00B16516"/>
    <w:rsid w:val="00B1682D"/>
    <w:rsid w:val="00B168C9"/>
    <w:rsid w:val="00B16C72"/>
    <w:rsid w:val="00B16D66"/>
    <w:rsid w:val="00B1700A"/>
    <w:rsid w:val="00B17360"/>
    <w:rsid w:val="00B17424"/>
    <w:rsid w:val="00B175FB"/>
    <w:rsid w:val="00B177D9"/>
    <w:rsid w:val="00B1780C"/>
    <w:rsid w:val="00B178A6"/>
    <w:rsid w:val="00B179D6"/>
    <w:rsid w:val="00B17A53"/>
    <w:rsid w:val="00B17B0F"/>
    <w:rsid w:val="00B17BE1"/>
    <w:rsid w:val="00B17DBE"/>
    <w:rsid w:val="00B17DED"/>
    <w:rsid w:val="00B20072"/>
    <w:rsid w:val="00B20330"/>
    <w:rsid w:val="00B20331"/>
    <w:rsid w:val="00B20382"/>
    <w:rsid w:val="00B206AB"/>
    <w:rsid w:val="00B206AC"/>
    <w:rsid w:val="00B20771"/>
    <w:rsid w:val="00B2078C"/>
    <w:rsid w:val="00B2087F"/>
    <w:rsid w:val="00B2089C"/>
    <w:rsid w:val="00B20A36"/>
    <w:rsid w:val="00B20D62"/>
    <w:rsid w:val="00B20D90"/>
    <w:rsid w:val="00B20F05"/>
    <w:rsid w:val="00B21235"/>
    <w:rsid w:val="00B214ED"/>
    <w:rsid w:val="00B21B57"/>
    <w:rsid w:val="00B21B7E"/>
    <w:rsid w:val="00B21D0C"/>
    <w:rsid w:val="00B21F22"/>
    <w:rsid w:val="00B21F95"/>
    <w:rsid w:val="00B22128"/>
    <w:rsid w:val="00B223B0"/>
    <w:rsid w:val="00B224A9"/>
    <w:rsid w:val="00B22539"/>
    <w:rsid w:val="00B2272A"/>
    <w:rsid w:val="00B22783"/>
    <w:rsid w:val="00B228D1"/>
    <w:rsid w:val="00B22A84"/>
    <w:rsid w:val="00B22C79"/>
    <w:rsid w:val="00B22E07"/>
    <w:rsid w:val="00B22F89"/>
    <w:rsid w:val="00B22FDE"/>
    <w:rsid w:val="00B233D6"/>
    <w:rsid w:val="00B23408"/>
    <w:rsid w:val="00B23424"/>
    <w:rsid w:val="00B23607"/>
    <w:rsid w:val="00B23644"/>
    <w:rsid w:val="00B23669"/>
    <w:rsid w:val="00B237CD"/>
    <w:rsid w:val="00B237D1"/>
    <w:rsid w:val="00B237D5"/>
    <w:rsid w:val="00B23966"/>
    <w:rsid w:val="00B239BE"/>
    <w:rsid w:val="00B23A28"/>
    <w:rsid w:val="00B23C40"/>
    <w:rsid w:val="00B23D06"/>
    <w:rsid w:val="00B23E2A"/>
    <w:rsid w:val="00B23FFC"/>
    <w:rsid w:val="00B244BD"/>
    <w:rsid w:val="00B24701"/>
    <w:rsid w:val="00B24A6D"/>
    <w:rsid w:val="00B24C89"/>
    <w:rsid w:val="00B24FE4"/>
    <w:rsid w:val="00B24FF4"/>
    <w:rsid w:val="00B250C8"/>
    <w:rsid w:val="00B251D3"/>
    <w:rsid w:val="00B2531F"/>
    <w:rsid w:val="00B25811"/>
    <w:rsid w:val="00B25B03"/>
    <w:rsid w:val="00B25B1A"/>
    <w:rsid w:val="00B25E3E"/>
    <w:rsid w:val="00B263CB"/>
    <w:rsid w:val="00B26474"/>
    <w:rsid w:val="00B26586"/>
    <w:rsid w:val="00B265D2"/>
    <w:rsid w:val="00B26963"/>
    <w:rsid w:val="00B26966"/>
    <w:rsid w:val="00B26A92"/>
    <w:rsid w:val="00B26AA7"/>
    <w:rsid w:val="00B26B61"/>
    <w:rsid w:val="00B26BF8"/>
    <w:rsid w:val="00B26D41"/>
    <w:rsid w:val="00B26E14"/>
    <w:rsid w:val="00B26F4A"/>
    <w:rsid w:val="00B26F86"/>
    <w:rsid w:val="00B275A8"/>
    <w:rsid w:val="00B275F6"/>
    <w:rsid w:val="00B276F6"/>
    <w:rsid w:val="00B27707"/>
    <w:rsid w:val="00B27A0A"/>
    <w:rsid w:val="00B27AFF"/>
    <w:rsid w:val="00B27D2A"/>
    <w:rsid w:val="00B300D7"/>
    <w:rsid w:val="00B301BF"/>
    <w:rsid w:val="00B30278"/>
    <w:rsid w:val="00B3055A"/>
    <w:rsid w:val="00B30755"/>
    <w:rsid w:val="00B307A4"/>
    <w:rsid w:val="00B307FA"/>
    <w:rsid w:val="00B30999"/>
    <w:rsid w:val="00B30A71"/>
    <w:rsid w:val="00B30B43"/>
    <w:rsid w:val="00B30B59"/>
    <w:rsid w:val="00B30B71"/>
    <w:rsid w:val="00B31054"/>
    <w:rsid w:val="00B31076"/>
    <w:rsid w:val="00B311B8"/>
    <w:rsid w:val="00B31207"/>
    <w:rsid w:val="00B31463"/>
    <w:rsid w:val="00B31838"/>
    <w:rsid w:val="00B3185F"/>
    <w:rsid w:val="00B31915"/>
    <w:rsid w:val="00B31AAD"/>
    <w:rsid w:val="00B31BB7"/>
    <w:rsid w:val="00B31C5D"/>
    <w:rsid w:val="00B321E0"/>
    <w:rsid w:val="00B323FA"/>
    <w:rsid w:val="00B3241F"/>
    <w:rsid w:val="00B325C0"/>
    <w:rsid w:val="00B32690"/>
    <w:rsid w:val="00B32BA0"/>
    <w:rsid w:val="00B32BD7"/>
    <w:rsid w:val="00B32BEC"/>
    <w:rsid w:val="00B32CC7"/>
    <w:rsid w:val="00B32E48"/>
    <w:rsid w:val="00B3350E"/>
    <w:rsid w:val="00B3386E"/>
    <w:rsid w:val="00B33A18"/>
    <w:rsid w:val="00B33BEF"/>
    <w:rsid w:val="00B33C54"/>
    <w:rsid w:val="00B343D1"/>
    <w:rsid w:val="00B34616"/>
    <w:rsid w:val="00B34898"/>
    <w:rsid w:val="00B34955"/>
    <w:rsid w:val="00B34AEF"/>
    <w:rsid w:val="00B34B7A"/>
    <w:rsid w:val="00B34CDB"/>
    <w:rsid w:val="00B34D4B"/>
    <w:rsid w:val="00B34EBB"/>
    <w:rsid w:val="00B3507A"/>
    <w:rsid w:val="00B350AE"/>
    <w:rsid w:val="00B3525A"/>
    <w:rsid w:val="00B356B9"/>
    <w:rsid w:val="00B35765"/>
    <w:rsid w:val="00B35862"/>
    <w:rsid w:val="00B3589D"/>
    <w:rsid w:val="00B35963"/>
    <w:rsid w:val="00B35D41"/>
    <w:rsid w:val="00B35D47"/>
    <w:rsid w:val="00B3601A"/>
    <w:rsid w:val="00B36233"/>
    <w:rsid w:val="00B36380"/>
    <w:rsid w:val="00B363E0"/>
    <w:rsid w:val="00B36492"/>
    <w:rsid w:val="00B368E3"/>
    <w:rsid w:val="00B36920"/>
    <w:rsid w:val="00B369E0"/>
    <w:rsid w:val="00B36AAA"/>
    <w:rsid w:val="00B36BB1"/>
    <w:rsid w:val="00B36BD7"/>
    <w:rsid w:val="00B370CA"/>
    <w:rsid w:val="00B37123"/>
    <w:rsid w:val="00B37322"/>
    <w:rsid w:val="00B37388"/>
    <w:rsid w:val="00B373E8"/>
    <w:rsid w:val="00B374E3"/>
    <w:rsid w:val="00B3769B"/>
    <w:rsid w:val="00B3777C"/>
    <w:rsid w:val="00B37A9A"/>
    <w:rsid w:val="00B37BB8"/>
    <w:rsid w:val="00B37DD7"/>
    <w:rsid w:val="00B37DF8"/>
    <w:rsid w:val="00B37E03"/>
    <w:rsid w:val="00B37EE0"/>
    <w:rsid w:val="00B37FEE"/>
    <w:rsid w:val="00B40047"/>
    <w:rsid w:val="00B40091"/>
    <w:rsid w:val="00B400E9"/>
    <w:rsid w:val="00B401B3"/>
    <w:rsid w:val="00B4048A"/>
    <w:rsid w:val="00B40622"/>
    <w:rsid w:val="00B4062B"/>
    <w:rsid w:val="00B40678"/>
    <w:rsid w:val="00B40792"/>
    <w:rsid w:val="00B40B00"/>
    <w:rsid w:val="00B40B98"/>
    <w:rsid w:val="00B40DF2"/>
    <w:rsid w:val="00B40F9C"/>
    <w:rsid w:val="00B412D3"/>
    <w:rsid w:val="00B415B8"/>
    <w:rsid w:val="00B41746"/>
    <w:rsid w:val="00B4175F"/>
    <w:rsid w:val="00B41966"/>
    <w:rsid w:val="00B4199F"/>
    <w:rsid w:val="00B41A19"/>
    <w:rsid w:val="00B41A60"/>
    <w:rsid w:val="00B41A7E"/>
    <w:rsid w:val="00B41BBF"/>
    <w:rsid w:val="00B41BC1"/>
    <w:rsid w:val="00B41C38"/>
    <w:rsid w:val="00B41C63"/>
    <w:rsid w:val="00B41D5E"/>
    <w:rsid w:val="00B421CB"/>
    <w:rsid w:val="00B427BD"/>
    <w:rsid w:val="00B428E4"/>
    <w:rsid w:val="00B429CA"/>
    <w:rsid w:val="00B42E2D"/>
    <w:rsid w:val="00B42E89"/>
    <w:rsid w:val="00B4309F"/>
    <w:rsid w:val="00B43280"/>
    <w:rsid w:val="00B433C2"/>
    <w:rsid w:val="00B43443"/>
    <w:rsid w:val="00B43933"/>
    <w:rsid w:val="00B43995"/>
    <w:rsid w:val="00B43ABB"/>
    <w:rsid w:val="00B43F11"/>
    <w:rsid w:val="00B44029"/>
    <w:rsid w:val="00B440BC"/>
    <w:rsid w:val="00B44587"/>
    <w:rsid w:val="00B445C5"/>
    <w:rsid w:val="00B4499B"/>
    <w:rsid w:val="00B44B15"/>
    <w:rsid w:val="00B44BA0"/>
    <w:rsid w:val="00B44BBA"/>
    <w:rsid w:val="00B44E33"/>
    <w:rsid w:val="00B44EC4"/>
    <w:rsid w:val="00B44ED8"/>
    <w:rsid w:val="00B44FA1"/>
    <w:rsid w:val="00B44FB0"/>
    <w:rsid w:val="00B451DD"/>
    <w:rsid w:val="00B4543B"/>
    <w:rsid w:val="00B454CC"/>
    <w:rsid w:val="00B458E6"/>
    <w:rsid w:val="00B45971"/>
    <w:rsid w:val="00B45ABA"/>
    <w:rsid w:val="00B45E57"/>
    <w:rsid w:val="00B45EB4"/>
    <w:rsid w:val="00B46055"/>
    <w:rsid w:val="00B46151"/>
    <w:rsid w:val="00B461A2"/>
    <w:rsid w:val="00B4624C"/>
    <w:rsid w:val="00B46366"/>
    <w:rsid w:val="00B46462"/>
    <w:rsid w:val="00B465BA"/>
    <w:rsid w:val="00B465CB"/>
    <w:rsid w:val="00B465E3"/>
    <w:rsid w:val="00B46653"/>
    <w:rsid w:val="00B46735"/>
    <w:rsid w:val="00B46BDF"/>
    <w:rsid w:val="00B46EEC"/>
    <w:rsid w:val="00B46F32"/>
    <w:rsid w:val="00B4716C"/>
    <w:rsid w:val="00B4730D"/>
    <w:rsid w:val="00B475DC"/>
    <w:rsid w:val="00B476F3"/>
    <w:rsid w:val="00B4778B"/>
    <w:rsid w:val="00B47834"/>
    <w:rsid w:val="00B47A26"/>
    <w:rsid w:val="00B47B4A"/>
    <w:rsid w:val="00B47B7A"/>
    <w:rsid w:val="00B47BE0"/>
    <w:rsid w:val="00B47C4C"/>
    <w:rsid w:val="00B47D81"/>
    <w:rsid w:val="00B47DDD"/>
    <w:rsid w:val="00B47E69"/>
    <w:rsid w:val="00B47F10"/>
    <w:rsid w:val="00B5009A"/>
    <w:rsid w:val="00B500ED"/>
    <w:rsid w:val="00B5017B"/>
    <w:rsid w:val="00B50286"/>
    <w:rsid w:val="00B507AC"/>
    <w:rsid w:val="00B507C0"/>
    <w:rsid w:val="00B50869"/>
    <w:rsid w:val="00B508C3"/>
    <w:rsid w:val="00B5095A"/>
    <w:rsid w:val="00B50A4D"/>
    <w:rsid w:val="00B50CD9"/>
    <w:rsid w:val="00B50D6A"/>
    <w:rsid w:val="00B510CB"/>
    <w:rsid w:val="00B5115C"/>
    <w:rsid w:val="00B51851"/>
    <w:rsid w:val="00B5189A"/>
    <w:rsid w:val="00B51CC6"/>
    <w:rsid w:val="00B51D6D"/>
    <w:rsid w:val="00B51E7E"/>
    <w:rsid w:val="00B51EDE"/>
    <w:rsid w:val="00B51F6C"/>
    <w:rsid w:val="00B5201E"/>
    <w:rsid w:val="00B524E1"/>
    <w:rsid w:val="00B525D4"/>
    <w:rsid w:val="00B526BF"/>
    <w:rsid w:val="00B526DE"/>
    <w:rsid w:val="00B5286B"/>
    <w:rsid w:val="00B52A2E"/>
    <w:rsid w:val="00B532CB"/>
    <w:rsid w:val="00B534DB"/>
    <w:rsid w:val="00B53665"/>
    <w:rsid w:val="00B53877"/>
    <w:rsid w:val="00B53B8A"/>
    <w:rsid w:val="00B53D58"/>
    <w:rsid w:val="00B53F70"/>
    <w:rsid w:val="00B54100"/>
    <w:rsid w:val="00B545C4"/>
    <w:rsid w:val="00B548EA"/>
    <w:rsid w:val="00B548F3"/>
    <w:rsid w:val="00B54906"/>
    <w:rsid w:val="00B54A3A"/>
    <w:rsid w:val="00B54AF8"/>
    <w:rsid w:val="00B54B31"/>
    <w:rsid w:val="00B54DDF"/>
    <w:rsid w:val="00B550D5"/>
    <w:rsid w:val="00B552AB"/>
    <w:rsid w:val="00B553C9"/>
    <w:rsid w:val="00B5549F"/>
    <w:rsid w:val="00B5566F"/>
    <w:rsid w:val="00B55942"/>
    <w:rsid w:val="00B55B56"/>
    <w:rsid w:val="00B55B5B"/>
    <w:rsid w:val="00B55CAB"/>
    <w:rsid w:val="00B55E2D"/>
    <w:rsid w:val="00B56339"/>
    <w:rsid w:val="00B563A2"/>
    <w:rsid w:val="00B5664B"/>
    <w:rsid w:val="00B5677F"/>
    <w:rsid w:val="00B5689B"/>
    <w:rsid w:val="00B56BB4"/>
    <w:rsid w:val="00B56D45"/>
    <w:rsid w:val="00B57092"/>
    <w:rsid w:val="00B571AC"/>
    <w:rsid w:val="00B571C5"/>
    <w:rsid w:val="00B572D0"/>
    <w:rsid w:val="00B573C2"/>
    <w:rsid w:val="00B5774B"/>
    <w:rsid w:val="00B57AB4"/>
    <w:rsid w:val="00B57F3C"/>
    <w:rsid w:val="00B6011E"/>
    <w:rsid w:val="00B60175"/>
    <w:rsid w:val="00B60177"/>
    <w:rsid w:val="00B60206"/>
    <w:rsid w:val="00B605ED"/>
    <w:rsid w:val="00B6079D"/>
    <w:rsid w:val="00B608B1"/>
    <w:rsid w:val="00B608F1"/>
    <w:rsid w:val="00B60C1A"/>
    <w:rsid w:val="00B60D61"/>
    <w:rsid w:val="00B60DAA"/>
    <w:rsid w:val="00B60DAD"/>
    <w:rsid w:val="00B611B0"/>
    <w:rsid w:val="00B61419"/>
    <w:rsid w:val="00B616FE"/>
    <w:rsid w:val="00B619F8"/>
    <w:rsid w:val="00B61A08"/>
    <w:rsid w:val="00B61A18"/>
    <w:rsid w:val="00B61B1A"/>
    <w:rsid w:val="00B62244"/>
    <w:rsid w:val="00B622BE"/>
    <w:rsid w:val="00B62508"/>
    <w:rsid w:val="00B6299D"/>
    <w:rsid w:val="00B62A14"/>
    <w:rsid w:val="00B62A7C"/>
    <w:rsid w:val="00B62B60"/>
    <w:rsid w:val="00B62BD5"/>
    <w:rsid w:val="00B62E39"/>
    <w:rsid w:val="00B6340D"/>
    <w:rsid w:val="00B63632"/>
    <w:rsid w:val="00B63AA6"/>
    <w:rsid w:val="00B63AF0"/>
    <w:rsid w:val="00B63B98"/>
    <w:rsid w:val="00B63CE5"/>
    <w:rsid w:val="00B63D7C"/>
    <w:rsid w:val="00B63DDC"/>
    <w:rsid w:val="00B6421C"/>
    <w:rsid w:val="00B6421F"/>
    <w:rsid w:val="00B6438A"/>
    <w:rsid w:val="00B64526"/>
    <w:rsid w:val="00B64534"/>
    <w:rsid w:val="00B645A1"/>
    <w:rsid w:val="00B64810"/>
    <w:rsid w:val="00B64867"/>
    <w:rsid w:val="00B649C9"/>
    <w:rsid w:val="00B64A49"/>
    <w:rsid w:val="00B64FB8"/>
    <w:rsid w:val="00B6514B"/>
    <w:rsid w:val="00B65169"/>
    <w:rsid w:val="00B65261"/>
    <w:rsid w:val="00B65607"/>
    <w:rsid w:val="00B6563E"/>
    <w:rsid w:val="00B65674"/>
    <w:rsid w:val="00B6575C"/>
    <w:rsid w:val="00B657F9"/>
    <w:rsid w:val="00B659A4"/>
    <w:rsid w:val="00B65A6A"/>
    <w:rsid w:val="00B65F2C"/>
    <w:rsid w:val="00B6605D"/>
    <w:rsid w:val="00B66091"/>
    <w:rsid w:val="00B660E3"/>
    <w:rsid w:val="00B66536"/>
    <w:rsid w:val="00B66832"/>
    <w:rsid w:val="00B6689F"/>
    <w:rsid w:val="00B6694A"/>
    <w:rsid w:val="00B6697C"/>
    <w:rsid w:val="00B66A72"/>
    <w:rsid w:val="00B66B4C"/>
    <w:rsid w:val="00B66F21"/>
    <w:rsid w:val="00B673DA"/>
    <w:rsid w:val="00B675B4"/>
    <w:rsid w:val="00B67761"/>
    <w:rsid w:val="00B6785F"/>
    <w:rsid w:val="00B678BD"/>
    <w:rsid w:val="00B678FB"/>
    <w:rsid w:val="00B67B16"/>
    <w:rsid w:val="00B67B72"/>
    <w:rsid w:val="00B67C7A"/>
    <w:rsid w:val="00B67C8E"/>
    <w:rsid w:val="00B67C97"/>
    <w:rsid w:val="00B67DD7"/>
    <w:rsid w:val="00B67E83"/>
    <w:rsid w:val="00B67FF8"/>
    <w:rsid w:val="00B70214"/>
    <w:rsid w:val="00B7036F"/>
    <w:rsid w:val="00B7039A"/>
    <w:rsid w:val="00B70778"/>
    <w:rsid w:val="00B707D2"/>
    <w:rsid w:val="00B70A24"/>
    <w:rsid w:val="00B70B39"/>
    <w:rsid w:val="00B70C21"/>
    <w:rsid w:val="00B70FA5"/>
    <w:rsid w:val="00B71194"/>
    <w:rsid w:val="00B71279"/>
    <w:rsid w:val="00B7136B"/>
    <w:rsid w:val="00B7152F"/>
    <w:rsid w:val="00B7161A"/>
    <w:rsid w:val="00B71642"/>
    <w:rsid w:val="00B7189D"/>
    <w:rsid w:val="00B71906"/>
    <w:rsid w:val="00B71B34"/>
    <w:rsid w:val="00B71B3B"/>
    <w:rsid w:val="00B71B99"/>
    <w:rsid w:val="00B71C57"/>
    <w:rsid w:val="00B71DC4"/>
    <w:rsid w:val="00B72015"/>
    <w:rsid w:val="00B72170"/>
    <w:rsid w:val="00B721DD"/>
    <w:rsid w:val="00B722FC"/>
    <w:rsid w:val="00B72349"/>
    <w:rsid w:val="00B7238A"/>
    <w:rsid w:val="00B72415"/>
    <w:rsid w:val="00B726AD"/>
    <w:rsid w:val="00B72789"/>
    <w:rsid w:val="00B72844"/>
    <w:rsid w:val="00B728B7"/>
    <w:rsid w:val="00B7292C"/>
    <w:rsid w:val="00B72A0B"/>
    <w:rsid w:val="00B72C57"/>
    <w:rsid w:val="00B72D01"/>
    <w:rsid w:val="00B72FD6"/>
    <w:rsid w:val="00B73397"/>
    <w:rsid w:val="00B735B7"/>
    <w:rsid w:val="00B73797"/>
    <w:rsid w:val="00B73E2E"/>
    <w:rsid w:val="00B74228"/>
    <w:rsid w:val="00B74257"/>
    <w:rsid w:val="00B74571"/>
    <w:rsid w:val="00B74BD1"/>
    <w:rsid w:val="00B74C38"/>
    <w:rsid w:val="00B74E20"/>
    <w:rsid w:val="00B74F65"/>
    <w:rsid w:val="00B751BF"/>
    <w:rsid w:val="00B75460"/>
    <w:rsid w:val="00B75631"/>
    <w:rsid w:val="00B75728"/>
    <w:rsid w:val="00B75786"/>
    <w:rsid w:val="00B758AE"/>
    <w:rsid w:val="00B758E5"/>
    <w:rsid w:val="00B75B5D"/>
    <w:rsid w:val="00B75CB2"/>
    <w:rsid w:val="00B75D69"/>
    <w:rsid w:val="00B76133"/>
    <w:rsid w:val="00B76138"/>
    <w:rsid w:val="00B76259"/>
    <w:rsid w:val="00B762B9"/>
    <w:rsid w:val="00B762CB"/>
    <w:rsid w:val="00B76398"/>
    <w:rsid w:val="00B764CE"/>
    <w:rsid w:val="00B7686C"/>
    <w:rsid w:val="00B7687E"/>
    <w:rsid w:val="00B768C1"/>
    <w:rsid w:val="00B77146"/>
    <w:rsid w:val="00B77606"/>
    <w:rsid w:val="00B779C6"/>
    <w:rsid w:val="00B77CFD"/>
    <w:rsid w:val="00B800D3"/>
    <w:rsid w:val="00B80167"/>
    <w:rsid w:val="00B8053F"/>
    <w:rsid w:val="00B806D1"/>
    <w:rsid w:val="00B8091C"/>
    <w:rsid w:val="00B80D67"/>
    <w:rsid w:val="00B813ED"/>
    <w:rsid w:val="00B81665"/>
    <w:rsid w:val="00B818BF"/>
    <w:rsid w:val="00B81987"/>
    <w:rsid w:val="00B81B34"/>
    <w:rsid w:val="00B81BBE"/>
    <w:rsid w:val="00B81D77"/>
    <w:rsid w:val="00B81E79"/>
    <w:rsid w:val="00B81FA5"/>
    <w:rsid w:val="00B8250B"/>
    <w:rsid w:val="00B82877"/>
    <w:rsid w:val="00B82B20"/>
    <w:rsid w:val="00B82BE6"/>
    <w:rsid w:val="00B82E9C"/>
    <w:rsid w:val="00B830A3"/>
    <w:rsid w:val="00B830C9"/>
    <w:rsid w:val="00B8345D"/>
    <w:rsid w:val="00B83A40"/>
    <w:rsid w:val="00B83E7B"/>
    <w:rsid w:val="00B84123"/>
    <w:rsid w:val="00B84386"/>
    <w:rsid w:val="00B84B1A"/>
    <w:rsid w:val="00B84C54"/>
    <w:rsid w:val="00B84DDD"/>
    <w:rsid w:val="00B8504E"/>
    <w:rsid w:val="00B8519F"/>
    <w:rsid w:val="00B8522C"/>
    <w:rsid w:val="00B8525C"/>
    <w:rsid w:val="00B8531A"/>
    <w:rsid w:val="00B85586"/>
    <w:rsid w:val="00B8582D"/>
    <w:rsid w:val="00B85C48"/>
    <w:rsid w:val="00B85FAB"/>
    <w:rsid w:val="00B8604E"/>
    <w:rsid w:val="00B860B5"/>
    <w:rsid w:val="00B8630F"/>
    <w:rsid w:val="00B865D7"/>
    <w:rsid w:val="00B86711"/>
    <w:rsid w:val="00B868B7"/>
    <w:rsid w:val="00B86AAD"/>
    <w:rsid w:val="00B86AC5"/>
    <w:rsid w:val="00B86B69"/>
    <w:rsid w:val="00B86F94"/>
    <w:rsid w:val="00B87085"/>
    <w:rsid w:val="00B872BB"/>
    <w:rsid w:val="00B87527"/>
    <w:rsid w:val="00B87898"/>
    <w:rsid w:val="00B87AE1"/>
    <w:rsid w:val="00B87C9B"/>
    <w:rsid w:val="00B87CA1"/>
    <w:rsid w:val="00B87DF1"/>
    <w:rsid w:val="00B9007B"/>
    <w:rsid w:val="00B902E8"/>
    <w:rsid w:val="00B903D3"/>
    <w:rsid w:val="00B90878"/>
    <w:rsid w:val="00B90BD3"/>
    <w:rsid w:val="00B90BFF"/>
    <w:rsid w:val="00B90F40"/>
    <w:rsid w:val="00B910B2"/>
    <w:rsid w:val="00B9140E"/>
    <w:rsid w:val="00B91445"/>
    <w:rsid w:val="00B91564"/>
    <w:rsid w:val="00B916E6"/>
    <w:rsid w:val="00B917FC"/>
    <w:rsid w:val="00B91805"/>
    <w:rsid w:val="00B918A8"/>
    <w:rsid w:val="00B91B7A"/>
    <w:rsid w:val="00B91EBD"/>
    <w:rsid w:val="00B91EF6"/>
    <w:rsid w:val="00B91FF9"/>
    <w:rsid w:val="00B92153"/>
    <w:rsid w:val="00B9269E"/>
    <w:rsid w:val="00B92920"/>
    <w:rsid w:val="00B9294B"/>
    <w:rsid w:val="00B9297A"/>
    <w:rsid w:val="00B92B78"/>
    <w:rsid w:val="00B92E8C"/>
    <w:rsid w:val="00B92F08"/>
    <w:rsid w:val="00B933C0"/>
    <w:rsid w:val="00B93564"/>
    <w:rsid w:val="00B93649"/>
    <w:rsid w:val="00B937B5"/>
    <w:rsid w:val="00B93A9B"/>
    <w:rsid w:val="00B93C39"/>
    <w:rsid w:val="00B9418F"/>
    <w:rsid w:val="00B94237"/>
    <w:rsid w:val="00B942E6"/>
    <w:rsid w:val="00B9477B"/>
    <w:rsid w:val="00B94811"/>
    <w:rsid w:val="00B94892"/>
    <w:rsid w:val="00B949D5"/>
    <w:rsid w:val="00B94B61"/>
    <w:rsid w:val="00B94BF3"/>
    <w:rsid w:val="00B94CB9"/>
    <w:rsid w:val="00B94CE8"/>
    <w:rsid w:val="00B94DCC"/>
    <w:rsid w:val="00B95077"/>
    <w:rsid w:val="00B950BB"/>
    <w:rsid w:val="00B950C8"/>
    <w:rsid w:val="00B9513A"/>
    <w:rsid w:val="00B95165"/>
    <w:rsid w:val="00B9551B"/>
    <w:rsid w:val="00B9557B"/>
    <w:rsid w:val="00B9569D"/>
    <w:rsid w:val="00B957D6"/>
    <w:rsid w:val="00B95862"/>
    <w:rsid w:val="00B95965"/>
    <w:rsid w:val="00B95C92"/>
    <w:rsid w:val="00B9601B"/>
    <w:rsid w:val="00B9602E"/>
    <w:rsid w:val="00B9607A"/>
    <w:rsid w:val="00B96284"/>
    <w:rsid w:val="00B9643A"/>
    <w:rsid w:val="00B96471"/>
    <w:rsid w:val="00B9647A"/>
    <w:rsid w:val="00B96492"/>
    <w:rsid w:val="00B965E1"/>
    <w:rsid w:val="00B966B0"/>
    <w:rsid w:val="00B96758"/>
    <w:rsid w:val="00B96763"/>
    <w:rsid w:val="00B969FC"/>
    <w:rsid w:val="00B96B84"/>
    <w:rsid w:val="00B96C95"/>
    <w:rsid w:val="00B96D87"/>
    <w:rsid w:val="00B96E95"/>
    <w:rsid w:val="00B96FE4"/>
    <w:rsid w:val="00B9712C"/>
    <w:rsid w:val="00B97324"/>
    <w:rsid w:val="00B97353"/>
    <w:rsid w:val="00B976E8"/>
    <w:rsid w:val="00B97B11"/>
    <w:rsid w:val="00BA021E"/>
    <w:rsid w:val="00BA0659"/>
    <w:rsid w:val="00BA07A5"/>
    <w:rsid w:val="00BA0B75"/>
    <w:rsid w:val="00BA0BAE"/>
    <w:rsid w:val="00BA0C39"/>
    <w:rsid w:val="00BA12A5"/>
    <w:rsid w:val="00BA1731"/>
    <w:rsid w:val="00BA17F4"/>
    <w:rsid w:val="00BA183C"/>
    <w:rsid w:val="00BA1918"/>
    <w:rsid w:val="00BA197E"/>
    <w:rsid w:val="00BA1D23"/>
    <w:rsid w:val="00BA2112"/>
    <w:rsid w:val="00BA23A2"/>
    <w:rsid w:val="00BA25B0"/>
    <w:rsid w:val="00BA291B"/>
    <w:rsid w:val="00BA2AB8"/>
    <w:rsid w:val="00BA2B77"/>
    <w:rsid w:val="00BA2D89"/>
    <w:rsid w:val="00BA2DC0"/>
    <w:rsid w:val="00BA301B"/>
    <w:rsid w:val="00BA3064"/>
    <w:rsid w:val="00BA3287"/>
    <w:rsid w:val="00BA343C"/>
    <w:rsid w:val="00BA347D"/>
    <w:rsid w:val="00BA35C9"/>
    <w:rsid w:val="00BA3734"/>
    <w:rsid w:val="00BA3871"/>
    <w:rsid w:val="00BA399F"/>
    <w:rsid w:val="00BA39C3"/>
    <w:rsid w:val="00BA3B3B"/>
    <w:rsid w:val="00BA3CC6"/>
    <w:rsid w:val="00BA3E77"/>
    <w:rsid w:val="00BA4353"/>
    <w:rsid w:val="00BA4366"/>
    <w:rsid w:val="00BA43E7"/>
    <w:rsid w:val="00BA473D"/>
    <w:rsid w:val="00BA49F1"/>
    <w:rsid w:val="00BA4D60"/>
    <w:rsid w:val="00BA4F3B"/>
    <w:rsid w:val="00BA51D0"/>
    <w:rsid w:val="00BA52A3"/>
    <w:rsid w:val="00BA560C"/>
    <w:rsid w:val="00BA58B7"/>
    <w:rsid w:val="00BA58FE"/>
    <w:rsid w:val="00BA595C"/>
    <w:rsid w:val="00BA5E2A"/>
    <w:rsid w:val="00BA5F6A"/>
    <w:rsid w:val="00BA606C"/>
    <w:rsid w:val="00BA63C1"/>
    <w:rsid w:val="00BA66EC"/>
    <w:rsid w:val="00BA693C"/>
    <w:rsid w:val="00BA6948"/>
    <w:rsid w:val="00BA6990"/>
    <w:rsid w:val="00BA69B6"/>
    <w:rsid w:val="00BA6C75"/>
    <w:rsid w:val="00BA6D41"/>
    <w:rsid w:val="00BA6E27"/>
    <w:rsid w:val="00BA7191"/>
    <w:rsid w:val="00BA71D3"/>
    <w:rsid w:val="00BA72D7"/>
    <w:rsid w:val="00BA7408"/>
    <w:rsid w:val="00BA7639"/>
    <w:rsid w:val="00BA77F4"/>
    <w:rsid w:val="00BA7C1D"/>
    <w:rsid w:val="00BA7D6E"/>
    <w:rsid w:val="00BA7E64"/>
    <w:rsid w:val="00BA7EE3"/>
    <w:rsid w:val="00BB0327"/>
    <w:rsid w:val="00BB0860"/>
    <w:rsid w:val="00BB0A3F"/>
    <w:rsid w:val="00BB0B6A"/>
    <w:rsid w:val="00BB0C77"/>
    <w:rsid w:val="00BB0F1C"/>
    <w:rsid w:val="00BB11A2"/>
    <w:rsid w:val="00BB14AF"/>
    <w:rsid w:val="00BB179E"/>
    <w:rsid w:val="00BB17EA"/>
    <w:rsid w:val="00BB180C"/>
    <w:rsid w:val="00BB181E"/>
    <w:rsid w:val="00BB1A6A"/>
    <w:rsid w:val="00BB1B18"/>
    <w:rsid w:val="00BB1CDB"/>
    <w:rsid w:val="00BB1FF5"/>
    <w:rsid w:val="00BB21F5"/>
    <w:rsid w:val="00BB239C"/>
    <w:rsid w:val="00BB2587"/>
    <w:rsid w:val="00BB29E7"/>
    <w:rsid w:val="00BB2B79"/>
    <w:rsid w:val="00BB303C"/>
    <w:rsid w:val="00BB315E"/>
    <w:rsid w:val="00BB3170"/>
    <w:rsid w:val="00BB35D1"/>
    <w:rsid w:val="00BB37CC"/>
    <w:rsid w:val="00BB3826"/>
    <w:rsid w:val="00BB393C"/>
    <w:rsid w:val="00BB395F"/>
    <w:rsid w:val="00BB398D"/>
    <w:rsid w:val="00BB3AFC"/>
    <w:rsid w:val="00BB3BD3"/>
    <w:rsid w:val="00BB3DF9"/>
    <w:rsid w:val="00BB3E0C"/>
    <w:rsid w:val="00BB3E68"/>
    <w:rsid w:val="00BB3F2D"/>
    <w:rsid w:val="00BB40AC"/>
    <w:rsid w:val="00BB427C"/>
    <w:rsid w:val="00BB4451"/>
    <w:rsid w:val="00BB4ECB"/>
    <w:rsid w:val="00BB50DC"/>
    <w:rsid w:val="00BB50E5"/>
    <w:rsid w:val="00BB5348"/>
    <w:rsid w:val="00BB55E1"/>
    <w:rsid w:val="00BB568A"/>
    <w:rsid w:val="00BB582B"/>
    <w:rsid w:val="00BB59D7"/>
    <w:rsid w:val="00BB5B8B"/>
    <w:rsid w:val="00BB5EAF"/>
    <w:rsid w:val="00BB625E"/>
    <w:rsid w:val="00BB6477"/>
    <w:rsid w:val="00BB65B8"/>
    <w:rsid w:val="00BB66E0"/>
    <w:rsid w:val="00BB6A95"/>
    <w:rsid w:val="00BB6CEC"/>
    <w:rsid w:val="00BB6D2D"/>
    <w:rsid w:val="00BB6E44"/>
    <w:rsid w:val="00BB717C"/>
    <w:rsid w:val="00BB74AC"/>
    <w:rsid w:val="00BB754D"/>
    <w:rsid w:val="00BB7603"/>
    <w:rsid w:val="00BB7681"/>
    <w:rsid w:val="00BB76C2"/>
    <w:rsid w:val="00BB78AE"/>
    <w:rsid w:val="00BB7A8B"/>
    <w:rsid w:val="00BB7BF9"/>
    <w:rsid w:val="00BB7C33"/>
    <w:rsid w:val="00BB7DB2"/>
    <w:rsid w:val="00BC0572"/>
    <w:rsid w:val="00BC06AF"/>
    <w:rsid w:val="00BC081A"/>
    <w:rsid w:val="00BC09CE"/>
    <w:rsid w:val="00BC09E1"/>
    <w:rsid w:val="00BC0ADD"/>
    <w:rsid w:val="00BC0F85"/>
    <w:rsid w:val="00BC1066"/>
    <w:rsid w:val="00BC1319"/>
    <w:rsid w:val="00BC173F"/>
    <w:rsid w:val="00BC1786"/>
    <w:rsid w:val="00BC1A41"/>
    <w:rsid w:val="00BC1BC3"/>
    <w:rsid w:val="00BC1C56"/>
    <w:rsid w:val="00BC1E2F"/>
    <w:rsid w:val="00BC1F3C"/>
    <w:rsid w:val="00BC2065"/>
    <w:rsid w:val="00BC21E7"/>
    <w:rsid w:val="00BC240C"/>
    <w:rsid w:val="00BC2777"/>
    <w:rsid w:val="00BC27E1"/>
    <w:rsid w:val="00BC29CF"/>
    <w:rsid w:val="00BC2B7F"/>
    <w:rsid w:val="00BC2BDB"/>
    <w:rsid w:val="00BC2C23"/>
    <w:rsid w:val="00BC2C27"/>
    <w:rsid w:val="00BC3506"/>
    <w:rsid w:val="00BC363C"/>
    <w:rsid w:val="00BC3701"/>
    <w:rsid w:val="00BC3780"/>
    <w:rsid w:val="00BC37FA"/>
    <w:rsid w:val="00BC37FD"/>
    <w:rsid w:val="00BC38D3"/>
    <w:rsid w:val="00BC3A8E"/>
    <w:rsid w:val="00BC3AF6"/>
    <w:rsid w:val="00BC3B0A"/>
    <w:rsid w:val="00BC3D50"/>
    <w:rsid w:val="00BC3E89"/>
    <w:rsid w:val="00BC418B"/>
    <w:rsid w:val="00BC4220"/>
    <w:rsid w:val="00BC4242"/>
    <w:rsid w:val="00BC442A"/>
    <w:rsid w:val="00BC445A"/>
    <w:rsid w:val="00BC45CD"/>
    <w:rsid w:val="00BC47AD"/>
    <w:rsid w:val="00BC4852"/>
    <w:rsid w:val="00BC48C5"/>
    <w:rsid w:val="00BC4904"/>
    <w:rsid w:val="00BC49DC"/>
    <w:rsid w:val="00BC4AC6"/>
    <w:rsid w:val="00BC4D1B"/>
    <w:rsid w:val="00BC4E58"/>
    <w:rsid w:val="00BC4F17"/>
    <w:rsid w:val="00BC4F33"/>
    <w:rsid w:val="00BC51ED"/>
    <w:rsid w:val="00BC548A"/>
    <w:rsid w:val="00BC5519"/>
    <w:rsid w:val="00BC557C"/>
    <w:rsid w:val="00BC55A5"/>
    <w:rsid w:val="00BC56EC"/>
    <w:rsid w:val="00BC58A9"/>
    <w:rsid w:val="00BC5C32"/>
    <w:rsid w:val="00BC6070"/>
    <w:rsid w:val="00BC60CB"/>
    <w:rsid w:val="00BC612E"/>
    <w:rsid w:val="00BC6303"/>
    <w:rsid w:val="00BC653B"/>
    <w:rsid w:val="00BC670B"/>
    <w:rsid w:val="00BC6976"/>
    <w:rsid w:val="00BC6C71"/>
    <w:rsid w:val="00BC6F06"/>
    <w:rsid w:val="00BC6F48"/>
    <w:rsid w:val="00BC7228"/>
    <w:rsid w:val="00BC744E"/>
    <w:rsid w:val="00BC760B"/>
    <w:rsid w:val="00BC77DD"/>
    <w:rsid w:val="00BC783D"/>
    <w:rsid w:val="00BC7926"/>
    <w:rsid w:val="00BC79C7"/>
    <w:rsid w:val="00BC7A0A"/>
    <w:rsid w:val="00BC7CF8"/>
    <w:rsid w:val="00BC7DFA"/>
    <w:rsid w:val="00BC7FCF"/>
    <w:rsid w:val="00BD03AC"/>
    <w:rsid w:val="00BD03AF"/>
    <w:rsid w:val="00BD0594"/>
    <w:rsid w:val="00BD05A3"/>
    <w:rsid w:val="00BD05D1"/>
    <w:rsid w:val="00BD06C5"/>
    <w:rsid w:val="00BD07C2"/>
    <w:rsid w:val="00BD09DD"/>
    <w:rsid w:val="00BD0C87"/>
    <w:rsid w:val="00BD1171"/>
    <w:rsid w:val="00BD1248"/>
    <w:rsid w:val="00BD130F"/>
    <w:rsid w:val="00BD14D5"/>
    <w:rsid w:val="00BD15AE"/>
    <w:rsid w:val="00BD160C"/>
    <w:rsid w:val="00BD1617"/>
    <w:rsid w:val="00BD180E"/>
    <w:rsid w:val="00BD1AA6"/>
    <w:rsid w:val="00BD1D96"/>
    <w:rsid w:val="00BD20BE"/>
    <w:rsid w:val="00BD251E"/>
    <w:rsid w:val="00BD2799"/>
    <w:rsid w:val="00BD2826"/>
    <w:rsid w:val="00BD297B"/>
    <w:rsid w:val="00BD2A5B"/>
    <w:rsid w:val="00BD2CA5"/>
    <w:rsid w:val="00BD2D54"/>
    <w:rsid w:val="00BD2D56"/>
    <w:rsid w:val="00BD2D69"/>
    <w:rsid w:val="00BD31F8"/>
    <w:rsid w:val="00BD32FB"/>
    <w:rsid w:val="00BD358A"/>
    <w:rsid w:val="00BD35B1"/>
    <w:rsid w:val="00BD35D0"/>
    <w:rsid w:val="00BD3897"/>
    <w:rsid w:val="00BD3A4E"/>
    <w:rsid w:val="00BD3B04"/>
    <w:rsid w:val="00BD3D10"/>
    <w:rsid w:val="00BD4329"/>
    <w:rsid w:val="00BD44A1"/>
    <w:rsid w:val="00BD44B6"/>
    <w:rsid w:val="00BD4565"/>
    <w:rsid w:val="00BD45A2"/>
    <w:rsid w:val="00BD49F0"/>
    <w:rsid w:val="00BD4DB2"/>
    <w:rsid w:val="00BD52C0"/>
    <w:rsid w:val="00BD5542"/>
    <w:rsid w:val="00BD56C7"/>
    <w:rsid w:val="00BD57DE"/>
    <w:rsid w:val="00BD58CB"/>
    <w:rsid w:val="00BD598D"/>
    <w:rsid w:val="00BD59FE"/>
    <w:rsid w:val="00BD5C03"/>
    <w:rsid w:val="00BD5E14"/>
    <w:rsid w:val="00BD5E72"/>
    <w:rsid w:val="00BD5F10"/>
    <w:rsid w:val="00BD5FB2"/>
    <w:rsid w:val="00BD63B0"/>
    <w:rsid w:val="00BD65BD"/>
    <w:rsid w:val="00BD689B"/>
    <w:rsid w:val="00BD68E6"/>
    <w:rsid w:val="00BD68F9"/>
    <w:rsid w:val="00BD6AF2"/>
    <w:rsid w:val="00BD6D0B"/>
    <w:rsid w:val="00BD6E3E"/>
    <w:rsid w:val="00BD6FF5"/>
    <w:rsid w:val="00BD7092"/>
    <w:rsid w:val="00BD72F1"/>
    <w:rsid w:val="00BD7486"/>
    <w:rsid w:val="00BD754B"/>
    <w:rsid w:val="00BD774C"/>
    <w:rsid w:val="00BD7778"/>
    <w:rsid w:val="00BD78C8"/>
    <w:rsid w:val="00BD7900"/>
    <w:rsid w:val="00BD7A34"/>
    <w:rsid w:val="00BD7AD7"/>
    <w:rsid w:val="00BD7B83"/>
    <w:rsid w:val="00BD7D09"/>
    <w:rsid w:val="00BE001C"/>
    <w:rsid w:val="00BE0155"/>
    <w:rsid w:val="00BE0210"/>
    <w:rsid w:val="00BE04EF"/>
    <w:rsid w:val="00BE053A"/>
    <w:rsid w:val="00BE087B"/>
    <w:rsid w:val="00BE0EB6"/>
    <w:rsid w:val="00BE105D"/>
    <w:rsid w:val="00BE10DD"/>
    <w:rsid w:val="00BE1133"/>
    <w:rsid w:val="00BE12C8"/>
    <w:rsid w:val="00BE138C"/>
    <w:rsid w:val="00BE1396"/>
    <w:rsid w:val="00BE14A9"/>
    <w:rsid w:val="00BE1812"/>
    <w:rsid w:val="00BE1833"/>
    <w:rsid w:val="00BE18DF"/>
    <w:rsid w:val="00BE1A4D"/>
    <w:rsid w:val="00BE1CD6"/>
    <w:rsid w:val="00BE1E07"/>
    <w:rsid w:val="00BE1ED9"/>
    <w:rsid w:val="00BE2359"/>
    <w:rsid w:val="00BE2404"/>
    <w:rsid w:val="00BE2EB4"/>
    <w:rsid w:val="00BE3004"/>
    <w:rsid w:val="00BE31DD"/>
    <w:rsid w:val="00BE3200"/>
    <w:rsid w:val="00BE3369"/>
    <w:rsid w:val="00BE38F0"/>
    <w:rsid w:val="00BE3A84"/>
    <w:rsid w:val="00BE3C0E"/>
    <w:rsid w:val="00BE3CDB"/>
    <w:rsid w:val="00BE3F63"/>
    <w:rsid w:val="00BE449A"/>
    <w:rsid w:val="00BE4893"/>
    <w:rsid w:val="00BE4B30"/>
    <w:rsid w:val="00BE4C91"/>
    <w:rsid w:val="00BE4CF2"/>
    <w:rsid w:val="00BE4D91"/>
    <w:rsid w:val="00BE51BE"/>
    <w:rsid w:val="00BE558E"/>
    <w:rsid w:val="00BE5A0E"/>
    <w:rsid w:val="00BE5A49"/>
    <w:rsid w:val="00BE5A85"/>
    <w:rsid w:val="00BE610B"/>
    <w:rsid w:val="00BE614B"/>
    <w:rsid w:val="00BE62CA"/>
    <w:rsid w:val="00BE63D3"/>
    <w:rsid w:val="00BE648E"/>
    <w:rsid w:val="00BE6670"/>
    <w:rsid w:val="00BE69CF"/>
    <w:rsid w:val="00BE6ADD"/>
    <w:rsid w:val="00BE6AF9"/>
    <w:rsid w:val="00BE6B69"/>
    <w:rsid w:val="00BE7077"/>
    <w:rsid w:val="00BE7299"/>
    <w:rsid w:val="00BE74D8"/>
    <w:rsid w:val="00BE7832"/>
    <w:rsid w:val="00BE7AF5"/>
    <w:rsid w:val="00BE7C4B"/>
    <w:rsid w:val="00BE7C4E"/>
    <w:rsid w:val="00BE7C57"/>
    <w:rsid w:val="00BE7DE9"/>
    <w:rsid w:val="00BE7FAE"/>
    <w:rsid w:val="00BF00A0"/>
    <w:rsid w:val="00BF0183"/>
    <w:rsid w:val="00BF0294"/>
    <w:rsid w:val="00BF02DE"/>
    <w:rsid w:val="00BF056D"/>
    <w:rsid w:val="00BF0620"/>
    <w:rsid w:val="00BF075E"/>
    <w:rsid w:val="00BF084B"/>
    <w:rsid w:val="00BF0B05"/>
    <w:rsid w:val="00BF0BFD"/>
    <w:rsid w:val="00BF0CF3"/>
    <w:rsid w:val="00BF0DB7"/>
    <w:rsid w:val="00BF0E48"/>
    <w:rsid w:val="00BF0EF2"/>
    <w:rsid w:val="00BF1078"/>
    <w:rsid w:val="00BF119C"/>
    <w:rsid w:val="00BF11EA"/>
    <w:rsid w:val="00BF12AB"/>
    <w:rsid w:val="00BF137E"/>
    <w:rsid w:val="00BF1429"/>
    <w:rsid w:val="00BF1659"/>
    <w:rsid w:val="00BF16A4"/>
    <w:rsid w:val="00BF16D3"/>
    <w:rsid w:val="00BF1788"/>
    <w:rsid w:val="00BF18B9"/>
    <w:rsid w:val="00BF1A6D"/>
    <w:rsid w:val="00BF1A71"/>
    <w:rsid w:val="00BF1B7E"/>
    <w:rsid w:val="00BF1C6E"/>
    <w:rsid w:val="00BF2080"/>
    <w:rsid w:val="00BF20D3"/>
    <w:rsid w:val="00BF2303"/>
    <w:rsid w:val="00BF23E6"/>
    <w:rsid w:val="00BF264D"/>
    <w:rsid w:val="00BF26E2"/>
    <w:rsid w:val="00BF26F9"/>
    <w:rsid w:val="00BF27C9"/>
    <w:rsid w:val="00BF282A"/>
    <w:rsid w:val="00BF28F4"/>
    <w:rsid w:val="00BF2A7C"/>
    <w:rsid w:val="00BF2ACE"/>
    <w:rsid w:val="00BF3067"/>
    <w:rsid w:val="00BF31B9"/>
    <w:rsid w:val="00BF3465"/>
    <w:rsid w:val="00BF34DF"/>
    <w:rsid w:val="00BF34ED"/>
    <w:rsid w:val="00BF3522"/>
    <w:rsid w:val="00BF387E"/>
    <w:rsid w:val="00BF3A6C"/>
    <w:rsid w:val="00BF3BF2"/>
    <w:rsid w:val="00BF3C27"/>
    <w:rsid w:val="00BF3CB7"/>
    <w:rsid w:val="00BF4183"/>
    <w:rsid w:val="00BF41AC"/>
    <w:rsid w:val="00BF41BF"/>
    <w:rsid w:val="00BF41EB"/>
    <w:rsid w:val="00BF4213"/>
    <w:rsid w:val="00BF42F8"/>
    <w:rsid w:val="00BF4569"/>
    <w:rsid w:val="00BF4730"/>
    <w:rsid w:val="00BF48E6"/>
    <w:rsid w:val="00BF4DF9"/>
    <w:rsid w:val="00BF4E8A"/>
    <w:rsid w:val="00BF50E9"/>
    <w:rsid w:val="00BF54CC"/>
    <w:rsid w:val="00BF558E"/>
    <w:rsid w:val="00BF5611"/>
    <w:rsid w:val="00BF5705"/>
    <w:rsid w:val="00BF57DA"/>
    <w:rsid w:val="00BF5915"/>
    <w:rsid w:val="00BF5C2A"/>
    <w:rsid w:val="00BF5F1A"/>
    <w:rsid w:val="00BF5FDE"/>
    <w:rsid w:val="00BF61ED"/>
    <w:rsid w:val="00BF62CA"/>
    <w:rsid w:val="00BF6370"/>
    <w:rsid w:val="00BF663F"/>
    <w:rsid w:val="00BF6694"/>
    <w:rsid w:val="00BF6697"/>
    <w:rsid w:val="00BF6881"/>
    <w:rsid w:val="00BF6946"/>
    <w:rsid w:val="00BF6AE4"/>
    <w:rsid w:val="00BF6BA9"/>
    <w:rsid w:val="00BF6BD8"/>
    <w:rsid w:val="00BF6C6F"/>
    <w:rsid w:val="00BF6E98"/>
    <w:rsid w:val="00BF6F50"/>
    <w:rsid w:val="00BF6F9D"/>
    <w:rsid w:val="00BF6FB0"/>
    <w:rsid w:val="00BF6FF2"/>
    <w:rsid w:val="00BF71AA"/>
    <w:rsid w:val="00BF7216"/>
    <w:rsid w:val="00BF7233"/>
    <w:rsid w:val="00BF72E0"/>
    <w:rsid w:val="00BF73A8"/>
    <w:rsid w:val="00BF73AD"/>
    <w:rsid w:val="00BF7409"/>
    <w:rsid w:val="00BF7701"/>
    <w:rsid w:val="00BF7722"/>
    <w:rsid w:val="00BF78EB"/>
    <w:rsid w:val="00BF7B90"/>
    <w:rsid w:val="00BF7CA1"/>
    <w:rsid w:val="00C00118"/>
    <w:rsid w:val="00C0012B"/>
    <w:rsid w:val="00C00447"/>
    <w:rsid w:val="00C0047C"/>
    <w:rsid w:val="00C005D9"/>
    <w:rsid w:val="00C006BC"/>
    <w:rsid w:val="00C006FE"/>
    <w:rsid w:val="00C008B9"/>
    <w:rsid w:val="00C009E3"/>
    <w:rsid w:val="00C00B82"/>
    <w:rsid w:val="00C00EA2"/>
    <w:rsid w:val="00C011D3"/>
    <w:rsid w:val="00C011D5"/>
    <w:rsid w:val="00C01208"/>
    <w:rsid w:val="00C012AF"/>
    <w:rsid w:val="00C01411"/>
    <w:rsid w:val="00C0146F"/>
    <w:rsid w:val="00C014A7"/>
    <w:rsid w:val="00C015B8"/>
    <w:rsid w:val="00C015D0"/>
    <w:rsid w:val="00C015D8"/>
    <w:rsid w:val="00C01737"/>
    <w:rsid w:val="00C0179E"/>
    <w:rsid w:val="00C01B06"/>
    <w:rsid w:val="00C01C5E"/>
    <w:rsid w:val="00C01D96"/>
    <w:rsid w:val="00C01E74"/>
    <w:rsid w:val="00C01F5D"/>
    <w:rsid w:val="00C02221"/>
    <w:rsid w:val="00C022FC"/>
    <w:rsid w:val="00C02B41"/>
    <w:rsid w:val="00C02C4F"/>
    <w:rsid w:val="00C02E88"/>
    <w:rsid w:val="00C02FC2"/>
    <w:rsid w:val="00C03028"/>
    <w:rsid w:val="00C03185"/>
    <w:rsid w:val="00C031B3"/>
    <w:rsid w:val="00C0327F"/>
    <w:rsid w:val="00C03296"/>
    <w:rsid w:val="00C032A3"/>
    <w:rsid w:val="00C0365C"/>
    <w:rsid w:val="00C03700"/>
    <w:rsid w:val="00C03702"/>
    <w:rsid w:val="00C03EE6"/>
    <w:rsid w:val="00C03F33"/>
    <w:rsid w:val="00C040EE"/>
    <w:rsid w:val="00C04228"/>
    <w:rsid w:val="00C043D7"/>
    <w:rsid w:val="00C04556"/>
    <w:rsid w:val="00C046F9"/>
    <w:rsid w:val="00C04700"/>
    <w:rsid w:val="00C0473F"/>
    <w:rsid w:val="00C04835"/>
    <w:rsid w:val="00C04865"/>
    <w:rsid w:val="00C049DF"/>
    <w:rsid w:val="00C04B45"/>
    <w:rsid w:val="00C04C4D"/>
    <w:rsid w:val="00C04C50"/>
    <w:rsid w:val="00C04C54"/>
    <w:rsid w:val="00C04D61"/>
    <w:rsid w:val="00C04E4B"/>
    <w:rsid w:val="00C04EB1"/>
    <w:rsid w:val="00C050CD"/>
    <w:rsid w:val="00C05365"/>
    <w:rsid w:val="00C05884"/>
    <w:rsid w:val="00C05980"/>
    <w:rsid w:val="00C05D70"/>
    <w:rsid w:val="00C05E8D"/>
    <w:rsid w:val="00C05F10"/>
    <w:rsid w:val="00C05F4C"/>
    <w:rsid w:val="00C062CC"/>
    <w:rsid w:val="00C06ABF"/>
    <w:rsid w:val="00C06B04"/>
    <w:rsid w:val="00C06CCC"/>
    <w:rsid w:val="00C06D34"/>
    <w:rsid w:val="00C06D78"/>
    <w:rsid w:val="00C070A1"/>
    <w:rsid w:val="00C07351"/>
    <w:rsid w:val="00C07380"/>
    <w:rsid w:val="00C078CB"/>
    <w:rsid w:val="00C078DE"/>
    <w:rsid w:val="00C07CA6"/>
    <w:rsid w:val="00C07D3E"/>
    <w:rsid w:val="00C07DB1"/>
    <w:rsid w:val="00C07EF8"/>
    <w:rsid w:val="00C07F5C"/>
    <w:rsid w:val="00C07FFB"/>
    <w:rsid w:val="00C101F6"/>
    <w:rsid w:val="00C102D9"/>
    <w:rsid w:val="00C1052D"/>
    <w:rsid w:val="00C1064F"/>
    <w:rsid w:val="00C1076F"/>
    <w:rsid w:val="00C1080C"/>
    <w:rsid w:val="00C109BC"/>
    <w:rsid w:val="00C10A32"/>
    <w:rsid w:val="00C10F17"/>
    <w:rsid w:val="00C11050"/>
    <w:rsid w:val="00C110E5"/>
    <w:rsid w:val="00C11223"/>
    <w:rsid w:val="00C1141B"/>
    <w:rsid w:val="00C1145C"/>
    <w:rsid w:val="00C1169A"/>
    <w:rsid w:val="00C11CBD"/>
    <w:rsid w:val="00C11CFC"/>
    <w:rsid w:val="00C11FA1"/>
    <w:rsid w:val="00C12087"/>
    <w:rsid w:val="00C12146"/>
    <w:rsid w:val="00C123ED"/>
    <w:rsid w:val="00C124F2"/>
    <w:rsid w:val="00C12765"/>
    <w:rsid w:val="00C1280B"/>
    <w:rsid w:val="00C12886"/>
    <w:rsid w:val="00C128EC"/>
    <w:rsid w:val="00C1291B"/>
    <w:rsid w:val="00C12BAD"/>
    <w:rsid w:val="00C12C70"/>
    <w:rsid w:val="00C1306D"/>
    <w:rsid w:val="00C132B8"/>
    <w:rsid w:val="00C1332E"/>
    <w:rsid w:val="00C133D6"/>
    <w:rsid w:val="00C133EF"/>
    <w:rsid w:val="00C139B2"/>
    <w:rsid w:val="00C13ACE"/>
    <w:rsid w:val="00C13E9E"/>
    <w:rsid w:val="00C141FB"/>
    <w:rsid w:val="00C14794"/>
    <w:rsid w:val="00C14AD6"/>
    <w:rsid w:val="00C14E72"/>
    <w:rsid w:val="00C14EC1"/>
    <w:rsid w:val="00C14F4B"/>
    <w:rsid w:val="00C14FBF"/>
    <w:rsid w:val="00C15093"/>
    <w:rsid w:val="00C1527C"/>
    <w:rsid w:val="00C155B4"/>
    <w:rsid w:val="00C15640"/>
    <w:rsid w:val="00C15AFA"/>
    <w:rsid w:val="00C15C79"/>
    <w:rsid w:val="00C161C6"/>
    <w:rsid w:val="00C1655C"/>
    <w:rsid w:val="00C1670F"/>
    <w:rsid w:val="00C1680E"/>
    <w:rsid w:val="00C16936"/>
    <w:rsid w:val="00C169CD"/>
    <w:rsid w:val="00C16A9F"/>
    <w:rsid w:val="00C16B33"/>
    <w:rsid w:val="00C16BC0"/>
    <w:rsid w:val="00C16D53"/>
    <w:rsid w:val="00C16DBC"/>
    <w:rsid w:val="00C170A9"/>
    <w:rsid w:val="00C174D3"/>
    <w:rsid w:val="00C174DB"/>
    <w:rsid w:val="00C1752D"/>
    <w:rsid w:val="00C175E8"/>
    <w:rsid w:val="00C176C4"/>
    <w:rsid w:val="00C17809"/>
    <w:rsid w:val="00C17886"/>
    <w:rsid w:val="00C17A65"/>
    <w:rsid w:val="00C2039C"/>
    <w:rsid w:val="00C203EB"/>
    <w:rsid w:val="00C203F8"/>
    <w:rsid w:val="00C20426"/>
    <w:rsid w:val="00C20504"/>
    <w:rsid w:val="00C2050E"/>
    <w:rsid w:val="00C20801"/>
    <w:rsid w:val="00C20802"/>
    <w:rsid w:val="00C20856"/>
    <w:rsid w:val="00C20C90"/>
    <w:rsid w:val="00C20C9E"/>
    <w:rsid w:val="00C20F4C"/>
    <w:rsid w:val="00C20FAF"/>
    <w:rsid w:val="00C21170"/>
    <w:rsid w:val="00C212AC"/>
    <w:rsid w:val="00C212BB"/>
    <w:rsid w:val="00C2134F"/>
    <w:rsid w:val="00C21369"/>
    <w:rsid w:val="00C21428"/>
    <w:rsid w:val="00C21879"/>
    <w:rsid w:val="00C21988"/>
    <w:rsid w:val="00C21B99"/>
    <w:rsid w:val="00C21C27"/>
    <w:rsid w:val="00C21E23"/>
    <w:rsid w:val="00C21EE6"/>
    <w:rsid w:val="00C21FB0"/>
    <w:rsid w:val="00C21FBD"/>
    <w:rsid w:val="00C2200A"/>
    <w:rsid w:val="00C222AB"/>
    <w:rsid w:val="00C222C1"/>
    <w:rsid w:val="00C22303"/>
    <w:rsid w:val="00C2258C"/>
    <w:rsid w:val="00C2260F"/>
    <w:rsid w:val="00C227AE"/>
    <w:rsid w:val="00C227B1"/>
    <w:rsid w:val="00C227D5"/>
    <w:rsid w:val="00C22802"/>
    <w:rsid w:val="00C22946"/>
    <w:rsid w:val="00C22990"/>
    <w:rsid w:val="00C22D93"/>
    <w:rsid w:val="00C23331"/>
    <w:rsid w:val="00C233CB"/>
    <w:rsid w:val="00C2380F"/>
    <w:rsid w:val="00C23CD6"/>
    <w:rsid w:val="00C23E77"/>
    <w:rsid w:val="00C23E9F"/>
    <w:rsid w:val="00C24126"/>
    <w:rsid w:val="00C24187"/>
    <w:rsid w:val="00C2442F"/>
    <w:rsid w:val="00C24445"/>
    <w:rsid w:val="00C2468F"/>
    <w:rsid w:val="00C24956"/>
    <w:rsid w:val="00C24AC0"/>
    <w:rsid w:val="00C24ACF"/>
    <w:rsid w:val="00C24C21"/>
    <w:rsid w:val="00C25267"/>
    <w:rsid w:val="00C254DD"/>
    <w:rsid w:val="00C254E9"/>
    <w:rsid w:val="00C257F2"/>
    <w:rsid w:val="00C2597A"/>
    <w:rsid w:val="00C25BAC"/>
    <w:rsid w:val="00C25C82"/>
    <w:rsid w:val="00C25CAB"/>
    <w:rsid w:val="00C25EFE"/>
    <w:rsid w:val="00C25FE2"/>
    <w:rsid w:val="00C26623"/>
    <w:rsid w:val="00C26BAA"/>
    <w:rsid w:val="00C26BF3"/>
    <w:rsid w:val="00C26C36"/>
    <w:rsid w:val="00C26DCC"/>
    <w:rsid w:val="00C26F3B"/>
    <w:rsid w:val="00C27114"/>
    <w:rsid w:val="00C271B7"/>
    <w:rsid w:val="00C27364"/>
    <w:rsid w:val="00C273D5"/>
    <w:rsid w:val="00C27424"/>
    <w:rsid w:val="00C2759E"/>
    <w:rsid w:val="00C278FF"/>
    <w:rsid w:val="00C279E8"/>
    <w:rsid w:val="00C27A5E"/>
    <w:rsid w:val="00C27CCB"/>
    <w:rsid w:val="00C27CDF"/>
    <w:rsid w:val="00C27E86"/>
    <w:rsid w:val="00C300B6"/>
    <w:rsid w:val="00C302D1"/>
    <w:rsid w:val="00C30CCE"/>
    <w:rsid w:val="00C30CE1"/>
    <w:rsid w:val="00C31116"/>
    <w:rsid w:val="00C31246"/>
    <w:rsid w:val="00C31617"/>
    <w:rsid w:val="00C31A27"/>
    <w:rsid w:val="00C31C47"/>
    <w:rsid w:val="00C31CB8"/>
    <w:rsid w:val="00C31CF0"/>
    <w:rsid w:val="00C3205F"/>
    <w:rsid w:val="00C32276"/>
    <w:rsid w:val="00C3233C"/>
    <w:rsid w:val="00C32513"/>
    <w:rsid w:val="00C3261C"/>
    <w:rsid w:val="00C3272A"/>
    <w:rsid w:val="00C32938"/>
    <w:rsid w:val="00C32BDA"/>
    <w:rsid w:val="00C32C61"/>
    <w:rsid w:val="00C32D25"/>
    <w:rsid w:val="00C32E21"/>
    <w:rsid w:val="00C32E81"/>
    <w:rsid w:val="00C3303C"/>
    <w:rsid w:val="00C3317C"/>
    <w:rsid w:val="00C33189"/>
    <w:rsid w:val="00C33783"/>
    <w:rsid w:val="00C33960"/>
    <w:rsid w:val="00C339A2"/>
    <w:rsid w:val="00C33A58"/>
    <w:rsid w:val="00C33B21"/>
    <w:rsid w:val="00C33BE8"/>
    <w:rsid w:val="00C33C2A"/>
    <w:rsid w:val="00C33D5E"/>
    <w:rsid w:val="00C33E1E"/>
    <w:rsid w:val="00C34013"/>
    <w:rsid w:val="00C3415A"/>
    <w:rsid w:val="00C347E2"/>
    <w:rsid w:val="00C34889"/>
    <w:rsid w:val="00C348FE"/>
    <w:rsid w:val="00C34917"/>
    <w:rsid w:val="00C34B3C"/>
    <w:rsid w:val="00C34C32"/>
    <w:rsid w:val="00C34CA0"/>
    <w:rsid w:val="00C351C9"/>
    <w:rsid w:val="00C35302"/>
    <w:rsid w:val="00C353A9"/>
    <w:rsid w:val="00C35534"/>
    <w:rsid w:val="00C35634"/>
    <w:rsid w:val="00C35692"/>
    <w:rsid w:val="00C357F8"/>
    <w:rsid w:val="00C35837"/>
    <w:rsid w:val="00C35942"/>
    <w:rsid w:val="00C359C2"/>
    <w:rsid w:val="00C36052"/>
    <w:rsid w:val="00C36296"/>
    <w:rsid w:val="00C363F3"/>
    <w:rsid w:val="00C3642C"/>
    <w:rsid w:val="00C36432"/>
    <w:rsid w:val="00C36524"/>
    <w:rsid w:val="00C36616"/>
    <w:rsid w:val="00C3664B"/>
    <w:rsid w:val="00C366CB"/>
    <w:rsid w:val="00C36A0D"/>
    <w:rsid w:val="00C36BD4"/>
    <w:rsid w:val="00C36E2E"/>
    <w:rsid w:val="00C37024"/>
    <w:rsid w:val="00C3718E"/>
    <w:rsid w:val="00C37282"/>
    <w:rsid w:val="00C3728A"/>
    <w:rsid w:val="00C372E8"/>
    <w:rsid w:val="00C3731F"/>
    <w:rsid w:val="00C3763A"/>
    <w:rsid w:val="00C37B86"/>
    <w:rsid w:val="00C37D2A"/>
    <w:rsid w:val="00C37E98"/>
    <w:rsid w:val="00C37EDA"/>
    <w:rsid w:val="00C37F35"/>
    <w:rsid w:val="00C37FC4"/>
    <w:rsid w:val="00C401C6"/>
    <w:rsid w:val="00C40223"/>
    <w:rsid w:val="00C4034A"/>
    <w:rsid w:val="00C4046A"/>
    <w:rsid w:val="00C4067B"/>
    <w:rsid w:val="00C4068D"/>
    <w:rsid w:val="00C40799"/>
    <w:rsid w:val="00C408B7"/>
    <w:rsid w:val="00C40902"/>
    <w:rsid w:val="00C4099A"/>
    <w:rsid w:val="00C40AD1"/>
    <w:rsid w:val="00C40FF9"/>
    <w:rsid w:val="00C410DD"/>
    <w:rsid w:val="00C410E6"/>
    <w:rsid w:val="00C41113"/>
    <w:rsid w:val="00C412A5"/>
    <w:rsid w:val="00C4143F"/>
    <w:rsid w:val="00C415F2"/>
    <w:rsid w:val="00C41896"/>
    <w:rsid w:val="00C41A70"/>
    <w:rsid w:val="00C41A9A"/>
    <w:rsid w:val="00C41AAD"/>
    <w:rsid w:val="00C41C80"/>
    <w:rsid w:val="00C41D46"/>
    <w:rsid w:val="00C41F55"/>
    <w:rsid w:val="00C41FEF"/>
    <w:rsid w:val="00C41FFB"/>
    <w:rsid w:val="00C422A6"/>
    <w:rsid w:val="00C4252E"/>
    <w:rsid w:val="00C42755"/>
    <w:rsid w:val="00C42810"/>
    <w:rsid w:val="00C428B3"/>
    <w:rsid w:val="00C42977"/>
    <w:rsid w:val="00C429CE"/>
    <w:rsid w:val="00C42B11"/>
    <w:rsid w:val="00C42C62"/>
    <w:rsid w:val="00C42F17"/>
    <w:rsid w:val="00C42F7A"/>
    <w:rsid w:val="00C430D0"/>
    <w:rsid w:val="00C430DA"/>
    <w:rsid w:val="00C4316E"/>
    <w:rsid w:val="00C43269"/>
    <w:rsid w:val="00C4351E"/>
    <w:rsid w:val="00C435EB"/>
    <w:rsid w:val="00C43628"/>
    <w:rsid w:val="00C43634"/>
    <w:rsid w:val="00C436F3"/>
    <w:rsid w:val="00C43859"/>
    <w:rsid w:val="00C4386C"/>
    <w:rsid w:val="00C439DB"/>
    <w:rsid w:val="00C43DE3"/>
    <w:rsid w:val="00C43E74"/>
    <w:rsid w:val="00C43F54"/>
    <w:rsid w:val="00C441EB"/>
    <w:rsid w:val="00C441FC"/>
    <w:rsid w:val="00C44670"/>
    <w:rsid w:val="00C44CDC"/>
    <w:rsid w:val="00C44F36"/>
    <w:rsid w:val="00C45000"/>
    <w:rsid w:val="00C4500F"/>
    <w:rsid w:val="00C451A8"/>
    <w:rsid w:val="00C453C4"/>
    <w:rsid w:val="00C455EC"/>
    <w:rsid w:val="00C456E8"/>
    <w:rsid w:val="00C45774"/>
    <w:rsid w:val="00C459CF"/>
    <w:rsid w:val="00C45B1C"/>
    <w:rsid w:val="00C45D94"/>
    <w:rsid w:val="00C45FA8"/>
    <w:rsid w:val="00C46172"/>
    <w:rsid w:val="00C4621B"/>
    <w:rsid w:val="00C4642C"/>
    <w:rsid w:val="00C46747"/>
    <w:rsid w:val="00C4695B"/>
    <w:rsid w:val="00C46ACC"/>
    <w:rsid w:val="00C46F8A"/>
    <w:rsid w:val="00C4701B"/>
    <w:rsid w:val="00C47056"/>
    <w:rsid w:val="00C473D1"/>
    <w:rsid w:val="00C474D5"/>
    <w:rsid w:val="00C474E6"/>
    <w:rsid w:val="00C47715"/>
    <w:rsid w:val="00C47B89"/>
    <w:rsid w:val="00C47BDC"/>
    <w:rsid w:val="00C47CEC"/>
    <w:rsid w:val="00C47D9B"/>
    <w:rsid w:val="00C47FC4"/>
    <w:rsid w:val="00C5000F"/>
    <w:rsid w:val="00C5014E"/>
    <w:rsid w:val="00C502E6"/>
    <w:rsid w:val="00C503B9"/>
    <w:rsid w:val="00C504F4"/>
    <w:rsid w:val="00C50552"/>
    <w:rsid w:val="00C50657"/>
    <w:rsid w:val="00C506E3"/>
    <w:rsid w:val="00C507AE"/>
    <w:rsid w:val="00C50834"/>
    <w:rsid w:val="00C50864"/>
    <w:rsid w:val="00C50885"/>
    <w:rsid w:val="00C50AA6"/>
    <w:rsid w:val="00C50ADB"/>
    <w:rsid w:val="00C50D47"/>
    <w:rsid w:val="00C50EA2"/>
    <w:rsid w:val="00C50EE3"/>
    <w:rsid w:val="00C50F95"/>
    <w:rsid w:val="00C510D2"/>
    <w:rsid w:val="00C510E3"/>
    <w:rsid w:val="00C5149E"/>
    <w:rsid w:val="00C5168A"/>
    <w:rsid w:val="00C516CD"/>
    <w:rsid w:val="00C51B6B"/>
    <w:rsid w:val="00C51E8D"/>
    <w:rsid w:val="00C52244"/>
    <w:rsid w:val="00C52280"/>
    <w:rsid w:val="00C522F0"/>
    <w:rsid w:val="00C524AD"/>
    <w:rsid w:val="00C52565"/>
    <w:rsid w:val="00C528B9"/>
    <w:rsid w:val="00C52A94"/>
    <w:rsid w:val="00C52B7F"/>
    <w:rsid w:val="00C52C42"/>
    <w:rsid w:val="00C52CA8"/>
    <w:rsid w:val="00C52CBC"/>
    <w:rsid w:val="00C52D2E"/>
    <w:rsid w:val="00C5313B"/>
    <w:rsid w:val="00C53265"/>
    <w:rsid w:val="00C5340C"/>
    <w:rsid w:val="00C53438"/>
    <w:rsid w:val="00C53904"/>
    <w:rsid w:val="00C53E4A"/>
    <w:rsid w:val="00C53E77"/>
    <w:rsid w:val="00C53FA2"/>
    <w:rsid w:val="00C5404E"/>
    <w:rsid w:val="00C54148"/>
    <w:rsid w:val="00C54151"/>
    <w:rsid w:val="00C54161"/>
    <w:rsid w:val="00C541F9"/>
    <w:rsid w:val="00C544DD"/>
    <w:rsid w:val="00C547FC"/>
    <w:rsid w:val="00C5485F"/>
    <w:rsid w:val="00C54897"/>
    <w:rsid w:val="00C548C4"/>
    <w:rsid w:val="00C548DF"/>
    <w:rsid w:val="00C54A5D"/>
    <w:rsid w:val="00C54B36"/>
    <w:rsid w:val="00C54BA1"/>
    <w:rsid w:val="00C54FB8"/>
    <w:rsid w:val="00C5504C"/>
    <w:rsid w:val="00C552EA"/>
    <w:rsid w:val="00C5540E"/>
    <w:rsid w:val="00C5563A"/>
    <w:rsid w:val="00C5591A"/>
    <w:rsid w:val="00C5597D"/>
    <w:rsid w:val="00C559FE"/>
    <w:rsid w:val="00C55ED7"/>
    <w:rsid w:val="00C55EDA"/>
    <w:rsid w:val="00C55FE0"/>
    <w:rsid w:val="00C56050"/>
    <w:rsid w:val="00C56148"/>
    <w:rsid w:val="00C56212"/>
    <w:rsid w:val="00C56236"/>
    <w:rsid w:val="00C5625B"/>
    <w:rsid w:val="00C5663D"/>
    <w:rsid w:val="00C566F6"/>
    <w:rsid w:val="00C567AA"/>
    <w:rsid w:val="00C5697B"/>
    <w:rsid w:val="00C56B69"/>
    <w:rsid w:val="00C56C65"/>
    <w:rsid w:val="00C56FA0"/>
    <w:rsid w:val="00C575AD"/>
    <w:rsid w:val="00C5774F"/>
    <w:rsid w:val="00C5779B"/>
    <w:rsid w:val="00C579E2"/>
    <w:rsid w:val="00C57CC0"/>
    <w:rsid w:val="00C57DF2"/>
    <w:rsid w:val="00C57F62"/>
    <w:rsid w:val="00C57FED"/>
    <w:rsid w:val="00C6013B"/>
    <w:rsid w:val="00C60140"/>
    <w:rsid w:val="00C6072D"/>
    <w:rsid w:val="00C609DF"/>
    <w:rsid w:val="00C609E3"/>
    <w:rsid w:val="00C60F52"/>
    <w:rsid w:val="00C60FF4"/>
    <w:rsid w:val="00C61127"/>
    <w:rsid w:val="00C61270"/>
    <w:rsid w:val="00C612C4"/>
    <w:rsid w:val="00C616E4"/>
    <w:rsid w:val="00C616E6"/>
    <w:rsid w:val="00C617F2"/>
    <w:rsid w:val="00C61800"/>
    <w:rsid w:val="00C61905"/>
    <w:rsid w:val="00C61A66"/>
    <w:rsid w:val="00C61D22"/>
    <w:rsid w:val="00C61F0D"/>
    <w:rsid w:val="00C61F2F"/>
    <w:rsid w:val="00C61F71"/>
    <w:rsid w:val="00C620E2"/>
    <w:rsid w:val="00C625A9"/>
    <w:rsid w:val="00C6279F"/>
    <w:rsid w:val="00C627A8"/>
    <w:rsid w:val="00C62806"/>
    <w:rsid w:val="00C628CC"/>
    <w:rsid w:val="00C62B98"/>
    <w:rsid w:val="00C62DE0"/>
    <w:rsid w:val="00C631F5"/>
    <w:rsid w:val="00C6335F"/>
    <w:rsid w:val="00C634C3"/>
    <w:rsid w:val="00C63616"/>
    <w:rsid w:val="00C6363F"/>
    <w:rsid w:val="00C636B5"/>
    <w:rsid w:val="00C637DE"/>
    <w:rsid w:val="00C63AC9"/>
    <w:rsid w:val="00C63BD4"/>
    <w:rsid w:val="00C63EAE"/>
    <w:rsid w:val="00C64140"/>
    <w:rsid w:val="00C64184"/>
    <w:rsid w:val="00C64219"/>
    <w:rsid w:val="00C646D5"/>
    <w:rsid w:val="00C646D7"/>
    <w:rsid w:val="00C6498E"/>
    <w:rsid w:val="00C64B14"/>
    <w:rsid w:val="00C6503D"/>
    <w:rsid w:val="00C653AA"/>
    <w:rsid w:val="00C654CE"/>
    <w:rsid w:val="00C6553D"/>
    <w:rsid w:val="00C655B1"/>
    <w:rsid w:val="00C65815"/>
    <w:rsid w:val="00C658AE"/>
    <w:rsid w:val="00C65A53"/>
    <w:rsid w:val="00C65BB5"/>
    <w:rsid w:val="00C65E5E"/>
    <w:rsid w:val="00C660E1"/>
    <w:rsid w:val="00C66281"/>
    <w:rsid w:val="00C66328"/>
    <w:rsid w:val="00C6661A"/>
    <w:rsid w:val="00C66891"/>
    <w:rsid w:val="00C66AA3"/>
    <w:rsid w:val="00C66B17"/>
    <w:rsid w:val="00C66C10"/>
    <w:rsid w:val="00C66CCA"/>
    <w:rsid w:val="00C673DC"/>
    <w:rsid w:val="00C67416"/>
    <w:rsid w:val="00C67586"/>
    <w:rsid w:val="00C67587"/>
    <w:rsid w:val="00C675C2"/>
    <w:rsid w:val="00C678A7"/>
    <w:rsid w:val="00C67926"/>
    <w:rsid w:val="00C67A54"/>
    <w:rsid w:val="00C67C9C"/>
    <w:rsid w:val="00C67CA4"/>
    <w:rsid w:val="00C67F6E"/>
    <w:rsid w:val="00C7011B"/>
    <w:rsid w:val="00C7020E"/>
    <w:rsid w:val="00C70271"/>
    <w:rsid w:val="00C70390"/>
    <w:rsid w:val="00C7062C"/>
    <w:rsid w:val="00C70776"/>
    <w:rsid w:val="00C70BA0"/>
    <w:rsid w:val="00C70FAB"/>
    <w:rsid w:val="00C70FF4"/>
    <w:rsid w:val="00C7111E"/>
    <w:rsid w:val="00C711AB"/>
    <w:rsid w:val="00C711B1"/>
    <w:rsid w:val="00C71229"/>
    <w:rsid w:val="00C71292"/>
    <w:rsid w:val="00C7146D"/>
    <w:rsid w:val="00C714DF"/>
    <w:rsid w:val="00C71561"/>
    <w:rsid w:val="00C71614"/>
    <w:rsid w:val="00C71644"/>
    <w:rsid w:val="00C71E67"/>
    <w:rsid w:val="00C72064"/>
    <w:rsid w:val="00C721CC"/>
    <w:rsid w:val="00C72463"/>
    <w:rsid w:val="00C7250A"/>
    <w:rsid w:val="00C729A0"/>
    <w:rsid w:val="00C72A0A"/>
    <w:rsid w:val="00C72A0B"/>
    <w:rsid w:val="00C72B44"/>
    <w:rsid w:val="00C72C55"/>
    <w:rsid w:val="00C72C9F"/>
    <w:rsid w:val="00C72F56"/>
    <w:rsid w:val="00C72FA5"/>
    <w:rsid w:val="00C730E9"/>
    <w:rsid w:val="00C731DE"/>
    <w:rsid w:val="00C731F9"/>
    <w:rsid w:val="00C73235"/>
    <w:rsid w:val="00C735E6"/>
    <w:rsid w:val="00C736B0"/>
    <w:rsid w:val="00C737A6"/>
    <w:rsid w:val="00C7386C"/>
    <w:rsid w:val="00C738C7"/>
    <w:rsid w:val="00C73987"/>
    <w:rsid w:val="00C73A95"/>
    <w:rsid w:val="00C73AC8"/>
    <w:rsid w:val="00C73B34"/>
    <w:rsid w:val="00C73DE4"/>
    <w:rsid w:val="00C73E8D"/>
    <w:rsid w:val="00C73F15"/>
    <w:rsid w:val="00C740BF"/>
    <w:rsid w:val="00C74265"/>
    <w:rsid w:val="00C7434B"/>
    <w:rsid w:val="00C74556"/>
    <w:rsid w:val="00C74643"/>
    <w:rsid w:val="00C746EC"/>
    <w:rsid w:val="00C7479E"/>
    <w:rsid w:val="00C749F2"/>
    <w:rsid w:val="00C74A4A"/>
    <w:rsid w:val="00C74ACD"/>
    <w:rsid w:val="00C74D4C"/>
    <w:rsid w:val="00C74E91"/>
    <w:rsid w:val="00C74EB8"/>
    <w:rsid w:val="00C7504A"/>
    <w:rsid w:val="00C75056"/>
    <w:rsid w:val="00C7521F"/>
    <w:rsid w:val="00C75291"/>
    <w:rsid w:val="00C75560"/>
    <w:rsid w:val="00C75563"/>
    <w:rsid w:val="00C756D4"/>
    <w:rsid w:val="00C758B4"/>
    <w:rsid w:val="00C75939"/>
    <w:rsid w:val="00C75B55"/>
    <w:rsid w:val="00C75BAA"/>
    <w:rsid w:val="00C75C67"/>
    <w:rsid w:val="00C760FA"/>
    <w:rsid w:val="00C76105"/>
    <w:rsid w:val="00C76186"/>
    <w:rsid w:val="00C763B2"/>
    <w:rsid w:val="00C7655F"/>
    <w:rsid w:val="00C76595"/>
    <w:rsid w:val="00C765BD"/>
    <w:rsid w:val="00C76ACD"/>
    <w:rsid w:val="00C76B68"/>
    <w:rsid w:val="00C76D89"/>
    <w:rsid w:val="00C76ED1"/>
    <w:rsid w:val="00C7702C"/>
    <w:rsid w:val="00C771CB"/>
    <w:rsid w:val="00C775B0"/>
    <w:rsid w:val="00C77673"/>
    <w:rsid w:val="00C77772"/>
    <w:rsid w:val="00C779EB"/>
    <w:rsid w:val="00C77A03"/>
    <w:rsid w:val="00C77A4A"/>
    <w:rsid w:val="00C77B07"/>
    <w:rsid w:val="00C77BD7"/>
    <w:rsid w:val="00C77ED6"/>
    <w:rsid w:val="00C77FD1"/>
    <w:rsid w:val="00C800A8"/>
    <w:rsid w:val="00C80116"/>
    <w:rsid w:val="00C80160"/>
    <w:rsid w:val="00C802D7"/>
    <w:rsid w:val="00C804AC"/>
    <w:rsid w:val="00C8068A"/>
    <w:rsid w:val="00C8069B"/>
    <w:rsid w:val="00C806FB"/>
    <w:rsid w:val="00C8086F"/>
    <w:rsid w:val="00C80B57"/>
    <w:rsid w:val="00C80E44"/>
    <w:rsid w:val="00C811D5"/>
    <w:rsid w:val="00C812A6"/>
    <w:rsid w:val="00C81399"/>
    <w:rsid w:val="00C814DA"/>
    <w:rsid w:val="00C81792"/>
    <w:rsid w:val="00C81836"/>
    <w:rsid w:val="00C81A3E"/>
    <w:rsid w:val="00C81A65"/>
    <w:rsid w:val="00C81AB5"/>
    <w:rsid w:val="00C81D6A"/>
    <w:rsid w:val="00C81E8C"/>
    <w:rsid w:val="00C821B0"/>
    <w:rsid w:val="00C825DD"/>
    <w:rsid w:val="00C826C0"/>
    <w:rsid w:val="00C82A15"/>
    <w:rsid w:val="00C82BA4"/>
    <w:rsid w:val="00C82D40"/>
    <w:rsid w:val="00C82E6A"/>
    <w:rsid w:val="00C82F69"/>
    <w:rsid w:val="00C82F6C"/>
    <w:rsid w:val="00C835F4"/>
    <w:rsid w:val="00C836CA"/>
    <w:rsid w:val="00C83921"/>
    <w:rsid w:val="00C83D14"/>
    <w:rsid w:val="00C83DB5"/>
    <w:rsid w:val="00C83EF9"/>
    <w:rsid w:val="00C84051"/>
    <w:rsid w:val="00C84286"/>
    <w:rsid w:val="00C843B5"/>
    <w:rsid w:val="00C844AA"/>
    <w:rsid w:val="00C84553"/>
    <w:rsid w:val="00C84978"/>
    <w:rsid w:val="00C849D1"/>
    <w:rsid w:val="00C84A09"/>
    <w:rsid w:val="00C84AC2"/>
    <w:rsid w:val="00C84BA3"/>
    <w:rsid w:val="00C84C31"/>
    <w:rsid w:val="00C84E9B"/>
    <w:rsid w:val="00C850FB"/>
    <w:rsid w:val="00C8535D"/>
    <w:rsid w:val="00C8579A"/>
    <w:rsid w:val="00C85BCA"/>
    <w:rsid w:val="00C85CCE"/>
    <w:rsid w:val="00C85D62"/>
    <w:rsid w:val="00C860A1"/>
    <w:rsid w:val="00C86223"/>
    <w:rsid w:val="00C862A0"/>
    <w:rsid w:val="00C863B3"/>
    <w:rsid w:val="00C8665B"/>
    <w:rsid w:val="00C866B0"/>
    <w:rsid w:val="00C867B0"/>
    <w:rsid w:val="00C86B52"/>
    <w:rsid w:val="00C86D40"/>
    <w:rsid w:val="00C86FD0"/>
    <w:rsid w:val="00C87079"/>
    <w:rsid w:val="00C873BB"/>
    <w:rsid w:val="00C87512"/>
    <w:rsid w:val="00C877EB"/>
    <w:rsid w:val="00C87A5C"/>
    <w:rsid w:val="00C87A87"/>
    <w:rsid w:val="00C87D0B"/>
    <w:rsid w:val="00C87FA7"/>
    <w:rsid w:val="00C90043"/>
    <w:rsid w:val="00C900AB"/>
    <w:rsid w:val="00C900FB"/>
    <w:rsid w:val="00C90192"/>
    <w:rsid w:val="00C90231"/>
    <w:rsid w:val="00C905A3"/>
    <w:rsid w:val="00C9075B"/>
    <w:rsid w:val="00C90827"/>
    <w:rsid w:val="00C90ADA"/>
    <w:rsid w:val="00C90AFF"/>
    <w:rsid w:val="00C90C3E"/>
    <w:rsid w:val="00C90EA9"/>
    <w:rsid w:val="00C90F3C"/>
    <w:rsid w:val="00C910DD"/>
    <w:rsid w:val="00C911F4"/>
    <w:rsid w:val="00C914C8"/>
    <w:rsid w:val="00C9159E"/>
    <w:rsid w:val="00C919E0"/>
    <w:rsid w:val="00C91A55"/>
    <w:rsid w:val="00C91AAF"/>
    <w:rsid w:val="00C91C26"/>
    <w:rsid w:val="00C91CA7"/>
    <w:rsid w:val="00C91E77"/>
    <w:rsid w:val="00C91EB1"/>
    <w:rsid w:val="00C92032"/>
    <w:rsid w:val="00C92068"/>
    <w:rsid w:val="00C920E4"/>
    <w:rsid w:val="00C922FB"/>
    <w:rsid w:val="00C9259D"/>
    <w:rsid w:val="00C92688"/>
    <w:rsid w:val="00C9277D"/>
    <w:rsid w:val="00C92F5F"/>
    <w:rsid w:val="00C93330"/>
    <w:rsid w:val="00C934DB"/>
    <w:rsid w:val="00C935D9"/>
    <w:rsid w:val="00C93658"/>
    <w:rsid w:val="00C936E4"/>
    <w:rsid w:val="00C93731"/>
    <w:rsid w:val="00C938C7"/>
    <w:rsid w:val="00C93A83"/>
    <w:rsid w:val="00C93B54"/>
    <w:rsid w:val="00C93D12"/>
    <w:rsid w:val="00C94140"/>
    <w:rsid w:val="00C9434C"/>
    <w:rsid w:val="00C94352"/>
    <w:rsid w:val="00C94461"/>
    <w:rsid w:val="00C94638"/>
    <w:rsid w:val="00C947C7"/>
    <w:rsid w:val="00C948BC"/>
    <w:rsid w:val="00C948F8"/>
    <w:rsid w:val="00C94B80"/>
    <w:rsid w:val="00C94D4A"/>
    <w:rsid w:val="00C953C7"/>
    <w:rsid w:val="00C954AD"/>
    <w:rsid w:val="00C95572"/>
    <w:rsid w:val="00C95A5A"/>
    <w:rsid w:val="00C96061"/>
    <w:rsid w:val="00C960E0"/>
    <w:rsid w:val="00C962F9"/>
    <w:rsid w:val="00C965D0"/>
    <w:rsid w:val="00C9667C"/>
    <w:rsid w:val="00C967CE"/>
    <w:rsid w:val="00C96BEE"/>
    <w:rsid w:val="00C96CB9"/>
    <w:rsid w:val="00C96D5E"/>
    <w:rsid w:val="00C9717F"/>
    <w:rsid w:val="00C97502"/>
    <w:rsid w:val="00C9771F"/>
    <w:rsid w:val="00C9773D"/>
    <w:rsid w:val="00C97960"/>
    <w:rsid w:val="00C979B8"/>
    <w:rsid w:val="00C97A24"/>
    <w:rsid w:val="00C97A94"/>
    <w:rsid w:val="00C97B33"/>
    <w:rsid w:val="00C97DCB"/>
    <w:rsid w:val="00C97FFE"/>
    <w:rsid w:val="00CA00E4"/>
    <w:rsid w:val="00CA0179"/>
    <w:rsid w:val="00CA01B6"/>
    <w:rsid w:val="00CA041B"/>
    <w:rsid w:val="00CA07E1"/>
    <w:rsid w:val="00CA0A81"/>
    <w:rsid w:val="00CA0AE8"/>
    <w:rsid w:val="00CA0BFC"/>
    <w:rsid w:val="00CA0EAF"/>
    <w:rsid w:val="00CA100F"/>
    <w:rsid w:val="00CA113E"/>
    <w:rsid w:val="00CA1231"/>
    <w:rsid w:val="00CA1404"/>
    <w:rsid w:val="00CA151A"/>
    <w:rsid w:val="00CA1529"/>
    <w:rsid w:val="00CA1E50"/>
    <w:rsid w:val="00CA2014"/>
    <w:rsid w:val="00CA20C1"/>
    <w:rsid w:val="00CA226B"/>
    <w:rsid w:val="00CA29C9"/>
    <w:rsid w:val="00CA2AAE"/>
    <w:rsid w:val="00CA2B78"/>
    <w:rsid w:val="00CA2BFE"/>
    <w:rsid w:val="00CA2CD5"/>
    <w:rsid w:val="00CA2F4E"/>
    <w:rsid w:val="00CA3099"/>
    <w:rsid w:val="00CA33C3"/>
    <w:rsid w:val="00CA3487"/>
    <w:rsid w:val="00CA369A"/>
    <w:rsid w:val="00CA38F3"/>
    <w:rsid w:val="00CA3B19"/>
    <w:rsid w:val="00CA3C74"/>
    <w:rsid w:val="00CA3E6E"/>
    <w:rsid w:val="00CA40CB"/>
    <w:rsid w:val="00CA4136"/>
    <w:rsid w:val="00CA441F"/>
    <w:rsid w:val="00CA4671"/>
    <w:rsid w:val="00CA477C"/>
    <w:rsid w:val="00CA48E4"/>
    <w:rsid w:val="00CA4975"/>
    <w:rsid w:val="00CA4A24"/>
    <w:rsid w:val="00CA4BA1"/>
    <w:rsid w:val="00CA4C87"/>
    <w:rsid w:val="00CA4CC4"/>
    <w:rsid w:val="00CA4E96"/>
    <w:rsid w:val="00CA5214"/>
    <w:rsid w:val="00CA521E"/>
    <w:rsid w:val="00CA5359"/>
    <w:rsid w:val="00CA5398"/>
    <w:rsid w:val="00CA55EF"/>
    <w:rsid w:val="00CA560A"/>
    <w:rsid w:val="00CA58B9"/>
    <w:rsid w:val="00CA5999"/>
    <w:rsid w:val="00CA5BBF"/>
    <w:rsid w:val="00CA5D55"/>
    <w:rsid w:val="00CA5E53"/>
    <w:rsid w:val="00CA5FEA"/>
    <w:rsid w:val="00CA6254"/>
    <w:rsid w:val="00CA6269"/>
    <w:rsid w:val="00CA656C"/>
    <w:rsid w:val="00CA6643"/>
    <w:rsid w:val="00CA6715"/>
    <w:rsid w:val="00CA6C72"/>
    <w:rsid w:val="00CA6FD6"/>
    <w:rsid w:val="00CA7000"/>
    <w:rsid w:val="00CA7437"/>
    <w:rsid w:val="00CA74BC"/>
    <w:rsid w:val="00CA75A7"/>
    <w:rsid w:val="00CA7E96"/>
    <w:rsid w:val="00CB007C"/>
    <w:rsid w:val="00CB01BB"/>
    <w:rsid w:val="00CB02B8"/>
    <w:rsid w:val="00CB03B1"/>
    <w:rsid w:val="00CB0433"/>
    <w:rsid w:val="00CB0586"/>
    <w:rsid w:val="00CB069B"/>
    <w:rsid w:val="00CB0767"/>
    <w:rsid w:val="00CB0784"/>
    <w:rsid w:val="00CB07C0"/>
    <w:rsid w:val="00CB0819"/>
    <w:rsid w:val="00CB0849"/>
    <w:rsid w:val="00CB08C8"/>
    <w:rsid w:val="00CB0913"/>
    <w:rsid w:val="00CB0AFE"/>
    <w:rsid w:val="00CB0B25"/>
    <w:rsid w:val="00CB0B4E"/>
    <w:rsid w:val="00CB0B6A"/>
    <w:rsid w:val="00CB0B8E"/>
    <w:rsid w:val="00CB0BE5"/>
    <w:rsid w:val="00CB0DDE"/>
    <w:rsid w:val="00CB0E44"/>
    <w:rsid w:val="00CB1150"/>
    <w:rsid w:val="00CB1182"/>
    <w:rsid w:val="00CB16A3"/>
    <w:rsid w:val="00CB16E4"/>
    <w:rsid w:val="00CB1845"/>
    <w:rsid w:val="00CB19BB"/>
    <w:rsid w:val="00CB1A55"/>
    <w:rsid w:val="00CB1C0E"/>
    <w:rsid w:val="00CB1D1A"/>
    <w:rsid w:val="00CB2234"/>
    <w:rsid w:val="00CB22AF"/>
    <w:rsid w:val="00CB22E2"/>
    <w:rsid w:val="00CB294D"/>
    <w:rsid w:val="00CB2C33"/>
    <w:rsid w:val="00CB2E85"/>
    <w:rsid w:val="00CB2E93"/>
    <w:rsid w:val="00CB3077"/>
    <w:rsid w:val="00CB32DA"/>
    <w:rsid w:val="00CB3325"/>
    <w:rsid w:val="00CB34EA"/>
    <w:rsid w:val="00CB35D0"/>
    <w:rsid w:val="00CB35E5"/>
    <w:rsid w:val="00CB36BE"/>
    <w:rsid w:val="00CB36CD"/>
    <w:rsid w:val="00CB3A92"/>
    <w:rsid w:val="00CB3B10"/>
    <w:rsid w:val="00CB3CE0"/>
    <w:rsid w:val="00CB3E01"/>
    <w:rsid w:val="00CB3E98"/>
    <w:rsid w:val="00CB3F39"/>
    <w:rsid w:val="00CB433B"/>
    <w:rsid w:val="00CB43CB"/>
    <w:rsid w:val="00CB44F5"/>
    <w:rsid w:val="00CB44F6"/>
    <w:rsid w:val="00CB4531"/>
    <w:rsid w:val="00CB4769"/>
    <w:rsid w:val="00CB4BBC"/>
    <w:rsid w:val="00CB4D28"/>
    <w:rsid w:val="00CB5098"/>
    <w:rsid w:val="00CB5325"/>
    <w:rsid w:val="00CB5357"/>
    <w:rsid w:val="00CB53C1"/>
    <w:rsid w:val="00CB56E4"/>
    <w:rsid w:val="00CB577E"/>
    <w:rsid w:val="00CB5783"/>
    <w:rsid w:val="00CB581E"/>
    <w:rsid w:val="00CB5850"/>
    <w:rsid w:val="00CB5878"/>
    <w:rsid w:val="00CB58A0"/>
    <w:rsid w:val="00CB59BD"/>
    <w:rsid w:val="00CB5E8D"/>
    <w:rsid w:val="00CB609D"/>
    <w:rsid w:val="00CB6343"/>
    <w:rsid w:val="00CB6370"/>
    <w:rsid w:val="00CB64CD"/>
    <w:rsid w:val="00CB6580"/>
    <w:rsid w:val="00CB6638"/>
    <w:rsid w:val="00CB66DE"/>
    <w:rsid w:val="00CB67E1"/>
    <w:rsid w:val="00CB67F1"/>
    <w:rsid w:val="00CB68D2"/>
    <w:rsid w:val="00CB6A02"/>
    <w:rsid w:val="00CB6DE8"/>
    <w:rsid w:val="00CB6E82"/>
    <w:rsid w:val="00CB72A6"/>
    <w:rsid w:val="00CB72A8"/>
    <w:rsid w:val="00CB72AA"/>
    <w:rsid w:val="00CB74C2"/>
    <w:rsid w:val="00CB75BC"/>
    <w:rsid w:val="00CB7649"/>
    <w:rsid w:val="00CB78D6"/>
    <w:rsid w:val="00CB791E"/>
    <w:rsid w:val="00CB7D40"/>
    <w:rsid w:val="00CC0255"/>
    <w:rsid w:val="00CC0343"/>
    <w:rsid w:val="00CC046D"/>
    <w:rsid w:val="00CC07FC"/>
    <w:rsid w:val="00CC0A01"/>
    <w:rsid w:val="00CC0AD1"/>
    <w:rsid w:val="00CC0DE6"/>
    <w:rsid w:val="00CC0E8A"/>
    <w:rsid w:val="00CC0F52"/>
    <w:rsid w:val="00CC1211"/>
    <w:rsid w:val="00CC1225"/>
    <w:rsid w:val="00CC1267"/>
    <w:rsid w:val="00CC1397"/>
    <w:rsid w:val="00CC14E8"/>
    <w:rsid w:val="00CC1500"/>
    <w:rsid w:val="00CC16A6"/>
    <w:rsid w:val="00CC18E0"/>
    <w:rsid w:val="00CC19F3"/>
    <w:rsid w:val="00CC1C5B"/>
    <w:rsid w:val="00CC1EDE"/>
    <w:rsid w:val="00CC22EF"/>
    <w:rsid w:val="00CC277E"/>
    <w:rsid w:val="00CC2844"/>
    <w:rsid w:val="00CC2DC5"/>
    <w:rsid w:val="00CC2DDC"/>
    <w:rsid w:val="00CC2E6A"/>
    <w:rsid w:val="00CC2FE5"/>
    <w:rsid w:val="00CC32C9"/>
    <w:rsid w:val="00CC33C3"/>
    <w:rsid w:val="00CC340B"/>
    <w:rsid w:val="00CC34B0"/>
    <w:rsid w:val="00CC352A"/>
    <w:rsid w:val="00CC3A7F"/>
    <w:rsid w:val="00CC3ADA"/>
    <w:rsid w:val="00CC3AE8"/>
    <w:rsid w:val="00CC3C4A"/>
    <w:rsid w:val="00CC3CCC"/>
    <w:rsid w:val="00CC3CDA"/>
    <w:rsid w:val="00CC3CFA"/>
    <w:rsid w:val="00CC3D14"/>
    <w:rsid w:val="00CC3D67"/>
    <w:rsid w:val="00CC3E41"/>
    <w:rsid w:val="00CC402B"/>
    <w:rsid w:val="00CC42BB"/>
    <w:rsid w:val="00CC439C"/>
    <w:rsid w:val="00CC43E1"/>
    <w:rsid w:val="00CC4610"/>
    <w:rsid w:val="00CC46DE"/>
    <w:rsid w:val="00CC4B68"/>
    <w:rsid w:val="00CC4E0E"/>
    <w:rsid w:val="00CC4E2C"/>
    <w:rsid w:val="00CC4E99"/>
    <w:rsid w:val="00CC4EB3"/>
    <w:rsid w:val="00CC4EF5"/>
    <w:rsid w:val="00CC527C"/>
    <w:rsid w:val="00CC54D2"/>
    <w:rsid w:val="00CC5510"/>
    <w:rsid w:val="00CC575C"/>
    <w:rsid w:val="00CC5D14"/>
    <w:rsid w:val="00CC6005"/>
    <w:rsid w:val="00CC6016"/>
    <w:rsid w:val="00CC607B"/>
    <w:rsid w:val="00CC60E1"/>
    <w:rsid w:val="00CC6286"/>
    <w:rsid w:val="00CC6461"/>
    <w:rsid w:val="00CC65F6"/>
    <w:rsid w:val="00CC6997"/>
    <w:rsid w:val="00CC6B68"/>
    <w:rsid w:val="00CC6EF1"/>
    <w:rsid w:val="00CC7085"/>
    <w:rsid w:val="00CC734D"/>
    <w:rsid w:val="00CC7414"/>
    <w:rsid w:val="00CC7440"/>
    <w:rsid w:val="00CC77FD"/>
    <w:rsid w:val="00CC7974"/>
    <w:rsid w:val="00CC79BB"/>
    <w:rsid w:val="00CC7A2A"/>
    <w:rsid w:val="00CC7AF3"/>
    <w:rsid w:val="00CC7CAA"/>
    <w:rsid w:val="00CC7D9F"/>
    <w:rsid w:val="00CC7E22"/>
    <w:rsid w:val="00CD00CF"/>
    <w:rsid w:val="00CD017B"/>
    <w:rsid w:val="00CD02BD"/>
    <w:rsid w:val="00CD0692"/>
    <w:rsid w:val="00CD0707"/>
    <w:rsid w:val="00CD0A12"/>
    <w:rsid w:val="00CD0AE4"/>
    <w:rsid w:val="00CD0AED"/>
    <w:rsid w:val="00CD0CAE"/>
    <w:rsid w:val="00CD10FE"/>
    <w:rsid w:val="00CD124E"/>
    <w:rsid w:val="00CD138A"/>
    <w:rsid w:val="00CD15BA"/>
    <w:rsid w:val="00CD162A"/>
    <w:rsid w:val="00CD17A8"/>
    <w:rsid w:val="00CD18A9"/>
    <w:rsid w:val="00CD193A"/>
    <w:rsid w:val="00CD1B29"/>
    <w:rsid w:val="00CD1DD3"/>
    <w:rsid w:val="00CD1F60"/>
    <w:rsid w:val="00CD1FD4"/>
    <w:rsid w:val="00CD20AB"/>
    <w:rsid w:val="00CD2156"/>
    <w:rsid w:val="00CD2190"/>
    <w:rsid w:val="00CD2300"/>
    <w:rsid w:val="00CD27DE"/>
    <w:rsid w:val="00CD2998"/>
    <w:rsid w:val="00CD2A8E"/>
    <w:rsid w:val="00CD2B28"/>
    <w:rsid w:val="00CD2B87"/>
    <w:rsid w:val="00CD2DAE"/>
    <w:rsid w:val="00CD31EE"/>
    <w:rsid w:val="00CD3247"/>
    <w:rsid w:val="00CD32E0"/>
    <w:rsid w:val="00CD335A"/>
    <w:rsid w:val="00CD34AA"/>
    <w:rsid w:val="00CD36CC"/>
    <w:rsid w:val="00CD3837"/>
    <w:rsid w:val="00CD3872"/>
    <w:rsid w:val="00CD3990"/>
    <w:rsid w:val="00CD3CD0"/>
    <w:rsid w:val="00CD3D5D"/>
    <w:rsid w:val="00CD3D93"/>
    <w:rsid w:val="00CD3E17"/>
    <w:rsid w:val="00CD4089"/>
    <w:rsid w:val="00CD420C"/>
    <w:rsid w:val="00CD52DB"/>
    <w:rsid w:val="00CD54A5"/>
    <w:rsid w:val="00CD5611"/>
    <w:rsid w:val="00CD5B38"/>
    <w:rsid w:val="00CD5C0B"/>
    <w:rsid w:val="00CD5C20"/>
    <w:rsid w:val="00CD5EE3"/>
    <w:rsid w:val="00CD5F3D"/>
    <w:rsid w:val="00CD61B9"/>
    <w:rsid w:val="00CD61C0"/>
    <w:rsid w:val="00CD62E6"/>
    <w:rsid w:val="00CD63A1"/>
    <w:rsid w:val="00CD64AB"/>
    <w:rsid w:val="00CD6A5D"/>
    <w:rsid w:val="00CD6B5C"/>
    <w:rsid w:val="00CD6DBD"/>
    <w:rsid w:val="00CD71C3"/>
    <w:rsid w:val="00CD7490"/>
    <w:rsid w:val="00CD79AA"/>
    <w:rsid w:val="00CD7A99"/>
    <w:rsid w:val="00CD7D8B"/>
    <w:rsid w:val="00CD7E10"/>
    <w:rsid w:val="00CE01B8"/>
    <w:rsid w:val="00CE0300"/>
    <w:rsid w:val="00CE0397"/>
    <w:rsid w:val="00CE0582"/>
    <w:rsid w:val="00CE05BE"/>
    <w:rsid w:val="00CE063B"/>
    <w:rsid w:val="00CE0B98"/>
    <w:rsid w:val="00CE0D01"/>
    <w:rsid w:val="00CE0FA5"/>
    <w:rsid w:val="00CE1158"/>
    <w:rsid w:val="00CE15C0"/>
    <w:rsid w:val="00CE1801"/>
    <w:rsid w:val="00CE1809"/>
    <w:rsid w:val="00CE1978"/>
    <w:rsid w:val="00CE1A5E"/>
    <w:rsid w:val="00CE1C22"/>
    <w:rsid w:val="00CE1D39"/>
    <w:rsid w:val="00CE1E02"/>
    <w:rsid w:val="00CE205F"/>
    <w:rsid w:val="00CE2395"/>
    <w:rsid w:val="00CE2581"/>
    <w:rsid w:val="00CE26D4"/>
    <w:rsid w:val="00CE2C2C"/>
    <w:rsid w:val="00CE2D2E"/>
    <w:rsid w:val="00CE3080"/>
    <w:rsid w:val="00CE321D"/>
    <w:rsid w:val="00CE32B6"/>
    <w:rsid w:val="00CE3542"/>
    <w:rsid w:val="00CE36CB"/>
    <w:rsid w:val="00CE380B"/>
    <w:rsid w:val="00CE38BA"/>
    <w:rsid w:val="00CE396E"/>
    <w:rsid w:val="00CE3B78"/>
    <w:rsid w:val="00CE3DE1"/>
    <w:rsid w:val="00CE3FC8"/>
    <w:rsid w:val="00CE4036"/>
    <w:rsid w:val="00CE40EE"/>
    <w:rsid w:val="00CE4126"/>
    <w:rsid w:val="00CE4203"/>
    <w:rsid w:val="00CE435B"/>
    <w:rsid w:val="00CE47E2"/>
    <w:rsid w:val="00CE4A5C"/>
    <w:rsid w:val="00CE4D27"/>
    <w:rsid w:val="00CE500F"/>
    <w:rsid w:val="00CE525D"/>
    <w:rsid w:val="00CE52FE"/>
    <w:rsid w:val="00CE5333"/>
    <w:rsid w:val="00CE5530"/>
    <w:rsid w:val="00CE5739"/>
    <w:rsid w:val="00CE57BD"/>
    <w:rsid w:val="00CE5846"/>
    <w:rsid w:val="00CE5BDA"/>
    <w:rsid w:val="00CE5BFB"/>
    <w:rsid w:val="00CE5CB2"/>
    <w:rsid w:val="00CE5F3A"/>
    <w:rsid w:val="00CE5FD4"/>
    <w:rsid w:val="00CE60DA"/>
    <w:rsid w:val="00CE617D"/>
    <w:rsid w:val="00CE62FD"/>
    <w:rsid w:val="00CE657B"/>
    <w:rsid w:val="00CE658B"/>
    <w:rsid w:val="00CE65AE"/>
    <w:rsid w:val="00CE6705"/>
    <w:rsid w:val="00CE6919"/>
    <w:rsid w:val="00CE6A14"/>
    <w:rsid w:val="00CE6C0F"/>
    <w:rsid w:val="00CE6EF5"/>
    <w:rsid w:val="00CE7589"/>
    <w:rsid w:val="00CE77D6"/>
    <w:rsid w:val="00CE7814"/>
    <w:rsid w:val="00CE7A82"/>
    <w:rsid w:val="00CE7B79"/>
    <w:rsid w:val="00CE7C45"/>
    <w:rsid w:val="00CE7C76"/>
    <w:rsid w:val="00CE7D3D"/>
    <w:rsid w:val="00CE7ED6"/>
    <w:rsid w:val="00CE7F8A"/>
    <w:rsid w:val="00CF0011"/>
    <w:rsid w:val="00CF0044"/>
    <w:rsid w:val="00CF08CC"/>
    <w:rsid w:val="00CF0985"/>
    <w:rsid w:val="00CF0AC9"/>
    <w:rsid w:val="00CF0B44"/>
    <w:rsid w:val="00CF0C2A"/>
    <w:rsid w:val="00CF0D98"/>
    <w:rsid w:val="00CF0DA1"/>
    <w:rsid w:val="00CF0EA8"/>
    <w:rsid w:val="00CF0EB4"/>
    <w:rsid w:val="00CF0FF4"/>
    <w:rsid w:val="00CF1053"/>
    <w:rsid w:val="00CF108A"/>
    <w:rsid w:val="00CF125D"/>
    <w:rsid w:val="00CF1276"/>
    <w:rsid w:val="00CF1282"/>
    <w:rsid w:val="00CF12A2"/>
    <w:rsid w:val="00CF12CD"/>
    <w:rsid w:val="00CF17C0"/>
    <w:rsid w:val="00CF17E7"/>
    <w:rsid w:val="00CF18A2"/>
    <w:rsid w:val="00CF19C7"/>
    <w:rsid w:val="00CF1B20"/>
    <w:rsid w:val="00CF21C5"/>
    <w:rsid w:val="00CF22BC"/>
    <w:rsid w:val="00CF22F1"/>
    <w:rsid w:val="00CF2349"/>
    <w:rsid w:val="00CF25D3"/>
    <w:rsid w:val="00CF26E9"/>
    <w:rsid w:val="00CF27E3"/>
    <w:rsid w:val="00CF27E7"/>
    <w:rsid w:val="00CF2849"/>
    <w:rsid w:val="00CF28E1"/>
    <w:rsid w:val="00CF292C"/>
    <w:rsid w:val="00CF2B19"/>
    <w:rsid w:val="00CF2B42"/>
    <w:rsid w:val="00CF2DCC"/>
    <w:rsid w:val="00CF2FD7"/>
    <w:rsid w:val="00CF322C"/>
    <w:rsid w:val="00CF32C2"/>
    <w:rsid w:val="00CF32D0"/>
    <w:rsid w:val="00CF35C4"/>
    <w:rsid w:val="00CF35E3"/>
    <w:rsid w:val="00CF363F"/>
    <w:rsid w:val="00CF38D7"/>
    <w:rsid w:val="00CF39AF"/>
    <w:rsid w:val="00CF3E4D"/>
    <w:rsid w:val="00CF400F"/>
    <w:rsid w:val="00CF4615"/>
    <w:rsid w:val="00CF47F0"/>
    <w:rsid w:val="00CF47F2"/>
    <w:rsid w:val="00CF48E1"/>
    <w:rsid w:val="00CF497A"/>
    <w:rsid w:val="00CF4998"/>
    <w:rsid w:val="00CF49F7"/>
    <w:rsid w:val="00CF4A17"/>
    <w:rsid w:val="00CF4AB4"/>
    <w:rsid w:val="00CF50AA"/>
    <w:rsid w:val="00CF517F"/>
    <w:rsid w:val="00CF51E0"/>
    <w:rsid w:val="00CF57ED"/>
    <w:rsid w:val="00CF5912"/>
    <w:rsid w:val="00CF591D"/>
    <w:rsid w:val="00CF5BF9"/>
    <w:rsid w:val="00CF5D44"/>
    <w:rsid w:val="00CF5E64"/>
    <w:rsid w:val="00CF5F46"/>
    <w:rsid w:val="00CF5FB3"/>
    <w:rsid w:val="00CF6080"/>
    <w:rsid w:val="00CF6161"/>
    <w:rsid w:val="00CF689A"/>
    <w:rsid w:val="00CF69CC"/>
    <w:rsid w:val="00CF6DCF"/>
    <w:rsid w:val="00CF6FA5"/>
    <w:rsid w:val="00CF701A"/>
    <w:rsid w:val="00CF71BA"/>
    <w:rsid w:val="00CF72D8"/>
    <w:rsid w:val="00CF741E"/>
    <w:rsid w:val="00CF7434"/>
    <w:rsid w:val="00CF7582"/>
    <w:rsid w:val="00CF7716"/>
    <w:rsid w:val="00CF7776"/>
    <w:rsid w:val="00CF7923"/>
    <w:rsid w:val="00CF79C4"/>
    <w:rsid w:val="00CF7BAF"/>
    <w:rsid w:val="00CF7C73"/>
    <w:rsid w:val="00CF7E69"/>
    <w:rsid w:val="00CF7F85"/>
    <w:rsid w:val="00D00026"/>
    <w:rsid w:val="00D00096"/>
    <w:rsid w:val="00D00152"/>
    <w:rsid w:val="00D003A0"/>
    <w:rsid w:val="00D0078F"/>
    <w:rsid w:val="00D00BB0"/>
    <w:rsid w:val="00D00D98"/>
    <w:rsid w:val="00D00F28"/>
    <w:rsid w:val="00D00F2B"/>
    <w:rsid w:val="00D00F4A"/>
    <w:rsid w:val="00D012CE"/>
    <w:rsid w:val="00D0165C"/>
    <w:rsid w:val="00D01748"/>
    <w:rsid w:val="00D01751"/>
    <w:rsid w:val="00D01758"/>
    <w:rsid w:val="00D0183E"/>
    <w:rsid w:val="00D019B4"/>
    <w:rsid w:val="00D01F92"/>
    <w:rsid w:val="00D0215B"/>
    <w:rsid w:val="00D02179"/>
    <w:rsid w:val="00D02219"/>
    <w:rsid w:val="00D02286"/>
    <w:rsid w:val="00D022F8"/>
    <w:rsid w:val="00D024EF"/>
    <w:rsid w:val="00D02580"/>
    <w:rsid w:val="00D0263B"/>
    <w:rsid w:val="00D0274E"/>
    <w:rsid w:val="00D02CF3"/>
    <w:rsid w:val="00D02FF5"/>
    <w:rsid w:val="00D03058"/>
    <w:rsid w:val="00D032E1"/>
    <w:rsid w:val="00D034C7"/>
    <w:rsid w:val="00D03CB9"/>
    <w:rsid w:val="00D04411"/>
    <w:rsid w:val="00D0459F"/>
    <w:rsid w:val="00D046B5"/>
    <w:rsid w:val="00D04D47"/>
    <w:rsid w:val="00D04E9E"/>
    <w:rsid w:val="00D053B9"/>
    <w:rsid w:val="00D05709"/>
    <w:rsid w:val="00D05779"/>
    <w:rsid w:val="00D0590C"/>
    <w:rsid w:val="00D05A6D"/>
    <w:rsid w:val="00D05AC0"/>
    <w:rsid w:val="00D05C19"/>
    <w:rsid w:val="00D05D39"/>
    <w:rsid w:val="00D05E00"/>
    <w:rsid w:val="00D05ED5"/>
    <w:rsid w:val="00D05F74"/>
    <w:rsid w:val="00D0619D"/>
    <w:rsid w:val="00D061FC"/>
    <w:rsid w:val="00D062CF"/>
    <w:rsid w:val="00D06908"/>
    <w:rsid w:val="00D069B0"/>
    <w:rsid w:val="00D06CAD"/>
    <w:rsid w:val="00D06D02"/>
    <w:rsid w:val="00D06DB3"/>
    <w:rsid w:val="00D06E50"/>
    <w:rsid w:val="00D06FF5"/>
    <w:rsid w:val="00D0707A"/>
    <w:rsid w:val="00D070F2"/>
    <w:rsid w:val="00D07142"/>
    <w:rsid w:val="00D07151"/>
    <w:rsid w:val="00D0715D"/>
    <w:rsid w:val="00D07359"/>
    <w:rsid w:val="00D07446"/>
    <w:rsid w:val="00D0757D"/>
    <w:rsid w:val="00D07F18"/>
    <w:rsid w:val="00D1008A"/>
    <w:rsid w:val="00D1047D"/>
    <w:rsid w:val="00D106A1"/>
    <w:rsid w:val="00D10722"/>
    <w:rsid w:val="00D109BA"/>
    <w:rsid w:val="00D109DF"/>
    <w:rsid w:val="00D10CAF"/>
    <w:rsid w:val="00D10D21"/>
    <w:rsid w:val="00D10E26"/>
    <w:rsid w:val="00D10FB9"/>
    <w:rsid w:val="00D11930"/>
    <w:rsid w:val="00D1193B"/>
    <w:rsid w:val="00D11A9F"/>
    <w:rsid w:val="00D125F9"/>
    <w:rsid w:val="00D12621"/>
    <w:rsid w:val="00D12630"/>
    <w:rsid w:val="00D12B87"/>
    <w:rsid w:val="00D13266"/>
    <w:rsid w:val="00D132B5"/>
    <w:rsid w:val="00D13302"/>
    <w:rsid w:val="00D1371F"/>
    <w:rsid w:val="00D137EA"/>
    <w:rsid w:val="00D1386A"/>
    <w:rsid w:val="00D13ED7"/>
    <w:rsid w:val="00D13FFE"/>
    <w:rsid w:val="00D14208"/>
    <w:rsid w:val="00D14767"/>
    <w:rsid w:val="00D147FE"/>
    <w:rsid w:val="00D14A74"/>
    <w:rsid w:val="00D14AA2"/>
    <w:rsid w:val="00D14D0C"/>
    <w:rsid w:val="00D14DDC"/>
    <w:rsid w:val="00D14FFF"/>
    <w:rsid w:val="00D151EC"/>
    <w:rsid w:val="00D151FC"/>
    <w:rsid w:val="00D154C2"/>
    <w:rsid w:val="00D15572"/>
    <w:rsid w:val="00D1558B"/>
    <w:rsid w:val="00D15667"/>
    <w:rsid w:val="00D15668"/>
    <w:rsid w:val="00D15736"/>
    <w:rsid w:val="00D15927"/>
    <w:rsid w:val="00D15AC6"/>
    <w:rsid w:val="00D15D64"/>
    <w:rsid w:val="00D160D0"/>
    <w:rsid w:val="00D161BD"/>
    <w:rsid w:val="00D162E5"/>
    <w:rsid w:val="00D162F1"/>
    <w:rsid w:val="00D1645F"/>
    <w:rsid w:val="00D1661C"/>
    <w:rsid w:val="00D168CC"/>
    <w:rsid w:val="00D16980"/>
    <w:rsid w:val="00D16F5D"/>
    <w:rsid w:val="00D17070"/>
    <w:rsid w:val="00D170B3"/>
    <w:rsid w:val="00D176AF"/>
    <w:rsid w:val="00D1785C"/>
    <w:rsid w:val="00D17B54"/>
    <w:rsid w:val="00D17CF8"/>
    <w:rsid w:val="00D200B8"/>
    <w:rsid w:val="00D20242"/>
    <w:rsid w:val="00D2053A"/>
    <w:rsid w:val="00D20909"/>
    <w:rsid w:val="00D20F95"/>
    <w:rsid w:val="00D2107F"/>
    <w:rsid w:val="00D2176A"/>
    <w:rsid w:val="00D218C9"/>
    <w:rsid w:val="00D2193F"/>
    <w:rsid w:val="00D21B35"/>
    <w:rsid w:val="00D21C85"/>
    <w:rsid w:val="00D21DA8"/>
    <w:rsid w:val="00D21E8D"/>
    <w:rsid w:val="00D21E9D"/>
    <w:rsid w:val="00D21FB2"/>
    <w:rsid w:val="00D220AF"/>
    <w:rsid w:val="00D22101"/>
    <w:rsid w:val="00D22163"/>
    <w:rsid w:val="00D22209"/>
    <w:rsid w:val="00D2224A"/>
    <w:rsid w:val="00D22359"/>
    <w:rsid w:val="00D22684"/>
    <w:rsid w:val="00D228E2"/>
    <w:rsid w:val="00D22945"/>
    <w:rsid w:val="00D229EE"/>
    <w:rsid w:val="00D22AE2"/>
    <w:rsid w:val="00D22B9E"/>
    <w:rsid w:val="00D22DC7"/>
    <w:rsid w:val="00D22FBC"/>
    <w:rsid w:val="00D230A7"/>
    <w:rsid w:val="00D231A3"/>
    <w:rsid w:val="00D2326A"/>
    <w:rsid w:val="00D23288"/>
    <w:rsid w:val="00D232B2"/>
    <w:rsid w:val="00D233C1"/>
    <w:rsid w:val="00D23598"/>
    <w:rsid w:val="00D23623"/>
    <w:rsid w:val="00D236A6"/>
    <w:rsid w:val="00D23C0E"/>
    <w:rsid w:val="00D23DD0"/>
    <w:rsid w:val="00D2444D"/>
    <w:rsid w:val="00D2455A"/>
    <w:rsid w:val="00D24B6D"/>
    <w:rsid w:val="00D24B75"/>
    <w:rsid w:val="00D24C76"/>
    <w:rsid w:val="00D24E89"/>
    <w:rsid w:val="00D24F92"/>
    <w:rsid w:val="00D251CB"/>
    <w:rsid w:val="00D25219"/>
    <w:rsid w:val="00D25313"/>
    <w:rsid w:val="00D25334"/>
    <w:rsid w:val="00D253CF"/>
    <w:rsid w:val="00D254B5"/>
    <w:rsid w:val="00D255BF"/>
    <w:rsid w:val="00D2573B"/>
    <w:rsid w:val="00D25B9F"/>
    <w:rsid w:val="00D25F69"/>
    <w:rsid w:val="00D260FC"/>
    <w:rsid w:val="00D26192"/>
    <w:rsid w:val="00D26210"/>
    <w:rsid w:val="00D263EE"/>
    <w:rsid w:val="00D265F7"/>
    <w:rsid w:val="00D26681"/>
    <w:rsid w:val="00D267CB"/>
    <w:rsid w:val="00D26A4B"/>
    <w:rsid w:val="00D26B1D"/>
    <w:rsid w:val="00D26DC2"/>
    <w:rsid w:val="00D26F45"/>
    <w:rsid w:val="00D271FF"/>
    <w:rsid w:val="00D2741E"/>
    <w:rsid w:val="00D2742D"/>
    <w:rsid w:val="00D27434"/>
    <w:rsid w:val="00D27525"/>
    <w:rsid w:val="00D27E47"/>
    <w:rsid w:val="00D27F62"/>
    <w:rsid w:val="00D300DD"/>
    <w:rsid w:val="00D30190"/>
    <w:rsid w:val="00D302A9"/>
    <w:rsid w:val="00D3031F"/>
    <w:rsid w:val="00D30C62"/>
    <w:rsid w:val="00D30E69"/>
    <w:rsid w:val="00D30F88"/>
    <w:rsid w:val="00D31205"/>
    <w:rsid w:val="00D312D7"/>
    <w:rsid w:val="00D312FA"/>
    <w:rsid w:val="00D3159D"/>
    <w:rsid w:val="00D31696"/>
    <w:rsid w:val="00D31A01"/>
    <w:rsid w:val="00D31A02"/>
    <w:rsid w:val="00D31A3C"/>
    <w:rsid w:val="00D31D50"/>
    <w:rsid w:val="00D31D5B"/>
    <w:rsid w:val="00D31F23"/>
    <w:rsid w:val="00D3203E"/>
    <w:rsid w:val="00D32092"/>
    <w:rsid w:val="00D32173"/>
    <w:rsid w:val="00D321A5"/>
    <w:rsid w:val="00D322F0"/>
    <w:rsid w:val="00D32479"/>
    <w:rsid w:val="00D32592"/>
    <w:rsid w:val="00D32B46"/>
    <w:rsid w:val="00D32C9A"/>
    <w:rsid w:val="00D32EB4"/>
    <w:rsid w:val="00D32F2B"/>
    <w:rsid w:val="00D32F4F"/>
    <w:rsid w:val="00D3322F"/>
    <w:rsid w:val="00D33378"/>
    <w:rsid w:val="00D3394D"/>
    <w:rsid w:val="00D33BBB"/>
    <w:rsid w:val="00D33C72"/>
    <w:rsid w:val="00D33DB9"/>
    <w:rsid w:val="00D33EAC"/>
    <w:rsid w:val="00D33F83"/>
    <w:rsid w:val="00D3438C"/>
    <w:rsid w:val="00D34395"/>
    <w:rsid w:val="00D34708"/>
    <w:rsid w:val="00D34A87"/>
    <w:rsid w:val="00D34E4B"/>
    <w:rsid w:val="00D34F37"/>
    <w:rsid w:val="00D34FCA"/>
    <w:rsid w:val="00D351BF"/>
    <w:rsid w:val="00D35314"/>
    <w:rsid w:val="00D3532A"/>
    <w:rsid w:val="00D35846"/>
    <w:rsid w:val="00D35A22"/>
    <w:rsid w:val="00D35A4A"/>
    <w:rsid w:val="00D35B55"/>
    <w:rsid w:val="00D35F5D"/>
    <w:rsid w:val="00D35F89"/>
    <w:rsid w:val="00D3607F"/>
    <w:rsid w:val="00D36341"/>
    <w:rsid w:val="00D3644F"/>
    <w:rsid w:val="00D364F1"/>
    <w:rsid w:val="00D36718"/>
    <w:rsid w:val="00D36AE8"/>
    <w:rsid w:val="00D36B1F"/>
    <w:rsid w:val="00D37097"/>
    <w:rsid w:val="00D371EE"/>
    <w:rsid w:val="00D3731F"/>
    <w:rsid w:val="00D37888"/>
    <w:rsid w:val="00D3795E"/>
    <w:rsid w:val="00D379A0"/>
    <w:rsid w:val="00D379E2"/>
    <w:rsid w:val="00D379F4"/>
    <w:rsid w:val="00D37BB1"/>
    <w:rsid w:val="00D37D18"/>
    <w:rsid w:val="00D400DF"/>
    <w:rsid w:val="00D4022C"/>
    <w:rsid w:val="00D40333"/>
    <w:rsid w:val="00D403E8"/>
    <w:rsid w:val="00D40498"/>
    <w:rsid w:val="00D404BB"/>
    <w:rsid w:val="00D4079A"/>
    <w:rsid w:val="00D408FB"/>
    <w:rsid w:val="00D40B92"/>
    <w:rsid w:val="00D40D24"/>
    <w:rsid w:val="00D40DC7"/>
    <w:rsid w:val="00D41022"/>
    <w:rsid w:val="00D41040"/>
    <w:rsid w:val="00D41169"/>
    <w:rsid w:val="00D411EC"/>
    <w:rsid w:val="00D4120A"/>
    <w:rsid w:val="00D412F5"/>
    <w:rsid w:val="00D41427"/>
    <w:rsid w:val="00D41607"/>
    <w:rsid w:val="00D417E0"/>
    <w:rsid w:val="00D417F2"/>
    <w:rsid w:val="00D41C24"/>
    <w:rsid w:val="00D41DE7"/>
    <w:rsid w:val="00D423F0"/>
    <w:rsid w:val="00D424D0"/>
    <w:rsid w:val="00D426CF"/>
    <w:rsid w:val="00D42768"/>
    <w:rsid w:val="00D42789"/>
    <w:rsid w:val="00D428D9"/>
    <w:rsid w:val="00D4299F"/>
    <w:rsid w:val="00D42D0F"/>
    <w:rsid w:val="00D42DFA"/>
    <w:rsid w:val="00D42E5E"/>
    <w:rsid w:val="00D42E88"/>
    <w:rsid w:val="00D43023"/>
    <w:rsid w:val="00D4304A"/>
    <w:rsid w:val="00D430A2"/>
    <w:rsid w:val="00D430E5"/>
    <w:rsid w:val="00D4310C"/>
    <w:rsid w:val="00D432A3"/>
    <w:rsid w:val="00D43427"/>
    <w:rsid w:val="00D435A6"/>
    <w:rsid w:val="00D43807"/>
    <w:rsid w:val="00D4398F"/>
    <w:rsid w:val="00D43AA0"/>
    <w:rsid w:val="00D43ABE"/>
    <w:rsid w:val="00D43E01"/>
    <w:rsid w:val="00D43F0E"/>
    <w:rsid w:val="00D44578"/>
    <w:rsid w:val="00D4474A"/>
    <w:rsid w:val="00D44930"/>
    <w:rsid w:val="00D4495D"/>
    <w:rsid w:val="00D44A3D"/>
    <w:rsid w:val="00D44B5E"/>
    <w:rsid w:val="00D44E6D"/>
    <w:rsid w:val="00D44EE1"/>
    <w:rsid w:val="00D44F34"/>
    <w:rsid w:val="00D4519B"/>
    <w:rsid w:val="00D451EF"/>
    <w:rsid w:val="00D45219"/>
    <w:rsid w:val="00D4548A"/>
    <w:rsid w:val="00D455EC"/>
    <w:rsid w:val="00D45626"/>
    <w:rsid w:val="00D4589E"/>
    <w:rsid w:val="00D45951"/>
    <w:rsid w:val="00D45AD2"/>
    <w:rsid w:val="00D45AD4"/>
    <w:rsid w:val="00D45DBA"/>
    <w:rsid w:val="00D45F0E"/>
    <w:rsid w:val="00D45FBB"/>
    <w:rsid w:val="00D4604B"/>
    <w:rsid w:val="00D46299"/>
    <w:rsid w:val="00D4664F"/>
    <w:rsid w:val="00D46E92"/>
    <w:rsid w:val="00D46EA8"/>
    <w:rsid w:val="00D46F3F"/>
    <w:rsid w:val="00D46F68"/>
    <w:rsid w:val="00D47147"/>
    <w:rsid w:val="00D4731D"/>
    <w:rsid w:val="00D4733B"/>
    <w:rsid w:val="00D473C6"/>
    <w:rsid w:val="00D475B1"/>
    <w:rsid w:val="00D475FD"/>
    <w:rsid w:val="00D4762D"/>
    <w:rsid w:val="00D47B37"/>
    <w:rsid w:val="00D47B6C"/>
    <w:rsid w:val="00D50272"/>
    <w:rsid w:val="00D50588"/>
    <w:rsid w:val="00D505FC"/>
    <w:rsid w:val="00D50AC6"/>
    <w:rsid w:val="00D5164D"/>
    <w:rsid w:val="00D516DB"/>
    <w:rsid w:val="00D5192F"/>
    <w:rsid w:val="00D51A47"/>
    <w:rsid w:val="00D51A9E"/>
    <w:rsid w:val="00D51C5F"/>
    <w:rsid w:val="00D51CDB"/>
    <w:rsid w:val="00D51FFB"/>
    <w:rsid w:val="00D52443"/>
    <w:rsid w:val="00D52521"/>
    <w:rsid w:val="00D52741"/>
    <w:rsid w:val="00D52A5F"/>
    <w:rsid w:val="00D52EFB"/>
    <w:rsid w:val="00D5315C"/>
    <w:rsid w:val="00D531A3"/>
    <w:rsid w:val="00D53213"/>
    <w:rsid w:val="00D532D1"/>
    <w:rsid w:val="00D535AF"/>
    <w:rsid w:val="00D5383C"/>
    <w:rsid w:val="00D538BA"/>
    <w:rsid w:val="00D538BC"/>
    <w:rsid w:val="00D53982"/>
    <w:rsid w:val="00D539FB"/>
    <w:rsid w:val="00D53A6B"/>
    <w:rsid w:val="00D53BD0"/>
    <w:rsid w:val="00D53FFD"/>
    <w:rsid w:val="00D543C4"/>
    <w:rsid w:val="00D54989"/>
    <w:rsid w:val="00D54A09"/>
    <w:rsid w:val="00D54A9C"/>
    <w:rsid w:val="00D54D48"/>
    <w:rsid w:val="00D55122"/>
    <w:rsid w:val="00D551C1"/>
    <w:rsid w:val="00D55208"/>
    <w:rsid w:val="00D552B8"/>
    <w:rsid w:val="00D55339"/>
    <w:rsid w:val="00D5541B"/>
    <w:rsid w:val="00D55440"/>
    <w:rsid w:val="00D555FD"/>
    <w:rsid w:val="00D557A8"/>
    <w:rsid w:val="00D55863"/>
    <w:rsid w:val="00D55AFC"/>
    <w:rsid w:val="00D55E96"/>
    <w:rsid w:val="00D55FF2"/>
    <w:rsid w:val="00D561EF"/>
    <w:rsid w:val="00D564E8"/>
    <w:rsid w:val="00D56615"/>
    <w:rsid w:val="00D56AEB"/>
    <w:rsid w:val="00D56C45"/>
    <w:rsid w:val="00D56DB5"/>
    <w:rsid w:val="00D56DCF"/>
    <w:rsid w:val="00D56EE7"/>
    <w:rsid w:val="00D57054"/>
    <w:rsid w:val="00D57242"/>
    <w:rsid w:val="00D57371"/>
    <w:rsid w:val="00D57812"/>
    <w:rsid w:val="00D57A79"/>
    <w:rsid w:val="00D57C0E"/>
    <w:rsid w:val="00D57CF0"/>
    <w:rsid w:val="00D57E10"/>
    <w:rsid w:val="00D601E5"/>
    <w:rsid w:val="00D6026E"/>
    <w:rsid w:val="00D603C1"/>
    <w:rsid w:val="00D60B3E"/>
    <w:rsid w:val="00D61079"/>
    <w:rsid w:val="00D6113D"/>
    <w:rsid w:val="00D612ED"/>
    <w:rsid w:val="00D61326"/>
    <w:rsid w:val="00D613CF"/>
    <w:rsid w:val="00D61492"/>
    <w:rsid w:val="00D615E6"/>
    <w:rsid w:val="00D619D7"/>
    <w:rsid w:val="00D61AF3"/>
    <w:rsid w:val="00D621A6"/>
    <w:rsid w:val="00D622A7"/>
    <w:rsid w:val="00D62401"/>
    <w:rsid w:val="00D62427"/>
    <w:rsid w:val="00D6243D"/>
    <w:rsid w:val="00D6274F"/>
    <w:rsid w:val="00D6276D"/>
    <w:rsid w:val="00D62BA9"/>
    <w:rsid w:val="00D62D59"/>
    <w:rsid w:val="00D62D8C"/>
    <w:rsid w:val="00D62D8F"/>
    <w:rsid w:val="00D62E69"/>
    <w:rsid w:val="00D63147"/>
    <w:rsid w:val="00D632EF"/>
    <w:rsid w:val="00D6339A"/>
    <w:rsid w:val="00D63414"/>
    <w:rsid w:val="00D6344B"/>
    <w:rsid w:val="00D63679"/>
    <w:rsid w:val="00D63685"/>
    <w:rsid w:val="00D6380E"/>
    <w:rsid w:val="00D6398F"/>
    <w:rsid w:val="00D63C32"/>
    <w:rsid w:val="00D63D2B"/>
    <w:rsid w:val="00D642C4"/>
    <w:rsid w:val="00D6444E"/>
    <w:rsid w:val="00D64519"/>
    <w:rsid w:val="00D6457E"/>
    <w:rsid w:val="00D6478A"/>
    <w:rsid w:val="00D6487B"/>
    <w:rsid w:val="00D6493A"/>
    <w:rsid w:val="00D64AFB"/>
    <w:rsid w:val="00D64C8E"/>
    <w:rsid w:val="00D64D0D"/>
    <w:rsid w:val="00D64FC3"/>
    <w:rsid w:val="00D6524F"/>
    <w:rsid w:val="00D655E5"/>
    <w:rsid w:val="00D6566E"/>
    <w:rsid w:val="00D65703"/>
    <w:rsid w:val="00D658D4"/>
    <w:rsid w:val="00D65A93"/>
    <w:rsid w:val="00D65BB6"/>
    <w:rsid w:val="00D65C32"/>
    <w:rsid w:val="00D6616A"/>
    <w:rsid w:val="00D66196"/>
    <w:rsid w:val="00D66256"/>
    <w:rsid w:val="00D662CE"/>
    <w:rsid w:val="00D66318"/>
    <w:rsid w:val="00D664A2"/>
    <w:rsid w:val="00D66661"/>
    <w:rsid w:val="00D666AC"/>
    <w:rsid w:val="00D667C5"/>
    <w:rsid w:val="00D66CF1"/>
    <w:rsid w:val="00D66EEC"/>
    <w:rsid w:val="00D66F38"/>
    <w:rsid w:val="00D67215"/>
    <w:rsid w:val="00D6742C"/>
    <w:rsid w:val="00D6748A"/>
    <w:rsid w:val="00D675BC"/>
    <w:rsid w:val="00D67629"/>
    <w:rsid w:val="00D676B5"/>
    <w:rsid w:val="00D67C24"/>
    <w:rsid w:val="00D67DE5"/>
    <w:rsid w:val="00D67E4B"/>
    <w:rsid w:val="00D67EB1"/>
    <w:rsid w:val="00D7017A"/>
    <w:rsid w:val="00D70295"/>
    <w:rsid w:val="00D704A6"/>
    <w:rsid w:val="00D70716"/>
    <w:rsid w:val="00D70947"/>
    <w:rsid w:val="00D70E8E"/>
    <w:rsid w:val="00D70EDB"/>
    <w:rsid w:val="00D7122C"/>
    <w:rsid w:val="00D713EC"/>
    <w:rsid w:val="00D714D5"/>
    <w:rsid w:val="00D71511"/>
    <w:rsid w:val="00D71582"/>
    <w:rsid w:val="00D7160F"/>
    <w:rsid w:val="00D71876"/>
    <w:rsid w:val="00D71887"/>
    <w:rsid w:val="00D71B2A"/>
    <w:rsid w:val="00D71D8B"/>
    <w:rsid w:val="00D72332"/>
    <w:rsid w:val="00D7238C"/>
    <w:rsid w:val="00D7247E"/>
    <w:rsid w:val="00D72636"/>
    <w:rsid w:val="00D727E3"/>
    <w:rsid w:val="00D7295F"/>
    <w:rsid w:val="00D72BC9"/>
    <w:rsid w:val="00D72C02"/>
    <w:rsid w:val="00D72D6B"/>
    <w:rsid w:val="00D72F95"/>
    <w:rsid w:val="00D72FCF"/>
    <w:rsid w:val="00D730D1"/>
    <w:rsid w:val="00D7315D"/>
    <w:rsid w:val="00D7326A"/>
    <w:rsid w:val="00D73322"/>
    <w:rsid w:val="00D73336"/>
    <w:rsid w:val="00D736C2"/>
    <w:rsid w:val="00D736E4"/>
    <w:rsid w:val="00D73712"/>
    <w:rsid w:val="00D73845"/>
    <w:rsid w:val="00D73A0C"/>
    <w:rsid w:val="00D73AC8"/>
    <w:rsid w:val="00D73B4B"/>
    <w:rsid w:val="00D73C72"/>
    <w:rsid w:val="00D73CF2"/>
    <w:rsid w:val="00D73E6D"/>
    <w:rsid w:val="00D73EAD"/>
    <w:rsid w:val="00D73EEA"/>
    <w:rsid w:val="00D7435C"/>
    <w:rsid w:val="00D747B2"/>
    <w:rsid w:val="00D7489A"/>
    <w:rsid w:val="00D74A80"/>
    <w:rsid w:val="00D74BAC"/>
    <w:rsid w:val="00D74F6C"/>
    <w:rsid w:val="00D74F70"/>
    <w:rsid w:val="00D75210"/>
    <w:rsid w:val="00D7540A"/>
    <w:rsid w:val="00D75BDB"/>
    <w:rsid w:val="00D75E33"/>
    <w:rsid w:val="00D75FAA"/>
    <w:rsid w:val="00D76089"/>
    <w:rsid w:val="00D76289"/>
    <w:rsid w:val="00D762F5"/>
    <w:rsid w:val="00D7646D"/>
    <w:rsid w:val="00D764A0"/>
    <w:rsid w:val="00D76659"/>
    <w:rsid w:val="00D76803"/>
    <w:rsid w:val="00D7689E"/>
    <w:rsid w:val="00D76901"/>
    <w:rsid w:val="00D7690A"/>
    <w:rsid w:val="00D76ABC"/>
    <w:rsid w:val="00D76B4E"/>
    <w:rsid w:val="00D76FF7"/>
    <w:rsid w:val="00D772CC"/>
    <w:rsid w:val="00D774A1"/>
    <w:rsid w:val="00D774D5"/>
    <w:rsid w:val="00D7754F"/>
    <w:rsid w:val="00D77614"/>
    <w:rsid w:val="00D7776C"/>
    <w:rsid w:val="00D777A2"/>
    <w:rsid w:val="00D778B3"/>
    <w:rsid w:val="00D7791E"/>
    <w:rsid w:val="00D7796B"/>
    <w:rsid w:val="00D77E65"/>
    <w:rsid w:val="00D800E2"/>
    <w:rsid w:val="00D80206"/>
    <w:rsid w:val="00D803C7"/>
    <w:rsid w:val="00D8049A"/>
    <w:rsid w:val="00D80964"/>
    <w:rsid w:val="00D80A61"/>
    <w:rsid w:val="00D80A80"/>
    <w:rsid w:val="00D80A98"/>
    <w:rsid w:val="00D80BE0"/>
    <w:rsid w:val="00D80BFC"/>
    <w:rsid w:val="00D80FF0"/>
    <w:rsid w:val="00D811EC"/>
    <w:rsid w:val="00D814CF"/>
    <w:rsid w:val="00D81614"/>
    <w:rsid w:val="00D81684"/>
    <w:rsid w:val="00D81DEC"/>
    <w:rsid w:val="00D81F8C"/>
    <w:rsid w:val="00D823DF"/>
    <w:rsid w:val="00D82408"/>
    <w:rsid w:val="00D8251C"/>
    <w:rsid w:val="00D826C0"/>
    <w:rsid w:val="00D826D5"/>
    <w:rsid w:val="00D82AFA"/>
    <w:rsid w:val="00D831AC"/>
    <w:rsid w:val="00D833DD"/>
    <w:rsid w:val="00D8350C"/>
    <w:rsid w:val="00D83531"/>
    <w:rsid w:val="00D83749"/>
    <w:rsid w:val="00D83943"/>
    <w:rsid w:val="00D83AB8"/>
    <w:rsid w:val="00D83ADA"/>
    <w:rsid w:val="00D83DEF"/>
    <w:rsid w:val="00D840A2"/>
    <w:rsid w:val="00D840FB"/>
    <w:rsid w:val="00D84393"/>
    <w:rsid w:val="00D8439C"/>
    <w:rsid w:val="00D84545"/>
    <w:rsid w:val="00D84824"/>
    <w:rsid w:val="00D848F7"/>
    <w:rsid w:val="00D84928"/>
    <w:rsid w:val="00D84995"/>
    <w:rsid w:val="00D84DF8"/>
    <w:rsid w:val="00D85394"/>
    <w:rsid w:val="00D8541A"/>
    <w:rsid w:val="00D85592"/>
    <w:rsid w:val="00D85646"/>
    <w:rsid w:val="00D8581E"/>
    <w:rsid w:val="00D85B33"/>
    <w:rsid w:val="00D85D62"/>
    <w:rsid w:val="00D8612F"/>
    <w:rsid w:val="00D862C8"/>
    <w:rsid w:val="00D8636D"/>
    <w:rsid w:val="00D863CF"/>
    <w:rsid w:val="00D8641C"/>
    <w:rsid w:val="00D8643F"/>
    <w:rsid w:val="00D865E8"/>
    <w:rsid w:val="00D86602"/>
    <w:rsid w:val="00D86938"/>
    <w:rsid w:val="00D86CB9"/>
    <w:rsid w:val="00D86CFA"/>
    <w:rsid w:val="00D86DEE"/>
    <w:rsid w:val="00D86E28"/>
    <w:rsid w:val="00D86ECD"/>
    <w:rsid w:val="00D86EF2"/>
    <w:rsid w:val="00D86F3F"/>
    <w:rsid w:val="00D86F92"/>
    <w:rsid w:val="00D8703F"/>
    <w:rsid w:val="00D8719D"/>
    <w:rsid w:val="00D8729A"/>
    <w:rsid w:val="00D87401"/>
    <w:rsid w:val="00D877F8"/>
    <w:rsid w:val="00D878B1"/>
    <w:rsid w:val="00D878D2"/>
    <w:rsid w:val="00D879DA"/>
    <w:rsid w:val="00D87B80"/>
    <w:rsid w:val="00D87F35"/>
    <w:rsid w:val="00D87FD5"/>
    <w:rsid w:val="00D903C7"/>
    <w:rsid w:val="00D9044B"/>
    <w:rsid w:val="00D9046D"/>
    <w:rsid w:val="00D904F2"/>
    <w:rsid w:val="00D904FD"/>
    <w:rsid w:val="00D907D3"/>
    <w:rsid w:val="00D9097D"/>
    <w:rsid w:val="00D90BD9"/>
    <w:rsid w:val="00D90D5D"/>
    <w:rsid w:val="00D90EB9"/>
    <w:rsid w:val="00D90F17"/>
    <w:rsid w:val="00D9117C"/>
    <w:rsid w:val="00D91235"/>
    <w:rsid w:val="00D912A9"/>
    <w:rsid w:val="00D91336"/>
    <w:rsid w:val="00D91524"/>
    <w:rsid w:val="00D91579"/>
    <w:rsid w:val="00D9163A"/>
    <w:rsid w:val="00D9164B"/>
    <w:rsid w:val="00D916BB"/>
    <w:rsid w:val="00D91A30"/>
    <w:rsid w:val="00D91A98"/>
    <w:rsid w:val="00D91BD6"/>
    <w:rsid w:val="00D91C62"/>
    <w:rsid w:val="00D91CAF"/>
    <w:rsid w:val="00D91E22"/>
    <w:rsid w:val="00D92089"/>
    <w:rsid w:val="00D922C7"/>
    <w:rsid w:val="00D9235E"/>
    <w:rsid w:val="00D92440"/>
    <w:rsid w:val="00D92465"/>
    <w:rsid w:val="00D925DA"/>
    <w:rsid w:val="00D92677"/>
    <w:rsid w:val="00D927AB"/>
    <w:rsid w:val="00D927C8"/>
    <w:rsid w:val="00D9285F"/>
    <w:rsid w:val="00D9291F"/>
    <w:rsid w:val="00D92BE7"/>
    <w:rsid w:val="00D92C21"/>
    <w:rsid w:val="00D92D2C"/>
    <w:rsid w:val="00D92EA5"/>
    <w:rsid w:val="00D931B9"/>
    <w:rsid w:val="00D931E5"/>
    <w:rsid w:val="00D93241"/>
    <w:rsid w:val="00D93268"/>
    <w:rsid w:val="00D93319"/>
    <w:rsid w:val="00D9354B"/>
    <w:rsid w:val="00D93681"/>
    <w:rsid w:val="00D9370E"/>
    <w:rsid w:val="00D9373E"/>
    <w:rsid w:val="00D937C5"/>
    <w:rsid w:val="00D937E6"/>
    <w:rsid w:val="00D937FE"/>
    <w:rsid w:val="00D9393D"/>
    <w:rsid w:val="00D93B1B"/>
    <w:rsid w:val="00D93C0E"/>
    <w:rsid w:val="00D93C46"/>
    <w:rsid w:val="00D93EE1"/>
    <w:rsid w:val="00D940B0"/>
    <w:rsid w:val="00D940B2"/>
    <w:rsid w:val="00D940B4"/>
    <w:rsid w:val="00D94178"/>
    <w:rsid w:val="00D94350"/>
    <w:rsid w:val="00D94433"/>
    <w:rsid w:val="00D94A2F"/>
    <w:rsid w:val="00D94B25"/>
    <w:rsid w:val="00D94D00"/>
    <w:rsid w:val="00D95014"/>
    <w:rsid w:val="00D95042"/>
    <w:rsid w:val="00D951B9"/>
    <w:rsid w:val="00D95473"/>
    <w:rsid w:val="00D9568F"/>
    <w:rsid w:val="00D956A3"/>
    <w:rsid w:val="00D95810"/>
    <w:rsid w:val="00D95C15"/>
    <w:rsid w:val="00D95D3D"/>
    <w:rsid w:val="00D95E3A"/>
    <w:rsid w:val="00D95EAE"/>
    <w:rsid w:val="00D95F0E"/>
    <w:rsid w:val="00D95F4E"/>
    <w:rsid w:val="00D95FD6"/>
    <w:rsid w:val="00D961CF"/>
    <w:rsid w:val="00D961E4"/>
    <w:rsid w:val="00D9648D"/>
    <w:rsid w:val="00D96678"/>
    <w:rsid w:val="00D966BC"/>
    <w:rsid w:val="00D966C1"/>
    <w:rsid w:val="00D96764"/>
    <w:rsid w:val="00D9678D"/>
    <w:rsid w:val="00D96A2C"/>
    <w:rsid w:val="00D96C08"/>
    <w:rsid w:val="00D96C11"/>
    <w:rsid w:val="00D96C31"/>
    <w:rsid w:val="00D97094"/>
    <w:rsid w:val="00D9713C"/>
    <w:rsid w:val="00D9729F"/>
    <w:rsid w:val="00D974AB"/>
    <w:rsid w:val="00D975FB"/>
    <w:rsid w:val="00D97B93"/>
    <w:rsid w:val="00D97C21"/>
    <w:rsid w:val="00D97DAA"/>
    <w:rsid w:val="00D97E9E"/>
    <w:rsid w:val="00DA004A"/>
    <w:rsid w:val="00DA00B0"/>
    <w:rsid w:val="00DA062B"/>
    <w:rsid w:val="00DA06A9"/>
    <w:rsid w:val="00DA080A"/>
    <w:rsid w:val="00DA0A6C"/>
    <w:rsid w:val="00DA0AEE"/>
    <w:rsid w:val="00DA0B46"/>
    <w:rsid w:val="00DA0DFC"/>
    <w:rsid w:val="00DA1068"/>
    <w:rsid w:val="00DA113E"/>
    <w:rsid w:val="00DA1368"/>
    <w:rsid w:val="00DA1394"/>
    <w:rsid w:val="00DA1620"/>
    <w:rsid w:val="00DA17EC"/>
    <w:rsid w:val="00DA19BF"/>
    <w:rsid w:val="00DA1A1B"/>
    <w:rsid w:val="00DA1A74"/>
    <w:rsid w:val="00DA1AF1"/>
    <w:rsid w:val="00DA1B29"/>
    <w:rsid w:val="00DA1BA8"/>
    <w:rsid w:val="00DA1CE9"/>
    <w:rsid w:val="00DA1E54"/>
    <w:rsid w:val="00DA22ED"/>
    <w:rsid w:val="00DA24CF"/>
    <w:rsid w:val="00DA25EF"/>
    <w:rsid w:val="00DA2649"/>
    <w:rsid w:val="00DA26D6"/>
    <w:rsid w:val="00DA2974"/>
    <w:rsid w:val="00DA29D9"/>
    <w:rsid w:val="00DA2B79"/>
    <w:rsid w:val="00DA2FDD"/>
    <w:rsid w:val="00DA3221"/>
    <w:rsid w:val="00DA32EF"/>
    <w:rsid w:val="00DA3338"/>
    <w:rsid w:val="00DA3373"/>
    <w:rsid w:val="00DA342E"/>
    <w:rsid w:val="00DA375E"/>
    <w:rsid w:val="00DA3768"/>
    <w:rsid w:val="00DA3779"/>
    <w:rsid w:val="00DA3A01"/>
    <w:rsid w:val="00DA3B7D"/>
    <w:rsid w:val="00DA3F15"/>
    <w:rsid w:val="00DA3F96"/>
    <w:rsid w:val="00DA4063"/>
    <w:rsid w:val="00DA45DE"/>
    <w:rsid w:val="00DA47A2"/>
    <w:rsid w:val="00DA48D5"/>
    <w:rsid w:val="00DA498C"/>
    <w:rsid w:val="00DA4B15"/>
    <w:rsid w:val="00DA4B18"/>
    <w:rsid w:val="00DA4F98"/>
    <w:rsid w:val="00DA5221"/>
    <w:rsid w:val="00DA5228"/>
    <w:rsid w:val="00DA533E"/>
    <w:rsid w:val="00DA5459"/>
    <w:rsid w:val="00DA56F3"/>
    <w:rsid w:val="00DA5AF2"/>
    <w:rsid w:val="00DA5C3F"/>
    <w:rsid w:val="00DA5CC8"/>
    <w:rsid w:val="00DA5EF3"/>
    <w:rsid w:val="00DA5F48"/>
    <w:rsid w:val="00DA60D9"/>
    <w:rsid w:val="00DA612E"/>
    <w:rsid w:val="00DA6270"/>
    <w:rsid w:val="00DA66CC"/>
    <w:rsid w:val="00DA6762"/>
    <w:rsid w:val="00DA689C"/>
    <w:rsid w:val="00DA68D2"/>
    <w:rsid w:val="00DA68F5"/>
    <w:rsid w:val="00DA6CE4"/>
    <w:rsid w:val="00DA6FC4"/>
    <w:rsid w:val="00DA7019"/>
    <w:rsid w:val="00DA76DC"/>
    <w:rsid w:val="00DA79C2"/>
    <w:rsid w:val="00DA7A4B"/>
    <w:rsid w:val="00DA7DF9"/>
    <w:rsid w:val="00DA7F99"/>
    <w:rsid w:val="00DA7FC0"/>
    <w:rsid w:val="00DB0002"/>
    <w:rsid w:val="00DB00F9"/>
    <w:rsid w:val="00DB01BA"/>
    <w:rsid w:val="00DB02CC"/>
    <w:rsid w:val="00DB03E7"/>
    <w:rsid w:val="00DB05B2"/>
    <w:rsid w:val="00DB0894"/>
    <w:rsid w:val="00DB0905"/>
    <w:rsid w:val="00DB0B1B"/>
    <w:rsid w:val="00DB0BE6"/>
    <w:rsid w:val="00DB0CBD"/>
    <w:rsid w:val="00DB0FF5"/>
    <w:rsid w:val="00DB1273"/>
    <w:rsid w:val="00DB131D"/>
    <w:rsid w:val="00DB140F"/>
    <w:rsid w:val="00DB1410"/>
    <w:rsid w:val="00DB144C"/>
    <w:rsid w:val="00DB14A3"/>
    <w:rsid w:val="00DB15CA"/>
    <w:rsid w:val="00DB1A68"/>
    <w:rsid w:val="00DB1C63"/>
    <w:rsid w:val="00DB1D33"/>
    <w:rsid w:val="00DB1F2A"/>
    <w:rsid w:val="00DB2092"/>
    <w:rsid w:val="00DB20EC"/>
    <w:rsid w:val="00DB2195"/>
    <w:rsid w:val="00DB21B7"/>
    <w:rsid w:val="00DB220F"/>
    <w:rsid w:val="00DB26ED"/>
    <w:rsid w:val="00DB2B12"/>
    <w:rsid w:val="00DB2C0B"/>
    <w:rsid w:val="00DB325C"/>
    <w:rsid w:val="00DB329D"/>
    <w:rsid w:val="00DB33CB"/>
    <w:rsid w:val="00DB3460"/>
    <w:rsid w:val="00DB361D"/>
    <w:rsid w:val="00DB36CB"/>
    <w:rsid w:val="00DB3813"/>
    <w:rsid w:val="00DB3877"/>
    <w:rsid w:val="00DB3E41"/>
    <w:rsid w:val="00DB4011"/>
    <w:rsid w:val="00DB41B9"/>
    <w:rsid w:val="00DB4354"/>
    <w:rsid w:val="00DB444D"/>
    <w:rsid w:val="00DB4457"/>
    <w:rsid w:val="00DB463A"/>
    <w:rsid w:val="00DB481A"/>
    <w:rsid w:val="00DB487C"/>
    <w:rsid w:val="00DB4892"/>
    <w:rsid w:val="00DB496B"/>
    <w:rsid w:val="00DB4A07"/>
    <w:rsid w:val="00DB4A22"/>
    <w:rsid w:val="00DB4D21"/>
    <w:rsid w:val="00DB4DEC"/>
    <w:rsid w:val="00DB4E8F"/>
    <w:rsid w:val="00DB5144"/>
    <w:rsid w:val="00DB523C"/>
    <w:rsid w:val="00DB52CF"/>
    <w:rsid w:val="00DB52F4"/>
    <w:rsid w:val="00DB543A"/>
    <w:rsid w:val="00DB55A6"/>
    <w:rsid w:val="00DB576A"/>
    <w:rsid w:val="00DB58BD"/>
    <w:rsid w:val="00DB5FE9"/>
    <w:rsid w:val="00DB6182"/>
    <w:rsid w:val="00DB61C0"/>
    <w:rsid w:val="00DB6261"/>
    <w:rsid w:val="00DB63C5"/>
    <w:rsid w:val="00DB64B1"/>
    <w:rsid w:val="00DB64B9"/>
    <w:rsid w:val="00DB65F6"/>
    <w:rsid w:val="00DB661B"/>
    <w:rsid w:val="00DB6855"/>
    <w:rsid w:val="00DB6911"/>
    <w:rsid w:val="00DB6A20"/>
    <w:rsid w:val="00DB6A2C"/>
    <w:rsid w:val="00DB6A93"/>
    <w:rsid w:val="00DB70E6"/>
    <w:rsid w:val="00DB72AA"/>
    <w:rsid w:val="00DB7566"/>
    <w:rsid w:val="00DB75BB"/>
    <w:rsid w:val="00DB76C1"/>
    <w:rsid w:val="00DB7A95"/>
    <w:rsid w:val="00DB7C72"/>
    <w:rsid w:val="00DB7DB1"/>
    <w:rsid w:val="00DB7FE0"/>
    <w:rsid w:val="00DC011A"/>
    <w:rsid w:val="00DC01EF"/>
    <w:rsid w:val="00DC04F3"/>
    <w:rsid w:val="00DC0620"/>
    <w:rsid w:val="00DC0957"/>
    <w:rsid w:val="00DC0A5E"/>
    <w:rsid w:val="00DC0CCE"/>
    <w:rsid w:val="00DC0F04"/>
    <w:rsid w:val="00DC104E"/>
    <w:rsid w:val="00DC12E5"/>
    <w:rsid w:val="00DC17EC"/>
    <w:rsid w:val="00DC18E2"/>
    <w:rsid w:val="00DC1B71"/>
    <w:rsid w:val="00DC1CA8"/>
    <w:rsid w:val="00DC1DD4"/>
    <w:rsid w:val="00DC1E9B"/>
    <w:rsid w:val="00DC1EC8"/>
    <w:rsid w:val="00DC1FF1"/>
    <w:rsid w:val="00DC26BB"/>
    <w:rsid w:val="00DC2AC5"/>
    <w:rsid w:val="00DC2D73"/>
    <w:rsid w:val="00DC2EB2"/>
    <w:rsid w:val="00DC2EE1"/>
    <w:rsid w:val="00DC315E"/>
    <w:rsid w:val="00DC3493"/>
    <w:rsid w:val="00DC3501"/>
    <w:rsid w:val="00DC35A8"/>
    <w:rsid w:val="00DC3888"/>
    <w:rsid w:val="00DC3952"/>
    <w:rsid w:val="00DC39CB"/>
    <w:rsid w:val="00DC3A09"/>
    <w:rsid w:val="00DC3C13"/>
    <w:rsid w:val="00DC3CD7"/>
    <w:rsid w:val="00DC3D1C"/>
    <w:rsid w:val="00DC400E"/>
    <w:rsid w:val="00DC42F0"/>
    <w:rsid w:val="00DC447F"/>
    <w:rsid w:val="00DC4658"/>
    <w:rsid w:val="00DC4AC1"/>
    <w:rsid w:val="00DC4AE1"/>
    <w:rsid w:val="00DC4B15"/>
    <w:rsid w:val="00DC4EC7"/>
    <w:rsid w:val="00DC51A5"/>
    <w:rsid w:val="00DC5309"/>
    <w:rsid w:val="00DC5401"/>
    <w:rsid w:val="00DC5571"/>
    <w:rsid w:val="00DC5A56"/>
    <w:rsid w:val="00DC5D92"/>
    <w:rsid w:val="00DC5E9C"/>
    <w:rsid w:val="00DC5F44"/>
    <w:rsid w:val="00DC6267"/>
    <w:rsid w:val="00DC6439"/>
    <w:rsid w:val="00DC64D1"/>
    <w:rsid w:val="00DC6722"/>
    <w:rsid w:val="00DC67F4"/>
    <w:rsid w:val="00DC6C69"/>
    <w:rsid w:val="00DC6D0A"/>
    <w:rsid w:val="00DC73D0"/>
    <w:rsid w:val="00DC74DE"/>
    <w:rsid w:val="00DC7AF7"/>
    <w:rsid w:val="00DC7C1B"/>
    <w:rsid w:val="00DC7F81"/>
    <w:rsid w:val="00DD003B"/>
    <w:rsid w:val="00DD00FC"/>
    <w:rsid w:val="00DD0130"/>
    <w:rsid w:val="00DD048B"/>
    <w:rsid w:val="00DD0897"/>
    <w:rsid w:val="00DD08AB"/>
    <w:rsid w:val="00DD099D"/>
    <w:rsid w:val="00DD0B42"/>
    <w:rsid w:val="00DD0C0D"/>
    <w:rsid w:val="00DD0CEA"/>
    <w:rsid w:val="00DD1150"/>
    <w:rsid w:val="00DD1364"/>
    <w:rsid w:val="00DD1590"/>
    <w:rsid w:val="00DD15F2"/>
    <w:rsid w:val="00DD16D1"/>
    <w:rsid w:val="00DD17AC"/>
    <w:rsid w:val="00DD185B"/>
    <w:rsid w:val="00DD18BE"/>
    <w:rsid w:val="00DD1EB8"/>
    <w:rsid w:val="00DD1EF5"/>
    <w:rsid w:val="00DD200B"/>
    <w:rsid w:val="00DD2193"/>
    <w:rsid w:val="00DD2555"/>
    <w:rsid w:val="00DD26C0"/>
    <w:rsid w:val="00DD2729"/>
    <w:rsid w:val="00DD28E5"/>
    <w:rsid w:val="00DD2909"/>
    <w:rsid w:val="00DD29A9"/>
    <w:rsid w:val="00DD2A7A"/>
    <w:rsid w:val="00DD2B38"/>
    <w:rsid w:val="00DD2C60"/>
    <w:rsid w:val="00DD2C61"/>
    <w:rsid w:val="00DD3062"/>
    <w:rsid w:val="00DD307D"/>
    <w:rsid w:val="00DD3096"/>
    <w:rsid w:val="00DD3115"/>
    <w:rsid w:val="00DD31EC"/>
    <w:rsid w:val="00DD3459"/>
    <w:rsid w:val="00DD3672"/>
    <w:rsid w:val="00DD3750"/>
    <w:rsid w:val="00DD397C"/>
    <w:rsid w:val="00DD3AAC"/>
    <w:rsid w:val="00DD3B21"/>
    <w:rsid w:val="00DD3DEC"/>
    <w:rsid w:val="00DD3F0C"/>
    <w:rsid w:val="00DD3F56"/>
    <w:rsid w:val="00DD4017"/>
    <w:rsid w:val="00DD42BB"/>
    <w:rsid w:val="00DD42E1"/>
    <w:rsid w:val="00DD437E"/>
    <w:rsid w:val="00DD4549"/>
    <w:rsid w:val="00DD4795"/>
    <w:rsid w:val="00DD49D3"/>
    <w:rsid w:val="00DD4B81"/>
    <w:rsid w:val="00DD4E8F"/>
    <w:rsid w:val="00DD52DA"/>
    <w:rsid w:val="00DD5335"/>
    <w:rsid w:val="00DD53AF"/>
    <w:rsid w:val="00DD545C"/>
    <w:rsid w:val="00DD5623"/>
    <w:rsid w:val="00DD5A13"/>
    <w:rsid w:val="00DD5B26"/>
    <w:rsid w:val="00DD5C17"/>
    <w:rsid w:val="00DD5C59"/>
    <w:rsid w:val="00DD5DF1"/>
    <w:rsid w:val="00DD5F25"/>
    <w:rsid w:val="00DD6244"/>
    <w:rsid w:val="00DD62A5"/>
    <w:rsid w:val="00DD63E4"/>
    <w:rsid w:val="00DD6556"/>
    <w:rsid w:val="00DD6AD3"/>
    <w:rsid w:val="00DD6C02"/>
    <w:rsid w:val="00DD6C80"/>
    <w:rsid w:val="00DD6C9E"/>
    <w:rsid w:val="00DD71EE"/>
    <w:rsid w:val="00DD7279"/>
    <w:rsid w:val="00DD7385"/>
    <w:rsid w:val="00DD7415"/>
    <w:rsid w:val="00DD7453"/>
    <w:rsid w:val="00DD756B"/>
    <w:rsid w:val="00DD75FF"/>
    <w:rsid w:val="00DD7D1F"/>
    <w:rsid w:val="00DD7E59"/>
    <w:rsid w:val="00DD7E6A"/>
    <w:rsid w:val="00DE042F"/>
    <w:rsid w:val="00DE0650"/>
    <w:rsid w:val="00DE06A7"/>
    <w:rsid w:val="00DE07F7"/>
    <w:rsid w:val="00DE089C"/>
    <w:rsid w:val="00DE0CF3"/>
    <w:rsid w:val="00DE0D49"/>
    <w:rsid w:val="00DE109F"/>
    <w:rsid w:val="00DE16BC"/>
    <w:rsid w:val="00DE174E"/>
    <w:rsid w:val="00DE1796"/>
    <w:rsid w:val="00DE1865"/>
    <w:rsid w:val="00DE1A00"/>
    <w:rsid w:val="00DE1AF7"/>
    <w:rsid w:val="00DE244B"/>
    <w:rsid w:val="00DE246E"/>
    <w:rsid w:val="00DE26FA"/>
    <w:rsid w:val="00DE2916"/>
    <w:rsid w:val="00DE2A08"/>
    <w:rsid w:val="00DE2A3F"/>
    <w:rsid w:val="00DE2C8E"/>
    <w:rsid w:val="00DE31A5"/>
    <w:rsid w:val="00DE32D0"/>
    <w:rsid w:val="00DE349E"/>
    <w:rsid w:val="00DE37B6"/>
    <w:rsid w:val="00DE38DD"/>
    <w:rsid w:val="00DE3936"/>
    <w:rsid w:val="00DE3963"/>
    <w:rsid w:val="00DE39CA"/>
    <w:rsid w:val="00DE3A7D"/>
    <w:rsid w:val="00DE3AC9"/>
    <w:rsid w:val="00DE3B06"/>
    <w:rsid w:val="00DE3BEF"/>
    <w:rsid w:val="00DE3C43"/>
    <w:rsid w:val="00DE3CB0"/>
    <w:rsid w:val="00DE3E14"/>
    <w:rsid w:val="00DE4405"/>
    <w:rsid w:val="00DE4715"/>
    <w:rsid w:val="00DE4937"/>
    <w:rsid w:val="00DE4C5A"/>
    <w:rsid w:val="00DE4CE3"/>
    <w:rsid w:val="00DE4D0B"/>
    <w:rsid w:val="00DE4F31"/>
    <w:rsid w:val="00DE5372"/>
    <w:rsid w:val="00DE5495"/>
    <w:rsid w:val="00DE54DF"/>
    <w:rsid w:val="00DE56A1"/>
    <w:rsid w:val="00DE580A"/>
    <w:rsid w:val="00DE5869"/>
    <w:rsid w:val="00DE5ACB"/>
    <w:rsid w:val="00DE5D9C"/>
    <w:rsid w:val="00DE5FE5"/>
    <w:rsid w:val="00DE609C"/>
    <w:rsid w:val="00DE60E3"/>
    <w:rsid w:val="00DE611A"/>
    <w:rsid w:val="00DE61A7"/>
    <w:rsid w:val="00DE62E8"/>
    <w:rsid w:val="00DE649B"/>
    <w:rsid w:val="00DE6669"/>
    <w:rsid w:val="00DE6910"/>
    <w:rsid w:val="00DE6E55"/>
    <w:rsid w:val="00DE6ED2"/>
    <w:rsid w:val="00DE6F6E"/>
    <w:rsid w:val="00DE6FB7"/>
    <w:rsid w:val="00DE7128"/>
    <w:rsid w:val="00DE74D4"/>
    <w:rsid w:val="00DE7783"/>
    <w:rsid w:val="00DE7A41"/>
    <w:rsid w:val="00DE7C00"/>
    <w:rsid w:val="00DE7C47"/>
    <w:rsid w:val="00DE7CA8"/>
    <w:rsid w:val="00DE7D14"/>
    <w:rsid w:val="00DE7EFE"/>
    <w:rsid w:val="00DE7F0F"/>
    <w:rsid w:val="00DE7FBA"/>
    <w:rsid w:val="00DF0302"/>
    <w:rsid w:val="00DF09B2"/>
    <w:rsid w:val="00DF0B01"/>
    <w:rsid w:val="00DF0B0E"/>
    <w:rsid w:val="00DF0B6E"/>
    <w:rsid w:val="00DF0CAA"/>
    <w:rsid w:val="00DF0CDE"/>
    <w:rsid w:val="00DF0DD8"/>
    <w:rsid w:val="00DF0FF9"/>
    <w:rsid w:val="00DF1001"/>
    <w:rsid w:val="00DF1058"/>
    <w:rsid w:val="00DF1372"/>
    <w:rsid w:val="00DF160D"/>
    <w:rsid w:val="00DF17F8"/>
    <w:rsid w:val="00DF1A1B"/>
    <w:rsid w:val="00DF1A71"/>
    <w:rsid w:val="00DF1D04"/>
    <w:rsid w:val="00DF1E1D"/>
    <w:rsid w:val="00DF21A4"/>
    <w:rsid w:val="00DF24B6"/>
    <w:rsid w:val="00DF2B45"/>
    <w:rsid w:val="00DF2CD8"/>
    <w:rsid w:val="00DF2D22"/>
    <w:rsid w:val="00DF2E1D"/>
    <w:rsid w:val="00DF2FB4"/>
    <w:rsid w:val="00DF2FFF"/>
    <w:rsid w:val="00DF3076"/>
    <w:rsid w:val="00DF33E0"/>
    <w:rsid w:val="00DF3742"/>
    <w:rsid w:val="00DF3920"/>
    <w:rsid w:val="00DF3BDF"/>
    <w:rsid w:val="00DF3CA1"/>
    <w:rsid w:val="00DF3D4F"/>
    <w:rsid w:val="00DF40B5"/>
    <w:rsid w:val="00DF410B"/>
    <w:rsid w:val="00DF45C0"/>
    <w:rsid w:val="00DF4C5E"/>
    <w:rsid w:val="00DF5058"/>
    <w:rsid w:val="00DF5107"/>
    <w:rsid w:val="00DF52EA"/>
    <w:rsid w:val="00DF53D2"/>
    <w:rsid w:val="00DF55BA"/>
    <w:rsid w:val="00DF5771"/>
    <w:rsid w:val="00DF5788"/>
    <w:rsid w:val="00DF582F"/>
    <w:rsid w:val="00DF59D1"/>
    <w:rsid w:val="00DF5A1C"/>
    <w:rsid w:val="00DF5A4F"/>
    <w:rsid w:val="00DF5A56"/>
    <w:rsid w:val="00DF5A96"/>
    <w:rsid w:val="00DF5C2E"/>
    <w:rsid w:val="00DF5E74"/>
    <w:rsid w:val="00DF5EE5"/>
    <w:rsid w:val="00DF5EEC"/>
    <w:rsid w:val="00DF5F30"/>
    <w:rsid w:val="00DF5FCF"/>
    <w:rsid w:val="00DF6003"/>
    <w:rsid w:val="00DF60A8"/>
    <w:rsid w:val="00DF6114"/>
    <w:rsid w:val="00DF61DF"/>
    <w:rsid w:val="00DF61FE"/>
    <w:rsid w:val="00DF6593"/>
    <w:rsid w:val="00DF67A9"/>
    <w:rsid w:val="00DF67AA"/>
    <w:rsid w:val="00DF690A"/>
    <w:rsid w:val="00DF6B74"/>
    <w:rsid w:val="00DF6B8C"/>
    <w:rsid w:val="00DF6D73"/>
    <w:rsid w:val="00DF6EEC"/>
    <w:rsid w:val="00DF6F92"/>
    <w:rsid w:val="00DF6F9F"/>
    <w:rsid w:val="00DF7033"/>
    <w:rsid w:val="00DF7070"/>
    <w:rsid w:val="00DF7287"/>
    <w:rsid w:val="00DF7342"/>
    <w:rsid w:val="00DF7B66"/>
    <w:rsid w:val="00E00079"/>
    <w:rsid w:val="00E003C4"/>
    <w:rsid w:val="00E00483"/>
    <w:rsid w:val="00E00687"/>
    <w:rsid w:val="00E00694"/>
    <w:rsid w:val="00E006E8"/>
    <w:rsid w:val="00E00BFF"/>
    <w:rsid w:val="00E00E0E"/>
    <w:rsid w:val="00E00F7C"/>
    <w:rsid w:val="00E01247"/>
    <w:rsid w:val="00E013F0"/>
    <w:rsid w:val="00E01774"/>
    <w:rsid w:val="00E017CC"/>
    <w:rsid w:val="00E01A49"/>
    <w:rsid w:val="00E01A60"/>
    <w:rsid w:val="00E01CD8"/>
    <w:rsid w:val="00E01CF8"/>
    <w:rsid w:val="00E020C2"/>
    <w:rsid w:val="00E02186"/>
    <w:rsid w:val="00E0221F"/>
    <w:rsid w:val="00E02469"/>
    <w:rsid w:val="00E024C6"/>
    <w:rsid w:val="00E024F2"/>
    <w:rsid w:val="00E02586"/>
    <w:rsid w:val="00E02881"/>
    <w:rsid w:val="00E0328B"/>
    <w:rsid w:val="00E0347A"/>
    <w:rsid w:val="00E035C9"/>
    <w:rsid w:val="00E03705"/>
    <w:rsid w:val="00E038E7"/>
    <w:rsid w:val="00E03957"/>
    <w:rsid w:val="00E03AD3"/>
    <w:rsid w:val="00E03E56"/>
    <w:rsid w:val="00E03EFA"/>
    <w:rsid w:val="00E0412F"/>
    <w:rsid w:val="00E04222"/>
    <w:rsid w:val="00E04268"/>
    <w:rsid w:val="00E042D7"/>
    <w:rsid w:val="00E043ED"/>
    <w:rsid w:val="00E04549"/>
    <w:rsid w:val="00E046A2"/>
    <w:rsid w:val="00E04715"/>
    <w:rsid w:val="00E04812"/>
    <w:rsid w:val="00E04827"/>
    <w:rsid w:val="00E04866"/>
    <w:rsid w:val="00E04878"/>
    <w:rsid w:val="00E0492B"/>
    <w:rsid w:val="00E04AF2"/>
    <w:rsid w:val="00E04C32"/>
    <w:rsid w:val="00E04DA2"/>
    <w:rsid w:val="00E0507D"/>
    <w:rsid w:val="00E0548A"/>
    <w:rsid w:val="00E05527"/>
    <w:rsid w:val="00E055D4"/>
    <w:rsid w:val="00E05678"/>
    <w:rsid w:val="00E056A8"/>
    <w:rsid w:val="00E05721"/>
    <w:rsid w:val="00E05739"/>
    <w:rsid w:val="00E057DF"/>
    <w:rsid w:val="00E05989"/>
    <w:rsid w:val="00E05B11"/>
    <w:rsid w:val="00E05BC5"/>
    <w:rsid w:val="00E05CA9"/>
    <w:rsid w:val="00E05CF0"/>
    <w:rsid w:val="00E060EF"/>
    <w:rsid w:val="00E06120"/>
    <w:rsid w:val="00E064FB"/>
    <w:rsid w:val="00E06741"/>
    <w:rsid w:val="00E0685A"/>
    <w:rsid w:val="00E06DF7"/>
    <w:rsid w:val="00E07006"/>
    <w:rsid w:val="00E073C2"/>
    <w:rsid w:val="00E074FC"/>
    <w:rsid w:val="00E07519"/>
    <w:rsid w:val="00E075CB"/>
    <w:rsid w:val="00E0786F"/>
    <w:rsid w:val="00E07A3C"/>
    <w:rsid w:val="00E07BFE"/>
    <w:rsid w:val="00E07CCF"/>
    <w:rsid w:val="00E07EE1"/>
    <w:rsid w:val="00E100A0"/>
    <w:rsid w:val="00E101E7"/>
    <w:rsid w:val="00E102B7"/>
    <w:rsid w:val="00E102D4"/>
    <w:rsid w:val="00E102EF"/>
    <w:rsid w:val="00E10313"/>
    <w:rsid w:val="00E10329"/>
    <w:rsid w:val="00E1032E"/>
    <w:rsid w:val="00E1055F"/>
    <w:rsid w:val="00E1062D"/>
    <w:rsid w:val="00E10846"/>
    <w:rsid w:val="00E10A0F"/>
    <w:rsid w:val="00E10C14"/>
    <w:rsid w:val="00E10E66"/>
    <w:rsid w:val="00E114EF"/>
    <w:rsid w:val="00E11991"/>
    <w:rsid w:val="00E11C40"/>
    <w:rsid w:val="00E11D58"/>
    <w:rsid w:val="00E11DC8"/>
    <w:rsid w:val="00E11F27"/>
    <w:rsid w:val="00E12009"/>
    <w:rsid w:val="00E12323"/>
    <w:rsid w:val="00E12466"/>
    <w:rsid w:val="00E12482"/>
    <w:rsid w:val="00E1257F"/>
    <w:rsid w:val="00E12665"/>
    <w:rsid w:val="00E128E2"/>
    <w:rsid w:val="00E12A2C"/>
    <w:rsid w:val="00E12CB3"/>
    <w:rsid w:val="00E12CF0"/>
    <w:rsid w:val="00E12E97"/>
    <w:rsid w:val="00E12E9B"/>
    <w:rsid w:val="00E1328F"/>
    <w:rsid w:val="00E132C0"/>
    <w:rsid w:val="00E136A6"/>
    <w:rsid w:val="00E136B5"/>
    <w:rsid w:val="00E1374F"/>
    <w:rsid w:val="00E1388A"/>
    <w:rsid w:val="00E13B1C"/>
    <w:rsid w:val="00E13BD6"/>
    <w:rsid w:val="00E141B8"/>
    <w:rsid w:val="00E1430B"/>
    <w:rsid w:val="00E1440A"/>
    <w:rsid w:val="00E145E2"/>
    <w:rsid w:val="00E14638"/>
    <w:rsid w:val="00E14677"/>
    <w:rsid w:val="00E148D6"/>
    <w:rsid w:val="00E149AA"/>
    <w:rsid w:val="00E14AA5"/>
    <w:rsid w:val="00E14B90"/>
    <w:rsid w:val="00E14CC4"/>
    <w:rsid w:val="00E14FD5"/>
    <w:rsid w:val="00E150E1"/>
    <w:rsid w:val="00E1520D"/>
    <w:rsid w:val="00E15239"/>
    <w:rsid w:val="00E15317"/>
    <w:rsid w:val="00E15330"/>
    <w:rsid w:val="00E1537C"/>
    <w:rsid w:val="00E1548A"/>
    <w:rsid w:val="00E15515"/>
    <w:rsid w:val="00E1585A"/>
    <w:rsid w:val="00E15A42"/>
    <w:rsid w:val="00E15A72"/>
    <w:rsid w:val="00E15B0F"/>
    <w:rsid w:val="00E15C69"/>
    <w:rsid w:val="00E15CC3"/>
    <w:rsid w:val="00E161DA"/>
    <w:rsid w:val="00E16299"/>
    <w:rsid w:val="00E1652A"/>
    <w:rsid w:val="00E1693D"/>
    <w:rsid w:val="00E1699D"/>
    <w:rsid w:val="00E16A7E"/>
    <w:rsid w:val="00E16BE0"/>
    <w:rsid w:val="00E16C95"/>
    <w:rsid w:val="00E16CE7"/>
    <w:rsid w:val="00E16D56"/>
    <w:rsid w:val="00E172DE"/>
    <w:rsid w:val="00E17309"/>
    <w:rsid w:val="00E17440"/>
    <w:rsid w:val="00E17469"/>
    <w:rsid w:val="00E174A8"/>
    <w:rsid w:val="00E175B2"/>
    <w:rsid w:val="00E1761B"/>
    <w:rsid w:val="00E17813"/>
    <w:rsid w:val="00E17B22"/>
    <w:rsid w:val="00E17DA0"/>
    <w:rsid w:val="00E17E1A"/>
    <w:rsid w:val="00E17E70"/>
    <w:rsid w:val="00E20300"/>
    <w:rsid w:val="00E20303"/>
    <w:rsid w:val="00E203E2"/>
    <w:rsid w:val="00E205CB"/>
    <w:rsid w:val="00E20645"/>
    <w:rsid w:val="00E206FB"/>
    <w:rsid w:val="00E208BE"/>
    <w:rsid w:val="00E208DB"/>
    <w:rsid w:val="00E20C08"/>
    <w:rsid w:val="00E20E3A"/>
    <w:rsid w:val="00E20FBE"/>
    <w:rsid w:val="00E213AB"/>
    <w:rsid w:val="00E2159B"/>
    <w:rsid w:val="00E21832"/>
    <w:rsid w:val="00E21951"/>
    <w:rsid w:val="00E21974"/>
    <w:rsid w:val="00E21A17"/>
    <w:rsid w:val="00E21C5F"/>
    <w:rsid w:val="00E21CF7"/>
    <w:rsid w:val="00E21D5A"/>
    <w:rsid w:val="00E21FA2"/>
    <w:rsid w:val="00E22B4F"/>
    <w:rsid w:val="00E22D95"/>
    <w:rsid w:val="00E22E6E"/>
    <w:rsid w:val="00E22FAA"/>
    <w:rsid w:val="00E23177"/>
    <w:rsid w:val="00E231B4"/>
    <w:rsid w:val="00E231C5"/>
    <w:rsid w:val="00E234B6"/>
    <w:rsid w:val="00E23592"/>
    <w:rsid w:val="00E23832"/>
    <w:rsid w:val="00E239C2"/>
    <w:rsid w:val="00E23B84"/>
    <w:rsid w:val="00E23D9C"/>
    <w:rsid w:val="00E23DB5"/>
    <w:rsid w:val="00E24002"/>
    <w:rsid w:val="00E241F6"/>
    <w:rsid w:val="00E2424F"/>
    <w:rsid w:val="00E2438B"/>
    <w:rsid w:val="00E2463F"/>
    <w:rsid w:val="00E24776"/>
    <w:rsid w:val="00E24AD6"/>
    <w:rsid w:val="00E24B98"/>
    <w:rsid w:val="00E24C24"/>
    <w:rsid w:val="00E24F88"/>
    <w:rsid w:val="00E25078"/>
    <w:rsid w:val="00E25127"/>
    <w:rsid w:val="00E25200"/>
    <w:rsid w:val="00E25321"/>
    <w:rsid w:val="00E2544F"/>
    <w:rsid w:val="00E25483"/>
    <w:rsid w:val="00E2575A"/>
    <w:rsid w:val="00E2589F"/>
    <w:rsid w:val="00E258AA"/>
    <w:rsid w:val="00E2598C"/>
    <w:rsid w:val="00E25A14"/>
    <w:rsid w:val="00E25AC8"/>
    <w:rsid w:val="00E25B80"/>
    <w:rsid w:val="00E25CE0"/>
    <w:rsid w:val="00E25D01"/>
    <w:rsid w:val="00E25D16"/>
    <w:rsid w:val="00E26013"/>
    <w:rsid w:val="00E261F8"/>
    <w:rsid w:val="00E268BE"/>
    <w:rsid w:val="00E26A03"/>
    <w:rsid w:val="00E26A8B"/>
    <w:rsid w:val="00E26EE8"/>
    <w:rsid w:val="00E26F10"/>
    <w:rsid w:val="00E26F7E"/>
    <w:rsid w:val="00E27290"/>
    <w:rsid w:val="00E273E6"/>
    <w:rsid w:val="00E275FF"/>
    <w:rsid w:val="00E27626"/>
    <w:rsid w:val="00E2778E"/>
    <w:rsid w:val="00E277AF"/>
    <w:rsid w:val="00E27BDC"/>
    <w:rsid w:val="00E27C46"/>
    <w:rsid w:val="00E27CC3"/>
    <w:rsid w:val="00E27D41"/>
    <w:rsid w:val="00E27DFE"/>
    <w:rsid w:val="00E27F8A"/>
    <w:rsid w:val="00E30079"/>
    <w:rsid w:val="00E30924"/>
    <w:rsid w:val="00E30A75"/>
    <w:rsid w:val="00E30C4C"/>
    <w:rsid w:val="00E30CE6"/>
    <w:rsid w:val="00E30FDC"/>
    <w:rsid w:val="00E31322"/>
    <w:rsid w:val="00E31493"/>
    <w:rsid w:val="00E314C6"/>
    <w:rsid w:val="00E31857"/>
    <w:rsid w:val="00E324C9"/>
    <w:rsid w:val="00E325D5"/>
    <w:rsid w:val="00E3268E"/>
    <w:rsid w:val="00E32B35"/>
    <w:rsid w:val="00E32EA7"/>
    <w:rsid w:val="00E32FD9"/>
    <w:rsid w:val="00E32FFB"/>
    <w:rsid w:val="00E33057"/>
    <w:rsid w:val="00E330EE"/>
    <w:rsid w:val="00E3319C"/>
    <w:rsid w:val="00E331B4"/>
    <w:rsid w:val="00E334E4"/>
    <w:rsid w:val="00E334E6"/>
    <w:rsid w:val="00E335EC"/>
    <w:rsid w:val="00E33673"/>
    <w:rsid w:val="00E339CD"/>
    <w:rsid w:val="00E34078"/>
    <w:rsid w:val="00E340AF"/>
    <w:rsid w:val="00E34233"/>
    <w:rsid w:val="00E34296"/>
    <w:rsid w:val="00E3448E"/>
    <w:rsid w:val="00E3477A"/>
    <w:rsid w:val="00E347E1"/>
    <w:rsid w:val="00E34A8B"/>
    <w:rsid w:val="00E34C78"/>
    <w:rsid w:val="00E34FCE"/>
    <w:rsid w:val="00E354B9"/>
    <w:rsid w:val="00E354CA"/>
    <w:rsid w:val="00E35743"/>
    <w:rsid w:val="00E357B0"/>
    <w:rsid w:val="00E358A7"/>
    <w:rsid w:val="00E35A4B"/>
    <w:rsid w:val="00E35A85"/>
    <w:rsid w:val="00E35CD5"/>
    <w:rsid w:val="00E35D7E"/>
    <w:rsid w:val="00E35E53"/>
    <w:rsid w:val="00E361B8"/>
    <w:rsid w:val="00E363F9"/>
    <w:rsid w:val="00E36662"/>
    <w:rsid w:val="00E3686C"/>
    <w:rsid w:val="00E36A1D"/>
    <w:rsid w:val="00E36A7F"/>
    <w:rsid w:val="00E36B69"/>
    <w:rsid w:val="00E36BC0"/>
    <w:rsid w:val="00E36BD0"/>
    <w:rsid w:val="00E36CCA"/>
    <w:rsid w:val="00E36CF4"/>
    <w:rsid w:val="00E36D52"/>
    <w:rsid w:val="00E3700E"/>
    <w:rsid w:val="00E37066"/>
    <w:rsid w:val="00E3737F"/>
    <w:rsid w:val="00E373B0"/>
    <w:rsid w:val="00E37479"/>
    <w:rsid w:val="00E375B6"/>
    <w:rsid w:val="00E377F4"/>
    <w:rsid w:val="00E3786A"/>
    <w:rsid w:val="00E37D65"/>
    <w:rsid w:val="00E37EB0"/>
    <w:rsid w:val="00E4010F"/>
    <w:rsid w:val="00E4033F"/>
    <w:rsid w:val="00E40655"/>
    <w:rsid w:val="00E4078A"/>
    <w:rsid w:val="00E4079A"/>
    <w:rsid w:val="00E4083A"/>
    <w:rsid w:val="00E40BF9"/>
    <w:rsid w:val="00E411B7"/>
    <w:rsid w:val="00E41215"/>
    <w:rsid w:val="00E4125F"/>
    <w:rsid w:val="00E4165D"/>
    <w:rsid w:val="00E41809"/>
    <w:rsid w:val="00E41F18"/>
    <w:rsid w:val="00E42279"/>
    <w:rsid w:val="00E422B2"/>
    <w:rsid w:val="00E42343"/>
    <w:rsid w:val="00E423FC"/>
    <w:rsid w:val="00E424F0"/>
    <w:rsid w:val="00E42567"/>
    <w:rsid w:val="00E42798"/>
    <w:rsid w:val="00E427F4"/>
    <w:rsid w:val="00E42BC9"/>
    <w:rsid w:val="00E42E0A"/>
    <w:rsid w:val="00E42E42"/>
    <w:rsid w:val="00E43016"/>
    <w:rsid w:val="00E43098"/>
    <w:rsid w:val="00E43229"/>
    <w:rsid w:val="00E434FB"/>
    <w:rsid w:val="00E435EF"/>
    <w:rsid w:val="00E43AB8"/>
    <w:rsid w:val="00E43B29"/>
    <w:rsid w:val="00E43C50"/>
    <w:rsid w:val="00E43D51"/>
    <w:rsid w:val="00E43E90"/>
    <w:rsid w:val="00E43F5C"/>
    <w:rsid w:val="00E44091"/>
    <w:rsid w:val="00E4420C"/>
    <w:rsid w:val="00E44310"/>
    <w:rsid w:val="00E44341"/>
    <w:rsid w:val="00E44549"/>
    <w:rsid w:val="00E4457A"/>
    <w:rsid w:val="00E4481D"/>
    <w:rsid w:val="00E44869"/>
    <w:rsid w:val="00E44896"/>
    <w:rsid w:val="00E4495F"/>
    <w:rsid w:val="00E44BB3"/>
    <w:rsid w:val="00E44CBA"/>
    <w:rsid w:val="00E44E99"/>
    <w:rsid w:val="00E44FBF"/>
    <w:rsid w:val="00E4513C"/>
    <w:rsid w:val="00E4534C"/>
    <w:rsid w:val="00E453A2"/>
    <w:rsid w:val="00E45542"/>
    <w:rsid w:val="00E4574F"/>
    <w:rsid w:val="00E457EE"/>
    <w:rsid w:val="00E458A4"/>
    <w:rsid w:val="00E45AFC"/>
    <w:rsid w:val="00E45D82"/>
    <w:rsid w:val="00E45EF6"/>
    <w:rsid w:val="00E46047"/>
    <w:rsid w:val="00E4608E"/>
    <w:rsid w:val="00E461BF"/>
    <w:rsid w:val="00E4637B"/>
    <w:rsid w:val="00E4641B"/>
    <w:rsid w:val="00E4644A"/>
    <w:rsid w:val="00E4649A"/>
    <w:rsid w:val="00E46536"/>
    <w:rsid w:val="00E4654A"/>
    <w:rsid w:val="00E46645"/>
    <w:rsid w:val="00E4665E"/>
    <w:rsid w:val="00E466FC"/>
    <w:rsid w:val="00E469FD"/>
    <w:rsid w:val="00E46E43"/>
    <w:rsid w:val="00E4720E"/>
    <w:rsid w:val="00E472B7"/>
    <w:rsid w:val="00E472E1"/>
    <w:rsid w:val="00E47549"/>
    <w:rsid w:val="00E475FA"/>
    <w:rsid w:val="00E47934"/>
    <w:rsid w:val="00E47D2B"/>
    <w:rsid w:val="00E501B4"/>
    <w:rsid w:val="00E5047D"/>
    <w:rsid w:val="00E5049B"/>
    <w:rsid w:val="00E504B5"/>
    <w:rsid w:val="00E5063B"/>
    <w:rsid w:val="00E5067F"/>
    <w:rsid w:val="00E506BF"/>
    <w:rsid w:val="00E50B10"/>
    <w:rsid w:val="00E50C05"/>
    <w:rsid w:val="00E50C5F"/>
    <w:rsid w:val="00E51296"/>
    <w:rsid w:val="00E513D8"/>
    <w:rsid w:val="00E5141D"/>
    <w:rsid w:val="00E51661"/>
    <w:rsid w:val="00E51A4D"/>
    <w:rsid w:val="00E51CDF"/>
    <w:rsid w:val="00E51F24"/>
    <w:rsid w:val="00E5229D"/>
    <w:rsid w:val="00E526F1"/>
    <w:rsid w:val="00E52875"/>
    <w:rsid w:val="00E52A3D"/>
    <w:rsid w:val="00E53035"/>
    <w:rsid w:val="00E530E9"/>
    <w:rsid w:val="00E53145"/>
    <w:rsid w:val="00E53778"/>
    <w:rsid w:val="00E537B8"/>
    <w:rsid w:val="00E538EE"/>
    <w:rsid w:val="00E539BF"/>
    <w:rsid w:val="00E53E3E"/>
    <w:rsid w:val="00E53FB2"/>
    <w:rsid w:val="00E54027"/>
    <w:rsid w:val="00E540CE"/>
    <w:rsid w:val="00E54376"/>
    <w:rsid w:val="00E54686"/>
    <w:rsid w:val="00E5482A"/>
    <w:rsid w:val="00E54A7C"/>
    <w:rsid w:val="00E54CE2"/>
    <w:rsid w:val="00E54D13"/>
    <w:rsid w:val="00E550BE"/>
    <w:rsid w:val="00E550CC"/>
    <w:rsid w:val="00E55465"/>
    <w:rsid w:val="00E556DB"/>
    <w:rsid w:val="00E55954"/>
    <w:rsid w:val="00E55967"/>
    <w:rsid w:val="00E559A5"/>
    <w:rsid w:val="00E55A93"/>
    <w:rsid w:val="00E55B66"/>
    <w:rsid w:val="00E55FB4"/>
    <w:rsid w:val="00E55FDB"/>
    <w:rsid w:val="00E55FFA"/>
    <w:rsid w:val="00E56380"/>
    <w:rsid w:val="00E5642C"/>
    <w:rsid w:val="00E5661D"/>
    <w:rsid w:val="00E5678C"/>
    <w:rsid w:val="00E5688C"/>
    <w:rsid w:val="00E568D8"/>
    <w:rsid w:val="00E56984"/>
    <w:rsid w:val="00E56A92"/>
    <w:rsid w:val="00E56C8A"/>
    <w:rsid w:val="00E56D89"/>
    <w:rsid w:val="00E56E94"/>
    <w:rsid w:val="00E571D9"/>
    <w:rsid w:val="00E571E5"/>
    <w:rsid w:val="00E57395"/>
    <w:rsid w:val="00E573F0"/>
    <w:rsid w:val="00E57412"/>
    <w:rsid w:val="00E5742A"/>
    <w:rsid w:val="00E57ACD"/>
    <w:rsid w:val="00E57C8F"/>
    <w:rsid w:val="00E57EA2"/>
    <w:rsid w:val="00E57F54"/>
    <w:rsid w:val="00E601B2"/>
    <w:rsid w:val="00E601D6"/>
    <w:rsid w:val="00E601E1"/>
    <w:rsid w:val="00E601FE"/>
    <w:rsid w:val="00E6046C"/>
    <w:rsid w:val="00E609AB"/>
    <w:rsid w:val="00E60B27"/>
    <w:rsid w:val="00E61240"/>
    <w:rsid w:val="00E6140E"/>
    <w:rsid w:val="00E614B6"/>
    <w:rsid w:val="00E6159E"/>
    <w:rsid w:val="00E6160C"/>
    <w:rsid w:val="00E61739"/>
    <w:rsid w:val="00E617E0"/>
    <w:rsid w:val="00E61C57"/>
    <w:rsid w:val="00E61C89"/>
    <w:rsid w:val="00E61F37"/>
    <w:rsid w:val="00E61F6B"/>
    <w:rsid w:val="00E62019"/>
    <w:rsid w:val="00E6207B"/>
    <w:rsid w:val="00E622B5"/>
    <w:rsid w:val="00E624C9"/>
    <w:rsid w:val="00E628BF"/>
    <w:rsid w:val="00E6297E"/>
    <w:rsid w:val="00E62D77"/>
    <w:rsid w:val="00E635CB"/>
    <w:rsid w:val="00E63AB1"/>
    <w:rsid w:val="00E63E0C"/>
    <w:rsid w:val="00E643A8"/>
    <w:rsid w:val="00E6452E"/>
    <w:rsid w:val="00E6477F"/>
    <w:rsid w:val="00E649B4"/>
    <w:rsid w:val="00E64AF9"/>
    <w:rsid w:val="00E64D04"/>
    <w:rsid w:val="00E64ED4"/>
    <w:rsid w:val="00E64EE7"/>
    <w:rsid w:val="00E650EB"/>
    <w:rsid w:val="00E6521C"/>
    <w:rsid w:val="00E65240"/>
    <w:rsid w:val="00E65442"/>
    <w:rsid w:val="00E655DC"/>
    <w:rsid w:val="00E656E6"/>
    <w:rsid w:val="00E65735"/>
    <w:rsid w:val="00E65740"/>
    <w:rsid w:val="00E657CE"/>
    <w:rsid w:val="00E65A61"/>
    <w:rsid w:val="00E65B92"/>
    <w:rsid w:val="00E65CE3"/>
    <w:rsid w:val="00E65D25"/>
    <w:rsid w:val="00E65FF2"/>
    <w:rsid w:val="00E66059"/>
    <w:rsid w:val="00E66112"/>
    <w:rsid w:val="00E661B1"/>
    <w:rsid w:val="00E662B2"/>
    <w:rsid w:val="00E662BB"/>
    <w:rsid w:val="00E662C5"/>
    <w:rsid w:val="00E6633D"/>
    <w:rsid w:val="00E66584"/>
    <w:rsid w:val="00E6698C"/>
    <w:rsid w:val="00E66A3A"/>
    <w:rsid w:val="00E66CA3"/>
    <w:rsid w:val="00E66D73"/>
    <w:rsid w:val="00E670D6"/>
    <w:rsid w:val="00E670F2"/>
    <w:rsid w:val="00E671AF"/>
    <w:rsid w:val="00E671FA"/>
    <w:rsid w:val="00E67272"/>
    <w:rsid w:val="00E673A3"/>
    <w:rsid w:val="00E673C3"/>
    <w:rsid w:val="00E6742E"/>
    <w:rsid w:val="00E67533"/>
    <w:rsid w:val="00E67669"/>
    <w:rsid w:val="00E679B2"/>
    <w:rsid w:val="00E67AF3"/>
    <w:rsid w:val="00E67C04"/>
    <w:rsid w:val="00E67C83"/>
    <w:rsid w:val="00E67FB9"/>
    <w:rsid w:val="00E70222"/>
    <w:rsid w:val="00E704D3"/>
    <w:rsid w:val="00E70700"/>
    <w:rsid w:val="00E7073D"/>
    <w:rsid w:val="00E7093B"/>
    <w:rsid w:val="00E709B1"/>
    <w:rsid w:val="00E70E42"/>
    <w:rsid w:val="00E70E5C"/>
    <w:rsid w:val="00E711B4"/>
    <w:rsid w:val="00E7136C"/>
    <w:rsid w:val="00E713F3"/>
    <w:rsid w:val="00E7188E"/>
    <w:rsid w:val="00E719C2"/>
    <w:rsid w:val="00E719ED"/>
    <w:rsid w:val="00E71AA0"/>
    <w:rsid w:val="00E71BC3"/>
    <w:rsid w:val="00E71D51"/>
    <w:rsid w:val="00E71FD0"/>
    <w:rsid w:val="00E71FFA"/>
    <w:rsid w:val="00E7202A"/>
    <w:rsid w:val="00E72079"/>
    <w:rsid w:val="00E720E6"/>
    <w:rsid w:val="00E7230C"/>
    <w:rsid w:val="00E72727"/>
    <w:rsid w:val="00E7289F"/>
    <w:rsid w:val="00E72C79"/>
    <w:rsid w:val="00E72CF1"/>
    <w:rsid w:val="00E730FF"/>
    <w:rsid w:val="00E73144"/>
    <w:rsid w:val="00E73297"/>
    <w:rsid w:val="00E73830"/>
    <w:rsid w:val="00E73955"/>
    <w:rsid w:val="00E73BB3"/>
    <w:rsid w:val="00E73EAE"/>
    <w:rsid w:val="00E73F7D"/>
    <w:rsid w:val="00E74003"/>
    <w:rsid w:val="00E74080"/>
    <w:rsid w:val="00E740BE"/>
    <w:rsid w:val="00E7429B"/>
    <w:rsid w:val="00E74575"/>
    <w:rsid w:val="00E7457A"/>
    <w:rsid w:val="00E749B8"/>
    <w:rsid w:val="00E74A9F"/>
    <w:rsid w:val="00E74D5A"/>
    <w:rsid w:val="00E74D80"/>
    <w:rsid w:val="00E7501E"/>
    <w:rsid w:val="00E7514B"/>
    <w:rsid w:val="00E7514C"/>
    <w:rsid w:val="00E75239"/>
    <w:rsid w:val="00E754A3"/>
    <w:rsid w:val="00E755BB"/>
    <w:rsid w:val="00E756EF"/>
    <w:rsid w:val="00E759F8"/>
    <w:rsid w:val="00E75B82"/>
    <w:rsid w:val="00E75F53"/>
    <w:rsid w:val="00E75FE1"/>
    <w:rsid w:val="00E75FFD"/>
    <w:rsid w:val="00E76170"/>
    <w:rsid w:val="00E76474"/>
    <w:rsid w:val="00E764CE"/>
    <w:rsid w:val="00E764D5"/>
    <w:rsid w:val="00E7664C"/>
    <w:rsid w:val="00E7674A"/>
    <w:rsid w:val="00E7675B"/>
    <w:rsid w:val="00E768CF"/>
    <w:rsid w:val="00E76A4D"/>
    <w:rsid w:val="00E76F4F"/>
    <w:rsid w:val="00E773C3"/>
    <w:rsid w:val="00E776AE"/>
    <w:rsid w:val="00E77778"/>
    <w:rsid w:val="00E7790F"/>
    <w:rsid w:val="00E779DC"/>
    <w:rsid w:val="00E77B4C"/>
    <w:rsid w:val="00E77C57"/>
    <w:rsid w:val="00E77F8E"/>
    <w:rsid w:val="00E77FFE"/>
    <w:rsid w:val="00E8021A"/>
    <w:rsid w:val="00E802EE"/>
    <w:rsid w:val="00E80538"/>
    <w:rsid w:val="00E807B3"/>
    <w:rsid w:val="00E80D09"/>
    <w:rsid w:val="00E80D16"/>
    <w:rsid w:val="00E80EAA"/>
    <w:rsid w:val="00E80ED3"/>
    <w:rsid w:val="00E81192"/>
    <w:rsid w:val="00E811C2"/>
    <w:rsid w:val="00E812EA"/>
    <w:rsid w:val="00E81352"/>
    <w:rsid w:val="00E813C3"/>
    <w:rsid w:val="00E815AE"/>
    <w:rsid w:val="00E8180B"/>
    <w:rsid w:val="00E81887"/>
    <w:rsid w:val="00E8197B"/>
    <w:rsid w:val="00E81C77"/>
    <w:rsid w:val="00E81EB4"/>
    <w:rsid w:val="00E81F04"/>
    <w:rsid w:val="00E81F1F"/>
    <w:rsid w:val="00E81FD9"/>
    <w:rsid w:val="00E82041"/>
    <w:rsid w:val="00E822F2"/>
    <w:rsid w:val="00E82502"/>
    <w:rsid w:val="00E826A7"/>
    <w:rsid w:val="00E826E3"/>
    <w:rsid w:val="00E82C38"/>
    <w:rsid w:val="00E82D37"/>
    <w:rsid w:val="00E82F9B"/>
    <w:rsid w:val="00E82FC1"/>
    <w:rsid w:val="00E83016"/>
    <w:rsid w:val="00E831F9"/>
    <w:rsid w:val="00E83394"/>
    <w:rsid w:val="00E834A7"/>
    <w:rsid w:val="00E834C1"/>
    <w:rsid w:val="00E83AC6"/>
    <w:rsid w:val="00E83B7C"/>
    <w:rsid w:val="00E83C7A"/>
    <w:rsid w:val="00E83F66"/>
    <w:rsid w:val="00E84143"/>
    <w:rsid w:val="00E842E5"/>
    <w:rsid w:val="00E84463"/>
    <w:rsid w:val="00E84476"/>
    <w:rsid w:val="00E844CE"/>
    <w:rsid w:val="00E84529"/>
    <w:rsid w:val="00E84654"/>
    <w:rsid w:val="00E84726"/>
    <w:rsid w:val="00E848ED"/>
    <w:rsid w:val="00E84A63"/>
    <w:rsid w:val="00E84ADB"/>
    <w:rsid w:val="00E84BC7"/>
    <w:rsid w:val="00E84C58"/>
    <w:rsid w:val="00E84E14"/>
    <w:rsid w:val="00E84E4F"/>
    <w:rsid w:val="00E84EC9"/>
    <w:rsid w:val="00E8566D"/>
    <w:rsid w:val="00E857A3"/>
    <w:rsid w:val="00E85832"/>
    <w:rsid w:val="00E8595B"/>
    <w:rsid w:val="00E85BB7"/>
    <w:rsid w:val="00E85BDA"/>
    <w:rsid w:val="00E85BE0"/>
    <w:rsid w:val="00E85FB9"/>
    <w:rsid w:val="00E862AC"/>
    <w:rsid w:val="00E862F2"/>
    <w:rsid w:val="00E864AB"/>
    <w:rsid w:val="00E867E6"/>
    <w:rsid w:val="00E8686C"/>
    <w:rsid w:val="00E869F4"/>
    <w:rsid w:val="00E86A1E"/>
    <w:rsid w:val="00E86A5F"/>
    <w:rsid w:val="00E86AC2"/>
    <w:rsid w:val="00E86B4E"/>
    <w:rsid w:val="00E86E15"/>
    <w:rsid w:val="00E86ECA"/>
    <w:rsid w:val="00E86F37"/>
    <w:rsid w:val="00E87013"/>
    <w:rsid w:val="00E875AE"/>
    <w:rsid w:val="00E875B8"/>
    <w:rsid w:val="00E87902"/>
    <w:rsid w:val="00E87B08"/>
    <w:rsid w:val="00E87D32"/>
    <w:rsid w:val="00E87F8F"/>
    <w:rsid w:val="00E90049"/>
    <w:rsid w:val="00E9007B"/>
    <w:rsid w:val="00E9011F"/>
    <w:rsid w:val="00E90188"/>
    <w:rsid w:val="00E9025B"/>
    <w:rsid w:val="00E902C1"/>
    <w:rsid w:val="00E904E2"/>
    <w:rsid w:val="00E90509"/>
    <w:rsid w:val="00E90591"/>
    <w:rsid w:val="00E905DF"/>
    <w:rsid w:val="00E906CA"/>
    <w:rsid w:val="00E9087D"/>
    <w:rsid w:val="00E910B8"/>
    <w:rsid w:val="00E9132E"/>
    <w:rsid w:val="00E9142B"/>
    <w:rsid w:val="00E91536"/>
    <w:rsid w:val="00E91B94"/>
    <w:rsid w:val="00E91F12"/>
    <w:rsid w:val="00E91F84"/>
    <w:rsid w:val="00E92416"/>
    <w:rsid w:val="00E925D7"/>
    <w:rsid w:val="00E92719"/>
    <w:rsid w:val="00E92966"/>
    <w:rsid w:val="00E92F15"/>
    <w:rsid w:val="00E92FA8"/>
    <w:rsid w:val="00E930AC"/>
    <w:rsid w:val="00E9315A"/>
    <w:rsid w:val="00E93328"/>
    <w:rsid w:val="00E9332E"/>
    <w:rsid w:val="00E93330"/>
    <w:rsid w:val="00E93809"/>
    <w:rsid w:val="00E93983"/>
    <w:rsid w:val="00E93B3A"/>
    <w:rsid w:val="00E93B6A"/>
    <w:rsid w:val="00E93CD9"/>
    <w:rsid w:val="00E93E3B"/>
    <w:rsid w:val="00E93E81"/>
    <w:rsid w:val="00E93E90"/>
    <w:rsid w:val="00E940A9"/>
    <w:rsid w:val="00E9429E"/>
    <w:rsid w:val="00E946AB"/>
    <w:rsid w:val="00E94B57"/>
    <w:rsid w:val="00E94F33"/>
    <w:rsid w:val="00E95149"/>
    <w:rsid w:val="00E952B7"/>
    <w:rsid w:val="00E95745"/>
    <w:rsid w:val="00E9596C"/>
    <w:rsid w:val="00E959D2"/>
    <w:rsid w:val="00E95A27"/>
    <w:rsid w:val="00E95A89"/>
    <w:rsid w:val="00E95AA2"/>
    <w:rsid w:val="00E95AAD"/>
    <w:rsid w:val="00E95AFC"/>
    <w:rsid w:val="00E95B67"/>
    <w:rsid w:val="00E95DD5"/>
    <w:rsid w:val="00E9604C"/>
    <w:rsid w:val="00E96061"/>
    <w:rsid w:val="00E96254"/>
    <w:rsid w:val="00E964FF"/>
    <w:rsid w:val="00E9664C"/>
    <w:rsid w:val="00E968E2"/>
    <w:rsid w:val="00E96915"/>
    <w:rsid w:val="00E96B1B"/>
    <w:rsid w:val="00E96B1D"/>
    <w:rsid w:val="00E96B3F"/>
    <w:rsid w:val="00E96B94"/>
    <w:rsid w:val="00E96BA2"/>
    <w:rsid w:val="00E9703E"/>
    <w:rsid w:val="00E97A32"/>
    <w:rsid w:val="00E97BA2"/>
    <w:rsid w:val="00E97C8B"/>
    <w:rsid w:val="00E97ED6"/>
    <w:rsid w:val="00E97F24"/>
    <w:rsid w:val="00EA02D9"/>
    <w:rsid w:val="00EA0379"/>
    <w:rsid w:val="00EA04D6"/>
    <w:rsid w:val="00EA05BC"/>
    <w:rsid w:val="00EA0773"/>
    <w:rsid w:val="00EA095F"/>
    <w:rsid w:val="00EA0C21"/>
    <w:rsid w:val="00EA0C2E"/>
    <w:rsid w:val="00EA0C63"/>
    <w:rsid w:val="00EA0CEB"/>
    <w:rsid w:val="00EA0D31"/>
    <w:rsid w:val="00EA120B"/>
    <w:rsid w:val="00EA1219"/>
    <w:rsid w:val="00EA16E7"/>
    <w:rsid w:val="00EA19AB"/>
    <w:rsid w:val="00EA1A71"/>
    <w:rsid w:val="00EA259E"/>
    <w:rsid w:val="00EA2637"/>
    <w:rsid w:val="00EA2721"/>
    <w:rsid w:val="00EA272C"/>
    <w:rsid w:val="00EA27D6"/>
    <w:rsid w:val="00EA2806"/>
    <w:rsid w:val="00EA2904"/>
    <w:rsid w:val="00EA298B"/>
    <w:rsid w:val="00EA2A63"/>
    <w:rsid w:val="00EA2D88"/>
    <w:rsid w:val="00EA2F9E"/>
    <w:rsid w:val="00EA32B9"/>
    <w:rsid w:val="00EA34DC"/>
    <w:rsid w:val="00EA3ACC"/>
    <w:rsid w:val="00EA3CA5"/>
    <w:rsid w:val="00EA3F62"/>
    <w:rsid w:val="00EA40B2"/>
    <w:rsid w:val="00EA413A"/>
    <w:rsid w:val="00EA4329"/>
    <w:rsid w:val="00EA4395"/>
    <w:rsid w:val="00EA43E0"/>
    <w:rsid w:val="00EA441C"/>
    <w:rsid w:val="00EA4663"/>
    <w:rsid w:val="00EA48B5"/>
    <w:rsid w:val="00EA5392"/>
    <w:rsid w:val="00EA5461"/>
    <w:rsid w:val="00EA56F7"/>
    <w:rsid w:val="00EA5A71"/>
    <w:rsid w:val="00EA5B27"/>
    <w:rsid w:val="00EA5BC7"/>
    <w:rsid w:val="00EA5BFE"/>
    <w:rsid w:val="00EA5CB0"/>
    <w:rsid w:val="00EA5DE7"/>
    <w:rsid w:val="00EA5ED6"/>
    <w:rsid w:val="00EA5EF1"/>
    <w:rsid w:val="00EA600E"/>
    <w:rsid w:val="00EA630C"/>
    <w:rsid w:val="00EA63B7"/>
    <w:rsid w:val="00EA63BC"/>
    <w:rsid w:val="00EA6560"/>
    <w:rsid w:val="00EA6A35"/>
    <w:rsid w:val="00EA6A98"/>
    <w:rsid w:val="00EA6B8A"/>
    <w:rsid w:val="00EA6D1F"/>
    <w:rsid w:val="00EA72B7"/>
    <w:rsid w:val="00EA72DC"/>
    <w:rsid w:val="00EA7345"/>
    <w:rsid w:val="00EA73A5"/>
    <w:rsid w:val="00EA74D3"/>
    <w:rsid w:val="00EA7551"/>
    <w:rsid w:val="00EA7872"/>
    <w:rsid w:val="00EA7885"/>
    <w:rsid w:val="00EA7CC2"/>
    <w:rsid w:val="00EA7CE3"/>
    <w:rsid w:val="00EA7E60"/>
    <w:rsid w:val="00EB02B6"/>
    <w:rsid w:val="00EB02DE"/>
    <w:rsid w:val="00EB06C1"/>
    <w:rsid w:val="00EB0891"/>
    <w:rsid w:val="00EB0B52"/>
    <w:rsid w:val="00EB0CB6"/>
    <w:rsid w:val="00EB0CCD"/>
    <w:rsid w:val="00EB0E42"/>
    <w:rsid w:val="00EB0FA5"/>
    <w:rsid w:val="00EB1022"/>
    <w:rsid w:val="00EB1149"/>
    <w:rsid w:val="00EB1366"/>
    <w:rsid w:val="00EB1405"/>
    <w:rsid w:val="00EB1722"/>
    <w:rsid w:val="00EB1BEA"/>
    <w:rsid w:val="00EB1CA1"/>
    <w:rsid w:val="00EB1CE2"/>
    <w:rsid w:val="00EB20C1"/>
    <w:rsid w:val="00EB210B"/>
    <w:rsid w:val="00EB25AB"/>
    <w:rsid w:val="00EB277B"/>
    <w:rsid w:val="00EB2829"/>
    <w:rsid w:val="00EB2892"/>
    <w:rsid w:val="00EB2A0B"/>
    <w:rsid w:val="00EB32E7"/>
    <w:rsid w:val="00EB3333"/>
    <w:rsid w:val="00EB33EE"/>
    <w:rsid w:val="00EB3C32"/>
    <w:rsid w:val="00EB3C8E"/>
    <w:rsid w:val="00EB3CF4"/>
    <w:rsid w:val="00EB3DF6"/>
    <w:rsid w:val="00EB3FD5"/>
    <w:rsid w:val="00EB4330"/>
    <w:rsid w:val="00EB4399"/>
    <w:rsid w:val="00EB439E"/>
    <w:rsid w:val="00EB46DA"/>
    <w:rsid w:val="00EB46F0"/>
    <w:rsid w:val="00EB4A15"/>
    <w:rsid w:val="00EB4A1A"/>
    <w:rsid w:val="00EB4C43"/>
    <w:rsid w:val="00EB4E91"/>
    <w:rsid w:val="00EB4FEF"/>
    <w:rsid w:val="00EB53E5"/>
    <w:rsid w:val="00EB54AA"/>
    <w:rsid w:val="00EB54AE"/>
    <w:rsid w:val="00EB55AC"/>
    <w:rsid w:val="00EB570C"/>
    <w:rsid w:val="00EB5749"/>
    <w:rsid w:val="00EB57D5"/>
    <w:rsid w:val="00EB5CC5"/>
    <w:rsid w:val="00EB5E1C"/>
    <w:rsid w:val="00EB601A"/>
    <w:rsid w:val="00EB603C"/>
    <w:rsid w:val="00EB6117"/>
    <w:rsid w:val="00EB6163"/>
    <w:rsid w:val="00EB6281"/>
    <w:rsid w:val="00EB68A5"/>
    <w:rsid w:val="00EB698B"/>
    <w:rsid w:val="00EB69B7"/>
    <w:rsid w:val="00EB6A36"/>
    <w:rsid w:val="00EB6E6F"/>
    <w:rsid w:val="00EB728F"/>
    <w:rsid w:val="00EB76FA"/>
    <w:rsid w:val="00EB77F7"/>
    <w:rsid w:val="00EB7A9F"/>
    <w:rsid w:val="00EB7B32"/>
    <w:rsid w:val="00EB7C08"/>
    <w:rsid w:val="00EB7C6D"/>
    <w:rsid w:val="00EB7CA7"/>
    <w:rsid w:val="00EC02AD"/>
    <w:rsid w:val="00EC040D"/>
    <w:rsid w:val="00EC0543"/>
    <w:rsid w:val="00EC055F"/>
    <w:rsid w:val="00EC05F3"/>
    <w:rsid w:val="00EC0861"/>
    <w:rsid w:val="00EC087C"/>
    <w:rsid w:val="00EC0C3D"/>
    <w:rsid w:val="00EC0E75"/>
    <w:rsid w:val="00EC0F4A"/>
    <w:rsid w:val="00EC103F"/>
    <w:rsid w:val="00EC1137"/>
    <w:rsid w:val="00EC1185"/>
    <w:rsid w:val="00EC12C2"/>
    <w:rsid w:val="00EC163D"/>
    <w:rsid w:val="00EC1654"/>
    <w:rsid w:val="00EC1884"/>
    <w:rsid w:val="00EC191A"/>
    <w:rsid w:val="00EC19C5"/>
    <w:rsid w:val="00EC1A51"/>
    <w:rsid w:val="00EC1B33"/>
    <w:rsid w:val="00EC1CC9"/>
    <w:rsid w:val="00EC1F6F"/>
    <w:rsid w:val="00EC2044"/>
    <w:rsid w:val="00EC2088"/>
    <w:rsid w:val="00EC217C"/>
    <w:rsid w:val="00EC21F7"/>
    <w:rsid w:val="00EC2320"/>
    <w:rsid w:val="00EC26D4"/>
    <w:rsid w:val="00EC27BA"/>
    <w:rsid w:val="00EC2978"/>
    <w:rsid w:val="00EC29E7"/>
    <w:rsid w:val="00EC2AA1"/>
    <w:rsid w:val="00EC2AE1"/>
    <w:rsid w:val="00EC2B6D"/>
    <w:rsid w:val="00EC32FE"/>
    <w:rsid w:val="00EC336E"/>
    <w:rsid w:val="00EC3616"/>
    <w:rsid w:val="00EC37DF"/>
    <w:rsid w:val="00EC3A7D"/>
    <w:rsid w:val="00EC3B8E"/>
    <w:rsid w:val="00EC3D7E"/>
    <w:rsid w:val="00EC407E"/>
    <w:rsid w:val="00EC41AC"/>
    <w:rsid w:val="00EC4471"/>
    <w:rsid w:val="00EC44E7"/>
    <w:rsid w:val="00EC4574"/>
    <w:rsid w:val="00EC47B7"/>
    <w:rsid w:val="00EC47FF"/>
    <w:rsid w:val="00EC495A"/>
    <w:rsid w:val="00EC4A08"/>
    <w:rsid w:val="00EC4C32"/>
    <w:rsid w:val="00EC4DD7"/>
    <w:rsid w:val="00EC508F"/>
    <w:rsid w:val="00EC5327"/>
    <w:rsid w:val="00EC591F"/>
    <w:rsid w:val="00EC5C25"/>
    <w:rsid w:val="00EC5F7E"/>
    <w:rsid w:val="00EC5FF7"/>
    <w:rsid w:val="00EC60DA"/>
    <w:rsid w:val="00EC61C6"/>
    <w:rsid w:val="00EC6554"/>
    <w:rsid w:val="00EC66CD"/>
    <w:rsid w:val="00EC674A"/>
    <w:rsid w:val="00EC6797"/>
    <w:rsid w:val="00EC69FF"/>
    <w:rsid w:val="00EC6CD3"/>
    <w:rsid w:val="00EC6DC6"/>
    <w:rsid w:val="00EC73E2"/>
    <w:rsid w:val="00EC746C"/>
    <w:rsid w:val="00EC74C8"/>
    <w:rsid w:val="00EC7665"/>
    <w:rsid w:val="00EC7EEE"/>
    <w:rsid w:val="00ED010A"/>
    <w:rsid w:val="00ED04BA"/>
    <w:rsid w:val="00ED0501"/>
    <w:rsid w:val="00ED063D"/>
    <w:rsid w:val="00ED068B"/>
    <w:rsid w:val="00ED0758"/>
    <w:rsid w:val="00ED0AA5"/>
    <w:rsid w:val="00ED0B76"/>
    <w:rsid w:val="00ED0C68"/>
    <w:rsid w:val="00ED0CA8"/>
    <w:rsid w:val="00ED0E84"/>
    <w:rsid w:val="00ED1094"/>
    <w:rsid w:val="00ED10D1"/>
    <w:rsid w:val="00ED1250"/>
    <w:rsid w:val="00ED1384"/>
    <w:rsid w:val="00ED167F"/>
    <w:rsid w:val="00ED171E"/>
    <w:rsid w:val="00ED179A"/>
    <w:rsid w:val="00ED1881"/>
    <w:rsid w:val="00ED18D5"/>
    <w:rsid w:val="00ED19D5"/>
    <w:rsid w:val="00ED1E26"/>
    <w:rsid w:val="00ED1F78"/>
    <w:rsid w:val="00ED1FAD"/>
    <w:rsid w:val="00ED23EF"/>
    <w:rsid w:val="00ED26EB"/>
    <w:rsid w:val="00ED26F5"/>
    <w:rsid w:val="00ED2BB5"/>
    <w:rsid w:val="00ED2DF5"/>
    <w:rsid w:val="00ED2FE3"/>
    <w:rsid w:val="00ED2FF4"/>
    <w:rsid w:val="00ED36D7"/>
    <w:rsid w:val="00ED3F0C"/>
    <w:rsid w:val="00ED4173"/>
    <w:rsid w:val="00ED419B"/>
    <w:rsid w:val="00ED4628"/>
    <w:rsid w:val="00ED4693"/>
    <w:rsid w:val="00ED4AC7"/>
    <w:rsid w:val="00ED4C89"/>
    <w:rsid w:val="00ED51BB"/>
    <w:rsid w:val="00ED52A3"/>
    <w:rsid w:val="00ED548D"/>
    <w:rsid w:val="00ED568F"/>
    <w:rsid w:val="00ED56C4"/>
    <w:rsid w:val="00ED5A26"/>
    <w:rsid w:val="00ED5A4C"/>
    <w:rsid w:val="00ED5BF8"/>
    <w:rsid w:val="00ED5C88"/>
    <w:rsid w:val="00ED5DF5"/>
    <w:rsid w:val="00ED5F52"/>
    <w:rsid w:val="00ED603C"/>
    <w:rsid w:val="00ED6136"/>
    <w:rsid w:val="00ED627D"/>
    <w:rsid w:val="00ED660A"/>
    <w:rsid w:val="00ED6B07"/>
    <w:rsid w:val="00ED6B6C"/>
    <w:rsid w:val="00ED6D2B"/>
    <w:rsid w:val="00ED73E1"/>
    <w:rsid w:val="00ED7909"/>
    <w:rsid w:val="00ED7A04"/>
    <w:rsid w:val="00ED7BE0"/>
    <w:rsid w:val="00ED7E76"/>
    <w:rsid w:val="00ED7EF6"/>
    <w:rsid w:val="00ED7F2E"/>
    <w:rsid w:val="00EE00E5"/>
    <w:rsid w:val="00EE0439"/>
    <w:rsid w:val="00EE0471"/>
    <w:rsid w:val="00EE06EC"/>
    <w:rsid w:val="00EE07BC"/>
    <w:rsid w:val="00EE083D"/>
    <w:rsid w:val="00EE087F"/>
    <w:rsid w:val="00EE08A1"/>
    <w:rsid w:val="00EE0944"/>
    <w:rsid w:val="00EE0BC0"/>
    <w:rsid w:val="00EE0F2E"/>
    <w:rsid w:val="00EE1095"/>
    <w:rsid w:val="00EE187D"/>
    <w:rsid w:val="00EE190F"/>
    <w:rsid w:val="00EE1A98"/>
    <w:rsid w:val="00EE2110"/>
    <w:rsid w:val="00EE22A5"/>
    <w:rsid w:val="00EE2433"/>
    <w:rsid w:val="00EE24DE"/>
    <w:rsid w:val="00EE28AE"/>
    <w:rsid w:val="00EE29BD"/>
    <w:rsid w:val="00EE2ADA"/>
    <w:rsid w:val="00EE2B40"/>
    <w:rsid w:val="00EE31E7"/>
    <w:rsid w:val="00EE3228"/>
    <w:rsid w:val="00EE3328"/>
    <w:rsid w:val="00EE33C1"/>
    <w:rsid w:val="00EE33CF"/>
    <w:rsid w:val="00EE363B"/>
    <w:rsid w:val="00EE3775"/>
    <w:rsid w:val="00EE38C8"/>
    <w:rsid w:val="00EE397D"/>
    <w:rsid w:val="00EE3BEE"/>
    <w:rsid w:val="00EE3D51"/>
    <w:rsid w:val="00EE3DE1"/>
    <w:rsid w:val="00EE3E07"/>
    <w:rsid w:val="00EE3F11"/>
    <w:rsid w:val="00EE42BB"/>
    <w:rsid w:val="00EE4380"/>
    <w:rsid w:val="00EE43F5"/>
    <w:rsid w:val="00EE444F"/>
    <w:rsid w:val="00EE4803"/>
    <w:rsid w:val="00EE48B1"/>
    <w:rsid w:val="00EE492C"/>
    <w:rsid w:val="00EE4B59"/>
    <w:rsid w:val="00EE4D14"/>
    <w:rsid w:val="00EE4F10"/>
    <w:rsid w:val="00EE4F7D"/>
    <w:rsid w:val="00EE51CC"/>
    <w:rsid w:val="00EE535C"/>
    <w:rsid w:val="00EE544F"/>
    <w:rsid w:val="00EE5641"/>
    <w:rsid w:val="00EE5649"/>
    <w:rsid w:val="00EE56D1"/>
    <w:rsid w:val="00EE5C39"/>
    <w:rsid w:val="00EE5C84"/>
    <w:rsid w:val="00EE5CBB"/>
    <w:rsid w:val="00EE5CF0"/>
    <w:rsid w:val="00EE5DED"/>
    <w:rsid w:val="00EE5EB7"/>
    <w:rsid w:val="00EE5EF4"/>
    <w:rsid w:val="00EE5EFE"/>
    <w:rsid w:val="00EE6079"/>
    <w:rsid w:val="00EE65CC"/>
    <w:rsid w:val="00EE6861"/>
    <w:rsid w:val="00EE6F65"/>
    <w:rsid w:val="00EE7012"/>
    <w:rsid w:val="00EE719E"/>
    <w:rsid w:val="00EE71A4"/>
    <w:rsid w:val="00EE7522"/>
    <w:rsid w:val="00EE761E"/>
    <w:rsid w:val="00EE7728"/>
    <w:rsid w:val="00EE7793"/>
    <w:rsid w:val="00EE77B7"/>
    <w:rsid w:val="00EE78D8"/>
    <w:rsid w:val="00EE7990"/>
    <w:rsid w:val="00EE7AF9"/>
    <w:rsid w:val="00EE7C7A"/>
    <w:rsid w:val="00EE7D06"/>
    <w:rsid w:val="00EE7D4D"/>
    <w:rsid w:val="00EF0023"/>
    <w:rsid w:val="00EF020D"/>
    <w:rsid w:val="00EF03A6"/>
    <w:rsid w:val="00EF03A9"/>
    <w:rsid w:val="00EF043B"/>
    <w:rsid w:val="00EF0632"/>
    <w:rsid w:val="00EF0783"/>
    <w:rsid w:val="00EF07E3"/>
    <w:rsid w:val="00EF08E4"/>
    <w:rsid w:val="00EF0A8C"/>
    <w:rsid w:val="00EF0AC5"/>
    <w:rsid w:val="00EF0AEA"/>
    <w:rsid w:val="00EF0C20"/>
    <w:rsid w:val="00EF0E5E"/>
    <w:rsid w:val="00EF11EC"/>
    <w:rsid w:val="00EF1338"/>
    <w:rsid w:val="00EF1468"/>
    <w:rsid w:val="00EF1760"/>
    <w:rsid w:val="00EF1AF1"/>
    <w:rsid w:val="00EF1BE5"/>
    <w:rsid w:val="00EF1D8E"/>
    <w:rsid w:val="00EF2002"/>
    <w:rsid w:val="00EF2043"/>
    <w:rsid w:val="00EF236A"/>
    <w:rsid w:val="00EF246D"/>
    <w:rsid w:val="00EF2537"/>
    <w:rsid w:val="00EF26D1"/>
    <w:rsid w:val="00EF279A"/>
    <w:rsid w:val="00EF296D"/>
    <w:rsid w:val="00EF2A04"/>
    <w:rsid w:val="00EF2AF0"/>
    <w:rsid w:val="00EF2E50"/>
    <w:rsid w:val="00EF2EA6"/>
    <w:rsid w:val="00EF2EF4"/>
    <w:rsid w:val="00EF2FD2"/>
    <w:rsid w:val="00EF3251"/>
    <w:rsid w:val="00EF33A0"/>
    <w:rsid w:val="00EF3618"/>
    <w:rsid w:val="00EF36E8"/>
    <w:rsid w:val="00EF38AC"/>
    <w:rsid w:val="00EF41F1"/>
    <w:rsid w:val="00EF4635"/>
    <w:rsid w:val="00EF47FA"/>
    <w:rsid w:val="00EF4CEB"/>
    <w:rsid w:val="00EF4EFA"/>
    <w:rsid w:val="00EF5256"/>
    <w:rsid w:val="00EF5564"/>
    <w:rsid w:val="00EF5661"/>
    <w:rsid w:val="00EF5677"/>
    <w:rsid w:val="00EF58E9"/>
    <w:rsid w:val="00EF5965"/>
    <w:rsid w:val="00EF59B6"/>
    <w:rsid w:val="00EF5C8B"/>
    <w:rsid w:val="00EF5E2F"/>
    <w:rsid w:val="00EF5E3D"/>
    <w:rsid w:val="00EF5FFC"/>
    <w:rsid w:val="00EF613D"/>
    <w:rsid w:val="00EF62AD"/>
    <w:rsid w:val="00EF6362"/>
    <w:rsid w:val="00EF658E"/>
    <w:rsid w:val="00EF6845"/>
    <w:rsid w:val="00EF6A1D"/>
    <w:rsid w:val="00EF6E72"/>
    <w:rsid w:val="00EF6E86"/>
    <w:rsid w:val="00EF6F4B"/>
    <w:rsid w:val="00EF708F"/>
    <w:rsid w:val="00EF7208"/>
    <w:rsid w:val="00EF7248"/>
    <w:rsid w:val="00EF7467"/>
    <w:rsid w:val="00EF7835"/>
    <w:rsid w:val="00EF786A"/>
    <w:rsid w:val="00EF7E65"/>
    <w:rsid w:val="00F0011C"/>
    <w:rsid w:val="00F00182"/>
    <w:rsid w:val="00F00190"/>
    <w:rsid w:val="00F004A1"/>
    <w:rsid w:val="00F005BC"/>
    <w:rsid w:val="00F006F1"/>
    <w:rsid w:val="00F0080E"/>
    <w:rsid w:val="00F00825"/>
    <w:rsid w:val="00F00872"/>
    <w:rsid w:val="00F00B71"/>
    <w:rsid w:val="00F00B79"/>
    <w:rsid w:val="00F00DFF"/>
    <w:rsid w:val="00F01016"/>
    <w:rsid w:val="00F0129C"/>
    <w:rsid w:val="00F01361"/>
    <w:rsid w:val="00F01367"/>
    <w:rsid w:val="00F0137C"/>
    <w:rsid w:val="00F0168B"/>
    <w:rsid w:val="00F0187D"/>
    <w:rsid w:val="00F01982"/>
    <w:rsid w:val="00F019AF"/>
    <w:rsid w:val="00F01C43"/>
    <w:rsid w:val="00F02086"/>
    <w:rsid w:val="00F02789"/>
    <w:rsid w:val="00F02DED"/>
    <w:rsid w:val="00F02F6B"/>
    <w:rsid w:val="00F0300A"/>
    <w:rsid w:val="00F030AF"/>
    <w:rsid w:val="00F03130"/>
    <w:rsid w:val="00F0319A"/>
    <w:rsid w:val="00F0328B"/>
    <w:rsid w:val="00F0351A"/>
    <w:rsid w:val="00F03552"/>
    <w:rsid w:val="00F035B9"/>
    <w:rsid w:val="00F03775"/>
    <w:rsid w:val="00F0392A"/>
    <w:rsid w:val="00F03C6B"/>
    <w:rsid w:val="00F03CE7"/>
    <w:rsid w:val="00F03D4E"/>
    <w:rsid w:val="00F03E4C"/>
    <w:rsid w:val="00F03EBC"/>
    <w:rsid w:val="00F03F7E"/>
    <w:rsid w:val="00F0437B"/>
    <w:rsid w:val="00F04966"/>
    <w:rsid w:val="00F04CA9"/>
    <w:rsid w:val="00F050A9"/>
    <w:rsid w:val="00F05324"/>
    <w:rsid w:val="00F054EB"/>
    <w:rsid w:val="00F054F2"/>
    <w:rsid w:val="00F0554E"/>
    <w:rsid w:val="00F0573F"/>
    <w:rsid w:val="00F05771"/>
    <w:rsid w:val="00F057C1"/>
    <w:rsid w:val="00F05902"/>
    <w:rsid w:val="00F05B15"/>
    <w:rsid w:val="00F05D86"/>
    <w:rsid w:val="00F05D98"/>
    <w:rsid w:val="00F05EF1"/>
    <w:rsid w:val="00F05F2D"/>
    <w:rsid w:val="00F05F4D"/>
    <w:rsid w:val="00F060F7"/>
    <w:rsid w:val="00F061C1"/>
    <w:rsid w:val="00F061CB"/>
    <w:rsid w:val="00F0630C"/>
    <w:rsid w:val="00F06315"/>
    <w:rsid w:val="00F063C3"/>
    <w:rsid w:val="00F063F4"/>
    <w:rsid w:val="00F0646C"/>
    <w:rsid w:val="00F0650A"/>
    <w:rsid w:val="00F06776"/>
    <w:rsid w:val="00F067D6"/>
    <w:rsid w:val="00F069AD"/>
    <w:rsid w:val="00F06BAE"/>
    <w:rsid w:val="00F06C4D"/>
    <w:rsid w:val="00F070F0"/>
    <w:rsid w:val="00F07277"/>
    <w:rsid w:val="00F07504"/>
    <w:rsid w:val="00F07528"/>
    <w:rsid w:val="00F075EC"/>
    <w:rsid w:val="00F07974"/>
    <w:rsid w:val="00F07991"/>
    <w:rsid w:val="00F07A00"/>
    <w:rsid w:val="00F07AC0"/>
    <w:rsid w:val="00F07BB1"/>
    <w:rsid w:val="00F07C8C"/>
    <w:rsid w:val="00F10344"/>
    <w:rsid w:val="00F105E6"/>
    <w:rsid w:val="00F107ED"/>
    <w:rsid w:val="00F1094E"/>
    <w:rsid w:val="00F10B4F"/>
    <w:rsid w:val="00F10C94"/>
    <w:rsid w:val="00F1140E"/>
    <w:rsid w:val="00F11462"/>
    <w:rsid w:val="00F11587"/>
    <w:rsid w:val="00F11594"/>
    <w:rsid w:val="00F11739"/>
    <w:rsid w:val="00F11745"/>
    <w:rsid w:val="00F119F4"/>
    <w:rsid w:val="00F11BC9"/>
    <w:rsid w:val="00F12241"/>
    <w:rsid w:val="00F122AC"/>
    <w:rsid w:val="00F12340"/>
    <w:rsid w:val="00F1263C"/>
    <w:rsid w:val="00F128E6"/>
    <w:rsid w:val="00F12911"/>
    <w:rsid w:val="00F12DA1"/>
    <w:rsid w:val="00F130E7"/>
    <w:rsid w:val="00F1316A"/>
    <w:rsid w:val="00F13342"/>
    <w:rsid w:val="00F13405"/>
    <w:rsid w:val="00F1375C"/>
    <w:rsid w:val="00F13774"/>
    <w:rsid w:val="00F1379D"/>
    <w:rsid w:val="00F137AC"/>
    <w:rsid w:val="00F137F4"/>
    <w:rsid w:val="00F14304"/>
    <w:rsid w:val="00F148B2"/>
    <w:rsid w:val="00F148F6"/>
    <w:rsid w:val="00F1497B"/>
    <w:rsid w:val="00F14A1F"/>
    <w:rsid w:val="00F14D23"/>
    <w:rsid w:val="00F14F22"/>
    <w:rsid w:val="00F15190"/>
    <w:rsid w:val="00F151A3"/>
    <w:rsid w:val="00F1546D"/>
    <w:rsid w:val="00F15864"/>
    <w:rsid w:val="00F158ED"/>
    <w:rsid w:val="00F15AAC"/>
    <w:rsid w:val="00F15C7E"/>
    <w:rsid w:val="00F15E35"/>
    <w:rsid w:val="00F1602E"/>
    <w:rsid w:val="00F161B7"/>
    <w:rsid w:val="00F16485"/>
    <w:rsid w:val="00F16576"/>
    <w:rsid w:val="00F16600"/>
    <w:rsid w:val="00F1677A"/>
    <w:rsid w:val="00F167EA"/>
    <w:rsid w:val="00F16980"/>
    <w:rsid w:val="00F1699F"/>
    <w:rsid w:val="00F16B28"/>
    <w:rsid w:val="00F16B89"/>
    <w:rsid w:val="00F16E9C"/>
    <w:rsid w:val="00F16F72"/>
    <w:rsid w:val="00F1705C"/>
    <w:rsid w:val="00F171FA"/>
    <w:rsid w:val="00F17380"/>
    <w:rsid w:val="00F17454"/>
    <w:rsid w:val="00F17825"/>
    <w:rsid w:val="00F17EBC"/>
    <w:rsid w:val="00F17F27"/>
    <w:rsid w:val="00F20055"/>
    <w:rsid w:val="00F20253"/>
    <w:rsid w:val="00F202FD"/>
    <w:rsid w:val="00F20329"/>
    <w:rsid w:val="00F204C5"/>
    <w:rsid w:val="00F20575"/>
    <w:rsid w:val="00F2066A"/>
    <w:rsid w:val="00F2068B"/>
    <w:rsid w:val="00F206CA"/>
    <w:rsid w:val="00F208D8"/>
    <w:rsid w:val="00F20AF4"/>
    <w:rsid w:val="00F20C4F"/>
    <w:rsid w:val="00F20DE4"/>
    <w:rsid w:val="00F20E29"/>
    <w:rsid w:val="00F20E4E"/>
    <w:rsid w:val="00F20EBA"/>
    <w:rsid w:val="00F21080"/>
    <w:rsid w:val="00F21213"/>
    <w:rsid w:val="00F214D6"/>
    <w:rsid w:val="00F217C8"/>
    <w:rsid w:val="00F21829"/>
    <w:rsid w:val="00F218CB"/>
    <w:rsid w:val="00F21C8F"/>
    <w:rsid w:val="00F21CC1"/>
    <w:rsid w:val="00F21F8F"/>
    <w:rsid w:val="00F2228D"/>
    <w:rsid w:val="00F22436"/>
    <w:rsid w:val="00F224C0"/>
    <w:rsid w:val="00F225E1"/>
    <w:rsid w:val="00F22617"/>
    <w:rsid w:val="00F2264B"/>
    <w:rsid w:val="00F22685"/>
    <w:rsid w:val="00F2271E"/>
    <w:rsid w:val="00F2277E"/>
    <w:rsid w:val="00F22AD0"/>
    <w:rsid w:val="00F22C1B"/>
    <w:rsid w:val="00F22D29"/>
    <w:rsid w:val="00F22E79"/>
    <w:rsid w:val="00F22EB9"/>
    <w:rsid w:val="00F22F19"/>
    <w:rsid w:val="00F22F4F"/>
    <w:rsid w:val="00F22F6B"/>
    <w:rsid w:val="00F230D3"/>
    <w:rsid w:val="00F234DB"/>
    <w:rsid w:val="00F23682"/>
    <w:rsid w:val="00F23BD4"/>
    <w:rsid w:val="00F23C81"/>
    <w:rsid w:val="00F23C97"/>
    <w:rsid w:val="00F24020"/>
    <w:rsid w:val="00F2404D"/>
    <w:rsid w:val="00F2424C"/>
    <w:rsid w:val="00F242DF"/>
    <w:rsid w:val="00F24400"/>
    <w:rsid w:val="00F24686"/>
    <w:rsid w:val="00F247B7"/>
    <w:rsid w:val="00F24908"/>
    <w:rsid w:val="00F249B1"/>
    <w:rsid w:val="00F24B8F"/>
    <w:rsid w:val="00F25226"/>
    <w:rsid w:val="00F25251"/>
    <w:rsid w:val="00F25318"/>
    <w:rsid w:val="00F2535C"/>
    <w:rsid w:val="00F2540F"/>
    <w:rsid w:val="00F255AB"/>
    <w:rsid w:val="00F2580D"/>
    <w:rsid w:val="00F25A89"/>
    <w:rsid w:val="00F25BAE"/>
    <w:rsid w:val="00F25CD0"/>
    <w:rsid w:val="00F26067"/>
    <w:rsid w:val="00F26160"/>
    <w:rsid w:val="00F2630E"/>
    <w:rsid w:val="00F267B0"/>
    <w:rsid w:val="00F267C6"/>
    <w:rsid w:val="00F26863"/>
    <w:rsid w:val="00F26EC4"/>
    <w:rsid w:val="00F27066"/>
    <w:rsid w:val="00F27491"/>
    <w:rsid w:val="00F27574"/>
    <w:rsid w:val="00F27675"/>
    <w:rsid w:val="00F27800"/>
    <w:rsid w:val="00F278F4"/>
    <w:rsid w:val="00F2790E"/>
    <w:rsid w:val="00F27F10"/>
    <w:rsid w:val="00F27F5F"/>
    <w:rsid w:val="00F27FA5"/>
    <w:rsid w:val="00F302FC"/>
    <w:rsid w:val="00F30357"/>
    <w:rsid w:val="00F3054D"/>
    <w:rsid w:val="00F3089D"/>
    <w:rsid w:val="00F309EE"/>
    <w:rsid w:val="00F30B2C"/>
    <w:rsid w:val="00F30CED"/>
    <w:rsid w:val="00F30F2A"/>
    <w:rsid w:val="00F30FDA"/>
    <w:rsid w:val="00F3110C"/>
    <w:rsid w:val="00F312D2"/>
    <w:rsid w:val="00F31589"/>
    <w:rsid w:val="00F3172E"/>
    <w:rsid w:val="00F31A28"/>
    <w:rsid w:val="00F31B56"/>
    <w:rsid w:val="00F31B74"/>
    <w:rsid w:val="00F31E8B"/>
    <w:rsid w:val="00F31EB5"/>
    <w:rsid w:val="00F31F18"/>
    <w:rsid w:val="00F32012"/>
    <w:rsid w:val="00F32249"/>
    <w:rsid w:val="00F3224D"/>
    <w:rsid w:val="00F324B6"/>
    <w:rsid w:val="00F3253A"/>
    <w:rsid w:val="00F32583"/>
    <w:rsid w:val="00F326AF"/>
    <w:rsid w:val="00F32C7D"/>
    <w:rsid w:val="00F32CDF"/>
    <w:rsid w:val="00F32D53"/>
    <w:rsid w:val="00F32E85"/>
    <w:rsid w:val="00F32ECD"/>
    <w:rsid w:val="00F32EEA"/>
    <w:rsid w:val="00F32F03"/>
    <w:rsid w:val="00F3319B"/>
    <w:rsid w:val="00F33627"/>
    <w:rsid w:val="00F337BB"/>
    <w:rsid w:val="00F3382C"/>
    <w:rsid w:val="00F33A5A"/>
    <w:rsid w:val="00F33A6A"/>
    <w:rsid w:val="00F33D73"/>
    <w:rsid w:val="00F33D96"/>
    <w:rsid w:val="00F33DD0"/>
    <w:rsid w:val="00F33FDE"/>
    <w:rsid w:val="00F34090"/>
    <w:rsid w:val="00F3425B"/>
    <w:rsid w:val="00F34472"/>
    <w:rsid w:val="00F34695"/>
    <w:rsid w:val="00F348B3"/>
    <w:rsid w:val="00F3497E"/>
    <w:rsid w:val="00F349A8"/>
    <w:rsid w:val="00F34C44"/>
    <w:rsid w:val="00F34D29"/>
    <w:rsid w:val="00F34DA6"/>
    <w:rsid w:val="00F34E22"/>
    <w:rsid w:val="00F34E57"/>
    <w:rsid w:val="00F34EB6"/>
    <w:rsid w:val="00F35110"/>
    <w:rsid w:val="00F351D2"/>
    <w:rsid w:val="00F35395"/>
    <w:rsid w:val="00F3540F"/>
    <w:rsid w:val="00F3544D"/>
    <w:rsid w:val="00F3545D"/>
    <w:rsid w:val="00F358C9"/>
    <w:rsid w:val="00F35AAE"/>
    <w:rsid w:val="00F35B8B"/>
    <w:rsid w:val="00F35F1E"/>
    <w:rsid w:val="00F35FDC"/>
    <w:rsid w:val="00F35FF0"/>
    <w:rsid w:val="00F36435"/>
    <w:rsid w:val="00F364FB"/>
    <w:rsid w:val="00F36561"/>
    <w:rsid w:val="00F365C8"/>
    <w:rsid w:val="00F3664C"/>
    <w:rsid w:val="00F36661"/>
    <w:rsid w:val="00F36686"/>
    <w:rsid w:val="00F36706"/>
    <w:rsid w:val="00F367BE"/>
    <w:rsid w:val="00F3686D"/>
    <w:rsid w:val="00F36971"/>
    <w:rsid w:val="00F370F2"/>
    <w:rsid w:val="00F373C9"/>
    <w:rsid w:val="00F3743D"/>
    <w:rsid w:val="00F3745D"/>
    <w:rsid w:val="00F37585"/>
    <w:rsid w:val="00F375D6"/>
    <w:rsid w:val="00F3760D"/>
    <w:rsid w:val="00F3781A"/>
    <w:rsid w:val="00F37D7A"/>
    <w:rsid w:val="00F37D8D"/>
    <w:rsid w:val="00F37DE0"/>
    <w:rsid w:val="00F40058"/>
    <w:rsid w:val="00F40115"/>
    <w:rsid w:val="00F4065B"/>
    <w:rsid w:val="00F4079D"/>
    <w:rsid w:val="00F4083A"/>
    <w:rsid w:val="00F40854"/>
    <w:rsid w:val="00F40903"/>
    <w:rsid w:val="00F40A21"/>
    <w:rsid w:val="00F40B55"/>
    <w:rsid w:val="00F40BAA"/>
    <w:rsid w:val="00F40D00"/>
    <w:rsid w:val="00F40D23"/>
    <w:rsid w:val="00F40F4F"/>
    <w:rsid w:val="00F41310"/>
    <w:rsid w:val="00F41399"/>
    <w:rsid w:val="00F41634"/>
    <w:rsid w:val="00F41A71"/>
    <w:rsid w:val="00F41D06"/>
    <w:rsid w:val="00F4242A"/>
    <w:rsid w:val="00F4269A"/>
    <w:rsid w:val="00F42712"/>
    <w:rsid w:val="00F4284A"/>
    <w:rsid w:val="00F42902"/>
    <w:rsid w:val="00F429A1"/>
    <w:rsid w:val="00F43210"/>
    <w:rsid w:val="00F4346A"/>
    <w:rsid w:val="00F43699"/>
    <w:rsid w:val="00F439EE"/>
    <w:rsid w:val="00F43BFA"/>
    <w:rsid w:val="00F43F67"/>
    <w:rsid w:val="00F440E3"/>
    <w:rsid w:val="00F443AD"/>
    <w:rsid w:val="00F44656"/>
    <w:rsid w:val="00F4466F"/>
    <w:rsid w:val="00F44682"/>
    <w:rsid w:val="00F448B3"/>
    <w:rsid w:val="00F44990"/>
    <w:rsid w:val="00F44A00"/>
    <w:rsid w:val="00F44AD5"/>
    <w:rsid w:val="00F44C5F"/>
    <w:rsid w:val="00F44E0C"/>
    <w:rsid w:val="00F451B6"/>
    <w:rsid w:val="00F4588A"/>
    <w:rsid w:val="00F45C28"/>
    <w:rsid w:val="00F45C93"/>
    <w:rsid w:val="00F45D23"/>
    <w:rsid w:val="00F461E8"/>
    <w:rsid w:val="00F46245"/>
    <w:rsid w:val="00F462C4"/>
    <w:rsid w:val="00F4632E"/>
    <w:rsid w:val="00F464E5"/>
    <w:rsid w:val="00F46577"/>
    <w:rsid w:val="00F465C5"/>
    <w:rsid w:val="00F467B4"/>
    <w:rsid w:val="00F467DC"/>
    <w:rsid w:val="00F46B37"/>
    <w:rsid w:val="00F46DCD"/>
    <w:rsid w:val="00F4706D"/>
    <w:rsid w:val="00F4718E"/>
    <w:rsid w:val="00F4725E"/>
    <w:rsid w:val="00F4745B"/>
    <w:rsid w:val="00F4748C"/>
    <w:rsid w:val="00F474FE"/>
    <w:rsid w:val="00F47669"/>
    <w:rsid w:val="00F47696"/>
    <w:rsid w:val="00F47887"/>
    <w:rsid w:val="00F47EF5"/>
    <w:rsid w:val="00F47FE7"/>
    <w:rsid w:val="00F50046"/>
    <w:rsid w:val="00F50085"/>
    <w:rsid w:val="00F5047F"/>
    <w:rsid w:val="00F5053B"/>
    <w:rsid w:val="00F50A5C"/>
    <w:rsid w:val="00F50A6C"/>
    <w:rsid w:val="00F50AB7"/>
    <w:rsid w:val="00F50AD4"/>
    <w:rsid w:val="00F50D76"/>
    <w:rsid w:val="00F50DFC"/>
    <w:rsid w:val="00F50E0D"/>
    <w:rsid w:val="00F51278"/>
    <w:rsid w:val="00F518F9"/>
    <w:rsid w:val="00F51A69"/>
    <w:rsid w:val="00F525CA"/>
    <w:rsid w:val="00F52824"/>
    <w:rsid w:val="00F5286B"/>
    <w:rsid w:val="00F528F3"/>
    <w:rsid w:val="00F52992"/>
    <w:rsid w:val="00F52B48"/>
    <w:rsid w:val="00F52B74"/>
    <w:rsid w:val="00F52D56"/>
    <w:rsid w:val="00F52D80"/>
    <w:rsid w:val="00F52F06"/>
    <w:rsid w:val="00F53059"/>
    <w:rsid w:val="00F531ED"/>
    <w:rsid w:val="00F5321D"/>
    <w:rsid w:val="00F532FF"/>
    <w:rsid w:val="00F5340F"/>
    <w:rsid w:val="00F53525"/>
    <w:rsid w:val="00F53584"/>
    <w:rsid w:val="00F535A7"/>
    <w:rsid w:val="00F53710"/>
    <w:rsid w:val="00F537F4"/>
    <w:rsid w:val="00F5394E"/>
    <w:rsid w:val="00F53A87"/>
    <w:rsid w:val="00F53B82"/>
    <w:rsid w:val="00F53D0E"/>
    <w:rsid w:val="00F53D4A"/>
    <w:rsid w:val="00F53D69"/>
    <w:rsid w:val="00F5417F"/>
    <w:rsid w:val="00F542A3"/>
    <w:rsid w:val="00F54455"/>
    <w:rsid w:val="00F544B2"/>
    <w:rsid w:val="00F545FA"/>
    <w:rsid w:val="00F548CB"/>
    <w:rsid w:val="00F54A22"/>
    <w:rsid w:val="00F54B30"/>
    <w:rsid w:val="00F54FA5"/>
    <w:rsid w:val="00F55005"/>
    <w:rsid w:val="00F55023"/>
    <w:rsid w:val="00F55253"/>
    <w:rsid w:val="00F552B4"/>
    <w:rsid w:val="00F55790"/>
    <w:rsid w:val="00F55D4A"/>
    <w:rsid w:val="00F5608B"/>
    <w:rsid w:val="00F56352"/>
    <w:rsid w:val="00F563C7"/>
    <w:rsid w:val="00F56FA0"/>
    <w:rsid w:val="00F570A4"/>
    <w:rsid w:val="00F57231"/>
    <w:rsid w:val="00F57408"/>
    <w:rsid w:val="00F5743E"/>
    <w:rsid w:val="00F57729"/>
    <w:rsid w:val="00F57908"/>
    <w:rsid w:val="00F57A11"/>
    <w:rsid w:val="00F57B05"/>
    <w:rsid w:val="00F57B0F"/>
    <w:rsid w:val="00F57DC8"/>
    <w:rsid w:val="00F57DE6"/>
    <w:rsid w:val="00F601B5"/>
    <w:rsid w:val="00F6020B"/>
    <w:rsid w:val="00F60ACE"/>
    <w:rsid w:val="00F614A9"/>
    <w:rsid w:val="00F617EB"/>
    <w:rsid w:val="00F6184A"/>
    <w:rsid w:val="00F61A3D"/>
    <w:rsid w:val="00F61B1A"/>
    <w:rsid w:val="00F61B9E"/>
    <w:rsid w:val="00F61E24"/>
    <w:rsid w:val="00F61F27"/>
    <w:rsid w:val="00F61F44"/>
    <w:rsid w:val="00F6229D"/>
    <w:rsid w:val="00F62398"/>
    <w:rsid w:val="00F623DA"/>
    <w:rsid w:val="00F626B1"/>
    <w:rsid w:val="00F62728"/>
    <w:rsid w:val="00F62BEC"/>
    <w:rsid w:val="00F62CD5"/>
    <w:rsid w:val="00F62F77"/>
    <w:rsid w:val="00F62F8A"/>
    <w:rsid w:val="00F6304B"/>
    <w:rsid w:val="00F6321D"/>
    <w:rsid w:val="00F63597"/>
    <w:rsid w:val="00F63B41"/>
    <w:rsid w:val="00F63CFA"/>
    <w:rsid w:val="00F63FF8"/>
    <w:rsid w:val="00F64384"/>
    <w:rsid w:val="00F6440C"/>
    <w:rsid w:val="00F64465"/>
    <w:rsid w:val="00F64546"/>
    <w:rsid w:val="00F646A1"/>
    <w:rsid w:val="00F64B08"/>
    <w:rsid w:val="00F64CD9"/>
    <w:rsid w:val="00F64D4F"/>
    <w:rsid w:val="00F64DBE"/>
    <w:rsid w:val="00F64E52"/>
    <w:rsid w:val="00F64E96"/>
    <w:rsid w:val="00F64EC1"/>
    <w:rsid w:val="00F6556F"/>
    <w:rsid w:val="00F6581F"/>
    <w:rsid w:val="00F65845"/>
    <w:rsid w:val="00F6592E"/>
    <w:rsid w:val="00F65B76"/>
    <w:rsid w:val="00F65BAE"/>
    <w:rsid w:val="00F65BBD"/>
    <w:rsid w:val="00F65E0F"/>
    <w:rsid w:val="00F65E5A"/>
    <w:rsid w:val="00F65FAD"/>
    <w:rsid w:val="00F66008"/>
    <w:rsid w:val="00F663C4"/>
    <w:rsid w:val="00F664A7"/>
    <w:rsid w:val="00F668F9"/>
    <w:rsid w:val="00F66944"/>
    <w:rsid w:val="00F669E2"/>
    <w:rsid w:val="00F66CAC"/>
    <w:rsid w:val="00F66CDA"/>
    <w:rsid w:val="00F66DF7"/>
    <w:rsid w:val="00F66F3E"/>
    <w:rsid w:val="00F66F7B"/>
    <w:rsid w:val="00F67187"/>
    <w:rsid w:val="00F671BA"/>
    <w:rsid w:val="00F67359"/>
    <w:rsid w:val="00F673FA"/>
    <w:rsid w:val="00F674B2"/>
    <w:rsid w:val="00F674F0"/>
    <w:rsid w:val="00F67AE0"/>
    <w:rsid w:val="00F67B4A"/>
    <w:rsid w:val="00F67B7F"/>
    <w:rsid w:val="00F67DC2"/>
    <w:rsid w:val="00F70163"/>
    <w:rsid w:val="00F702AB"/>
    <w:rsid w:val="00F703EB"/>
    <w:rsid w:val="00F704E0"/>
    <w:rsid w:val="00F705B3"/>
    <w:rsid w:val="00F70734"/>
    <w:rsid w:val="00F70BAD"/>
    <w:rsid w:val="00F70CF1"/>
    <w:rsid w:val="00F70DFD"/>
    <w:rsid w:val="00F70ED5"/>
    <w:rsid w:val="00F711DE"/>
    <w:rsid w:val="00F713DB"/>
    <w:rsid w:val="00F71582"/>
    <w:rsid w:val="00F717D0"/>
    <w:rsid w:val="00F71973"/>
    <w:rsid w:val="00F71A87"/>
    <w:rsid w:val="00F71BFF"/>
    <w:rsid w:val="00F71FCB"/>
    <w:rsid w:val="00F72002"/>
    <w:rsid w:val="00F72070"/>
    <w:rsid w:val="00F72138"/>
    <w:rsid w:val="00F7228A"/>
    <w:rsid w:val="00F72291"/>
    <w:rsid w:val="00F723A5"/>
    <w:rsid w:val="00F72A64"/>
    <w:rsid w:val="00F72B51"/>
    <w:rsid w:val="00F72C1D"/>
    <w:rsid w:val="00F72C2F"/>
    <w:rsid w:val="00F72E05"/>
    <w:rsid w:val="00F72E5A"/>
    <w:rsid w:val="00F72F05"/>
    <w:rsid w:val="00F731E9"/>
    <w:rsid w:val="00F731EE"/>
    <w:rsid w:val="00F7324E"/>
    <w:rsid w:val="00F73559"/>
    <w:rsid w:val="00F735F8"/>
    <w:rsid w:val="00F7378E"/>
    <w:rsid w:val="00F7385C"/>
    <w:rsid w:val="00F73B09"/>
    <w:rsid w:val="00F73CCC"/>
    <w:rsid w:val="00F73D7B"/>
    <w:rsid w:val="00F73E9F"/>
    <w:rsid w:val="00F74005"/>
    <w:rsid w:val="00F74065"/>
    <w:rsid w:val="00F740BC"/>
    <w:rsid w:val="00F742C4"/>
    <w:rsid w:val="00F744C7"/>
    <w:rsid w:val="00F74877"/>
    <w:rsid w:val="00F74CC7"/>
    <w:rsid w:val="00F74DCF"/>
    <w:rsid w:val="00F74E6C"/>
    <w:rsid w:val="00F74F86"/>
    <w:rsid w:val="00F750D2"/>
    <w:rsid w:val="00F7557A"/>
    <w:rsid w:val="00F755C5"/>
    <w:rsid w:val="00F756CA"/>
    <w:rsid w:val="00F75703"/>
    <w:rsid w:val="00F75861"/>
    <w:rsid w:val="00F75927"/>
    <w:rsid w:val="00F75CAC"/>
    <w:rsid w:val="00F75D54"/>
    <w:rsid w:val="00F75D78"/>
    <w:rsid w:val="00F75DE8"/>
    <w:rsid w:val="00F75F4B"/>
    <w:rsid w:val="00F76052"/>
    <w:rsid w:val="00F76091"/>
    <w:rsid w:val="00F761CE"/>
    <w:rsid w:val="00F76341"/>
    <w:rsid w:val="00F76479"/>
    <w:rsid w:val="00F766F6"/>
    <w:rsid w:val="00F767D3"/>
    <w:rsid w:val="00F76868"/>
    <w:rsid w:val="00F769B2"/>
    <w:rsid w:val="00F76C78"/>
    <w:rsid w:val="00F76DAA"/>
    <w:rsid w:val="00F76F3A"/>
    <w:rsid w:val="00F770C1"/>
    <w:rsid w:val="00F77441"/>
    <w:rsid w:val="00F774AC"/>
    <w:rsid w:val="00F77510"/>
    <w:rsid w:val="00F775D6"/>
    <w:rsid w:val="00F7765A"/>
    <w:rsid w:val="00F778D0"/>
    <w:rsid w:val="00F804C7"/>
    <w:rsid w:val="00F8056E"/>
    <w:rsid w:val="00F805A8"/>
    <w:rsid w:val="00F80BD5"/>
    <w:rsid w:val="00F80C61"/>
    <w:rsid w:val="00F80EA1"/>
    <w:rsid w:val="00F811D9"/>
    <w:rsid w:val="00F8122C"/>
    <w:rsid w:val="00F81393"/>
    <w:rsid w:val="00F8143F"/>
    <w:rsid w:val="00F8166F"/>
    <w:rsid w:val="00F81732"/>
    <w:rsid w:val="00F817EC"/>
    <w:rsid w:val="00F818DF"/>
    <w:rsid w:val="00F81C29"/>
    <w:rsid w:val="00F81DC4"/>
    <w:rsid w:val="00F81DE4"/>
    <w:rsid w:val="00F8240D"/>
    <w:rsid w:val="00F8298A"/>
    <w:rsid w:val="00F82AD9"/>
    <w:rsid w:val="00F83514"/>
    <w:rsid w:val="00F83785"/>
    <w:rsid w:val="00F838E2"/>
    <w:rsid w:val="00F83B9D"/>
    <w:rsid w:val="00F83DA2"/>
    <w:rsid w:val="00F841A5"/>
    <w:rsid w:val="00F8421E"/>
    <w:rsid w:val="00F842CA"/>
    <w:rsid w:val="00F842EB"/>
    <w:rsid w:val="00F843A8"/>
    <w:rsid w:val="00F846A3"/>
    <w:rsid w:val="00F8486F"/>
    <w:rsid w:val="00F8494F"/>
    <w:rsid w:val="00F84CB9"/>
    <w:rsid w:val="00F85063"/>
    <w:rsid w:val="00F853D9"/>
    <w:rsid w:val="00F85502"/>
    <w:rsid w:val="00F8550A"/>
    <w:rsid w:val="00F85622"/>
    <w:rsid w:val="00F857A5"/>
    <w:rsid w:val="00F857B6"/>
    <w:rsid w:val="00F85805"/>
    <w:rsid w:val="00F85A1C"/>
    <w:rsid w:val="00F85A7B"/>
    <w:rsid w:val="00F85AD1"/>
    <w:rsid w:val="00F85B19"/>
    <w:rsid w:val="00F85C57"/>
    <w:rsid w:val="00F85CAF"/>
    <w:rsid w:val="00F86236"/>
    <w:rsid w:val="00F86237"/>
    <w:rsid w:val="00F86253"/>
    <w:rsid w:val="00F8630A"/>
    <w:rsid w:val="00F8643B"/>
    <w:rsid w:val="00F86876"/>
    <w:rsid w:val="00F86988"/>
    <w:rsid w:val="00F86B09"/>
    <w:rsid w:val="00F86BEC"/>
    <w:rsid w:val="00F86CAE"/>
    <w:rsid w:val="00F86F0D"/>
    <w:rsid w:val="00F86FC1"/>
    <w:rsid w:val="00F87453"/>
    <w:rsid w:val="00F87BC1"/>
    <w:rsid w:val="00F87C22"/>
    <w:rsid w:val="00F87E17"/>
    <w:rsid w:val="00F904BA"/>
    <w:rsid w:val="00F90566"/>
    <w:rsid w:val="00F90840"/>
    <w:rsid w:val="00F90B53"/>
    <w:rsid w:val="00F90C0C"/>
    <w:rsid w:val="00F90C4A"/>
    <w:rsid w:val="00F90E01"/>
    <w:rsid w:val="00F911A9"/>
    <w:rsid w:val="00F912A5"/>
    <w:rsid w:val="00F915F6"/>
    <w:rsid w:val="00F916B3"/>
    <w:rsid w:val="00F9180F"/>
    <w:rsid w:val="00F91A8C"/>
    <w:rsid w:val="00F92066"/>
    <w:rsid w:val="00F9252F"/>
    <w:rsid w:val="00F92A3E"/>
    <w:rsid w:val="00F92B01"/>
    <w:rsid w:val="00F92F07"/>
    <w:rsid w:val="00F93053"/>
    <w:rsid w:val="00F93131"/>
    <w:rsid w:val="00F93192"/>
    <w:rsid w:val="00F932A0"/>
    <w:rsid w:val="00F935D1"/>
    <w:rsid w:val="00F93602"/>
    <w:rsid w:val="00F939E5"/>
    <w:rsid w:val="00F93AF3"/>
    <w:rsid w:val="00F93DDE"/>
    <w:rsid w:val="00F942B4"/>
    <w:rsid w:val="00F94309"/>
    <w:rsid w:val="00F94359"/>
    <w:rsid w:val="00F943E8"/>
    <w:rsid w:val="00F945B2"/>
    <w:rsid w:val="00F94A0F"/>
    <w:rsid w:val="00F94B66"/>
    <w:rsid w:val="00F94D2D"/>
    <w:rsid w:val="00F94F84"/>
    <w:rsid w:val="00F94FFE"/>
    <w:rsid w:val="00F951B4"/>
    <w:rsid w:val="00F95261"/>
    <w:rsid w:val="00F9532D"/>
    <w:rsid w:val="00F9533B"/>
    <w:rsid w:val="00F95366"/>
    <w:rsid w:val="00F95A68"/>
    <w:rsid w:val="00F95C68"/>
    <w:rsid w:val="00F95D06"/>
    <w:rsid w:val="00F95EDA"/>
    <w:rsid w:val="00F9609E"/>
    <w:rsid w:val="00F960EA"/>
    <w:rsid w:val="00F9614F"/>
    <w:rsid w:val="00F96286"/>
    <w:rsid w:val="00F96458"/>
    <w:rsid w:val="00F96A88"/>
    <w:rsid w:val="00F96B68"/>
    <w:rsid w:val="00F96DE2"/>
    <w:rsid w:val="00F9736A"/>
    <w:rsid w:val="00F97435"/>
    <w:rsid w:val="00F974C7"/>
    <w:rsid w:val="00F976BB"/>
    <w:rsid w:val="00F97722"/>
    <w:rsid w:val="00F9780F"/>
    <w:rsid w:val="00F97A67"/>
    <w:rsid w:val="00F97D2C"/>
    <w:rsid w:val="00F97E42"/>
    <w:rsid w:val="00FA021D"/>
    <w:rsid w:val="00FA0267"/>
    <w:rsid w:val="00FA0350"/>
    <w:rsid w:val="00FA0A1A"/>
    <w:rsid w:val="00FA103A"/>
    <w:rsid w:val="00FA11E5"/>
    <w:rsid w:val="00FA1269"/>
    <w:rsid w:val="00FA177F"/>
    <w:rsid w:val="00FA178F"/>
    <w:rsid w:val="00FA18E4"/>
    <w:rsid w:val="00FA1A57"/>
    <w:rsid w:val="00FA1E5A"/>
    <w:rsid w:val="00FA1E65"/>
    <w:rsid w:val="00FA23B9"/>
    <w:rsid w:val="00FA25E9"/>
    <w:rsid w:val="00FA2612"/>
    <w:rsid w:val="00FA2646"/>
    <w:rsid w:val="00FA2BB5"/>
    <w:rsid w:val="00FA2D41"/>
    <w:rsid w:val="00FA2F59"/>
    <w:rsid w:val="00FA301C"/>
    <w:rsid w:val="00FA340B"/>
    <w:rsid w:val="00FA36DF"/>
    <w:rsid w:val="00FA39E3"/>
    <w:rsid w:val="00FA3C29"/>
    <w:rsid w:val="00FA3FBD"/>
    <w:rsid w:val="00FA4071"/>
    <w:rsid w:val="00FA4118"/>
    <w:rsid w:val="00FA43E0"/>
    <w:rsid w:val="00FA4401"/>
    <w:rsid w:val="00FA4405"/>
    <w:rsid w:val="00FA4477"/>
    <w:rsid w:val="00FA45D6"/>
    <w:rsid w:val="00FA4E20"/>
    <w:rsid w:val="00FA4F50"/>
    <w:rsid w:val="00FA542C"/>
    <w:rsid w:val="00FA568E"/>
    <w:rsid w:val="00FA5A45"/>
    <w:rsid w:val="00FA5A94"/>
    <w:rsid w:val="00FA5B78"/>
    <w:rsid w:val="00FA5C22"/>
    <w:rsid w:val="00FA5C52"/>
    <w:rsid w:val="00FA5D6D"/>
    <w:rsid w:val="00FA5F38"/>
    <w:rsid w:val="00FA5F7D"/>
    <w:rsid w:val="00FA60B4"/>
    <w:rsid w:val="00FA6613"/>
    <w:rsid w:val="00FA6833"/>
    <w:rsid w:val="00FA68DE"/>
    <w:rsid w:val="00FA6D06"/>
    <w:rsid w:val="00FA6D6D"/>
    <w:rsid w:val="00FA6F02"/>
    <w:rsid w:val="00FA6FD7"/>
    <w:rsid w:val="00FA6FFB"/>
    <w:rsid w:val="00FA70A0"/>
    <w:rsid w:val="00FA70C4"/>
    <w:rsid w:val="00FA73D2"/>
    <w:rsid w:val="00FA7500"/>
    <w:rsid w:val="00FA76A8"/>
    <w:rsid w:val="00FA76B4"/>
    <w:rsid w:val="00FA7840"/>
    <w:rsid w:val="00FA7848"/>
    <w:rsid w:val="00FA7C55"/>
    <w:rsid w:val="00FA7E89"/>
    <w:rsid w:val="00FB01E1"/>
    <w:rsid w:val="00FB01E3"/>
    <w:rsid w:val="00FB03E2"/>
    <w:rsid w:val="00FB05BF"/>
    <w:rsid w:val="00FB060F"/>
    <w:rsid w:val="00FB07D4"/>
    <w:rsid w:val="00FB08CD"/>
    <w:rsid w:val="00FB0BA3"/>
    <w:rsid w:val="00FB0BBE"/>
    <w:rsid w:val="00FB0CBE"/>
    <w:rsid w:val="00FB0DC2"/>
    <w:rsid w:val="00FB0E51"/>
    <w:rsid w:val="00FB0EB9"/>
    <w:rsid w:val="00FB0FEE"/>
    <w:rsid w:val="00FB12E5"/>
    <w:rsid w:val="00FB151B"/>
    <w:rsid w:val="00FB1645"/>
    <w:rsid w:val="00FB1757"/>
    <w:rsid w:val="00FB17C6"/>
    <w:rsid w:val="00FB18C7"/>
    <w:rsid w:val="00FB1F4F"/>
    <w:rsid w:val="00FB238E"/>
    <w:rsid w:val="00FB2486"/>
    <w:rsid w:val="00FB27C3"/>
    <w:rsid w:val="00FB28B0"/>
    <w:rsid w:val="00FB29A4"/>
    <w:rsid w:val="00FB29B3"/>
    <w:rsid w:val="00FB2A90"/>
    <w:rsid w:val="00FB2B7D"/>
    <w:rsid w:val="00FB2C54"/>
    <w:rsid w:val="00FB2F47"/>
    <w:rsid w:val="00FB2FBB"/>
    <w:rsid w:val="00FB307E"/>
    <w:rsid w:val="00FB31B8"/>
    <w:rsid w:val="00FB3288"/>
    <w:rsid w:val="00FB32B0"/>
    <w:rsid w:val="00FB334F"/>
    <w:rsid w:val="00FB39B6"/>
    <w:rsid w:val="00FB3B50"/>
    <w:rsid w:val="00FB3B66"/>
    <w:rsid w:val="00FB3DF9"/>
    <w:rsid w:val="00FB40FE"/>
    <w:rsid w:val="00FB4173"/>
    <w:rsid w:val="00FB41AE"/>
    <w:rsid w:val="00FB42C5"/>
    <w:rsid w:val="00FB435C"/>
    <w:rsid w:val="00FB45A0"/>
    <w:rsid w:val="00FB45FD"/>
    <w:rsid w:val="00FB4ED6"/>
    <w:rsid w:val="00FB5032"/>
    <w:rsid w:val="00FB512D"/>
    <w:rsid w:val="00FB54D1"/>
    <w:rsid w:val="00FB5AE5"/>
    <w:rsid w:val="00FB5AF5"/>
    <w:rsid w:val="00FB5BFC"/>
    <w:rsid w:val="00FB5BFE"/>
    <w:rsid w:val="00FB5C23"/>
    <w:rsid w:val="00FB5D04"/>
    <w:rsid w:val="00FB5D34"/>
    <w:rsid w:val="00FB5DB8"/>
    <w:rsid w:val="00FB5E58"/>
    <w:rsid w:val="00FB6424"/>
    <w:rsid w:val="00FB67C7"/>
    <w:rsid w:val="00FB688B"/>
    <w:rsid w:val="00FB6B99"/>
    <w:rsid w:val="00FB6E80"/>
    <w:rsid w:val="00FB712F"/>
    <w:rsid w:val="00FB740B"/>
    <w:rsid w:val="00FB7493"/>
    <w:rsid w:val="00FB772D"/>
    <w:rsid w:val="00FB797E"/>
    <w:rsid w:val="00FB7D21"/>
    <w:rsid w:val="00FB7DAC"/>
    <w:rsid w:val="00FB7DDF"/>
    <w:rsid w:val="00FC0071"/>
    <w:rsid w:val="00FC020F"/>
    <w:rsid w:val="00FC031F"/>
    <w:rsid w:val="00FC0348"/>
    <w:rsid w:val="00FC0452"/>
    <w:rsid w:val="00FC053F"/>
    <w:rsid w:val="00FC0661"/>
    <w:rsid w:val="00FC0C9A"/>
    <w:rsid w:val="00FC0DB7"/>
    <w:rsid w:val="00FC0F02"/>
    <w:rsid w:val="00FC11C4"/>
    <w:rsid w:val="00FC11EB"/>
    <w:rsid w:val="00FC122B"/>
    <w:rsid w:val="00FC1497"/>
    <w:rsid w:val="00FC1663"/>
    <w:rsid w:val="00FC1698"/>
    <w:rsid w:val="00FC1CB2"/>
    <w:rsid w:val="00FC1CE0"/>
    <w:rsid w:val="00FC1E5A"/>
    <w:rsid w:val="00FC1E70"/>
    <w:rsid w:val="00FC21CA"/>
    <w:rsid w:val="00FC21FE"/>
    <w:rsid w:val="00FC226E"/>
    <w:rsid w:val="00FC233B"/>
    <w:rsid w:val="00FC2477"/>
    <w:rsid w:val="00FC2792"/>
    <w:rsid w:val="00FC2940"/>
    <w:rsid w:val="00FC2A17"/>
    <w:rsid w:val="00FC2A87"/>
    <w:rsid w:val="00FC2B82"/>
    <w:rsid w:val="00FC2C4E"/>
    <w:rsid w:val="00FC2C7D"/>
    <w:rsid w:val="00FC2D30"/>
    <w:rsid w:val="00FC31F4"/>
    <w:rsid w:val="00FC3368"/>
    <w:rsid w:val="00FC3512"/>
    <w:rsid w:val="00FC3649"/>
    <w:rsid w:val="00FC3807"/>
    <w:rsid w:val="00FC38B7"/>
    <w:rsid w:val="00FC3936"/>
    <w:rsid w:val="00FC3AB2"/>
    <w:rsid w:val="00FC3CC6"/>
    <w:rsid w:val="00FC3E86"/>
    <w:rsid w:val="00FC3FA3"/>
    <w:rsid w:val="00FC414B"/>
    <w:rsid w:val="00FC4336"/>
    <w:rsid w:val="00FC433B"/>
    <w:rsid w:val="00FC44F3"/>
    <w:rsid w:val="00FC4661"/>
    <w:rsid w:val="00FC4683"/>
    <w:rsid w:val="00FC4B77"/>
    <w:rsid w:val="00FC4EAE"/>
    <w:rsid w:val="00FC4F5A"/>
    <w:rsid w:val="00FC500E"/>
    <w:rsid w:val="00FC509C"/>
    <w:rsid w:val="00FC50EE"/>
    <w:rsid w:val="00FC516D"/>
    <w:rsid w:val="00FC5171"/>
    <w:rsid w:val="00FC520B"/>
    <w:rsid w:val="00FC53E6"/>
    <w:rsid w:val="00FC53FE"/>
    <w:rsid w:val="00FC5488"/>
    <w:rsid w:val="00FC55E5"/>
    <w:rsid w:val="00FC56BF"/>
    <w:rsid w:val="00FC5706"/>
    <w:rsid w:val="00FC594F"/>
    <w:rsid w:val="00FC5F8C"/>
    <w:rsid w:val="00FC6135"/>
    <w:rsid w:val="00FC6462"/>
    <w:rsid w:val="00FC66DC"/>
    <w:rsid w:val="00FC6848"/>
    <w:rsid w:val="00FC68D7"/>
    <w:rsid w:val="00FC6F02"/>
    <w:rsid w:val="00FC70EB"/>
    <w:rsid w:val="00FC728E"/>
    <w:rsid w:val="00FC7364"/>
    <w:rsid w:val="00FC73AC"/>
    <w:rsid w:val="00FC73B5"/>
    <w:rsid w:val="00FC7425"/>
    <w:rsid w:val="00FC7526"/>
    <w:rsid w:val="00FC7549"/>
    <w:rsid w:val="00FC758B"/>
    <w:rsid w:val="00FC774C"/>
    <w:rsid w:val="00FC77F6"/>
    <w:rsid w:val="00FC7B1C"/>
    <w:rsid w:val="00FC7B28"/>
    <w:rsid w:val="00FC7BB1"/>
    <w:rsid w:val="00FC7D4E"/>
    <w:rsid w:val="00FC7D6D"/>
    <w:rsid w:val="00FD0035"/>
    <w:rsid w:val="00FD0079"/>
    <w:rsid w:val="00FD0388"/>
    <w:rsid w:val="00FD04A4"/>
    <w:rsid w:val="00FD0657"/>
    <w:rsid w:val="00FD07CD"/>
    <w:rsid w:val="00FD0802"/>
    <w:rsid w:val="00FD0DCE"/>
    <w:rsid w:val="00FD11AF"/>
    <w:rsid w:val="00FD11DD"/>
    <w:rsid w:val="00FD11E6"/>
    <w:rsid w:val="00FD1743"/>
    <w:rsid w:val="00FD1927"/>
    <w:rsid w:val="00FD1AC4"/>
    <w:rsid w:val="00FD1EA4"/>
    <w:rsid w:val="00FD1FDC"/>
    <w:rsid w:val="00FD205A"/>
    <w:rsid w:val="00FD2226"/>
    <w:rsid w:val="00FD2245"/>
    <w:rsid w:val="00FD24C3"/>
    <w:rsid w:val="00FD254A"/>
    <w:rsid w:val="00FD273B"/>
    <w:rsid w:val="00FD2C37"/>
    <w:rsid w:val="00FD2C5F"/>
    <w:rsid w:val="00FD2F20"/>
    <w:rsid w:val="00FD32F7"/>
    <w:rsid w:val="00FD3649"/>
    <w:rsid w:val="00FD3694"/>
    <w:rsid w:val="00FD38E5"/>
    <w:rsid w:val="00FD3E52"/>
    <w:rsid w:val="00FD4007"/>
    <w:rsid w:val="00FD410D"/>
    <w:rsid w:val="00FD485D"/>
    <w:rsid w:val="00FD490C"/>
    <w:rsid w:val="00FD49ED"/>
    <w:rsid w:val="00FD4A83"/>
    <w:rsid w:val="00FD4CAE"/>
    <w:rsid w:val="00FD51C4"/>
    <w:rsid w:val="00FD52DC"/>
    <w:rsid w:val="00FD567C"/>
    <w:rsid w:val="00FD5733"/>
    <w:rsid w:val="00FD5746"/>
    <w:rsid w:val="00FD584C"/>
    <w:rsid w:val="00FD596E"/>
    <w:rsid w:val="00FD5A0B"/>
    <w:rsid w:val="00FD5BCB"/>
    <w:rsid w:val="00FD5C4C"/>
    <w:rsid w:val="00FD5CEF"/>
    <w:rsid w:val="00FD5E38"/>
    <w:rsid w:val="00FD5E74"/>
    <w:rsid w:val="00FD6246"/>
    <w:rsid w:val="00FD656A"/>
    <w:rsid w:val="00FD6670"/>
    <w:rsid w:val="00FD6828"/>
    <w:rsid w:val="00FD6913"/>
    <w:rsid w:val="00FD6A44"/>
    <w:rsid w:val="00FD6B12"/>
    <w:rsid w:val="00FD7269"/>
    <w:rsid w:val="00FD7294"/>
    <w:rsid w:val="00FD73CB"/>
    <w:rsid w:val="00FD75B9"/>
    <w:rsid w:val="00FD7604"/>
    <w:rsid w:val="00FD7855"/>
    <w:rsid w:val="00FD7952"/>
    <w:rsid w:val="00FD79EB"/>
    <w:rsid w:val="00FD7E25"/>
    <w:rsid w:val="00FD7E9D"/>
    <w:rsid w:val="00FD7FA2"/>
    <w:rsid w:val="00FE00C2"/>
    <w:rsid w:val="00FE04B0"/>
    <w:rsid w:val="00FE052E"/>
    <w:rsid w:val="00FE085D"/>
    <w:rsid w:val="00FE088B"/>
    <w:rsid w:val="00FE0A25"/>
    <w:rsid w:val="00FE0B55"/>
    <w:rsid w:val="00FE0E39"/>
    <w:rsid w:val="00FE0E6D"/>
    <w:rsid w:val="00FE0F51"/>
    <w:rsid w:val="00FE144B"/>
    <w:rsid w:val="00FE1544"/>
    <w:rsid w:val="00FE15D8"/>
    <w:rsid w:val="00FE1B4D"/>
    <w:rsid w:val="00FE1E32"/>
    <w:rsid w:val="00FE200F"/>
    <w:rsid w:val="00FE204F"/>
    <w:rsid w:val="00FE22EC"/>
    <w:rsid w:val="00FE2465"/>
    <w:rsid w:val="00FE24A5"/>
    <w:rsid w:val="00FE2650"/>
    <w:rsid w:val="00FE2692"/>
    <w:rsid w:val="00FE2763"/>
    <w:rsid w:val="00FE2807"/>
    <w:rsid w:val="00FE289B"/>
    <w:rsid w:val="00FE2BA9"/>
    <w:rsid w:val="00FE2C77"/>
    <w:rsid w:val="00FE2F1A"/>
    <w:rsid w:val="00FE30B8"/>
    <w:rsid w:val="00FE30C8"/>
    <w:rsid w:val="00FE315C"/>
    <w:rsid w:val="00FE3529"/>
    <w:rsid w:val="00FE36A3"/>
    <w:rsid w:val="00FE38D9"/>
    <w:rsid w:val="00FE3BB0"/>
    <w:rsid w:val="00FE3C43"/>
    <w:rsid w:val="00FE3CB2"/>
    <w:rsid w:val="00FE3CB5"/>
    <w:rsid w:val="00FE3D1A"/>
    <w:rsid w:val="00FE3DC9"/>
    <w:rsid w:val="00FE4298"/>
    <w:rsid w:val="00FE44CB"/>
    <w:rsid w:val="00FE4759"/>
    <w:rsid w:val="00FE4A61"/>
    <w:rsid w:val="00FE4AC3"/>
    <w:rsid w:val="00FE4B54"/>
    <w:rsid w:val="00FE4C63"/>
    <w:rsid w:val="00FE4E20"/>
    <w:rsid w:val="00FE4F96"/>
    <w:rsid w:val="00FE50EA"/>
    <w:rsid w:val="00FE54E9"/>
    <w:rsid w:val="00FE55DA"/>
    <w:rsid w:val="00FE589C"/>
    <w:rsid w:val="00FE5B38"/>
    <w:rsid w:val="00FE636D"/>
    <w:rsid w:val="00FE6412"/>
    <w:rsid w:val="00FE6625"/>
    <w:rsid w:val="00FE66A3"/>
    <w:rsid w:val="00FE6896"/>
    <w:rsid w:val="00FE6FC6"/>
    <w:rsid w:val="00FE7335"/>
    <w:rsid w:val="00FE7346"/>
    <w:rsid w:val="00FE7362"/>
    <w:rsid w:val="00FE74E5"/>
    <w:rsid w:val="00FE758F"/>
    <w:rsid w:val="00FE77B4"/>
    <w:rsid w:val="00FE7813"/>
    <w:rsid w:val="00FE7A92"/>
    <w:rsid w:val="00FE7B41"/>
    <w:rsid w:val="00FE7D56"/>
    <w:rsid w:val="00FE7DD3"/>
    <w:rsid w:val="00FE7E45"/>
    <w:rsid w:val="00FE7E91"/>
    <w:rsid w:val="00FE7EC4"/>
    <w:rsid w:val="00FE7FA2"/>
    <w:rsid w:val="00FF0126"/>
    <w:rsid w:val="00FF01CD"/>
    <w:rsid w:val="00FF03E4"/>
    <w:rsid w:val="00FF0555"/>
    <w:rsid w:val="00FF068D"/>
    <w:rsid w:val="00FF06A7"/>
    <w:rsid w:val="00FF074A"/>
    <w:rsid w:val="00FF0791"/>
    <w:rsid w:val="00FF0D7B"/>
    <w:rsid w:val="00FF0E64"/>
    <w:rsid w:val="00FF0F9F"/>
    <w:rsid w:val="00FF14B8"/>
    <w:rsid w:val="00FF1660"/>
    <w:rsid w:val="00FF1774"/>
    <w:rsid w:val="00FF1A3C"/>
    <w:rsid w:val="00FF1B3D"/>
    <w:rsid w:val="00FF1B5B"/>
    <w:rsid w:val="00FF1D31"/>
    <w:rsid w:val="00FF1D35"/>
    <w:rsid w:val="00FF1E16"/>
    <w:rsid w:val="00FF2027"/>
    <w:rsid w:val="00FF2051"/>
    <w:rsid w:val="00FF2200"/>
    <w:rsid w:val="00FF2438"/>
    <w:rsid w:val="00FF2459"/>
    <w:rsid w:val="00FF2460"/>
    <w:rsid w:val="00FF25C3"/>
    <w:rsid w:val="00FF263D"/>
    <w:rsid w:val="00FF2813"/>
    <w:rsid w:val="00FF2A46"/>
    <w:rsid w:val="00FF2AA8"/>
    <w:rsid w:val="00FF2B10"/>
    <w:rsid w:val="00FF2BF2"/>
    <w:rsid w:val="00FF2CB2"/>
    <w:rsid w:val="00FF2E85"/>
    <w:rsid w:val="00FF339E"/>
    <w:rsid w:val="00FF33D6"/>
    <w:rsid w:val="00FF3521"/>
    <w:rsid w:val="00FF370B"/>
    <w:rsid w:val="00FF382A"/>
    <w:rsid w:val="00FF38E5"/>
    <w:rsid w:val="00FF3B50"/>
    <w:rsid w:val="00FF3E1C"/>
    <w:rsid w:val="00FF3E88"/>
    <w:rsid w:val="00FF3EC5"/>
    <w:rsid w:val="00FF4E51"/>
    <w:rsid w:val="00FF4FF1"/>
    <w:rsid w:val="00FF5137"/>
    <w:rsid w:val="00FF524D"/>
    <w:rsid w:val="00FF52C2"/>
    <w:rsid w:val="00FF5324"/>
    <w:rsid w:val="00FF5377"/>
    <w:rsid w:val="00FF555D"/>
    <w:rsid w:val="00FF5820"/>
    <w:rsid w:val="00FF5957"/>
    <w:rsid w:val="00FF5963"/>
    <w:rsid w:val="00FF5E05"/>
    <w:rsid w:val="00FF5E6B"/>
    <w:rsid w:val="00FF60B4"/>
    <w:rsid w:val="00FF60EB"/>
    <w:rsid w:val="00FF63DE"/>
    <w:rsid w:val="00FF661C"/>
    <w:rsid w:val="00FF670E"/>
    <w:rsid w:val="00FF6953"/>
    <w:rsid w:val="00FF6A41"/>
    <w:rsid w:val="00FF6AA4"/>
    <w:rsid w:val="00FF6C69"/>
    <w:rsid w:val="00FF6E2B"/>
    <w:rsid w:val="00FF6E46"/>
    <w:rsid w:val="00FF6EA1"/>
    <w:rsid w:val="00FF701F"/>
    <w:rsid w:val="00FF72A1"/>
    <w:rsid w:val="00FF7324"/>
    <w:rsid w:val="00FF73CE"/>
    <w:rsid w:val="00FF7745"/>
    <w:rsid w:val="00FF7ABD"/>
    <w:rsid w:val="00FF7B39"/>
    <w:rsid w:val="00FF7E05"/>
    <w:rsid w:val="00FF7EB3"/>
    <w:rsid w:val="011976BA"/>
    <w:rsid w:val="01AD3480"/>
    <w:rsid w:val="0239B764"/>
    <w:rsid w:val="02D43E21"/>
    <w:rsid w:val="03A9380A"/>
    <w:rsid w:val="048DE80E"/>
    <w:rsid w:val="04B72F32"/>
    <w:rsid w:val="051B1DAF"/>
    <w:rsid w:val="055C5FDD"/>
    <w:rsid w:val="05C4282F"/>
    <w:rsid w:val="05CC4880"/>
    <w:rsid w:val="0670A56C"/>
    <w:rsid w:val="06773227"/>
    <w:rsid w:val="073057E1"/>
    <w:rsid w:val="07593E2B"/>
    <w:rsid w:val="075FB833"/>
    <w:rsid w:val="07A19737"/>
    <w:rsid w:val="07FD47B8"/>
    <w:rsid w:val="087C70A3"/>
    <w:rsid w:val="0928A17F"/>
    <w:rsid w:val="092E54B6"/>
    <w:rsid w:val="096F1EE5"/>
    <w:rsid w:val="09758D8F"/>
    <w:rsid w:val="09AAD12F"/>
    <w:rsid w:val="0A575E91"/>
    <w:rsid w:val="0B2A13D6"/>
    <w:rsid w:val="0B956585"/>
    <w:rsid w:val="0BA51A69"/>
    <w:rsid w:val="0BF0D5EB"/>
    <w:rsid w:val="0C3B9D30"/>
    <w:rsid w:val="0E33F2BA"/>
    <w:rsid w:val="0F2762D4"/>
    <w:rsid w:val="103AC5F3"/>
    <w:rsid w:val="104E5B3D"/>
    <w:rsid w:val="11363224"/>
    <w:rsid w:val="11373C36"/>
    <w:rsid w:val="11976978"/>
    <w:rsid w:val="11A3D504"/>
    <w:rsid w:val="11A8762F"/>
    <w:rsid w:val="11E17C06"/>
    <w:rsid w:val="132E0893"/>
    <w:rsid w:val="13888972"/>
    <w:rsid w:val="13CEFDEB"/>
    <w:rsid w:val="13D8822D"/>
    <w:rsid w:val="14AC4EC0"/>
    <w:rsid w:val="158A1596"/>
    <w:rsid w:val="15B7AA88"/>
    <w:rsid w:val="15C54DFD"/>
    <w:rsid w:val="1798BEDC"/>
    <w:rsid w:val="187A92C7"/>
    <w:rsid w:val="193744DF"/>
    <w:rsid w:val="1970E130"/>
    <w:rsid w:val="19715D04"/>
    <w:rsid w:val="1A47E23C"/>
    <w:rsid w:val="1A4E26FD"/>
    <w:rsid w:val="1A61130B"/>
    <w:rsid w:val="1B912311"/>
    <w:rsid w:val="1B98C2E9"/>
    <w:rsid w:val="1BF25F4D"/>
    <w:rsid w:val="1C6C8444"/>
    <w:rsid w:val="1D16B47F"/>
    <w:rsid w:val="1D7F99D7"/>
    <w:rsid w:val="1DB8D70C"/>
    <w:rsid w:val="1E4CC447"/>
    <w:rsid w:val="1E6DF0EC"/>
    <w:rsid w:val="1EC1A5DD"/>
    <w:rsid w:val="1ED2E1C5"/>
    <w:rsid w:val="1F36E74C"/>
    <w:rsid w:val="1F3A10FC"/>
    <w:rsid w:val="1F838B14"/>
    <w:rsid w:val="200A2EDF"/>
    <w:rsid w:val="20D469B9"/>
    <w:rsid w:val="216703DF"/>
    <w:rsid w:val="2181AF16"/>
    <w:rsid w:val="22CB8840"/>
    <w:rsid w:val="233E3F4D"/>
    <w:rsid w:val="239AFD00"/>
    <w:rsid w:val="2405EDFF"/>
    <w:rsid w:val="246AC316"/>
    <w:rsid w:val="2478D011"/>
    <w:rsid w:val="24BFB39E"/>
    <w:rsid w:val="24E66BA6"/>
    <w:rsid w:val="25F84B7B"/>
    <w:rsid w:val="2678EC8D"/>
    <w:rsid w:val="267ACD6C"/>
    <w:rsid w:val="26D02E8A"/>
    <w:rsid w:val="2719A049"/>
    <w:rsid w:val="27847FC4"/>
    <w:rsid w:val="27B0455E"/>
    <w:rsid w:val="2831A0E5"/>
    <w:rsid w:val="2857B4A5"/>
    <w:rsid w:val="29201E78"/>
    <w:rsid w:val="2BF31744"/>
    <w:rsid w:val="2BF9DBB0"/>
    <w:rsid w:val="2C2346E6"/>
    <w:rsid w:val="2CD3E7AE"/>
    <w:rsid w:val="2D7DEAA6"/>
    <w:rsid w:val="2E307009"/>
    <w:rsid w:val="2E6A6B06"/>
    <w:rsid w:val="2E9E7B96"/>
    <w:rsid w:val="308BCC4A"/>
    <w:rsid w:val="30B746A3"/>
    <w:rsid w:val="30FB2ACD"/>
    <w:rsid w:val="31B62A96"/>
    <w:rsid w:val="31F0768E"/>
    <w:rsid w:val="33B62A83"/>
    <w:rsid w:val="34189678"/>
    <w:rsid w:val="35359767"/>
    <w:rsid w:val="3562839F"/>
    <w:rsid w:val="35AA4D1C"/>
    <w:rsid w:val="363C11FB"/>
    <w:rsid w:val="36B0A2EC"/>
    <w:rsid w:val="36BEDFB3"/>
    <w:rsid w:val="372E2954"/>
    <w:rsid w:val="37AE09FA"/>
    <w:rsid w:val="38228A89"/>
    <w:rsid w:val="3897A870"/>
    <w:rsid w:val="38A403F9"/>
    <w:rsid w:val="3AF6A6EE"/>
    <w:rsid w:val="3B74A6E7"/>
    <w:rsid w:val="3B830BA7"/>
    <w:rsid w:val="3BE83DDA"/>
    <w:rsid w:val="3CF6FC09"/>
    <w:rsid w:val="3DA1ED18"/>
    <w:rsid w:val="3DF4FF9D"/>
    <w:rsid w:val="3EFBB8E7"/>
    <w:rsid w:val="3F496248"/>
    <w:rsid w:val="3F65E6C1"/>
    <w:rsid w:val="403785D5"/>
    <w:rsid w:val="40D8B748"/>
    <w:rsid w:val="41BEC849"/>
    <w:rsid w:val="43DECCD5"/>
    <w:rsid w:val="4773EB36"/>
    <w:rsid w:val="4862F7F5"/>
    <w:rsid w:val="4945B692"/>
    <w:rsid w:val="49AF4AD0"/>
    <w:rsid w:val="49E1EA4F"/>
    <w:rsid w:val="4B0CB28A"/>
    <w:rsid w:val="4BE169A0"/>
    <w:rsid w:val="4C2FCC45"/>
    <w:rsid w:val="4C53CA6F"/>
    <w:rsid w:val="4CBAFE03"/>
    <w:rsid w:val="4CF57A76"/>
    <w:rsid w:val="4DFE3663"/>
    <w:rsid w:val="4E477946"/>
    <w:rsid w:val="50AF68AF"/>
    <w:rsid w:val="51FD0EDD"/>
    <w:rsid w:val="52894184"/>
    <w:rsid w:val="52F78AB5"/>
    <w:rsid w:val="54B00723"/>
    <w:rsid w:val="5529669D"/>
    <w:rsid w:val="55F074F9"/>
    <w:rsid w:val="56516AD4"/>
    <w:rsid w:val="57019F1C"/>
    <w:rsid w:val="57A595E3"/>
    <w:rsid w:val="58AF11C6"/>
    <w:rsid w:val="58C0304B"/>
    <w:rsid w:val="58E941A4"/>
    <w:rsid w:val="5ABB3E3B"/>
    <w:rsid w:val="5AD4793C"/>
    <w:rsid w:val="5B85B44E"/>
    <w:rsid w:val="5BFDA5E9"/>
    <w:rsid w:val="5C4398A5"/>
    <w:rsid w:val="5D0DB0AB"/>
    <w:rsid w:val="5D41E16D"/>
    <w:rsid w:val="5FB279CB"/>
    <w:rsid w:val="5FD0A32F"/>
    <w:rsid w:val="601783BA"/>
    <w:rsid w:val="60302B0A"/>
    <w:rsid w:val="614FCAED"/>
    <w:rsid w:val="6249E719"/>
    <w:rsid w:val="62DD52C1"/>
    <w:rsid w:val="6334E065"/>
    <w:rsid w:val="63595144"/>
    <w:rsid w:val="63AF6B6F"/>
    <w:rsid w:val="657A7078"/>
    <w:rsid w:val="65AC2DCD"/>
    <w:rsid w:val="662F1602"/>
    <w:rsid w:val="665D4885"/>
    <w:rsid w:val="66C8D3A0"/>
    <w:rsid w:val="688EE2F7"/>
    <w:rsid w:val="68DE839D"/>
    <w:rsid w:val="69912C75"/>
    <w:rsid w:val="69A3751D"/>
    <w:rsid w:val="6A343F27"/>
    <w:rsid w:val="6AC3D563"/>
    <w:rsid w:val="6CC3D557"/>
    <w:rsid w:val="6D71841B"/>
    <w:rsid w:val="6E9A5DF8"/>
    <w:rsid w:val="6FE19A27"/>
    <w:rsid w:val="7068F684"/>
    <w:rsid w:val="7120DA0F"/>
    <w:rsid w:val="721D8EF7"/>
    <w:rsid w:val="727B0EB7"/>
    <w:rsid w:val="7287279A"/>
    <w:rsid w:val="72992B27"/>
    <w:rsid w:val="72A88467"/>
    <w:rsid w:val="72BFA3F5"/>
    <w:rsid w:val="74B89B07"/>
    <w:rsid w:val="74D19086"/>
    <w:rsid w:val="769D93C6"/>
    <w:rsid w:val="785651E9"/>
    <w:rsid w:val="78A051B8"/>
    <w:rsid w:val="78A2C7DC"/>
    <w:rsid w:val="79905DCD"/>
    <w:rsid w:val="7A692A6E"/>
    <w:rsid w:val="7AF8C0C4"/>
    <w:rsid w:val="7B028898"/>
    <w:rsid w:val="7BDF08FD"/>
    <w:rsid w:val="7C1B55F0"/>
    <w:rsid w:val="7C3A9DC6"/>
    <w:rsid w:val="7C569FE4"/>
    <w:rsid w:val="7CD004B2"/>
    <w:rsid w:val="7DAE2280"/>
    <w:rsid w:val="7DCF003C"/>
    <w:rsid w:val="7DF9EC6D"/>
    <w:rsid w:val="7E628B3F"/>
    <w:rsid w:val="7E7F0BAE"/>
    <w:rsid w:val="7F162473"/>
    <w:rsid w:val="7F6A7AAB"/>
    <w:rsid w:val="7F8137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F9C"/>
  <w15:docId w15:val="{F6619E0F-158C-4FDF-8F56-A9053938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C42F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4EB"/>
  </w:style>
  <w:style w:type="paragraph" w:styleId="Footer">
    <w:name w:val="footer"/>
    <w:basedOn w:val="Normal"/>
    <w:link w:val="FooterChar"/>
    <w:uiPriority w:val="99"/>
    <w:unhideWhenUsed/>
    <w:rsid w:val="0057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4EB"/>
  </w:style>
  <w:style w:type="paragraph" w:styleId="Title">
    <w:name w:val="Title"/>
    <w:basedOn w:val="Normal"/>
    <w:next w:val="Normal"/>
    <w:link w:val="TitleChar"/>
    <w:uiPriority w:val="10"/>
    <w:qFormat/>
    <w:rsid w:val="00433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3C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C70"/>
    <w:pPr>
      <w:outlineLvl w:val="9"/>
    </w:pPr>
    <w:rPr>
      <w:kern w:val="0"/>
      <w:lang w:val="en-US"/>
      <w14:ligatures w14:val="none"/>
    </w:rPr>
  </w:style>
  <w:style w:type="paragraph" w:styleId="ListParagraph">
    <w:name w:val="List Paragraph"/>
    <w:basedOn w:val="Normal"/>
    <w:uiPriority w:val="34"/>
    <w:qFormat/>
    <w:rsid w:val="0005759A"/>
    <w:pPr>
      <w:ind w:left="720"/>
      <w:contextualSpacing/>
    </w:pPr>
  </w:style>
  <w:style w:type="paragraph" w:styleId="TOC1">
    <w:name w:val="toc 1"/>
    <w:basedOn w:val="Normal"/>
    <w:next w:val="Normal"/>
    <w:autoRedefine/>
    <w:uiPriority w:val="39"/>
    <w:unhideWhenUsed/>
    <w:rsid w:val="005A4A4E"/>
    <w:pPr>
      <w:tabs>
        <w:tab w:val="left" w:pos="440"/>
        <w:tab w:val="right" w:leader="dot" w:pos="9016"/>
      </w:tabs>
      <w:spacing w:after="100"/>
    </w:pPr>
  </w:style>
  <w:style w:type="character" w:styleId="Hyperlink">
    <w:name w:val="Hyperlink"/>
    <w:basedOn w:val="DefaultParagraphFont"/>
    <w:uiPriority w:val="99"/>
    <w:unhideWhenUsed/>
    <w:rsid w:val="0005759A"/>
    <w:rPr>
      <w:color w:val="0563C1" w:themeColor="hyperlink"/>
      <w:u w:val="single"/>
    </w:rPr>
  </w:style>
  <w:style w:type="character" w:customStyle="1" w:styleId="Heading2Char">
    <w:name w:val="Heading 2 Char"/>
    <w:basedOn w:val="DefaultParagraphFont"/>
    <w:link w:val="Heading2"/>
    <w:uiPriority w:val="9"/>
    <w:rsid w:val="004212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7228A"/>
    <w:pPr>
      <w:spacing w:after="100"/>
      <w:ind w:left="220"/>
    </w:pPr>
  </w:style>
  <w:style w:type="table" w:styleId="TableGrid">
    <w:name w:val="Table Grid"/>
    <w:basedOn w:val="TableNormal"/>
    <w:uiPriority w:val="39"/>
    <w:rsid w:val="000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A1A"/>
    <w:rPr>
      <w:sz w:val="16"/>
      <w:szCs w:val="16"/>
    </w:rPr>
  </w:style>
  <w:style w:type="paragraph" w:styleId="CommentText">
    <w:name w:val="annotation text"/>
    <w:basedOn w:val="Normal"/>
    <w:link w:val="CommentTextChar"/>
    <w:uiPriority w:val="99"/>
    <w:unhideWhenUsed/>
    <w:rsid w:val="00902A1A"/>
    <w:pPr>
      <w:spacing w:line="240" w:lineRule="auto"/>
    </w:pPr>
    <w:rPr>
      <w:sz w:val="20"/>
      <w:szCs w:val="20"/>
    </w:rPr>
  </w:style>
  <w:style w:type="character" w:customStyle="1" w:styleId="CommentTextChar">
    <w:name w:val="Comment Text Char"/>
    <w:basedOn w:val="DefaultParagraphFont"/>
    <w:link w:val="CommentText"/>
    <w:uiPriority w:val="99"/>
    <w:rsid w:val="00902A1A"/>
    <w:rPr>
      <w:sz w:val="20"/>
      <w:szCs w:val="20"/>
    </w:rPr>
  </w:style>
  <w:style w:type="paragraph" w:styleId="CommentSubject">
    <w:name w:val="annotation subject"/>
    <w:basedOn w:val="CommentText"/>
    <w:next w:val="CommentText"/>
    <w:link w:val="CommentSubjectChar"/>
    <w:uiPriority w:val="99"/>
    <w:semiHidden/>
    <w:unhideWhenUsed/>
    <w:rsid w:val="00902A1A"/>
    <w:rPr>
      <w:b/>
      <w:bCs/>
    </w:rPr>
  </w:style>
  <w:style w:type="character" w:customStyle="1" w:styleId="CommentSubjectChar">
    <w:name w:val="Comment Subject Char"/>
    <w:basedOn w:val="CommentTextChar"/>
    <w:link w:val="CommentSubject"/>
    <w:uiPriority w:val="99"/>
    <w:semiHidden/>
    <w:rsid w:val="00902A1A"/>
    <w:rPr>
      <w:b/>
      <w:bCs/>
      <w:sz w:val="20"/>
      <w:szCs w:val="20"/>
    </w:rPr>
  </w:style>
  <w:style w:type="paragraph" w:styleId="Revision">
    <w:name w:val="Revision"/>
    <w:hidden/>
    <w:uiPriority w:val="99"/>
    <w:semiHidden/>
    <w:rsid w:val="006B0859"/>
    <w:pPr>
      <w:spacing w:after="0" w:line="240" w:lineRule="auto"/>
    </w:pPr>
  </w:style>
  <w:style w:type="paragraph" w:styleId="FootnoteText">
    <w:name w:val="footnote text"/>
    <w:basedOn w:val="Normal"/>
    <w:link w:val="FootnoteTextChar"/>
    <w:uiPriority w:val="99"/>
    <w:semiHidden/>
    <w:unhideWhenUsed/>
    <w:rsid w:val="00592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B7E"/>
    <w:rPr>
      <w:sz w:val="20"/>
      <w:szCs w:val="20"/>
    </w:rPr>
  </w:style>
  <w:style w:type="character" w:styleId="FootnoteReference">
    <w:name w:val="footnote reference"/>
    <w:basedOn w:val="DefaultParagraphFont"/>
    <w:uiPriority w:val="99"/>
    <w:semiHidden/>
    <w:unhideWhenUsed/>
    <w:rsid w:val="00592B7E"/>
    <w:rPr>
      <w:vertAlign w:val="superscript"/>
    </w:rPr>
  </w:style>
  <w:style w:type="character" w:styleId="FollowedHyperlink">
    <w:name w:val="FollowedHyperlink"/>
    <w:basedOn w:val="DefaultParagraphFont"/>
    <w:uiPriority w:val="99"/>
    <w:semiHidden/>
    <w:unhideWhenUsed/>
    <w:rsid w:val="00592B7E"/>
    <w:rPr>
      <w:color w:val="954F72" w:themeColor="followedHyperlink"/>
      <w:u w:val="single"/>
    </w:rPr>
  </w:style>
  <w:style w:type="paragraph" w:customStyle="1" w:styleId="Default">
    <w:name w:val="Default"/>
    <w:rsid w:val="00F3745D"/>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AC7D83"/>
    <w:rPr>
      <w:color w:val="605E5C"/>
      <w:shd w:val="clear" w:color="auto" w:fill="E1DFDD"/>
    </w:rPr>
  </w:style>
  <w:style w:type="paragraph" w:styleId="TOC3">
    <w:name w:val="toc 3"/>
    <w:basedOn w:val="Normal"/>
    <w:next w:val="Normal"/>
    <w:autoRedefine/>
    <w:uiPriority w:val="39"/>
    <w:unhideWhenUsed/>
    <w:rsid w:val="009A11A8"/>
    <w:pPr>
      <w:spacing w:after="100"/>
      <w:ind w:left="440"/>
    </w:pPr>
    <w:rPr>
      <w:rFonts w:eastAsiaTheme="minorEastAsia" w:cs="Times New Roman"/>
      <w:kern w:val="0"/>
      <w:lang w:val="en-US"/>
      <w14:ligatures w14:val="none"/>
    </w:rPr>
  </w:style>
  <w:style w:type="character" w:customStyle="1" w:styleId="Heading9Char">
    <w:name w:val="Heading 9 Char"/>
    <w:basedOn w:val="DefaultParagraphFont"/>
    <w:link w:val="Heading9"/>
    <w:uiPriority w:val="9"/>
    <w:semiHidden/>
    <w:rsid w:val="00C42F1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A317A9"/>
    <w:rPr>
      <w:rFonts w:ascii="Times New Roman" w:hAnsi="Times New Roman" w:cs="Times New Roman"/>
      <w:sz w:val="24"/>
      <w:szCs w:val="24"/>
    </w:rPr>
  </w:style>
  <w:style w:type="paragraph" w:customStyle="1" w:styleId="govuk-body">
    <w:name w:val="govuk-body"/>
    <w:basedOn w:val="Normal"/>
    <w:rsid w:val="009410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EndnoteText">
    <w:name w:val="endnote text"/>
    <w:basedOn w:val="Normal"/>
    <w:link w:val="EndnoteTextChar"/>
    <w:uiPriority w:val="99"/>
    <w:semiHidden/>
    <w:unhideWhenUsed/>
    <w:rsid w:val="008957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57D4"/>
    <w:rPr>
      <w:sz w:val="20"/>
      <w:szCs w:val="20"/>
    </w:rPr>
  </w:style>
  <w:style w:type="character" w:styleId="EndnoteReference">
    <w:name w:val="endnote reference"/>
    <w:basedOn w:val="DefaultParagraphFont"/>
    <w:uiPriority w:val="99"/>
    <w:semiHidden/>
    <w:unhideWhenUsed/>
    <w:rsid w:val="008957D4"/>
    <w:rPr>
      <w:vertAlign w:val="superscript"/>
    </w:rPr>
  </w:style>
  <w:style w:type="paragraph" w:customStyle="1" w:styleId="pf0">
    <w:name w:val="pf0"/>
    <w:basedOn w:val="Normal"/>
    <w:rsid w:val="000A6C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0A6CAA"/>
    <w:rPr>
      <w:rFonts w:ascii="Segoe UI" w:hAnsi="Segoe UI" w:cs="Segoe UI" w:hint="default"/>
      <w:sz w:val="18"/>
      <w:szCs w:val="18"/>
    </w:rPr>
  </w:style>
  <w:style w:type="character" w:styleId="Mention">
    <w:name w:val="Mention"/>
    <w:basedOn w:val="DefaultParagraphFont"/>
    <w:uiPriority w:val="99"/>
    <w:unhideWhenUsed/>
    <w:rsid w:val="00F87C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8501">
      <w:bodyDiv w:val="1"/>
      <w:marLeft w:val="0"/>
      <w:marRight w:val="0"/>
      <w:marTop w:val="0"/>
      <w:marBottom w:val="0"/>
      <w:divBdr>
        <w:top w:val="none" w:sz="0" w:space="0" w:color="auto"/>
        <w:left w:val="none" w:sz="0" w:space="0" w:color="auto"/>
        <w:bottom w:val="none" w:sz="0" w:space="0" w:color="auto"/>
        <w:right w:val="none" w:sz="0" w:space="0" w:color="auto"/>
      </w:divBdr>
    </w:div>
    <w:div w:id="120197441">
      <w:bodyDiv w:val="1"/>
      <w:marLeft w:val="0"/>
      <w:marRight w:val="0"/>
      <w:marTop w:val="0"/>
      <w:marBottom w:val="0"/>
      <w:divBdr>
        <w:top w:val="none" w:sz="0" w:space="0" w:color="auto"/>
        <w:left w:val="none" w:sz="0" w:space="0" w:color="auto"/>
        <w:bottom w:val="none" w:sz="0" w:space="0" w:color="auto"/>
        <w:right w:val="none" w:sz="0" w:space="0" w:color="auto"/>
      </w:divBdr>
    </w:div>
    <w:div w:id="135882016">
      <w:bodyDiv w:val="1"/>
      <w:marLeft w:val="0"/>
      <w:marRight w:val="0"/>
      <w:marTop w:val="0"/>
      <w:marBottom w:val="0"/>
      <w:divBdr>
        <w:top w:val="none" w:sz="0" w:space="0" w:color="auto"/>
        <w:left w:val="none" w:sz="0" w:space="0" w:color="auto"/>
        <w:bottom w:val="none" w:sz="0" w:space="0" w:color="auto"/>
        <w:right w:val="none" w:sz="0" w:space="0" w:color="auto"/>
      </w:divBdr>
    </w:div>
    <w:div w:id="143200097">
      <w:bodyDiv w:val="1"/>
      <w:marLeft w:val="0"/>
      <w:marRight w:val="0"/>
      <w:marTop w:val="0"/>
      <w:marBottom w:val="0"/>
      <w:divBdr>
        <w:top w:val="none" w:sz="0" w:space="0" w:color="auto"/>
        <w:left w:val="none" w:sz="0" w:space="0" w:color="auto"/>
        <w:bottom w:val="none" w:sz="0" w:space="0" w:color="auto"/>
        <w:right w:val="none" w:sz="0" w:space="0" w:color="auto"/>
      </w:divBdr>
    </w:div>
    <w:div w:id="174810415">
      <w:bodyDiv w:val="1"/>
      <w:marLeft w:val="0"/>
      <w:marRight w:val="0"/>
      <w:marTop w:val="0"/>
      <w:marBottom w:val="0"/>
      <w:divBdr>
        <w:top w:val="none" w:sz="0" w:space="0" w:color="auto"/>
        <w:left w:val="none" w:sz="0" w:space="0" w:color="auto"/>
        <w:bottom w:val="none" w:sz="0" w:space="0" w:color="auto"/>
        <w:right w:val="none" w:sz="0" w:space="0" w:color="auto"/>
      </w:divBdr>
    </w:div>
    <w:div w:id="231625435">
      <w:bodyDiv w:val="1"/>
      <w:marLeft w:val="0"/>
      <w:marRight w:val="0"/>
      <w:marTop w:val="0"/>
      <w:marBottom w:val="0"/>
      <w:divBdr>
        <w:top w:val="none" w:sz="0" w:space="0" w:color="auto"/>
        <w:left w:val="none" w:sz="0" w:space="0" w:color="auto"/>
        <w:bottom w:val="none" w:sz="0" w:space="0" w:color="auto"/>
        <w:right w:val="none" w:sz="0" w:space="0" w:color="auto"/>
      </w:divBdr>
    </w:div>
    <w:div w:id="332611577">
      <w:bodyDiv w:val="1"/>
      <w:marLeft w:val="0"/>
      <w:marRight w:val="0"/>
      <w:marTop w:val="0"/>
      <w:marBottom w:val="0"/>
      <w:divBdr>
        <w:top w:val="none" w:sz="0" w:space="0" w:color="auto"/>
        <w:left w:val="none" w:sz="0" w:space="0" w:color="auto"/>
        <w:bottom w:val="none" w:sz="0" w:space="0" w:color="auto"/>
        <w:right w:val="none" w:sz="0" w:space="0" w:color="auto"/>
      </w:divBdr>
      <w:divsChild>
        <w:div w:id="170728924">
          <w:marLeft w:val="0"/>
          <w:marRight w:val="0"/>
          <w:marTop w:val="0"/>
          <w:marBottom w:val="0"/>
          <w:divBdr>
            <w:top w:val="none" w:sz="0" w:space="0" w:color="auto"/>
            <w:left w:val="none" w:sz="0" w:space="0" w:color="auto"/>
            <w:bottom w:val="none" w:sz="0" w:space="0" w:color="auto"/>
            <w:right w:val="none" w:sz="0" w:space="0" w:color="auto"/>
          </w:divBdr>
        </w:div>
        <w:div w:id="172114045">
          <w:marLeft w:val="0"/>
          <w:marRight w:val="0"/>
          <w:marTop w:val="0"/>
          <w:marBottom w:val="0"/>
          <w:divBdr>
            <w:top w:val="none" w:sz="0" w:space="0" w:color="auto"/>
            <w:left w:val="none" w:sz="0" w:space="0" w:color="auto"/>
            <w:bottom w:val="none" w:sz="0" w:space="0" w:color="auto"/>
            <w:right w:val="none" w:sz="0" w:space="0" w:color="auto"/>
          </w:divBdr>
        </w:div>
        <w:div w:id="564489942">
          <w:marLeft w:val="0"/>
          <w:marRight w:val="0"/>
          <w:marTop w:val="0"/>
          <w:marBottom w:val="0"/>
          <w:divBdr>
            <w:top w:val="none" w:sz="0" w:space="0" w:color="auto"/>
            <w:left w:val="none" w:sz="0" w:space="0" w:color="auto"/>
            <w:bottom w:val="none" w:sz="0" w:space="0" w:color="auto"/>
            <w:right w:val="none" w:sz="0" w:space="0" w:color="auto"/>
          </w:divBdr>
        </w:div>
        <w:div w:id="853959550">
          <w:marLeft w:val="0"/>
          <w:marRight w:val="0"/>
          <w:marTop w:val="0"/>
          <w:marBottom w:val="0"/>
          <w:divBdr>
            <w:top w:val="none" w:sz="0" w:space="0" w:color="auto"/>
            <w:left w:val="none" w:sz="0" w:space="0" w:color="auto"/>
            <w:bottom w:val="none" w:sz="0" w:space="0" w:color="auto"/>
            <w:right w:val="none" w:sz="0" w:space="0" w:color="auto"/>
          </w:divBdr>
        </w:div>
        <w:div w:id="1581796287">
          <w:marLeft w:val="0"/>
          <w:marRight w:val="0"/>
          <w:marTop w:val="0"/>
          <w:marBottom w:val="0"/>
          <w:divBdr>
            <w:top w:val="none" w:sz="0" w:space="0" w:color="auto"/>
            <w:left w:val="none" w:sz="0" w:space="0" w:color="auto"/>
            <w:bottom w:val="none" w:sz="0" w:space="0" w:color="auto"/>
            <w:right w:val="none" w:sz="0" w:space="0" w:color="auto"/>
          </w:divBdr>
        </w:div>
        <w:div w:id="1860705032">
          <w:marLeft w:val="0"/>
          <w:marRight w:val="0"/>
          <w:marTop w:val="0"/>
          <w:marBottom w:val="0"/>
          <w:divBdr>
            <w:top w:val="none" w:sz="0" w:space="0" w:color="auto"/>
            <w:left w:val="none" w:sz="0" w:space="0" w:color="auto"/>
            <w:bottom w:val="none" w:sz="0" w:space="0" w:color="auto"/>
            <w:right w:val="none" w:sz="0" w:space="0" w:color="auto"/>
          </w:divBdr>
        </w:div>
      </w:divsChild>
    </w:div>
    <w:div w:id="375351687">
      <w:bodyDiv w:val="1"/>
      <w:marLeft w:val="0"/>
      <w:marRight w:val="0"/>
      <w:marTop w:val="0"/>
      <w:marBottom w:val="0"/>
      <w:divBdr>
        <w:top w:val="none" w:sz="0" w:space="0" w:color="auto"/>
        <w:left w:val="none" w:sz="0" w:space="0" w:color="auto"/>
        <w:bottom w:val="none" w:sz="0" w:space="0" w:color="auto"/>
        <w:right w:val="none" w:sz="0" w:space="0" w:color="auto"/>
      </w:divBdr>
    </w:div>
    <w:div w:id="449906818">
      <w:bodyDiv w:val="1"/>
      <w:marLeft w:val="0"/>
      <w:marRight w:val="0"/>
      <w:marTop w:val="0"/>
      <w:marBottom w:val="0"/>
      <w:divBdr>
        <w:top w:val="none" w:sz="0" w:space="0" w:color="auto"/>
        <w:left w:val="none" w:sz="0" w:space="0" w:color="auto"/>
        <w:bottom w:val="none" w:sz="0" w:space="0" w:color="auto"/>
        <w:right w:val="none" w:sz="0" w:space="0" w:color="auto"/>
      </w:divBdr>
    </w:div>
    <w:div w:id="475101517">
      <w:bodyDiv w:val="1"/>
      <w:marLeft w:val="0"/>
      <w:marRight w:val="0"/>
      <w:marTop w:val="0"/>
      <w:marBottom w:val="0"/>
      <w:divBdr>
        <w:top w:val="none" w:sz="0" w:space="0" w:color="auto"/>
        <w:left w:val="none" w:sz="0" w:space="0" w:color="auto"/>
        <w:bottom w:val="none" w:sz="0" w:space="0" w:color="auto"/>
        <w:right w:val="none" w:sz="0" w:space="0" w:color="auto"/>
      </w:divBdr>
    </w:div>
    <w:div w:id="526333848">
      <w:bodyDiv w:val="1"/>
      <w:marLeft w:val="0"/>
      <w:marRight w:val="0"/>
      <w:marTop w:val="0"/>
      <w:marBottom w:val="0"/>
      <w:divBdr>
        <w:top w:val="none" w:sz="0" w:space="0" w:color="auto"/>
        <w:left w:val="none" w:sz="0" w:space="0" w:color="auto"/>
        <w:bottom w:val="none" w:sz="0" w:space="0" w:color="auto"/>
        <w:right w:val="none" w:sz="0" w:space="0" w:color="auto"/>
      </w:divBdr>
    </w:div>
    <w:div w:id="559440358">
      <w:bodyDiv w:val="1"/>
      <w:marLeft w:val="0"/>
      <w:marRight w:val="0"/>
      <w:marTop w:val="0"/>
      <w:marBottom w:val="0"/>
      <w:divBdr>
        <w:top w:val="none" w:sz="0" w:space="0" w:color="auto"/>
        <w:left w:val="none" w:sz="0" w:space="0" w:color="auto"/>
        <w:bottom w:val="none" w:sz="0" w:space="0" w:color="auto"/>
        <w:right w:val="none" w:sz="0" w:space="0" w:color="auto"/>
      </w:divBdr>
    </w:div>
    <w:div w:id="657684306">
      <w:bodyDiv w:val="1"/>
      <w:marLeft w:val="0"/>
      <w:marRight w:val="0"/>
      <w:marTop w:val="0"/>
      <w:marBottom w:val="0"/>
      <w:divBdr>
        <w:top w:val="none" w:sz="0" w:space="0" w:color="auto"/>
        <w:left w:val="none" w:sz="0" w:space="0" w:color="auto"/>
        <w:bottom w:val="none" w:sz="0" w:space="0" w:color="auto"/>
        <w:right w:val="none" w:sz="0" w:space="0" w:color="auto"/>
      </w:divBdr>
    </w:div>
    <w:div w:id="663515247">
      <w:bodyDiv w:val="1"/>
      <w:marLeft w:val="0"/>
      <w:marRight w:val="0"/>
      <w:marTop w:val="0"/>
      <w:marBottom w:val="0"/>
      <w:divBdr>
        <w:top w:val="none" w:sz="0" w:space="0" w:color="auto"/>
        <w:left w:val="none" w:sz="0" w:space="0" w:color="auto"/>
        <w:bottom w:val="none" w:sz="0" w:space="0" w:color="auto"/>
        <w:right w:val="none" w:sz="0" w:space="0" w:color="auto"/>
      </w:divBdr>
    </w:div>
    <w:div w:id="786847921">
      <w:bodyDiv w:val="1"/>
      <w:marLeft w:val="0"/>
      <w:marRight w:val="0"/>
      <w:marTop w:val="0"/>
      <w:marBottom w:val="0"/>
      <w:divBdr>
        <w:top w:val="none" w:sz="0" w:space="0" w:color="auto"/>
        <w:left w:val="none" w:sz="0" w:space="0" w:color="auto"/>
        <w:bottom w:val="none" w:sz="0" w:space="0" w:color="auto"/>
        <w:right w:val="none" w:sz="0" w:space="0" w:color="auto"/>
      </w:divBdr>
    </w:div>
    <w:div w:id="884216515">
      <w:bodyDiv w:val="1"/>
      <w:marLeft w:val="0"/>
      <w:marRight w:val="0"/>
      <w:marTop w:val="0"/>
      <w:marBottom w:val="0"/>
      <w:divBdr>
        <w:top w:val="none" w:sz="0" w:space="0" w:color="auto"/>
        <w:left w:val="none" w:sz="0" w:space="0" w:color="auto"/>
        <w:bottom w:val="none" w:sz="0" w:space="0" w:color="auto"/>
        <w:right w:val="none" w:sz="0" w:space="0" w:color="auto"/>
      </w:divBdr>
    </w:div>
    <w:div w:id="906302032">
      <w:bodyDiv w:val="1"/>
      <w:marLeft w:val="0"/>
      <w:marRight w:val="0"/>
      <w:marTop w:val="0"/>
      <w:marBottom w:val="0"/>
      <w:divBdr>
        <w:top w:val="none" w:sz="0" w:space="0" w:color="auto"/>
        <w:left w:val="none" w:sz="0" w:space="0" w:color="auto"/>
        <w:bottom w:val="none" w:sz="0" w:space="0" w:color="auto"/>
        <w:right w:val="none" w:sz="0" w:space="0" w:color="auto"/>
      </w:divBdr>
    </w:div>
    <w:div w:id="976571705">
      <w:bodyDiv w:val="1"/>
      <w:marLeft w:val="0"/>
      <w:marRight w:val="0"/>
      <w:marTop w:val="0"/>
      <w:marBottom w:val="0"/>
      <w:divBdr>
        <w:top w:val="none" w:sz="0" w:space="0" w:color="auto"/>
        <w:left w:val="none" w:sz="0" w:space="0" w:color="auto"/>
        <w:bottom w:val="none" w:sz="0" w:space="0" w:color="auto"/>
        <w:right w:val="none" w:sz="0" w:space="0" w:color="auto"/>
      </w:divBdr>
    </w:div>
    <w:div w:id="1031876020">
      <w:bodyDiv w:val="1"/>
      <w:marLeft w:val="0"/>
      <w:marRight w:val="0"/>
      <w:marTop w:val="0"/>
      <w:marBottom w:val="0"/>
      <w:divBdr>
        <w:top w:val="none" w:sz="0" w:space="0" w:color="auto"/>
        <w:left w:val="none" w:sz="0" w:space="0" w:color="auto"/>
        <w:bottom w:val="none" w:sz="0" w:space="0" w:color="auto"/>
        <w:right w:val="none" w:sz="0" w:space="0" w:color="auto"/>
      </w:divBdr>
    </w:div>
    <w:div w:id="1068646513">
      <w:bodyDiv w:val="1"/>
      <w:marLeft w:val="0"/>
      <w:marRight w:val="0"/>
      <w:marTop w:val="0"/>
      <w:marBottom w:val="0"/>
      <w:divBdr>
        <w:top w:val="none" w:sz="0" w:space="0" w:color="auto"/>
        <w:left w:val="none" w:sz="0" w:space="0" w:color="auto"/>
        <w:bottom w:val="none" w:sz="0" w:space="0" w:color="auto"/>
        <w:right w:val="none" w:sz="0" w:space="0" w:color="auto"/>
      </w:divBdr>
    </w:div>
    <w:div w:id="1142430695">
      <w:bodyDiv w:val="1"/>
      <w:marLeft w:val="0"/>
      <w:marRight w:val="0"/>
      <w:marTop w:val="0"/>
      <w:marBottom w:val="0"/>
      <w:divBdr>
        <w:top w:val="none" w:sz="0" w:space="0" w:color="auto"/>
        <w:left w:val="none" w:sz="0" w:space="0" w:color="auto"/>
        <w:bottom w:val="none" w:sz="0" w:space="0" w:color="auto"/>
        <w:right w:val="none" w:sz="0" w:space="0" w:color="auto"/>
      </w:divBdr>
    </w:div>
    <w:div w:id="1178544325">
      <w:bodyDiv w:val="1"/>
      <w:marLeft w:val="0"/>
      <w:marRight w:val="0"/>
      <w:marTop w:val="0"/>
      <w:marBottom w:val="0"/>
      <w:divBdr>
        <w:top w:val="none" w:sz="0" w:space="0" w:color="auto"/>
        <w:left w:val="none" w:sz="0" w:space="0" w:color="auto"/>
        <w:bottom w:val="none" w:sz="0" w:space="0" w:color="auto"/>
        <w:right w:val="none" w:sz="0" w:space="0" w:color="auto"/>
      </w:divBdr>
    </w:div>
    <w:div w:id="1222904956">
      <w:bodyDiv w:val="1"/>
      <w:marLeft w:val="0"/>
      <w:marRight w:val="0"/>
      <w:marTop w:val="0"/>
      <w:marBottom w:val="0"/>
      <w:divBdr>
        <w:top w:val="none" w:sz="0" w:space="0" w:color="auto"/>
        <w:left w:val="none" w:sz="0" w:space="0" w:color="auto"/>
        <w:bottom w:val="none" w:sz="0" w:space="0" w:color="auto"/>
        <w:right w:val="none" w:sz="0" w:space="0" w:color="auto"/>
      </w:divBdr>
    </w:div>
    <w:div w:id="1225139081">
      <w:bodyDiv w:val="1"/>
      <w:marLeft w:val="0"/>
      <w:marRight w:val="0"/>
      <w:marTop w:val="0"/>
      <w:marBottom w:val="0"/>
      <w:divBdr>
        <w:top w:val="none" w:sz="0" w:space="0" w:color="auto"/>
        <w:left w:val="none" w:sz="0" w:space="0" w:color="auto"/>
        <w:bottom w:val="none" w:sz="0" w:space="0" w:color="auto"/>
        <w:right w:val="none" w:sz="0" w:space="0" w:color="auto"/>
      </w:divBdr>
    </w:div>
    <w:div w:id="1291398847">
      <w:bodyDiv w:val="1"/>
      <w:marLeft w:val="0"/>
      <w:marRight w:val="0"/>
      <w:marTop w:val="0"/>
      <w:marBottom w:val="0"/>
      <w:divBdr>
        <w:top w:val="none" w:sz="0" w:space="0" w:color="auto"/>
        <w:left w:val="none" w:sz="0" w:space="0" w:color="auto"/>
        <w:bottom w:val="none" w:sz="0" w:space="0" w:color="auto"/>
        <w:right w:val="none" w:sz="0" w:space="0" w:color="auto"/>
      </w:divBdr>
    </w:div>
    <w:div w:id="1320421560">
      <w:bodyDiv w:val="1"/>
      <w:marLeft w:val="0"/>
      <w:marRight w:val="0"/>
      <w:marTop w:val="0"/>
      <w:marBottom w:val="0"/>
      <w:divBdr>
        <w:top w:val="none" w:sz="0" w:space="0" w:color="auto"/>
        <w:left w:val="none" w:sz="0" w:space="0" w:color="auto"/>
        <w:bottom w:val="none" w:sz="0" w:space="0" w:color="auto"/>
        <w:right w:val="none" w:sz="0" w:space="0" w:color="auto"/>
      </w:divBdr>
    </w:div>
    <w:div w:id="1322267890">
      <w:bodyDiv w:val="1"/>
      <w:marLeft w:val="0"/>
      <w:marRight w:val="0"/>
      <w:marTop w:val="0"/>
      <w:marBottom w:val="0"/>
      <w:divBdr>
        <w:top w:val="none" w:sz="0" w:space="0" w:color="auto"/>
        <w:left w:val="none" w:sz="0" w:space="0" w:color="auto"/>
        <w:bottom w:val="none" w:sz="0" w:space="0" w:color="auto"/>
        <w:right w:val="none" w:sz="0" w:space="0" w:color="auto"/>
      </w:divBdr>
    </w:div>
    <w:div w:id="1336571232">
      <w:bodyDiv w:val="1"/>
      <w:marLeft w:val="0"/>
      <w:marRight w:val="0"/>
      <w:marTop w:val="0"/>
      <w:marBottom w:val="0"/>
      <w:divBdr>
        <w:top w:val="none" w:sz="0" w:space="0" w:color="auto"/>
        <w:left w:val="none" w:sz="0" w:space="0" w:color="auto"/>
        <w:bottom w:val="none" w:sz="0" w:space="0" w:color="auto"/>
        <w:right w:val="none" w:sz="0" w:space="0" w:color="auto"/>
      </w:divBdr>
    </w:div>
    <w:div w:id="1400594340">
      <w:bodyDiv w:val="1"/>
      <w:marLeft w:val="0"/>
      <w:marRight w:val="0"/>
      <w:marTop w:val="0"/>
      <w:marBottom w:val="0"/>
      <w:divBdr>
        <w:top w:val="none" w:sz="0" w:space="0" w:color="auto"/>
        <w:left w:val="none" w:sz="0" w:space="0" w:color="auto"/>
        <w:bottom w:val="none" w:sz="0" w:space="0" w:color="auto"/>
        <w:right w:val="none" w:sz="0" w:space="0" w:color="auto"/>
      </w:divBdr>
    </w:div>
    <w:div w:id="1469787217">
      <w:bodyDiv w:val="1"/>
      <w:marLeft w:val="0"/>
      <w:marRight w:val="0"/>
      <w:marTop w:val="0"/>
      <w:marBottom w:val="0"/>
      <w:divBdr>
        <w:top w:val="none" w:sz="0" w:space="0" w:color="auto"/>
        <w:left w:val="none" w:sz="0" w:space="0" w:color="auto"/>
        <w:bottom w:val="none" w:sz="0" w:space="0" w:color="auto"/>
        <w:right w:val="none" w:sz="0" w:space="0" w:color="auto"/>
      </w:divBdr>
    </w:div>
    <w:div w:id="1514027375">
      <w:bodyDiv w:val="1"/>
      <w:marLeft w:val="0"/>
      <w:marRight w:val="0"/>
      <w:marTop w:val="0"/>
      <w:marBottom w:val="0"/>
      <w:divBdr>
        <w:top w:val="none" w:sz="0" w:space="0" w:color="auto"/>
        <w:left w:val="none" w:sz="0" w:space="0" w:color="auto"/>
        <w:bottom w:val="none" w:sz="0" w:space="0" w:color="auto"/>
        <w:right w:val="none" w:sz="0" w:space="0" w:color="auto"/>
      </w:divBdr>
    </w:div>
    <w:div w:id="1567643541">
      <w:bodyDiv w:val="1"/>
      <w:marLeft w:val="0"/>
      <w:marRight w:val="0"/>
      <w:marTop w:val="0"/>
      <w:marBottom w:val="0"/>
      <w:divBdr>
        <w:top w:val="none" w:sz="0" w:space="0" w:color="auto"/>
        <w:left w:val="none" w:sz="0" w:space="0" w:color="auto"/>
        <w:bottom w:val="none" w:sz="0" w:space="0" w:color="auto"/>
        <w:right w:val="none" w:sz="0" w:space="0" w:color="auto"/>
      </w:divBdr>
    </w:div>
    <w:div w:id="1597522759">
      <w:bodyDiv w:val="1"/>
      <w:marLeft w:val="0"/>
      <w:marRight w:val="0"/>
      <w:marTop w:val="0"/>
      <w:marBottom w:val="0"/>
      <w:divBdr>
        <w:top w:val="none" w:sz="0" w:space="0" w:color="auto"/>
        <w:left w:val="none" w:sz="0" w:space="0" w:color="auto"/>
        <w:bottom w:val="none" w:sz="0" w:space="0" w:color="auto"/>
        <w:right w:val="none" w:sz="0" w:space="0" w:color="auto"/>
      </w:divBdr>
    </w:div>
    <w:div w:id="1647777474">
      <w:bodyDiv w:val="1"/>
      <w:marLeft w:val="0"/>
      <w:marRight w:val="0"/>
      <w:marTop w:val="0"/>
      <w:marBottom w:val="0"/>
      <w:divBdr>
        <w:top w:val="none" w:sz="0" w:space="0" w:color="auto"/>
        <w:left w:val="none" w:sz="0" w:space="0" w:color="auto"/>
        <w:bottom w:val="none" w:sz="0" w:space="0" w:color="auto"/>
        <w:right w:val="none" w:sz="0" w:space="0" w:color="auto"/>
      </w:divBdr>
    </w:div>
    <w:div w:id="1727214252">
      <w:bodyDiv w:val="1"/>
      <w:marLeft w:val="0"/>
      <w:marRight w:val="0"/>
      <w:marTop w:val="0"/>
      <w:marBottom w:val="0"/>
      <w:divBdr>
        <w:top w:val="none" w:sz="0" w:space="0" w:color="auto"/>
        <w:left w:val="none" w:sz="0" w:space="0" w:color="auto"/>
        <w:bottom w:val="none" w:sz="0" w:space="0" w:color="auto"/>
        <w:right w:val="none" w:sz="0" w:space="0" w:color="auto"/>
      </w:divBdr>
      <w:divsChild>
        <w:div w:id="261572519">
          <w:marLeft w:val="0"/>
          <w:marRight w:val="0"/>
          <w:marTop w:val="0"/>
          <w:marBottom w:val="0"/>
          <w:divBdr>
            <w:top w:val="none" w:sz="0" w:space="0" w:color="auto"/>
            <w:left w:val="none" w:sz="0" w:space="0" w:color="auto"/>
            <w:bottom w:val="none" w:sz="0" w:space="0" w:color="auto"/>
            <w:right w:val="none" w:sz="0" w:space="0" w:color="auto"/>
          </w:divBdr>
        </w:div>
        <w:div w:id="1218782316">
          <w:marLeft w:val="0"/>
          <w:marRight w:val="0"/>
          <w:marTop w:val="0"/>
          <w:marBottom w:val="0"/>
          <w:divBdr>
            <w:top w:val="none" w:sz="0" w:space="0" w:color="auto"/>
            <w:left w:val="none" w:sz="0" w:space="0" w:color="auto"/>
            <w:bottom w:val="none" w:sz="0" w:space="0" w:color="auto"/>
            <w:right w:val="none" w:sz="0" w:space="0" w:color="auto"/>
          </w:divBdr>
        </w:div>
        <w:div w:id="1254365004">
          <w:marLeft w:val="0"/>
          <w:marRight w:val="0"/>
          <w:marTop w:val="0"/>
          <w:marBottom w:val="0"/>
          <w:divBdr>
            <w:top w:val="none" w:sz="0" w:space="0" w:color="auto"/>
            <w:left w:val="none" w:sz="0" w:space="0" w:color="auto"/>
            <w:bottom w:val="none" w:sz="0" w:space="0" w:color="auto"/>
            <w:right w:val="none" w:sz="0" w:space="0" w:color="auto"/>
          </w:divBdr>
        </w:div>
        <w:div w:id="1539857207">
          <w:marLeft w:val="0"/>
          <w:marRight w:val="0"/>
          <w:marTop w:val="0"/>
          <w:marBottom w:val="0"/>
          <w:divBdr>
            <w:top w:val="none" w:sz="0" w:space="0" w:color="auto"/>
            <w:left w:val="none" w:sz="0" w:space="0" w:color="auto"/>
            <w:bottom w:val="none" w:sz="0" w:space="0" w:color="auto"/>
            <w:right w:val="none" w:sz="0" w:space="0" w:color="auto"/>
          </w:divBdr>
        </w:div>
        <w:div w:id="1717704953">
          <w:marLeft w:val="0"/>
          <w:marRight w:val="0"/>
          <w:marTop w:val="0"/>
          <w:marBottom w:val="0"/>
          <w:divBdr>
            <w:top w:val="none" w:sz="0" w:space="0" w:color="auto"/>
            <w:left w:val="none" w:sz="0" w:space="0" w:color="auto"/>
            <w:bottom w:val="none" w:sz="0" w:space="0" w:color="auto"/>
            <w:right w:val="none" w:sz="0" w:space="0" w:color="auto"/>
          </w:divBdr>
        </w:div>
        <w:div w:id="1973755391">
          <w:marLeft w:val="0"/>
          <w:marRight w:val="0"/>
          <w:marTop w:val="0"/>
          <w:marBottom w:val="0"/>
          <w:divBdr>
            <w:top w:val="none" w:sz="0" w:space="0" w:color="auto"/>
            <w:left w:val="none" w:sz="0" w:space="0" w:color="auto"/>
            <w:bottom w:val="none" w:sz="0" w:space="0" w:color="auto"/>
            <w:right w:val="none" w:sz="0" w:space="0" w:color="auto"/>
          </w:divBdr>
        </w:div>
      </w:divsChild>
    </w:div>
    <w:div w:id="1750729303">
      <w:bodyDiv w:val="1"/>
      <w:marLeft w:val="0"/>
      <w:marRight w:val="0"/>
      <w:marTop w:val="0"/>
      <w:marBottom w:val="0"/>
      <w:divBdr>
        <w:top w:val="none" w:sz="0" w:space="0" w:color="auto"/>
        <w:left w:val="none" w:sz="0" w:space="0" w:color="auto"/>
        <w:bottom w:val="none" w:sz="0" w:space="0" w:color="auto"/>
        <w:right w:val="none" w:sz="0" w:space="0" w:color="auto"/>
      </w:divBdr>
    </w:div>
    <w:div w:id="1753509647">
      <w:bodyDiv w:val="1"/>
      <w:marLeft w:val="0"/>
      <w:marRight w:val="0"/>
      <w:marTop w:val="0"/>
      <w:marBottom w:val="0"/>
      <w:divBdr>
        <w:top w:val="none" w:sz="0" w:space="0" w:color="auto"/>
        <w:left w:val="none" w:sz="0" w:space="0" w:color="auto"/>
        <w:bottom w:val="none" w:sz="0" w:space="0" w:color="auto"/>
        <w:right w:val="none" w:sz="0" w:space="0" w:color="auto"/>
      </w:divBdr>
    </w:div>
    <w:div w:id="1767312428">
      <w:bodyDiv w:val="1"/>
      <w:marLeft w:val="0"/>
      <w:marRight w:val="0"/>
      <w:marTop w:val="0"/>
      <w:marBottom w:val="0"/>
      <w:divBdr>
        <w:top w:val="none" w:sz="0" w:space="0" w:color="auto"/>
        <w:left w:val="none" w:sz="0" w:space="0" w:color="auto"/>
        <w:bottom w:val="none" w:sz="0" w:space="0" w:color="auto"/>
        <w:right w:val="none" w:sz="0" w:space="0" w:color="auto"/>
      </w:divBdr>
    </w:div>
    <w:div w:id="1862815704">
      <w:bodyDiv w:val="1"/>
      <w:marLeft w:val="0"/>
      <w:marRight w:val="0"/>
      <w:marTop w:val="0"/>
      <w:marBottom w:val="0"/>
      <w:divBdr>
        <w:top w:val="none" w:sz="0" w:space="0" w:color="auto"/>
        <w:left w:val="none" w:sz="0" w:space="0" w:color="auto"/>
        <w:bottom w:val="none" w:sz="0" w:space="0" w:color="auto"/>
        <w:right w:val="none" w:sz="0" w:space="0" w:color="auto"/>
      </w:divBdr>
    </w:div>
    <w:div w:id="1872500101">
      <w:bodyDiv w:val="1"/>
      <w:marLeft w:val="0"/>
      <w:marRight w:val="0"/>
      <w:marTop w:val="0"/>
      <w:marBottom w:val="0"/>
      <w:divBdr>
        <w:top w:val="none" w:sz="0" w:space="0" w:color="auto"/>
        <w:left w:val="none" w:sz="0" w:space="0" w:color="auto"/>
        <w:bottom w:val="none" w:sz="0" w:space="0" w:color="auto"/>
        <w:right w:val="none" w:sz="0" w:space="0" w:color="auto"/>
      </w:divBdr>
    </w:div>
    <w:div w:id="1889223552">
      <w:bodyDiv w:val="1"/>
      <w:marLeft w:val="0"/>
      <w:marRight w:val="0"/>
      <w:marTop w:val="0"/>
      <w:marBottom w:val="0"/>
      <w:divBdr>
        <w:top w:val="none" w:sz="0" w:space="0" w:color="auto"/>
        <w:left w:val="none" w:sz="0" w:space="0" w:color="auto"/>
        <w:bottom w:val="none" w:sz="0" w:space="0" w:color="auto"/>
        <w:right w:val="none" w:sz="0" w:space="0" w:color="auto"/>
      </w:divBdr>
    </w:div>
    <w:div w:id="1933933137">
      <w:bodyDiv w:val="1"/>
      <w:marLeft w:val="0"/>
      <w:marRight w:val="0"/>
      <w:marTop w:val="0"/>
      <w:marBottom w:val="0"/>
      <w:divBdr>
        <w:top w:val="none" w:sz="0" w:space="0" w:color="auto"/>
        <w:left w:val="none" w:sz="0" w:space="0" w:color="auto"/>
        <w:bottom w:val="none" w:sz="0" w:space="0" w:color="auto"/>
        <w:right w:val="none" w:sz="0" w:space="0" w:color="auto"/>
      </w:divBdr>
    </w:div>
    <w:div w:id="2001347339">
      <w:bodyDiv w:val="1"/>
      <w:marLeft w:val="0"/>
      <w:marRight w:val="0"/>
      <w:marTop w:val="0"/>
      <w:marBottom w:val="0"/>
      <w:divBdr>
        <w:top w:val="none" w:sz="0" w:space="0" w:color="auto"/>
        <w:left w:val="none" w:sz="0" w:space="0" w:color="auto"/>
        <w:bottom w:val="none" w:sz="0" w:space="0" w:color="auto"/>
        <w:right w:val="none" w:sz="0" w:space="0" w:color="auto"/>
      </w:divBdr>
      <w:divsChild>
        <w:div w:id="192501551">
          <w:marLeft w:val="0"/>
          <w:marRight w:val="0"/>
          <w:marTop w:val="0"/>
          <w:marBottom w:val="0"/>
          <w:divBdr>
            <w:top w:val="none" w:sz="0" w:space="0" w:color="auto"/>
            <w:left w:val="none" w:sz="0" w:space="0" w:color="auto"/>
            <w:bottom w:val="none" w:sz="0" w:space="0" w:color="auto"/>
            <w:right w:val="none" w:sz="0" w:space="0" w:color="auto"/>
          </w:divBdr>
        </w:div>
        <w:div w:id="565069855">
          <w:marLeft w:val="0"/>
          <w:marRight w:val="0"/>
          <w:marTop w:val="0"/>
          <w:marBottom w:val="0"/>
          <w:divBdr>
            <w:top w:val="none" w:sz="0" w:space="0" w:color="auto"/>
            <w:left w:val="none" w:sz="0" w:space="0" w:color="auto"/>
            <w:bottom w:val="none" w:sz="0" w:space="0" w:color="auto"/>
            <w:right w:val="none" w:sz="0" w:space="0" w:color="auto"/>
          </w:divBdr>
        </w:div>
        <w:div w:id="604968320">
          <w:marLeft w:val="0"/>
          <w:marRight w:val="0"/>
          <w:marTop w:val="0"/>
          <w:marBottom w:val="0"/>
          <w:divBdr>
            <w:top w:val="none" w:sz="0" w:space="0" w:color="auto"/>
            <w:left w:val="none" w:sz="0" w:space="0" w:color="auto"/>
            <w:bottom w:val="none" w:sz="0" w:space="0" w:color="auto"/>
            <w:right w:val="none" w:sz="0" w:space="0" w:color="auto"/>
          </w:divBdr>
        </w:div>
        <w:div w:id="982850129">
          <w:marLeft w:val="0"/>
          <w:marRight w:val="0"/>
          <w:marTop w:val="0"/>
          <w:marBottom w:val="0"/>
          <w:divBdr>
            <w:top w:val="none" w:sz="0" w:space="0" w:color="auto"/>
            <w:left w:val="none" w:sz="0" w:space="0" w:color="auto"/>
            <w:bottom w:val="none" w:sz="0" w:space="0" w:color="auto"/>
            <w:right w:val="none" w:sz="0" w:space="0" w:color="auto"/>
          </w:divBdr>
        </w:div>
        <w:div w:id="1173378055">
          <w:marLeft w:val="0"/>
          <w:marRight w:val="0"/>
          <w:marTop w:val="0"/>
          <w:marBottom w:val="0"/>
          <w:divBdr>
            <w:top w:val="none" w:sz="0" w:space="0" w:color="auto"/>
            <w:left w:val="none" w:sz="0" w:space="0" w:color="auto"/>
            <w:bottom w:val="none" w:sz="0" w:space="0" w:color="auto"/>
            <w:right w:val="none" w:sz="0" w:space="0" w:color="auto"/>
          </w:divBdr>
        </w:div>
        <w:div w:id="1203977604">
          <w:marLeft w:val="0"/>
          <w:marRight w:val="0"/>
          <w:marTop w:val="0"/>
          <w:marBottom w:val="0"/>
          <w:divBdr>
            <w:top w:val="none" w:sz="0" w:space="0" w:color="auto"/>
            <w:left w:val="none" w:sz="0" w:space="0" w:color="auto"/>
            <w:bottom w:val="none" w:sz="0" w:space="0" w:color="auto"/>
            <w:right w:val="none" w:sz="0" w:space="0" w:color="auto"/>
          </w:divBdr>
        </w:div>
        <w:div w:id="1496265230">
          <w:marLeft w:val="0"/>
          <w:marRight w:val="0"/>
          <w:marTop w:val="0"/>
          <w:marBottom w:val="0"/>
          <w:divBdr>
            <w:top w:val="none" w:sz="0" w:space="0" w:color="auto"/>
            <w:left w:val="none" w:sz="0" w:space="0" w:color="auto"/>
            <w:bottom w:val="none" w:sz="0" w:space="0" w:color="auto"/>
            <w:right w:val="none" w:sz="0" w:space="0" w:color="auto"/>
          </w:divBdr>
        </w:div>
      </w:divsChild>
    </w:div>
    <w:div w:id="212731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humberandnorthyorkshire.icb.nhs.uk/" TargetMode="External"/><Relationship Id="rId3" Type="http://schemas.openxmlformats.org/officeDocument/2006/relationships/hyperlink" Target="https://www.england.nhs.uk/commissioning/how-commissioning-is-changing/nhs-provider-selection-regime/independent-patient-choice-and-procurement-panel/" TargetMode="External"/><Relationship Id="rId7" Type="http://schemas.openxmlformats.org/officeDocument/2006/relationships/hyperlink" Target="https://www.england.nhs.uk/long-read/the-provider-selection-regime-statutory-guidance/" TargetMode="External"/><Relationship Id="rId2" Type="http://schemas.openxmlformats.org/officeDocument/2006/relationships/hyperlink" Target="https://www.clarendondentalspa.co.uk/" TargetMode="External"/><Relationship Id="rId1" Type="http://schemas.openxmlformats.org/officeDocument/2006/relationships/hyperlink" Target="https://www.barkhilldental.com/" TargetMode="External"/><Relationship Id="rId6" Type="http://schemas.openxmlformats.org/officeDocument/2006/relationships/hyperlink" Target="https://www.legislation.gov.uk/uksi/2023/1348/contents/made" TargetMode="External"/><Relationship Id="rId5" Type="http://schemas.openxmlformats.org/officeDocument/2006/relationships/hyperlink" Target="https://www.england.nhs.uk/commissioning/how-commissioning-is-changing/nhs-provider-selection-regime/independent-patient-choice-and-procurement-panel/" TargetMode="External"/><Relationship Id="rId4" Type="http://schemas.openxmlformats.org/officeDocument/2006/relationships/hyperlink" Target="https://www.england.nhs.uk/commissioning/how-commissioning-is-changing/nhs-provider-selection-regime/independent-patient-choice-and-procurement-panel/panel-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5" ma:contentTypeDescription="Create a new document." ma:contentTypeScope="" ma:versionID="593ed260951bafd5aa45cc66cad12808">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63b5ddedcd56d5d29aeb7386d38bc7f1" ns2:_="" ns3:_="">
    <xsd:import namespace="96410c0b-a514-402d-9462-ba76dadfba38"/>
    <xsd:import namespace="47bd0a4b-cdef-49e3-b4c2-dc603af9f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element ref="ns2:lcf76f155ced4ddcb4097134ff3c332f" minOccurs="0"/>
                <xsd:element ref="ns3:TaxCatchAll" minOccurs="0"/>
                <xsd:element ref="ns2:MediaServiceOCR" minOccurs="0"/>
                <xsd:element ref="ns2:MeetingDate" minOccurs="0"/>
                <xsd:element ref="ns2:DocumentN" minOccurs="0"/>
                <xsd:element ref="ns2:Duplicate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8" nillable="true" ma:displayName="Category " ma:format="Dropdown" ma:internalName="Category">
      <xsd:simpleType>
        <xsd:restriction base="dms:Choice">
          <xsd:enumeration value="Case Document"/>
          <xsd:enumeration value="Evidence Document"/>
          <xsd:enumeration value="E-correspondence"/>
          <xsd:enumeration value="Letter"/>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etingDate" ma:index="23" nillable="true" ma:displayName="Meeting Date " ma:format="DateOnly" ma:internalName="MeetingDate">
      <xsd:simpleType>
        <xsd:restriction base="dms:DateTime"/>
      </xsd:simpleType>
    </xsd:element>
    <xsd:element name="DocumentN" ma:index="24" nillable="true" ma:displayName="Document N" ma:format="Dropdown" ma:internalName="DocumentN">
      <xsd:simpleType>
        <xsd:restriction base="dms:Note">
          <xsd:maxLength value="255"/>
        </xsd:restriction>
      </xsd:simpleType>
    </xsd:element>
    <xsd:element name="Duplicateversions" ma:index="25" nillable="true" ma:displayName="Duplicate versions" ma:format="Dropdown" ma:internalName="Duplicatevers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N xmlns="96410c0b-a514-402d-9462-ba76dadfba38">CMS14</DocumentN>
    <Category xmlns="96410c0b-a514-402d-9462-ba76dadfba38">Case Document</Category>
    <lcf76f155ced4ddcb4097134ff3c332f xmlns="96410c0b-a514-402d-9462-ba76dadfba38">
      <Terms xmlns="http://schemas.microsoft.com/office/infopath/2007/PartnerControls"/>
    </lcf76f155ced4ddcb4097134ff3c332f>
    <Duplicateversions xmlns="96410c0b-a514-402d-9462-ba76dadfba38" xsi:nil="true"/>
    <TaxCatchAll xmlns="47bd0a4b-cdef-49e3-b4c2-dc603af9f461" xsi:nil="true"/>
    <MeetingDate xmlns="96410c0b-a514-402d-9462-ba76dadfba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3D2B-D278-4453-BD42-C1DF2BF9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FA424-81DE-430C-A5C7-8ACC1820BF8E}">
  <ds:schemaRefs>
    <ds:schemaRef ds:uri="http://schemas.microsoft.com/sharepoint/v3/contenttype/forms"/>
  </ds:schemaRefs>
</ds:datastoreItem>
</file>

<file path=customXml/itemProps3.xml><?xml version="1.0" encoding="utf-8"?>
<ds:datastoreItem xmlns:ds="http://schemas.openxmlformats.org/officeDocument/2006/customXml" ds:itemID="{12867BF3-8A39-4B53-BB5E-B23DD7C64490}">
  <ds:schemaRefs>
    <ds:schemaRef ds:uri="http://schemas.microsoft.com/office/2006/metadata/properties"/>
    <ds:schemaRef ds:uri="http://schemas.microsoft.com/office/infopath/2007/PartnerControls"/>
    <ds:schemaRef ds:uri="96410c0b-a514-402d-9462-ba76dadfba38"/>
    <ds:schemaRef ds:uri="47bd0a4b-cdef-49e3-b4c2-dc603af9f461"/>
  </ds:schemaRefs>
</ds:datastoreItem>
</file>

<file path=customXml/itemProps4.xml><?xml version="1.0" encoding="utf-8"?>
<ds:datastoreItem xmlns:ds="http://schemas.openxmlformats.org/officeDocument/2006/customXml" ds:itemID="{F515B795-E035-4082-8C51-6E954C2FD36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332</TotalTime>
  <Pages>43</Pages>
  <Words>17864</Words>
  <Characters>101826</Characters>
  <Application>Microsoft Office Word</Application>
  <DocSecurity>8</DocSecurity>
  <Lines>848</Lines>
  <Paragraphs>238</Paragraphs>
  <ScaleCrop>false</ScaleCrop>
  <Company/>
  <LinksUpToDate>false</LinksUpToDate>
  <CharactersWithSpaces>119452</CharactersWithSpaces>
  <SharedDoc>false</SharedDoc>
  <HLinks>
    <vt:vector size="168" baseType="variant">
      <vt:variant>
        <vt:i4>1900604</vt:i4>
      </vt:variant>
      <vt:variant>
        <vt:i4>116</vt:i4>
      </vt:variant>
      <vt:variant>
        <vt:i4>0</vt:i4>
      </vt:variant>
      <vt:variant>
        <vt:i4>5</vt:i4>
      </vt:variant>
      <vt:variant>
        <vt:lpwstr/>
      </vt:variant>
      <vt:variant>
        <vt:lpwstr>_Toc198745118</vt:lpwstr>
      </vt:variant>
      <vt:variant>
        <vt:i4>1900604</vt:i4>
      </vt:variant>
      <vt:variant>
        <vt:i4>110</vt:i4>
      </vt:variant>
      <vt:variant>
        <vt:i4>0</vt:i4>
      </vt:variant>
      <vt:variant>
        <vt:i4>5</vt:i4>
      </vt:variant>
      <vt:variant>
        <vt:lpwstr/>
      </vt:variant>
      <vt:variant>
        <vt:lpwstr>_Toc198745117</vt:lpwstr>
      </vt:variant>
      <vt:variant>
        <vt:i4>1900604</vt:i4>
      </vt:variant>
      <vt:variant>
        <vt:i4>104</vt:i4>
      </vt:variant>
      <vt:variant>
        <vt:i4>0</vt:i4>
      </vt:variant>
      <vt:variant>
        <vt:i4>5</vt:i4>
      </vt:variant>
      <vt:variant>
        <vt:lpwstr/>
      </vt:variant>
      <vt:variant>
        <vt:lpwstr>_Toc198745116</vt:lpwstr>
      </vt:variant>
      <vt:variant>
        <vt:i4>1900604</vt:i4>
      </vt:variant>
      <vt:variant>
        <vt:i4>98</vt:i4>
      </vt:variant>
      <vt:variant>
        <vt:i4>0</vt:i4>
      </vt:variant>
      <vt:variant>
        <vt:i4>5</vt:i4>
      </vt:variant>
      <vt:variant>
        <vt:lpwstr/>
      </vt:variant>
      <vt:variant>
        <vt:lpwstr>_Toc198745115</vt:lpwstr>
      </vt:variant>
      <vt:variant>
        <vt:i4>1900604</vt:i4>
      </vt:variant>
      <vt:variant>
        <vt:i4>92</vt:i4>
      </vt:variant>
      <vt:variant>
        <vt:i4>0</vt:i4>
      </vt:variant>
      <vt:variant>
        <vt:i4>5</vt:i4>
      </vt:variant>
      <vt:variant>
        <vt:lpwstr/>
      </vt:variant>
      <vt:variant>
        <vt:lpwstr>_Toc198745114</vt:lpwstr>
      </vt:variant>
      <vt:variant>
        <vt:i4>1900604</vt:i4>
      </vt:variant>
      <vt:variant>
        <vt:i4>86</vt:i4>
      </vt:variant>
      <vt:variant>
        <vt:i4>0</vt:i4>
      </vt:variant>
      <vt:variant>
        <vt:i4>5</vt:i4>
      </vt:variant>
      <vt:variant>
        <vt:lpwstr/>
      </vt:variant>
      <vt:variant>
        <vt:lpwstr>_Toc198745113</vt:lpwstr>
      </vt:variant>
      <vt:variant>
        <vt:i4>1900604</vt:i4>
      </vt:variant>
      <vt:variant>
        <vt:i4>80</vt:i4>
      </vt:variant>
      <vt:variant>
        <vt:i4>0</vt:i4>
      </vt:variant>
      <vt:variant>
        <vt:i4>5</vt:i4>
      </vt:variant>
      <vt:variant>
        <vt:lpwstr/>
      </vt:variant>
      <vt:variant>
        <vt:lpwstr>_Toc198745112</vt:lpwstr>
      </vt:variant>
      <vt:variant>
        <vt:i4>1900604</vt:i4>
      </vt:variant>
      <vt:variant>
        <vt:i4>74</vt:i4>
      </vt:variant>
      <vt:variant>
        <vt:i4>0</vt:i4>
      </vt:variant>
      <vt:variant>
        <vt:i4>5</vt:i4>
      </vt:variant>
      <vt:variant>
        <vt:lpwstr/>
      </vt:variant>
      <vt:variant>
        <vt:lpwstr>_Toc198745111</vt:lpwstr>
      </vt:variant>
      <vt:variant>
        <vt:i4>1900604</vt:i4>
      </vt:variant>
      <vt:variant>
        <vt:i4>68</vt:i4>
      </vt:variant>
      <vt:variant>
        <vt:i4>0</vt:i4>
      </vt:variant>
      <vt:variant>
        <vt:i4>5</vt:i4>
      </vt:variant>
      <vt:variant>
        <vt:lpwstr/>
      </vt:variant>
      <vt:variant>
        <vt:lpwstr>_Toc198745110</vt:lpwstr>
      </vt:variant>
      <vt:variant>
        <vt:i4>1835068</vt:i4>
      </vt:variant>
      <vt:variant>
        <vt:i4>62</vt:i4>
      </vt:variant>
      <vt:variant>
        <vt:i4>0</vt:i4>
      </vt:variant>
      <vt:variant>
        <vt:i4>5</vt:i4>
      </vt:variant>
      <vt:variant>
        <vt:lpwstr/>
      </vt:variant>
      <vt:variant>
        <vt:lpwstr>_Toc198745109</vt:lpwstr>
      </vt:variant>
      <vt:variant>
        <vt:i4>1835068</vt:i4>
      </vt:variant>
      <vt:variant>
        <vt:i4>56</vt:i4>
      </vt:variant>
      <vt:variant>
        <vt:i4>0</vt:i4>
      </vt:variant>
      <vt:variant>
        <vt:i4>5</vt:i4>
      </vt:variant>
      <vt:variant>
        <vt:lpwstr/>
      </vt:variant>
      <vt:variant>
        <vt:lpwstr>_Toc198745108</vt:lpwstr>
      </vt:variant>
      <vt:variant>
        <vt:i4>1835068</vt:i4>
      </vt:variant>
      <vt:variant>
        <vt:i4>50</vt:i4>
      </vt:variant>
      <vt:variant>
        <vt:i4>0</vt:i4>
      </vt:variant>
      <vt:variant>
        <vt:i4>5</vt:i4>
      </vt:variant>
      <vt:variant>
        <vt:lpwstr/>
      </vt:variant>
      <vt:variant>
        <vt:lpwstr>_Toc198745107</vt:lpwstr>
      </vt:variant>
      <vt:variant>
        <vt:i4>1835068</vt:i4>
      </vt:variant>
      <vt:variant>
        <vt:i4>44</vt:i4>
      </vt:variant>
      <vt:variant>
        <vt:i4>0</vt:i4>
      </vt:variant>
      <vt:variant>
        <vt:i4>5</vt:i4>
      </vt:variant>
      <vt:variant>
        <vt:lpwstr/>
      </vt:variant>
      <vt:variant>
        <vt:lpwstr>_Toc198745106</vt:lpwstr>
      </vt:variant>
      <vt:variant>
        <vt:i4>1835068</vt:i4>
      </vt:variant>
      <vt:variant>
        <vt:i4>38</vt:i4>
      </vt:variant>
      <vt:variant>
        <vt:i4>0</vt:i4>
      </vt:variant>
      <vt:variant>
        <vt:i4>5</vt:i4>
      </vt:variant>
      <vt:variant>
        <vt:lpwstr/>
      </vt:variant>
      <vt:variant>
        <vt:lpwstr>_Toc198745105</vt:lpwstr>
      </vt:variant>
      <vt:variant>
        <vt:i4>1835068</vt:i4>
      </vt:variant>
      <vt:variant>
        <vt:i4>32</vt:i4>
      </vt:variant>
      <vt:variant>
        <vt:i4>0</vt:i4>
      </vt:variant>
      <vt:variant>
        <vt:i4>5</vt:i4>
      </vt:variant>
      <vt:variant>
        <vt:lpwstr/>
      </vt:variant>
      <vt:variant>
        <vt:lpwstr>_Toc198745104</vt:lpwstr>
      </vt:variant>
      <vt:variant>
        <vt:i4>1835068</vt:i4>
      </vt:variant>
      <vt:variant>
        <vt:i4>26</vt:i4>
      </vt:variant>
      <vt:variant>
        <vt:i4>0</vt:i4>
      </vt:variant>
      <vt:variant>
        <vt:i4>5</vt:i4>
      </vt:variant>
      <vt:variant>
        <vt:lpwstr/>
      </vt:variant>
      <vt:variant>
        <vt:lpwstr>_Toc198745103</vt:lpwstr>
      </vt:variant>
      <vt:variant>
        <vt:i4>1835068</vt:i4>
      </vt:variant>
      <vt:variant>
        <vt:i4>20</vt:i4>
      </vt:variant>
      <vt:variant>
        <vt:i4>0</vt:i4>
      </vt:variant>
      <vt:variant>
        <vt:i4>5</vt:i4>
      </vt:variant>
      <vt:variant>
        <vt:lpwstr/>
      </vt:variant>
      <vt:variant>
        <vt:lpwstr>_Toc198745102</vt:lpwstr>
      </vt:variant>
      <vt:variant>
        <vt:i4>1835068</vt:i4>
      </vt:variant>
      <vt:variant>
        <vt:i4>14</vt:i4>
      </vt:variant>
      <vt:variant>
        <vt:i4>0</vt:i4>
      </vt:variant>
      <vt:variant>
        <vt:i4>5</vt:i4>
      </vt:variant>
      <vt:variant>
        <vt:lpwstr/>
      </vt:variant>
      <vt:variant>
        <vt:lpwstr>_Toc198745101</vt:lpwstr>
      </vt:variant>
      <vt:variant>
        <vt:i4>1835068</vt:i4>
      </vt:variant>
      <vt:variant>
        <vt:i4>8</vt:i4>
      </vt:variant>
      <vt:variant>
        <vt:i4>0</vt:i4>
      </vt:variant>
      <vt:variant>
        <vt:i4>5</vt:i4>
      </vt:variant>
      <vt:variant>
        <vt:lpwstr/>
      </vt:variant>
      <vt:variant>
        <vt:lpwstr>_Toc198745100</vt:lpwstr>
      </vt:variant>
      <vt:variant>
        <vt:i4>1376317</vt:i4>
      </vt:variant>
      <vt:variant>
        <vt:i4>2</vt:i4>
      </vt:variant>
      <vt:variant>
        <vt:i4>0</vt:i4>
      </vt:variant>
      <vt:variant>
        <vt:i4>5</vt:i4>
      </vt:variant>
      <vt:variant>
        <vt:lpwstr/>
      </vt:variant>
      <vt:variant>
        <vt:lpwstr>_Toc198745099</vt:lpwstr>
      </vt:variant>
      <vt:variant>
        <vt:i4>4063273</vt:i4>
      </vt:variant>
      <vt:variant>
        <vt:i4>21</vt:i4>
      </vt:variant>
      <vt:variant>
        <vt:i4>0</vt:i4>
      </vt:variant>
      <vt:variant>
        <vt:i4>5</vt:i4>
      </vt:variant>
      <vt:variant>
        <vt:lpwstr>https://humberandnorthyorkshire.icb.nhs.uk/</vt:lpwstr>
      </vt:variant>
      <vt:variant>
        <vt:lpwstr/>
      </vt:variant>
      <vt:variant>
        <vt:i4>2818172</vt:i4>
      </vt:variant>
      <vt:variant>
        <vt:i4>18</vt:i4>
      </vt:variant>
      <vt:variant>
        <vt:i4>0</vt:i4>
      </vt:variant>
      <vt:variant>
        <vt:i4>5</vt:i4>
      </vt:variant>
      <vt:variant>
        <vt:lpwstr>https://www.england.nhs.uk/long-read/the-provider-selection-regime-statutory-guidance/</vt:lpwstr>
      </vt:variant>
      <vt:variant>
        <vt:lpwstr/>
      </vt:variant>
      <vt:variant>
        <vt:i4>3670113</vt:i4>
      </vt:variant>
      <vt:variant>
        <vt:i4>15</vt:i4>
      </vt:variant>
      <vt:variant>
        <vt:i4>0</vt:i4>
      </vt:variant>
      <vt:variant>
        <vt:i4>5</vt:i4>
      </vt:variant>
      <vt:variant>
        <vt:lpwstr>https://www.legislation.gov.uk/uksi/2023/1348/contents/made</vt:lpwstr>
      </vt:variant>
      <vt:variant>
        <vt:lpwstr/>
      </vt:variant>
      <vt:variant>
        <vt:i4>7864419</vt:i4>
      </vt:variant>
      <vt:variant>
        <vt:i4>12</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720903</vt:i4>
      </vt:variant>
      <vt:variant>
        <vt:i4>9</vt:i4>
      </vt:variant>
      <vt:variant>
        <vt:i4>0</vt:i4>
      </vt:variant>
      <vt:variant>
        <vt:i4>5</vt:i4>
      </vt:variant>
      <vt:variant>
        <vt:lpwstr>https://www.england.nhs.uk/commissioning/how-commissioning-is-changing/nhs-provider-selection-regime/independent-patient-choice-and-procurement-panel/panel-members/</vt:lpwstr>
      </vt:variant>
      <vt:variant>
        <vt:lpwstr/>
      </vt:variant>
      <vt:variant>
        <vt:i4>7864419</vt:i4>
      </vt:variant>
      <vt:variant>
        <vt:i4>6</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524308</vt:i4>
      </vt:variant>
      <vt:variant>
        <vt:i4>3</vt:i4>
      </vt:variant>
      <vt:variant>
        <vt:i4>0</vt:i4>
      </vt:variant>
      <vt:variant>
        <vt:i4>5</vt:i4>
      </vt:variant>
      <vt:variant>
        <vt:lpwstr>https://www.clarendondentalspa.co.uk/</vt:lpwstr>
      </vt:variant>
      <vt:variant>
        <vt:lpwstr/>
      </vt:variant>
      <vt:variant>
        <vt:i4>3407998</vt:i4>
      </vt:variant>
      <vt:variant>
        <vt:i4>0</vt:i4>
      </vt:variant>
      <vt:variant>
        <vt:i4>0</vt:i4>
      </vt:variant>
      <vt:variant>
        <vt:i4>5</vt:i4>
      </vt:variant>
      <vt:variant>
        <vt:lpwstr>https://www.barkhilldental.com/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Hannah (NHS SOUTH, CENTRAL AND WEST COMMISSIONING SUPPORT UNIT)</dc:creator>
  <cp:keywords/>
  <dc:description/>
  <cp:lastModifiedBy>WALTERS, Bianca (NHS SOUTH, CENTRAL AND WEST COMMISSIONING SUPPORT UNIT)</cp:lastModifiedBy>
  <cp:revision>1813</cp:revision>
  <cp:lastPrinted>2025-05-27T11:31:00Z</cp:lastPrinted>
  <dcterms:created xsi:type="dcterms:W3CDTF">2025-04-30T07:55:00Z</dcterms:created>
  <dcterms:modified xsi:type="dcterms:W3CDTF">2025-05-27T11:31:00Z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y fmtid="{D5CDD505-2E9C-101B-9397-08002B2CF9AE}" pid="4" name="Approval Level">
    <vt:lpwstr>Approved</vt:lpwstr>
  </property>
  <property fmtid="{D5CDD505-2E9C-101B-9397-08002B2CF9AE}" pid="5" name="Doctype">
    <vt:lpwstr>Case document</vt:lpwstr>
  </property>
</Properties>
</file>