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3F9C" w14:textId="4FA48E90" w:rsidR="00073523" w:rsidRPr="00C2528A" w:rsidRDefault="00BA1284" w:rsidP="00CD7C7B">
      <w:pPr>
        <w:pStyle w:val="Title"/>
        <w:spacing w:line="23" w:lineRule="atLeast"/>
      </w:pPr>
      <w:r w:rsidRPr="00C2528A">
        <w:t>I</w:t>
      </w:r>
      <w:bookmarkStart w:id="0" w:name="_Ref201066981"/>
      <w:bookmarkEnd w:id="0"/>
      <w:r w:rsidRPr="00C2528A">
        <w:t>ndependent Patient Choice and Procurement Panel</w:t>
      </w:r>
    </w:p>
    <w:p w14:paraId="099EC198" w14:textId="3B35CA00" w:rsidR="00BA1284" w:rsidRPr="00E56C34" w:rsidRDefault="00BA1284" w:rsidP="00CD7C7B">
      <w:pPr>
        <w:pStyle w:val="Subtitle"/>
        <w:spacing w:line="23" w:lineRule="atLeast"/>
      </w:pPr>
      <w:r w:rsidRPr="00E56C34">
        <w:t xml:space="preserve">Review of a </w:t>
      </w:r>
      <w:r w:rsidR="008864AD" w:rsidRPr="00E56C34">
        <w:t xml:space="preserve">proposed contract award </w:t>
      </w:r>
    </w:p>
    <w:p w14:paraId="14D3A4FB" w14:textId="77777777" w:rsidR="00C2528A" w:rsidRDefault="00C2528A" w:rsidP="00CD7C7B">
      <w:pPr>
        <w:pStyle w:val="Subtitle"/>
        <w:spacing w:line="23" w:lineRule="atLeast"/>
        <w:rPr>
          <w:highlight w:val="yellow"/>
        </w:rPr>
      </w:pPr>
    </w:p>
    <w:p w14:paraId="3D241E8A" w14:textId="36AE19C2" w:rsidR="008864AD" w:rsidRPr="005C5A22" w:rsidRDefault="005C5A22" w:rsidP="00CD7C7B">
      <w:pPr>
        <w:pStyle w:val="Subtitle"/>
        <w:spacing w:line="23" w:lineRule="atLeast"/>
      </w:pPr>
      <w:r w:rsidRPr="005C5A22">
        <w:t>GP Led Out of Hours Services for Shropshire, Telford and Wrekin</w:t>
      </w:r>
    </w:p>
    <w:p w14:paraId="6D39B052" w14:textId="77777777" w:rsidR="00DC6D78" w:rsidRPr="005C5A22" w:rsidRDefault="00DC6D78" w:rsidP="00CD7C7B">
      <w:pPr>
        <w:spacing w:line="23" w:lineRule="atLeast"/>
      </w:pPr>
    </w:p>
    <w:p w14:paraId="477EAD69" w14:textId="77777777" w:rsidR="0025106C" w:rsidRPr="005C5A22" w:rsidRDefault="0025106C" w:rsidP="00CD7C7B">
      <w:pPr>
        <w:pStyle w:val="Subtitle"/>
        <w:spacing w:line="23" w:lineRule="atLeast"/>
        <w:rPr>
          <w:sz w:val="28"/>
          <w:szCs w:val="24"/>
        </w:rPr>
      </w:pPr>
    </w:p>
    <w:p w14:paraId="70E108B0" w14:textId="77777777" w:rsidR="0025106C" w:rsidRPr="005C5A22" w:rsidRDefault="0025106C" w:rsidP="00CD7C7B">
      <w:pPr>
        <w:pStyle w:val="Subtitle"/>
        <w:spacing w:line="23" w:lineRule="atLeast"/>
        <w:rPr>
          <w:sz w:val="28"/>
          <w:szCs w:val="24"/>
        </w:rPr>
      </w:pPr>
    </w:p>
    <w:p w14:paraId="083AECAA" w14:textId="77777777" w:rsidR="0025106C" w:rsidRPr="005C5A22" w:rsidRDefault="0025106C" w:rsidP="00CD7C7B">
      <w:pPr>
        <w:pStyle w:val="Subtitle"/>
        <w:spacing w:line="23" w:lineRule="atLeast"/>
        <w:rPr>
          <w:sz w:val="28"/>
          <w:szCs w:val="24"/>
        </w:rPr>
      </w:pPr>
    </w:p>
    <w:p w14:paraId="4FA54F58" w14:textId="1C44FE82" w:rsidR="00D6101B" w:rsidRPr="00812B38" w:rsidRDefault="00D6101B" w:rsidP="00CD7C7B">
      <w:pPr>
        <w:pStyle w:val="Subtitle"/>
        <w:spacing w:line="23" w:lineRule="atLeast"/>
        <w:rPr>
          <w:sz w:val="28"/>
          <w:szCs w:val="24"/>
        </w:rPr>
      </w:pPr>
      <w:r w:rsidRPr="005C5A22">
        <w:rPr>
          <w:sz w:val="28"/>
          <w:szCs w:val="24"/>
        </w:rPr>
        <w:t>Case Reference: CR00</w:t>
      </w:r>
      <w:r w:rsidR="005C5A22" w:rsidRPr="005C5A22">
        <w:rPr>
          <w:sz w:val="28"/>
          <w:szCs w:val="24"/>
        </w:rPr>
        <w:t>17-25</w:t>
      </w:r>
    </w:p>
    <w:p w14:paraId="2FD38E52" w14:textId="436E34C9" w:rsidR="00D6101B" w:rsidRPr="00812B38" w:rsidRDefault="007F3B8E" w:rsidP="00CD7C7B">
      <w:pPr>
        <w:pStyle w:val="Subtitle"/>
        <w:spacing w:line="23" w:lineRule="atLeast"/>
        <w:rPr>
          <w:sz w:val="28"/>
          <w:szCs w:val="24"/>
        </w:rPr>
      </w:pPr>
      <w:r w:rsidRPr="007F3B8E">
        <w:rPr>
          <w:sz w:val="28"/>
          <w:szCs w:val="24"/>
        </w:rPr>
        <w:t>1 July</w:t>
      </w:r>
      <w:r w:rsidR="005C5A22" w:rsidRPr="007F3B8E">
        <w:rPr>
          <w:sz w:val="28"/>
          <w:szCs w:val="24"/>
        </w:rPr>
        <w:t xml:space="preserve"> 2025</w:t>
      </w:r>
      <w:r w:rsidR="00D6101B" w:rsidRPr="007F3B8E">
        <w:rPr>
          <w:sz w:val="28"/>
          <w:szCs w:val="24"/>
        </w:rPr>
        <w:t xml:space="preserve"> </w:t>
      </w:r>
    </w:p>
    <w:p w14:paraId="6AF81D4D" w14:textId="4B890C22" w:rsidR="0005616B" w:rsidRDefault="0005616B" w:rsidP="00CD7C7B">
      <w:pPr>
        <w:spacing w:line="23" w:lineRule="atLeast"/>
        <w:rPr>
          <w:b/>
          <w:bCs/>
          <w:color w:val="0070C0"/>
          <w:sz w:val="28"/>
          <w:szCs w:val="28"/>
        </w:rPr>
      </w:pPr>
      <w:r>
        <w:rPr>
          <w:b/>
          <w:bCs/>
          <w:color w:val="0070C0"/>
          <w:sz w:val="28"/>
          <w:szCs w:val="28"/>
        </w:rPr>
        <w:br w:type="page"/>
      </w:r>
    </w:p>
    <w:sdt>
      <w:sdtPr>
        <w:rPr>
          <w:rFonts w:cs="Arial"/>
          <w:b/>
          <w:bCs/>
          <w:sz w:val="28"/>
          <w:szCs w:val="28"/>
        </w:rPr>
        <w:id w:val="-119384216"/>
        <w:docPartObj>
          <w:docPartGallery w:val="Table of Contents"/>
          <w:docPartUnique/>
        </w:docPartObj>
      </w:sdtPr>
      <w:sdtEndPr>
        <w:rPr>
          <w:rFonts w:cstheme="minorBidi"/>
          <w:sz w:val="22"/>
          <w:szCs w:val="22"/>
        </w:rPr>
      </w:sdtEndPr>
      <w:sdtContent>
        <w:p w14:paraId="5566C04A" w14:textId="4E1AFD3B" w:rsidR="00B42AE6" w:rsidRPr="00971C84" w:rsidRDefault="00B42AE6" w:rsidP="00CD7C7B">
          <w:pPr>
            <w:spacing w:line="23" w:lineRule="atLeast"/>
            <w:rPr>
              <w:rFonts w:cs="Arial"/>
              <w:b/>
              <w:bCs/>
              <w:sz w:val="28"/>
              <w:szCs w:val="28"/>
            </w:rPr>
          </w:pPr>
          <w:r w:rsidRPr="00971C84">
            <w:rPr>
              <w:rFonts w:cs="Arial"/>
              <w:b/>
              <w:bCs/>
              <w:sz w:val="28"/>
              <w:szCs w:val="28"/>
            </w:rPr>
            <w:t>Contents</w:t>
          </w:r>
        </w:p>
        <w:p w14:paraId="481AD432" w14:textId="650C1358" w:rsidR="00E658A1" w:rsidRDefault="00B42AE6">
          <w:pPr>
            <w:pStyle w:val="TOC1"/>
            <w:tabs>
              <w:tab w:val="left" w:pos="480"/>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201919690" w:history="1">
            <w:r w:rsidR="00E658A1" w:rsidRPr="00FC6906">
              <w:rPr>
                <w:rStyle w:val="Hyperlink"/>
                <w:noProof/>
              </w:rPr>
              <w:t>1</w:t>
            </w:r>
            <w:r w:rsidR="00E658A1">
              <w:rPr>
                <w:rFonts w:asciiTheme="minorHAnsi" w:eastAsiaTheme="minorEastAsia" w:hAnsiTheme="minorHAnsi"/>
                <w:noProof/>
                <w:sz w:val="24"/>
                <w:szCs w:val="24"/>
                <w:lang w:eastAsia="en-GB"/>
              </w:rPr>
              <w:tab/>
            </w:r>
            <w:r w:rsidR="00E658A1" w:rsidRPr="00FC6906">
              <w:rPr>
                <w:rStyle w:val="Hyperlink"/>
                <w:noProof/>
              </w:rPr>
              <w:t>Executive Summary</w:t>
            </w:r>
            <w:r w:rsidR="00E658A1">
              <w:rPr>
                <w:noProof/>
                <w:webHidden/>
              </w:rPr>
              <w:tab/>
            </w:r>
            <w:r w:rsidR="00E658A1">
              <w:rPr>
                <w:noProof/>
                <w:webHidden/>
              </w:rPr>
              <w:fldChar w:fldCharType="begin"/>
            </w:r>
            <w:r w:rsidR="00E658A1">
              <w:rPr>
                <w:noProof/>
                <w:webHidden/>
              </w:rPr>
              <w:instrText xml:space="preserve"> PAGEREF _Toc201919690 \h </w:instrText>
            </w:r>
            <w:r w:rsidR="00E658A1">
              <w:rPr>
                <w:noProof/>
                <w:webHidden/>
              </w:rPr>
            </w:r>
            <w:r w:rsidR="00E658A1">
              <w:rPr>
                <w:noProof/>
                <w:webHidden/>
              </w:rPr>
              <w:fldChar w:fldCharType="separate"/>
            </w:r>
            <w:r w:rsidR="008F16B8">
              <w:rPr>
                <w:noProof/>
                <w:webHidden/>
              </w:rPr>
              <w:t>3</w:t>
            </w:r>
            <w:r w:rsidR="00E658A1">
              <w:rPr>
                <w:noProof/>
                <w:webHidden/>
              </w:rPr>
              <w:fldChar w:fldCharType="end"/>
            </w:r>
          </w:hyperlink>
        </w:p>
        <w:p w14:paraId="484B5004" w14:textId="3976A7A5"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691" w:history="1">
            <w:r w:rsidRPr="00FC6906">
              <w:rPr>
                <w:rStyle w:val="Hyperlink"/>
                <w:noProof/>
              </w:rPr>
              <w:t>2</w:t>
            </w:r>
            <w:r>
              <w:rPr>
                <w:rFonts w:asciiTheme="minorHAnsi" w:eastAsiaTheme="minorEastAsia" w:hAnsiTheme="minorHAnsi"/>
                <w:noProof/>
                <w:sz w:val="24"/>
                <w:szCs w:val="24"/>
                <w:lang w:eastAsia="en-GB"/>
              </w:rPr>
              <w:tab/>
            </w:r>
            <w:r w:rsidRPr="00FC6906">
              <w:rPr>
                <w:rStyle w:val="Hyperlink"/>
                <w:noProof/>
              </w:rPr>
              <w:t>Introduction</w:t>
            </w:r>
            <w:r>
              <w:rPr>
                <w:noProof/>
                <w:webHidden/>
              </w:rPr>
              <w:tab/>
            </w:r>
            <w:r>
              <w:rPr>
                <w:noProof/>
                <w:webHidden/>
              </w:rPr>
              <w:fldChar w:fldCharType="begin"/>
            </w:r>
            <w:r>
              <w:rPr>
                <w:noProof/>
                <w:webHidden/>
              </w:rPr>
              <w:instrText xml:space="preserve"> PAGEREF _Toc201919691 \h </w:instrText>
            </w:r>
            <w:r>
              <w:rPr>
                <w:noProof/>
                <w:webHidden/>
              </w:rPr>
            </w:r>
            <w:r>
              <w:rPr>
                <w:noProof/>
                <w:webHidden/>
              </w:rPr>
              <w:fldChar w:fldCharType="separate"/>
            </w:r>
            <w:r w:rsidR="008F16B8">
              <w:rPr>
                <w:noProof/>
                <w:webHidden/>
              </w:rPr>
              <w:t>4</w:t>
            </w:r>
            <w:r>
              <w:rPr>
                <w:noProof/>
                <w:webHidden/>
              </w:rPr>
              <w:fldChar w:fldCharType="end"/>
            </w:r>
          </w:hyperlink>
        </w:p>
        <w:p w14:paraId="0C4978BB" w14:textId="0239CF64"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692" w:history="1">
            <w:r w:rsidRPr="00FC6906">
              <w:rPr>
                <w:rStyle w:val="Hyperlink"/>
                <w:noProof/>
              </w:rPr>
              <w:t>3</w:t>
            </w:r>
            <w:r>
              <w:rPr>
                <w:rFonts w:asciiTheme="minorHAnsi" w:eastAsiaTheme="minorEastAsia" w:hAnsiTheme="minorHAnsi"/>
                <w:noProof/>
                <w:sz w:val="24"/>
                <w:szCs w:val="24"/>
                <w:lang w:eastAsia="en-GB"/>
              </w:rPr>
              <w:tab/>
            </w:r>
            <w:r w:rsidRPr="00FC6906">
              <w:rPr>
                <w:rStyle w:val="Hyperlink"/>
                <w:noProof/>
              </w:rPr>
              <w:t>Role of the Panel</w:t>
            </w:r>
            <w:r>
              <w:rPr>
                <w:noProof/>
                <w:webHidden/>
              </w:rPr>
              <w:tab/>
            </w:r>
            <w:r>
              <w:rPr>
                <w:noProof/>
                <w:webHidden/>
              </w:rPr>
              <w:fldChar w:fldCharType="begin"/>
            </w:r>
            <w:r>
              <w:rPr>
                <w:noProof/>
                <w:webHidden/>
              </w:rPr>
              <w:instrText xml:space="preserve"> PAGEREF _Toc201919692 \h </w:instrText>
            </w:r>
            <w:r>
              <w:rPr>
                <w:noProof/>
                <w:webHidden/>
              </w:rPr>
            </w:r>
            <w:r>
              <w:rPr>
                <w:noProof/>
                <w:webHidden/>
              </w:rPr>
              <w:fldChar w:fldCharType="separate"/>
            </w:r>
            <w:r w:rsidR="008F16B8">
              <w:rPr>
                <w:noProof/>
                <w:webHidden/>
              </w:rPr>
              <w:t>5</w:t>
            </w:r>
            <w:r>
              <w:rPr>
                <w:noProof/>
                <w:webHidden/>
              </w:rPr>
              <w:fldChar w:fldCharType="end"/>
            </w:r>
          </w:hyperlink>
        </w:p>
        <w:p w14:paraId="79A95826" w14:textId="4C196683"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693" w:history="1">
            <w:r w:rsidRPr="00FC6906">
              <w:rPr>
                <w:rStyle w:val="Hyperlink"/>
                <w:noProof/>
              </w:rPr>
              <w:t>4</w:t>
            </w:r>
            <w:r>
              <w:rPr>
                <w:rFonts w:asciiTheme="minorHAnsi" w:eastAsiaTheme="minorEastAsia" w:hAnsiTheme="minorHAnsi"/>
                <w:noProof/>
                <w:sz w:val="24"/>
                <w:szCs w:val="24"/>
                <w:lang w:eastAsia="en-GB"/>
              </w:rPr>
              <w:tab/>
            </w:r>
            <w:r w:rsidRPr="00FC6906">
              <w:rPr>
                <w:rStyle w:val="Hyperlink"/>
                <w:noProof/>
              </w:rPr>
              <w:t>Background to this review</w:t>
            </w:r>
            <w:r>
              <w:rPr>
                <w:noProof/>
                <w:webHidden/>
              </w:rPr>
              <w:tab/>
            </w:r>
            <w:r>
              <w:rPr>
                <w:noProof/>
                <w:webHidden/>
              </w:rPr>
              <w:fldChar w:fldCharType="begin"/>
            </w:r>
            <w:r>
              <w:rPr>
                <w:noProof/>
                <w:webHidden/>
              </w:rPr>
              <w:instrText xml:space="preserve"> PAGEREF _Toc201919693 \h </w:instrText>
            </w:r>
            <w:r>
              <w:rPr>
                <w:noProof/>
                <w:webHidden/>
              </w:rPr>
            </w:r>
            <w:r>
              <w:rPr>
                <w:noProof/>
                <w:webHidden/>
              </w:rPr>
              <w:fldChar w:fldCharType="separate"/>
            </w:r>
            <w:r w:rsidR="008F16B8">
              <w:rPr>
                <w:noProof/>
                <w:webHidden/>
              </w:rPr>
              <w:t>6</w:t>
            </w:r>
            <w:r>
              <w:rPr>
                <w:noProof/>
                <w:webHidden/>
              </w:rPr>
              <w:fldChar w:fldCharType="end"/>
            </w:r>
          </w:hyperlink>
        </w:p>
        <w:p w14:paraId="70A7AF2D" w14:textId="61012D5D"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694" w:history="1">
            <w:r w:rsidRPr="00FC6906">
              <w:rPr>
                <w:rStyle w:val="Hyperlink"/>
                <w:noProof/>
              </w:rPr>
              <w:t>5</w:t>
            </w:r>
            <w:r>
              <w:rPr>
                <w:rFonts w:asciiTheme="minorHAnsi" w:eastAsiaTheme="minorEastAsia" w:hAnsiTheme="minorHAnsi"/>
                <w:noProof/>
                <w:sz w:val="24"/>
                <w:szCs w:val="24"/>
                <w:lang w:eastAsia="en-GB"/>
              </w:rPr>
              <w:tab/>
            </w:r>
            <w:r w:rsidRPr="00FC6906">
              <w:rPr>
                <w:rStyle w:val="Hyperlink"/>
                <w:noProof/>
              </w:rPr>
              <w:t>Representations by Shropdoc</w:t>
            </w:r>
            <w:r>
              <w:rPr>
                <w:noProof/>
                <w:webHidden/>
              </w:rPr>
              <w:tab/>
            </w:r>
            <w:r>
              <w:rPr>
                <w:noProof/>
                <w:webHidden/>
              </w:rPr>
              <w:fldChar w:fldCharType="begin"/>
            </w:r>
            <w:r>
              <w:rPr>
                <w:noProof/>
                <w:webHidden/>
              </w:rPr>
              <w:instrText xml:space="preserve"> PAGEREF _Toc201919694 \h </w:instrText>
            </w:r>
            <w:r>
              <w:rPr>
                <w:noProof/>
                <w:webHidden/>
              </w:rPr>
            </w:r>
            <w:r>
              <w:rPr>
                <w:noProof/>
                <w:webHidden/>
              </w:rPr>
              <w:fldChar w:fldCharType="separate"/>
            </w:r>
            <w:r w:rsidR="008F16B8">
              <w:rPr>
                <w:noProof/>
                <w:webHidden/>
              </w:rPr>
              <w:t>7</w:t>
            </w:r>
            <w:r>
              <w:rPr>
                <w:noProof/>
                <w:webHidden/>
              </w:rPr>
              <w:fldChar w:fldCharType="end"/>
            </w:r>
          </w:hyperlink>
        </w:p>
        <w:p w14:paraId="6BF83779" w14:textId="54AFD081"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695" w:history="1">
            <w:r w:rsidRPr="00FC6906">
              <w:rPr>
                <w:rStyle w:val="Hyperlink"/>
                <w:noProof/>
              </w:rPr>
              <w:t>6</w:t>
            </w:r>
            <w:r>
              <w:rPr>
                <w:rFonts w:asciiTheme="minorHAnsi" w:eastAsiaTheme="minorEastAsia" w:hAnsiTheme="minorHAnsi"/>
                <w:noProof/>
                <w:sz w:val="24"/>
                <w:szCs w:val="24"/>
                <w:lang w:eastAsia="en-GB"/>
              </w:rPr>
              <w:tab/>
            </w:r>
            <w:r w:rsidRPr="00FC6906">
              <w:rPr>
                <w:rStyle w:val="Hyperlink"/>
                <w:noProof/>
              </w:rPr>
              <w:t>PSR regulations relevant to this review</w:t>
            </w:r>
            <w:r>
              <w:rPr>
                <w:noProof/>
                <w:webHidden/>
              </w:rPr>
              <w:tab/>
            </w:r>
            <w:r>
              <w:rPr>
                <w:noProof/>
                <w:webHidden/>
              </w:rPr>
              <w:fldChar w:fldCharType="begin"/>
            </w:r>
            <w:r>
              <w:rPr>
                <w:noProof/>
                <w:webHidden/>
              </w:rPr>
              <w:instrText xml:space="preserve"> PAGEREF _Toc201919695 \h </w:instrText>
            </w:r>
            <w:r>
              <w:rPr>
                <w:noProof/>
                <w:webHidden/>
              </w:rPr>
            </w:r>
            <w:r>
              <w:rPr>
                <w:noProof/>
                <w:webHidden/>
              </w:rPr>
              <w:fldChar w:fldCharType="separate"/>
            </w:r>
            <w:r w:rsidR="008F16B8">
              <w:rPr>
                <w:noProof/>
                <w:webHidden/>
              </w:rPr>
              <w:t>8</w:t>
            </w:r>
            <w:r>
              <w:rPr>
                <w:noProof/>
                <w:webHidden/>
              </w:rPr>
              <w:fldChar w:fldCharType="end"/>
            </w:r>
          </w:hyperlink>
        </w:p>
        <w:p w14:paraId="2C750CFA" w14:textId="37BD834F"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696" w:history="1">
            <w:r w:rsidRPr="00FC6906">
              <w:rPr>
                <w:rStyle w:val="Hyperlink"/>
                <w:noProof/>
              </w:rPr>
              <w:t>7</w:t>
            </w:r>
            <w:r>
              <w:rPr>
                <w:rFonts w:asciiTheme="minorHAnsi" w:eastAsiaTheme="minorEastAsia" w:hAnsiTheme="minorHAnsi"/>
                <w:noProof/>
                <w:sz w:val="24"/>
                <w:szCs w:val="24"/>
                <w:lang w:eastAsia="en-GB"/>
              </w:rPr>
              <w:tab/>
            </w:r>
            <w:r w:rsidRPr="00FC6906">
              <w:rPr>
                <w:rStyle w:val="Hyperlink"/>
                <w:noProof/>
              </w:rPr>
              <w:t>Panel Assessment</w:t>
            </w:r>
            <w:r>
              <w:rPr>
                <w:noProof/>
                <w:webHidden/>
              </w:rPr>
              <w:tab/>
            </w:r>
            <w:r>
              <w:rPr>
                <w:noProof/>
                <w:webHidden/>
              </w:rPr>
              <w:fldChar w:fldCharType="begin"/>
            </w:r>
            <w:r>
              <w:rPr>
                <w:noProof/>
                <w:webHidden/>
              </w:rPr>
              <w:instrText xml:space="preserve"> PAGEREF _Toc201919696 \h </w:instrText>
            </w:r>
            <w:r>
              <w:rPr>
                <w:noProof/>
                <w:webHidden/>
              </w:rPr>
            </w:r>
            <w:r>
              <w:rPr>
                <w:noProof/>
                <w:webHidden/>
              </w:rPr>
              <w:fldChar w:fldCharType="separate"/>
            </w:r>
            <w:r w:rsidR="008F16B8">
              <w:rPr>
                <w:noProof/>
                <w:webHidden/>
              </w:rPr>
              <w:t>9</w:t>
            </w:r>
            <w:r>
              <w:rPr>
                <w:noProof/>
                <w:webHidden/>
              </w:rPr>
              <w:fldChar w:fldCharType="end"/>
            </w:r>
          </w:hyperlink>
        </w:p>
        <w:p w14:paraId="217F9B94" w14:textId="2058A6CA" w:rsidR="00E658A1" w:rsidRDefault="00E658A1">
          <w:pPr>
            <w:pStyle w:val="TOC2"/>
            <w:tabs>
              <w:tab w:val="left" w:pos="960"/>
              <w:tab w:val="right" w:leader="dot" w:pos="9016"/>
            </w:tabs>
            <w:rPr>
              <w:rFonts w:asciiTheme="minorHAnsi" w:eastAsiaTheme="minorEastAsia" w:hAnsiTheme="minorHAnsi"/>
              <w:noProof/>
              <w:sz w:val="24"/>
              <w:szCs w:val="24"/>
              <w:lang w:eastAsia="en-GB"/>
            </w:rPr>
          </w:pPr>
          <w:hyperlink w:anchor="_Toc201919697" w:history="1">
            <w:r w:rsidRPr="00FC6906">
              <w:rPr>
                <w:rStyle w:val="Hyperlink"/>
                <w:noProof/>
              </w:rPr>
              <w:t>7.1</w:t>
            </w:r>
            <w:r>
              <w:rPr>
                <w:rFonts w:asciiTheme="minorHAnsi" w:eastAsiaTheme="minorEastAsia" w:hAnsiTheme="minorHAnsi"/>
                <w:noProof/>
                <w:sz w:val="24"/>
                <w:szCs w:val="24"/>
                <w:lang w:eastAsia="en-GB"/>
              </w:rPr>
              <w:tab/>
            </w:r>
            <w:r w:rsidRPr="00FC6906">
              <w:rPr>
                <w:rStyle w:val="Hyperlink"/>
                <w:noProof/>
              </w:rPr>
              <w:t>Pre-procurement engagement</w:t>
            </w:r>
            <w:r>
              <w:rPr>
                <w:noProof/>
                <w:webHidden/>
              </w:rPr>
              <w:tab/>
            </w:r>
            <w:r>
              <w:rPr>
                <w:noProof/>
                <w:webHidden/>
              </w:rPr>
              <w:fldChar w:fldCharType="begin"/>
            </w:r>
            <w:r>
              <w:rPr>
                <w:noProof/>
                <w:webHidden/>
              </w:rPr>
              <w:instrText xml:space="preserve"> PAGEREF _Toc201919697 \h </w:instrText>
            </w:r>
            <w:r>
              <w:rPr>
                <w:noProof/>
                <w:webHidden/>
              </w:rPr>
            </w:r>
            <w:r>
              <w:rPr>
                <w:noProof/>
                <w:webHidden/>
              </w:rPr>
              <w:fldChar w:fldCharType="separate"/>
            </w:r>
            <w:r w:rsidR="008F16B8">
              <w:rPr>
                <w:noProof/>
                <w:webHidden/>
              </w:rPr>
              <w:t>9</w:t>
            </w:r>
            <w:r>
              <w:rPr>
                <w:noProof/>
                <w:webHidden/>
              </w:rPr>
              <w:fldChar w:fldCharType="end"/>
            </w:r>
          </w:hyperlink>
        </w:p>
        <w:p w14:paraId="37803E8E" w14:textId="24A63B94" w:rsidR="00E658A1" w:rsidRDefault="00E658A1">
          <w:pPr>
            <w:pStyle w:val="TOC2"/>
            <w:tabs>
              <w:tab w:val="left" w:pos="960"/>
              <w:tab w:val="right" w:leader="dot" w:pos="9016"/>
            </w:tabs>
            <w:rPr>
              <w:rFonts w:asciiTheme="minorHAnsi" w:eastAsiaTheme="minorEastAsia" w:hAnsiTheme="minorHAnsi"/>
              <w:noProof/>
              <w:sz w:val="24"/>
              <w:szCs w:val="24"/>
              <w:lang w:eastAsia="en-GB"/>
            </w:rPr>
          </w:pPr>
          <w:hyperlink w:anchor="_Toc201919698" w:history="1">
            <w:r w:rsidRPr="00FC6906">
              <w:rPr>
                <w:rStyle w:val="Hyperlink"/>
                <w:noProof/>
              </w:rPr>
              <w:t>7.2</w:t>
            </w:r>
            <w:r>
              <w:rPr>
                <w:rFonts w:asciiTheme="minorHAnsi" w:eastAsiaTheme="minorEastAsia" w:hAnsiTheme="minorHAnsi"/>
                <w:noProof/>
                <w:sz w:val="24"/>
                <w:szCs w:val="24"/>
                <w:lang w:eastAsia="en-GB"/>
              </w:rPr>
              <w:tab/>
            </w:r>
            <w:r w:rsidRPr="00FC6906">
              <w:rPr>
                <w:rStyle w:val="Hyperlink"/>
                <w:noProof/>
              </w:rPr>
              <w:t>Availability of clearly defined KPIs in the tender documentation</w:t>
            </w:r>
            <w:r>
              <w:rPr>
                <w:noProof/>
                <w:webHidden/>
              </w:rPr>
              <w:tab/>
            </w:r>
            <w:r>
              <w:rPr>
                <w:noProof/>
                <w:webHidden/>
              </w:rPr>
              <w:fldChar w:fldCharType="begin"/>
            </w:r>
            <w:r>
              <w:rPr>
                <w:noProof/>
                <w:webHidden/>
              </w:rPr>
              <w:instrText xml:space="preserve"> PAGEREF _Toc201919698 \h </w:instrText>
            </w:r>
            <w:r>
              <w:rPr>
                <w:noProof/>
                <w:webHidden/>
              </w:rPr>
            </w:r>
            <w:r>
              <w:rPr>
                <w:noProof/>
                <w:webHidden/>
              </w:rPr>
              <w:fldChar w:fldCharType="separate"/>
            </w:r>
            <w:r w:rsidR="008F16B8">
              <w:rPr>
                <w:noProof/>
                <w:webHidden/>
              </w:rPr>
              <w:t>14</w:t>
            </w:r>
            <w:r>
              <w:rPr>
                <w:noProof/>
                <w:webHidden/>
              </w:rPr>
              <w:fldChar w:fldCharType="end"/>
            </w:r>
          </w:hyperlink>
        </w:p>
        <w:p w14:paraId="4DEC937E" w14:textId="515CF3ED" w:rsidR="00E658A1" w:rsidRDefault="00E658A1">
          <w:pPr>
            <w:pStyle w:val="TOC2"/>
            <w:tabs>
              <w:tab w:val="left" w:pos="960"/>
              <w:tab w:val="right" w:leader="dot" w:pos="9016"/>
            </w:tabs>
            <w:rPr>
              <w:rFonts w:asciiTheme="minorHAnsi" w:eastAsiaTheme="minorEastAsia" w:hAnsiTheme="minorHAnsi"/>
              <w:noProof/>
              <w:sz w:val="24"/>
              <w:szCs w:val="24"/>
              <w:lang w:eastAsia="en-GB"/>
            </w:rPr>
          </w:pPr>
          <w:hyperlink w:anchor="_Toc201919699" w:history="1">
            <w:r w:rsidRPr="00FC6906">
              <w:rPr>
                <w:rStyle w:val="Hyperlink"/>
                <w:noProof/>
              </w:rPr>
              <w:t>7.3</w:t>
            </w:r>
            <w:r>
              <w:rPr>
                <w:rFonts w:asciiTheme="minorHAnsi" w:eastAsiaTheme="minorEastAsia" w:hAnsiTheme="minorHAnsi"/>
                <w:noProof/>
                <w:sz w:val="24"/>
                <w:szCs w:val="24"/>
                <w:lang w:eastAsia="en-GB"/>
              </w:rPr>
              <w:tab/>
            </w:r>
            <w:r w:rsidRPr="00FC6906">
              <w:rPr>
                <w:rStyle w:val="Hyperlink"/>
                <w:noProof/>
              </w:rPr>
              <w:t>Evaluation of bidders’ financial proposals</w:t>
            </w:r>
            <w:r>
              <w:rPr>
                <w:noProof/>
                <w:webHidden/>
              </w:rPr>
              <w:tab/>
            </w:r>
            <w:r>
              <w:rPr>
                <w:noProof/>
                <w:webHidden/>
              </w:rPr>
              <w:fldChar w:fldCharType="begin"/>
            </w:r>
            <w:r>
              <w:rPr>
                <w:noProof/>
                <w:webHidden/>
              </w:rPr>
              <w:instrText xml:space="preserve"> PAGEREF _Toc201919699 \h </w:instrText>
            </w:r>
            <w:r>
              <w:rPr>
                <w:noProof/>
                <w:webHidden/>
              </w:rPr>
            </w:r>
            <w:r>
              <w:rPr>
                <w:noProof/>
                <w:webHidden/>
              </w:rPr>
              <w:fldChar w:fldCharType="separate"/>
            </w:r>
            <w:r w:rsidR="008F16B8">
              <w:rPr>
                <w:noProof/>
                <w:webHidden/>
              </w:rPr>
              <w:t>22</w:t>
            </w:r>
            <w:r>
              <w:rPr>
                <w:noProof/>
                <w:webHidden/>
              </w:rPr>
              <w:fldChar w:fldCharType="end"/>
            </w:r>
          </w:hyperlink>
        </w:p>
        <w:p w14:paraId="07E334AD" w14:textId="293B45F3" w:rsidR="00E658A1" w:rsidRDefault="00E658A1">
          <w:pPr>
            <w:pStyle w:val="TOC2"/>
            <w:tabs>
              <w:tab w:val="left" w:pos="960"/>
              <w:tab w:val="right" w:leader="dot" w:pos="9016"/>
            </w:tabs>
            <w:rPr>
              <w:rFonts w:asciiTheme="minorHAnsi" w:eastAsiaTheme="minorEastAsia" w:hAnsiTheme="minorHAnsi"/>
              <w:noProof/>
              <w:sz w:val="24"/>
              <w:szCs w:val="24"/>
              <w:lang w:eastAsia="en-GB"/>
            </w:rPr>
          </w:pPr>
          <w:hyperlink w:anchor="_Toc201919700" w:history="1">
            <w:r w:rsidRPr="00FC6906">
              <w:rPr>
                <w:rStyle w:val="Hyperlink"/>
                <w:noProof/>
              </w:rPr>
              <w:t>7.4</w:t>
            </w:r>
            <w:r>
              <w:rPr>
                <w:rFonts w:asciiTheme="minorHAnsi" w:eastAsiaTheme="minorEastAsia" w:hAnsiTheme="minorHAnsi"/>
                <w:noProof/>
                <w:sz w:val="24"/>
                <w:szCs w:val="24"/>
                <w:lang w:eastAsia="en-GB"/>
              </w:rPr>
              <w:tab/>
            </w:r>
            <w:r w:rsidRPr="00FC6906">
              <w:rPr>
                <w:rStyle w:val="Hyperlink"/>
                <w:noProof/>
              </w:rPr>
              <w:t>STW ICB’s choice of procurement process</w:t>
            </w:r>
            <w:r>
              <w:rPr>
                <w:noProof/>
                <w:webHidden/>
              </w:rPr>
              <w:tab/>
            </w:r>
            <w:r>
              <w:rPr>
                <w:noProof/>
                <w:webHidden/>
              </w:rPr>
              <w:fldChar w:fldCharType="begin"/>
            </w:r>
            <w:r>
              <w:rPr>
                <w:noProof/>
                <w:webHidden/>
              </w:rPr>
              <w:instrText xml:space="preserve"> PAGEREF _Toc201919700 \h </w:instrText>
            </w:r>
            <w:r>
              <w:rPr>
                <w:noProof/>
                <w:webHidden/>
              </w:rPr>
            </w:r>
            <w:r>
              <w:rPr>
                <w:noProof/>
                <w:webHidden/>
              </w:rPr>
              <w:fldChar w:fldCharType="separate"/>
            </w:r>
            <w:r w:rsidR="008F16B8">
              <w:rPr>
                <w:noProof/>
                <w:webHidden/>
              </w:rPr>
              <w:t>24</w:t>
            </w:r>
            <w:r>
              <w:rPr>
                <w:noProof/>
                <w:webHidden/>
              </w:rPr>
              <w:fldChar w:fldCharType="end"/>
            </w:r>
          </w:hyperlink>
        </w:p>
        <w:p w14:paraId="3268738A" w14:textId="62329382" w:rsidR="00E658A1" w:rsidRDefault="00E658A1">
          <w:pPr>
            <w:pStyle w:val="TOC1"/>
            <w:tabs>
              <w:tab w:val="left" w:pos="480"/>
              <w:tab w:val="right" w:leader="dot" w:pos="9016"/>
            </w:tabs>
            <w:rPr>
              <w:rFonts w:asciiTheme="minorHAnsi" w:eastAsiaTheme="minorEastAsia" w:hAnsiTheme="minorHAnsi"/>
              <w:noProof/>
              <w:sz w:val="24"/>
              <w:szCs w:val="24"/>
              <w:lang w:eastAsia="en-GB"/>
            </w:rPr>
          </w:pPr>
          <w:hyperlink w:anchor="_Toc201919701" w:history="1">
            <w:r w:rsidRPr="00FC6906">
              <w:rPr>
                <w:rStyle w:val="Hyperlink"/>
                <w:noProof/>
              </w:rPr>
              <w:t>8</w:t>
            </w:r>
            <w:r>
              <w:rPr>
                <w:rFonts w:asciiTheme="minorHAnsi" w:eastAsiaTheme="minorEastAsia" w:hAnsiTheme="minorHAnsi"/>
                <w:noProof/>
                <w:sz w:val="24"/>
                <w:szCs w:val="24"/>
                <w:lang w:eastAsia="en-GB"/>
              </w:rPr>
              <w:tab/>
            </w:r>
            <w:r w:rsidRPr="00FC6906">
              <w:rPr>
                <w:rStyle w:val="Hyperlink"/>
                <w:noProof/>
              </w:rPr>
              <w:t>Panel Advice</w:t>
            </w:r>
            <w:r>
              <w:rPr>
                <w:noProof/>
                <w:webHidden/>
              </w:rPr>
              <w:tab/>
            </w:r>
            <w:r>
              <w:rPr>
                <w:noProof/>
                <w:webHidden/>
              </w:rPr>
              <w:fldChar w:fldCharType="begin"/>
            </w:r>
            <w:r>
              <w:rPr>
                <w:noProof/>
                <w:webHidden/>
              </w:rPr>
              <w:instrText xml:space="preserve"> PAGEREF _Toc201919701 \h </w:instrText>
            </w:r>
            <w:r>
              <w:rPr>
                <w:noProof/>
                <w:webHidden/>
              </w:rPr>
            </w:r>
            <w:r>
              <w:rPr>
                <w:noProof/>
                <w:webHidden/>
              </w:rPr>
              <w:fldChar w:fldCharType="separate"/>
            </w:r>
            <w:r w:rsidR="008F16B8">
              <w:rPr>
                <w:noProof/>
                <w:webHidden/>
              </w:rPr>
              <w:t>25</w:t>
            </w:r>
            <w:r>
              <w:rPr>
                <w:noProof/>
                <w:webHidden/>
              </w:rPr>
              <w:fldChar w:fldCharType="end"/>
            </w:r>
          </w:hyperlink>
        </w:p>
        <w:p w14:paraId="61EBC374" w14:textId="6C2552CA" w:rsidR="00B42AE6" w:rsidRDefault="00B42AE6" w:rsidP="00CD7C7B">
          <w:pPr>
            <w:spacing w:line="23" w:lineRule="atLeast"/>
          </w:pPr>
          <w:r>
            <w:rPr>
              <w:b/>
              <w:bCs/>
            </w:rPr>
            <w:fldChar w:fldCharType="end"/>
          </w:r>
        </w:p>
      </w:sdtContent>
    </w:sdt>
    <w:p w14:paraId="63A34340" w14:textId="4CC36FC1" w:rsidR="00E56C34" w:rsidRPr="00E658A1" w:rsidRDefault="00E56C34" w:rsidP="00CD7C7B">
      <w:pPr>
        <w:spacing w:line="23" w:lineRule="atLeast"/>
        <w:rPr>
          <w:b/>
          <w:bCs/>
          <w:sz w:val="28"/>
          <w:szCs w:val="28"/>
        </w:rPr>
      </w:pPr>
      <w:r w:rsidRPr="00E658A1">
        <w:rPr>
          <w:b/>
          <w:bCs/>
          <w:sz w:val="28"/>
          <w:szCs w:val="28"/>
        </w:rPr>
        <w:br w:type="page"/>
      </w:r>
    </w:p>
    <w:p w14:paraId="00A30C5E" w14:textId="254F45D0" w:rsidR="0005616B" w:rsidRDefault="004B492C" w:rsidP="00CD7C7B">
      <w:pPr>
        <w:pStyle w:val="Heading1"/>
        <w:spacing w:line="23" w:lineRule="atLeast"/>
      </w:pPr>
      <w:bookmarkStart w:id="1" w:name="_Toc201919690"/>
      <w:r w:rsidRPr="006B6C56">
        <w:lastRenderedPageBreak/>
        <w:t>Executive Summary</w:t>
      </w:r>
      <w:bookmarkEnd w:id="1"/>
    </w:p>
    <w:p w14:paraId="158CFE4F" w14:textId="76772069" w:rsidR="00713599" w:rsidRPr="005C5A22" w:rsidRDefault="00713599">
      <w:pPr>
        <w:pStyle w:val="ListParagraph"/>
        <w:numPr>
          <w:ilvl w:val="0"/>
          <w:numId w:val="1"/>
        </w:numPr>
        <w:spacing w:line="276" w:lineRule="auto"/>
        <w:ind w:left="567" w:hanging="567"/>
        <w:contextualSpacing w:val="0"/>
      </w:pPr>
      <w:r>
        <w:t xml:space="preserve">On 10 April 2025, Shropshire Doctors Co-operative Limited (Shropdoc) asked the Panel to advise on the selection of a provider by NHS Shropshire, Telford and Wrekin Integrated Care Board (STW ICB) for its GP Led Out of Hours (OOH) </w:t>
      </w:r>
      <w:r w:rsidR="00F47F1E">
        <w:t>S</w:t>
      </w:r>
      <w:r>
        <w:t>ervice for Shropshire, Telford and Wrekin. The Panel accepted Shropdoc’s request on 14 April 2025 in accordance with its case acceptance criteria.</w:t>
      </w:r>
    </w:p>
    <w:p w14:paraId="38A7ECDC" w14:textId="4F24A66B" w:rsidR="00713599" w:rsidRPr="00D03EEF" w:rsidRDefault="00713599" w:rsidP="00713599">
      <w:pPr>
        <w:pStyle w:val="ListParagraph"/>
        <w:numPr>
          <w:ilvl w:val="0"/>
          <w:numId w:val="1"/>
        </w:numPr>
        <w:spacing w:line="276" w:lineRule="auto"/>
        <w:ind w:left="567" w:hanging="567"/>
        <w:contextualSpacing w:val="0"/>
      </w:pPr>
      <w:r w:rsidRPr="009029E0">
        <w:t>GP OOH and related services in the STW ICB area are currently supplied by Shropdoc, under separate contracts for</w:t>
      </w:r>
      <w:r w:rsidR="002A047F">
        <w:t>:</w:t>
      </w:r>
      <w:r w:rsidRPr="009029E0">
        <w:t xml:space="preserve"> </w:t>
      </w:r>
      <w:r w:rsidR="009B288E">
        <w:t>(i</w:t>
      </w:r>
      <w:r w:rsidRPr="009029E0">
        <w:t>) Out of Hours GP cover and GP cover for protected learning time</w:t>
      </w:r>
      <w:r w:rsidR="002A047F">
        <w:t>;</w:t>
      </w:r>
      <w:r w:rsidRPr="009029E0">
        <w:t xml:space="preserve"> and </w:t>
      </w:r>
      <w:r w:rsidR="005969F6">
        <w:t>(ii</w:t>
      </w:r>
      <w:r w:rsidRPr="009029E0">
        <w:t>) the Care Coordination Centre Single Point of Access (CCCSPA) service.</w:t>
      </w:r>
    </w:p>
    <w:p w14:paraId="1D36739D" w14:textId="7FA8F319" w:rsidR="00713599" w:rsidRDefault="00713599" w:rsidP="00713599">
      <w:pPr>
        <w:pStyle w:val="ListParagraph"/>
        <w:numPr>
          <w:ilvl w:val="0"/>
          <w:numId w:val="1"/>
        </w:numPr>
        <w:spacing w:line="276" w:lineRule="auto"/>
        <w:ind w:left="567" w:hanging="567"/>
        <w:contextualSpacing w:val="0"/>
      </w:pPr>
      <w:r w:rsidRPr="001A0511">
        <w:t xml:space="preserve">With the current </w:t>
      </w:r>
      <w:r>
        <w:t xml:space="preserve">OOH </w:t>
      </w:r>
      <w:r w:rsidRPr="001A0511">
        <w:t>contract</w:t>
      </w:r>
      <w:r>
        <w:t>s</w:t>
      </w:r>
      <w:r w:rsidRPr="001A0511">
        <w:t xml:space="preserve"> due to end on 30 June 2025, STW ICB </w:t>
      </w:r>
      <w:r>
        <w:t xml:space="preserve">launched </w:t>
      </w:r>
      <w:r w:rsidRPr="001A0511">
        <w:t xml:space="preserve">a </w:t>
      </w:r>
      <w:r>
        <w:t>public s</w:t>
      </w:r>
      <w:r w:rsidRPr="001A0511">
        <w:t xml:space="preserve">urvey on 27 August 2024 </w:t>
      </w:r>
      <w:r>
        <w:t>“</w:t>
      </w:r>
      <w:r w:rsidRPr="001A0511">
        <w:t xml:space="preserve">to understand what local people valued in </w:t>
      </w:r>
      <w:r>
        <w:t xml:space="preserve">an OOH service </w:t>
      </w:r>
      <w:r w:rsidRPr="001A0511">
        <w:t>such a</w:t>
      </w:r>
      <w:r>
        <w:t>s this”</w:t>
      </w:r>
      <w:r w:rsidRPr="001A0511">
        <w:t xml:space="preserve"> and </w:t>
      </w:r>
      <w:r>
        <w:t>“</w:t>
      </w:r>
      <w:r w:rsidRPr="001A0511">
        <w:t>to inform the requirements of the service going forward</w:t>
      </w:r>
      <w:r>
        <w:t>”. This was followed by a Prior Information Notice, published on 28 August 2024, inviting interested providers to a market engagement event on 13 September 2024 where STW ICB supplied information on the OOH service and the proposed procurement process.</w:t>
      </w:r>
    </w:p>
    <w:p w14:paraId="49D17623" w14:textId="486CFBD6" w:rsidR="00713599" w:rsidRPr="0006508E" w:rsidRDefault="00713599" w:rsidP="00713599">
      <w:pPr>
        <w:pStyle w:val="ListParagraph"/>
        <w:numPr>
          <w:ilvl w:val="0"/>
          <w:numId w:val="1"/>
        </w:numPr>
        <w:spacing w:line="276" w:lineRule="auto"/>
        <w:ind w:left="567" w:hanging="567"/>
        <w:contextualSpacing w:val="0"/>
      </w:pPr>
      <w:r w:rsidRPr="0006508E">
        <w:t xml:space="preserve">On </w:t>
      </w:r>
      <w:r>
        <w:t>7 October 2024, STW ICB</w:t>
      </w:r>
      <w:r w:rsidRPr="0006508E">
        <w:t xml:space="preserve"> published a </w:t>
      </w:r>
      <w:r>
        <w:t>c</w:t>
      </w:r>
      <w:r w:rsidRPr="0006508E">
        <w:t xml:space="preserve">ontract </w:t>
      </w:r>
      <w:r>
        <w:t>n</w:t>
      </w:r>
      <w:r w:rsidRPr="0006508E">
        <w:t>otice s</w:t>
      </w:r>
      <w:r>
        <w:t xml:space="preserve">tating that it would be using </w:t>
      </w:r>
      <w:r w:rsidRPr="0006508E">
        <w:t xml:space="preserve">the competitive process to select a provider </w:t>
      </w:r>
      <w:r>
        <w:t xml:space="preserve">for the new contract. </w:t>
      </w:r>
      <w:r w:rsidRPr="0006508E">
        <w:t xml:space="preserve">The </w:t>
      </w:r>
      <w:r>
        <w:t xml:space="preserve">new </w:t>
      </w:r>
      <w:r w:rsidRPr="0006508E">
        <w:t xml:space="preserve">contract </w:t>
      </w:r>
      <w:r>
        <w:t xml:space="preserve">has </w:t>
      </w:r>
      <w:r w:rsidRPr="0006508E">
        <w:t xml:space="preserve">an initial </w:t>
      </w:r>
      <w:r>
        <w:t xml:space="preserve">term </w:t>
      </w:r>
      <w:r w:rsidRPr="0006508E">
        <w:t>of</w:t>
      </w:r>
      <w:r>
        <w:t xml:space="preserve"> three</w:t>
      </w:r>
      <w:r w:rsidRPr="0006508E">
        <w:t xml:space="preserve"> years commencing on </w:t>
      </w:r>
      <w:r>
        <w:t>1 July 2025</w:t>
      </w:r>
      <w:r w:rsidRPr="0006508E">
        <w:t xml:space="preserve">, with </w:t>
      </w:r>
      <w:r>
        <w:t>the option of a two year extension</w:t>
      </w:r>
      <w:r w:rsidRPr="0006508E">
        <w:t xml:space="preserve">, </w:t>
      </w:r>
      <w:r>
        <w:t>and</w:t>
      </w:r>
      <w:r w:rsidRPr="0006508E">
        <w:t xml:space="preserve"> an estimated total contract value</w:t>
      </w:r>
      <w:r>
        <w:t>, including the extension,</w:t>
      </w:r>
      <w:r w:rsidRPr="0006508E">
        <w:t xml:space="preserve"> of approximately £36m (excluding VAT).</w:t>
      </w:r>
    </w:p>
    <w:p w14:paraId="03AE01A6" w14:textId="6A2070B0" w:rsidR="00713599" w:rsidRPr="0006508E" w:rsidRDefault="00713599" w:rsidP="00713599">
      <w:pPr>
        <w:pStyle w:val="ListParagraph"/>
        <w:numPr>
          <w:ilvl w:val="0"/>
          <w:numId w:val="1"/>
        </w:numPr>
        <w:spacing w:line="276" w:lineRule="auto"/>
        <w:ind w:left="567" w:hanging="567"/>
        <w:contextualSpacing w:val="0"/>
      </w:pPr>
      <w:r w:rsidRPr="0006508E">
        <w:t>STW ICB received six bids and</w:t>
      </w:r>
      <w:r>
        <w:t>,</w:t>
      </w:r>
      <w:r w:rsidRPr="0006508E">
        <w:t xml:space="preserve"> on 3</w:t>
      </w:r>
      <w:r>
        <w:t> </w:t>
      </w:r>
      <w:r w:rsidRPr="0006508E">
        <w:t>February 2025</w:t>
      </w:r>
      <w:r>
        <w:t xml:space="preserve">, it </w:t>
      </w:r>
      <w:r w:rsidRPr="0006508E">
        <w:t xml:space="preserve">published a </w:t>
      </w:r>
      <w:r>
        <w:t>notice</w:t>
      </w:r>
      <w:r w:rsidRPr="0006508E">
        <w:t xml:space="preserve"> announcing th</w:t>
      </w:r>
      <w:r>
        <w:t xml:space="preserve">at </w:t>
      </w:r>
      <w:r w:rsidRPr="0006508E">
        <w:t xml:space="preserve">the successful bidder </w:t>
      </w:r>
      <w:r>
        <w:t>w</w:t>
      </w:r>
      <w:r w:rsidRPr="0006508E">
        <w:t>as Medvivo Group Limited (Medvivo)</w:t>
      </w:r>
      <w:r>
        <w:t xml:space="preserve">. </w:t>
      </w:r>
      <w:r w:rsidRPr="0006508E">
        <w:t>Shropdoc’s proposal was ranked fifth</w:t>
      </w:r>
      <w:r>
        <w:t>, with a total score of 68.52% compared to 86.85% for Medvivo.</w:t>
      </w:r>
    </w:p>
    <w:p w14:paraId="23193030" w14:textId="4ACD0047" w:rsidR="00713599" w:rsidRDefault="00713599">
      <w:pPr>
        <w:pStyle w:val="ListParagraph"/>
        <w:numPr>
          <w:ilvl w:val="0"/>
          <w:numId w:val="1"/>
        </w:numPr>
        <w:spacing w:line="276" w:lineRule="auto"/>
        <w:ind w:left="567" w:hanging="567"/>
        <w:contextualSpacing w:val="0"/>
      </w:pPr>
      <w:r>
        <w:t>On 14 February 2025, prior to the end of the standstill period, Shropdoc made representations to STW ICB, and requested further information,</w:t>
      </w:r>
      <w:r w:rsidDel="00212F23">
        <w:t xml:space="preserve"> </w:t>
      </w:r>
      <w:r>
        <w:t xml:space="preserve">about the provider selection process. </w:t>
      </w:r>
      <w:r w:rsidRPr="00574C61">
        <w:t>On 3 April 2025,</w:t>
      </w:r>
      <w:r>
        <w:t xml:space="preserve"> following a review of Shropdoc’s representations by STW ICB’s internal review panel, STW ICB wrote to Shropdoc communicating its further decision on the provider selection process, namely to proceed with the contract award to Medvivo.</w:t>
      </w:r>
    </w:p>
    <w:p w14:paraId="53C4E9E5" w14:textId="123527CB" w:rsidR="00C86106" w:rsidRDefault="00C86106" w:rsidP="00C86106">
      <w:pPr>
        <w:pStyle w:val="ListParagraph"/>
        <w:numPr>
          <w:ilvl w:val="0"/>
          <w:numId w:val="1"/>
        </w:numPr>
        <w:spacing w:line="276" w:lineRule="auto"/>
        <w:ind w:left="567" w:hanging="567"/>
      </w:pPr>
      <w:r>
        <w:t>The Panel’s assessment of Shropdoc’s representations and its findings on whether STW ICB complied with the PSR regulations address:</w:t>
      </w:r>
    </w:p>
    <w:p w14:paraId="444DDE1E" w14:textId="272E0C94" w:rsidR="00C86106" w:rsidRDefault="00C86106" w:rsidP="003C6C37">
      <w:pPr>
        <w:pStyle w:val="ListParagraph"/>
        <w:numPr>
          <w:ilvl w:val="0"/>
          <w:numId w:val="6"/>
        </w:numPr>
        <w:spacing w:line="276" w:lineRule="auto"/>
        <w:ind w:left="1077" w:hanging="357"/>
      </w:pPr>
      <w:r>
        <w:t>first, pre-procurement engagement;</w:t>
      </w:r>
    </w:p>
    <w:p w14:paraId="7A4EFC43" w14:textId="2CA563C2" w:rsidR="00C86106" w:rsidRDefault="00C86106" w:rsidP="003C6C37">
      <w:pPr>
        <w:pStyle w:val="ListParagraph"/>
        <w:numPr>
          <w:ilvl w:val="0"/>
          <w:numId w:val="6"/>
        </w:numPr>
        <w:spacing w:line="276" w:lineRule="auto"/>
        <w:ind w:left="1077" w:hanging="357"/>
      </w:pPr>
      <w:r>
        <w:t>second, the KPI information supplied to bidders;</w:t>
      </w:r>
    </w:p>
    <w:p w14:paraId="43308E9A" w14:textId="5FF0C2B8" w:rsidR="00C86106" w:rsidRDefault="00C86106" w:rsidP="003C6C37">
      <w:pPr>
        <w:pStyle w:val="ListParagraph"/>
        <w:numPr>
          <w:ilvl w:val="0"/>
          <w:numId w:val="6"/>
        </w:numPr>
        <w:spacing w:line="276" w:lineRule="auto"/>
        <w:ind w:left="1077" w:hanging="357"/>
      </w:pPr>
      <w:r>
        <w:t>third, the evaluation of bidders’ financial proposals; and</w:t>
      </w:r>
    </w:p>
    <w:p w14:paraId="38DB71F4" w14:textId="326B045B" w:rsidR="00C86106" w:rsidRDefault="00C86106" w:rsidP="003C6C37">
      <w:pPr>
        <w:pStyle w:val="ListParagraph"/>
        <w:numPr>
          <w:ilvl w:val="0"/>
          <w:numId w:val="6"/>
        </w:numPr>
        <w:spacing w:line="276" w:lineRule="auto"/>
        <w:ind w:left="1077" w:hanging="357"/>
        <w:contextualSpacing w:val="0"/>
      </w:pPr>
      <w:r>
        <w:t>finally, the decision to use the competitive process to select a provider.</w:t>
      </w:r>
    </w:p>
    <w:p w14:paraId="46A6D757" w14:textId="68F9FD16" w:rsidR="00713599" w:rsidRDefault="00DD68D9" w:rsidP="00713599">
      <w:pPr>
        <w:pStyle w:val="ListParagraph"/>
        <w:numPr>
          <w:ilvl w:val="0"/>
          <w:numId w:val="1"/>
        </w:numPr>
        <w:spacing w:after="120" w:line="276" w:lineRule="auto"/>
        <w:ind w:left="567" w:hanging="567"/>
        <w:contextualSpacing w:val="0"/>
      </w:pPr>
      <w:r>
        <w:t>T</w:t>
      </w:r>
      <w:r w:rsidR="00713599">
        <w:t>he Panel’s findings on the provider selection process carried out by STW ICB for the GP OOH service in Shropshire, Telford and Wrekin are as follows:</w:t>
      </w:r>
    </w:p>
    <w:p w14:paraId="099FF0E3" w14:textId="77777777" w:rsidR="00713599" w:rsidRDefault="00713599" w:rsidP="003C6C37">
      <w:pPr>
        <w:pStyle w:val="ListParagraph"/>
        <w:numPr>
          <w:ilvl w:val="0"/>
          <w:numId w:val="8"/>
        </w:numPr>
        <w:spacing w:after="120" w:line="276" w:lineRule="auto"/>
        <w:ind w:hanging="357"/>
        <w:contextualSpacing w:val="0"/>
      </w:pPr>
      <w:r>
        <w:t xml:space="preserve">First, the Panel finds that STW ICB, in conducting pre-procurement consultations, did not breach its obligations under Regulation 4, and in particular its obligation to secure the needs of people who use the services, improve the quality of services </w:t>
      </w:r>
      <w:r>
        <w:lastRenderedPageBreak/>
        <w:t>and improve efficiency in the provision of services, and its obligation to act transparently, fairly and proportionately.</w:t>
      </w:r>
    </w:p>
    <w:p w14:paraId="57E8E47E" w14:textId="77777777" w:rsidR="00713599" w:rsidRDefault="00713599" w:rsidP="003C6C37">
      <w:pPr>
        <w:pStyle w:val="ListParagraph"/>
        <w:numPr>
          <w:ilvl w:val="0"/>
          <w:numId w:val="8"/>
        </w:numPr>
        <w:spacing w:after="120" w:line="276" w:lineRule="auto"/>
        <w:ind w:hanging="357"/>
        <w:contextualSpacing w:val="0"/>
      </w:pPr>
      <w:r>
        <w:t>Second, the Panel finds that STW ICB, in not including the CCCSPA service in the Prior Information Notice, did not breach the PSR regulations, and in particular its obligation under Regulation 4 to act fairly.</w:t>
      </w:r>
    </w:p>
    <w:p w14:paraId="1C92A02D" w14:textId="19AC0640" w:rsidR="00713599" w:rsidRDefault="00713599" w:rsidP="003C6C37">
      <w:pPr>
        <w:pStyle w:val="ListParagraph"/>
        <w:numPr>
          <w:ilvl w:val="0"/>
          <w:numId w:val="8"/>
        </w:numPr>
        <w:spacing w:after="120" w:line="276" w:lineRule="auto"/>
        <w:ind w:hanging="357"/>
        <w:contextualSpacing w:val="0"/>
      </w:pPr>
      <w:r>
        <w:t>Third, the Panel finds that STW ICB, in relation to pre-procurement consultation on the CCCSPA, did not breach the PSR regulations, and in particular its obligation</w:t>
      </w:r>
      <w:r w:rsidR="0007317D">
        <w:t>s under Regulation 4</w:t>
      </w:r>
      <w:r>
        <w:t xml:space="preserve"> to secure the needs of people who use the services, improve the quality of services and improve efficiency in the provision of services, and to act transparently, fairly and proportionately.</w:t>
      </w:r>
    </w:p>
    <w:p w14:paraId="40178F20" w14:textId="5E966230" w:rsidR="00713599" w:rsidRDefault="00713599" w:rsidP="003C6C37">
      <w:pPr>
        <w:pStyle w:val="ListParagraph"/>
        <w:numPr>
          <w:ilvl w:val="0"/>
          <w:numId w:val="8"/>
        </w:numPr>
        <w:spacing w:after="120" w:line="276" w:lineRule="auto"/>
        <w:ind w:hanging="357"/>
        <w:contextualSpacing w:val="0"/>
      </w:pPr>
      <w:r>
        <w:t>Fourth, the Panel finds that STW ICB</w:t>
      </w:r>
      <w:r w:rsidR="001E4B83">
        <w:t xml:space="preserve"> provided </w:t>
      </w:r>
      <w:r>
        <w:t xml:space="preserve">limited </w:t>
      </w:r>
      <w:r w:rsidRPr="00DC4E35">
        <w:t>information in the tender documentation on the specific KPIs that would be implemented</w:t>
      </w:r>
      <w:r>
        <w:t xml:space="preserve">, </w:t>
      </w:r>
      <w:r w:rsidR="001E4B83">
        <w:t xml:space="preserve">but </w:t>
      </w:r>
      <w:r>
        <w:t xml:space="preserve">did not breach the PSR regulations, </w:t>
      </w:r>
      <w:r w:rsidR="00A30C35">
        <w:t>and</w:t>
      </w:r>
      <w:r w:rsidR="0007317D">
        <w:t xml:space="preserve"> in particular </w:t>
      </w:r>
      <w:r w:rsidR="00A30C35">
        <w:t xml:space="preserve">its obligation under </w:t>
      </w:r>
      <w:r>
        <w:t>Regulation 4 to act transparently, fairly and proportionately.</w:t>
      </w:r>
    </w:p>
    <w:p w14:paraId="62DAA1FA" w14:textId="77777777" w:rsidR="00713599" w:rsidRDefault="00713599" w:rsidP="003C6C37">
      <w:pPr>
        <w:pStyle w:val="ListParagraph"/>
        <w:numPr>
          <w:ilvl w:val="0"/>
          <w:numId w:val="8"/>
        </w:numPr>
        <w:spacing w:after="120" w:line="276" w:lineRule="auto"/>
        <w:ind w:hanging="357"/>
        <w:contextualSpacing w:val="0"/>
      </w:pPr>
      <w:r>
        <w:t>Fifth, the Panel finds that STW ICB, in evaluating the financial aspects of Medvivo’s proposal, did not breach the PSR regulations, and in particular its obligation under Regulation 4 to act with a view to securing the needs of the people who use the services.</w:t>
      </w:r>
    </w:p>
    <w:p w14:paraId="7884EE7A" w14:textId="63D4EA5A" w:rsidR="00713599" w:rsidRDefault="00713599" w:rsidP="003C6C37">
      <w:pPr>
        <w:pStyle w:val="ListParagraph"/>
        <w:numPr>
          <w:ilvl w:val="0"/>
          <w:numId w:val="8"/>
        </w:numPr>
        <w:spacing w:line="276" w:lineRule="auto"/>
        <w:ind w:left="1077" w:hanging="357"/>
        <w:contextualSpacing w:val="0"/>
      </w:pPr>
      <w:r w:rsidRPr="00651010">
        <w:t>Finally</w:t>
      </w:r>
      <w:r>
        <w:t xml:space="preserve">, the Panel finds that </w:t>
      </w:r>
      <w:r w:rsidRPr="003C706D">
        <w:t>STW ICB</w:t>
      </w:r>
      <w:r>
        <w:t>,</w:t>
      </w:r>
      <w:r w:rsidRPr="003C706D">
        <w:t xml:space="preserve"> </w:t>
      </w:r>
      <w:r>
        <w:t>in</w:t>
      </w:r>
      <w:r w:rsidRPr="003C706D">
        <w:t xml:space="preserve"> deciding to use the competitive process, did not breach the PSR regulations</w:t>
      </w:r>
      <w:r>
        <w:t xml:space="preserve">, </w:t>
      </w:r>
      <w:r w:rsidR="008E234D">
        <w:t xml:space="preserve">and </w:t>
      </w:r>
      <w:r>
        <w:t xml:space="preserve">in particular </w:t>
      </w:r>
      <w:r w:rsidR="008E234D">
        <w:t xml:space="preserve">its obligations under </w:t>
      </w:r>
      <w:r>
        <w:t>Regulation 6, which sets out the conditions governing commissioners’ choice of provider selection process. The Panel also finds that STW ICB, by providing information to Shropdoc in response to its request for information about the choice of provider selection process, did not breach its obligations under the PSR regulations</w:t>
      </w:r>
      <w:r w:rsidR="0007317D">
        <w:t xml:space="preserve">, and </w:t>
      </w:r>
      <w:r>
        <w:t>in particular its obligations under Regulation 12(4).</w:t>
      </w:r>
    </w:p>
    <w:p w14:paraId="1EBDA56D" w14:textId="414BA60E" w:rsidR="00713599" w:rsidRPr="00BD4A87" w:rsidRDefault="00713599" w:rsidP="00713599">
      <w:pPr>
        <w:pStyle w:val="ListParagraph"/>
        <w:numPr>
          <w:ilvl w:val="0"/>
          <w:numId w:val="1"/>
        </w:numPr>
        <w:spacing w:line="276" w:lineRule="auto"/>
        <w:ind w:left="567" w:hanging="567"/>
        <w:contextualSpacing w:val="0"/>
      </w:pPr>
      <w:r w:rsidRPr="00BD4A87">
        <w:t xml:space="preserve">Given the Panel’s </w:t>
      </w:r>
      <w:r w:rsidR="00303E3E">
        <w:t>findings</w:t>
      </w:r>
      <w:r w:rsidRPr="00BD4A87">
        <w:t xml:space="preserve"> that </w:t>
      </w:r>
      <w:r>
        <w:t xml:space="preserve">STW ICB </w:t>
      </w:r>
      <w:r w:rsidRPr="00BD4A87">
        <w:t>acted in accordance with the PSR Regulations, the Panel advise</w:t>
      </w:r>
      <w:r>
        <w:t>s</w:t>
      </w:r>
      <w:r w:rsidRPr="00BD4A87">
        <w:t xml:space="preserve"> </w:t>
      </w:r>
      <w:r>
        <w:t xml:space="preserve">STW ICB to proceed </w:t>
      </w:r>
      <w:r w:rsidRPr="00BD4A87">
        <w:t>with the proposed contract award as originally intended.</w:t>
      </w:r>
    </w:p>
    <w:p w14:paraId="7AA49AA2" w14:textId="7D97CA60" w:rsidR="00AF703F" w:rsidRDefault="009E2DF7" w:rsidP="00CD7C7B">
      <w:pPr>
        <w:pStyle w:val="Heading1"/>
        <w:spacing w:line="23" w:lineRule="atLeast"/>
      </w:pPr>
      <w:bookmarkStart w:id="2" w:name="_Toc201919691"/>
      <w:r>
        <w:t>Introduction</w:t>
      </w:r>
      <w:bookmarkEnd w:id="2"/>
    </w:p>
    <w:p w14:paraId="2DDB60E3" w14:textId="3140CFB1" w:rsidR="004724B3" w:rsidRDefault="00C52B3C" w:rsidP="00693E56">
      <w:pPr>
        <w:pStyle w:val="ListParagraph"/>
        <w:numPr>
          <w:ilvl w:val="0"/>
          <w:numId w:val="1"/>
        </w:numPr>
        <w:spacing w:line="276" w:lineRule="auto"/>
        <w:ind w:left="567" w:hanging="567"/>
        <w:contextualSpacing w:val="0"/>
      </w:pPr>
      <w:r>
        <w:t xml:space="preserve">On </w:t>
      </w:r>
      <w:r w:rsidR="005C5A22">
        <w:t>10 April 2025</w:t>
      </w:r>
      <w:r w:rsidR="008F72BD">
        <w:t xml:space="preserve">, </w:t>
      </w:r>
      <w:r w:rsidR="005C5A22">
        <w:t>Shropshire Doctors Co-operative Limited (Shropdoc)</w:t>
      </w:r>
      <w:r w:rsidR="00856A83">
        <w:rPr>
          <w:rStyle w:val="FootnoteReference"/>
        </w:rPr>
        <w:footnoteReference w:id="2"/>
      </w:r>
      <w:r w:rsidR="008F72BD">
        <w:t xml:space="preserve"> asked the Panel to advise on </w:t>
      </w:r>
      <w:r w:rsidR="005C5A22">
        <w:t>the</w:t>
      </w:r>
      <w:r w:rsidR="008F72BD">
        <w:t xml:space="preserve"> selection of a provider </w:t>
      </w:r>
      <w:r w:rsidR="005C5A22">
        <w:t xml:space="preserve">by NHS Shropshire, Telford and Wrekin Integrated Care Board (STW ICB) </w:t>
      </w:r>
      <w:r w:rsidR="008F72BD">
        <w:t>for its</w:t>
      </w:r>
      <w:r w:rsidR="005C5A22">
        <w:t xml:space="preserve"> GP Led Out of Hours </w:t>
      </w:r>
      <w:r w:rsidR="002500FA">
        <w:t xml:space="preserve">(OOH) </w:t>
      </w:r>
      <w:r w:rsidR="005C5A22">
        <w:t>Service for Shropshire, Telford and Wrekin</w:t>
      </w:r>
      <w:r w:rsidR="008F72BD">
        <w:t>.</w:t>
      </w:r>
    </w:p>
    <w:p w14:paraId="4FF9EE89" w14:textId="4CE0F43E" w:rsidR="005C2C79" w:rsidRPr="005C5A22" w:rsidRDefault="008F72BD" w:rsidP="00693E56">
      <w:pPr>
        <w:pStyle w:val="ListParagraph"/>
        <w:numPr>
          <w:ilvl w:val="0"/>
          <w:numId w:val="1"/>
        </w:numPr>
        <w:spacing w:line="276" w:lineRule="auto"/>
        <w:ind w:left="567" w:hanging="567"/>
        <w:contextualSpacing w:val="0"/>
      </w:pPr>
      <w:r>
        <w:t xml:space="preserve">The Panel accepted </w:t>
      </w:r>
      <w:r w:rsidR="005C5A22">
        <w:t>Shropdoc</w:t>
      </w:r>
      <w:r w:rsidR="00812837">
        <w:t xml:space="preserve">’s request on </w:t>
      </w:r>
      <w:r w:rsidR="005C5A22">
        <w:t>14 April 2025</w:t>
      </w:r>
      <w:r w:rsidR="00812837">
        <w:t xml:space="preserve"> in accordance with its case acceptance criteria. These criteria set out both eligibility requirements and the </w:t>
      </w:r>
      <w:r w:rsidR="002B6260">
        <w:t>prioritisation</w:t>
      </w:r>
      <w:r w:rsidR="00812837">
        <w:t xml:space="preserve"> criteria </w:t>
      </w:r>
      <w:r w:rsidR="002B6260">
        <w:t>the Panel will apply when it is approaching full caseload capacity.</w:t>
      </w:r>
      <w:r w:rsidR="004724B3">
        <w:rPr>
          <w:rStyle w:val="FootnoteReference"/>
        </w:rPr>
        <w:footnoteReference w:id="3"/>
      </w:r>
      <w:r w:rsidR="002B6260">
        <w:t xml:space="preserve"> </w:t>
      </w:r>
      <w:r w:rsidR="005C5A22" w:rsidRPr="005C5A22">
        <w:t>Shropdoc</w:t>
      </w:r>
      <w:r w:rsidR="002B6260" w:rsidRPr="005C5A22">
        <w:t xml:space="preserve">’s request met the eligibility requirements, and as the Panel </w:t>
      </w:r>
      <w:r w:rsidR="00046C3C">
        <w:t xml:space="preserve">had sufficient </w:t>
      </w:r>
      <w:r w:rsidR="00046C3C">
        <w:lastRenderedPageBreak/>
        <w:t>capacity, and no immediate prospect of reaching</w:t>
      </w:r>
      <w:r w:rsidR="002B6260" w:rsidRPr="005C5A22">
        <w:t xml:space="preserve"> full capacity, there was no need to apply the prioritisation criteria</w:t>
      </w:r>
      <w:r w:rsidR="005C2C79" w:rsidRPr="005C5A22">
        <w:t xml:space="preserve">. </w:t>
      </w:r>
    </w:p>
    <w:p w14:paraId="09BEF792" w14:textId="77777777" w:rsidR="00D835C8" w:rsidRDefault="00D835C8" w:rsidP="00693E56">
      <w:pPr>
        <w:pStyle w:val="ListParagraph"/>
        <w:numPr>
          <w:ilvl w:val="0"/>
          <w:numId w:val="1"/>
        </w:numPr>
        <w:spacing w:line="276" w:lineRule="auto"/>
        <w:ind w:left="567" w:hanging="567"/>
        <w:contextualSpacing w:val="0"/>
      </w:pPr>
      <w:r>
        <w:t>The Case Panel’s review has been carried out in accordance with the Panel’s Standard Operating Procedures (“procedures”).</w:t>
      </w:r>
      <w:r>
        <w:rPr>
          <w:rStyle w:val="FootnoteReference"/>
        </w:rPr>
        <w:footnoteReference w:id="4"/>
      </w:r>
      <w:r>
        <w:t xml:space="preserve"> </w:t>
      </w:r>
    </w:p>
    <w:p w14:paraId="6B1A486F" w14:textId="5712B6AB" w:rsidR="002B6260" w:rsidRDefault="00716EEB" w:rsidP="00693E56">
      <w:pPr>
        <w:pStyle w:val="ListParagraph"/>
        <w:numPr>
          <w:ilvl w:val="0"/>
          <w:numId w:val="1"/>
        </w:numPr>
        <w:spacing w:after="0" w:line="276" w:lineRule="auto"/>
        <w:ind w:left="567" w:hanging="567"/>
        <w:contextualSpacing w:val="0"/>
      </w:pPr>
      <w:r>
        <w:t>The Panel’s Chair appointed three members to a Case Panel</w:t>
      </w:r>
      <w:r w:rsidR="007F7092">
        <w:t xml:space="preserve"> for this review (in line with the Panel’s procedures). The Case Panel consisted of:</w:t>
      </w:r>
    </w:p>
    <w:p w14:paraId="3C0A0165" w14:textId="4CC580DF" w:rsidR="007F7092" w:rsidRDefault="007F7092" w:rsidP="003C6C37">
      <w:pPr>
        <w:pStyle w:val="ListParagraph"/>
        <w:numPr>
          <w:ilvl w:val="0"/>
          <w:numId w:val="3"/>
        </w:numPr>
        <w:spacing w:line="23" w:lineRule="atLeast"/>
        <w:ind w:left="1077" w:hanging="357"/>
      </w:pPr>
      <w:r>
        <w:t>Andrew Taylor, Panel Chair;</w:t>
      </w:r>
    </w:p>
    <w:p w14:paraId="2AF7F4B8" w14:textId="3ADB19A2" w:rsidR="00955666" w:rsidRDefault="005C5A22" w:rsidP="003C6C37">
      <w:pPr>
        <w:pStyle w:val="ListParagraph"/>
        <w:numPr>
          <w:ilvl w:val="0"/>
          <w:numId w:val="3"/>
        </w:numPr>
        <w:spacing w:line="23" w:lineRule="atLeast"/>
        <w:ind w:left="1077" w:hanging="357"/>
      </w:pPr>
      <w:r>
        <w:t>Sally Collier</w:t>
      </w:r>
      <w:r w:rsidR="00955666">
        <w:t>, Case Panel Member; and</w:t>
      </w:r>
    </w:p>
    <w:p w14:paraId="16B21427" w14:textId="71F56489" w:rsidR="00955666" w:rsidRDefault="005C5A22" w:rsidP="003C6C37">
      <w:pPr>
        <w:pStyle w:val="ListParagraph"/>
        <w:numPr>
          <w:ilvl w:val="0"/>
          <w:numId w:val="3"/>
        </w:numPr>
        <w:spacing w:line="23" w:lineRule="atLeast"/>
        <w:ind w:left="1077" w:hanging="357"/>
        <w:contextualSpacing w:val="0"/>
      </w:pPr>
      <w:r>
        <w:t>Alison Tonge</w:t>
      </w:r>
      <w:r w:rsidR="00955666">
        <w:t>, Case Panel Member.</w:t>
      </w:r>
      <w:r w:rsidR="004A0C4C">
        <w:rPr>
          <w:rStyle w:val="FootnoteReference"/>
        </w:rPr>
        <w:footnoteReference w:id="5"/>
      </w:r>
    </w:p>
    <w:p w14:paraId="26F6E11E" w14:textId="59988E85" w:rsidR="007F7092" w:rsidRDefault="00444D28" w:rsidP="00693E56">
      <w:pPr>
        <w:pStyle w:val="ListParagraph"/>
        <w:numPr>
          <w:ilvl w:val="0"/>
          <w:numId w:val="1"/>
        </w:numPr>
        <w:spacing w:after="0" w:line="276" w:lineRule="auto"/>
        <w:ind w:left="567" w:hanging="567"/>
        <w:contextualSpacing w:val="0"/>
      </w:pPr>
      <w:r>
        <w:t xml:space="preserve">This report provides the Panel’s assessment and advice to </w:t>
      </w:r>
      <w:r w:rsidR="00D03EEF">
        <w:t xml:space="preserve">STW ICB </w:t>
      </w:r>
      <w:r>
        <w:t>and is set out as follows:</w:t>
      </w:r>
    </w:p>
    <w:p w14:paraId="36D37C21" w14:textId="66780FE5" w:rsidR="0092692C" w:rsidRDefault="0092692C" w:rsidP="003C6C37">
      <w:pPr>
        <w:pStyle w:val="ListParagraph"/>
        <w:numPr>
          <w:ilvl w:val="0"/>
          <w:numId w:val="4"/>
        </w:numPr>
        <w:spacing w:line="23" w:lineRule="atLeast"/>
        <w:ind w:left="1077" w:hanging="357"/>
      </w:pPr>
      <w:r>
        <w:t>Section 3 briefly describes the role of the Panel;</w:t>
      </w:r>
    </w:p>
    <w:p w14:paraId="497E0A4E" w14:textId="4BFA7048" w:rsidR="0092692C" w:rsidRDefault="0092692C" w:rsidP="003C6C37">
      <w:pPr>
        <w:pStyle w:val="ListParagraph"/>
        <w:numPr>
          <w:ilvl w:val="0"/>
          <w:numId w:val="4"/>
        </w:numPr>
        <w:spacing w:line="23" w:lineRule="atLeast"/>
        <w:ind w:left="1077" w:hanging="357"/>
      </w:pPr>
      <w:r>
        <w:t>Section 4 sets out the background to the Panel’s review, including the events leading up to</w:t>
      </w:r>
      <w:r w:rsidR="00EB54A3">
        <w:t xml:space="preserve"> the provider selection process</w:t>
      </w:r>
      <w:r w:rsidR="00C94378">
        <w:t>;</w:t>
      </w:r>
    </w:p>
    <w:p w14:paraId="08A32742" w14:textId="75E0BF04" w:rsidR="00C94378" w:rsidRDefault="00C94378" w:rsidP="003C6C37">
      <w:pPr>
        <w:pStyle w:val="ListParagraph"/>
        <w:numPr>
          <w:ilvl w:val="0"/>
          <w:numId w:val="4"/>
        </w:numPr>
        <w:spacing w:line="23" w:lineRule="atLeast"/>
        <w:ind w:left="1077" w:hanging="357"/>
      </w:pPr>
      <w:r>
        <w:t xml:space="preserve">Section 5 sets out the concerns raised by </w:t>
      </w:r>
      <w:r w:rsidR="00D03EEF">
        <w:t>Shropdoc</w:t>
      </w:r>
      <w:r>
        <w:t>;</w:t>
      </w:r>
    </w:p>
    <w:p w14:paraId="224CF706" w14:textId="34B56029" w:rsidR="00C94378" w:rsidRDefault="00C94378" w:rsidP="003C6C37">
      <w:pPr>
        <w:pStyle w:val="ListParagraph"/>
        <w:numPr>
          <w:ilvl w:val="0"/>
          <w:numId w:val="4"/>
        </w:numPr>
        <w:spacing w:line="23" w:lineRule="atLeast"/>
        <w:ind w:left="1077" w:hanging="357"/>
      </w:pPr>
      <w:r>
        <w:t>Section 6 summarise</w:t>
      </w:r>
      <w:r w:rsidR="00EB54A3">
        <w:t>s</w:t>
      </w:r>
      <w:r>
        <w:t xml:space="preserve"> the provisions of the PSR regulations relevant to this review;</w:t>
      </w:r>
    </w:p>
    <w:p w14:paraId="441BE4DC" w14:textId="0E710520" w:rsidR="00C94378" w:rsidRDefault="00C94378" w:rsidP="003C6C37">
      <w:pPr>
        <w:pStyle w:val="ListParagraph"/>
        <w:numPr>
          <w:ilvl w:val="0"/>
          <w:numId w:val="4"/>
        </w:numPr>
        <w:spacing w:line="23" w:lineRule="atLeast"/>
        <w:ind w:left="1077" w:hanging="357"/>
      </w:pPr>
      <w:r>
        <w:t>Sections 7 sets out the issues considered by the Panel and its assessment of these issues; and</w:t>
      </w:r>
    </w:p>
    <w:p w14:paraId="0F291F4A" w14:textId="1C29F354" w:rsidR="00C94378" w:rsidRDefault="00C94378" w:rsidP="003C6C37">
      <w:pPr>
        <w:pStyle w:val="ListParagraph"/>
        <w:numPr>
          <w:ilvl w:val="0"/>
          <w:numId w:val="4"/>
        </w:numPr>
        <w:spacing w:line="23" w:lineRule="atLeast"/>
        <w:ind w:left="1077" w:hanging="357"/>
        <w:contextualSpacing w:val="0"/>
      </w:pPr>
      <w:r>
        <w:t xml:space="preserve">Section 8 sets out the Panel’s advice to </w:t>
      </w:r>
      <w:r w:rsidR="00D03EEF">
        <w:t>STW ICB</w:t>
      </w:r>
      <w:r>
        <w:t>.</w:t>
      </w:r>
      <w:r w:rsidR="00A47C13">
        <w:rPr>
          <w:rStyle w:val="FootnoteReference"/>
        </w:rPr>
        <w:footnoteReference w:id="6"/>
      </w:r>
    </w:p>
    <w:p w14:paraId="4B7770C8" w14:textId="7D6FCA21" w:rsidR="00444D28" w:rsidRPr="008B410D" w:rsidRDefault="0092692C" w:rsidP="00693E56">
      <w:pPr>
        <w:pStyle w:val="ListParagraph"/>
        <w:numPr>
          <w:ilvl w:val="0"/>
          <w:numId w:val="1"/>
        </w:numPr>
        <w:spacing w:line="276" w:lineRule="auto"/>
        <w:ind w:left="567" w:hanging="567"/>
        <w:contextualSpacing w:val="0"/>
      </w:pPr>
      <w:r>
        <w:t xml:space="preserve">The Panel thanks both </w:t>
      </w:r>
      <w:r w:rsidR="00D03EEF">
        <w:t>STW ICB</w:t>
      </w:r>
      <w:r>
        <w:t xml:space="preserve"> and</w:t>
      </w:r>
      <w:r w:rsidR="00D03EEF">
        <w:t xml:space="preserve"> Shropdoc</w:t>
      </w:r>
      <w:r>
        <w:t xml:space="preserve"> for their assistance and cooperation during this review. </w:t>
      </w:r>
    </w:p>
    <w:p w14:paraId="1FC86429" w14:textId="5C2EEC94" w:rsidR="00485DA5" w:rsidRDefault="00485DA5" w:rsidP="00CD7C7B">
      <w:pPr>
        <w:pStyle w:val="Heading1"/>
        <w:spacing w:line="23" w:lineRule="atLeast"/>
      </w:pPr>
      <w:bookmarkStart w:id="3" w:name="_Toc201919692"/>
      <w:r>
        <w:t>Role of the Panel</w:t>
      </w:r>
      <w:bookmarkEnd w:id="3"/>
    </w:p>
    <w:p w14:paraId="3999A5A7" w14:textId="25AB5E21" w:rsidR="00DA200D" w:rsidRDefault="00BF4715" w:rsidP="00D84992">
      <w:pPr>
        <w:pStyle w:val="ListParagraph"/>
        <w:numPr>
          <w:ilvl w:val="0"/>
          <w:numId w:val="1"/>
        </w:numPr>
        <w:spacing w:line="276" w:lineRule="auto"/>
        <w:ind w:left="567" w:hanging="567"/>
        <w:contextualSpacing w:val="0"/>
      </w:pPr>
      <w:r>
        <w:t xml:space="preserve">The PSR regulations, issued under the Health and Care Act 2022, put into effect the Provider Selection Regime for NHS and local authority commissioning of health care services. </w:t>
      </w:r>
      <w:r w:rsidR="006D34DC">
        <w:t xml:space="preserve">The Provider Selection Regime </w:t>
      </w:r>
      <w:r w:rsidR="0017068E">
        <w:t xml:space="preserve">gives </w:t>
      </w:r>
      <w:r w:rsidR="006D34DC">
        <w:t xml:space="preserve">relevant authorities (i.e. commissioners) greater flexibility </w:t>
      </w:r>
      <w:r w:rsidR="006C7BBC">
        <w:t>when</w:t>
      </w:r>
      <w:r w:rsidR="006D34DC">
        <w:t xml:space="preserve"> selecting providers of health care </w:t>
      </w:r>
      <w:r w:rsidR="005E552E">
        <w:t>services and</w:t>
      </w:r>
      <w:r w:rsidR="00637568">
        <w:t xml:space="preserve"> </w:t>
      </w:r>
      <w:r>
        <w:t xml:space="preserve">came into force </w:t>
      </w:r>
      <w:r w:rsidR="00084822">
        <w:t xml:space="preserve">with the adoption of the PSR regulations </w:t>
      </w:r>
      <w:r>
        <w:t>on 1 January 2024.</w:t>
      </w:r>
      <w:r w:rsidR="008F2F8C">
        <w:rPr>
          <w:rStyle w:val="FootnoteReference"/>
        </w:rPr>
        <w:footnoteReference w:id="7"/>
      </w:r>
    </w:p>
    <w:p w14:paraId="22550EC9" w14:textId="6C3458D6" w:rsidR="009C30B9" w:rsidRDefault="009C30B9" w:rsidP="0011466B">
      <w:pPr>
        <w:pStyle w:val="ListParagraph"/>
        <w:numPr>
          <w:ilvl w:val="0"/>
          <w:numId w:val="1"/>
        </w:numPr>
        <w:spacing w:line="276" w:lineRule="auto"/>
        <w:ind w:left="567" w:hanging="567"/>
        <w:contextualSpacing w:val="0"/>
      </w:pPr>
      <w:r>
        <w:t>The Panel’s role is to act as an independent review body where a provider has concerns about a commissioner’s provider selection decision. Panel reviews only take place following a commissioner’s review of its original decision.</w:t>
      </w:r>
    </w:p>
    <w:p w14:paraId="51B6322F" w14:textId="11E04566" w:rsidR="009C30B9" w:rsidRPr="008B410D" w:rsidRDefault="009C30B9" w:rsidP="00693E56">
      <w:pPr>
        <w:pStyle w:val="ListParagraph"/>
        <w:numPr>
          <w:ilvl w:val="0"/>
          <w:numId w:val="1"/>
        </w:numPr>
        <w:spacing w:line="276" w:lineRule="auto"/>
        <w:ind w:left="567" w:hanging="567"/>
        <w:contextualSpacing w:val="0"/>
      </w:pPr>
      <w:r>
        <w:t xml:space="preserve">For each review, the Panel’s assessment and advice is supplied to the commissioner and the potential provider that has requested the Panel’s review. It is also published on the Panel’s webpages. The commissioner is then responsible for reviewing its decision in light of the Panel’s advice. </w:t>
      </w:r>
    </w:p>
    <w:p w14:paraId="45E9213A" w14:textId="16E23B7E" w:rsidR="00485DA5" w:rsidRDefault="00485DA5" w:rsidP="00CD7C7B">
      <w:pPr>
        <w:pStyle w:val="Heading1"/>
        <w:spacing w:line="23" w:lineRule="atLeast"/>
      </w:pPr>
      <w:bookmarkStart w:id="4" w:name="_Toc201919693"/>
      <w:r>
        <w:lastRenderedPageBreak/>
        <w:t>Background to this review</w:t>
      </w:r>
      <w:bookmarkEnd w:id="4"/>
    </w:p>
    <w:p w14:paraId="5A18376A" w14:textId="5ACE3CFE" w:rsidR="00DA200D" w:rsidRDefault="00D03EEF" w:rsidP="00693E56">
      <w:pPr>
        <w:pStyle w:val="ListParagraph"/>
        <w:numPr>
          <w:ilvl w:val="0"/>
          <w:numId w:val="1"/>
        </w:numPr>
        <w:spacing w:line="276" w:lineRule="auto"/>
        <w:ind w:left="567" w:hanging="567"/>
        <w:contextualSpacing w:val="0"/>
      </w:pPr>
      <w:r w:rsidRPr="00D03EEF">
        <w:t>NHS Shropshire, Telford and Wrekin ICB is one of 42 ICBs in the</w:t>
      </w:r>
      <w:r>
        <w:t xml:space="preserve"> </w:t>
      </w:r>
      <w:r w:rsidRPr="00D03EEF">
        <w:t>NHS in England. It is a statutory body responsible for planning health services to meet the health needs of the Shropshire, Telford and Wrekin population and managing the budget for the provision of NHS services to this population.</w:t>
      </w:r>
      <w:r w:rsidR="00323C2C" w:rsidRPr="00D03EEF">
        <w:rPr>
          <w:rStyle w:val="FootnoteReference"/>
        </w:rPr>
        <w:footnoteReference w:id="8"/>
      </w:r>
    </w:p>
    <w:p w14:paraId="446668B2" w14:textId="48A67D63" w:rsidR="007B30FF" w:rsidRPr="00D03EEF" w:rsidRDefault="009029E0" w:rsidP="00693E56">
      <w:pPr>
        <w:pStyle w:val="ListParagraph"/>
        <w:numPr>
          <w:ilvl w:val="0"/>
          <w:numId w:val="1"/>
        </w:numPr>
        <w:spacing w:line="276" w:lineRule="auto"/>
        <w:ind w:left="567" w:hanging="567"/>
        <w:contextualSpacing w:val="0"/>
      </w:pPr>
      <w:r w:rsidRPr="009029E0">
        <w:t>GP OOH and related services in the STW ICB area are currently supplied by Shropdoc, under separate contracts for</w:t>
      </w:r>
      <w:r w:rsidR="00091142">
        <w:t>: (</w:t>
      </w:r>
      <w:r w:rsidR="002A047F">
        <w:t>i</w:t>
      </w:r>
      <w:r w:rsidRPr="009029E0">
        <w:t>) Out of Hours GP cover and GP cover for protected learning time</w:t>
      </w:r>
      <w:r w:rsidR="002A047F">
        <w:t>;</w:t>
      </w:r>
      <w:r w:rsidRPr="009029E0">
        <w:t xml:space="preserve"> and </w:t>
      </w:r>
      <w:r w:rsidR="002A047F">
        <w:t>(ii</w:t>
      </w:r>
      <w:r w:rsidRPr="009029E0">
        <w:t>) the Care Coordination Centre Single Point of Access (CCCSPA) service.</w:t>
      </w:r>
    </w:p>
    <w:p w14:paraId="379FC5CF" w14:textId="5A20EF11" w:rsidR="005D20EE" w:rsidRDefault="00D03EEF" w:rsidP="00597208">
      <w:pPr>
        <w:pStyle w:val="ListParagraph"/>
        <w:numPr>
          <w:ilvl w:val="0"/>
          <w:numId w:val="1"/>
        </w:numPr>
        <w:spacing w:line="276" w:lineRule="auto"/>
        <w:ind w:left="567" w:hanging="567"/>
        <w:contextualSpacing w:val="0"/>
      </w:pPr>
      <w:bookmarkStart w:id="5" w:name="_Ref200627392"/>
      <w:r w:rsidRPr="001A0511">
        <w:t xml:space="preserve">With the current </w:t>
      </w:r>
      <w:r w:rsidR="009F6DD7">
        <w:t xml:space="preserve">OOH </w:t>
      </w:r>
      <w:r w:rsidRPr="001A0511">
        <w:t>contract</w:t>
      </w:r>
      <w:r w:rsidR="00042B32">
        <w:t>s</w:t>
      </w:r>
      <w:r w:rsidRPr="001A0511">
        <w:t xml:space="preserve"> due to end on 30 June 2025, STW ICB </w:t>
      </w:r>
      <w:r w:rsidR="00056985">
        <w:t xml:space="preserve">launched </w:t>
      </w:r>
      <w:r w:rsidRPr="001A0511">
        <w:t xml:space="preserve">a </w:t>
      </w:r>
      <w:r w:rsidR="000D5CAC">
        <w:t>public s</w:t>
      </w:r>
      <w:r w:rsidRPr="001A0511">
        <w:t xml:space="preserve">urvey on 27 August 2024 </w:t>
      </w:r>
      <w:r w:rsidR="00A7544F">
        <w:t>“</w:t>
      </w:r>
      <w:r w:rsidRPr="001A0511">
        <w:t xml:space="preserve">to understand what local people valued in </w:t>
      </w:r>
      <w:r w:rsidR="0063691F">
        <w:t>a</w:t>
      </w:r>
      <w:r w:rsidR="00DB72CB">
        <w:t>n</w:t>
      </w:r>
      <w:r w:rsidR="0063691F">
        <w:t xml:space="preserve"> OOH service </w:t>
      </w:r>
      <w:r w:rsidR="001A0511" w:rsidRPr="001A0511">
        <w:t>such</w:t>
      </w:r>
      <w:r w:rsidRPr="001A0511">
        <w:t xml:space="preserve"> a</w:t>
      </w:r>
      <w:r w:rsidR="0063691F">
        <w:t>s this”</w:t>
      </w:r>
      <w:r w:rsidRPr="001A0511">
        <w:t xml:space="preserve"> and </w:t>
      </w:r>
      <w:r w:rsidR="00E77892">
        <w:t>“</w:t>
      </w:r>
      <w:r w:rsidRPr="001A0511">
        <w:t>to inform</w:t>
      </w:r>
      <w:r w:rsidR="001A0511" w:rsidRPr="001A0511">
        <w:t xml:space="preserve"> the requirements of the service going forward</w:t>
      </w:r>
      <w:r w:rsidR="00E77892">
        <w:t>”</w:t>
      </w:r>
      <w:r w:rsidR="00DA7928">
        <w:t>.</w:t>
      </w:r>
      <w:r w:rsidR="00E77892">
        <w:rPr>
          <w:rStyle w:val="FootnoteReference"/>
        </w:rPr>
        <w:footnoteReference w:id="9"/>
      </w:r>
      <w:bookmarkEnd w:id="5"/>
      <w:r w:rsidR="000675AF">
        <w:t xml:space="preserve"> This was followed by </w:t>
      </w:r>
      <w:bookmarkStart w:id="6" w:name="_Ref200626374"/>
      <w:r w:rsidR="001A0511">
        <w:t xml:space="preserve">a </w:t>
      </w:r>
      <w:r w:rsidR="0034339B">
        <w:t>P</w:t>
      </w:r>
      <w:r w:rsidR="001A0511">
        <w:t xml:space="preserve">rior </w:t>
      </w:r>
      <w:r w:rsidR="0034339B">
        <w:t>I</w:t>
      </w:r>
      <w:r w:rsidR="001A0511">
        <w:t xml:space="preserve">nformation </w:t>
      </w:r>
      <w:r w:rsidR="0034339B">
        <w:t>N</w:t>
      </w:r>
      <w:r w:rsidR="001A0511">
        <w:t>otice</w:t>
      </w:r>
      <w:r w:rsidR="00524CC5">
        <w:t>,</w:t>
      </w:r>
      <w:r w:rsidR="001A0511">
        <w:t xml:space="preserve"> </w:t>
      </w:r>
      <w:r w:rsidR="000675AF">
        <w:t xml:space="preserve">published </w:t>
      </w:r>
      <w:r w:rsidR="001A0511">
        <w:t>on 28 August 2024</w:t>
      </w:r>
      <w:r w:rsidR="00524CC5">
        <w:t>,</w:t>
      </w:r>
      <w:r w:rsidR="001A0511">
        <w:t xml:space="preserve"> inviting interested providers to a market engagement event on 13 September 2024</w:t>
      </w:r>
      <w:r w:rsidR="00314825">
        <w:t xml:space="preserve"> where </w:t>
      </w:r>
      <w:r w:rsidR="001A0511">
        <w:t xml:space="preserve">STW ICB </w:t>
      </w:r>
      <w:r w:rsidR="00314825">
        <w:t xml:space="preserve">supplied </w:t>
      </w:r>
      <w:r w:rsidR="001A0511">
        <w:t xml:space="preserve">information on the </w:t>
      </w:r>
      <w:r w:rsidR="00DD2E4E">
        <w:t xml:space="preserve">OOH </w:t>
      </w:r>
      <w:r w:rsidR="001A0511">
        <w:t xml:space="preserve">service and </w:t>
      </w:r>
      <w:r w:rsidR="00314825">
        <w:t xml:space="preserve">the </w:t>
      </w:r>
      <w:r w:rsidR="001A0511">
        <w:t>proposed procurement process.</w:t>
      </w:r>
      <w:bookmarkEnd w:id="6"/>
    </w:p>
    <w:p w14:paraId="13C887E1" w14:textId="575846AA" w:rsidR="001A0511" w:rsidRDefault="005674A1" w:rsidP="00991C82">
      <w:pPr>
        <w:pStyle w:val="ListParagraph"/>
        <w:numPr>
          <w:ilvl w:val="0"/>
          <w:numId w:val="1"/>
        </w:numPr>
        <w:spacing w:line="276" w:lineRule="auto"/>
        <w:ind w:left="567" w:hanging="567"/>
        <w:contextualSpacing w:val="0"/>
      </w:pPr>
      <w:r>
        <w:t xml:space="preserve">STW ICB announced at the market engagement event that </w:t>
      </w:r>
      <w:r w:rsidR="000101A1">
        <w:t xml:space="preserve">the CCCSPA service </w:t>
      </w:r>
      <w:r w:rsidR="00926F34">
        <w:t xml:space="preserve">would be included </w:t>
      </w:r>
      <w:r w:rsidR="00CC56CD">
        <w:t>in</w:t>
      </w:r>
      <w:r w:rsidR="000101A1">
        <w:t xml:space="preserve"> the </w:t>
      </w:r>
      <w:r w:rsidR="00887074">
        <w:t>procurement</w:t>
      </w:r>
      <w:r w:rsidR="00EE0B6D">
        <w:t xml:space="preserve"> (whereas the Prior Information Notice had made no mention of the CCCSPA service).</w:t>
      </w:r>
      <w:r w:rsidR="00597208">
        <w:t xml:space="preserve"> As a result, </w:t>
      </w:r>
      <w:r w:rsidR="000605E4">
        <w:t>t</w:t>
      </w:r>
      <w:r w:rsidR="00597208" w:rsidRPr="00D03EEF">
        <w:t xml:space="preserve">he </w:t>
      </w:r>
      <w:r w:rsidR="00597208">
        <w:t xml:space="preserve">OOH </w:t>
      </w:r>
      <w:r w:rsidR="00597208" w:rsidRPr="00D03EEF">
        <w:t xml:space="preserve">service </w:t>
      </w:r>
      <w:r w:rsidR="00597208">
        <w:t xml:space="preserve">being procured has </w:t>
      </w:r>
      <w:r w:rsidR="00597208" w:rsidRPr="00D03EEF">
        <w:t>four elements</w:t>
      </w:r>
      <w:r w:rsidR="00597208">
        <w:t>:</w:t>
      </w:r>
      <w:r w:rsidR="00597208" w:rsidRPr="00D03EEF">
        <w:t xml:space="preserve"> (</w:t>
      </w:r>
      <w:r w:rsidR="00597208">
        <w:t>i</w:t>
      </w:r>
      <w:r w:rsidR="00597208" w:rsidRPr="00D03EEF">
        <w:t>) Out of Hours GP cover</w:t>
      </w:r>
      <w:r w:rsidR="00597208">
        <w:t>;</w:t>
      </w:r>
      <w:r w:rsidR="00597208" w:rsidRPr="00D03EEF">
        <w:t xml:space="preserve"> (</w:t>
      </w:r>
      <w:r w:rsidR="00597208">
        <w:t>ii</w:t>
      </w:r>
      <w:r w:rsidR="00597208" w:rsidRPr="00D03EEF">
        <w:t>)</w:t>
      </w:r>
      <w:r w:rsidR="00597208">
        <w:t> </w:t>
      </w:r>
      <w:r w:rsidR="00597208" w:rsidRPr="00D03EEF">
        <w:t xml:space="preserve">GP cover for </w:t>
      </w:r>
      <w:r w:rsidR="00792AD6">
        <w:t>p</w:t>
      </w:r>
      <w:r w:rsidR="00597208" w:rsidRPr="00D03EEF">
        <w:t xml:space="preserve">rotected </w:t>
      </w:r>
      <w:r w:rsidR="00792AD6">
        <w:t>l</w:t>
      </w:r>
      <w:r w:rsidR="00597208" w:rsidRPr="00D03EEF">
        <w:t xml:space="preserve">earning </w:t>
      </w:r>
      <w:r w:rsidR="00792AD6">
        <w:t>t</w:t>
      </w:r>
      <w:r w:rsidR="00597208" w:rsidRPr="00D03EEF">
        <w:t>ime</w:t>
      </w:r>
      <w:r w:rsidR="00597208">
        <w:t>;</w:t>
      </w:r>
      <w:r w:rsidR="00597208" w:rsidRPr="00D03EEF">
        <w:t xml:space="preserve"> (</w:t>
      </w:r>
      <w:r w:rsidR="00597208">
        <w:t>iii</w:t>
      </w:r>
      <w:r w:rsidR="00597208" w:rsidRPr="00D03EEF">
        <w:t>) Outbreak Response</w:t>
      </w:r>
      <w:r w:rsidR="00B34A76">
        <w:t>;</w:t>
      </w:r>
      <w:r w:rsidR="0079172F">
        <w:rPr>
          <w:rStyle w:val="FootnoteReference"/>
        </w:rPr>
        <w:footnoteReference w:id="10"/>
      </w:r>
      <w:r w:rsidR="00597208" w:rsidRPr="00D03EEF">
        <w:t xml:space="preserve"> and (</w:t>
      </w:r>
      <w:r w:rsidR="00597208">
        <w:t>iv</w:t>
      </w:r>
      <w:r w:rsidR="00597208" w:rsidRPr="00D03EEF">
        <w:t xml:space="preserve">) </w:t>
      </w:r>
      <w:r w:rsidR="00597208">
        <w:t xml:space="preserve">the </w:t>
      </w:r>
      <w:r w:rsidR="00597208" w:rsidRPr="00D03EEF">
        <w:t>CCCSPA</w:t>
      </w:r>
      <w:r w:rsidR="00597208">
        <w:t xml:space="preserve"> service.</w:t>
      </w:r>
      <w:r w:rsidR="00597208">
        <w:rPr>
          <w:rStyle w:val="FootnoteReference"/>
        </w:rPr>
        <w:footnoteReference w:id="11"/>
      </w:r>
    </w:p>
    <w:p w14:paraId="1EC60C1D" w14:textId="02FAAD34" w:rsidR="00AC0874" w:rsidRPr="0006508E" w:rsidRDefault="00AC0874" w:rsidP="00693E56">
      <w:pPr>
        <w:pStyle w:val="ListParagraph"/>
        <w:numPr>
          <w:ilvl w:val="0"/>
          <w:numId w:val="1"/>
        </w:numPr>
        <w:spacing w:line="276" w:lineRule="auto"/>
        <w:ind w:left="567" w:hanging="567"/>
        <w:contextualSpacing w:val="0"/>
      </w:pPr>
      <w:r w:rsidRPr="0006508E">
        <w:t xml:space="preserve">On </w:t>
      </w:r>
      <w:r w:rsidR="0006508E">
        <w:t>7 October 2024</w:t>
      </w:r>
      <w:r w:rsidR="00E040A9">
        <w:t>,</w:t>
      </w:r>
      <w:r w:rsidR="0006508E">
        <w:t xml:space="preserve"> STW ICB</w:t>
      </w:r>
      <w:r w:rsidR="004C5B1E" w:rsidRPr="0006508E">
        <w:t xml:space="preserve"> published a </w:t>
      </w:r>
      <w:r w:rsidR="002872F3">
        <w:t>c</w:t>
      </w:r>
      <w:r w:rsidR="004C5B1E" w:rsidRPr="0006508E">
        <w:t xml:space="preserve">ontract </w:t>
      </w:r>
      <w:r w:rsidR="002872F3">
        <w:t>n</w:t>
      </w:r>
      <w:r w:rsidR="004C5B1E" w:rsidRPr="0006508E">
        <w:t>otice s</w:t>
      </w:r>
      <w:r w:rsidR="001E3521">
        <w:t xml:space="preserve">tating </w:t>
      </w:r>
      <w:r w:rsidR="00D2494E">
        <w:t xml:space="preserve">that </w:t>
      </w:r>
      <w:r w:rsidR="00D527FE">
        <w:t xml:space="preserve">it would be using </w:t>
      </w:r>
      <w:r w:rsidR="00E040A9" w:rsidRPr="0006508E">
        <w:t xml:space="preserve">the competitive process </w:t>
      </w:r>
      <w:r w:rsidR="004C5B1E" w:rsidRPr="0006508E">
        <w:t>to select a provider</w:t>
      </w:r>
      <w:r w:rsidR="00AE15F9" w:rsidRPr="0006508E">
        <w:t xml:space="preserve"> </w:t>
      </w:r>
      <w:r w:rsidR="00FD0F38">
        <w:t>for the new contract</w:t>
      </w:r>
      <w:r w:rsidR="0006508E">
        <w:t xml:space="preserve">. </w:t>
      </w:r>
      <w:r w:rsidR="00BF5477" w:rsidRPr="0006508E">
        <w:t xml:space="preserve">The </w:t>
      </w:r>
      <w:r w:rsidR="007B3AF9">
        <w:t xml:space="preserve">new </w:t>
      </w:r>
      <w:r w:rsidR="00BF5477" w:rsidRPr="0006508E">
        <w:t xml:space="preserve">contract </w:t>
      </w:r>
      <w:r w:rsidR="007B3AF9">
        <w:t xml:space="preserve">has </w:t>
      </w:r>
      <w:r w:rsidR="00BF5477" w:rsidRPr="0006508E">
        <w:t xml:space="preserve">an initial </w:t>
      </w:r>
      <w:r w:rsidR="007B3AF9">
        <w:t xml:space="preserve">term </w:t>
      </w:r>
      <w:r w:rsidR="00BF5477" w:rsidRPr="0006508E">
        <w:t>of</w:t>
      </w:r>
      <w:r w:rsidR="0006508E">
        <w:t xml:space="preserve"> three</w:t>
      </w:r>
      <w:r w:rsidR="00BF5477" w:rsidRPr="0006508E">
        <w:t xml:space="preserve"> years commencing on </w:t>
      </w:r>
      <w:r w:rsidR="0006508E">
        <w:t>1 July 2025</w:t>
      </w:r>
      <w:r w:rsidR="00BF5477" w:rsidRPr="0006508E">
        <w:t xml:space="preserve">, with </w:t>
      </w:r>
      <w:r w:rsidR="00D304EB">
        <w:t xml:space="preserve">the option of </w:t>
      </w:r>
      <w:r w:rsidR="006E2CAC">
        <w:t>a two year extension</w:t>
      </w:r>
      <w:r w:rsidR="00BF5477" w:rsidRPr="0006508E">
        <w:t xml:space="preserve">, </w:t>
      </w:r>
      <w:r w:rsidR="00FB6411">
        <w:t>and</w:t>
      </w:r>
      <w:r w:rsidR="00FB6411" w:rsidRPr="0006508E">
        <w:t xml:space="preserve"> </w:t>
      </w:r>
      <w:r w:rsidR="00BF5477" w:rsidRPr="0006508E">
        <w:t>an estimated total contract value</w:t>
      </w:r>
      <w:r w:rsidR="00F40328">
        <w:t>, including the extension,</w:t>
      </w:r>
      <w:r w:rsidR="00BF5477" w:rsidRPr="0006508E">
        <w:t xml:space="preserve"> of approximately </w:t>
      </w:r>
      <w:r w:rsidR="00E64E91" w:rsidRPr="0006508E">
        <w:t>£</w:t>
      </w:r>
      <w:r w:rsidR="0006508E" w:rsidRPr="0006508E">
        <w:t>36m</w:t>
      </w:r>
      <w:r w:rsidR="00E64E91" w:rsidRPr="0006508E">
        <w:t xml:space="preserve"> (excluding VAT).</w:t>
      </w:r>
      <w:r w:rsidR="00E64E91" w:rsidRPr="0006508E">
        <w:rPr>
          <w:rStyle w:val="FootnoteReference"/>
        </w:rPr>
        <w:footnoteReference w:id="12"/>
      </w:r>
    </w:p>
    <w:p w14:paraId="25040CDD" w14:textId="570967F7" w:rsidR="00E64E91" w:rsidRPr="0006508E" w:rsidRDefault="0006508E" w:rsidP="00693E56">
      <w:pPr>
        <w:pStyle w:val="ListParagraph"/>
        <w:numPr>
          <w:ilvl w:val="0"/>
          <w:numId w:val="1"/>
        </w:numPr>
        <w:spacing w:line="276" w:lineRule="auto"/>
        <w:ind w:left="567" w:hanging="567"/>
        <w:contextualSpacing w:val="0"/>
      </w:pPr>
      <w:r w:rsidRPr="0006508E">
        <w:t>STW ICB</w:t>
      </w:r>
      <w:r w:rsidR="004E6D6A" w:rsidRPr="0006508E">
        <w:t xml:space="preserve"> received </w:t>
      </w:r>
      <w:r w:rsidRPr="0006508E">
        <w:t>six</w:t>
      </w:r>
      <w:r w:rsidR="004E6D6A" w:rsidRPr="0006508E">
        <w:t xml:space="preserve"> bids</w:t>
      </w:r>
      <w:r w:rsidR="00EB4B88" w:rsidRPr="0006508E">
        <w:t xml:space="preserve"> and</w:t>
      </w:r>
      <w:r w:rsidR="0015511F">
        <w:t>,</w:t>
      </w:r>
      <w:r w:rsidR="00EB4B88" w:rsidRPr="0006508E">
        <w:t xml:space="preserve"> on </w:t>
      </w:r>
      <w:r w:rsidRPr="0006508E">
        <w:t>3</w:t>
      </w:r>
      <w:r w:rsidR="005075D8">
        <w:t> </w:t>
      </w:r>
      <w:r w:rsidRPr="0006508E">
        <w:t>February 2025</w:t>
      </w:r>
      <w:r w:rsidR="0015511F">
        <w:t xml:space="preserve">, it </w:t>
      </w:r>
      <w:r w:rsidR="00EB4B88" w:rsidRPr="0006508E">
        <w:t xml:space="preserve">published a </w:t>
      </w:r>
      <w:r w:rsidR="005075D8">
        <w:t>notice</w:t>
      </w:r>
      <w:r w:rsidR="00EB4B88" w:rsidRPr="0006508E">
        <w:t xml:space="preserve"> announcing th</w:t>
      </w:r>
      <w:r w:rsidR="00EE334E">
        <w:t xml:space="preserve">at </w:t>
      </w:r>
      <w:r w:rsidR="00EB4B88" w:rsidRPr="0006508E">
        <w:t xml:space="preserve">the successful bidder </w:t>
      </w:r>
      <w:r w:rsidR="00EE334E">
        <w:t>w</w:t>
      </w:r>
      <w:r w:rsidR="00EB4B88" w:rsidRPr="0006508E">
        <w:t xml:space="preserve">as </w:t>
      </w:r>
      <w:r w:rsidRPr="0006508E">
        <w:t>Medvivo Group Limited (Medvivo)</w:t>
      </w:r>
      <w:r w:rsidR="0015511F">
        <w:t>.</w:t>
      </w:r>
      <w:r w:rsidR="003A440C" w:rsidRPr="0006508E">
        <w:rPr>
          <w:rStyle w:val="FootnoteReference"/>
        </w:rPr>
        <w:footnoteReference w:id="13"/>
      </w:r>
      <w:r w:rsidR="00A82B18">
        <w:t xml:space="preserve"> </w:t>
      </w:r>
      <w:r w:rsidRPr="0006508E">
        <w:t>Shropdoc</w:t>
      </w:r>
      <w:r w:rsidR="007918D7" w:rsidRPr="0006508E">
        <w:t xml:space="preserve">’s proposal was ranked </w:t>
      </w:r>
      <w:r w:rsidRPr="0006508E">
        <w:t>fifth</w:t>
      </w:r>
      <w:r w:rsidR="00FC49EE">
        <w:t xml:space="preserve">, with a total score of </w:t>
      </w:r>
      <w:r w:rsidR="00FB46BB">
        <w:t>68.52%</w:t>
      </w:r>
      <w:r w:rsidR="0015511F">
        <w:t xml:space="preserve"> compared to </w:t>
      </w:r>
      <w:r w:rsidR="00212F23">
        <w:t>86.85% for Medvivo.</w:t>
      </w:r>
    </w:p>
    <w:p w14:paraId="44B0B5DF" w14:textId="23C2C499" w:rsidR="00F820F8" w:rsidRDefault="005E6CD3" w:rsidP="0004494F">
      <w:pPr>
        <w:pStyle w:val="ListParagraph"/>
        <w:numPr>
          <w:ilvl w:val="0"/>
          <w:numId w:val="1"/>
        </w:numPr>
        <w:spacing w:line="276" w:lineRule="auto"/>
        <w:ind w:left="567" w:hanging="567"/>
        <w:contextualSpacing w:val="0"/>
      </w:pPr>
      <w:r>
        <w:t xml:space="preserve">On </w:t>
      </w:r>
      <w:r w:rsidR="0006508E">
        <w:t>14 February 2025</w:t>
      </w:r>
      <w:r>
        <w:t>,</w:t>
      </w:r>
      <w:r w:rsidR="0006508E">
        <w:t xml:space="preserve"> </w:t>
      </w:r>
      <w:r>
        <w:t xml:space="preserve">prior to the end of the standstill period, </w:t>
      </w:r>
      <w:r w:rsidR="00263D7A">
        <w:t>Shropdoc made representations to STW ICB</w:t>
      </w:r>
      <w:r w:rsidR="00DC6B38">
        <w:t>,</w:t>
      </w:r>
      <w:r w:rsidR="00263D7A">
        <w:t xml:space="preserve"> </w:t>
      </w:r>
      <w:r w:rsidR="00DC6B38">
        <w:t>and requested further information,</w:t>
      </w:r>
      <w:r w:rsidR="00DC6B38" w:rsidDel="00212F23">
        <w:t xml:space="preserve"> </w:t>
      </w:r>
      <w:r>
        <w:t>about the provider selection process.</w:t>
      </w:r>
      <w:r w:rsidR="0006508E">
        <w:rPr>
          <w:rStyle w:val="FootnoteReference"/>
        </w:rPr>
        <w:footnoteReference w:id="14"/>
      </w:r>
      <w:r w:rsidR="0004494F">
        <w:t xml:space="preserve"> </w:t>
      </w:r>
      <w:r w:rsidR="00F820F8">
        <w:t xml:space="preserve">On 5 March 2025, STW ICB provided Shropdoc with </w:t>
      </w:r>
      <w:r w:rsidR="006F7D38">
        <w:t xml:space="preserve">documents in </w:t>
      </w:r>
      <w:r w:rsidR="006F7D38">
        <w:lastRenderedPageBreak/>
        <w:t>response to its information request</w:t>
      </w:r>
      <w:r w:rsidR="00873691">
        <w:t>, following which Shropdoc – having reviewed these documents – made further representations</w:t>
      </w:r>
      <w:r w:rsidR="000E3575">
        <w:t xml:space="preserve">. </w:t>
      </w:r>
    </w:p>
    <w:p w14:paraId="63359F08" w14:textId="128A81B4" w:rsidR="001429F4" w:rsidRDefault="001429F4" w:rsidP="0004494F">
      <w:pPr>
        <w:pStyle w:val="ListParagraph"/>
        <w:numPr>
          <w:ilvl w:val="0"/>
          <w:numId w:val="1"/>
        </w:numPr>
        <w:spacing w:line="276" w:lineRule="auto"/>
        <w:ind w:left="567" w:hanging="567"/>
        <w:contextualSpacing w:val="0"/>
      </w:pPr>
      <w:r w:rsidRPr="00574C61">
        <w:t>O</w:t>
      </w:r>
      <w:r w:rsidR="00B14504" w:rsidRPr="00574C61">
        <w:t>n</w:t>
      </w:r>
      <w:r w:rsidRPr="00574C61">
        <w:t xml:space="preserve"> </w:t>
      </w:r>
      <w:r w:rsidR="0006508E" w:rsidRPr="00574C61">
        <w:t>3 April 2025,</w:t>
      </w:r>
      <w:r w:rsidR="0006508E">
        <w:t xml:space="preserve"> </w:t>
      </w:r>
      <w:r w:rsidR="00710C00">
        <w:t xml:space="preserve">following a review of Shropdoc’s representations by </w:t>
      </w:r>
      <w:r w:rsidR="0006508E">
        <w:t>STW ICB</w:t>
      </w:r>
      <w:r w:rsidR="00406A9D">
        <w:t xml:space="preserve">’s internal review panel, STW ICB </w:t>
      </w:r>
      <w:r>
        <w:t xml:space="preserve">wrote to </w:t>
      </w:r>
      <w:r w:rsidR="0006508E">
        <w:t xml:space="preserve">Shropdoc </w:t>
      </w:r>
      <w:r w:rsidR="00286AAD">
        <w:t>communicating its further decision on the provider selection process, namely to proceed with the contract award to Medvivo</w:t>
      </w:r>
      <w:r w:rsidR="003B0C3B">
        <w:t>.</w:t>
      </w:r>
    </w:p>
    <w:p w14:paraId="4C39BC48" w14:textId="64906C5E" w:rsidR="00B14504" w:rsidRPr="00E64E91" w:rsidRDefault="00B14504" w:rsidP="00693E56">
      <w:pPr>
        <w:pStyle w:val="ListParagraph"/>
        <w:numPr>
          <w:ilvl w:val="0"/>
          <w:numId w:val="1"/>
        </w:numPr>
        <w:spacing w:line="276" w:lineRule="auto"/>
        <w:ind w:left="567" w:hanging="567"/>
        <w:contextualSpacing w:val="0"/>
      </w:pPr>
      <w:r>
        <w:t xml:space="preserve">On </w:t>
      </w:r>
      <w:r w:rsidR="0006508E">
        <w:t>10 April 2025</w:t>
      </w:r>
      <w:r w:rsidR="004C0FA6">
        <w:t xml:space="preserve">, prior to the end of the standstill period, </w:t>
      </w:r>
      <w:r w:rsidR="0006508E">
        <w:t>Shropdoc</w:t>
      </w:r>
      <w:r w:rsidR="004C0FA6">
        <w:t xml:space="preserve"> asked the Panel to review </w:t>
      </w:r>
      <w:r w:rsidR="0006508E">
        <w:t>STW ICB</w:t>
      </w:r>
      <w:r w:rsidR="004C0FA6">
        <w:t xml:space="preserve">’s provider selection decision. The Panel accepted this request </w:t>
      </w:r>
      <w:r w:rsidR="0006508E">
        <w:t>on 14</w:t>
      </w:r>
      <w:r w:rsidR="00D6640F">
        <w:t> </w:t>
      </w:r>
      <w:r w:rsidR="0006508E">
        <w:t>April 2025</w:t>
      </w:r>
      <w:r w:rsidR="00FE066C">
        <w:t xml:space="preserve">. On being made aware of the Panel’s acceptance decision, </w:t>
      </w:r>
      <w:r w:rsidR="0006508E">
        <w:t>STW ICB</w:t>
      </w:r>
      <w:r w:rsidR="00FE066C">
        <w:t xml:space="preserve"> confirmed that it would hold the standstill period open for the duration of the Panel’s review, as required by the PSR regulations.</w:t>
      </w:r>
    </w:p>
    <w:p w14:paraId="7C82D25B" w14:textId="26AD7430" w:rsidR="00DA200D" w:rsidRDefault="00DA200D" w:rsidP="00CD7C7B">
      <w:pPr>
        <w:pStyle w:val="Heading1"/>
        <w:spacing w:line="23" w:lineRule="atLeast"/>
      </w:pPr>
      <w:bookmarkStart w:id="7" w:name="_Toc201919694"/>
      <w:r>
        <w:t xml:space="preserve">Representations by </w:t>
      </w:r>
      <w:r w:rsidR="007F3875">
        <w:t>Shropdoc</w:t>
      </w:r>
      <w:bookmarkEnd w:id="7"/>
    </w:p>
    <w:p w14:paraId="6351C71F" w14:textId="4CA7A293" w:rsidR="00DA200D" w:rsidRDefault="00C01DB9" w:rsidP="00693E56">
      <w:pPr>
        <w:pStyle w:val="ListParagraph"/>
        <w:numPr>
          <w:ilvl w:val="0"/>
          <w:numId w:val="1"/>
        </w:numPr>
        <w:spacing w:after="120" w:line="276" w:lineRule="auto"/>
        <w:ind w:left="567" w:hanging="567"/>
        <w:contextualSpacing w:val="0"/>
      </w:pPr>
      <w:bookmarkStart w:id="8" w:name="_Ref199399981"/>
      <w:r>
        <w:t>Shropdoc</w:t>
      </w:r>
      <w:r w:rsidR="005E362F">
        <w:t xml:space="preserve">’s concerns about the provider selection process, as summarised in its representations to the Panel, </w:t>
      </w:r>
      <w:r w:rsidR="0098375C">
        <w:t xml:space="preserve">are </w:t>
      </w:r>
      <w:r w:rsidR="005E362F">
        <w:t>as follows:</w:t>
      </w:r>
      <w:bookmarkEnd w:id="8"/>
    </w:p>
    <w:p w14:paraId="00AA5DCB" w14:textId="362D61B3" w:rsidR="00712388" w:rsidRPr="00712388" w:rsidRDefault="009D514E" w:rsidP="005551EB">
      <w:pPr>
        <w:pStyle w:val="ListParagraph"/>
        <w:numPr>
          <w:ilvl w:val="0"/>
          <w:numId w:val="0"/>
        </w:numPr>
        <w:spacing w:after="120" w:line="276" w:lineRule="auto"/>
        <w:ind w:left="851"/>
        <w:contextualSpacing w:val="0"/>
        <w:rPr>
          <w:sz w:val="21"/>
          <w:szCs w:val="21"/>
        </w:rPr>
      </w:pPr>
      <w:r w:rsidRPr="00712388">
        <w:rPr>
          <w:sz w:val="21"/>
          <w:szCs w:val="21"/>
        </w:rPr>
        <w:t>“</w:t>
      </w:r>
      <w:r w:rsidR="00712388" w:rsidRPr="00712388">
        <w:rPr>
          <w:sz w:val="21"/>
          <w:szCs w:val="21"/>
        </w:rPr>
        <w:t>Our representations focus on fundamental breaches of the Provider Selection Regime (PSR), the NHS Act 2006, and the principles of transparency, proportionality, and fairness underpinning public procurement law. Despite the ICB’s response, these issues remain unresolved and raise ongoing concerns about the lawfulness of the procurement process.</w:t>
      </w:r>
    </w:p>
    <w:p w14:paraId="71D11D9A" w14:textId="6D627B29" w:rsidR="00712388" w:rsidRPr="00712388" w:rsidRDefault="00712388" w:rsidP="005551EB">
      <w:pPr>
        <w:pStyle w:val="ListParagraph"/>
        <w:numPr>
          <w:ilvl w:val="0"/>
          <w:numId w:val="0"/>
        </w:numPr>
        <w:spacing w:after="120" w:line="276" w:lineRule="auto"/>
        <w:ind w:left="851"/>
        <w:contextualSpacing w:val="0"/>
        <w:rPr>
          <w:sz w:val="21"/>
          <w:szCs w:val="21"/>
        </w:rPr>
      </w:pPr>
      <w:r w:rsidRPr="00712388">
        <w:rPr>
          <w:sz w:val="21"/>
          <w:szCs w:val="21"/>
        </w:rPr>
        <w:t>“The ICB failed to include any relevant Key Performance Indicators (KPIs) in the ITT; instead, the ITT signposted bidders to KPIs that are applicable to the regional 111 provider. This approach contradicts the principle of fairness under the PSR. Without defined KPIs, bidders were unable to develop like-for-like service models, resulting in bidders developing models on divergent assumptions, materially affecting cost and resourcing structures.</w:t>
      </w:r>
    </w:p>
    <w:p w14:paraId="75E4A405" w14:textId="4AF0284C" w:rsidR="00712388" w:rsidRPr="00712388" w:rsidRDefault="00712388" w:rsidP="005551EB">
      <w:pPr>
        <w:pStyle w:val="ListParagraph"/>
        <w:numPr>
          <w:ilvl w:val="0"/>
          <w:numId w:val="0"/>
        </w:numPr>
        <w:spacing w:after="120" w:line="276" w:lineRule="auto"/>
        <w:ind w:left="851"/>
        <w:contextualSpacing w:val="0"/>
        <w:rPr>
          <w:sz w:val="21"/>
          <w:szCs w:val="21"/>
        </w:rPr>
      </w:pPr>
      <w:r w:rsidRPr="00712388">
        <w:rPr>
          <w:sz w:val="21"/>
          <w:szCs w:val="21"/>
        </w:rPr>
        <w:t>“The ICB’s reliance on subjective “clinical judgment” in lieu of objectively defined response-time standards further undermines the fairness of the process and risks a lower service standard than under the current contract. The lack of clarity and shifting guidance (evidenced in the clarification log) made it impossible for bidders to accurately price or plan the service. These likely advantaged bidders who assumed lower standards or resourcing levels. Without measurable performance metrics, the ICB lacked a robust and fair basis to assess models to improve the quality and efficiency of the services, in accordance with Regulation 4 of the PSR.</w:t>
      </w:r>
    </w:p>
    <w:p w14:paraId="3287DCD4" w14:textId="57D7FA29" w:rsidR="00712388" w:rsidRPr="00712388" w:rsidRDefault="00712388" w:rsidP="005551EB">
      <w:pPr>
        <w:pStyle w:val="ListParagraph"/>
        <w:numPr>
          <w:ilvl w:val="0"/>
          <w:numId w:val="0"/>
        </w:numPr>
        <w:spacing w:after="120" w:line="276" w:lineRule="auto"/>
        <w:ind w:left="851"/>
        <w:contextualSpacing w:val="0"/>
        <w:rPr>
          <w:sz w:val="21"/>
          <w:szCs w:val="21"/>
        </w:rPr>
      </w:pPr>
      <w:r w:rsidRPr="00712388">
        <w:rPr>
          <w:sz w:val="21"/>
          <w:szCs w:val="21"/>
        </w:rPr>
        <w:t>“The ICB also failed to meet its obligations under Regulation 4 of the PSR and Section 242 of the NHS Act 2006 by not properly consulting with GPs during the pre-procurement stage. GPs were not treated as stakeholders with critical insights into how services are delivered or how proposed changes might affect clinical practice, service safety, and workforce planning. The use of public engagement surveys from a patient perspective does not amount to meaningful consultation of GPs.</w:t>
      </w:r>
    </w:p>
    <w:p w14:paraId="0DD3DD5F" w14:textId="10318A4F" w:rsidR="009839C8" w:rsidRDefault="00712388" w:rsidP="005551EB">
      <w:pPr>
        <w:pStyle w:val="ListParagraph"/>
        <w:numPr>
          <w:ilvl w:val="0"/>
          <w:numId w:val="0"/>
        </w:numPr>
        <w:spacing w:after="120" w:line="276" w:lineRule="auto"/>
        <w:ind w:left="851"/>
        <w:contextualSpacing w:val="0"/>
        <w:rPr>
          <w:sz w:val="21"/>
          <w:szCs w:val="21"/>
        </w:rPr>
      </w:pPr>
      <w:r w:rsidRPr="00712388">
        <w:rPr>
          <w:sz w:val="21"/>
          <w:szCs w:val="21"/>
        </w:rPr>
        <w:t>“The ICB’s justification, namely an alleged conflict of interest, misunderstands the nature of market engagement. Their exclusion deprived the ICB of expert insight and undermined the legitimacy of the engagement process. Equally concerning is the ICB’s erroneous view that the CCCSPA service is not</w:t>
      </w:r>
      <w:r w:rsidR="00C111B0">
        <w:rPr>
          <w:sz w:val="21"/>
          <w:szCs w:val="21"/>
        </w:rPr>
        <w:t xml:space="preserve"> ‘</w:t>
      </w:r>
      <w:r w:rsidRPr="00712388">
        <w:rPr>
          <w:sz w:val="21"/>
          <w:szCs w:val="21"/>
        </w:rPr>
        <w:t>patient-facing</w:t>
      </w:r>
      <w:r w:rsidR="00C111B0">
        <w:rPr>
          <w:sz w:val="21"/>
          <w:szCs w:val="21"/>
        </w:rPr>
        <w:t>’</w:t>
      </w:r>
      <w:r w:rsidRPr="00712388">
        <w:rPr>
          <w:sz w:val="21"/>
          <w:szCs w:val="21"/>
        </w:rPr>
        <w:t xml:space="preserve">. </w:t>
      </w:r>
    </w:p>
    <w:p w14:paraId="60D59269" w14:textId="7A849A4D" w:rsidR="00712388" w:rsidRPr="00712388" w:rsidRDefault="009839C8" w:rsidP="005551EB">
      <w:pPr>
        <w:pStyle w:val="ListParagraph"/>
        <w:numPr>
          <w:ilvl w:val="0"/>
          <w:numId w:val="0"/>
        </w:numPr>
        <w:spacing w:after="120" w:line="276" w:lineRule="auto"/>
        <w:ind w:left="851"/>
        <w:contextualSpacing w:val="0"/>
        <w:rPr>
          <w:sz w:val="21"/>
          <w:szCs w:val="21"/>
        </w:rPr>
      </w:pPr>
      <w:r>
        <w:rPr>
          <w:sz w:val="21"/>
          <w:szCs w:val="21"/>
        </w:rPr>
        <w:lastRenderedPageBreak/>
        <w:t>“</w:t>
      </w:r>
      <w:r w:rsidR="00712388" w:rsidRPr="00712388">
        <w:rPr>
          <w:sz w:val="21"/>
          <w:szCs w:val="21"/>
        </w:rPr>
        <w:t>We remain concerned that no due diligence was conducted into the deliverability of the winning bidder’s submission, which was markedly below both the ICB’s indicative value and the incumbent’s costed model. Accepting a substantially cheaper bid without detailed due diligence or a clear assessment of risk around sustainability is not consistent with obligations under Regulation 5. See also the concerns as to a lack of KPIs which could give rise to pricing being prepared on significantly different basis between bidders. The ICB has not provided a reasoned analysis explaining how the successful bidder’s price could be sustainable without compromising service quality or patient safety. The absence of a clear, documented evaluation of financial sustainability is a continuing concern and remains unaddressed by the ICB’s generalised statements in the panel report.</w:t>
      </w:r>
    </w:p>
    <w:p w14:paraId="16F6FB5F" w14:textId="42466821" w:rsidR="00712388" w:rsidRPr="00712388" w:rsidRDefault="00712388" w:rsidP="005551EB">
      <w:pPr>
        <w:pStyle w:val="ListParagraph"/>
        <w:numPr>
          <w:ilvl w:val="0"/>
          <w:numId w:val="0"/>
        </w:numPr>
        <w:spacing w:after="120" w:line="276" w:lineRule="auto"/>
        <w:ind w:left="851"/>
        <w:contextualSpacing w:val="0"/>
        <w:rPr>
          <w:sz w:val="21"/>
          <w:szCs w:val="21"/>
        </w:rPr>
      </w:pPr>
      <w:r w:rsidRPr="00712388">
        <w:rPr>
          <w:sz w:val="21"/>
          <w:szCs w:val="21"/>
        </w:rPr>
        <w:t>“The ICB also failed to correctly apply Regulation 6(5). The Competitive Process was adopted without demonstrating why Direct Award Process C was unavailable. The ICB has inconsistently asserted both that the “considerable change threshold” was met and that it was not met. These misstatements of the PSR casts serious doubt on whether the ICB gave due regard to its PSR obligations or properly understood the available procurement routes.</w:t>
      </w:r>
    </w:p>
    <w:p w14:paraId="2F8220CE" w14:textId="18487EB7" w:rsidR="009D514E" w:rsidRPr="00712388" w:rsidRDefault="00712388" w:rsidP="005C3F7F">
      <w:pPr>
        <w:pStyle w:val="ListParagraph"/>
        <w:numPr>
          <w:ilvl w:val="0"/>
          <w:numId w:val="0"/>
        </w:numPr>
        <w:spacing w:line="276" w:lineRule="auto"/>
        <w:ind w:left="851"/>
        <w:contextualSpacing w:val="0"/>
        <w:rPr>
          <w:sz w:val="21"/>
          <w:szCs w:val="21"/>
        </w:rPr>
      </w:pPr>
      <w:r w:rsidRPr="00712388">
        <w:rPr>
          <w:sz w:val="21"/>
          <w:szCs w:val="21"/>
        </w:rPr>
        <w:t>“Despite the conclusions made in its panel report, the ICB itself acknowledged the service was unchanged in scope or delivery model so the contract value increase was 23%, below the 25% required. There is no evidence that the ICB properly assessed or documented its decision-making in line with Regulation 24(f)–(g), This omission is not addressed in the ICB’s response, and no copy of such a record has been provided.</w:t>
      </w:r>
      <w:r w:rsidR="00236F9E" w:rsidRPr="00712388">
        <w:rPr>
          <w:sz w:val="21"/>
          <w:szCs w:val="21"/>
        </w:rPr>
        <w:t>”</w:t>
      </w:r>
    </w:p>
    <w:p w14:paraId="7904AE47" w14:textId="476EF393" w:rsidR="00DA200D" w:rsidRDefault="00DA200D" w:rsidP="00CD7C7B">
      <w:pPr>
        <w:pStyle w:val="Heading1"/>
        <w:spacing w:line="23" w:lineRule="atLeast"/>
      </w:pPr>
      <w:bookmarkStart w:id="9" w:name="_Toc201919695"/>
      <w:r>
        <w:t>PSR regulations relevant to this review</w:t>
      </w:r>
      <w:bookmarkEnd w:id="9"/>
    </w:p>
    <w:p w14:paraId="2C8EEAAE" w14:textId="46CE079B" w:rsidR="00DA200D" w:rsidRDefault="00236F9E" w:rsidP="00693E56">
      <w:pPr>
        <w:pStyle w:val="ListParagraph"/>
        <w:numPr>
          <w:ilvl w:val="0"/>
          <w:numId w:val="1"/>
        </w:numPr>
        <w:spacing w:line="276" w:lineRule="auto"/>
        <w:ind w:left="567" w:hanging="564"/>
        <w:contextualSpacing w:val="0"/>
      </w:pPr>
      <w:r>
        <w:t xml:space="preserve">In its representations to the Panel, </w:t>
      </w:r>
      <w:r w:rsidR="009839C8">
        <w:t xml:space="preserve">Shropdoc </w:t>
      </w:r>
      <w:r>
        <w:t xml:space="preserve">suggested that </w:t>
      </w:r>
      <w:r w:rsidR="009839C8">
        <w:t>STW ICB</w:t>
      </w:r>
      <w:r>
        <w:t xml:space="preserve"> had breached the PSR regulations in relation to </w:t>
      </w:r>
      <w:r w:rsidR="009839C8">
        <w:t>the general obligations on commissioners</w:t>
      </w:r>
      <w:r w:rsidR="002D4F47">
        <w:t xml:space="preserve"> (as set out in Regulation </w:t>
      </w:r>
      <w:r w:rsidR="009839C8">
        <w:t>4</w:t>
      </w:r>
      <w:r w:rsidR="00247071">
        <w:t>)</w:t>
      </w:r>
      <w:r w:rsidR="00C33C51">
        <w:t xml:space="preserve">, the application of basic and key criteria (as set out in Regulation 5), </w:t>
      </w:r>
      <w:r w:rsidR="00724DCD">
        <w:t>the process</w:t>
      </w:r>
      <w:r w:rsidR="00081DAA">
        <w:t>es to be followed</w:t>
      </w:r>
      <w:r w:rsidR="00C33C51">
        <w:t xml:space="preserve"> (as set out in Regulation 6), and the obligation to keep</w:t>
      </w:r>
      <w:r w:rsidR="00EA1ABE">
        <w:t xml:space="preserve"> </w:t>
      </w:r>
      <w:r w:rsidR="005123AF">
        <w:t>a record of all</w:t>
      </w:r>
      <w:r w:rsidR="00C33C51">
        <w:t xml:space="preserve"> decisions made and their rationale (as set out in Regulation 24)</w:t>
      </w:r>
      <w:r w:rsidR="00247071">
        <w:t xml:space="preserve">. </w:t>
      </w:r>
    </w:p>
    <w:p w14:paraId="0D8F02B1" w14:textId="0D62D65F" w:rsidR="00247071" w:rsidRPr="00FF165B" w:rsidRDefault="00247071" w:rsidP="00693E56">
      <w:pPr>
        <w:pStyle w:val="ListParagraph"/>
        <w:numPr>
          <w:ilvl w:val="0"/>
          <w:numId w:val="1"/>
        </w:numPr>
        <w:spacing w:line="276" w:lineRule="auto"/>
        <w:ind w:left="567" w:hanging="564"/>
        <w:contextualSpacing w:val="0"/>
      </w:pPr>
      <w:bookmarkStart w:id="10" w:name="_Ref199494669"/>
      <w:r w:rsidRPr="00FF165B">
        <w:t>Those parts of the PSR regulations most relevant to this review are set out below:</w:t>
      </w:r>
      <w:bookmarkEnd w:id="10"/>
    </w:p>
    <w:p w14:paraId="3E28546A" w14:textId="4F6547BF" w:rsidR="00FF165B" w:rsidRPr="00FF165B" w:rsidRDefault="00C24242" w:rsidP="003C6C37">
      <w:pPr>
        <w:pStyle w:val="ListParagraph"/>
        <w:numPr>
          <w:ilvl w:val="0"/>
          <w:numId w:val="5"/>
        </w:numPr>
        <w:spacing w:line="276" w:lineRule="auto"/>
        <w:ind w:hanging="357"/>
        <w:contextualSpacing w:val="0"/>
      </w:pPr>
      <w:r w:rsidRPr="00FF165B">
        <w:t xml:space="preserve">Regulation </w:t>
      </w:r>
      <w:r w:rsidR="00675B4F" w:rsidRPr="00FF165B">
        <w:t>4 sets out the general obligations that apply to relevant authorities (i.e. commissioners) when selecting a provider of health care services</w:t>
      </w:r>
      <w:r w:rsidR="00456466" w:rsidRPr="00FF165B">
        <w:t xml:space="preserve">. This states that </w:t>
      </w:r>
      <w:r w:rsidR="00FB0AB7">
        <w:t>commissioners</w:t>
      </w:r>
      <w:r w:rsidR="00456466" w:rsidRPr="00FF165B">
        <w:t xml:space="preserve"> must “act: (</w:t>
      </w:r>
      <w:r w:rsidR="00EE6350">
        <w:t>a</w:t>
      </w:r>
      <w:r w:rsidR="00456466" w:rsidRPr="00FF165B">
        <w:t xml:space="preserve">) </w:t>
      </w:r>
      <w:r w:rsidR="00702E47">
        <w:t>with</w:t>
      </w:r>
      <w:r w:rsidR="00702E47" w:rsidRPr="00FF165B">
        <w:t xml:space="preserve"> </w:t>
      </w:r>
      <w:r w:rsidR="00456466" w:rsidRPr="00FF165B">
        <w:t>a view to – (i) securing the needs of people who use the services; (ii) improving the quality of the services; and (iii) improving efficiency in the provision of the services; and (b) transparently, fairly</w:t>
      </w:r>
      <w:r w:rsidR="00FF165B" w:rsidRPr="00FF165B">
        <w:t xml:space="preserve"> and proportionately”.</w:t>
      </w:r>
    </w:p>
    <w:p w14:paraId="2286C68F" w14:textId="32F3EC13" w:rsidR="00037EDC" w:rsidRDefault="00FF165B" w:rsidP="003C6C37">
      <w:pPr>
        <w:pStyle w:val="ListParagraph"/>
        <w:numPr>
          <w:ilvl w:val="0"/>
          <w:numId w:val="5"/>
        </w:numPr>
        <w:spacing w:line="276" w:lineRule="auto"/>
        <w:ind w:hanging="357"/>
        <w:contextualSpacing w:val="0"/>
      </w:pPr>
      <w:r>
        <w:t xml:space="preserve">Regulation 5 sets out the key criteria which a commissioner must consider when </w:t>
      </w:r>
      <w:r w:rsidR="0029654B">
        <w:t xml:space="preserve">procuring </w:t>
      </w:r>
      <w:r w:rsidR="00C0773E">
        <w:t>relevant health care services</w:t>
      </w:r>
      <w:r>
        <w:t xml:space="preserve">. The five key criteria are: </w:t>
      </w:r>
      <w:r w:rsidR="009C6141">
        <w:t>(a) quality and innovation; (b) value; (c) integration, collaboration and service sustainability; (d) improving access, reducing health inequalities and facilitating choice; and (e) social value.</w:t>
      </w:r>
      <w:r w:rsidR="0035035D" w:rsidRPr="00FF165B">
        <w:t xml:space="preserve"> </w:t>
      </w:r>
    </w:p>
    <w:p w14:paraId="0910A924" w14:textId="0BE032F4" w:rsidR="003A59D7" w:rsidRDefault="003A59D7" w:rsidP="003C6C37">
      <w:pPr>
        <w:pStyle w:val="ListParagraph"/>
        <w:numPr>
          <w:ilvl w:val="0"/>
          <w:numId w:val="5"/>
        </w:numPr>
        <w:spacing w:line="276" w:lineRule="auto"/>
        <w:ind w:hanging="357"/>
        <w:contextualSpacing w:val="0"/>
      </w:pPr>
      <w:r>
        <w:t xml:space="preserve">Regulation 6 sets out </w:t>
      </w:r>
      <w:r w:rsidR="00AB7730">
        <w:t>the appropriate process a relevant authority must follow</w:t>
      </w:r>
      <w:r w:rsidR="001E609C">
        <w:t xml:space="preserve"> when procuring a relevant health care service</w:t>
      </w:r>
      <w:r w:rsidR="00E60568">
        <w:t xml:space="preserve"> to which the PSR regulations apply. </w:t>
      </w:r>
      <w:r w:rsidR="00C0773E">
        <w:t xml:space="preserve">This states that </w:t>
      </w:r>
      <w:r w:rsidR="005825EC">
        <w:t xml:space="preserve">(5) </w:t>
      </w:r>
      <w:r w:rsidR="00166324">
        <w:t>w</w:t>
      </w:r>
      <w:r w:rsidR="00D15883">
        <w:t>here</w:t>
      </w:r>
      <w:r w:rsidR="00A537D4">
        <w:t xml:space="preserve"> - “(a) </w:t>
      </w:r>
      <w:r w:rsidR="00D15883">
        <w:t>the relevant authority is not required to follow Direct Award Process A or Direct Award Process B</w:t>
      </w:r>
      <w:r w:rsidR="007A0212">
        <w:t xml:space="preserve">, </w:t>
      </w:r>
      <w:r w:rsidR="0095114E" w:rsidRPr="0095114E">
        <w:t>(b)</w:t>
      </w:r>
      <w:r w:rsidR="0095114E">
        <w:t xml:space="preserve"> </w:t>
      </w:r>
      <w:r w:rsidR="0095114E" w:rsidRPr="0095114E">
        <w:t xml:space="preserve">the term of an </w:t>
      </w:r>
      <w:r w:rsidR="0095114E" w:rsidRPr="0095114E">
        <w:lastRenderedPageBreak/>
        <w:t>existing contract is due to expire and the relevant authority proposes a new contract to replace that existing contract at the end of its term,</w:t>
      </w:r>
      <w:r w:rsidR="0095114E">
        <w:t xml:space="preserve"> </w:t>
      </w:r>
      <w:r w:rsidR="0095114E" w:rsidRPr="0095114E">
        <w:t>(c)</w:t>
      </w:r>
      <w:r w:rsidR="00892CE5">
        <w:t xml:space="preserve"> </w:t>
      </w:r>
      <w:r w:rsidR="0095114E" w:rsidRPr="0095114E">
        <w:t xml:space="preserve">the considerable change threshold is not met </w:t>
      </w:r>
      <w:r w:rsidR="00892CE5">
        <w:t xml:space="preserve">…, </w:t>
      </w:r>
      <w:r w:rsidR="0095114E" w:rsidRPr="0095114E">
        <w:t>(d</w:t>
      </w:r>
      <w:r w:rsidR="00892CE5">
        <w:t xml:space="preserve"> </w:t>
      </w:r>
      <w:r w:rsidR="0095114E" w:rsidRPr="0095114E">
        <w:t>)the relevant authority is of the view that the existing provider is satisfying the existing contract and will likely satisfy the proposed contract to a sufficient standard</w:t>
      </w:r>
      <w:r w:rsidR="001E4B37">
        <w:t>,</w:t>
      </w:r>
      <w:r w:rsidR="00CB6FC9">
        <w:t xml:space="preserve"> …</w:t>
      </w:r>
      <w:r w:rsidR="001E4B37">
        <w:t xml:space="preserve"> </w:t>
      </w:r>
      <w:r w:rsidR="0095114E" w:rsidRPr="0095114E">
        <w:t>the relevant authority must follow one of Direct Award Process C, the Most Suitable Provider Process or the Competitive Process, such choice being at the discretion of the relevant authority.</w:t>
      </w:r>
      <w:r w:rsidR="00892CE5">
        <w:t>”</w:t>
      </w:r>
    </w:p>
    <w:p w14:paraId="2A20548B" w14:textId="50F7017B" w:rsidR="009C6141" w:rsidRPr="00FF165B" w:rsidRDefault="009C6141" w:rsidP="003C6C37">
      <w:pPr>
        <w:pStyle w:val="ListParagraph"/>
        <w:numPr>
          <w:ilvl w:val="0"/>
          <w:numId w:val="5"/>
        </w:numPr>
        <w:spacing w:line="276" w:lineRule="auto"/>
        <w:ind w:hanging="357"/>
        <w:contextualSpacing w:val="0"/>
      </w:pPr>
      <w:r>
        <w:t>Regulation 24 sets out the information that must be recorded by commissioners. This includes “… (d) the decision-making process followed, including the identity of individuals making decisions … (f) where the competitive process was followed, a description of the way in which the key criteria were taken into account, the basic selection criteria were assessed and contract or framework award criteria were evaluated when making a decision; (g) the reasons for decision made under these Regulations; (h) declared conflicts or potential conflicts of interest; (i) how any conflicts or potential conflicts of interest were managed for each decision …”.</w:t>
      </w:r>
    </w:p>
    <w:p w14:paraId="173BBE07" w14:textId="41D88C06" w:rsidR="00247071" w:rsidRPr="008B410D" w:rsidRDefault="00247071" w:rsidP="00693E56">
      <w:pPr>
        <w:pStyle w:val="ListParagraph"/>
        <w:numPr>
          <w:ilvl w:val="0"/>
          <w:numId w:val="1"/>
        </w:numPr>
        <w:spacing w:line="276" w:lineRule="auto"/>
        <w:ind w:left="567" w:hanging="564"/>
        <w:contextualSpacing w:val="0"/>
      </w:pPr>
      <w:r>
        <w:t xml:space="preserve">The Provider Selection Regime </w:t>
      </w:r>
      <w:r w:rsidR="00800E55">
        <w:t>Statutory Guidance “sits along</w:t>
      </w:r>
      <w:r w:rsidR="00E27174">
        <w:t>side</w:t>
      </w:r>
      <w:r w:rsidR="00800E55">
        <w:t xml:space="preserve"> the Regulations to support organisations to understand and interpret the PSR regulations”.</w:t>
      </w:r>
      <w:r w:rsidR="001A2DB4">
        <w:rPr>
          <w:rStyle w:val="FootnoteReference"/>
        </w:rPr>
        <w:footnoteReference w:id="15"/>
      </w:r>
      <w:r w:rsidR="00800E55">
        <w:t xml:space="preserve"> Reference is made to relevant provisions of the Statutory Guidance in the Panel’s assessment of the issues in Section 7</w:t>
      </w:r>
      <w:r w:rsidR="001A2DB4">
        <w:t>.</w:t>
      </w:r>
      <w:r w:rsidR="001A2DB4">
        <w:rPr>
          <w:rStyle w:val="FootnoteReference"/>
        </w:rPr>
        <w:footnoteReference w:id="16"/>
      </w:r>
    </w:p>
    <w:p w14:paraId="42FD0098" w14:textId="1C5B2080" w:rsidR="00DA200D" w:rsidRDefault="00DA200D" w:rsidP="00CD7C7B">
      <w:pPr>
        <w:pStyle w:val="Heading1"/>
        <w:spacing w:line="23" w:lineRule="atLeast"/>
      </w:pPr>
      <w:bookmarkStart w:id="11" w:name="_Toc201919696"/>
      <w:r>
        <w:t>Panel Assessment</w:t>
      </w:r>
      <w:bookmarkEnd w:id="11"/>
    </w:p>
    <w:p w14:paraId="02BABFC7" w14:textId="4125C3DF" w:rsidR="00DA200D" w:rsidRDefault="00020FEE" w:rsidP="00693E56">
      <w:pPr>
        <w:pStyle w:val="ListParagraph"/>
        <w:numPr>
          <w:ilvl w:val="0"/>
          <w:numId w:val="1"/>
        </w:numPr>
        <w:spacing w:line="276" w:lineRule="auto"/>
        <w:ind w:left="567" w:hanging="567"/>
      </w:pPr>
      <w:r>
        <w:t xml:space="preserve">This section </w:t>
      </w:r>
      <w:r w:rsidR="00A93CEB">
        <w:t xml:space="preserve">sets out the Panel’s assessment of </w:t>
      </w:r>
      <w:r w:rsidR="00FB622D">
        <w:t>Shropdoc</w:t>
      </w:r>
      <w:r w:rsidR="00A93CEB">
        <w:t>’s representations and its findings on whether</w:t>
      </w:r>
      <w:r w:rsidR="00FB622D">
        <w:t xml:space="preserve"> STW ICB</w:t>
      </w:r>
      <w:r w:rsidR="00A93CEB">
        <w:t xml:space="preserve"> complied with the PSR regulations in relation to:</w:t>
      </w:r>
    </w:p>
    <w:p w14:paraId="3AF8D225" w14:textId="594D46B8" w:rsidR="00A93CEB" w:rsidRDefault="00FE012B" w:rsidP="003C6C37">
      <w:pPr>
        <w:pStyle w:val="ListParagraph"/>
        <w:numPr>
          <w:ilvl w:val="0"/>
          <w:numId w:val="6"/>
        </w:numPr>
        <w:spacing w:line="276" w:lineRule="auto"/>
        <w:ind w:left="1077" w:hanging="357"/>
      </w:pPr>
      <w:r>
        <w:t>f</w:t>
      </w:r>
      <w:r w:rsidR="00A93CEB">
        <w:t xml:space="preserve">irst, </w:t>
      </w:r>
      <w:r w:rsidR="00A7176A">
        <w:t>pre-procurement engagement</w:t>
      </w:r>
      <w:r w:rsidR="00A93CEB">
        <w:t xml:space="preserve"> (Section 7.1);</w:t>
      </w:r>
    </w:p>
    <w:p w14:paraId="290E46BD" w14:textId="1E1D0313" w:rsidR="00A93CEB" w:rsidRDefault="00690E2C" w:rsidP="003C6C37">
      <w:pPr>
        <w:pStyle w:val="ListParagraph"/>
        <w:numPr>
          <w:ilvl w:val="0"/>
          <w:numId w:val="6"/>
        </w:numPr>
        <w:spacing w:line="276" w:lineRule="auto"/>
        <w:ind w:left="1077" w:hanging="357"/>
      </w:pPr>
      <w:r>
        <w:t>s</w:t>
      </w:r>
      <w:r w:rsidR="00A93CEB">
        <w:t xml:space="preserve">econd, </w:t>
      </w:r>
      <w:r w:rsidR="00912E20">
        <w:t xml:space="preserve">the KPI information </w:t>
      </w:r>
      <w:r w:rsidR="00C13F09">
        <w:t xml:space="preserve">supplied </w:t>
      </w:r>
      <w:r w:rsidR="00912E20">
        <w:t xml:space="preserve">to bidders </w:t>
      </w:r>
      <w:r w:rsidR="00A93CEB">
        <w:t>(Section 7.2);</w:t>
      </w:r>
    </w:p>
    <w:p w14:paraId="517FA564" w14:textId="4D6B00A0" w:rsidR="00144C05" w:rsidRDefault="00144C05" w:rsidP="003C6C37">
      <w:pPr>
        <w:pStyle w:val="ListParagraph"/>
        <w:numPr>
          <w:ilvl w:val="0"/>
          <w:numId w:val="6"/>
        </w:numPr>
        <w:spacing w:line="276" w:lineRule="auto"/>
        <w:ind w:left="1077" w:hanging="357"/>
      </w:pPr>
      <w:r>
        <w:t xml:space="preserve">third, </w:t>
      </w:r>
      <w:r w:rsidR="00DB50A4">
        <w:t xml:space="preserve">the evaluation of bidders’ </w:t>
      </w:r>
      <w:r w:rsidR="00644230">
        <w:t xml:space="preserve">financial </w:t>
      </w:r>
      <w:r w:rsidR="00DB50A4">
        <w:t>proposals (Section 7.3);</w:t>
      </w:r>
      <w:r w:rsidR="00AF28B6">
        <w:t xml:space="preserve"> and</w:t>
      </w:r>
    </w:p>
    <w:p w14:paraId="29102CCA" w14:textId="2B277878" w:rsidR="00DB50A4" w:rsidRDefault="00E174FD" w:rsidP="003C6C37">
      <w:pPr>
        <w:pStyle w:val="ListParagraph"/>
        <w:numPr>
          <w:ilvl w:val="0"/>
          <w:numId w:val="6"/>
        </w:numPr>
        <w:spacing w:line="276" w:lineRule="auto"/>
        <w:ind w:left="1077" w:hanging="357"/>
      </w:pPr>
      <w:r>
        <w:t>finally</w:t>
      </w:r>
      <w:r w:rsidR="00DB50A4">
        <w:t xml:space="preserve">, the </w:t>
      </w:r>
      <w:r w:rsidR="00644230">
        <w:t xml:space="preserve">decision to use the competitive process to select a provider </w:t>
      </w:r>
      <w:r w:rsidR="00DB50A4">
        <w:t>(Section</w:t>
      </w:r>
      <w:r w:rsidR="00644230">
        <w:t> </w:t>
      </w:r>
      <w:r w:rsidR="00DB50A4">
        <w:t>7.4)</w:t>
      </w:r>
      <w:r>
        <w:t>.</w:t>
      </w:r>
    </w:p>
    <w:p w14:paraId="016200CB" w14:textId="4843D3D7" w:rsidR="00306A7C" w:rsidRPr="003F65DC" w:rsidRDefault="00385D09" w:rsidP="005C3F7F">
      <w:pPr>
        <w:pStyle w:val="Heading2"/>
        <w:spacing w:before="240" w:after="160" w:line="276" w:lineRule="auto"/>
        <w:ind w:left="578" w:hanging="578"/>
      </w:pPr>
      <w:bookmarkStart w:id="12" w:name="_Toc201919697"/>
      <w:r>
        <w:t>Pre-procurement engagement</w:t>
      </w:r>
      <w:bookmarkEnd w:id="12"/>
    </w:p>
    <w:p w14:paraId="69F7E6D5" w14:textId="2BBA6000" w:rsidR="009D0AA3" w:rsidRPr="003C2BDC" w:rsidRDefault="009D0AA3" w:rsidP="009D0AA3">
      <w:pPr>
        <w:pStyle w:val="ListParagraph"/>
        <w:numPr>
          <w:ilvl w:val="0"/>
          <w:numId w:val="1"/>
        </w:numPr>
        <w:spacing w:line="276" w:lineRule="auto"/>
        <w:ind w:left="567" w:hanging="567"/>
        <w:contextualSpacing w:val="0"/>
      </w:pPr>
      <w:bookmarkStart w:id="13" w:name="_Hlk199240393"/>
      <w:r w:rsidRPr="003C2BDC">
        <w:t>The Panel’s assessment of STW ICB’s pre-market engagement focus</w:t>
      </w:r>
      <w:r>
        <w:t>es</w:t>
      </w:r>
      <w:r w:rsidRPr="003C2BDC">
        <w:t xml:space="preserve"> on </w:t>
      </w:r>
      <w:r>
        <w:t>three</w:t>
      </w:r>
      <w:r w:rsidRPr="003C2BDC">
        <w:t xml:space="preserve"> points raised by Shropdoc, namely</w:t>
      </w:r>
      <w:r w:rsidR="00B51EDC">
        <w:t>:</w:t>
      </w:r>
      <w:r w:rsidRPr="003C2BDC">
        <w:t xml:space="preserve"> (i)</w:t>
      </w:r>
      <w:r>
        <w:t> </w:t>
      </w:r>
      <w:r w:rsidR="00C56560">
        <w:t xml:space="preserve">a lack of consultation with </w:t>
      </w:r>
      <w:r w:rsidRPr="003C2BDC">
        <w:t xml:space="preserve">local GPs; </w:t>
      </w:r>
      <w:r w:rsidR="00A6700C">
        <w:t>(ii) STW ICB’s inclusion of the CCCSPA service in the procurement</w:t>
      </w:r>
      <w:r w:rsidR="00DA50F8">
        <w:t xml:space="preserve"> after publication of the Prior Information Notice</w:t>
      </w:r>
      <w:r w:rsidR="00A6700C">
        <w:t xml:space="preserve">; and </w:t>
      </w:r>
      <w:r w:rsidRPr="003C2BDC">
        <w:t>(i</w:t>
      </w:r>
      <w:r w:rsidR="00A6700C">
        <w:t>i</w:t>
      </w:r>
      <w:r w:rsidRPr="003C2BDC">
        <w:t xml:space="preserve">i) STW ICB’s approach to </w:t>
      </w:r>
      <w:r w:rsidR="00575510">
        <w:t xml:space="preserve">engaging with users of the CCCSPA </w:t>
      </w:r>
      <w:r w:rsidRPr="003C2BDC">
        <w:t xml:space="preserve">service </w:t>
      </w:r>
      <w:r w:rsidR="00C56560">
        <w:t>prior to the procurement</w:t>
      </w:r>
      <w:r w:rsidRPr="003C2BDC">
        <w:t>.</w:t>
      </w:r>
      <w:r w:rsidR="00941EF9">
        <w:rPr>
          <w:rStyle w:val="FootnoteReference"/>
        </w:rPr>
        <w:footnoteReference w:id="17"/>
      </w:r>
    </w:p>
    <w:p w14:paraId="4626B750" w14:textId="0A2C5032" w:rsidR="00321A75" w:rsidRPr="00CA0FE2" w:rsidRDefault="00CA0FE2" w:rsidP="00133491">
      <w:pPr>
        <w:keepNext/>
        <w:spacing w:before="240" w:line="23" w:lineRule="atLeast"/>
        <w:rPr>
          <w:b/>
          <w:bCs/>
        </w:rPr>
      </w:pPr>
      <w:r w:rsidRPr="008E78C2">
        <w:rPr>
          <w:b/>
          <w:bCs/>
        </w:rPr>
        <w:t xml:space="preserve">7.1.1 </w:t>
      </w:r>
      <w:r w:rsidR="007D47EC">
        <w:rPr>
          <w:b/>
          <w:bCs/>
        </w:rPr>
        <w:t xml:space="preserve">Lack of consultation with </w:t>
      </w:r>
      <w:bookmarkStart w:id="14" w:name="_Ref199489499"/>
      <w:r w:rsidR="00321A75" w:rsidRPr="00CA0FE2">
        <w:rPr>
          <w:b/>
          <w:bCs/>
        </w:rPr>
        <w:t>local GPs</w:t>
      </w:r>
    </w:p>
    <w:p w14:paraId="56D41BFA" w14:textId="77777777" w:rsidR="00941EF9" w:rsidRDefault="00941EF9" w:rsidP="00941EF9">
      <w:pPr>
        <w:pStyle w:val="ListParagraph"/>
        <w:numPr>
          <w:ilvl w:val="0"/>
          <w:numId w:val="1"/>
        </w:numPr>
        <w:spacing w:after="120" w:line="276" w:lineRule="auto"/>
        <w:ind w:left="567" w:hanging="567"/>
        <w:contextualSpacing w:val="0"/>
      </w:pPr>
      <w:r w:rsidRPr="00CD7C7B">
        <w:t xml:space="preserve">Shropdoc, in its </w:t>
      </w:r>
      <w:r>
        <w:t>representations</w:t>
      </w:r>
      <w:r w:rsidRPr="00CD7C7B">
        <w:t xml:space="preserve"> to the Panel, said that STW ICB</w:t>
      </w:r>
      <w:r>
        <w:t>:</w:t>
      </w:r>
    </w:p>
    <w:p w14:paraId="21772E98" w14:textId="77777777" w:rsidR="00EE64FA" w:rsidRDefault="00941EF9" w:rsidP="008E78C2">
      <w:pPr>
        <w:pStyle w:val="ListParagraph"/>
        <w:numPr>
          <w:ilvl w:val="0"/>
          <w:numId w:val="0"/>
        </w:numPr>
        <w:spacing w:after="120" w:line="276" w:lineRule="auto"/>
        <w:ind w:left="851"/>
        <w:contextualSpacing w:val="0"/>
        <w:rPr>
          <w:sz w:val="21"/>
          <w:szCs w:val="21"/>
        </w:rPr>
      </w:pPr>
      <w:r w:rsidRPr="005C3F7F">
        <w:rPr>
          <w:sz w:val="21"/>
          <w:szCs w:val="21"/>
        </w:rPr>
        <w:lastRenderedPageBreak/>
        <w:t>“failed to meet its obligations under Regulation 4 of the PSR and Section 242 of the NHS Act 2006 by not properly consulting with GPs during the pre-procurement stage. GPs were not treated as stakeholders with critical insights into how services are delivered or how proposed changes might affect clinical practice, service safety, and workforce planning. The use of public engagement surveys from a patient perspective does not amount to meaningful consultation of GPs.</w:t>
      </w:r>
    </w:p>
    <w:p w14:paraId="22421B77" w14:textId="33607329" w:rsidR="00941EF9" w:rsidRPr="005C3F7F" w:rsidRDefault="00EE64FA" w:rsidP="00941EF9">
      <w:pPr>
        <w:pStyle w:val="ListParagraph"/>
        <w:numPr>
          <w:ilvl w:val="0"/>
          <w:numId w:val="0"/>
        </w:numPr>
        <w:spacing w:line="276" w:lineRule="auto"/>
        <w:ind w:left="851"/>
        <w:contextualSpacing w:val="0"/>
        <w:rPr>
          <w:sz w:val="21"/>
          <w:szCs w:val="21"/>
        </w:rPr>
      </w:pPr>
      <w:r>
        <w:rPr>
          <w:sz w:val="21"/>
          <w:szCs w:val="21"/>
        </w:rPr>
        <w:t>“</w:t>
      </w:r>
      <w:r w:rsidR="00941EF9" w:rsidRPr="005C3F7F">
        <w:rPr>
          <w:sz w:val="21"/>
          <w:szCs w:val="21"/>
        </w:rPr>
        <w:t xml:space="preserve">The ICB’s justification, namely an alleged conflict of interest, misunderstands the nature of market engagement. Their exclusion deprived the ICB of expert insight and undermined the legitimacy of the engagement process” (see paragraph </w:t>
      </w:r>
      <w:r w:rsidR="00941EF9" w:rsidRPr="005C3F7F">
        <w:rPr>
          <w:sz w:val="21"/>
          <w:szCs w:val="21"/>
        </w:rPr>
        <w:fldChar w:fldCharType="begin"/>
      </w:r>
      <w:r w:rsidR="00941EF9" w:rsidRPr="005C3F7F">
        <w:rPr>
          <w:sz w:val="21"/>
          <w:szCs w:val="21"/>
        </w:rPr>
        <w:instrText xml:space="preserve"> REF _Ref199399981 \r \h  \* MERGEFORMAT </w:instrText>
      </w:r>
      <w:r w:rsidR="00941EF9" w:rsidRPr="005C3F7F">
        <w:rPr>
          <w:sz w:val="21"/>
          <w:szCs w:val="21"/>
        </w:rPr>
      </w:r>
      <w:r w:rsidR="00941EF9" w:rsidRPr="005C3F7F">
        <w:rPr>
          <w:sz w:val="21"/>
          <w:szCs w:val="21"/>
        </w:rPr>
        <w:fldChar w:fldCharType="separate"/>
      </w:r>
      <w:r w:rsidR="00E5709F">
        <w:rPr>
          <w:sz w:val="21"/>
          <w:szCs w:val="21"/>
        </w:rPr>
        <w:t>28</w:t>
      </w:r>
      <w:r w:rsidR="00941EF9" w:rsidRPr="005C3F7F">
        <w:rPr>
          <w:sz w:val="21"/>
          <w:szCs w:val="21"/>
        </w:rPr>
        <w:fldChar w:fldCharType="end"/>
      </w:r>
      <w:r w:rsidR="00941EF9" w:rsidRPr="005C3F7F">
        <w:rPr>
          <w:sz w:val="21"/>
          <w:szCs w:val="21"/>
        </w:rPr>
        <w:t>).</w:t>
      </w:r>
    </w:p>
    <w:p w14:paraId="565360F6" w14:textId="2A4F57C6" w:rsidR="00321A75" w:rsidRDefault="00321A75" w:rsidP="00693E56">
      <w:pPr>
        <w:pStyle w:val="ListParagraph"/>
        <w:numPr>
          <w:ilvl w:val="0"/>
          <w:numId w:val="1"/>
        </w:numPr>
        <w:spacing w:line="276" w:lineRule="auto"/>
        <w:ind w:left="567" w:hanging="567"/>
        <w:contextualSpacing w:val="0"/>
      </w:pPr>
      <w:r w:rsidRPr="00321A75">
        <w:t xml:space="preserve">Shropdoc </w:t>
      </w:r>
      <w:r w:rsidR="00814094">
        <w:t xml:space="preserve">further </w:t>
      </w:r>
      <w:r w:rsidRPr="00321A75">
        <w:t>told the Panel that “the ICB has not addressed the exclusion of local GPs from pre-procurement engagement, even though they are frontline experts in urgent and primary care and their input is vital to designing a safe, effective service. The rationale given, that involving GPs would create a conflict of interest, is not only unconvincing but contradicts normal NHS commissioning practice”</w:t>
      </w:r>
      <w:r w:rsidR="00655146">
        <w:t>.</w:t>
      </w:r>
      <w:r w:rsidR="00DE5676">
        <w:rPr>
          <w:rStyle w:val="FootnoteReference"/>
        </w:rPr>
        <w:footnoteReference w:id="18"/>
      </w:r>
    </w:p>
    <w:p w14:paraId="48D54131" w14:textId="578B2856" w:rsidR="004E2A43" w:rsidRDefault="004E2A43" w:rsidP="004E2A43">
      <w:pPr>
        <w:pStyle w:val="ListParagraph"/>
        <w:numPr>
          <w:ilvl w:val="0"/>
          <w:numId w:val="1"/>
        </w:numPr>
        <w:spacing w:line="276" w:lineRule="auto"/>
        <w:ind w:left="567" w:hanging="567"/>
        <w:contextualSpacing w:val="0"/>
      </w:pPr>
      <w:bookmarkStart w:id="15" w:name="_Ref200626075"/>
      <w:r w:rsidRPr="00D74882">
        <w:t xml:space="preserve">STW ICB told the Panel that, as part of STW ICB’s pre-procurement engagement, GPs were invited to share feedback on their </w:t>
      </w:r>
      <w:r>
        <w:t xml:space="preserve">own </w:t>
      </w:r>
      <w:r w:rsidRPr="00D74882">
        <w:t>OOH service experiences (as professional</w:t>
      </w:r>
      <w:r>
        <w:t>s using</w:t>
      </w:r>
      <w:r w:rsidRPr="00D74882">
        <w:t xml:space="preserve"> the service) and</w:t>
      </w:r>
      <w:r>
        <w:t xml:space="preserve"> provide service</w:t>
      </w:r>
      <w:r w:rsidRPr="00D74882">
        <w:t xml:space="preserve"> improvement suggestions via a survey</w:t>
      </w:r>
      <w:r>
        <w:t>, which was “promoted widely to other providers as well as to general practice”.</w:t>
      </w:r>
      <w:r w:rsidRPr="00D74882">
        <w:rPr>
          <w:rStyle w:val="FootnoteReference"/>
        </w:rPr>
        <w:footnoteReference w:id="19"/>
      </w:r>
      <w:bookmarkEnd w:id="15"/>
      <w:r w:rsidR="0037192F">
        <w:t xml:space="preserve"> </w:t>
      </w:r>
      <w:r w:rsidR="000D09CD">
        <w:t>It also told the Panel that it had secured clinical input into the development of the service specification</w:t>
      </w:r>
      <w:r w:rsidR="009E2255">
        <w:t xml:space="preserve"> and the provider selection process from its own Chief Medical Officer, Chief Nursing Officer and Quality Nursing Lead as well as </w:t>
      </w:r>
      <w:r w:rsidR="00D1655E">
        <w:t>from a GP outside the STW area.</w:t>
      </w:r>
      <w:r w:rsidR="00407B40">
        <w:rPr>
          <w:rStyle w:val="FootnoteReference"/>
        </w:rPr>
        <w:footnoteReference w:id="20"/>
      </w:r>
    </w:p>
    <w:p w14:paraId="16DBA252" w14:textId="6904A9DA" w:rsidR="00763038" w:rsidRPr="00D74882" w:rsidRDefault="00243A5A" w:rsidP="00912BC0">
      <w:pPr>
        <w:pStyle w:val="ListParagraph"/>
        <w:numPr>
          <w:ilvl w:val="0"/>
          <w:numId w:val="1"/>
        </w:numPr>
        <w:spacing w:line="276" w:lineRule="auto"/>
        <w:ind w:left="567" w:hanging="567"/>
        <w:contextualSpacing w:val="0"/>
      </w:pPr>
      <w:r>
        <w:t>STW ICB told the Panel</w:t>
      </w:r>
      <w:r w:rsidR="009763E5">
        <w:t xml:space="preserve"> that </w:t>
      </w:r>
      <w:r w:rsidR="00770623">
        <w:t xml:space="preserve">its concerns about a </w:t>
      </w:r>
      <w:r w:rsidR="001909CC">
        <w:t>conflict of interest</w:t>
      </w:r>
      <w:r w:rsidR="009763E5">
        <w:t xml:space="preserve"> </w:t>
      </w:r>
      <w:r w:rsidR="00763038">
        <w:t xml:space="preserve">arose when it received a letter from the GP Board </w:t>
      </w:r>
      <w:r w:rsidR="005B6F12">
        <w:t xml:space="preserve">of the Local Medical Committee </w:t>
      </w:r>
      <w:r w:rsidR="00763038">
        <w:t>expressing support for Shropdoc and seemingly attempting to influence the procurement process. STW ICB made the decision that “on the grounds of fairness and transparency they [the GP Board] could not have further involvement in the process, given that they had clearly supported the incumbent provider”.</w:t>
      </w:r>
      <w:r w:rsidR="00763038">
        <w:rPr>
          <w:rStyle w:val="FootnoteReference"/>
        </w:rPr>
        <w:footnoteReference w:id="21"/>
      </w:r>
    </w:p>
    <w:p w14:paraId="1C3C6998" w14:textId="7DDA7AE0" w:rsidR="00A90E42" w:rsidRDefault="00206F0B" w:rsidP="00693E56">
      <w:pPr>
        <w:pStyle w:val="ListParagraph"/>
        <w:numPr>
          <w:ilvl w:val="0"/>
          <w:numId w:val="1"/>
        </w:numPr>
        <w:spacing w:line="276" w:lineRule="auto"/>
        <w:ind w:left="567" w:hanging="567"/>
        <w:contextualSpacing w:val="0"/>
      </w:pPr>
      <w:bookmarkStart w:id="16" w:name="_Ref200886476"/>
      <w:r>
        <w:t>The Panel, i</w:t>
      </w:r>
      <w:r w:rsidR="00424876">
        <w:t xml:space="preserve">n considering Shropdoc’s </w:t>
      </w:r>
      <w:r w:rsidR="00CE678C">
        <w:t xml:space="preserve">concerns about </w:t>
      </w:r>
      <w:r w:rsidR="00454799">
        <w:t xml:space="preserve">consultation with local GPs, </w:t>
      </w:r>
      <w:r w:rsidR="00AD5028" w:rsidRPr="00150707">
        <w:t>note</w:t>
      </w:r>
      <w:r w:rsidR="0090057C">
        <w:t>d</w:t>
      </w:r>
      <w:r w:rsidR="00AD5028" w:rsidRPr="00150707">
        <w:t xml:space="preserve"> </w:t>
      </w:r>
      <w:r w:rsidR="00AE0EA5">
        <w:t xml:space="preserve">Shropdoc’s reference to STW ICB’s compliance with its obligations under </w:t>
      </w:r>
      <w:r w:rsidR="00AD5028" w:rsidRPr="00F45DBF">
        <w:t>the NHS Act 2006</w:t>
      </w:r>
      <w:r w:rsidR="00247C2E">
        <w:t>. A</w:t>
      </w:r>
      <w:r w:rsidR="00AE0EA5">
        <w:t>ssessing compliance with th</w:t>
      </w:r>
      <w:r w:rsidR="00247C2E">
        <w:t xml:space="preserve">e NHS Act 2006 </w:t>
      </w:r>
      <w:r w:rsidR="00AD5028" w:rsidRPr="00F45DBF">
        <w:t xml:space="preserve">does not fall within </w:t>
      </w:r>
      <w:r w:rsidR="003B154D">
        <w:t xml:space="preserve">the </w:t>
      </w:r>
      <w:r w:rsidR="00AD5028" w:rsidRPr="00F45DBF">
        <w:t>scope of the Panel’s responsibilities</w:t>
      </w:r>
      <w:r w:rsidR="00247C2E">
        <w:t>, and a</w:t>
      </w:r>
      <w:r w:rsidR="00A90E42">
        <w:t>s a result, the Panel</w:t>
      </w:r>
      <w:r w:rsidR="00247C2E">
        <w:t xml:space="preserve">’s review does not address this </w:t>
      </w:r>
      <w:r w:rsidR="000E32A8">
        <w:t>matter</w:t>
      </w:r>
      <w:r w:rsidR="00AE0EA5">
        <w:t>.</w:t>
      </w:r>
      <w:bookmarkEnd w:id="16"/>
    </w:p>
    <w:p w14:paraId="0C360CA5" w14:textId="7D76D377" w:rsidR="009561D2" w:rsidRDefault="00AD796C" w:rsidP="00491DBC">
      <w:pPr>
        <w:pStyle w:val="ListParagraph"/>
        <w:numPr>
          <w:ilvl w:val="0"/>
          <w:numId w:val="1"/>
        </w:numPr>
        <w:spacing w:line="276" w:lineRule="auto"/>
        <w:ind w:left="567" w:hanging="567"/>
        <w:contextualSpacing w:val="0"/>
      </w:pPr>
      <w:bookmarkStart w:id="17" w:name="_Ref200887173"/>
      <w:r>
        <w:t xml:space="preserve">The Panel’s remit does, however, </w:t>
      </w:r>
      <w:r w:rsidR="00426ECF">
        <w:t xml:space="preserve">allow it to assess whether </w:t>
      </w:r>
      <w:r w:rsidR="00565168">
        <w:t xml:space="preserve">Shropdoc’s concerns about </w:t>
      </w:r>
      <w:r w:rsidR="00FB78CD">
        <w:t xml:space="preserve">the extent of STW ICB’s </w:t>
      </w:r>
      <w:r w:rsidR="00DB4B48">
        <w:t xml:space="preserve">consultation with local GPs </w:t>
      </w:r>
      <w:r w:rsidR="00B82510">
        <w:t xml:space="preserve">constitutes a breach of </w:t>
      </w:r>
      <w:r w:rsidR="00FB78CD">
        <w:t xml:space="preserve">the </w:t>
      </w:r>
      <w:r w:rsidR="00B82510">
        <w:t xml:space="preserve">ICB’s obligations under the PSR. </w:t>
      </w:r>
      <w:r w:rsidR="00491DBC">
        <w:t xml:space="preserve">In this regard, </w:t>
      </w:r>
      <w:r w:rsidR="006B1406">
        <w:t>t</w:t>
      </w:r>
      <w:r w:rsidR="00725B5F">
        <w:t xml:space="preserve">he Panel notes that </w:t>
      </w:r>
      <w:r w:rsidR="009561D2">
        <w:t>there are no specific obligations on commissioners in relation to stakeholder or market engagement in either the PSR regulations or statutory guidance.</w:t>
      </w:r>
    </w:p>
    <w:p w14:paraId="5E86954E" w14:textId="6849F381" w:rsidR="002234CD" w:rsidRDefault="00B125CC" w:rsidP="00E052B6">
      <w:pPr>
        <w:pStyle w:val="ListParagraph"/>
        <w:numPr>
          <w:ilvl w:val="0"/>
          <w:numId w:val="1"/>
        </w:numPr>
        <w:spacing w:line="276" w:lineRule="auto"/>
        <w:ind w:left="567" w:hanging="567"/>
        <w:contextualSpacing w:val="0"/>
      </w:pPr>
      <w:r>
        <w:t xml:space="preserve">The </w:t>
      </w:r>
      <w:r w:rsidR="00254CE7">
        <w:t xml:space="preserve">PSR </w:t>
      </w:r>
      <w:r w:rsidR="00306835">
        <w:t>statutory guidance</w:t>
      </w:r>
      <w:r w:rsidR="0091595F">
        <w:t xml:space="preserve"> </w:t>
      </w:r>
      <w:r w:rsidR="002E1365">
        <w:t xml:space="preserve">says that </w:t>
      </w:r>
      <w:r w:rsidR="000A4F3E">
        <w:t xml:space="preserve">commissioners, when following the competitive process, “will need to develop a service specification setting out the relevant authority’s </w:t>
      </w:r>
      <w:r w:rsidR="006C0EBD">
        <w:t xml:space="preserve">requirements for the service. In doing so, relevant authorities may consider </w:t>
      </w:r>
      <w:r w:rsidR="006C0EBD">
        <w:lastRenderedPageBreak/>
        <w:t>undertaking a pre-market engagement exercise”.</w:t>
      </w:r>
      <w:r w:rsidR="00E052B6">
        <w:rPr>
          <w:rStyle w:val="FootnoteReference"/>
        </w:rPr>
        <w:footnoteReference w:id="22"/>
      </w:r>
      <w:r w:rsidR="00E052B6">
        <w:t xml:space="preserve"> It also says that </w:t>
      </w:r>
      <w:r w:rsidR="00746622">
        <w:t xml:space="preserve">commissioners </w:t>
      </w:r>
      <w:r w:rsidR="009D490D">
        <w:t xml:space="preserve">“are expected to </w:t>
      </w:r>
      <w:r w:rsidR="00746622">
        <w:t xml:space="preserve">develop and maintain </w:t>
      </w:r>
      <w:r w:rsidR="009D490D">
        <w:t>sufficiently detailed</w:t>
      </w:r>
      <w:r w:rsidR="00746622">
        <w:t xml:space="preserve"> knowledge of relevant providers</w:t>
      </w:r>
      <w:r w:rsidR="00EE0AC6">
        <w:t>,</w:t>
      </w:r>
      <w:r w:rsidR="008973F3">
        <w:t xml:space="preserve"> </w:t>
      </w:r>
      <w:r w:rsidR="00EE0AC6">
        <w:t>i</w:t>
      </w:r>
      <w:r w:rsidR="008973F3">
        <w:t>ncluding an understanding of their ability to deliver services”.</w:t>
      </w:r>
      <w:r w:rsidR="00EE0AC6">
        <w:rPr>
          <w:rStyle w:val="FootnoteReference"/>
        </w:rPr>
        <w:footnoteReference w:id="23"/>
      </w:r>
      <w:r w:rsidR="00254CE7">
        <w:t xml:space="preserve"> </w:t>
      </w:r>
      <w:r w:rsidR="00953FB9">
        <w:t>The Panel notes that there is no absolute requirement to carry out pre-market engagement</w:t>
      </w:r>
      <w:r w:rsidR="00F13518">
        <w:t xml:space="preserve">, and </w:t>
      </w:r>
      <w:r w:rsidR="00027BE7">
        <w:t xml:space="preserve">that </w:t>
      </w:r>
      <w:r w:rsidR="00F20496">
        <w:t xml:space="preserve">commissioners are able to </w:t>
      </w:r>
      <w:r w:rsidR="007D641F">
        <w:t>develop and maintain their knowledge of providers in a variety of ways</w:t>
      </w:r>
      <w:r w:rsidR="00F13518">
        <w:t>. A</w:t>
      </w:r>
      <w:r w:rsidR="009F200E">
        <w:t>s a result</w:t>
      </w:r>
      <w:r w:rsidR="00F13518">
        <w:t>, the Panel’s view is that</w:t>
      </w:r>
      <w:r w:rsidR="009F200E">
        <w:t xml:space="preserve"> </w:t>
      </w:r>
      <w:r w:rsidR="00B85B23">
        <w:t>th</w:t>
      </w:r>
      <w:r w:rsidR="009C5505">
        <w:t>e PSR statutory guidance</w:t>
      </w:r>
      <w:r w:rsidR="00B85B23">
        <w:t xml:space="preserve"> cannot be interpreted as</w:t>
      </w:r>
      <w:r w:rsidR="009A7FDC">
        <w:t xml:space="preserve"> placing</w:t>
      </w:r>
      <w:r w:rsidR="00B85B23">
        <w:t xml:space="preserve"> an obligation </w:t>
      </w:r>
      <w:r w:rsidR="009A7FDC">
        <w:t xml:space="preserve">on commissioners </w:t>
      </w:r>
      <w:r w:rsidR="00703295">
        <w:t xml:space="preserve">to carry out </w:t>
      </w:r>
      <w:r w:rsidR="00011172">
        <w:t>pre-procurement consultation</w:t>
      </w:r>
      <w:r w:rsidR="00703295">
        <w:t>s</w:t>
      </w:r>
      <w:r w:rsidR="003F5D2B">
        <w:t>.</w:t>
      </w:r>
      <w:bookmarkEnd w:id="17"/>
    </w:p>
    <w:p w14:paraId="7AD266AE" w14:textId="32F90309" w:rsidR="00A957E2" w:rsidRDefault="00CA2A66">
      <w:pPr>
        <w:pStyle w:val="ListParagraph"/>
        <w:numPr>
          <w:ilvl w:val="0"/>
          <w:numId w:val="1"/>
        </w:numPr>
        <w:spacing w:line="276" w:lineRule="auto"/>
        <w:ind w:left="567" w:hanging="567"/>
        <w:contextualSpacing w:val="0"/>
      </w:pPr>
      <w:r>
        <w:t xml:space="preserve">There are further, more general, obligations on commissioners under PSR </w:t>
      </w:r>
      <w:r w:rsidR="00232EE0">
        <w:t>R</w:t>
      </w:r>
      <w:r w:rsidR="000E17BA">
        <w:t>egulation</w:t>
      </w:r>
      <w:r w:rsidR="00027527">
        <w:t> </w:t>
      </w:r>
      <w:r w:rsidR="000E17BA">
        <w:t xml:space="preserve">4, </w:t>
      </w:r>
      <w:r>
        <w:t>which</w:t>
      </w:r>
      <w:r w:rsidR="000E17BA">
        <w:t xml:space="preserve"> places a general obligation on commissioners when carrying out provider selection processes </w:t>
      </w:r>
      <w:r w:rsidR="00A957E2">
        <w:t>to “</w:t>
      </w:r>
      <w:r w:rsidR="00A957E2" w:rsidRPr="00FF165B">
        <w:t>act: (</w:t>
      </w:r>
      <w:r w:rsidR="00A957E2">
        <w:t>a</w:t>
      </w:r>
      <w:r w:rsidR="00A957E2" w:rsidRPr="00FF165B">
        <w:t xml:space="preserve">) </w:t>
      </w:r>
      <w:r w:rsidR="00702E47">
        <w:t>with</w:t>
      </w:r>
      <w:r w:rsidR="00A957E2" w:rsidRPr="00FF165B">
        <w:t xml:space="preserve"> a view to – (i) securing the needs of people who use the services; (ii) improving the quality of the services; and (iii) improving efficiency in the provision of the services; and (b) transparently, fairly and proportionately”</w:t>
      </w:r>
      <w:r w:rsidR="00A957E2">
        <w:t>.</w:t>
      </w:r>
    </w:p>
    <w:p w14:paraId="6308A417" w14:textId="501F5789" w:rsidR="00887856" w:rsidRDefault="008F6DC4" w:rsidP="002A7F5B">
      <w:pPr>
        <w:pStyle w:val="ListParagraph"/>
        <w:numPr>
          <w:ilvl w:val="0"/>
          <w:numId w:val="1"/>
        </w:numPr>
        <w:spacing w:line="276" w:lineRule="auto"/>
        <w:ind w:left="567" w:hanging="567"/>
        <w:contextualSpacing w:val="0"/>
      </w:pPr>
      <w:r>
        <w:t>The Panel</w:t>
      </w:r>
      <w:r w:rsidR="00F57695">
        <w:t xml:space="preserve">’s view is </w:t>
      </w:r>
      <w:r>
        <w:t xml:space="preserve">that </w:t>
      </w:r>
      <w:r w:rsidR="00887856">
        <w:t xml:space="preserve">Shropdoc’s concerns about pre-procurement consultation with GPs </w:t>
      </w:r>
      <w:r w:rsidR="002E4F5C">
        <w:t xml:space="preserve">are </w:t>
      </w:r>
      <w:r w:rsidR="00F57695">
        <w:t xml:space="preserve">not </w:t>
      </w:r>
      <w:r w:rsidR="002E4F5C">
        <w:t xml:space="preserve">sufficient to call into question </w:t>
      </w:r>
      <w:r w:rsidR="006423C4">
        <w:t xml:space="preserve">STW ICB’s compliance with the general obligations set out in </w:t>
      </w:r>
      <w:r w:rsidR="00915BD2">
        <w:t>R</w:t>
      </w:r>
      <w:r w:rsidR="006423C4">
        <w:t xml:space="preserve">egulation 4. </w:t>
      </w:r>
      <w:r w:rsidR="00756C1C">
        <w:t xml:space="preserve">The Panel considers that STW ICB took reasonable steps </w:t>
      </w:r>
      <w:r w:rsidR="00CD5B3F">
        <w:t>once</w:t>
      </w:r>
      <w:r w:rsidR="00756C1C">
        <w:t xml:space="preserve"> conflict of interest concer</w:t>
      </w:r>
      <w:r w:rsidR="00210937">
        <w:t xml:space="preserve">ns about </w:t>
      </w:r>
      <w:r w:rsidR="00756C1C">
        <w:t xml:space="preserve">local GP participation in the procurement process </w:t>
      </w:r>
      <w:r w:rsidR="00210937">
        <w:t xml:space="preserve">arose </w:t>
      </w:r>
      <w:r w:rsidR="00756C1C">
        <w:t>to ensure that it had sufficient clinical input into its provider selection process.</w:t>
      </w:r>
      <w:r w:rsidR="00563384">
        <w:t xml:space="preserve"> The Panel also considers that </w:t>
      </w:r>
      <w:r w:rsidR="00AF2AF7">
        <w:t>Shropdoc’s concerns about pre-procurement consultation with GPs</w:t>
      </w:r>
      <w:r w:rsidR="00DF5B4B">
        <w:t xml:space="preserve"> did not affect </w:t>
      </w:r>
      <w:r w:rsidR="007F20E6">
        <w:t>STW ICB’s ability to conduct its provider selection process transparently, fairly and proportionately.</w:t>
      </w:r>
    </w:p>
    <w:p w14:paraId="6AED02EC" w14:textId="198EB28C" w:rsidR="008F6DC4" w:rsidRDefault="0078421F" w:rsidP="002A7F5B">
      <w:pPr>
        <w:pStyle w:val="ListParagraph"/>
        <w:numPr>
          <w:ilvl w:val="0"/>
          <w:numId w:val="1"/>
        </w:numPr>
        <w:spacing w:line="276" w:lineRule="auto"/>
        <w:ind w:left="567" w:hanging="567"/>
        <w:contextualSpacing w:val="0"/>
      </w:pPr>
      <w:r>
        <w:t xml:space="preserve">As a result, the Panel finds that </w:t>
      </w:r>
      <w:r w:rsidR="00F64205">
        <w:t xml:space="preserve">STW ICB, </w:t>
      </w:r>
      <w:r w:rsidR="00886099">
        <w:t xml:space="preserve">in </w:t>
      </w:r>
      <w:r w:rsidR="00F64205">
        <w:t>conducting pre-procurement consultations,</w:t>
      </w:r>
      <w:r w:rsidR="00886099">
        <w:t xml:space="preserve"> did not breach </w:t>
      </w:r>
      <w:r w:rsidR="00A1227D">
        <w:t xml:space="preserve">its obligations under Regulation 4, </w:t>
      </w:r>
      <w:r w:rsidR="00886099">
        <w:t xml:space="preserve">and in particular </w:t>
      </w:r>
      <w:r w:rsidR="00A1227D">
        <w:t>its obligation to secure the needs of people who use the services, improve the quality of services and improve efficiency in the provision of services</w:t>
      </w:r>
      <w:r w:rsidR="00073166">
        <w:t>, and its obligation to act transparently, fairly and proportionately</w:t>
      </w:r>
      <w:r w:rsidR="00DD1067">
        <w:t>.</w:t>
      </w:r>
    </w:p>
    <w:p w14:paraId="4A83075A" w14:textId="201A567A" w:rsidR="00140384" w:rsidRPr="00C260FE" w:rsidRDefault="00140384" w:rsidP="00140384">
      <w:pPr>
        <w:keepNext/>
        <w:spacing w:before="240" w:line="276" w:lineRule="auto"/>
        <w:rPr>
          <w:b/>
          <w:bCs/>
        </w:rPr>
      </w:pPr>
      <w:r>
        <w:rPr>
          <w:b/>
          <w:bCs/>
        </w:rPr>
        <w:t>7.1.2 Inclusion of the CCCSPA service in the procurement</w:t>
      </w:r>
    </w:p>
    <w:p w14:paraId="1FBDF16C" w14:textId="44D0376C" w:rsidR="00140384" w:rsidRDefault="00140384" w:rsidP="00A34237">
      <w:pPr>
        <w:pStyle w:val="ListParagraph"/>
        <w:numPr>
          <w:ilvl w:val="0"/>
          <w:numId w:val="1"/>
        </w:numPr>
        <w:spacing w:after="120" w:line="276" w:lineRule="auto"/>
        <w:ind w:left="567" w:hanging="567"/>
        <w:contextualSpacing w:val="0"/>
      </w:pPr>
      <w:r>
        <w:t>Shropdoc</w:t>
      </w:r>
      <w:r w:rsidR="00A92451">
        <w:t xml:space="preserve">, in its representations, raised concerns about the inclusion of the CCCSPA service in the </w:t>
      </w:r>
      <w:r w:rsidR="00583A39">
        <w:t xml:space="preserve">contract given that this service was not included in the Prior Information Notice </w:t>
      </w:r>
      <w:r w:rsidR="00A34237">
        <w:t xml:space="preserve">published on 28 August 2024. </w:t>
      </w:r>
      <w:r>
        <w:t>In its representations to STW ICB, Shropdoc said that:</w:t>
      </w:r>
    </w:p>
    <w:p w14:paraId="54E37B06" w14:textId="302A044C" w:rsidR="00140384" w:rsidRPr="00CA72FA" w:rsidRDefault="00140384" w:rsidP="00140384">
      <w:pPr>
        <w:pStyle w:val="ListParagraph"/>
        <w:numPr>
          <w:ilvl w:val="0"/>
          <w:numId w:val="0"/>
        </w:numPr>
        <w:spacing w:line="276" w:lineRule="auto"/>
        <w:ind w:left="851"/>
        <w:contextualSpacing w:val="0"/>
        <w:rPr>
          <w:sz w:val="21"/>
          <w:szCs w:val="21"/>
        </w:rPr>
      </w:pPr>
      <w:r w:rsidRPr="00CA72FA">
        <w:rPr>
          <w:sz w:val="21"/>
          <w:szCs w:val="21"/>
        </w:rPr>
        <w:t xml:space="preserve">“A PIN [Prior Information Notice] … was published on 28 August 2024, and outlined three services with a combined financial envelope of £30 million under CPV code 85121100 (General Practitioner Services). Notably, the Care Coordination Centre Single Point of Access (“CCCSPA”) service was not mentioned in this notice. However, during the Market Engagement Event on 13 September 2024, the CCCSPA service was introduced, and the financial envelope was increased to £36 million. This substantial alteration in the scope and budget was a significant change to the scope of the Procurement, yet the ICB failed to properly re-engage with the market to reflect this </w:t>
      </w:r>
      <w:r w:rsidRPr="00CA72FA">
        <w:rPr>
          <w:sz w:val="21"/>
          <w:szCs w:val="21"/>
        </w:rPr>
        <w:lastRenderedPageBreak/>
        <w:t>updated position, meaning that potential providers who had reviewed the original PIN may not have been given a fair opportunity to express interest or prepare accordingly.”</w:t>
      </w:r>
      <w:r w:rsidRPr="00CA72FA">
        <w:rPr>
          <w:rStyle w:val="FootnoteReference"/>
          <w:sz w:val="21"/>
          <w:szCs w:val="21"/>
        </w:rPr>
        <w:footnoteReference w:id="24"/>
      </w:r>
    </w:p>
    <w:p w14:paraId="35F37743" w14:textId="50BB7359" w:rsidR="00140384" w:rsidRDefault="00E96874" w:rsidP="00560E9C">
      <w:pPr>
        <w:pStyle w:val="ListParagraph"/>
        <w:numPr>
          <w:ilvl w:val="0"/>
          <w:numId w:val="1"/>
        </w:numPr>
        <w:spacing w:line="276" w:lineRule="auto"/>
        <w:ind w:left="567" w:hanging="567"/>
        <w:contextualSpacing w:val="0"/>
      </w:pPr>
      <w:r>
        <w:t>STW ICB, i</w:t>
      </w:r>
      <w:r w:rsidR="00140384">
        <w:t>n respon</w:t>
      </w:r>
      <w:r>
        <w:t>ding to Shropdoc’s</w:t>
      </w:r>
      <w:r w:rsidR="00140384">
        <w:t xml:space="preserve"> concerns, </w:t>
      </w:r>
      <w:r>
        <w:t>said</w:t>
      </w:r>
      <w:r w:rsidR="00140384">
        <w:t xml:space="preserve"> that</w:t>
      </w:r>
      <w:r w:rsidR="00F62282">
        <w:t xml:space="preserve"> </w:t>
      </w:r>
      <w:r w:rsidR="00F62282" w:rsidRPr="00560E9C">
        <w:t>“the PIN clearly stated that … ‘All details provided by the STW ICB are in draft format, and the STW ICB reserves the right to change/amend any aspect of its requirement prior to any potential future procurement exercise’”</w:t>
      </w:r>
      <w:r w:rsidR="00DD7783">
        <w:t xml:space="preserve">. It went on to say that the market engagement presentation </w:t>
      </w:r>
      <w:r w:rsidR="00506C29">
        <w:t>“</w:t>
      </w:r>
      <w:r w:rsidR="00506C29" w:rsidRPr="00560E9C">
        <w:t>outlined all four elements of the contract to be procured, including CCCSPA, and the revised indicative contract value of £36m over five years”</w:t>
      </w:r>
      <w:r w:rsidR="00506C29">
        <w:t>.</w:t>
      </w:r>
      <w:r w:rsidR="00506C29" w:rsidRPr="00F77E49">
        <w:rPr>
          <w:rStyle w:val="FootnoteReference"/>
        </w:rPr>
        <w:footnoteReference w:id="25"/>
      </w:r>
    </w:p>
    <w:p w14:paraId="6B982857" w14:textId="22C4AC1E" w:rsidR="00140384" w:rsidRPr="005A6966" w:rsidRDefault="002975FC" w:rsidP="00560E9C">
      <w:pPr>
        <w:pStyle w:val="ListParagraph"/>
        <w:numPr>
          <w:ilvl w:val="0"/>
          <w:numId w:val="1"/>
        </w:numPr>
        <w:spacing w:line="276" w:lineRule="auto"/>
        <w:ind w:left="567" w:hanging="567"/>
        <w:contextualSpacing w:val="0"/>
      </w:pPr>
      <w:r>
        <w:t xml:space="preserve">The Panel notes that there is no requirement on commissioners to publish a Prior Information Notice. </w:t>
      </w:r>
      <w:r w:rsidR="00140384" w:rsidRPr="005A6966">
        <w:t xml:space="preserve">The PSR </w:t>
      </w:r>
      <w:r w:rsidR="002E2E09">
        <w:t>s</w:t>
      </w:r>
      <w:r w:rsidR="00140384" w:rsidRPr="005A6966">
        <w:t xml:space="preserve">tatutory </w:t>
      </w:r>
      <w:r w:rsidR="002E2E09">
        <w:t>g</w:t>
      </w:r>
      <w:r w:rsidR="00140384" w:rsidRPr="005A6966">
        <w:t>uidance states that whe</w:t>
      </w:r>
      <w:r w:rsidR="007477F0">
        <w:t xml:space="preserve">re a commissioner </w:t>
      </w:r>
      <w:r w:rsidR="00140384" w:rsidRPr="005A6966">
        <w:t xml:space="preserve">has decided to follow the competitive process, “it </w:t>
      </w:r>
      <w:r w:rsidR="00140384" w:rsidRPr="0002075B">
        <w:rPr>
          <w:i/>
          <w:iCs/>
        </w:rPr>
        <w:t>may</w:t>
      </w:r>
      <w:r w:rsidR="00140384" w:rsidRPr="005A6966">
        <w:t xml:space="preserve"> also publish a prior information notice (PIN) in advance of the notice of a competitive tender opportunity</w:t>
      </w:r>
      <w:r w:rsidR="0002075B">
        <w:t>”</w:t>
      </w:r>
      <w:r w:rsidR="00140384" w:rsidRPr="005A6966">
        <w:t xml:space="preserve"> [emphasis added]</w:t>
      </w:r>
      <w:r w:rsidR="00140384">
        <w:t>.</w:t>
      </w:r>
      <w:r w:rsidR="0002075B">
        <w:t xml:space="preserve"> </w:t>
      </w:r>
      <w:r w:rsidR="00140384">
        <w:t xml:space="preserve">It </w:t>
      </w:r>
      <w:r w:rsidR="0002075B">
        <w:t xml:space="preserve">goes on to say </w:t>
      </w:r>
      <w:r w:rsidR="00140384">
        <w:t>that “i</w:t>
      </w:r>
      <w:r w:rsidR="00140384" w:rsidRPr="005A6966">
        <w:t>f publishing a PIN, relevant authorities are advised to include details of the service required, the proposed contract length and any proposed provision for extension or early termination, and any other matters (known or anticipated) that are likely to be of interest to prospective providers”.</w:t>
      </w:r>
      <w:r w:rsidR="00140384" w:rsidRPr="005A6966">
        <w:rPr>
          <w:rStyle w:val="FootnoteReference"/>
        </w:rPr>
        <w:footnoteReference w:id="26"/>
      </w:r>
    </w:p>
    <w:p w14:paraId="42453B07" w14:textId="4E621799" w:rsidR="00C27F99" w:rsidRDefault="00F1213F">
      <w:pPr>
        <w:pStyle w:val="ListParagraph"/>
        <w:numPr>
          <w:ilvl w:val="0"/>
          <w:numId w:val="1"/>
        </w:numPr>
        <w:spacing w:line="276" w:lineRule="auto"/>
        <w:ind w:left="567" w:hanging="567"/>
        <w:contextualSpacing w:val="0"/>
      </w:pPr>
      <w:r>
        <w:t xml:space="preserve">The </w:t>
      </w:r>
      <w:r w:rsidR="00934BA7">
        <w:t>Panel</w:t>
      </w:r>
      <w:r w:rsidR="00523EBA">
        <w:t xml:space="preserve">’s view is </w:t>
      </w:r>
      <w:r w:rsidR="00934BA7">
        <w:t xml:space="preserve">that the content of the PIN was sufficiently clear about the provisional </w:t>
      </w:r>
      <w:r w:rsidR="00CA3B7B">
        <w:t xml:space="preserve">nature of the contract’s </w:t>
      </w:r>
      <w:r w:rsidR="002A0295">
        <w:t>scope</w:t>
      </w:r>
      <w:r w:rsidR="008F3241">
        <w:t xml:space="preserve">. </w:t>
      </w:r>
      <w:r w:rsidR="00B60302">
        <w:t xml:space="preserve">The Panel considers </w:t>
      </w:r>
      <w:r w:rsidR="00CA3B7B">
        <w:t xml:space="preserve">that </w:t>
      </w:r>
      <w:r w:rsidR="00FD192C">
        <w:t xml:space="preserve">it </w:t>
      </w:r>
      <w:r w:rsidR="00C0149D">
        <w:t xml:space="preserve">is highly </w:t>
      </w:r>
      <w:r w:rsidR="00FD192C">
        <w:t xml:space="preserve">unlikely </w:t>
      </w:r>
      <w:r w:rsidR="00C0149D">
        <w:t>that</w:t>
      </w:r>
      <w:r w:rsidR="007370A0">
        <w:t xml:space="preserve"> there were</w:t>
      </w:r>
      <w:r w:rsidR="00C0149D">
        <w:t xml:space="preserve"> </w:t>
      </w:r>
      <w:r w:rsidR="00C27F99">
        <w:t>potential providers w</w:t>
      </w:r>
      <w:r w:rsidR="007370A0">
        <w:t xml:space="preserve">ho </w:t>
      </w:r>
      <w:r w:rsidR="00475B23">
        <w:t xml:space="preserve">were disadvantaged by </w:t>
      </w:r>
      <w:r w:rsidR="00CE7873">
        <w:t xml:space="preserve">the omission of the </w:t>
      </w:r>
      <w:r w:rsidR="00502D71">
        <w:t>CCCSPA from the PIN</w:t>
      </w:r>
      <w:r w:rsidR="00977839">
        <w:t xml:space="preserve"> (i.e. potential providers who decided not to attend the market engagement event </w:t>
      </w:r>
      <w:r w:rsidR="00B70280">
        <w:t xml:space="preserve">but might </w:t>
      </w:r>
      <w:r w:rsidR="00977839">
        <w:t xml:space="preserve">otherwise have </w:t>
      </w:r>
      <w:r w:rsidR="00B70280">
        <w:t xml:space="preserve">attended </w:t>
      </w:r>
      <w:r w:rsidR="00977839">
        <w:t>if the CCCSPA had been included in the PIN)</w:t>
      </w:r>
      <w:r w:rsidR="00502D71">
        <w:t>.</w:t>
      </w:r>
    </w:p>
    <w:p w14:paraId="2DC385A5" w14:textId="38C68213" w:rsidR="00DB32AE" w:rsidRDefault="00DB32AE" w:rsidP="006D3044">
      <w:pPr>
        <w:pStyle w:val="ListParagraph"/>
        <w:numPr>
          <w:ilvl w:val="0"/>
          <w:numId w:val="1"/>
        </w:numPr>
        <w:spacing w:line="276" w:lineRule="auto"/>
        <w:ind w:left="567" w:hanging="567"/>
        <w:contextualSpacing w:val="0"/>
      </w:pPr>
      <w:r>
        <w:t xml:space="preserve">As a result, the Panel finds that </w:t>
      </w:r>
      <w:r w:rsidR="001F0245">
        <w:t xml:space="preserve">STW ICB, in not including the CCCSPA service in the </w:t>
      </w:r>
      <w:r w:rsidR="005C26C4">
        <w:t>Prior Information Notice</w:t>
      </w:r>
      <w:r w:rsidR="001F0245">
        <w:t xml:space="preserve">, did not breach the PSR regulations, </w:t>
      </w:r>
      <w:r w:rsidR="00E40F5D">
        <w:t xml:space="preserve">and in particular </w:t>
      </w:r>
      <w:r w:rsidR="001F0245">
        <w:t>its obligation under Regulation 4 to act fairly.</w:t>
      </w:r>
    </w:p>
    <w:p w14:paraId="7CC94EF3" w14:textId="457524A7" w:rsidR="00491204" w:rsidRPr="00184DF7" w:rsidRDefault="00184DF7" w:rsidP="00491204">
      <w:pPr>
        <w:keepNext/>
        <w:spacing w:before="240" w:line="23" w:lineRule="atLeast"/>
        <w:rPr>
          <w:b/>
          <w:bCs/>
        </w:rPr>
      </w:pPr>
      <w:r w:rsidRPr="00560E9C">
        <w:rPr>
          <w:b/>
          <w:bCs/>
        </w:rPr>
        <w:t>7.1.</w:t>
      </w:r>
      <w:r w:rsidR="005B0447">
        <w:rPr>
          <w:b/>
          <w:bCs/>
        </w:rPr>
        <w:t>3</w:t>
      </w:r>
      <w:r w:rsidRPr="00122B5F">
        <w:rPr>
          <w:b/>
          <w:bCs/>
        </w:rPr>
        <w:t xml:space="preserve"> </w:t>
      </w:r>
      <w:r w:rsidR="00716AB1" w:rsidRPr="00184DF7">
        <w:rPr>
          <w:b/>
          <w:bCs/>
        </w:rPr>
        <w:t xml:space="preserve">Service user </w:t>
      </w:r>
      <w:r w:rsidR="00652E4D">
        <w:rPr>
          <w:b/>
          <w:bCs/>
        </w:rPr>
        <w:t>consultation in relation to the CCCSPA service</w:t>
      </w:r>
    </w:p>
    <w:p w14:paraId="2DCA4A54" w14:textId="55F9CA6C" w:rsidR="00A84522" w:rsidRDefault="003E1E1B" w:rsidP="00122B5F">
      <w:pPr>
        <w:pStyle w:val="ListParagraph"/>
        <w:numPr>
          <w:ilvl w:val="0"/>
          <w:numId w:val="1"/>
        </w:numPr>
        <w:spacing w:after="120" w:line="276" w:lineRule="auto"/>
        <w:ind w:left="567" w:hanging="567"/>
        <w:contextualSpacing w:val="0"/>
      </w:pPr>
      <w:bookmarkStart w:id="18" w:name="_Ref200886728"/>
      <w:r>
        <w:t xml:space="preserve">Shropdoc, in its representations to STW ICB, raised </w:t>
      </w:r>
      <w:r w:rsidR="00242073">
        <w:t>concerns about consultation with users of the CCCSPA service</w:t>
      </w:r>
      <w:r w:rsidR="00CF69D2">
        <w:t xml:space="preserve"> prior to the provider selection process. Shropdoc said that</w:t>
      </w:r>
      <w:r w:rsidR="003D0B26">
        <w:t>:</w:t>
      </w:r>
      <w:bookmarkEnd w:id="18"/>
    </w:p>
    <w:p w14:paraId="4612DB9A" w14:textId="3E90C45C" w:rsidR="00061C81" w:rsidRPr="005A6450" w:rsidRDefault="00061C81" w:rsidP="00061C81">
      <w:pPr>
        <w:pStyle w:val="ListParagraph"/>
        <w:numPr>
          <w:ilvl w:val="0"/>
          <w:numId w:val="0"/>
        </w:numPr>
        <w:spacing w:line="276" w:lineRule="auto"/>
        <w:ind w:left="851"/>
        <w:contextualSpacing w:val="0"/>
        <w:rPr>
          <w:sz w:val="21"/>
          <w:szCs w:val="21"/>
        </w:rPr>
      </w:pPr>
      <w:r w:rsidRPr="005A6450">
        <w:rPr>
          <w:sz w:val="21"/>
          <w:szCs w:val="21"/>
        </w:rPr>
        <w:t>“the ICB’s failure to consult properly on the CCCSPA, which are fundamental components of the procured service, indicates a failure to comply with these statutory duties</w:t>
      </w:r>
      <w:r w:rsidR="00E0558B">
        <w:rPr>
          <w:sz w:val="21"/>
          <w:szCs w:val="21"/>
        </w:rPr>
        <w:t xml:space="preserve"> [referring to the NHS Act 2006 and the principles of fairness, transparency and proportionality in the PSR]</w:t>
      </w:r>
      <w:r w:rsidRPr="005A6450">
        <w:rPr>
          <w:sz w:val="21"/>
          <w:szCs w:val="21"/>
        </w:rPr>
        <w:t>. The fact that these elements were not referenced in the engagement survey carried out between 27 August and 15 September 2024, prior to the commencement of the Procurement, and subsequently the findings published in September 2024, strongly suggests that the local people and users of the service, were not given a genuine opportunity to provide meaningful input on the design of the service. As such, the market engagement exercise was deficient and did not meet the ICB’s requirements in this regard.</w:t>
      </w:r>
      <w:r>
        <w:rPr>
          <w:sz w:val="21"/>
          <w:szCs w:val="21"/>
        </w:rPr>
        <w:t>”</w:t>
      </w:r>
      <w:r>
        <w:rPr>
          <w:rStyle w:val="FootnoteReference"/>
        </w:rPr>
        <w:footnoteReference w:id="27"/>
      </w:r>
    </w:p>
    <w:p w14:paraId="130EB07C" w14:textId="59263E34" w:rsidR="00491204" w:rsidRPr="00307CE2" w:rsidRDefault="00785F69" w:rsidP="00693E56">
      <w:pPr>
        <w:pStyle w:val="ListParagraph"/>
        <w:numPr>
          <w:ilvl w:val="0"/>
          <w:numId w:val="1"/>
        </w:numPr>
        <w:spacing w:after="120" w:line="276" w:lineRule="auto"/>
        <w:ind w:left="567" w:hanging="567"/>
        <w:contextualSpacing w:val="0"/>
      </w:pPr>
      <w:r>
        <w:t>In responding to Shropdoc’s concerns</w:t>
      </w:r>
      <w:r w:rsidR="00887BC3">
        <w:t xml:space="preserve">, </w:t>
      </w:r>
      <w:bookmarkStart w:id="19" w:name="_Ref200621914"/>
      <w:r w:rsidR="00535E58">
        <w:t>STW ICB</w:t>
      </w:r>
      <w:r w:rsidR="00370109" w:rsidRPr="006E6366">
        <w:t xml:space="preserve"> </w:t>
      </w:r>
      <w:r>
        <w:t>said</w:t>
      </w:r>
      <w:r w:rsidR="00370109" w:rsidRPr="006E6366">
        <w:t xml:space="preserve"> that</w:t>
      </w:r>
      <w:r w:rsidR="00535E58">
        <w:t>:</w:t>
      </w:r>
      <w:bookmarkEnd w:id="19"/>
    </w:p>
    <w:p w14:paraId="35955047" w14:textId="63C34C47" w:rsidR="00491204" w:rsidRPr="00166D27" w:rsidRDefault="00491204" w:rsidP="00491204">
      <w:pPr>
        <w:pStyle w:val="ListParagraph"/>
        <w:numPr>
          <w:ilvl w:val="0"/>
          <w:numId w:val="0"/>
        </w:numPr>
        <w:spacing w:line="276" w:lineRule="auto"/>
        <w:ind w:left="851"/>
        <w:contextualSpacing w:val="0"/>
        <w:rPr>
          <w:sz w:val="21"/>
          <w:szCs w:val="21"/>
        </w:rPr>
      </w:pPr>
      <w:r w:rsidRPr="00166D27">
        <w:rPr>
          <w:sz w:val="21"/>
          <w:szCs w:val="21"/>
        </w:rPr>
        <w:lastRenderedPageBreak/>
        <w:t>“there was no legal requirement for consultation and that patient/public engagement was not required as this service [CCSPA] is not patient facing. It is a clinician to clinician service and there had not been any changes in terms of the requirements within the specification which would lead to any substantive change”.</w:t>
      </w:r>
      <w:r w:rsidRPr="00166D27">
        <w:rPr>
          <w:rStyle w:val="FootnoteReference"/>
          <w:sz w:val="21"/>
          <w:szCs w:val="21"/>
        </w:rPr>
        <w:footnoteReference w:id="28"/>
      </w:r>
    </w:p>
    <w:p w14:paraId="255674BC" w14:textId="6FE90EDB" w:rsidR="00E377A8" w:rsidRDefault="00E377A8" w:rsidP="009313C4">
      <w:pPr>
        <w:pStyle w:val="ListParagraph"/>
        <w:numPr>
          <w:ilvl w:val="0"/>
          <w:numId w:val="1"/>
        </w:numPr>
        <w:spacing w:after="120" w:line="276" w:lineRule="auto"/>
        <w:ind w:left="567" w:hanging="567"/>
        <w:contextualSpacing w:val="0"/>
      </w:pPr>
      <w:r w:rsidRPr="00B40DFA">
        <w:t>Shropdoc</w:t>
      </w:r>
      <w:r w:rsidR="00A46950">
        <w:t xml:space="preserve"> subsequently told </w:t>
      </w:r>
      <w:r w:rsidR="00F8534C">
        <w:t>the Panel</w:t>
      </w:r>
      <w:r w:rsidR="00A46950">
        <w:t xml:space="preserve"> </w:t>
      </w:r>
      <w:r w:rsidRPr="00B40DFA">
        <w:t>that</w:t>
      </w:r>
      <w:r>
        <w:t>:</w:t>
      </w:r>
    </w:p>
    <w:p w14:paraId="00C906B3" w14:textId="2E522ECE" w:rsidR="00E377A8" w:rsidRPr="00166D27" w:rsidRDefault="00E377A8" w:rsidP="00E377A8">
      <w:pPr>
        <w:pStyle w:val="ListParagraph"/>
        <w:numPr>
          <w:ilvl w:val="0"/>
          <w:numId w:val="0"/>
        </w:numPr>
        <w:spacing w:line="276" w:lineRule="auto"/>
        <w:ind w:left="851"/>
        <w:contextualSpacing w:val="0"/>
        <w:rPr>
          <w:sz w:val="21"/>
          <w:szCs w:val="21"/>
        </w:rPr>
      </w:pPr>
      <w:r w:rsidRPr="00166D27">
        <w:rPr>
          <w:sz w:val="21"/>
          <w:szCs w:val="21"/>
        </w:rPr>
        <w:t>“the assertion that the CCCSPA service [Care Coordination Centre Single Point of Access] is not ‘patient-facing’ to justify lack of consultation is demonstrably incorrect. The Single Point of Access component involves direct triage and clinical engagement with patients. This failure in engagement reflects a misunderstanding of the services being procured and a breach of Section 242 of the NHS Act and Regulation 4 of the PSR, which require relevant authorities to act transparently and with a view to securing the needs of service users.”</w:t>
      </w:r>
      <w:r w:rsidRPr="00166D27">
        <w:rPr>
          <w:rStyle w:val="FootnoteReference"/>
          <w:sz w:val="21"/>
          <w:szCs w:val="21"/>
        </w:rPr>
        <w:footnoteReference w:id="29"/>
      </w:r>
    </w:p>
    <w:p w14:paraId="3C35755B" w14:textId="13D9A928" w:rsidR="00491204" w:rsidRDefault="007677AF" w:rsidP="003D7292">
      <w:pPr>
        <w:pStyle w:val="ListParagraph"/>
        <w:numPr>
          <w:ilvl w:val="0"/>
          <w:numId w:val="1"/>
        </w:numPr>
        <w:spacing w:after="120" w:line="276" w:lineRule="auto"/>
        <w:ind w:left="567" w:hanging="567"/>
        <w:contextualSpacing w:val="0"/>
      </w:pPr>
      <w:r>
        <w:t>STW ICB</w:t>
      </w:r>
      <w:r w:rsidR="008F2B10">
        <w:t>, however,</w:t>
      </w:r>
      <w:r>
        <w:t xml:space="preserve"> told the Panel that </w:t>
      </w:r>
      <w:r w:rsidR="00F222DF">
        <w:t>the CCCSPA is</w:t>
      </w:r>
      <w:r w:rsidR="009B3B92">
        <w:t xml:space="preserve"> “clinical facing and effectively provides a navigation and streamlining process to all of our local available services”</w:t>
      </w:r>
      <w:r w:rsidR="0055204E">
        <w:t xml:space="preserve"> </w:t>
      </w:r>
      <w:r w:rsidR="007B6C63">
        <w:t>and is</w:t>
      </w:r>
      <w:r w:rsidR="006D0860">
        <w:t xml:space="preserve"> accessed by healthcare professionals </w:t>
      </w:r>
      <w:r w:rsidR="00A96211">
        <w:t xml:space="preserve">by phone or </w:t>
      </w:r>
      <w:r w:rsidR="007E34F9">
        <w:t>electronically</w:t>
      </w:r>
      <w:r w:rsidR="00416B78">
        <w:t>.</w:t>
      </w:r>
      <w:r w:rsidR="007B6C63">
        <w:rPr>
          <w:rStyle w:val="FootnoteReference"/>
        </w:rPr>
        <w:footnoteReference w:id="30"/>
      </w:r>
      <w:r w:rsidR="00416B78">
        <w:t xml:space="preserve"> </w:t>
      </w:r>
      <w:r w:rsidR="00906E02">
        <w:t>Additionally</w:t>
      </w:r>
      <w:r w:rsidR="007B6C63">
        <w:t>, i</w:t>
      </w:r>
      <w:r w:rsidR="005E7BBF">
        <w:t xml:space="preserve">n its presentation to the Panel, </w:t>
      </w:r>
      <w:r w:rsidR="00491204" w:rsidRPr="00061F7B">
        <w:t>STW ICB</w:t>
      </w:r>
      <w:r w:rsidR="00491204">
        <w:t xml:space="preserve"> </w:t>
      </w:r>
      <w:r w:rsidR="00CC113D">
        <w:t xml:space="preserve">stated </w:t>
      </w:r>
      <w:r w:rsidR="00491204" w:rsidRPr="00061F7B">
        <w:t>that</w:t>
      </w:r>
      <w:r w:rsidR="00491204">
        <w:t>:</w:t>
      </w:r>
    </w:p>
    <w:p w14:paraId="69E3FB6C" w14:textId="77777777" w:rsidR="00491204" w:rsidRPr="00166D27" w:rsidRDefault="00491204" w:rsidP="003D7292">
      <w:pPr>
        <w:pStyle w:val="ListParagraph"/>
        <w:numPr>
          <w:ilvl w:val="0"/>
          <w:numId w:val="0"/>
        </w:numPr>
        <w:spacing w:line="276" w:lineRule="auto"/>
        <w:ind w:left="851"/>
        <w:contextualSpacing w:val="0"/>
        <w:rPr>
          <w:sz w:val="21"/>
          <w:szCs w:val="21"/>
        </w:rPr>
      </w:pPr>
      <w:r w:rsidRPr="00166D27">
        <w:rPr>
          <w:sz w:val="21"/>
          <w:szCs w:val="21"/>
        </w:rPr>
        <w:t>“[CCCSPA] delivers a model of unplanned referral management that streamlines and improves patient care and optimises the use of available local resources across acute and community services. The aim is to support healthcare professionals in navigating their patients to the most appropriate service to meet their unplanned care needs, reducing demand on the ED and hospital admissions, while also improving quality of care, patient experience and outcomes. In addition, clinical pathways are developed between providers and do not form part of the specification. This is not a service that is accessed directly by patients or the public and part of the block contract.”</w:t>
      </w:r>
      <w:r w:rsidRPr="00166D27">
        <w:rPr>
          <w:rStyle w:val="FootnoteReference"/>
          <w:sz w:val="21"/>
          <w:szCs w:val="21"/>
        </w:rPr>
        <w:footnoteReference w:id="31"/>
      </w:r>
    </w:p>
    <w:p w14:paraId="6E53096D" w14:textId="42A80C19" w:rsidR="00906E02" w:rsidRDefault="003E0789" w:rsidP="002A19AF">
      <w:pPr>
        <w:pStyle w:val="ListParagraph"/>
        <w:numPr>
          <w:ilvl w:val="0"/>
          <w:numId w:val="1"/>
        </w:numPr>
        <w:spacing w:after="120" w:line="276" w:lineRule="auto"/>
        <w:ind w:left="567" w:hanging="567"/>
        <w:contextualSpacing w:val="0"/>
      </w:pPr>
      <w:r>
        <w:t xml:space="preserve">STW ICB’s description of the CCCSPA service is </w:t>
      </w:r>
      <w:r w:rsidR="0092016F">
        <w:t>reflected in</w:t>
      </w:r>
      <w:r w:rsidR="00B31598">
        <w:t xml:space="preserve"> </w:t>
      </w:r>
      <w:r>
        <w:t xml:space="preserve">the </w:t>
      </w:r>
      <w:r w:rsidR="00330358">
        <w:t xml:space="preserve">service specification </w:t>
      </w:r>
      <w:r w:rsidR="00225E0A">
        <w:t>issued to bidders</w:t>
      </w:r>
      <w:r w:rsidR="00D20C5B">
        <w:t xml:space="preserve">, which </w:t>
      </w:r>
      <w:r>
        <w:t>says</w:t>
      </w:r>
      <w:r w:rsidR="00225E0A">
        <w:t xml:space="preserve"> th</w:t>
      </w:r>
      <w:r w:rsidR="00D20C5B">
        <w:t>at</w:t>
      </w:r>
      <w:r w:rsidR="00556972">
        <w:t>:</w:t>
      </w:r>
    </w:p>
    <w:p w14:paraId="6260C768" w14:textId="7735CE12" w:rsidR="00556972" w:rsidRPr="002D34C7" w:rsidRDefault="00556972" w:rsidP="002A19AF">
      <w:pPr>
        <w:pStyle w:val="ListParagraph"/>
        <w:numPr>
          <w:ilvl w:val="0"/>
          <w:numId w:val="0"/>
        </w:numPr>
        <w:spacing w:line="276" w:lineRule="auto"/>
        <w:ind w:left="851"/>
        <w:contextualSpacing w:val="0"/>
        <w:rPr>
          <w:sz w:val="21"/>
          <w:szCs w:val="21"/>
        </w:rPr>
      </w:pPr>
      <w:r w:rsidRPr="002D34C7">
        <w:rPr>
          <w:sz w:val="21"/>
          <w:szCs w:val="21"/>
        </w:rPr>
        <w:t>“</w:t>
      </w:r>
      <w:r w:rsidR="002D34C7" w:rsidRPr="002D34C7">
        <w:rPr>
          <w:sz w:val="21"/>
          <w:szCs w:val="21"/>
        </w:rPr>
        <w:t>The service will provide a single point of referral for primary, community and emergency care workers seeking alternatives to the ED for patients, simplifying access routes for health care professionals by bringing together a number of ‘single points of access’ across Shropshire</w:t>
      </w:r>
      <w:r w:rsidR="004367FC">
        <w:rPr>
          <w:sz w:val="21"/>
          <w:szCs w:val="21"/>
        </w:rPr>
        <w:t>,</w:t>
      </w:r>
      <w:r w:rsidR="002D34C7" w:rsidRPr="002D34C7">
        <w:rPr>
          <w:sz w:val="21"/>
          <w:szCs w:val="21"/>
        </w:rPr>
        <w:t xml:space="preserve"> Telford and Wrekin.</w:t>
      </w:r>
      <w:r w:rsidR="002D34C7">
        <w:rPr>
          <w:sz w:val="21"/>
          <w:szCs w:val="21"/>
        </w:rPr>
        <w:t xml:space="preserve"> </w:t>
      </w:r>
      <w:r w:rsidR="002D34C7" w:rsidRPr="002D34C7">
        <w:rPr>
          <w:sz w:val="21"/>
          <w:szCs w:val="21"/>
        </w:rPr>
        <w:t>The CCCSPA’s trusted clinical assessors will support referring clinicians to find the most appropriate commissioned service in Shropshire Telford &amp; Wrekin and facilitate patients being seen in the community or via direct access pathways in the acute setting where clinically appropriate.</w:t>
      </w:r>
      <w:r w:rsidR="002D34C7">
        <w:rPr>
          <w:sz w:val="21"/>
          <w:szCs w:val="21"/>
        </w:rPr>
        <w:t>”</w:t>
      </w:r>
      <w:r w:rsidR="001E34F1">
        <w:rPr>
          <w:rStyle w:val="FootnoteReference"/>
          <w:sz w:val="21"/>
          <w:szCs w:val="21"/>
        </w:rPr>
        <w:footnoteReference w:id="32"/>
      </w:r>
      <w:r w:rsidR="002D34C7" w:rsidRPr="002D34C7">
        <w:rPr>
          <w:sz w:val="21"/>
          <w:szCs w:val="21"/>
        </w:rPr>
        <w:t> </w:t>
      </w:r>
    </w:p>
    <w:p w14:paraId="00490B95" w14:textId="1A6A7A39" w:rsidR="00BC1951" w:rsidRDefault="008C73B5" w:rsidP="00E61F75">
      <w:pPr>
        <w:pStyle w:val="ListParagraph"/>
        <w:numPr>
          <w:ilvl w:val="0"/>
          <w:numId w:val="1"/>
        </w:numPr>
        <w:spacing w:line="276" w:lineRule="auto"/>
        <w:ind w:left="567" w:hanging="567"/>
        <w:contextualSpacing w:val="0"/>
      </w:pPr>
      <w:r>
        <w:t>The Panel, in considering Shropdoc’s concerns about consultation with users of the CCCSPA service</w:t>
      </w:r>
      <w:r w:rsidR="00D758C0">
        <w:t>,</w:t>
      </w:r>
      <w:r>
        <w:t xml:space="preserve"> note</w:t>
      </w:r>
      <w:r w:rsidR="000720DE">
        <w:t xml:space="preserve">d </w:t>
      </w:r>
      <w:r w:rsidR="00F84567">
        <w:t xml:space="preserve">Shropdoc’s reference to STW ICB’s compliance with its obligations under </w:t>
      </w:r>
      <w:r w:rsidR="00F84567" w:rsidRPr="00F45DBF">
        <w:t>the NHS Act 2006</w:t>
      </w:r>
      <w:r w:rsidR="00F84567">
        <w:t xml:space="preserve">. As set out in paragraph </w:t>
      </w:r>
      <w:r w:rsidR="00BC3D5D">
        <w:fldChar w:fldCharType="begin"/>
      </w:r>
      <w:r w:rsidR="00BC3D5D">
        <w:instrText xml:space="preserve"> REF _Ref200886476 \r \h </w:instrText>
      </w:r>
      <w:r w:rsidR="00BC3D5D">
        <w:fldChar w:fldCharType="separate"/>
      </w:r>
      <w:r w:rsidR="00E5709F">
        <w:t>38</w:t>
      </w:r>
      <w:r w:rsidR="00BC3D5D">
        <w:fldChar w:fldCharType="end"/>
      </w:r>
      <w:r w:rsidR="00BD4FCA">
        <w:t xml:space="preserve">, </w:t>
      </w:r>
      <w:r w:rsidR="007D37BB">
        <w:t xml:space="preserve">assessing compliance with the NHS Act 2006 </w:t>
      </w:r>
      <w:r w:rsidR="007D37BB" w:rsidRPr="00F45DBF">
        <w:t xml:space="preserve">does not fall within </w:t>
      </w:r>
      <w:r w:rsidR="003B154D">
        <w:t xml:space="preserve">the </w:t>
      </w:r>
      <w:r w:rsidR="007D37BB" w:rsidRPr="00F45DBF">
        <w:t>scope of the Panel’s responsibilities</w:t>
      </w:r>
      <w:r w:rsidR="007D37BB">
        <w:t>, and as a result, the Panel’s review does not address this matter.</w:t>
      </w:r>
    </w:p>
    <w:p w14:paraId="591A3F27" w14:textId="7A96B6A1" w:rsidR="004D5320" w:rsidRDefault="000F7612" w:rsidP="00D8025B">
      <w:pPr>
        <w:pStyle w:val="ListParagraph"/>
        <w:numPr>
          <w:ilvl w:val="0"/>
          <w:numId w:val="1"/>
        </w:numPr>
        <w:spacing w:line="276" w:lineRule="auto"/>
        <w:ind w:left="567" w:hanging="567"/>
        <w:contextualSpacing w:val="0"/>
      </w:pPr>
      <w:r>
        <w:lastRenderedPageBreak/>
        <w:t xml:space="preserve">In relation to </w:t>
      </w:r>
      <w:r w:rsidR="00704A39">
        <w:t xml:space="preserve">whether </w:t>
      </w:r>
      <w:r>
        <w:t xml:space="preserve">Shropdoc’s concerns about </w:t>
      </w:r>
      <w:r w:rsidR="00704A39">
        <w:t xml:space="preserve">consultation with users of </w:t>
      </w:r>
      <w:r w:rsidR="00105528">
        <w:t xml:space="preserve">the CCCSPA service </w:t>
      </w:r>
      <w:r w:rsidR="00704A39">
        <w:t xml:space="preserve">amounted to a breach of the PSR regulations, </w:t>
      </w:r>
      <w:r w:rsidR="00105528">
        <w:t xml:space="preserve">the Panel </w:t>
      </w:r>
      <w:r w:rsidR="004D5320">
        <w:t xml:space="preserve">notes, as it has earlier at paragraph </w:t>
      </w:r>
      <w:r w:rsidR="004D5320">
        <w:fldChar w:fldCharType="begin"/>
      </w:r>
      <w:r w:rsidR="004D5320">
        <w:instrText xml:space="preserve"> REF _Ref200887173 \r \h </w:instrText>
      </w:r>
      <w:r w:rsidR="004D5320">
        <w:fldChar w:fldCharType="separate"/>
      </w:r>
      <w:r w:rsidR="00E5709F">
        <w:t>39</w:t>
      </w:r>
      <w:r w:rsidR="004D5320">
        <w:fldChar w:fldCharType="end"/>
      </w:r>
      <w:r w:rsidR="0075539C">
        <w:t xml:space="preserve">, that </w:t>
      </w:r>
      <w:r w:rsidR="004D5320">
        <w:t xml:space="preserve">neither the PSR regulations nor statutory guidance place any specific obligations on commissioners in </w:t>
      </w:r>
      <w:r w:rsidR="00020882">
        <w:t>this regard</w:t>
      </w:r>
      <w:r w:rsidR="004D5320">
        <w:t>.</w:t>
      </w:r>
      <w:r w:rsidR="00E059F7">
        <w:t xml:space="preserve"> </w:t>
      </w:r>
      <w:r w:rsidR="00914766">
        <w:t xml:space="preserve">Further, the Panel does not consider that </w:t>
      </w:r>
      <w:r w:rsidR="0052472C">
        <w:t xml:space="preserve">there </w:t>
      </w:r>
      <w:r w:rsidR="00D620FC">
        <w:t xml:space="preserve">is any evidence to support a conclusion that </w:t>
      </w:r>
      <w:r w:rsidR="00203C4B">
        <w:t>Shropdoc’s concerns about consultation with users of the CCCSPA service</w:t>
      </w:r>
      <w:r w:rsidR="002256E5">
        <w:t xml:space="preserve"> </w:t>
      </w:r>
      <w:r w:rsidR="00547748">
        <w:t>affect</w:t>
      </w:r>
      <w:r w:rsidR="004C2847">
        <w:t>ed</w:t>
      </w:r>
      <w:r w:rsidR="00547748">
        <w:t xml:space="preserve"> STW ICB’s </w:t>
      </w:r>
      <w:r w:rsidR="00064FE9">
        <w:t xml:space="preserve">ability to </w:t>
      </w:r>
      <w:r w:rsidR="00F1346D">
        <w:t>conduct its provider selection process transparently, fairly and proportionately</w:t>
      </w:r>
      <w:r w:rsidR="00D8025B">
        <w:t xml:space="preserve"> or otherwise breach its obligations </w:t>
      </w:r>
      <w:r w:rsidR="009B68C5">
        <w:t>under Regulation 4.</w:t>
      </w:r>
    </w:p>
    <w:p w14:paraId="14EBF1BD" w14:textId="686CE9D9" w:rsidR="009B68C5" w:rsidRDefault="009B68C5" w:rsidP="0075539C">
      <w:pPr>
        <w:pStyle w:val="ListParagraph"/>
        <w:numPr>
          <w:ilvl w:val="0"/>
          <w:numId w:val="1"/>
        </w:numPr>
        <w:spacing w:line="276" w:lineRule="auto"/>
        <w:ind w:left="567" w:hanging="567"/>
        <w:contextualSpacing w:val="0"/>
      </w:pPr>
      <w:r>
        <w:t xml:space="preserve">As a result, the Panel finds that STW ICB, in </w:t>
      </w:r>
      <w:r w:rsidR="00F64D25">
        <w:t xml:space="preserve">relation to </w:t>
      </w:r>
      <w:r w:rsidR="007F4422">
        <w:t xml:space="preserve">pre-procurement </w:t>
      </w:r>
      <w:r w:rsidR="00F64D25">
        <w:t xml:space="preserve">consultation on </w:t>
      </w:r>
      <w:r w:rsidR="00A60C82">
        <w:t xml:space="preserve">the CCCSPA, </w:t>
      </w:r>
      <w:r w:rsidR="007F4422">
        <w:t xml:space="preserve">did not </w:t>
      </w:r>
      <w:r w:rsidR="00A60C82">
        <w:t>breach the PSR regulations, and in particular its obligation</w:t>
      </w:r>
      <w:r w:rsidR="00DA6122">
        <w:t>s under Regulation 4</w:t>
      </w:r>
      <w:r w:rsidR="00A60C82">
        <w:t xml:space="preserve"> to secure the needs of people who use the services, improve the quality of services and improve efficiency in the provision of services, and to act transparently, fairly and proportionately.</w:t>
      </w:r>
    </w:p>
    <w:p w14:paraId="396482BB" w14:textId="6C1DBC00" w:rsidR="00E05460" w:rsidRDefault="00B25607" w:rsidP="00454AE5">
      <w:pPr>
        <w:pStyle w:val="Heading2"/>
        <w:spacing w:before="240" w:after="160" w:line="276" w:lineRule="auto"/>
        <w:ind w:left="578" w:hanging="578"/>
      </w:pPr>
      <w:bookmarkStart w:id="20" w:name="_Toc201919698"/>
      <w:bookmarkEnd w:id="13"/>
      <w:bookmarkEnd w:id="14"/>
      <w:r>
        <w:t>A</w:t>
      </w:r>
      <w:r w:rsidR="00396662">
        <w:t xml:space="preserve">vailability of </w:t>
      </w:r>
      <w:r>
        <w:t xml:space="preserve">clearly </w:t>
      </w:r>
      <w:r w:rsidR="00396662">
        <w:t>d</w:t>
      </w:r>
      <w:r w:rsidR="00972D4E">
        <w:t xml:space="preserve">efined KPIs </w:t>
      </w:r>
      <w:r>
        <w:t>in the tender documentation</w:t>
      </w:r>
      <w:bookmarkEnd w:id="20"/>
    </w:p>
    <w:p w14:paraId="3B948DFB" w14:textId="77777777" w:rsidR="00684D28" w:rsidRDefault="00DA5E17" w:rsidP="00684D28">
      <w:pPr>
        <w:pStyle w:val="ListParagraph"/>
        <w:numPr>
          <w:ilvl w:val="0"/>
          <w:numId w:val="1"/>
        </w:numPr>
        <w:spacing w:after="120" w:line="276" w:lineRule="auto"/>
        <w:ind w:left="567" w:hanging="567"/>
        <w:contextualSpacing w:val="0"/>
      </w:pPr>
      <w:bookmarkStart w:id="21" w:name="_Ref201597005"/>
      <w:r>
        <w:t>Shropdoc</w:t>
      </w:r>
      <w:r w:rsidR="00E852AE">
        <w:t>, in its representations to the Panel, raised concerns about the lack of KPI information in the tender documentatio</w:t>
      </w:r>
      <w:r w:rsidR="000E6237">
        <w:t>n, and said</w:t>
      </w:r>
      <w:r w:rsidR="00684D28">
        <w:t>:</w:t>
      </w:r>
      <w:bookmarkEnd w:id="21"/>
    </w:p>
    <w:p w14:paraId="34A24124" w14:textId="665A4944" w:rsidR="00DA5E17" w:rsidRPr="00684D28" w:rsidRDefault="000E6237" w:rsidP="00684D28">
      <w:pPr>
        <w:pStyle w:val="ListParagraph"/>
        <w:numPr>
          <w:ilvl w:val="0"/>
          <w:numId w:val="0"/>
        </w:numPr>
        <w:spacing w:line="276" w:lineRule="auto"/>
        <w:ind w:left="851"/>
        <w:contextualSpacing w:val="0"/>
        <w:rPr>
          <w:sz w:val="21"/>
          <w:szCs w:val="21"/>
        </w:rPr>
      </w:pPr>
      <w:r w:rsidRPr="00684D28">
        <w:rPr>
          <w:sz w:val="21"/>
          <w:szCs w:val="21"/>
        </w:rPr>
        <w:t>“This approach contradicts the principle of fairness under the PSR</w:t>
      </w:r>
      <w:r w:rsidR="00741ABB" w:rsidRPr="00684D28">
        <w:rPr>
          <w:sz w:val="21"/>
          <w:szCs w:val="21"/>
        </w:rPr>
        <w:t>. Without defined KPIs, bidders were unable to develop like-for-like service models, resulting in bidders developing models on divergent assumptions</w:t>
      </w:r>
      <w:r w:rsidR="00FA7035" w:rsidRPr="00684D28">
        <w:rPr>
          <w:sz w:val="21"/>
          <w:szCs w:val="21"/>
        </w:rPr>
        <w:t>, materially affecting cost and resourcing structures … The lack of clarity</w:t>
      </w:r>
      <w:r w:rsidR="00BE25FA" w:rsidRPr="00684D28">
        <w:rPr>
          <w:sz w:val="21"/>
          <w:szCs w:val="21"/>
        </w:rPr>
        <w:t xml:space="preserve"> and shifting guidance (evidenced in the clarification log) made it impossible for bidders to accurately price or plan the service. These likely advantaged bidders who assumed lower standards or resourcing levels</w:t>
      </w:r>
      <w:r w:rsidR="00684D28" w:rsidRPr="00684D28">
        <w:rPr>
          <w:sz w:val="21"/>
          <w:szCs w:val="21"/>
        </w:rPr>
        <w:t xml:space="preserve">. Without measurable performance metrics, the ICB lacked a robust and fair basis to assess models to improve the quality and efficiency of the services, in accordance with Regulation 4 of the PSR” (see paragraph </w:t>
      </w:r>
      <w:r w:rsidR="00684D28" w:rsidRPr="00684D28">
        <w:rPr>
          <w:sz w:val="21"/>
          <w:szCs w:val="21"/>
        </w:rPr>
        <w:fldChar w:fldCharType="begin"/>
      </w:r>
      <w:r w:rsidR="00684D28" w:rsidRPr="00684D28">
        <w:rPr>
          <w:sz w:val="21"/>
          <w:szCs w:val="21"/>
        </w:rPr>
        <w:instrText xml:space="preserve"> REF _Ref199399981 \r \h </w:instrText>
      </w:r>
      <w:r w:rsidR="00684D28">
        <w:rPr>
          <w:sz w:val="21"/>
          <w:szCs w:val="21"/>
        </w:rPr>
        <w:instrText xml:space="preserve"> \* MERGEFORMAT </w:instrText>
      </w:r>
      <w:r w:rsidR="00684D28" w:rsidRPr="00684D28">
        <w:rPr>
          <w:sz w:val="21"/>
          <w:szCs w:val="21"/>
        </w:rPr>
      </w:r>
      <w:r w:rsidR="00684D28" w:rsidRPr="00684D28">
        <w:rPr>
          <w:sz w:val="21"/>
          <w:szCs w:val="21"/>
        </w:rPr>
        <w:fldChar w:fldCharType="separate"/>
      </w:r>
      <w:r w:rsidR="001B6CEC">
        <w:rPr>
          <w:sz w:val="21"/>
          <w:szCs w:val="21"/>
        </w:rPr>
        <w:t>28</w:t>
      </w:r>
      <w:r w:rsidR="00684D28" w:rsidRPr="00684D28">
        <w:rPr>
          <w:sz w:val="21"/>
          <w:szCs w:val="21"/>
        </w:rPr>
        <w:fldChar w:fldCharType="end"/>
      </w:r>
      <w:r w:rsidR="00684D28" w:rsidRPr="00684D28">
        <w:rPr>
          <w:sz w:val="21"/>
          <w:szCs w:val="21"/>
        </w:rPr>
        <w:t>).</w:t>
      </w:r>
      <w:r w:rsidR="00702580">
        <w:rPr>
          <w:rStyle w:val="FootnoteReference"/>
          <w:sz w:val="21"/>
          <w:szCs w:val="21"/>
        </w:rPr>
        <w:footnoteReference w:id="33"/>
      </w:r>
    </w:p>
    <w:p w14:paraId="32017E76" w14:textId="77777777" w:rsidR="00E85CE0" w:rsidRDefault="00E85CE0" w:rsidP="00E85CE0">
      <w:pPr>
        <w:pStyle w:val="ListParagraph"/>
        <w:numPr>
          <w:ilvl w:val="0"/>
          <w:numId w:val="1"/>
        </w:numPr>
        <w:spacing w:line="276" w:lineRule="auto"/>
        <w:ind w:left="567" w:hanging="567"/>
        <w:contextualSpacing w:val="0"/>
      </w:pPr>
      <w:r>
        <w:t xml:space="preserve">Shropdoc elaborated on these concerns when meeting with the Panel during this review. It said that </w:t>
      </w:r>
      <w:r w:rsidRPr="00E41B40">
        <w:t>“there is no such thing as national KPIs for GP Out of Hours providers”</w:t>
      </w:r>
      <w:r>
        <w:t xml:space="preserve">, and that </w:t>
      </w:r>
      <w:r w:rsidRPr="00E41B40">
        <w:t xml:space="preserve">“there were no other KPIs published in the ITT”. </w:t>
      </w:r>
      <w:r>
        <w:t>It said that, as a result, it had used the current contract KPIs for the purposes of modelling its bid.</w:t>
      </w:r>
      <w:r w:rsidRPr="00CD0AD0">
        <w:rPr>
          <w:vertAlign w:val="superscript"/>
        </w:rPr>
        <w:footnoteReference w:id="34"/>
      </w:r>
    </w:p>
    <w:p w14:paraId="01380A57" w14:textId="77777777" w:rsidR="000B0915" w:rsidRDefault="000B0915" w:rsidP="000B0915">
      <w:pPr>
        <w:pStyle w:val="ListParagraph"/>
        <w:numPr>
          <w:ilvl w:val="0"/>
          <w:numId w:val="1"/>
        </w:numPr>
        <w:spacing w:after="120" w:line="276" w:lineRule="auto"/>
        <w:ind w:left="567" w:hanging="567"/>
      </w:pPr>
      <w:r>
        <w:t>This section sets out the Panel’s assessment of Shropdoc’s concerns about a lack of clearly defined KPIs in the tender documentation. The assessment is set out as follows:</w:t>
      </w:r>
    </w:p>
    <w:p w14:paraId="3BFE50E8" w14:textId="234A4A97" w:rsidR="00F32FB5" w:rsidRDefault="00AA5A5C" w:rsidP="003C6C37">
      <w:pPr>
        <w:pStyle w:val="ListParagraph"/>
        <w:numPr>
          <w:ilvl w:val="0"/>
          <w:numId w:val="13"/>
        </w:numPr>
        <w:spacing w:after="120" w:line="276" w:lineRule="auto"/>
      </w:pPr>
      <w:r>
        <w:t>f</w:t>
      </w:r>
      <w:r w:rsidR="00F32FB5">
        <w:t xml:space="preserve">irst, </w:t>
      </w:r>
      <w:r w:rsidR="00C45170">
        <w:t xml:space="preserve">by way of background, </w:t>
      </w:r>
      <w:r w:rsidR="003766A1">
        <w:t xml:space="preserve">the role of KPIs and service standards </w:t>
      </w:r>
      <w:r w:rsidR="00E85CE0">
        <w:t>for</w:t>
      </w:r>
      <w:r w:rsidR="003766A1">
        <w:t xml:space="preserve"> the GP OOH </w:t>
      </w:r>
      <w:r w:rsidR="00E85CE0">
        <w:t>service</w:t>
      </w:r>
      <w:r w:rsidR="003766A1">
        <w:t xml:space="preserve"> is discussed (see Section 7.2.1);</w:t>
      </w:r>
    </w:p>
    <w:p w14:paraId="114C499F" w14:textId="0B4159ED" w:rsidR="000B0915" w:rsidRDefault="000B0915" w:rsidP="003C6C37">
      <w:pPr>
        <w:pStyle w:val="ListParagraph"/>
        <w:numPr>
          <w:ilvl w:val="0"/>
          <w:numId w:val="13"/>
        </w:numPr>
        <w:spacing w:after="120" w:line="276" w:lineRule="auto"/>
      </w:pPr>
      <w:r>
        <w:t xml:space="preserve">second, outcomes from the provider selection process, given </w:t>
      </w:r>
      <w:r w:rsidR="004C0147">
        <w:t>Shropdoc’s</w:t>
      </w:r>
      <w:r>
        <w:t xml:space="preserve"> concerns</w:t>
      </w:r>
      <w:r w:rsidR="004C0147">
        <w:t>,</w:t>
      </w:r>
      <w:r>
        <w:t xml:space="preserve"> are reviewed (see Section 7.2.2);</w:t>
      </w:r>
    </w:p>
    <w:p w14:paraId="36B11CB9" w14:textId="7A9043CA" w:rsidR="000B0915" w:rsidRDefault="000B0915" w:rsidP="003C6C37">
      <w:pPr>
        <w:pStyle w:val="ListParagraph"/>
        <w:numPr>
          <w:ilvl w:val="0"/>
          <w:numId w:val="13"/>
        </w:numPr>
        <w:spacing w:after="120" w:line="276" w:lineRule="auto"/>
      </w:pPr>
      <w:r>
        <w:t xml:space="preserve">third, </w:t>
      </w:r>
      <w:r w:rsidR="00480372">
        <w:t xml:space="preserve">KPI and other relevant information provided to </w:t>
      </w:r>
      <w:r>
        <w:t>bidders during the provider selection process is reviewed (see Section 7.2.3);</w:t>
      </w:r>
    </w:p>
    <w:p w14:paraId="43A7B561" w14:textId="0647926E" w:rsidR="000B0915" w:rsidRDefault="000B0915" w:rsidP="003C6C37">
      <w:pPr>
        <w:pStyle w:val="ListParagraph"/>
        <w:numPr>
          <w:ilvl w:val="0"/>
          <w:numId w:val="13"/>
        </w:numPr>
        <w:spacing w:after="120" w:line="276" w:lineRule="auto"/>
      </w:pPr>
      <w:r>
        <w:lastRenderedPageBreak/>
        <w:t>fourth, requirements for KPI assumptions in bidders’ proposals, and how STW ICB assessed these assumptions, is reviewed (see Section 7.2.4); and</w:t>
      </w:r>
    </w:p>
    <w:p w14:paraId="13E631B8" w14:textId="77777777" w:rsidR="000B0915" w:rsidRDefault="000B0915" w:rsidP="003C6C37">
      <w:pPr>
        <w:pStyle w:val="ListParagraph"/>
        <w:numPr>
          <w:ilvl w:val="0"/>
          <w:numId w:val="13"/>
        </w:numPr>
        <w:spacing w:line="276" w:lineRule="auto"/>
        <w:ind w:left="1281" w:hanging="357"/>
        <w:contextualSpacing w:val="0"/>
      </w:pPr>
      <w:r>
        <w:t>finally, the Panel’s conclusions are set out (see Section 7.2.5).</w:t>
      </w:r>
    </w:p>
    <w:p w14:paraId="3D65C9F5" w14:textId="4AADE81E" w:rsidR="00B65225" w:rsidRPr="00B65225" w:rsidRDefault="00B65225" w:rsidP="00B65225">
      <w:pPr>
        <w:keepNext/>
        <w:spacing w:before="240" w:line="276" w:lineRule="auto"/>
        <w:rPr>
          <w:b/>
          <w:bCs/>
        </w:rPr>
      </w:pPr>
      <w:r w:rsidRPr="00B65225">
        <w:rPr>
          <w:b/>
          <w:bCs/>
        </w:rPr>
        <w:t xml:space="preserve">7.2.1 </w:t>
      </w:r>
      <w:r w:rsidR="002B5F51">
        <w:rPr>
          <w:b/>
          <w:bCs/>
        </w:rPr>
        <w:t>Introduction to</w:t>
      </w:r>
      <w:r w:rsidRPr="00B65225">
        <w:rPr>
          <w:b/>
          <w:bCs/>
        </w:rPr>
        <w:t xml:space="preserve"> service standards and KPIs</w:t>
      </w:r>
    </w:p>
    <w:p w14:paraId="488DC6B6" w14:textId="4A2A84BA" w:rsidR="00226D19" w:rsidRDefault="0081197E" w:rsidP="00D816CF">
      <w:pPr>
        <w:pStyle w:val="ListParagraph"/>
        <w:numPr>
          <w:ilvl w:val="0"/>
          <w:numId w:val="1"/>
        </w:numPr>
        <w:spacing w:line="276" w:lineRule="auto"/>
        <w:ind w:left="567" w:hanging="567"/>
        <w:contextualSpacing w:val="0"/>
      </w:pPr>
      <w:r>
        <w:t xml:space="preserve">This section </w:t>
      </w:r>
      <w:r w:rsidR="00CA1065">
        <w:t xml:space="preserve">provides </w:t>
      </w:r>
      <w:r w:rsidR="00D248AC">
        <w:t>background</w:t>
      </w:r>
      <w:r>
        <w:t xml:space="preserve"> </w:t>
      </w:r>
      <w:r w:rsidR="00D248AC">
        <w:t xml:space="preserve">on </w:t>
      </w:r>
      <w:r w:rsidR="00CA1065">
        <w:t xml:space="preserve">the use of </w:t>
      </w:r>
      <w:r w:rsidR="00D248AC">
        <w:t xml:space="preserve">service standards and KPIs in </w:t>
      </w:r>
      <w:r w:rsidR="002B5F51">
        <w:t xml:space="preserve">the GP OOH service. </w:t>
      </w:r>
    </w:p>
    <w:p w14:paraId="1CB41E93" w14:textId="5AF82B54" w:rsidR="00A9038A" w:rsidRDefault="00213C97" w:rsidP="00D816CF">
      <w:pPr>
        <w:pStyle w:val="ListParagraph"/>
        <w:numPr>
          <w:ilvl w:val="0"/>
          <w:numId w:val="1"/>
        </w:numPr>
        <w:spacing w:line="276" w:lineRule="auto"/>
        <w:ind w:left="567" w:hanging="567"/>
        <w:contextualSpacing w:val="0"/>
      </w:pPr>
      <w:r>
        <w:t>T</w:t>
      </w:r>
      <w:r w:rsidR="00E25342">
        <w:t xml:space="preserve">he </w:t>
      </w:r>
      <w:r w:rsidR="000F32C7">
        <w:t xml:space="preserve">current GP OOH </w:t>
      </w:r>
      <w:r w:rsidR="00E25342">
        <w:t>service</w:t>
      </w:r>
      <w:r w:rsidR="00B65225">
        <w:t>,</w:t>
      </w:r>
      <w:r w:rsidR="00E25342">
        <w:t xml:space="preserve"> </w:t>
      </w:r>
      <w:r>
        <w:t xml:space="preserve">where Shropdoc is the provider, </w:t>
      </w:r>
      <w:r w:rsidR="009D3BA8">
        <w:t>is subject to a number of service standards (or quality requirements)</w:t>
      </w:r>
      <w:r w:rsidR="00DB7D00">
        <w:t>, which Shropdoc is obliged to meet</w:t>
      </w:r>
      <w:r w:rsidR="00AC68CA">
        <w:t xml:space="preserve">. </w:t>
      </w:r>
      <w:r w:rsidR="00DB7D00">
        <w:t xml:space="preserve">These </w:t>
      </w:r>
      <w:r w:rsidR="00AC68CA">
        <w:t>service standards</w:t>
      </w:r>
      <w:r w:rsidR="00E86E9F">
        <w:t xml:space="preserve"> </w:t>
      </w:r>
      <w:r w:rsidR="00DB7D00">
        <w:t xml:space="preserve">often </w:t>
      </w:r>
      <w:r w:rsidR="00C2086B">
        <w:t>have a</w:t>
      </w:r>
      <w:r w:rsidR="006C4C5E">
        <w:t xml:space="preserve">n associated </w:t>
      </w:r>
      <w:r w:rsidR="00C2086B">
        <w:t>KPI</w:t>
      </w:r>
      <w:r w:rsidR="00692FA0">
        <w:t xml:space="preserve"> which</w:t>
      </w:r>
      <w:r w:rsidR="00752AB0">
        <w:t>, in many cases,</w:t>
      </w:r>
      <w:r w:rsidR="00692FA0">
        <w:t xml:space="preserve"> </w:t>
      </w:r>
      <w:r w:rsidR="00752AB0">
        <w:t xml:space="preserve">is </w:t>
      </w:r>
      <w:r w:rsidR="006C4C5E">
        <w:t xml:space="preserve">a percentage </w:t>
      </w:r>
      <w:r w:rsidR="00C2086B">
        <w:t xml:space="preserve">threshold </w:t>
      </w:r>
      <w:r w:rsidR="00752AB0">
        <w:t xml:space="preserve">that sets out </w:t>
      </w:r>
      <w:r w:rsidR="00B9401A">
        <w:t xml:space="preserve">the minimum rate at which </w:t>
      </w:r>
      <w:r w:rsidR="005D42AF">
        <w:t>Shropdoc is expected to meet the service standard.</w:t>
      </w:r>
      <w:r w:rsidR="0046649D">
        <w:t xml:space="preserve"> </w:t>
      </w:r>
      <w:r w:rsidR="00C13CEA">
        <w:t>(Not all KPIs, however, need to be expressed as a percentage</w:t>
      </w:r>
      <w:r w:rsidR="0008398D">
        <w:t xml:space="preserve"> threshold</w:t>
      </w:r>
      <w:r w:rsidR="00FB0513">
        <w:t>; f</w:t>
      </w:r>
      <w:r w:rsidR="009E7E61">
        <w:t>or</w:t>
      </w:r>
      <w:r w:rsidR="00FB0513">
        <w:t xml:space="preserve"> </w:t>
      </w:r>
      <w:r w:rsidR="009E7E61">
        <w:t>an alternative KPI</w:t>
      </w:r>
      <w:r w:rsidR="00EA7BAA">
        <w:t xml:space="preserve"> see paragraph</w:t>
      </w:r>
      <w:r w:rsidR="00B973EA">
        <w:t xml:space="preserve"> </w:t>
      </w:r>
      <w:r w:rsidR="00B973EA">
        <w:fldChar w:fldCharType="begin"/>
      </w:r>
      <w:r w:rsidR="00B973EA">
        <w:instrText xml:space="preserve"> REF _Ref201678923 \r \h </w:instrText>
      </w:r>
      <w:r w:rsidR="00B973EA">
        <w:fldChar w:fldCharType="separate"/>
      </w:r>
      <w:r w:rsidR="001B6CEC">
        <w:t>89</w:t>
      </w:r>
      <w:r w:rsidR="00B973EA">
        <w:fldChar w:fldCharType="end"/>
      </w:r>
      <w:r w:rsidR="009E7E61">
        <w:t>.)</w:t>
      </w:r>
    </w:p>
    <w:p w14:paraId="71495718" w14:textId="4AB7B63A" w:rsidR="00B9401A" w:rsidRDefault="00225472" w:rsidP="00D816CF">
      <w:pPr>
        <w:pStyle w:val="ListParagraph"/>
        <w:numPr>
          <w:ilvl w:val="0"/>
          <w:numId w:val="1"/>
        </w:numPr>
        <w:spacing w:line="276" w:lineRule="auto"/>
        <w:ind w:left="567" w:hanging="567"/>
        <w:contextualSpacing w:val="0"/>
      </w:pPr>
      <w:r>
        <w:t>T</w:t>
      </w:r>
      <w:r w:rsidR="002B68DE">
        <w:t>he relationship between a service standard and an associated KPI</w:t>
      </w:r>
      <w:r w:rsidR="00717E7A">
        <w:t xml:space="preserve"> in the</w:t>
      </w:r>
      <w:r w:rsidR="00B03B94">
        <w:t xml:space="preserve"> current</w:t>
      </w:r>
      <w:r w:rsidR="00717E7A">
        <w:t xml:space="preserve"> GP OOH service in Shropshire</w:t>
      </w:r>
      <w:r>
        <w:t xml:space="preserve"> is illustrated in the two examples set out below</w:t>
      </w:r>
      <w:r w:rsidR="002B68DE">
        <w:t>.</w:t>
      </w:r>
    </w:p>
    <w:p w14:paraId="4105EF3B" w14:textId="7782AD93" w:rsidR="002E77F5" w:rsidRDefault="00717E7A" w:rsidP="003C6C37">
      <w:pPr>
        <w:pStyle w:val="ListParagraph"/>
        <w:numPr>
          <w:ilvl w:val="0"/>
          <w:numId w:val="14"/>
        </w:numPr>
        <w:spacing w:line="276" w:lineRule="auto"/>
        <w:ind w:hanging="436"/>
        <w:contextualSpacing w:val="0"/>
      </w:pPr>
      <w:r>
        <w:t xml:space="preserve">The first example relates to </w:t>
      </w:r>
      <w:r w:rsidR="00254EF9">
        <w:t>patient discharges</w:t>
      </w:r>
      <w:r w:rsidR="0084589A">
        <w:t xml:space="preserve">. </w:t>
      </w:r>
      <w:r>
        <w:t>Under t</w:t>
      </w:r>
      <w:r w:rsidR="002E77F5">
        <w:t>he service standard</w:t>
      </w:r>
      <w:r>
        <w:t xml:space="preserve">, </w:t>
      </w:r>
      <w:r w:rsidR="00B92062">
        <w:t xml:space="preserve">Shropdoc must </w:t>
      </w:r>
      <w:r w:rsidR="002E77F5">
        <w:t>provid</w:t>
      </w:r>
      <w:r w:rsidR="00B92062">
        <w:t>e</w:t>
      </w:r>
      <w:r w:rsidR="002E77F5">
        <w:t xml:space="preserve"> </w:t>
      </w:r>
      <w:r w:rsidR="00721096">
        <w:t xml:space="preserve">to GPs of </w:t>
      </w:r>
      <w:r w:rsidR="002E77F5">
        <w:t>discharged patients</w:t>
      </w:r>
      <w:r w:rsidR="00721096">
        <w:t xml:space="preserve"> </w:t>
      </w:r>
      <w:r w:rsidR="00A9038A">
        <w:t xml:space="preserve">a summary </w:t>
      </w:r>
      <w:r>
        <w:t>of</w:t>
      </w:r>
      <w:r w:rsidR="00A9038A">
        <w:t xml:space="preserve"> the episode of care </w:t>
      </w:r>
      <w:r w:rsidR="00C521F8">
        <w:t>delivered by Shropdoc</w:t>
      </w:r>
      <w:r>
        <w:t>.</w:t>
      </w:r>
      <w:r w:rsidR="00531925">
        <w:rPr>
          <w:rStyle w:val="FootnoteReference"/>
        </w:rPr>
        <w:footnoteReference w:id="35"/>
      </w:r>
      <w:r>
        <w:t xml:space="preserve"> </w:t>
      </w:r>
      <w:r w:rsidR="00F450C9">
        <w:t xml:space="preserve">The KPI </w:t>
      </w:r>
      <w:r w:rsidR="001763C0">
        <w:t xml:space="preserve">for this service standard </w:t>
      </w:r>
      <w:r w:rsidR="00F450C9">
        <w:t xml:space="preserve">is 100%. That is, </w:t>
      </w:r>
      <w:r w:rsidR="00E52DBF">
        <w:t xml:space="preserve">the minimum acceptable rate of compliance with this </w:t>
      </w:r>
      <w:r w:rsidR="00E65E57">
        <w:t>service standard is 100%.</w:t>
      </w:r>
    </w:p>
    <w:p w14:paraId="0C79A937" w14:textId="64468B67" w:rsidR="00E65E57" w:rsidRDefault="00E65E57" w:rsidP="003C6C37">
      <w:pPr>
        <w:pStyle w:val="ListParagraph"/>
        <w:numPr>
          <w:ilvl w:val="0"/>
          <w:numId w:val="14"/>
        </w:numPr>
        <w:spacing w:line="276" w:lineRule="auto"/>
        <w:ind w:hanging="436"/>
        <w:contextualSpacing w:val="0"/>
      </w:pPr>
      <w:r>
        <w:t>The second example relates to home visits. Under this service standard, a home visit (for eligible patients) must be carried out within 1, 2 or 6 hours</w:t>
      </w:r>
      <w:r w:rsidR="001A4E4C">
        <w:t>, depending on the patient’s condition. The KPI for this service standard is 85%. That is, the minimum acceptable rate of compliance with this standard is 85%.</w:t>
      </w:r>
    </w:p>
    <w:p w14:paraId="603A1B13" w14:textId="7E7F9574" w:rsidR="00E857EE" w:rsidRDefault="00E857EE" w:rsidP="00D816CF">
      <w:pPr>
        <w:pStyle w:val="ListParagraph"/>
        <w:numPr>
          <w:ilvl w:val="0"/>
          <w:numId w:val="1"/>
        </w:numPr>
        <w:spacing w:line="276" w:lineRule="auto"/>
        <w:ind w:left="567" w:hanging="567"/>
        <w:contextualSpacing w:val="0"/>
      </w:pPr>
      <w:r>
        <w:t xml:space="preserve">Shropdoc provided the Panel with a list of 18 service standards </w:t>
      </w:r>
      <w:r w:rsidR="00162352">
        <w:t>that it said it was expected to meet</w:t>
      </w:r>
      <w:r w:rsidR="002316AC">
        <w:t xml:space="preserve"> in delivering the current GP OOH service</w:t>
      </w:r>
      <w:r w:rsidR="00162352">
        <w:t xml:space="preserve">, and </w:t>
      </w:r>
      <w:r w:rsidR="004E66AC">
        <w:t xml:space="preserve">for 12 of these standards there was an </w:t>
      </w:r>
      <w:r w:rsidR="00DD663C">
        <w:t xml:space="preserve">associated </w:t>
      </w:r>
      <w:r w:rsidR="00162352">
        <w:t>KPI</w:t>
      </w:r>
      <w:r w:rsidR="008233E2">
        <w:t>,</w:t>
      </w:r>
      <w:r w:rsidR="004E66AC">
        <w:t xml:space="preserve"> </w:t>
      </w:r>
      <w:r w:rsidR="00DD663C">
        <w:t xml:space="preserve">expressed as </w:t>
      </w:r>
      <w:r w:rsidR="009D5626">
        <w:t>a percentage</w:t>
      </w:r>
      <w:r w:rsidR="008233E2">
        <w:t>, that set out the minimum acceptable rate of compliance</w:t>
      </w:r>
      <w:r w:rsidR="00E8534A">
        <w:t>. These KPIs varied from 85% to 100%.</w:t>
      </w:r>
    </w:p>
    <w:p w14:paraId="233BF6FB" w14:textId="40CC4D90" w:rsidR="008233E2" w:rsidRDefault="008233E2">
      <w:pPr>
        <w:pStyle w:val="ListParagraph"/>
        <w:numPr>
          <w:ilvl w:val="0"/>
          <w:numId w:val="1"/>
        </w:numPr>
        <w:spacing w:line="276" w:lineRule="auto"/>
        <w:ind w:left="567" w:hanging="567"/>
        <w:contextualSpacing w:val="0"/>
      </w:pPr>
      <w:bookmarkStart w:id="22" w:name="_Ref201601758"/>
      <w:r>
        <w:t xml:space="preserve">The Panel notes that </w:t>
      </w:r>
      <w:r w:rsidR="00373E6A">
        <w:t>in some of the correspondence between Shropdoc and STW ICB prior to the Panel review, and in some of the parties</w:t>
      </w:r>
      <w:r w:rsidR="009E3F76">
        <w:t>’</w:t>
      </w:r>
      <w:r w:rsidR="00373E6A">
        <w:t xml:space="preserve"> correspondence with the Panel, </w:t>
      </w:r>
      <w:r w:rsidR="005F0BC4">
        <w:t>the concept of “service standard” and the concept of “KPI”</w:t>
      </w:r>
      <w:r w:rsidR="00B46C73">
        <w:t xml:space="preserve"> sometimes </w:t>
      </w:r>
      <w:r w:rsidR="005C1BE1">
        <w:t xml:space="preserve">appear to have </w:t>
      </w:r>
      <w:r w:rsidR="00B46C73">
        <w:t>been conflated</w:t>
      </w:r>
      <w:r w:rsidR="005F0BC4">
        <w:t>. However, the Panel</w:t>
      </w:r>
      <w:r w:rsidR="003E6465">
        <w:t xml:space="preserve">, </w:t>
      </w:r>
      <w:r w:rsidR="005F0BC4">
        <w:t xml:space="preserve">in carrying out </w:t>
      </w:r>
      <w:r w:rsidR="0091107F">
        <w:t xml:space="preserve">its assessment, has </w:t>
      </w:r>
      <w:r w:rsidR="00EA19D1">
        <w:t xml:space="preserve">distinguished between these two concepts, consistent with the </w:t>
      </w:r>
      <w:r w:rsidR="00DA357E">
        <w:t>evidence provided to it on service standards and KPIs in relation to the current GP OOH service</w:t>
      </w:r>
      <w:r w:rsidR="00D2572F">
        <w:t>, and consistent with the approach set out during the provider selection process.</w:t>
      </w:r>
      <w:bookmarkEnd w:id="22"/>
    </w:p>
    <w:p w14:paraId="12CB2B76" w14:textId="360979AE" w:rsidR="00A202EA" w:rsidRPr="00962EAE" w:rsidRDefault="00A202EA" w:rsidP="00A202EA">
      <w:pPr>
        <w:keepNext/>
        <w:spacing w:before="240" w:line="276" w:lineRule="auto"/>
        <w:rPr>
          <w:b/>
          <w:bCs/>
        </w:rPr>
      </w:pPr>
      <w:r>
        <w:rPr>
          <w:b/>
          <w:bCs/>
        </w:rPr>
        <w:t xml:space="preserve">7.2.2 </w:t>
      </w:r>
      <w:r w:rsidR="00593E4B">
        <w:rPr>
          <w:b/>
          <w:bCs/>
        </w:rPr>
        <w:t xml:space="preserve">Bidders’ approach to </w:t>
      </w:r>
      <w:r w:rsidR="00074ABB">
        <w:rPr>
          <w:b/>
          <w:bCs/>
        </w:rPr>
        <w:t>standards and resourcing</w:t>
      </w:r>
    </w:p>
    <w:p w14:paraId="1410860D" w14:textId="76682702" w:rsidR="008E2B4C" w:rsidRDefault="00F148A2">
      <w:pPr>
        <w:pStyle w:val="ListParagraph"/>
        <w:numPr>
          <w:ilvl w:val="0"/>
          <w:numId w:val="1"/>
        </w:numPr>
        <w:spacing w:line="276" w:lineRule="auto"/>
        <w:ind w:left="567" w:hanging="567"/>
        <w:contextualSpacing w:val="0"/>
      </w:pPr>
      <w:r>
        <w:t xml:space="preserve">This section </w:t>
      </w:r>
      <w:r w:rsidR="004359ED">
        <w:t xml:space="preserve">reviews </w:t>
      </w:r>
      <w:r w:rsidR="00702544">
        <w:t xml:space="preserve">Shropdoc’s concerns </w:t>
      </w:r>
      <w:r w:rsidR="00EE40A8">
        <w:t>that the provider selection process “</w:t>
      </w:r>
      <w:r w:rsidR="00D84C43">
        <w:t xml:space="preserve">likely </w:t>
      </w:r>
      <w:r w:rsidR="00EE40A8">
        <w:t>advantaged bidders who assumed lower standards or resourcing levels”</w:t>
      </w:r>
      <w:r w:rsidR="00D84C43">
        <w:t xml:space="preserve"> (see paragraph </w:t>
      </w:r>
      <w:r w:rsidR="00D84C43">
        <w:fldChar w:fldCharType="begin"/>
      </w:r>
      <w:r w:rsidR="00D84C43">
        <w:instrText xml:space="preserve"> REF _Ref201597005 \r \h </w:instrText>
      </w:r>
      <w:r w:rsidR="00D84C43">
        <w:fldChar w:fldCharType="separate"/>
      </w:r>
      <w:r w:rsidR="001B6CEC">
        <w:t>57</w:t>
      </w:r>
      <w:r w:rsidR="00D84C43">
        <w:fldChar w:fldCharType="end"/>
      </w:r>
      <w:r w:rsidR="00D84C43">
        <w:t>).</w:t>
      </w:r>
    </w:p>
    <w:p w14:paraId="54104B3B" w14:textId="3449971E" w:rsidR="00453EA6" w:rsidRDefault="008E2B4C" w:rsidP="006E7921">
      <w:pPr>
        <w:pStyle w:val="ListParagraph"/>
        <w:numPr>
          <w:ilvl w:val="0"/>
          <w:numId w:val="1"/>
        </w:numPr>
        <w:spacing w:line="276" w:lineRule="auto"/>
        <w:ind w:left="567" w:hanging="567"/>
        <w:contextualSpacing w:val="0"/>
      </w:pPr>
      <w:r>
        <w:lastRenderedPageBreak/>
        <w:t>I</w:t>
      </w:r>
      <w:r w:rsidR="006E3A16">
        <w:t>f a bidder assume</w:t>
      </w:r>
      <w:r>
        <w:t>s</w:t>
      </w:r>
      <w:r w:rsidR="006E3A16">
        <w:t xml:space="preserve"> lower standards or resourcing levels</w:t>
      </w:r>
      <w:r w:rsidR="00C671EF">
        <w:t xml:space="preserve"> (relative t</w:t>
      </w:r>
      <w:r w:rsidR="007C73E1">
        <w:t>o other bidders)</w:t>
      </w:r>
      <w:r w:rsidR="006E3A16">
        <w:t xml:space="preserve">, this may translate into a lower cost bid, allowing a successful bidder to win through </w:t>
      </w:r>
      <w:r w:rsidR="005437F8">
        <w:t xml:space="preserve">offering </w:t>
      </w:r>
      <w:r w:rsidR="006E3A16">
        <w:t>a lesser quality service at a lower price.</w:t>
      </w:r>
      <w:r w:rsidR="002069DD">
        <w:t xml:space="preserve"> </w:t>
      </w:r>
      <w:r w:rsidR="00321031">
        <w:t>Where this happens</w:t>
      </w:r>
      <w:r w:rsidR="00453EA6">
        <w:t xml:space="preserve">, so long as the </w:t>
      </w:r>
      <w:r w:rsidR="00321031">
        <w:t xml:space="preserve">winning </w:t>
      </w:r>
      <w:r w:rsidR="00453EA6">
        <w:t>bidder</w:t>
      </w:r>
      <w:r w:rsidR="00321031">
        <w:t>’s proposal</w:t>
      </w:r>
      <w:r w:rsidR="00453EA6">
        <w:t xml:space="preserve"> meets the </w:t>
      </w:r>
      <w:r w:rsidR="00651C66">
        <w:t>minimum quality requirements set by the commissioner</w:t>
      </w:r>
      <w:r w:rsidR="00D6397F">
        <w:t>,</w:t>
      </w:r>
      <w:r w:rsidR="00007B45">
        <w:t xml:space="preserve"> and so long as the requirements set by the commissioner are </w:t>
      </w:r>
      <w:r w:rsidR="006F261F">
        <w:t xml:space="preserve">consistent with its obligations under PSR Regulation 4 </w:t>
      </w:r>
      <w:r w:rsidR="00D6397F">
        <w:t>(</w:t>
      </w:r>
      <w:r w:rsidR="006F261F">
        <w:t xml:space="preserve">e.g. </w:t>
      </w:r>
      <w:r w:rsidR="001B18CD">
        <w:t xml:space="preserve">the commissioner acting with a view to </w:t>
      </w:r>
      <w:r w:rsidR="006F261F">
        <w:t>securing the needs of the people who use the services)</w:t>
      </w:r>
      <w:r w:rsidR="00651C66">
        <w:t>, there is no question of the provider selection process breaching the PSR regulations</w:t>
      </w:r>
      <w:r w:rsidR="35E9CC8A">
        <w:t xml:space="preserve"> in this regard</w:t>
      </w:r>
      <w:r w:rsidR="00651C66">
        <w:t>.</w:t>
      </w:r>
    </w:p>
    <w:p w14:paraId="57E8A52B" w14:textId="49EEC020" w:rsidR="00A04864" w:rsidRDefault="00EC0085">
      <w:pPr>
        <w:pStyle w:val="ListParagraph"/>
        <w:numPr>
          <w:ilvl w:val="0"/>
          <w:numId w:val="1"/>
        </w:numPr>
        <w:spacing w:line="276" w:lineRule="auto"/>
        <w:ind w:left="567" w:hanging="567"/>
        <w:contextualSpacing w:val="0"/>
      </w:pPr>
      <w:r>
        <w:t>T</w:t>
      </w:r>
      <w:r w:rsidR="00C23EE5">
        <w:t>he Panel reviewed whether, in</w:t>
      </w:r>
      <w:r w:rsidR="002069DD">
        <w:t xml:space="preserve"> this case, </w:t>
      </w:r>
      <w:r w:rsidR="0022567A">
        <w:t xml:space="preserve">the </w:t>
      </w:r>
      <w:r w:rsidR="00FC5C34">
        <w:t>winning</w:t>
      </w:r>
      <w:r w:rsidR="0022567A">
        <w:t xml:space="preserve"> bidder</w:t>
      </w:r>
      <w:r w:rsidR="00347308">
        <w:t>, Medvivo,</w:t>
      </w:r>
      <w:r w:rsidR="0022567A">
        <w:t xml:space="preserve"> </w:t>
      </w:r>
      <w:r w:rsidR="00FC5C34">
        <w:t>offer</w:t>
      </w:r>
      <w:r w:rsidR="002D6B10">
        <w:t xml:space="preserve">ed </w:t>
      </w:r>
      <w:r w:rsidR="00FC5C34">
        <w:t>a lesser quality service at a lower price</w:t>
      </w:r>
      <w:r w:rsidR="00495A1D">
        <w:t xml:space="preserve">, </w:t>
      </w:r>
      <w:r w:rsidR="002D6B10">
        <w:t xml:space="preserve">potentially bringing </w:t>
      </w:r>
      <w:r w:rsidR="004D1C04">
        <w:t xml:space="preserve">into question </w:t>
      </w:r>
      <w:r w:rsidR="00DF2B0B">
        <w:t>STW ICB</w:t>
      </w:r>
      <w:r w:rsidR="004D1C04">
        <w:t xml:space="preserve">’s compliance with </w:t>
      </w:r>
      <w:r w:rsidR="00DF2B0B">
        <w:t>its obligations under Regulation 4.</w:t>
      </w:r>
      <w:r w:rsidR="00B77E95">
        <w:t xml:space="preserve"> </w:t>
      </w:r>
      <w:r w:rsidR="001B6CBF">
        <w:t xml:space="preserve">In doing so, the Panel </w:t>
      </w:r>
      <w:r w:rsidR="00D64281">
        <w:t>reviewed</w:t>
      </w:r>
      <w:r w:rsidR="007612F5">
        <w:t>: (i)</w:t>
      </w:r>
      <w:r w:rsidR="00B87599">
        <w:t> </w:t>
      </w:r>
      <w:r w:rsidR="007F472A">
        <w:t xml:space="preserve">the </w:t>
      </w:r>
      <w:r w:rsidR="007612F5">
        <w:t>workforce model proposed by Medvivo</w:t>
      </w:r>
      <w:r w:rsidR="001B6CBF">
        <w:t xml:space="preserve"> in comparison with that proposed by Shropdoc</w:t>
      </w:r>
      <w:r w:rsidR="007612F5">
        <w:t xml:space="preserve">; and (ii) </w:t>
      </w:r>
      <w:r w:rsidR="00F10531">
        <w:t xml:space="preserve">the </w:t>
      </w:r>
      <w:r w:rsidR="00170FDD">
        <w:t xml:space="preserve">overall </w:t>
      </w:r>
      <w:r w:rsidR="00E82C0D">
        <w:t xml:space="preserve">quality assessment of the Medvivo </w:t>
      </w:r>
      <w:r w:rsidR="00F10531">
        <w:t xml:space="preserve">proposal </w:t>
      </w:r>
      <w:r w:rsidR="004463F9">
        <w:t>compar</w:t>
      </w:r>
      <w:r w:rsidR="00E82C0D">
        <w:t xml:space="preserve">ed </w:t>
      </w:r>
      <w:r w:rsidR="004463F9">
        <w:t xml:space="preserve">with </w:t>
      </w:r>
      <w:r w:rsidR="00196E83">
        <w:t>the</w:t>
      </w:r>
      <w:r w:rsidR="004463F9">
        <w:t xml:space="preserve"> Shropdoc</w:t>
      </w:r>
      <w:r w:rsidR="00196E83">
        <w:t xml:space="preserve"> proposal</w:t>
      </w:r>
      <w:r w:rsidR="00F10531">
        <w:t>.</w:t>
      </w:r>
    </w:p>
    <w:p w14:paraId="422B7925" w14:textId="1BC8038F" w:rsidR="00D52783" w:rsidRDefault="007424D2" w:rsidP="00E73096">
      <w:pPr>
        <w:pStyle w:val="ListParagraph"/>
        <w:numPr>
          <w:ilvl w:val="0"/>
          <w:numId w:val="1"/>
        </w:numPr>
        <w:spacing w:line="276" w:lineRule="auto"/>
        <w:ind w:left="567" w:hanging="567"/>
        <w:contextualSpacing w:val="0"/>
      </w:pPr>
      <w:r>
        <w:t>In terms of workforce</w:t>
      </w:r>
      <w:r w:rsidR="00DB360A">
        <w:t xml:space="preserve"> models</w:t>
      </w:r>
      <w:r>
        <w:t xml:space="preserve">, </w:t>
      </w:r>
      <w:r w:rsidR="00D51201">
        <w:t xml:space="preserve">Medvivo proposed </w:t>
      </w:r>
      <w:r w:rsidR="00932E01">
        <w:t xml:space="preserve">a </w:t>
      </w:r>
      <w:r w:rsidR="00371A3F">
        <w:t>small</w:t>
      </w:r>
      <w:r w:rsidR="000440AF">
        <w:t>er</w:t>
      </w:r>
      <w:r w:rsidR="00371A3F">
        <w:t xml:space="preserve"> </w:t>
      </w:r>
      <w:r w:rsidR="002763C7">
        <w:t xml:space="preserve">number of </w:t>
      </w:r>
      <w:r w:rsidR="00E039AF">
        <w:t xml:space="preserve">additional </w:t>
      </w:r>
      <w:r w:rsidR="002763C7">
        <w:t xml:space="preserve">clinical staff </w:t>
      </w:r>
      <w:r w:rsidR="00932E01">
        <w:t xml:space="preserve">to </w:t>
      </w:r>
      <w:r w:rsidR="00E039AF">
        <w:t xml:space="preserve">that offered by </w:t>
      </w:r>
      <w:r w:rsidR="00932E01">
        <w:t>Shropdoc</w:t>
      </w:r>
      <w:r w:rsidR="002763C7">
        <w:t xml:space="preserve">. </w:t>
      </w:r>
      <w:r w:rsidR="00B90D27">
        <w:t xml:space="preserve">As a result, Medvivo </w:t>
      </w:r>
      <w:r w:rsidR="007E184E">
        <w:t>does not appear to</w:t>
      </w:r>
      <w:r w:rsidR="61D0A25A">
        <w:t xml:space="preserve"> have</w:t>
      </w:r>
      <w:r w:rsidR="007E184E">
        <w:t xml:space="preserve"> gain</w:t>
      </w:r>
      <w:r w:rsidR="00885CC5">
        <w:t>ed</w:t>
      </w:r>
      <w:r w:rsidR="007E184E">
        <w:t xml:space="preserve"> a bidding advantage by offering lower resourcing levels</w:t>
      </w:r>
      <w:r w:rsidR="00D52783">
        <w:t xml:space="preserve"> in terms of clinical staff</w:t>
      </w:r>
      <w:r w:rsidR="00B542DE">
        <w:t>.</w:t>
      </w:r>
      <w:r w:rsidR="00E73096">
        <w:t xml:space="preserve"> </w:t>
      </w:r>
      <w:r w:rsidR="00D52783">
        <w:t xml:space="preserve">In terms of non-clinical staff, Medvivo </w:t>
      </w:r>
      <w:r w:rsidR="003867D5">
        <w:t xml:space="preserve">proposed </w:t>
      </w:r>
      <w:r w:rsidR="009209FE">
        <w:t xml:space="preserve">substantially fewer </w:t>
      </w:r>
      <w:r w:rsidR="00BF5D90">
        <w:t>non-</w:t>
      </w:r>
      <w:r w:rsidR="003867D5">
        <w:t xml:space="preserve">clinical staff </w:t>
      </w:r>
      <w:r w:rsidR="00BF5D90">
        <w:t xml:space="preserve">than </w:t>
      </w:r>
      <w:r w:rsidR="00883349">
        <w:t>Shropdoc</w:t>
      </w:r>
      <w:r w:rsidR="00A14E6B">
        <w:t xml:space="preserve">. </w:t>
      </w:r>
      <w:r w:rsidR="004356D2">
        <w:t xml:space="preserve">STW ICB told the Panel that </w:t>
      </w:r>
      <w:r w:rsidR="00DD4A3C">
        <w:t>th</w:t>
      </w:r>
      <w:r w:rsidR="00B92245">
        <w:t xml:space="preserve">e difference in the number of </w:t>
      </w:r>
      <w:r w:rsidR="00E73096">
        <w:t xml:space="preserve">non-clinical </w:t>
      </w:r>
      <w:r w:rsidR="00B92245">
        <w:t xml:space="preserve">staff </w:t>
      </w:r>
      <w:r w:rsidR="00E73096">
        <w:t xml:space="preserve">offered by </w:t>
      </w:r>
      <w:r w:rsidR="00B92245">
        <w:t xml:space="preserve">the two bidders </w:t>
      </w:r>
      <w:r w:rsidR="00DD4A3C">
        <w:t xml:space="preserve">was indicative of </w:t>
      </w:r>
      <w:r w:rsidR="00B92245">
        <w:t xml:space="preserve">their </w:t>
      </w:r>
      <w:r w:rsidR="00DD4A3C">
        <w:t>different business models</w:t>
      </w:r>
      <w:r w:rsidR="00E8126D">
        <w:t xml:space="preserve">, and their </w:t>
      </w:r>
      <w:r w:rsidR="003D4E90">
        <w:t xml:space="preserve">different </w:t>
      </w:r>
      <w:r w:rsidR="00E8126D">
        <w:t>abilit</w:t>
      </w:r>
      <w:r w:rsidR="003D4E90">
        <w:t>ies</w:t>
      </w:r>
      <w:r w:rsidR="00E8126D">
        <w:t xml:space="preserve"> to </w:t>
      </w:r>
      <w:r w:rsidR="003D4E90">
        <w:t>benefit from economies of scale,</w:t>
      </w:r>
      <w:r w:rsidR="00E8126D">
        <w:t xml:space="preserve"> rather than being related to service quality</w:t>
      </w:r>
      <w:r w:rsidR="00883349">
        <w:t>.</w:t>
      </w:r>
      <w:r w:rsidR="00EE6B1F">
        <w:rPr>
          <w:rStyle w:val="FootnoteReference"/>
        </w:rPr>
        <w:footnoteReference w:id="36"/>
      </w:r>
    </w:p>
    <w:p w14:paraId="0DD9F87B" w14:textId="1C22210F" w:rsidR="00B542DE" w:rsidRDefault="005D4AF1" w:rsidP="00DB360A">
      <w:pPr>
        <w:pStyle w:val="ListParagraph"/>
        <w:numPr>
          <w:ilvl w:val="0"/>
          <w:numId w:val="1"/>
        </w:numPr>
        <w:spacing w:line="276" w:lineRule="auto"/>
        <w:ind w:left="567" w:hanging="567"/>
        <w:contextualSpacing w:val="0"/>
      </w:pPr>
      <w:r>
        <w:t xml:space="preserve">In terms of STW ICB’s overall assessment of the quality </w:t>
      </w:r>
      <w:r w:rsidR="003A3F7E">
        <w:t xml:space="preserve">of Medvivo’s offer, </w:t>
      </w:r>
      <w:r w:rsidR="00633D85">
        <w:t>the Panel notes that Medvivo score</w:t>
      </w:r>
      <w:r w:rsidR="00F66134">
        <w:t>d</w:t>
      </w:r>
      <w:r w:rsidR="00633D85">
        <w:t xml:space="preserve"> approximately 25% more points than Shropdoc on the quality</w:t>
      </w:r>
      <w:r w:rsidR="00D559DC">
        <w:t xml:space="preserve"> based elements of its proposal.</w:t>
      </w:r>
      <w:r w:rsidR="00515088">
        <w:t xml:space="preserve"> This is a further indication that Medvivo did not </w:t>
      </w:r>
      <w:r w:rsidR="00294950">
        <w:t xml:space="preserve">“assume lower standards or resourcing levels” </w:t>
      </w:r>
      <w:r w:rsidR="00AD7B90">
        <w:t xml:space="preserve">as a means of winning the </w:t>
      </w:r>
      <w:r w:rsidR="003C7DE1">
        <w:t>tender</w:t>
      </w:r>
      <w:r w:rsidR="00C1149D">
        <w:t>, and its success in being selected was not solely due to pricing</w:t>
      </w:r>
      <w:r w:rsidR="003C7DE1">
        <w:t>.</w:t>
      </w:r>
    </w:p>
    <w:p w14:paraId="194A476C" w14:textId="089EA31F" w:rsidR="001C47D1" w:rsidRDefault="00752F5A">
      <w:pPr>
        <w:pStyle w:val="ListParagraph"/>
        <w:numPr>
          <w:ilvl w:val="0"/>
          <w:numId w:val="1"/>
        </w:numPr>
        <w:spacing w:line="276" w:lineRule="auto"/>
        <w:ind w:left="567" w:hanging="567"/>
        <w:contextualSpacing w:val="0"/>
      </w:pPr>
      <w:r>
        <w:t xml:space="preserve">Given these observations on </w:t>
      </w:r>
      <w:r w:rsidR="001C47D1">
        <w:t xml:space="preserve">quality and resourcing, the Panel’s view is that Medvivo did not “assume lower standards or resourcing levels” as a means of winning the tender, and </w:t>
      </w:r>
      <w:r w:rsidR="00640EF4">
        <w:t>given the outcome of concern to Shropdoc did not eventuate</w:t>
      </w:r>
      <w:r w:rsidR="001C47D1">
        <w:t xml:space="preserve">, there is no </w:t>
      </w:r>
      <w:r w:rsidR="002558C9">
        <w:t xml:space="preserve">consequent need to assess whether such an outcome gave rise to </w:t>
      </w:r>
      <w:r w:rsidR="003D1D4F">
        <w:t>STW ICB breaching its obligations under Regulation 4.</w:t>
      </w:r>
    </w:p>
    <w:p w14:paraId="7589A632" w14:textId="58C6A0EE" w:rsidR="00962EAE" w:rsidRPr="00962EAE" w:rsidRDefault="00417E59" w:rsidP="00962EAE">
      <w:pPr>
        <w:keepNext/>
        <w:spacing w:before="240" w:line="276" w:lineRule="auto"/>
        <w:rPr>
          <w:b/>
          <w:bCs/>
        </w:rPr>
      </w:pPr>
      <w:r>
        <w:rPr>
          <w:b/>
          <w:bCs/>
        </w:rPr>
        <w:t>7.2.</w:t>
      </w:r>
      <w:r w:rsidR="00B9563C">
        <w:rPr>
          <w:b/>
          <w:bCs/>
        </w:rPr>
        <w:t>3</w:t>
      </w:r>
      <w:r>
        <w:rPr>
          <w:b/>
          <w:bCs/>
        </w:rPr>
        <w:t xml:space="preserve"> </w:t>
      </w:r>
      <w:r w:rsidR="00A603B7">
        <w:rPr>
          <w:b/>
          <w:bCs/>
        </w:rPr>
        <w:t xml:space="preserve">STW’s </w:t>
      </w:r>
      <w:r w:rsidR="009274C3">
        <w:rPr>
          <w:b/>
          <w:bCs/>
        </w:rPr>
        <w:t xml:space="preserve">provision of </w:t>
      </w:r>
      <w:r w:rsidR="00962EAE" w:rsidRPr="00962EAE">
        <w:rPr>
          <w:b/>
          <w:bCs/>
        </w:rPr>
        <w:t xml:space="preserve">KPI </w:t>
      </w:r>
      <w:r w:rsidR="00765928">
        <w:rPr>
          <w:b/>
          <w:bCs/>
        </w:rPr>
        <w:t xml:space="preserve">and </w:t>
      </w:r>
      <w:r w:rsidR="00576D1D">
        <w:rPr>
          <w:b/>
          <w:bCs/>
        </w:rPr>
        <w:t>related</w:t>
      </w:r>
      <w:r w:rsidR="00765928">
        <w:rPr>
          <w:b/>
          <w:bCs/>
        </w:rPr>
        <w:t xml:space="preserve"> </w:t>
      </w:r>
      <w:r w:rsidR="00962EAE" w:rsidRPr="00962EAE">
        <w:rPr>
          <w:b/>
          <w:bCs/>
        </w:rPr>
        <w:t>information</w:t>
      </w:r>
      <w:r w:rsidR="009274C3">
        <w:rPr>
          <w:b/>
          <w:bCs/>
        </w:rPr>
        <w:t xml:space="preserve"> to bidders</w:t>
      </w:r>
    </w:p>
    <w:p w14:paraId="7ECDCE45" w14:textId="5CCAC39F" w:rsidR="00A96777" w:rsidRPr="00555900" w:rsidRDefault="00F148A2" w:rsidP="00311435">
      <w:pPr>
        <w:pStyle w:val="ListParagraph"/>
        <w:numPr>
          <w:ilvl w:val="0"/>
          <w:numId w:val="1"/>
        </w:numPr>
        <w:spacing w:line="276" w:lineRule="auto"/>
        <w:ind w:left="567" w:hanging="567"/>
        <w:contextualSpacing w:val="0"/>
      </w:pPr>
      <w:bookmarkStart w:id="23" w:name="_Ref201054236"/>
      <w:r>
        <w:t xml:space="preserve">This section </w:t>
      </w:r>
      <w:r w:rsidRPr="00555900">
        <w:t xml:space="preserve">reviews </w:t>
      </w:r>
      <w:r w:rsidR="00854D5D" w:rsidRPr="00555900">
        <w:t>Shropdoc’s concern</w:t>
      </w:r>
      <w:r w:rsidR="00A74CA2" w:rsidRPr="00555900">
        <w:t xml:space="preserve"> that </w:t>
      </w:r>
      <w:r w:rsidR="003A7E7F" w:rsidRPr="00555900">
        <w:t>“the lack of clarity and shifting guidance</w:t>
      </w:r>
      <w:r w:rsidR="00A74CA2" w:rsidRPr="00555900">
        <w:t xml:space="preserve"> (evidenced in the clarification log) made it impossible for bidders to accurately price or plan the service</w:t>
      </w:r>
      <w:r w:rsidR="0004307E" w:rsidRPr="00555900">
        <w:t>”</w:t>
      </w:r>
      <w:r w:rsidR="00555900" w:rsidRPr="00555900">
        <w:t xml:space="preserve"> (see paragraph </w:t>
      </w:r>
      <w:r w:rsidR="00555900" w:rsidRPr="00555900">
        <w:fldChar w:fldCharType="begin"/>
      </w:r>
      <w:r w:rsidR="00555900" w:rsidRPr="00555900">
        <w:instrText xml:space="preserve"> REF _Ref201597005 \r \h </w:instrText>
      </w:r>
      <w:r w:rsidR="00555900">
        <w:instrText xml:space="preserve"> \* MERGEFORMAT </w:instrText>
      </w:r>
      <w:r w:rsidR="00555900" w:rsidRPr="00555900">
        <w:fldChar w:fldCharType="separate"/>
      </w:r>
      <w:r w:rsidR="001B6CEC">
        <w:t>57</w:t>
      </w:r>
      <w:r w:rsidR="00555900" w:rsidRPr="00555900">
        <w:fldChar w:fldCharType="end"/>
      </w:r>
      <w:r w:rsidR="00555900" w:rsidRPr="00555900">
        <w:t>).</w:t>
      </w:r>
      <w:r w:rsidR="00C3673D">
        <w:t xml:space="preserve"> </w:t>
      </w:r>
      <w:r w:rsidR="00000317">
        <w:t xml:space="preserve">A lack of clarity </w:t>
      </w:r>
      <w:r w:rsidR="008813C5">
        <w:t xml:space="preserve">about a material element of </w:t>
      </w:r>
      <w:r w:rsidR="00FB402A">
        <w:t xml:space="preserve">the requirements </w:t>
      </w:r>
      <w:r w:rsidR="003C52A6">
        <w:t xml:space="preserve">for </w:t>
      </w:r>
      <w:r w:rsidR="00BF5ABE">
        <w:t xml:space="preserve">bidders </w:t>
      </w:r>
      <w:r w:rsidR="003C52A6">
        <w:t xml:space="preserve">could </w:t>
      </w:r>
      <w:r w:rsidR="00BF5ABE">
        <w:t xml:space="preserve">potentially </w:t>
      </w:r>
      <w:r w:rsidR="003C52A6">
        <w:t xml:space="preserve">bring into question </w:t>
      </w:r>
      <w:r w:rsidR="00BF5ABE">
        <w:t>STW ICB’s compliance with its obligation</w:t>
      </w:r>
      <w:r w:rsidR="00242E73">
        <w:t>s</w:t>
      </w:r>
      <w:r w:rsidR="00BF5ABE">
        <w:t xml:space="preserve"> under Regulation 4 to act transparently</w:t>
      </w:r>
      <w:r w:rsidR="00242E73">
        <w:t xml:space="preserve"> and fairly.</w:t>
      </w:r>
    </w:p>
    <w:p w14:paraId="01EC010B" w14:textId="7614D9AC" w:rsidR="000820B8" w:rsidRDefault="00F63F1F" w:rsidP="00311435">
      <w:pPr>
        <w:pStyle w:val="ListParagraph"/>
        <w:numPr>
          <w:ilvl w:val="0"/>
          <w:numId w:val="1"/>
        </w:numPr>
        <w:spacing w:line="276" w:lineRule="auto"/>
        <w:ind w:left="567" w:hanging="567"/>
        <w:contextualSpacing w:val="0"/>
      </w:pPr>
      <w:r>
        <w:lastRenderedPageBreak/>
        <w:t xml:space="preserve">The Panel reviewed the tender documentation and clarification questions to assess the extent to which bidders had clarity over both service standards and </w:t>
      </w:r>
      <w:r w:rsidR="0017278B">
        <w:t>KPIs</w:t>
      </w:r>
      <w:r w:rsidR="001E6626">
        <w:t xml:space="preserve"> </w:t>
      </w:r>
      <w:r w:rsidR="00F80612">
        <w:t xml:space="preserve">(given the conflation between these terms described in paragraph </w:t>
      </w:r>
      <w:r w:rsidR="00F954D7">
        <w:fldChar w:fldCharType="begin"/>
      </w:r>
      <w:r w:rsidR="00F954D7">
        <w:instrText xml:space="preserve"> REF _Ref201601758 \r \h </w:instrText>
      </w:r>
      <w:r w:rsidR="00F954D7">
        <w:fldChar w:fldCharType="separate"/>
      </w:r>
      <w:r w:rsidR="001B6CEC">
        <w:t>64</w:t>
      </w:r>
      <w:r w:rsidR="00F954D7">
        <w:fldChar w:fldCharType="end"/>
      </w:r>
      <w:r w:rsidR="00F954D7">
        <w:t>)</w:t>
      </w:r>
      <w:r w:rsidR="0017278B">
        <w:t>.</w:t>
      </w:r>
    </w:p>
    <w:p w14:paraId="32B0FF29" w14:textId="07C837E0" w:rsidR="006E661D" w:rsidRDefault="006E661D" w:rsidP="006E661D">
      <w:pPr>
        <w:pStyle w:val="ListParagraph"/>
        <w:numPr>
          <w:ilvl w:val="0"/>
          <w:numId w:val="1"/>
        </w:numPr>
        <w:spacing w:after="120" w:line="276" w:lineRule="auto"/>
        <w:ind w:left="567" w:hanging="567"/>
        <w:contextualSpacing w:val="0"/>
      </w:pPr>
      <w:r>
        <w:t xml:space="preserve">In relation to service standards, the </w:t>
      </w:r>
      <w:r w:rsidR="00AF743D">
        <w:t xml:space="preserve">service specification (part of the </w:t>
      </w:r>
      <w:r w:rsidR="0030327F">
        <w:t>tender documentation)</w:t>
      </w:r>
      <w:r>
        <w:t xml:space="preserve"> says that:</w:t>
      </w:r>
    </w:p>
    <w:p w14:paraId="43C2E6A6" w14:textId="0FD0D3A4" w:rsidR="006E661D" w:rsidRPr="006E661D" w:rsidRDefault="006E661D" w:rsidP="006E661D">
      <w:pPr>
        <w:pStyle w:val="ListParagraph"/>
        <w:numPr>
          <w:ilvl w:val="0"/>
          <w:numId w:val="0"/>
        </w:numPr>
        <w:spacing w:line="276" w:lineRule="auto"/>
        <w:ind w:left="851"/>
        <w:contextualSpacing w:val="0"/>
        <w:rPr>
          <w:sz w:val="21"/>
          <w:szCs w:val="21"/>
        </w:rPr>
      </w:pPr>
      <w:r w:rsidRPr="006E661D">
        <w:rPr>
          <w:sz w:val="21"/>
          <w:szCs w:val="21"/>
        </w:rPr>
        <w:t>“The winning bidder “will ensure that the Service is delivered in accordance with best practice in health care at all times and shall adhere to the current standards, and any future updates to standards, as outlined in this specification”. It goes on to note that these standards may evolve during the contract to “improve patient care, efficiency and integration across the patient journey” and the winning bidder “will be required to be flexible to change with the latest clinical evidence and best practice”. Further, the winning bidder “must continually make use of intelligence/research to understand how delivery can be refined to improve standards.”</w:t>
      </w:r>
      <w:r w:rsidRPr="006E661D">
        <w:rPr>
          <w:rStyle w:val="FootnoteReference"/>
          <w:sz w:val="21"/>
          <w:szCs w:val="21"/>
        </w:rPr>
        <w:footnoteReference w:id="37"/>
      </w:r>
    </w:p>
    <w:p w14:paraId="18DEA3C1" w14:textId="33D8449F" w:rsidR="00795B33" w:rsidRDefault="008B45E5" w:rsidP="00E05E77">
      <w:pPr>
        <w:pStyle w:val="ListParagraph"/>
        <w:numPr>
          <w:ilvl w:val="0"/>
          <w:numId w:val="1"/>
        </w:numPr>
        <w:spacing w:after="120" w:line="276" w:lineRule="auto"/>
        <w:ind w:left="567" w:hanging="567"/>
        <w:contextualSpacing w:val="0"/>
      </w:pPr>
      <w:r>
        <w:t xml:space="preserve">The </w:t>
      </w:r>
      <w:r w:rsidR="00AF743D">
        <w:t xml:space="preserve">service </w:t>
      </w:r>
      <w:r w:rsidR="00B875E1">
        <w:t xml:space="preserve">specification </w:t>
      </w:r>
      <w:r w:rsidR="00AF743D">
        <w:t xml:space="preserve">goes on to </w:t>
      </w:r>
      <w:r w:rsidR="00B875E1">
        <w:t xml:space="preserve">set out </w:t>
      </w:r>
      <w:r w:rsidR="00B46F0E">
        <w:t>numerous</w:t>
      </w:r>
      <w:r w:rsidR="00EA5981">
        <w:t xml:space="preserve"> standards</w:t>
      </w:r>
      <w:r w:rsidR="00066B7E">
        <w:t xml:space="preserve"> which, by way of example</w:t>
      </w:r>
      <w:r w:rsidR="00345269">
        <w:t xml:space="preserve">, include </w:t>
      </w:r>
      <w:r w:rsidR="00B875E1">
        <w:t>the following</w:t>
      </w:r>
      <w:r w:rsidR="005F0260">
        <w:t>:</w:t>
      </w:r>
    </w:p>
    <w:bookmarkEnd w:id="23"/>
    <w:p w14:paraId="1D37890C" w14:textId="0EE71409" w:rsidR="00E05E77" w:rsidRPr="00F90FF4" w:rsidRDefault="00E3468A" w:rsidP="003C6C37">
      <w:pPr>
        <w:pStyle w:val="ListParagraph"/>
        <w:numPr>
          <w:ilvl w:val="0"/>
          <w:numId w:val="11"/>
        </w:numPr>
        <w:spacing w:after="0" w:line="276" w:lineRule="auto"/>
        <w:ind w:left="1134" w:hanging="357"/>
        <w:contextualSpacing w:val="0"/>
        <w:rPr>
          <w:sz w:val="21"/>
          <w:szCs w:val="21"/>
        </w:rPr>
      </w:pPr>
      <w:r w:rsidRPr="00F90FF4">
        <w:rPr>
          <w:sz w:val="21"/>
          <w:szCs w:val="21"/>
        </w:rPr>
        <w:t>For GP Speak to Dispositions</w:t>
      </w:r>
      <w:r w:rsidR="00CC4D14" w:rsidRPr="00F90FF4">
        <w:rPr>
          <w:sz w:val="21"/>
          <w:szCs w:val="21"/>
        </w:rPr>
        <w:t xml:space="preserve">: </w:t>
      </w:r>
      <w:r w:rsidR="00DE386F" w:rsidRPr="00F90FF4">
        <w:rPr>
          <w:sz w:val="21"/>
          <w:szCs w:val="21"/>
        </w:rPr>
        <w:t>“</w:t>
      </w:r>
      <w:r w:rsidR="005F44DD" w:rsidRPr="00F90FF4">
        <w:rPr>
          <w:sz w:val="21"/>
          <w:szCs w:val="21"/>
        </w:rPr>
        <w:t>T</w:t>
      </w:r>
      <w:r w:rsidR="00E05E77" w:rsidRPr="00F90FF4">
        <w:rPr>
          <w:sz w:val="21"/>
          <w:szCs w:val="21"/>
        </w:rPr>
        <w:t>he patient will be informed by NHS 111 that a clinician will call them back within an allotted timeframe of between 1 and 6</w:t>
      </w:r>
      <w:r w:rsidR="00CC4D14" w:rsidRPr="00F90FF4">
        <w:rPr>
          <w:sz w:val="21"/>
          <w:szCs w:val="21"/>
        </w:rPr>
        <w:t> </w:t>
      </w:r>
      <w:r w:rsidR="00E05E77" w:rsidRPr="00F90FF4">
        <w:rPr>
          <w:sz w:val="21"/>
          <w:szCs w:val="21"/>
        </w:rPr>
        <w:t>hours.</w:t>
      </w:r>
      <w:r w:rsidR="00231F47" w:rsidRPr="00F90FF4">
        <w:rPr>
          <w:sz w:val="21"/>
          <w:szCs w:val="21"/>
        </w:rPr>
        <w:t xml:space="preserve"> </w:t>
      </w:r>
      <w:r w:rsidR="005F44DD" w:rsidRPr="00F90FF4">
        <w:rPr>
          <w:sz w:val="21"/>
          <w:szCs w:val="21"/>
        </w:rPr>
        <w:t>T</w:t>
      </w:r>
      <w:r w:rsidR="00E05E77" w:rsidRPr="00F90FF4">
        <w:rPr>
          <w:sz w:val="21"/>
          <w:szCs w:val="21"/>
        </w:rPr>
        <w:t>he GP OOH Provider will deliver a telephone first consultation model which could result in one of three outcomes:</w:t>
      </w:r>
    </w:p>
    <w:p w14:paraId="769158D7" w14:textId="475764D5" w:rsidR="00E05E77" w:rsidRPr="00F90FF4" w:rsidRDefault="00E05E77" w:rsidP="00A77129">
      <w:pPr>
        <w:pStyle w:val="ListParagraph"/>
        <w:spacing w:after="120" w:line="276" w:lineRule="auto"/>
        <w:ind w:left="1701"/>
        <w:rPr>
          <w:sz w:val="21"/>
          <w:szCs w:val="21"/>
        </w:rPr>
      </w:pPr>
      <w:r w:rsidRPr="11FDC08F">
        <w:rPr>
          <w:sz w:val="21"/>
          <w:szCs w:val="21"/>
        </w:rPr>
        <w:t>Consultation and any required interventions completed, no further actions</w:t>
      </w:r>
      <w:r w:rsidR="6D8A42F8" w:rsidRPr="11FDC08F">
        <w:rPr>
          <w:sz w:val="21"/>
          <w:szCs w:val="21"/>
        </w:rPr>
        <w:t>.</w:t>
      </w:r>
    </w:p>
    <w:p w14:paraId="410A14E2" w14:textId="7A2684B1" w:rsidR="00E05E77" w:rsidRPr="00F90FF4" w:rsidRDefault="00E05E77" w:rsidP="00A77129">
      <w:pPr>
        <w:pStyle w:val="ListParagraph"/>
        <w:spacing w:after="120" w:line="276" w:lineRule="auto"/>
        <w:ind w:left="1701"/>
        <w:rPr>
          <w:sz w:val="21"/>
          <w:szCs w:val="21"/>
        </w:rPr>
      </w:pPr>
      <w:r w:rsidRPr="00F90FF4">
        <w:rPr>
          <w:sz w:val="21"/>
          <w:szCs w:val="21"/>
        </w:rPr>
        <w:t xml:space="preserve">Face </w:t>
      </w:r>
      <w:r w:rsidR="48C8EE96" w:rsidRPr="2A47B4D4">
        <w:rPr>
          <w:sz w:val="21"/>
          <w:szCs w:val="21"/>
        </w:rPr>
        <w:t>-</w:t>
      </w:r>
      <w:r w:rsidRPr="00F90FF4">
        <w:rPr>
          <w:sz w:val="21"/>
          <w:szCs w:val="21"/>
        </w:rPr>
        <w:t>to</w:t>
      </w:r>
      <w:r w:rsidR="404C2B05" w:rsidRPr="2A47B4D4">
        <w:rPr>
          <w:sz w:val="21"/>
          <w:szCs w:val="21"/>
        </w:rPr>
        <w:t>-</w:t>
      </w:r>
      <w:r w:rsidRPr="00F90FF4">
        <w:rPr>
          <w:sz w:val="21"/>
          <w:szCs w:val="21"/>
        </w:rPr>
        <w:t>face in-clinic appointment required – appointment booked for same day</w:t>
      </w:r>
      <w:r w:rsidR="5B07E611" w:rsidRPr="2A47B4D4">
        <w:rPr>
          <w:sz w:val="21"/>
          <w:szCs w:val="21"/>
        </w:rPr>
        <w:t>.</w:t>
      </w:r>
    </w:p>
    <w:p w14:paraId="3AD007C8" w14:textId="26698ED3" w:rsidR="00E05E77" w:rsidRPr="00F90FF4" w:rsidRDefault="00E05E77" w:rsidP="00A77129">
      <w:pPr>
        <w:pStyle w:val="ListParagraph"/>
        <w:spacing w:after="120" w:line="276" w:lineRule="auto"/>
        <w:ind w:left="1701" w:hanging="357"/>
        <w:contextualSpacing w:val="0"/>
        <w:rPr>
          <w:sz w:val="21"/>
          <w:szCs w:val="21"/>
        </w:rPr>
      </w:pPr>
      <w:r w:rsidRPr="00F90FF4">
        <w:rPr>
          <w:sz w:val="21"/>
          <w:szCs w:val="21"/>
        </w:rPr>
        <w:t>Face to face home visit required – visit booked for same day.</w:t>
      </w:r>
      <w:r w:rsidR="00DE386F" w:rsidRPr="00F90FF4">
        <w:rPr>
          <w:sz w:val="21"/>
          <w:szCs w:val="21"/>
        </w:rPr>
        <w:t>”</w:t>
      </w:r>
      <w:r w:rsidR="0000603B" w:rsidRPr="00F90FF4">
        <w:rPr>
          <w:rStyle w:val="FootnoteReference"/>
          <w:sz w:val="21"/>
          <w:szCs w:val="21"/>
        </w:rPr>
        <w:footnoteReference w:id="38"/>
      </w:r>
    </w:p>
    <w:p w14:paraId="59C749CA" w14:textId="79EB5101" w:rsidR="00E05E77" w:rsidRPr="00F90FF4" w:rsidRDefault="00231F47" w:rsidP="003C6C37">
      <w:pPr>
        <w:pStyle w:val="ListParagraph"/>
        <w:numPr>
          <w:ilvl w:val="0"/>
          <w:numId w:val="11"/>
        </w:numPr>
        <w:spacing w:after="120" w:line="276" w:lineRule="auto"/>
        <w:ind w:left="1134"/>
        <w:contextualSpacing w:val="0"/>
        <w:rPr>
          <w:sz w:val="21"/>
          <w:szCs w:val="21"/>
        </w:rPr>
      </w:pPr>
      <w:r w:rsidRPr="00F90FF4">
        <w:rPr>
          <w:sz w:val="21"/>
          <w:szCs w:val="21"/>
        </w:rPr>
        <w:t xml:space="preserve">For Telephone Triage: </w:t>
      </w:r>
      <w:r w:rsidR="00DE386F" w:rsidRPr="00F90FF4">
        <w:rPr>
          <w:sz w:val="21"/>
          <w:szCs w:val="21"/>
        </w:rPr>
        <w:t>“</w:t>
      </w:r>
      <w:r w:rsidR="00817ACD" w:rsidRPr="00F90FF4">
        <w:rPr>
          <w:sz w:val="21"/>
          <w:szCs w:val="21"/>
        </w:rPr>
        <w:t>The local GP Out of Hours Provider’s clinical system</w:t>
      </w:r>
      <w:r w:rsidR="005D5601" w:rsidRPr="00F90FF4">
        <w:rPr>
          <w:sz w:val="21"/>
          <w:szCs w:val="21"/>
        </w:rPr>
        <w:t xml:space="preserve">s must be able to offer telephone triage of all patients received from NHS 111 and process this in a timely manner … </w:t>
      </w:r>
      <w:r w:rsidR="0024528A" w:rsidRPr="00F90FF4">
        <w:rPr>
          <w:rFonts w:cs="Arial"/>
          <w:color w:val="000000"/>
          <w:sz w:val="21"/>
          <w:szCs w:val="21"/>
        </w:rPr>
        <w:t xml:space="preserve">Following telephone triage, it may be deemed that the patient’s condition is such that they can wait to be seen in primary care during normal working hours, and no further action will be taken by the GP Out of Hours Provider. </w:t>
      </w:r>
      <w:r w:rsidR="005F44DD" w:rsidRPr="00F90FF4">
        <w:rPr>
          <w:sz w:val="21"/>
          <w:szCs w:val="21"/>
        </w:rPr>
        <w:t>T</w:t>
      </w:r>
      <w:r w:rsidR="00E05E77" w:rsidRPr="00F90FF4">
        <w:rPr>
          <w:sz w:val="21"/>
          <w:szCs w:val="21"/>
        </w:rPr>
        <w:t>he Provider will ensure the patient’s GP is informed of the consultation and its outcomes by 08:00 in the morning of the next normal working day.</w:t>
      </w:r>
      <w:r w:rsidR="00DE386F" w:rsidRPr="00F90FF4">
        <w:rPr>
          <w:sz w:val="21"/>
          <w:szCs w:val="21"/>
        </w:rPr>
        <w:t>”</w:t>
      </w:r>
      <w:r w:rsidR="0066580E" w:rsidRPr="00F90FF4">
        <w:rPr>
          <w:rStyle w:val="FootnoteReference"/>
          <w:sz w:val="21"/>
          <w:szCs w:val="21"/>
        </w:rPr>
        <w:footnoteReference w:id="39"/>
      </w:r>
    </w:p>
    <w:p w14:paraId="4D66A4D2" w14:textId="176EAC81" w:rsidR="00E05E77" w:rsidRPr="00F90FF4" w:rsidRDefault="00870C0F" w:rsidP="003C6C37">
      <w:pPr>
        <w:pStyle w:val="ListParagraph"/>
        <w:numPr>
          <w:ilvl w:val="0"/>
          <w:numId w:val="11"/>
        </w:numPr>
        <w:spacing w:after="120" w:line="276" w:lineRule="auto"/>
        <w:ind w:left="1134"/>
        <w:contextualSpacing w:val="0"/>
        <w:rPr>
          <w:sz w:val="21"/>
          <w:szCs w:val="21"/>
        </w:rPr>
      </w:pPr>
      <w:r w:rsidRPr="00F90FF4">
        <w:rPr>
          <w:sz w:val="21"/>
          <w:szCs w:val="21"/>
        </w:rPr>
        <w:t>Face to Face Consultations – Home Visits: “</w:t>
      </w:r>
      <w:r w:rsidR="005F44DD" w:rsidRPr="00F90FF4">
        <w:rPr>
          <w:sz w:val="21"/>
          <w:szCs w:val="21"/>
        </w:rPr>
        <w:t>T</w:t>
      </w:r>
      <w:r w:rsidR="00E05E77" w:rsidRPr="00F90FF4">
        <w:rPr>
          <w:sz w:val="21"/>
          <w:szCs w:val="21"/>
        </w:rPr>
        <w:t>he local GP Out of Hours Provider system must be able to triage all requests for home visits in a timely manner. Response times will be measured from the point of receipt of the request for telephone triage, and national IUC KPIs 2022 stated that 95% of patients should be seen within the timeframe agreed,</w:t>
      </w:r>
      <w:r w:rsidR="00F74D31" w:rsidRPr="009509B5">
        <w:rPr>
          <w:vertAlign w:val="superscript"/>
        </w:rPr>
        <w:footnoteReference w:id="40"/>
      </w:r>
      <w:r w:rsidR="00E05E77" w:rsidRPr="009509B5">
        <w:rPr>
          <w:sz w:val="21"/>
          <w:szCs w:val="21"/>
          <w:vertAlign w:val="superscript"/>
        </w:rPr>
        <w:t xml:space="preserve"> </w:t>
      </w:r>
      <w:r w:rsidR="00E05E77" w:rsidRPr="2A47B4D4">
        <w:rPr>
          <w:sz w:val="21"/>
          <w:szCs w:val="21"/>
        </w:rPr>
        <w:t>for</w:t>
      </w:r>
      <w:r w:rsidR="00E05E77" w:rsidRPr="00F90FF4">
        <w:rPr>
          <w:sz w:val="21"/>
          <w:szCs w:val="21"/>
        </w:rPr>
        <w:t xml:space="preserve"> example:</w:t>
      </w:r>
    </w:p>
    <w:p w14:paraId="75CDEF57" w14:textId="15DB47A6" w:rsidR="00E05E77" w:rsidRPr="00F90FF4" w:rsidRDefault="00E05E77" w:rsidP="003C6C37">
      <w:pPr>
        <w:pStyle w:val="ListParagraph"/>
        <w:numPr>
          <w:ilvl w:val="0"/>
          <w:numId w:val="12"/>
        </w:numPr>
        <w:spacing w:after="120" w:line="276" w:lineRule="auto"/>
        <w:rPr>
          <w:sz w:val="21"/>
          <w:szCs w:val="21"/>
        </w:rPr>
      </w:pPr>
      <w:r w:rsidRPr="00F90FF4">
        <w:rPr>
          <w:sz w:val="21"/>
          <w:szCs w:val="21"/>
        </w:rPr>
        <w:t>Emergency</w:t>
      </w:r>
      <w:r w:rsidRPr="00F90FF4">
        <w:rPr>
          <w:sz w:val="21"/>
          <w:szCs w:val="21"/>
        </w:rPr>
        <w:tab/>
      </w:r>
      <w:r w:rsidR="007D66A5" w:rsidRPr="00F90FF4">
        <w:rPr>
          <w:sz w:val="21"/>
          <w:szCs w:val="21"/>
        </w:rPr>
        <w:tab/>
      </w:r>
      <w:r w:rsidRPr="00F90FF4">
        <w:rPr>
          <w:sz w:val="21"/>
          <w:szCs w:val="21"/>
        </w:rPr>
        <w:t>Within 1 hour</w:t>
      </w:r>
    </w:p>
    <w:p w14:paraId="7863E1C0" w14:textId="7A1646C9" w:rsidR="00E05E77" w:rsidRPr="00F90FF4" w:rsidRDefault="00E05E77" w:rsidP="003C6C37">
      <w:pPr>
        <w:pStyle w:val="ListParagraph"/>
        <w:numPr>
          <w:ilvl w:val="0"/>
          <w:numId w:val="12"/>
        </w:numPr>
        <w:spacing w:after="120" w:line="276" w:lineRule="auto"/>
        <w:rPr>
          <w:sz w:val="21"/>
          <w:szCs w:val="21"/>
        </w:rPr>
      </w:pPr>
      <w:r w:rsidRPr="00F90FF4">
        <w:rPr>
          <w:sz w:val="21"/>
          <w:szCs w:val="21"/>
        </w:rPr>
        <w:t>Urgent</w:t>
      </w:r>
      <w:r w:rsidRPr="00F90FF4">
        <w:rPr>
          <w:sz w:val="21"/>
          <w:szCs w:val="21"/>
        </w:rPr>
        <w:tab/>
      </w:r>
      <w:r w:rsidR="007D66A5" w:rsidRPr="00F90FF4">
        <w:rPr>
          <w:sz w:val="21"/>
          <w:szCs w:val="21"/>
        </w:rPr>
        <w:tab/>
      </w:r>
      <w:r w:rsidRPr="00F90FF4">
        <w:rPr>
          <w:sz w:val="21"/>
          <w:szCs w:val="21"/>
        </w:rPr>
        <w:t>Within 2 hours</w:t>
      </w:r>
    </w:p>
    <w:p w14:paraId="2AD87A69" w14:textId="103F3EBD" w:rsidR="00E05E77" w:rsidRPr="00F90FF4" w:rsidRDefault="00E05E77" w:rsidP="003C6C37">
      <w:pPr>
        <w:pStyle w:val="ListParagraph"/>
        <w:numPr>
          <w:ilvl w:val="0"/>
          <w:numId w:val="12"/>
        </w:numPr>
        <w:spacing w:line="276" w:lineRule="auto"/>
        <w:ind w:left="1712" w:hanging="357"/>
        <w:contextualSpacing w:val="0"/>
        <w:rPr>
          <w:sz w:val="21"/>
          <w:szCs w:val="21"/>
        </w:rPr>
      </w:pPr>
      <w:r w:rsidRPr="00F90FF4">
        <w:rPr>
          <w:sz w:val="21"/>
          <w:szCs w:val="21"/>
        </w:rPr>
        <w:t>Less Urgent</w:t>
      </w:r>
      <w:r w:rsidRPr="00F90FF4">
        <w:rPr>
          <w:sz w:val="21"/>
          <w:szCs w:val="21"/>
        </w:rPr>
        <w:tab/>
      </w:r>
      <w:r w:rsidR="00F90FF4">
        <w:rPr>
          <w:sz w:val="21"/>
          <w:szCs w:val="21"/>
        </w:rPr>
        <w:tab/>
      </w:r>
      <w:r w:rsidRPr="00F90FF4">
        <w:rPr>
          <w:sz w:val="21"/>
          <w:szCs w:val="21"/>
        </w:rPr>
        <w:t>Within 6 hours”</w:t>
      </w:r>
      <w:r w:rsidRPr="00F90FF4">
        <w:rPr>
          <w:rStyle w:val="FootnoteReference"/>
          <w:sz w:val="21"/>
          <w:szCs w:val="21"/>
        </w:rPr>
        <w:footnoteReference w:id="41"/>
      </w:r>
    </w:p>
    <w:p w14:paraId="4662E736" w14:textId="38024B8C" w:rsidR="00343CEF" w:rsidRDefault="006E5FC1" w:rsidP="00110F74">
      <w:pPr>
        <w:pStyle w:val="ListParagraph"/>
        <w:numPr>
          <w:ilvl w:val="0"/>
          <w:numId w:val="1"/>
        </w:numPr>
        <w:spacing w:after="120" w:line="276" w:lineRule="auto"/>
        <w:ind w:left="567" w:hanging="567"/>
        <w:contextualSpacing w:val="0"/>
      </w:pPr>
      <w:bookmarkStart w:id="24" w:name="_Ref201911709"/>
      <w:r>
        <w:t xml:space="preserve">In </w:t>
      </w:r>
      <w:r w:rsidR="00345269">
        <w:t xml:space="preserve">relation to </w:t>
      </w:r>
      <w:r w:rsidR="00390B0A">
        <w:t>KPIs, t</w:t>
      </w:r>
      <w:r w:rsidR="00343CEF">
        <w:t xml:space="preserve">he </w:t>
      </w:r>
      <w:r w:rsidR="00B46F0E">
        <w:t xml:space="preserve">service </w:t>
      </w:r>
      <w:r w:rsidR="003F0650">
        <w:t xml:space="preserve">specification </w:t>
      </w:r>
      <w:r w:rsidR="005D634E">
        <w:t>s</w:t>
      </w:r>
      <w:r w:rsidR="00DF74FC">
        <w:t>ays</w:t>
      </w:r>
      <w:r w:rsidR="005D634E">
        <w:t>:</w:t>
      </w:r>
      <w:bookmarkEnd w:id="24"/>
    </w:p>
    <w:p w14:paraId="079BB2BA" w14:textId="39AFE2BA" w:rsidR="005E3721" w:rsidRPr="000B7BD6" w:rsidRDefault="005E3721" w:rsidP="2A47B4D4">
      <w:pPr>
        <w:pStyle w:val="ListParagraph"/>
        <w:numPr>
          <w:ilvl w:val="0"/>
          <w:numId w:val="0"/>
        </w:numPr>
        <w:spacing w:after="120" w:line="276" w:lineRule="auto"/>
        <w:ind w:left="851"/>
        <w:rPr>
          <w:sz w:val="21"/>
          <w:szCs w:val="21"/>
        </w:rPr>
      </w:pPr>
      <w:r w:rsidRPr="000B7BD6">
        <w:rPr>
          <w:sz w:val="21"/>
          <w:szCs w:val="21"/>
        </w:rPr>
        <w:lastRenderedPageBreak/>
        <w:t>“Key Performance Indicators will be set out in Schedule 4 Part A-C</w:t>
      </w:r>
      <w:r w:rsidR="00F90FF4">
        <w:rPr>
          <w:sz w:val="21"/>
          <w:szCs w:val="21"/>
        </w:rPr>
        <w:t xml:space="preserve"> [of the contract with the winning bidder]</w:t>
      </w:r>
      <w:r w:rsidRPr="000B7BD6">
        <w:rPr>
          <w:sz w:val="21"/>
          <w:szCs w:val="21"/>
        </w:rPr>
        <w:t>.</w:t>
      </w:r>
      <w:r w:rsidR="007D0AB2">
        <w:rPr>
          <w:sz w:val="21"/>
          <w:szCs w:val="21"/>
        </w:rPr>
        <w:t xml:space="preserve"> </w:t>
      </w:r>
      <w:r w:rsidRPr="000B7BD6">
        <w:rPr>
          <w:sz w:val="21"/>
          <w:szCs w:val="21"/>
        </w:rPr>
        <w:t xml:space="preserve">The latest national Data and Reporting requirements are detailed in the IUC KPIs 2023/24 </w:t>
      </w:r>
      <w:hyperlink r:id="rId11">
        <w:r w:rsidRPr="2A47B4D4">
          <w:rPr>
            <w:rStyle w:val="Hyperlink"/>
            <w:sz w:val="21"/>
            <w:szCs w:val="21"/>
          </w:rPr>
          <w:t>https://www.england.nhs.uk/publication/integrated-urgent-care-key-performance-indicators/</w:t>
        </w:r>
      </w:hyperlink>
      <w:r w:rsidRPr="000B7BD6">
        <w:rPr>
          <w:sz w:val="21"/>
          <w:szCs w:val="21"/>
        </w:rPr>
        <w:t>. However, it is expected that a revised set of KPIs will be in place at the point of contract award and these are therefore subject to change.</w:t>
      </w:r>
    </w:p>
    <w:p w14:paraId="7B244549" w14:textId="0D1A0148" w:rsidR="005E3721" w:rsidRPr="000B7BD6" w:rsidRDefault="005E3721" w:rsidP="009C3A44">
      <w:pPr>
        <w:pStyle w:val="ListParagraph"/>
        <w:numPr>
          <w:ilvl w:val="0"/>
          <w:numId w:val="0"/>
        </w:numPr>
        <w:spacing w:line="276" w:lineRule="auto"/>
        <w:ind w:left="851"/>
        <w:contextualSpacing w:val="0"/>
        <w:rPr>
          <w:sz w:val="21"/>
          <w:szCs w:val="21"/>
        </w:rPr>
      </w:pPr>
      <w:r>
        <w:rPr>
          <w:sz w:val="21"/>
          <w:szCs w:val="21"/>
        </w:rPr>
        <w:t>“</w:t>
      </w:r>
      <w:r w:rsidRPr="000B7BD6">
        <w:rPr>
          <w:sz w:val="21"/>
          <w:szCs w:val="21"/>
        </w:rPr>
        <w:t>In addition to national and regional requirements, the Provider must comply with the additional requirements detailed in the local activity and finance templates which will be agreed with the successful Provider during mobilisation, in line with the latest NHS England and NHS STW operational planning guidance.</w:t>
      </w:r>
      <w:r w:rsidR="004651EC">
        <w:rPr>
          <w:rStyle w:val="FootnoteReference"/>
          <w:sz w:val="21"/>
          <w:szCs w:val="21"/>
        </w:rPr>
        <w:t>”</w:t>
      </w:r>
      <w:r w:rsidR="004651EC" w:rsidRPr="00F90FF4">
        <w:rPr>
          <w:rStyle w:val="FootnoteReference"/>
          <w:sz w:val="21"/>
          <w:szCs w:val="21"/>
        </w:rPr>
        <w:footnoteReference w:id="42"/>
      </w:r>
    </w:p>
    <w:p w14:paraId="6DAFC473" w14:textId="0B7EFD61" w:rsidR="00B113B2" w:rsidRDefault="00DC2CF8" w:rsidP="000A264F">
      <w:pPr>
        <w:pStyle w:val="ListParagraph"/>
        <w:numPr>
          <w:ilvl w:val="0"/>
          <w:numId w:val="1"/>
        </w:numPr>
        <w:spacing w:line="276" w:lineRule="auto"/>
        <w:ind w:left="567" w:hanging="567"/>
        <w:contextualSpacing w:val="0"/>
      </w:pPr>
      <w:r>
        <w:t xml:space="preserve">A limited </w:t>
      </w:r>
      <w:r w:rsidRPr="000A264F">
        <w:rPr>
          <w:sz w:val="21"/>
          <w:szCs w:val="21"/>
        </w:rPr>
        <w:t>number</w:t>
      </w:r>
      <w:r>
        <w:t xml:space="preserve"> of KPIs are also </w:t>
      </w:r>
      <w:r w:rsidR="00BF4455">
        <w:t xml:space="preserve">included in the specification. For example, in relation to complaints handling, </w:t>
      </w:r>
      <w:r w:rsidR="00F01074">
        <w:t xml:space="preserve">the specification says that </w:t>
      </w:r>
      <w:r w:rsidR="68FF7D3F">
        <w:t xml:space="preserve">the </w:t>
      </w:r>
      <w:r w:rsidR="00F01074">
        <w:t>provider must ensure that “100% of complaints are acknowledged within 2 working days” and “</w:t>
      </w:r>
      <w:r w:rsidR="00BB5247">
        <w:t>85% of complaints are responded to in 25 working days”.</w:t>
      </w:r>
      <w:r w:rsidR="00D71404" w:rsidRPr="00F90FF4">
        <w:rPr>
          <w:rStyle w:val="FootnoteReference"/>
          <w:sz w:val="21"/>
          <w:szCs w:val="21"/>
        </w:rPr>
        <w:footnoteReference w:id="43"/>
      </w:r>
    </w:p>
    <w:p w14:paraId="265CD607" w14:textId="7C64FE0D" w:rsidR="001C540C" w:rsidRDefault="001C540C" w:rsidP="001C540C">
      <w:pPr>
        <w:pStyle w:val="ListParagraph"/>
        <w:numPr>
          <w:ilvl w:val="0"/>
          <w:numId w:val="1"/>
        </w:numPr>
        <w:spacing w:after="0" w:line="276" w:lineRule="auto"/>
        <w:ind w:left="567" w:hanging="567"/>
        <w:contextualSpacing w:val="0"/>
      </w:pPr>
      <w:r>
        <w:t>T</w:t>
      </w:r>
      <w:r w:rsidRPr="00F51E1D">
        <w:t>he</w:t>
      </w:r>
      <w:r>
        <w:t xml:space="preserve"> </w:t>
      </w:r>
      <w:r w:rsidRPr="00F51E1D">
        <w:t xml:space="preserve">service specification </w:t>
      </w:r>
      <w:r w:rsidR="00BD428E">
        <w:t xml:space="preserve">also </w:t>
      </w:r>
      <w:r>
        <w:t xml:space="preserve">refers bidders to several documents </w:t>
      </w:r>
      <w:r w:rsidR="00BD428E">
        <w:t xml:space="preserve">outside the tender documentation </w:t>
      </w:r>
      <w:r>
        <w:t>that set out potentially relevant standards and KPIs, including:</w:t>
      </w:r>
    </w:p>
    <w:p w14:paraId="528B91CD" w14:textId="373C3524" w:rsidR="001C540C" w:rsidRPr="00302453" w:rsidRDefault="001C540C" w:rsidP="003C6C37">
      <w:pPr>
        <w:pStyle w:val="ListParagraph"/>
        <w:numPr>
          <w:ilvl w:val="0"/>
          <w:numId w:val="9"/>
        </w:numPr>
        <w:spacing w:line="276" w:lineRule="auto"/>
        <w:ind w:left="1418"/>
      </w:pPr>
      <w:r>
        <w:t xml:space="preserve">the </w:t>
      </w:r>
      <w:r w:rsidRPr="00302453">
        <w:t>National I</w:t>
      </w:r>
      <w:r>
        <w:t xml:space="preserve">ntegrated </w:t>
      </w:r>
      <w:r w:rsidRPr="00302453">
        <w:t>U</w:t>
      </w:r>
      <w:r>
        <w:t xml:space="preserve">rgent </w:t>
      </w:r>
      <w:r w:rsidRPr="00302453">
        <w:t>C</w:t>
      </w:r>
      <w:r>
        <w:t>are</w:t>
      </w:r>
      <w:r w:rsidRPr="00302453">
        <w:t xml:space="preserve"> Specification </w:t>
      </w:r>
      <w:r>
        <w:t>(</w:t>
      </w:r>
      <w:r w:rsidRPr="00302453">
        <w:t>August 2017</w:t>
      </w:r>
      <w:r>
        <w:t>)</w:t>
      </w:r>
      <w:r w:rsidRPr="00302453">
        <w:t>;</w:t>
      </w:r>
    </w:p>
    <w:p w14:paraId="4F653558" w14:textId="77777777" w:rsidR="001C540C" w:rsidRPr="00302453" w:rsidRDefault="001C540C" w:rsidP="003C6C37">
      <w:pPr>
        <w:pStyle w:val="ListParagraph"/>
        <w:numPr>
          <w:ilvl w:val="0"/>
          <w:numId w:val="9"/>
        </w:numPr>
        <w:spacing w:line="276" w:lineRule="auto"/>
        <w:ind w:left="1418"/>
      </w:pPr>
      <w:r w:rsidRPr="00302453">
        <w:t>NHS Digital Booking and Referral Standard; and</w:t>
      </w:r>
    </w:p>
    <w:p w14:paraId="78BC62EE" w14:textId="0A7B3591" w:rsidR="001C540C" w:rsidRPr="00302453" w:rsidRDefault="001C540C" w:rsidP="003C6C37">
      <w:pPr>
        <w:pStyle w:val="ListParagraph"/>
        <w:numPr>
          <w:ilvl w:val="0"/>
          <w:numId w:val="9"/>
        </w:numPr>
        <w:spacing w:line="276" w:lineRule="auto"/>
        <w:ind w:left="1418"/>
        <w:contextualSpacing w:val="0"/>
      </w:pPr>
      <w:r w:rsidRPr="00302453">
        <w:t>NHS England’s Integrated Urgent Care Key Performance Indicators 2023/24</w:t>
      </w:r>
      <w:r w:rsidR="00931025">
        <w:t xml:space="preserve"> (see paragraph </w:t>
      </w:r>
      <w:r w:rsidR="00931025">
        <w:fldChar w:fldCharType="begin"/>
      </w:r>
      <w:r w:rsidR="00931025">
        <w:instrText xml:space="preserve"> REF _Ref201911709 \r \h </w:instrText>
      </w:r>
      <w:r w:rsidR="009509B5">
        <w:instrText xml:space="preserve"> \* MERGEFORMAT </w:instrText>
      </w:r>
      <w:r w:rsidR="00931025">
        <w:fldChar w:fldCharType="separate"/>
      </w:r>
      <w:r w:rsidR="000D028F">
        <w:t>75</w:t>
      </w:r>
      <w:r w:rsidR="00931025">
        <w:fldChar w:fldCharType="end"/>
      </w:r>
      <w:r w:rsidR="00931025">
        <w:t>)</w:t>
      </w:r>
      <w:r w:rsidRPr="00302453">
        <w:t>.</w:t>
      </w:r>
      <w:r w:rsidRPr="009509B5">
        <w:rPr>
          <w:vertAlign w:val="superscript"/>
        </w:rPr>
        <w:footnoteReference w:id="44"/>
      </w:r>
    </w:p>
    <w:p w14:paraId="20D91049" w14:textId="099717E5" w:rsidR="00FD5684" w:rsidRPr="0058785C" w:rsidRDefault="00110F74" w:rsidP="00693E56">
      <w:pPr>
        <w:pStyle w:val="ListParagraph"/>
        <w:numPr>
          <w:ilvl w:val="0"/>
          <w:numId w:val="1"/>
        </w:numPr>
        <w:spacing w:line="276" w:lineRule="auto"/>
        <w:ind w:left="567" w:hanging="567"/>
        <w:contextualSpacing w:val="0"/>
      </w:pPr>
      <w:bookmarkStart w:id="25" w:name="_Ref201911888"/>
      <w:r>
        <w:t xml:space="preserve">STW ICB’s responses to bidders’ </w:t>
      </w:r>
      <w:r w:rsidR="00771607">
        <w:t>c</w:t>
      </w:r>
      <w:r w:rsidR="00FB1639" w:rsidRPr="00FB1639">
        <w:t xml:space="preserve">larification </w:t>
      </w:r>
      <w:r w:rsidR="00FB1639" w:rsidRPr="003A4F69">
        <w:t>questions</w:t>
      </w:r>
      <w:r w:rsidR="00644AA4">
        <w:t xml:space="preserve"> </w:t>
      </w:r>
      <w:r w:rsidR="00771607">
        <w:t xml:space="preserve">concerning </w:t>
      </w:r>
      <w:r w:rsidR="00D87686">
        <w:t xml:space="preserve">service standards and </w:t>
      </w:r>
      <w:r w:rsidR="00771607">
        <w:t>KPIs</w:t>
      </w:r>
      <w:r w:rsidR="00F45223">
        <w:t xml:space="preserve"> </w:t>
      </w:r>
      <w:r w:rsidR="00FF0AA6">
        <w:t xml:space="preserve">are set out in the </w:t>
      </w:r>
      <w:r w:rsidR="006A4962">
        <w:t>table below</w:t>
      </w:r>
      <w:r w:rsidR="00771607">
        <w:t>.</w:t>
      </w:r>
      <w:r w:rsidR="004D64CD" w:rsidRPr="003A4F69">
        <w:rPr>
          <w:vertAlign w:val="superscript"/>
        </w:rPr>
        <w:footnoteReference w:id="45"/>
      </w:r>
      <w:bookmarkEnd w:id="25"/>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88"/>
        <w:gridCol w:w="4209"/>
        <w:gridCol w:w="4209"/>
      </w:tblGrid>
      <w:tr w:rsidR="00B559DB" w:rsidRPr="00255458" w14:paraId="222D40B6" w14:textId="77777777" w:rsidTr="004E7A83">
        <w:trPr>
          <w:trHeight w:val="315"/>
        </w:trPr>
        <w:tc>
          <w:tcPr>
            <w:tcW w:w="326" w:type="pct"/>
            <w:noWrap/>
            <w:hideMark/>
          </w:tcPr>
          <w:p w14:paraId="3319F89F" w14:textId="605E7E99" w:rsidR="00B559DB" w:rsidRPr="00255458" w:rsidRDefault="0041323B" w:rsidP="00F03F51">
            <w:pPr>
              <w:spacing w:before="60" w:after="60" w:line="240" w:lineRule="auto"/>
              <w:jc w:val="center"/>
              <w:rPr>
                <w:rFonts w:eastAsia="Times New Roman" w:cs="Arial"/>
                <w:b/>
                <w:bCs/>
                <w:color w:val="000000"/>
                <w:kern w:val="0"/>
                <w:sz w:val="18"/>
                <w:szCs w:val="18"/>
                <w:lang w:eastAsia="en-GB"/>
                <w14:ligatures w14:val="none"/>
              </w:rPr>
            </w:pPr>
            <w:r>
              <w:rPr>
                <w:rFonts w:eastAsia="Times New Roman" w:cs="Arial"/>
                <w:b/>
                <w:bCs/>
                <w:color w:val="000000"/>
                <w:kern w:val="0"/>
                <w:sz w:val="18"/>
                <w:szCs w:val="18"/>
                <w:lang w:eastAsia="en-GB"/>
                <w14:ligatures w14:val="none"/>
              </w:rPr>
              <w:t>N</w:t>
            </w:r>
            <w:r w:rsidR="00B559DB" w:rsidRPr="00255458">
              <w:rPr>
                <w:rFonts w:eastAsia="Times New Roman" w:cs="Arial"/>
                <w:b/>
                <w:bCs/>
                <w:color w:val="000000"/>
                <w:kern w:val="0"/>
                <w:sz w:val="18"/>
                <w:szCs w:val="18"/>
                <w:lang w:eastAsia="en-GB"/>
                <w14:ligatures w14:val="none"/>
              </w:rPr>
              <w:t>o.</w:t>
            </w:r>
          </w:p>
        </w:tc>
        <w:tc>
          <w:tcPr>
            <w:tcW w:w="2337" w:type="pct"/>
            <w:vAlign w:val="center"/>
            <w:hideMark/>
          </w:tcPr>
          <w:p w14:paraId="0663C707" w14:textId="400AC61E" w:rsidR="00B559DB" w:rsidRPr="00255458" w:rsidRDefault="0041323B" w:rsidP="00255458">
            <w:pPr>
              <w:spacing w:before="60" w:after="60" w:line="240" w:lineRule="auto"/>
              <w:jc w:val="center"/>
              <w:rPr>
                <w:rFonts w:eastAsia="Times New Roman" w:cs="Arial"/>
                <w:b/>
                <w:bCs/>
                <w:color w:val="000000"/>
                <w:kern w:val="0"/>
                <w:sz w:val="18"/>
                <w:szCs w:val="18"/>
                <w:lang w:eastAsia="en-GB"/>
                <w14:ligatures w14:val="none"/>
              </w:rPr>
            </w:pPr>
            <w:r>
              <w:rPr>
                <w:rFonts w:eastAsia="Times New Roman" w:cs="Arial"/>
                <w:b/>
                <w:bCs/>
                <w:color w:val="000000"/>
                <w:kern w:val="0"/>
                <w:sz w:val="18"/>
                <w:szCs w:val="18"/>
                <w:lang w:eastAsia="en-GB"/>
                <w14:ligatures w14:val="none"/>
              </w:rPr>
              <w:t>Clarification Question</w:t>
            </w:r>
          </w:p>
        </w:tc>
        <w:tc>
          <w:tcPr>
            <w:tcW w:w="2337" w:type="pct"/>
            <w:vAlign w:val="center"/>
            <w:hideMark/>
          </w:tcPr>
          <w:p w14:paraId="3CD71429" w14:textId="77777777" w:rsidR="00B559DB" w:rsidRPr="00255458" w:rsidRDefault="00B559DB" w:rsidP="00255458">
            <w:pPr>
              <w:spacing w:before="60" w:after="60" w:line="240" w:lineRule="auto"/>
              <w:jc w:val="center"/>
              <w:rPr>
                <w:rFonts w:eastAsia="Times New Roman" w:cs="Arial"/>
                <w:b/>
                <w:bCs/>
                <w:color w:val="000000"/>
                <w:kern w:val="0"/>
                <w:sz w:val="18"/>
                <w:szCs w:val="18"/>
                <w:lang w:eastAsia="en-GB"/>
                <w14:ligatures w14:val="none"/>
              </w:rPr>
            </w:pPr>
            <w:r w:rsidRPr="00255458">
              <w:rPr>
                <w:rFonts w:eastAsia="Times New Roman" w:cs="Arial"/>
                <w:b/>
                <w:bCs/>
                <w:color w:val="000000"/>
                <w:kern w:val="0"/>
                <w:sz w:val="18"/>
                <w:szCs w:val="18"/>
                <w:lang w:eastAsia="en-GB"/>
                <w14:ligatures w14:val="none"/>
              </w:rPr>
              <w:t>STW ICB response</w:t>
            </w:r>
          </w:p>
        </w:tc>
      </w:tr>
      <w:tr w:rsidR="008A32F0" w:rsidRPr="00255458" w14:paraId="4B84DE72" w14:textId="77777777" w:rsidTr="004E7A83">
        <w:trPr>
          <w:trHeight w:val="20"/>
        </w:trPr>
        <w:tc>
          <w:tcPr>
            <w:tcW w:w="326" w:type="pct"/>
            <w:noWrap/>
          </w:tcPr>
          <w:p w14:paraId="48A26A7D" w14:textId="705C3E82" w:rsidR="008A32F0" w:rsidRPr="00F03F51" w:rsidRDefault="008A32F0"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t>6</w:t>
            </w:r>
          </w:p>
        </w:tc>
        <w:tc>
          <w:tcPr>
            <w:tcW w:w="2337" w:type="pct"/>
          </w:tcPr>
          <w:p w14:paraId="19DC0D70" w14:textId="17A97611" w:rsidR="008A32F0" w:rsidRPr="00255458" w:rsidRDefault="008A32F0"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Can we have a list of the Dx [Disposition] Codes that are to be taken into the OOHs service</w:t>
            </w:r>
            <w:r w:rsidRPr="002828BE">
              <w:rPr>
                <w:rFonts w:eastAsia="Times New Roman" w:cs="Arial"/>
                <w:color w:val="000000"/>
                <w:kern w:val="0"/>
                <w:sz w:val="18"/>
                <w:szCs w:val="18"/>
                <w:lang w:eastAsia="en-GB"/>
                <w14:ligatures w14:val="none"/>
              </w:rPr>
              <w:t>?</w:t>
            </w:r>
            <w:r w:rsidR="00147A47" w:rsidRPr="002828BE">
              <w:rPr>
                <w:sz w:val="18"/>
                <w:szCs w:val="18"/>
                <w:vertAlign w:val="superscript"/>
              </w:rPr>
              <w:footnoteReference w:id="46"/>
            </w:r>
          </w:p>
        </w:tc>
        <w:tc>
          <w:tcPr>
            <w:tcW w:w="2337" w:type="pct"/>
          </w:tcPr>
          <w:p w14:paraId="29FC34DD" w14:textId="0F0F40A8" w:rsidR="008A32F0" w:rsidRPr="00255458" w:rsidRDefault="000C1B44"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The attached includes all codes which may be taken into the OOH service.</w:t>
            </w:r>
          </w:p>
        </w:tc>
      </w:tr>
      <w:tr w:rsidR="00B559DB" w:rsidRPr="00255458" w14:paraId="5FAAB738" w14:textId="77777777" w:rsidTr="004E7A83">
        <w:trPr>
          <w:trHeight w:val="20"/>
        </w:trPr>
        <w:tc>
          <w:tcPr>
            <w:tcW w:w="326" w:type="pct"/>
            <w:noWrap/>
            <w:hideMark/>
          </w:tcPr>
          <w:p w14:paraId="3D185B76" w14:textId="77777777" w:rsidR="00B559DB" w:rsidRPr="00F03F51" w:rsidRDefault="00B559DB"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t>8</w:t>
            </w:r>
          </w:p>
        </w:tc>
        <w:tc>
          <w:tcPr>
            <w:tcW w:w="2337" w:type="pct"/>
            <w:hideMark/>
          </w:tcPr>
          <w:p w14:paraId="6A79936F" w14:textId="77777777"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Page 16 [of the STW ICB service specification] states: “The patient will be informed by NHS 111 that a clinician will call them back within an allotted timeframe of between 1 and 6 hours.” – given the Pathways timeframes, what dispositions need a 1 hour callback, and which require 6 hour callbacks? </w:t>
            </w:r>
          </w:p>
        </w:tc>
        <w:tc>
          <w:tcPr>
            <w:tcW w:w="2337" w:type="pct"/>
            <w:hideMark/>
          </w:tcPr>
          <w:p w14:paraId="5519F3CC" w14:textId="77777777"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Callbacks should be completed as per the Pathways disposition and are measured using KPIs 5a and 5b of the National IUC KPIs. </w:t>
            </w:r>
          </w:p>
        </w:tc>
      </w:tr>
      <w:tr w:rsidR="00B559DB" w:rsidRPr="00255458" w14:paraId="0260201F" w14:textId="77777777" w:rsidTr="004E7A83">
        <w:trPr>
          <w:trHeight w:val="20"/>
        </w:trPr>
        <w:tc>
          <w:tcPr>
            <w:tcW w:w="326" w:type="pct"/>
            <w:noWrap/>
            <w:hideMark/>
          </w:tcPr>
          <w:p w14:paraId="3343BE94" w14:textId="77777777" w:rsidR="00B559DB" w:rsidRPr="00F03F51" w:rsidRDefault="00B559DB"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t>9</w:t>
            </w:r>
          </w:p>
        </w:tc>
        <w:tc>
          <w:tcPr>
            <w:tcW w:w="2337" w:type="pct"/>
            <w:hideMark/>
          </w:tcPr>
          <w:p w14:paraId="48F3086F" w14:textId="568B9F1A"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Page 18 [of the STW ICB service specification] details home visits in 1,</w:t>
            </w:r>
            <w:r w:rsidR="00CC4D91">
              <w:rPr>
                <w:rFonts w:eastAsia="Times New Roman" w:cs="Arial"/>
                <w:color w:val="000000"/>
                <w:kern w:val="0"/>
                <w:sz w:val="18"/>
                <w:szCs w:val="18"/>
                <w:lang w:eastAsia="en-GB"/>
                <w14:ligatures w14:val="none"/>
              </w:rPr>
              <w:t xml:space="preserve"> </w:t>
            </w:r>
            <w:r w:rsidRPr="00255458">
              <w:rPr>
                <w:rFonts w:eastAsia="Times New Roman" w:cs="Arial"/>
                <w:color w:val="000000"/>
                <w:kern w:val="0"/>
                <w:sz w:val="18"/>
                <w:szCs w:val="18"/>
                <w:lang w:eastAsia="en-GB"/>
                <w14:ligatures w14:val="none"/>
              </w:rPr>
              <w:t>2,</w:t>
            </w:r>
            <w:r w:rsidR="00CC4D91">
              <w:rPr>
                <w:rFonts w:eastAsia="Times New Roman" w:cs="Arial"/>
                <w:color w:val="000000"/>
                <w:kern w:val="0"/>
                <w:sz w:val="18"/>
                <w:szCs w:val="18"/>
                <w:lang w:eastAsia="en-GB"/>
                <w14:ligatures w14:val="none"/>
              </w:rPr>
              <w:t xml:space="preserve"> </w:t>
            </w:r>
            <w:r w:rsidRPr="00255458">
              <w:rPr>
                <w:rFonts w:eastAsia="Times New Roman" w:cs="Arial"/>
                <w:color w:val="000000"/>
                <w:kern w:val="0"/>
                <w:sz w:val="18"/>
                <w:szCs w:val="18"/>
                <w:lang w:eastAsia="en-GB"/>
                <w14:ligatures w14:val="none"/>
              </w:rPr>
              <w:t>6 hour timeframes. Would the</w:t>
            </w:r>
            <w:r w:rsidR="000C1B44" w:rsidRPr="00255458">
              <w:rPr>
                <w:rFonts w:eastAsia="Times New Roman" w:cs="Arial"/>
                <w:color w:val="000000"/>
                <w:kern w:val="0"/>
                <w:sz w:val="18"/>
                <w:szCs w:val="18"/>
                <w:lang w:eastAsia="en-GB"/>
                <w14:ligatures w14:val="none"/>
              </w:rPr>
              <w:t xml:space="preserve"> </w:t>
            </w:r>
            <w:r w:rsidRPr="00255458">
              <w:rPr>
                <w:rFonts w:eastAsia="Times New Roman" w:cs="Arial"/>
                <w:color w:val="000000"/>
                <w:kern w:val="0"/>
                <w:sz w:val="18"/>
                <w:szCs w:val="18"/>
                <w:lang w:eastAsia="en-GB"/>
                <w14:ligatures w14:val="none"/>
              </w:rPr>
              <w:t xml:space="preserve">commissioners consider aligning to Dx timeframes as outlines by NHS Pathways? </w:t>
            </w:r>
          </w:p>
        </w:tc>
        <w:tc>
          <w:tcPr>
            <w:tcW w:w="2337" w:type="pct"/>
            <w:hideMark/>
          </w:tcPr>
          <w:p w14:paraId="2E976DE8" w14:textId="77777777"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Home visit timeframes can be aligned with Dx timeframes as outlined by NHS Pathways. </w:t>
            </w:r>
          </w:p>
        </w:tc>
      </w:tr>
      <w:tr w:rsidR="00B559DB" w:rsidRPr="00255458" w14:paraId="32FEFA06" w14:textId="77777777" w:rsidTr="004E7A83">
        <w:trPr>
          <w:trHeight w:val="20"/>
        </w:trPr>
        <w:tc>
          <w:tcPr>
            <w:tcW w:w="326" w:type="pct"/>
            <w:noWrap/>
            <w:hideMark/>
          </w:tcPr>
          <w:p w14:paraId="3CBCF9A3" w14:textId="77777777" w:rsidR="00B559DB" w:rsidRPr="00F03F51" w:rsidRDefault="00B559DB"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t>15</w:t>
            </w:r>
          </w:p>
        </w:tc>
        <w:tc>
          <w:tcPr>
            <w:tcW w:w="2337" w:type="pct"/>
            <w:hideMark/>
          </w:tcPr>
          <w:p w14:paraId="68F16BA7" w14:textId="2AFE4587" w:rsidR="00592F89"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Palliative Care – KPIs</w:t>
            </w:r>
          </w:p>
          <w:p w14:paraId="38C1BAC8" w14:textId="05FA2887"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For the palliative care line, are there KPI expectations? </w:t>
            </w:r>
          </w:p>
        </w:tc>
        <w:tc>
          <w:tcPr>
            <w:tcW w:w="2337" w:type="pct"/>
            <w:hideMark/>
          </w:tcPr>
          <w:p w14:paraId="7B276FF5" w14:textId="77777777"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KPIs will be agreed during mobilisation in line with the most recent national and local guidance. It is anticipated that there will be KPIs and/or reporting requirements relating to activity levels and response times for the palliative care line. </w:t>
            </w:r>
          </w:p>
        </w:tc>
      </w:tr>
      <w:tr w:rsidR="00E04058" w:rsidRPr="00255458" w14:paraId="7A51A9EB" w14:textId="77777777" w:rsidTr="004E7A83">
        <w:trPr>
          <w:trHeight w:val="20"/>
        </w:trPr>
        <w:tc>
          <w:tcPr>
            <w:tcW w:w="326" w:type="pct"/>
            <w:noWrap/>
          </w:tcPr>
          <w:p w14:paraId="7E969C4C" w14:textId="0FFE165B" w:rsidR="00E04058" w:rsidRPr="00F03F51" w:rsidRDefault="00E04058"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t>68</w:t>
            </w:r>
          </w:p>
        </w:tc>
        <w:tc>
          <w:tcPr>
            <w:tcW w:w="2337" w:type="pct"/>
          </w:tcPr>
          <w:p w14:paraId="4E292EE7" w14:textId="4D6FF37F" w:rsidR="00361768" w:rsidRPr="00255458" w:rsidRDefault="00361768"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Performance Monitoring</w:t>
            </w:r>
          </w:p>
          <w:p w14:paraId="72F70C70" w14:textId="2F11BC2B" w:rsidR="00E04058" w:rsidRPr="00255458" w:rsidRDefault="00BF5F55"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lastRenderedPageBreak/>
              <w:t>Could commissioners confirm if performance will be monitored via NRQ or IUC standards?</w:t>
            </w:r>
          </w:p>
        </w:tc>
        <w:tc>
          <w:tcPr>
            <w:tcW w:w="2337" w:type="pct"/>
          </w:tcPr>
          <w:p w14:paraId="0AA51635" w14:textId="1E529342" w:rsidR="00E04058" w:rsidRPr="00255458" w:rsidRDefault="003421FD"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lastRenderedPageBreak/>
              <w:t xml:space="preserve">IUC standards will be used to monitor operational performance and associated improvements, while </w:t>
            </w:r>
            <w:r w:rsidRPr="00255458">
              <w:rPr>
                <w:rFonts w:eastAsia="Times New Roman" w:cs="Arial"/>
                <w:color w:val="000000"/>
                <w:kern w:val="0"/>
                <w:sz w:val="18"/>
                <w:szCs w:val="18"/>
                <w:lang w:eastAsia="en-GB"/>
                <w14:ligatures w14:val="none"/>
              </w:rPr>
              <w:lastRenderedPageBreak/>
              <w:t>NQR (National Quality Requirements) will be used to monitor quality of care and impact of harm when performance is poor. Local performance plans will also apply.</w:t>
            </w:r>
          </w:p>
        </w:tc>
      </w:tr>
      <w:tr w:rsidR="00B559DB" w:rsidRPr="00255458" w14:paraId="24634F36" w14:textId="77777777" w:rsidTr="004E7A83">
        <w:trPr>
          <w:trHeight w:val="20"/>
        </w:trPr>
        <w:tc>
          <w:tcPr>
            <w:tcW w:w="326" w:type="pct"/>
            <w:noWrap/>
            <w:hideMark/>
          </w:tcPr>
          <w:p w14:paraId="7ACA80EF" w14:textId="77777777" w:rsidR="00B559DB" w:rsidRPr="00F03F51" w:rsidRDefault="00B559DB"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lastRenderedPageBreak/>
              <w:t>115</w:t>
            </w:r>
          </w:p>
        </w:tc>
        <w:tc>
          <w:tcPr>
            <w:tcW w:w="2337" w:type="pct"/>
            <w:hideMark/>
          </w:tcPr>
          <w:p w14:paraId="45C138F9" w14:textId="5647B1A1"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In your response to Qu8 you reference National IUC KPIs 5a and 5b, which are not applicable to this ITT. </w:t>
            </w:r>
            <w:r w:rsidRPr="00255458">
              <w:rPr>
                <w:rFonts w:eastAsia="Times New Roman" w:cs="Arial"/>
                <w:color w:val="000000"/>
                <w:kern w:val="0"/>
                <w:sz w:val="18"/>
                <w:szCs w:val="18"/>
                <w:lang w:eastAsia="en-GB"/>
                <w14:ligatures w14:val="none"/>
              </w:rPr>
              <w:br/>
              <w:t>They are measured solely at the 111 provider level. Please clarify the home visit timeframes expected as the specification is quite clear that the timeframes should be 1,</w:t>
            </w:r>
            <w:r w:rsidR="00176C23">
              <w:rPr>
                <w:rFonts w:eastAsia="Times New Roman" w:cs="Arial"/>
                <w:color w:val="000000"/>
                <w:kern w:val="0"/>
                <w:sz w:val="18"/>
                <w:szCs w:val="18"/>
                <w:lang w:eastAsia="en-GB"/>
                <w14:ligatures w14:val="none"/>
              </w:rPr>
              <w:t xml:space="preserve"> </w:t>
            </w:r>
            <w:r w:rsidRPr="00255458">
              <w:rPr>
                <w:rFonts w:eastAsia="Times New Roman" w:cs="Arial"/>
                <w:color w:val="000000"/>
                <w:kern w:val="0"/>
                <w:sz w:val="18"/>
                <w:szCs w:val="18"/>
                <w:lang w:eastAsia="en-GB"/>
                <w14:ligatures w14:val="none"/>
              </w:rPr>
              <w:t>2,</w:t>
            </w:r>
            <w:r w:rsidR="00176C23">
              <w:rPr>
                <w:rFonts w:eastAsia="Times New Roman" w:cs="Arial"/>
                <w:color w:val="000000"/>
                <w:kern w:val="0"/>
                <w:sz w:val="18"/>
                <w:szCs w:val="18"/>
                <w:lang w:eastAsia="en-GB"/>
                <w14:ligatures w14:val="none"/>
              </w:rPr>
              <w:t xml:space="preserve"> </w:t>
            </w:r>
            <w:r w:rsidRPr="00255458">
              <w:rPr>
                <w:rFonts w:eastAsia="Times New Roman" w:cs="Arial"/>
                <w:color w:val="000000"/>
                <w:kern w:val="0"/>
                <w:sz w:val="18"/>
                <w:szCs w:val="18"/>
                <w:lang w:eastAsia="en-GB"/>
                <w14:ligatures w14:val="none"/>
              </w:rPr>
              <w:t xml:space="preserve">6 hours and not Dx code timeframes. A significant relaxation of home visit priorities may require patient involvement according to s242 of the NHS Act </w:t>
            </w:r>
          </w:p>
        </w:tc>
        <w:tc>
          <w:tcPr>
            <w:tcW w:w="2337" w:type="pct"/>
            <w:hideMark/>
          </w:tcPr>
          <w:p w14:paraId="20B394E1" w14:textId="5065F316"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Question 8 referred to call backs, not home visits.</w:t>
            </w:r>
            <w:r w:rsidRPr="00255458">
              <w:rPr>
                <w:rFonts w:eastAsia="Times New Roman" w:cs="Arial"/>
                <w:color w:val="000000"/>
                <w:kern w:val="0"/>
                <w:sz w:val="18"/>
                <w:szCs w:val="18"/>
                <w:lang w:eastAsia="en-GB"/>
                <w14:ligatures w14:val="none"/>
              </w:rPr>
              <w:br/>
              <w:t>Response times should be decided on the basis of clinical judgement and priority. KPIs relate to Provider performance and will be finalised during mobilisation in line with the latest IUC KPIs and local requirements.</w:t>
            </w:r>
            <w:r w:rsidRPr="00255458">
              <w:rPr>
                <w:rFonts w:eastAsia="Times New Roman" w:cs="Arial"/>
                <w:color w:val="000000"/>
                <w:kern w:val="0"/>
                <w:sz w:val="18"/>
                <w:szCs w:val="18"/>
                <w:lang w:eastAsia="en-GB"/>
                <w14:ligatures w14:val="none"/>
              </w:rPr>
              <w:br/>
              <w:t>The timeframes stated within the specification are from the IUC KPIs 2022 and are utilised as an example (page 18 of the service specification</w:t>
            </w:r>
            <w:r w:rsidR="2CD372FF" w:rsidRPr="00255458">
              <w:rPr>
                <w:rFonts w:eastAsia="Times New Roman" w:cs="Arial"/>
                <w:color w:val="000000"/>
                <w:kern w:val="0"/>
                <w:sz w:val="18"/>
                <w:szCs w:val="18"/>
                <w:lang w:eastAsia="en-GB"/>
                <w14:ligatures w14:val="none"/>
              </w:rPr>
              <w:t>).</w:t>
            </w:r>
            <w:r w:rsidRPr="00255458">
              <w:rPr>
                <w:rFonts w:eastAsia="Times New Roman" w:cs="Arial"/>
                <w:color w:val="000000"/>
                <w:kern w:val="0"/>
                <w:sz w:val="18"/>
                <w:szCs w:val="18"/>
                <w:lang w:eastAsia="en-GB"/>
                <w14:ligatures w14:val="none"/>
              </w:rPr>
              <w:br/>
              <w:t xml:space="preserve">Any significant changes will sit with the Commissioner in terms of statutory duty for public engagement and involvement. </w:t>
            </w:r>
          </w:p>
        </w:tc>
      </w:tr>
      <w:tr w:rsidR="00B559DB" w:rsidRPr="00255458" w14:paraId="75F43629" w14:textId="77777777" w:rsidTr="004E7A83">
        <w:trPr>
          <w:trHeight w:val="20"/>
        </w:trPr>
        <w:tc>
          <w:tcPr>
            <w:tcW w:w="326" w:type="pct"/>
            <w:noWrap/>
            <w:hideMark/>
          </w:tcPr>
          <w:p w14:paraId="10E28B6F" w14:textId="77777777" w:rsidR="00B559DB" w:rsidRPr="00F03F51" w:rsidRDefault="00B559DB" w:rsidP="00CD6046">
            <w:pPr>
              <w:spacing w:before="60" w:after="60" w:line="240" w:lineRule="auto"/>
              <w:ind w:left="-120"/>
              <w:jc w:val="center"/>
              <w:rPr>
                <w:rFonts w:eastAsia="Times New Roman" w:cs="Arial"/>
                <w:color w:val="000000"/>
                <w:kern w:val="0"/>
                <w:sz w:val="18"/>
                <w:szCs w:val="18"/>
                <w:lang w:eastAsia="en-GB"/>
                <w14:ligatures w14:val="none"/>
              </w:rPr>
            </w:pPr>
            <w:r w:rsidRPr="00F03F51">
              <w:rPr>
                <w:rFonts w:eastAsia="Times New Roman" w:cs="Arial"/>
                <w:color w:val="000000"/>
                <w:kern w:val="0"/>
                <w:sz w:val="18"/>
                <w:szCs w:val="18"/>
                <w:lang w:eastAsia="en-GB"/>
                <w14:ligatures w14:val="none"/>
              </w:rPr>
              <w:t>116</w:t>
            </w:r>
          </w:p>
        </w:tc>
        <w:tc>
          <w:tcPr>
            <w:tcW w:w="2337" w:type="pct"/>
            <w:hideMark/>
          </w:tcPr>
          <w:p w14:paraId="5E0BD95E" w14:textId="77777777"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 xml:space="preserve">Re Response to question 8 and 9 – Pathways Dx Codes as provided are up to 12 and 24 hours. Will the expectation be that the 12/24 hour dispositions be answered within 12/24 hours, or is the expectation that they will be in a shorter timeframe? </w:t>
            </w:r>
          </w:p>
        </w:tc>
        <w:tc>
          <w:tcPr>
            <w:tcW w:w="2337" w:type="pct"/>
            <w:hideMark/>
          </w:tcPr>
          <w:p w14:paraId="079EE642" w14:textId="10A3959D" w:rsidR="00B559DB" w:rsidRPr="00255458" w:rsidRDefault="00B559DB" w:rsidP="00665637">
            <w:pPr>
              <w:spacing w:before="60" w:after="60" w:line="240" w:lineRule="auto"/>
              <w:rPr>
                <w:rFonts w:eastAsia="Times New Roman" w:cs="Arial"/>
                <w:color w:val="000000"/>
                <w:kern w:val="0"/>
                <w:sz w:val="18"/>
                <w:szCs w:val="18"/>
                <w:lang w:eastAsia="en-GB"/>
                <w14:ligatures w14:val="none"/>
              </w:rPr>
            </w:pPr>
            <w:r w:rsidRPr="00255458">
              <w:rPr>
                <w:rFonts w:eastAsia="Times New Roman" w:cs="Arial"/>
                <w:color w:val="000000"/>
                <w:kern w:val="0"/>
                <w:sz w:val="18"/>
                <w:szCs w:val="18"/>
                <w:lang w:eastAsia="en-GB"/>
                <w14:ligatures w14:val="none"/>
              </w:rPr>
              <w:t>Response times should be decided on the basis of clinical judgement and priority. KPIs relate to Provider performance and will be finalised during mobilisation in line with the latest IUC KPIs and local requirements.</w:t>
            </w:r>
          </w:p>
        </w:tc>
      </w:tr>
    </w:tbl>
    <w:p w14:paraId="75DDC499" w14:textId="076FDAD8" w:rsidR="002F753F" w:rsidRPr="00F03F51" w:rsidRDefault="003A4F69" w:rsidP="00F03F51">
      <w:pPr>
        <w:pStyle w:val="ListParagraph"/>
        <w:numPr>
          <w:ilvl w:val="0"/>
          <w:numId w:val="0"/>
        </w:numPr>
        <w:spacing w:before="60" w:after="360"/>
        <w:contextualSpacing w:val="0"/>
        <w:rPr>
          <w:i/>
          <w:iCs/>
          <w:sz w:val="16"/>
          <w:szCs w:val="16"/>
        </w:rPr>
      </w:pPr>
      <w:r w:rsidRPr="00F03F51">
        <w:rPr>
          <w:i/>
          <w:iCs/>
          <w:sz w:val="16"/>
          <w:szCs w:val="16"/>
        </w:rPr>
        <w:t>Source:</w:t>
      </w:r>
      <w:r w:rsidR="007B6970" w:rsidRPr="00F03F51">
        <w:rPr>
          <w:i/>
          <w:iCs/>
          <w:sz w:val="16"/>
          <w:szCs w:val="16"/>
        </w:rPr>
        <w:t xml:space="preserve"> </w:t>
      </w:r>
      <w:r w:rsidR="007B6970" w:rsidRPr="00147A47">
        <w:rPr>
          <w:sz w:val="16"/>
          <w:szCs w:val="16"/>
        </w:rPr>
        <w:t>STW ICB,</w:t>
      </w:r>
      <w:r w:rsidR="007B6970" w:rsidRPr="00F03F51">
        <w:rPr>
          <w:i/>
          <w:iCs/>
          <w:sz w:val="16"/>
          <w:szCs w:val="16"/>
        </w:rPr>
        <w:t xml:space="preserve"> Clarification Log, </w:t>
      </w:r>
      <w:r w:rsidR="00223992" w:rsidRPr="00F03F51">
        <w:rPr>
          <w:sz w:val="16"/>
          <w:szCs w:val="16"/>
        </w:rPr>
        <w:t>30 October 2024</w:t>
      </w:r>
      <w:r w:rsidR="00223992" w:rsidRPr="00F03F51">
        <w:rPr>
          <w:i/>
          <w:iCs/>
          <w:sz w:val="16"/>
          <w:szCs w:val="16"/>
        </w:rPr>
        <w:t>.</w:t>
      </w:r>
    </w:p>
    <w:p w14:paraId="46191074" w14:textId="6084C44F" w:rsidR="002860C3" w:rsidRDefault="003917F1">
      <w:pPr>
        <w:pStyle w:val="ListParagraph"/>
        <w:numPr>
          <w:ilvl w:val="0"/>
          <w:numId w:val="1"/>
        </w:numPr>
        <w:spacing w:line="276" w:lineRule="auto"/>
        <w:ind w:left="567" w:hanging="567"/>
        <w:contextualSpacing w:val="0"/>
      </w:pPr>
      <w:r>
        <w:t>The Panel’s view, h</w:t>
      </w:r>
      <w:r w:rsidR="00D13D54">
        <w:t xml:space="preserve">aving reviewed the </w:t>
      </w:r>
      <w:r>
        <w:t xml:space="preserve">tender documentation and clarification questions, </w:t>
      </w:r>
      <w:r w:rsidR="003E7051">
        <w:t xml:space="preserve">is that STW ICB </w:t>
      </w:r>
      <w:r w:rsidR="00CE45AF">
        <w:t xml:space="preserve">was clear </w:t>
      </w:r>
      <w:r w:rsidR="0025106D">
        <w:t xml:space="preserve">about </w:t>
      </w:r>
      <w:r w:rsidR="00EB0DEA">
        <w:t xml:space="preserve">service standards </w:t>
      </w:r>
      <w:r w:rsidR="00DA088D">
        <w:t>in the tender documentation</w:t>
      </w:r>
      <w:r w:rsidR="0006071C">
        <w:t xml:space="preserve">, and </w:t>
      </w:r>
      <w:r w:rsidR="006B3920">
        <w:t xml:space="preserve">it </w:t>
      </w:r>
      <w:r w:rsidR="0006071C">
        <w:t xml:space="preserve">was also clear that </w:t>
      </w:r>
      <w:r w:rsidR="004A498E">
        <w:t>KPIs would be finalised with the successful bidder during contract mobilisation.</w:t>
      </w:r>
      <w:r w:rsidR="000C356A">
        <w:t xml:space="preserve"> The Panel does not </w:t>
      </w:r>
      <w:r w:rsidR="003D4B0E">
        <w:t xml:space="preserve">consider that </w:t>
      </w:r>
      <w:r w:rsidR="00542D51">
        <w:t xml:space="preserve">there was a “lack of clarity” about STW ICB’s intention to finalise </w:t>
      </w:r>
      <w:r w:rsidR="003D4B0E">
        <w:t>KPIs</w:t>
      </w:r>
      <w:r w:rsidR="007218EE">
        <w:t xml:space="preserve"> </w:t>
      </w:r>
      <w:r w:rsidR="00542D51">
        <w:t xml:space="preserve">during </w:t>
      </w:r>
      <w:r w:rsidR="007218EE">
        <w:t>contract mobilisation</w:t>
      </w:r>
      <w:r w:rsidR="003D4B0E">
        <w:t xml:space="preserve"> or that there was shifting guidance </w:t>
      </w:r>
      <w:r w:rsidR="007218EE">
        <w:t xml:space="preserve">from STW ICB on this </w:t>
      </w:r>
      <w:r w:rsidR="00C4252E">
        <w:t>intention</w:t>
      </w:r>
      <w:r w:rsidR="007218EE">
        <w:t>.</w:t>
      </w:r>
      <w:r w:rsidR="00797982">
        <w:t xml:space="preserve"> The Panel agrees, however, that there was a lack of clarity</w:t>
      </w:r>
      <w:r w:rsidR="005D715D">
        <w:t>, albeit intentional, over what the KPIs would be</w:t>
      </w:r>
      <w:r w:rsidR="00E72B10">
        <w:t xml:space="preserve">, and </w:t>
      </w:r>
      <w:r w:rsidR="002C7D67">
        <w:t xml:space="preserve">assesses the implications </w:t>
      </w:r>
      <w:r w:rsidR="009D216E">
        <w:t xml:space="preserve">for compliance with the PSR regulations </w:t>
      </w:r>
      <w:r w:rsidR="00974F5E">
        <w:t>in the following section</w:t>
      </w:r>
      <w:r w:rsidR="009D216E">
        <w:t>.</w:t>
      </w:r>
    </w:p>
    <w:p w14:paraId="1D6A9BC4" w14:textId="712E35C9" w:rsidR="002B058D" w:rsidRPr="00962EAE" w:rsidRDefault="006B5C64" w:rsidP="00962EAE">
      <w:pPr>
        <w:keepNext/>
        <w:spacing w:before="240" w:line="276" w:lineRule="auto"/>
        <w:rPr>
          <w:b/>
          <w:bCs/>
        </w:rPr>
      </w:pPr>
      <w:r>
        <w:rPr>
          <w:b/>
          <w:bCs/>
        </w:rPr>
        <w:t>7.2.</w:t>
      </w:r>
      <w:r w:rsidR="00196C9F">
        <w:rPr>
          <w:b/>
          <w:bCs/>
        </w:rPr>
        <w:t>4</w:t>
      </w:r>
      <w:r>
        <w:rPr>
          <w:b/>
          <w:bCs/>
        </w:rPr>
        <w:t xml:space="preserve"> </w:t>
      </w:r>
      <w:r w:rsidR="005B6A45">
        <w:rPr>
          <w:b/>
          <w:bCs/>
        </w:rPr>
        <w:t xml:space="preserve">Requirement for </w:t>
      </w:r>
      <w:r w:rsidR="00C41A57">
        <w:rPr>
          <w:b/>
          <w:bCs/>
        </w:rPr>
        <w:t>KPI assumptions in b</w:t>
      </w:r>
      <w:r w:rsidR="00522CBA">
        <w:rPr>
          <w:b/>
          <w:bCs/>
        </w:rPr>
        <w:t>idders’ proposals</w:t>
      </w:r>
    </w:p>
    <w:p w14:paraId="270C4A2B" w14:textId="77777777" w:rsidR="001F5C9F" w:rsidRDefault="007A790B" w:rsidP="00901C58">
      <w:pPr>
        <w:pStyle w:val="ListParagraph"/>
        <w:numPr>
          <w:ilvl w:val="0"/>
          <w:numId w:val="1"/>
        </w:numPr>
        <w:spacing w:after="120" w:line="276" w:lineRule="auto"/>
        <w:ind w:left="567" w:hanging="567"/>
        <w:contextualSpacing w:val="0"/>
      </w:pPr>
      <w:r>
        <w:t xml:space="preserve">This section </w:t>
      </w:r>
      <w:r w:rsidR="00FF0E45">
        <w:t>sets out the Panel’s assessment of Shropdoc’s concern that</w:t>
      </w:r>
      <w:r w:rsidR="001F5C9F">
        <w:t>:</w:t>
      </w:r>
    </w:p>
    <w:p w14:paraId="00658182" w14:textId="7E615D76" w:rsidR="00FF0E45" w:rsidRDefault="001F5C9F" w:rsidP="00901C58">
      <w:pPr>
        <w:pStyle w:val="ListParagraph"/>
        <w:numPr>
          <w:ilvl w:val="0"/>
          <w:numId w:val="0"/>
        </w:numPr>
        <w:spacing w:line="276" w:lineRule="auto"/>
        <w:ind w:left="851"/>
        <w:contextualSpacing w:val="0"/>
      </w:pPr>
      <w:r>
        <w:t>“</w:t>
      </w:r>
      <w:r w:rsidRPr="00684D28">
        <w:rPr>
          <w:sz w:val="21"/>
          <w:szCs w:val="21"/>
        </w:rPr>
        <w:t>Without defined KPIs, bidders were unable to develop like-for-like service models, resulting in bidders developing models on divergent assumptions, materially affecting cost and resourcing structures</w:t>
      </w:r>
      <w:r>
        <w:rPr>
          <w:sz w:val="21"/>
          <w:szCs w:val="21"/>
        </w:rPr>
        <w:t xml:space="preserve"> … </w:t>
      </w:r>
      <w:r w:rsidR="00B21ABE">
        <w:rPr>
          <w:sz w:val="21"/>
          <w:szCs w:val="21"/>
        </w:rPr>
        <w:t xml:space="preserve">[and] </w:t>
      </w:r>
      <w:r w:rsidR="00B21ABE" w:rsidRPr="00684D28">
        <w:rPr>
          <w:sz w:val="21"/>
          <w:szCs w:val="21"/>
        </w:rPr>
        <w:t>Without measurable performance metrics, the ICB lacked a robust and fair basis to assess models</w:t>
      </w:r>
      <w:r w:rsidR="00B21ABE">
        <w:rPr>
          <w:sz w:val="21"/>
          <w:szCs w:val="21"/>
        </w:rPr>
        <w:t>”</w:t>
      </w:r>
      <w:r w:rsidR="00901C58">
        <w:rPr>
          <w:sz w:val="21"/>
          <w:szCs w:val="21"/>
        </w:rPr>
        <w:t xml:space="preserve"> (see paragraph </w:t>
      </w:r>
      <w:r w:rsidR="00901C58">
        <w:rPr>
          <w:sz w:val="21"/>
          <w:szCs w:val="21"/>
        </w:rPr>
        <w:fldChar w:fldCharType="begin"/>
      </w:r>
      <w:r w:rsidR="00901C58">
        <w:rPr>
          <w:sz w:val="21"/>
          <w:szCs w:val="21"/>
        </w:rPr>
        <w:instrText xml:space="preserve"> REF _Ref201597005 \r \h </w:instrText>
      </w:r>
      <w:r w:rsidR="00901C58">
        <w:rPr>
          <w:sz w:val="21"/>
          <w:szCs w:val="21"/>
        </w:rPr>
      </w:r>
      <w:r w:rsidR="00901C58">
        <w:rPr>
          <w:sz w:val="21"/>
          <w:szCs w:val="21"/>
        </w:rPr>
        <w:fldChar w:fldCharType="separate"/>
      </w:r>
      <w:r w:rsidR="001B6CEC">
        <w:rPr>
          <w:sz w:val="21"/>
          <w:szCs w:val="21"/>
        </w:rPr>
        <w:t>57</w:t>
      </w:r>
      <w:r w:rsidR="00901C58">
        <w:rPr>
          <w:sz w:val="21"/>
          <w:szCs w:val="21"/>
        </w:rPr>
        <w:fldChar w:fldCharType="end"/>
      </w:r>
      <w:r w:rsidR="00901C58">
        <w:rPr>
          <w:sz w:val="21"/>
          <w:szCs w:val="21"/>
        </w:rPr>
        <w:t>).</w:t>
      </w:r>
    </w:p>
    <w:p w14:paraId="32FDB8C5" w14:textId="4F250B72" w:rsidR="002D5FD9" w:rsidRDefault="00921486" w:rsidP="00196C9F">
      <w:pPr>
        <w:pStyle w:val="ListParagraph"/>
        <w:numPr>
          <w:ilvl w:val="0"/>
          <w:numId w:val="1"/>
        </w:numPr>
        <w:spacing w:line="276" w:lineRule="auto"/>
        <w:ind w:left="567" w:hanging="567"/>
        <w:contextualSpacing w:val="0"/>
      </w:pPr>
      <w:r>
        <w:t xml:space="preserve">Shropdoc’s concerns, as set out above, </w:t>
      </w:r>
      <w:r w:rsidR="009170B8">
        <w:t>potentially raise issues about STW ICB’s compliance with Regulation 4</w:t>
      </w:r>
      <w:r w:rsidR="002E4E36">
        <w:t xml:space="preserve"> in that </w:t>
      </w:r>
      <w:r w:rsidR="009A77E1">
        <w:t>bidders may not have been treated fairly</w:t>
      </w:r>
      <w:r w:rsidR="006D4ABA">
        <w:t>. This would be the case</w:t>
      </w:r>
      <w:r w:rsidR="009A77E1">
        <w:t xml:space="preserve"> if </w:t>
      </w:r>
      <w:r w:rsidR="00825D9E">
        <w:t xml:space="preserve">proposals were not evaluated </w:t>
      </w:r>
      <w:r w:rsidR="00374B61">
        <w:t>consistently</w:t>
      </w:r>
      <w:r w:rsidR="00015C3B">
        <w:t xml:space="preserve"> as a result of </w:t>
      </w:r>
      <w:r w:rsidR="00E96710">
        <w:t>divergent assumptions about KPIs not being taken into account in the evaluation</w:t>
      </w:r>
      <w:r w:rsidR="00374B61">
        <w:t>.</w:t>
      </w:r>
    </w:p>
    <w:p w14:paraId="43142C94" w14:textId="102439FD" w:rsidR="00343D12" w:rsidRDefault="00EE7244" w:rsidP="00196C9F">
      <w:pPr>
        <w:pStyle w:val="ListParagraph"/>
        <w:numPr>
          <w:ilvl w:val="0"/>
          <w:numId w:val="1"/>
        </w:numPr>
        <w:spacing w:line="276" w:lineRule="auto"/>
        <w:ind w:left="567" w:hanging="567"/>
        <w:contextualSpacing w:val="0"/>
      </w:pPr>
      <w:r>
        <w:t>In assessing Shropdoc’s concerns, t</w:t>
      </w:r>
      <w:r w:rsidR="00B13186">
        <w:t>he Panel iden</w:t>
      </w:r>
      <w:r w:rsidR="00A054CE">
        <w:t xml:space="preserve">tified two questions in the tender documentation where bidders potentially </w:t>
      </w:r>
      <w:r w:rsidR="00001047">
        <w:t>had</w:t>
      </w:r>
      <w:r w:rsidR="00A054CE">
        <w:t xml:space="preserve"> to make assumptions about KPIs</w:t>
      </w:r>
      <w:r w:rsidR="00586A2E">
        <w:t xml:space="preserve"> as part of their response</w:t>
      </w:r>
      <w:r w:rsidR="00A054CE">
        <w:t xml:space="preserve">. These were, first, </w:t>
      </w:r>
      <w:r w:rsidR="00730154">
        <w:t>Question A4, which asked bidders about how they will ensure that they achieve their KPIs, and second, Question C7</w:t>
      </w:r>
      <w:r w:rsidR="00577116">
        <w:t>, which asked bidders about capacity modelling.</w:t>
      </w:r>
      <w:r w:rsidR="00251C84">
        <w:t xml:space="preserve"> The responses </w:t>
      </w:r>
      <w:r w:rsidR="00043971">
        <w:t xml:space="preserve">to these questions, </w:t>
      </w:r>
      <w:r w:rsidR="00251C84">
        <w:t xml:space="preserve">and </w:t>
      </w:r>
      <w:r w:rsidR="00043971">
        <w:t xml:space="preserve">their </w:t>
      </w:r>
      <w:r w:rsidR="00251C84">
        <w:t xml:space="preserve">evaluation </w:t>
      </w:r>
      <w:r w:rsidR="00043971">
        <w:t>by STW ICB, are discussed in turn below.</w:t>
      </w:r>
    </w:p>
    <w:p w14:paraId="58EA125C" w14:textId="10F5F94A" w:rsidR="00962CE3" w:rsidRPr="00707B62" w:rsidRDefault="00707B62" w:rsidP="00707B62">
      <w:pPr>
        <w:keepNext/>
        <w:spacing w:before="240" w:line="276" w:lineRule="auto"/>
        <w:rPr>
          <w:b/>
          <w:bCs/>
        </w:rPr>
      </w:pPr>
      <w:r w:rsidRPr="00707B62">
        <w:rPr>
          <w:b/>
          <w:bCs/>
        </w:rPr>
        <w:lastRenderedPageBreak/>
        <w:t xml:space="preserve">Question A4 </w:t>
      </w:r>
      <w:r w:rsidR="002B0D79">
        <w:rPr>
          <w:b/>
          <w:bCs/>
        </w:rPr>
        <w:t xml:space="preserve">– </w:t>
      </w:r>
      <w:r w:rsidR="0011392C">
        <w:rPr>
          <w:b/>
          <w:bCs/>
        </w:rPr>
        <w:t xml:space="preserve">Ensuring that </w:t>
      </w:r>
      <w:r w:rsidRPr="00707B62">
        <w:rPr>
          <w:b/>
          <w:bCs/>
        </w:rPr>
        <w:t>KPIs</w:t>
      </w:r>
      <w:r w:rsidR="0011392C">
        <w:rPr>
          <w:b/>
          <w:bCs/>
        </w:rPr>
        <w:t xml:space="preserve"> are achieved</w:t>
      </w:r>
    </w:p>
    <w:p w14:paraId="2E9F9CA2" w14:textId="44948DF7" w:rsidR="00156E60" w:rsidRDefault="008868BF" w:rsidP="007F0D36">
      <w:pPr>
        <w:pStyle w:val="ListParagraph"/>
        <w:numPr>
          <w:ilvl w:val="0"/>
          <w:numId w:val="1"/>
        </w:numPr>
        <w:spacing w:after="120" w:line="276" w:lineRule="auto"/>
        <w:ind w:left="567" w:hanging="567"/>
        <w:contextualSpacing w:val="0"/>
      </w:pPr>
      <w:r>
        <w:t>In Question A4, bidders were asked:</w:t>
      </w:r>
    </w:p>
    <w:p w14:paraId="16013A87" w14:textId="45192286" w:rsidR="00F316F1" w:rsidRPr="007F0D36" w:rsidRDefault="00F316F1" w:rsidP="007F0D36">
      <w:pPr>
        <w:pStyle w:val="ListParagraph"/>
        <w:numPr>
          <w:ilvl w:val="0"/>
          <w:numId w:val="0"/>
        </w:numPr>
        <w:spacing w:after="120" w:line="276" w:lineRule="auto"/>
        <w:ind w:left="851"/>
        <w:contextualSpacing w:val="0"/>
        <w:rPr>
          <w:sz w:val="21"/>
          <w:szCs w:val="21"/>
        </w:rPr>
      </w:pPr>
      <w:r w:rsidRPr="007F0D36">
        <w:rPr>
          <w:sz w:val="21"/>
          <w:szCs w:val="21"/>
        </w:rPr>
        <w:t>“Please describe and evidence, where relevant, how your organisation will approach performance monitoring and reporting, and how you will ensure that KPIs are achieved</w:t>
      </w:r>
      <w:r w:rsidR="00290AC7" w:rsidRPr="007F0D36">
        <w:rPr>
          <w:sz w:val="21"/>
          <w:szCs w:val="21"/>
        </w:rPr>
        <w:t xml:space="preserve"> e.g. response times, availability of appointments?</w:t>
      </w:r>
    </w:p>
    <w:p w14:paraId="05581278" w14:textId="705B1B5F" w:rsidR="00290AC7" w:rsidRPr="007F0D36" w:rsidRDefault="007F0D36" w:rsidP="007F0D36">
      <w:pPr>
        <w:pStyle w:val="ListParagraph"/>
        <w:numPr>
          <w:ilvl w:val="0"/>
          <w:numId w:val="0"/>
        </w:numPr>
        <w:spacing w:after="120" w:line="276" w:lineRule="auto"/>
        <w:ind w:left="851"/>
        <w:contextualSpacing w:val="0"/>
        <w:rPr>
          <w:sz w:val="21"/>
          <w:szCs w:val="21"/>
        </w:rPr>
      </w:pPr>
      <w:r w:rsidRPr="007F0D36">
        <w:rPr>
          <w:sz w:val="21"/>
          <w:szCs w:val="21"/>
        </w:rPr>
        <w:t>“</w:t>
      </w:r>
      <w:r w:rsidR="00290AC7" w:rsidRPr="007F0D36">
        <w:rPr>
          <w:sz w:val="21"/>
          <w:szCs w:val="21"/>
        </w:rPr>
        <w:t>Also include details regarding the reporting of KPIs, remedial action, resolution and nationally mandated surveys.</w:t>
      </w:r>
    </w:p>
    <w:p w14:paraId="08C51ACC" w14:textId="5B403CDF" w:rsidR="00290AC7" w:rsidRPr="007F0D36" w:rsidRDefault="007F0D36" w:rsidP="00F316F1">
      <w:pPr>
        <w:pStyle w:val="ListParagraph"/>
        <w:numPr>
          <w:ilvl w:val="0"/>
          <w:numId w:val="0"/>
        </w:numPr>
        <w:spacing w:line="276" w:lineRule="auto"/>
        <w:ind w:left="851"/>
        <w:contextualSpacing w:val="0"/>
        <w:rPr>
          <w:sz w:val="21"/>
          <w:szCs w:val="21"/>
        </w:rPr>
      </w:pPr>
      <w:r w:rsidRPr="007F0D36">
        <w:rPr>
          <w:sz w:val="21"/>
          <w:szCs w:val="21"/>
        </w:rPr>
        <w:t>“</w:t>
      </w:r>
      <w:r w:rsidR="00764C47" w:rsidRPr="007F0D36">
        <w:rPr>
          <w:sz w:val="21"/>
          <w:szCs w:val="21"/>
        </w:rPr>
        <w:t>Please provide examples of the information pack you would provide on a regular basis to the Commissioners to support the management and monitoring of the service</w:t>
      </w:r>
      <w:r w:rsidRPr="007F0D36">
        <w:rPr>
          <w:sz w:val="21"/>
          <w:szCs w:val="21"/>
        </w:rPr>
        <w:t>.”</w:t>
      </w:r>
    </w:p>
    <w:p w14:paraId="7406B230" w14:textId="46EF7311" w:rsidR="0085611A" w:rsidRDefault="002025BE" w:rsidP="00196C9F">
      <w:pPr>
        <w:pStyle w:val="ListParagraph"/>
        <w:numPr>
          <w:ilvl w:val="0"/>
          <w:numId w:val="1"/>
        </w:numPr>
        <w:spacing w:line="276" w:lineRule="auto"/>
        <w:ind w:left="567" w:hanging="567"/>
        <w:contextualSpacing w:val="0"/>
      </w:pPr>
      <w:r>
        <w:t>The Panel reviewed Shropdoc</w:t>
      </w:r>
      <w:r w:rsidR="00AF4AA7">
        <w:t>’s</w:t>
      </w:r>
      <w:r>
        <w:t xml:space="preserve"> and Medvivo’s responses to this question</w:t>
      </w:r>
      <w:r w:rsidR="00177D17">
        <w:t>. Both bidders set out their overall approach t</w:t>
      </w:r>
      <w:r w:rsidR="007B1525">
        <w:t xml:space="preserve">o delivering against KPIs and provided examples of KPIs that both bidders currently work against in </w:t>
      </w:r>
      <w:r w:rsidR="00C53D87">
        <w:t xml:space="preserve">GP OOH </w:t>
      </w:r>
      <w:r w:rsidR="007B1525">
        <w:t>services.</w:t>
      </w:r>
      <w:r w:rsidR="00750B0A">
        <w:t xml:space="preserve"> Neither bidder </w:t>
      </w:r>
      <w:r w:rsidR="0085611A">
        <w:t xml:space="preserve">set out </w:t>
      </w:r>
      <w:r w:rsidR="004C6339">
        <w:t xml:space="preserve">any assumptions about KPIs as part of their response to this question. (The Panel also notes that neither Shropdoc nor Medvivo, in responding to this question, </w:t>
      </w:r>
      <w:r w:rsidR="0054254E">
        <w:t xml:space="preserve">expressed </w:t>
      </w:r>
      <w:r w:rsidR="004C6339">
        <w:t xml:space="preserve">any concerns </w:t>
      </w:r>
      <w:r w:rsidR="004F747E">
        <w:t>about STW ICB’s plan to finalise KPIs during contract mobilisation.)</w:t>
      </w:r>
    </w:p>
    <w:p w14:paraId="44579682" w14:textId="124466C5" w:rsidR="00A66892" w:rsidRPr="000E6013" w:rsidRDefault="009C25A6" w:rsidP="00A66892">
      <w:pPr>
        <w:keepNext/>
        <w:spacing w:before="240" w:line="276" w:lineRule="auto"/>
        <w:rPr>
          <w:b/>
          <w:bCs/>
        </w:rPr>
      </w:pPr>
      <w:r>
        <w:rPr>
          <w:b/>
          <w:bCs/>
        </w:rPr>
        <w:t>Responses to Question C7 concerning c</w:t>
      </w:r>
      <w:r w:rsidR="00A66892">
        <w:rPr>
          <w:b/>
          <w:bCs/>
        </w:rPr>
        <w:t>apacity modelling</w:t>
      </w:r>
    </w:p>
    <w:p w14:paraId="54C0E458" w14:textId="2991B4BF" w:rsidR="005E69BF" w:rsidRDefault="005E69BF" w:rsidP="00C24998">
      <w:pPr>
        <w:pStyle w:val="ListParagraph"/>
        <w:numPr>
          <w:ilvl w:val="0"/>
          <w:numId w:val="1"/>
        </w:numPr>
        <w:spacing w:after="120" w:line="276" w:lineRule="auto"/>
        <w:ind w:left="567" w:hanging="567"/>
        <w:contextualSpacing w:val="0"/>
      </w:pPr>
      <w:r>
        <w:t>In Question C7, bidders were asked:</w:t>
      </w:r>
    </w:p>
    <w:p w14:paraId="0704EAB3" w14:textId="6F14DD51" w:rsidR="005E69BF" w:rsidRPr="007F0D36" w:rsidRDefault="005E69BF" w:rsidP="00C24998">
      <w:pPr>
        <w:pStyle w:val="ListParagraph"/>
        <w:numPr>
          <w:ilvl w:val="0"/>
          <w:numId w:val="0"/>
        </w:numPr>
        <w:spacing w:after="120" w:line="276" w:lineRule="auto"/>
        <w:ind w:left="851"/>
        <w:contextualSpacing w:val="0"/>
        <w:rPr>
          <w:sz w:val="21"/>
          <w:szCs w:val="21"/>
        </w:rPr>
      </w:pPr>
      <w:r w:rsidRPr="007F0D36">
        <w:rPr>
          <w:sz w:val="21"/>
          <w:szCs w:val="21"/>
        </w:rPr>
        <w:t xml:space="preserve">“Please </w:t>
      </w:r>
      <w:r w:rsidR="007F20C1">
        <w:rPr>
          <w:sz w:val="21"/>
          <w:szCs w:val="21"/>
        </w:rPr>
        <w:t>provide an overarching narrative of your approach to capacity modelling.</w:t>
      </w:r>
    </w:p>
    <w:p w14:paraId="62AC89A0" w14:textId="2DBDD696" w:rsidR="005E69BF" w:rsidRDefault="005E69BF" w:rsidP="00C24998">
      <w:pPr>
        <w:pStyle w:val="ListParagraph"/>
        <w:numPr>
          <w:ilvl w:val="0"/>
          <w:numId w:val="0"/>
        </w:numPr>
        <w:spacing w:after="120" w:line="276" w:lineRule="auto"/>
        <w:ind w:left="851"/>
        <w:contextualSpacing w:val="0"/>
        <w:rPr>
          <w:sz w:val="21"/>
          <w:szCs w:val="21"/>
        </w:rPr>
      </w:pPr>
      <w:r w:rsidRPr="007F0D36">
        <w:rPr>
          <w:sz w:val="21"/>
          <w:szCs w:val="21"/>
        </w:rPr>
        <w:t>“</w:t>
      </w:r>
      <w:r w:rsidR="007F20C1">
        <w:rPr>
          <w:sz w:val="21"/>
          <w:szCs w:val="21"/>
        </w:rPr>
        <w:t>Include clear details of your contingency arrangements to ensure that service delivery is maintained at commissioned, in the event of an unanticipated short</w:t>
      </w:r>
      <w:r w:rsidR="00EA5540">
        <w:rPr>
          <w:sz w:val="21"/>
          <w:szCs w:val="21"/>
        </w:rPr>
        <w:t>-term peak in demand for the service or a sudden shortage of operational staff/clinicians.</w:t>
      </w:r>
    </w:p>
    <w:p w14:paraId="1028AC99" w14:textId="20C2356F" w:rsidR="005E69BF" w:rsidRPr="007F0D36" w:rsidRDefault="005E69BF" w:rsidP="00C24998">
      <w:pPr>
        <w:pStyle w:val="ListParagraph"/>
        <w:numPr>
          <w:ilvl w:val="0"/>
          <w:numId w:val="0"/>
        </w:numPr>
        <w:spacing w:line="276" w:lineRule="auto"/>
        <w:ind w:left="851"/>
        <w:contextualSpacing w:val="0"/>
        <w:rPr>
          <w:sz w:val="21"/>
          <w:szCs w:val="21"/>
        </w:rPr>
      </w:pPr>
      <w:r w:rsidRPr="007F0D36">
        <w:rPr>
          <w:sz w:val="21"/>
          <w:szCs w:val="21"/>
        </w:rPr>
        <w:t>“</w:t>
      </w:r>
      <w:r w:rsidR="00FE0EE3">
        <w:rPr>
          <w:sz w:val="21"/>
          <w:szCs w:val="21"/>
        </w:rPr>
        <w:t xml:space="preserve">Based on the anticipated activity, please fully complete Appendix </w:t>
      </w:r>
      <w:r w:rsidR="00D66C4D">
        <w:rPr>
          <w:sz w:val="21"/>
          <w:szCs w:val="21"/>
        </w:rPr>
        <w:t>[or Annex]</w:t>
      </w:r>
      <w:r w:rsidR="00FE0EE3">
        <w:rPr>
          <w:sz w:val="21"/>
          <w:szCs w:val="21"/>
        </w:rPr>
        <w:t xml:space="preserve"> 10 as indicated</w:t>
      </w:r>
      <w:r w:rsidRPr="007F0D36">
        <w:rPr>
          <w:sz w:val="21"/>
          <w:szCs w:val="21"/>
        </w:rPr>
        <w:t>.”</w:t>
      </w:r>
    </w:p>
    <w:p w14:paraId="7664DC40" w14:textId="7302CAE3" w:rsidR="00677A11" w:rsidRDefault="00D66C4D" w:rsidP="00462F93">
      <w:pPr>
        <w:pStyle w:val="ListParagraph"/>
        <w:numPr>
          <w:ilvl w:val="0"/>
          <w:numId w:val="1"/>
        </w:numPr>
        <w:spacing w:line="276" w:lineRule="auto"/>
        <w:ind w:left="567" w:hanging="567"/>
        <w:contextualSpacing w:val="0"/>
      </w:pPr>
      <w:r>
        <w:t>Annex</w:t>
      </w:r>
      <w:r w:rsidR="00677A11">
        <w:t xml:space="preserve"> 10, referred to in Question C7, is </w:t>
      </w:r>
      <w:r w:rsidR="002A4454">
        <w:t>a demand and capacity template</w:t>
      </w:r>
      <w:r w:rsidR="003C3065">
        <w:t xml:space="preserve">, comprising </w:t>
      </w:r>
      <w:r w:rsidR="00B9460B">
        <w:t>four</w:t>
      </w:r>
      <w:r w:rsidR="003C3065">
        <w:t xml:space="preserve"> worksheets</w:t>
      </w:r>
      <w:r w:rsidR="00B9460B">
        <w:t>, namely: (i) instructions for bidders; (ii) an activity worksheet,</w:t>
      </w:r>
      <w:r w:rsidR="002A4454">
        <w:t xml:space="preserve"> </w:t>
      </w:r>
      <w:r w:rsidR="005D7F60">
        <w:t xml:space="preserve">where bidders </w:t>
      </w:r>
      <w:r w:rsidR="00C45F1B">
        <w:t>were asked to</w:t>
      </w:r>
      <w:r w:rsidR="002A4454">
        <w:t xml:space="preserve"> </w:t>
      </w:r>
      <w:r w:rsidR="00CE1D8F">
        <w:t xml:space="preserve">set out their forecast demand </w:t>
      </w:r>
      <w:r w:rsidR="009A70A0">
        <w:t xml:space="preserve">profile </w:t>
      </w:r>
      <w:r w:rsidR="00CE1D8F">
        <w:t xml:space="preserve">for </w:t>
      </w:r>
      <w:r w:rsidR="00C45F1B">
        <w:t xml:space="preserve">GP OOH </w:t>
      </w:r>
      <w:r w:rsidR="00CE1D8F">
        <w:t>services</w:t>
      </w:r>
      <w:r w:rsidR="001820B5">
        <w:t xml:space="preserve">; </w:t>
      </w:r>
      <w:r w:rsidR="00CE1D8F">
        <w:t>(iii)</w:t>
      </w:r>
      <w:r w:rsidR="009368C7">
        <w:t> </w:t>
      </w:r>
      <w:r w:rsidR="00CE1D8F">
        <w:t>an assumptions worksheet</w:t>
      </w:r>
      <w:r w:rsidR="004D693C">
        <w:t xml:space="preserve">, where bidders </w:t>
      </w:r>
      <w:r w:rsidR="00BF3A3F">
        <w:t xml:space="preserve">were asked to set out the assumptions used to convert forecast demand into forecast </w:t>
      </w:r>
      <w:r w:rsidR="004D693C">
        <w:t xml:space="preserve">workforce </w:t>
      </w:r>
      <w:r w:rsidR="00BF3A3F">
        <w:t>capacity</w:t>
      </w:r>
      <w:r w:rsidR="004D693C">
        <w:t xml:space="preserve">; and (iv) a workforce worksheet, where bidders were asked to </w:t>
      </w:r>
      <w:r w:rsidR="00E24140">
        <w:t>set out the workforce that would be used to meet forecast demand.</w:t>
      </w:r>
    </w:p>
    <w:p w14:paraId="67ACBDE0" w14:textId="36CBAC31" w:rsidR="00A43C03" w:rsidRDefault="005C5F67" w:rsidP="009D549D">
      <w:pPr>
        <w:pStyle w:val="ListParagraph"/>
        <w:numPr>
          <w:ilvl w:val="0"/>
          <w:numId w:val="1"/>
        </w:numPr>
        <w:spacing w:line="276" w:lineRule="auto"/>
        <w:ind w:left="567" w:hanging="567"/>
        <w:contextualSpacing w:val="0"/>
      </w:pPr>
      <w:r>
        <w:t xml:space="preserve">In the instructions for completing the </w:t>
      </w:r>
      <w:r w:rsidR="00E617E3">
        <w:t>template, b</w:t>
      </w:r>
      <w:r w:rsidR="009D549D">
        <w:t>idders were asked to set out their “</w:t>
      </w:r>
      <w:r w:rsidR="009D549D" w:rsidRPr="00F72921">
        <w:t>anticipated profile of demand and the capacity needed to fulfil this demand in Whole Time Equivalent (WTE) numbers by type</w:t>
      </w:r>
      <w:r w:rsidR="009D549D">
        <w:t xml:space="preserve">” and </w:t>
      </w:r>
      <w:r w:rsidR="00F33CCB">
        <w:t xml:space="preserve">to </w:t>
      </w:r>
      <w:r w:rsidR="009D549D">
        <w:t>“</w:t>
      </w:r>
      <w:r w:rsidR="009D549D" w:rsidRPr="00F01796">
        <w:t>clearly demonstrate how you have modelled the WTE numbers required to meet the anticipated demand and achieve performance targets</w:t>
      </w:r>
      <w:r w:rsidR="009D549D" w:rsidRPr="00861EBA">
        <w:t>”</w:t>
      </w:r>
      <w:r w:rsidR="009D549D">
        <w:t>.</w:t>
      </w:r>
      <w:r w:rsidR="00150218">
        <w:rPr>
          <w:rStyle w:val="FootnoteReference"/>
        </w:rPr>
        <w:footnoteReference w:id="47"/>
      </w:r>
    </w:p>
    <w:p w14:paraId="40832C62" w14:textId="1B01829E" w:rsidR="009D549D" w:rsidRDefault="001F7EC6" w:rsidP="00386915">
      <w:pPr>
        <w:pStyle w:val="ListParagraph"/>
        <w:numPr>
          <w:ilvl w:val="0"/>
          <w:numId w:val="1"/>
        </w:numPr>
        <w:spacing w:line="276" w:lineRule="auto"/>
        <w:ind w:left="567" w:hanging="567"/>
        <w:contextualSpacing w:val="0"/>
      </w:pPr>
      <w:r>
        <w:t xml:space="preserve">Bidders were asked to use </w:t>
      </w:r>
      <w:r w:rsidR="007F43D6">
        <w:t>activity data supplied with the tender documentation</w:t>
      </w:r>
      <w:r>
        <w:t xml:space="preserve"> to formulate their demand profile</w:t>
      </w:r>
      <w:r w:rsidR="00C13318">
        <w:t>: (i) by month for the first year of the contract; and (ii) by hour for the average weekday and weekend. This demand profile was</w:t>
      </w:r>
      <w:r w:rsidR="000F445E">
        <w:t xml:space="preserve">, in turn, used to inform bidders’ capacity modelling. </w:t>
      </w:r>
      <w:r w:rsidR="00F5342C">
        <w:t xml:space="preserve">The Panel notes that </w:t>
      </w:r>
      <w:r w:rsidR="006F1CD6">
        <w:t xml:space="preserve">STW ICB may have found it </w:t>
      </w:r>
      <w:r w:rsidR="006F1CD6">
        <w:lastRenderedPageBreak/>
        <w:t xml:space="preserve">easier to ensure that it was </w:t>
      </w:r>
      <w:r w:rsidR="008D47AC">
        <w:t xml:space="preserve">evaluating </w:t>
      </w:r>
      <w:r w:rsidR="006F1CD6">
        <w:t xml:space="preserve">bids on a like-for-like basis if it had itself </w:t>
      </w:r>
      <w:r w:rsidR="00DE6A6F">
        <w:t xml:space="preserve">set out the demand profile, </w:t>
      </w:r>
      <w:r w:rsidR="00CD7B37">
        <w:t xml:space="preserve">rather than requiring </w:t>
      </w:r>
      <w:r w:rsidR="00A62958">
        <w:t xml:space="preserve">its estimation by </w:t>
      </w:r>
      <w:r w:rsidR="00CD7B37">
        <w:t>bidders.</w:t>
      </w:r>
      <w:r w:rsidR="009A0D0D">
        <w:t xml:space="preserve"> However, the Panel’s view is that </w:t>
      </w:r>
      <w:r w:rsidR="00A579C7">
        <w:t xml:space="preserve">this did not materially affect </w:t>
      </w:r>
      <w:r w:rsidR="00991AC7">
        <w:t xml:space="preserve">STW ICB’s overall ability to </w:t>
      </w:r>
      <w:r w:rsidR="00F43D86">
        <w:t>evaluate proposals</w:t>
      </w:r>
      <w:r w:rsidR="00DC52CF">
        <w:t>.</w:t>
      </w:r>
    </w:p>
    <w:p w14:paraId="6F17BB8F" w14:textId="5CC1FB1A" w:rsidR="00984314" w:rsidRDefault="00B77038" w:rsidP="00C15823">
      <w:pPr>
        <w:pStyle w:val="ListParagraph"/>
        <w:numPr>
          <w:ilvl w:val="0"/>
          <w:numId w:val="1"/>
        </w:numPr>
        <w:spacing w:line="276" w:lineRule="auto"/>
        <w:ind w:left="567" w:hanging="567"/>
        <w:contextualSpacing w:val="0"/>
      </w:pPr>
      <w:bookmarkStart w:id="26" w:name="_Ref201678923"/>
      <w:r w:rsidRPr="001647D5">
        <w:t>The Panel</w:t>
      </w:r>
      <w:r w:rsidR="00AF153D">
        <w:t xml:space="preserve">, in </w:t>
      </w:r>
      <w:r w:rsidR="000D0A57" w:rsidRPr="001647D5">
        <w:t>review</w:t>
      </w:r>
      <w:r w:rsidR="00AF153D">
        <w:t>ing</w:t>
      </w:r>
      <w:r w:rsidR="002039A2" w:rsidRPr="001647D5">
        <w:t xml:space="preserve"> the </w:t>
      </w:r>
      <w:r w:rsidR="00475865" w:rsidRPr="001647D5">
        <w:t>capacity and demand template</w:t>
      </w:r>
      <w:r w:rsidR="00AF153D">
        <w:t>,</w:t>
      </w:r>
      <w:r w:rsidR="00475865" w:rsidRPr="001647D5">
        <w:t xml:space="preserve"> </w:t>
      </w:r>
      <w:r w:rsidR="00703008">
        <w:t xml:space="preserve">did not identify </w:t>
      </w:r>
      <w:r w:rsidR="00E94AC6">
        <w:t>a</w:t>
      </w:r>
      <w:r w:rsidR="00A0155B">
        <w:t>ny</w:t>
      </w:r>
      <w:r w:rsidR="008A606E">
        <w:t xml:space="preserve"> need for bidders to make </w:t>
      </w:r>
      <w:r w:rsidR="004D5E3A">
        <w:t xml:space="preserve">assumptions </w:t>
      </w:r>
      <w:r w:rsidR="008A606E">
        <w:t xml:space="preserve">about </w:t>
      </w:r>
      <w:r w:rsidR="007C5A28">
        <w:t>th</w:t>
      </w:r>
      <w:r w:rsidR="007B1875">
        <w:t>os</w:t>
      </w:r>
      <w:r w:rsidR="007C5A28">
        <w:t xml:space="preserve">e KPIs </w:t>
      </w:r>
      <w:r w:rsidR="00C43A9B">
        <w:t xml:space="preserve">that currently </w:t>
      </w:r>
      <w:r w:rsidR="008B5793">
        <w:t xml:space="preserve">apply to </w:t>
      </w:r>
      <w:r w:rsidR="00410D95">
        <w:t>Shropdoc</w:t>
      </w:r>
      <w:r w:rsidR="008B5793">
        <w:t xml:space="preserve">’s </w:t>
      </w:r>
      <w:r w:rsidR="00410D95">
        <w:t>current GP OOH service</w:t>
      </w:r>
      <w:r w:rsidR="00A0155B">
        <w:t xml:space="preserve"> in order to complete the template</w:t>
      </w:r>
      <w:r w:rsidR="00410D95">
        <w:t>.</w:t>
      </w:r>
      <w:r w:rsidR="00ED2D0B">
        <w:t xml:space="preserve"> </w:t>
      </w:r>
      <w:r w:rsidR="00077578">
        <w:t>Bidders did</w:t>
      </w:r>
      <w:r w:rsidR="00DF1FBE">
        <w:t xml:space="preserve">, however, </w:t>
      </w:r>
      <w:r w:rsidR="00077578">
        <w:t xml:space="preserve">have to make an </w:t>
      </w:r>
      <w:r w:rsidR="00DF1FBE">
        <w:t xml:space="preserve">assumption about the </w:t>
      </w:r>
      <w:r w:rsidR="00E11205">
        <w:t>number of consultations per hour</w:t>
      </w:r>
      <w:r w:rsidR="00E37561">
        <w:t xml:space="preserve">, and </w:t>
      </w:r>
      <w:r w:rsidR="003B6669">
        <w:t>both Shropdoc and Medvivo cited this metric as a</w:t>
      </w:r>
      <w:r w:rsidR="00840E12">
        <w:t>n example of a KPI in their responses to Question A4.</w:t>
      </w:r>
      <w:bookmarkEnd w:id="26"/>
    </w:p>
    <w:p w14:paraId="7B75C3C9" w14:textId="1ABA1289" w:rsidR="00644555" w:rsidRDefault="5C64C4B1" w:rsidP="00DC6B9F">
      <w:pPr>
        <w:pStyle w:val="ListParagraph"/>
        <w:numPr>
          <w:ilvl w:val="0"/>
          <w:numId w:val="1"/>
        </w:numPr>
        <w:spacing w:line="276" w:lineRule="auto"/>
        <w:ind w:left="567" w:hanging="567"/>
        <w:contextualSpacing w:val="0"/>
      </w:pPr>
      <w:r>
        <w:t xml:space="preserve">Shropdoc in </w:t>
      </w:r>
      <w:r w:rsidR="7F23DF6C">
        <w:t xml:space="preserve">the </w:t>
      </w:r>
      <w:r w:rsidR="07DCABF1">
        <w:t>“Narrative &amp; Assumptions” worksheet for the F</w:t>
      </w:r>
      <w:r w:rsidR="10737E86">
        <w:t>inancial Model Template</w:t>
      </w:r>
      <w:r w:rsidR="07DCABF1">
        <w:t xml:space="preserve"> sa</w:t>
      </w:r>
      <w:r w:rsidR="00FB3075">
        <w:t>id</w:t>
      </w:r>
      <w:r w:rsidR="07DCABF1">
        <w:t xml:space="preserve"> that </w:t>
      </w:r>
      <w:r w:rsidR="567B5CDE">
        <w:t>its “GP OOH staffing model is based on achieving current locally agreed KPIs”</w:t>
      </w:r>
      <w:r w:rsidR="00A90B6A">
        <w:t>, and provided an assumption about the number of consultations per hour</w:t>
      </w:r>
      <w:r w:rsidR="7DB22DE1">
        <w:t xml:space="preserve">. </w:t>
      </w:r>
      <w:r w:rsidR="00644555">
        <w:t>Medvivo</w:t>
      </w:r>
      <w:r w:rsidR="00162281">
        <w:t xml:space="preserve">, in its proposal, </w:t>
      </w:r>
      <w:r w:rsidR="00C476C1">
        <w:t xml:space="preserve">said that the number of consultations per hour would </w:t>
      </w:r>
      <w:r w:rsidR="00732C6D">
        <w:t>be within a range</w:t>
      </w:r>
      <w:r w:rsidR="00E7299E">
        <w:t xml:space="preserve">, </w:t>
      </w:r>
      <w:r w:rsidR="00060964">
        <w:t xml:space="preserve">and following a clarification question from STW ICB </w:t>
      </w:r>
      <w:r w:rsidR="00432BF6">
        <w:t xml:space="preserve">refined its range to a single </w:t>
      </w:r>
      <w:r w:rsidR="00060964">
        <w:t xml:space="preserve">point estimate that was similar to that </w:t>
      </w:r>
      <w:r w:rsidR="00AF62A4">
        <w:t>put forward by Shropdoc.</w:t>
      </w:r>
    </w:p>
    <w:p w14:paraId="72D291A3" w14:textId="50642B5B" w:rsidR="00B66A78" w:rsidRDefault="0DEB03B9" w:rsidP="00FB3075">
      <w:pPr>
        <w:pStyle w:val="ListParagraph"/>
        <w:numPr>
          <w:ilvl w:val="0"/>
          <w:numId w:val="1"/>
        </w:numPr>
        <w:spacing w:line="276" w:lineRule="auto"/>
        <w:ind w:left="567" w:hanging="567"/>
        <w:contextualSpacing w:val="0"/>
      </w:pPr>
      <w:r>
        <w:t>STW ICB</w:t>
      </w:r>
      <w:r w:rsidR="1474313A">
        <w:t xml:space="preserve"> </w:t>
      </w:r>
      <w:r>
        <w:t xml:space="preserve">in its evaluation </w:t>
      </w:r>
      <w:r w:rsidR="7DB22DE1">
        <w:t xml:space="preserve">of </w:t>
      </w:r>
      <w:r w:rsidR="44C12EF4">
        <w:t>Medvivo’s proposal</w:t>
      </w:r>
      <w:r w:rsidR="7DB22DE1">
        <w:t>, said</w:t>
      </w:r>
      <w:r w:rsidR="44C12EF4">
        <w:t xml:space="preserve"> “the activity per clinician gives rise to a minor concern regarding meeting demand that may push work into the following day or into other services</w:t>
      </w:r>
      <w:r w:rsidR="7DB22DE1">
        <w:t>. Through clarification the bidder did provide some assurance but did not fully explain the appointment time range</w:t>
      </w:r>
      <w:r w:rsidR="44C12EF4">
        <w:t>”.</w:t>
      </w:r>
      <w:r w:rsidR="00221331">
        <w:rPr>
          <w:rStyle w:val="FootnoteReference"/>
        </w:rPr>
        <w:footnoteReference w:id="48"/>
      </w:r>
      <w:r w:rsidR="4A1CE342">
        <w:t xml:space="preserve"> Medvivo was awarded a score of </w:t>
      </w:r>
      <w:r w:rsidR="77DDA3E3">
        <w:t>3</w:t>
      </w:r>
      <w:r w:rsidR="356FB72F">
        <w:t xml:space="preserve"> (Acceptable) for its answer</w:t>
      </w:r>
      <w:r w:rsidR="2C361122">
        <w:t>,</w:t>
      </w:r>
      <w:r w:rsidR="356FB72F">
        <w:t xml:space="preserve"> as was Shropdoc.</w:t>
      </w:r>
      <w:r w:rsidR="009F7471">
        <w:t xml:space="preserve"> The Panel’s view is that </w:t>
      </w:r>
      <w:r w:rsidR="00685CBD">
        <w:t xml:space="preserve">evidence does not suggest that STW ICB’s evaluation of </w:t>
      </w:r>
      <w:r w:rsidR="00E23C35">
        <w:t>the two bidders’ responses to this question was unreasonable.</w:t>
      </w:r>
    </w:p>
    <w:p w14:paraId="0472E20E" w14:textId="4C5FDCD7" w:rsidR="00B14701" w:rsidRPr="00B14701" w:rsidRDefault="00C05ADF" w:rsidP="00B14701">
      <w:pPr>
        <w:keepNext/>
        <w:spacing w:before="240" w:line="276" w:lineRule="auto"/>
        <w:rPr>
          <w:b/>
          <w:bCs/>
        </w:rPr>
      </w:pPr>
      <w:r>
        <w:rPr>
          <w:b/>
          <w:bCs/>
        </w:rPr>
        <w:t>Panel assessment of KPI assumptions in bidders’ proposals</w:t>
      </w:r>
    </w:p>
    <w:p w14:paraId="6A1CF42F" w14:textId="1CB5D20C" w:rsidR="007B34BF" w:rsidRDefault="00DA21B2">
      <w:pPr>
        <w:pStyle w:val="ListParagraph"/>
        <w:numPr>
          <w:ilvl w:val="0"/>
          <w:numId w:val="1"/>
        </w:numPr>
        <w:spacing w:line="276" w:lineRule="auto"/>
        <w:ind w:left="567" w:hanging="567"/>
        <w:contextualSpacing w:val="0"/>
      </w:pPr>
      <w:r>
        <w:t xml:space="preserve">In summary, the Panel </w:t>
      </w:r>
      <w:r w:rsidR="00DE4FB0">
        <w:t xml:space="preserve">notes that </w:t>
      </w:r>
      <w:r w:rsidR="00A81E82">
        <w:t xml:space="preserve">the </w:t>
      </w:r>
      <w:r w:rsidR="001D67CE">
        <w:t xml:space="preserve">tender documentation </w:t>
      </w:r>
      <w:r w:rsidR="00A048C7">
        <w:t>only placed a very limited requirement on bidders to formulate KPI assumptions to support their proposal.</w:t>
      </w:r>
      <w:r w:rsidR="007B34BF">
        <w:t xml:space="preserve"> </w:t>
      </w:r>
      <w:r w:rsidR="00026AE7">
        <w:t xml:space="preserve">In relation to the one KPI assumption </w:t>
      </w:r>
      <w:r w:rsidR="00E66545">
        <w:t xml:space="preserve">in bidders’ proposals </w:t>
      </w:r>
      <w:r w:rsidR="00026AE7">
        <w:t xml:space="preserve">that </w:t>
      </w:r>
      <w:r w:rsidR="00E66545">
        <w:t>the Panel identified</w:t>
      </w:r>
      <w:r w:rsidR="00533BBF">
        <w:t xml:space="preserve"> (i.e. consultations per hour)</w:t>
      </w:r>
      <w:r w:rsidR="00E66545">
        <w:t xml:space="preserve">, </w:t>
      </w:r>
      <w:r w:rsidR="00336DE1">
        <w:t>Medvivo and Shropdoc made very similar assumption</w:t>
      </w:r>
      <w:r w:rsidR="000B2842">
        <w:t>s</w:t>
      </w:r>
      <w:r w:rsidR="00336DE1">
        <w:t>.</w:t>
      </w:r>
      <w:r w:rsidR="00297822">
        <w:t xml:space="preserve"> </w:t>
      </w:r>
      <w:r w:rsidR="007B34BF">
        <w:t xml:space="preserve">As a result, the Panel does not accept Shropdoc’s </w:t>
      </w:r>
      <w:r w:rsidR="00332C8C">
        <w:t xml:space="preserve">suggestion that </w:t>
      </w:r>
      <w:r w:rsidR="00C61868">
        <w:t>“bidders were unable to develop like-for-like service models</w:t>
      </w:r>
      <w:r w:rsidR="009E5B24">
        <w:t>, resulting in bidders developing models on divergent assumptions, materially affecting cost and resourcing structures</w:t>
      </w:r>
      <w:r w:rsidR="00425A66">
        <w:t>”</w:t>
      </w:r>
      <w:r w:rsidR="009E5B24">
        <w:t>.</w:t>
      </w:r>
    </w:p>
    <w:p w14:paraId="41B6CBB0" w14:textId="49217857" w:rsidR="009D5C5F" w:rsidRPr="00DF2CE6" w:rsidRDefault="001B060E" w:rsidP="00DF2CE6">
      <w:pPr>
        <w:keepNext/>
        <w:spacing w:before="240" w:line="276" w:lineRule="auto"/>
        <w:rPr>
          <w:b/>
          <w:bCs/>
        </w:rPr>
      </w:pPr>
      <w:r w:rsidRPr="00DF2CE6">
        <w:rPr>
          <w:b/>
          <w:bCs/>
        </w:rPr>
        <w:t xml:space="preserve">7.2.5 Panel conclusions on </w:t>
      </w:r>
      <w:r w:rsidR="00DF2CE6" w:rsidRPr="00DF2CE6">
        <w:rPr>
          <w:b/>
          <w:bCs/>
        </w:rPr>
        <w:t>KPI information</w:t>
      </w:r>
      <w:r w:rsidR="004918FC">
        <w:rPr>
          <w:b/>
          <w:bCs/>
        </w:rPr>
        <w:t xml:space="preserve"> in the tender documentation</w:t>
      </w:r>
    </w:p>
    <w:p w14:paraId="2DA2630B" w14:textId="215F9D30" w:rsidR="00E05460" w:rsidRDefault="009160B7" w:rsidP="00320A68">
      <w:pPr>
        <w:pStyle w:val="ListParagraph"/>
        <w:numPr>
          <w:ilvl w:val="0"/>
          <w:numId w:val="1"/>
        </w:numPr>
        <w:spacing w:after="120" w:line="276" w:lineRule="auto"/>
        <w:ind w:left="567" w:hanging="567"/>
        <w:contextualSpacing w:val="0"/>
      </w:pPr>
      <w:r>
        <w:t xml:space="preserve">In conclusion, </w:t>
      </w:r>
      <w:r w:rsidR="003C2689">
        <w:t>regarding the concerns raised by Shropdoc regarding a lack of defined KPIs in the tender documentation, the Panel</w:t>
      </w:r>
      <w:r w:rsidR="00BE3B21">
        <w:t>’s view is that:</w:t>
      </w:r>
    </w:p>
    <w:p w14:paraId="1AB5090D" w14:textId="1638A571" w:rsidR="00036F10" w:rsidRDefault="00A237AF" w:rsidP="003C6C37">
      <w:pPr>
        <w:pStyle w:val="ListParagraph"/>
        <w:numPr>
          <w:ilvl w:val="0"/>
          <w:numId w:val="15"/>
        </w:numPr>
        <w:spacing w:after="120" w:line="276" w:lineRule="auto"/>
        <w:ind w:hanging="436"/>
        <w:contextualSpacing w:val="0"/>
      </w:pPr>
      <w:r>
        <w:t>f</w:t>
      </w:r>
      <w:r w:rsidR="002876D7">
        <w:t xml:space="preserve">irst, </w:t>
      </w:r>
      <w:r w:rsidR="00FD44BE">
        <w:t>the tender documentation</w:t>
      </w:r>
      <w:r w:rsidR="000C72BF">
        <w:t xml:space="preserve"> contained </w:t>
      </w:r>
      <w:r w:rsidR="008870F0">
        <w:t xml:space="preserve">sufficient </w:t>
      </w:r>
      <w:r w:rsidR="000C72BF">
        <w:t>information about the service standards that would be expected of the successful bidder</w:t>
      </w:r>
      <w:r w:rsidR="00FD44BE">
        <w:t>, and it was also clear that KPIs would be finalised with the successful bidder during contract mobilisation</w:t>
      </w:r>
      <w:r w:rsidR="003D7459">
        <w:t>;</w:t>
      </w:r>
    </w:p>
    <w:p w14:paraId="01DA1ECF" w14:textId="713D94C8" w:rsidR="003D7459" w:rsidRDefault="003D7459" w:rsidP="003C6C37">
      <w:pPr>
        <w:pStyle w:val="ListParagraph"/>
        <w:numPr>
          <w:ilvl w:val="0"/>
          <w:numId w:val="15"/>
        </w:numPr>
        <w:spacing w:after="120" w:line="276" w:lineRule="auto"/>
        <w:ind w:hanging="436"/>
        <w:contextualSpacing w:val="0"/>
      </w:pPr>
      <w:r>
        <w:t xml:space="preserve">second, </w:t>
      </w:r>
      <w:r w:rsidR="00D024A9">
        <w:t xml:space="preserve">bidders did not need to make extensive assumptions about </w:t>
      </w:r>
      <w:r w:rsidR="002316AF">
        <w:t xml:space="preserve">KPIs in order to </w:t>
      </w:r>
      <w:r w:rsidR="00524CB9">
        <w:t>respond to the proposal</w:t>
      </w:r>
      <w:r w:rsidR="00DC5B30">
        <w:t xml:space="preserve">, and </w:t>
      </w:r>
      <w:r w:rsidR="00966030">
        <w:t xml:space="preserve">for </w:t>
      </w:r>
      <w:r w:rsidR="005D1DEB">
        <w:t xml:space="preserve">the one </w:t>
      </w:r>
      <w:r w:rsidR="00966030">
        <w:t xml:space="preserve">possible </w:t>
      </w:r>
      <w:r w:rsidR="005D1DEB">
        <w:t xml:space="preserve">KPI </w:t>
      </w:r>
      <w:r w:rsidR="00966030">
        <w:t xml:space="preserve">where </w:t>
      </w:r>
      <w:r w:rsidR="00700DB0">
        <w:t xml:space="preserve">bidders </w:t>
      </w:r>
      <w:r w:rsidR="00700DB0">
        <w:lastRenderedPageBreak/>
        <w:t xml:space="preserve">had to make an </w:t>
      </w:r>
      <w:r w:rsidR="005D1DEB">
        <w:t>assumption</w:t>
      </w:r>
      <w:r w:rsidR="00700DB0">
        <w:t xml:space="preserve">, </w:t>
      </w:r>
      <w:r w:rsidR="006615C3">
        <w:t>Medvivo</w:t>
      </w:r>
      <w:r w:rsidR="005D790F">
        <w:t>’s</w:t>
      </w:r>
      <w:r w:rsidR="006615C3">
        <w:t xml:space="preserve"> and Shropdoc</w:t>
      </w:r>
      <w:r w:rsidR="005D790F">
        <w:t>’s assumptions</w:t>
      </w:r>
      <w:r w:rsidR="006615C3">
        <w:t xml:space="preserve"> were very similar; and</w:t>
      </w:r>
    </w:p>
    <w:p w14:paraId="7E19A217" w14:textId="0AA29EA2" w:rsidR="00BE3B21" w:rsidRDefault="006615C3" w:rsidP="003C6C37">
      <w:pPr>
        <w:pStyle w:val="ListParagraph"/>
        <w:numPr>
          <w:ilvl w:val="0"/>
          <w:numId w:val="15"/>
        </w:numPr>
        <w:spacing w:after="120" w:line="276" w:lineRule="auto"/>
        <w:ind w:hanging="436"/>
        <w:contextualSpacing w:val="0"/>
      </w:pPr>
      <w:r>
        <w:t>finally, t</w:t>
      </w:r>
      <w:r w:rsidR="00A16322">
        <w:t>he</w:t>
      </w:r>
      <w:r w:rsidR="00036F10">
        <w:t xml:space="preserve"> </w:t>
      </w:r>
      <w:r w:rsidR="00A16322">
        <w:t xml:space="preserve">evidence </w:t>
      </w:r>
      <w:r w:rsidR="00311D1C">
        <w:t xml:space="preserve">from the assessment of the quality of Medvivo’s </w:t>
      </w:r>
      <w:r w:rsidR="00C141FC">
        <w:t>tender response</w:t>
      </w:r>
      <w:r w:rsidR="00311D1C">
        <w:t xml:space="preserve"> and the resources it has</w:t>
      </w:r>
      <w:r w:rsidR="00C141FC">
        <w:t xml:space="preserve"> proposed</w:t>
      </w:r>
      <w:r w:rsidR="00311D1C">
        <w:t xml:space="preserve"> </w:t>
      </w:r>
      <w:r w:rsidR="00036F10">
        <w:t xml:space="preserve">does not </w:t>
      </w:r>
      <w:r w:rsidR="00915D50">
        <w:t xml:space="preserve">support a suggestion that </w:t>
      </w:r>
      <w:r w:rsidR="00534F53">
        <w:t xml:space="preserve">its </w:t>
      </w:r>
      <w:r w:rsidR="00B55C4F">
        <w:t xml:space="preserve">success in </w:t>
      </w:r>
      <w:r w:rsidR="00A16322">
        <w:t xml:space="preserve">winning </w:t>
      </w:r>
      <w:r w:rsidR="00B55C4F">
        <w:t xml:space="preserve">the </w:t>
      </w:r>
      <w:r w:rsidR="00A16322">
        <w:t>bid</w:t>
      </w:r>
      <w:r w:rsidR="00B55C4F">
        <w:t xml:space="preserve"> was based on any assumption of </w:t>
      </w:r>
      <w:r w:rsidR="007E2B1D">
        <w:t>lower standards</w:t>
      </w:r>
      <w:r w:rsidR="00C7293C">
        <w:t>.</w:t>
      </w:r>
    </w:p>
    <w:p w14:paraId="55118699" w14:textId="1EF27A7F" w:rsidR="00BE3B21" w:rsidRDefault="00D9146C">
      <w:pPr>
        <w:pStyle w:val="ListParagraph"/>
        <w:numPr>
          <w:ilvl w:val="0"/>
          <w:numId w:val="1"/>
        </w:numPr>
        <w:spacing w:line="276" w:lineRule="auto"/>
        <w:ind w:left="567" w:hanging="567"/>
        <w:contextualSpacing w:val="0"/>
      </w:pPr>
      <w:r>
        <w:t>Given the</w:t>
      </w:r>
      <w:r w:rsidR="005D791A">
        <w:t>se conclusions</w:t>
      </w:r>
      <w:r w:rsidR="00320A68">
        <w:t xml:space="preserve">, the Panel finds that </w:t>
      </w:r>
      <w:r w:rsidR="00807A8A">
        <w:t>STW ICB</w:t>
      </w:r>
      <w:r w:rsidR="00EA39A1">
        <w:t xml:space="preserve"> provided </w:t>
      </w:r>
      <w:r w:rsidR="00BC0248">
        <w:t xml:space="preserve">limited </w:t>
      </w:r>
      <w:r w:rsidR="00DC4E35" w:rsidRPr="00DC4E35">
        <w:t>information in the tender documentation on the specific KPIs that would be implemented</w:t>
      </w:r>
      <w:r w:rsidR="00BC0248">
        <w:t>,</w:t>
      </w:r>
      <w:r w:rsidR="00F75EEC">
        <w:t xml:space="preserve"> </w:t>
      </w:r>
      <w:r w:rsidR="00FC1BB6">
        <w:t xml:space="preserve">but </w:t>
      </w:r>
      <w:r w:rsidR="00F75EEC">
        <w:t xml:space="preserve">did not </w:t>
      </w:r>
      <w:r>
        <w:t xml:space="preserve">breach the </w:t>
      </w:r>
      <w:r w:rsidR="00BC0248">
        <w:t>PSR regulations</w:t>
      </w:r>
      <w:r w:rsidR="00F16800">
        <w:t xml:space="preserve">, </w:t>
      </w:r>
      <w:r w:rsidR="004C7DFF">
        <w:t>and in particular its obligation under</w:t>
      </w:r>
      <w:r w:rsidR="00F16800">
        <w:t xml:space="preserve"> </w:t>
      </w:r>
      <w:r w:rsidR="00320042">
        <w:t>Regulation 4</w:t>
      </w:r>
      <w:r w:rsidR="000E093A">
        <w:t xml:space="preserve"> </w:t>
      </w:r>
      <w:r w:rsidR="00320042">
        <w:t>to act transparently, fairly and proportionately.</w:t>
      </w:r>
    </w:p>
    <w:p w14:paraId="7E34FC8F" w14:textId="71B1ECD7" w:rsidR="009E5133" w:rsidRPr="009E5133" w:rsidRDefault="00D92926" w:rsidP="00454AE5">
      <w:pPr>
        <w:pStyle w:val="Heading2"/>
        <w:spacing w:before="240" w:after="160" w:line="276" w:lineRule="auto"/>
        <w:ind w:left="578" w:hanging="578"/>
      </w:pPr>
      <w:bookmarkStart w:id="27" w:name="_Toc201919699"/>
      <w:r>
        <w:t>E</w:t>
      </w:r>
      <w:r w:rsidR="00836F4C">
        <w:t xml:space="preserve">valuation of bidders’ </w:t>
      </w:r>
      <w:r>
        <w:t xml:space="preserve">financial </w:t>
      </w:r>
      <w:r w:rsidR="00836F4C">
        <w:t>proposals</w:t>
      </w:r>
      <w:bookmarkEnd w:id="27"/>
    </w:p>
    <w:p w14:paraId="475EC05B" w14:textId="2D214AB1" w:rsidR="00D92926" w:rsidRDefault="00D92926" w:rsidP="00693E56">
      <w:pPr>
        <w:pStyle w:val="ListParagraph"/>
        <w:numPr>
          <w:ilvl w:val="0"/>
          <w:numId w:val="1"/>
        </w:numPr>
        <w:spacing w:after="120" w:line="276" w:lineRule="auto"/>
        <w:ind w:left="567" w:hanging="567"/>
        <w:contextualSpacing w:val="0"/>
      </w:pPr>
      <w:r>
        <w:t>This section sets out the Panel’s assessment of Shropdoc’s concerns about the evaluation of bidders’ financial proposals.</w:t>
      </w:r>
    </w:p>
    <w:p w14:paraId="7DB61FF3" w14:textId="248636A4" w:rsidR="00A30C49" w:rsidRDefault="00A30C49" w:rsidP="00852128">
      <w:pPr>
        <w:pStyle w:val="ListParagraph"/>
        <w:numPr>
          <w:ilvl w:val="0"/>
          <w:numId w:val="1"/>
        </w:numPr>
        <w:spacing w:after="120" w:line="276" w:lineRule="auto"/>
        <w:ind w:left="567" w:hanging="567"/>
        <w:contextualSpacing w:val="0"/>
      </w:pPr>
      <w:bookmarkStart w:id="28" w:name="_Ref201915637"/>
      <w:r w:rsidRPr="008C0AAB">
        <w:t xml:space="preserve">Shropdoc, in its </w:t>
      </w:r>
      <w:r>
        <w:t>representations</w:t>
      </w:r>
      <w:r w:rsidRPr="008C0AAB">
        <w:t xml:space="preserve"> to the Panel, said that</w:t>
      </w:r>
      <w:r>
        <w:t>:</w:t>
      </w:r>
      <w:bookmarkEnd w:id="28"/>
    </w:p>
    <w:p w14:paraId="191F034B" w14:textId="59763E58" w:rsidR="00A30C49" w:rsidRPr="00BC3755" w:rsidRDefault="00A30C49" w:rsidP="11F3F354">
      <w:pPr>
        <w:pStyle w:val="ListParagraph"/>
        <w:numPr>
          <w:ilvl w:val="0"/>
          <w:numId w:val="0"/>
        </w:numPr>
        <w:spacing w:line="276" w:lineRule="auto"/>
        <w:ind w:left="851"/>
        <w:contextualSpacing w:val="0"/>
        <w:rPr>
          <w:sz w:val="21"/>
          <w:szCs w:val="21"/>
        </w:rPr>
      </w:pPr>
      <w:r w:rsidRPr="00454AE5">
        <w:rPr>
          <w:sz w:val="21"/>
          <w:szCs w:val="21"/>
        </w:rPr>
        <w:t>“no due diligence was conducted into the deliverability of the winning bidder’s submission, which was markedly below both the ICB’s indicative value and the incumbent’s costed model. Accepting a substantially cheaper bid without detailed due diligence or a clear assessment of risk around sustainability is not consistent with obligations under Regulation 5</w:t>
      </w:r>
      <w:r w:rsidR="00441545">
        <w:rPr>
          <w:sz w:val="21"/>
          <w:szCs w:val="21"/>
        </w:rPr>
        <w:t xml:space="preserve"> ..</w:t>
      </w:r>
      <w:r w:rsidRPr="00454AE5">
        <w:rPr>
          <w:sz w:val="21"/>
          <w:szCs w:val="21"/>
        </w:rPr>
        <w:t xml:space="preserve">. The ICB has not provided a reasoned analysis explaining how the successful bidder’s price could be sustainable without compromising service quality or patient safety. The absence of a clear, documented evaluation of financial sustainability is a continuing concern and remains unaddressed by the ICB’s generalised statements in the panel report.” (see paragraph </w:t>
      </w:r>
      <w:r w:rsidRPr="00454AE5">
        <w:rPr>
          <w:sz w:val="21"/>
          <w:szCs w:val="21"/>
        </w:rPr>
        <w:fldChar w:fldCharType="begin"/>
      </w:r>
      <w:r w:rsidRPr="00454AE5">
        <w:rPr>
          <w:sz w:val="21"/>
          <w:szCs w:val="21"/>
        </w:rPr>
        <w:instrText xml:space="preserve"> REF _Ref199399981 \r \h  \* MERGEFORMAT </w:instrText>
      </w:r>
      <w:r w:rsidRPr="00454AE5">
        <w:rPr>
          <w:sz w:val="21"/>
          <w:szCs w:val="21"/>
        </w:rPr>
      </w:r>
      <w:r w:rsidRPr="00454AE5">
        <w:rPr>
          <w:sz w:val="21"/>
          <w:szCs w:val="21"/>
        </w:rPr>
        <w:fldChar w:fldCharType="separate"/>
      </w:r>
      <w:r w:rsidR="006809EF">
        <w:rPr>
          <w:sz w:val="21"/>
          <w:szCs w:val="21"/>
        </w:rPr>
        <w:t>28</w:t>
      </w:r>
      <w:r w:rsidRPr="00454AE5">
        <w:rPr>
          <w:sz w:val="21"/>
          <w:szCs w:val="21"/>
        </w:rPr>
        <w:fldChar w:fldCharType="end"/>
      </w:r>
      <w:r w:rsidRPr="00454AE5">
        <w:rPr>
          <w:sz w:val="21"/>
          <w:szCs w:val="21"/>
        </w:rPr>
        <w:t>).</w:t>
      </w:r>
      <w:r w:rsidRPr="00454AE5">
        <w:rPr>
          <w:rStyle w:val="FootnoteReference"/>
          <w:sz w:val="21"/>
          <w:szCs w:val="21"/>
        </w:rPr>
        <w:footnoteReference w:id="49"/>
      </w:r>
    </w:p>
    <w:p w14:paraId="60B54644" w14:textId="709B5A18" w:rsidR="00E36073" w:rsidRDefault="001F0D03" w:rsidP="00784C7F">
      <w:pPr>
        <w:pStyle w:val="ListParagraph"/>
        <w:numPr>
          <w:ilvl w:val="0"/>
          <w:numId w:val="1"/>
        </w:numPr>
        <w:spacing w:after="120" w:line="276" w:lineRule="auto"/>
        <w:ind w:left="567" w:hanging="567"/>
        <w:contextualSpacing w:val="0"/>
      </w:pPr>
      <w:bookmarkStart w:id="29" w:name="_Ref201070275"/>
      <w:r>
        <w:t xml:space="preserve">The Panel notes Shropdoc’s reference to Regulation 5, which </w:t>
      </w:r>
      <w:r w:rsidR="00607F6F">
        <w:t xml:space="preserve">sets out the five key criteria that commissioners must take into account when </w:t>
      </w:r>
      <w:r w:rsidR="008C41D4">
        <w:t xml:space="preserve">evaluating proposals. One of the five key criteria is Integration, collaboration and service sustainability, </w:t>
      </w:r>
      <w:r w:rsidR="0000493D">
        <w:t>wh</w:t>
      </w:r>
      <w:r w:rsidR="0028159D">
        <w:t xml:space="preserve">ich refers to </w:t>
      </w:r>
      <w:r w:rsidR="009C24EA">
        <w:t>“the stability of good quality health care services or service continuity of health care services”).</w:t>
      </w:r>
      <w:r w:rsidR="00E976B5">
        <w:t xml:space="preserve"> </w:t>
      </w:r>
      <w:r w:rsidR="0050798E">
        <w:t>Shropdoc’s concerns, to the extent that they are valid, are</w:t>
      </w:r>
      <w:r w:rsidR="0079064B">
        <w:t>, however,</w:t>
      </w:r>
      <w:r w:rsidR="0050798E">
        <w:t xml:space="preserve"> m</w:t>
      </w:r>
      <w:r w:rsidR="00210ABE">
        <w:t xml:space="preserve">ore likely to give rise to a potential breach of Regulation 4, which requires </w:t>
      </w:r>
      <w:r w:rsidR="00636653">
        <w:t xml:space="preserve">commissioners to </w:t>
      </w:r>
      <w:r w:rsidR="00B919A7">
        <w:t>act with a view to “</w:t>
      </w:r>
      <w:r w:rsidR="00B42E74">
        <w:t>securing the needs of the people who use the services</w:t>
      </w:r>
      <w:r w:rsidR="00B919A7">
        <w:t>”</w:t>
      </w:r>
      <w:r w:rsidR="0094698E">
        <w:t>.</w:t>
      </w:r>
    </w:p>
    <w:p w14:paraId="5FF3B71D" w14:textId="54392C77" w:rsidR="00EE055B" w:rsidRDefault="008F22E9" w:rsidP="009B725E">
      <w:pPr>
        <w:pStyle w:val="ListParagraph"/>
        <w:numPr>
          <w:ilvl w:val="0"/>
          <w:numId w:val="1"/>
        </w:numPr>
        <w:spacing w:after="120" w:line="276" w:lineRule="auto"/>
        <w:ind w:left="567" w:hanging="567"/>
        <w:contextualSpacing w:val="0"/>
      </w:pPr>
      <w:r>
        <w:t xml:space="preserve">To evaluate </w:t>
      </w:r>
      <w:r w:rsidR="00B51E82">
        <w:t>Shropdoc</w:t>
      </w:r>
      <w:r w:rsidR="00225916">
        <w:t>’s concerns</w:t>
      </w:r>
      <w:r w:rsidR="00291212">
        <w:t xml:space="preserve"> about how STW ICB assessed </w:t>
      </w:r>
      <w:r w:rsidR="00E30500">
        <w:t xml:space="preserve">the deliverability </w:t>
      </w:r>
      <w:r w:rsidR="001C184E">
        <w:t xml:space="preserve">and financial sustainability </w:t>
      </w:r>
      <w:r w:rsidR="00E30500">
        <w:t>of bidders’ submissions</w:t>
      </w:r>
      <w:r w:rsidR="00D35C66">
        <w:t xml:space="preserve">, including that of Medvivo, </w:t>
      </w:r>
      <w:r w:rsidR="00DE05FD">
        <w:t xml:space="preserve">the Panel reviewed the relevant </w:t>
      </w:r>
      <w:r w:rsidR="00A66FB5">
        <w:t>provisions of the tender documentation</w:t>
      </w:r>
      <w:r w:rsidR="009B725E">
        <w:t xml:space="preserve">, including </w:t>
      </w:r>
      <w:bookmarkEnd w:id="29"/>
      <w:r w:rsidR="005B432A">
        <w:t>the Financial Model Handbook (FMH)</w:t>
      </w:r>
      <w:r w:rsidR="00104C70">
        <w:t xml:space="preserve"> and the Financial Model Template (FMT)</w:t>
      </w:r>
      <w:r w:rsidR="00BA0726">
        <w:t>.</w:t>
      </w:r>
      <w:r w:rsidR="003F0ACD">
        <w:rPr>
          <w:rStyle w:val="FootnoteReference"/>
        </w:rPr>
        <w:footnoteReference w:id="50"/>
      </w:r>
    </w:p>
    <w:p w14:paraId="54C7F116" w14:textId="77777777" w:rsidR="00BC03C8" w:rsidRDefault="00E46079" w:rsidP="00AA65B7">
      <w:pPr>
        <w:pStyle w:val="ListParagraph"/>
        <w:numPr>
          <w:ilvl w:val="0"/>
          <w:numId w:val="1"/>
        </w:numPr>
        <w:spacing w:after="120" w:line="276" w:lineRule="auto"/>
        <w:ind w:left="567" w:hanging="567"/>
        <w:contextualSpacing w:val="0"/>
      </w:pPr>
      <w:r>
        <w:t xml:space="preserve">The Panel notes that </w:t>
      </w:r>
      <w:r w:rsidR="00F41139">
        <w:t xml:space="preserve">the </w:t>
      </w:r>
      <w:r w:rsidR="00D12608">
        <w:t>FMH</w:t>
      </w:r>
      <w:r w:rsidR="00BC03C8">
        <w:t>:</w:t>
      </w:r>
    </w:p>
    <w:p w14:paraId="353D7F15" w14:textId="5EB93FF2" w:rsidR="00D12608" w:rsidRDefault="002A4125" w:rsidP="003C6C37">
      <w:pPr>
        <w:pStyle w:val="ListParagraph"/>
        <w:numPr>
          <w:ilvl w:val="0"/>
          <w:numId w:val="10"/>
        </w:numPr>
        <w:spacing w:after="120" w:line="276" w:lineRule="auto"/>
        <w:contextualSpacing w:val="0"/>
      </w:pPr>
      <w:r>
        <w:lastRenderedPageBreak/>
        <w:t xml:space="preserve">explains that the </w:t>
      </w:r>
      <w:r w:rsidR="00BE6D48" w:rsidRPr="00B951E9">
        <w:t xml:space="preserve">FMT </w:t>
      </w:r>
      <w:r w:rsidR="00B426FB">
        <w:t>“</w:t>
      </w:r>
      <w:r w:rsidR="00BE6D48" w:rsidRPr="00B951E9">
        <w:t>will allow NHS Shropshire, Telford and Wrekin ICB</w:t>
      </w:r>
      <w:r w:rsidR="00B426FB">
        <w:t xml:space="preserve"> </w:t>
      </w:r>
      <w:r w:rsidR="00BE6D48" w:rsidRPr="00B951E9">
        <w:t xml:space="preserve">to assess the </w:t>
      </w:r>
      <w:r w:rsidR="00BE6D48">
        <w:t>‘</w:t>
      </w:r>
      <w:r w:rsidR="00BE6D48" w:rsidRPr="00B951E9">
        <w:t>Value for Money</w:t>
      </w:r>
      <w:r w:rsidR="00BE6D48">
        <w:t>’</w:t>
      </w:r>
      <w:r w:rsidR="00BE6D48" w:rsidRPr="00B951E9">
        <w:t xml:space="preserve"> of the bid and to take a view as to the Bidder</w:t>
      </w:r>
      <w:r w:rsidR="00AA5FB5">
        <w:t>’</w:t>
      </w:r>
      <w:r w:rsidR="00BE6D48" w:rsidRPr="00B951E9">
        <w:t>s capacity and long-term sustainability</w:t>
      </w:r>
      <w:r w:rsidR="00BE6D48">
        <w:t>”</w:t>
      </w:r>
      <w:r w:rsidR="00BC03C8">
        <w:t>;</w:t>
      </w:r>
    </w:p>
    <w:p w14:paraId="58A1DDB9" w14:textId="7DC6AD3D" w:rsidR="00BC03C8" w:rsidRDefault="00BC03C8" w:rsidP="003C6C37">
      <w:pPr>
        <w:pStyle w:val="ListParagraph"/>
        <w:numPr>
          <w:ilvl w:val="0"/>
          <w:numId w:val="10"/>
        </w:numPr>
        <w:spacing w:after="120" w:line="276" w:lineRule="auto"/>
        <w:contextualSpacing w:val="0"/>
      </w:pPr>
      <w:r>
        <w:t xml:space="preserve">tells bidders </w:t>
      </w:r>
      <w:r w:rsidR="008556DE">
        <w:t>to “</w:t>
      </w:r>
      <w:r w:rsidR="008556DE" w:rsidRPr="0088348B">
        <w:t>ensure all costs are included within the FMT</w:t>
      </w:r>
      <w:r w:rsidR="008556DE">
        <w:t>”;</w:t>
      </w:r>
    </w:p>
    <w:p w14:paraId="2E0DE2F8" w14:textId="07C9C10C" w:rsidR="002714AE" w:rsidRPr="006233A7" w:rsidRDefault="008921C4" w:rsidP="003C6C37">
      <w:pPr>
        <w:pStyle w:val="ListParagraph"/>
        <w:numPr>
          <w:ilvl w:val="0"/>
          <w:numId w:val="10"/>
        </w:numPr>
        <w:spacing w:after="120" w:line="276" w:lineRule="auto"/>
        <w:contextualSpacing w:val="0"/>
      </w:pPr>
      <w:r w:rsidRPr="006233A7">
        <w:t xml:space="preserve">advises bidders that “there will be an appraisal of the robustness of the deliverability of bids based on an analysis of their accounts and their ability to operate on an ongoing concern basis as part of the Standard Questionnaire questions … </w:t>
      </w:r>
      <w:r w:rsidR="00DC14CB" w:rsidRPr="006233A7">
        <w:t xml:space="preserve">[and] As part of this process the Authority shall review resources to ensure correlation between the written bids submitted and the FMT (Annex 5) and the Demand and Capacity Template (Annex 10). Where there may be discrepancies or concerns identified, the Authority reserves the right to seek clarification and should those concerns be of a significant nature and not be resolved via clarification, the Authority reserves the right to disqualify the bidder from further participation </w:t>
      </w:r>
      <w:r w:rsidR="782A393E" w:rsidRPr="006233A7">
        <w:t>in</w:t>
      </w:r>
      <w:r w:rsidR="00DC14CB" w:rsidRPr="006233A7">
        <w:t xml:space="preserve"> the Procurement process</w:t>
      </w:r>
      <w:r w:rsidR="006233A7">
        <w:t>”</w:t>
      </w:r>
      <w:r w:rsidR="00DC14CB" w:rsidRPr="006233A7">
        <w:t>.</w:t>
      </w:r>
      <w:r w:rsidR="007A72BE">
        <w:rPr>
          <w:rStyle w:val="FootnoteReference"/>
        </w:rPr>
        <w:footnoteReference w:id="51"/>
      </w:r>
    </w:p>
    <w:p w14:paraId="0F82F92F" w14:textId="05097D7C" w:rsidR="007750B4" w:rsidRPr="001D4084" w:rsidRDefault="007750B4" w:rsidP="00AA65B7">
      <w:pPr>
        <w:pStyle w:val="ListParagraph"/>
        <w:numPr>
          <w:ilvl w:val="0"/>
          <w:numId w:val="1"/>
        </w:numPr>
        <w:spacing w:after="120" w:line="276" w:lineRule="auto"/>
        <w:ind w:left="567" w:hanging="567"/>
        <w:contextualSpacing w:val="0"/>
      </w:pPr>
      <w:r>
        <w:t xml:space="preserve">The </w:t>
      </w:r>
      <w:r w:rsidR="00224972" w:rsidRPr="001D4084">
        <w:t xml:space="preserve">Panel also notes that the </w:t>
      </w:r>
      <w:r w:rsidRPr="001D4084">
        <w:t>FMT</w:t>
      </w:r>
      <w:r w:rsidR="00090B06" w:rsidRPr="001D4084">
        <w:t xml:space="preserve"> tells bidders that:</w:t>
      </w:r>
    </w:p>
    <w:p w14:paraId="23B55C90" w14:textId="734D6391" w:rsidR="00186988" w:rsidRPr="001D4084" w:rsidRDefault="008C128C" w:rsidP="003C6C37">
      <w:pPr>
        <w:pStyle w:val="ListParagraph"/>
        <w:numPr>
          <w:ilvl w:val="0"/>
          <w:numId w:val="10"/>
        </w:numPr>
        <w:spacing w:after="120" w:line="276" w:lineRule="auto"/>
        <w:contextualSpacing w:val="0"/>
      </w:pPr>
      <w:r w:rsidRPr="001D4084">
        <w:t>“</w:t>
      </w:r>
      <w:r w:rsidR="00186988" w:rsidRPr="001D4084">
        <w:t>For the GP OOH element of this contract, Bidders should ensure that their costings reflect the anticipated split of activity by telephone/base visit/home visit</w:t>
      </w:r>
      <w:r w:rsidR="006F272C" w:rsidRPr="001D4084">
        <w:t>”</w:t>
      </w:r>
      <w:r w:rsidR="000E7616" w:rsidRPr="001D4084">
        <w:t>;</w:t>
      </w:r>
    </w:p>
    <w:p w14:paraId="0CCA1970" w14:textId="7AFBBBA0" w:rsidR="001C6823" w:rsidRPr="001D4084" w:rsidRDefault="008C128C" w:rsidP="003C6C37">
      <w:pPr>
        <w:pStyle w:val="ListParagraph"/>
        <w:numPr>
          <w:ilvl w:val="0"/>
          <w:numId w:val="10"/>
        </w:numPr>
        <w:spacing w:after="120" w:line="276" w:lineRule="auto"/>
        <w:contextualSpacing w:val="0"/>
      </w:pPr>
      <w:r w:rsidRPr="001D4084">
        <w:t>“</w:t>
      </w:r>
      <w:r w:rsidR="00186988" w:rsidRPr="001D4084">
        <w:t>As described in the serv</w:t>
      </w:r>
      <w:r w:rsidR="00547BE5" w:rsidRPr="001D4084">
        <w:t>i</w:t>
      </w:r>
      <w:r w:rsidR="00186988" w:rsidRPr="001D4084">
        <w:t>ce specification, it is anticipated that activity may increase as a result of transformation initiatives within the UEC arena. Bidders are therefore asked to complete two sets of costs for this service, based on two different levels of activity</w:t>
      </w:r>
      <w:r w:rsidR="00525F5A" w:rsidRPr="001D4084">
        <w:t>”</w:t>
      </w:r>
      <w:r w:rsidR="000E7616" w:rsidRPr="001D4084">
        <w:t>.</w:t>
      </w:r>
    </w:p>
    <w:p w14:paraId="4259F4EB" w14:textId="73DBCAD3" w:rsidR="001E1002" w:rsidRPr="001D4084" w:rsidRDefault="00090B06" w:rsidP="003C6C37">
      <w:pPr>
        <w:pStyle w:val="ListParagraph"/>
        <w:numPr>
          <w:ilvl w:val="0"/>
          <w:numId w:val="10"/>
        </w:numPr>
        <w:spacing w:after="120" w:line="276" w:lineRule="auto"/>
        <w:contextualSpacing w:val="0"/>
      </w:pPr>
      <w:r w:rsidRPr="001D4084">
        <w:t>to “evidence how Opening Cash balance will be funded and also how any periods of negative cash flow will be managed. The sheet gives examples of the types of funding which could be included. The analysis of cash flow and cash flow management forms part of the overall Financial Evaluation and Bidders must be aware that supporting evidence should be provided of any stated sources of funding”;</w:t>
      </w:r>
    </w:p>
    <w:p w14:paraId="3973BB3A" w14:textId="0DAAB4BE" w:rsidR="00090B06" w:rsidRPr="001D4084" w:rsidRDefault="00090B06" w:rsidP="003C6C37">
      <w:pPr>
        <w:pStyle w:val="ListParagraph"/>
        <w:numPr>
          <w:ilvl w:val="0"/>
          <w:numId w:val="10"/>
        </w:numPr>
        <w:spacing w:after="120" w:line="276" w:lineRule="auto"/>
        <w:contextualSpacing w:val="0"/>
      </w:pPr>
      <w:r w:rsidRPr="001D4084">
        <w:t>to “provide full details and disclosure of any key assumptions made in the FMT”; and</w:t>
      </w:r>
    </w:p>
    <w:p w14:paraId="4A0EF0CD" w14:textId="7093CBA2" w:rsidR="00090B06" w:rsidRPr="001D4084" w:rsidRDefault="001D4084" w:rsidP="003C6C37">
      <w:pPr>
        <w:pStyle w:val="ListParagraph"/>
        <w:numPr>
          <w:ilvl w:val="0"/>
          <w:numId w:val="10"/>
        </w:numPr>
        <w:spacing w:line="276" w:lineRule="auto"/>
        <w:ind w:left="1281" w:hanging="357"/>
        <w:contextualSpacing w:val="0"/>
      </w:pPr>
      <w:r w:rsidRPr="001D4084">
        <w:t>“All premises and associated costs are the responsibility of the provider. This includes but is not limited to: IT software and hardware, administration costs, facilities maintenance, etc”</w:t>
      </w:r>
      <w:r w:rsidR="00D0313B">
        <w:t>.</w:t>
      </w:r>
      <w:r w:rsidRPr="001D4084">
        <w:rPr>
          <w:rStyle w:val="FootnoteReference"/>
        </w:rPr>
        <w:footnoteReference w:id="52"/>
      </w:r>
    </w:p>
    <w:p w14:paraId="7F76489B" w14:textId="0550B515" w:rsidR="0083504C" w:rsidRDefault="00CA7044" w:rsidP="00F2540D">
      <w:pPr>
        <w:pStyle w:val="ListParagraph"/>
        <w:numPr>
          <w:ilvl w:val="0"/>
          <w:numId w:val="1"/>
        </w:numPr>
        <w:spacing w:after="120" w:line="276" w:lineRule="auto"/>
        <w:ind w:left="567" w:hanging="567"/>
        <w:contextualSpacing w:val="0"/>
      </w:pPr>
      <w:r>
        <w:t>The Panel</w:t>
      </w:r>
      <w:r w:rsidR="003D42B0">
        <w:t xml:space="preserve">’s view is </w:t>
      </w:r>
      <w:r>
        <w:t xml:space="preserve">that </w:t>
      </w:r>
      <w:r w:rsidR="000655DE">
        <w:t xml:space="preserve">the requirements set out in the FMH and FMT </w:t>
      </w:r>
      <w:r w:rsidR="00E41A92">
        <w:t>provided</w:t>
      </w:r>
      <w:r w:rsidR="00326058">
        <w:t xml:space="preserve"> STW ICB </w:t>
      </w:r>
      <w:r w:rsidR="00E41A92">
        <w:t xml:space="preserve">with the means </w:t>
      </w:r>
      <w:r w:rsidR="009840D0">
        <w:t xml:space="preserve">of ensuring that (i) bidders were </w:t>
      </w:r>
      <w:r w:rsidR="007D15F1">
        <w:t xml:space="preserve">able to operate as an ongoing concern; (ii) </w:t>
      </w:r>
      <w:r w:rsidR="00326058">
        <w:t>relevant costs were captured in bidders’ financial proposals</w:t>
      </w:r>
      <w:r w:rsidR="007D15F1">
        <w:t>;</w:t>
      </w:r>
      <w:r w:rsidR="00326058">
        <w:t xml:space="preserve"> and </w:t>
      </w:r>
      <w:r w:rsidR="007D15F1">
        <w:t xml:space="preserve">(iii) </w:t>
      </w:r>
      <w:r w:rsidR="00326058">
        <w:t xml:space="preserve">that there was consistency between </w:t>
      </w:r>
      <w:r w:rsidR="00705D0D">
        <w:t>bidders’</w:t>
      </w:r>
      <w:r w:rsidR="00326058">
        <w:t xml:space="preserve"> financial proposal</w:t>
      </w:r>
      <w:r w:rsidR="00705D0D">
        <w:t>s</w:t>
      </w:r>
      <w:r w:rsidR="00326058">
        <w:t xml:space="preserve"> and </w:t>
      </w:r>
      <w:r w:rsidR="00705D0D">
        <w:t xml:space="preserve">other elements of their </w:t>
      </w:r>
      <w:r w:rsidR="00B0230D">
        <w:t>proposal</w:t>
      </w:r>
      <w:r w:rsidR="02C79CFD">
        <w:t>s</w:t>
      </w:r>
      <w:r w:rsidR="00B0230D">
        <w:t>.</w:t>
      </w:r>
    </w:p>
    <w:p w14:paraId="7F9002B4" w14:textId="2A51DCC6" w:rsidR="00980E4E" w:rsidRDefault="46EDEE83" w:rsidP="00F2540D">
      <w:pPr>
        <w:pStyle w:val="ListParagraph"/>
        <w:numPr>
          <w:ilvl w:val="0"/>
          <w:numId w:val="1"/>
        </w:numPr>
        <w:spacing w:after="120" w:line="276" w:lineRule="auto"/>
        <w:ind w:left="567" w:hanging="567"/>
        <w:contextualSpacing w:val="0"/>
      </w:pPr>
      <w:r>
        <w:t>The Panel also reviewed STW ICB’s evaluation of Medivivo’s financial proposals</w:t>
      </w:r>
      <w:r w:rsidR="58368830">
        <w:t xml:space="preserve">, and noted that no reservations were expressed regarding </w:t>
      </w:r>
      <w:r w:rsidR="6507AD1C">
        <w:t xml:space="preserve">the </w:t>
      </w:r>
      <w:r w:rsidR="4C834359">
        <w:t>formulation of its financial proposal</w:t>
      </w:r>
      <w:r w:rsidR="180A0B56">
        <w:t xml:space="preserve">. </w:t>
      </w:r>
      <w:r w:rsidR="4C834359">
        <w:t xml:space="preserve">(This contrasts with the Shropdoc proposal where the evaluation says </w:t>
      </w:r>
      <w:r w:rsidR="4C834359">
        <w:lastRenderedPageBreak/>
        <w:t>“</w:t>
      </w:r>
      <w:r w:rsidR="7A30973B">
        <w:t xml:space="preserve">Concerned that within the mobilisation plan there is a statement re agreeing the financial envelope for the contract </w:t>
      </w:r>
      <w:r w:rsidR="633DDBF0">
        <w:t>… there are statements that put commissioners at risk re additional costs which are not yet transparent in terms of numbers and assumptions</w:t>
      </w:r>
      <w:r w:rsidR="002A61ED">
        <w:t>.</w:t>
      </w:r>
      <w:r w:rsidR="0008687D">
        <w:t>”</w:t>
      </w:r>
      <w:r w:rsidR="633DDBF0">
        <w:t>)</w:t>
      </w:r>
    </w:p>
    <w:p w14:paraId="3F9D0A68" w14:textId="1C20CF0C" w:rsidR="004B0B43" w:rsidRDefault="004B0B43" w:rsidP="004B0B43">
      <w:pPr>
        <w:pStyle w:val="ListParagraph"/>
        <w:numPr>
          <w:ilvl w:val="0"/>
          <w:numId w:val="1"/>
        </w:numPr>
        <w:spacing w:after="120" w:line="276" w:lineRule="auto"/>
        <w:ind w:left="567" w:hanging="567"/>
        <w:contextualSpacing w:val="0"/>
      </w:pPr>
      <w:r>
        <w:t xml:space="preserve">The Panel notes that Shropdoc’s representations to the Panel raised issues about </w:t>
      </w:r>
      <w:r w:rsidR="00A7057B">
        <w:t xml:space="preserve">information provision. Shropdoc says </w:t>
      </w:r>
      <w:r w:rsidR="00A7057B" w:rsidRPr="00C3145B">
        <w:t>that</w:t>
      </w:r>
      <w:r w:rsidRPr="00C3145B">
        <w:t xml:space="preserve"> “</w:t>
      </w:r>
      <w:r w:rsidR="00A7057B" w:rsidRPr="00C3145B">
        <w:t xml:space="preserve">The ICB has not provided a reasoned analysis explaining how the successful bidder’s price could be sustainable without compromising service quality or patient safety. The absence of a clear, documented evaluation of financial sustainability is a continuing concern and remains unaddressed by the ICB’s generalised statements in the </w:t>
      </w:r>
      <w:r w:rsidR="00C3145B">
        <w:t xml:space="preserve">[ICB review] </w:t>
      </w:r>
      <w:r w:rsidR="00A7057B" w:rsidRPr="00C3145B">
        <w:t>panel report”</w:t>
      </w:r>
      <w:r w:rsidR="004F2D9C">
        <w:t xml:space="preserve"> (see paragraph</w:t>
      </w:r>
      <w:r w:rsidR="00787A23">
        <w:t> </w:t>
      </w:r>
      <w:r w:rsidR="004F2D9C">
        <w:fldChar w:fldCharType="begin"/>
      </w:r>
      <w:r w:rsidR="004F2D9C">
        <w:instrText xml:space="preserve"> REF _Ref201915637 \r \h </w:instrText>
      </w:r>
      <w:r w:rsidR="004F2D9C">
        <w:fldChar w:fldCharType="separate"/>
      </w:r>
      <w:r w:rsidR="006809EF">
        <w:t>96</w:t>
      </w:r>
      <w:r w:rsidR="004F2D9C">
        <w:fldChar w:fldCharType="end"/>
      </w:r>
      <w:r w:rsidR="004F2D9C">
        <w:t>)</w:t>
      </w:r>
      <w:r w:rsidR="00C3145B" w:rsidRPr="00C3145B">
        <w:t>.</w:t>
      </w:r>
    </w:p>
    <w:p w14:paraId="7DCF4A37" w14:textId="2F90B883" w:rsidR="00454462" w:rsidRPr="00C3145B" w:rsidRDefault="007A540B" w:rsidP="002E7139">
      <w:pPr>
        <w:pStyle w:val="ListParagraph"/>
        <w:numPr>
          <w:ilvl w:val="0"/>
          <w:numId w:val="1"/>
        </w:numPr>
        <w:spacing w:after="120" w:line="276" w:lineRule="auto"/>
        <w:ind w:left="567" w:hanging="567"/>
        <w:contextualSpacing w:val="0"/>
      </w:pPr>
      <w:r>
        <w:t xml:space="preserve">STW ICB provided the Panel with relevant financial evaluation records </w:t>
      </w:r>
      <w:r w:rsidR="00000FB7">
        <w:t xml:space="preserve">and was able to explain its approach to the financial analysis. </w:t>
      </w:r>
      <w:r w:rsidR="00921177">
        <w:t>Further, t</w:t>
      </w:r>
      <w:r w:rsidR="4EF3C6F3">
        <w:t xml:space="preserve">he Panel’s view is that </w:t>
      </w:r>
      <w:r w:rsidR="0DF72610">
        <w:t>STW ICB met its obligations in terms of disclosure to Shropdoc</w:t>
      </w:r>
      <w:r w:rsidR="7A9FAAF5">
        <w:t xml:space="preserve"> regarding the evaluation.</w:t>
      </w:r>
    </w:p>
    <w:p w14:paraId="01B0D633" w14:textId="1E25AE3B" w:rsidR="00DA0EDE" w:rsidRPr="004B3BC9" w:rsidRDefault="00B314F7">
      <w:pPr>
        <w:pStyle w:val="ListParagraph"/>
        <w:numPr>
          <w:ilvl w:val="0"/>
          <w:numId w:val="1"/>
        </w:numPr>
        <w:spacing w:line="276" w:lineRule="auto"/>
        <w:ind w:left="567" w:hanging="567"/>
        <w:contextualSpacing w:val="0"/>
      </w:pPr>
      <w:r>
        <w:t xml:space="preserve">In summary, the Panel’s view is that the evidence does not support a </w:t>
      </w:r>
      <w:r w:rsidR="00DA6E23">
        <w:t xml:space="preserve">conclusion that </w:t>
      </w:r>
      <w:r w:rsidR="003B1E4C">
        <w:t xml:space="preserve">STW ICB failed to </w:t>
      </w:r>
      <w:r w:rsidR="00476AAC">
        <w:t>assess the deliverability and financial sustainability of Medvivo’s proposal.</w:t>
      </w:r>
      <w:r w:rsidR="00702A4F">
        <w:t xml:space="preserve"> </w:t>
      </w:r>
      <w:r w:rsidR="00E56735">
        <w:t>As a result, t</w:t>
      </w:r>
      <w:r w:rsidR="00DA0EDE">
        <w:t xml:space="preserve">he Panel </w:t>
      </w:r>
      <w:r w:rsidR="00E56735">
        <w:t xml:space="preserve">finds that </w:t>
      </w:r>
      <w:r w:rsidR="007D67CE">
        <w:t xml:space="preserve">STW ICB, in evaluating the financial aspects of Medvivo’s proposal, did not breach the PSR regulations, and in particular its obligation under Regulation 4 to </w:t>
      </w:r>
      <w:r w:rsidR="00B42E74">
        <w:t>act with a view to securing the needs of the people who use the services.</w:t>
      </w:r>
    </w:p>
    <w:p w14:paraId="4831B4CA" w14:textId="05EE09DE" w:rsidR="00103478" w:rsidRPr="009E5133" w:rsidRDefault="002D5974" w:rsidP="008418CA">
      <w:pPr>
        <w:pStyle w:val="Heading2"/>
        <w:spacing w:before="240" w:after="160" w:line="276" w:lineRule="auto"/>
        <w:ind w:left="578" w:hanging="578"/>
      </w:pPr>
      <w:bookmarkStart w:id="30" w:name="_Toc201919700"/>
      <w:r>
        <w:t xml:space="preserve">STW ICB’s </w:t>
      </w:r>
      <w:r w:rsidR="00CB726E">
        <w:t>choice of procurement</w:t>
      </w:r>
      <w:r w:rsidR="002237DB">
        <w:t xml:space="preserve"> process</w:t>
      </w:r>
      <w:bookmarkEnd w:id="30"/>
    </w:p>
    <w:p w14:paraId="3C25C50F" w14:textId="05C85BDC" w:rsidR="008737C1" w:rsidRDefault="008737C1" w:rsidP="00693E56">
      <w:pPr>
        <w:pStyle w:val="ListParagraph"/>
        <w:numPr>
          <w:ilvl w:val="0"/>
          <w:numId w:val="1"/>
        </w:numPr>
        <w:spacing w:after="120" w:line="276" w:lineRule="auto"/>
        <w:ind w:left="567" w:hanging="567"/>
        <w:contextualSpacing w:val="0"/>
      </w:pPr>
      <w:bookmarkStart w:id="31" w:name="_Ref200726360"/>
      <w:bookmarkStart w:id="32" w:name="_Ref199406426"/>
      <w:r>
        <w:t xml:space="preserve">This section sets out the Panel’s assessment of Shropdoc’s concerns about STW ICB’s decision to use the competitive process to select a provider for the </w:t>
      </w:r>
      <w:r w:rsidR="00A64AA4">
        <w:t>GP-led OOH services contract.</w:t>
      </w:r>
    </w:p>
    <w:p w14:paraId="6FB10B6F" w14:textId="46797261" w:rsidR="005C444A" w:rsidRDefault="00566550" w:rsidP="00693E56">
      <w:pPr>
        <w:pStyle w:val="ListParagraph"/>
        <w:numPr>
          <w:ilvl w:val="0"/>
          <w:numId w:val="1"/>
        </w:numPr>
        <w:spacing w:after="120" w:line="276" w:lineRule="auto"/>
        <w:ind w:left="567" w:hanging="567"/>
        <w:contextualSpacing w:val="0"/>
      </w:pPr>
      <w:r w:rsidRPr="0013372F">
        <w:t xml:space="preserve">Shropdoc, in its </w:t>
      </w:r>
      <w:r w:rsidR="0021129A">
        <w:t>representations</w:t>
      </w:r>
      <w:r w:rsidR="0021129A" w:rsidRPr="0013372F">
        <w:t xml:space="preserve"> </w:t>
      </w:r>
      <w:r w:rsidRPr="0013372F">
        <w:t>to the Panel, said that</w:t>
      </w:r>
      <w:r w:rsidR="005C444A">
        <w:t>:</w:t>
      </w:r>
      <w:bookmarkEnd w:id="31"/>
    </w:p>
    <w:p w14:paraId="723DCBA0" w14:textId="77777777" w:rsidR="00E0579D" w:rsidRDefault="00566550" w:rsidP="004A5317">
      <w:pPr>
        <w:pStyle w:val="ListParagraph"/>
        <w:numPr>
          <w:ilvl w:val="0"/>
          <w:numId w:val="0"/>
        </w:numPr>
        <w:spacing w:line="276" w:lineRule="auto"/>
        <w:ind w:left="851"/>
        <w:contextualSpacing w:val="0"/>
        <w:rPr>
          <w:sz w:val="21"/>
          <w:szCs w:val="21"/>
        </w:rPr>
      </w:pPr>
      <w:r w:rsidRPr="008418CA">
        <w:rPr>
          <w:sz w:val="21"/>
          <w:szCs w:val="21"/>
        </w:rPr>
        <w:t xml:space="preserve">“The Competitive Process was adopted without demonstrating why Direct Award Process C was unavailable. The ICB has inconsistently asserted both that the </w:t>
      </w:r>
      <w:r w:rsidR="00A962E7" w:rsidRPr="008418CA">
        <w:rPr>
          <w:sz w:val="21"/>
          <w:szCs w:val="21"/>
        </w:rPr>
        <w:t>‘</w:t>
      </w:r>
      <w:r w:rsidRPr="008418CA">
        <w:rPr>
          <w:sz w:val="21"/>
          <w:szCs w:val="21"/>
        </w:rPr>
        <w:t>considerable change threshold</w:t>
      </w:r>
      <w:r w:rsidR="00A962E7" w:rsidRPr="008418CA">
        <w:rPr>
          <w:sz w:val="21"/>
          <w:szCs w:val="21"/>
        </w:rPr>
        <w:t>’</w:t>
      </w:r>
      <w:r w:rsidRPr="008418CA">
        <w:rPr>
          <w:sz w:val="21"/>
          <w:szCs w:val="21"/>
        </w:rPr>
        <w:t xml:space="preserve"> was met and that it was not met. These misstatements of the PSR casts serious doubt on whether the ICB gave due regard to its PSR obligations or properly understood the available procurement routes. </w:t>
      </w:r>
    </w:p>
    <w:p w14:paraId="76668D69" w14:textId="0BA786DB" w:rsidR="00AB2776" w:rsidRPr="00296CE8" w:rsidRDefault="00566550" w:rsidP="004A5317">
      <w:pPr>
        <w:pStyle w:val="ListParagraph"/>
        <w:numPr>
          <w:ilvl w:val="0"/>
          <w:numId w:val="0"/>
        </w:numPr>
        <w:spacing w:line="276" w:lineRule="auto"/>
        <w:ind w:left="851"/>
        <w:contextualSpacing w:val="0"/>
        <w:rPr>
          <w:sz w:val="21"/>
          <w:szCs w:val="21"/>
        </w:rPr>
      </w:pPr>
      <w:r w:rsidRPr="008418CA">
        <w:rPr>
          <w:sz w:val="21"/>
          <w:szCs w:val="21"/>
        </w:rPr>
        <w:t>Despite the conclusions made in its panel report, the ICB itself acknowledged the service was unchanged in scope or delivery model so the contract value increase was 23%, below the 25% required</w:t>
      </w:r>
      <w:r w:rsidR="00E0579D">
        <w:rPr>
          <w:sz w:val="21"/>
          <w:szCs w:val="21"/>
        </w:rPr>
        <w:t xml:space="preserve">. </w:t>
      </w:r>
      <w:r w:rsidR="00E0579D" w:rsidRPr="00712388">
        <w:rPr>
          <w:sz w:val="21"/>
          <w:szCs w:val="21"/>
        </w:rPr>
        <w:t>There is no evidence that the ICB properly assessed or documented its decision-making in line with Regulation 24(f)–(g), This omission is not addressed in the ICB’s response, and no copy of such a record has been provided</w:t>
      </w:r>
      <w:r w:rsidRPr="00296CE8">
        <w:rPr>
          <w:sz w:val="21"/>
          <w:szCs w:val="21"/>
        </w:rPr>
        <w:t>”</w:t>
      </w:r>
      <w:r w:rsidR="0013372F" w:rsidRPr="00296CE8">
        <w:rPr>
          <w:sz w:val="21"/>
          <w:szCs w:val="21"/>
        </w:rPr>
        <w:t xml:space="preserve"> (see paragraph </w:t>
      </w:r>
      <w:r w:rsidR="0013372F" w:rsidRPr="00296CE8">
        <w:rPr>
          <w:sz w:val="21"/>
          <w:szCs w:val="21"/>
        </w:rPr>
        <w:fldChar w:fldCharType="begin"/>
      </w:r>
      <w:r w:rsidR="0013372F" w:rsidRPr="00296CE8">
        <w:rPr>
          <w:sz w:val="21"/>
          <w:szCs w:val="21"/>
        </w:rPr>
        <w:instrText xml:space="preserve"> REF _Ref199399981 \r \h </w:instrText>
      </w:r>
      <w:r w:rsidR="005C444A" w:rsidRPr="00296CE8">
        <w:rPr>
          <w:sz w:val="21"/>
          <w:szCs w:val="21"/>
        </w:rPr>
        <w:instrText xml:space="preserve"> \* MERGEFORMAT </w:instrText>
      </w:r>
      <w:r w:rsidR="0013372F" w:rsidRPr="00296CE8">
        <w:rPr>
          <w:sz w:val="21"/>
          <w:szCs w:val="21"/>
        </w:rPr>
      </w:r>
      <w:r w:rsidR="0013372F" w:rsidRPr="00296CE8">
        <w:rPr>
          <w:sz w:val="21"/>
          <w:szCs w:val="21"/>
        </w:rPr>
        <w:fldChar w:fldCharType="separate"/>
      </w:r>
      <w:r w:rsidR="000D028F">
        <w:rPr>
          <w:sz w:val="21"/>
          <w:szCs w:val="21"/>
        </w:rPr>
        <w:t>28</w:t>
      </w:r>
      <w:r w:rsidR="0013372F" w:rsidRPr="00296CE8">
        <w:rPr>
          <w:sz w:val="21"/>
          <w:szCs w:val="21"/>
        </w:rPr>
        <w:fldChar w:fldCharType="end"/>
      </w:r>
      <w:r w:rsidR="0013372F" w:rsidRPr="00296CE8">
        <w:rPr>
          <w:sz w:val="21"/>
          <w:szCs w:val="21"/>
        </w:rPr>
        <w:t>).</w:t>
      </w:r>
      <w:bookmarkEnd w:id="32"/>
    </w:p>
    <w:p w14:paraId="760ADC10" w14:textId="3BA2F52F" w:rsidR="007154EC" w:rsidRDefault="00462851" w:rsidP="006B11D6">
      <w:pPr>
        <w:pStyle w:val="ListParagraph"/>
        <w:numPr>
          <w:ilvl w:val="0"/>
          <w:numId w:val="1"/>
        </w:numPr>
        <w:spacing w:after="120" w:line="276" w:lineRule="auto"/>
        <w:ind w:left="567" w:hanging="567"/>
        <w:contextualSpacing w:val="0"/>
      </w:pPr>
      <w:bookmarkStart w:id="33" w:name="_Ref200715974"/>
      <w:r>
        <w:t>STW ICB, i</w:t>
      </w:r>
      <w:r w:rsidR="00503D5A">
        <w:t xml:space="preserve">n response to </w:t>
      </w:r>
      <w:r w:rsidR="00377418">
        <w:t xml:space="preserve">Shropdoc’s </w:t>
      </w:r>
      <w:r w:rsidR="00882550">
        <w:t xml:space="preserve">representations and request for information, </w:t>
      </w:r>
      <w:r w:rsidR="0014441D">
        <w:t xml:space="preserve">had earlier </w:t>
      </w:r>
      <w:r w:rsidR="00682D0B">
        <w:t xml:space="preserve">provided Shropdoc with a redacted copy of its paper to the Strategic Commissioning Committee which </w:t>
      </w:r>
      <w:r w:rsidR="00682D0B" w:rsidRPr="006D67D7">
        <w:t>“sets out the basis for the ICB’s decision to use the Competitive Process for the Procurement”</w:t>
      </w:r>
      <w:r w:rsidR="00682D0B">
        <w:rPr>
          <w:rStyle w:val="FootnoteReference"/>
        </w:rPr>
        <w:footnoteReference w:id="53"/>
      </w:r>
      <w:r w:rsidR="003817CE">
        <w:t xml:space="preserve">, and a redacted copy of its Contract Award </w:t>
      </w:r>
      <w:r w:rsidR="007438A4">
        <w:t>Recommendation Report.</w:t>
      </w:r>
      <w:r w:rsidR="00682D0B">
        <w:t xml:space="preserve"> STW ICB </w:t>
      </w:r>
      <w:r w:rsidR="00503D5A">
        <w:t xml:space="preserve">further </w:t>
      </w:r>
      <w:r w:rsidR="00ED28AA" w:rsidRPr="00ED28AA">
        <w:t>told Shropdoc</w:t>
      </w:r>
      <w:r w:rsidR="00882550">
        <w:t xml:space="preserve"> </w:t>
      </w:r>
      <w:r w:rsidR="00BB573E" w:rsidRPr="00ED28AA">
        <w:t xml:space="preserve">that </w:t>
      </w:r>
      <w:r w:rsidR="007154EC">
        <w:t xml:space="preserve">it was unable to use Direct Award Process C as the new contract </w:t>
      </w:r>
      <w:r w:rsidR="00D15E1B">
        <w:t xml:space="preserve">was </w:t>
      </w:r>
      <w:r w:rsidR="007154EC">
        <w:t xml:space="preserve">materially different to the </w:t>
      </w:r>
      <w:r w:rsidR="00D15E1B">
        <w:t>current</w:t>
      </w:r>
      <w:r w:rsidR="007961B4">
        <w:t xml:space="preserve"> </w:t>
      </w:r>
      <w:r w:rsidR="007961B4">
        <w:lastRenderedPageBreak/>
        <w:t>contract and that</w:t>
      </w:r>
      <w:r w:rsidR="00DB24C7">
        <w:t>, in any event, even if Direct Award Process C was available, it was open to STW ICB to decide to use the competitive process.</w:t>
      </w:r>
      <w:r w:rsidR="00DB24C7" w:rsidRPr="00296CE8">
        <w:rPr>
          <w:rStyle w:val="FootnoteReference"/>
          <w:sz w:val="21"/>
          <w:szCs w:val="21"/>
        </w:rPr>
        <w:footnoteReference w:id="54"/>
      </w:r>
    </w:p>
    <w:p w14:paraId="157274E3" w14:textId="75A4D786" w:rsidR="00A54281" w:rsidRPr="0007622C" w:rsidRDefault="006C61B3" w:rsidP="00462851">
      <w:pPr>
        <w:pStyle w:val="ListParagraph"/>
        <w:numPr>
          <w:ilvl w:val="0"/>
          <w:numId w:val="1"/>
        </w:numPr>
        <w:spacing w:after="120" w:line="276" w:lineRule="auto"/>
        <w:ind w:left="567" w:hanging="567"/>
        <w:contextualSpacing w:val="0"/>
      </w:pPr>
      <w:r>
        <w:t>The Panel agrees that STW ICB was able to decide to use the competitive process without having to demonstrate that Direct Award Process C was unavailable.</w:t>
      </w:r>
      <w:r w:rsidR="003C6097">
        <w:t xml:space="preserve"> There is no indication from STW ICB’s documentation </w:t>
      </w:r>
      <w:r w:rsidR="003C324A">
        <w:t xml:space="preserve">of its decision to use the competitive process that it did not understand the available procurement routes. </w:t>
      </w:r>
      <w:r w:rsidR="00241FF6">
        <w:t>T</w:t>
      </w:r>
      <w:bookmarkEnd w:id="33"/>
      <w:r w:rsidR="00115CD6">
        <w:t>his stated</w:t>
      </w:r>
      <w:r w:rsidR="00A54281">
        <w:t xml:space="preserve"> that:</w:t>
      </w:r>
    </w:p>
    <w:p w14:paraId="14542B13" w14:textId="2FF099F9" w:rsidR="00B278D7" w:rsidRDefault="0050454D">
      <w:pPr>
        <w:pStyle w:val="ListParagraph"/>
        <w:numPr>
          <w:ilvl w:val="0"/>
          <w:numId w:val="0"/>
        </w:numPr>
        <w:spacing w:after="120" w:line="276" w:lineRule="auto"/>
        <w:ind w:left="851"/>
        <w:contextualSpacing w:val="0"/>
        <w:rPr>
          <w:sz w:val="21"/>
          <w:szCs w:val="21"/>
        </w:rPr>
      </w:pPr>
      <w:r>
        <w:rPr>
          <w:sz w:val="21"/>
          <w:szCs w:val="21"/>
        </w:rPr>
        <w:t>“Of the five procurement processes available, direct award process A, B and C are not suitable</w:t>
      </w:r>
      <w:r w:rsidR="004E3485">
        <w:rPr>
          <w:sz w:val="21"/>
          <w:szCs w:val="21"/>
        </w:rPr>
        <w:t>, and NHS STW [ICB] is not able to determine who the Most Suitable Provider might be without understanding the service offer of alternative providers. It is therefore recommended that the competitive process is used for the procurement.”</w:t>
      </w:r>
      <w:r w:rsidR="004E3485">
        <w:rPr>
          <w:rStyle w:val="FootnoteReference"/>
          <w:sz w:val="21"/>
          <w:szCs w:val="21"/>
        </w:rPr>
        <w:footnoteReference w:id="55"/>
      </w:r>
    </w:p>
    <w:p w14:paraId="12D7376E" w14:textId="63C55C03" w:rsidR="00A54281" w:rsidRDefault="00A54281" w:rsidP="00F678D6">
      <w:pPr>
        <w:pStyle w:val="ListParagraph"/>
        <w:numPr>
          <w:ilvl w:val="0"/>
          <w:numId w:val="0"/>
        </w:numPr>
        <w:spacing w:after="120" w:line="276" w:lineRule="auto"/>
        <w:ind w:left="851"/>
        <w:contextualSpacing w:val="0"/>
        <w:rPr>
          <w:sz w:val="21"/>
          <w:szCs w:val="21"/>
        </w:rPr>
      </w:pPr>
      <w:r w:rsidRPr="00A54281">
        <w:rPr>
          <w:sz w:val="21"/>
          <w:szCs w:val="21"/>
        </w:rPr>
        <w:t>“t</w:t>
      </w:r>
      <w:r w:rsidR="00115CD6" w:rsidRPr="00A54281">
        <w:rPr>
          <w:sz w:val="21"/>
          <w:szCs w:val="21"/>
        </w:rPr>
        <w:t>he ICB undertook a full review of the options available under PSR for the procurement of the service alongside the specific criteria detailed within the regulations which can be summarised as follows</w:t>
      </w:r>
      <w:r>
        <w:rPr>
          <w:sz w:val="21"/>
          <w:szCs w:val="21"/>
        </w:rPr>
        <w:t>:</w:t>
      </w:r>
    </w:p>
    <w:p w14:paraId="33D1D372" w14:textId="057DF564" w:rsidR="00B37EC3" w:rsidRDefault="001756B8" w:rsidP="00F678D6">
      <w:pPr>
        <w:pStyle w:val="ListParagraph"/>
        <w:numPr>
          <w:ilvl w:val="0"/>
          <w:numId w:val="0"/>
        </w:numPr>
        <w:spacing w:after="120" w:line="276" w:lineRule="auto"/>
        <w:ind w:left="851"/>
        <w:contextualSpacing w:val="0"/>
        <w:rPr>
          <w:sz w:val="21"/>
          <w:szCs w:val="21"/>
        </w:rPr>
      </w:pPr>
      <w:r>
        <w:rPr>
          <w:sz w:val="21"/>
          <w:szCs w:val="21"/>
        </w:rPr>
        <w:t>“</w:t>
      </w:r>
      <w:r w:rsidR="00A54281">
        <w:rPr>
          <w:sz w:val="21"/>
          <w:szCs w:val="21"/>
        </w:rPr>
        <w:t xml:space="preserve">… </w:t>
      </w:r>
      <w:r w:rsidR="00B37EC3" w:rsidRPr="00B37EC3">
        <w:rPr>
          <w:sz w:val="21"/>
          <w:szCs w:val="21"/>
        </w:rPr>
        <w:t xml:space="preserve">This service did not meet the test for considerable change under Direct Award C, where a service must not be materially different in character to the existing service and the new contract must not exceed £500,000 of the lifetime value of the existing Contract or be 25% higher than the lifetime value of the Contract. When the GP Out of Hours service was procured in 2018, the original annual value was </w:t>
      </w:r>
      <w:r w:rsidR="002B610C">
        <w:rPr>
          <w:sz w:val="21"/>
          <w:szCs w:val="21"/>
        </w:rPr>
        <w:t xml:space="preserve">… </w:t>
      </w:r>
      <w:r w:rsidR="00B37EC3" w:rsidRPr="00B37EC3">
        <w:rPr>
          <w:sz w:val="21"/>
          <w:szCs w:val="21"/>
        </w:rPr>
        <w:t xml:space="preserve">per annum. The new annual value is estimated to be £7.2m, which exceeds the ‘considerable change’ value of £500,000. </w:t>
      </w:r>
    </w:p>
    <w:p w14:paraId="4D6E8E94" w14:textId="6849AB0F" w:rsidR="00A54281" w:rsidRPr="00A54281" w:rsidRDefault="002553FA" w:rsidP="00155BB1">
      <w:pPr>
        <w:pStyle w:val="ListParagraph"/>
        <w:numPr>
          <w:ilvl w:val="0"/>
          <w:numId w:val="0"/>
        </w:numPr>
        <w:spacing w:line="276" w:lineRule="auto"/>
        <w:ind w:left="851"/>
        <w:contextualSpacing w:val="0"/>
        <w:rPr>
          <w:sz w:val="21"/>
          <w:szCs w:val="21"/>
        </w:rPr>
      </w:pPr>
      <w:r w:rsidRPr="002553FA">
        <w:rPr>
          <w:sz w:val="21"/>
          <w:szCs w:val="21"/>
        </w:rPr>
        <w:t>“</w:t>
      </w:r>
      <w:r w:rsidRPr="002553FA">
        <w:rPr>
          <w:rFonts w:cs="Arial"/>
          <w:sz w:val="21"/>
          <w:szCs w:val="21"/>
        </w:rPr>
        <w:t>During the Extraordinary Strategic Commissioning Committee held on 1st October 2024, it was agreed that a competitive process should be undertaken to identify all potential providers and ensure the best quality service and value for money for the local population was procured.</w:t>
      </w:r>
      <w:r w:rsidR="007B113E">
        <w:rPr>
          <w:rFonts w:cs="Arial"/>
          <w:sz w:val="21"/>
          <w:szCs w:val="21"/>
        </w:rPr>
        <w:t>”</w:t>
      </w:r>
      <w:r w:rsidR="007B113E">
        <w:rPr>
          <w:rStyle w:val="FootnoteReference"/>
          <w:rFonts w:cs="Arial"/>
          <w:sz w:val="21"/>
          <w:szCs w:val="21"/>
        </w:rPr>
        <w:footnoteReference w:id="56"/>
      </w:r>
    </w:p>
    <w:p w14:paraId="5FB8B520" w14:textId="5A720F37" w:rsidR="00103478" w:rsidRPr="00CD2AF2" w:rsidRDefault="000238B4" w:rsidP="006328D0">
      <w:pPr>
        <w:pStyle w:val="ListParagraph"/>
        <w:numPr>
          <w:ilvl w:val="0"/>
          <w:numId w:val="1"/>
        </w:numPr>
        <w:spacing w:line="276" w:lineRule="auto"/>
        <w:ind w:left="567" w:hanging="567"/>
        <w:contextualSpacing w:val="0"/>
      </w:pPr>
      <w:r w:rsidRPr="003C706D">
        <w:t>As a result, the Panel finds that STW ICB</w:t>
      </w:r>
      <w:r w:rsidR="00C1385F">
        <w:t>,</w:t>
      </w:r>
      <w:r w:rsidRPr="003C706D">
        <w:t xml:space="preserve"> </w:t>
      </w:r>
      <w:r w:rsidR="003D62A9">
        <w:t>in</w:t>
      </w:r>
      <w:r w:rsidRPr="003C706D">
        <w:t xml:space="preserve"> deciding to use the competitive process, did not breach the PSR regulations</w:t>
      </w:r>
      <w:r w:rsidR="00D350E3">
        <w:t>,</w:t>
      </w:r>
      <w:r w:rsidR="000A13CD" w:rsidRPr="000A13CD">
        <w:t xml:space="preserve"> </w:t>
      </w:r>
      <w:r w:rsidR="006E686A">
        <w:t>and</w:t>
      </w:r>
      <w:r w:rsidR="00F21F9D">
        <w:t xml:space="preserve"> </w:t>
      </w:r>
      <w:r w:rsidR="000A13CD">
        <w:t>in particular</w:t>
      </w:r>
      <w:r w:rsidR="006E686A">
        <w:t xml:space="preserve"> its obligations under</w:t>
      </w:r>
      <w:r w:rsidR="000A13CD">
        <w:t xml:space="preserve"> Regulation 6, which sets out the conditions governing commissioners’ choice of provider selection process</w:t>
      </w:r>
      <w:r w:rsidR="00C1385F">
        <w:t>.</w:t>
      </w:r>
      <w:r w:rsidR="00FF4711">
        <w:t xml:space="preserve"> The Panel also finds that STW ICB, by providing information to Shropdoc in response to its request for information about the choice of provider selection process, did not breach its obligations under the PSR regulations, </w:t>
      </w:r>
      <w:r w:rsidR="00861249">
        <w:t xml:space="preserve">and </w:t>
      </w:r>
      <w:r w:rsidR="00FF4711">
        <w:t>in particular its obligations under Regulation 12(4).</w:t>
      </w:r>
    </w:p>
    <w:p w14:paraId="1FAEB393" w14:textId="781A7444" w:rsidR="00DA200D" w:rsidRDefault="00DA200D" w:rsidP="00CD7C7B">
      <w:pPr>
        <w:pStyle w:val="Heading1"/>
        <w:spacing w:line="23" w:lineRule="atLeast"/>
      </w:pPr>
      <w:bookmarkStart w:id="34" w:name="_Toc201919701"/>
      <w:r>
        <w:t>Panel Advice</w:t>
      </w:r>
      <w:bookmarkEnd w:id="34"/>
    </w:p>
    <w:p w14:paraId="480E1A3F" w14:textId="792C9172" w:rsidR="00651010" w:rsidRDefault="009E5133" w:rsidP="003F0A33">
      <w:pPr>
        <w:pStyle w:val="ListParagraph"/>
        <w:numPr>
          <w:ilvl w:val="0"/>
          <w:numId w:val="1"/>
        </w:numPr>
        <w:spacing w:after="120" w:line="276" w:lineRule="auto"/>
        <w:ind w:left="567" w:hanging="567"/>
        <w:contextualSpacing w:val="0"/>
      </w:pPr>
      <w:r>
        <w:t xml:space="preserve">In summary, the Panel’s findings on the provider selection process carried out by </w:t>
      </w:r>
      <w:r w:rsidR="003F0A33">
        <w:t xml:space="preserve">STW ICB </w:t>
      </w:r>
      <w:r>
        <w:t xml:space="preserve">for the </w:t>
      </w:r>
      <w:r w:rsidR="003F0A33">
        <w:t xml:space="preserve">GP OOH service in Shropshire, Telford and Wrekin </w:t>
      </w:r>
      <w:r>
        <w:t>are as follows:</w:t>
      </w:r>
    </w:p>
    <w:p w14:paraId="22B3068E" w14:textId="0990F166" w:rsidR="00651010" w:rsidRDefault="00651010" w:rsidP="003C6C37">
      <w:pPr>
        <w:pStyle w:val="ListParagraph"/>
        <w:numPr>
          <w:ilvl w:val="0"/>
          <w:numId w:val="8"/>
        </w:numPr>
        <w:spacing w:after="120" w:line="276" w:lineRule="auto"/>
        <w:ind w:hanging="357"/>
        <w:contextualSpacing w:val="0"/>
      </w:pPr>
      <w:r>
        <w:t xml:space="preserve">First, the Panel finds that </w:t>
      </w:r>
      <w:r w:rsidR="00453DEA">
        <w:t>STW ICB, in conducting pre-procurement consultations, did not breach its obligations under Regulation 4, and in particular its obligation to secure the needs of people who use the services, improve the quality of services and improve efficiency in the provision of services, and its obligation to act transparently, fairly and proportionately</w:t>
      </w:r>
      <w:r w:rsidR="00FE0D72">
        <w:t>.</w:t>
      </w:r>
    </w:p>
    <w:p w14:paraId="5E6B6A1D" w14:textId="18897B5F" w:rsidR="00651010" w:rsidRDefault="00651010" w:rsidP="003C6C37">
      <w:pPr>
        <w:pStyle w:val="ListParagraph"/>
        <w:numPr>
          <w:ilvl w:val="0"/>
          <w:numId w:val="8"/>
        </w:numPr>
        <w:spacing w:after="120" w:line="276" w:lineRule="auto"/>
        <w:ind w:hanging="357"/>
        <w:contextualSpacing w:val="0"/>
      </w:pPr>
      <w:r>
        <w:lastRenderedPageBreak/>
        <w:t xml:space="preserve">Second, the Panel finds that </w:t>
      </w:r>
      <w:r w:rsidR="00453DEA">
        <w:t>STW ICB, in not including the CCCSPA service in the Prior Information Notice, did not breach the PSR regulations, and in particular its obligation under Regulation 4 to act fairly</w:t>
      </w:r>
      <w:r w:rsidR="00FE0D72">
        <w:t>.</w:t>
      </w:r>
    </w:p>
    <w:p w14:paraId="5A20E0EC" w14:textId="31D668E7" w:rsidR="00453DEA" w:rsidRDefault="00453DEA" w:rsidP="003C6C37">
      <w:pPr>
        <w:pStyle w:val="ListParagraph"/>
        <w:numPr>
          <w:ilvl w:val="0"/>
          <w:numId w:val="8"/>
        </w:numPr>
        <w:spacing w:after="120" w:line="276" w:lineRule="auto"/>
        <w:ind w:hanging="357"/>
        <w:contextualSpacing w:val="0"/>
      </w:pPr>
      <w:r>
        <w:t>Third, the Panel finds that STW ICB, in relation to pre-procurement consultation on the CCCSPA, did not breach the PSR regulations, and in particular its obligation</w:t>
      </w:r>
      <w:r w:rsidR="006D1EDC">
        <w:t>s under Regulation 4</w:t>
      </w:r>
      <w:r>
        <w:t xml:space="preserve"> to secure the needs of people who use the services, improve the quality of services and improve efficiency in the provision of services, and to act transparently, fairly and proportionately.</w:t>
      </w:r>
    </w:p>
    <w:p w14:paraId="3EA79A35" w14:textId="60A79586" w:rsidR="00453DEA" w:rsidRDefault="00453DEA" w:rsidP="003C6C37">
      <w:pPr>
        <w:pStyle w:val="ListParagraph"/>
        <w:numPr>
          <w:ilvl w:val="0"/>
          <w:numId w:val="8"/>
        </w:numPr>
        <w:spacing w:after="120" w:line="276" w:lineRule="auto"/>
        <w:ind w:hanging="357"/>
        <w:contextualSpacing w:val="0"/>
      </w:pPr>
      <w:r>
        <w:t xml:space="preserve">Fourth, the Panel finds that STW ICB </w:t>
      </w:r>
      <w:r w:rsidR="001E4B83">
        <w:t xml:space="preserve">provided </w:t>
      </w:r>
      <w:r>
        <w:t xml:space="preserve">limited </w:t>
      </w:r>
      <w:r w:rsidRPr="00DC4E35">
        <w:t>information in the tender documentation on the specific KPIs that would be implemented</w:t>
      </w:r>
      <w:r>
        <w:t xml:space="preserve">, </w:t>
      </w:r>
      <w:r w:rsidR="001E4B83">
        <w:t xml:space="preserve">but </w:t>
      </w:r>
      <w:r>
        <w:t xml:space="preserve">did not breach the PSR regulations, </w:t>
      </w:r>
      <w:r w:rsidR="003D30B7">
        <w:t>and in particular its obligation under</w:t>
      </w:r>
      <w:r>
        <w:t xml:space="preserve"> Regulation 4</w:t>
      </w:r>
      <w:r w:rsidR="003D30B7">
        <w:t xml:space="preserve"> </w:t>
      </w:r>
      <w:r>
        <w:t>to act transparently, fairly and proportionately.</w:t>
      </w:r>
    </w:p>
    <w:p w14:paraId="6D87E31E" w14:textId="05CCC4F7" w:rsidR="00391194" w:rsidRDefault="00391194" w:rsidP="003C6C37">
      <w:pPr>
        <w:pStyle w:val="ListParagraph"/>
        <w:numPr>
          <w:ilvl w:val="0"/>
          <w:numId w:val="8"/>
        </w:numPr>
        <w:spacing w:after="120" w:line="276" w:lineRule="auto"/>
        <w:ind w:hanging="357"/>
        <w:contextualSpacing w:val="0"/>
      </w:pPr>
      <w:r>
        <w:t>Fifth, the Panel finds that STW ICB, in evaluating the financial aspects of Medvivo’s proposal, did not breach the PSR regulations, and in particular its obligation under Regulation 4 to act with a view to securing the needs of the people who use the services.</w:t>
      </w:r>
    </w:p>
    <w:p w14:paraId="1DB64A80" w14:textId="6EBA89CC" w:rsidR="00651010" w:rsidRDefault="00651010" w:rsidP="003C6C37">
      <w:pPr>
        <w:pStyle w:val="ListParagraph"/>
        <w:numPr>
          <w:ilvl w:val="0"/>
          <w:numId w:val="8"/>
        </w:numPr>
        <w:spacing w:line="276" w:lineRule="auto"/>
        <w:ind w:left="1077" w:hanging="357"/>
        <w:contextualSpacing w:val="0"/>
      </w:pPr>
      <w:r w:rsidRPr="00651010">
        <w:t>Finally</w:t>
      </w:r>
      <w:r>
        <w:t xml:space="preserve">, the Panel finds that </w:t>
      </w:r>
      <w:r w:rsidR="00391194" w:rsidRPr="003C706D">
        <w:t>STW ICB</w:t>
      </w:r>
      <w:r w:rsidR="00391194">
        <w:t>,</w:t>
      </w:r>
      <w:r w:rsidR="00391194" w:rsidRPr="003C706D">
        <w:t xml:space="preserve"> </w:t>
      </w:r>
      <w:r w:rsidR="003D62A9">
        <w:t>in</w:t>
      </w:r>
      <w:r w:rsidR="00391194" w:rsidRPr="003C706D">
        <w:t xml:space="preserve"> deciding to use the competitive process, did not breach the PSR regulations</w:t>
      </w:r>
      <w:r w:rsidR="008044DE">
        <w:t>,</w:t>
      </w:r>
      <w:r w:rsidR="00CD7374">
        <w:t xml:space="preserve"> </w:t>
      </w:r>
      <w:r w:rsidR="008044DE">
        <w:t>and</w:t>
      </w:r>
      <w:r w:rsidR="00CD7374">
        <w:t xml:space="preserve"> in particular </w:t>
      </w:r>
      <w:r w:rsidR="008044DE">
        <w:t xml:space="preserve">its obligations under </w:t>
      </w:r>
      <w:r w:rsidR="00CD7374">
        <w:t xml:space="preserve">Regulation 6, which sets out </w:t>
      </w:r>
      <w:r w:rsidR="000A13CD">
        <w:t>the conditions governing commissioners’ choice of provider selection process.</w:t>
      </w:r>
      <w:r w:rsidR="00C77F0B">
        <w:t xml:space="preserve"> The Panel also finds that STW ICB, by providing information to </w:t>
      </w:r>
      <w:r w:rsidR="006042F1">
        <w:t>Shropdoc in response to its request for information about the choice of provider selection process,</w:t>
      </w:r>
      <w:r w:rsidR="00C77F0B">
        <w:t xml:space="preserve"> did not breach its obligations</w:t>
      </w:r>
      <w:r w:rsidR="006042F1">
        <w:t xml:space="preserve"> under the PSR regulations, </w:t>
      </w:r>
      <w:r w:rsidR="00861249">
        <w:t xml:space="preserve">and </w:t>
      </w:r>
      <w:r w:rsidR="006042F1">
        <w:t>in particular its obligations under Regulation 12</w:t>
      </w:r>
      <w:r w:rsidR="005C39B4">
        <w:t>(4).</w:t>
      </w:r>
    </w:p>
    <w:p w14:paraId="758CF0EE" w14:textId="50EFFA17" w:rsidR="00FB4784" w:rsidRPr="00BD4A87" w:rsidRDefault="00FC5C9F" w:rsidP="00BD4A87">
      <w:pPr>
        <w:pStyle w:val="ListParagraph"/>
        <w:numPr>
          <w:ilvl w:val="0"/>
          <w:numId w:val="1"/>
        </w:numPr>
        <w:spacing w:line="276" w:lineRule="auto"/>
        <w:ind w:left="567" w:hanging="567"/>
        <w:contextualSpacing w:val="0"/>
      </w:pPr>
      <w:r w:rsidRPr="00BD4A87">
        <w:t xml:space="preserve">Given the Panel’s </w:t>
      </w:r>
      <w:r w:rsidR="00E81019">
        <w:t>findings</w:t>
      </w:r>
      <w:r w:rsidRPr="00BD4A87">
        <w:t xml:space="preserve"> that </w:t>
      </w:r>
      <w:r w:rsidR="00BD4A87">
        <w:t xml:space="preserve">STW ICB </w:t>
      </w:r>
      <w:r w:rsidRPr="00BD4A87">
        <w:t>acted in accordance with the PSR Regulations, the Panel advise</w:t>
      </w:r>
      <w:r w:rsidR="00BD4A87">
        <w:t>s</w:t>
      </w:r>
      <w:r w:rsidRPr="00BD4A87">
        <w:t xml:space="preserve"> </w:t>
      </w:r>
      <w:r w:rsidR="00BD4A87">
        <w:t xml:space="preserve">STW ICB </w:t>
      </w:r>
      <w:r w:rsidR="003F0A33">
        <w:t xml:space="preserve">to proceed </w:t>
      </w:r>
      <w:r w:rsidRPr="00BD4A87">
        <w:t>with the proposed contract award as originally intended.</w:t>
      </w:r>
    </w:p>
    <w:p w14:paraId="2F471B07" w14:textId="77777777" w:rsidR="00DA200D" w:rsidRPr="00DA200D" w:rsidRDefault="00DA200D" w:rsidP="00CD7C7B">
      <w:pPr>
        <w:spacing w:line="23" w:lineRule="atLeast"/>
      </w:pPr>
    </w:p>
    <w:p w14:paraId="409BA2B1" w14:textId="77777777" w:rsidR="00DA200D" w:rsidRPr="00DA200D" w:rsidRDefault="00DA200D" w:rsidP="00CD7C7B">
      <w:pPr>
        <w:spacing w:line="23" w:lineRule="atLeast"/>
      </w:pPr>
    </w:p>
    <w:p w14:paraId="28BFF2B5" w14:textId="77777777" w:rsidR="00485DA5" w:rsidRPr="00485DA5" w:rsidRDefault="00485DA5" w:rsidP="00CD7C7B">
      <w:pPr>
        <w:spacing w:line="23" w:lineRule="atLeast"/>
      </w:pPr>
    </w:p>
    <w:sectPr w:rsidR="00485DA5" w:rsidRPr="00485DA5" w:rsidSect="001E540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FBB2" w14:textId="77777777" w:rsidR="00F9474B" w:rsidRDefault="00F9474B" w:rsidP="008F2F8C">
      <w:pPr>
        <w:spacing w:after="0" w:line="240" w:lineRule="auto"/>
      </w:pPr>
      <w:r>
        <w:separator/>
      </w:r>
    </w:p>
  </w:endnote>
  <w:endnote w:type="continuationSeparator" w:id="0">
    <w:p w14:paraId="6F96AE84" w14:textId="77777777" w:rsidR="00F9474B" w:rsidRDefault="00F9474B" w:rsidP="008F2F8C">
      <w:pPr>
        <w:spacing w:after="0" w:line="240" w:lineRule="auto"/>
      </w:pPr>
      <w:r>
        <w:continuationSeparator/>
      </w:r>
    </w:p>
  </w:endnote>
  <w:endnote w:type="continuationNotice" w:id="1">
    <w:p w14:paraId="0039A440" w14:textId="77777777" w:rsidR="00F9474B" w:rsidRDefault="00F94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4FA1" w14:textId="77777777" w:rsidR="002F09CF" w:rsidRDefault="002F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16714"/>
      <w:docPartObj>
        <w:docPartGallery w:val="Page Numbers (Bottom of Page)"/>
        <w:docPartUnique/>
      </w:docPartObj>
    </w:sdtPr>
    <w:sdtEndPr>
      <w:rPr>
        <w:noProof/>
        <w:sz w:val="20"/>
        <w:szCs w:val="20"/>
      </w:rPr>
    </w:sdtEndPr>
    <w:sdtContent>
      <w:p w14:paraId="2F340398" w14:textId="5E716E96" w:rsidR="001E5407" w:rsidRPr="001E5407" w:rsidRDefault="001E5407">
        <w:pPr>
          <w:pStyle w:val="Footer"/>
          <w:jc w:val="right"/>
          <w:rPr>
            <w:sz w:val="20"/>
            <w:szCs w:val="20"/>
          </w:rPr>
        </w:pPr>
        <w:r w:rsidRPr="001E5407">
          <w:rPr>
            <w:sz w:val="20"/>
            <w:szCs w:val="20"/>
          </w:rPr>
          <w:fldChar w:fldCharType="begin"/>
        </w:r>
        <w:r w:rsidRPr="001E5407">
          <w:rPr>
            <w:sz w:val="20"/>
            <w:szCs w:val="20"/>
          </w:rPr>
          <w:instrText xml:space="preserve"> PAGE   \* MERGEFORMAT </w:instrText>
        </w:r>
        <w:r w:rsidRPr="001E5407">
          <w:rPr>
            <w:sz w:val="20"/>
            <w:szCs w:val="20"/>
          </w:rPr>
          <w:fldChar w:fldCharType="separate"/>
        </w:r>
        <w:r w:rsidRPr="001E5407">
          <w:rPr>
            <w:noProof/>
            <w:sz w:val="20"/>
            <w:szCs w:val="20"/>
          </w:rPr>
          <w:t>2</w:t>
        </w:r>
        <w:r w:rsidRPr="001E5407">
          <w:rPr>
            <w:noProof/>
            <w:sz w:val="20"/>
            <w:szCs w:val="20"/>
          </w:rPr>
          <w:fldChar w:fldCharType="end"/>
        </w:r>
      </w:p>
    </w:sdtContent>
  </w:sdt>
  <w:p w14:paraId="18CF50E6" w14:textId="77777777" w:rsidR="001E5407" w:rsidRDefault="001E5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025A" w14:textId="77777777" w:rsidR="002F09CF" w:rsidRDefault="002F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05CC" w14:textId="77777777" w:rsidR="00F9474B" w:rsidRDefault="00F9474B" w:rsidP="008F2F8C">
      <w:pPr>
        <w:spacing w:after="0" w:line="240" w:lineRule="auto"/>
      </w:pPr>
      <w:r>
        <w:separator/>
      </w:r>
    </w:p>
  </w:footnote>
  <w:footnote w:type="continuationSeparator" w:id="0">
    <w:p w14:paraId="4276A36C" w14:textId="77777777" w:rsidR="00F9474B" w:rsidRDefault="00F9474B" w:rsidP="008F2F8C">
      <w:pPr>
        <w:spacing w:after="0" w:line="240" w:lineRule="auto"/>
      </w:pPr>
      <w:r>
        <w:continuationSeparator/>
      </w:r>
    </w:p>
  </w:footnote>
  <w:footnote w:type="continuationNotice" w:id="1">
    <w:p w14:paraId="27BF3B72" w14:textId="77777777" w:rsidR="00F9474B" w:rsidRDefault="00F9474B">
      <w:pPr>
        <w:spacing w:after="0" w:line="240" w:lineRule="auto"/>
      </w:pPr>
    </w:p>
  </w:footnote>
  <w:footnote w:id="2">
    <w:p w14:paraId="0AD6A53C" w14:textId="13FF2B52" w:rsidR="00856A83" w:rsidRPr="00856A83" w:rsidRDefault="00856A83">
      <w:pPr>
        <w:pStyle w:val="FootnoteText"/>
        <w:rPr>
          <w:sz w:val="16"/>
          <w:szCs w:val="16"/>
        </w:rPr>
      </w:pPr>
      <w:r w:rsidRPr="00D03EEF">
        <w:rPr>
          <w:rStyle w:val="FootnoteReference"/>
          <w:sz w:val="16"/>
          <w:szCs w:val="16"/>
        </w:rPr>
        <w:footnoteRef/>
      </w:r>
      <w:r w:rsidRPr="00D03EEF">
        <w:rPr>
          <w:sz w:val="16"/>
          <w:szCs w:val="16"/>
        </w:rPr>
        <w:t xml:space="preserve"> </w:t>
      </w:r>
      <w:r w:rsidR="00D03EEF" w:rsidRPr="00D03EEF">
        <w:rPr>
          <w:sz w:val="16"/>
          <w:szCs w:val="16"/>
        </w:rPr>
        <w:t>Shropdoc are a</w:t>
      </w:r>
      <w:r w:rsidR="00D03EEF">
        <w:rPr>
          <w:sz w:val="16"/>
          <w:szCs w:val="16"/>
        </w:rPr>
        <w:t xml:space="preserve"> cooperative of GPs, providing services including NHS 111 and urgent care centres. </w:t>
      </w:r>
      <w:r w:rsidR="00FE11E8">
        <w:rPr>
          <w:sz w:val="16"/>
          <w:szCs w:val="16"/>
        </w:rPr>
        <w:t xml:space="preserve">Further information can be found on its website at </w:t>
      </w:r>
      <w:hyperlink r:id="rId1" w:history="1">
        <w:r w:rsidR="00D03EEF" w:rsidRPr="0013476A">
          <w:rPr>
            <w:rStyle w:val="Hyperlink"/>
            <w:sz w:val="16"/>
            <w:szCs w:val="16"/>
          </w:rPr>
          <w:t>https://shropdoc.org.uk/</w:t>
        </w:r>
      </w:hyperlink>
      <w:r w:rsidR="00D03EEF">
        <w:rPr>
          <w:sz w:val="16"/>
          <w:szCs w:val="16"/>
        </w:rPr>
        <w:t>.</w:t>
      </w:r>
    </w:p>
  </w:footnote>
  <w:footnote w:id="3">
    <w:p w14:paraId="0451A91F" w14:textId="53FF603C" w:rsidR="004724B3" w:rsidRPr="004A0C4C" w:rsidRDefault="004724B3">
      <w:pPr>
        <w:pStyle w:val="FootnoteText"/>
        <w:rPr>
          <w:sz w:val="16"/>
          <w:szCs w:val="16"/>
        </w:rPr>
      </w:pPr>
      <w:r w:rsidRPr="004A0C4C">
        <w:rPr>
          <w:rStyle w:val="FootnoteReference"/>
          <w:sz w:val="16"/>
          <w:szCs w:val="16"/>
        </w:rPr>
        <w:footnoteRef/>
      </w:r>
      <w:r w:rsidRPr="004A0C4C">
        <w:rPr>
          <w:sz w:val="16"/>
          <w:szCs w:val="16"/>
        </w:rPr>
        <w:t xml:space="preserve"> The Panel’s case acceptance criteria are available at </w:t>
      </w:r>
      <w:hyperlink r:id="rId2" w:history="1">
        <w:r w:rsidR="004A0C4C" w:rsidRPr="004A0C4C">
          <w:rPr>
            <w:rStyle w:val="Hyperlink"/>
            <w:rFonts w:cs="Arial"/>
            <w:sz w:val="16"/>
            <w:szCs w:val="16"/>
          </w:rPr>
          <w:t>https://www.england.nhs.uk/commissioning/how-commissioning-is-changing/nhs-provider-selection-regime/independent-patient-choice-and-procurement-panel/</w:t>
        </w:r>
      </w:hyperlink>
      <w:r w:rsidR="004A0C4C">
        <w:rPr>
          <w:sz w:val="16"/>
          <w:szCs w:val="16"/>
        </w:rPr>
        <w:t>.</w:t>
      </w:r>
    </w:p>
  </w:footnote>
  <w:footnote w:id="4">
    <w:p w14:paraId="7E2C59ED" w14:textId="77777777" w:rsidR="00D835C8" w:rsidRPr="00A47C13" w:rsidRDefault="00D835C8" w:rsidP="00D835C8">
      <w:pPr>
        <w:pStyle w:val="FootnoteText"/>
        <w:rPr>
          <w:sz w:val="16"/>
          <w:szCs w:val="16"/>
        </w:rPr>
      </w:pPr>
      <w:r w:rsidRPr="00A47C13">
        <w:rPr>
          <w:rStyle w:val="FootnoteReference"/>
          <w:sz w:val="16"/>
          <w:szCs w:val="16"/>
        </w:rPr>
        <w:footnoteRef/>
      </w:r>
      <w:r w:rsidRPr="00A47C13">
        <w:rPr>
          <w:sz w:val="16"/>
          <w:szCs w:val="16"/>
        </w:rPr>
        <w:t xml:space="preserve"> The Panel’s Standard Operating Procedures are available at </w:t>
      </w:r>
      <w:hyperlink r:id="rId3" w:history="1">
        <w:r w:rsidRPr="00A47C13">
          <w:rPr>
            <w:rStyle w:val="Hyperlink"/>
            <w:rFonts w:cs="Arial"/>
            <w:sz w:val="16"/>
            <w:szCs w:val="16"/>
          </w:rPr>
          <w:t>https://www.england.nhs.uk/commissioning/how-commissioning-is-changing/nhs-provider-selection-regime/independent-patient-choice-and-procurement-panel/</w:t>
        </w:r>
      </w:hyperlink>
      <w:r w:rsidRPr="00A47C13">
        <w:rPr>
          <w:rFonts w:cs="Arial"/>
          <w:sz w:val="16"/>
          <w:szCs w:val="16"/>
        </w:rPr>
        <w:t>.</w:t>
      </w:r>
    </w:p>
  </w:footnote>
  <w:footnote w:id="5">
    <w:p w14:paraId="6E6F3ED5" w14:textId="56ED232F" w:rsidR="004A0C4C" w:rsidRPr="0050576A" w:rsidRDefault="004A0C4C">
      <w:pPr>
        <w:pStyle w:val="FootnoteText"/>
        <w:rPr>
          <w:sz w:val="16"/>
          <w:szCs w:val="16"/>
        </w:rPr>
      </w:pPr>
      <w:r w:rsidRPr="0050576A">
        <w:rPr>
          <w:rStyle w:val="FootnoteReference"/>
          <w:sz w:val="16"/>
          <w:szCs w:val="16"/>
        </w:rPr>
        <w:footnoteRef/>
      </w:r>
      <w:r w:rsidRPr="0050576A">
        <w:rPr>
          <w:sz w:val="16"/>
          <w:szCs w:val="16"/>
        </w:rPr>
        <w:t xml:space="preserve"> Biographies of Panel members are available at </w:t>
      </w:r>
      <w:hyperlink r:id="rId4" w:history="1">
        <w:r w:rsidR="0050576A" w:rsidRPr="0050576A">
          <w:rPr>
            <w:rStyle w:val="Hyperlink"/>
            <w:rFonts w:cs="Arial"/>
            <w:sz w:val="16"/>
            <w:szCs w:val="16"/>
          </w:rPr>
          <w:t>https://www.england.nhs.uk/commissioning/how-commissioning-is-changing/nhs-provider-selection-regime/independent-patient-choice-and-procurement-panel/panel-members/</w:t>
        </w:r>
      </w:hyperlink>
      <w:r w:rsidR="0050576A" w:rsidRPr="0050576A">
        <w:rPr>
          <w:rFonts w:cs="Arial"/>
          <w:sz w:val="16"/>
          <w:szCs w:val="16"/>
        </w:rPr>
        <w:t>.</w:t>
      </w:r>
    </w:p>
  </w:footnote>
  <w:footnote w:id="6">
    <w:p w14:paraId="79995ABF" w14:textId="04E9C25F" w:rsidR="00A47C13" w:rsidRPr="00A47C13" w:rsidRDefault="00A47C13">
      <w:pPr>
        <w:pStyle w:val="FootnoteText"/>
        <w:rPr>
          <w:sz w:val="16"/>
          <w:szCs w:val="16"/>
        </w:rPr>
      </w:pPr>
      <w:r w:rsidRPr="00A47C13">
        <w:rPr>
          <w:rStyle w:val="FootnoteReference"/>
          <w:sz w:val="16"/>
          <w:szCs w:val="16"/>
        </w:rPr>
        <w:footnoteRef/>
      </w:r>
      <w:r w:rsidRPr="00A47C13">
        <w:rPr>
          <w:sz w:val="16"/>
          <w:szCs w:val="16"/>
        </w:rPr>
        <w:t xml:space="preserve"> The Panel’s advice is provided under paragraph 23 of the PSR Regulations and takes account of the representations made to the Panel prior to forming its opinion.</w:t>
      </w:r>
    </w:p>
  </w:footnote>
  <w:footnote w:id="7">
    <w:p w14:paraId="3C8291CB" w14:textId="742D2D33" w:rsidR="008F2F8C" w:rsidRDefault="008F2F8C">
      <w:pPr>
        <w:pStyle w:val="FootnoteText"/>
      </w:pPr>
      <w:r w:rsidRPr="009C30B9">
        <w:rPr>
          <w:rStyle w:val="FootnoteReference"/>
          <w:sz w:val="16"/>
          <w:szCs w:val="16"/>
        </w:rPr>
        <w:footnoteRef/>
      </w:r>
      <w:r w:rsidRPr="009C30B9">
        <w:rPr>
          <w:sz w:val="16"/>
          <w:szCs w:val="16"/>
        </w:rPr>
        <w:t xml:space="preserve"> The PSR Regulations are available at </w:t>
      </w:r>
      <w:hyperlink r:id="rId5" w:history="1">
        <w:r w:rsidR="009C30B9" w:rsidRPr="00EE7D7D">
          <w:rPr>
            <w:rStyle w:val="Hyperlink"/>
            <w:rFonts w:cs="Arial"/>
            <w:sz w:val="16"/>
            <w:szCs w:val="16"/>
          </w:rPr>
          <w:t>https://www.legislation.gov.uk/uksi/2023/1348/contents/made</w:t>
        </w:r>
      </w:hyperlink>
      <w:r w:rsidR="009C30B9" w:rsidRPr="00EE7D7D">
        <w:rPr>
          <w:rFonts w:cs="Arial"/>
          <w:sz w:val="16"/>
          <w:szCs w:val="16"/>
        </w:rPr>
        <w:t xml:space="preserve"> and the accompanying statutory guidance is available at NHS England, </w:t>
      </w:r>
      <w:r w:rsidR="009C30B9" w:rsidRPr="00EE7D7D">
        <w:rPr>
          <w:rFonts w:cs="Arial"/>
          <w:i/>
          <w:iCs/>
          <w:sz w:val="16"/>
          <w:szCs w:val="16"/>
        </w:rPr>
        <w:t>The Provider Selection Regime: statutory guidance</w:t>
      </w:r>
      <w:r w:rsidR="009C30B9" w:rsidRPr="00EE7D7D">
        <w:rPr>
          <w:rFonts w:cs="Arial"/>
          <w:sz w:val="16"/>
          <w:szCs w:val="16"/>
        </w:rPr>
        <w:t xml:space="preserve">, </w:t>
      </w:r>
      <w:hyperlink r:id="rId6" w:history="1">
        <w:r w:rsidR="009C30B9" w:rsidRPr="00EE7D7D">
          <w:rPr>
            <w:rStyle w:val="Hyperlink"/>
            <w:rFonts w:cs="Arial"/>
            <w:sz w:val="16"/>
            <w:szCs w:val="16"/>
          </w:rPr>
          <w:t>https://www.england.nhs.uk/long-read/the-provider-selection-regime-statutory-guidance/</w:t>
        </w:r>
      </w:hyperlink>
    </w:p>
  </w:footnote>
  <w:footnote w:id="8">
    <w:p w14:paraId="4722B677" w14:textId="603CA812" w:rsidR="00323C2C" w:rsidRPr="00323C2C" w:rsidRDefault="00323C2C">
      <w:pPr>
        <w:pStyle w:val="FootnoteText"/>
        <w:rPr>
          <w:sz w:val="16"/>
          <w:szCs w:val="16"/>
        </w:rPr>
      </w:pPr>
      <w:r w:rsidRPr="00323C2C">
        <w:rPr>
          <w:rStyle w:val="FootnoteReference"/>
          <w:sz w:val="16"/>
          <w:szCs w:val="16"/>
        </w:rPr>
        <w:footnoteRef/>
      </w:r>
      <w:r w:rsidRPr="00323C2C">
        <w:rPr>
          <w:sz w:val="16"/>
          <w:szCs w:val="16"/>
        </w:rPr>
        <w:t xml:space="preserve"> Further information on </w:t>
      </w:r>
      <w:r w:rsidR="00D03EEF">
        <w:rPr>
          <w:sz w:val="16"/>
          <w:szCs w:val="16"/>
        </w:rPr>
        <w:t>STW ICB</w:t>
      </w:r>
      <w:r w:rsidRPr="00323C2C">
        <w:rPr>
          <w:sz w:val="16"/>
          <w:szCs w:val="16"/>
        </w:rPr>
        <w:t xml:space="preserve"> can be found on its website at</w:t>
      </w:r>
      <w:r w:rsidR="00D03EEF">
        <w:rPr>
          <w:sz w:val="16"/>
          <w:szCs w:val="16"/>
        </w:rPr>
        <w:t xml:space="preserve"> </w:t>
      </w:r>
      <w:hyperlink r:id="rId7" w:history="1">
        <w:r w:rsidR="00D03EEF" w:rsidRPr="00760214">
          <w:rPr>
            <w:rStyle w:val="Hyperlink"/>
            <w:rFonts w:cs="Arial"/>
            <w:sz w:val="16"/>
            <w:szCs w:val="16"/>
          </w:rPr>
          <w:t>https://www.shropshiretelfordandwrekin.nhs.uk/</w:t>
        </w:r>
      </w:hyperlink>
      <w:r w:rsidRPr="00323C2C">
        <w:rPr>
          <w:sz w:val="16"/>
          <w:szCs w:val="16"/>
        </w:rPr>
        <w:t>.</w:t>
      </w:r>
    </w:p>
  </w:footnote>
  <w:footnote w:id="9">
    <w:p w14:paraId="66BBD0DA" w14:textId="438347F8" w:rsidR="00E77892" w:rsidRPr="00F61CC6" w:rsidRDefault="00E77892">
      <w:pPr>
        <w:pStyle w:val="FootnoteText"/>
        <w:rPr>
          <w:sz w:val="16"/>
          <w:szCs w:val="16"/>
        </w:rPr>
      </w:pPr>
      <w:r w:rsidRPr="00F61CC6">
        <w:rPr>
          <w:rStyle w:val="FootnoteReference"/>
          <w:sz w:val="16"/>
          <w:szCs w:val="16"/>
        </w:rPr>
        <w:footnoteRef/>
      </w:r>
      <w:r w:rsidRPr="00F61CC6">
        <w:rPr>
          <w:sz w:val="16"/>
          <w:szCs w:val="16"/>
        </w:rPr>
        <w:t xml:space="preserve"> </w:t>
      </w:r>
      <w:r w:rsidR="00F36D42" w:rsidRPr="00F61CC6">
        <w:rPr>
          <w:sz w:val="16"/>
          <w:szCs w:val="16"/>
        </w:rPr>
        <w:t xml:space="preserve">STW ICB, </w:t>
      </w:r>
      <w:r w:rsidR="00F36D42" w:rsidRPr="00F61CC6">
        <w:rPr>
          <w:i/>
          <w:iCs/>
          <w:sz w:val="16"/>
          <w:szCs w:val="16"/>
        </w:rPr>
        <w:t>GP Out of Hours Engagements Findings</w:t>
      </w:r>
      <w:r w:rsidR="00F36D42" w:rsidRPr="00F61CC6">
        <w:rPr>
          <w:sz w:val="16"/>
          <w:szCs w:val="16"/>
        </w:rPr>
        <w:t>, September 2024.</w:t>
      </w:r>
    </w:p>
  </w:footnote>
  <w:footnote w:id="10">
    <w:p w14:paraId="2B47F2C4" w14:textId="2F041016" w:rsidR="0079172F" w:rsidRPr="005C4A6F" w:rsidRDefault="0079172F">
      <w:pPr>
        <w:pStyle w:val="FootnoteText"/>
        <w:rPr>
          <w:sz w:val="16"/>
          <w:szCs w:val="16"/>
        </w:rPr>
      </w:pPr>
      <w:r w:rsidRPr="005C4A6F">
        <w:rPr>
          <w:rStyle w:val="FootnoteReference"/>
          <w:sz w:val="16"/>
          <w:szCs w:val="16"/>
        </w:rPr>
        <w:footnoteRef/>
      </w:r>
      <w:r w:rsidRPr="005C4A6F">
        <w:rPr>
          <w:sz w:val="16"/>
          <w:szCs w:val="16"/>
        </w:rPr>
        <w:t xml:space="preserve"> </w:t>
      </w:r>
      <w:r w:rsidR="00E61D24">
        <w:rPr>
          <w:sz w:val="16"/>
          <w:szCs w:val="16"/>
        </w:rPr>
        <w:t xml:space="preserve">The </w:t>
      </w:r>
      <w:r w:rsidR="003D63CF" w:rsidRPr="005C4A6F">
        <w:rPr>
          <w:sz w:val="16"/>
          <w:szCs w:val="16"/>
        </w:rPr>
        <w:t xml:space="preserve">Outbreak Response </w:t>
      </w:r>
      <w:r w:rsidR="00E61D24">
        <w:rPr>
          <w:sz w:val="16"/>
          <w:szCs w:val="16"/>
        </w:rPr>
        <w:t xml:space="preserve">element </w:t>
      </w:r>
      <w:r w:rsidR="003D63CF" w:rsidRPr="005C4A6F">
        <w:rPr>
          <w:sz w:val="16"/>
          <w:szCs w:val="16"/>
        </w:rPr>
        <w:t xml:space="preserve">is </w:t>
      </w:r>
      <w:r w:rsidR="009A4F71">
        <w:rPr>
          <w:sz w:val="16"/>
          <w:szCs w:val="16"/>
        </w:rPr>
        <w:t xml:space="preserve">not </w:t>
      </w:r>
      <w:r w:rsidR="003D63CF" w:rsidRPr="005C4A6F">
        <w:rPr>
          <w:sz w:val="16"/>
          <w:szCs w:val="16"/>
        </w:rPr>
        <w:t>currently commissioned by STW ICB</w:t>
      </w:r>
      <w:r w:rsidR="00475E34">
        <w:rPr>
          <w:sz w:val="16"/>
          <w:szCs w:val="16"/>
        </w:rPr>
        <w:t>, except for a retainer arrangement with Shropdoc for influenza</w:t>
      </w:r>
      <w:r w:rsidR="003D63CF" w:rsidRPr="005C4A6F">
        <w:rPr>
          <w:sz w:val="16"/>
          <w:szCs w:val="16"/>
        </w:rPr>
        <w:t>.</w:t>
      </w:r>
      <w:r w:rsidR="0094147C">
        <w:rPr>
          <w:sz w:val="16"/>
          <w:szCs w:val="16"/>
        </w:rPr>
        <w:t xml:space="preserve"> STW ICB, </w:t>
      </w:r>
      <w:r w:rsidR="0094147C" w:rsidRPr="005C4A6F">
        <w:rPr>
          <w:i/>
          <w:iCs/>
          <w:sz w:val="16"/>
          <w:szCs w:val="16"/>
        </w:rPr>
        <w:t>Presentation to the Panel</w:t>
      </w:r>
      <w:r w:rsidR="0094147C">
        <w:rPr>
          <w:sz w:val="16"/>
          <w:szCs w:val="16"/>
        </w:rPr>
        <w:t>, 28 May 2025</w:t>
      </w:r>
      <w:r w:rsidR="00680973">
        <w:rPr>
          <w:sz w:val="16"/>
          <w:szCs w:val="16"/>
        </w:rPr>
        <w:t>.</w:t>
      </w:r>
    </w:p>
  </w:footnote>
  <w:footnote w:id="11">
    <w:p w14:paraId="48561522" w14:textId="77777777" w:rsidR="00597208" w:rsidRPr="00F61CC6" w:rsidRDefault="00597208" w:rsidP="00597208">
      <w:pPr>
        <w:pStyle w:val="FootnoteText"/>
        <w:rPr>
          <w:sz w:val="16"/>
          <w:szCs w:val="16"/>
        </w:rPr>
      </w:pPr>
      <w:r w:rsidRPr="00F61CC6">
        <w:rPr>
          <w:rStyle w:val="FootnoteReference"/>
          <w:sz w:val="16"/>
          <w:szCs w:val="16"/>
        </w:rPr>
        <w:footnoteRef/>
      </w:r>
      <w:r w:rsidRPr="00F61CC6">
        <w:rPr>
          <w:sz w:val="16"/>
          <w:szCs w:val="16"/>
        </w:rPr>
        <w:t xml:space="preserve"> (1) Out of Hours GP cover provides face-to-face, telephone and home visits cover for periods outside of GP core hours; (2) GP cover for Protected Learning Time (PLT) provides cover allowing GP practices to close for staff development; (3) Outbreak Response provides a year-round response to outbreaks of influenza and other highly infectious diseases; (4) CCCSPA delivers a model of unplanned referral management, supporting healthcare professionals in navigating their patients to the most appropriate service to meet their unplanned care needs. STW ICB, </w:t>
      </w:r>
      <w:r w:rsidRPr="00F61CC6">
        <w:rPr>
          <w:i/>
          <w:iCs/>
          <w:sz w:val="16"/>
          <w:szCs w:val="16"/>
        </w:rPr>
        <w:t>Presentation to the Panel</w:t>
      </w:r>
      <w:r w:rsidRPr="00F61CC6">
        <w:rPr>
          <w:sz w:val="16"/>
          <w:szCs w:val="16"/>
        </w:rPr>
        <w:t>, 28 May 2025.</w:t>
      </w:r>
    </w:p>
  </w:footnote>
  <w:footnote w:id="12">
    <w:p w14:paraId="2B57541F" w14:textId="6DE2C82E" w:rsidR="00E64E91" w:rsidRPr="00F61CC6" w:rsidRDefault="00E64E91">
      <w:pPr>
        <w:pStyle w:val="FootnoteText"/>
        <w:rPr>
          <w:sz w:val="16"/>
          <w:szCs w:val="16"/>
        </w:rPr>
      </w:pPr>
      <w:r w:rsidRPr="00F61CC6">
        <w:rPr>
          <w:rStyle w:val="FootnoteReference"/>
          <w:sz w:val="16"/>
          <w:szCs w:val="16"/>
        </w:rPr>
        <w:footnoteRef/>
      </w:r>
      <w:r w:rsidRPr="00F61CC6">
        <w:rPr>
          <w:sz w:val="16"/>
          <w:szCs w:val="16"/>
        </w:rPr>
        <w:t xml:space="preserve"> </w:t>
      </w:r>
      <w:r w:rsidR="0006508E" w:rsidRPr="00F61CC6">
        <w:rPr>
          <w:sz w:val="16"/>
          <w:szCs w:val="16"/>
        </w:rPr>
        <w:t>STW ICB</w:t>
      </w:r>
      <w:r w:rsidRPr="00F61CC6">
        <w:rPr>
          <w:sz w:val="16"/>
          <w:szCs w:val="16"/>
        </w:rPr>
        <w:t xml:space="preserve">, </w:t>
      </w:r>
      <w:r w:rsidRPr="00F61CC6">
        <w:rPr>
          <w:i/>
          <w:iCs/>
          <w:sz w:val="16"/>
          <w:szCs w:val="16"/>
        </w:rPr>
        <w:t>Contract Notice on Find a Tender Service,</w:t>
      </w:r>
      <w:r w:rsidR="0006508E" w:rsidRPr="00F61CC6">
        <w:rPr>
          <w:sz w:val="16"/>
          <w:szCs w:val="16"/>
        </w:rPr>
        <w:t xml:space="preserve"> 7 October 2024.</w:t>
      </w:r>
    </w:p>
  </w:footnote>
  <w:footnote w:id="13">
    <w:p w14:paraId="726CC1B5" w14:textId="780E438F" w:rsidR="003A440C" w:rsidRPr="00F61CC6" w:rsidRDefault="003A440C">
      <w:pPr>
        <w:pStyle w:val="FootnoteText"/>
        <w:rPr>
          <w:sz w:val="16"/>
          <w:szCs w:val="16"/>
        </w:rPr>
      </w:pPr>
      <w:r w:rsidRPr="00F61CC6">
        <w:rPr>
          <w:rStyle w:val="FootnoteReference"/>
          <w:sz w:val="16"/>
          <w:szCs w:val="16"/>
        </w:rPr>
        <w:footnoteRef/>
      </w:r>
      <w:r w:rsidRPr="00F61CC6">
        <w:rPr>
          <w:sz w:val="16"/>
          <w:szCs w:val="16"/>
        </w:rPr>
        <w:t xml:space="preserve"> </w:t>
      </w:r>
      <w:r w:rsidR="0006508E" w:rsidRPr="00F61CC6">
        <w:rPr>
          <w:sz w:val="16"/>
          <w:szCs w:val="16"/>
        </w:rPr>
        <w:t>Medvivo</w:t>
      </w:r>
      <w:r w:rsidRPr="00F61CC6">
        <w:rPr>
          <w:sz w:val="16"/>
          <w:szCs w:val="16"/>
        </w:rPr>
        <w:t xml:space="preserve"> is </w:t>
      </w:r>
      <w:r w:rsidR="0006508E" w:rsidRPr="00F61CC6">
        <w:rPr>
          <w:sz w:val="16"/>
          <w:szCs w:val="16"/>
        </w:rPr>
        <w:t>part of HealthHero and is a provider of integrated urgent care services, including NHS 111 and GP Out of Hours services.</w:t>
      </w:r>
      <w:r w:rsidR="008A57E0" w:rsidRPr="00F61CC6">
        <w:rPr>
          <w:sz w:val="16"/>
          <w:szCs w:val="16"/>
        </w:rPr>
        <w:t xml:space="preserve"> Further information can be found on its website at </w:t>
      </w:r>
      <w:hyperlink r:id="rId8" w:history="1">
        <w:r w:rsidR="0006508E" w:rsidRPr="00F61CC6">
          <w:rPr>
            <w:rStyle w:val="Hyperlink"/>
            <w:rFonts w:cs="Arial"/>
            <w:sz w:val="16"/>
            <w:szCs w:val="16"/>
          </w:rPr>
          <w:t>https://www.healthhero.com/governments/about</w:t>
        </w:r>
      </w:hyperlink>
      <w:r w:rsidR="0006508E" w:rsidRPr="00F61CC6">
        <w:rPr>
          <w:sz w:val="16"/>
          <w:szCs w:val="16"/>
        </w:rPr>
        <w:t>.</w:t>
      </w:r>
    </w:p>
  </w:footnote>
  <w:footnote w:id="14">
    <w:p w14:paraId="509C2453" w14:textId="1C7D3328" w:rsidR="0006508E" w:rsidRPr="00F61CC6" w:rsidRDefault="0006508E">
      <w:pPr>
        <w:pStyle w:val="FootnoteText"/>
        <w:rPr>
          <w:sz w:val="16"/>
          <w:szCs w:val="16"/>
        </w:rPr>
      </w:pPr>
      <w:r w:rsidRPr="00F61CC6">
        <w:rPr>
          <w:rStyle w:val="FootnoteReference"/>
          <w:sz w:val="16"/>
          <w:szCs w:val="16"/>
        </w:rPr>
        <w:footnoteRef/>
      </w:r>
      <w:r w:rsidRPr="00F61CC6">
        <w:rPr>
          <w:sz w:val="16"/>
          <w:szCs w:val="16"/>
        </w:rPr>
        <w:t xml:space="preserve"> Between 20 February and 7 March 2025, the parties </w:t>
      </w:r>
      <w:r w:rsidR="00DC2B9B" w:rsidRPr="00F61CC6">
        <w:rPr>
          <w:sz w:val="16"/>
          <w:szCs w:val="16"/>
        </w:rPr>
        <w:t xml:space="preserve">exchanged </w:t>
      </w:r>
      <w:r w:rsidRPr="00F61CC6">
        <w:rPr>
          <w:sz w:val="16"/>
          <w:szCs w:val="16"/>
        </w:rPr>
        <w:t xml:space="preserve">further </w:t>
      </w:r>
      <w:r w:rsidR="001A5FBC" w:rsidRPr="00F61CC6">
        <w:rPr>
          <w:sz w:val="16"/>
          <w:szCs w:val="16"/>
        </w:rPr>
        <w:t>correspondence</w:t>
      </w:r>
      <w:r w:rsidR="00F45F7D" w:rsidRPr="00F61CC6">
        <w:rPr>
          <w:sz w:val="16"/>
          <w:szCs w:val="16"/>
        </w:rPr>
        <w:t xml:space="preserve"> on explanations/clarifications</w:t>
      </w:r>
      <w:r w:rsidRPr="00F61CC6">
        <w:rPr>
          <w:sz w:val="16"/>
          <w:szCs w:val="16"/>
        </w:rPr>
        <w:t xml:space="preserve"> in relation to Shropdoc’s representations.</w:t>
      </w:r>
    </w:p>
  </w:footnote>
  <w:footnote w:id="15">
    <w:p w14:paraId="300B6995" w14:textId="77920AC6" w:rsidR="001A2DB4" w:rsidRPr="001A2DB4" w:rsidRDefault="001A2DB4">
      <w:pPr>
        <w:pStyle w:val="FootnoteText"/>
        <w:rPr>
          <w:sz w:val="16"/>
          <w:szCs w:val="16"/>
        </w:rPr>
      </w:pPr>
      <w:r w:rsidRPr="001A2DB4">
        <w:rPr>
          <w:rStyle w:val="FootnoteReference"/>
          <w:sz w:val="16"/>
          <w:szCs w:val="16"/>
        </w:rPr>
        <w:footnoteRef/>
      </w:r>
      <w:r w:rsidRPr="001A2DB4">
        <w:rPr>
          <w:sz w:val="16"/>
          <w:szCs w:val="16"/>
        </w:rPr>
        <w:t xml:space="preserve"> NHS England, </w:t>
      </w:r>
      <w:r w:rsidRPr="001A2DB4">
        <w:rPr>
          <w:i/>
          <w:iCs/>
          <w:sz w:val="16"/>
          <w:szCs w:val="16"/>
        </w:rPr>
        <w:t>The Provider Selection Regime: statutory guidance</w:t>
      </w:r>
      <w:r w:rsidRPr="001A2DB4">
        <w:rPr>
          <w:sz w:val="16"/>
          <w:szCs w:val="16"/>
        </w:rPr>
        <w:t>, 21 February 2024, p.2.</w:t>
      </w:r>
    </w:p>
  </w:footnote>
  <w:footnote w:id="16">
    <w:p w14:paraId="7771282B" w14:textId="03B9F886" w:rsidR="001A2DB4" w:rsidRPr="00C24242" w:rsidRDefault="001A2DB4">
      <w:pPr>
        <w:pStyle w:val="FootnoteText"/>
        <w:rPr>
          <w:sz w:val="16"/>
          <w:szCs w:val="16"/>
        </w:rPr>
      </w:pPr>
      <w:r w:rsidRPr="00C24242">
        <w:rPr>
          <w:rStyle w:val="FootnoteReference"/>
          <w:sz w:val="16"/>
          <w:szCs w:val="16"/>
        </w:rPr>
        <w:footnoteRef/>
      </w:r>
      <w:r w:rsidRPr="00C24242">
        <w:rPr>
          <w:sz w:val="16"/>
          <w:szCs w:val="16"/>
        </w:rPr>
        <w:t xml:space="preserve"> The PSR Statutory Guidance was updated in April 2025. However, references to the Statutory Guidance in this report are to the February 20</w:t>
      </w:r>
      <w:r w:rsidR="00342246">
        <w:rPr>
          <w:sz w:val="16"/>
          <w:szCs w:val="16"/>
        </w:rPr>
        <w:t>2</w:t>
      </w:r>
      <w:r w:rsidRPr="00C24242">
        <w:rPr>
          <w:sz w:val="16"/>
          <w:szCs w:val="16"/>
        </w:rPr>
        <w:t>4 guidance as this was the version in force during this provider selection process. Where relevant, differences between the two versions of the Statutory Guidance</w:t>
      </w:r>
      <w:r w:rsidR="00C24242" w:rsidRPr="00C24242">
        <w:rPr>
          <w:sz w:val="16"/>
          <w:szCs w:val="16"/>
        </w:rPr>
        <w:t xml:space="preserve"> are noted in this report.</w:t>
      </w:r>
    </w:p>
  </w:footnote>
  <w:footnote w:id="17">
    <w:p w14:paraId="021F4ACC" w14:textId="77777777" w:rsidR="00941EF9" w:rsidRPr="00126D92" w:rsidRDefault="00941EF9" w:rsidP="00941EF9">
      <w:pPr>
        <w:pStyle w:val="FootnoteText"/>
        <w:rPr>
          <w:sz w:val="16"/>
          <w:szCs w:val="16"/>
        </w:rPr>
      </w:pPr>
      <w:r w:rsidRPr="00126D92">
        <w:rPr>
          <w:rStyle w:val="FootnoteReference"/>
          <w:sz w:val="16"/>
          <w:szCs w:val="16"/>
        </w:rPr>
        <w:footnoteRef/>
      </w:r>
      <w:r w:rsidRPr="00126D92">
        <w:rPr>
          <w:sz w:val="16"/>
          <w:szCs w:val="16"/>
        </w:rPr>
        <w:t xml:space="preserve"> Shropdoc, </w:t>
      </w:r>
      <w:r w:rsidRPr="00126D92">
        <w:rPr>
          <w:i/>
          <w:iCs/>
          <w:sz w:val="16"/>
          <w:szCs w:val="16"/>
        </w:rPr>
        <w:t>Pro forma submission to the Panel</w:t>
      </w:r>
      <w:r w:rsidRPr="00126D92">
        <w:rPr>
          <w:sz w:val="16"/>
          <w:szCs w:val="16"/>
        </w:rPr>
        <w:t>, 10 April 2025.</w:t>
      </w:r>
    </w:p>
  </w:footnote>
  <w:footnote w:id="18">
    <w:p w14:paraId="7A9D6DF8" w14:textId="39E21238" w:rsidR="00DE5676" w:rsidRPr="00184DF7" w:rsidRDefault="00DE5676">
      <w:pPr>
        <w:pStyle w:val="FootnoteText"/>
        <w:rPr>
          <w:sz w:val="16"/>
          <w:szCs w:val="16"/>
        </w:rPr>
      </w:pPr>
      <w:r w:rsidRPr="00184DF7">
        <w:rPr>
          <w:rStyle w:val="FootnoteReference"/>
          <w:sz w:val="16"/>
          <w:szCs w:val="16"/>
        </w:rPr>
        <w:footnoteRef/>
      </w:r>
      <w:r w:rsidRPr="00184DF7">
        <w:rPr>
          <w:sz w:val="16"/>
          <w:szCs w:val="16"/>
        </w:rPr>
        <w:t xml:space="preserve"> Shropdoc, </w:t>
      </w:r>
      <w:r w:rsidRPr="00184DF7">
        <w:rPr>
          <w:i/>
          <w:iCs/>
          <w:sz w:val="16"/>
          <w:szCs w:val="16"/>
        </w:rPr>
        <w:t>Pro forma submission to the Panel,</w:t>
      </w:r>
      <w:r w:rsidRPr="00184DF7">
        <w:rPr>
          <w:sz w:val="16"/>
          <w:szCs w:val="16"/>
        </w:rPr>
        <w:t xml:space="preserve"> </w:t>
      </w:r>
      <w:r w:rsidR="00B722C2" w:rsidRPr="00184DF7">
        <w:rPr>
          <w:sz w:val="16"/>
          <w:szCs w:val="16"/>
        </w:rPr>
        <w:t>10 April 2025.</w:t>
      </w:r>
    </w:p>
  </w:footnote>
  <w:footnote w:id="19">
    <w:p w14:paraId="3832DE9A" w14:textId="77777777" w:rsidR="004E2A43" w:rsidRPr="00184DF7" w:rsidRDefault="004E2A43" w:rsidP="004E2A43">
      <w:pPr>
        <w:pStyle w:val="FootnoteText"/>
        <w:rPr>
          <w:sz w:val="16"/>
          <w:szCs w:val="16"/>
        </w:rPr>
      </w:pPr>
      <w:r w:rsidRPr="00184DF7">
        <w:rPr>
          <w:rStyle w:val="FootnoteReference"/>
          <w:sz w:val="16"/>
          <w:szCs w:val="16"/>
        </w:rPr>
        <w:footnoteRef/>
      </w:r>
      <w:r w:rsidRPr="00184DF7">
        <w:rPr>
          <w:sz w:val="16"/>
          <w:szCs w:val="16"/>
        </w:rPr>
        <w:t xml:space="preserve"> Panel meeting with STW ICB, 28 May 2025.</w:t>
      </w:r>
    </w:p>
  </w:footnote>
  <w:footnote w:id="20">
    <w:p w14:paraId="530E53AD" w14:textId="77777777" w:rsidR="00407B40" w:rsidRPr="00752616" w:rsidRDefault="00407B40" w:rsidP="00407B40">
      <w:pPr>
        <w:pStyle w:val="FootnoteText"/>
        <w:rPr>
          <w:sz w:val="16"/>
          <w:szCs w:val="16"/>
        </w:rPr>
      </w:pPr>
      <w:r w:rsidRPr="00184DF7">
        <w:rPr>
          <w:rStyle w:val="FootnoteReference"/>
          <w:sz w:val="16"/>
          <w:szCs w:val="16"/>
        </w:rPr>
        <w:footnoteRef/>
      </w:r>
      <w:r w:rsidRPr="00184DF7">
        <w:rPr>
          <w:sz w:val="16"/>
          <w:szCs w:val="16"/>
        </w:rPr>
        <w:t xml:space="preserve"> Panel meeting with STW ICB, 28 May 2025.</w:t>
      </w:r>
    </w:p>
  </w:footnote>
  <w:footnote w:id="21">
    <w:p w14:paraId="02EEEBB9" w14:textId="77777777" w:rsidR="00763038" w:rsidRPr="00184DF7" w:rsidRDefault="00763038" w:rsidP="00763038">
      <w:pPr>
        <w:pStyle w:val="FootnoteText"/>
        <w:rPr>
          <w:sz w:val="16"/>
          <w:szCs w:val="16"/>
        </w:rPr>
      </w:pPr>
      <w:r w:rsidRPr="00184DF7">
        <w:rPr>
          <w:rStyle w:val="FootnoteReference"/>
          <w:sz w:val="16"/>
          <w:szCs w:val="16"/>
        </w:rPr>
        <w:footnoteRef/>
      </w:r>
      <w:r w:rsidRPr="00184DF7">
        <w:rPr>
          <w:sz w:val="16"/>
          <w:szCs w:val="16"/>
        </w:rPr>
        <w:t xml:space="preserve"> Panel meeting with STW ICB, 28 May 2025.</w:t>
      </w:r>
    </w:p>
  </w:footnote>
  <w:footnote w:id="22">
    <w:p w14:paraId="1CBFFCFB" w14:textId="673334F3" w:rsidR="00E052B6" w:rsidRPr="00E052B6" w:rsidRDefault="00E052B6">
      <w:pPr>
        <w:pStyle w:val="FootnoteText"/>
        <w:rPr>
          <w:sz w:val="16"/>
          <w:szCs w:val="16"/>
        </w:rPr>
      </w:pPr>
      <w:r w:rsidRPr="00E052B6">
        <w:rPr>
          <w:rStyle w:val="FootnoteReference"/>
          <w:sz w:val="16"/>
          <w:szCs w:val="16"/>
        </w:rPr>
        <w:footnoteRef/>
      </w:r>
      <w:r w:rsidRPr="00E052B6">
        <w:rPr>
          <w:sz w:val="16"/>
          <w:szCs w:val="16"/>
        </w:rPr>
        <w:t xml:space="preserve"> PSR statutory guidance, February 2024, p.18.</w:t>
      </w:r>
    </w:p>
  </w:footnote>
  <w:footnote w:id="23">
    <w:p w14:paraId="3F4D11BB" w14:textId="3623BAE0" w:rsidR="00EE0AC6" w:rsidRPr="00752616" w:rsidRDefault="00EE0AC6">
      <w:pPr>
        <w:pStyle w:val="FootnoteText"/>
        <w:rPr>
          <w:sz w:val="16"/>
          <w:szCs w:val="16"/>
        </w:rPr>
      </w:pPr>
      <w:r w:rsidRPr="00752616">
        <w:rPr>
          <w:rStyle w:val="FootnoteReference"/>
          <w:sz w:val="16"/>
          <w:szCs w:val="16"/>
        </w:rPr>
        <w:footnoteRef/>
      </w:r>
      <w:r w:rsidRPr="00752616">
        <w:rPr>
          <w:sz w:val="16"/>
          <w:szCs w:val="16"/>
        </w:rPr>
        <w:t xml:space="preserve"> PSR statutory guidance, February 2024, p.</w:t>
      </w:r>
      <w:r w:rsidR="00201E0E" w:rsidRPr="00752616">
        <w:rPr>
          <w:sz w:val="16"/>
          <w:szCs w:val="16"/>
        </w:rPr>
        <w:t>9.</w:t>
      </w:r>
    </w:p>
  </w:footnote>
  <w:footnote w:id="24">
    <w:p w14:paraId="6937E194" w14:textId="77777777" w:rsidR="00140384" w:rsidRPr="00D034AB" w:rsidRDefault="00140384" w:rsidP="00140384">
      <w:pPr>
        <w:pStyle w:val="FootnoteText"/>
        <w:rPr>
          <w:sz w:val="16"/>
          <w:szCs w:val="16"/>
        </w:rPr>
      </w:pPr>
      <w:r w:rsidRPr="00D034AB">
        <w:rPr>
          <w:rStyle w:val="FootnoteReference"/>
          <w:sz w:val="16"/>
          <w:szCs w:val="16"/>
        </w:rPr>
        <w:footnoteRef/>
      </w:r>
      <w:r w:rsidRPr="00D034AB">
        <w:rPr>
          <w:sz w:val="16"/>
          <w:szCs w:val="16"/>
        </w:rPr>
        <w:t xml:space="preserve"> Shropdoc, </w:t>
      </w:r>
      <w:r w:rsidRPr="00D034AB">
        <w:rPr>
          <w:i/>
          <w:iCs/>
          <w:sz w:val="16"/>
          <w:szCs w:val="16"/>
        </w:rPr>
        <w:t>Representations letter to STW ICB</w:t>
      </w:r>
      <w:r w:rsidRPr="00D034AB">
        <w:rPr>
          <w:sz w:val="16"/>
          <w:szCs w:val="16"/>
        </w:rPr>
        <w:t>, 14 February 2025</w:t>
      </w:r>
    </w:p>
  </w:footnote>
  <w:footnote w:id="25">
    <w:p w14:paraId="6422DC5B" w14:textId="77777777" w:rsidR="00506C29" w:rsidRPr="009C5033" w:rsidRDefault="00506C29" w:rsidP="00506C29">
      <w:pPr>
        <w:pStyle w:val="FootnoteText"/>
        <w:rPr>
          <w:sz w:val="16"/>
          <w:szCs w:val="16"/>
        </w:rPr>
      </w:pPr>
      <w:r w:rsidRPr="009C5033">
        <w:rPr>
          <w:rStyle w:val="FootnoteReference"/>
          <w:sz w:val="16"/>
          <w:szCs w:val="16"/>
        </w:rPr>
        <w:footnoteRef/>
      </w:r>
      <w:r w:rsidRPr="009C5033">
        <w:rPr>
          <w:sz w:val="16"/>
          <w:szCs w:val="16"/>
        </w:rPr>
        <w:t xml:space="preserve"> STW ICB, </w:t>
      </w:r>
      <w:r w:rsidRPr="009C5033">
        <w:rPr>
          <w:i/>
          <w:iCs/>
          <w:sz w:val="16"/>
          <w:szCs w:val="16"/>
        </w:rPr>
        <w:t>Outcome of the ICB PSR Review Panel (Appendix to Representations response letter to Shropdoc)</w:t>
      </w:r>
      <w:r w:rsidRPr="009C5033">
        <w:rPr>
          <w:sz w:val="16"/>
          <w:szCs w:val="16"/>
        </w:rPr>
        <w:t>, April 2025</w:t>
      </w:r>
      <w:r>
        <w:rPr>
          <w:sz w:val="16"/>
          <w:szCs w:val="16"/>
        </w:rPr>
        <w:t>.</w:t>
      </w:r>
    </w:p>
  </w:footnote>
  <w:footnote w:id="26">
    <w:p w14:paraId="6C7E9F72" w14:textId="5B990F78" w:rsidR="00140384" w:rsidRPr="00633BDD" w:rsidRDefault="00140384" w:rsidP="00140384">
      <w:pPr>
        <w:pStyle w:val="FootnoteText"/>
        <w:rPr>
          <w:sz w:val="16"/>
          <w:szCs w:val="16"/>
        </w:rPr>
      </w:pPr>
      <w:r w:rsidRPr="00633BDD">
        <w:rPr>
          <w:rStyle w:val="FootnoteReference"/>
          <w:sz w:val="16"/>
          <w:szCs w:val="16"/>
        </w:rPr>
        <w:footnoteRef/>
      </w:r>
      <w:r w:rsidRPr="00633BDD">
        <w:rPr>
          <w:sz w:val="16"/>
          <w:szCs w:val="16"/>
        </w:rPr>
        <w:t xml:space="preserve"> NHS England, </w:t>
      </w:r>
      <w:r w:rsidRPr="00633BDD">
        <w:rPr>
          <w:i/>
          <w:iCs/>
          <w:sz w:val="16"/>
          <w:szCs w:val="16"/>
        </w:rPr>
        <w:t>PSR Statutory Guidance</w:t>
      </w:r>
      <w:r w:rsidRPr="00633BDD">
        <w:rPr>
          <w:sz w:val="16"/>
          <w:szCs w:val="16"/>
        </w:rPr>
        <w:t>, February 2024</w:t>
      </w:r>
      <w:r w:rsidR="00397BE1">
        <w:rPr>
          <w:sz w:val="16"/>
          <w:szCs w:val="16"/>
        </w:rPr>
        <w:t>, p.40.</w:t>
      </w:r>
    </w:p>
  </w:footnote>
  <w:footnote w:id="27">
    <w:p w14:paraId="5C7F8301" w14:textId="77777777" w:rsidR="00061C81" w:rsidRPr="00D5112A" w:rsidRDefault="00061C81" w:rsidP="00061C81">
      <w:pPr>
        <w:pStyle w:val="FootnoteText"/>
        <w:rPr>
          <w:sz w:val="16"/>
          <w:szCs w:val="16"/>
        </w:rPr>
      </w:pPr>
      <w:r w:rsidRPr="00D5112A">
        <w:rPr>
          <w:rStyle w:val="FootnoteReference"/>
          <w:sz w:val="16"/>
          <w:szCs w:val="16"/>
        </w:rPr>
        <w:footnoteRef/>
      </w:r>
      <w:r w:rsidRPr="00D5112A">
        <w:rPr>
          <w:sz w:val="16"/>
          <w:szCs w:val="16"/>
        </w:rPr>
        <w:t xml:space="preserve"> Shropdoc, </w:t>
      </w:r>
      <w:r w:rsidRPr="00D5112A">
        <w:rPr>
          <w:i/>
          <w:iCs/>
          <w:sz w:val="16"/>
          <w:szCs w:val="16"/>
        </w:rPr>
        <w:t>Representations letter to STW ICB</w:t>
      </w:r>
      <w:r w:rsidRPr="00D5112A">
        <w:rPr>
          <w:sz w:val="16"/>
          <w:szCs w:val="16"/>
        </w:rPr>
        <w:t>, 14 February 2025.</w:t>
      </w:r>
    </w:p>
  </w:footnote>
  <w:footnote w:id="28">
    <w:p w14:paraId="17A566E9" w14:textId="77777777" w:rsidR="00491204" w:rsidRPr="00ED4D3D" w:rsidRDefault="00491204" w:rsidP="00491204">
      <w:pPr>
        <w:pStyle w:val="FootnoteText"/>
        <w:rPr>
          <w:sz w:val="16"/>
          <w:szCs w:val="16"/>
        </w:rPr>
      </w:pPr>
      <w:r w:rsidRPr="00ED4D3D">
        <w:rPr>
          <w:rStyle w:val="FootnoteReference"/>
          <w:sz w:val="16"/>
          <w:szCs w:val="16"/>
        </w:rPr>
        <w:footnoteRef/>
      </w:r>
      <w:r w:rsidRPr="00ED4D3D">
        <w:rPr>
          <w:sz w:val="16"/>
          <w:szCs w:val="16"/>
        </w:rPr>
        <w:t xml:space="preserve"> STW ICB, </w:t>
      </w:r>
      <w:r w:rsidRPr="00ED4D3D">
        <w:rPr>
          <w:i/>
          <w:iCs/>
          <w:sz w:val="16"/>
          <w:szCs w:val="16"/>
        </w:rPr>
        <w:t>Outcome of the ICB PSR Review Panel (Appendix to Representations response letter to Shropdoc)</w:t>
      </w:r>
      <w:r w:rsidRPr="00ED4D3D">
        <w:rPr>
          <w:sz w:val="16"/>
          <w:szCs w:val="16"/>
        </w:rPr>
        <w:t>, April 2025.</w:t>
      </w:r>
    </w:p>
  </w:footnote>
  <w:footnote w:id="29">
    <w:p w14:paraId="7C7755EE" w14:textId="3E02F07E" w:rsidR="00E377A8" w:rsidRPr="0005759B" w:rsidRDefault="00E377A8" w:rsidP="00E377A8">
      <w:pPr>
        <w:pStyle w:val="FootnoteText"/>
        <w:rPr>
          <w:sz w:val="16"/>
          <w:szCs w:val="16"/>
        </w:rPr>
      </w:pPr>
      <w:r w:rsidRPr="0005759B">
        <w:rPr>
          <w:rStyle w:val="FootnoteReference"/>
          <w:sz w:val="16"/>
          <w:szCs w:val="16"/>
        </w:rPr>
        <w:footnoteRef/>
      </w:r>
      <w:r w:rsidRPr="0005759B">
        <w:rPr>
          <w:sz w:val="16"/>
          <w:szCs w:val="16"/>
        </w:rPr>
        <w:t xml:space="preserve"> Shropdoc, </w:t>
      </w:r>
      <w:r w:rsidRPr="0005759B">
        <w:rPr>
          <w:i/>
          <w:iCs/>
          <w:sz w:val="16"/>
          <w:szCs w:val="16"/>
        </w:rPr>
        <w:t>Pro forma submission to the Panel</w:t>
      </w:r>
      <w:r w:rsidRPr="0005759B">
        <w:rPr>
          <w:sz w:val="16"/>
          <w:szCs w:val="16"/>
        </w:rPr>
        <w:t>, 10 April 2025.</w:t>
      </w:r>
      <w:r w:rsidR="0005759B" w:rsidRPr="00265AEA">
        <w:rPr>
          <w:sz w:val="16"/>
          <w:szCs w:val="16"/>
        </w:rPr>
        <w:t xml:space="preserve"> Shropdoc further said, when meeting the Panel, that STW ICB had “a clear misunderstanding of the service that’s actually being procured”, that the CCCSPA “is a patient facing service”, and that STW ICB should have engaged with various stakeholders and actual users of the service</w:t>
      </w:r>
      <w:r w:rsidR="0005759B" w:rsidRPr="0005759B">
        <w:rPr>
          <w:sz w:val="16"/>
          <w:szCs w:val="16"/>
        </w:rPr>
        <w:t xml:space="preserve"> (Panel meeting with Shropdoc, 2 June 2025)</w:t>
      </w:r>
    </w:p>
  </w:footnote>
  <w:footnote w:id="30">
    <w:p w14:paraId="684500B5" w14:textId="0B3A08B3" w:rsidR="007B6C63" w:rsidRPr="007B6C63" w:rsidRDefault="007B6C63">
      <w:pPr>
        <w:pStyle w:val="FootnoteText"/>
        <w:rPr>
          <w:sz w:val="16"/>
          <w:szCs w:val="16"/>
        </w:rPr>
      </w:pPr>
      <w:r w:rsidRPr="007B6C63">
        <w:rPr>
          <w:rStyle w:val="FootnoteReference"/>
          <w:sz w:val="16"/>
          <w:szCs w:val="16"/>
        </w:rPr>
        <w:footnoteRef/>
      </w:r>
      <w:r w:rsidRPr="007B6C63">
        <w:rPr>
          <w:sz w:val="16"/>
          <w:szCs w:val="16"/>
        </w:rPr>
        <w:t xml:space="preserve"> Panel meeting with STW ICB, 28 May 2025.</w:t>
      </w:r>
    </w:p>
  </w:footnote>
  <w:footnote w:id="31">
    <w:p w14:paraId="3F69AD52" w14:textId="77777777" w:rsidR="00491204" w:rsidRPr="007C5265" w:rsidRDefault="00491204" w:rsidP="00491204">
      <w:pPr>
        <w:pStyle w:val="FootnoteText"/>
        <w:rPr>
          <w:sz w:val="16"/>
          <w:szCs w:val="16"/>
        </w:rPr>
      </w:pPr>
      <w:r w:rsidRPr="007C5265">
        <w:rPr>
          <w:rStyle w:val="FootnoteReference"/>
          <w:sz w:val="16"/>
          <w:szCs w:val="16"/>
        </w:rPr>
        <w:footnoteRef/>
      </w:r>
      <w:r w:rsidRPr="007C5265">
        <w:rPr>
          <w:sz w:val="16"/>
          <w:szCs w:val="16"/>
        </w:rPr>
        <w:t xml:space="preserve"> STW ICB, </w:t>
      </w:r>
      <w:r w:rsidRPr="00CF3DD9">
        <w:rPr>
          <w:i/>
          <w:iCs/>
          <w:sz w:val="16"/>
          <w:szCs w:val="16"/>
        </w:rPr>
        <w:t>Presentation to the Panel</w:t>
      </w:r>
      <w:r w:rsidRPr="007C5265">
        <w:rPr>
          <w:sz w:val="16"/>
          <w:szCs w:val="16"/>
        </w:rPr>
        <w:t>, 28 May 2025.</w:t>
      </w:r>
    </w:p>
  </w:footnote>
  <w:footnote w:id="32">
    <w:p w14:paraId="0D06AB25" w14:textId="4DD314FA" w:rsidR="001E34F1" w:rsidRPr="00794DBC" w:rsidRDefault="001E34F1">
      <w:pPr>
        <w:pStyle w:val="FootnoteText"/>
        <w:rPr>
          <w:sz w:val="16"/>
          <w:szCs w:val="16"/>
        </w:rPr>
      </w:pPr>
      <w:r w:rsidRPr="00794DBC">
        <w:rPr>
          <w:rStyle w:val="FootnoteReference"/>
          <w:sz w:val="16"/>
          <w:szCs w:val="16"/>
        </w:rPr>
        <w:footnoteRef/>
      </w:r>
      <w:r w:rsidRPr="00794DBC">
        <w:rPr>
          <w:sz w:val="16"/>
          <w:szCs w:val="16"/>
        </w:rPr>
        <w:t xml:space="preserve"> STW ICB, </w:t>
      </w:r>
      <w:r w:rsidRPr="00794DBC">
        <w:rPr>
          <w:i/>
          <w:sz w:val="16"/>
          <w:szCs w:val="16"/>
        </w:rPr>
        <w:t>GP Out of Hours</w:t>
      </w:r>
      <w:r w:rsidR="00D0624D" w:rsidRPr="00794DBC">
        <w:rPr>
          <w:i/>
          <w:sz w:val="16"/>
          <w:szCs w:val="16"/>
        </w:rPr>
        <w:t xml:space="preserve"> Service</w:t>
      </w:r>
      <w:r w:rsidR="009B4A41" w:rsidRPr="00794DBC">
        <w:rPr>
          <w:i/>
          <w:sz w:val="16"/>
          <w:szCs w:val="16"/>
        </w:rPr>
        <w:t xml:space="preserve"> -</w:t>
      </w:r>
      <w:r w:rsidR="00D0624D" w:rsidRPr="00794DBC">
        <w:rPr>
          <w:i/>
          <w:sz w:val="16"/>
          <w:szCs w:val="16"/>
        </w:rPr>
        <w:t xml:space="preserve"> Local Service Specification</w:t>
      </w:r>
      <w:r w:rsidR="000E0335">
        <w:rPr>
          <w:i/>
          <w:sz w:val="16"/>
          <w:szCs w:val="16"/>
        </w:rPr>
        <w:t xml:space="preserve"> (</w:t>
      </w:r>
      <w:r w:rsidR="00D0624D" w:rsidRPr="00794DBC">
        <w:rPr>
          <w:i/>
          <w:sz w:val="16"/>
          <w:szCs w:val="16"/>
        </w:rPr>
        <w:t>Annex 2</w:t>
      </w:r>
      <w:r w:rsidR="009B4A41" w:rsidRPr="00794DBC">
        <w:rPr>
          <w:i/>
          <w:sz w:val="16"/>
          <w:szCs w:val="16"/>
        </w:rPr>
        <w:t xml:space="preserve"> </w:t>
      </w:r>
      <w:r w:rsidR="00794DBC" w:rsidRPr="00794DBC">
        <w:rPr>
          <w:i/>
          <w:iCs/>
          <w:sz w:val="16"/>
          <w:szCs w:val="16"/>
        </w:rPr>
        <w:t>of</w:t>
      </w:r>
      <w:r w:rsidR="009B4A41" w:rsidRPr="00794DBC">
        <w:rPr>
          <w:i/>
          <w:sz w:val="16"/>
          <w:szCs w:val="16"/>
        </w:rPr>
        <w:t xml:space="preserve"> the ITT documentation</w:t>
      </w:r>
      <w:r w:rsidR="000E0335">
        <w:rPr>
          <w:i/>
          <w:sz w:val="16"/>
          <w:szCs w:val="16"/>
        </w:rPr>
        <w:t>)</w:t>
      </w:r>
      <w:r w:rsidR="009B4A41" w:rsidRPr="00794DBC">
        <w:rPr>
          <w:sz w:val="16"/>
          <w:szCs w:val="16"/>
        </w:rPr>
        <w:t xml:space="preserve">, </w:t>
      </w:r>
      <w:r w:rsidR="001C55F5">
        <w:rPr>
          <w:sz w:val="16"/>
          <w:szCs w:val="16"/>
        </w:rPr>
        <w:t>7</w:t>
      </w:r>
      <w:r w:rsidR="00794DBC" w:rsidRPr="00794DBC">
        <w:rPr>
          <w:sz w:val="16"/>
          <w:szCs w:val="16"/>
        </w:rPr>
        <w:t xml:space="preserve"> October 2024.</w:t>
      </w:r>
      <w:r w:rsidR="009B4A41" w:rsidRPr="00794DBC">
        <w:rPr>
          <w:sz w:val="16"/>
          <w:szCs w:val="16"/>
        </w:rPr>
        <w:t xml:space="preserve"> </w:t>
      </w:r>
    </w:p>
  </w:footnote>
  <w:footnote w:id="33">
    <w:p w14:paraId="12913BC6" w14:textId="6424B65C" w:rsidR="00702580" w:rsidRPr="008A4BA5" w:rsidRDefault="00702580">
      <w:pPr>
        <w:pStyle w:val="FootnoteText"/>
        <w:rPr>
          <w:sz w:val="16"/>
          <w:szCs w:val="16"/>
        </w:rPr>
      </w:pPr>
      <w:r w:rsidRPr="008A4BA5">
        <w:rPr>
          <w:rStyle w:val="FootnoteReference"/>
          <w:sz w:val="16"/>
          <w:szCs w:val="16"/>
        </w:rPr>
        <w:footnoteRef/>
      </w:r>
      <w:r w:rsidRPr="008A4BA5">
        <w:rPr>
          <w:sz w:val="16"/>
          <w:szCs w:val="16"/>
        </w:rPr>
        <w:t xml:space="preserve"> Shropdoc’s representations about a lack of KPI information in the tender documentation builds on its earlier representations to STW ICB about this issue. </w:t>
      </w:r>
      <w:r w:rsidR="008A4BA5" w:rsidRPr="008A4BA5">
        <w:rPr>
          <w:sz w:val="16"/>
          <w:szCs w:val="16"/>
        </w:rPr>
        <w:t xml:space="preserve">In its representations to STW ICB, Shropdoc said that STW ICB failed “to specify and correctly apply appropriate KPIs for the services being procured” and that, as the incumbent provider, Shropdoc had “prepared their bid based on actual delivery experience and the standards they have been required to meet under the existing contract. However, the absence of defined KPIs means that other bidders may have taken a different approach, potentially reducing resourcing or lowering their service delivery commitments, which would materially impact patient care” (Shropdoc, </w:t>
      </w:r>
      <w:r w:rsidR="008A4BA5" w:rsidRPr="008A4BA5">
        <w:rPr>
          <w:i/>
          <w:iCs/>
          <w:sz w:val="16"/>
          <w:szCs w:val="16"/>
        </w:rPr>
        <w:t xml:space="preserve">Representations letter to STW ICB, </w:t>
      </w:r>
      <w:r w:rsidR="008A4BA5" w:rsidRPr="008A4BA5">
        <w:rPr>
          <w:sz w:val="16"/>
          <w:szCs w:val="16"/>
        </w:rPr>
        <w:t>14 February 2025).</w:t>
      </w:r>
    </w:p>
  </w:footnote>
  <w:footnote w:id="34">
    <w:p w14:paraId="7E5D4509" w14:textId="77777777" w:rsidR="00E85CE0" w:rsidRPr="004D64CD" w:rsidRDefault="00E85CE0" w:rsidP="00E85CE0">
      <w:pPr>
        <w:pStyle w:val="FootnoteText"/>
        <w:rPr>
          <w:sz w:val="16"/>
          <w:szCs w:val="16"/>
        </w:rPr>
      </w:pPr>
      <w:r w:rsidRPr="004D64CD">
        <w:rPr>
          <w:rStyle w:val="FootnoteReference"/>
          <w:sz w:val="16"/>
          <w:szCs w:val="16"/>
        </w:rPr>
        <w:footnoteRef/>
      </w:r>
      <w:r w:rsidRPr="004D64CD">
        <w:rPr>
          <w:sz w:val="16"/>
          <w:szCs w:val="16"/>
        </w:rPr>
        <w:t xml:space="preserve"> Panel Meeting with Shropdoc, 2 June 2025.</w:t>
      </w:r>
    </w:p>
  </w:footnote>
  <w:footnote w:id="35">
    <w:p w14:paraId="42B0086B" w14:textId="51E5AD4E" w:rsidR="00531925" w:rsidRPr="00531925" w:rsidRDefault="00531925">
      <w:pPr>
        <w:pStyle w:val="FootnoteText"/>
        <w:rPr>
          <w:sz w:val="16"/>
          <w:szCs w:val="16"/>
        </w:rPr>
      </w:pPr>
      <w:r w:rsidRPr="00531925">
        <w:rPr>
          <w:rStyle w:val="FootnoteReference"/>
          <w:sz w:val="16"/>
          <w:szCs w:val="16"/>
        </w:rPr>
        <w:footnoteRef/>
      </w:r>
      <w:r w:rsidRPr="00531925">
        <w:rPr>
          <w:sz w:val="16"/>
          <w:szCs w:val="16"/>
        </w:rPr>
        <w:t xml:space="preserve"> This summary must include the patient’s diagnosis, treatment plan and several other details.</w:t>
      </w:r>
    </w:p>
  </w:footnote>
  <w:footnote w:id="36">
    <w:p w14:paraId="49661BAA" w14:textId="43E7D683" w:rsidR="00EE6B1F" w:rsidRPr="00CD7A91" w:rsidRDefault="00EE6B1F">
      <w:pPr>
        <w:pStyle w:val="FootnoteText"/>
        <w:rPr>
          <w:sz w:val="16"/>
          <w:szCs w:val="16"/>
        </w:rPr>
      </w:pPr>
      <w:r w:rsidRPr="00CD7A91">
        <w:rPr>
          <w:rStyle w:val="FootnoteReference"/>
          <w:sz w:val="16"/>
          <w:szCs w:val="16"/>
        </w:rPr>
        <w:footnoteRef/>
      </w:r>
      <w:r w:rsidRPr="00CD7A91">
        <w:rPr>
          <w:sz w:val="16"/>
          <w:szCs w:val="16"/>
        </w:rPr>
        <w:t xml:space="preserve"> </w:t>
      </w:r>
      <w:r w:rsidR="00CD7A91" w:rsidRPr="00CD7A91">
        <w:rPr>
          <w:sz w:val="16"/>
          <w:szCs w:val="16"/>
        </w:rPr>
        <w:t>STW ICB</w:t>
      </w:r>
      <w:r w:rsidR="00CD7A91" w:rsidRPr="001C55F5">
        <w:rPr>
          <w:i/>
          <w:iCs/>
          <w:sz w:val="16"/>
          <w:szCs w:val="16"/>
        </w:rPr>
        <w:t>, Response to Panel questions</w:t>
      </w:r>
      <w:r w:rsidR="00F538E5">
        <w:rPr>
          <w:sz w:val="16"/>
          <w:szCs w:val="16"/>
        </w:rPr>
        <w:t>, Q13-RA</w:t>
      </w:r>
      <w:r w:rsidR="00CD7A91" w:rsidRPr="00CD7A91">
        <w:rPr>
          <w:sz w:val="16"/>
          <w:szCs w:val="16"/>
        </w:rPr>
        <w:t>.</w:t>
      </w:r>
    </w:p>
  </w:footnote>
  <w:footnote w:id="37">
    <w:p w14:paraId="4B415F81" w14:textId="3E839C21" w:rsidR="006E661D" w:rsidRPr="00931CFB" w:rsidRDefault="006E661D" w:rsidP="006E661D">
      <w:pPr>
        <w:pStyle w:val="FootnoteText"/>
        <w:rPr>
          <w:sz w:val="16"/>
          <w:szCs w:val="16"/>
        </w:rPr>
      </w:pPr>
      <w:r w:rsidRPr="00931CFB">
        <w:rPr>
          <w:rStyle w:val="FootnoteReference"/>
          <w:sz w:val="16"/>
          <w:szCs w:val="16"/>
        </w:rPr>
        <w:footnoteRef/>
      </w:r>
      <w:r w:rsidRPr="00931CFB">
        <w:rPr>
          <w:sz w:val="16"/>
          <w:szCs w:val="16"/>
        </w:rPr>
        <w:t xml:space="preserve"> STW ICB, </w:t>
      </w:r>
      <w:r w:rsidRPr="00794DBC">
        <w:rPr>
          <w:i/>
          <w:sz w:val="16"/>
          <w:szCs w:val="16"/>
        </w:rPr>
        <w:t>GP Out of Hours Service - Local Service Specification</w:t>
      </w:r>
      <w:r>
        <w:rPr>
          <w:i/>
          <w:sz w:val="16"/>
          <w:szCs w:val="16"/>
        </w:rPr>
        <w:t xml:space="preserve">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794DBC">
        <w:rPr>
          <w:sz w:val="16"/>
          <w:szCs w:val="16"/>
        </w:rPr>
        <w:t>,</w:t>
      </w:r>
      <w:r w:rsidRPr="00931CFB">
        <w:rPr>
          <w:sz w:val="16"/>
          <w:szCs w:val="16"/>
        </w:rPr>
        <w:t xml:space="preserve"> </w:t>
      </w:r>
      <w:r w:rsidR="00DC618E">
        <w:rPr>
          <w:sz w:val="16"/>
          <w:szCs w:val="16"/>
        </w:rPr>
        <w:t>7</w:t>
      </w:r>
      <w:r w:rsidRPr="00931CFB">
        <w:rPr>
          <w:sz w:val="16"/>
          <w:szCs w:val="16"/>
        </w:rPr>
        <w:t xml:space="preserve"> October 2024</w:t>
      </w:r>
      <w:r>
        <w:rPr>
          <w:sz w:val="16"/>
          <w:szCs w:val="16"/>
        </w:rPr>
        <w:t>, pp.12-13</w:t>
      </w:r>
      <w:r w:rsidRPr="00931CFB">
        <w:rPr>
          <w:sz w:val="16"/>
          <w:szCs w:val="16"/>
        </w:rPr>
        <w:t>.</w:t>
      </w:r>
    </w:p>
  </w:footnote>
  <w:footnote w:id="38">
    <w:p w14:paraId="2D9F5E09" w14:textId="1566BC59" w:rsidR="0000603B" w:rsidRPr="00931CFB" w:rsidRDefault="0000603B" w:rsidP="0000603B">
      <w:pPr>
        <w:pStyle w:val="FootnoteText"/>
        <w:rPr>
          <w:sz w:val="16"/>
          <w:szCs w:val="16"/>
        </w:rPr>
      </w:pPr>
      <w:r w:rsidRPr="00931CFB">
        <w:rPr>
          <w:rStyle w:val="FootnoteReference"/>
          <w:sz w:val="16"/>
          <w:szCs w:val="16"/>
        </w:rPr>
        <w:footnoteRef/>
      </w:r>
      <w:r w:rsidRPr="00931CFB">
        <w:rPr>
          <w:sz w:val="16"/>
          <w:szCs w:val="16"/>
        </w:rPr>
        <w:t xml:space="preserve"> STW ICB, </w:t>
      </w:r>
      <w:r w:rsidRPr="00794DBC">
        <w:rPr>
          <w:i/>
          <w:sz w:val="16"/>
          <w:szCs w:val="16"/>
        </w:rPr>
        <w:t>GP Out of Hours Service - Local Service Specification</w:t>
      </w:r>
      <w:r>
        <w:rPr>
          <w:i/>
          <w:sz w:val="16"/>
          <w:szCs w:val="16"/>
        </w:rPr>
        <w:t xml:space="preserve">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794DBC">
        <w:rPr>
          <w:sz w:val="16"/>
          <w:szCs w:val="16"/>
        </w:rPr>
        <w:t>,</w:t>
      </w:r>
      <w:r w:rsidRPr="00931CFB">
        <w:rPr>
          <w:sz w:val="16"/>
          <w:szCs w:val="16"/>
        </w:rPr>
        <w:t xml:space="preserve"> </w:t>
      </w:r>
      <w:r w:rsidR="00DC618E">
        <w:rPr>
          <w:sz w:val="16"/>
          <w:szCs w:val="16"/>
        </w:rPr>
        <w:t>7</w:t>
      </w:r>
      <w:r w:rsidRPr="00931CFB">
        <w:rPr>
          <w:sz w:val="16"/>
          <w:szCs w:val="16"/>
        </w:rPr>
        <w:t xml:space="preserve"> October 2024</w:t>
      </w:r>
      <w:r w:rsidR="0066580E">
        <w:rPr>
          <w:sz w:val="16"/>
          <w:szCs w:val="16"/>
        </w:rPr>
        <w:t>, p.16</w:t>
      </w:r>
      <w:r w:rsidRPr="00931CFB">
        <w:rPr>
          <w:sz w:val="16"/>
          <w:szCs w:val="16"/>
        </w:rPr>
        <w:t>.</w:t>
      </w:r>
    </w:p>
  </w:footnote>
  <w:footnote w:id="39">
    <w:p w14:paraId="39F7F870" w14:textId="49BE9311" w:rsidR="0066580E" w:rsidRPr="00931CFB" w:rsidRDefault="0066580E" w:rsidP="0066580E">
      <w:pPr>
        <w:pStyle w:val="FootnoteText"/>
        <w:rPr>
          <w:sz w:val="16"/>
          <w:szCs w:val="16"/>
        </w:rPr>
      </w:pPr>
      <w:r w:rsidRPr="00931CFB">
        <w:rPr>
          <w:rStyle w:val="FootnoteReference"/>
          <w:sz w:val="16"/>
          <w:szCs w:val="16"/>
        </w:rPr>
        <w:footnoteRef/>
      </w:r>
      <w:r w:rsidRPr="00931CFB">
        <w:rPr>
          <w:sz w:val="16"/>
          <w:szCs w:val="16"/>
        </w:rPr>
        <w:t xml:space="preserve"> STW ICB, </w:t>
      </w:r>
      <w:r w:rsidRPr="00794DBC">
        <w:rPr>
          <w:i/>
          <w:sz w:val="16"/>
          <w:szCs w:val="16"/>
        </w:rPr>
        <w:t>GP Out of Hours Service - Local Service Specification</w:t>
      </w:r>
      <w:r>
        <w:rPr>
          <w:i/>
          <w:sz w:val="16"/>
          <w:szCs w:val="16"/>
        </w:rPr>
        <w:t xml:space="preserve">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794DBC">
        <w:rPr>
          <w:sz w:val="16"/>
          <w:szCs w:val="16"/>
        </w:rPr>
        <w:t>,</w:t>
      </w:r>
      <w:r w:rsidRPr="00931CFB">
        <w:rPr>
          <w:sz w:val="16"/>
          <w:szCs w:val="16"/>
        </w:rPr>
        <w:t xml:space="preserve"> </w:t>
      </w:r>
      <w:r w:rsidR="00DC618E">
        <w:rPr>
          <w:sz w:val="16"/>
          <w:szCs w:val="16"/>
        </w:rPr>
        <w:t>7</w:t>
      </w:r>
      <w:r w:rsidRPr="00931CFB">
        <w:rPr>
          <w:sz w:val="16"/>
          <w:szCs w:val="16"/>
        </w:rPr>
        <w:t xml:space="preserve"> October 2024</w:t>
      </w:r>
      <w:r>
        <w:rPr>
          <w:sz w:val="16"/>
          <w:szCs w:val="16"/>
        </w:rPr>
        <w:t>, p.16</w:t>
      </w:r>
      <w:r w:rsidRPr="00931CFB">
        <w:rPr>
          <w:sz w:val="16"/>
          <w:szCs w:val="16"/>
        </w:rPr>
        <w:t>.</w:t>
      </w:r>
    </w:p>
  </w:footnote>
  <w:footnote w:id="40">
    <w:p w14:paraId="0BDC9F04" w14:textId="2E0AE971" w:rsidR="00F74D31" w:rsidRPr="00D06834" w:rsidRDefault="00F74D31">
      <w:pPr>
        <w:pStyle w:val="FootnoteText"/>
        <w:rPr>
          <w:sz w:val="16"/>
          <w:szCs w:val="16"/>
        </w:rPr>
      </w:pPr>
      <w:r w:rsidRPr="00D06834">
        <w:rPr>
          <w:rStyle w:val="FootnoteReference"/>
          <w:sz w:val="16"/>
          <w:szCs w:val="16"/>
        </w:rPr>
        <w:footnoteRef/>
      </w:r>
      <w:r w:rsidRPr="00D06834">
        <w:rPr>
          <w:sz w:val="16"/>
          <w:szCs w:val="16"/>
        </w:rPr>
        <w:t xml:space="preserve"> The Panel notes that </w:t>
      </w:r>
      <w:r w:rsidR="00D06834" w:rsidRPr="00D06834">
        <w:rPr>
          <w:sz w:val="16"/>
          <w:szCs w:val="16"/>
        </w:rPr>
        <w:t>within this description of a service standard there is also a reference to a KPI.</w:t>
      </w:r>
      <w:r w:rsidR="005057C4">
        <w:rPr>
          <w:sz w:val="16"/>
          <w:szCs w:val="16"/>
        </w:rPr>
        <w:t xml:space="preserve"> STW ICB, in response to a clarification question, said that this was an example of a KPI, not necessarily a KPI that would </w:t>
      </w:r>
      <w:r w:rsidR="00CE474C">
        <w:rPr>
          <w:sz w:val="16"/>
          <w:szCs w:val="16"/>
        </w:rPr>
        <w:t xml:space="preserve">be applied to the successful bidder (see response to Question 115 in the table at paragraph </w:t>
      </w:r>
      <w:r w:rsidR="00ED33F9">
        <w:rPr>
          <w:sz w:val="16"/>
          <w:szCs w:val="16"/>
        </w:rPr>
        <w:t>78</w:t>
      </w:r>
      <w:r w:rsidR="00CE474C">
        <w:rPr>
          <w:sz w:val="16"/>
          <w:szCs w:val="16"/>
        </w:rPr>
        <w:t>).</w:t>
      </w:r>
    </w:p>
  </w:footnote>
  <w:footnote w:id="41">
    <w:p w14:paraId="2F353ACA" w14:textId="562BDE34" w:rsidR="00E05E77" w:rsidRPr="00931CFB" w:rsidRDefault="00E05E77" w:rsidP="00E05E77">
      <w:pPr>
        <w:pStyle w:val="FootnoteText"/>
        <w:rPr>
          <w:sz w:val="16"/>
          <w:szCs w:val="16"/>
        </w:rPr>
      </w:pPr>
      <w:r w:rsidRPr="00931CFB">
        <w:rPr>
          <w:rStyle w:val="FootnoteReference"/>
          <w:sz w:val="16"/>
          <w:szCs w:val="16"/>
        </w:rPr>
        <w:footnoteRef/>
      </w:r>
      <w:r w:rsidRPr="00931CFB">
        <w:rPr>
          <w:sz w:val="16"/>
          <w:szCs w:val="16"/>
        </w:rPr>
        <w:t xml:space="preserve"> STW ICB, </w:t>
      </w:r>
      <w:r w:rsidRPr="00794DBC">
        <w:rPr>
          <w:i/>
          <w:sz w:val="16"/>
          <w:szCs w:val="16"/>
        </w:rPr>
        <w:t>GP Out of Hours Service - Local Service Specification</w:t>
      </w:r>
      <w:r>
        <w:rPr>
          <w:i/>
          <w:sz w:val="16"/>
          <w:szCs w:val="16"/>
        </w:rPr>
        <w:t xml:space="preserve">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794DBC">
        <w:rPr>
          <w:sz w:val="16"/>
          <w:szCs w:val="16"/>
        </w:rPr>
        <w:t>,</w:t>
      </w:r>
      <w:r w:rsidRPr="00931CFB">
        <w:rPr>
          <w:sz w:val="16"/>
          <w:szCs w:val="16"/>
        </w:rPr>
        <w:t xml:space="preserve"> </w:t>
      </w:r>
      <w:r w:rsidR="00DC618E">
        <w:rPr>
          <w:sz w:val="16"/>
          <w:szCs w:val="16"/>
        </w:rPr>
        <w:t>7</w:t>
      </w:r>
      <w:r w:rsidRPr="00931CFB">
        <w:rPr>
          <w:sz w:val="16"/>
          <w:szCs w:val="16"/>
        </w:rPr>
        <w:t xml:space="preserve"> October 2024</w:t>
      </w:r>
      <w:r w:rsidR="00870C0F">
        <w:rPr>
          <w:sz w:val="16"/>
          <w:szCs w:val="16"/>
        </w:rPr>
        <w:t>, p.18</w:t>
      </w:r>
      <w:r w:rsidRPr="00931CFB">
        <w:rPr>
          <w:sz w:val="16"/>
          <w:szCs w:val="16"/>
        </w:rPr>
        <w:t>.</w:t>
      </w:r>
    </w:p>
  </w:footnote>
  <w:footnote w:id="42">
    <w:p w14:paraId="74A35CB4" w14:textId="017A198B" w:rsidR="004651EC" w:rsidRPr="00931CFB" w:rsidRDefault="004651EC" w:rsidP="004651EC">
      <w:pPr>
        <w:pStyle w:val="FootnoteText"/>
        <w:rPr>
          <w:sz w:val="16"/>
          <w:szCs w:val="16"/>
        </w:rPr>
      </w:pPr>
      <w:r w:rsidRPr="00931CFB">
        <w:rPr>
          <w:rStyle w:val="FootnoteReference"/>
          <w:sz w:val="16"/>
          <w:szCs w:val="16"/>
        </w:rPr>
        <w:footnoteRef/>
      </w:r>
      <w:r w:rsidRPr="00931CFB">
        <w:rPr>
          <w:sz w:val="16"/>
          <w:szCs w:val="16"/>
        </w:rPr>
        <w:t xml:space="preserve"> </w:t>
      </w:r>
      <w:r>
        <w:rPr>
          <w:sz w:val="16"/>
          <w:szCs w:val="16"/>
        </w:rPr>
        <w:t>The service specification goes on to say that additional KPIs may be developed during the lifetime of the contract (i.e. after the initial set of KPIs are agreed during mobilisation (</w:t>
      </w:r>
      <w:r w:rsidRPr="00931CFB">
        <w:rPr>
          <w:sz w:val="16"/>
          <w:szCs w:val="16"/>
        </w:rPr>
        <w:t xml:space="preserve">STW ICB, </w:t>
      </w:r>
      <w:r w:rsidRPr="00794DBC">
        <w:rPr>
          <w:i/>
          <w:sz w:val="16"/>
          <w:szCs w:val="16"/>
        </w:rPr>
        <w:t>GP Out of Hours Service - Local Service Specification</w:t>
      </w:r>
      <w:r>
        <w:rPr>
          <w:i/>
          <w:sz w:val="16"/>
          <w:szCs w:val="16"/>
        </w:rPr>
        <w:t xml:space="preserve">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794DBC">
        <w:rPr>
          <w:sz w:val="16"/>
          <w:szCs w:val="16"/>
        </w:rPr>
        <w:t>,</w:t>
      </w:r>
      <w:r w:rsidRPr="00931CFB">
        <w:rPr>
          <w:sz w:val="16"/>
          <w:szCs w:val="16"/>
        </w:rPr>
        <w:t xml:space="preserve"> </w:t>
      </w:r>
      <w:r w:rsidR="00DC618E">
        <w:rPr>
          <w:sz w:val="16"/>
          <w:szCs w:val="16"/>
        </w:rPr>
        <w:t>7</w:t>
      </w:r>
      <w:r w:rsidRPr="00931CFB">
        <w:rPr>
          <w:sz w:val="16"/>
          <w:szCs w:val="16"/>
        </w:rPr>
        <w:t xml:space="preserve"> October 2024</w:t>
      </w:r>
      <w:r>
        <w:rPr>
          <w:sz w:val="16"/>
          <w:szCs w:val="16"/>
        </w:rPr>
        <w:t>, pp.55-56)</w:t>
      </w:r>
      <w:r w:rsidRPr="00931CFB">
        <w:rPr>
          <w:sz w:val="16"/>
          <w:szCs w:val="16"/>
        </w:rPr>
        <w:t>.</w:t>
      </w:r>
    </w:p>
  </w:footnote>
  <w:footnote w:id="43">
    <w:p w14:paraId="68EE3A57" w14:textId="1DD27C0F" w:rsidR="00D71404" w:rsidRPr="00931CFB" w:rsidRDefault="00D71404" w:rsidP="00D71404">
      <w:pPr>
        <w:pStyle w:val="FootnoteText"/>
        <w:rPr>
          <w:sz w:val="16"/>
          <w:szCs w:val="16"/>
        </w:rPr>
      </w:pPr>
      <w:r w:rsidRPr="00931CFB">
        <w:rPr>
          <w:rStyle w:val="FootnoteReference"/>
          <w:sz w:val="16"/>
          <w:szCs w:val="16"/>
        </w:rPr>
        <w:footnoteRef/>
      </w:r>
      <w:r w:rsidRPr="00931CFB">
        <w:rPr>
          <w:sz w:val="16"/>
          <w:szCs w:val="16"/>
        </w:rPr>
        <w:t xml:space="preserve"> STW ICB, </w:t>
      </w:r>
      <w:r w:rsidRPr="00794DBC">
        <w:rPr>
          <w:i/>
          <w:sz w:val="16"/>
          <w:szCs w:val="16"/>
        </w:rPr>
        <w:t>GP Out of Hours Service - Local Service Specification</w:t>
      </w:r>
      <w:r>
        <w:rPr>
          <w:i/>
          <w:sz w:val="16"/>
          <w:szCs w:val="16"/>
        </w:rPr>
        <w:t xml:space="preserve">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794DBC">
        <w:rPr>
          <w:sz w:val="16"/>
          <w:szCs w:val="16"/>
        </w:rPr>
        <w:t>,</w:t>
      </w:r>
      <w:r w:rsidRPr="00931CFB">
        <w:rPr>
          <w:sz w:val="16"/>
          <w:szCs w:val="16"/>
        </w:rPr>
        <w:t xml:space="preserve"> </w:t>
      </w:r>
      <w:r w:rsidR="00DC618E">
        <w:rPr>
          <w:sz w:val="16"/>
          <w:szCs w:val="16"/>
        </w:rPr>
        <w:t>7</w:t>
      </w:r>
      <w:r w:rsidRPr="00931CFB">
        <w:rPr>
          <w:sz w:val="16"/>
          <w:szCs w:val="16"/>
        </w:rPr>
        <w:t xml:space="preserve"> October 2024</w:t>
      </w:r>
      <w:r>
        <w:rPr>
          <w:sz w:val="16"/>
          <w:szCs w:val="16"/>
        </w:rPr>
        <w:t>, p.57</w:t>
      </w:r>
      <w:r w:rsidRPr="00931CFB">
        <w:rPr>
          <w:sz w:val="16"/>
          <w:szCs w:val="16"/>
        </w:rPr>
        <w:t>.</w:t>
      </w:r>
    </w:p>
  </w:footnote>
  <w:footnote w:id="44">
    <w:p w14:paraId="6E2C4F3A" w14:textId="493F5595" w:rsidR="001C540C" w:rsidRPr="00A206B9" w:rsidRDefault="001C540C" w:rsidP="001C540C">
      <w:pPr>
        <w:pStyle w:val="FootnoteText"/>
        <w:rPr>
          <w:sz w:val="16"/>
          <w:szCs w:val="16"/>
        </w:rPr>
      </w:pPr>
      <w:r w:rsidRPr="00A206B9">
        <w:rPr>
          <w:rStyle w:val="FootnoteReference"/>
          <w:sz w:val="16"/>
          <w:szCs w:val="16"/>
        </w:rPr>
        <w:footnoteRef/>
      </w:r>
      <w:r w:rsidRPr="00A206B9">
        <w:rPr>
          <w:sz w:val="16"/>
          <w:szCs w:val="16"/>
        </w:rPr>
        <w:t xml:space="preserve"> STW ICB, </w:t>
      </w:r>
      <w:r w:rsidRPr="00794DBC">
        <w:rPr>
          <w:i/>
          <w:sz w:val="16"/>
          <w:szCs w:val="16"/>
        </w:rPr>
        <w:t>GP Out of Hours Service - Local Service Specification</w:t>
      </w:r>
      <w:r>
        <w:rPr>
          <w:i/>
          <w:sz w:val="16"/>
          <w:szCs w:val="16"/>
        </w:rPr>
        <w:t>, (</w:t>
      </w:r>
      <w:r w:rsidRPr="00794DBC">
        <w:rPr>
          <w:i/>
          <w:sz w:val="16"/>
          <w:szCs w:val="16"/>
        </w:rPr>
        <w:t xml:space="preserve">Annex 2 </w:t>
      </w:r>
      <w:r w:rsidRPr="00794DBC">
        <w:rPr>
          <w:i/>
          <w:iCs/>
          <w:sz w:val="16"/>
          <w:szCs w:val="16"/>
        </w:rPr>
        <w:t>of</w:t>
      </w:r>
      <w:r w:rsidRPr="00794DBC">
        <w:rPr>
          <w:i/>
          <w:sz w:val="16"/>
          <w:szCs w:val="16"/>
        </w:rPr>
        <w:t xml:space="preserve"> the ITT documentation</w:t>
      </w:r>
      <w:r>
        <w:rPr>
          <w:i/>
          <w:sz w:val="16"/>
          <w:szCs w:val="16"/>
        </w:rPr>
        <w:t>)</w:t>
      </w:r>
      <w:r w:rsidRPr="00A206B9">
        <w:rPr>
          <w:sz w:val="16"/>
          <w:szCs w:val="16"/>
        </w:rPr>
        <w:t xml:space="preserve">, </w:t>
      </w:r>
      <w:r w:rsidR="00DC618E">
        <w:rPr>
          <w:sz w:val="16"/>
          <w:szCs w:val="16"/>
        </w:rPr>
        <w:t>7</w:t>
      </w:r>
      <w:r w:rsidRPr="00A206B9">
        <w:rPr>
          <w:sz w:val="16"/>
          <w:szCs w:val="16"/>
        </w:rPr>
        <w:t xml:space="preserve"> October 2024.</w:t>
      </w:r>
    </w:p>
  </w:footnote>
  <w:footnote w:id="45">
    <w:p w14:paraId="60D1CC0D" w14:textId="188C426F" w:rsidR="004D64CD" w:rsidRDefault="004D64CD">
      <w:pPr>
        <w:pStyle w:val="FootnoteText"/>
      </w:pPr>
      <w:r w:rsidRPr="004D64CD">
        <w:rPr>
          <w:rStyle w:val="FootnoteReference"/>
          <w:sz w:val="16"/>
          <w:szCs w:val="16"/>
        </w:rPr>
        <w:footnoteRef/>
      </w:r>
      <w:r w:rsidRPr="004D64CD">
        <w:rPr>
          <w:sz w:val="16"/>
          <w:szCs w:val="16"/>
        </w:rPr>
        <w:t xml:space="preserve"> Clarification question logs track questions raised by bidders during the tender period, along with the answers provided by the relevant authority. Typically, these answers are circulated to all bidders, unless there is an agreement between the bidder and the relevant authority that a particular question and answer is commercially confidential and will not be shared with other bidders.</w:t>
      </w:r>
    </w:p>
  </w:footnote>
  <w:footnote w:id="46">
    <w:p w14:paraId="4B4E1D39" w14:textId="5F35A088" w:rsidR="00147A47" w:rsidRPr="00147A47" w:rsidRDefault="00147A47" w:rsidP="00147A47">
      <w:pPr>
        <w:pStyle w:val="FootnoteText"/>
        <w:rPr>
          <w:sz w:val="16"/>
          <w:szCs w:val="16"/>
        </w:rPr>
      </w:pPr>
      <w:r w:rsidRPr="00147A47">
        <w:rPr>
          <w:rStyle w:val="FootnoteReference"/>
          <w:sz w:val="16"/>
          <w:szCs w:val="16"/>
        </w:rPr>
        <w:footnoteRef/>
      </w:r>
      <w:r w:rsidRPr="00147A47">
        <w:rPr>
          <w:sz w:val="16"/>
          <w:szCs w:val="16"/>
        </w:rPr>
        <w:t xml:space="preserve"> A disposition is a call outcome, such as “Speak to GP practice within 1 hour”.</w:t>
      </w:r>
    </w:p>
  </w:footnote>
  <w:footnote w:id="47">
    <w:p w14:paraId="3E9999C9" w14:textId="2B450BA9" w:rsidR="00150218" w:rsidRDefault="00150218">
      <w:pPr>
        <w:pStyle w:val="FootnoteText"/>
      </w:pPr>
      <w:r w:rsidRPr="005C4A6F">
        <w:rPr>
          <w:rStyle w:val="FootnoteReference"/>
          <w:sz w:val="16"/>
          <w:szCs w:val="16"/>
        </w:rPr>
        <w:footnoteRef/>
      </w:r>
      <w:r w:rsidRPr="005C4A6F">
        <w:rPr>
          <w:sz w:val="16"/>
          <w:szCs w:val="16"/>
        </w:rPr>
        <w:t xml:space="preserve"> STW ICB,</w:t>
      </w:r>
      <w:r w:rsidR="00726964" w:rsidRPr="005C4A6F">
        <w:rPr>
          <w:sz w:val="16"/>
          <w:szCs w:val="16"/>
        </w:rPr>
        <w:t xml:space="preserve"> </w:t>
      </w:r>
      <w:r w:rsidR="001758DE" w:rsidRPr="005C4A6F">
        <w:rPr>
          <w:i/>
          <w:iCs/>
          <w:sz w:val="16"/>
          <w:szCs w:val="16"/>
        </w:rPr>
        <w:t xml:space="preserve">GP OOH Demand and Capacity Template </w:t>
      </w:r>
      <w:r w:rsidR="00726964" w:rsidRPr="005C4A6F">
        <w:rPr>
          <w:i/>
          <w:iCs/>
          <w:sz w:val="16"/>
          <w:szCs w:val="16"/>
        </w:rPr>
        <w:t>(Annex 10 of the ITT documentation),</w:t>
      </w:r>
      <w:r w:rsidR="00726964" w:rsidRPr="005C4A6F">
        <w:rPr>
          <w:sz w:val="16"/>
          <w:szCs w:val="16"/>
        </w:rPr>
        <w:t xml:space="preserve"> </w:t>
      </w:r>
      <w:r w:rsidR="00DC618E">
        <w:rPr>
          <w:sz w:val="16"/>
          <w:szCs w:val="16"/>
        </w:rPr>
        <w:t>7</w:t>
      </w:r>
      <w:r w:rsidR="00726964" w:rsidRPr="005C4A6F">
        <w:rPr>
          <w:sz w:val="16"/>
          <w:szCs w:val="16"/>
        </w:rPr>
        <w:t xml:space="preserve"> October 2024.</w:t>
      </w:r>
    </w:p>
  </w:footnote>
  <w:footnote w:id="48">
    <w:p w14:paraId="78475306" w14:textId="1D8C9AC9" w:rsidR="00221331" w:rsidRPr="008870F0" w:rsidRDefault="00221331">
      <w:pPr>
        <w:pStyle w:val="FootnoteText"/>
        <w:rPr>
          <w:sz w:val="16"/>
          <w:szCs w:val="16"/>
        </w:rPr>
      </w:pPr>
      <w:r w:rsidRPr="008870F0">
        <w:rPr>
          <w:rStyle w:val="FootnoteReference"/>
          <w:sz w:val="16"/>
          <w:szCs w:val="16"/>
        </w:rPr>
        <w:footnoteRef/>
      </w:r>
      <w:r w:rsidRPr="008870F0">
        <w:rPr>
          <w:sz w:val="16"/>
          <w:szCs w:val="16"/>
        </w:rPr>
        <w:t xml:space="preserve"> </w:t>
      </w:r>
      <w:r w:rsidR="001E288F" w:rsidRPr="008870F0">
        <w:rPr>
          <w:sz w:val="16"/>
          <w:szCs w:val="16"/>
        </w:rPr>
        <w:t>Medvivo initially set out a</w:t>
      </w:r>
      <w:r w:rsidR="000102EF" w:rsidRPr="008870F0">
        <w:rPr>
          <w:sz w:val="16"/>
          <w:szCs w:val="16"/>
        </w:rPr>
        <w:t xml:space="preserve"> wider range for its assumption </w:t>
      </w:r>
      <w:r w:rsidR="008870F0" w:rsidRPr="008870F0">
        <w:rPr>
          <w:sz w:val="16"/>
          <w:szCs w:val="16"/>
        </w:rPr>
        <w:t>about activity per clinician, but this was narrowed as a result of the clarification question.</w:t>
      </w:r>
    </w:p>
  </w:footnote>
  <w:footnote w:id="49">
    <w:p w14:paraId="55CE06AC" w14:textId="5B50C036" w:rsidR="00A30C49" w:rsidRPr="00DB21E3" w:rsidRDefault="00A30C49" w:rsidP="00A30C49">
      <w:pPr>
        <w:pStyle w:val="FootnoteText"/>
        <w:rPr>
          <w:sz w:val="16"/>
          <w:szCs w:val="16"/>
        </w:rPr>
      </w:pPr>
      <w:r w:rsidRPr="00DB21E3">
        <w:rPr>
          <w:rStyle w:val="FootnoteReference"/>
          <w:sz w:val="16"/>
          <w:szCs w:val="16"/>
        </w:rPr>
        <w:footnoteRef/>
      </w:r>
      <w:r w:rsidRPr="00DB21E3">
        <w:rPr>
          <w:sz w:val="16"/>
          <w:szCs w:val="16"/>
        </w:rPr>
        <w:t xml:space="preserve"> </w:t>
      </w:r>
      <w:r w:rsidR="00BC3755" w:rsidRPr="00DB21E3">
        <w:rPr>
          <w:sz w:val="16"/>
          <w:szCs w:val="16"/>
        </w:rPr>
        <w:t>Shropdoc further said that “the ICB accepts that the successful provider’s price was £3.5 million lower than the indicative budget, and £6.75 million lower than the incumbent’s bid, yet relies on vague references to ‘back-office efficiencies’ without evidencing a rigorous financial risk assessment or confirming how service quality and safety will be maintained. The ICB also failed to explain how the successful provider’s financial structure, group governance, or past trading performance (given concerns about their wider corporate structure) were factored into the risk appraisal”</w:t>
      </w:r>
      <w:r w:rsidR="00DB21E3" w:rsidRPr="00DB21E3">
        <w:rPr>
          <w:sz w:val="16"/>
          <w:szCs w:val="16"/>
        </w:rPr>
        <w:t xml:space="preserve"> (</w:t>
      </w:r>
      <w:r w:rsidRPr="00DB21E3">
        <w:rPr>
          <w:sz w:val="16"/>
          <w:szCs w:val="16"/>
        </w:rPr>
        <w:t xml:space="preserve">Shropdoc, </w:t>
      </w:r>
      <w:r w:rsidRPr="00DB21E3">
        <w:rPr>
          <w:i/>
          <w:iCs/>
          <w:sz w:val="16"/>
          <w:szCs w:val="16"/>
        </w:rPr>
        <w:t>Pro forma submission to the Panel</w:t>
      </w:r>
      <w:r w:rsidRPr="00DB21E3">
        <w:rPr>
          <w:sz w:val="16"/>
          <w:szCs w:val="16"/>
        </w:rPr>
        <w:t>, 10 April 2025</w:t>
      </w:r>
      <w:r w:rsidR="00DB21E3" w:rsidRPr="00DB21E3">
        <w:rPr>
          <w:sz w:val="16"/>
          <w:szCs w:val="16"/>
        </w:rPr>
        <w:t>)</w:t>
      </w:r>
      <w:r w:rsidRPr="00DB21E3">
        <w:rPr>
          <w:sz w:val="16"/>
          <w:szCs w:val="16"/>
        </w:rPr>
        <w:t>.</w:t>
      </w:r>
    </w:p>
  </w:footnote>
  <w:footnote w:id="50">
    <w:p w14:paraId="5211F0C6" w14:textId="2C3C9416" w:rsidR="003F0ACD" w:rsidRPr="003F0ACD" w:rsidRDefault="003F0ACD">
      <w:pPr>
        <w:pStyle w:val="FootnoteText"/>
        <w:rPr>
          <w:sz w:val="16"/>
          <w:szCs w:val="16"/>
        </w:rPr>
      </w:pPr>
      <w:r w:rsidRPr="003F0ACD">
        <w:rPr>
          <w:rStyle w:val="FootnoteReference"/>
          <w:sz w:val="16"/>
          <w:szCs w:val="16"/>
        </w:rPr>
        <w:footnoteRef/>
      </w:r>
      <w:r w:rsidRPr="003F0ACD">
        <w:rPr>
          <w:sz w:val="16"/>
          <w:szCs w:val="16"/>
        </w:rPr>
        <w:t xml:space="preserve"> The FMH contains instructions on how bidders should complete the FMT.</w:t>
      </w:r>
    </w:p>
  </w:footnote>
  <w:footnote w:id="51">
    <w:p w14:paraId="6DD0D795" w14:textId="023B8421" w:rsidR="007A72BE" w:rsidRPr="006B3F54" w:rsidRDefault="007A72BE" w:rsidP="007A72BE">
      <w:pPr>
        <w:pStyle w:val="FootnoteText"/>
        <w:rPr>
          <w:sz w:val="16"/>
          <w:szCs w:val="16"/>
        </w:rPr>
      </w:pPr>
      <w:r w:rsidRPr="006B3F54">
        <w:rPr>
          <w:rStyle w:val="FootnoteReference"/>
          <w:sz w:val="16"/>
          <w:szCs w:val="16"/>
        </w:rPr>
        <w:footnoteRef/>
      </w:r>
      <w:r w:rsidRPr="006B3F54">
        <w:rPr>
          <w:sz w:val="16"/>
          <w:szCs w:val="16"/>
        </w:rPr>
        <w:t xml:space="preserve"> STW ICB, </w:t>
      </w:r>
      <w:r w:rsidRPr="00517ECF">
        <w:rPr>
          <w:i/>
          <w:iCs/>
          <w:sz w:val="16"/>
          <w:szCs w:val="16"/>
        </w:rPr>
        <w:t>Annex 4 -FMT Handbook OOH Procurement Final</w:t>
      </w:r>
      <w:r w:rsidR="0050513E">
        <w:rPr>
          <w:i/>
          <w:iCs/>
          <w:sz w:val="16"/>
          <w:szCs w:val="16"/>
        </w:rPr>
        <w:t xml:space="preserve">, </w:t>
      </w:r>
      <w:r w:rsidR="0050513E" w:rsidRPr="000023B9">
        <w:rPr>
          <w:sz w:val="16"/>
          <w:szCs w:val="16"/>
        </w:rPr>
        <w:t>7 October 2024</w:t>
      </w:r>
      <w:r w:rsidRPr="000023B9">
        <w:rPr>
          <w:sz w:val="16"/>
          <w:szCs w:val="16"/>
        </w:rPr>
        <w:t>.</w:t>
      </w:r>
    </w:p>
  </w:footnote>
  <w:footnote w:id="52">
    <w:p w14:paraId="6A8EB7C8" w14:textId="56203E4C" w:rsidR="001D4084" w:rsidRPr="00783A1E" w:rsidRDefault="001D4084" w:rsidP="001D4084">
      <w:pPr>
        <w:pStyle w:val="FootnoteText"/>
        <w:rPr>
          <w:sz w:val="16"/>
          <w:szCs w:val="16"/>
        </w:rPr>
      </w:pPr>
      <w:r w:rsidRPr="00783A1E">
        <w:rPr>
          <w:rStyle w:val="FootnoteReference"/>
          <w:sz w:val="16"/>
          <w:szCs w:val="16"/>
        </w:rPr>
        <w:footnoteRef/>
      </w:r>
      <w:r w:rsidRPr="00783A1E">
        <w:rPr>
          <w:sz w:val="16"/>
          <w:szCs w:val="16"/>
        </w:rPr>
        <w:t xml:space="preserve"> STW ICB, </w:t>
      </w:r>
      <w:r w:rsidRPr="00783A1E">
        <w:rPr>
          <w:i/>
          <w:iCs/>
          <w:sz w:val="16"/>
          <w:szCs w:val="16"/>
        </w:rPr>
        <w:t>Annex 5 - OOH Procurement Financial Model Template Final v2 (BR)</w:t>
      </w:r>
      <w:r w:rsidR="000023B9">
        <w:rPr>
          <w:i/>
          <w:iCs/>
          <w:sz w:val="16"/>
          <w:szCs w:val="16"/>
        </w:rPr>
        <w:t xml:space="preserve">, </w:t>
      </w:r>
      <w:r w:rsidR="000023B9" w:rsidRPr="000023B9">
        <w:rPr>
          <w:sz w:val="16"/>
          <w:szCs w:val="16"/>
        </w:rPr>
        <w:t>7 October 2024.</w:t>
      </w:r>
    </w:p>
  </w:footnote>
  <w:footnote w:id="53">
    <w:p w14:paraId="57403257" w14:textId="77777777" w:rsidR="00682D0B" w:rsidRPr="004D2B50" w:rsidRDefault="00682D0B" w:rsidP="00682D0B">
      <w:pPr>
        <w:pStyle w:val="FootnoteText"/>
        <w:rPr>
          <w:sz w:val="16"/>
          <w:szCs w:val="16"/>
        </w:rPr>
      </w:pPr>
      <w:r w:rsidRPr="004D2B50">
        <w:rPr>
          <w:rStyle w:val="FootnoteReference"/>
          <w:sz w:val="16"/>
          <w:szCs w:val="16"/>
        </w:rPr>
        <w:footnoteRef/>
      </w:r>
      <w:r w:rsidRPr="004D2B50">
        <w:rPr>
          <w:sz w:val="16"/>
          <w:szCs w:val="16"/>
        </w:rPr>
        <w:t xml:space="preserve"> STW ICB, </w:t>
      </w:r>
      <w:r w:rsidRPr="004D2B50">
        <w:rPr>
          <w:i/>
          <w:iCs/>
          <w:sz w:val="16"/>
          <w:szCs w:val="16"/>
        </w:rPr>
        <w:t>Representations response letter</w:t>
      </w:r>
      <w:r w:rsidRPr="004D2B50">
        <w:rPr>
          <w:sz w:val="16"/>
          <w:szCs w:val="16"/>
        </w:rPr>
        <w:t>, 5 March 2024.</w:t>
      </w:r>
    </w:p>
  </w:footnote>
  <w:footnote w:id="54">
    <w:p w14:paraId="090078B4" w14:textId="77777777" w:rsidR="00DB24C7" w:rsidRPr="0070236A" w:rsidRDefault="00DB24C7" w:rsidP="00DB24C7">
      <w:pPr>
        <w:pStyle w:val="FootnoteText"/>
        <w:rPr>
          <w:sz w:val="16"/>
          <w:szCs w:val="16"/>
        </w:rPr>
      </w:pPr>
      <w:r w:rsidRPr="004F3479">
        <w:rPr>
          <w:rStyle w:val="FootnoteReference"/>
          <w:sz w:val="16"/>
          <w:szCs w:val="16"/>
        </w:rPr>
        <w:footnoteRef/>
      </w:r>
      <w:r w:rsidRPr="004F3479">
        <w:rPr>
          <w:sz w:val="16"/>
          <w:szCs w:val="16"/>
        </w:rPr>
        <w:t xml:space="preserve"> STW ICB, </w:t>
      </w:r>
      <w:r w:rsidRPr="004F3479">
        <w:rPr>
          <w:i/>
          <w:iCs/>
          <w:sz w:val="16"/>
          <w:szCs w:val="16"/>
        </w:rPr>
        <w:t>Outcome of the ICB PSR Review Panel (Appendix to Representations response letter to Shropdoc)</w:t>
      </w:r>
      <w:r w:rsidRPr="004F3479">
        <w:rPr>
          <w:sz w:val="16"/>
          <w:szCs w:val="16"/>
        </w:rPr>
        <w:t>, April 2025.</w:t>
      </w:r>
    </w:p>
  </w:footnote>
  <w:footnote w:id="55">
    <w:p w14:paraId="3C4FAAFE" w14:textId="504C6986" w:rsidR="004E3485" w:rsidRPr="00AA65B7" w:rsidRDefault="004E3485">
      <w:pPr>
        <w:pStyle w:val="FootnoteText"/>
        <w:rPr>
          <w:sz w:val="16"/>
          <w:szCs w:val="16"/>
        </w:rPr>
      </w:pPr>
      <w:r w:rsidRPr="00AA65B7">
        <w:rPr>
          <w:rStyle w:val="FootnoteReference"/>
          <w:sz w:val="16"/>
          <w:szCs w:val="16"/>
        </w:rPr>
        <w:footnoteRef/>
      </w:r>
      <w:r w:rsidRPr="00AA65B7">
        <w:rPr>
          <w:sz w:val="16"/>
          <w:szCs w:val="16"/>
        </w:rPr>
        <w:t xml:space="preserve"> STW ICB, </w:t>
      </w:r>
      <w:r w:rsidRPr="00AA65B7">
        <w:rPr>
          <w:i/>
          <w:iCs/>
          <w:sz w:val="16"/>
          <w:szCs w:val="16"/>
        </w:rPr>
        <w:t>Paper to the Strategic Commissioning Committee</w:t>
      </w:r>
      <w:r w:rsidRPr="00AA65B7">
        <w:rPr>
          <w:sz w:val="16"/>
          <w:szCs w:val="16"/>
        </w:rPr>
        <w:t xml:space="preserve">, </w:t>
      </w:r>
      <w:r w:rsidR="00E372CA">
        <w:rPr>
          <w:sz w:val="16"/>
          <w:szCs w:val="16"/>
        </w:rPr>
        <w:t>1</w:t>
      </w:r>
      <w:r w:rsidRPr="00AA65B7">
        <w:rPr>
          <w:sz w:val="16"/>
          <w:szCs w:val="16"/>
        </w:rPr>
        <w:t xml:space="preserve"> October 202</w:t>
      </w:r>
      <w:r w:rsidR="00E372CA">
        <w:rPr>
          <w:sz w:val="16"/>
          <w:szCs w:val="16"/>
        </w:rPr>
        <w:t>4</w:t>
      </w:r>
      <w:r w:rsidRPr="00AA65B7">
        <w:rPr>
          <w:sz w:val="16"/>
          <w:szCs w:val="16"/>
        </w:rPr>
        <w:t>.</w:t>
      </w:r>
    </w:p>
  </w:footnote>
  <w:footnote w:id="56">
    <w:p w14:paraId="6D345249" w14:textId="40F6F8A2" w:rsidR="007B113E" w:rsidRPr="00F65070" w:rsidRDefault="007B113E">
      <w:pPr>
        <w:pStyle w:val="FootnoteText"/>
        <w:rPr>
          <w:sz w:val="16"/>
          <w:szCs w:val="16"/>
        </w:rPr>
      </w:pPr>
      <w:r w:rsidRPr="00F65070">
        <w:rPr>
          <w:rStyle w:val="FootnoteReference"/>
          <w:sz w:val="16"/>
          <w:szCs w:val="16"/>
        </w:rPr>
        <w:footnoteRef/>
      </w:r>
      <w:r w:rsidRPr="00F65070">
        <w:rPr>
          <w:sz w:val="16"/>
          <w:szCs w:val="16"/>
        </w:rPr>
        <w:t xml:space="preserve"> STW ICB, </w:t>
      </w:r>
      <w:r w:rsidRPr="00F65070">
        <w:rPr>
          <w:i/>
          <w:iCs/>
          <w:sz w:val="16"/>
          <w:szCs w:val="16"/>
        </w:rPr>
        <w:t xml:space="preserve">Contract Award </w:t>
      </w:r>
      <w:r w:rsidR="005E2866">
        <w:rPr>
          <w:i/>
          <w:iCs/>
          <w:sz w:val="16"/>
          <w:szCs w:val="16"/>
        </w:rPr>
        <w:t>Recommendation Report</w:t>
      </w:r>
      <w:r w:rsidRPr="00F65070">
        <w:rPr>
          <w:sz w:val="16"/>
          <w:szCs w:val="16"/>
        </w:rPr>
        <w:t xml:space="preserve">, </w:t>
      </w:r>
      <w:r w:rsidR="00F65070" w:rsidRPr="00F65070">
        <w:rPr>
          <w:sz w:val="16"/>
          <w:szCs w:val="16"/>
        </w:rPr>
        <w:t>22 January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9AB4" w14:textId="77777777" w:rsidR="002F09CF" w:rsidRDefault="002F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4A8B" w14:textId="77777777" w:rsidR="002F09CF" w:rsidRDefault="002F0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B3D6" w14:textId="77777777" w:rsidR="002F09CF" w:rsidRDefault="002F0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679"/>
    <w:multiLevelType w:val="hybridMultilevel"/>
    <w:tmpl w:val="628033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C746A21"/>
    <w:multiLevelType w:val="hybridMultilevel"/>
    <w:tmpl w:val="8E803DB6"/>
    <w:lvl w:ilvl="0" w:tplc="08090003">
      <w:start w:val="1"/>
      <w:numFmt w:val="bullet"/>
      <w:lvlText w:val="o"/>
      <w:lvlJc w:val="left"/>
      <w:pPr>
        <w:ind w:left="1713" w:hanging="360"/>
      </w:pPr>
      <w:rPr>
        <w:rFonts w:ascii="Courier New" w:hAnsi="Courier New" w:cs="Courier New"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 w15:restartNumberingAfterBreak="0">
    <w:nsid w:val="24AB66EE"/>
    <w:multiLevelType w:val="hybridMultilevel"/>
    <w:tmpl w:val="F3D27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5A27C41"/>
    <w:multiLevelType w:val="hybridMultilevel"/>
    <w:tmpl w:val="32DC7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02749D"/>
    <w:multiLevelType w:val="hybridMultilevel"/>
    <w:tmpl w:val="0A34F052"/>
    <w:lvl w:ilvl="0" w:tplc="F500862C">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752351"/>
    <w:multiLevelType w:val="hybridMultilevel"/>
    <w:tmpl w:val="426ED0F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12D2443"/>
    <w:multiLevelType w:val="hybridMultilevel"/>
    <w:tmpl w:val="4DF2D0D4"/>
    <w:lvl w:ilvl="0" w:tplc="0809000F">
      <w:start w:val="1"/>
      <w:numFmt w:val="decimal"/>
      <w:lvlText w:val="%1."/>
      <w:lvlJc w:val="left"/>
      <w:pPr>
        <w:ind w:left="360" w:hanging="360"/>
      </w:pPr>
      <w:rPr>
        <w:rFonts w:hint="default"/>
      </w:rPr>
    </w:lvl>
    <w:lvl w:ilvl="1" w:tplc="3EF23CB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7D13E2"/>
    <w:multiLevelType w:val="hybridMultilevel"/>
    <w:tmpl w:val="D8C0E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4AA26C6"/>
    <w:multiLevelType w:val="hybridMultilevel"/>
    <w:tmpl w:val="78168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AB0B68"/>
    <w:multiLevelType w:val="hybridMultilevel"/>
    <w:tmpl w:val="7DC0C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183DCD"/>
    <w:multiLevelType w:val="hybridMultilevel"/>
    <w:tmpl w:val="3EB64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EE8793D"/>
    <w:multiLevelType w:val="hybridMultilevel"/>
    <w:tmpl w:val="DD70CE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3A667D5"/>
    <w:multiLevelType w:val="hybridMultilevel"/>
    <w:tmpl w:val="2FE61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D410E4"/>
    <w:multiLevelType w:val="hybridMultilevel"/>
    <w:tmpl w:val="52D87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E9093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503779">
    <w:abstractNumId w:val="6"/>
  </w:num>
  <w:num w:numId="2" w16cid:durableId="1629435474">
    <w:abstractNumId w:val="4"/>
  </w:num>
  <w:num w:numId="3" w16cid:durableId="66223732">
    <w:abstractNumId w:val="13"/>
  </w:num>
  <w:num w:numId="4" w16cid:durableId="45104576">
    <w:abstractNumId w:val="3"/>
  </w:num>
  <w:num w:numId="5" w16cid:durableId="730158728">
    <w:abstractNumId w:val="12"/>
  </w:num>
  <w:num w:numId="6" w16cid:durableId="535628692">
    <w:abstractNumId w:val="7"/>
  </w:num>
  <w:num w:numId="7" w16cid:durableId="197207422">
    <w:abstractNumId w:val="14"/>
  </w:num>
  <w:num w:numId="8" w16cid:durableId="177431390">
    <w:abstractNumId w:val="8"/>
  </w:num>
  <w:num w:numId="9" w16cid:durableId="181211953">
    <w:abstractNumId w:val="9"/>
  </w:num>
  <w:num w:numId="10" w16cid:durableId="1198129200">
    <w:abstractNumId w:val="10"/>
  </w:num>
  <w:num w:numId="11" w16cid:durableId="1942451269">
    <w:abstractNumId w:val="5"/>
  </w:num>
  <w:num w:numId="12" w16cid:durableId="862937966">
    <w:abstractNumId w:val="1"/>
  </w:num>
  <w:num w:numId="13" w16cid:durableId="287274828">
    <w:abstractNumId w:val="0"/>
  </w:num>
  <w:num w:numId="14" w16cid:durableId="86509241">
    <w:abstractNumId w:val="2"/>
  </w:num>
  <w:num w:numId="15" w16cid:durableId="16351415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xAhh4thI/VubV+jL3DTdkYqTmG0YI5PwHsEwuYeH8jTKvnctweRRJw4ZAIS1IhbrzFOqfwOVYxIh1Nc2IPJ8Q==" w:salt="5ogJpKB6QV4x41fkyaSGN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A3"/>
    <w:rsid w:val="000000FE"/>
    <w:rsid w:val="00000317"/>
    <w:rsid w:val="00000DB2"/>
    <w:rsid w:val="00000E6D"/>
    <w:rsid w:val="00000FB7"/>
    <w:rsid w:val="00000FFD"/>
    <w:rsid w:val="00001047"/>
    <w:rsid w:val="00001055"/>
    <w:rsid w:val="00001463"/>
    <w:rsid w:val="00001687"/>
    <w:rsid w:val="000016C5"/>
    <w:rsid w:val="000019E7"/>
    <w:rsid w:val="00001B50"/>
    <w:rsid w:val="00001CF1"/>
    <w:rsid w:val="00001DEC"/>
    <w:rsid w:val="00002096"/>
    <w:rsid w:val="000023B9"/>
    <w:rsid w:val="000026A6"/>
    <w:rsid w:val="000027D7"/>
    <w:rsid w:val="000031A1"/>
    <w:rsid w:val="0000340C"/>
    <w:rsid w:val="000038BA"/>
    <w:rsid w:val="0000392B"/>
    <w:rsid w:val="00003E0A"/>
    <w:rsid w:val="00003E7B"/>
    <w:rsid w:val="00004581"/>
    <w:rsid w:val="00004682"/>
    <w:rsid w:val="0000493D"/>
    <w:rsid w:val="00005161"/>
    <w:rsid w:val="000052B2"/>
    <w:rsid w:val="00005567"/>
    <w:rsid w:val="000056DB"/>
    <w:rsid w:val="00005B97"/>
    <w:rsid w:val="00005E33"/>
    <w:rsid w:val="00005FC7"/>
    <w:rsid w:val="0000603B"/>
    <w:rsid w:val="00006238"/>
    <w:rsid w:val="00006251"/>
    <w:rsid w:val="000062D6"/>
    <w:rsid w:val="00006BA5"/>
    <w:rsid w:val="00006CDC"/>
    <w:rsid w:val="0000712A"/>
    <w:rsid w:val="00007962"/>
    <w:rsid w:val="00007B45"/>
    <w:rsid w:val="00007D00"/>
    <w:rsid w:val="00007DBA"/>
    <w:rsid w:val="00007F13"/>
    <w:rsid w:val="0001009E"/>
    <w:rsid w:val="000101A1"/>
    <w:rsid w:val="000102EF"/>
    <w:rsid w:val="00010E5B"/>
    <w:rsid w:val="00010F23"/>
    <w:rsid w:val="00010FB7"/>
    <w:rsid w:val="00011140"/>
    <w:rsid w:val="00011172"/>
    <w:rsid w:val="0001184F"/>
    <w:rsid w:val="00011BBE"/>
    <w:rsid w:val="00011BFA"/>
    <w:rsid w:val="00011DE2"/>
    <w:rsid w:val="00011F07"/>
    <w:rsid w:val="0001220C"/>
    <w:rsid w:val="0001237B"/>
    <w:rsid w:val="0001278D"/>
    <w:rsid w:val="000128C1"/>
    <w:rsid w:val="00012EC7"/>
    <w:rsid w:val="00012F0D"/>
    <w:rsid w:val="00013285"/>
    <w:rsid w:val="00013997"/>
    <w:rsid w:val="00013BAC"/>
    <w:rsid w:val="00013D6F"/>
    <w:rsid w:val="00013E26"/>
    <w:rsid w:val="00014489"/>
    <w:rsid w:val="000144D6"/>
    <w:rsid w:val="000146A3"/>
    <w:rsid w:val="000147FE"/>
    <w:rsid w:val="00014982"/>
    <w:rsid w:val="00014E48"/>
    <w:rsid w:val="00014EC2"/>
    <w:rsid w:val="00014F1E"/>
    <w:rsid w:val="000150BC"/>
    <w:rsid w:val="000154CB"/>
    <w:rsid w:val="0001562A"/>
    <w:rsid w:val="0001564F"/>
    <w:rsid w:val="00015A12"/>
    <w:rsid w:val="00015BE2"/>
    <w:rsid w:val="00015C26"/>
    <w:rsid w:val="00015C3B"/>
    <w:rsid w:val="00015C7F"/>
    <w:rsid w:val="00015C9D"/>
    <w:rsid w:val="000165C6"/>
    <w:rsid w:val="000165CC"/>
    <w:rsid w:val="00016AEC"/>
    <w:rsid w:val="00016BF2"/>
    <w:rsid w:val="000174C8"/>
    <w:rsid w:val="0001763D"/>
    <w:rsid w:val="0001767E"/>
    <w:rsid w:val="0001794F"/>
    <w:rsid w:val="00017ADB"/>
    <w:rsid w:val="00017AF2"/>
    <w:rsid w:val="00017DD4"/>
    <w:rsid w:val="00020049"/>
    <w:rsid w:val="0002075B"/>
    <w:rsid w:val="000207B6"/>
    <w:rsid w:val="00020852"/>
    <w:rsid w:val="00020882"/>
    <w:rsid w:val="0002089F"/>
    <w:rsid w:val="00020A19"/>
    <w:rsid w:val="00020DB5"/>
    <w:rsid w:val="00020DD5"/>
    <w:rsid w:val="00020E69"/>
    <w:rsid w:val="00020E90"/>
    <w:rsid w:val="00020FEE"/>
    <w:rsid w:val="00021533"/>
    <w:rsid w:val="000215E2"/>
    <w:rsid w:val="00021667"/>
    <w:rsid w:val="00021A1C"/>
    <w:rsid w:val="00021DBF"/>
    <w:rsid w:val="00022198"/>
    <w:rsid w:val="000224CB"/>
    <w:rsid w:val="00022562"/>
    <w:rsid w:val="00022B6F"/>
    <w:rsid w:val="00022D01"/>
    <w:rsid w:val="000232EF"/>
    <w:rsid w:val="0002360A"/>
    <w:rsid w:val="00023816"/>
    <w:rsid w:val="000238B4"/>
    <w:rsid w:val="000238F9"/>
    <w:rsid w:val="0002396D"/>
    <w:rsid w:val="00023A42"/>
    <w:rsid w:val="00023B8C"/>
    <w:rsid w:val="00023C79"/>
    <w:rsid w:val="00024001"/>
    <w:rsid w:val="0002418D"/>
    <w:rsid w:val="00024A3E"/>
    <w:rsid w:val="00024A43"/>
    <w:rsid w:val="00024BF5"/>
    <w:rsid w:val="00024D25"/>
    <w:rsid w:val="00024FDA"/>
    <w:rsid w:val="000251E0"/>
    <w:rsid w:val="00025497"/>
    <w:rsid w:val="0002560B"/>
    <w:rsid w:val="000257A9"/>
    <w:rsid w:val="000261E8"/>
    <w:rsid w:val="0002626A"/>
    <w:rsid w:val="000266F7"/>
    <w:rsid w:val="000266F8"/>
    <w:rsid w:val="00026819"/>
    <w:rsid w:val="00026AC5"/>
    <w:rsid w:val="00026AE7"/>
    <w:rsid w:val="00026B6D"/>
    <w:rsid w:val="00026BBC"/>
    <w:rsid w:val="00026FCB"/>
    <w:rsid w:val="0002728F"/>
    <w:rsid w:val="00027527"/>
    <w:rsid w:val="00027B7F"/>
    <w:rsid w:val="00027BE7"/>
    <w:rsid w:val="00027CFB"/>
    <w:rsid w:val="00027DF3"/>
    <w:rsid w:val="00030360"/>
    <w:rsid w:val="000304E4"/>
    <w:rsid w:val="000307C5"/>
    <w:rsid w:val="00030E0A"/>
    <w:rsid w:val="00030F41"/>
    <w:rsid w:val="00031098"/>
    <w:rsid w:val="000310D1"/>
    <w:rsid w:val="00031187"/>
    <w:rsid w:val="0003139D"/>
    <w:rsid w:val="00031443"/>
    <w:rsid w:val="00031482"/>
    <w:rsid w:val="0003156B"/>
    <w:rsid w:val="000318CF"/>
    <w:rsid w:val="000319D1"/>
    <w:rsid w:val="00031F44"/>
    <w:rsid w:val="000321F9"/>
    <w:rsid w:val="000324C6"/>
    <w:rsid w:val="00032617"/>
    <w:rsid w:val="00032963"/>
    <w:rsid w:val="00032A44"/>
    <w:rsid w:val="0003325E"/>
    <w:rsid w:val="000332B6"/>
    <w:rsid w:val="0003361F"/>
    <w:rsid w:val="000336C8"/>
    <w:rsid w:val="00033AC2"/>
    <w:rsid w:val="00033E95"/>
    <w:rsid w:val="0003419D"/>
    <w:rsid w:val="000341A9"/>
    <w:rsid w:val="00034555"/>
    <w:rsid w:val="000345D3"/>
    <w:rsid w:val="00034ACD"/>
    <w:rsid w:val="0003551D"/>
    <w:rsid w:val="0003620B"/>
    <w:rsid w:val="00036341"/>
    <w:rsid w:val="000363E7"/>
    <w:rsid w:val="00036943"/>
    <w:rsid w:val="00036F10"/>
    <w:rsid w:val="000372D4"/>
    <w:rsid w:val="00037589"/>
    <w:rsid w:val="0003765F"/>
    <w:rsid w:val="000376E4"/>
    <w:rsid w:val="00037C4E"/>
    <w:rsid w:val="00037EDC"/>
    <w:rsid w:val="00040184"/>
    <w:rsid w:val="000402C6"/>
    <w:rsid w:val="00040EC3"/>
    <w:rsid w:val="0004114F"/>
    <w:rsid w:val="00041AF3"/>
    <w:rsid w:val="00041D8C"/>
    <w:rsid w:val="00041F19"/>
    <w:rsid w:val="00042949"/>
    <w:rsid w:val="00042B32"/>
    <w:rsid w:val="00042CEC"/>
    <w:rsid w:val="0004307E"/>
    <w:rsid w:val="000433A3"/>
    <w:rsid w:val="00043518"/>
    <w:rsid w:val="00043591"/>
    <w:rsid w:val="0004369B"/>
    <w:rsid w:val="00043971"/>
    <w:rsid w:val="00043D53"/>
    <w:rsid w:val="000440AF"/>
    <w:rsid w:val="000440EF"/>
    <w:rsid w:val="00044210"/>
    <w:rsid w:val="0004423F"/>
    <w:rsid w:val="000442B4"/>
    <w:rsid w:val="00044471"/>
    <w:rsid w:val="0004459A"/>
    <w:rsid w:val="000445F0"/>
    <w:rsid w:val="00044600"/>
    <w:rsid w:val="0004494F"/>
    <w:rsid w:val="00044B93"/>
    <w:rsid w:val="00044CBA"/>
    <w:rsid w:val="00044D52"/>
    <w:rsid w:val="00045321"/>
    <w:rsid w:val="00045CE7"/>
    <w:rsid w:val="0004648E"/>
    <w:rsid w:val="00046C3C"/>
    <w:rsid w:val="00046E49"/>
    <w:rsid w:val="000474FD"/>
    <w:rsid w:val="00047550"/>
    <w:rsid w:val="0004765D"/>
    <w:rsid w:val="000477C9"/>
    <w:rsid w:val="00047B76"/>
    <w:rsid w:val="00047D52"/>
    <w:rsid w:val="00047D80"/>
    <w:rsid w:val="00047DD8"/>
    <w:rsid w:val="00047DDF"/>
    <w:rsid w:val="0005022C"/>
    <w:rsid w:val="00050CCF"/>
    <w:rsid w:val="00050E1F"/>
    <w:rsid w:val="00050F6C"/>
    <w:rsid w:val="00051540"/>
    <w:rsid w:val="000515D5"/>
    <w:rsid w:val="0005164C"/>
    <w:rsid w:val="000519D8"/>
    <w:rsid w:val="00051AF1"/>
    <w:rsid w:val="000520ED"/>
    <w:rsid w:val="000521F7"/>
    <w:rsid w:val="0005316E"/>
    <w:rsid w:val="00053593"/>
    <w:rsid w:val="00054392"/>
    <w:rsid w:val="0005448C"/>
    <w:rsid w:val="000548D3"/>
    <w:rsid w:val="00054AE7"/>
    <w:rsid w:val="00054B67"/>
    <w:rsid w:val="00054D22"/>
    <w:rsid w:val="00054F0B"/>
    <w:rsid w:val="00055D10"/>
    <w:rsid w:val="00055F29"/>
    <w:rsid w:val="0005616B"/>
    <w:rsid w:val="000561D5"/>
    <w:rsid w:val="000561ED"/>
    <w:rsid w:val="00056985"/>
    <w:rsid w:val="00056BC2"/>
    <w:rsid w:val="00056DA7"/>
    <w:rsid w:val="0005759B"/>
    <w:rsid w:val="000576E2"/>
    <w:rsid w:val="000577B4"/>
    <w:rsid w:val="00057E53"/>
    <w:rsid w:val="00057F8E"/>
    <w:rsid w:val="0006053C"/>
    <w:rsid w:val="000605E4"/>
    <w:rsid w:val="0006071C"/>
    <w:rsid w:val="00060964"/>
    <w:rsid w:val="00060A91"/>
    <w:rsid w:val="00060EB4"/>
    <w:rsid w:val="00061018"/>
    <w:rsid w:val="000611CE"/>
    <w:rsid w:val="00061626"/>
    <w:rsid w:val="00061C21"/>
    <w:rsid w:val="00061C81"/>
    <w:rsid w:val="00061F7B"/>
    <w:rsid w:val="0006214A"/>
    <w:rsid w:val="00062922"/>
    <w:rsid w:val="00063302"/>
    <w:rsid w:val="000633C1"/>
    <w:rsid w:val="00063541"/>
    <w:rsid w:val="00063A98"/>
    <w:rsid w:val="00063F46"/>
    <w:rsid w:val="0006478D"/>
    <w:rsid w:val="00064911"/>
    <w:rsid w:val="00064FE9"/>
    <w:rsid w:val="0006508E"/>
    <w:rsid w:val="0006527F"/>
    <w:rsid w:val="000655DE"/>
    <w:rsid w:val="00065609"/>
    <w:rsid w:val="00065B94"/>
    <w:rsid w:val="00065DDB"/>
    <w:rsid w:val="00065EDD"/>
    <w:rsid w:val="000661A4"/>
    <w:rsid w:val="00066454"/>
    <w:rsid w:val="00066534"/>
    <w:rsid w:val="000665D2"/>
    <w:rsid w:val="00066604"/>
    <w:rsid w:val="00066B7E"/>
    <w:rsid w:val="00066E21"/>
    <w:rsid w:val="00066E38"/>
    <w:rsid w:val="00067266"/>
    <w:rsid w:val="0006740A"/>
    <w:rsid w:val="000675AD"/>
    <w:rsid w:val="000675AF"/>
    <w:rsid w:val="000677A7"/>
    <w:rsid w:val="00067E62"/>
    <w:rsid w:val="0007007E"/>
    <w:rsid w:val="000706EB"/>
    <w:rsid w:val="00070AA2"/>
    <w:rsid w:val="000712E1"/>
    <w:rsid w:val="00071422"/>
    <w:rsid w:val="000714B2"/>
    <w:rsid w:val="000717EE"/>
    <w:rsid w:val="000720DE"/>
    <w:rsid w:val="0007279B"/>
    <w:rsid w:val="00072953"/>
    <w:rsid w:val="00072990"/>
    <w:rsid w:val="00072B1E"/>
    <w:rsid w:val="000730C2"/>
    <w:rsid w:val="00073166"/>
    <w:rsid w:val="0007317D"/>
    <w:rsid w:val="0007332E"/>
    <w:rsid w:val="00073523"/>
    <w:rsid w:val="00073E77"/>
    <w:rsid w:val="00073EF0"/>
    <w:rsid w:val="00074109"/>
    <w:rsid w:val="00074591"/>
    <w:rsid w:val="00074ABB"/>
    <w:rsid w:val="00075497"/>
    <w:rsid w:val="000755F8"/>
    <w:rsid w:val="00075628"/>
    <w:rsid w:val="00075949"/>
    <w:rsid w:val="00075BC2"/>
    <w:rsid w:val="00075C96"/>
    <w:rsid w:val="00075E99"/>
    <w:rsid w:val="00075F87"/>
    <w:rsid w:val="00075FA2"/>
    <w:rsid w:val="0007611B"/>
    <w:rsid w:val="000761DB"/>
    <w:rsid w:val="0007622C"/>
    <w:rsid w:val="0007670E"/>
    <w:rsid w:val="0007696E"/>
    <w:rsid w:val="00076F50"/>
    <w:rsid w:val="00077365"/>
    <w:rsid w:val="00077578"/>
    <w:rsid w:val="00077AEA"/>
    <w:rsid w:val="00077ED8"/>
    <w:rsid w:val="00077F3E"/>
    <w:rsid w:val="00080812"/>
    <w:rsid w:val="000809CD"/>
    <w:rsid w:val="00080FF4"/>
    <w:rsid w:val="00081059"/>
    <w:rsid w:val="00081164"/>
    <w:rsid w:val="000813EB"/>
    <w:rsid w:val="00081979"/>
    <w:rsid w:val="00081A67"/>
    <w:rsid w:val="00081DAA"/>
    <w:rsid w:val="00081ECB"/>
    <w:rsid w:val="000820B8"/>
    <w:rsid w:val="000821D7"/>
    <w:rsid w:val="00082476"/>
    <w:rsid w:val="000825AF"/>
    <w:rsid w:val="0008276A"/>
    <w:rsid w:val="00082C70"/>
    <w:rsid w:val="00082D90"/>
    <w:rsid w:val="00082F96"/>
    <w:rsid w:val="000833BA"/>
    <w:rsid w:val="00083495"/>
    <w:rsid w:val="000838B8"/>
    <w:rsid w:val="000838BC"/>
    <w:rsid w:val="0008398D"/>
    <w:rsid w:val="00083DD0"/>
    <w:rsid w:val="0008419C"/>
    <w:rsid w:val="000842FC"/>
    <w:rsid w:val="0008441D"/>
    <w:rsid w:val="00084822"/>
    <w:rsid w:val="000848D2"/>
    <w:rsid w:val="00084B95"/>
    <w:rsid w:val="00084C9C"/>
    <w:rsid w:val="00085D25"/>
    <w:rsid w:val="000863D3"/>
    <w:rsid w:val="0008687D"/>
    <w:rsid w:val="00086CE8"/>
    <w:rsid w:val="000870CC"/>
    <w:rsid w:val="000870F6"/>
    <w:rsid w:val="00087110"/>
    <w:rsid w:val="00087C44"/>
    <w:rsid w:val="00087C61"/>
    <w:rsid w:val="00087E26"/>
    <w:rsid w:val="00087EBE"/>
    <w:rsid w:val="000905D7"/>
    <w:rsid w:val="00090684"/>
    <w:rsid w:val="00090837"/>
    <w:rsid w:val="000909EB"/>
    <w:rsid w:val="00090B06"/>
    <w:rsid w:val="00091142"/>
    <w:rsid w:val="00091190"/>
    <w:rsid w:val="000913EF"/>
    <w:rsid w:val="000914D9"/>
    <w:rsid w:val="00091894"/>
    <w:rsid w:val="00091E5C"/>
    <w:rsid w:val="00092294"/>
    <w:rsid w:val="00092CE2"/>
    <w:rsid w:val="000930F2"/>
    <w:rsid w:val="00093182"/>
    <w:rsid w:val="00093788"/>
    <w:rsid w:val="00093AC9"/>
    <w:rsid w:val="00093F3B"/>
    <w:rsid w:val="000946C4"/>
    <w:rsid w:val="000947C9"/>
    <w:rsid w:val="00094C08"/>
    <w:rsid w:val="0009621A"/>
    <w:rsid w:val="0009649F"/>
    <w:rsid w:val="000965AA"/>
    <w:rsid w:val="00096E3F"/>
    <w:rsid w:val="00096E7D"/>
    <w:rsid w:val="0009776D"/>
    <w:rsid w:val="0009788B"/>
    <w:rsid w:val="000978B5"/>
    <w:rsid w:val="00097D7A"/>
    <w:rsid w:val="000A00F5"/>
    <w:rsid w:val="000A02A4"/>
    <w:rsid w:val="000A09EA"/>
    <w:rsid w:val="000A0F77"/>
    <w:rsid w:val="000A118C"/>
    <w:rsid w:val="000A13CD"/>
    <w:rsid w:val="000A1409"/>
    <w:rsid w:val="000A1A41"/>
    <w:rsid w:val="000A1B99"/>
    <w:rsid w:val="000A21A1"/>
    <w:rsid w:val="000A24DB"/>
    <w:rsid w:val="000A264F"/>
    <w:rsid w:val="000A2F0F"/>
    <w:rsid w:val="000A2F95"/>
    <w:rsid w:val="000A30BD"/>
    <w:rsid w:val="000A3724"/>
    <w:rsid w:val="000A4020"/>
    <w:rsid w:val="000A427E"/>
    <w:rsid w:val="000A44E6"/>
    <w:rsid w:val="000A459C"/>
    <w:rsid w:val="000A471F"/>
    <w:rsid w:val="000A4DC3"/>
    <w:rsid w:val="000A4F3E"/>
    <w:rsid w:val="000A508D"/>
    <w:rsid w:val="000A5630"/>
    <w:rsid w:val="000A5B62"/>
    <w:rsid w:val="000A5F0A"/>
    <w:rsid w:val="000A60E6"/>
    <w:rsid w:val="000A6137"/>
    <w:rsid w:val="000A70DD"/>
    <w:rsid w:val="000B00F7"/>
    <w:rsid w:val="000B013F"/>
    <w:rsid w:val="000B0147"/>
    <w:rsid w:val="000B0544"/>
    <w:rsid w:val="000B0629"/>
    <w:rsid w:val="000B066F"/>
    <w:rsid w:val="000B0915"/>
    <w:rsid w:val="000B149C"/>
    <w:rsid w:val="000B1591"/>
    <w:rsid w:val="000B193A"/>
    <w:rsid w:val="000B1C05"/>
    <w:rsid w:val="000B1D75"/>
    <w:rsid w:val="000B1D85"/>
    <w:rsid w:val="000B2668"/>
    <w:rsid w:val="000B2842"/>
    <w:rsid w:val="000B28B4"/>
    <w:rsid w:val="000B28C4"/>
    <w:rsid w:val="000B2C72"/>
    <w:rsid w:val="000B2D23"/>
    <w:rsid w:val="000B31AB"/>
    <w:rsid w:val="000B33B0"/>
    <w:rsid w:val="000B396D"/>
    <w:rsid w:val="000B4510"/>
    <w:rsid w:val="000B46E5"/>
    <w:rsid w:val="000B486A"/>
    <w:rsid w:val="000B48E5"/>
    <w:rsid w:val="000B4E39"/>
    <w:rsid w:val="000B59A7"/>
    <w:rsid w:val="000B649A"/>
    <w:rsid w:val="000B66CC"/>
    <w:rsid w:val="000B67CD"/>
    <w:rsid w:val="000B6B3C"/>
    <w:rsid w:val="000B6E58"/>
    <w:rsid w:val="000B7208"/>
    <w:rsid w:val="000B73AA"/>
    <w:rsid w:val="000B746F"/>
    <w:rsid w:val="000B777A"/>
    <w:rsid w:val="000B7BD6"/>
    <w:rsid w:val="000B7CF2"/>
    <w:rsid w:val="000B7D80"/>
    <w:rsid w:val="000C01F5"/>
    <w:rsid w:val="000C021C"/>
    <w:rsid w:val="000C046D"/>
    <w:rsid w:val="000C0637"/>
    <w:rsid w:val="000C1555"/>
    <w:rsid w:val="000C1588"/>
    <w:rsid w:val="000C16BF"/>
    <w:rsid w:val="000C1775"/>
    <w:rsid w:val="000C1B44"/>
    <w:rsid w:val="000C2275"/>
    <w:rsid w:val="000C28C6"/>
    <w:rsid w:val="000C296A"/>
    <w:rsid w:val="000C2E6C"/>
    <w:rsid w:val="000C2F1C"/>
    <w:rsid w:val="000C3050"/>
    <w:rsid w:val="000C356A"/>
    <w:rsid w:val="000C3CFB"/>
    <w:rsid w:val="000C3F0F"/>
    <w:rsid w:val="000C3F2E"/>
    <w:rsid w:val="000C44B2"/>
    <w:rsid w:val="000C4638"/>
    <w:rsid w:val="000C4B05"/>
    <w:rsid w:val="000C4C9C"/>
    <w:rsid w:val="000C5350"/>
    <w:rsid w:val="000C59A9"/>
    <w:rsid w:val="000C5A0F"/>
    <w:rsid w:val="000C6D94"/>
    <w:rsid w:val="000C72BF"/>
    <w:rsid w:val="000C77F1"/>
    <w:rsid w:val="000C7A58"/>
    <w:rsid w:val="000C7BA8"/>
    <w:rsid w:val="000C7DA7"/>
    <w:rsid w:val="000D004A"/>
    <w:rsid w:val="000D028F"/>
    <w:rsid w:val="000D09CD"/>
    <w:rsid w:val="000D0A57"/>
    <w:rsid w:val="000D0FE8"/>
    <w:rsid w:val="000D1053"/>
    <w:rsid w:val="000D15B5"/>
    <w:rsid w:val="000D1708"/>
    <w:rsid w:val="000D17BD"/>
    <w:rsid w:val="000D23A8"/>
    <w:rsid w:val="000D28F4"/>
    <w:rsid w:val="000D2F58"/>
    <w:rsid w:val="000D2F7B"/>
    <w:rsid w:val="000D3130"/>
    <w:rsid w:val="000D34E0"/>
    <w:rsid w:val="000D3596"/>
    <w:rsid w:val="000D3A54"/>
    <w:rsid w:val="000D3DBE"/>
    <w:rsid w:val="000D3FBA"/>
    <w:rsid w:val="000D432C"/>
    <w:rsid w:val="000D4909"/>
    <w:rsid w:val="000D4C7C"/>
    <w:rsid w:val="000D56A6"/>
    <w:rsid w:val="000D5B52"/>
    <w:rsid w:val="000D5CAC"/>
    <w:rsid w:val="000D5D49"/>
    <w:rsid w:val="000D5DE3"/>
    <w:rsid w:val="000D62F7"/>
    <w:rsid w:val="000D6941"/>
    <w:rsid w:val="000D6C84"/>
    <w:rsid w:val="000D6C87"/>
    <w:rsid w:val="000D6CC8"/>
    <w:rsid w:val="000D6CFC"/>
    <w:rsid w:val="000D6E0E"/>
    <w:rsid w:val="000D6E5D"/>
    <w:rsid w:val="000D6F67"/>
    <w:rsid w:val="000D741E"/>
    <w:rsid w:val="000D7795"/>
    <w:rsid w:val="000D79C6"/>
    <w:rsid w:val="000E00CD"/>
    <w:rsid w:val="000E0335"/>
    <w:rsid w:val="000E0704"/>
    <w:rsid w:val="000E0809"/>
    <w:rsid w:val="000E093A"/>
    <w:rsid w:val="000E1244"/>
    <w:rsid w:val="000E162E"/>
    <w:rsid w:val="000E17BA"/>
    <w:rsid w:val="000E1DDA"/>
    <w:rsid w:val="000E1FAD"/>
    <w:rsid w:val="000E2756"/>
    <w:rsid w:val="000E2C49"/>
    <w:rsid w:val="000E32A8"/>
    <w:rsid w:val="000E3575"/>
    <w:rsid w:val="000E3AF4"/>
    <w:rsid w:val="000E3BC7"/>
    <w:rsid w:val="000E41FC"/>
    <w:rsid w:val="000E465D"/>
    <w:rsid w:val="000E46C6"/>
    <w:rsid w:val="000E4D8E"/>
    <w:rsid w:val="000E4E6C"/>
    <w:rsid w:val="000E4F2D"/>
    <w:rsid w:val="000E5E68"/>
    <w:rsid w:val="000E5EB5"/>
    <w:rsid w:val="000E6013"/>
    <w:rsid w:val="000E6237"/>
    <w:rsid w:val="000E6B88"/>
    <w:rsid w:val="000E7010"/>
    <w:rsid w:val="000E702C"/>
    <w:rsid w:val="000E7279"/>
    <w:rsid w:val="000E756E"/>
    <w:rsid w:val="000E7616"/>
    <w:rsid w:val="000F0040"/>
    <w:rsid w:val="000F0049"/>
    <w:rsid w:val="000F015D"/>
    <w:rsid w:val="000F0186"/>
    <w:rsid w:val="000F0491"/>
    <w:rsid w:val="000F0D8D"/>
    <w:rsid w:val="000F0F17"/>
    <w:rsid w:val="000F17EC"/>
    <w:rsid w:val="000F18C2"/>
    <w:rsid w:val="000F1A16"/>
    <w:rsid w:val="000F24FF"/>
    <w:rsid w:val="000F277E"/>
    <w:rsid w:val="000F280A"/>
    <w:rsid w:val="000F2D30"/>
    <w:rsid w:val="000F32C7"/>
    <w:rsid w:val="000F344A"/>
    <w:rsid w:val="000F3775"/>
    <w:rsid w:val="000F38D4"/>
    <w:rsid w:val="000F3D82"/>
    <w:rsid w:val="000F3DD9"/>
    <w:rsid w:val="000F41AE"/>
    <w:rsid w:val="000F41F4"/>
    <w:rsid w:val="000F43BE"/>
    <w:rsid w:val="000F445E"/>
    <w:rsid w:val="000F4A2B"/>
    <w:rsid w:val="000F4F89"/>
    <w:rsid w:val="000F5016"/>
    <w:rsid w:val="000F50C8"/>
    <w:rsid w:val="000F56A7"/>
    <w:rsid w:val="000F5C4F"/>
    <w:rsid w:val="000F64E8"/>
    <w:rsid w:val="000F67DD"/>
    <w:rsid w:val="000F6CBC"/>
    <w:rsid w:val="000F6E70"/>
    <w:rsid w:val="000F6EE3"/>
    <w:rsid w:val="000F711D"/>
    <w:rsid w:val="000F7279"/>
    <w:rsid w:val="000F747A"/>
    <w:rsid w:val="000F7600"/>
    <w:rsid w:val="000F7612"/>
    <w:rsid w:val="000F7CB6"/>
    <w:rsid w:val="000F7CCA"/>
    <w:rsid w:val="000F7E5F"/>
    <w:rsid w:val="001005F2"/>
    <w:rsid w:val="0010069D"/>
    <w:rsid w:val="00100743"/>
    <w:rsid w:val="00100FB1"/>
    <w:rsid w:val="00101342"/>
    <w:rsid w:val="00101432"/>
    <w:rsid w:val="0010163C"/>
    <w:rsid w:val="0010184B"/>
    <w:rsid w:val="0010185F"/>
    <w:rsid w:val="0010223B"/>
    <w:rsid w:val="0010337E"/>
    <w:rsid w:val="00103478"/>
    <w:rsid w:val="001035B8"/>
    <w:rsid w:val="00103BAF"/>
    <w:rsid w:val="001040A7"/>
    <w:rsid w:val="0010420C"/>
    <w:rsid w:val="00104483"/>
    <w:rsid w:val="001046CA"/>
    <w:rsid w:val="00104C70"/>
    <w:rsid w:val="00105340"/>
    <w:rsid w:val="001053A6"/>
    <w:rsid w:val="001053B5"/>
    <w:rsid w:val="00105528"/>
    <w:rsid w:val="00105576"/>
    <w:rsid w:val="001056A2"/>
    <w:rsid w:val="001056C8"/>
    <w:rsid w:val="00105814"/>
    <w:rsid w:val="00105911"/>
    <w:rsid w:val="00105A44"/>
    <w:rsid w:val="00105AD3"/>
    <w:rsid w:val="00105C62"/>
    <w:rsid w:val="00105DD6"/>
    <w:rsid w:val="001060EE"/>
    <w:rsid w:val="00106200"/>
    <w:rsid w:val="001065EE"/>
    <w:rsid w:val="00106C3C"/>
    <w:rsid w:val="00107A3F"/>
    <w:rsid w:val="00107EDD"/>
    <w:rsid w:val="00110391"/>
    <w:rsid w:val="00110427"/>
    <w:rsid w:val="00110AB3"/>
    <w:rsid w:val="00110F74"/>
    <w:rsid w:val="00110FA6"/>
    <w:rsid w:val="0011100B"/>
    <w:rsid w:val="001112DB"/>
    <w:rsid w:val="001114D6"/>
    <w:rsid w:val="001117D5"/>
    <w:rsid w:val="001118D7"/>
    <w:rsid w:val="00111A46"/>
    <w:rsid w:val="00111A7C"/>
    <w:rsid w:val="00111BC4"/>
    <w:rsid w:val="00111C7F"/>
    <w:rsid w:val="00111E8D"/>
    <w:rsid w:val="00112083"/>
    <w:rsid w:val="0011230E"/>
    <w:rsid w:val="001123DF"/>
    <w:rsid w:val="00112775"/>
    <w:rsid w:val="00112BEE"/>
    <w:rsid w:val="00112C38"/>
    <w:rsid w:val="00112C8E"/>
    <w:rsid w:val="00112DC0"/>
    <w:rsid w:val="001135E6"/>
    <w:rsid w:val="0011392C"/>
    <w:rsid w:val="00114369"/>
    <w:rsid w:val="001145AC"/>
    <w:rsid w:val="0011466B"/>
    <w:rsid w:val="0011468A"/>
    <w:rsid w:val="00114A5F"/>
    <w:rsid w:val="001152FA"/>
    <w:rsid w:val="0011535C"/>
    <w:rsid w:val="00115CD6"/>
    <w:rsid w:val="00115E3A"/>
    <w:rsid w:val="0011687C"/>
    <w:rsid w:val="00117981"/>
    <w:rsid w:val="00117A4D"/>
    <w:rsid w:val="001208D5"/>
    <w:rsid w:val="00120AA0"/>
    <w:rsid w:val="00121219"/>
    <w:rsid w:val="00121338"/>
    <w:rsid w:val="0012134D"/>
    <w:rsid w:val="00121375"/>
    <w:rsid w:val="001218CA"/>
    <w:rsid w:val="00121ADB"/>
    <w:rsid w:val="00121C94"/>
    <w:rsid w:val="00122595"/>
    <w:rsid w:val="001229F0"/>
    <w:rsid w:val="00122AC1"/>
    <w:rsid w:val="00122B5C"/>
    <w:rsid w:val="00122B5F"/>
    <w:rsid w:val="00122EEE"/>
    <w:rsid w:val="00123266"/>
    <w:rsid w:val="0012336E"/>
    <w:rsid w:val="001234E2"/>
    <w:rsid w:val="00123B4B"/>
    <w:rsid w:val="001241F7"/>
    <w:rsid w:val="0012490A"/>
    <w:rsid w:val="00125054"/>
    <w:rsid w:val="001252FE"/>
    <w:rsid w:val="001258D8"/>
    <w:rsid w:val="001259D6"/>
    <w:rsid w:val="00125C45"/>
    <w:rsid w:val="00125D53"/>
    <w:rsid w:val="00126A6A"/>
    <w:rsid w:val="00126D92"/>
    <w:rsid w:val="00127061"/>
    <w:rsid w:val="00127097"/>
    <w:rsid w:val="00127B73"/>
    <w:rsid w:val="00127D82"/>
    <w:rsid w:val="00127F34"/>
    <w:rsid w:val="00130314"/>
    <w:rsid w:val="00130BFC"/>
    <w:rsid w:val="00130D15"/>
    <w:rsid w:val="00131020"/>
    <w:rsid w:val="001314D0"/>
    <w:rsid w:val="00131756"/>
    <w:rsid w:val="00131B71"/>
    <w:rsid w:val="00131E76"/>
    <w:rsid w:val="0013202F"/>
    <w:rsid w:val="00132B99"/>
    <w:rsid w:val="00133491"/>
    <w:rsid w:val="0013351D"/>
    <w:rsid w:val="00133568"/>
    <w:rsid w:val="0013372F"/>
    <w:rsid w:val="0013439A"/>
    <w:rsid w:val="00134965"/>
    <w:rsid w:val="00134A6C"/>
    <w:rsid w:val="00134D0C"/>
    <w:rsid w:val="00134DDE"/>
    <w:rsid w:val="00134E0B"/>
    <w:rsid w:val="00134E63"/>
    <w:rsid w:val="00134EC3"/>
    <w:rsid w:val="0013561A"/>
    <w:rsid w:val="0013577F"/>
    <w:rsid w:val="001357B7"/>
    <w:rsid w:val="00135992"/>
    <w:rsid w:val="001360E8"/>
    <w:rsid w:val="001362BF"/>
    <w:rsid w:val="00136584"/>
    <w:rsid w:val="0013663B"/>
    <w:rsid w:val="00136AD1"/>
    <w:rsid w:val="0013746D"/>
    <w:rsid w:val="001379FA"/>
    <w:rsid w:val="001401CC"/>
    <w:rsid w:val="00140384"/>
    <w:rsid w:val="0014047D"/>
    <w:rsid w:val="001405AE"/>
    <w:rsid w:val="001405B5"/>
    <w:rsid w:val="00140AA7"/>
    <w:rsid w:val="00140C7E"/>
    <w:rsid w:val="00140D44"/>
    <w:rsid w:val="00140DCC"/>
    <w:rsid w:val="00141568"/>
    <w:rsid w:val="0014174B"/>
    <w:rsid w:val="00141B41"/>
    <w:rsid w:val="00141FC3"/>
    <w:rsid w:val="0014207B"/>
    <w:rsid w:val="001420B4"/>
    <w:rsid w:val="001421AE"/>
    <w:rsid w:val="001424EE"/>
    <w:rsid w:val="001429F4"/>
    <w:rsid w:val="00142F00"/>
    <w:rsid w:val="001433FC"/>
    <w:rsid w:val="0014359C"/>
    <w:rsid w:val="0014362B"/>
    <w:rsid w:val="00144228"/>
    <w:rsid w:val="001443BA"/>
    <w:rsid w:val="0014441D"/>
    <w:rsid w:val="00144C05"/>
    <w:rsid w:val="00144C16"/>
    <w:rsid w:val="00144D73"/>
    <w:rsid w:val="0014502D"/>
    <w:rsid w:val="00145527"/>
    <w:rsid w:val="0014570F"/>
    <w:rsid w:val="001459B0"/>
    <w:rsid w:val="00145B32"/>
    <w:rsid w:val="00145BB8"/>
    <w:rsid w:val="00145DBF"/>
    <w:rsid w:val="00146D68"/>
    <w:rsid w:val="00147A47"/>
    <w:rsid w:val="00147EA2"/>
    <w:rsid w:val="00150203"/>
    <w:rsid w:val="00150218"/>
    <w:rsid w:val="00150380"/>
    <w:rsid w:val="00150707"/>
    <w:rsid w:val="001509BC"/>
    <w:rsid w:val="0015145D"/>
    <w:rsid w:val="00151577"/>
    <w:rsid w:val="00151927"/>
    <w:rsid w:val="00151DA8"/>
    <w:rsid w:val="0015247F"/>
    <w:rsid w:val="0015266D"/>
    <w:rsid w:val="0015279C"/>
    <w:rsid w:val="00152CFB"/>
    <w:rsid w:val="00152E3E"/>
    <w:rsid w:val="00153300"/>
    <w:rsid w:val="001534D5"/>
    <w:rsid w:val="001536AA"/>
    <w:rsid w:val="001539BA"/>
    <w:rsid w:val="00153B8C"/>
    <w:rsid w:val="00153CBA"/>
    <w:rsid w:val="00153D0B"/>
    <w:rsid w:val="00154A7C"/>
    <w:rsid w:val="00154B3D"/>
    <w:rsid w:val="00154D5E"/>
    <w:rsid w:val="0015511F"/>
    <w:rsid w:val="00155610"/>
    <w:rsid w:val="001556B6"/>
    <w:rsid w:val="00155773"/>
    <w:rsid w:val="00155BB1"/>
    <w:rsid w:val="001562D8"/>
    <w:rsid w:val="00156434"/>
    <w:rsid w:val="001565CA"/>
    <w:rsid w:val="00156BCC"/>
    <w:rsid w:val="00156E60"/>
    <w:rsid w:val="001570E7"/>
    <w:rsid w:val="0015730E"/>
    <w:rsid w:val="00157759"/>
    <w:rsid w:val="00157EC7"/>
    <w:rsid w:val="00157FC8"/>
    <w:rsid w:val="001602A6"/>
    <w:rsid w:val="00160ADB"/>
    <w:rsid w:val="00160DD0"/>
    <w:rsid w:val="00160F7F"/>
    <w:rsid w:val="001615AD"/>
    <w:rsid w:val="001616A0"/>
    <w:rsid w:val="00161ACA"/>
    <w:rsid w:val="00161B1B"/>
    <w:rsid w:val="00161CD7"/>
    <w:rsid w:val="00162153"/>
    <w:rsid w:val="00162281"/>
    <w:rsid w:val="00162352"/>
    <w:rsid w:val="00162898"/>
    <w:rsid w:val="001629A0"/>
    <w:rsid w:val="00163140"/>
    <w:rsid w:val="001631F9"/>
    <w:rsid w:val="001634CA"/>
    <w:rsid w:val="00163885"/>
    <w:rsid w:val="00163BA9"/>
    <w:rsid w:val="00163EC5"/>
    <w:rsid w:val="00163FB0"/>
    <w:rsid w:val="0016420A"/>
    <w:rsid w:val="0016444E"/>
    <w:rsid w:val="00164527"/>
    <w:rsid w:val="00164638"/>
    <w:rsid w:val="001647D5"/>
    <w:rsid w:val="00164816"/>
    <w:rsid w:val="00164C6B"/>
    <w:rsid w:val="001650FB"/>
    <w:rsid w:val="00165487"/>
    <w:rsid w:val="001654BA"/>
    <w:rsid w:val="001655EA"/>
    <w:rsid w:val="00165A15"/>
    <w:rsid w:val="00165DF6"/>
    <w:rsid w:val="00165E91"/>
    <w:rsid w:val="0016624F"/>
    <w:rsid w:val="00166324"/>
    <w:rsid w:val="0016649E"/>
    <w:rsid w:val="0016655C"/>
    <w:rsid w:val="0016676D"/>
    <w:rsid w:val="00166877"/>
    <w:rsid w:val="00166D27"/>
    <w:rsid w:val="001675A1"/>
    <w:rsid w:val="00167A78"/>
    <w:rsid w:val="00167C99"/>
    <w:rsid w:val="00170400"/>
    <w:rsid w:val="0017068E"/>
    <w:rsid w:val="0017077C"/>
    <w:rsid w:val="00170B59"/>
    <w:rsid w:val="00170CEE"/>
    <w:rsid w:val="00170DF4"/>
    <w:rsid w:val="00170FDD"/>
    <w:rsid w:val="0017111D"/>
    <w:rsid w:val="0017171D"/>
    <w:rsid w:val="00171B34"/>
    <w:rsid w:val="00171BA6"/>
    <w:rsid w:val="00171F22"/>
    <w:rsid w:val="0017249F"/>
    <w:rsid w:val="0017278B"/>
    <w:rsid w:val="00172C51"/>
    <w:rsid w:val="00173620"/>
    <w:rsid w:val="00173775"/>
    <w:rsid w:val="001739E1"/>
    <w:rsid w:val="00174631"/>
    <w:rsid w:val="00174B9D"/>
    <w:rsid w:val="00174BB8"/>
    <w:rsid w:val="00174BCF"/>
    <w:rsid w:val="00174D4A"/>
    <w:rsid w:val="00174E9C"/>
    <w:rsid w:val="00174EF0"/>
    <w:rsid w:val="00175014"/>
    <w:rsid w:val="0017554B"/>
    <w:rsid w:val="001756B8"/>
    <w:rsid w:val="00175890"/>
    <w:rsid w:val="001758DE"/>
    <w:rsid w:val="001761C7"/>
    <w:rsid w:val="001763C0"/>
    <w:rsid w:val="00176475"/>
    <w:rsid w:val="001766D3"/>
    <w:rsid w:val="001767C6"/>
    <w:rsid w:val="00176912"/>
    <w:rsid w:val="0017691E"/>
    <w:rsid w:val="00176C23"/>
    <w:rsid w:val="00176C62"/>
    <w:rsid w:val="00177065"/>
    <w:rsid w:val="00177903"/>
    <w:rsid w:val="00177A72"/>
    <w:rsid w:val="00177D17"/>
    <w:rsid w:val="00177DAA"/>
    <w:rsid w:val="00177DB1"/>
    <w:rsid w:val="00180FBB"/>
    <w:rsid w:val="0018108F"/>
    <w:rsid w:val="001816EF"/>
    <w:rsid w:val="00181857"/>
    <w:rsid w:val="001818A5"/>
    <w:rsid w:val="00181B04"/>
    <w:rsid w:val="00181DAC"/>
    <w:rsid w:val="00181F94"/>
    <w:rsid w:val="001820B5"/>
    <w:rsid w:val="001820B8"/>
    <w:rsid w:val="00182124"/>
    <w:rsid w:val="0018294C"/>
    <w:rsid w:val="0018347B"/>
    <w:rsid w:val="001836FC"/>
    <w:rsid w:val="001841CE"/>
    <w:rsid w:val="00184577"/>
    <w:rsid w:val="00184601"/>
    <w:rsid w:val="0018462E"/>
    <w:rsid w:val="00184661"/>
    <w:rsid w:val="00184CE5"/>
    <w:rsid w:val="00184DF7"/>
    <w:rsid w:val="00184EAE"/>
    <w:rsid w:val="00185469"/>
    <w:rsid w:val="0018557D"/>
    <w:rsid w:val="001856CB"/>
    <w:rsid w:val="001857F4"/>
    <w:rsid w:val="001859CB"/>
    <w:rsid w:val="00185B9D"/>
    <w:rsid w:val="00185BD2"/>
    <w:rsid w:val="00185D21"/>
    <w:rsid w:val="001861CE"/>
    <w:rsid w:val="0018639E"/>
    <w:rsid w:val="00186988"/>
    <w:rsid w:val="00186EA1"/>
    <w:rsid w:val="00187220"/>
    <w:rsid w:val="001876EC"/>
    <w:rsid w:val="0018785F"/>
    <w:rsid w:val="00187C21"/>
    <w:rsid w:val="00187FC7"/>
    <w:rsid w:val="00190090"/>
    <w:rsid w:val="001909CC"/>
    <w:rsid w:val="00191142"/>
    <w:rsid w:val="00191199"/>
    <w:rsid w:val="00191202"/>
    <w:rsid w:val="00191578"/>
    <w:rsid w:val="00191CC9"/>
    <w:rsid w:val="00191D14"/>
    <w:rsid w:val="00191E58"/>
    <w:rsid w:val="00191F09"/>
    <w:rsid w:val="001923F8"/>
    <w:rsid w:val="00192C30"/>
    <w:rsid w:val="00192C6E"/>
    <w:rsid w:val="00193162"/>
    <w:rsid w:val="00193268"/>
    <w:rsid w:val="001937DF"/>
    <w:rsid w:val="00193809"/>
    <w:rsid w:val="001938F8"/>
    <w:rsid w:val="00193B0C"/>
    <w:rsid w:val="00193B63"/>
    <w:rsid w:val="00193D7A"/>
    <w:rsid w:val="00194113"/>
    <w:rsid w:val="0019445C"/>
    <w:rsid w:val="00194F15"/>
    <w:rsid w:val="001955F1"/>
    <w:rsid w:val="001956FE"/>
    <w:rsid w:val="00195A33"/>
    <w:rsid w:val="00195B8D"/>
    <w:rsid w:val="00196319"/>
    <w:rsid w:val="001965D8"/>
    <w:rsid w:val="00196647"/>
    <w:rsid w:val="001967A3"/>
    <w:rsid w:val="00196B48"/>
    <w:rsid w:val="00196C9F"/>
    <w:rsid w:val="00196CCC"/>
    <w:rsid w:val="00196E83"/>
    <w:rsid w:val="00197307"/>
    <w:rsid w:val="00197388"/>
    <w:rsid w:val="00197B3D"/>
    <w:rsid w:val="001A010C"/>
    <w:rsid w:val="001A02F6"/>
    <w:rsid w:val="001A0511"/>
    <w:rsid w:val="001A05AD"/>
    <w:rsid w:val="001A0E2C"/>
    <w:rsid w:val="001A1311"/>
    <w:rsid w:val="001A1394"/>
    <w:rsid w:val="001A1ACA"/>
    <w:rsid w:val="001A2050"/>
    <w:rsid w:val="001A206E"/>
    <w:rsid w:val="001A216A"/>
    <w:rsid w:val="001A2548"/>
    <w:rsid w:val="001A2654"/>
    <w:rsid w:val="001A2C6B"/>
    <w:rsid w:val="001A2D37"/>
    <w:rsid w:val="001A2DB4"/>
    <w:rsid w:val="001A30A2"/>
    <w:rsid w:val="001A30E6"/>
    <w:rsid w:val="001A333A"/>
    <w:rsid w:val="001A347C"/>
    <w:rsid w:val="001A360E"/>
    <w:rsid w:val="001A3834"/>
    <w:rsid w:val="001A40ED"/>
    <w:rsid w:val="001A40F3"/>
    <w:rsid w:val="001A4B7F"/>
    <w:rsid w:val="001A4C12"/>
    <w:rsid w:val="001A4E4C"/>
    <w:rsid w:val="001A4FB6"/>
    <w:rsid w:val="001A5044"/>
    <w:rsid w:val="001A5311"/>
    <w:rsid w:val="001A57BF"/>
    <w:rsid w:val="001A58A4"/>
    <w:rsid w:val="001A5ABA"/>
    <w:rsid w:val="001A5BB4"/>
    <w:rsid w:val="001A5CDF"/>
    <w:rsid w:val="001A5FBC"/>
    <w:rsid w:val="001A61E9"/>
    <w:rsid w:val="001A653B"/>
    <w:rsid w:val="001A6722"/>
    <w:rsid w:val="001A6B76"/>
    <w:rsid w:val="001A6D0E"/>
    <w:rsid w:val="001A6D5A"/>
    <w:rsid w:val="001A6F30"/>
    <w:rsid w:val="001A6F3D"/>
    <w:rsid w:val="001A7023"/>
    <w:rsid w:val="001A7C85"/>
    <w:rsid w:val="001A7CAC"/>
    <w:rsid w:val="001A7E91"/>
    <w:rsid w:val="001B0086"/>
    <w:rsid w:val="001B02EC"/>
    <w:rsid w:val="001B060E"/>
    <w:rsid w:val="001B06EE"/>
    <w:rsid w:val="001B0A5C"/>
    <w:rsid w:val="001B0D04"/>
    <w:rsid w:val="001B0E43"/>
    <w:rsid w:val="001B1015"/>
    <w:rsid w:val="001B12EF"/>
    <w:rsid w:val="001B1628"/>
    <w:rsid w:val="001B18CD"/>
    <w:rsid w:val="001B1A7A"/>
    <w:rsid w:val="001B1D0A"/>
    <w:rsid w:val="001B2061"/>
    <w:rsid w:val="001B2560"/>
    <w:rsid w:val="001B2819"/>
    <w:rsid w:val="001B2B40"/>
    <w:rsid w:val="001B2D28"/>
    <w:rsid w:val="001B2DD1"/>
    <w:rsid w:val="001B2DEA"/>
    <w:rsid w:val="001B4ADF"/>
    <w:rsid w:val="001B5098"/>
    <w:rsid w:val="001B6393"/>
    <w:rsid w:val="001B6748"/>
    <w:rsid w:val="001B6CBF"/>
    <w:rsid w:val="001B6CEC"/>
    <w:rsid w:val="001B71D5"/>
    <w:rsid w:val="001B781D"/>
    <w:rsid w:val="001B7943"/>
    <w:rsid w:val="001C0550"/>
    <w:rsid w:val="001C090C"/>
    <w:rsid w:val="001C0B02"/>
    <w:rsid w:val="001C127E"/>
    <w:rsid w:val="001C1444"/>
    <w:rsid w:val="001C153A"/>
    <w:rsid w:val="001C184E"/>
    <w:rsid w:val="001C1B5B"/>
    <w:rsid w:val="001C1BF0"/>
    <w:rsid w:val="001C1C28"/>
    <w:rsid w:val="001C1F7E"/>
    <w:rsid w:val="001C203C"/>
    <w:rsid w:val="001C24CC"/>
    <w:rsid w:val="001C2603"/>
    <w:rsid w:val="001C2780"/>
    <w:rsid w:val="001C2C22"/>
    <w:rsid w:val="001C32EE"/>
    <w:rsid w:val="001C33F6"/>
    <w:rsid w:val="001C3519"/>
    <w:rsid w:val="001C46E0"/>
    <w:rsid w:val="001C47D1"/>
    <w:rsid w:val="001C4864"/>
    <w:rsid w:val="001C4DA2"/>
    <w:rsid w:val="001C4DB4"/>
    <w:rsid w:val="001C4F02"/>
    <w:rsid w:val="001C50F8"/>
    <w:rsid w:val="001C540C"/>
    <w:rsid w:val="001C55F5"/>
    <w:rsid w:val="001C63C3"/>
    <w:rsid w:val="001C64B3"/>
    <w:rsid w:val="001C6764"/>
    <w:rsid w:val="001C67CF"/>
    <w:rsid w:val="001C6810"/>
    <w:rsid w:val="001C6823"/>
    <w:rsid w:val="001C68F4"/>
    <w:rsid w:val="001C6B53"/>
    <w:rsid w:val="001C6BFA"/>
    <w:rsid w:val="001C6D1E"/>
    <w:rsid w:val="001C73B3"/>
    <w:rsid w:val="001C775C"/>
    <w:rsid w:val="001C7F91"/>
    <w:rsid w:val="001D01B9"/>
    <w:rsid w:val="001D03E8"/>
    <w:rsid w:val="001D05DF"/>
    <w:rsid w:val="001D1250"/>
    <w:rsid w:val="001D15ED"/>
    <w:rsid w:val="001D17C5"/>
    <w:rsid w:val="001D1D65"/>
    <w:rsid w:val="001D1DFA"/>
    <w:rsid w:val="001D25CD"/>
    <w:rsid w:val="001D2FBC"/>
    <w:rsid w:val="001D39D6"/>
    <w:rsid w:val="001D3F8D"/>
    <w:rsid w:val="001D4037"/>
    <w:rsid w:val="001D4084"/>
    <w:rsid w:val="001D4216"/>
    <w:rsid w:val="001D42E4"/>
    <w:rsid w:val="001D47CB"/>
    <w:rsid w:val="001D4985"/>
    <w:rsid w:val="001D51B6"/>
    <w:rsid w:val="001D54BD"/>
    <w:rsid w:val="001D54E1"/>
    <w:rsid w:val="001D565C"/>
    <w:rsid w:val="001D5669"/>
    <w:rsid w:val="001D5A1D"/>
    <w:rsid w:val="001D5A78"/>
    <w:rsid w:val="001D6079"/>
    <w:rsid w:val="001D65A5"/>
    <w:rsid w:val="001D67CE"/>
    <w:rsid w:val="001D6BFD"/>
    <w:rsid w:val="001D6DE9"/>
    <w:rsid w:val="001D6DEC"/>
    <w:rsid w:val="001D6E4B"/>
    <w:rsid w:val="001D6F41"/>
    <w:rsid w:val="001D7105"/>
    <w:rsid w:val="001D7212"/>
    <w:rsid w:val="001D7293"/>
    <w:rsid w:val="001D731F"/>
    <w:rsid w:val="001D7910"/>
    <w:rsid w:val="001E0471"/>
    <w:rsid w:val="001E0755"/>
    <w:rsid w:val="001E1002"/>
    <w:rsid w:val="001E1197"/>
    <w:rsid w:val="001E1933"/>
    <w:rsid w:val="001E1C43"/>
    <w:rsid w:val="001E1F13"/>
    <w:rsid w:val="001E200A"/>
    <w:rsid w:val="001E2296"/>
    <w:rsid w:val="001E2868"/>
    <w:rsid w:val="001E288F"/>
    <w:rsid w:val="001E2C30"/>
    <w:rsid w:val="001E2FDC"/>
    <w:rsid w:val="001E3099"/>
    <w:rsid w:val="001E3380"/>
    <w:rsid w:val="001E33EF"/>
    <w:rsid w:val="001E34F1"/>
    <w:rsid w:val="001E3521"/>
    <w:rsid w:val="001E3548"/>
    <w:rsid w:val="001E39FF"/>
    <w:rsid w:val="001E3EF9"/>
    <w:rsid w:val="001E40E3"/>
    <w:rsid w:val="001E415E"/>
    <w:rsid w:val="001E44A8"/>
    <w:rsid w:val="001E4662"/>
    <w:rsid w:val="001E469C"/>
    <w:rsid w:val="001E4857"/>
    <w:rsid w:val="001E4B2A"/>
    <w:rsid w:val="001E4B37"/>
    <w:rsid w:val="001E4B83"/>
    <w:rsid w:val="001E4CFD"/>
    <w:rsid w:val="001E4D3D"/>
    <w:rsid w:val="001E4E29"/>
    <w:rsid w:val="001E5349"/>
    <w:rsid w:val="001E5407"/>
    <w:rsid w:val="001E5813"/>
    <w:rsid w:val="001E5A38"/>
    <w:rsid w:val="001E609C"/>
    <w:rsid w:val="001E6626"/>
    <w:rsid w:val="001E75DD"/>
    <w:rsid w:val="001E7A31"/>
    <w:rsid w:val="001E7BE9"/>
    <w:rsid w:val="001E7E68"/>
    <w:rsid w:val="001F0022"/>
    <w:rsid w:val="001F00C7"/>
    <w:rsid w:val="001F0131"/>
    <w:rsid w:val="001F0245"/>
    <w:rsid w:val="001F03CA"/>
    <w:rsid w:val="001F049E"/>
    <w:rsid w:val="001F07D6"/>
    <w:rsid w:val="001F0D03"/>
    <w:rsid w:val="001F127E"/>
    <w:rsid w:val="001F1330"/>
    <w:rsid w:val="001F13FC"/>
    <w:rsid w:val="001F1F8F"/>
    <w:rsid w:val="001F21E5"/>
    <w:rsid w:val="001F2360"/>
    <w:rsid w:val="001F265F"/>
    <w:rsid w:val="001F3A50"/>
    <w:rsid w:val="001F3F8A"/>
    <w:rsid w:val="001F3FE9"/>
    <w:rsid w:val="001F4140"/>
    <w:rsid w:val="001F4145"/>
    <w:rsid w:val="001F420C"/>
    <w:rsid w:val="001F44D8"/>
    <w:rsid w:val="001F4515"/>
    <w:rsid w:val="001F463D"/>
    <w:rsid w:val="001F474F"/>
    <w:rsid w:val="001F4DDE"/>
    <w:rsid w:val="001F4FBA"/>
    <w:rsid w:val="001F55C8"/>
    <w:rsid w:val="001F5C9F"/>
    <w:rsid w:val="001F5ECF"/>
    <w:rsid w:val="001F655E"/>
    <w:rsid w:val="001F66C0"/>
    <w:rsid w:val="001F6AD3"/>
    <w:rsid w:val="001F6B66"/>
    <w:rsid w:val="001F7164"/>
    <w:rsid w:val="001F716A"/>
    <w:rsid w:val="001F73BF"/>
    <w:rsid w:val="001F7776"/>
    <w:rsid w:val="001F796C"/>
    <w:rsid w:val="001F7AC7"/>
    <w:rsid w:val="001F7EC6"/>
    <w:rsid w:val="0020051C"/>
    <w:rsid w:val="00200C46"/>
    <w:rsid w:val="002015D0"/>
    <w:rsid w:val="00201ADA"/>
    <w:rsid w:val="00201C21"/>
    <w:rsid w:val="00201CD3"/>
    <w:rsid w:val="00201E0E"/>
    <w:rsid w:val="00201E73"/>
    <w:rsid w:val="002025BE"/>
    <w:rsid w:val="00202613"/>
    <w:rsid w:val="002027DA"/>
    <w:rsid w:val="00202ADB"/>
    <w:rsid w:val="0020304C"/>
    <w:rsid w:val="002038F8"/>
    <w:rsid w:val="002039A2"/>
    <w:rsid w:val="00203B55"/>
    <w:rsid w:val="00203B6E"/>
    <w:rsid w:val="00203C4B"/>
    <w:rsid w:val="00204107"/>
    <w:rsid w:val="00204295"/>
    <w:rsid w:val="00204B6C"/>
    <w:rsid w:val="0020518D"/>
    <w:rsid w:val="002058F5"/>
    <w:rsid w:val="00205D63"/>
    <w:rsid w:val="00205FCA"/>
    <w:rsid w:val="002069DD"/>
    <w:rsid w:val="00206F0B"/>
    <w:rsid w:val="00207F3C"/>
    <w:rsid w:val="002102EF"/>
    <w:rsid w:val="00210631"/>
    <w:rsid w:val="00210849"/>
    <w:rsid w:val="00210937"/>
    <w:rsid w:val="00210A99"/>
    <w:rsid w:val="00210AB6"/>
    <w:rsid w:val="00210ABE"/>
    <w:rsid w:val="00211074"/>
    <w:rsid w:val="0021125B"/>
    <w:rsid w:val="0021129A"/>
    <w:rsid w:val="00211A9C"/>
    <w:rsid w:val="002122FF"/>
    <w:rsid w:val="00212406"/>
    <w:rsid w:val="00212760"/>
    <w:rsid w:val="00212EE3"/>
    <w:rsid w:val="00212F23"/>
    <w:rsid w:val="0021358F"/>
    <w:rsid w:val="00213C97"/>
    <w:rsid w:val="00213F72"/>
    <w:rsid w:val="002142BA"/>
    <w:rsid w:val="002142E6"/>
    <w:rsid w:val="00214926"/>
    <w:rsid w:val="0021494A"/>
    <w:rsid w:val="00214A1B"/>
    <w:rsid w:val="00214F8C"/>
    <w:rsid w:val="002151D4"/>
    <w:rsid w:val="0021529A"/>
    <w:rsid w:val="0021554A"/>
    <w:rsid w:val="00215586"/>
    <w:rsid w:val="00215844"/>
    <w:rsid w:val="002159F7"/>
    <w:rsid w:val="00215B2E"/>
    <w:rsid w:val="00215FCB"/>
    <w:rsid w:val="0021604B"/>
    <w:rsid w:val="00216110"/>
    <w:rsid w:val="00216713"/>
    <w:rsid w:val="00217174"/>
    <w:rsid w:val="002178F2"/>
    <w:rsid w:val="00217BFE"/>
    <w:rsid w:val="00217E40"/>
    <w:rsid w:val="002202CD"/>
    <w:rsid w:val="002204C7"/>
    <w:rsid w:val="002206F6"/>
    <w:rsid w:val="00220B21"/>
    <w:rsid w:val="00220DF2"/>
    <w:rsid w:val="002212AE"/>
    <w:rsid w:val="00221331"/>
    <w:rsid w:val="00221871"/>
    <w:rsid w:val="002218BA"/>
    <w:rsid w:val="002229BE"/>
    <w:rsid w:val="00222D69"/>
    <w:rsid w:val="00222E31"/>
    <w:rsid w:val="00223371"/>
    <w:rsid w:val="002234CD"/>
    <w:rsid w:val="002237DB"/>
    <w:rsid w:val="00223992"/>
    <w:rsid w:val="002240DA"/>
    <w:rsid w:val="002242F0"/>
    <w:rsid w:val="00224972"/>
    <w:rsid w:val="00224C6F"/>
    <w:rsid w:val="00225086"/>
    <w:rsid w:val="00225472"/>
    <w:rsid w:val="0022567A"/>
    <w:rsid w:val="002256E5"/>
    <w:rsid w:val="00225916"/>
    <w:rsid w:val="00225A4F"/>
    <w:rsid w:val="00225B01"/>
    <w:rsid w:val="00225C33"/>
    <w:rsid w:val="00225E0A"/>
    <w:rsid w:val="00225EC5"/>
    <w:rsid w:val="0022609D"/>
    <w:rsid w:val="0022648E"/>
    <w:rsid w:val="002264FC"/>
    <w:rsid w:val="00226503"/>
    <w:rsid w:val="00226D19"/>
    <w:rsid w:val="00226E35"/>
    <w:rsid w:val="002278BA"/>
    <w:rsid w:val="00227948"/>
    <w:rsid w:val="00227AEC"/>
    <w:rsid w:val="00227CD7"/>
    <w:rsid w:val="00227E6D"/>
    <w:rsid w:val="0023065F"/>
    <w:rsid w:val="00230860"/>
    <w:rsid w:val="00230B0A"/>
    <w:rsid w:val="0023102B"/>
    <w:rsid w:val="00231190"/>
    <w:rsid w:val="002316AC"/>
    <w:rsid w:val="002316AF"/>
    <w:rsid w:val="00231963"/>
    <w:rsid w:val="00231F35"/>
    <w:rsid w:val="00231F47"/>
    <w:rsid w:val="0023205A"/>
    <w:rsid w:val="002328D1"/>
    <w:rsid w:val="00232E4C"/>
    <w:rsid w:val="00232EE0"/>
    <w:rsid w:val="00232F4D"/>
    <w:rsid w:val="00233125"/>
    <w:rsid w:val="0023330D"/>
    <w:rsid w:val="002333AB"/>
    <w:rsid w:val="002333BB"/>
    <w:rsid w:val="0023366A"/>
    <w:rsid w:val="00233714"/>
    <w:rsid w:val="002339D0"/>
    <w:rsid w:val="00234833"/>
    <w:rsid w:val="002348E9"/>
    <w:rsid w:val="00234CAA"/>
    <w:rsid w:val="00234E79"/>
    <w:rsid w:val="00235609"/>
    <w:rsid w:val="00235D72"/>
    <w:rsid w:val="00235DF7"/>
    <w:rsid w:val="00235F23"/>
    <w:rsid w:val="00236283"/>
    <w:rsid w:val="002363D8"/>
    <w:rsid w:val="00236727"/>
    <w:rsid w:val="00236781"/>
    <w:rsid w:val="00236A49"/>
    <w:rsid w:val="00236BCC"/>
    <w:rsid w:val="00236F45"/>
    <w:rsid w:val="00236F9E"/>
    <w:rsid w:val="00237825"/>
    <w:rsid w:val="00237849"/>
    <w:rsid w:val="002379C9"/>
    <w:rsid w:val="00237D37"/>
    <w:rsid w:val="0024038D"/>
    <w:rsid w:val="00240F82"/>
    <w:rsid w:val="00240FC5"/>
    <w:rsid w:val="002410ED"/>
    <w:rsid w:val="002411BA"/>
    <w:rsid w:val="0024126B"/>
    <w:rsid w:val="002414C9"/>
    <w:rsid w:val="00241551"/>
    <w:rsid w:val="00241552"/>
    <w:rsid w:val="00241CF4"/>
    <w:rsid w:val="00241F5B"/>
    <w:rsid w:val="00241FF6"/>
    <w:rsid w:val="00242073"/>
    <w:rsid w:val="00242C6D"/>
    <w:rsid w:val="00242CEC"/>
    <w:rsid w:val="00242E73"/>
    <w:rsid w:val="0024331F"/>
    <w:rsid w:val="00243A5A"/>
    <w:rsid w:val="00243AE6"/>
    <w:rsid w:val="00243CEA"/>
    <w:rsid w:val="00244428"/>
    <w:rsid w:val="0024528A"/>
    <w:rsid w:val="00245CE8"/>
    <w:rsid w:val="00245DB4"/>
    <w:rsid w:val="00245DE9"/>
    <w:rsid w:val="00245F1B"/>
    <w:rsid w:val="00245F1F"/>
    <w:rsid w:val="00246524"/>
    <w:rsid w:val="002469A7"/>
    <w:rsid w:val="00246F05"/>
    <w:rsid w:val="00246F42"/>
    <w:rsid w:val="00247071"/>
    <w:rsid w:val="00247AA3"/>
    <w:rsid w:val="00247AF1"/>
    <w:rsid w:val="00247B97"/>
    <w:rsid w:val="00247C2E"/>
    <w:rsid w:val="002500FA"/>
    <w:rsid w:val="00250296"/>
    <w:rsid w:val="002509CE"/>
    <w:rsid w:val="00250D71"/>
    <w:rsid w:val="00250E13"/>
    <w:rsid w:val="0025106C"/>
    <w:rsid w:val="0025106D"/>
    <w:rsid w:val="002512E6"/>
    <w:rsid w:val="00251334"/>
    <w:rsid w:val="00251AF7"/>
    <w:rsid w:val="00251C84"/>
    <w:rsid w:val="00251EB6"/>
    <w:rsid w:val="00252301"/>
    <w:rsid w:val="00252870"/>
    <w:rsid w:val="002528BC"/>
    <w:rsid w:val="002528C5"/>
    <w:rsid w:val="00253143"/>
    <w:rsid w:val="002532AC"/>
    <w:rsid w:val="002537D8"/>
    <w:rsid w:val="0025410C"/>
    <w:rsid w:val="00254175"/>
    <w:rsid w:val="00254520"/>
    <w:rsid w:val="00254C1F"/>
    <w:rsid w:val="00254CE7"/>
    <w:rsid w:val="00254EA5"/>
    <w:rsid w:val="00254EF9"/>
    <w:rsid w:val="002550A7"/>
    <w:rsid w:val="002553FA"/>
    <w:rsid w:val="00255458"/>
    <w:rsid w:val="002558C9"/>
    <w:rsid w:val="00255C3D"/>
    <w:rsid w:val="002561F3"/>
    <w:rsid w:val="002568D4"/>
    <w:rsid w:val="00256CD9"/>
    <w:rsid w:val="00256D90"/>
    <w:rsid w:val="00257574"/>
    <w:rsid w:val="00260400"/>
    <w:rsid w:val="0026172A"/>
    <w:rsid w:val="00261984"/>
    <w:rsid w:val="00261AA8"/>
    <w:rsid w:val="00261F6E"/>
    <w:rsid w:val="002621C9"/>
    <w:rsid w:val="00262293"/>
    <w:rsid w:val="00262934"/>
    <w:rsid w:val="00262956"/>
    <w:rsid w:val="00262C7F"/>
    <w:rsid w:val="00263392"/>
    <w:rsid w:val="002634D6"/>
    <w:rsid w:val="0026369A"/>
    <w:rsid w:val="00263A02"/>
    <w:rsid w:val="00263D7A"/>
    <w:rsid w:val="002640F2"/>
    <w:rsid w:val="00264178"/>
    <w:rsid w:val="00264DBD"/>
    <w:rsid w:val="00264ED1"/>
    <w:rsid w:val="00264EE9"/>
    <w:rsid w:val="00264F58"/>
    <w:rsid w:val="002650A5"/>
    <w:rsid w:val="00265264"/>
    <w:rsid w:val="00265368"/>
    <w:rsid w:val="00265854"/>
    <w:rsid w:val="002658C8"/>
    <w:rsid w:val="00265A5A"/>
    <w:rsid w:val="00265AEA"/>
    <w:rsid w:val="00265E37"/>
    <w:rsid w:val="00266034"/>
    <w:rsid w:val="0026639E"/>
    <w:rsid w:val="00266A23"/>
    <w:rsid w:val="00266D60"/>
    <w:rsid w:val="0026735D"/>
    <w:rsid w:val="002702E6"/>
    <w:rsid w:val="00270743"/>
    <w:rsid w:val="00270AD9"/>
    <w:rsid w:val="00270B9D"/>
    <w:rsid w:val="00270C2A"/>
    <w:rsid w:val="00270E83"/>
    <w:rsid w:val="002714AE"/>
    <w:rsid w:val="00272D06"/>
    <w:rsid w:val="00273102"/>
    <w:rsid w:val="00273375"/>
    <w:rsid w:val="00273405"/>
    <w:rsid w:val="00273584"/>
    <w:rsid w:val="0027378C"/>
    <w:rsid w:val="00273C5B"/>
    <w:rsid w:val="00273D77"/>
    <w:rsid w:val="00274227"/>
    <w:rsid w:val="0027433C"/>
    <w:rsid w:val="00274ACA"/>
    <w:rsid w:val="00274B19"/>
    <w:rsid w:val="00274C12"/>
    <w:rsid w:val="00274EAD"/>
    <w:rsid w:val="0027529E"/>
    <w:rsid w:val="002753BF"/>
    <w:rsid w:val="00275452"/>
    <w:rsid w:val="0027552F"/>
    <w:rsid w:val="00275F9D"/>
    <w:rsid w:val="00276205"/>
    <w:rsid w:val="0027636C"/>
    <w:rsid w:val="002763C7"/>
    <w:rsid w:val="00276502"/>
    <w:rsid w:val="00276A9E"/>
    <w:rsid w:val="00276B5F"/>
    <w:rsid w:val="00276D30"/>
    <w:rsid w:val="00277028"/>
    <w:rsid w:val="00277154"/>
    <w:rsid w:val="002771C4"/>
    <w:rsid w:val="00277508"/>
    <w:rsid w:val="00277D6F"/>
    <w:rsid w:val="0028024E"/>
    <w:rsid w:val="00280698"/>
    <w:rsid w:val="00280891"/>
    <w:rsid w:val="0028143B"/>
    <w:rsid w:val="0028159D"/>
    <w:rsid w:val="00281AD8"/>
    <w:rsid w:val="00281B53"/>
    <w:rsid w:val="00281F89"/>
    <w:rsid w:val="002828BE"/>
    <w:rsid w:val="00283264"/>
    <w:rsid w:val="00283314"/>
    <w:rsid w:val="0028358B"/>
    <w:rsid w:val="002837B3"/>
    <w:rsid w:val="00283E02"/>
    <w:rsid w:val="002847B8"/>
    <w:rsid w:val="00284AAB"/>
    <w:rsid w:val="00284BA4"/>
    <w:rsid w:val="00284BE7"/>
    <w:rsid w:val="00284C26"/>
    <w:rsid w:val="00284C60"/>
    <w:rsid w:val="00284E95"/>
    <w:rsid w:val="00285192"/>
    <w:rsid w:val="00285227"/>
    <w:rsid w:val="00285346"/>
    <w:rsid w:val="00285394"/>
    <w:rsid w:val="002856E7"/>
    <w:rsid w:val="00285ABA"/>
    <w:rsid w:val="00285D1D"/>
    <w:rsid w:val="00285D82"/>
    <w:rsid w:val="0028609D"/>
    <w:rsid w:val="002860C3"/>
    <w:rsid w:val="002865FA"/>
    <w:rsid w:val="00286941"/>
    <w:rsid w:val="00286AAD"/>
    <w:rsid w:val="002872F3"/>
    <w:rsid w:val="002875E3"/>
    <w:rsid w:val="00287642"/>
    <w:rsid w:val="002876D7"/>
    <w:rsid w:val="00287888"/>
    <w:rsid w:val="00287B83"/>
    <w:rsid w:val="0029036B"/>
    <w:rsid w:val="002905D9"/>
    <w:rsid w:val="00290AC7"/>
    <w:rsid w:val="00290B02"/>
    <w:rsid w:val="00290DF9"/>
    <w:rsid w:val="00291212"/>
    <w:rsid w:val="002912DF"/>
    <w:rsid w:val="00291A30"/>
    <w:rsid w:val="00291D11"/>
    <w:rsid w:val="00292850"/>
    <w:rsid w:val="00292B83"/>
    <w:rsid w:val="00292DA5"/>
    <w:rsid w:val="0029394F"/>
    <w:rsid w:val="00294038"/>
    <w:rsid w:val="0029419C"/>
    <w:rsid w:val="0029419E"/>
    <w:rsid w:val="002944FC"/>
    <w:rsid w:val="00294950"/>
    <w:rsid w:val="00295619"/>
    <w:rsid w:val="00295653"/>
    <w:rsid w:val="002958AF"/>
    <w:rsid w:val="00295AD4"/>
    <w:rsid w:val="00295C62"/>
    <w:rsid w:val="00295E18"/>
    <w:rsid w:val="00295EF0"/>
    <w:rsid w:val="0029654B"/>
    <w:rsid w:val="00296BA5"/>
    <w:rsid w:val="00296C28"/>
    <w:rsid w:val="00296CE8"/>
    <w:rsid w:val="00296F96"/>
    <w:rsid w:val="0029709D"/>
    <w:rsid w:val="0029712B"/>
    <w:rsid w:val="002975FC"/>
    <w:rsid w:val="0029774E"/>
    <w:rsid w:val="00297822"/>
    <w:rsid w:val="002978C9"/>
    <w:rsid w:val="0029791F"/>
    <w:rsid w:val="00297A18"/>
    <w:rsid w:val="00297BF6"/>
    <w:rsid w:val="002A0295"/>
    <w:rsid w:val="002A032F"/>
    <w:rsid w:val="002A03E8"/>
    <w:rsid w:val="002A047F"/>
    <w:rsid w:val="002A0596"/>
    <w:rsid w:val="002A0825"/>
    <w:rsid w:val="002A0C58"/>
    <w:rsid w:val="002A1010"/>
    <w:rsid w:val="002A1074"/>
    <w:rsid w:val="002A1167"/>
    <w:rsid w:val="002A19AF"/>
    <w:rsid w:val="002A1E2B"/>
    <w:rsid w:val="002A2061"/>
    <w:rsid w:val="002A231A"/>
    <w:rsid w:val="002A2E1B"/>
    <w:rsid w:val="002A2EDF"/>
    <w:rsid w:val="002A31FC"/>
    <w:rsid w:val="002A35F8"/>
    <w:rsid w:val="002A3964"/>
    <w:rsid w:val="002A39C6"/>
    <w:rsid w:val="002A3A3E"/>
    <w:rsid w:val="002A4125"/>
    <w:rsid w:val="002A4454"/>
    <w:rsid w:val="002A4EB4"/>
    <w:rsid w:val="002A4FD4"/>
    <w:rsid w:val="002A51D4"/>
    <w:rsid w:val="002A52A0"/>
    <w:rsid w:val="002A52AF"/>
    <w:rsid w:val="002A57D9"/>
    <w:rsid w:val="002A5D1F"/>
    <w:rsid w:val="002A60CC"/>
    <w:rsid w:val="002A61ED"/>
    <w:rsid w:val="002A62E3"/>
    <w:rsid w:val="002A674D"/>
    <w:rsid w:val="002A6B28"/>
    <w:rsid w:val="002A6C57"/>
    <w:rsid w:val="002A7350"/>
    <w:rsid w:val="002A741C"/>
    <w:rsid w:val="002A778D"/>
    <w:rsid w:val="002A77B8"/>
    <w:rsid w:val="002A7ACE"/>
    <w:rsid w:val="002A7C02"/>
    <w:rsid w:val="002A7E35"/>
    <w:rsid w:val="002A7F5B"/>
    <w:rsid w:val="002A7FD0"/>
    <w:rsid w:val="002B058D"/>
    <w:rsid w:val="002B0B18"/>
    <w:rsid w:val="002B0BEC"/>
    <w:rsid w:val="002B0D2A"/>
    <w:rsid w:val="002B0D79"/>
    <w:rsid w:val="002B1383"/>
    <w:rsid w:val="002B1490"/>
    <w:rsid w:val="002B15A6"/>
    <w:rsid w:val="002B1666"/>
    <w:rsid w:val="002B1ACD"/>
    <w:rsid w:val="002B21F9"/>
    <w:rsid w:val="002B269B"/>
    <w:rsid w:val="002B275D"/>
    <w:rsid w:val="002B2782"/>
    <w:rsid w:val="002B2968"/>
    <w:rsid w:val="002B2EA1"/>
    <w:rsid w:val="002B3000"/>
    <w:rsid w:val="002B3533"/>
    <w:rsid w:val="002B38B5"/>
    <w:rsid w:val="002B3BED"/>
    <w:rsid w:val="002B3D8E"/>
    <w:rsid w:val="002B453F"/>
    <w:rsid w:val="002B489C"/>
    <w:rsid w:val="002B49E2"/>
    <w:rsid w:val="002B4A6E"/>
    <w:rsid w:val="002B50A1"/>
    <w:rsid w:val="002B5BBB"/>
    <w:rsid w:val="002B5F51"/>
    <w:rsid w:val="002B610C"/>
    <w:rsid w:val="002B6260"/>
    <w:rsid w:val="002B67F5"/>
    <w:rsid w:val="002B6826"/>
    <w:rsid w:val="002B68DE"/>
    <w:rsid w:val="002B6B32"/>
    <w:rsid w:val="002B783B"/>
    <w:rsid w:val="002B796F"/>
    <w:rsid w:val="002B7982"/>
    <w:rsid w:val="002C08CB"/>
    <w:rsid w:val="002C11AE"/>
    <w:rsid w:val="002C149E"/>
    <w:rsid w:val="002C1567"/>
    <w:rsid w:val="002C1638"/>
    <w:rsid w:val="002C18F5"/>
    <w:rsid w:val="002C1CBE"/>
    <w:rsid w:val="002C210E"/>
    <w:rsid w:val="002C2462"/>
    <w:rsid w:val="002C2809"/>
    <w:rsid w:val="002C28DC"/>
    <w:rsid w:val="002C31D0"/>
    <w:rsid w:val="002C31DD"/>
    <w:rsid w:val="002C3D41"/>
    <w:rsid w:val="002C40F0"/>
    <w:rsid w:val="002C484E"/>
    <w:rsid w:val="002C49ED"/>
    <w:rsid w:val="002C4E3C"/>
    <w:rsid w:val="002C5404"/>
    <w:rsid w:val="002C5530"/>
    <w:rsid w:val="002C568C"/>
    <w:rsid w:val="002C62F1"/>
    <w:rsid w:val="002C6452"/>
    <w:rsid w:val="002C6712"/>
    <w:rsid w:val="002C671C"/>
    <w:rsid w:val="002C69BA"/>
    <w:rsid w:val="002C6A65"/>
    <w:rsid w:val="002C6BE0"/>
    <w:rsid w:val="002C6C53"/>
    <w:rsid w:val="002C6CB1"/>
    <w:rsid w:val="002C723E"/>
    <w:rsid w:val="002C74CE"/>
    <w:rsid w:val="002C7634"/>
    <w:rsid w:val="002C76DE"/>
    <w:rsid w:val="002C7ACC"/>
    <w:rsid w:val="002C7AF7"/>
    <w:rsid w:val="002C7D67"/>
    <w:rsid w:val="002C7F8F"/>
    <w:rsid w:val="002C7FAC"/>
    <w:rsid w:val="002D04DC"/>
    <w:rsid w:val="002D07D0"/>
    <w:rsid w:val="002D083F"/>
    <w:rsid w:val="002D18F8"/>
    <w:rsid w:val="002D1CE4"/>
    <w:rsid w:val="002D1D04"/>
    <w:rsid w:val="002D1F93"/>
    <w:rsid w:val="002D2EB7"/>
    <w:rsid w:val="002D2FAE"/>
    <w:rsid w:val="002D30CC"/>
    <w:rsid w:val="002D34C7"/>
    <w:rsid w:val="002D388D"/>
    <w:rsid w:val="002D38C7"/>
    <w:rsid w:val="002D38ED"/>
    <w:rsid w:val="002D3B4B"/>
    <w:rsid w:val="002D3C34"/>
    <w:rsid w:val="002D3CC6"/>
    <w:rsid w:val="002D3D89"/>
    <w:rsid w:val="002D43B8"/>
    <w:rsid w:val="002D4677"/>
    <w:rsid w:val="002D4761"/>
    <w:rsid w:val="002D4827"/>
    <w:rsid w:val="002D4F47"/>
    <w:rsid w:val="002D50E1"/>
    <w:rsid w:val="002D5252"/>
    <w:rsid w:val="002D53FA"/>
    <w:rsid w:val="002D55D1"/>
    <w:rsid w:val="002D5870"/>
    <w:rsid w:val="002D58D3"/>
    <w:rsid w:val="002D5974"/>
    <w:rsid w:val="002D5FD9"/>
    <w:rsid w:val="002D6536"/>
    <w:rsid w:val="002D6827"/>
    <w:rsid w:val="002D6B10"/>
    <w:rsid w:val="002D6FFC"/>
    <w:rsid w:val="002D7642"/>
    <w:rsid w:val="002D783B"/>
    <w:rsid w:val="002D790A"/>
    <w:rsid w:val="002D7A5C"/>
    <w:rsid w:val="002D7BC7"/>
    <w:rsid w:val="002E0EA0"/>
    <w:rsid w:val="002E0FB9"/>
    <w:rsid w:val="002E103B"/>
    <w:rsid w:val="002E1365"/>
    <w:rsid w:val="002E163C"/>
    <w:rsid w:val="002E1EC9"/>
    <w:rsid w:val="002E1FB0"/>
    <w:rsid w:val="002E205A"/>
    <w:rsid w:val="002E223F"/>
    <w:rsid w:val="002E227F"/>
    <w:rsid w:val="002E240E"/>
    <w:rsid w:val="002E2E09"/>
    <w:rsid w:val="002E3108"/>
    <w:rsid w:val="002E3716"/>
    <w:rsid w:val="002E3717"/>
    <w:rsid w:val="002E3724"/>
    <w:rsid w:val="002E38E9"/>
    <w:rsid w:val="002E3F3B"/>
    <w:rsid w:val="002E3FEF"/>
    <w:rsid w:val="002E486F"/>
    <w:rsid w:val="002E48C2"/>
    <w:rsid w:val="002E4A7A"/>
    <w:rsid w:val="002E4CCD"/>
    <w:rsid w:val="002E4E36"/>
    <w:rsid w:val="002E4E6B"/>
    <w:rsid w:val="002E4F5C"/>
    <w:rsid w:val="002E50A2"/>
    <w:rsid w:val="002E54F0"/>
    <w:rsid w:val="002E55BD"/>
    <w:rsid w:val="002E5A1B"/>
    <w:rsid w:val="002E5A81"/>
    <w:rsid w:val="002E63E2"/>
    <w:rsid w:val="002E7139"/>
    <w:rsid w:val="002E72A9"/>
    <w:rsid w:val="002E77F5"/>
    <w:rsid w:val="002E7F8D"/>
    <w:rsid w:val="002F0598"/>
    <w:rsid w:val="002F09CF"/>
    <w:rsid w:val="002F0D55"/>
    <w:rsid w:val="002F0F39"/>
    <w:rsid w:val="002F1136"/>
    <w:rsid w:val="002F163C"/>
    <w:rsid w:val="002F1827"/>
    <w:rsid w:val="002F1BD6"/>
    <w:rsid w:val="002F25F7"/>
    <w:rsid w:val="002F26C6"/>
    <w:rsid w:val="002F2801"/>
    <w:rsid w:val="002F2929"/>
    <w:rsid w:val="002F2EC8"/>
    <w:rsid w:val="002F31D4"/>
    <w:rsid w:val="002F3271"/>
    <w:rsid w:val="002F3F97"/>
    <w:rsid w:val="002F4064"/>
    <w:rsid w:val="002F4406"/>
    <w:rsid w:val="002F48DC"/>
    <w:rsid w:val="002F4DE2"/>
    <w:rsid w:val="002F4F24"/>
    <w:rsid w:val="002F4F6E"/>
    <w:rsid w:val="002F531D"/>
    <w:rsid w:val="002F54BC"/>
    <w:rsid w:val="002F5FD6"/>
    <w:rsid w:val="002F63C4"/>
    <w:rsid w:val="002F683C"/>
    <w:rsid w:val="002F6C15"/>
    <w:rsid w:val="002F7412"/>
    <w:rsid w:val="002F753F"/>
    <w:rsid w:val="00300042"/>
    <w:rsid w:val="00300106"/>
    <w:rsid w:val="00300612"/>
    <w:rsid w:val="0030089B"/>
    <w:rsid w:val="003013B8"/>
    <w:rsid w:val="00301776"/>
    <w:rsid w:val="00301964"/>
    <w:rsid w:val="00301B3A"/>
    <w:rsid w:val="00301CE9"/>
    <w:rsid w:val="00302453"/>
    <w:rsid w:val="003028CA"/>
    <w:rsid w:val="0030292E"/>
    <w:rsid w:val="0030327F"/>
    <w:rsid w:val="0030372C"/>
    <w:rsid w:val="003039ED"/>
    <w:rsid w:val="00303CE3"/>
    <w:rsid w:val="00303D1A"/>
    <w:rsid w:val="00303E3E"/>
    <w:rsid w:val="00304E6A"/>
    <w:rsid w:val="00304F9F"/>
    <w:rsid w:val="003061A5"/>
    <w:rsid w:val="003063A0"/>
    <w:rsid w:val="003065EE"/>
    <w:rsid w:val="00306835"/>
    <w:rsid w:val="00306A7C"/>
    <w:rsid w:val="00307A70"/>
    <w:rsid w:val="00307CE2"/>
    <w:rsid w:val="00310329"/>
    <w:rsid w:val="003105D5"/>
    <w:rsid w:val="00310E73"/>
    <w:rsid w:val="0031104C"/>
    <w:rsid w:val="0031115C"/>
    <w:rsid w:val="00311435"/>
    <w:rsid w:val="00311960"/>
    <w:rsid w:val="00311CBC"/>
    <w:rsid w:val="00311D1C"/>
    <w:rsid w:val="00311D99"/>
    <w:rsid w:val="00311DE7"/>
    <w:rsid w:val="00311F4C"/>
    <w:rsid w:val="003120CC"/>
    <w:rsid w:val="0031264D"/>
    <w:rsid w:val="00313D2E"/>
    <w:rsid w:val="00313ECC"/>
    <w:rsid w:val="00314162"/>
    <w:rsid w:val="00314825"/>
    <w:rsid w:val="00314DD8"/>
    <w:rsid w:val="00314F9D"/>
    <w:rsid w:val="003155F8"/>
    <w:rsid w:val="00315810"/>
    <w:rsid w:val="00315A21"/>
    <w:rsid w:val="00315AA5"/>
    <w:rsid w:val="00315AFF"/>
    <w:rsid w:val="00315B0B"/>
    <w:rsid w:val="00315C1E"/>
    <w:rsid w:val="00316134"/>
    <w:rsid w:val="0031626D"/>
    <w:rsid w:val="003169C0"/>
    <w:rsid w:val="00316B25"/>
    <w:rsid w:val="00316EA0"/>
    <w:rsid w:val="003171CA"/>
    <w:rsid w:val="00317386"/>
    <w:rsid w:val="00317514"/>
    <w:rsid w:val="0031760B"/>
    <w:rsid w:val="00317B4B"/>
    <w:rsid w:val="00317F2B"/>
    <w:rsid w:val="00320042"/>
    <w:rsid w:val="003204A7"/>
    <w:rsid w:val="00320565"/>
    <w:rsid w:val="0032088E"/>
    <w:rsid w:val="00320A68"/>
    <w:rsid w:val="00321031"/>
    <w:rsid w:val="0032115B"/>
    <w:rsid w:val="00321243"/>
    <w:rsid w:val="003212B4"/>
    <w:rsid w:val="00321A75"/>
    <w:rsid w:val="00321EFC"/>
    <w:rsid w:val="003224A4"/>
    <w:rsid w:val="00322937"/>
    <w:rsid w:val="003229A5"/>
    <w:rsid w:val="003237BA"/>
    <w:rsid w:val="00323B97"/>
    <w:rsid w:val="00323B9F"/>
    <w:rsid w:val="00323C2C"/>
    <w:rsid w:val="003248B9"/>
    <w:rsid w:val="00324B60"/>
    <w:rsid w:val="00324DF6"/>
    <w:rsid w:val="00325A50"/>
    <w:rsid w:val="00325BDD"/>
    <w:rsid w:val="00325D03"/>
    <w:rsid w:val="00326058"/>
    <w:rsid w:val="0032616F"/>
    <w:rsid w:val="00326253"/>
    <w:rsid w:val="00326276"/>
    <w:rsid w:val="0032634A"/>
    <w:rsid w:val="003264D8"/>
    <w:rsid w:val="00326ED7"/>
    <w:rsid w:val="00327598"/>
    <w:rsid w:val="00327ABF"/>
    <w:rsid w:val="00327B65"/>
    <w:rsid w:val="00327C6E"/>
    <w:rsid w:val="00327C90"/>
    <w:rsid w:val="00327D5A"/>
    <w:rsid w:val="00327E25"/>
    <w:rsid w:val="0033006A"/>
    <w:rsid w:val="00330358"/>
    <w:rsid w:val="00330630"/>
    <w:rsid w:val="00330700"/>
    <w:rsid w:val="00330749"/>
    <w:rsid w:val="00330865"/>
    <w:rsid w:val="00330B8F"/>
    <w:rsid w:val="00330E8C"/>
    <w:rsid w:val="00330EF8"/>
    <w:rsid w:val="00331181"/>
    <w:rsid w:val="0033132F"/>
    <w:rsid w:val="00331496"/>
    <w:rsid w:val="003317B3"/>
    <w:rsid w:val="00331959"/>
    <w:rsid w:val="00331F85"/>
    <w:rsid w:val="0033234F"/>
    <w:rsid w:val="00332717"/>
    <w:rsid w:val="00332B67"/>
    <w:rsid w:val="00332C58"/>
    <w:rsid w:val="00332C8C"/>
    <w:rsid w:val="00332FFB"/>
    <w:rsid w:val="0033303B"/>
    <w:rsid w:val="00333158"/>
    <w:rsid w:val="0033402D"/>
    <w:rsid w:val="00334148"/>
    <w:rsid w:val="00334768"/>
    <w:rsid w:val="00334D40"/>
    <w:rsid w:val="00334FEF"/>
    <w:rsid w:val="00335021"/>
    <w:rsid w:val="0033516D"/>
    <w:rsid w:val="00335456"/>
    <w:rsid w:val="00335BF6"/>
    <w:rsid w:val="00335E65"/>
    <w:rsid w:val="00336083"/>
    <w:rsid w:val="0033636B"/>
    <w:rsid w:val="0033657C"/>
    <w:rsid w:val="00336DE1"/>
    <w:rsid w:val="00336F5F"/>
    <w:rsid w:val="003375DD"/>
    <w:rsid w:val="00337815"/>
    <w:rsid w:val="00337BBC"/>
    <w:rsid w:val="0034012E"/>
    <w:rsid w:val="003407EC"/>
    <w:rsid w:val="0034090C"/>
    <w:rsid w:val="0034176E"/>
    <w:rsid w:val="00341917"/>
    <w:rsid w:val="00341941"/>
    <w:rsid w:val="00341EC1"/>
    <w:rsid w:val="003421FD"/>
    <w:rsid w:val="00342246"/>
    <w:rsid w:val="003425EC"/>
    <w:rsid w:val="003428AB"/>
    <w:rsid w:val="003428DA"/>
    <w:rsid w:val="00342A35"/>
    <w:rsid w:val="00342C37"/>
    <w:rsid w:val="00342F45"/>
    <w:rsid w:val="0034335A"/>
    <w:rsid w:val="0034339B"/>
    <w:rsid w:val="00343CEF"/>
    <w:rsid w:val="00343D12"/>
    <w:rsid w:val="00343F5C"/>
    <w:rsid w:val="00344763"/>
    <w:rsid w:val="00344985"/>
    <w:rsid w:val="00345269"/>
    <w:rsid w:val="0034599F"/>
    <w:rsid w:val="00345E68"/>
    <w:rsid w:val="0034619A"/>
    <w:rsid w:val="00346422"/>
    <w:rsid w:val="003467BE"/>
    <w:rsid w:val="0034687A"/>
    <w:rsid w:val="00346952"/>
    <w:rsid w:val="00346AEA"/>
    <w:rsid w:val="00347308"/>
    <w:rsid w:val="0034733F"/>
    <w:rsid w:val="00347526"/>
    <w:rsid w:val="0034772C"/>
    <w:rsid w:val="00347F84"/>
    <w:rsid w:val="0035035D"/>
    <w:rsid w:val="00350927"/>
    <w:rsid w:val="00350A83"/>
    <w:rsid w:val="00350FEF"/>
    <w:rsid w:val="00351274"/>
    <w:rsid w:val="003515B8"/>
    <w:rsid w:val="00351F43"/>
    <w:rsid w:val="0035215A"/>
    <w:rsid w:val="0035271F"/>
    <w:rsid w:val="00352A29"/>
    <w:rsid w:val="00352A83"/>
    <w:rsid w:val="00352AA3"/>
    <w:rsid w:val="00352C8E"/>
    <w:rsid w:val="00353360"/>
    <w:rsid w:val="00353928"/>
    <w:rsid w:val="00354216"/>
    <w:rsid w:val="0035464B"/>
    <w:rsid w:val="003548C3"/>
    <w:rsid w:val="003549BB"/>
    <w:rsid w:val="003559CF"/>
    <w:rsid w:val="00355A75"/>
    <w:rsid w:val="00355C62"/>
    <w:rsid w:val="00355C81"/>
    <w:rsid w:val="0035637B"/>
    <w:rsid w:val="0035664C"/>
    <w:rsid w:val="00357235"/>
    <w:rsid w:val="00357512"/>
    <w:rsid w:val="003575BD"/>
    <w:rsid w:val="00357DBC"/>
    <w:rsid w:val="00357F43"/>
    <w:rsid w:val="00360574"/>
    <w:rsid w:val="00360B2C"/>
    <w:rsid w:val="003610C3"/>
    <w:rsid w:val="00361768"/>
    <w:rsid w:val="0036219B"/>
    <w:rsid w:val="00362237"/>
    <w:rsid w:val="00362971"/>
    <w:rsid w:val="00362D18"/>
    <w:rsid w:val="00363381"/>
    <w:rsid w:val="003635A2"/>
    <w:rsid w:val="003637AA"/>
    <w:rsid w:val="00363950"/>
    <w:rsid w:val="00363AE8"/>
    <w:rsid w:val="003643BE"/>
    <w:rsid w:val="0036453F"/>
    <w:rsid w:val="00364540"/>
    <w:rsid w:val="00364623"/>
    <w:rsid w:val="00364D2F"/>
    <w:rsid w:val="00364E78"/>
    <w:rsid w:val="00365339"/>
    <w:rsid w:val="00365908"/>
    <w:rsid w:val="00365CB4"/>
    <w:rsid w:val="00365D7D"/>
    <w:rsid w:val="0036633E"/>
    <w:rsid w:val="003663AB"/>
    <w:rsid w:val="00366899"/>
    <w:rsid w:val="003673D7"/>
    <w:rsid w:val="00367CA0"/>
    <w:rsid w:val="00367DBB"/>
    <w:rsid w:val="00370109"/>
    <w:rsid w:val="00370757"/>
    <w:rsid w:val="00370E2B"/>
    <w:rsid w:val="003711DE"/>
    <w:rsid w:val="0037147C"/>
    <w:rsid w:val="0037192F"/>
    <w:rsid w:val="00371A3F"/>
    <w:rsid w:val="00371EAD"/>
    <w:rsid w:val="00371F81"/>
    <w:rsid w:val="003721DA"/>
    <w:rsid w:val="00372780"/>
    <w:rsid w:val="00372BE0"/>
    <w:rsid w:val="00372E11"/>
    <w:rsid w:val="00372ECF"/>
    <w:rsid w:val="003730C5"/>
    <w:rsid w:val="00373B26"/>
    <w:rsid w:val="00373B5D"/>
    <w:rsid w:val="00373B97"/>
    <w:rsid w:val="00373D7C"/>
    <w:rsid w:val="00373E6A"/>
    <w:rsid w:val="00374806"/>
    <w:rsid w:val="003748DB"/>
    <w:rsid w:val="00374B61"/>
    <w:rsid w:val="00375B64"/>
    <w:rsid w:val="00376365"/>
    <w:rsid w:val="003766A1"/>
    <w:rsid w:val="0037688D"/>
    <w:rsid w:val="00376B9C"/>
    <w:rsid w:val="00376D35"/>
    <w:rsid w:val="00376E54"/>
    <w:rsid w:val="00377418"/>
    <w:rsid w:val="0037779A"/>
    <w:rsid w:val="00377E2C"/>
    <w:rsid w:val="00380657"/>
    <w:rsid w:val="003806A3"/>
    <w:rsid w:val="003809F9"/>
    <w:rsid w:val="0038109D"/>
    <w:rsid w:val="00381563"/>
    <w:rsid w:val="003816C5"/>
    <w:rsid w:val="0038176F"/>
    <w:rsid w:val="003817CE"/>
    <w:rsid w:val="00382424"/>
    <w:rsid w:val="00382694"/>
    <w:rsid w:val="00383171"/>
    <w:rsid w:val="00383E71"/>
    <w:rsid w:val="00385853"/>
    <w:rsid w:val="00385C3C"/>
    <w:rsid w:val="00385D09"/>
    <w:rsid w:val="003864E7"/>
    <w:rsid w:val="003867D5"/>
    <w:rsid w:val="00386915"/>
    <w:rsid w:val="00386A02"/>
    <w:rsid w:val="00387147"/>
    <w:rsid w:val="0038734D"/>
    <w:rsid w:val="0038738C"/>
    <w:rsid w:val="0038760D"/>
    <w:rsid w:val="0039005B"/>
    <w:rsid w:val="00390B0A"/>
    <w:rsid w:val="00391194"/>
    <w:rsid w:val="003917F1"/>
    <w:rsid w:val="00391B18"/>
    <w:rsid w:val="00391CA0"/>
    <w:rsid w:val="00391F03"/>
    <w:rsid w:val="0039219B"/>
    <w:rsid w:val="00392972"/>
    <w:rsid w:val="00392B63"/>
    <w:rsid w:val="00392C1E"/>
    <w:rsid w:val="0039424F"/>
    <w:rsid w:val="003948D5"/>
    <w:rsid w:val="00394D01"/>
    <w:rsid w:val="003950C0"/>
    <w:rsid w:val="00395260"/>
    <w:rsid w:val="0039529A"/>
    <w:rsid w:val="003959B0"/>
    <w:rsid w:val="00395D9F"/>
    <w:rsid w:val="0039617D"/>
    <w:rsid w:val="0039619F"/>
    <w:rsid w:val="00396371"/>
    <w:rsid w:val="00396662"/>
    <w:rsid w:val="00396CC6"/>
    <w:rsid w:val="00396EC1"/>
    <w:rsid w:val="00396F80"/>
    <w:rsid w:val="00397232"/>
    <w:rsid w:val="00397468"/>
    <w:rsid w:val="0039777D"/>
    <w:rsid w:val="00397789"/>
    <w:rsid w:val="00397BE1"/>
    <w:rsid w:val="003A01E7"/>
    <w:rsid w:val="003A076D"/>
    <w:rsid w:val="003A0A02"/>
    <w:rsid w:val="003A0AF4"/>
    <w:rsid w:val="003A0B4A"/>
    <w:rsid w:val="003A0C0F"/>
    <w:rsid w:val="003A0C71"/>
    <w:rsid w:val="003A0CB9"/>
    <w:rsid w:val="003A11E5"/>
    <w:rsid w:val="003A196A"/>
    <w:rsid w:val="003A19FA"/>
    <w:rsid w:val="003A1E3B"/>
    <w:rsid w:val="003A2366"/>
    <w:rsid w:val="003A2E13"/>
    <w:rsid w:val="003A3E52"/>
    <w:rsid w:val="003A3EBC"/>
    <w:rsid w:val="003A3F7E"/>
    <w:rsid w:val="003A4171"/>
    <w:rsid w:val="003A440C"/>
    <w:rsid w:val="003A4B0F"/>
    <w:rsid w:val="003A4B55"/>
    <w:rsid w:val="003A4F69"/>
    <w:rsid w:val="003A4F86"/>
    <w:rsid w:val="003A53E7"/>
    <w:rsid w:val="003A5692"/>
    <w:rsid w:val="003A5736"/>
    <w:rsid w:val="003A580B"/>
    <w:rsid w:val="003A58B6"/>
    <w:rsid w:val="003A59D7"/>
    <w:rsid w:val="003A607A"/>
    <w:rsid w:val="003A60C8"/>
    <w:rsid w:val="003A6182"/>
    <w:rsid w:val="003A6275"/>
    <w:rsid w:val="003A64D7"/>
    <w:rsid w:val="003A734C"/>
    <w:rsid w:val="003A79AB"/>
    <w:rsid w:val="003A7E7F"/>
    <w:rsid w:val="003A7FA9"/>
    <w:rsid w:val="003B04AF"/>
    <w:rsid w:val="003B07D0"/>
    <w:rsid w:val="003B0818"/>
    <w:rsid w:val="003B0A10"/>
    <w:rsid w:val="003B0A2C"/>
    <w:rsid w:val="003B0C3B"/>
    <w:rsid w:val="003B1079"/>
    <w:rsid w:val="003B130F"/>
    <w:rsid w:val="003B154D"/>
    <w:rsid w:val="003B18AC"/>
    <w:rsid w:val="003B1BCA"/>
    <w:rsid w:val="003B1E4C"/>
    <w:rsid w:val="003B277E"/>
    <w:rsid w:val="003B29C8"/>
    <w:rsid w:val="003B2AA6"/>
    <w:rsid w:val="003B2CA0"/>
    <w:rsid w:val="003B2E5D"/>
    <w:rsid w:val="003B3921"/>
    <w:rsid w:val="003B3929"/>
    <w:rsid w:val="003B3993"/>
    <w:rsid w:val="003B3C0F"/>
    <w:rsid w:val="003B3D62"/>
    <w:rsid w:val="003B4199"/>
    <w:rsid w:val="003B48B1"/>
    <w:rsid w:val="003B4B19"/>
    <w:rsid w:val="003B57C4"/>
    <w:rsid w:val="003B5979"/>
    <w:rsid w:val="003B59B7"/>
    <w:rsid w:val="003B6669"/>
    <w:rsid w:val="003B69BE"/>
    <w:rsid w:val="003B69E4"/>
    <w:rsid w:val="003B6E4F"/>
    <w:rsid w:val="003B72EE"/>
    <w:rsid w:val="003B768F"/>
    <w:rsid w:val="003B7823"/>
    <w:rsid w:val="003B791A"/>
    <w:rsid w:val="003B7B5C"/>
    <w:rsid w:val="003C048B"/>
    <w:rsid w:val="003C1CD9"/>
    <w:rsid w:val="003C1D0C"/>
    <w:rsid w:val="003C1F11"/>
    <w:rsid w:val="003C2212"/>
    <w:rsid w:val="003C2392"/>
    <w:rsid w:val="003C25D2"/>
    <w:rsid w:val="003C2643"/>
    <w:rsid w:val="003C2689"/>
    <w:rsid w:val="003C280C"/>
    <w:rsid w:val="003C2ABD"/>
    <w:rsid w:val="003C2AE0"/>
    <w:rsid w:val="003C2BDC"/>
    <w:rsid w:val="003C3065"/>
    <w:rsid w:val="003C324A"/>
    <w:rsid w:val="003C3C55"/>
    <w:rsid w:val="003C44BF"/>
    <w:rsid w:val="003C513F"/>
    <w:rsid w:val="003C525E"/>
    <w:rsid w:val="003C52A6"/>
    <w:rsid w:val="003C5317"/>
    <w:rsid w:val="003C58D1"/>
    <w:rsid w:val="003C599B"/>
    <w:rsid w:val="003C5B87"/>
    <w:rsid w:val="003C5F3B"/>
    <w:rsid w:val="003C602C"/>
    <w:rsid w:val="003C6097"/>
    <w:rsid w:val="003C6214"/>
    <w:rsid w:val="003C6C37"/>
    <w:rsid w:val="003C6D76"/>
    <w:rsid w:val="003C706D"/>
    <w:rsid w:val="003C733A"/>
    <w:rsid w:val="003C7567"/>
    <w:rsid w:val="003C79FE"/>
    <w:rsid w:val="003C7A09"/>
    <w:rsid w:val="003C7DE1"/>
    <w:rsid w:val="003D029F"/>
    <w:rsid w:val="003D05F8"/>
    <w:rsid w:val="003D0A3C"/>
    <w:rsid w:val="003D0B26"/>
    <w:rsid w:val="003D1084"/>
    <w:rsid w:val="003D14E4"/>
    <w:rsid w:val="003D1D4F"/>
    <w:rsid w:val="003D2713"/>
    <w:rsid w:val="003D2AAC"/>
    <w:rsid w:val="003D30B7"/>
    <w:rsid w:val="003D35F2"/>
    <w:rsid w:val="003D3615"/>
    <w:rsid w:val="003D3DCB"/>
    <w:rsid w:val="003D403F"/>
    <w:rsid w:val="003D42B0"/>
    <w:rsid w:val="003D46D6"/>
    <w:rsid w:val="003D488C"/>
    <w:rsid w:val="003D4898"/>
    <w:rsid w:val="003D4B0E"/>
    <w:rsid w:val="003D4B19"/>
    <w:rsid w:val="003D4E30"/>
    <w:rsid w:val="003D4E37"/>
    <w:rsid w:val="003D4E90"/>
    <w:rsid w:val="003D54BC"/>
    <w:rsid w:val="003D55E4"/>
    <w:rsid w:val="003D5C60"/>
    <w:rsid w:val="003D5CE2"/>
    <w:rsid w:val="003D603F"/>
    <w:rsid w:val="003D6263"/>
    <w:rsid w:val="003D62A9"/>
    <w:rsid w:val="003D63CF"/>
    <w:rsid w:val="003D6481"/>
    <w:rsid w:val="003D648B"/>
    <w:rsid w:val="003D6806"/>
    <w:rsid w:val="003D6F9A"/>
    <w:rsid w:val="003D7292"/>
    <w:rsid w:val="003D7459"/>
    <w:rsid w:val="003D75B2"/>
    <w:rsid w:val="003D769E"/>
    <w:rsid w:val="003D7D07"/>
    <w:rsid w:val="003D7FAC"/>
    <w:rsid w:val="003E0200"/>
    <w:rsid w:val="003E03C3"/>
    <w:rsid w:val="003E044D"/>
    <w:rsid w:val="003E0789"/>
    <w:rsid w:val="003E0BEA"/>
    <w:rsid w:val="003E1C00"/>
    <w:rsid w:val="003E1D69"/>
    <w:rsid w:val="003E1E1B"/>
    <w:rsid w:val="003E258F"/>
    <w:rsid w:val="003E29F0"/>
    <w:rsid w:val="003E2BE3"/>
    <w:rsid w:val="003E33D7"/>
    <w:rsid w:val="003E36AB"/>
    <w:rsid w:val="003E3727"/>
    <w:rsid w:val="003E3910"/>
    <w:rsid w:val="003E3B22"/>
    <w:rsid w:val="003E4149"/>
    <w:rsid w:val="003E4305"/>
    <w:rsid w:val="003E4412"/>
    <w:rsid w:val="003E4990"/>
    <w:rsid w:val="003E4DC3"/>
    <w:rsid w:val="003E55D9"/>
    <w:rsid w:val="003E57E7"/>
    <w:rsid w:val="003E5C30"/>
    <w:rsid w:val="003E6414"/>
    <w:rsid w:val="003E6426"/>
    <w:rsid w:val="003E6465"/>
    <w:rsid w:val="003E6752"/>
    <w:rsid w:val="003E6925"/>
    <w:rsid w:val="003E6930"/>
    <w:rsid w:val="003E6CF4"/>
    <w:rsid w:val="003E7051"/>
    <w:rsid w:val="003E7624"/>
    <w:rsid w:val="003E7B29"/>
    <w:rsid w:val="003E7BC9"/>
    <w:rsid w:val="003F03CA"/>
    <w:rsid w:val="003F03DE"/>
    <w:rsid w:val="003F0650"/>
    <w:rsid w:val="003F07BD"/>
    <w:rsid w:val="003F0A33"/>
    <w:rsid w:val="003F0ACD"/>
    <w:rsid w:val="003F0BBA"/>
    <w:rsid w:val="003F11F3"/>
    <w:rsid w:val="003F12D0"/>
    <w:rsid w:val="003F141C"/>
    <w:rsid w:val="003F1E38"/>
    <w:rsid w:val="003F1F0F"/>
    <w:rsid w:val="003F2F8C"/>
    <w:rsid w:val="003F3183"/>
    <w:rsid w:val="003F35EE"/>
    <w:rsid w:val="003F4114"/>
    <w:rsid w:val="003F42D2"/>
    <w:rsid w:val="003F4376"/>
    <w:rsid w:val="003F4456"/>
    <w:rsid w:val="003F44E2"/>
    <w:rsid w:val="003F4AF1"/>
    <w:rsid w:val="003F4B96"/>
    <w:rsid w:val="003F51A0"/>
    <w:rsid w:val="003F5A3D"/>
    <w:rsid w:val="003F5A6B"/>
    <w:rsid w:val="003F5D2B"/>
    <w:rsid w:val="003F6224"/>
    <w:rsid w:val="003F6243"/>
    <w:rsid w:val="003F643F"/>
    <w:rsid w:val="003F65DC"/>
    <w:rsid w:val="003F6D4E"/>
    <w:rsid w:val="003F7045"/>
    <w:rsid w:val="003F7193"/>
    <w:rsid w:val="003F74F0"/>
    <w:rsid w:val="003F76CB"/>
    <w:rsid w:val="003F7F4A"/>
    <w:rsid w:val="00400372"/>
    <w:rsid w:val="004004F2"/>
    <w:rsid w:val="00400B6D"/>
    <w:rsid w:val="00400F6D"/>
    <w:rsid w:val="00401015"/>
    <w:rsid w:val="0040156C"/>
    <w:rsid w:val="004015F2"/>
    <w:rsid w:val="004018C1"/>
    <w:rsid w:val="00401E56"/>
    <w:rsid w:val="00402036"/>
    <w:rsid w:val="004023D1"/>
    <w:rsid w:val="004026E1"/>
    <w:rsid w:val="004028EC"/>
    <w:rsid w:val="004030E7"/>
    <w:rsid w:val="00403833"/>
    <w:rsid w:val="00403930"/>
    <w:rsid w:val="0040393B"/>
    <w:rsid w:val="00403DB4"/>
    <w:rsid w:val="00403E0A"/>
    <w:rsid w:val="004041BD"/>
    <w:rsid w:val="004043E1"/>
    <w:rsid w:val="00404443"/>
    <w:rsid w:val="00404B0E"/>
    <w:rsid w:val="00405467"/>
    <w:rsid w:val="00405A04"/>
    <w:rsid w:val="00406111"/>
    <w:rsid w:val="0040667E"/>
    <w:rsid w:val="00406A9D"/>
    <w:rsid w:val="00406AE3"/>
    <w:rsid w:val="00406BED"/>
    <w:rsid w:val="00406D36"/>
    <w:rsid w:val="00406F22"/>
    <w:rsid w:val="004079B5"/>
    <w:rsid w:val="004079EF"/>
    <w:rsid w:val="00407AAD"/>
    <w:rsid w:val="00407B40"/>
    <w:rsid w:val="00407B9A"/>
    <w:rsid w:val="00407D23"/>
    <w:rsid w:val="00407D9D"/>
    <w:rsid w:val="00410055"/>
    <w:rsid w:val="004101FB"/>
    <w:rsid w:val="004103F2"/>
    <w:rsid w:val="00410562"/>
    <w:rsid w:val="0041078E"/>
    <w:rsid w:val="00410D95"/>
    <w:rsid w:val="00411048"/>
    <w:rsid w:val="004112C7"/>
    <w:rsid w:val="0041146E"/>
    <w:rsid w:val="00412034"/>
    <w:rsid w:val="004125E6"/>
    <w:rsid w:val="00412CFA"/>
    <w:rsid w:val="0041323B"/>
    <w:rsid w:val="004134A6"/>
    <w:rsid w:val="004136C6"/>
    <w:rsid w:val="00413B21"/>
    <w:rsid w:val="00413D99"/>
    <w:rsid w:val="00414116"/>
    <w:rsid w:val="00414528"/>
    <w:rsid w:val="004145C3"/>
    <w:rsid w:val="00414804"/>
    <w:rsid w:val="0041484F"/>
    <w:rsid w:val="00414A49"/>
    <w:rsid w:val="00414A91"/>
    <w:rsid w:val="004151D6"/>
    <w:rsid w:val="004157DC"/>
    <w:rsid w:val="00415B40"/>
    <w:rsid w:val="00415CB9"/>
    <w:rsid w:val="00416070"/>
    <w:rsid w:val="00416A71"/>
    <w:rsid w:val="00416B78"/>
    <w:rsid w:val="00416CAE"/>
    <w:rsid w:val="00416F1E"/>
    <w:rsid w:val="00417321"/>
    <w:rsid w:val="00417AE6"/>
    <w:rsid w:val="00417D55"/>
    <w:rsid w:val="00417E59"/>
    <w:rsid w:val="00417E9A"/>
    <w:rsid w:val="004203D0"/>
    <w:rsid w:val="004206C5"/>
    <w:rsid w:val="004206C9"/>
    <w:rsid w:val="004207ED"/>
    <w:rsid w:val="0042093A"/>
    <w:rsid w:val="00420EC9"/>
    <w:rsid w:val="004210C5"/>
    <w:rsid w:val="00421484"/>
    <w:rsid w:val="00421AF7"/>
    <w:rsid w:val="0042247F"/>
    <w:rsid w:val="004225E6"/>
    <w:rsid w:val="00422828"/>
    <w:rsid w:val="004229CE"/>
    <w:rsid w:val="00422A4F"/>
    <w:rsid w:val="00422ABE"/>
    <w:rsid w:val="00422CD9"/>
    <w:rsid w:val="00422E7F"/>
    <w:rsid w:val="004231C4"/>
    <w:rsid w:val="00423857"/>
    <w:rsid w:val="004238D7"/>
    <w:rsid w:val="00424668"/>
    <w:rsid w:val="00424720"/>
    <w:rsid w:val="00424876"/>
    <w:rsid w:val="00424AB8"/>
    <w:rsid w:val="00424B2D"/>
    <w:rsid w:val="00424F91"/>
    <w:rsid w:val="00424FA4"/>
    <w:rsid w:val="004253BA"/>
    <w:rsid w:val="004253E6"/>
    <w:rsid w:val="0042541A"/>
    <w:rsid w:val="004255DA"/>
    <w:rsid w:val="0042593A"/>
    <w:rsid w:val="00425A66"/>
    <w:rsid w:val="0042606E"/>
    <w:rsid w:val="004260C9"/>
    <w:rsid w:val="00426622"/>
    <w:rsid w:val="00426849"/>
    <w:rsid w:val="00426B8B"/>
    <w:rsid w:val="00426C7E"/>
    <w:rsid w:val="00426ECF"/>
    <w:rsid w:val="004275CD"/>
    <w:rsid w:val="0042764A"/>
    <w:rsid w:val="004301E2"/>
    <w:rsid w:val="004306D2"/>
    <w:rsid w:val="00430C7C"/>
    <w:rsid w:val="00431158"/>
    <w:rsid w:val="00431228"/>
    <w:rsid w:val="0043134D"/>
    <w:rsid w:val="004313B0"/>
    <w:rsid w:val="00431EAC"/>
    <w:rsid w:val="00431F96"/>
    <w:rsid w:val="00432064"/>
    <w:rsid w:val="00432BF6"/>
    <w:rsid w:val="00433029"/>
    <w:rsid w:val="004337C2"/>
    <w:rsid w:val="00433922"/>
    <w:rsid w:val="00433D5B"/>
    <w:rsid w:val="00433E11"/>
    <w:rsid w:val="00433E56"/>
    <w:rsid w:val="004344F1"/>
    <w:rsid w:val="00434825"/>
    <w:rsid w:val="00434CE9"/>
    <w:rsid w:val="00435519"/>
    <w:rsid w:val="004356D2"/>
    <w:rsid w:val="004359ED"/>
    <w:rsid w:val="00435BBA"/>
    <w:rsid w:val="00435C99"/>
    <w:rsid w:val="00435E09"/>
    <w:rsid w:val="004361A6"/>
    <w:rsid w:val="00436309"/>
    <w:rsid w:val="0043636B"/>
    <w:rsid w:val="004365AC"/>
    <w:rsid w:val="004367FC"/>
    <w:rsid w:val="004370A5"/>
    <w:rsid w:val="004372E1"/>
    <w:rsid w:val="00437452"/>
    <w:rsid w:val="00437A87"/>
    <w:rsid w:val="00437BB7"/>
    <w:rsid w:val="00437D99"/>
    <w:rsid w:val="004408EF"/>
    <w:rsid w:val="004409DB"/>
    <w:rsid w:val="00440BDE"/>
    <w:rsid w:val="00441213"/>
    <w:rsid w:val="00441351"/>
    <w:rsid w:val="00441545"/>
    <w:rsid w:val="00441647"/>
    <w:rsid w:val="004416D0"/>
    <w:rsid w:val="0044194B"/>
    <w:rsid w:val="00442586"/>
    <w:rsid w:val="00442658"/>
    <w:rsid w:val="00442744"/>
    <w:rsid w:val="004427F9"/>
    <w:rsid w:val="00442801"/>
    <w:rsid w:val="00442CE2"/>
    <w:rsid w:val="004430AB"/>
    <w:rsid w:val="004433BE"/>
    <w:rsid w:val="00443981"/>
    <w:rsid w:val="00443B7D"/>
    <w:rsid w:val="00444194"/>
    <w:rsid w:val="004442EC"/>
    <w:rsid w:val="00444433"/>
    <w:rsid w:val="00444C3A"/>
    <w:rsid w:val="00444D09"/>
    <w:rsid w:val="00444D28"/>
    <w:rsid w:val="00445113"/>
    <w:rsid w:val="004451C8"/>
    <w:rsid w:val="004452ED"/>
    <w:rsid w:val="0044564C"/>
    <w:rsid w:val="00445720"/>
    <w:rsid w:val="00445A39"/>
    <w:rsid w:val="00445FD4"/>
    <w:rsid w:val="0044627C"/>
    <w:rsid w:val="00446296"/>
    <w:rsid w:val="004462BA"/>
    <w:rsid w:val="004463F9"/>
    <w:rsid w:val="00446422"/>
    <w:rsid w:val="004464C1"/>
    <w:rsid w:val="00446503"/>
    <w:rsid w:val="00446851"/>
    <w:rsid w:val="00446EE1"/>
    <w:rsid w:val="00446FED"/>
    <w:rsid w:val="0044774A"/>
    <w:rsid w:val="00447A24"/>
    <w:rsid w:val="00447B72"/>
    <w:rsid w:val="00447BA5"/>
    <w:rsid w:val="00447C0E"/>
    <w:rsid w:val="004501E9"/>
    <w:rsid w:val="00451197"/>
    <w:rsid w:val="004511E4"/>
    <w:rsid w:val="00451F1B"/>
    <w:rsid w:val="00452948"/>
    <w:rsid w:val="00452A1A"/>
    <w:rsid w:val="00452C26"/>
    <w:rsid w:val="004531A8"/>
    <w:rsid w:val="00453358"/>
    <w:rsid w:val="00453C06"/>
    <w:rsid w:val="00453DEA"/>
    <w:rsid w:val="00453E29"/>
    <w:rsid w:val="00453EA6"/>
    <w:rsid w:val="0045416B"/>
    <w:rsid w:val="00454462"/>
    <w:rsid w:val="00454799"/>
    <w:rsid w:val="00454AE5"/>
    <w:rsid w:val="00454C5E"/>
    <w:rsid w:val="00454DE4"/>
    <w:rsid w:val="00454E03"/>
    <w:rsid w:val="00455BEF"/>
    <w:rsid w:val="00455C51"/>
    <w:rsid w:val="00455EA8"/>
    <w:rsid w:val="00455F4B"/>
    <w:rsid w:val="00456466"/>
    <w:rsid w:val="00456522"/>
    <w:rsid w:val="00457825"/>
    <w:rsid w:val="00457D57"/>
    <w:rsid w:val="00460541"/>
    <w:rsid w:val="004606AD"/>
    <w:rsid w:val="00460918"/>
    <w:rsid w:val="00460AFA"/>
    <w:rsid w:val="004610DB"/>
    <w:rsid w:val="004614DA"/>
    <w:rsid w:val="00461FC8"/>
    <w:rsid w:val="00462099"/>
    <w:rsid w:val="0046238E"/>
    <w:rsid w:val="0046242C"/>
    <w:rsid w:val="00462851"/>
    <w:rsid w:val="00462F93"/>
    <w:rsid w:val="00463668"/>
    <w:rsid w:val="00463894"/>
    <w:rsid w:val="00463CE7"/>
    <w:rsid w:val="00464721"/>
    <w:rsid w:val="00464776"/>
    <w:rsid w:val="00464C36"/>
    <w:rsid w:val="00464E95"/>
    <w:rsid w:val="004651EC"/>
    <w:rsid w:val="004655C2"/>
    <w:rsid w:val="00465BA0"/>
    <w:rsid w:val="00466256"/>
    <w:rsid w:val="0046625D"/>
    <w:rsid w:val="0046649D"/>
    <w:rsid w:val="0046699E"/>
    <w:rsid w:val="00466D85"/>
    <w:rsid w:val="00466EFC"/>
    <w:rsid w:val="0046709E"/>
    <w:rsid w:val="00467811"/>
    <w:rsid w:val="00467819"/>
    <w:rsid w:val="004679F7"/>
    <w:rsid w:val="00467D0C"/>
    <w:rsid w:val="00467D77"/>
    <w:rsid w:val="0047039A"/>
    <w:rsid w:val="00470455"/>
    <w:rsid w:val="00470C17"/>
    <w:rsid w:val="00470D00"/>
    <w:rsid w:val="00470D2C"/>
    <w:rsid w:val="00470F45"/>
    <w:rsid w:val="00471C2A"/>
    <w:rsid w:val="00471D26"/>
    <w:rsid w:val="00471E76"/>
    <w:rsid w:val="00472345"/>
    <w:rsid w:val="00472436"/>
    <w:rsid w:val="004724B3"/>
    <w:rsid w:val="00472D04"/>
    <w:rsid w:val="00472D2F"/>
    <w:rsid w:val="00472EAE"/>
    <w:rsid w:val="0047388C"/>
    <w:rsid w:val="004738D4"/>
    <w:rsid w:val="00474021"/>
    <w:rsid w:val="004742B2"/>
    <w:rsid w:val="00474A79"/>
    <w:rsid w:val="00474E6A"/>
    <w:rsid w:val="00474EAF"/>
    <w:rsid w:val="00475865"/>
    <w:rsid w:val="00475976"/>
    <w:rsid w:val="00475B23"/>
    <w:rsid w:val="00475E34"/>
    <w:rsid w:val="00475F6C"/>
    <w:rsid w:val="00476165"/>
    <w:rsid w:val="00476AAC"/>
    <w:rsid w:val="00476AD0"/>
    <w:rsid w:val="00476AE3"/>
    <w:rsid w:val="00476D28"/>
    <w:rsid w:val="00477CB1"/>
    <w:rsid w:val="0048007F"/>
    <w:rsid w:val="004800BD"/>
    <w:rsid w:val="00480372"/>
    <w:rsid w:val="004805D9"/>
    <w:rsid w:val="00480BB1"/>
    <w:rsid w:val="00480D4C"/>
    <w:rsid w:val="0048141A"/>
    <w:rsid w:val="004815EB"/>
    <w:rsid w:val="004816C9"/>
    <w:rsid w:val="004818D5"/>
    <w:rsid w:val="004822CA"/>
    <w:rsid w:val="0048237F"/>
    <w:rsid w:val="0048240C"/>
    <w:rsid w:val="00482A46"/>
    <w:rsid w:val="00482A8F"/>
    <w:rsid w:val="00482B4B"/>
    <w:rsid w:val="0048332C"/>
    <w:rsid w:val="00483611"/>
    <w:rsid w:val="00483980"/>
    <w:rsid w:val="00483D5A"/>
    <w:rsid w:val="00483DA4"/>
    <w:rsid w:val="00484351"/>
    <w:rsid w:val="0048438B"/>
    <w:rsid w:val="00484622"/>
    <w:rsid w:val="004847AA"/>
    <w:rsid w:val="004847DB"/>
    <w:rsid w:val="0048506D"/>
    <w:rsid w:val="0048509A"/>
    <w:rsid w:val="00485AF9"/>
    <w:rsid w:val="00485DA5"/>
    <w:rsid w:val="00486832"/>
    <w:rsid w:val="00486A30"/>
    <w:rsid w:val="00490189"/>
    <w:rsid w:val="004904B2"/>
    <w:rsid w:val="0049083A"/>
    <w:rsid w:val="00490D8F"/>
    <w:rsid w:val="00491204"/>
    <w:rsid w:val="004912BD"/>
    <w:rsid w:val="0049152E"/>
    <w:rsid w:val="0049152F"/>
    <w:rsid w:val="00491596"/>
    <w:rsid w:val="004918FC"/>
    <w:rsid w:val="00491DBC"/>
    <w:rsid w:val="00491F9D"/>
    <w:rsid w:val="004927EA"/>
    <w:rsid w:val="0049298B"/>
    <w:rsid w:val="00492C38"/>
    <w:rsid w:val="00492FE1"/>
    <w:rsid w:val="004933D9"/>
    <w:rsid w:val="0049358A"/>
    <w:rsid w:val="00493E14"/>
    <w:rsid w:val="004944DD"/>
    <w:rsid w:val="0049480E"/>
    <w:rsid w:val="00494A63"/>
    <w:rsid w:val="00494A8A"/>
    <w:rsid w:val="00494AD8"/>
    <w:rsid w:val="00494AF9"/>
    <w:rsid w:val="004951BD"/>
    <w:rsid w:val="00495532"/>
    <w:rsid w:val="004958B9"/>
    <w:rsid w:val="004959A3"/>
    <w:rsid w:val="004959FB"/>
    <w:rsid w:val="00495A1D"/>
    <w:rsid w:val="00495B03"/>
    <w:rsid w:val="00495C96"/>
    <w:rsid w:val="004960DF"/>
    <w:rsid w:val="00496AE4"/>
    <w:rsid w:val="00496E25"/>
    <w:rsid w:val="004A0019"/>
    <w:rsid w:val="004A065F"/>
    <w:rsid w:val="004A0C4C"/>
    <w:rsid w:val="004A1417"/>
    <w:rsid w:val="004A164D"/>
    <w:rsid w:val="004A1650"/>
    <w:rsid w:val="004A16AF"/>
    <w:rsid w:val="004A18B3"/>
    <w:rsid w:val="004A1A63"/>
    <w:rsid w:val="004A1A71"/>
    <w:rsid w:val="004A1B49"/>
    <w:rsid w:val="004A1E24"/>
    <w:rsid w:val="004A20BB"/>
    <w:rsid w:val="004A2383"/>
    <w:rsid w:val="004A2421"/>
    <w:rsid w:val="004A2550"/>
    <w:rsid w:val="004A26E9"/>
    <w:rsid w:val="004A2C0D"/>
    <w:rsid w:val="004A3282"/>
    <w:rsid w:val="004A34EA"/>
    <w:rsid w:val="004A3B04"/>
    <w:rsid w:val="004A3B68"/>
    <w:rsid w:val="004A4449"/>
    <w:rsid w:val="004A498E"/>
    <w:rsid w:val="004A4E86"/>
    <w:rsid w:val="004A51C0"/>
    <w:rsid w:val="004A5317"/>
    <w:rsid w:val="004A5BDB"/>
    <w:rsid w:val="004A5D5E"/>
    <w:rsid w:val="004A605D"/>
    <w:rsid w:val="004A6236"/>
    <w:rsid w:val="004A644F"/>
    <w:rsid w:val="004A655B"/>
    <w:rsid w:val="004A6906"/>
    <w:rsid w:val="004A692E"/>
    <w:rsid w:val="004A6AF1"/>
    <w:rsid w:val="004A6B37"/>
    <w:rsid w:val="004A6BE5"/>
    <w:rsid w:val="004A6F59"/>
    <w:rsid w:val="004A7579"/>
    <w:rsid w:val="004A7664"/>
    <w:rsid w:val="004A7DAF"/>
    <w:rsid w:val="004B0211"/>
    <w:rsid w:val="004B0B43"/>
    <w:rsid w:val="004B1030"/>
    <w:rsid w:val="004B1565"/>
    <w:rsid w:val="004B1962"/>
    <w:rsid w:val="004B1A06"/>
    <w:rsid w:val="004B1C98"/>
    <w:rsid w:val="004B1CFB"/>
    <w:rsid w:val="004B1D4E"/>
    <w:rsid w:val="004B1E4F"/>
    <w:rsid w:val="004B20B3"/>
    <w:rsid w:val="004B2A02"/>
    <w:rsid w:val="004B3BC9"/>
    <w:rsid w:val="004B3F2C"/>
    <w:rsid w:val="004B48A8"/>
    <w:rsid w:val="004B492C"/>
    <w:rsid w:val="004B4D6C"/>
    <w:rsid w:val="004B52A1"/>
    <w:rsid w:val="004B5F0A"/>
    <w:rsid w:val="004B5F8C"/>
    <w:rsid w:val="004B617B"/>
    <w:rsid w:val="004B648F"/>
    <w:rsid w:val="004B67C1"/>
    <w:rsid w:val="004B67D4"/>
    <w:rsid w:val="004B6B10"/>
    <w:rsid w:val="004B6B77"/>
    <w:rsid w:val="004B6F7E"/>
    <w:rsid w:val="004B7237"/>
    <w:rsid w:val="004B7483"/>
    <w:rsid w:val="004B7863"/>
    <w:rsid w:val="004B799D"/>
    <w:rsid w:val="004B7F96"/>
    <w:rsid w:val="004C0147"/>
    <w:rsid w:val="004C01F5"/>
    <w:rsid w:val="004C0261"/>
    <w:rsid w:val="004C0776"/>
    <w:rsid w:val="004C0848"/>
    <w:rsid w:val="004C092E"/>
    <w:rsid w:val="004C0FA6"/>
    <w:rsid w:val="004C1505"/>
    <w:rsid w:val="004C177B"/>
    <w:rsid w:val="004C1D61"/>
    <w:rsid w:val="004C1D77"/>
    <w:rsid w:val="004C1DE3"/>
    <w:rsid w:val="004C2010"/>
    <w:rsid w:val="004C22D7"/>
    <w:rsid w:val="004C22FF"/>
    <w:rsid w:val="004C2335"/>
    <w:rsid w:val="004C27DD"/>
    <w:rsid w:val="004C2847"/>
    <w:rsid w:val="004C295F"/>
    <w:rsid w:val="004C2CE6"/>
    <w:rsid w:val="004C2F87"/>
    <w:rsid w:val="004C30FF"/>
    <w:rsid w:val="004C359F"/>
    <w:rsid w:val="004C3752"/>
    <w:rsid w:val="004C37B7"/>
    <w:rsid w:val="004C4DF4"/>
    <w:rsid w:val="004C518B"/>
    <w:rsid w:val="004C527E"/>
    <w:rsid w:val="004C5B1E"/>
    <w:rsid w:val="004C6339"/>
    <w:rsid w:val="004C6D5A"/>
    <w:rsid w:val="004C6F66"/>
    <w:rsid w:val="004C7358"/>
    <w:rsid w:val="004C796D"/>
    <w:rsid w:val="004C7B8B"/>
    <w:rsid w:val="004C7DFF"/>
    <w:rsid w:val="004C7E8C"/>
    <w:rsid w:val="004D0358"/>
    <w:rsid w:val="004D039C"/>
    <w:rsid w:val="004D091A"/>
    <w:rsid w:val="004D0B42"/>
    <w:rsid w:val="004D1408"/>
    <w:rsid w:val="004D168C"/>
    <w:rsid w:val="004D1B9C"/>
    <w:rsid w:val="004D1C04"/>
    <w:rsid w:val="004D1D06"/>
    <w:rsid w:val="004D22A7"/>
    <w:rsid w:val="004D25FC"/>
    <w:rsid w:val="004D2B50"/>
    <w:rsid w:val="004D397C"/>
    <w:rsid w:val="004D3998"/>
    <w:rsid w:val="004D3CD1"/>
    <w:rsid w:val="004D430C"/>
    <w:rsid w:val="004D4494"/>
    <w:rsid w:val="004D44A1"/>
    <w:rsid w:val="004D44BD"/>
    <w:rsid w:val="004D4889"/>
    <w:rsid w:val="004D4AA4"/>
    <w:rsid w:val="004D5054"/>
    <w:rsid w:val="004D5156"/>
    <w:rsid w:val="004D51ED"/>
    <w:rsid w:val="004D5223"/>
    <w:rsid w:val="004D52E7"/>
    <w:rsid w:val="004D5320"/>
    <w:rsid w:val="004D5355"/>
    <w:rsid w:val="004D5421"/>
    <w:rsid w:val="004D5680"/>
    <w:rsid w:val="004D5AEA"/>
    <w:rsid w:val="004D5C0B"/>
    <w:rsid w:val="004D5D8E"/>
    <w:rsid w:val="004D5E3A"/>
    <w:rsid w:val="004D600D"/>
    <w:rsid w:val="004D60B8"/>
    <w:rsid w:val="004D642A"/>
    <w:rsid w:val="004D64CD"/>
    <w:rsid w:val="004D6599"/>
    <w:rsid w:val="004D66FF"/>
    <w:rsid w:val="004D690F"/>
    <w:rsid w:val="004D693C"/>
    <w:rsid w:val="004D6999"/>
    <w:rsid w:val="004D6D1A"/>
    <w:rsid w:val="004D6F17"/>
    <w:rsid w:val="004D73DC"/>
    <w:rsid w:val="004D762E"/>
    <w:rsid w:val="004E0026"/>
    <w:rsid w:val="004E0246"/>
    <w:rsid w:val="004E0AE7"/>
    <w:rsid w:val="004E1612"/>
    <w:rsid w:val="004E1965"/>
    <w:rsid w:val="004E1A9D"/>
    <w:rsid w:val="004E254E"/>
    <w:rsid w:val="004E25EA"/>
    <w:rsid w:val="004E2708"/>
    <w:rsid w:val="004E283E"/>
    <w:rsid w:val="004E2933"/>
    <w:rsid w:val="004E2A43"/>
    <w:rsid w:val="004E2ACE"/>
    <w:rsid w:val="004E32A3"/>
    <w:rsid w:val="004E3485"/>
    <w:rsid w:val="004E34B1"/>
    <w:rsid w:val="004E39BB"/>
    <w:rsid w:val="004E40FF"/>
    <w:rsid w:val="004E44AE"/>
    <w:rsid w:val="004E44D3"/>
    <w:rsid w:val="004E44D8"/>
    <w:rsid w:val="004E4862"/>
    <w:rsid w:val="004E4A18"/>
    <w:rsid w:val="004E53B0"/>
    <w:rsid w:val="004E5643"/>
    <w:rsid w:val="004E572A"/>
    <w:rsid w:val="004E5A12"/>
    <w:rsid w:val="004E5D18"/>
    <w:rsid w:val="004E62FC"/>
    <w:rsid w:val="004E66AC"/>
    <w:rsid w:val="004E6A0F"/>
    <w:rsid w:val="004E6B66"/>
    <w:rsid w:val="004E6D2E"/>
    <w:rsid w:val="004E6D6A"/>
    <w:rsid w:val="004E6EFD"/>
    <w:rsid w:val="004E7A83"/>
    <w:rsid w:val="004E7CF0"/>
    <w:rsid w:val="004E7D68"/>
    <w:rsid w:val="004F02F5"/>
    <w:rsid w:val="004F06D9"/>
    <w:rsid w:val="004F077F"/>
    <w:rsid w:val="004F08CD"/>
    <w:rsid w:val="004F0C97"/>
    <w:rsid w:val="004F0FFC"/>
    <w:rsid w:val="004F15CB"/>
    <w:rsid w:val="004F15D6"/>
    <w:rsid w:val="004F164C"/>
    <w:rsid w:val="004F1B90"/>
    <w:rsid w:val="004F1EB4"/>
    <w:rsid w:val="004F202C"/>
    <w:rsid w:val="004F2220"/>
    <w:rsid w:val="004F2242"/>
    <w:rsid w:val="004F2409"/>
    <w:rsid w:val="004F260D"/>
    <w:rsid w:val="004F28DB"/>
    <w:rsid w:val="004F2D9C"/>
    <w:rsid w:val="004F3272"/>
    <w:rsid w:val="004F3479"/>
    <w:rsid w:val="004F3772"/>
    <w:rsid w:val="004F4884"/>
    <w:rsid w:val="004F4BA5"/>
    <w:rsid w:val="004F4DB4"/>
    <w:rsid w:val="004F4FC2"/>
    <w:rsid w:val="004F50FD"/>
    <w:rsid w:val="004F5183"/>
    <w:rsid w:val="004F5488"/>
    <w:rsid w:val="004F598C"/>
    <w:rsid w:val="004F5D9B"/>
    <w:rsid w:val="004F6278"/>
    <w:rsid w:val="004F6415"/>
    <w:rsid w:val="004F66E8"/>
    <w:rsid w:val="004F694E"/>
    <w:rsid w:val="004F6D4D"/>
    <w:rsid w:val="004F6D98"/>
    <w:rsid w:val="004F72D3"/>
    <w:rsid w:val="004F7433"/>
    <w:rsid w:val="004F747E"/>
    <w:rsid w:val="004F7655"/>
    <w:rsid w:val="004F76C4"/>
    <w:rsid w:val="004F79A9"/>
    <w:rsid w:val="004F7F3D"/>
    <w:rsid w:val="00500002"/>
    <w:rsid w:val="0050016C"/>
    <w:rsid w:val="005005DD"/>
    <w:rsid w:val="0050099D"/>
    <w:rsid w:val="00500D46"/>
    <w:rsid w:val="00500F50"/>
    <w:rsid w:val="00500FB5"/>
    <w:rsid w:val="005013CE"/>
    <w:rsid w:val="00501C84"/>
    <w:rsid w:val="00501C9F"/>
    <w:rsid w:val="00501CC4"/>
    <w:rsid w:val="00501DB1"/>
    <w:rsid w:val="005023DD"/>
    <w:rsid w:val="00502717"/>
    <w:rsid w:val="00502AA3"/>
    <w:rsid w:val="00502AD4"/>
    <w:rsid w:val="00502B59"/>
    <w:rsid w:val="00502D71"/>
    <w:rsid w:val="00502D9A"/>
    <w:rsid w:val="00502E4F"/>
    <w:rsid w:val="005037B7"/>
    <w:rsid w:val="005039AB"/>
    <w:rsid w:val="00503B72"/>
    <w:rsid w:val="00503D5A"/>
    <w:rsid w:val="00504122"/>
    <w:rsid w:val="0050454D"/>
    <w:rsid w:val="00504633"/>
    <w:rsid w:val="00504B57"/>
    <w:rsid w:val="00504C5B"/>
    <w:rsid w:val="005050C2"/>
    <w:rsid w:val="0050513E"/>
    <w:rsid w:val="0050576A"/>
    <w:rsid w:val="005057C4"/>
    <w:rsid w:val="00505DA0"/>
    <w:rsid w:val="005062D8"/>
    <w:rsid w:val="005063B1"/>
    <w:rsid w:val="00506A23"/>
    <w:rsid w:val="00506ABA"/>
    <w:rsid w:val="00506C29"/>
    <w:rsid w:val="00506D54"/>
    <w:rsid w:val="00506EAB"/>
    <w:rsid w:val="00507194"/>
    <w:rsid w:val="00507424"/>
    <w:rsid w:val="005075D8"/>
    <w:rsid w:val="0050798E"/>
    <w:rsid w:val="0051008F"/>
    <w:rsid w:val="0051035E"/>
    <w:rsid w:val="005108E4"/>
    <w:rsid w:val="00510A8E"/>
    <w:rsid w:val="0051101F"/>
    <w:rsid w:val="005110F5"/>
    <w:rsid w:val="00511550"/>
    <w:rsid w:val="005117E8"/>
    <w:rsid w:val="00511CCE"/>
    <w:rsid w:val="00511E52"/>
    <w:rsid w:val="005123AF"/>
    <w:rsid w:val="0051247F"/>
    <w:rsid w:val="0051269C"/>
    <w:rsid w:val="0051273D"/>
    <w:rsid w:val="005127BF"/>
    <w:rsid w:val="00512E1D"/>
    <w:rsid w:val="00512FDE"/>
    <w:rsid w:val="0051368B"/>
    <w:rsid w:val="00513A96"/>
    <w:rsid w:val="00513BD2"/>
    <w:rsid w:val="00513E1B"/>
    <w:rsid w:val="00513ECA"/>
    <w:rsid w:val="0051404F"/>
    <w:rsid w:val="0051415C"/>
    <w:rsid w:val="00515088"/>
    <w:rsid w:val="005150EE"/>
    <w:rsid w:val="005155B4"/>
    <w:rsid w:val="0051579B"/>
    <w:rsid w:val="00515D4C"/>
    <w:rsid w:val="00515D73"/>
    <w:rsid w:val="005163AA"/>
    <w:rsid w:val="00516623"/>
    <w:rsid w:val="0051678A"/>
    <w:rsid w:val="005167C8"/>
    <w:rsid w:val="005167F6"/>
    <w:rsid w:val="00516923"/>
    <w:rsid w:val="005175A8"/>
    <w:rsid w:val="0051767D"/>
    <w:rsid w:val="00517ABC"/>
    <w:rsid w:val="00517ECF"/>
    <w:rsid w:val="00517F83"/>
    <w:rsid w:val="005203BF"/>
    <w:rsid w:val="005206A8"/>
    <w:rsid w:val="005208F3"/>
    <w:rsid w:val="00520AC8"/>
    <w:rsid w:val="00520F4E"/>
    <w:rsid w:val="005218A2"/>
    <w:rsid w:val="00521AC1"/>
    <w:rsid w:val="00521ED5"/>
    <w:rsid w:val="00522225"/>
    <w:rsid w:val="0052243A"/>
    <w:rsid w:val="0052252D"/>
    <w:rsid w:val="00522B92"/>
    <w:rsid w:val="00522C42"/>
    <w:rsid w:val="00522CBA"/>
    <w:rsid w:val="0052307F"/>
    <w:rsid w:val="00523968"/>
    <w:rsid w:val="0052398A"/>
    <w:rsid w:val="00523A9A"/>
    <w:rsid w:val="00523AA5"/>
    <w:rsid w:val="00523AE2"/>
    <w:rsid w:val="00523B56"/>
    <w:rsid w:val="00523E31"/>
    <w:rsid w:val="00523EBA"/>
    <w:rsid w:val="005242E2"/>
    <w:rsid w:val="0052472C"/>
    <w:rsid w:val="00524B0B"/>
    <w:rsid w:val="00524CB9"/>
    <w:rsid w:val="00524CC5"/>
    <w:rsid w:val="00525515"/>
    <w:rsid w:val="00525989"/>
    <w:rsid w:val="00525D03"/>
    <w:rsid w:val="00525D50"/>
    <w:rsid w:val="00525F5A"/>
    <w:rsid w:val="0052725D"/>
    <w:rsid w:val="00527CE9"/>
    <w:rsid w:val="00527E33"/>
    <w:rsid w:val="00527EF5"/>
    <w:rsid w:val="00527FBF"/>
    <w:rsid w:val="005307CC"/>
    <w:rsid w:val="0053096C"/>
    <w:rsid w:val="00530B9D"/>
    <w:rsid w:val="00530F5D"/>
    <w:rsid w:val="00531828"/>
    <w:rsid w:val="00531925"/>
    <w:rsid w:val="005319B1"/>
    <w:rsid w:val="00532433"/>
    <w:rsid w:val="00532721"/>
    <w:rsid w:val="00532F71"/>
    <w:rsid w:val="0053396B"/>
    <w:rsid w:val="005339E9"/>
    <w:rsid w:val="00533BBF"/>
    <w:rsid w:val="00534107"/>
    <w:rsid w:val="00534344"/>
    <w:rsid w:val="00534345"/>
    <w:rsid w:val="005344F6"/>
    <w:rsid w:val="00534F3B"/>
    <w:rsid w:val="00534F53"/>
    <w:rsid w:val="005354E6"/>
    <w:rsid w:val="00535E58"/>
    <w:rsid w:val="0053628A"/>
    <w:rsid w:val="0053672D"/>
    <w:rsid w:val="00536A98"/>
    <w:rsid w:val="00536E96"/>
    <w:rsid w:val="00536F49"/>
    <w:rsid w:val="005376DC"/>
    <w:rsid w:val="00537A4F"/>
    <w:rsid w:val="00537A5A"/>
    <w:rsid w:val="00537CCB"/>
    <w:rsid w:val="0054058F"/>
    <w:rsid w:val="00540853"/>
    <w:rsid w:val="00540B89"/>
    <w:rsid w:val="00540C9D"/>
    <w:rsid w:val="00540CB9"/>
    <w:rsid w:val="00540E4C"/>
    <w:rsid w:val="005413A3"/>
    <w:rsid w:val="00541776"/>
    <w:rsid w:val="005417B1"/>
    <w:rsid w:val="005419BA"/>
    <w:rsid w:val="00541E3B"/>
    <w:rsid w:val="0054254E"/>
    <w:rsid w:val="00542D51"/>
    <w:rsid w:val="005437F8"/>
    <w:rsid w:val="00543950"/>
    <w:rsid w:val="00543B53"/>
    <w:rsid w:val="00543E43"/>
    <w:rsid w:val="0054441E"/>
    <w:rsid w:val="005444CC"/>
    <w:rsid w:val="0054462A"/>
    <w:rsid w:val="005447E8"/>
    <w:rsid w:val="0054499A"/>
    <w:rsid w:val="00544A1F"/>
    <w:rsid w:val="00544E92"/>
    <w:rsid w:val="0054543E"/>
    <w:rsid w:val="00545C57"/>
    <w:rsid w:val="0054605C"/>
    <w:rsid w:val="0054694C"/>
    <w:rsid w:val="00546B6C"/>
    <w:rsid w:val="00546C2E"/>
    <w:rsid w:val="00546C9B"/>
    <w:rsid w:val="00546D9F"/>
    <w:rsid w:val="00546E3A"/>
    <w:rsid w:val="00547074"/>
    <w:rsid w:val="00547546"/>
    <w:rsid w:val="00547687"/>
    <w:rsid w:val="00547748"/>
    <w:rsid w:val="00547964"/>
    <w:rsid w:val="00547AC7"/>
    <w:rsid w:val="00547BE5"/>
    <w:rsid w:val="00547F41"/>
    <w:rsid w:val="005500DD"/>
    <w:rsid w:val="00550652"/>
    <w:rsid w:val="00550D30"/>
    <w:rsid w:val="00550E6F"/>
    <w:rsid w:val="00550FC9"/>
    <w:rsid w:val="0055204E"/>
    <w:rsid w:val="00552098"/>
    <w:rsid w:val="00552892"/>
    <w:rsid w:val="005528AC"/>
    <w:rsid w:val="00552C55"/>
    <w:rsid w:val="00552F07"/>
    <w:rsid w:val="00553036"/>
    <w:rsid w:val="00553284"/>
    <w:rsid w:val="00554263"/>
    <w:rsid w:val="00554B2E"/>
    <w:rsid w:val="00554F30"/>
    <w:rsid w:val="005551EB"/>
    <w:rsid w:val="00555900"/>
    <w:rsid w:val="00555AC3"/>
    <w:rsid w:val="00556417"/>
    <w:rsid w:val="00556972"/>
    <w:rsid w:val="00556E76"/>
    <w:rsid w:val="00556E98"/>
    <w:rsid w:val="0055739F"/>
    <w:rsid w:val="00557440"/>
    <w:rsid w:val="00557E82"/>
    <w:rsid w:val="0056074F"/>
    <w:rsid w:val="00560892"/>
    <w:rsid w:val="00560E9C"/>
    <w:rsid w:val="00560F48"/>
    <w:rsid w:val="00560FBF"/>
    <w:rsid w:val="0056112A"/>
    <w:rsid w:val="005612FC"/>
    <w:rsid w:val="0056130C"/>
    <w:rsid w:val="0056142D"/>
    <w:rsid w:val="005617E3"/>
    <w:rsid w:val="0056187F"/>
    <w:rsid w:val="00561A49"/>
    <w:rsid w:val="00561AC2"/>
    <w:rsid w:val="00561BE6"/>
    <w:rsid w:val="00562431"/>
    <w:rsid w:val="005624C8"/>
    <w:rsid w:val="00562562"/>
    <w:rsid w:val="005629B6"/>
    <w:rsid w:val="005629CE"/>
    <w:rsid w:val="00563384"/>
    <w:rsid w:val="00563472"/>
    <w:rsid w:val="00563D19"/>
    <w:rsid w:val="00563DE5"/>
    <w:rsid w:val="00563E4F"/>
    <w:rsid w:val="00564656"/>
    <w:rsid w:val="00564A5B"/>
    <w:rsid w:val="00564B43"/>
    <w:rsid w:val="00564E47"/>
    <w:rsid w:val="00565168"/>
    <w:rsid w:val="00565299"/>
    <w:rsid w:val="00565489"/>
    <w:rsid w:val="00565510"/>
    <w:rsid w:val="00565515"/>
    <w:rsid w:val="005658C9"/>
    <w:rsid w:val="005659D7"/>
    <w:rsid w:val="00565C46"/>
    <w:rsid w:val="00565E09"/>
    <w:rsid w:val="00565E4C"/>
    <w:rsid w:val="005661A6"/>
    <w:rsid w:val="00566235"/>
    <w:rsid w:val="005663F1"/>
    <w:rsid w:val="00566550"/>
    <w:rsid w:val="005666CF"/>
    <w:rsid w:val="00566BAB"/>
    <w:rsid w:val="00566CA8"/>
    <w:rsid w:val="00567421"/>
    <w:rsid w:val="00567449"/>
    <w:rsid w:val="005674A1"/>
    <w:rsid w:val="005675AB"/>
    <w:rsid w:val="005677D0"/>
    <w:rsid w:val="00567A2B"/>
    <w:rsid w:val="00567A3D"/>
    <w:rsid w:val="00567CBF"/>
    <w:rsid w:val="00567E2C"/>
    <w:rsid w:val="00567FE9"/>
    <w:rsid w:val="00570326"/>
    <w:rsid w:val="00570506"/>
    <w:rsid w:val="00570ACB"/>
    <w:rsid w:val="00570F52"/>
    <w:rsid w:val="00571025"/>
    <w:rsid w:val="00571D87"/>
    <w:rsid w:val="00571E46"/>
    <w:rsid w:val="0057215F"/>
    <w:rsid w:val="005723A0"/>
    <w:rsid w:val="00572613"/>
    <w:rsid w:val="00572BBA"/>
    <w:rsid w:val="00572D1D"/>
    <w:rsid w:val="00573881"/>
    <w:rsid w:val="00573B1D"/>
    <w:rsid w:val="00573C59"/>
    <w:rsid w:val="00573E27"/>
    <w:rsid w:val="00574C61"/>
    <w:rsid w:val="00575510"/>
    <w:rsid w:val="00575B06"/>
    <w:rsid w:val="00575CFB"/>
    <w:rsid w:val="005764E8"/>
    <w:rsid w:val="005766E5"/>
    <w:rsid w:val="005768EF"/>
    <w:rsid w:val="00576D1D"/>
    <w:rsid w:val="00576E95"/>
    <w:rsid w:val="00577116"/>
    <w:rsid w:val="005773F3"/>
    <w:rsid w:val="00577475"/>
    <w:rsid w:val="00577A62"/>
    <w:rsid w:val="00577CB0"/>
    <w:rsid w:val="00577EEF"/>
    <w:rsid w:val="00580232"/>
    <w:rsid w:val="00580E23"/>
    <w:rsid w:val="00581A73"/>
    <w:rsid w:val="00581D92"/>
    <w:rsid w:val="005825EC"/>
    <w:rsid w:val="00582C74"/>
    <w:rsid w:val="00583622"/>
    <w:rsid w:val="00583778"/>
    <w:rsid w:val="005839DE"/>
    <w:rsid w:val="00583A39"/>
    <w:rsid w:val="00583BC6"/>
    <w:rsid w:val="005841CF"/>
    <w:rsid w:val="005842C5"/>
    <w:rsid w:val="005843EA"/>
    <w:rsid w:val="005847BF"/>
    <w:rsid w:val="00584C6F"/>
    <w:rsid w:val="00584D63"/>
    <w:rsid w:val="00584ECF"/>
    <w:rsid w:val="00585145"/>
    <w:rsid w:val="00586067"/>
    <w:rsid w:val="005861D1"/>
    <w:rsid w:val="00586570"/>
    <w:rsid w:val="00586610"/>
    <w:rsid w:val="00586A2E"/>
    <w:rsid w:val="005870B6"/>
    <w:rsid w:val="005870FD"/>
    <w:rsid w:val="00587170"/>
    <w:rsid w:val="0058739B"/>
    <w:rsid w:val="0058785C"/>
    <w:rsid w:val="00587E68"/>
    <w:rsid w:val="00587F2A"/>
    <w:rsid w:val="00590183"/>
    <w:rsid w:val="00590743"/>
    <w:rsid w:val="00590AE2"/>
    <w:rsid w:val="00590E98"/>
    <w:rsid w:val="0059135F"/>
    <w:rsid w:val="00591774"/>
    <w:rsid w:val="005917CD"/>
    <w:rsid w:val="00591C6A"/>
    <w:rsid w:val="005920BE"/>
    <w:rsid w:val="005921D5"/>
    <w:rsid w:val="00592AA0"/>
    <w:rsid w:val="00592F89"/>
    <w:rsid w:val="00593045"/>
    <w:rsid w:val="005938DB"/>
    <w:rsid w:val="00593B52"/>
    <w:rsid w:val="00593BDC"/>
    <w:rsid w:val="00593C1D"/>
    <w:rsid w:val="00593E15"/>
    <w:rsid w:val="00593E4B"/>
    <w:rsid w:val="005942F9"/>
    <w:rsid w:val="00594B1C"/>
    <w:rsid w:val="00595544"/>
    <w:rsid w:val="0059558C"/>
    <w:rsid w:val="00595A6D"/>
    <w:rsid w:val="00595B4C"/>
    <w:rsid w:val="00595C6D"/>
    <w:rsid w:val="00595FC9"/>
    <w:rsid w:val="005965E8"/>
    <w:rsid w:val="005969F6"/>
    <w:rsid w:val="00596A8C"/>
    <w:rsid w:val="00596ABE"/>
    <w:rsid w:val="00596C31"/>
    <w:rsid w:val="0059701C"/>
    <w:rsid w:val="005970FB"/>
    <w:rsid w:val="00597208"/>
    <w:rsid w:val="00597551"/>
    <w:rsid w:val="005A00ED"/>
    <w:rsid w:val="005A0185"/>
    <w:rsid w:val="005A03A0"/>
    <w:rsid w:val="005A0637"/>
    <w:rsid w:val="005A0973"/>
    <w:rsid w:val="005A0AD2"/>
    <w:rsid w:val="005A119D"/>
    <w:rsid w:val="005A161D"/>
    <w:rsid w:val="005A2093"/>
    <w:rsid w:val="005A24D4"/>
    <w:rsid w:val="005A2561"/>
    <w:rsid w:val="005A259C"/>
    <w:rsid w:val="005A2A7C"/>
    <w:rsid w:val="005A2B45"/>
    <w:rsid w:val="005A2B64"/>
    <w:rsid w:val="005A2BDE"/>
    <w:rsid w:val="005A2EAC"/>
    <w:rsid w:val="005A361D"/>
    <w:rsid w:val="005A389B"/>
    <w:rsid w:val="005A3A2F"/>
    <w:rsid w:val="005A3E8B"/>
    <w:rsid w:val="005A41C8"/>
    <w:rsid w:val="005A4CF5"/>
    <w:rsid w:val="005A5350"/>
    <w:rsid w:val="005A563B"/>
    <w:rsid w:val="005A57C9"/>
    <w:rsid w:val="005A5C30"/>
    <w:rsid w:val="005A6450"/>
    <w:rsid w:val="005A6966"/>
    <w:rsid w:val="005A720B"/>
    <w:rsid w:val="005A77DA"/>
    <w:rsid w:val="005A7875"/>
    <w:rsid w:val="005A7DAA"/>
    <w:rsid w:val="005B00AC"/>
    <w:rsid w:val="005B0143"/>
    <w:rsid w:val="005B039C"/>
    <w:rsid w:val="005B03FD"/>
    <w:rsid w:val="005B0447"/>
    <w:rsid w:val="005B07A9"/>
    <w:rsid w:val="005B0D69"/>
    <w:rsid w:val="005B0D96"/>
    <w:rsid w:val="005B1174"/>
    <w:rsid w:val="005B1766"/>
    <w:rsid w:val="005B1A1C"/>
    <w:rsid w:val="005B1A6C"/>
    <w:rsid w:val="005B1C25"/>
    <w:rsid w:val="005B1D4A"/>
    <w:rsid w:val="005B2C21"/>
    <w:rsid w:val="005B2E53"/>
    <w:rsid w:val="005B35A6"/>
    <w:rsid w:val="005B3702"/>
    <w:rsid w:val="005B417A"/>
    <w:rsid w:val="005B432A"/>
    <w:rsid w:val="005B4647"/>
    <w:rsid w:val="005B46FD"/>
    <w:rsid w:val="005B4776"/>
    <w:rsid w:val="005B4A97"/>
    <w:rsid w:val="005B61B4"/>
    <w:rsid w:val="005B6796"/>
    <w:rsid w:val="005B68E6"/>
    <w:rsid w:val="005B68F2"/>
    <w:rsid w:val="005B6A45"/>
    <w:rsid w:val="005B6CEE"/>
    <w:rsid w:val="005B6D4E"/>
    <w:rsid w:val="005B6F12"/>
    <w:rsid w:val="005B7822"/>
    <w:rsid w:val="005B7F2A"/>
    <w:rsid w:val="005B7F2C"/>
    <w:rsid w:val="005C010C"/>
    <w:rsid w:val="005C0284"/>
    <w:rsid w:val="005C02D5"/>
    <w:rsid w:val="005C07C9"/>
    <w:rsid w:val="005C0A26"/>
    <w:rsid w:val="005C0F16"/>
    <w:rsid w:val="005C145A"/>
    <w:rsid w:val="005C1BE1"/>
    <w:rsid w:val="005C1C8D"/>
    <w:rsid w:val="005C204A"/>
    <w:rsid w:val="005C2465"/>
    <w:rsid w:val="005C246B"/>
    <w:rsid w:val="005C26C4"/>
    <w:rsid w:val="005C2C79"/>
    <w:rsid w:val="005C2EF3"/>
    <w:rsid w:val="005C2FA5"/>
    <w:rsid w:val="005C3173"/>
    <w:rsid w:val="005C3910"/>
    <w:rsid w:val="005C391A"/>
    <w:rsid w:val="005C39B4"/>
    <w:rsid w:val="005C3F7F"/>
    <w:rsid w:val="005C3F9A"/>
    <w:rsid w:val="005C42B6"/>
    <w:rsid w:val="005C4361"/>
    <w:rsid w:val="005C444A"/>
    <w:rsid w:val="005C44B9"/>
    <w:rsid w:val="005C44E1"/>
    <w:rsid w:val="005C4A6F"/>
    <w:rsid w:val="005C550F"/>
    <w:rsid w:val="005C5550"/>
    <w:rsid w:val="005C5823"/>
    <w:rsid w:val="005C5859"/>
    <w:rsid w:val="005C5A22"/>
    <w:rsid w:val="005C5CDE"/>
    <w:rsid w:val="005C5F67"/>
    <w:rsid w:val="005C603E"/>
    <w:rsid w:val="005C6470"/>
    <w:rsid w:val="005C651E"/>
    <w:rsid w:val="005C7263"/>
    <w:rsid w:val="005C72F1"/>
    <w:rsid w:val="005C75E2"/>
    <w:rsid w:val="005D01C5"/>
    <w:rsid w:val="005D05A7"/>
    <w:rsid w:val="005D0BDD"/>
    <w:rsid w:val="005D149B"/>
    <w:rsid w:val="005D199F"/>
    <w:rsid w:val="005D19FA"/>
    <w:rsid w:val="005D1ACA"/>
    <w:rsid w:val="005D1AEB"/>
    <w:rsid w:val="005D1D5E"/>
    <w:rsid w:val="005D1DEB"/>
    <w:rsid w:val="005D20EE"/>
    <w:rsid w:val="005D2ABF"/>
    <w:rsid w:val="005D2E11"/>
    <w:rsid w:val="005D2FED"/>
    <w:rsid w:val="005D380A"/>
    <w:rsid w:val="005D388D"/>
    <w:rsid w:val="005D3B99"/>
    <w:rsid w:val="005D3C99"/>
    <w:rsid w:val="005D3D5B"/>
    <w:rsid w:val="005D3EEF"/>
    <w:rsid w:val="005D407B"/>
    <w:rsid w:val="005D42AF"/>
    <w:rsid w:val="005D4792"/>
    <w:rsid w:val="005D4832"/>
    <w:rsid w:val="005D485D"/>
    <w:rsid w:val="005D4AF1"/>
    <w:rsid w:val="005D4D1F"/>
    <w:rsid w:val="005D4D2C"/>
    <w:rsid w:val="005D4D36"/>
    <w:rsid w:val="005D4D49"/>
    <w:rsid w:val="005D4E27"/>
    <w:rsid w:val="005D50E7"/>
    <w:rsid w:val="005D52FD"/>
    <w:rsid w:val="005D5477"/>
    <w:rsid w:val="005D54B7"/>
    <w:rsid w:val="005D5601"/>
    <w:rsid w:val="005D5866"/>
    <w:rsid w:val="005D59B8"/>
    <w:rsid w:val="005D5E94"/>
    <w:rsid w:val="005D624A"/>
    <w:rsid w:val="005D634E"/>
    <w:rsid w:val="005D6495"/>
    <w:rsid w:val="005D69B0"/>
    <w:rsid w:val="005D6AC1"/>
    <w:rsid w:val="005D7030"/>
    <w:rsid w:val="005D715D"/>
    <w:rsid w:val="005D75F0"/>
    <w:rsid w:val="005D7854"/>
    <w:rsid w:val="005D790F"/>
    <w:rsid w:val="005D791A"/>
    <w:rsid w:val="005D798A"/>
    <w:rsid w:val="005D7AC3"/>
    <w:rsid w:val="005D7DD6"/>
    <w:rsid w:val="005D7F60"/>
    <w:rsid w:val="005E00D1"/>
    <w:rsid w:val="005E0165"/>
    <w:rsid w:val="005E1383"/>
    <w:rsid w:val="005E1C91"/>
    <w:rsid w:val="005E1CF8"/>
    <w:rsid w:val="005E1E56"/>
    <w:rsid w:val="005E20C7"/>
    <w:rsid w:val="005E2866"/>
    <w:rsid w:val="005E289E"/>
    <w:rsid w:val="005E2E1C"/>
    <w:rsid w:val="005E34A0"/>
    <w:rsid w:val="005E362F"/>
    <w:rsid w:val="005E3721"/>
    <w:rsid w:val="005E467C"/>
    <w:rsid w:val="005E5171"/>
    <w:rsid w:val="005E552E"/>
    <w:rsid w:val="005E5805"/>
    <w:rsid w:val="005E58D3"/>
    <w:rsid w:val="005E5BE0"/>
    <w:rsid w:val="005E5EEC"/>
    <w:rsid w:val="005E6210"/>
    <w:rsid w:val="005E651B"/>
    <w:rsid w:val="005E69BF"/>
    <w:rsid w:val="005E6B0F"/>
    <w:rsid w:val="005E6CD3"/>
    <w:rsid w:val="005E6EA8"/>
    <w:rsid w:val="005E73B6"/>
    <w:rsid w:val="005E7851"/>
    <w:rsid w:val="005E788C"/>
    <w:rsid w:val="005E792A"/>
    <w:rsid w:val="005E7BBF"/>
    <w:rsid w:val="005F0260"/>
    <w:rsid w:val="005F0376"/>
    <w:rsid w:val="005F0BC4"/>
    <w:rsid w:val="005F0C76"/>
    <w:rsid w:val="005F0C9E"/>
    <w:rsid w:val="005F166C"/>
    <w:rsid w:val="005F2477"/>
    <w:rsid w:val="005F2826"/>
    <w:rsid w:val="005F2DE1"/>
    <w:rsid w:val="005F3318"/>
    <w:rsid w:val="005F3669"/>
    <w:rsid w:val="005F38E2"/>
    <w:rsid w:val="005F40D1"/>
    <w:rsid w:val="005F44DD"/>
    <w:rsid w:val="005F45D6"/>
    <w:rsid w:val="005F49D8"/>
    <w:rsid w:val="005F52B7"/>
    <w:rsid w:val="005F5AFD"/>
    <w:rsid w:val="005F61A1"/>
    <w:rsid w:val="005F66E2"/>
    <w:rsid w:val="005F6749"/>
    <w:rsid w:val="005F67A9"/>
    <w:rsid w:val="005F69A5"/>
    <w:rsid w:val="005F74F5"/>
    <w:rsid w:val="005F7ADC"/>
    <w:rsid w:val="0060070E"/>
    <w:rsid w:val="0060080C"/>
    <w:rsid w:val="00600936"/>
    <w:rsid w:val="00600DCB"/>
    <w:rsid w:val="006010B5"/>
    <w:rsid w:val="00601601"/>
    <w:rsid w:val="006018D9"/>
    <w:rsid w:val="0060230F"/>
    <w:rsid w:val="006024EA"/>
    <w:rsid w:val="0060282F"/>
    <w:rsid w:val="00602F4B"/>
    <w:rsid w:val="00603123"/>
    <w:rsid w:val="006031FB"/>
    <w:rsid w:val="00603796"/>
    <w:rsid w:val="006037D5"/>
    <w:rsid w:val="006042F1"/>
    <w:rsid w:val="00604B53"/>
    <w:rsid w:val="00604C52"/>
    <w:rsid w:val="00604CCA"/>
    <w:rsid w:val="00604E2A"/>
    <w:rsid w:val="0060506F"/>
    <w:rsid w:val="00605292"/>
    <w:rsid w:val="0060586B"/>
    <w:rsid w:val="00605A29"/>
    <w:rsid w:val="00605CC3"/>
    <w:rsid w:val="00605D28"/>
    <w:rsid w:val="00605FB2"/>
    <w:rsid w:val="00606781"/>
    <w:rsid w:val="00606A17"/>
    <w:rsid w:val="00606ADD"/>
    <w:rsid w:val="00607027"/>
    <w:rsid w:val="006070C7"/>
    <w:rsid w:val="006071D2"/>
    <w:rsid w:val="006072F5"/>
    <w:rsid w:val="0060736E"/>
    <w:rsid w:val="006075F0"/>
    <w:rsid w:val="00607AC7"/>
    <w:rsid w:val="00607EB9"/>
    <w:rsid w:val="00607F6F"/>
    <w:rsid w:val="0061042F"/>
    <w:rsid w:val="00610AA1"/>
    <w:rsid w:val="00611957"/>
    <w:rsid w:val="00611DA1"/>
    <w:rsid w:val="00611E29"/>
    <w:rsid w:val="006121C3"/>
    <w:rsid w:val="0061249A"/>
    <w:rsid w:val="006124D0"/>
    <w:rsid w:val="00613016"/>
    <w:rsid w:val="0061330D"/>
    <w:rsid w:val="00613BE5"/>
    <w:rsid w:val="00614491"/>
    <w:rsid w:val="006145E9"/>
    <w:rsid w:val="00614770"/>
    <w:rsid w:val="0061491A"/>
    <w:rsid w:val="00614D56"/>
    <w:rsid w:val="00614DF0"/>
    <w:rsid w:val="00614E28"/>
    <w:rsid w:val="006154A7"/>
    <w:rsid w:val="006157A8"/>
    <w:rsid w:val="006159C3"/>
    <w:rsid w:val="006159F7"/>
    <w:rsid w:val="006164BF"/>
    <w:rsid w:val="00616C62"/>
    <w:rsid w:val="00616D74"/>
    <w:rsid w:val="0061726D"/>
    <w:rsid w:val="00617470"/>
    <w:rsid w:val="00617A4F"/>
    <w:rsid w:val="00617B48"/>
    <w:rsid w:val="00617D97"/>
    <w:rsid w:val="00620929"/>
    <w:rsid w:val="00620AA8"/>
    <w:rsid w:val="00620C03"/>
    <w:rsid w:val="00621020"/>
    <w:rsid w:val="00621AA8"/>
    <w:rsid w:val="00621C2C"/>
    <w:rsid w:val="00621D4E"/>
    <w:rsid w:val="006221C0"/>
    <w:rsid w:val="006223DF"/>
    <w:rsid w:val="006225D5"/>
    <w:rsid w:val="0062280B"/>
    <w:rsid w:val="00622ACA"/>
    <w:rsid w:val="00622EC9"/>
    <w:rsid w:val="006231E0"/>
    <w:rsid w:val="006233A7"/>
    <w:rsid w:val="00623859"/>
    <w:rsid w:val="006239D9"/>
    <w:rsid w:val="00623DE0"/>
    <w:rsid w:val="0062486E"/>
    <w:rsid w:val="00624B1C"/>
    <w:rsid w:val="00624BD7"/>
    <w:rsid w:val="00625042"/>
    <w:rsid w:val="006250C4"/>
    <w:rsid w:val="0062548C"/>
    <w:rsid w:val="0062630F"/>
    <w:rsid w:val="00626419"/>
    <w:rsid w:val="0062654B"/>
    <w:rsid w:val="00627473"/>
    <w:rsid w:val="006274D1"/>
    <w:rsid w:val="0063043C"/>
    <w:rsid w:val="00630E71"/>
    <w:rsid w:val="00631631"/>
    <w:rsid w:val="00631643"/>
    <w:rsid w:val="006316CC"/>
    <w:rsid w:val="00631881"/>
    <w:rsid w:val="00631FCB"/>
    <w:rsid w:val="00632351"/>
    <w:rsid w:val="006328D0"/>
    <w:rsid w:val="00632C92"/>
    <w:rsid w:val="00632CC7"/>
    <w:rsid w:val="00632DA1"/>
    <w:rsid w:val="00632FB1"/>
    <w:rsid w:val="006333F4"/>
    <w:rsid w:val="006334A3"/>
    <w:rsid w:val="00633A75"/>
    <w:rsid w:val="00633B5C"/>
    <w:rsid w:val="00633BDD"/>
    <w:rsid w:val="00633D85"/>
    <w:rsid w:val="0063402F"/>
    <w:rsid w:val="0063466B"/>
    <w:rsid w:val="00634A06"/>
    <w:rsid w:val="00634A76"/>
    <w:rsid w:val="00634F06"/>
    <w:rsid w:val="00635211"/>
    <w:rsid w:val="006352C1"/>
    <w:rsid w:val="00635688"/>
    <w:rsid w:val="0063640A"/>
    <w:rsid w:val="00636631"/>
    <w:rsid w:val="00636653"/>
    <w:rsid w:val="0063691F"/>
    <w:rsid w:val="00636C0B"/>
    <w:rsid w:val="0063706B"/>
    <w:rsid w:val="00637150"/>
    <w:rsid w:val="006371EF"/>
    <w:rsid w:val="00637568"/>
    <w:rsid w:val="0063793F"/>
    <w:rsid w:val="00637955"/>
    <w:rsid w:val="00640220"/>
    <w:rsid w:val="006406A1"/>
    <w:rsid w:val="00640C6C"/>
    <w:rsid w:val="00640EF4"/>
    <w:rsid w:val="00640F4E"/>
    <w:rsid w:val="006419C1"/>
    <w:rsid w:val="00641AA2"/>
    <w:rsid w:val="00641CC9"/>
    <w:rsid w:val="00641D0B"/>
    <w:rsid w:val="006423C4"/>
    <w:rsid w:val="006432E2"/>
    <w:rsid w:val="006436B1"/>
    <w:rsid w:val="006437FB"/>
    <w:rsid w:val="00644230"/>
    <w:rsid w:val="00644555"/>
    <w:rsid w:val="006448A5"/>
    <w:rsid w:val="00644AA4"/>
    <w:rsid w:val="00644D8E"/>
    <w:rsid w:val="00645F46"/>
    <w:rsid w:val="006461BE"/>
    <w:rsid w:val="00646DC8"/>
    <w:rsid w:val="00646E78"/>
    <w:rsid w:val="00647350"/>
    <w:rsid w:val="00647637"/>
    <w:rsid w:val="00647C1F"/>
    <w:rsid w:val="00650007"/>
    <w:rsid w:val="0065002A"/>
    <w:rsid w:val="00650147"/>
    <w:rsid w:val="00650661"/>
    <w:rsid w:val="00651010"/>
    <w:rsid w:val="006515A6"/>
    <w:rsid w:val="006516C4"/>
    <w:rsid w:val="00651C66"/>
    <w:rsid w:val="00652248"/>
    <w:rsid w:val="00652774"/>
    <w:rsid w:val="00652A5F"/>
    <w:rsid w:val="00652E4D"/>
    <w:rsid w:val="00652E98"/>
    <w:rsid w:val="0065316B"/>
    <w:rsid w:val="00653358"/>
    <w:rsid w:val="00653BDB"/>
    <w:rsid w:val="00653FBC"/>
    <w:rsid w:val="006541E4"/>
    <w:rsid w:val="00654662"/>
    <w:rsid w:val="00654899"/>
    <w:rsid w:val="00655146"/>
    <w:rsid w:val="006553F5"/>
    <w:rsid w:val="00655A38"/>
    <w:rsid w:val="00655C82"/>
    <w:rsid w:val="006561D4"/>
    <w:rsid w:val="00656B73"/>
    <w:rsid w:val="00657D50"/>
    <w:rsid w:val="006605F2"/>
    <w:rsid w:val="006606FF"/>
    <w:rsid w:val="00660FF6"/>
    <w:rsid w:val="00661162"/>
    <w:rsid w:val="006615C3"/>
    <w:rsid w:val="00661D71"/>
    <w:rsid w:val="0066223F"/>
    <w:rsid w:val="00662301"/>
    <w:rsid w:val="006623B9"/>
    <w:rsid w:val="006623DD"/>
    <w:rsid w:val="00662E16"/>
    <w:rsid w:val="006632A0"/>
    <w:rsid w:val="006633D3"/>
    <w:rsid w:val="00665347"/>
    <w:rsid w:val="00665637"/>
    <w:rsid w:val="00665777"/>
    <w:rsid w:val="0066580E"/>
    <w:rsid w:val="006659A6"/>
    <w:rsid w:val="006659D9"/>
    <w:rsid w:val="00665EE9"/>
    <w:rsid w:val="00665F52"/>
    <w:rsid w:val="00666144"/>
    <w:rsid w:val="0066634E"/>
    <w:rsid w:val="006668E0"/>
    <w:rsid w:val="00666C5D"/>
    <w:rsid w:val="00666CB2"/>
    <w:rsid w:val="0066751F"/>
    <w:rsid w:val="0066796E"/>
    <w:rsid w:val="00667A50"/>
    <w:rsid w:val="00667EC6"/>
    <w:rsid w:val="00670086"/>
    <w:rsid w:val="00670125"/>
    <w:rsid w:val="00670A6B"/>
    <w:rsid w:val="00670D8C"/>
    <w:rsid w:val="0067157E"/>
    <w:rsid w:val="00671A36"/>
    <w:rsid w:val="00671A82"/>
    <w:rsid w:val="00671E35"/>
    <w:rsid w:val="00672934"/>
    <w:rsid w:val="006729BA"/>
    <w:rsid w:val="00672FAC"/>
    <w:rsid w:val="006732F9"/>
    <w:rsid w:val="00674AAF"/>
    <w:rsid w:val="00674AB2"/>
    <w:rsid w:val="00675303"/>
    <w:rsid w:val="006758A1"/>
    <w:rsid w:val="00675A31"/>
    <w:rsid w:val="00675B4F"/>
    <w:rsid w:val="006764DE"/>
    <w:rsid w:val="006765A3"/>
    <w:rsid w:val="00676C94"/>
    <w:rsid w:val="006775E8"/>
    <w:rsid w:val="00677A11"/>
    <w:rsid w:val="00677BEC"/>
    <w:rsid w:val="00677C20"/>
    <w:rsid w:val="00680111"/>
    <w:rsid w:val="006801B9"/>
    <w:rsid w:val="006806E5"/>
    <w:rsid w:val="00680973"/>
    <w:rsid w:val="006809EF"/>
    <w:rsid w:val="00680BA0"/>
    <w:rsid w:val="0068134D"/>
    <w:rsid w:val="006814D4"/>
    <w:rsid w:val="006817E0"/>
    <w:rsid w:val="00681D31"/>
    <w:rsid w:val="006820DA"/>
    <w:rsid w:val="006828CA"/>
    <w:rsid w:val="00682D0B"/>
    <w:rsid w:val="0068309E"/>
    <w:rsid w:val="006831CB"/>
    <w:rsid w:val="00683280"/>
    <w:rsid w:val="00683855"/>
    <w:rsid w:val="0068396B"/>
    <w:rsid w:val="00683E70"/>
    <w:rsid w:val="00683FC0"/>
    <w:rsid w:val="00684D28"/>
    <w:rsid w:val="00684DB8"/>
    <w:rsid w:val="00684EA0"/>
    <w:rsid w:val="00684FD9"/>
    <w:rsid w:val="00685577"/>
    <w:rsid w:val="0068563F"/>
    <w:rsid w:val="0068591D"/>
    <w:rsid w:val="00685CBD"/>
    <w:rsid w:val="00685CCC"/>
    <w:rsid w:val="006860F8"/>
    <w:rsid w:val="00686477"/>
    <w:rsid w:val="00686536"/>
    <w:rsid w:val="006869F3"/>
    <w:rsid w:val="00686A2C"/>
    <w:rsid w:val="006874EF"/>
    <w:rsid w:val="006875E0"/>
    <w:rsid w:val="006876CD"/>
    <w:rsid w:val="006901AD"/>
    <w:rsid w:val="006902EA"/>
    <w:rsid w:val="00690CA9"/>
    <w:rsid w:val="00690E2C"/>
    <w:rsid w:val="00690F76"/>
    <w:rsid w:val="00691787"/>
    <w:rsid w:val="00691BDE"/>
    <w:rsid w:val="00691D7F"/>
    <w:rsid w:val="00691F94"/>
    <w:rsid w:val="00692C12"/>
    <w:rsid w:val="00692ED6"/>
    <w:rsid w:val="00692FA0"/>
    <w:rsid w:val="00692FEF"/>
    <w:rsid w:val="006930DE"/>
    <w:rsid w:val="006933A5"/>
    <w:rsid w:val="00693845"/>
    <w:rsid w:val="006938D6"/>
    <w:rsid w:val="0069390C"/>
    <w:rsid w:val="00693E56"/>
    <w:rsid w:val="0069432E"/>
    <w:rsid w:val="00694942"/>
    <w:rsid w:val="0069499D"/>
    <w:rsid w:val="00694AD8"/>
    <w:rsid w:val="00694BA8"/>
    <w:rsid w:val="0069501E"/>
    <w:rsid w:val="0069519F"/>
    <w:rsid w:val="00695381"/>
    <w:rsid w:val="0069548F"/>
    <w:rsid w:val="00695682"/>
    <w:rsid w:val="00695D63"/>
    <w:rsid w:val="00696438"/>
    <w:rsid w:val="0069675F"/>
    <w:rsid w:val="00696AF4"/>
    <w:rsid w:val="00696FDA"/>
    <w:rsid w:val="006971BB"/>
    <w:rsid w:val="006971E5"/>
    <w:rsid w:val="00697301"/>
    <w:rsid w:val="006977E2"/>
    <w:rsid w:val="006A006F"/>
    <w:rsid w:val="006A0074"/>
    <w:rsid w:val="006A0867"/>
    <w:rsid w:val="006A08E9"/>
    <w:rsid w:val="006A0D50"/>
    <w:rsid w:val="006A1BB6"/>
    <w:rsid w:val="006A1E7B"/>
    <w:rsid w:val="006A1F25"/>
    <w:rsid w:val="006A2840"/>
    <w:rsid w:val="006A2A85"/>
    <w:rsid w:val="006A2FF2"/>
    <w:rsid w:val="006A3421"/>
    <w:rsid w:val="006A3A5C"/>
    <w:rsid w:val="006A3D83"/>
    <w:rsid w:val="006A43B1"/>
    <w:rsid w:val="006A4962"/>
    <w:rsid w:val="006A4A73"/>
    <w:rsid w:val="006A4B61"/>
    <w:rsid w:val="006A4C1E"/>
    <w:rsid w:val="006A4C58"/>
    <w:rsid w:val="006A536F"/>
    <w:rsid w:val="006A57A4"/>
    <w:rsid w:val="006A5966"/>
    <w:rsid w:val="006A5F54"/>
    <w:rsid w:val="006A6392"/>
    <w:rsid w:val="006A6563"/>
    <w:rsid w:val="006A6756"/>
    <w:rsid w:val="006A6C5C"/>
    <w:rsid w:val="006A7143"/>
    <w:rsid w:val="006A773F"/>
    <w:rsid w:val="006A78C1"/>
    <w:rsid w:val="006A78E5"/>
    <w:rsid w:val="006B08CB"/>
    <w:rsid w:val="006B0C84"/>
    <w:rsid w:val="006B0E7D"/>
    <w:rsid w:val="006B0FB5"/>
    <w:rsid w:val="006B10C1"/>
    <w:rsid w:val="006B11D6"/>
    <w:rsid w:val="006B12F0"/>
    <w:rsid w:val="006B1406"/>
    <w:rsid w:val="006B184D"/>
    <w:rsid w:val="006B25B0"/>
    <w:rsid w:val="006B2607"/>
    <w:rsid w:val="006B294C"/>
    <w:rsid w:val="006B296C"/>
    <w:rsid w:val="006B29F1"/>
    <w:rsid w:val="006B2C49"/>
    <w:rsid w:val="006B2C9A"/>
    <w:rsid w:val="006B2DED"/>
    <w:rsid w:val="006B2E92"/>
    <w:rsid w:val="006B2F87"/>
    <w:rsid w:val="006B312A"/>
    <w:rsid w:val="006B32AD"/>
    <w:rsid w:val="006B3533"/>
    <w:rsid w:val="006B3594"/>
    <w:rsid w:val="006B3920"/>
    <w:rsid w:val="006B3E74"/>
    <w:rsid w:val="006B3E7B"/>
    <w:rsid w:val="006B3F54"/>
    <w:rsid w:val="006B4130"/>
    <w:rsid w:val="006B45D8"/>
    <w:rsid w:val="006B46C7"/>
    <w:rsid w:val="006B4761"/>
    <w:rsid w:val="006B4B13"/>
    <w:rsid w:val="006B5291"/>
    <w:rsid w:val="006B53B0"/>
    <w:rsid w:val="006B54A6"/>
    <w:rsid w:val="006B5611"/>
    <w:rsid w:val="006B58D8"/>
    <w:rsid w:val="006B5C64"/>
    <w:rsid w:val="006B5CCA"/>
    <w:rsid w:val="006B5DE8"/>
    <w:rsid w:val="006B5F3C"/>
    <w:rsid w:val="006B61EF"/>
    <w:rsid w:val="006B64AE"/>
    <w:rsid w:val="006B6C56"/>
    <w:rsid w:val="006B6EF2"/>
    <w:rsid w:val="006B6F71"/>
    <w:rsid w:val="006B78DE"/>
    <w:rsid w:val="006B7976"/>
    <w:rsid w:val="006C027A"/>
    <w:rsid w:val="006C05C1"/>
    <w:rsid w:val="006C06D9"/>
    <w:rsid w:val="006C07E4"/>
    <w:rsid w:val="006C0838"/>
    <w:rsid w:val="006C0BD4"/>
    <w:rsid w:val="006C0EBD"/>
    <w:rsid w:val="006C193C"/>
    <w:rsid w:val="006C1F0B"/>
    <w:rsid w:val="006C2B74"/>
    <w:rsid w:val="006C314A"/>
    <w:rsid w:val="006C33EF"/>
    <w:rsid w:val="006C3662"/>
    <w:rsid w:val="006C3716"/>
    <w:rsid w:val="006C3B36"/>
    <w:rsid w:val="006C4C5E"/>
    <w:rsid w:val="006C4EFF"/>
    <w:rsid w:val="006C53B4"/>
    <w:rsid w:val="006C5766"/>
    <w:rsid w:val="006C5B49"/>
    <w:rsid w:val="006C5D20"/>
    <w:rsid w:val="006C5E09"/>
    <w:rsid w:val="006C612A"/>
    <w:rsid w:val="006C61B3"/>
    <w:rsid w:val="006C6359"/>
    <w:rsid w:val="006C63E3"/>
    <w:rsid w:val="006C64A0"/>
    <w:rsid w:val="006C6E27"/>
    <w:rsid w:val="006C784F"/>
    <w:rsid w:val="006C7BBC"/>
    <w:rsid w:val="006D05EA"/>
    <w:rsid w:val="006D0860"/>
    <w:rsid w:val="006D0CB9"/>
    <w:rsid w:val="006D1012"/>
    <w:rsid w:val="006D1268"/>
    <w:rsid w:val="006D1CAB"/>
    <w:rsid w:val="006D1EDC"/>
    <w:rsid w:val="006D2393"/>
    <w:rsid w:val="006D24F0"/>
    <w:rsid w:val="006D3044"/>
    <w:rsid w:val="006D310C"/>
    <w:rsid w:val="006D33CB"/>
    <w:rsid w:val="006D34DC"/>
    <w:rsid w:val="006D3A4F"/>
    <w:rsid w:val="006D3A94"/>
    <w:rsid w:val="006D4107"/>
    <w:rsid w:val="006D433F"/>
    <w:rsid w:val="006D4624"/>
    <w:rsid w:val="006D4ABA"/>
    <w:rsid w:val="006D4C6D"/>
    <w:rsid w:val="006D4E41"/>
    <w:rsid w:val="006D5530"/>
    <w:rsid w:val="006D5826"/>
    <w:rsid w:val="006D5A18"/>
    <w:rsid w:val="006D64FB"/>
    <w:rsid w:val="006D66A5"/>
    <w:rsid w:val="006D67D7"/>
    <w:rsid w:val="006D689F"/>
    <w:rsid w:val="006D6920"/>
    <w:rsid w:val="006D6B5A"/>
    <w:rsid w:val="006D7122"/>
    <w:rsid w:val="006D71C4"/>
    <w:rsid w:val="006D7358"/>
    <w:rsid w:val="006D73BB"/>
    <w:rsid w:val="006D7445"/>
    <w:rsid w:val="006D7692"/>
    <w:rsid w:val="006D79C4"/>
    <w:rsid w:val="006E0797"/>
    <w:rsid w:val="006E08AF"/>
    <w:rsid w:val="006E0E01"/>
    <w:rsid w:val="006E10FD"/>
    <w:rsid w:val="006E1303"/>
    <w:rsid w:val="006E1444"/>
    <w:rsid w:val="006E18E2"/>
    <w:rsid w:val="006E1A23"/>
    <w:rsid w:val="006E219A"/>
    <w:rsid w:val="006E233D"/>
    <w:rsid w:val="006E28D2"/>
    <w:rsid w:val="006E2C1D"/>
    <w:rsid w:val="006E2CAC"/>
    <w:rsid w:val="006E2E1C"/>
    <w:rsid w:val="006E3A16"/>
    <w:rsid w:val="006E3A3F"/>
    <w:rsid w:val="006E4400"/>
    <w:rsid w:val="006E4A1B"/>
    <w:rsid w:val="006E4B7F"/>
    <w:rsid w:val="006E4D87"/>
    <w:rsid w:val="006E4F29"/>
    <w:rsid w:val="006E5AEB"/>
    <w:rsid w:val="006E5C22"/>
    <w:rsid w:val="006E5E31"/>
    <w:rsid w:val="006E5F7D"/>
    <w:rsid w:val="006E5FC1"/>
    <w:rsid w:val="006E6366"/>
    <w:rsid w:val="006E661D"/>
    <w:rsid w:val="006E67C6"/>
    <w:rsid w:val="006E686A"/>
    <w:rsid w:val="006E70C5"/>
    <w:rsid w:val="006E711A"/>
    <w:rsid w:val="006E76E8"/>
    <w:rsid w:val="006E7921"/>
    <w:rsid w:val="006F0188"/>
    <w:rsid w:val="006F0E5E"/>
    <w:rsid w:val="006F1327"/>
    <w:rsid w:val="006F13DD"/>
    <w:rsid w:val="006F14F3"/>
    <w:rsid w:val="006F1CD6"/>
    <w:rsid w:val="006F1D95"/>
    <w:rsid w:val="006F20C8"/>
    <w:rsid w:val="006F2284"/>
    <w:rsid w:val="006F24ED"/>
    <w:rsid w:val="006F261F"/>
    <w:rsid w:val="006F272C"/>
    <w:rsid w:val="006F2BAE"/>
    <w:rsid w:val="006F34F6"/>
    <w:rsid w:val="006F3913"/>
    <w:rsid w:val="006F3B24"/>
    <w:rsid w:val="006F4272"/>
    <w:rsid w:val="006F4B1D"/>
    <w:rsid w:val="006F4B68"/>
    <w:rsid w:val="006F5458"/>
    <w:rsid w:val="006F55C8"/>
    <w:rsid w:val="006F5674"/>
    <w:rsid w:val="006F5847"/>
    <w:rsid w:val="006F5B1A"/>
    <w:rsid w:val="006F5C21"/>
    <w:rsid w:val="006F5DD7"/>
    <w:rsid w:val="006F68D5"/>
    <w:rsid w:val="006F6B16"/>
    <w:rsid w:val="006F7090"/>
    <w:rsid w:val="006F756E"/>
    <w:rsid w:val="006F799C"/>
    <w:rsid w:val="006F7B77"/>
    <w:rsid w:val="006F7D38"/>
    <w:rsid w:val="006F7D3D"/>
    <w:rsid w:val="006F7FBC"/>
    <w:rsid w:val="007000EB"/>
    <w:rsid w:val="00700293"/>
    <w:rsid w:val="007004D9"/>
    <w:rsid w:val="0070096A"/>
    <w:rsid w:val="00700DB0"/>
    <w:rsid w:val="00700E5F"/>
    <w:rsid w:val="007017B4"/>
    <w:rsid w:val="00701C51"/>
    <w:rsid w:val="00701F0A"/>
    <w:rsid w:val="007022B0"/>
    <w:rsid w:val="00702338"/>
    <w:rsid w:val="0070236A"/>
    <w:rsid w:val="00702544"/>
    <w:rsid w:val="00702580"/>
    <w:rsid w:val="00702615"/>
    <w:rsid w:val="00702A4F"/>
    <w:rsid w:val="00702AE5"/>
    <w:rsid w:val="00702BA4"/>
    <w:rsid w:val="00702E47"/>
    <w:rsid w:val="00702E5B"/>
    <w:rsid w:val="00703008"/>
    <w:rsid w:val="00703295"/>
    <w:rsid w:val="00703641"/>
    <w:rsid w:val="007039E0"/>
    <w:rsid w:val="00703E5A"/>
    <w:rsid w:val="00703F36"/>
    <w:rsid w:val="00703F59"/>
    <w:rsid w:val="00703F94"/>
    <w:rsid w:val="0070403B"/>
    <w:rsid w:val="007043FD"/>
    <w:rsid w:val="007045B5"/>
    <w:rsid w:val="00704A39"/>
    <w:rsid w:val="00704A7A"/>
    <w:rsid w:val="00704E87"/>
    <w:rsid w:val="007052DA"/>
    <w:rsid w:val="00705654"/>
    <w:rsid w:val="00705D0D"/>
    <w:rsid w:val="00705D97"/>
    <w:rsid w:val="0070625B"/>
    <w:rsid w:val="0070682B"/>
    <w:rsid w:val="00706D12"/>
    <w:rsid w:val="00707AB8"/>
    <w:rsid w:val="00707AFD"/>
    <w:rsid w:val="00707B62"/>
    <w:rsid w:val="00710086"/>
    <w:rsid w:val="00710858"/>
    <w:rsid w:val="007108C0"/>
    <w:rsid w:val="00710949"/>
    <w:rsid w:val="00710AD0"/>
    <w:rsid w:val="00710C00"/>
    <w:rsid w:val="007112B5"/>
    <w:rsid w:val="0071149C"/>
    <w:rsid w:val="007117FE"/>
    <w:rsid w:val="00711895"/>
    <w:rsid w:val="00711B42"/>
    <w:rsid w:val="00711DBF"/>
    <w:rsid w:val="00711F51"/>
    <w:rsid w:val="00711F90"/>
    <w:rsid w:val="007120C8"/>
    <w:rsid w:val="00712388"/>
    <w:rsid w:val="00712639"/>
    <w:rsid w:val="00712650"/>
    <w:rsid w:val="00712EFC"/>
    <w:rsid w:val="0071322F"/>
    <w:rsid w:val="00713599"/>
    <w:rsid w:val="00713638"/>
    <w:rsid w:val="007136ED"/>
    <w:rsid w:val="007137E2"/>
    <w:rsid w:val="007139DC"/>
    <w:rsid w:val="00713A1C"/>
    <w:rsid w:val="00713DB3"/>
    <w:rsid w:val="00713E06"/>
    <w:rsid w:val="00713ED4"/>
    <w:rsid w:val="0071412B"/>
    <w:rsid w:val="007142B7"/>
    <w:rsid w:val="00714EB3"/>
    <w:rsid w:val="00714F3B"/>
    <w:rsid w:val="007154EC"/>
    <w:rsid w:val="00715C46"/>
    <w:rsid w:val="00715C5F"/>
    <w:rsid w:val="00715E14"/>
    <w:rsid w:val="0071666F"/>
    <w:rsid w:val="00716A50"/>
    <w:rsid w:val="00716AB1"/>
    <w:rsid w:val="00716EEB"/>
    <w:rsid w:val="0071784E"/>
    <w:rsid w:val="00717B27"/>
    <w:rsid w:val="00717E7A"/>
    <w:rsid w:val="007207A6"/>
    <w:rsid w:val="00720A86"/>
    <w:rsid w:val="00720B5B"/>
    <w:rsid w:val="00720C0C"/>
    <w:rsid w:val="00721096"/>
    <w:rsid w:val="0072143C"/>
    <w:rsid w:val="007218EE"/>
    <w:rsid w:val="00721D42"/>
    <w:rsid w:val="007220C0"/>
    <w:rsid w:val="00722422"/>
    <w:rsid w:val="00722429"/>
    <w:rsid w:val="007228B2"/>
    <w:rsid w:val="00722FAB"/>
    <w:rsid w:val="007237A1"/>
    <w:rsid w:val="007237FA"/>
    <w:rsid w:val="00723897"/>
    <w:rsid w:val="00723966"/>
    <w:rsid w:val="007240CA"/>
    <w:rsid w:val="007241CF"/>
    <w:rsid w:val="00724475"/>
    <w:rsid w:val="007246F7"/>
    <w:rsid w:val="00724C9A"/>
    <w:rsid w:val="00724DCD"/>
    <w:rsid w:val="007253F9"/>
    <w:rsid w:val="007258AC"/>
    <w:rsid w:val="00725B5F"/>
    <w:rsid w:val="00725BE5"/>
    <w:rsid w:val="00726151"/>
    <w:rsid w:val="00726358"/>
    <w:rsid w:val="00726514"/>
    <w:rsid w:val="00726938"/>
    <w:rsid w:val="00726964"/>
    <w:rsid w:val="00726CBA"/>
    <w:rsid w:val="00727829"/>
    <w:rsid w:val="007278CD"/>
    <w:rsid w:val="00727920"/>
    <w:rsid w:val="00730154"/>
    <w:rsid w:val="007303A4"/>
    <w:rsid w:val="007307CB"/>
    <w:rsid w:val="00730A71"/>
    <w:rsid w:val="0073111A"/>
    <w:rsid w:val="007316CD"/>
    <w:rsid w:val="0073186D"/>
    <w:rsid w:val="00731F0E"/>
    <w:rsid w:val="00732076"/>
    <w:rsid w:val="007320D6"/>
    <w:rsid w:val="007320DB"/>
    <w:rsid w:val="007326D5"/>
    <w:rsid w:val="00732874"/>
    <w:rsid w:val="00732C6D"/>
    <w:rsid w:val="00732E97"/>
    <w:rsid w:val="00733247"/>
    <w:rsid w:val="00733C9D"/>
    <w:rsid w:val="00734C3A"/>
    <w:rsid w:val="00734C9C"/>
    <w:rsid w:val="00734D20"/>
    <w:rsid w:val="0073503C"/>
    <w:rsid w:val="00735422"/>
    <w:rsid w:val="00735A97"/>
    <w:rsid w:val="00735FC7"/>
    <w:rsid w:val="00735FE9"/>
    <w:rsid w:val="007361B8"/>
    <w:rsid w:val="007364A2"/>
    <w:rsid w:val="00736741"/>
    <w:rsid w:val="0073678D"/>
    <w:rsid w:val="007370A0"/>
    <w:rsid w:val="0073727A"/>
    <w:rsid w:val="0073750B"/>
    <w:rsid w:val="00737520"/>
    <w:rsid w:val="00737860"/>
    <w:rsid w:val="007378B7"/>
    <w:rsid w:val="0073790A"/>
    <w:rsid w:val="00737AB1"/>
    <w:rsid w:val="0074027F"/>
    <w:rsid w:val="00740322"/>
    <w:rsid w:val="00740555"/>
    <w:rsid w:val="00740A13"/>
    <w:rsid w:val="007411E7"/>
    <w:rsid w:val="0074126E"/>
    <w:rsid w:val="0074157E"/>
    <w:rsid w:val="007416CA"/>
    <w:rsid w:val="007416CC"/>
    <w:rsid w:val="007418B7"/>
    <w:rsid w:val="00741ABB"/>
    <w:rsid w:val="00741BFA"/>
    <w:rsid w:val="00742242"/>
    <w:rsid w:val="007424D2"/>
    <w:rsid w:val="007427B0"/>
    <w:rsid w:val="00742919"/>
    <w:rsid w:val="007431B0"/>
    <w:rsid w:val="00743639"/>
    <w:rsid w:val="0074372D"/>
    <w:rsid w:val="007438A4"/>
    <w:rsid w:val="00743A20"/>
    <w:rsid w:val="00743A69"/>
    <w:rsid w:val="00743CB8"/>
    <w:rsid w:val="0074476B"/>
    <w:rsid w:val="0074477B"/>
    <w:rsid w:val="007448B6"/>
    <w:rsid w:val="00744A6D"/>
    <w:rsid w:val="00745372"/>
    <w:rsid w:val="0074562E"/>
    <w:rsid w:val="007456D8"/>
    <w:rsid w:val="00745925"/>
    <w:rsid w:val="00745EF8"/>
    <w:rsid w:val="00745F99"/>
    <w:rsid w:val="00746039"/>
    <w:rsid w:val="00746248"/>
    <w:rsid w:val="00746622"/>
    <w:rsid w:val="00746697"/>
    <w:rsid w:val="007467F0"/>
    <w:rsid w:val="00746832"/>
    <w:rsid w:val="0074693D"/>
    <w:rsid w:val="00746ACD"/>
    <w:rsid w:val="00746D6D"/>
    <w:rsid w:val="007472F2"/>
    <w:rsid w:val="007477F0"/>
    <w:rsid w:val="007478F7"/>
    <w:rsid w:val="0074794D"/>
    <w:rsid w:val="00747981"/>
    <w:rsid w:val="00747A1E"/>
    <w:rsid w:val="00750511"/>
    <w:rsid w:val="00750933"/>
    <w:rsid w:val="007509C9"/>
    <w:rsid w:val="00750B0A"/>
    <w:rsid w:val="00751838"/>
    <w:rsid w:val="00751970"/>
    <w:rsid w:val="00751FB5"/>
    <w:rsid w:val="007524D7"/>
    <w:rsid w:val="0075255D"/>
    <w:rsid w:val="00752616"/>
    <w:rsid w:val="00752779"/>
    <w:rsid w:val="007528C7"/>
    <w:rsid w:val="00752A5A"/>
    <w:rsid w:val="00752AB0"/>
    <w:rsid w:val="00752BA6"/>
    <w:rsid w:val="00752EDE"/>
    <w:rsid w:val="00752F5A"/>
    <w:rsid w:val="007540A2"/>
    <w:rsid w:val="007540D7"/>
    <w:rsid w:val="00754340"/>
    <w:rsid w:val="0075539C"/>
    <w:rsid w:val="007556AE"/>
    <w:rsid w:val="00755A0D"/>
    <w:rsid w:val="00755A20"/>
    <w:rsid w:val="00755FAF"/>
    <w:rsid w:val="007565FB"/>
    <w:rsid w:val="00756770"/>
    <w:rsid w:val="00756C1C"/>
    <w:rsid w:val="007573EA"/>
    <w:rsid w:val="007579E8"/>
    <w:rsid w:val="00760141"/>
    <w:rsid w:val="00760A3F"/>
    <w:rsid w:val="00760B66"/>
    <w:rsid w:val="00760CB7"/>
    <w:rsid w:val="0076114F"/>
    <w:rsid w:val="007612D8"/>
    <w:rsid w:val="007612DA"/>
    <w:rsid w:val="007612F5"/>
    <w:rsid w:val="00761801"/>
    <w:rsid w:val="00761A55"/>
    <w:rsid w:val="00761B35"/>
    <w:rsid w:val="00761E74"/>
    <w:rsid w:val="00762355"/>
    <w:rsid w:val="00762B9C"/>
    <w:rsid w:val="00763038"/>
    <w:rsid w:val="007630E8"/>
    <w:rsid w:val="007635A8"/>
    <w:rsid w:val="0076387D"/>
    <w:rsid w:val="0076389E"/>
    <w:rsid w:val="00763A62"/>
    <w:rsid w:val="00764BC5"/>
    <w:rsid w:val="00764C47"/>
    <w:rsid w:val="00764FEA"/>
    <w:rsid w:val="00765519"/>
    <w:rsid w:val="00765792"/>
    <w:rsid w:val="00765928"/>
    <w:rsid w:val="00765AF1"/>
    <w:rsid w:val="00765B01"/>
    <w:rsid w:val="00765BB8"/>
    <w:rsid w:val="007666B7"/>
    <w:rsid w:val="007667B5"/>
    <w:rsid w:val="0076697A"/>
    <w:rsid w:val="00766DD3"/>
    <w:rsid w:val="007677AF"/>
    <w:rsid w:val="007700A9"/>
    <w:rsid w:val="00770522"/>
    <w:rsid w:val="00770623"/>
    <w:rsid w:val="00770738"/>
    <w:rsid w:val="00770AF0"/>
    <w:rsid w:val="00770F16"/>
    <w:rsid w:val="0077124F"/>
    <w:rsid w:val="00771607"/>
    <w:rsid w:val="00771871"/>
    <w:rsid w:val="00771DDC"/>
    <w:rsid w:val="00772099"/>
    <w:rsid w:val="007722F4"/>
    <w:rsid w:val="00772791"/>
    <w:rsid w:val="00772D1B"/>
    <w:rsid w:val="00772DCF"/>
    <w:rsid w:val="00772F94"/>
    <w:rsid w:val="007731D7"/>
    <w:rsid w:val="007733AF"/>
    <w:rsid w:val="0077375A"/>
    <w:rsid w:val="00773F5B"/>
    <w:rsid w:val="00774257"/>
    <w:rsid w:val="007749D6"/>
    <w:rsid w:val="00774D2A"/>
    <w:rsid w:val="007750B4"/>
    <w:rsid w:val="00775A19"/>
    <w:rsid w:val="00775A75"/>
    <w:rsid w:val="00775B9B"/>
    <w:rsid w:val="00776120"/>
    <w:rsid w:val="00776386"/>
    <w:rsid w:val="0077685C"/>
    <w:rsid w:val="00776A92"/>
    <w:rsid w:val="00776CD0"/>
    <w:rsid w:val="00776E83"/>
    <w:rsid w:val="0077744F"/>
    <w:rsid w:val="007775B3"/>
    <w:rsid w:val="00777753"/>
    <w:rsid w:val="00777B35"/>
    <w:rsid w:val="00777E69"/>
    <w:rsid w:val="007802B6"/>
    <w:rsid w:val="007803B7"/>
    <w:rsid w:val="007803F3"/>
    <w:rsid w:val="00780BE3"/>
    <w:rsid w:val="00780BE5"/>
    <w:rsid w:val="00781104"/>
    <w:rsid w:val="00781403"/>
    <w:rsid w:val="00781D06"/>
    <w:rsid w:val="00781D48"/>
    <w:rsid w:val="00781E78"/>
    <w:rsid w:val="007821E7"/>
    <w:rsid w:val="007828DE"/>
    <w:rsid w:val="007831FE"/>
    <w:rsid w:val="007834A2"/>
    <w:rsid w:val="00783636"/>
    <w:rsid w:val="007836B6"/>
    <w:rsid w:val="00783A1E"/>
    <w:rsid w:val="00783B8F"/>
    <w:rsid w:val="00783E76"/>
    <w:rsid w:val="00783E7B"/>
    <w:rsid w:val="00784169"/>
    <w:rsid w:val="0078421F"/>
    <w:rsid w:val="0078433C"/>
    <w:rsid w:val="00784529"/>
    <w:rsid w:val="00784697"/>
    <w:rsid w:val="00784973"/>
    <w:rsid w:val="00784AE6"/>
    <w:rsid w:val="00784B9B"/>
    <w:rsid w:val="00784C7F"/>
    <w:rsid w:val="00785793"/>
    <w:rsid w:val="007857DA"/>
    <w:rsid w:val="00785E29"/>
    <w:rsid w:val="00785F69"/>
    <w:rsid w:val="00785F8C"/>
    <w:rsid w:val="0078602E"/>
    <w:rsid w:val="00786267"/>
    <w:rsid w:val="007863A4"/>
    <w:rsid w:val="0078645F"/>
    <w:rsid w:val="007864AC"/>
    <w:rsid w:val="007864EE"/>
    <w:rsid w:val="0078675C"/>
    <w:rsid w:val="00786E6E"/>
    <w:rsid w:val="00787607"/>
    <w:rsid w:val="0078779F"/>
    <w:rsid w:val="00787837"/>
    <w:rsid w:val="00787A23"/>
    <w:rsid w:val="00787AA7"/>
    <w:rsid w:val="00787B7A"/>
    <w:rsid w:val="00787C32"/>
    <w:rsid w:val="00787F39"/>
    <w:rsid w:val="007900BE"/>
    <w:rsid w:val="0079035C"/>
    <w:rsid w:val="0079064B"/>
    <w:rsid w:val="00790764"/>
    <w:rsid w:val="007907A9"/>
    <w:rsid w:val="0079119F"/>
    <w:rsid w:val="00791200"/>
    <w:rsid w:val="0079172F"/>
    <w:rsid w:val="0079187C"/>
    <w:rsid w:val="007918D7"/>
    <w:rsid w:val="0079243B"/>
    <w:rsid w:val="007924D3"/>
    <w:rsid w:val="00792810"/>
    <w:rsid w:val="00792AD6"/>
    <w:rsid w:val="00793F60"/>
    <w:rsid w:val="00794079"/>
    <w:rsid w:val="007940AC"/>
    <w:rsid w:val="0079413A"/>
    <w:rsid w:val="007942B2"/>
    <w:rsid w:val="00794415"/>
    <w:rsid w:val="00794426"/>
    <w:rsid w:val="00794449"/>
    <w:rsid w:val="0079446B"/>
    <w:rsid w:val="007949CB"/>
    <w:rsid w:val="00794D6B"/>
    <w:rsid w:val="00794DBC"/>
    <w:rsid w:val="00795518"/>
    <w:rsid w:val="00795A53"/>
    <w:rsid w:val="00795B33"/>
    <w:rsid w:val="00795C4B"/>
    <w:rsid w:val="007960EA"/>
    <w:rsid w:val="007961B4"/>
    <w:rsid w:val="00796684"/>
    <w:rsid w:val="0079728A"/>
    <w:rsid w:val="007975F7"/>
    <w:rsid w:val="0079773E"/>
    <w:rsid w:val="007978F0"/>
    <w:rsid w:val="00797982"/>
    <w:rsid w:val="00797A66"/>
    <w:rsid w:val="007A0212"/>
    <w:rsid w:val="007A0CA1"/>
    <w:rsid w:val="007A0CAF"/>
    <w:rsid w:val="007A14EE"/>
    <w:rsid w:val="007A1706"/>
    <w:rsid w:val="007A17E5"/>
    <w:rsid w:val="007A1ACF"/>
    <w:rsid w:val="007A21F7"/>
    <w:rsid w:val="007A2315"/>
    <w:rsid w:val="007A282F"/>
    <w:rsid w:val="007A29D4"/>
    <w:rsid w:val="007A2E0C"/>
    <w:rsid w:val="007A371C"/>
    <w:rsid w:val="007A42FF"/>
    <w:rsid w:val="007A48B4"/>
    <w:rsid w:val="007A540B"/>
    <w:rsid w:val="007A5428"/>
    <w:rsid w:val="007A6242"/>
    <w:rsid w:val="007A64F6"/>
    <w:rsid w:val="007A6AE0"/>
    <w:rsid w:val="007A6B6C"/>
    <w:rsid w:val="007A6F1A"/>
    <w:rsid w:val="007A72BE"/>
    <w:rsid w:val="007A76B4"/>
    <w:rsid w:val="007A790B"/>
    <w:rsid w:val="007A79CB"/>
    <w:rsid w:val="007A7F22"/>
    <w:rsid w:val="007B01BD"/>
    <w:rsid w:val="007B0268"/>
    <w:rsid w:val="007B02B3"/>
    <w:rsid w:val="007B08A1"/>
    <w:rsid w:val="007B1049"/>
    <w:rsid w:val="007B1066"/>
    <w:rsid w:val="007B113E"/>
    <w:rsid w:val="007B114C"/>
    <w:rsid w:val="007B12BB"/>
    <w:rsid w:val="007B1484"/>
    <w:rsid w:val="007B1525"/>
    <w:rsid w:val="007B16D5"/>
    <w:rsid w:val="007B1875"/>
    <w:rsid w:val="007B196C"/>
    <w:rsid w:val="007B1E85"/>
    <w:rsid w:val="007B204B"/>
    <w:rsid w:val="007B22A8"/>
    <w:rsid w:val="007B2785"/>
    <w:rsid w:val="007B288E"/>
    <w:rsid w:val="007B30FF"/>
    <w:rsid w:val="007B31B8"/>
    <w:rsid w:val="007B31CB"/>
    <w:rsid w:val="007B34BF"/>
    <w:rsid w:val="007B3710"/>
    <w:rsid w:val="007B3AF9"/>
    <w:rsid w:val="007B3C7A"/>
    <w:rsid w:val="007B3C8F"/>
    <w:rsid w:val="007B3E86"/>
    <w:rsid w:val="007B3E8D"/>
    <w:rsid w:val="007B4D09"/>
    <w:rsid w:val="007B4F5D"/>
    <w:rsid w:val="007B50AF"/>
    <w:rsid w:val="007B54D9"/>
    <w:rsid w:val="007B582E"/>
    <w:rsid w:val="007B5A35"/>
    <w:rsid w:val="007B6108"/>
    <w:rsid w:val="007B62BB"/>
    <w:rsid w:val="007B6855"/>
    <w:rsid w:val="007B6970"/>
    <w:rsid w:val="007B698D"/>
    <w:rsid w:val="007B6C63"/>
    <w:rsid w:val="007B6FF0"/>
    <w:rsid w:val="007B75A2"/>
    <w:rsid w:val="007B75C9"/>
    <w:rsid w:val="007B7851"/>
    <w:rsid w:val="007B7892"/>
    <w:rsid w:val="007C0982"/>
    <w:rsid w:val="007C0BD4"/>
    <w:rsid w:val="007C14D3"/>
    <w:rsid w:val="007C1FF1"/>
    <w:rsid w:val="007C2069"/>
    <w:rsid w:val="007C25FF"/>
    <w:rsid w:val="007C293E"/>
    <w:rsid w:val="007C2C04"/>
    <w:rsid w:val="007C350A"/>
    <w:rsid w:val="007C36F6"/>
    <w:rsid w:val="007C38F3"/>
    <w:rsid w:val="007C3C9E"/>
    <w:rsid w:val="007C3FA2"/>
    <w:rsid w:val="007C430C"/>
    <w:rsid w:val="007C43F4"/>
    <w:rsid w:val="007C46CE"/>
    <w:rsid w:val="007C4943"/>
    <w:rsid w:val="007C4B35"/>
    <w:rsid w:val="007C5265"/>
    <w:rsid w:val="007C56DA"/>
    <w:rsid w:val="007C5A28"/>
    <w:rsid w:val="007C5D81"/>
    <w:rsid w:val="007C674C"/>
    <w:rsid w:val="007C6FB1"/>
    <w:rsid w:val="007C7040"/>
    <w:rsid w:val="007C73E1"/>
    <w:rsid w:val="007C74BC"/>
    <w:rsid w:val="007D00EB"/>
    <w:rsid w:val="007D0A22"/>
    <w:rsid w:val="007D0AB2"/>
    <w:rsid w:val="007D15F1"/>
    <w:rsid w:val="007D1DB5"/>
    <w:rsid w:val="007D216E"/>
    <w:rsid w:val="007D2257"/>
    <w:rsid w:val="007D255A"/>
    <w:rsid w:val="007D2D07"/>
    <w:rsid w:val="007D318D"/>
    <w:rsid w:val="007D34B1"/>
    <w:rsid w:val="007D35E8"/>
    <w:rsid w:val="007D37BB"/>
    <w:rsid w:val="007D3884"/>
    <w:rsid w:val="007D3D62"/>
    <w:rsid w:val="007D40A4"/>
    <w:rsid w:val="007D44C6"/>
    <w:rsid w:val="007D4614"/>
    <w:rsid w:val="007D47EC"/>
    <w:rsid w:val="007D51F7"/>
    <w:rsid w:val="007D588C"/>
    <w:rsid w:val="007D6097"/>
    <w:rsid w:val="007D60F7"/>
    <w:rsid w:val="007D641F"/>
    <w:rsid w:val="007D66A5"/>
    <w:rsid w:val="007D67CE"/>
    <w:rsid w:val="007D6838"/>
    <w:rsid w:val="007D7277"/>
    <w:rsid w:val="007D7441"/>
    <w:rsid w:val="007D765B"/>
    <w:rsid w:val="007D7F5E"/>
    <w:rsid w:val="007E0079"/>
    <w:rsid w:val="007E0196"/>
    <w:rsid w:val="007E02B7"/>
    <w:rsid w:val="007E0C05"/>
    <w:rsid w:val="007E0F16"/>
    <w:rsid w:val="007E11FC"/>
    <w:rsid w:val="007E184E"/>
    <w:rsid w:val="007E196C"/>
    <w:rsid w:val="007E2150"/>
    <w:rsid w:val="007E29F6"/>
    <w:rsid w:val="007E2B1D"/>
    <w:rsid w:val="007E34F9"/>
    <w:rsid w:val="007E387D"/>
    <w:rsid w:val="007E3A16"/>
    <w:rsid w:val="007E41D0"/>
    <w:rsid w:val="007E4650"/>
    <w:rsid w:val="007E468E"/>
    <w:rsid w:val="007E5527"/>
    <w:rsid w:val="007E581E"/>
    <w:rsid w:val="007E5AB2"/>
    <w:rsid w:val="007E5C76"/>
    <w:rsid w:val="007E5D0C"/>
    <w:rsid w:val="007E5E71"/>
    <w:rsid w:val="007E6060"/>
    <w:rsid w:val="007E6185"/>
    <w:rsid w:val="007E6543"/>
    <w:rsid w:val="007E6C97"/>
    <w:rsid w:val="007E6E9C"/>
    <w:rsid w:val="007E7D86"/>
    <w:rsid w:val="007E7FCB"/>
    <w:rsid w:val="007F0383"/>
    <w:rsid w:val="007F0584"/>
    <w:rsid w:val="007F07CF"/>
    <w:rsid w:val="007F0AEE"/>
    <w:rsid w:val="007F0D36"/>
    <w:rsid w:val="007F0DE5"/>
    <w:rsid w:val="007F117B"/>
    <w:rsid w:val="007F15B3"/>
    <w:rsid w:val="007F1BCA"/>
    <w:rsid w:val="007F1C2D"/>
    <w:rsid w:val="007F1CDB"/>
    <w:rsid w:val="007F1D57"/>
    <w:rsid w:val="007F20C1"/>
    <w:rsid w:val="007F20E6"/>
    <w:rsid w:val="007F20F9"/>
    <w:rsid w:val="007F27D4"/>
    <w:rsid w:val="007F2851"/>
    <w:rsid w:val="007F2BCC"/>
    <w:rsid w:val="007F320F"/>
    <w:rsid w:val="007F327C"/>
    <w:rsid w:val="007F3875"/>
    <w:rsid w:val="007F387C"/>
    <w:rsid w:val="007F3B8E"/>
    <w:rsid w:val="007F3C0A"/>
    <w:rsid w:val="007F3C6A"/>
    <w:rsid w:val="007F3EDC"/>
    <w:rsid w:val="007F3F0A"/>
    <w:rsid w:val="007F4122"/>
    <w:rsid w:val="007F41C3"/>
    <w:rsid w:val="007F43D6"/>
    <w:rsid w:val="007F4422"/>
    <w:rsid w:val="007F472A"/>
    <w:rsid w:val="007F47DB"/>
    <w:rsid w:val="007F4BD6"/>
    <w:rsid w:val="007F50C5"/>
    <w:rsid w:val="007F5CB1"/>
    <w:rsid w:val="007F5E4E"/>
    <w:rsid w:val="007F5F59"/>
    <w:rsid w:val="007F63A2"/>
    <w:rsid w:val="007F6AD8"/>
    <w:rsid w:val="007F6FE3"/>
    <w:rsid w:val="007F7092"/>
    <w:rsid w:val="00800541"/>
    <w:rsid w:val="0080076A"/>
    <w:rsid w:val="00800CA5"/>
    <w:rsid w:val="00800E55"/>
    <w:rsid w:val="00801152"/>
    <w:rsid w:val="008014B3"/>
    <w:rsid w:val="008015C5"/>
    <w:rsid w:val="0080169B"/>
    <w:rsid w:val="008017DB"/>
    <w:rsid w:val="00801AFD"/>
    <w:rsid w:val="00801D4B"/>
    <w:rsid w:val="0080215B"/>
    <w:rsid w:val="00802573"/>
    <w:rsid w:val="0080264B"/>
    <w:rsid w:val="00804030"/>
    <w:rsid w:val="008043B0"/>
    <w:rsid w:val="008044DE"/>
    <w:rsid w:val="00805028"/>
    <w:rsid w:val="00805505"/>
    <w:rsid w:val="00805647"/>
    <w:rsid w:val="0080588B"/>
    <w:rsid w:val="00805EDF"/>
    <w:rsid w:val="00806222"/>
    <w:rsid w:val="00806601"/>
    <w:rsid w:val="00806777"/>
    <w:rsid w:val="0080692A"/>
    <w:rsid w:val="00806FC1"/>
    <w:rsid w:val="0080703E"/>
    <w:rsid w:val="00807452"/>
    <w:rsid w:val="00807540"/>
    <w:rsid w:val="00807924"/>
    <w:rsid w:val="00807A8A"/>
    <w:rsid w:val="00807A95"/>
    <w:rsid w:val="00807F9B"/>
    <w:rsid w:val="00807FB7"/>
    <w:rsid w:val="00810744"/>
    <w:rsid w:val="008109C8"/>
    <w:rsid w:val="00810A37"/>
    <w:rsid w:val="00810CA6"/>
    <w:rsid w:val="00810CC0"/>
    <w:rsid w:val="00810FE9"/>
    <w:rsid w:val="008112AD"/>
    <w:rsid w:val="008117C0"/>
    <w:rsid w:val="0081197E"/>
    <w:rsid w:val="00811DF9"/>
    <w:rsid w:val="00811E00"/>
    <w:rsid w:val="00811F0F"/>
    <w:rsid w:val="00812083"/>
    <w:rsid w:val="0081223F"/>
    <w:rsid w:val="0081233D"/>
    <w:rsid w:val="00812837"/>
    <w:rsid w:val="00812929"/>
    <w:rsid w:val="008129BC"/>
    <w:rsid w:val="00812B38"/>
    <w:rsid w:val="008130EA"/>
    <w:rsid w:val="00813E91"/>
    <w:rsid w:val="00814094"/>
    <w:rsid w:val="00814208"/>
    <w:rsid w:val="0081444C"/>
    <w:rsid w:val="00814464"/>
    <w:rsid w:val="008148E4"/>
    <w:rsid w:val="008148EE"/>
    <w:rsid w:val="00815013"/>
    <w:rsid w:val="00815129"/>
    <w:rsid w:val="00815684"/>
    <w:rsid w:val="00815804"/>
    <w:rsid w:val="008159ED"/>
    <w:rsid w:val="008159FD"/>
    <w:rsid w:val="00815E84"/>
    <w:rsid w:val="00817230"/>
    <w:rsid w:val="00817812"/>
    <w:rsid w:val="00817A2E"/>
    <w:rsid w:val="00817ACD"/>
    <w:rsid w:val="00817C64"/>
    <w:rsid w:val="00817D14"/>
    <w:rsid w:val="00820031"/>
    <w:rsid w:val="0082029B"/>
    <w:rsid w:val="00820D11"/>
    <w:rsid w:val="00820E1F"/>
    <w:rsid w:val="008210B7"/>
    <w:rsid w:val="00821188"/>
    <w:rsid w:val="008213CF"/>
    <w:rsid w:val="008214E6"/>
    <w:rsid w:val="00821B3D"/>
    <w:rsid w:val="00821C46"/>
    <w:rsid w:val="00821C99"/>
    <w:rsid w:val="00821D16"/>
    <w:rsid w:val="00822AA0"/>
    <w:rsid w:val="00822BA7"/>
    <w:rsid w:val="00822D80"/>
    <w:rsid w:val="008233E2"/>
    <w:rsid w:val="0082378E"/>
    <w:rsid w:val="00823805"/>
    <w:rsid w:val="00823AD4"/>
    <w:rsid w:val="00823B71"/>
    <w:rsid w:val="008245C8"/>
    <w:rsid w:val="008245D1"/>
    <w:rsid w:val="0082472A"/>
    <w:rsid w:val="008249CB"/>
    <w:rsid w:val="00824CCC"/>
    <w:rsid w:val="00825867"/>
    <w:rsid w:val="00825D22"/>
    <w:rsid w:val="00825D6F"/>
    <w:rsid w:val="00825D9E"/>
    <w:rsid w:val="0082650A"/>
    <w:rsid w:val="008269DB"/>
    <w:rsid w:val="00826F35"/>
    <w:rsid w:val="008270C1"/>
    <w:rsid w:val="0082740B"/>
    <w:rsid w:val="00827DE2"/>
    <w:rsid w:val="00827E02"/>
    <w:rsid w:val="00830711"/>
    <w:rsid w:val="0083071F"/>
    <w:rsid w:val="00830876"/>
    <w:rsid w:val="00830B1E"/>
    <w:rsid w:val="00830E57"/>
    <w:rsid w:val="00831257"/>
    <w:rsid w:val="008312E4"/>
    <w:rsid w:val="008315C8"/>
    <w:rsid w:val="00831D66"/>
    <w:rsid w:val="008321C1"/>
    <w:rsid w:val="008322C2"/>
    <w:rsid w:val="008324F9"/>
    <w:rsid w:val="00832CEB"/>
    <w:rsid w:val="00832E7A"/>
    <w:rsid w:val="00833717"/>
    <w:rsid w:val="00833DD6"/>
    <w:rsid w:val="00834878"/>
    <w:rsid w:val="00834A0E"/>
    <w:rsid w:val="00834B38"/>
    <w:rsid w:val="00834F9D"/>
    <w:rsid w:val="0083504C"/>
    <w:rsid w:val="0083514F"/>
    <w:rsid w:val="008369B9"/>
    <w:rsid w:val="00836B20"/>
    <w:rsid w:val="00836D2F"/>
    <w:rsid w:val="00836E51"/>
    <w:rsid w:val="00836F4C"/>
    <w:rsid w:val="00836FD0"/>
    <w:rsid w:val="00837214"/>
    <w:rsid w:val="008376EF"/>
    <w:rsid w:val="00840091"/>
    <w:rsid w:val="00840521"/>
    <w:rsid w:val="00840CDE"/>
    <w:rsid w:val="00840E12"/>
    <w:rsid w:val="00840E6D"/>
    <w:rsid w:val="00840F52"/>
    <w:rsid w:val="00840FF3"/>
    <w:rsid w:val="0084102D"/>
    <w:rsid w:val="0084140B"/>
    <w:rsid w:val="00841494"/>
    <w:rsid w:val="008416C8"/>
    <w:rsid w:val="008418CA"/>
    <w:rsid w:val="00841A7B"/>
    <w:rsid w:val="0084211B"/>
    <w:rsid w:val="00842503"/>
    <w:rsid w:val="008425DC"/>
    <w:rsid w:val="00842741"/>
    <w:rsid w:val="0084291F"/>
    <w:rsid w:val="00842A59"/>
    <w:rsid w:val="0084320E"/>
    <w:rsid w:val="0084365A"/>
    <w:rsid w:val="008436F7"/>
    <w:rsid w:val="00843FCA"/>
    <w:rsid w:val="00844417"/>
    <w:rsid w:val="00845226"/>
    <w:rsid w:val="0084589A"/>
    <w:rsid w:val="00845A1F"/>
    <w:rsid w:val="00845D59"/>
    <w:rsid w:val="00845F54"/>
    <w:rsid w:val="00846757"/>
    <w:rsid w:val="008467E4"/>
    <w:rsid w:val="0084684D"/>
    <w:rsid w:val="008469A1"/>
    <w:rsid w:val="00846B75"/>
    <w:rsid w:val="00846E26"/>
    <w:rsid w:val="0084762F"/>
    <w:rsid w:val="00847A41"/>
    <w:rsid w:val="008500CF"/>
    <w:rsid w:val="00850747"/>
    <w:rsid w:val="00850BCE"/>
    <w:rsid w:val="00850DB6"/>
    <w:rsid w:val="00850EF6"/>
    <w:rsid w:val="00850F2E"/>
    <w:rsid w:val="00851678"/>
    <w:rsid w:val="008519B1"/>
    <w:rsid w:val="00851FAF"/>
    <w:rsid w:val="00852128"/>
    <w:rsid w:val="0085214D"/>
    <w:rsid w:val="008523E9"/>
    <w:rsid w:val="0085246E"/>
    <w:rsid w:val="0085283D"/>
    <w:rsid w:val="008529E8"/>
    <w:rsid w:val="00852F62"/>
    <w:rsid w:val="008533C6"/>
    <w:rsid w:val="008536F6"/>
    <w:rsid w:val="00853D9B"/>
    <w:rsid w:val="00854082"/>
    <w:rsid w:val="0085417B"/>
    <w:rsid w:val="0085419B"/>
    <w:rsid w:val="00854320"/>
    <w:rsid w:val="00854480"/>
    <w:rsid w:val="00854872"/>
    <w:rsid w:val="00854C8D"/>
    <w:rsid w:val="00854D5D"/>
    <w:rsid w:val="00854DAF"/>
    <w:rsid w:val="008550D2"/>
    <w:rsid w:val="0085540A"/>
    <w:rsid w:val="008554EA"/>
    <w:rsid w:val="008555D5"/>
    <w:rsid w:val="008556DE"/>
    <w:rsid w:val="0085603B"/>
    <w:rsid w:val="0085611A"/>
    <w:rsid w:val="0085631D"/>
    <w:rsid w:val="0085632F"/>
    <w:rsid w:val="00856573"/>
    <w:rsid w:val="00856951"/>
    <w:rsid w:val="008569B5"/>
    <w:rsid w:val="00856A4E"/>
    <w:rsid w:val="00856A83"/>
    <w:rsid w:val="00856B01"/>
    <w:rsid w:val="00856C3D"/>
    <w:rsid w:val="00856D75"/>
    <w:rsid w:val="00856F56"/>
    <w:rsid w:val="00857348"/>
    <w:rsid w:val="008576DA"/>
    <w:rsid w:val="00857A87"/>
    <w:rsid w:val="00857E67"/>
    <w:rsid w:val="00860197"/>
    <w:rsid w:val="00860283"/>
    <w:rsid w:val="00860EB0"/>
    <w:rsid w:val="008610C6"/>
    <w:rsid w:val="00861249"/>
    <w:rsid w:val="0086134E"/>
    <w:rsid w:val="008614F3"/>
    <w:rsid w:val="008616BF"/>
    <w:rsid w:val="00861CE7"/>
    <w:rsid w:val="00861E89"/>
    <w:rsid w:val="00861EBA"/>
    <w:rsid w:val="00862131"/>
    <w:rsid w:val="008625D7"/>
    <w:rsid w:val="0086263C"/>
    <w:rsid w:val="00862A18"/>
    <w:rsid w:val="00862B83"/>
    <w:rsid w:val="00862BF1"/>
    <w:rsid w:val="00863058"/>
    <w:rsid w:val="00863141"/>
    <w:rsid w:val="0086350C"/>
    <w:rsid w:val="008635D2"/>
    <w:rsid w:val="00863620"/>
    <w:rsid w:val="00863675"/>
    <w:rsid w:val="008636DA"/>
    <w:rsid w:val="0086482C"/>
    <w:rsid w:val="00864C8C"/>
    <w:rsid w:val="008650D0"/>
    <w:rsid w:val="008651E2"/>
    <w:rsid w:val="00865279"/>
    <w:rsid w:val="00865396"/>
    <w:rsid w:val="0086587B"/>
    <w:rsid w:val="00865D00"/>
    <w:rsid w:val="00865DF2"/>
    <w:rsid w:val="00865E67"/>
    <w:rsid w:val="00866031"/>
    <w:rsid w:val="008665EF"/>
    <w:rsid w:val="00866CFE"/>
    <w:rsid w:val="00866E7C"/>
    <w:rsid w:val="00866EBB"/>
    <w:rsid w:val="008670AF"/>
    <w:rsid w:val="00867223"/>
    <w:rsid w:val="00867562"/>
    <w:rsid w:val="00867B0D"/>
    <w:rsid w:val="00867E75"/>
    <w:rsid w:val="008700CF"/>
    <w:rsid w:val="0087033D"/>
    <w:rsid w:val="008703AF"/>
    <w:rsid w:val="00870C0F"/>
    <w:rsid w:val="00870DF7"/>
    <w:rsid w:val="00871B2E"/>
    <w:rsid w:val="00871C00"/>
    <w:rsid w:val="00872128"/>
    <w:rsid w:val="008721E2"/>
    <w:rsid w:val="008725AA"/>
    <w:rsid w:val="0087296C"/>
    <w:rsid w:val="00872ED4"/>
    <w:rsid w:val="00872FF9"/>
    <w:rsid w:val="008731AB"/>
    <w:rsid w:val="00873691"/>
    <w:rsid w:val="008737C1"/>
    <w:rsid w:val="008739F5"/>
    <w:rsid w:val="00873DF9"/>
    <w:rsid w:val="00873E5F"/>
    <w:rsid w:val="008743D3"/>
    <w:rsid w:val="00874719"/>
    <w:rsid w:val="0087475A"/>
    <w:rsid w:val="00874D80"/>
    <w:rsid w:val="00875185"/>
    <w:rsid w:val="00875225"/>
    <w:rsid w:val="00875381"/>
    <w:rsid w:val="00875534"/>
    <w:rsid w:val="00875758"/>
    <w:rsid w:val="00875C60"/>
    <w:rsid w:val="008767D5"/>
    <w:rsid w:val="00876A13"/>
    <w:rsid w:val="00876C0F"/>
    <w:rsid w:val="00877306"/>
    <w:rsid w:val="00877370"/>
    <w:rsid w:val="0087752F"/>
    <w:rsid w:val="00877574"/>
    <w:rsid w:val="00877AED"/>
    <w:rsid w:val="00877C30"/>
    <w:rsid w:val="00877D78"/>
    <w:rsid w:val="008802B2"/>
    <w:rsid w:val="008805B3"/>
    <w:rsid w:val="00880DEC"/>
    <w:rsid w:val="008813C5"/>
    <w:rsid w:val="00881899"/>
    <w:rsid w:val="0088215B"/>
    <w:rsid w:val="00882246"/>
    <w:rsid w:val="008823CE"/>
    <w:rsid w:val="0088240C"/>
    <w:rsid w:val="00882550"/>
    <w:rsid w:val="00882F1F"/>
    <w:rsid w:val="00883349"/>
    <w:rsid w:val="0088334C"/>
    <w:rsid w:val="0088348B"/>
    <w:rsid w:val="008834F2"/>
    <w:rsid w:val="00883699"/>
    <w:rsid w:val="00883846"/>
    <w:rsid w:val="00883A54"/>
    <w:rsid w:val="00883D0C"/>
    <w:rsid w:val="008842CA"/>
    <w:rsid w:val="00884D3D"/>
    <w:rsid w:val="0088517D"/>
    <w:rsid w:val="008851CB"/>
    <w:rsid w:val="0088562A"/>
    <w:rsid w:val="0088576D"/>
    <w:rsid w:val="00885AA6"/>
    <w:rsid w:val="00885CC5"/>
    <w:rsid w:val="00886028"/>
    <w:rsid w:val="00886099"/>
    <w:rsid w:val="008864AD"/>
    <w:rsid w:val="00886672"/>
    <w:rsid w:val="008868BF"/>
    <w:rsid w:val="00886E17"/>
    <w:rsid w:val="00886E36"/>
    <w:rsid w:val="00887074"/>
    <w:rsid w:val="008870F0"/>
    <w:rsid w:val="0088739D"/>
    <w:rsid w:val="00887856"/>
    <w:rsid w:val="00887BC3"/>
    <w:rsid w:val="00887FE9"/>
    <w:rsid w:val="00890543"/>
    <w:rsid w:val="008905B1"/>
    <w:rsid w:val="00890709"/>
    <w:rsid w:val="00890C48"/>
    <w:rsid w:val="00890C9D"/>
    <w:rsid w:val="00890E76"/>
    <w:rsid w:val="00890F22"/>
    <w:rsid w:val="00891410"/>
    <w:rsid w:val="0089144B"/>
    <w:rsid w:val="008914C3"/>
    <w:rsid w:val="00891B03"/>
    <w:rsid w:val="00891B65"/>
    <w:rsid w:val="00891EBE"/>
    <w:rsid w:val="008920B8"/>
    <w:rsid w:val="008921C4"/>
    <w:rsid w:val="00892589"/>
    <w:rsid w:val="008926B2"/>
    <w:rsid w:val="00892898"/>
    <w:rsid w:val="00892940"/>
    <w:rsid w:val="008929A2"/>
    <w:rsid w:val="00892CE5"/>
    <w:rsid w:val="00893AA0"/>
    <w:rsid w:val="00893C28"/>
    <w:rsid w:val="00893D49"/>
    <w:rsid w:val="00894038"/>
    <w:rsid w:val="008941DC"/>
    <w:rsid w:val="0089484D"/>
    <w:rsid w:val="00894E01"/>
    <w:rsid w:val="008950AC"/>
    <w:rsid w:val="00895465"/>
    <w:rsid w:val="008956B6"/>
    <w:rsid w:val="008956EC"/>
    <w:rsid w:val="008957B0"/>
    <w:rsid w:val="00895B1B"/>
    <w:rsid w:val="00895F55"/>
    <w:rsid w:val="008972A1"/>
    <w:rsid w:val="008973F3"/>
    <w:rsid w:val="00897898"/>
    <w:rsid w:val="00897904"/>
    <w:rsid w:val="00897B12"/>
    <w:rsid w:val="00897B95"/>
    <w:rsid w:val="00897ED5"/>
    <w:rsid w:val="008A0E7D"/>
    <w:rsid w:val="008A0FB7"/>
    <w:rsid w:val="008A1813"/>
    <w:rsid w:val="008A182A"/>
    <w:rsid w:val="008A1CBB"/>
    <w:rsid w:val="008A2737"/>
    <w:rsid w:val="008A28D4"/>
    <w:rsid w:val="008A293A"/>
    <w:rsid w:val="008A2D75"/>
    <w:rsid w:val="008A2F10"/>
    <w:rsid w:val="008A32F0"/>
    <w:rsid w:val="008A444F"/>
    <w:rsid w:val="008A4BA5"/>
    <w:rsid w:val="008A4EB2"/>
    <w:rsid w:val="008A4F39"/>
    <w:rsid w:val="008A5029"/>
    <w:rsid w:val="008A56AE"/>
    <w:rsid w:val="008A57E0"/>
    <w:rsid w:val="008A606E"/>
    <w:rsid w:val="008A6350"/>
    <w:rsid w:val="008A65FD"/>
    <w:rsid w:val="008A66CE"/>
    <w:rsid w:val="008A71E4"/>
    <w:rsid w:val="008A74E8"/>
    <w:rsid w:val="008A76F5"/>
    <w:rsid w:val="008A78DF"/>
    <w:rsid w:val="008A7A04"/>
    <w:rsid w:val="008A7CB8"/>
    <w:rsid w:val="008A7CE8"/>
    <w:rsid w:val="008A7E47"/>
    <w:rsid w:val="008B05A0"/>
    <w:rsid w:val="008B05C7"/>
    <w:rsid w:val="008B06B2"/>
    <w:rsid w:val="008B0873"/>
    <w:rsid w:val="008B0EF2"/>
    <w:rsid w:val="008B1848"/>
    <w:rsid w:val="008B18DD"/>
    <w:rsid w:val="008B1B3F"/>
    <w:rsid w:val="008B1BAB"/>
    <w:rsid w:val="008B1BC1"/>
    <w:rsid w:val="008B1EF1"/>
    <w:rsid w:val="008B2102"/>
    <w:rsid w:val="008B2159"/>
    <w:rsid w:val="008B2882"/>
    <w:rsid w:val="008B28CE"/>
    <w:rsid w:val="008B2BD0"/>
    <w:rsid w:val="008B33C8"/>
    <w:rsid w:val="008B3B62"/>
    <w:rsid w:val="008B3D67"/>
    <w:rsid w:val="008B410D"/>
    <w:rsid w:val="008B45E5"/>
    <w:rsid w:val="008B4980"/>
    <w:rsid w:val="008B4AB1"/>
    <w:rsid w:val="008B5231"/>
    <w:rsid w:val="008B5753"/>
    <w:rsid w:val="008B5793"/>
    <w:rsid w:val="008B5E6D"/>
    <w:rsid w:val="008B5FD6"/>
    <w:rsid w:val="008B614A"/>
    <w:rsid w:val="008B64A7"/>
    <w:rsid w:val="008B6941"/>
    <w:rsid w:val="008B6B05"/>
    <w:rsid w:val="008B6B71"/>
    <w:rsid w:val="008B6F6E"/>
    <w:rsid w:val="008B6FCB"/>
    <w:rsid w:val="008B71C6"/>
    <w:rsid w:val="008B7741"/>
    <w:rsid w:val="008B78EA"/>
    <w:rsid w:val="008B7A4F"/>
    <w:rsid w:val="008B7D47"/>
    <w:rsid w:val="008B7D9D"/>
    <w:rsid w:val="008C00F5"/>
    <w:rsid w:val="008C010E"/>
    <w:rsid w:val="008C0679"/>
    <w:rsid w:val="008C0686"/>
    <w:rsid w:val="008C0AAB"/>
    <w:rsid w:val="008C0BB5"/>
    <w:rsid w:val="008C128C"/>
    <w:rsid w:val="008C1332"/>
    <w:rsid w:val="008C1656"/>
    <w:rsid w:val="008C1730"/>
    <w:rsid w:val="008C1969"/>
    <w:rsid w:val="008C227D"/>
    <w:rsid w:val="008C22F0"/>
    <w:rsid w:val="008C264E"/>
    <w:rsid w:val="008C28A8"/>
    <w:rsid w:val="008C2B07"/>
    <w:rsid w:val="008C341D"/>
    <w:rsid w:val="008C36D6"/>
    <w:rsid w:val="008C3D5D"/>
    <w:rsid w:val="008C3FE1"/>
    <w:rsid w:val="008C41D4"/>
    <w:rsid w:val="008C4496"/>
    <w:rsid w:val="008C4558"/>
    <w:rsid w:val="008C46E5"/>
    <w:rsid w:val="008C481B"/>
    <w:rsid w:val="008C4AC8"/>
    <w:rsid w:val="008C4C5F"/>
    <w:rsid w:val="008C511A"/>
    <w:rsid w:val="008C5475"/>
    <w:rsid w:val="008C54AC"/>
    <w:rsid w:val="008C56EF"/>
    <w:rsid w:val="008C59BD"/>
    <w:rsid w:val="008C5E3E"/>
    <w:rsid w:val="008C5FDD"/>
    <w:rsid w:val="008C607B"/>
    <w:rsid w:val="008C683E"/>
    <w:rsid w:val="008C69AF"/>
    <w:rsid w:val="008C6A5D"/>
    <w:rsid w:val="008C6DCA"/>
    <w:rsid w:val="008C6F0C"/>
    <w:rsid w:val="008C72E2"/>
    <w:rsid w:val="008C73B5"/>
    <w:rsid w:val="008C7DED"/>
    <w:rsid w:val="008D04DC"/>
    <w:rsid w:val="008D0582"/>
    <w:rsid w:val="008D059F"/>
    <w:rsid w:val="008D0675"/>
    <w:rsid w:val="008D097A"/>
    <w:rsid w:val="008D0C64"/>
    <w:rsid w:val="008D0E5A"/>
    <w:rsid w:val="008D1062"/>
    <w:rsid w:val="008D1535"/>
    <w:rsid w:val="008D19CF"/>
    <w:rsid w:val="008D1B61"/>
    <w:rsid w:val="008D1CBA"/>
    <w:rsid w:val="008D1E2D"/>
    <w:rsid w:val="008D1EA4"/>
    <w:rsid w:val="008D2075"/>
    <w:rsid w:val="008D271E"/>
    <w:rsid w:val="008D3244"/>
    <w:rsid w:val="008D3B39"/>
    <w:rsid w:val="008D3C6B"/>
    <w:rsid w:val="008D41EB"/>
    <w:rsid w:val="008D47AC"/>
    <w:rsid w:val="008D5046"/>
    <w:rsid w:val="008D547F"/>
    <w:rsid w:val="008D5E76"/>
    <w:rsid w:val="008D6021"/>
    <w:rsid w:val="008D67C2"/>
    <w:rsid w:val="008D6C11"/>
    <w:rsid w:val="008D718E"/>
    <w:rsid w:val="008D7773"/>
    <w:rsid w:val="008D7ABE"/>
    <w:rsid w:val="008D7EA7"/>
    <w:rsid w:val="008E0EBA"/>
    <w:rsid w:val="008E126E"/>
    <w:rsid w:val="008E1615"/>
    <w:rsid w:val="008E234D"/>
    <w:rsid w:val="008E263D"/>
    <w:rsid w:val="008E2B4C"/>
    <w:rsid w:val="008E3106"/>
    <w:rsid w:val="008E42F2"/>
    <w:rsid w:val="008E438D"/>
    <w:rsid w:val="008E49CD"/>
    <w:rsid w:val="008E4C63"/>
    <w:rsid w:val="008E554E"/>
    <w:rsid w:val="008E577A"/>
    <w:rsid w:val="008E59C8"/>
    <w:rsid w:val="008E5A16"/>
    <w:rsid w:val="008E5B1B"/>
    <w:rsid w:val="008E5FBC"/>
    <w:rsid w:val="008E615A"/>
    <w:rsid w:val="008E63A9"/>
    <w:rsid w:val="008E67C7"/>
    <w:rsid w:val="008E7077"/>
    <w:rsid w:val="008E7296"/>
    <w:rsid w:val="008E78C2"/>
    <w:rsid w:val="008E79B7"/>
    <w:rsid w:val="008E7AB3"/>
    <w:rsid w:val="008F0345"/>
    <w:rsid w:val="008F08FD"/>
    <w:rsid w:val="008F0A49"/>
    <w:rsid w:val="008F0B4E"/>
    <w:rsid w:val="008F11EE"/>
    <w:rsid w:val="008F15D9"/>
    <w:rsid w:val="008F16B8"/>
    <w:rsid w:val="008F1AC4"/>
    <w:rsid w:val="008F1CB4"/>
    <w:rsid w:val="008F1FC2"/>
    <w:rsid w:val="008F22E9"/>
    <w:rsid w:val="008F255F"/>
    <w:rsid w:val="008F28C1"/>
    <w:rsid w:val="008F29E3"/>
    <w:rsid w:val="008F2B10"/>
    <w:rsid w:val="008F2BF5"/>
    <w:rsid w:val="008F2F8C"/>
    <w:rsid w:val="008F31F4"/>
    <w:rsid w:val="008F3241"/>
    <w:rsid w:val="008F365D"/>
    <w:rsid w:val="008F366D"/>
    <w:rsid w:val="008F3880"/>
    <w:rsid w:val="008F3D36"/>
    <w:rsid w:val="008F416E"/>
    <w:rsid w:val="008F45D1"/>
    <w:rsid w:val="008F477F"/>
    <w:rsid w:val="008F487E"/>
    <w:rsid w:val="008F4F8B"/>
    <w:rsid w:val="008F5385"/>
    <w:rsid w:val="008F592F"/>
    <w:rsid w:val="008F5D13"/>
    <w:rsid w:val="008F5FAB"/>
    <w:rsid w:val="008F698A"/>
    <w:rsid w:val="008F6CD2"/>
    <w:rsid w:val="008F6DC4"/>
    <w:rsid w:val="008F7261"/>
    <w:rsid w:val="008F72BD"/>
    <w:rsid w:val="008F7339"/>
    <w:rsid w:val="008F7580"/>
    <w:rsid w:val="008F760C"/>
    <w:rsid w:val="008F7645"/>
    <w:rsid w:val="008F7818"/>
    <w:rsid w:val="008F785E"/>
    <w:rsid w:val="008F7863"/>
    <w:rsid w:val="008F786A"/>
    <w:rsid w:val="008F7924"/>
    <w:rsid w:val="0090013A"/>
    <w:rsid w:val="0090037F"/>
    <w:rsid w:val="0090057C"/>
    <w:rsid w:val="0090071D"/>
    <w:rsid w:val="00900B1F"/>
    <w:rsid w:val="0090118B"/>
    <w:rsid w:val="00901C58"/>
    <w:rsid w:val="00901E05"/>
    <w:rsid w:val="00901E1F"/>
    <w:rsid w:val="00902493"/>
    <w:rsid w:val="009025BF"/>
    <w:rsid w:val="009029E0"/>
    <w:rsid w:val="00902FC9"/>
    <w:rsid w:val="0090311A"/>
    <w:rsid w:val="009039BB"/>
    <w:rsid w:val="00903F55"/>
    <w:rsid w:val="009050CA"/>
    <w:rsid w:val="009051E9"/>
    <w:rsid w:val="00905B20"/>
    <w:rsid w:val="00905EC4"/>
    <w:rsid w:val="00906B36"/>
    <w:rsid w:val="00906E02"/>
    <w:rsid w:val="009071F8"/>
    <w:rsid w:val="00907495"/>
    <w:rsid w:val="009077AA"/>
    <w:rsid w:val="00907B1C"/>
    <w:rsid w:val="009103E9"/>
    <w:rsid w:val="0091043D"/>
    <w:rsid w:val="00910604"/>
    <w:rsid w:val="00910934"/>
    <w:rsid w:val="00910F5A"/>
    <w:rsid w:val="0091107F"/>
    <w:rsid w:val="009114C2"/>
    <w:rsid w:val="009118DE"/>
    <w:rsid w:val="00911A50"/>
    <w:rsid w:val="00911DB9"/>
    <w:rsid w:val="00912BC0"/>
    <w:rsid w:val="00912C25"/>
    <w:rsid w:val="00912E20"/>
    <w:rsid w:val="0091358E"/>
    <w:rsid w:val="00913774"/>
    <w:rsid w:val="00913B53"/>
    <w:rsid w:val="009142BC"/>
    <w:rsid w:val="00914766"/>
    <w:rsid w:val="009148C5"/>
    <w:rsid w:val="00914A9D"/>
    <w:rsid w:val="00914F5E"/>
    <w:rsid w:val="0091577C"/>
    <w:rsid w:val="0091595F"/>
    <w:rsid w:val="00915B5F"/>
    <w:rsid w:val="00915BD2"/>
    <w:rsid w:val="00915D50"/>
    <w:rsid w:val="00915D68"/>
    <w:rsid w:val="00915EF4"/>
    <w:rsid w:val="009160B7"/>
    <w:rsid w:val="0091616F"/>
    <w:rsid w:val="0091656F"/>
    <w:rsid w:val="009170B8"/>
    <w:rsid w:val="00917126"/>
    <w:rsid w:val="00917191"/>
    <w:rsid w:val="00917ABC"/>
    <w:rsid w:val="00917F2C"/>
    <w:rsid w:val="0092016F"/>
    <w:rsid w:val="00920436"/>
    <w:rsid w:val="00920440"/>
    <w:rsid w:val="009206BF"/>
    <w:rsid w:val="009209FE"/>
    <w:rsid w:val="00920B35"/>
    <w:rsid w:val="00921177"/>
    <w:rsid w:val="00921486"/>
    <w:rsid w:val="00921BC3"/>
    <w:rsid w:val="00921DB3"/>
    <w:rsid w:val="00921F52"/>
    <w:rsid w:val="00922255"/>
    <w:rsid w:val="0092237F"/>
    <w:rsid w:val="00922A65"/>
    <w:rsid w:val="00922D64"/>
    <w:rsid w:val="00922FEA"/>
    <w:rsid w:val="0092346D"/>
    <w:rsid w:val="0092409E"/>
    <w:rsid w:val="00924343"/>
    <w:rsid w:val="009245F8"/>
    <w:rsid w:val="00924826"/>
    <w:rsid w:val="0092494A"/>
    <w:rsid w:val="00924E57"/>
    <w:rsid w:val="009251EB"/>
    <w:rsid w:val="009252DB"/>
    <w:rsid w:val="009255D5"/>
    <w:rsid w:val="009256AA"/>
    <w:rsid w:val="00925713"/>
    <w:rsid w:val="00925A54"/>
    <w:rsid w:val="009262F9"/>
    <w:rsid w:val="009267AA"/>
    <w:rsid w:val="0092692C"/>
    <w:rsid w:val="00926D69"/>
    <w:rsid w:val="00926F34"/>
    <w:rsid w:val="0092737A"/>
    <w:rsid w:val="009274C3"/>
    <w:rsid w:val="00927C5F"/>
    <w:rsid w:val="00930BFA"/>
    <w:rsid w:val="00930D3F"/>
    <w:rsid w:val="00930EA0"/>
    <w:rsid w:val="00931025"/>
    <w:rsid w:val="009313C4"/>
    <w:rsid w:val="00931A22"/>
    <w:rsid w:val="00931CFB"/>
    <w:rsid w:val="0093266C"/>
    <w:rsid w:val="0093291E"/>
    <w:rsid w:val="00932E01"/>
    <w:rsid w:val="00933EAB"/>
    <w:rsid w:val="0093422E"/>
    <w:rsid w:val="0093437E"/>
    <w:rsid w:val="0093473C"/>
    <w:rsid w:val="00934B51"/>
    <w:rsid w:val="00934BA7"/>
    <w:rsid w:val="00934CDF"/>
    <w:rsid w:val="00934FA1"/>
    <w:rsid w:val="00934FAD"/>
    <w:rsid w:val="00934FE9"/>
    <w:rsid w:val="00935202"/>
    <w:rsid w:val="009359DF"/>
    <w:rsid w:val="009365A5"/>
    <w:rsid w:val="00936692"/>
    <w:rsid w:val="00936772"/>
    <w:rsid w:val="009367E8"/>
    <w:rsid w:val="009368C7"/>
    <w:rsid w:val="00936AE3"/>
    <w:rsid w:val="00937077"/>
    <w:rsid w:val="0093710B"/>
    <w:rsid w:val="009372F3"/>
    <w:rsid w:val="0093746F"/>
    <w:rsid w:val="00937769"/>
    <w:rsid w:val="00937ACD"/>
    <w:rsid w:val="00937E74"/>
    <w:rsid w:val="009400D5"/>
    <w:rsid w:val="009406E9"/>
    <w:rsid w:val="009408FC"/>
    <w:rsid w:val="00941116"/>
    <w:rsid w:val="0094147C"/>
    <w:rsid w:val="00941609"/>
    <w:rsid w:val="00941801"/>
    <w:rsid w:val="00941EF9"/>
    <w:rsid w:val="0094212C"/>
    <w:rsid w:val="009429FE"/>
    <w:rsid w:val="00942C76"/>
    <w:rsid w:val="00942D83"/>
    <w:rsid w:val="00943496"/>
    <w:rsid w:val="009434A7"/>
    <w:rsid w:val="009435B0"/>
    <w:rsid w:val="00943C27"/>
    <w:rsid w:val="00944110"/>
    <w:rsid w:val="00944155"/>
    <w:rsid w:val="00944489"/>
    <w:rsid w:val="0094468F"/>
    <w:rsid w:val="0094492D"/>
    <w:rsid w:val="00944FFE"/>
    <w:rsid w:val="009450F7"/>
    <w:rsid w:val="009451EC"/>
    <w:rsid w:val="00945446"/>
    <w:rsid w:val="0094566E"/>
    <w:rsid w:val="00945979"/>
    <w:rsid w:val="00945B06"/>
    <w:rsid w:val="0094627A"/>
    <w:rsid w:val="00946634"/>
    <w:rsid w:val="0094698E"/>
    <w:rsid w:val="00946F0C"/>
    <w:rsid w:val="009470AD"/>
    <w:rsid w:val="00947852"/>
    <w:rsid w:val="00947DAC"/>
    <w:rsid w:val="0095042D"/>
    <w:rsid w:val="009506AD"/>
    <w:rsid w:val="009508EA"/>
    <w:rsid w:val="009509B5"/>
    <w:rsid w:val="00950CB8"/>
    <w:rsid w:val="0095114E"/>
    <w:rsid w:val="00951413"/>
    <w:rsid w:val="009518BA"/>
    <w:rsid w:val="00951BD7"/>
    <w:rsid w:val="00951CEC"/>
    <w:rsid w:val="00951DAE"/>
    <w:rsid w:val="0095210A"/>
    <w:rsid w:val="009524DC"/>
    <w:rsid w:val="0095254F"/>
    <w:rsid w:val="00952632"/>
    <w:rsid w:val="0095275F"/>
    <w:rsid w:val="00952859"/>
    <w:rsid w:val="00952CE3"/>
    <w:rsid w:val="00952E38"/>
    <w:rsid w:val="00952FAE"/>
    <w:rsid w:val="00953016"/>
    <w:rsid w:val="00953687"/>
    <w:rsid w:val="00953C30"/>
    <w:rsid w:val="00953EB0"/>
    <w:rsid w:val="00953F15"/>
    <w:rsid w:val="00953FB9"/>
    <w:rsid w:val="009540E1"/>
    <w:rsid w:val="009543CF"/>
    <w:rsid w:val="00954667"/>
    <w:rsid w:val="009546EF"/>
    <w:rsid w:val="009547B3"/>
    <w:rsid w:val="00955100"/>
    <w:rsid w:val="00955133"/>
    <w:rsid w:val="009554EA"/>
    <w:rsid w:val="00955666"/>
    <w:rsid w:val="009557AE"/>
    <w:rsid w:val="00955C81"/>
    <w:rsid w:val="00955D20"/>
    <w:rsid w:val="009561D2"/>
    <w:rsid w:val="0095625D"/>
    <w:rsid w:val="009569F9"/>
    <w:rsid w:val="00956A27"/>
    <w:rsid w:val="00956E09"/>
    <w:rsid w:val="00956E8E"/>
    <w:rsid w:val="00957222"/>
    <w:rsid w:val="0095752E"/>
    <w:rsid w:val="00957B5E"/>
    <w:rsid w:val="00960213"/>
    <w:rsid w:val="00960613"/>
    <w:rsid w:val="00960B32"/>
    <w:rsid w:val="00960C7F"/>
    <w:rsid w:val="00960D28"/>
    <w:rsid w:val="009614F9"/>
    <w:rsid w:val="009617C3"/>
    <w:rsid w:val="00961880"/>
    <w:rsid w:val="009624AA"/>
    <w:rsid w:val="009626C4"/>
    <w:rsid w:val="0096270F"/>
    <w:rsid w:val="00962A94"/>
    <w:rsid w:val="00962CE3"/>
    <w:rsid w:val="00962D2A"/>
    <w:rsid w:val="00962DB1"/>
    <w:rsid w:val="00962EAE"/>
    <w:rsid w:val="00962FE8"/>
    <w:rsid w:val="009630BD"/>
    <w:rsid w:val="00963247"/>
    <w:rsid w:val="00963872"/>
    <w:rsid w:val="0096398B"/>
    <w:rsid w:val="00963C32"/>
    <w:rsid w:val="0096415C"/>
    <w:rsid w:val="009648A3"/>
    <w:rsid w:val="009649F0"/>
    <w:rsid w:val="00964A6A"/>
    <w:rsid w:val="009650E0"/>
    <w:rsid w:val="0096534E"/>
    <w:rsid w:val="00965449"/>
    <w:rsid w:val="00965F11"/>
    <w:rsid w:val="00966030"/>
    <w:rsid w:val="00966140"/>
    <w:rsid w:val="00966673"/>
    <w:rsid w:val="00966B1C"/>
    <w:rsid w:val="009673A0"/>
    <w:rsid w:val="009678E0"/>
    <w:rsid w:val="00967D29"/>
    <w:rsid w:val="00967E11"/>
    <w:rsid w:val="00970085"/>
    <w:rsid w:val="00970200"/>
    <w:rsid w:val="0097097D"/>
    <w:rsid w:val="00970982"/>
    <w:rsid w:val="00970B82"/>
    <w:rsid w:val="009714EB"/>
    <w:rsid w:val="00971630"/>
    <w:rsid w:val="009717C9"/>
    <w:rsid w:val="009717E3"/>
    <w:rsid w:val="00971880"/>
    <w:rsid w:val="00971BB0"/>
    <w:rsid w:val="00971C80"/>
    <w:rsid w:val="00971C84"/>
    <w:rsid w:val="00971DE5"/>
    <w:rsid w:val="00971E7D"/>
    <w:rsid w:val="00971FB5"/>
    <w:rsid w:val="0097212D"/>
    <w:rsid w:val="0097235F"/>
    <w:rsid w:val="009729BD"/>
    <w:rsid w:val="00972A2E"/>
    <w:rsid w:val="00972CD6"/>
    <w:rsid w:val="00972D4E"/>
    <w:rsid w:val="009738B6"/>
    <w:rsid w:val="00973CCD"/>
    <w:rsid w:val="0097408C"/>
    <w:rsid w:val="00974258"/>
    <w:rsid w:val="0097427A"/>
    <w:rsid w:val="00974541"/>
    <w:rsid w:val="00974830"/>
    <w:rsid w:val="00974F5E"/>
    <w:rsid w:val="00975532"/>
    <w:rsid w:val="00975794"/>
    <w:rsid w:val="009763A9"/>
    <w:rsid w:val="009763E5"/>
    <w:rsid w:val="00976413"/>
    <w:rsid w:val="00976689"/>
    <w:rsid w:val="00976ED4"/>
    <w:rsid w:val="00976FAA"/>
    <w:rsid w:val="009770BD"/>
    <w:rsid w:val="00977839"/>
    <w:rsid w:val="00977AC0"/>
    <w:rsid w:val="00977C9A"/>
    <w:rsid w:val="009805BF"/>
    <w:rsid w:val="00980E4E"/>
    <w:rsid w:val="009819AC"/>
    <w:rsid w:val="00981DB6"/>
    <w:rsid w:val="00982744"/>
    <w:rsid w:val="00982840"/>
    <w:rsid w:val="00982B46"/>
    <w:rsid w:val="00982F3E"/>
    <w:rsid w:val="00983199"/>
    <w:rsid w:val="00983218"/>
    <w:rsid w:val="009835E8"/>
    <w:rsid w:val="00983632"/>
    <w:rsid w:val="0098375C"/>
    <w:rsid w:val="009839C8"/>
    <w:rsid w:val="00983ED2"/>
    <w:rsid w:val="00983F64"/>
    <w:rsid w:val="009840D0"/>
    <w:rsid w:val="00984314"/>
    <w:rsid w:val="0098435C"/>
    <w:rsid w:val="009843F5"/>
    <w:rsid w:val="00984574"/>
    <w:rsid w:val="009845D5"/>
    <w:rsid w:val="0098518E"/>
    <w:rsid w:val="00985406"/>
    <w:rsid w:val="00985B20"/>
    <w:rsid w:val="0098603E"/>
    <w:rsid w:val="009867A9"/>
    <w:rsid w:val="00986859"/>
    <w:rsid w:val="00986963"/>
    <w:rsid w:val="00986C9E"/>
    <w:rsid w:val="00986D88"/>
    <w:rsid w:val="009871DC"/>
    <w:rsid w:val="0098781E"/>
    <w:rsid w:val="00987E33"/>
    <w:rsid w:val="00990562"/>
    <w:rsid w:val="00990F81"/>
    <w:rsid w:val="009911EA"/>
    <w:rsid w:val="009913E7"/>
    <w:rsid w:val="00991718"/>
    <w:rsid w:val="00991AC7"/>
    <w:rsid w:val="00991C82"/>
    <w:rsid w:val="009924A7"/>
    <w:rsid w:val="00992A07"/>
    <w:rsid w:val="00992BD4"/>
    <w:rsid w:val="00992E02"/>
    <w:rsid w:val="0099353B"/>
    <w:rsid w:val="0099361C"/>
    <w:rsid w:val="0099393F"/>
    <w:rsid w:val="00994432"/>
    <w:rsid w:val="00994516"/>
    <w:rsid w:val="00994579"/>
    <w:rsid w:val="00995042"/>
    <w:rsid w:val="009953C6"/>
    <w:rsid w:val="0099571D"/>
    <w:rsid w:val="00995A8A"/>
    <w:rsid w:val="00995F1D"/>
    <w:rsid w:val="00995F44"/>
    <w:rsid w:val="0099633B"/>
    <w:rsid w:val="00997538"/>
    <w:rsid w:val="00997556"/>
    <w:rsid w:val="00997835"/>
    <w:rsid w:val="00997908"/>
    <w:rsid w:val="00997C86"/>
    <w:rsid w:val="00997D44"/>
    <w:rsid w:val="00997E15"/>
    <w:rsid w:val="009A00BF"/>
    <w:rsid w:val="009A0136"/>
    <w:rsid w:val="009A01E6"/>
    <w:rsid w:val="009A0380"/>
    <w:rsid w:val="009A03F0"/>
    <w:rsid w:val="009A0AA9"/>
    <w:rsid w:val="009A0C82"/>
    <w:rsid w:val="009A0D0D"/>
    <w:rsid w:val="009A0D26"/>
    <w:rsid w:val="009A0E72"/>
    <w:rsid w:val="009A0F3F"/>
    <w:rsid w:val="009A15F3"/>
    <w:rsid w:val="009A1D40"/>
    <w:rsid w:val="009A2509"/>
    <w:rsid w:val="009A260B"/>
    <w:rsid w:val="009A27D3"/>
    <w:rsid w:val="009A2C50"/>
    <w:rsid w:val="009A2C5C"/>
    <w:rsid w:val="009A2E1C"/>
    <w:rsid w:val="009A321E"/>
    <w:rsid w:val="009A34A3"/>
    <w:rsid w:val="009A3BDD"/>
    <w:rsid w:val="009A3DBB"/>
    <w:rsid w:val="009A3EF0"/>
    <w:rsid w:val="009A44E9"/>
    <w:rsid w:val="009A4972"/>
    <w:rsid w:val="009A4F71"/>
    <w:rsid w:val="009A54DF"/>
    <w:rsid w:val="009A5815"/>
    <w:rsid w:val="009A582F"/>
    <w:rsid w:val="009A58FF"/>
    <w:rsid w:val="009A5931"/>
    <w:rsid w:val="009A5C35"/>
    <w:rsid w:val="009A6C8F"/>
    <w:rsid w:val="009A6CAA"/>
    <w:rsid w:val="009A6D6D"/>
    <w:rsid w:val="009A6F8B"/>
    <w:rsid w:val="009A70A0"/>
    <w:rsid w:val="009A730D"/>
    <w:rsid w:val="009A77E1"/>
    <w:rsid w:val="009A7881"/>
    <w:rsid w:val="009A7E05"/>
    <w:rsid w:val="009A7FDC"/>
    <w:rsid w:val="009B0074"/>
    <w:rsid w:val="009B05A2"/>
    <w:rsid w:val="009B05E9"/>
    <w:rsid w:val="009B06CB"/>
    <w:rsid w:val="009B10BB"/>
    <w:rsid w:val="009B12F6"/>
    <w:rsid w:val="009B1461"/>
    <w:rsid w:val="009B1666"/>
    <w:rsid w:val="009B1B12"/>
    <w:rsid w:val="009B1C89"/>
    <w:rsid w:val="009B1F2F"/>
    <w:rsid w:val="009B21A4"/>
    <w:rsid w:val="009B22DF"/>
    <w:rsid w:val="009B288E"/>
    <w:rsid w:val="009B2E53"/>
    <w:rsid w:val="009B3045"/>
    <w:rsid w:val="009B3253"/>
    <w:rsid w:val="009B3737"/>
    <w:rsid w:val="009B3898"/>
    <w:rsid w:val="009B3AFE"/>
    <w:rsid w:val="009B3B92"/>
    <w:rsid w:val="009B4A41"/>
    <w:rsid w:val="009B5340"/>
    <w:rsid w:val="009B5493"/>
    <w:rsid w:val="009B54A6"/>
    <w:rsid w:val="009B596B"/>
    <w:rsid w:val="009B66E9"/>
    <w:rsid w:val="009B672D"/>
    <w:rsid w:val="009B68C5"/>
    <w:rsid w:val="009B6A72"/>
    <w:rsid w:val="009B70EC"/>
    <w:rsid w:val="009B725E"/>
    <w:rsid w:val="009B72C8"/>
    <w:rsid w:val="009B79E5"/>
    <w:rsid w:val="009B7B03"/>
    <w:rsid w:val="009B7B07"/>
    <w:rsid w:val="009C00E3"/>
    <w:rsid w:val="009C0354"/>
    <w:rsid w:val="009C0406"/>
    <w:rsid w:val="009C070A"/>
    <w:rsid w:val="009C086F"/>
    <w:rsid w:val="009C0B7F"/>
    <w:rsid w:val="009C0D49"/>
    <w:rsid w:val="009C109F"/>
    <w:rsid w:val="009C1230"/>
    <w:rsid w:val="009C12E8"/>
    <w:rsid w:val="009C131A"/>
    <w:rsid w:val="009C13F9"/>
    <w:rsid w:val="009C16B0"/>
    <w:rsid w:val="009C1BD8"/>
    <w:rsid w:val="009C1C16"/>
    <w:rsid w:val="009C1C7D"/>
    <w:rsid w:val="009C1C9D"/>
    <w:rsid w:val="009C210E"/>
    <w:rsid w:val="009C231D"/>
    <w:rsid w:val="009C24EA"/>
    <w:rsid w:val="009C25A6"/>
    <w:rsid w:val="009C2FDB"/>
    <w:rsid w:val="009C30B9"/>
    <w:rsid w:val="009C33F6"/>
    <w:rsid w:val="009C34A5"/>
    <w:rsid w:val="009C3637"/>
    <w:rsid w:val="009C370C"/>
    <w:rsid w:val="009C38FD"/>
    <w:rsid w:val="009C3A44"/>
    <w:rsid w:val="009C3A81"/>
    <w:rsid w:val="009C3E54"/>
    <w:rsid w:val="009C41B1"/>
    <w:rsid w:val="009C4A12"/>
    <w:rsid w:val="009C4BCC"/>
    <w:rsid w:val="009C4F40"/>
    <w:rsid w:val="009C5033"/>
    <w:rsid w:val="009C5505"/>
    <w:rsid w:val="009C56DC"/>
    <w:rsid w:val="009C6141"/>
    <w:rsid w:val="009C61F8"/>
    <w:rsid w:val="009C6BE8"/>
    <w:rsid w:val="009C6D90"/>
    <w:rsid w:val="009C6E27"/>
    <w:rsid w:val="009C6EA3"/>
    <w:rsid w:val="009C79D7"/>
    <w:rsid w:val="009C7B81"/>
    <w:rsid w:val="009C7C24"/>
    <w:rsid w:val="009C7FAE"/>
    <w:rsid w:val="009D068F"/>
    <w:rsid w:val="009D0AA3"/>
    <w:rsid w:val="009D1211"/>
    <w:rsid w:val="009D1603"/>
    <w:rsid w:val="009D19CF"/>
    <w:rsid w:val="009D1AA7"/>
    <w:rsid w:val="009D1BDD"/>
    <w:rsid w:val="009D216E"/>
    <w:rsid w:val="009D2363"/>
    <w:rsid w:val="009D2814"/>
    <w:rsid w:val="009D2C2A"/>
    <w:rsid w:val="009D2C54"/>
    <w:rsid w:val="009D2E1D"/>
    <w:rsid w:val="009D3338"/>
    <w:rsid w:val="009D3416"/>
    <w:rsid w:val="009D384A"/>
    <w:rsid w:val="009D3887"/>
    <w:rsid w:val="009D3BA8"/>
    <w:rsid w:val="009D3D5E"/>
    <w:rsid w:val="009D4522"/>
    <w:rsid w:val="009D476D"/>
    <w:rsid w:val="009D490D"/>
    <w:rsid w:val="009D4DC1"/>
    <w:rsid w:val="009D514E"/>
    <w:rsid w:val="009D549D"/>
    <w:rsid w:val="009D54DD"/>
    <w:rsid w:val="009D5626"/>
    <w:rsid w:val="009D5C5F"/>
    <w:rsid w:val="009D60C3"/>
    <w:rsid w:val="009D613A"/>
    <w:rsid w:val="009D6274"/>
    <w:rsid w:val="009D62BF"/>
    <w:rsid w:val="009D62D8"/>
    <w:rsid w:val="009D64D1"/>
    <w:rsid w:val="009D686E"/>
    <w:rsid w:val="009D7CE3"/>
    <w:rsid w:val="009E003C"/>
    <w:rsid w:val="009E03BB"/>
    <w:rsid w:val="009E04C2"/>
    <w:rsid w:val="009E0526"/>
    <w:rsid w:val="009E0612"/>
    <w:rsid w:val="009E0EE9"/>
    <w:rsid w:val="009E1517"/>
    <w:rsid w:val="009E1BB9"/>
    <w:rsid w:val="009E2255"/>
    <w:rsid w:val="009E2718"/>
    <w:rsid w:val="009E27D9"/>
    <w:rsid w:val="009E2DF7"/>
    <w:rsid w:val="009E2F34"/>
    <w:rsid w:val="009E389C"/>
    <w:rsid w:val="009E3F06"/>
    <w:rsid w:val="009E3F35"/>
    <w:rsid w:val="009E3F76"/>
    <w:rsid w:val="009E3F90"/>
    <w:rsid w:val="009E4139"/>
    <w:rsid w:val="009E48A6"/>
    <w:rsid w:val="009E4B30"/>
    <w:rsid w:val="009E4DCC"/>
    <w:rsid w:val="009E4E3D"/>
    <w:rsid w:val="009E4F77"/>
    <w:rsid w:val="009E509F"/>
    <w:rsid w:val="009E512F"/>
    <w:rsid w:val="009E5133"/>
    <w:rsid w:val="009E549A"/>
    <w:rsid w:val="009E5594"/>
    <w:rsid w:val="009E5B24"/>
    <w:rsid w:val="009E5D0A"/>
    <w:rsid w:val="009E628C"/>
    <w:rsid w:val="009E639A"/>
    <w:rsid w:val="009E6B99"/>
    <w:rsid w:val="009E6C66"/>
    <w:rsid w:val="009E6D97"/>
    <w:rsid w:val="009E71A4"/>
    <w:rsid w:val="009E765F"/>
    <w:rsid w:val="009E768B"/>
    <w:rsid w:val="009E79EB"/>
    <w:rsid w:val="009E7E61"/>
    <w:rsid w:val="009E7E92"/>
    <w:rsid w:val="009F009A"/>
    <w:rsid w:val="009F0221"/>
    <w:rsid w:val="009F026C"/>
    <w:rsid w:val="009F0481"/>
    <w:rsid w:val="009F0A9A"/>
    <w:rsid w:val="009F0AC0"/>
    <w:rsid w:val="009F12EC"/>
    <w:rsid w:val="009F155A"/>
    <w:rsid w:val="009F176C"/>
    <w:rsid w:val="009F1800"/>
    <w:rsid w:val="009F1E83"/>
    <w:rsid w:val="009F1FE4"/>
    <w:rsid w:val="009F200E"/>
    <w:rsid w:val="009F208E"/>
    <w:rsid w:val="009F2138"/>
    <w:rsid w:val="009F227E"/>
    <w:rsid w:val="009F2449"/>
    <w:rsid w:val="009F260F"/>
    <w:rsid w:val="009F2624"/>
    <w:rsid w:val="009F2B41"/>
    <w:rsid w:val="009F34A6"/>
    <w:rsid w:val="009F3BE7"/>
    <w:rsid w:val="009F3CF2"/>
    <w:rsid w:val="009F3EB4"/>
    <w:rsid w:val="009F45E4"/>
    <w:rsid w:val="009F486D"/>
    <w:rsid w:val="009F4C11"/>
    <w:rsid w:val="009F4CB1"/>
    <w:rsid w:val="009F50C9"/>
    <w:rsid w:val="009F51B6"/>
    <w:rsid w:val="009F5556"/>
    <w:rsid w:val="009F5D85"/>
    <w:rsid w:val="009F5EF1"/>
    <w:rsid w:val="009F5F9A"/>
    <w:rsid w:val="009F621C"/>
    <w:rsid w:val="009F6AB6"/>
    <w:rsid w:val="009F6D81"/>
    <w:rsid w:val="009F6DD7"/>
    <w:rsid w:val="009F6E24"/>
    <w:rsid w:val="009F7471"/>
    <w:rsid w:val="009F7631"/>
    <w:rsid w:val="009F795C"/>
    <w:rsid w:val="009F7D95"/>
    <w:rsid w:val="00A002C9"/>
    <w:rsid w:val="00A00631"/>
    <w:rsid w:val="00A007DC"/>
    <w:rsid w:val="00A00914"/>
    <w:rsid w:val="00A01388"/>
    <w:rsid w:val="00A0155B"/>
    <w:rsid w:val="00A02A39"/>
    <w:rsid w:val="00A02AE7"/>
    <w:rsid w:val="00A02CAF"/>
    <w:rsid w:val="00A03125"/>
    <w:rsid w:val="00A0328B"/>
    <w:rsid w:val="00A03675"/>
    <w:rsid w:val="00A03CF6"/>
    <w:rsid w:val="00A03CFF"/>
    <w:rsid w:val="00A03F23"/>
    <w:rsid w:val="00A0463A"/>
    <w:rsid w:val="00A04864"/>
    <w:rsid w:val="00A048C7"/>
    <w:rsid w:val="00A04E7E"/>
    <w:rsid w:val="00A04F28"/>
    <w:rsid w:val="00A051D4"/>
    <w:rsid w:val="00A053E9"/>
    <w:rsid w:val="00A054CE"/>
    <w:rsid w:val="00A055D5"/>
    <w:rsid w:val="00A05E2D"/>
    <w:rsid w:val="00A0650A"/>
    <w:rsid w:val="00A06A35"/>
    <w:rsid w:val="00A06DFF"/>
    <w:rsid w:val="00A0708A"/>
    <w:rsid w:val="00A074E7"/>
    <w:rsid w:val="00A0778C"/>
    <w:rsid w:val="00A077FE"/>
    <w:rsid w:val="00A07DAB"/>
    <w:rsid w:val="00A105E7"/>
    <w:rsid w:val="00A10842"/>
    <w:rsid w:val="00A10AD1"/>
    <w:rsid w:val="00A112A4"/>
    <w:rsid w:val="00A112B6"/>
    <w:rsid w:val="00A112D0"/>
    <w:rsid w:val="00A117CE"/>
    <w:rsid w:val="00A11DFB"/>
    <w:rsid w:val="00A12009"/>
    <w:rsid w:val="00A1227D"/>
    <w:rsid w:val="00A133A4"/>
    <w:rsid w:val="00A13489"/>
    <w:rsid w:val="00A13649"/>
    <w:rsid w:val="00A13A4C"/>
    <w:rsid w:val="00A143B9"/>
    <w:rsid w:val="00A1466F"/>
    <w:rsid w:val="00A1479F"/>
    <w:rsid w:val="00A147BD"/>
    <w:rsid w:val="00A147CF"/>
    <w:rsid w:val="00A147E5"/>
    <w:rsid w:val="00A1489D"/>
    <w:rsid w:val="00A148AD"/>
    <w:rsid w:val="00A14C00"/>
    <w:rsid w:val="00A14E6B"/>
    <w:rsid w:val="00A14EBA"/>
    <w:rsid w:val="00A157AB"/>
    <w:rsid w:val="00A157BC"/>
    <w:rsid w:val="00A15CA3"/>
    <w:rsid w:val="00A16024"/>
    <w:rsid w:val="00A16139"/>
    <w:rsid w:val="00A16322"/>
    <w:rsid w:val="00A16444"/>
    <w:rsid w:val="00A169B8"/>
    <w:rsid w:val="00A16A15"/>
    <w:rsid w:val="00A16E54"/>
    <w:rsid w:val="00A174C0"/>
    <w:rsid w:val="00A17820"/>
    <w:rsid w:val="00A178CE"/>
    <w:rsid w:val="00A17D49"/>
    <w:rsid w:val="00A17EB5"/>
    <w:rsid w:val="00A200BA"/>
    <w:rsid w:val="00A202EA"/>
    <w:rsid w:val="00A206B9"/>
    <w:rsid w:val="00A206EA"/>
    <w:rsid w:val="00A20D38"/>
    <w:rsid w:val="00A20E84"/>
    <w:rsid w:val="00A21035"/>
    <w:rsid w:val="00A21171"/>
    <w:rsid w:val="00A21826"/>
    <w:rsid w:val="00A21AE4"/>
    <w:rsid w:val="00A21C9B"/>
    <w:rsid w:val="00A21CE8"/>
    <w:rsid w:val="00A21F1C"/>
    <w:rsid w:val="00A22003"/>
    <w:rsid w:val="00A22434"/>
    <w:rsid w:val="00A22442"/>
    <w:rsid w:val="00A22688"/>
    <w:rsid w:val="00A2274C"/>
    <w:rsid w:val="00A227A2"/>
    <w:rsid w:val="00A22F03"/>
    <w:rsid w:val="00A231CF"/>
    <w:rsid w:val="00A235F9"/>
    <w:rsid w:val="00A237AF"/>
    <w:rsid w:val="00A23826"/>
    <w:rsid w:val="00A23BC4"/>
    <w:rsid w:val="00A23F36"/>
    <w:rsid w:val="00A24748"/>
    <w:rsid w:val="00A24AE4"/>
    <w:rsid w:val="00A24E08"/>
    <w:rsid w:val="00A24F1E"/>
    <w:rsid w:val="00A252EC"/>
    <w:rsid w:val="00A254B0"/>
    <w:rsid w:val="00A25536"/>
    <w:rsid w:val="00A255EE"/>
    <w:rsid w:val="00A25A04"/>
    <w:rsid w:val="00A25B03"/>
    <w:rsid w:val="00A25B91"/>
    <w:rsid w:val="00A2613E"/>
    <w:rsid w:val="00A26268"/>
    <w:rsid w:val="00A2653A"/>
    <w:rsid w:val="00A267CC"/>
    <w:rsid w:val="00A26C63"/>
    <w:rsid w:val="00A26D47"/>
    <w:rsid w:val="00A26DAB"/>
    <w:rsid w:val="00A2757D"/>
    <w:rsid w:val="00A2772E"/>
    <w:rsid w:val="00A27B9D"/>
    <w:rsid w:val="00A27E9C"/>
    <w:rsid w:val="00A30333"/>
    <w:rsid w:val="00A304CB"/>
    <w:rsid w:val="00A30647"/>
    <w:rsid w:val="00A30A76"/>
    <w:rsid w:val="00A30C35"/>
    <w:rsid w:val="00A30C49"/>
    <w:rsid w:val="00A30D71"/>
    <w:rsid w:val="00A311FE"/>
    <w:rsid w:val="00A3157E"/>
    <w:rsid w:val="00A31798"/>
    <w:rsid w:val="00A3180F"/>
    <w:rsid w:val="00A318AF"/>
    <w:rsid w:val="00A31BE0"/>
    <w:rsid w:val="00A31E0D"/>
    <w:rsid w:val="00A320DD"/>
    <w:rsid w:val="00A32137"/>
    <w:rsid w:val="00A32E1D"/>
    <w:rsid w:val="00A32EB6"/>
    <w:rsid w:val="00A33891"/>
    <w:rsid w:val="00A33B05"/>
    <w:rsid w:val="00A33DD4"/>
    <w:rsid w:val="00A33EED"/>
    <w:rsid w:val="00A33FEE"/>
    <w:rsid w:val="00A340A7"/>
    <w:rsid w:val="00A34237"/>
    <w:rsid w:val="00A34394"/>
    <w:rsid w:val="00A34481"/>
    <w:rsid w:val="00A34720"/>
    <w:rsid w:val="00A349CE"/>
    <w:rsid w:val="00A34B3F"/>
    <w:rsid w:val="00A34D78"/>
    <w:rsid w:val="00A34E6F"/>
    <w:rsid w:val="00A34EC4"/>
    <w:rsid w:val="00A3536F"/>
    <w:rsid w:val="00A356D9"/>
    <w:rsid w:val="00A35CC4"/>
    <w:rsid w:val="00A36354"/>
    <w:rsid w:val="00A3679B"/>
    <w:rsid w:val="00A37155"/>
    <w:rsid w:val="00A375C2"/>
    <w:rsid w:val="00A3793A"/>
    <w:rsid w:val="00A379D7"/>
    <w:rsid w:val="00A4021C"/>
    <w:rsid w:val="00A40416"/>
    <w:rsid w:val="00A40791"/>
    <w:rsid w:val="00A40AFB"/>
    <w:rsid w:val="00A40C35"/>
    <w:rsid w:val="00A40FE0"/>
    <w:rsid w:val="00A417E8"/>
    <w:rsid w:val="00A41AE3"/>
    <w:rsid w:val="00A41E9B"/>
    <w:rsid w:val="00A4278B"/>
    <w:rsid w:val="00A4287F"/>
    <w:rsid w:val="00A42910"/>
    <w:rsid w:val="00A4291E"/>
    <w:rsid w:val="00A42C22"/>
    <w:rsid w:val="00A42C5F"/>
    <w:rsid w:val="00A42D4D"/>
    <w:rsid w:val="00A43039"/>
    <w:rsid w:val="00A433F4"/>
    <w:rsid w:val="00A4347F"/>
    <w:rsid w:val="00A435CB"/>
    <w:rsid w:val="00A43A10"/>
    <w:rsid w:val="00A43BFA"/>
    <w:rsid w:val="00A43C03"/>
    <w:rsid w:val="00A44140"/>
    <w:rsid w:val="00A441BB"/>
    <w:rsid w:val="00A44B23"/>
    <w:rsid w:val="00A44C27"/>
    <w:rsid w:val="00A45027"/>
    <w:rsid w:val="00A45144"/>
    <w:rsid w:val="00A45768"/>
    <w:rsid w:val="00A457B4"/>
    <w:rsid w:val="00A459C5"/>
    <w:rsid w:val="00A45BED"/>
    <w:rsid w:val="00A46061"/>
    <w:rsid w:val="00A4611B"/>
    <w:rsid w:val="00A467B4"/>
    <w:rsid w:val="00A46803"/>
    <w:rsid w:val="00A46950"/>
    <w:rsid w:val="00A46D0A"/>
    <w:rsid w:val="00A46D4B"/>
    <w:rsid w:val="00A46F9C"/>
    <w:rsid w:val="00A476F9"/>
    <w:rsid w:val="00A4781A"/>
    <w:rsid w:val="00A47C13"/>
    <w:rsid w:val="00A47FFA"/>
    <w:rsid w:val="00A50A85"/>
    <w:rsid w:val="00A50BB9"/>
    <w:rsid w:val="00A511CC"/>
    <w:rsid w:val="00A513E0"/>
    <w:rsid w:val="00A51850"/>
    <w:rsid w:val="00A51873"/>
    <w:rsid w:val="00A519F3"/>
    <w:rsid w:val="00A52B68"/>
    <w:rsid w:val="00A52B7F"/>
    <w:rsid w:val="00A52FC2"/>
    <w:rsid w:val="00A536DF"/>
    <w:rsid w:val="00A537D4"/>
    <w:rsid w:val="00A53863"/>
    <w:rsid w:val="00A53A1A"/>
    <w:rsid w:val="00A53EEB"/>
    <w:rsid w:val="00A53FF9"/>
    <w:rsid w:val="00A54281"/>
    <w:rsid w:val="00A54639"/>
    <w:rsid w:val="00A54826"/>
    <w:rsid w:val="00A54899"/>
    <w:rsid w:val="00A5494B"/>
    <w:rsid w:val="00A54D71"/>
    <w:rsid w:val="00A54DE8"/>
    <w:rsid w:val="00A54F41"/>
    <w:rsid w:val="00A55232"/>
    <w:rsid w:val="00A5555B"/>
    <w:rsid w:val="00A55A1E"/>
    <w:rsid w:val="00A55AFE"/>
    <w:rsid w:val="00A55DC3"/>
    <w:rsid w:val="00A56465"/>
    <w:rsid w:val="00A566B5"/>
    <w:rsid w:val="00A5738F"/>
    <w:rsid w:val="00A573BA"/>
    <w:rsid w:val="00A579C7"/>
    <w:rsid w:val="00A603B7"/>
    <w:rsid w:val="00A60433"/>
    <w:rsid w:val="00A604DB"/>
    <w:rsid w:val="00A60803"/>
    <w:rsid w:val="00A60830"/>
    <w:rsid w:val="00A60C82"/>
    <w:rsid w:val="00A60E4F"/>
    <w:rsid w:val="00A615B9"/>
    <w:rsid w:val="00A619A7"/>
    <w:rsid w:val="00A61DDC"/>
    <w:rsid w:val="00A623CD"/>
    <w:rsid w:val="00A6250D"/>
    <w:rsid w:val="00A6258F"/>
    <w:rsid w:val="00A62958"/>
    <w:rsid w:val="00A63669"/>
    <w:rsid w:val="00A64AA4"/>
    <w:rsid w:val="00A64CBA"/>
    <w:rsid w:val="00A64D2C"/>
    <w:rsid w:val="00A65426"/>
    <w:rsid w:val="00A65515"/>
    <w:rsid w:val="00A6557E"/>
    <w:rsid w:val="00A65656"/>
    <w:rsid w:val="00A65697"/>
    <w:rsid w:val="00A65DD7"/>
    <w:rsid w:val="00A65E66"/>
    <w:rsid w:val="00A65FA2"/>
    <w:rsid w:val="00A66892"/>
    <w:rsid w:val="00A66CE3"/>
    <w:rsid w:val="00A66FB5"/>
    <w:rsid w:val="00A66FD5"/>
    <w:rsid w:val="00A6700C"/>
    <w:rsid w:val="00A67446"/>
    <w:rsid w:val="00A6762B"/>
    <w:rsid w:val="00A676FA"/>
    <w:rsid w:val="00A700C6"/>
    <w:rsid w:val="00A704D0"/>
    <w:rsid w:val="00A70509"/>
    <w:rsid w:val="00A70576"/>
    <w:rsid w:val="00A7057B"/>
    <w:rsid w:val="00A70AEC"/>
    <w:rsid w:val="00A70D46"/>
    <w:rsid w:val="00A70FC7"/>
    <w:rsid w:val="00A711F7"/>
    <w:rsid w:val="00A71702"/>
    <w:rsid w:val="00A7176A"/>
    <w:rsid w:val="00A72177"/>
    <w:rsid w:val="00A72438"/>
    <w:rsid w:val="00A72B78"/>
    <w:rsid w:val="00A72F59"/>
    <w:rsid w:val="00A73109"/>
    <w:rsid w:val="00A731CB"/>
    <w:rsid w:val="00A7320E"/>
    <w:rsid w:val="00A73219"/>
    <w:rsid w:val="00A73A8B"/>
    <w:rsid w:val="00A73B57"/>
    <w:rsid w:val="00A73DCE"/>
    <w:rsid w:val="00A7404F"/>
    <w:rsid w:val="00A74AED"/>
    <w:rsid w:val="00A74CA2"/>
    <w:rsid w:val="00A74F22"/>
    <w:rsid w:val="00A75339"/>
    <w:rsid w:val="00A7544F"/>
    <w:rsid w:val="00A7569B"/>
    <w:rsid w:val="00A765A1"/>
    <w:rsid w:val="00A76976"/>
    <w:rsid w:val="00A76A77"/>
    <w:rsid w:val="00A77129"/>
    <w:rsid w:val="00A77699"/>
    <w:rsid w:val="00A77858"/>
    <w:rsid w:val="00A77FBC"/>
    <w:rsid w:val="00A800E6"/>
    <w:rsid w:val="00A80350"/>
    <w:rsid w:val="00A80DD4"/>
    <w:rsid w:val="00A81E82"/>
    <w:rsid w:val="00A81FB3"/>
    <w:rsid w:val="00A821E9"/>
    <w:rsid w:val="00A82208"/>
    <w:rsid w:val="00A82838"/>
    <w:rsid w:val="00A82B18"/>
    <w:rsid w:val="00A82EF8"/>
    <w:rsid w:val="00A82F2D"/>
    <w:rsid w:val="00A83B01"/>
    <w:rsid w:val="00A83CE8"/>
    <w:rsid w:val="00A841E4"/>
    <w:rsid w:val="00A84522"/>
    <w:rsid w:val="00A8464E"/>
    <w:rsid w:val="00A855DC"/>
    <w:rsid w:val="00A8581B"/>
    <w:rsid w:val="00A8589E"/>
    <w:rsid w:val="00A85924"/>
    <w:rsid w:val="00A85CC1"/>
    <w:rsid w:val="00A85E74"/>
    <w:rsid w:val="00A85E9E"/>
    <w:rsid w:val="00A86432"/>
    <w:rsid w:val="00A86711"/>
    <w:rsid w:val="00A86A90"/>
    <w:rsid w:val="00A86C61"/>
    <w:rsid w:val="00A87172"/>
    <w:rsid w:val="00A87CA3"/>
    <w:rsid w:val="00A87ED8"/>
    <w:rsid w:val="00A90297"/>
    <w:rsid w:val="00A9038A"/>
    <w:rsid w:val="00A90644"/>
    <w:rsid w:val="00A9072A"/>
    <w:rsid w:val="00A908E0"/>
    <w:rsid w:val="00A90B6A"/>
    <w:rsid w:val="00A90E42"/>
    <w:rsid w:val="00A91150"/>
    <w:rsid w:val="00A918C1"/>
    <w:rsid w:val="00A91BB7"/>
    <w:rsid w:val="00A91BCC"/>
    <w:rsid w:val="00A91DEA"/>
    <w:rsid w:val="00A92451"/>
    <w:rsid w:val="00A93689"/>
    <w:rsid w:val="00A937D2"/>
    <w:rsid w:val="00A93CEB"/>
    <w:rsid w:val="00A9428C"/>
    <w:rsid w:val="00A94356"/>
    <w:rsid w:val="00A94545"/>
    <w:rsid w:val="00A948E9"/>
    <w:rsid w:val="00A94A5C"/>
    <w:rsid w:val="00A94ABB"/>
    <w:rsid w:val="00A9520D"/>
    <w:rsid w:val="00A952B3"/>
    <w:rsid w:val="00A95561"/>
    <w:rsid w:val="00A957E2"/>
    <w:rsid w:val="00A95914"/>
    <w:rsid w:val="00A95C8E"/>
    <w:rsid w:val="00A95EC1"/>
    <w:rsid w:val="00A960B0"/>
    <w:rsid w:val="00A9613A"/>
    <w:rsid w:val="00A96211"/>
    <w:rsid w:val="00A962E7"/>
    <w:rsid w:val="00A96758"/>
    <w:rsid w:val="00A96777"/>
    <w:rsid w:val="00A96E16"/>
    <w:rsid w:val="00A96EC6"/>
    <w:rsid w:val="00A972CC"/>
    <w:rsid w:val="00A9755A"/>
    <w:rsid w:val="00A975AD"/>
    <w:rsid w:val="00A978AA"/>
    <w:rsid w:val="00A97AD3"/>
    <w:rsid w:val="00A97FDC"/>
    <w:rsid w:val="00AA04B9"/>
    <w:rsid w:val="00AA07DF"/>
    <w:rsid w:val="00AA14E5"/>
    <w:rsid w:val="00AA150E"/>
    <w:rsid w:val="00AA187C"/>
    <w:rsid w:val="00AA18E8"/>
    <w:rsid w:val="00AA19BD"/>
    <w:rsid w:val="00AA20E5"/>
    <w:rsid w:val="00AA27ED"/>
    <w:rsid w:val="00AA2C8A"/>
    <w:rsid w:val="00AA30BB"/>
    <w:rsid w:val="00AA3473"/>
    <w:rsid w:val="00AA382B"/>
    <w:rsid w:val="00AA3A49"/>
    <w:rsid w:val="00AA3D42"/>
    <w:rsid w:val="00AA4908"/>
    <w:rsid w:val="00AA4D07"/>
    <w:rsid w:val="00AA505A"/>
    <w:rsid w:val="00AA51FF"/>
    <w:rsid w:val="00AA5602"/>
    <w:rsid w:val="00AA5815"/>
    <w:rsid w:val="00AA5944"/>
    <w:rsid w:val="00AA5A5C"/>
    <w:rsid w:val="00AA5E7C"/>
    <w:rsid w:val="00AA5F2B"/>
    <w:rsid w:val="00AA5F6D"/>
    <w:rsid w:val="00AA5FB5"/>
    <w:rsid w:val="00AA6318"/>
    <w:rsid w:val="00AA6391"/>
    <w:rsid w:val="00AA63B4"/>
    <w:rsid w:val="00AA65B7"/>
    <w:rsid w:val="00AA6699"/>
    <w:rsid w:val="00AA66DC"/>
    <w:rsid w:val="00AA675C"/>
    <w:rsid w:val="00AA730D"/>
    <w:rsid w:val="00AA78F5"/>
    <w:rsid w:val="00AB00B5"/>
    <w:rsid w:val="00AB03DB"/>
    <w:rsid w:val="00AB03DC"/>
    <w:rsid w:val="00AB0504"/>
    <w:rsid w:val="00AB0ADF"/>
    <w:rsid w:val="00AB1FAF"/>
    <w:rsid w:val="00AB2776"/>
    <w:rsid w:val="00AB2C70"/>
    <w:rsid w:val="00AB2E20"/>
    <w:rsid w:val="00AB2F4F"/>
    <w:rsid w:val="00AB32A8"/>
    <w:rsid w:val="00AB4997"/>
    <w:rsid w:val="00AB4C75"/>
    <w:rsid w:val="00AB587D"/>
    <w:rsid w:val="00AB6384"/>
    <w:rsid w:val="00AB6632"/>
    <w:rsid w:val="00AB67D1"/>
    <w:rsid w:val="00AB71FC"/>
    <w:rsid w:val="00AB7431"/>
    <w:rsid w:val="00AB74CD"/>
    <w:rsid w:val="00AB7730"/>
    <w:rsid w:val="00AB796C"/>
    <w:rsid w:val="00AC067D"/>
    <w:rsid w:val="00AC0874"/>
    <w:rsid w:val="00AC0973"/>
    <w:rsid w:val="00AC10E5"/>
    <w:rsid w:val="00AC1302"/>
    <w:rsid w:val="00AC195B"/>
    <w:rsid w:val="00AC1D7B"/>
    <w:rsid w:val="00AC3482"/>
    <w:rsid w:val="00AC34A2"/>
    <w:rsid w:val="00AC35C1"/>
    <w:rsid w:val="00AC3B91"/>
    <w:rsid w:val="00AC3E3B"/>
    <w:rsid w:val="00AC41F8"/>
    <w:rsid w:val="00AC4E51"/>
    <w:rsid w:val="00AC4F3B"/>
    <w:rsid w:val="00AC54F2"/>
    <w:rsid w:val="00AC58E5"/>
    <w:rsid w:val="00AC68CA"/>
    <w:rsid w:val="00AC7CDE"/>
    <w:rsid w:val="00AD01C3"/>
    <w:rsid w:val="00AD0694"/>
    <w:rsid w:val="00AD06F9"/>
    <w:rsid w:val="00AD07FB"/>
    <w:rsid w:val="00AD0983"/>
    <w:rsid w:val="00AD09E5"/>
    <w:rsid w:val="00AD0B28"/>
    <w:rsid w:val="00AD0B34"/>
    <w:rsid w:val="00AD132C"/>
    <w:rsid w:val="00AD16C2"/>
    <w:rsid w:val="00AD16F6"/>
    <w:rsid w:val="00AD179D"/>
    <w:rsid w:val="00AD1DF1"/>
    <w:rsid w:val="00AD2268"/>
    <w:rsid w:val="00AD2DA8"/>
    <w:rsid w:val="00AD2F5A"/>
    <w:rsid w:val="00AD2FAD"/>
    <w:rsid w:val="00AD3A4A"/>
    <w:rsid w:val="00AD4796"/>
    <w:rsid w:val="00AD4ADF"/>
    <w:rsid w:val="00AD4E25"/>
    <w:rsid w:val="00AD5028"/>
    <w:rsid w:val="00AD52FD"/>
    <w:rsid w:val="00AD5497"/>
    <w:rsid w:val="00AD5A34"/>
    <w:rsid w:val="00AD5B8A"/>
    <w:rsid w:val="00AD638F"/>
    <w:rsid w:val="00AD651B"/>
    <w:rsid w:val="00AD6718"/>
    <w:rsid w:val="00AD6D4A"/>
    <w:rsid w:val="00AD7247"/>
    <w:rsid w:val="00AD73BA"/>
    <w:rsid w:val="00AD791E"/>
    <w:rsid w:val="00AD796C"/>
    <w:rsid w:val="00AD7B90"/>
    <w:rsid w:val="00AD7CD8"/>
    <w:rsid w:val="00AD7E8E"/>
    <w:rsid w:val="00AD7F86"/>
    <w:rsid w:val="00AE04AC"/>
    <w:rsid w:val="00AE0624"/>
    <w:rsid w:val="00AE073A"/>
    <w:rsid w:val="00AE08F8"/>
    <w:rsid w:val="00AE0908"/>
    <w:rsid w:val="00AE0EA5"/>
    <w:rsid w:val="00AE0EDA"/>
    <w:rsid w:val="00AE0F0A"/>
    <w:rsid w:val="00AE15F9"/>
    <w:rsid w:val="00AE16B4"/>
    <w:rsid w:val="00AE182D"/>
    <w:rsid w:val="00AE236C"/>
    <w:rsid w:val="00AE2DED"/>
    <w:rsid w:val="00AE3062"/>
    <w:rsid w:val="00AE353B"/>
    <w:rsid w:val="00AE3937"/>
    <w:rsid w:val="00AE3943"/>
    <w:rsid w:val="00AE3AA2"/>
    <w:rsid w:val="00AE4079"/>
    <w:rsid w:val="00AE42E0"/>
    <w:rsid w:val="00AE4906"/>
    <w:rsid w:val="00AE4A41"/>
    <w:rsid w:val="00AE4B68"/>
    <w:rsid w:val="00AE571F"/>
    <w:rsid w:val="00AE6066"/>
    <w:rsid w:val="00AE671D"/>
    <w:rsid w:val="00AE6881"/>
    <w:rsid w:val="00AE6CE4"/>
    <w:rsid w:val="00AE6E48"/>
    <w:rsid w:val="00AE6F77"/>
    <w:rsid w:val="00AE6FE6"/>
    <w:rsid w:val="00AE7249"/>
    <w:rsid w:val="00AE73E7"/>
    <w:rsid w:val="00AE78FA"/>
    <w:rsid w:val="00AE7A26"/>
    <w:rsid w:val="00AE7BFB"/>
    <w:rsid w:val="00AF0082"/>
    <w:rsid w:val="00AF0185"/>
    <w:rsid w:val="00AF04D6"/>
    <w:rsid w:val="00AF0CB1"/>
    <w:rsid w:val="00AF0DCB"/>
    <w:rsid w:val="00AF0E09"/>
    <w:rsid w:val="00AF10C9"/>
    <w:rsid w:val="00AF1210"/>
    <w:rsid w:val="00AF153D"/>
    <w:rsid w:val="00AF1D60"/>
    <w:rsid w:val="00AF1FB4"/>
    <w:rsid w:val="00AF21D7"/>
    <w:rsid w:val="00AF2752"/>
    <w:rsid w:val="00AF28B6"/>
    <w:rsid w:val="00AF2AE0"/>
    <w:rsid w:val="00AF2AF7"/>
    <w:rsid w:val="00AF2D26"/>
    <w:rsid w:val="00AF2E22"/>
    <w:rsid w:val="00AF39FF"/>
    <w:rsid w:val="00AF3B22"/>
    <w:rsid w:val="00AF3D25"/>
    <w:rsid w:val="00AF3EEB"/>
    <w:rsid w:val="00AF4263"/>
    <w:rsid w:val="00AF4AA7"/>
    <w:rsid w:val="00AF4D59"/>
    <w:rsid w:val="00AF4F24"/>
    <w:rsid w:val="00AF4FF3"/>
    <w:rsid w:val="00AF51A6"/>
    <w:rsid w:val="00AF5851"/>
    <w:rsid w:val="00AF5A96"/>
    <w:rsid w:val="00AF5DFE"/>
    <w:rsid w:val="00AF5F60"/>
    <w:rsid w:val="00AF62A4"/>
    <w:rsid w:val="00AF630E"/>
    <w:rsid w:val="00AF676B"/>
    <w:rsid w:val="00AF703F"/>
    <w:rsid w:val="00AF743D"/>
    <w:rsid w:val="00AF7548"/>
    <w:rsid w:val="00AF75A8"/>
    <w:rsid w:val="00AF7D3F"/>
    <w:rsid w:val="00B0070A"/>
    <w:rsid w:val="00B01269"/>
    <w:rsid w:val="00B01333"/>
    <w:rsid w:val="00B01B48"/>
    <w:rsid w:val="00B0230D"/>
    <w:rsid w:val="00B0259F"/>
    <w:rsid w:val="00B029AD"/>
    <w:rsid w:val="00B02B63"/>
    <w:rsid w:val="00B03036"/>
    <w:rsid w:val="00B03141"/>
    <w:rsid w:val="00B03177"/>
    <w:rsid w:val="00B03444"/>
    <w:rsid w:val="00B039CA"/>
    <w:rsid w:val="00B03B78"/>
    <w:rsid w:val="00B03B94"/>
    <w:rsid w:val="00B03F1C"/>
    <w:rsid w:val="00B03FC4"/>
    <w:rsid w:val="00B0424C"/>
    <w:rsid w:val="00B04493"/>
    <w:rsid w:val="00B048BD"/>
    <w:rsid w:val="00B04C7B"/>
    <w:rsid w:val="00B04CC0"/>
    <w:rsid w:val="00B04F04"/>
    <w:rsid w:val="00B057FD"/>
    <w:rsid w:val="00B06076"/>
    <w:rsid w:val="00B0624D"/>
    <w:rsid w:val="00B06672"/>
    <w:rsid w:val="00B068E3"/>
    <w:rsid w:val="00B06A61"/>
    <w:rsid w:val="00B06B5B"/>
    <w:rsid w:val="00B06BDC"/>
    <w:rsid w:val="00B07896"/>
    <w:rsid w:val="00B0792B"/>
    <w:rsid w:val="00B07A8D"/>
    <w:rsid w:val="00B07ADE"/>
    <w:rsid w:val="00B07CFF"/>
    <w:rsid w:val="00B101A7"/>
    <w:rsid w:val="00B1025B"/>
    <w:rsid w:val="00B104CA"/>
    <w:rsid w:val="00B1059F"/>
    <w:rsid w:val="00B107A7"/>
    <w:rsid w:val="00B10B95"/>
    <w:rsid w:val="00B10C81"/>
    <w:rsid w:val="00B10EB5"/>
    <w:rsid w:val="00B10EDC"/>
    <w:rsid w:val="00B10F55"/>
    <w:rsid w:val="00B11194"/>
    <w:rsid w:val="00B111F2"/>
    <w:rsid w:val="00B113B2"/>
    <w:rsid w:val="00B11418"/>
    <w:rsid w:val="00B114EA"/>
    <w:rsid w:val="00B11A54"/>
    <w:rsid w:val="00B123BE"/>
    <w:rsid w:val="00B125CC"/>
    <w:rsid w:val="00B12BE5"/>
    <w:rsid w:val="00B12BFA"/>
    <w:rsid w:val="00B12C64"/>
    <w:rsid w:val="00B12C99"/>
    <w:rsid w:val="00B12CD2"/>
    <w:rsid w:val="00B12D60"/>
    <w:rsid w:val="00B13186"/>
    <w:rsid w:val="00B13421"/>
    <w:rsid w:val="00B1374C"/>
    <w:rsid w:val="00B1379E"/>
    <w:rsid w:val="00B13C62"/>
    <w:rsid w:val="00B142D4"/>
    <w:rsid w:val="00B14504"/>
    <w:rsid w:val="00B14701"/>
    <w:rsid w:val="00B14E91"/>
    <w:rsid w:val="00B1540A"/>
    <w:rsid w:val="00B154A8"/>
    <w:rsid w:val="00B15D2A"/>
    <w:rsid w:val="00B161F7"/>
    <w:rsid w:val="00B164DD"/>
    <w:rsid w:val="00B16E01"/>
    <w:rsid w:val="00B172A5"/>
    <w:rsid w:val="00B17430"/>
    <w:rsid w:val="00B17559"/>
    <w:rsid w:val="00B175B8"/>
    <w:rsid w:val="00B1795C"/>
    <w:rsid w:val="00B179D3"/>
    <w:rsid w:val="00B17B0E"/>
    <w:rsid w:val="00B17E98"/>
    <w:rsid w:val="00B202E8"/>
    <w:rsid w:val="00B2043B"/>
    <w:rsid w:val="00B2047C"/>
    <w:rsid w:val="00B204DB"/>
    <w:rsid w:val="00B2085D"/>
    <w:rsid w:val="00B20894"/>
    <w:rsid w:val="00B20F31"/>
    <w:rsid w:val="00B20F7A"/>
    <w:rsid w:val="00B21157"/>
    <w:rsid w:val="00B212B8"/>
    <w:rsid w:val="00B214BD"/>
    <w:rsid w:val="00B215A1"/>
    <w:rsid w:val="00B21ABE"/>
    <w:rsid w:val="00B21B0B"/>
    <w:rsid w:val="00B21C21"/>
    <w:rsid w:val="00B21C90"/>
    <w:rsid w:val="00B21EBA"/>
    <w:rsid w:val="00B21FFF"/>
    <w:rsid w:val="00B22035"/>
    <w:rsid w:val="00B220CF"/>
    <w:rsid w:val="00B221A7"/>
    <w:rsid w:val="00B2235C"/>
    <w:rsid w:val="00B227FB"/>
    <w:rsid w:val="00B22B55"/>
    <w:rsid w:val="00B22B6F"/>
    <w:rsid w:val="00B22C3D"/>
    <w:rsid w:val="00B22D49"/>
    <w:rsid w:val="00B23213"/>
    <w:rsid w:val="00B236FD"/>
    <w:rsid w:val="00B238C6"/>
    <w:rsid w:val="00B23D4B"/>
    <w:rsid w:val="00B23EB7"/>
    <w:rsid w:val="00B23FDE"/>
    <w:rsid w:val="00B24AD7"/>
    <w:rsid w:val="00B2516A"/>
    <w:rsid w:val="00B25432"/>
    <w:rsid w:val="00B25607"/>
    <w:rsid w:val="00B26256"/>
    <w:rsid w:val="00B2674B"/>
    <w:rsid w:val="00B26C67"/>
    <w:rsid w:val="00B26D1D"/>
    <w:rsid w:val="00B270B0"/>
    <w:rsid w:val="00B27336"/>
    <w:rsid w:val="00B27578"/>
    <w:rsid w:val="00B27690"/>
    <w:rsid w:val="00B278D7"/>
    <w:rsid w:val="00B27C1C"/>
    <w:rsid w:val="00B27EB2"/>
    <w:rsid w:val="00B3015F"/>
    <w:rsid w:val="00B302AB"/>
    <w:rsid w:val="00B30382"/>
    <w:rsid w:val="00B3041D"/>
    <w:rsid w:val="00B308D0"/>
    <w:rsid w:val="00B30F06"/>
    <w:rsid w:val="00B314F7"/>
    <w:rsid w:val="00B31598"/>
    <w:rsid w:val="00B3183D"/>
    <w:rsid w:val="00B31884"/>
    <w:rsid w:val="00B32265"/>
    <w:rsid w:val="00B3240E"/>
    <w:rsid w:val="00B324C3"/>
    <w:rsid w:val="00B32933"/>
    <w:rsid w:val="00B32F12"/>
    <w:rsid w:val="00B33175"/>
    <w:rsid w:val="00B331B7"/>
    <w:rsid w:val="00B3320C"/>
    <w:rsid w:val="00B3323E"/>
    <w:rsid w:val="00B34050"/>
    <w:rsid w:val="00B34515"/>
    <w:rsid w:val="00B34779"/>
    <w:rsid w:val="00B349E3"/>
    <w:rsid w:val="00B34A76"/>
    <w:rsid w:val="00B356D9"/>
    <w:rsid w:val="00B362D0"/>
    <w:rsid w:val="00B36A1A"/>
    <w:rsid w:val="00B36C77"/>
    <w:rsid w:val="00B36F82"/>
    <w:rsid w:val="00B372D1"/>
    <w:rsid w:val="00B37763"/>
    <w:rsid w:val="00B37C06"/>
    <w:rsid w:val="00B37CCE"/>
    <w:rsid w:val="00B37EC3"/>
    <w:rsid w:val="00B40192"/>
    <w:rsid w:val="00B4042F"/>
    <w:rsid w:val="00B407E6"/>
    <w:rsid w:val="00B40DFA"/>
    <w:rsid w:val="00B4125F"/>
    <w:rsid w:val="00B42329"/>
    <w:rsid w:val="00B426FB"/>
    <w:rsid w:val="00B42836"/>
    <w:rsid w:val="00B428DD"/>
    <w:rsid w:val="00B42AC2"/>
    <w:rsid w:val="00B42AE6"/>
    <w:rsid w:val="00B42E1D"/>
    <w:rsid w:val="00B42E74"/>
    <w:rsid w:val="00B42FF0"/>
    <w:rsid w:val="00B431B7"/>
    <w:rsid w:val="00B431E6"/>
    <w:rsid w:val="00B43272"/>
    <w:rsid w:val="00B43658"/>
    <w:rsid w:val="00B440FD"/>
    <w:rsid w:val="00B4469F"/>
    <w:rsid w:val="00B4476C"/>
    <w:rsid w:val="00B450B9"/>
    <w:rsid w:val="00B45669"/>
    <w:rsid w:val="00B45A3F"/>
    <w:rsid w:val="00B461D1"/>
    <w:rsid w:val="00B465D7"/>
    <w:rsid w:val="00B46C46"/>
    <w:rsid w:val="00B46C73"/>
    <w:rsid w:val="00B46C8E"/>
    <w:rsid w:val="00B46F0E"/>
    <w:rsid w:val="00B47081"/>
    <w:rsid w:val="00B4714E"/>
    <w:rsid w:val="00B4734B"/>
    <w:rsid w:val="00B478AF"/>
    <w:rsid w:val="00B4792E"/>
    <w:rsid w:val="00B47A9B"/>
    <w:rsid w:val="00B47BD1"/>
    <w:rsid w:val="00B47D19"/>
    <w:rsid w:val="00B516EA"/>
    <w:rsid w:val="00B51C53"/>
    <w:rsid w:val="00B51E82"/>
    <w:rsid w:val="00B51EDC"/>
    <w:rsid w:val="00B51FE0"/>
    <w:rsid w:val="00B5205B"/>
    <w:rsid w:val="00B524D8"/>
    <w:rsid w:val="00B525F8"/>
    <w:rsid w:val="00B530A6"/>
    <w:rsid w:val="00B53244"/>
    <w:rsid w:val="00B53566"/>
    <w:rsid w:val="00B5376F"/>
    <w:rsid w:val="00B53980"/>
    <w:rsid w:val="00B53993"/>
    <w:rsid w:val="00B5405F"/>
    <w:rsid w:val="00B542DE"/>
    <w:rsid w:val="00B54729"/>
    <w:rsid w:val="00B54CD3"/>
    <w:rsid w:val="00B552FE"/>
    <w:rsid w:val="00B5598A"/>
    <w:rsid w:val="00B559DB"/>
    <w:rsid w:val="00B55BD7"/>
    <w:rsid w:val="00B55C4F"/>
    <w:rsid w:val="00B55ECE"/>
    <w:rsid w:val="00B55F4C"/>
    <w:rsid w:val="00B5669A"/>
    <w:rsid w:val="00B566D2"/>
    <w:rsid w:val="00B56955"/>
    <w:rsid w:val="00B56D1A"/>
    <w:rsid w:val="00B56FD8"/>
    <w:rsid w:val="00B570C0"/>
    <w:rsid w:val="00B574E6"/>
    <w:rsid w:val="00B578C8"/>
    <w:rsid w:val="00B57AEB"/>
    <w:rsid w:val="00B57D53"/>
    <w:rsid w:val="00B60302"/>
    <w:rsid w:val="00B603BA"/>
    <w:rsid w:val="00B6059B"/>
    <w:rsid w:val="00B60886"/>
    <w:rsid w:val="00B60B1C"/>
    <w:rsid w:val="00B6105B"/>
    <w:rsid w:val="00B6157F"/>
    <w:rsid w:val="00B61702"/>
    <w:rsid w:val="00B617A0"/>
    <w:rsid w:val="00B61E33"/>
    <w:rsid w:val="00B61E66"/>
    <w:rsid w:val="00B62683"/>
    <w:rsid w:val="00B626A7"/>
    <w:rsid w:val="00B62868"/>
    <w:rsid w:val="00B62ED1"/>
    <w:rsid w:val="00B62EDF"/>
    <w:rsid w:val="00B62EFA"/>
    <w:rsid w:val="00B63123"/>
    <w:rsid w:val="00B6336F"/>
    <w:rsid w:val="00B63484"/>
    <w:rsid w:val="00B63D20"/>
    <w:rsid w:val="00B63DED"/>
    <w:rsid w:val="00B63E1A"/>
    <w:rsid w:val="00B64333"/>
    <w:rsid w:val="00B646F1"/>
    <w:rsid w:val="00B6492B"/>
    <w:rsid w:val="00B649BB"/>
    <w:rsid w:val="00B64FB5"/>
    <w:rsid w:val="00B65223"/>
    <w:rsid w:val="00B65225"/>
    <w:rsid w:val="00B65524"/>
    <w:rsid w:val="00B659F5"/>
    <w:rsid w:val="00B65D3F"/>
    <w:rsid w:val="00B65F56"/>
    <w:rsid w:val="00B661C8"/>
    <w:rsid w:val="00B6636F"/>
    <w:rsid w:val="00B66866"/>
    <w:rsid w:val="00B66A78"/>
    <w:rsid w:val="00B67420"/>
    <w:rsid w:val="00B6747E"/>
    <w:rsid w:val="00B6777D"/>
    <w:rsid w:val="00B67841"/>
    <w:rsid w:val="00B67CE4"/>
    <w:rsid w:val="00B67D04"/>
    <w:rsid w:val="00B67F19"/>
    <w:rsid w:val="00B7017B"/>
    <w:rsid w:val="00B70280"/>
    <w:rsid w:val="00B70308"/>
    <w:rsid w:val="00B703B0"/>
    <w:rsid w:val="00B70FC0"/>
    <w:rsid w:val="00B71082"/>
    <w:rsid w:val="00B714FA"/>
    <w:rsid w:val="00B717D9"/>
    <w:rsid w:val="00B71A9D"/>
    <w:rsid w:val="00B71AE3"/>
    <w:rsid w:val="00B71B5D"/>
    <w:rsid w:val="00B71DD0"/>
    <w:rsid w:val="00B71EC1"/>
    <w:rsid w:val="00B71F79"/>
    <w:rsid w:val="00B7212B"/>
    <w:rsid w:val="00B721C4"/>
    <w:rsid w:val="00B722C2"/>
    <w:rsid w:val="00B7231B"/>
    <w:rsid w:val="00B729A0"/>
    <w:rsid w:val="00B729CC"/>
    <w:rsid w:val="00B73100"/>
    <w:rsid w:val="00B7370F"/>
    <w:rsid w:val="00B73AD9"/>
    <w:rsid w:val="00B73C15"/>
    <w:rsid w:val="00B73D76"/>
    <w:rsid w:val="00B73F39"/>
    <w:rsid w:val="00B74593"/>
    <w:rsid w:val="00B745EF"/>
    <w:rsid w:val="00B749E0"/>
    <w:rsid w:val="00B74C22"/>
    <w:rsid w:val="00B74CA4"/>
    <w:rsid w:val="00B74DF2"/>
    <w:rsid w:val="00B75192"/>
    <w:rsid w:val="00B7540B"/>
    <w:rsid w:val="00B75652"/>
    <w:rsid w:val="00B75E4E"/>
    <w:rsid w:val="00B75FBB"/>
    <w:rsid w:val="00B76526"/>
    <w:rsid w:val="00B767AD"/>
    <w:rsid w:val="00B7687A"/>
    <w:rsid w:val="00B76F7F"/>
    <w:rsid w:val="00B77038"/>
    <w:rsid w:val="00B7703F"/>
    <w:rsid w:val="00B772CF"/>
    <w:rsid w:val="00B77838"/>
    <w:rsid w:val="00B77CDB"/>
    <w:rsid w:val="00B77DB5"/>
    <w:rsid w:val="00B77E95"/>
    <w:rsid w:val="00B800CD"/>
    <w:rsid w:val="00B801A1"/>
    <w:rsid w:val="00B801A4"/>
    <w:rsid w:val="00B803E7"/>
    <w:rsid w:val="00B80480"/>
    <w:rsid w:val="00B80E9B"/>
    <w:rsid w:val="00B810A7"/>
    <w:rsid w:val="00B8117E"/>
    <w:rsid w:val="00B816BB"/>
    <w:rsid w:val="00B81D40"/>
    <w:rsid w:val="00B81FD3"/>
    <w:rsid w:val="00B82052"/>
    <w:rsid w:val="00B820EC"/>
    <w:rsid w:val="00B823A0"/>
    <w:rsid w:val="00B82510"/>
    <w:rsid w:val="00B82907"/>
    <w:rsid w:val="00B82D48"/>
    <w:rsid w:val="00B8344A"/>
    <w:rsid w:val="00B8377E"/>
    <w:rsid w:val="00B83999"/>
    <w:rsid w:val="00B84710"/>
    <w:rsid w:val="00B84AB7"/>
    <w:rsid w:val="00B84FB4"/>
    <w:rsid w:val="00B855ED"/>
    <w:rsid w:val="00B856B2"/>
    <w:rsid w:val="00B858CF"/>
    <w:rsid w:val="00B859CD"/>
    <w:rsid w:val="00B85B23"/>
    <w:rsid w:val="00B85D3F"/>
    <w:rsid w:val="00B85F2D"/>
    <w:rsid w:val="00B864EA"/>
    <w:rsid w:val="00B8658F"/>
    <w:rsid w:val="00B86A33"/>
    <w:rsid w:val="00B86E6B"/>
    <w:rsid w:val="00B871DB"/>
    <w:rsid w:val="00B87527"/>
    <w:rsid w:val="00B87599"/>
    <w:rsid w:val="00B875E1"/>
    <w:rsid w:val="00B878EE"/>
    <w:rsid w:val="00B87A73"/>
    <w:rsid w:val="00B87B50"/>
    <w:rsid w:val="00B9058F"/>
    <w:rsid w:val="00B908FB"/>
    <w:rsid w:val="00B90D0C"/>
    <w:rsid w:val="00B90D27"/>
    <w:rsid w:val="00B913A5"/>
    <w:rsid w:val="00B913FC"/>
    <w:rsid w:val="00B91699"/>
    <w:rsid w:val="00B919A7"/>
    <w:rsid w:val="00B91BA0"/>
    <w:rsid w:val="00B91BA3"/>
    <w:rsid w:val="00B91DC5"/>
    <w:rsid w:val="00B92062"/>
    <w:rsid w:val="00B920EB"/>
    <w:rsid w:val="00B92245"/>
    <w:rsid w:val="00B93A60"/>
    <w:rsid w:val="00B9401A"/>
    <w:rsid w:val="00B9460B"/>
    <w:rsid w:val="00B9485B"/>
    <w:rsid w:val="00B94A01"/>
    <w:rsid w:val="00B94E09"/>
    <w:rsid w:val="00B94F2D"/>
    <w:rsid w:val="00B95154"/>
    <w:rsid w:val="00B951E9"/>
    <w:rsid w:val="00B953F0"/>
    <w:rsid w:val="00B95527"/>
    <w:rsid w:val="00B9563C"/>
    <w:rsid w:val="00B956A2"/>
    <w:rsid w:val="00B95B3B"/>
    <w:rsid w:val="00B964E9"/>
    <w:rsid w:val="00B96755"/>
    <w:rsid w:val="00B9693B"/>
    <w:rsid w:val="00B96AEF"/>
    <w:rsid w:val="00B96B22"/>
    <w:rsid w:val="00B96F21"/>
    <w:rsid w:val="00B973EA"/>
    <w:rsid w:val="00B9789F"/>
    <w:rsid w:val="00B97BC3"/>
    <w:rsid w:val="00B97BFE"/>
    <w:rsid w:val="00B97C79"/>
    <w:rsid w:val="00B97E7D"/>
    <w:rsid w:val="00BA005E"/>
    <w:rsid w:val="00BA00A2"/>
    <w:rsid w:val="00BA029E"/>
    <w:rsid w:val="00BA031E"/>
    <w:rsid w:val="00BA03F5"/>
    <w:rsid w:val="00BA0726"/>
    <w:rsid w:val="00BA0867"/>
    <w:rsid w:val="00BA106B"/>
    <w:rsid w:val="00BA1284"/>
    <w:rsid w:val="00BA1695"/>
    <w:rsid w:val="00BA1754"/>
    <w:rsid w:val="00BA1E0A"/>
    <w:rsid w:val="00BA2A5A"/>
    <w:rsid w:val="00BA2D9A"/>
    <w:rsid w:val="00BA2DD7"/>
    <w:rsid w:val="00BA33F7"/>
    <w:rsid w:val="00BA36A7"/>
    <w:rsid w:val="00BA40ED"/>
    <w:rsid w:val="00BA45EA"/>
    <w:rsid w:val="00BA4919"/>
    <w:rsid w:val="00BA4A99"/>
    <w:rsid w:val="00BA4CA6"/>
    <w:rsid w:val="00BA4CC8"/>
    <w:rsid w:val="00BA4E84"/>
    <w:rsid w:val="00BA4EFC"/>
    <w:rsid w:val="00BA4F90"/>
    <w:rsid w:val="00BA4FAC"/>
    <w:rsid w:val="00BA5194"/>
    <w:rsid w:val="00BA5823"/>
    <w:rsid w:val="00BA5D90"/>
    <w:rsid w:val="00BA60F8"/>
    <w:rsid w:val="00BA614A"/>
    <w:rsid w:val="00BA616C"/>
    <w:rsid w:val="00BA6F9E"/>
    <w:rsid w:val="00BA714D"/>
    <w:rsid w:val="00BA7210"/>
    <w:rsid w:val="00BA736B"/>
    <w:rsid w:val="00BA78C3"/>
    <w:rsid w:val="00BA7984"/>
    <w:rsid w:val="00BA7B8C"/>
    <w:rsid w:val="00BB063B"/>
    <w:rsid w:val="00BB0B46"/>
    <w:rsid w:val="00BB0C7C"/>
    <w:rsid w:val="00BB0C94"/>
    <w:rsid w:val="00BB0FBD"/>
    <w:rsid w:val="00BB15D2"/>
    <w:rsid w:val="00BB1D7F"/>
    <w:rsid w:val="00BB2958"/>
    <w:rsid w:val="00BB2B3D"/>
    <w:rsid w:val="00BB31E2"/>
    <w:rsid w:val="00BB3C1E"/>
    <w:rsid w:val="00BB3E82"/>
    <w:rsid w:val="00BB41F1"/>
    <w:rsid w:val="00BB4582"/>
    <w:rsid w:val="00BB46A6"/>
    <w:rsid w:val="00BB48C2"/>
    <w:rsid w:val="00BB5247"/>
    <w:rsid w:val="00BB53D8"/>
    <w:rsid w:val="00BB573E"/>
    <w:rsid w:val="00BB5C9E"/>
    <w:rsid w:val="00BB5CBB"/>
    <w:rsid w:val="00BB5E39"/>
    <w:rsid w:val="00BB673A"/>
    <w:rsid w:val="00BB67DE"/>
    <w:rsid w:val="00BB6847"/>
    <w:rsid w:val="00BB6C14"/>
    <w:rsid w:val="00BC0248"/>
    <w:rsid w:val="00BC0291"/>
    <w:rsid w:val="00BC03C8"/>
    <w:rsid w:val="00BC0530"/>
    <w:rsid w:val="00BC059D"/>
    <w:rsid w:val="00BC0A05"/>
    <w:rsid w:val="00BC0D59"/>
    <w:rsid w:val="00BC0E1B"/>
    <w:rsid w:val="00BC14F7"/>
    <w:rsid w:val="00BC1951"/>
    <w:rsid w:val="00BC1C2B"/>
    <w:rsid w:val="00BC1DFB"/>
    <w:rsid w:val="00BC1EC8"/>
    <w:rsid w:val="00BC26C4"/>
    <w:rsid w:val="00BC288A"/>
    <w:rsid w:val="00BC2F11"/>
    <w:rsid w:val="00BC350A"/>
    <w:rsid w:val="00BC3736"/>
    <w:rsid w:val="00BC3755"/>
    <w:rsid w:val="00BC3823"/>
    <w:rsid w:val="00BC3921"/>
    <w:rsid w:val="00BC3A34"/>
    <w:rsid w:val="00BC3D5D"/>
    <w:rsid w:val="00BC40DB"/>
    <w:rsid w:val="00BC44BE"/>
    <w:rsid w:val="00BC48F1"/>
    <w:rsid w:val="00BC4ADA"/>
    <w:rsid w:val="00BC4BD3"/>
    <w:rsid w:val="00BC4EF8"/>
    <w:rsid w:val="00BC5424"/>
    <w:rsid w:val="00BC5717"/>
    <w:rsid w:val="00BC5736"/>
    <w:rsid w:val="00BC58B1"/>
    <w:rsid w:val="00BC5947"/>
    <w:rsid w:val="00BC5C58"/>
    <w:rsid w:val="00BC5CB5"/>
    <w:rsid w:val="00BC6901"/>
    <w:rsid w:val="00BC703D"/>
    <w:rsid w:val="00BC7106"/>
    <w:rsid w:val="00BC75C1"/>
    <w:rsid w:val="00BC7D88"/>
    <w:rsid w:val="00BD03D8"/>
    <w:rsid w:val="00BD0854"/>
    <w:rsid w:val="00BD0936"/>
    <w:rsid w:val="00BD13F1"/>
    <w:rsid w:val="00BD14ED"/>
    <w:rsid w:val="00BD1CFB"/>
    <w:rsid w:val="00BD1F28"/>
    <w:rsid w:val="00BD2430"/>
    <w:rsid w:val="00BD284B"/>
    <w:rsid w:val="00BD2A36"/>
    <w:rsid w:val="00BD2C97"/>
    <w:rsid w:val="00BD2DBF"/>
    <w:rsid w:val="00BD3C31"/>
    <w:rsid w:val="00BD41CA"/>
    <w:rsid w:val="00BD428E"/>
    <w:rsid w:val="00BD476C"/>
    <w:rsid w:val="00BD4934"/>
    <w:rsid w:val="00BD4A87"/>
    <w:rsid w:val="00BD4C18"/>
    <w:rsid w:val="00BD4C7E"/>
    <w:rsid w:val="00BD4F1E"/>
    <w:rsid w:val="00BD4F55"/>
    <w:rsid w:val="00BD4FCA"/>
    <w:rsid w:val="00BD5C33"/>
    <w:rsid w:val="00BD5D03"/>
    <w:rsid w:val="00BD5E98"/>
    <w:rsid w:val="00BD63B4"/>
    <w:rsid w:val="00BD698C"/>
    <w:rsid w:val="00BD6FA3"/>
    <w:rsid w:val="00BD6FB5"/>
    <w:rsid w:val="00BD7272"/>
    <w:rsid w:val="00BD732B"/>
    <w:rsid w:val="00BD79C1"/>
    <w:rsid w:val="00BD7F97"/>
    <w:rsid w:val="00BE022C"/>
    <w:rsid w:val="00BE034B"/>
    <w:rsid w:val="00BE0A0E"/>
    <w:rsid w:val="00BE0C37"/>
    <w:rsid w:val="00BE0C94"/>
    <w:rsid w:val="00BE1515"/>
    <w:rsid w:val="00BE1546"/>
    <w:rsid w:val="00BE1D67"/>
    <w:rsid w:val="00BE1D8E"/>
    <w:rsid w:val="00BE25FA"/>
    <w:rsid w:val="00BE28B5"/>
    <w:rsid w:val="00BE2D55"/>
    <w:rsid w:val="00BE2D6B"/>
    <w:rsid w:val="00BE2F13"/>
    <w:rsid w:val="00BE30BE"/>
    <w:rsid w:val="00BE3703"/>
    <w:rsid w:val="00BE380D"/>
    <w:rsid w:val="00BE3B21"/>
    <w:rsid w:val="00BE3B6D"/>
    <w:rsid w:val="00BE3C51"/>
    <w:rsid w:val="00BE3EBB"/>
    <w:rsid w:val="00BE3FFC"/>
    <w:rsid w:val="00BE4381"/>
    <w:rsid w:val="00BE4451"/>
    <w:rsid w:val="00BE452F"/>
    <w:rsid w:val="00BE4893"/>
    <w:rsid w:val="00BE51CF"/>
    <w:rsid w:val="00BE528C"/>
    <w:rsid w:val="00BE52F1"/>
    <w:rsid w:val="00BE5411"/>
    <w:rsid w:val="00BE568D"/>
    <w:rsid w:val="00BE5B43"/>
    <w:rsid w:val="00BE5C24"/>
    <w:rsid w:val="00BE5D76"/>
    <w:rsid w:val="00BE5F7C"/>
    <w:rsid w:val="00BE5FD2"/>
    <w:rsid w:val="00BE6288"/>
    <w:rsid w:val="00BE65C3"/>
    <w:rsid w:val="00BE6A30"/>
    <w:rsid w:val="00BE6D48"/>
    <w:rsid w:val="00BE7181"/>
    <w:rsid w:val="00BE74C7"/>
    <w:rsid w:val="00BE798D"/>
    <w:rsid w:val="00BE7E5A"/>
    <w:rsid w:val="00BF001A"/>
    <w:rsid w:val="00BF068F"/>
    <w:rsid w:val="00BF07AE"/>
    <w:rsid w:val="00BF0AE2"/>
    <w:rsid w:val="00BF0DAA"/>
    <w:rsid w:val="00BF12E5"/>
    <w:rsid w:val="00BF1467"/>
    <w:rsid w:val="00BF14B2"/>
    <w:rsid w:val="00BF1B6B"/>
    <w:rsid w:val="00BF254E"/>
    <w:rsid w:val="00BF276B"/>
    <w:rsid w:val="00BF32DF"/>
    <w:rsid w:val="00BF3887"/>
    <w:rsid w:val="00BF3A3F"/>
    <w:rsid w:val="00BF43F8"/>
    <w:rsid w:val="00BF4455"/>
    <w:rsid w:val="00BF4715"/>
    <w:rsid w:val="00BF4F86"/>
    <w:rsid w:val="00BF53F1"/>
    <w:rsid w:val="00BF53F5"/>
    <w:rsid w:val="00BF5477"/>
    <w:rsid w:val="00BF5849"/>
    <w:rsid w:val="00BF5987"/>
    <w:rsid w:val="00BF5A16"/>
    <w:rsid w:val="00BF5ABE"/>
    <w:rsid w:val="00BF5B5F"/>
    <w:rsid w:val="00BF5D8B"/>
    <w:rsid w:val="00BF5D90"/>
    <w:rsid w:val="00BF5F55"/>
    <w:rsid w:val="00BF657A"/>
    <w:rsid w:val="00BF6637"/>
    <w:rsid w:val="00BF6CDC"/>
    <w:rsid w:val="00BF6D6C"/>
    <w:rsid w:val="00BF6DEE"/>
    <w:rsid w:val="00BF701E"/>
    <w:rsid w:val="00BF72A9"/>
    <w:rsid w:val="00BF78E8"/>
    <w:rsid w:val="00BF792F"/>
    <w:rsid w:val="00C000B4"/>
    <w:rsid w:val="00C00102"/>
    <w:rsid w:val="00C00181"/>
    <w:rsid w:val="00C00905"/>
    <w:rsid w:val="00C00C36"/>
    <w:rsid w:val="00C00F70"/>
    <w:rsid w:val="00C0149D"/>
    <w:rsid w:val="00C0175E"/>
    <w:rsid w:val="00C01C57"/>
    <w:rsid w:val="00C01DB9"/>
    <w:rsid w:val="00C021C0"/>
    <w:rsid w:val="00C02D51"/>
    <w:rsid w:val="00C03333"/>
    <w:rsid w:val="00C03427"/>
    <w:rsid w:val="00C03684"/>
    <w:rsid w:val="00C039E3"/>
    <w:rsid w:val="00C03AF4"/>
    <w:rsid w:val="00C03C1E"/>
    <w:rsid w:val="00C04842"/>
    <w:rsid w:val="00C04A93"/>
    <w:rsid w:val="00C04E8B"/>
    <w:rsid w:val="00C05796"/>
    <w:rsid w:val="00C05ADF"/>
    <w:rsid w:val="00C05D7E"/>
    <w:rsid w:val="00C05DE1"/>
    <w:rsid w:val="00C0622F"/>
    <w:rsid w:val="00C064F9"/>
    <w:rsid w:val="00C06551"/>
    <w:rsid w:val="00C066B7"/>
    <w:rsid w:val="00C06ACF"/>
    <w:rsid w:val="00C06C83"/>
    <w:rsid w:val="00C06F2B"/>
    <w:rsid w:val="00C0747E"/>
    <w:rsid w:val="00C0773E"/>
    <w:rsid w:val="00C078F3"/>
    <w:rsid w:val="00C07C3E"/>
    <w:rsid w:val="00C1003E"/>
    <w:rsid w:val="00C10E55"/>
    <w:rsid w:val="00C11182"/>
    <w:rsid w:val="00C111B0"/>
    <w:rsid w:val="00C1149D"/>
    <w:rsid w:val="00C11847"/>
    <w:rsid w:val="00C11930"/>
    <w:rsid w:val="00C11AFD"/>
    <w:rsid w:val="00C11CCE"/>
    <w:rsid w:val="00C11DD5"/>
    <w:rsid w:val="00C11EA8"/>
    <w:rsid w:val="00C121B5"/>
    <w:rsid w:val="00C123BA"/>
    <w:rsid w:val="00C123F4"/>
    <w:rsid w:val="00C12405"/>
    <w:rsid w:val="00C127A9"/>
    <w:rsid w:val="00C12C4B"/>
    <w:rsid w:val="00C12F5C"/>
    <w:rsid w:val="00C13318"/>
    <w:rsid w:val="00C1385F"/>
    <w:rsid w:val="00C139AA"/>
    <w:rsid w:val="00C13A94"/>
    <w:rsid w:val="00C13A99"/>
    <w:rsid w:val="00C13B0C"/>
    <w:rsid w:val="00C13CEA"/>
    <w:rsid w:val="00C13F09"/>
    <w:rsid w:val="00C141FC"/>
    <w:rsid w:val="00C14579"/>
    <w:rsid w:val="00C14D75"/>
    <w:rsid w:val="00C15148"/>
    <w:rsid w:val="00C15823"/>
    <w:rsid w:val="00C15EE1"/>
    <w:rsid w:val="00C1626E"/>
    <w:rsid w:val="00C165FE"/>
    <w:rsid w:val="00C1684C"/>
    <w:rsid w:val="00C16ADD"/>
    <w:rsid w:val="00C16C1F"/>
    <w:rsid w:val="00C16D8F"/>
    <w:rsid w:val="00C16DE7"/>
    <w:rsid w:val="00C16F0C"/>
    <w:rsid w:val="00C16F17"/>
    <w:rsid w:val="00C17223"/>
    <w:rsid w:val="00C172AA"/>
    <w:rsid w:val="00C17C37"/>
    <w:rsid w:val="00C20218"/>
    <w:rsid w:val="00C202C5"/>
    <w:rsid w:val="00C20607"/>
    <w:rsid w:val="00C2086B"/>
    <w:rsid w:val="00C2197C"/>
    <w:rsid w:val="00C21E6C"/>
    <w:rsid w:val="00C21F75"/>
    <w:rsid w:val="00C22127"/>
    <w:rsid w:val="00C22393"/>
    <w:rsid w:val="00C223F6"/>
    <w:rsid w:val="00C22769"/>
    <w:rsid w:val="00C22A69"/>
    <w:rsid w:val="00C22C8B"/>
    <w:rsid w:val="00C2319D"/>
    <w:rsid w:val="00C2397D"/>
    <w:rsid w:val="00C23CAA"/>
    <w:rsid w:val="00C23EE5"/>
    <w:rsid w:val="00C24242"/>
    <w:rsid w:val="00C246D6"/>
    <w:rsid w:val="00C24714"/>
    <w:rsid w:val="00C24801"/>
    <w:rsid w:val="00C2482F"/>
    <w:rsid w:val="00C24998"/>
    <w:rsid w:val="00C2528A"/>
    <w:rsid w:val="00C252AC"/>
    <w:rsid w:val="00C25716"/>
    <w:rsid w:val="00C257AC"/>
    <w:rsid w:val="00C257BE"/>
    <w:rsid w:val="00C25EF9"/>
    <w:rsid w:val="00C260FE"/>
    <w:rsid w:val="00C26860"/>
    <w:rsid w:val="00C268A1"/>
    <w:rsid w:val="00C26A76"/>
    <w:rsid w:val="00C27354"/>
    <w:rsid w:val="00C27372"/>
    <w:rsid w:val="00C27426"/>
    <w:rsid w:val="00C2768B"/>
    <w:rsid w:val="00C27CC7"/>
    <w:rsid w:val="00C27F99"/>
    <w:rsid w:val="00C302CE"/>
    <w:rsid w:val="00C304E3"/>
    <w:rsid w:val="00C30503"/>
    <w:rsid w:val="00C30FDA"/>
    <w:rsid w:val="00C31101"/>
    <w:rsid w:val="00C3145B"/>
    <w:rsid w:val="00C3200F"/>
    <w:rsid w:val="00C328AD"/>
    <w:rsid w:val="00C32A2D"/>
    <w:rsid w:val="00C32A3C"/>
    <w:rsid w:val="00C33085"/>
    <w:rsid w:val="00C33190"/>
    <w:rsid w:val="00C33303"/>
    <w:rsid w:val="00C33891"/>
    <w:rsid w:val="00C33AA4"/>
    <w:rsid w:val="00C33C51"/>
    <w:rsid w:val="00C33C99"/>
    <w:rsid w:val="00C33EF3"/>
    <w:rsid w:val="00C34065"/>
    <w:rsid w:val="00C3487C"/>
    <w:rsid w:val="00C348B7"/>
    <w:rsid w:val="00C35218"/>
    <w:rsid w:val="00C354CB"/>
    <w:rsid w:val="00C354E1"/>
    <w:rsid w:val="00C35715"/>
    <w:rsid w:val="00C35840"/>
    <w:rsid w:val="00C35E08"/>
    <w:rsid w:val="00C362A4"/>
    <w:rsid w:val="00C36480"/>
    <w:rsid w:val="00C3673D"/>
    <w:rsid w:val="00C36C9B"/>
    <w:rsid w:val="00C36E32"/>
    <w:rsid w:val="00C36FDD"/>
    <w:rsid w:val="00C371BE"/>
    <w:rsid w:val="00C375D8"/>
    <w:rsid w:val="00C37DDA"/>
    <w:rsid w:val="00C400CF"/>
    <w:rsid w:val="00C4043D"/>
    <w:rsid w:val="00C409C6"/>
    <w:rsid w:val="00C40A8E"/>
    <w:rsid w:val="00C40AB3"/>
    <w:rsid w:val="00C40DAE"/>
    <w:rsid w:val="00C413C0"/>
    <w:rsid w:val="00C41571"/>
    <w:rsid w:val="00C417FC"/>
    <w:rsid w:val="00C41A57"/>
    <w:rsid w:val="00C41BD2"/>
    <w:rsid w:val="00C4252E"/>
    <w:rsid w:val="00C425D1"/>
    <w:rsid w:val="00C429AD"/>
    <w:rsid w:val="00C42DF5"/>
    <w:rsid w:val="00C42F45"/>
    <w:rsid w:val="00C43536"/>
    <w:rsid w:val="00C43771"/>
    <w:rsid w:val="00C43A9B"/>
    <w:rsid w:val="00C43C3C"/>
    <w:rsid w:val="00C44022"/>
    <w:rsid w:val="00C442A6"/>
    <w:rsid w:val="00C44769"/>
    <w:rsid w:val="00C44A0D"/>
    <w:rsid w:val="00C44E8A"/>
    <w:rsid w:val="00C44F9A"/>
    <w:rsid w:val="00C45170"/>
    <w:rsid w:val="00C45594"/>
    <w:rsid w:val="00C45F1B"/>
    <w:rsid w:val="00C45F4E"/>
    <w:rsid w:val="00C4641A"/>
    <w:rsid w:val="00C46A33"/>
    <w:rsid w:val="00C47104"/>
    <w:rsid w:val="00C47276"/>
    <w:rsid w:val="00C476C1"/>
    <w:rsid w:val="00C47E30"/>
    <w:rsid w:val="00C47FF9"/>
    <w:rsid w:val="00C50280"/>
    <w:rsid w:val="00C50583"/>
    <w:rsid w:val="00C50AE7"/>
    <w:rsid w:val="00C50B09"/>
    <w:rsid w:val="00C50BCB"/>
    <w:rsid w:val="00C50DD5"/>
    <w:rsid w:val="00C5111E"/>
    <w:rsid w:val="00C511E1"/>
    <w:rsid w:val="00C51202"/>
    <w:rsid w:val="00C51832"/>
    <w:rsid w:val="00C521F8"/>
    <w:rsid w:val="00C525BC"/>
    <w:rsid w:val="00C52698"/>
    <w:rsid w:val="00C5284A"/>
    <w:rsid w:val="00C52B3C"/>
    <w:rsid w:val="00C52F89"/>
    <w:rsid w:val="00C53310"/>
    <w:rsid w:val="00C536D7"/>
    <w:rsid w:val="00C53849"/>
    <w:rsid w:val="00C5394B"/>
    <w:rsid w:val="00C53A59"/>
    <w:rsid w:val="00C53D87"/>
    <w:rsid w:val="00C53EE0"/>
    <w:rsid w:val="00C542E7"/>
    <w:rsid w:val="00C54D15"/>
    <w:rsid w:val="00C54D61"/>
    <w:rsid w:val="00C54F7B"/>
    <w:rsid w:val="00C55007"/>
    <w:rsid w:val="00C550BA"/>
    <w:rsid w:val="00C5566C"/>
    <w:rsid w:val="00C55844"/>
    <w:rsid w:val="00C55D36"/>
    <w:rsid w:val="00C55DAB"/>
    <w:rsid w:val="00C56560"/>
    <w:rsid w:val="00C56577"/>
    <w:rsid w:val="00C5661A"/>
    <w:rsid w:val="00C56733"/>
    <w:rsid w:val="00C56ACB"/>
    <w:rsid w:val="00C56B94"/>
    <w:rsid w:val="00C56DC3"/>
    <w:rsid w:val="00C57174"/>
    <w:rsid w:val="00C5740B"/>
    <w:rsid w:val="00C57582"/>
    <w:rsid w:val="00C57742"/>
    <w:rsid w:val="00C57797"/>
    <w:rsid w:val="00C578BA"/>
    <w:rsid w:val="00C57F25"/>
    <w:rsid w:val="00C57F87"/>
    <w:rsid w:val="00C603B6"/>
    <w:rsid w:val="00C60911"/>
    <w:rsid w:val="00C60BB4"/>
    <w:rsid w:val="00C60C91"/>
    <w:rsid w:val="00C61104"/>
    <w:rsid w:val="00C61853"/>
    <w:rsid w:val="00C61868"/>
    <w:rsid w:val="00C62183"/>
    <w:rsid w:val="00C621C1"/>
    <w:rsid w:val="00C621F9"/>
    <w:rsid w:val="00C6259D"/>
    <w:rsid w:val="00C62DD4"/>
    <w:rsid w:val="00C62ECB"/>
    <w:rsid w:val="00C62F73"/>
    <w:rsid w:val="00C631D5"/>
    <w:rsid w:val="00C6346B"/>
    <w:rsid w:val="00C634E2"/>
    <w:rsid w:val="00C63588"/>
    <w:rsid w:val="00C6372C"/>
    <w:rsid w:val="00C6374A"/>
    <w:rsid w:val="00C63BC9"/>
    <w:rsid w:val="00C63C0E"/>
    <w:rsid w:val="00C63F10"/>
    <w:rsid w:val="00C6405A"/>
    <w:rsid w:val="00C64223"/>
    <w:rsid w:val="00C64AB3"/>
    <w:rsid w:val="00C64D2D"/>
    <w:rsid w:val="00C64DD9"/>
    <w:rsid w:val="00C64E8B"/>
    <w:rsid w:val="00C6520B"/>
    <w:rsid w:val="00C65B49"/>
    <w:rsid w:val="00C65C1B"/>
    <w:rsid w:val="00C65C3E"/>
    <w:rsid w:val="00C65DA8"/>
    <w:rsid w:val="00C6610D"/>
    <w:rsid w:val="00C667BA"/>
    <w:rsid w:val="00C669D0"/>
    <w:rsid w:val="00C67086"/>
    <w:rsid w:val="00C6712A"/>
    <w:rsid w:val="00C671EF"/>
    <w:rsid w:val="00C678E3"/>
    <w:rsid w:val="00C679D2"/>
    <w:rsid w:val="00C67ADF"/>
    <w:rsid w:val="00C700A3"/>
    <w:rsid w:val="00C70218"/>
    <w:rsid w:val="00C70524"/>
    <w:rsid w:val="00C7062D"/>
    <w:rsid w:val="00C70658"/>
    <w:rsid w:val="00C70871"/>
    <w:rsid w:val="00C70B91"/>
    <w:rsid w:val="00C70DAB"/>
    <w:rsid w:val="00C70FEB"/>
    <w:rsid w:val="00C710D6"/>
    <w:rsid w:val="00C71170"/>
    <w:rsid w:val="00C71287"/>
    <w:rsid w:val="00C7163D"/>
    <w:rsid w:val="00C71D4C"/>
    <w:rsid w:val="00C71D92"/>
    <w:rsid w:val="00C71DCC"/>
    <w:rsid w:val="00C7293C"/>
    <w:rsid w:val="00C73325"/>
    <w:rsid w:val="00C737E8"/>
    <w:rsid w:val="00C73BE3"/>
    <w:rsid w:val="00C73D7D"/>
    <w:rsid w:val="00C74156"/>
    <w:rsid w:val="00C74290"/>
    <w:rsid w:val="00C74AF1"/>
    <w:rsid w:val="00C74E8E"/>
    <w:rsid w:val="00C752C5"/>
    <w:rsid w:val="00C756BF"/>
    <w:rsid w:val="00C758EB"/>
    <w:rsid w:val="00C7598F"/>
    <w:rsid w:val="00C75A8E"/>
    <w:rsid w:val="00C75CF2"/>
    <w:rsid w:val="00C75DD5"/>
    <w:rsid w:val="00C75F22"/>
    <w:rsid w:val="00C75FC1"/>
    <w:rsid w:val="00C7672C"/>
    <w:rsid w:val="00C76B26"/>
    <w:rsid w:val="00C76B76"/>
    <w:rsid w:val="00C76C06"/>
    <w:rsid w:val="00C7795F"/>
    <w:rsid w:val="00C77ABE"/>
    <w:rsid w:val="00C77E1D"/>
    <w:rsid w:val="00C77F0B"/>
    <w:rsid w:val="00C77FF4"/>
    <w:rsid w:val="00C8012C"/>
    <w:rsid w:val="00C80431"/>
    <w:rsid w:val="00C805BE"/>
    <w:rsid w:val="00C8082A"/>
    <w:rsid w:val="00C80DC3"/>
    <w:rsid w:val="00C81A37"/>
    <w:rsid w:val="00C81C16"/>
    <w:rsid w:val="00C81F62"/>
    <w:rsid w:val="00C821A4"/>
    <w:rsid w:val="00C822FD"/>
    <w:rsid w:val="00C826C3"/>
    <w:rsid w:val="00C8283A"/>
    <w:rsid w:val="00C82CF0"/>
    <w:rsid w:val="00C82D32"/>
    <w:rsid w:val="00C83486"/>
    <w:rsid w:val="00C834C4"/>
    <w:rsid w:val="00C83862"/>
    <w:rsid w:val="00C83A8E"/>
    <w:rsid w:val="00C83AFD"/>
    <w:rsid w:val="00C83E27"/>
    <w:rsid w:val="00C847C9"/>
    <w:rsid w:val="00C84C8B"/>
    <w:rsid w:val="00C854EC"/>
    <w:rsid w:val="00C85510"/>
    <w:rsid w:val="00C86106"/>
    <w:rsid w:val="00C86CAC"/>
    <w:rsid w:val="00C870AE"/>
    <w:rsid w:val="00C870B4"/>
    <w:rsid w:val="00C871F6"/>
    <w:rsid w:val="00C87ED9"/>
    <w:rsid w:val="00C87F3C"/>
    <w:rsid w:val="00C90E47"/>
    <w:rsid w:val="00C90F6A"/>
    <w:rsid w:val="00C91211"/>
    <w:rsid w:val="00C91855"/>
    <w:rsid w:val="00C91B6D"/>
    <w:rsid w:val="00C92257"/>
    <w:rsid w:val="00C92447"/>
    <w:rsid w:val="00C92774"/>
    <w:rsid w:val="00C929AA"/>
    <w:rsid w:val="00C930A8"/>
    <w:rsid w:val="00C93117"/>
    <w:rsid w:val="00C93125"/>
    <w:rsid w:val="00C93386"/>
    <w:rsid w:val="00C935D9"/>
    <w:rsid w:val="00C93ED2"/>
    <w:rsid w:val="00C94044"/>
    <w:rsid w:val="00C940D6"/>
    <w:rsid w:val="00C94378"/>
    <w:rsid w:val="00C94525"/>
    <w:rsid w:val="00C948B4"/>
    <w:rsid w:val="00C94D73"/>
    <w:rsid w:val="00C95909"/>
    <w:rsid w:val="00C95A22"/>
    <w:rsid w:val="00C95F5F"/>
    <w:rsid w:val="00C9636D"/>
    <w:rsid w:val="00C963CC"/>
    <w:rsid w:val="00C96686"/>
    <w:rsid w:val="00C96699"/>
    <w:rsid w:val="00C96B43"/>
    <w:rsid w:val="00C96F38"/>
    <w:rsid w:val="00C97626"/>
    <w:rsid w:val="00CA00D7"/>
    <w:rsid w:val="00CA04E6"/>
    <w:rsid w:val="00CA0642"/>
    <w:rsid w:val="00CA068B"/>
    <w:rsid w:val="00CA07F2"/>
    <w:rsid w:val="00CA0A15"/>
    <w:rsid w:val="00CA0FE2"/>
    <w:rsid w:val="00CA1065"/>
    <w:rsid w:val="00CA1CD4"/>
    <w:rsid w:val="00CA2A66"/>
    <w:rsid w:val="00CA2DFB"/>
    <w:rsid w:val="00CA316E"/>
    <w:rsid w:val="00CA3418"/>
    <w:rsid w:val="00CA3547"/>
    <w:rsid w:val="00CA3922"/>
    <w:rsid w:val="00CA3A25"/>
    <w:rsid w:val="00CA3B16"/>
    <w:rsid w:val="00CA3B7B"/>
    <w:rsid w:val="00CA3BBB"/>
    <w:rsid w:val="00CA3E2E"/>
    <w:rsid w:val="00CA3E31"/>
    <w:rsid w:val="00CA40B9"/>
    <w:rsid w:val="00CA443E"/>
    <w:rsid w:val="00CA46C7"/>
    <w:rsid w:val="00CA46F4"/>
    <w:rsid w:val="00CA49C3"/>
    <w:rsid w:val="00CA4BA4"/>
    <w:rsid w:val="00CA531F"/>
    <w:rsid w:val="00CA5540"/>
    <w:rsid w:val="00CA59D2"/>
    <w:rsid w:val="00CA59D6"/>
    <w:rsid w:val="00CA5D70"/>
    <w:rsid w:val="00CA6A6A"/>
    <w:rsid w:val="00CA6B1D"/>
    <w:rsid w:val="00CA7044"/>
    <w:rsid w:val="00CA72FA"/>
    <w:rsid w:val="00CA7AA2"/>
    <w:rsid w:val="00CA7AD0"/>
    <w:rsid w:val="00CA7D08"/>
    <w:rsid w:val="00CA7D37"/>
    <w:rsid w:val="00CB0573"/>
    <w:rsid w:val="00CB0B96"/>
    <w:rsid w:val="00CB0CF0"/>
    <w:rsid w:val="00CB0DC2"/>
    <w:rsid w:val="00CB12A7"/>
    <w:rsid w:val="00CB1381"/>
    <w:rsid w:val="00CB1578"/>
    <w:rsid w:val="00CB162A"/>
    <w:rsid w:val="00CB16C3"/>
    <w:rsid w:val="00CB1EAD"/>
    <w:rsid w:val="00CB214F"/>
    <w:rsid w:val="00CB250F"/>
    <w:rsid w:val="00CB2532"/>
    <w:rsid w:val="00CB2B8A"/>
    <w:rsid w:val="00CB333A"/>
    <w:rsid w:val="00CB354A"/>
    <w:rsid w:val="00CB4411"/>
    <w:rsid w:val="00CB4438"/>
    <w:rsid w:val="00CB469F"/>
    <w:rsid w:val="00CB4808"/>
    <w:rsid w:val="00CB496D"/>
    <w:rsid w:val="00CB4AED"/>
    <w:rsid w:val="00CB5BAF"/>
    <w:rsid w:val="00CB5C80"/>
    <w:rsid w:val="00CB5DB5"/>
    <w:rsid w:val="00CB6361"/>
    <w:rsid w:val="00CB64C4"/>
    <w:rsid w:val="00CB66CD"/>
    <w:rsid w:val="00CB694F"/>
    <w:rsid w:val="00CB6B79"/>
    <w:rsid w:val="00CB6FC9"/>
    <w:rsid w:val="00CB726E"/>
    <w:rsid w:val="00CB78C2"/>
    <w:rsid w:val="00CB7E6D"/>
    <w:rsid w:val="00CC0231"/>
    <w:rsid w:val="00CC02AD"/>
    <w:rsid w:val="00CC04FA"/>
    <w:rsid w:val="00CC09C0"/>
    <w:rsid w:val="00CC0B69"/>
    <w:rsid w:val="00CC0F39"/>
    <w:rsid w:val="00CC113D"/>
    <w:rsid w:val="00CC15DD"/>
    <w:rsid w:val="00CC15F3"/>
    <w:rsid w:val="00CC1BF4"/>
    <w:rsid w:val="00CC20A4"/>
    <w:rsid w:val="00CC219E"/>
    <w:rsid w:val="00CC25C7"/>
    <w:rsid w:val="00CC2C74"/>
    <w:rsid w:val="00CC312A"/>
    <w:rsid w:val="00CC40CD"/>
    <w:rsid w:val="00CC419B"/>
    <w:rsid w:val="00CC41D1"/>
    <w:rsid w:val="00CC46B1"/>
    <w:rsid w:val="00CC4890"/>
    <w:rsid w:val="00CC4D14"/>
    <w:rsid w:val="00CC4D91"/>
    <w:rsid w:val="00CC4DD7"/>
    <w:rsid w:val="00CC5306"/>
    <w:rsid w:val="00CC53DE"/>
    <w:rsid w:val="00CC5507"/>
    <w:rsid w:val="00CC56CD"/>
    <w:rsid w:val="00CC57D8"/>
    <w:rsid w:val="00CC5E50"/>
    <w:rsid w:val="00CC69A2"/>
    <w:rsid w:val="00CD071E"/>
    <w:rsid w:val="00CD0AD0"/>
    <w:rsid w:val="00CD0E11"/>
    <w:rsid w:val="00CD0F2A"/>
    <w:rsid w:val="00CD10F4"/>
    <w:rsid w:val="00CD13F8"/>
    <w:rsid w:val="00CD1509"/>
    <w:rsid w:val="00CD1750"/>
    <w:rsid w:val="00CD19F9"/>
    <w:rsid w:val="00CD1C51"/>
    <w:rsid w:val="00CD1C57"/>
    <w:rsid w:val="00CD23AC"/>
    <w:rsid w:val="00CD2A96"/>
    <w:rsid w:val="00CD2AF2"/>
    <w:rsid w:val="00CD2DE5"/>
    <w:rsid w:val="00CD2E22"/>
    <w:rsid w:val="00CD32A3"/>
    <w:rsid w:val="00CD3859"/>
    <w:rsid w:val="00CD3CF3"/>
    <w:rsid w:val="00CD3D6B"/>
    <w:rsid w:val="00CD3D7B"/>
    <w:rsid w:val="00CD4382"/>
    <w:rsid w:val="00CD4555"/>
    <w:rsid w:val="00CD4561"/>
    <w:rsid w:val="00CD4669"/>
    <w:rsid w:val="00CD4724"/>
    <w:rsid w:val="00CD49DF"/>
    <w:rsid w:val="00CD4A9C"/>
    <w:rsid w:val="00CD4ACC"/>
    <w:rsid w:val="00CD4C63"/>
    <w:rsid w:val="00CD4CF5"/>
    <w:rsid w:val="00CD5355"/>
    <w:rsid w:val="00CD5388"/>
    <w:rsid w:val="00CD54B5"/>
    <w:rsid w:val="00CD562D"/>
    <w:rsid w:val="00CD5AD9"/>
    <w:rsid w:val="00CD5AF3"/>
    <w:rsid w:val="00CD5B3F"/>
    <w:rsid w:val="00CD5EF8"/>
    <w:rsid w:val="00CD5FCC"/>
    <w:rsid w:val="00CD5FDF"/>
    <w:rsid w:val="00CD6046"/>
    <w:rsid w:val="00CD657A"/>
    <w:rsid w:val="00CD69C2"/>
    <w:rsid w:val="00CD7374"/>
    <w:rsid w:val="00CD7568"/>
    <w:rsid w:val="00CD7A91"/>
    <w:rsid w:val="00CD7B37"/>
    <w:rsid w:val="00CD7C7B"/>
    <w:rsid w:val="00CD7E0A"/>
    <w:rsid w:val="00CE03FE"/>
    <w:rsid w:val="00CE081B"/>
    <w:rsid w:val="00CE0E41"/>
    <w:rsid w:val="00CE1283"/>
    <w:rsid w:val="00CE1650"/>
    <w:rsid w:val="00CE18BC"/>
    <w:rsid w:val="00CE1D8F"/>
    <w:rsid w:val="00CE22D5"/>
    <w:rsid w:val="00CE23FF"/>
    <w:rsid w:val="00CE27E0"/>
    <w:rsid w:val="00CE2BC2"/>
    <w:rsid w:val="00CE3113"/>
    <w:rsid w:val="00CE33B3"/>
    <w:rsid w:val="00CE3EA7"/>
    <w:rsid w:val="00CE45AF"/>
    <w:rsid w:val="00CE474C"/>
    <w:rsid w:val="00CE4B8B"/>
    <w:rsid w:val="00CE4BB4"/>
    <w:rsid w:val="00CE4CBF"/>
    <w:rsid w:val="00CE534D"/>
    <w:rsid w:val="00CE5A21"/>
    <w:rsid w:val="00CE5B8D"/>
    <w:rsid w:val="00CE615B"/>
    <w:rsid w:val="00CE678C"/>
    <w:rsid w:val="00CE67C5"/>
    <w:rsid w:val="00CE67F3"/>
    <w:rsid w:val="00CE6D85"/>
    <w:rsid w:val="00CE7189"/>
    <w:rsid w:val="00CE721E"/>
    <w:rsid w:val="00CE72D2"/>
    <w:rsid w:val="00CE76A2"/>
    <w:rsid w:val="00CE7873"/>
    <w:rsid w:val="00CE7B5B"/>
    <w:rsid w:val="00CE7B73"/>
    <w:rsid w:val="00CE7CEF"/>
    <w:rsid w:val="00CF02C0"/>
    <w:rsid w:val="00CF04E4"/>
    <w:rsid w:val="00CF06AF"/>
    <w:rsid w:val="00CF0797"/>
    <w:rsid w:val="00CF0AF1"/>
    <w:rsid w:val="00CF0D29"/>
    <w:rsid w:val="00CF0E27"/>
    <w:rsid w:val="00CF0F6B"/>
    <w:rsid w:val="00CF2298"/>
    <w:rsid w:val="00CF2690"/>
    <w:rsid w:val="00CF2CF4"/>
    <w:rsid w:val="00CF2E17"/>
    <w:rsid w:val="00CF30D8"/>
    <w:rsid w:val="00CF31EB"/>
    <w:rsid w:val="00CF3344"/>
    <w:rsid w:val="00CF356C"/>
    <w:rsid w:val="00CF35AA"/>
    <w:rsid w:val="00CF38C4"/>
    <w:rsid w:val="00CF3967"/>
    <w:rsid w:val="00CF3DD9"/>
    <w:rsid w:val="00CF414D"/>
    <w:rsid w:val="00CF41DA"/>
    <w:rsid w:val="00CF41E4"/>
    <w:rsid w:val="00CF43EE"/>
    <w:rsid w:val="00CF468D"/>
    <w:rsid w:val="00CF4766"/>
    <w:rsid w:val="00CF4CCB"/>
    <w:rsid w:val="00CF4F2D"/>
    <w:rsid w:val="00CF525B"/>
    <w:rsid w:val="00CF530D"/>
    <w:rsid w:val="00CF57ED"/>
    <w:rsid w:val="00CF59C9"/>
    <w:rsid w:val="00CF61A6"/>
    <w:rsid w:val="00CF6325"/>
    <w:rsid w:val="00CF65F4"/>
    <w:rsid w:val="00CF69D2"/>
    <w:rsid w:val="00CF6D28"/>
    <w:rsid w:val="00CF6F28"/>
    <w:rsid w:val="00CF75D3"/>
    <w:rsid w:val="00CF7B8E"/>
    <w:rsid w:val="00CF7C82"/>
    <w:rsid w:val="00CF7EA7"/>
    <w:rsid w:val="00CF7F22"/>
    <w:rsid w:val="00CF7FFC"/>
    <w:rsid w:val="00D00524"/>
    <w:rsid w:val="00D0054B"/>
    <w:rsid w:val="00D00E53"/>
    <w:rsid w:val="00D00FE3"/>
    <w:rsid w:val="00D016A8"/>
    <w:rsid w:val="00D01723"/>
    <w:rsid w:val="00D01763"/>
    <w:rsid w:val="00D02003"/>
    <w:rsid w:val="00D02141"/>
    <w:rsid w:val="00D024A9"/>
    <w:rsid w:val="00D02F69"/>
    <w:rsid w:val="00D02F95"/>
    <w:rsid w:val="00D0313B"/>
    <w:rsid w:val="00D034AB"/>
    <w:rsid w:val="00D03935"/>
    <w:rsid w:val="00D03B4A"/>
    <w:rsid w:val="00D03EEF"/>
    <w:rsid w:val="00D03F50"/>
    <w:rsid w:val="00D0418E"/>
    <w:rsid w:val="00D047B8"/>
    <w:rsid w:val="00D048A1"/>
    <w:rsid w:val="00D049A6"/>
    <w:rsid w:val="00D04CC3"/>
    <w:rsid w:val="00D04DBE"/>
    <w:rsid w:val="00D04FEE"/>
    <w:rsid w:val="00D0518C"/>
    <w:rsid w:val="00D05282"/>
    <w:rsid w:val="00D055A6"/>
    <w:rsid w:val="00D055F8"/>
    <w:rsid w:val="00D05728"/>
    <w:rsid w:val="00D05D64"/>
    <w:rsid w:val="00D05D6A"/>
    <w:rsid w:val="00D06145"/>
    <w:rsid w:val="00D061E9"/>
    <w:rsid w:val="00D0624D"/>
    <w:rsid w:val="00D06834"/>
    <w:rsid w:val="00D06ADC"/>
    <w:rsid w:val="00D06FDD"/>
    <w:rsid w:val="00D076AF"/>
    <w:rsid w:val="00D076F2"/>
    <w:rsid w:val="00D07AD9"/>
    <w:rsid w:val="00D07E5F"/>
    <w:rsid w:val="00D07EDB"/>
    <w:rsid w:val="00D10937"/>
    <w:rsid w:val="00D10B3F"/>
    <w:rsid w:val="00D10C67"/>
    <w:rsid w:val="00D1122E"/>
    <w:rsid w:val="00D11275"/>
    <w:rsid w:val="00D117E6"/>
    <w:rsid w:val="00D1204C"/>
    <w:rsid w:val="00D1234F"/>
    <w:rsid w:val="00D1258C"/>
    <w:rsid w:val="00D12608"/>
    <w:rsid w:val="00D128E9"/>
    <w:rsid w:val="00D13256"/>
    <w:rsid w:val="00D135C4"/>
    <w:rsid w:val="00D13D54"/>
    <w:rsid w:val="00D141E3"/>
    <w:rsid w:val="00D14367"/>
    <w:rsid w:val="00D143D7"/>
    <w:rsid w:val="00D146DE"/>
    <w:rsid w:val="00D14701"/>
    <w:rsid w:val="00D14A80"/>
    <w:rsid w:val="00D14AA6"/>
    <w:rsid w:val="00D14C28"/>
    <w:rsid w:val="00D14CCC"/>
    <w:rsid w:val="00D14E70"/>
    <w:rsid w:val="00D154FB"/>
    <w:rsid w:val="00D15883"/>
    <w:rsid w:val="00D15963"/>
    <w:rsid w:val="00D15E1B"/>
    <w:rsid w:val="00D163CB"/>
    <w:rsid w:val="00D1655E"/>
    <w:rsid w:val="00D16A85"/>
    <w:rsid w:val="00D16E48"/>
    <w:rsid w:val="00D17AEE"/>
    <w:rsid w:val="00D17E0D"/>
    <w:rsid w:val="00D202D7"/>
    <w:rsid w:val="00D20559"/>
    <w:rsid w:val="00D20792"/>
    <w:rsid w:val="00D20C5B"/>
    <w:rsid w:val="00D20CD0"/>
    <w:rsid w:val="00D20D42"/>
    <w:rsid w:val="00D21322"/>
    <w:rsid w:val="00D218F9"/>
    <w:rsid w:val="00D220CC"/>
    <w:rsid w:val="00D22111"/>
    <w:rsid w:val="00D22490"/>
    <w:rsid w:val="00D2265B"/>
    <w:rsid w:val="00D2275B"/>
    <w:rsid w:val="00D22DDE"/>
    <w:rsid w:val="00D230D0"/>
    <w:rsid w:val="00D2337E"/>
    <w:rsid w:val="00D235CD"/>
    <w:rsid w:val="00D23839"/>
    <w:rsid w:val="00D23BA2"/>
    <w:rsid w:val="00D24509"/>
    <w:rsid w:val="00D24644"/>
    <w:rsid w:val="00D24893"/>
    <w:rsid w:val="00D248AC"/>
    <w:rsid w:val="00D2494E"/>
    <w:rsid w:val="00D25700"/>
    <w:rsid w:val="00D2572F"/>
    <w:rsid w:val="00D25CA0"/>
    <w:rsid w:val="00D25D82"/>
    <w:rsid w:val="00D26344"/>
    <w:rsid w:val="00D26494"/>
    <w:rsid w:val="00D271B0"/>
    <w:rsid w:val="00D27651"/>
    <w:rsid w:val="00D27A3E"/>
    <w:rsid w:val="00D27B75"/>
    <w:rsid w:val="00D27CCC"/>
    <w:rsid w:val="00D30143"/>
    <w:rsid w:val="00D303FE"/>
    <w:rsid w:val="00D304EB"/>
    <w:rsid w:val="00D30834"/>
    <w:rsid w:val="00D309E2"/>
    <w:rsid w:val="00D30FC6"/>
    <w:rsid w:val="00D30FCC"/>
    <w:rsid w:val="00D31297"/>
    <w:rsid w:val="00D31375"/>
    <w:rsid w:val="00D31529"/>
    <w:rsid w:val="00D31763"/>
    <w:rsid w:val="00D31F5C"/>
    <w:rsid w:val="00D32418"/>
    <w:rsid w:val="00D3267F"/>
    <w:rsid w:val="00D3280F"/>
    <w:rsid w:val="00D32DEA"/>
    <w:rsid w:val="00D337F2"/>
    <w:rsid w:val="00D338CC"/>
    <w:rsid w:val="00D34587"/>
    <w:rsid w:val="00D34E15"/>
    <w:rsid w:val="00D350E3"/>
    <w:rsid w:val="00D351D1"/>
    <w:rsid w:val="00D35778"/>
    <w:rsid w:val="00D35887"/>
    <w:rsid w:val="00D35C66"/>
    <w:rsid w:val="00D36907"/>
    <w:rsid w:val="00D36A65"/>
    <w:rsid w:val="00D36A72"/>
    <w:rsid w:val="00D37102"/>
    <w:rsid w:val="00D37333"/>
    <w:rsid w:val="00D406E1"/>
    <w:rsid w:val="00D40A4C"/>
    <w:rsid w:val="00D4128A"/>
    <w:rsid w:val="00D41CFA"/>
    <w:rsid w:val="00D423EC"/>
    <w:rsid w:val="00D42790"/>
    <w:rsid w:val="00D4281A"/>
    <w:rsid w:val="00D43837"/>
    <w:rsid w:val="00D43974"/>
    <w:rsid w:val="00D43C50"/>
    <w:rsid w:val="00D43C63"/>
    <w:rsid w:val="00D43CCC"/>
    <w:rsid w:val="00D43E66"/>
    <w:rsid w:val="00D43F63"/>
    <w:rsid w:val="00D44411"/>
    <w:rsid w:val="00D4493C"/>
    <w:rsid w:val="00D449DE"/>
    <w:rsid w:val="00D44BC2"/>
    <w:rsid w:val="00D44C46"/>
    <w:rsid w:val="00D45044"/>
    <w:rsid w:val="00D45CD2"/>
    <w:rsid w:val="00D45FA2"/>
    <w:rsid w:val="00D46309"/>
    <w:rsid w:val="00D46AEE"/>
    <w:rsid w:val="00D47352"/>
    <w:rsid w:val="00D47A58"/>
    <w:rsid w:val="00D47AE8"/>
    <w:rsid w:val="00D47BC7"/>
    <w:rsid w:val="00D50AB4"/>
    <w:rsid w:val="00D5112A"/>
    <w:rsid w:val="00D51201"/>
    <w:rsid w:val="00D5198D"/>
    <w:rsid w:val="00D51ACD"/>
    <w:rsid w:val="00D51B35"/>
    <w:rsid w:val="00D51B87"/>
    <w:rsid w:val="00D51BB0"/>
    <w:rsid w:val="00D51CDD"/>
    <w:rsid w:val="00D51CE9"/>
    <w:rsid w:val="00D51DD3"/>
    <w:rsid w:val="00D51FD9"/>
    <w:rsid w:val="00D52218"/>
    <w:rsid w:val="00D5274D"/>
    <w:rsid w:val="00D52783"/>
    <w:rsid w:val="00D527FE"/>
    <w:rsid w:val="00D52977"/>
    <w:rsid w:val="00D52CC1"/>
    <w:rsid w:val="00D52E84"/>
    <w:rsid w:val="00D531BC"/>
    <w:rsid w:val="00D53788"/>
    <w:rsid w:val="00D538C0"/>
    <w:rsid w:val="00D542A1"/>
    <w:rsid w:val="00D545B3"/>
    <w:rsid w:val="00D54BE0"/>
    <w:rsid w:val="00D54E39"/>
    <w:rsid w:val="00D557C7"/>
    <w:rsid w:val="00D55990"/>
    <w:rsid w:val="00D559DC"/>
    <w:rsid w:val="00D559F4"/>
    <w:rsid w:val="00D55D77"/>
    <w:rsid w:val="00D5678A"/>
    <w:rsid w:val="00D567A6"/>
    <w:rsid w:val="00D56CE4"/>
    <w:rsid w:val="00D56EEB"/>
    <w:rsid w:val="00D573FC"/>
    <w:rsid w:val="00D57427"/>
    <w:rsid w:val="00D578CA"/>
    <w:rsid w:val="00D57924"/>
    <w:rsid w:val="00D57953"/>
    <w:rsid w:val="00D601B1"/>
    <w:rsid w:val="00D602FB"/>
    <w:rsid w:val="00D609FF"/>
    <w:rsid w:val="00D60D92"/>
    <w:rsid w:val="00D60E23"/>
    <w:rsid w:val="00D6100A"/>
    <w:rsid w:val="00D6101B"/>
    <w:rsid w:val="00D6102A"/>
    <w:rsid w:val="00D614DD"/>
    <w:rsid w:val="00D615CE"/>
    <w:rsid w:val="00D617AA"/>
    <w:rsid w:val="00D61801"/>
    <w:rsid w:val="00D61808"/>
    <w:rsid w:val="00D61A9C"/>
    <w:rsid w:val="00D61C43"/>
    <w:rsid w:val="00D61F01"/>
    <w:rsid w:val="00D620B8"/>
    <w:rsid w:val="00D620FC"/>
    <w:rsid w:val="00D629D3"/>
    <w:rsid w:val="00D63052"/>
    <w:rsid w:val="00D6397F"/>
    <w:rsid w:val="00D63B4F"/>
    <w:rsid w:val="00D63BA7"/>
    <w:rsid w:val="00D63E1E"/>
    <w:rsid w:val="00D63E32"/>
    <w:rsid w:val="00D64281"/>
    <w:rsid w:val="00D64436"/>
    <w:rsid w:val="00D6455A"/>
    <w:rsid w:val="00D64E0A"/>
    <w:rsid w:val="00D64E20"/>
    <w:rsid w:val="00D64F11"/>
    <w:rsid w:val="00D65334"/>
    <w:rsid w:val="00D655C2"/>
    <w:rsid w:val="00D65909"/>
    <w:rsid w:val="00D65B3F"/>
    <w:rsid w:val="00D6640F"/>
    <w:rsid w:val="00D665A9"/>
    <w:rsid w:val="00D66B81"/>
    <w:rsid w:val="00D66C4D"/>
    <w:rsid w:val="00D66F92"/>
    <w:rsid w:val="00D670FB"/>
    <w:rsid w:val="00D674D9"/>
    <w:rsid w:val="00D6788B"/>
    <w:rsid w:val="00D6796B"/>
    <w:rsid w:val="00D67A99"/>
    <w:rsid w:val="00D702C6"/>
    <w:rsid w:val="00D703DA"/>
    <w:rsid w:val="00D71404"/>
    <w:rsid w:val="00D71CF4"/>
    <w:rsid w:val="00D71E3C"/>
    <w:rsid w:val="00D71EAA"/>
    <w:rsid w:val="00D71F8C"/>
    <w:rsid w:val="00D7233D"/>
    <w:rsid w:val="00D723EB"/>
    <w:rsid w:val="00D726F4"/>
    <w:rsid w:val="00D72909"/>
    <w:rsid w:val="00D729C6"/>
    <w:rsid w:val="00D734D9"/>
    <w:rsid w:val="00D73708"/>
    <w:rsid w:val="00D738A9"/>
    <w:rsid w:val="00D73A1A"/>
    <w:rsid w:val="00D74081"/>
    <w:rsid w:val="00D7417B"/>
    <w:rsid w:val="00D7429F"/>
    <w:rsid w:val="00D74459"/>
    <w:rsid w:val="00D74678"/>
    <w:rsid w:val="00D74882"/>
    <w:rsid w:val="00D748D7"/>
    <w:rsid w:val="00D749EB"/>
    <w:rsid w:val="00D74DC4"/>
    <w:rsid w:val="00D750AB"/>
    <w:rsid w:val="00D758C0"/>
    <w:rsid w:val="00D75DF8"/>
    <w:rsid w:val="00D76C50"/>
    <w:rsid w:val="00D76FF0"/>
    <w:rsid w:val="00D77986"/>
    <w:rsid w:val="00D77A67"/>
    <w:rsid w:val="00D77D1B"/>
    <w:rsid w:val="00D77F2F"/>
    <w:rsid w:val="00D77F31"/>
    <w:rsid w:val="00D801AE"/>
    <w:rsid w:val="00D8025B"/>
    <w:rsid w:val="00D80C86"/>
    <w:rsid w:val="00D80D3D"/>
    <w:rsid w:val="00D816CF"/>
    <w:rsid w:val="00D817B7"/>
    <w:rsid w:val="00D81AEB"/>
    <w:rsid w:val="00D81EAF"/>
    <w:rsid w:val="00D81F09"/>
    <w:rsid w:val="00D827C0"/>
    <w:rsid w:val="00D82F3E"/>
    <w:rsid w:val="00D83133"/>
    <w:rsid w:val="00D83541"/>
    <w:rsid w:val="00D835C8"/>
    <w:rsid w:val="00D8393A"/>
    <w:rsid w:val="00D83B4E"/>
    <w:rsid w:val="00D83FE3"/>
    <w:rsid w:val="00D84259"/>
    <w:rsid w:val="00D8452D"/>
    <w:rsid w:val="00D84630"/>
    <w:rsid w:val="00D8470D"/>
    <w:rsid w:val="00D84897"/>
    <w:rsid w:val="00D84992"/>
    <w:rsid w:val="00D849E1"/>
    <w:rsid w:val="00D84C2D"/>
    <w:rsid w:val="00D84C43"/>
    <w:rsid w:val="00D85A9D"/>
    <w:rsid w:val="00D860C7"/>
    <w:rsid w:val="00D865F9"/>
    <w:rsid w:val="00D866C8"/>
    <w:rsid w:val="00D86B93"/>
    <w:rsid w:val="00D87626"/>
    <w:rsid w:val="00D87686"/>
    <w:rsid w:val="00D87886"/>
    <w:rsid w:val="00D878BD"/>
    <w:rsid w:val="00D87EA8"/>
    <w:rsid w:val="00D87EBC"/>
    <w:rsid w:val="00D90129"/>
    <w:rsid w:val="00D90485"/>
    <w:rsid w:val="00D90984"/>
    <w:rsid w:val="00D9098A"/>
    <w:rsid w:val="00D91221"/>
    <w:rsid w:val="00D91240"/>
    <w:rsid w:val="00D9146C"/>
    <w:rsid w:val="00D91AC4"/>
    <w:rsid w:val="00D91B7D"/>
    <w:rsid w:val="00D91BB6"/>
    <w:rsid w:val="00D91F8B"/>
    <w:rsid w:val="00D9206F"/>
    <w:rsid w:val="00D92926"/>
    <w:rsid w:val="00D92D36"/>
    <w:rsid w:val="00D92EE7"/>
    <w:rsid w:val="00D932EC"/>
    <w:rsid w:val="00D93383"/>
    <w:rsid w:val="00D9343C"/>
    <w:rsid w:val="00D93545"/>
    <w:rsid w:val="00D935D2"/>
    <w:rsid w:val="00D93964"/>
    <w:rsid w:val="00D93BF2"/>
    <w:rsid w:val="00D93F39"/>
    <w:rsid w:val="00D94A6E"/>
    <w:rsid w:val="00D94B71"/>
    <w:rsid w:val="00D94C34"/>
    <w:rsid w:val="00D952D7"/>
    <w:rsid w:val="00D9530F"/>
    <w:rsid w:val="00D9536E"/>
    <w:rsid w:val="00D953C2"/>
    <w:rsid w:val="00D954EB"/>
    <w:rsid w:val="00D9575F"/>
    <w:rsid w:val="00D959C5"/>
    <w:rsid w:val="00D95A00"/>
    <w:rsid w:val="00D961B2"/>
    <w:rsid w:val="00D96365"/>
    <w:rsid w:val="00D96582"/>
    <w:rsid w:val="00D96716"/>
    <w:rsid w:val="00D96CA1"/>
    <w:rsid w:val="00D97275"/>
    <w:rsid w:val="00D972E8"/>
    <w:rsid w:val="00D973FB"/>
    <w:rsid w:val="00D97C6D"/>
    <w:rsid w:val="00DA0463"/>
    <w:rsid w:val="00DA053B"/>
    <w:rsid w:val="00DA086B"/>
    <w:rsid w:val="00DA088D"/>
    <w:rsid w:val="00DA09C4"/>
    <w:rsid w:val="00DA0A40"/>
    <w:rsid w:val="00DA0B01"/>
    <w:rsid w:val="00DA0BE1"/>
    <w:rsid w:val="00DA0E0D"/>
    <w:rsid w:val="00DA0EDE"/>
    <w:rsid w:val="00DA0F09"/>
    <w:rsid w:val="00DA1000"/>
    <w:rsid w:val="00DA1672"/>
    <w:rsid w:val="00DA18FC"/>
    <w:rsid w:val="00DA191A"/>
    <w:rsid w:val="00DA1AF8"/>
    <w:rsid w:val="00DA200D"/>
    <w:rsid w:val="00DA21B2"/>
    <w:rsid w:val="00DA240F"/>
    <w:rsid w:val="00DA26F0"/>
    <w:rsid w:val="00DA27FE"/>
    <w:rsid w:val="00DA2C3C"/>
    <w:rsid w:val="00DA2CCC"/>
    <w:rsid w:val="00DA2F7C"/>
    <w:rsid w:val="00DA3537"/>
    <w:rsid w:val="00DA357E"/>
    <w:rsid w:val="00DA38E9"/>
    <w:rsid w:val="00DA3E2C"/>
    <w:rsid w:val="00DA4071"/>
    <w:rsid w:val="00DA42AD"/>
    <w:rsid w:val="00DA4B6D"/>
    <w:rsid w:val="00DA50F8"/>
    <w:rsid w:val="00DA51F2"/>
    <w:rsid w:val="00DA54C8"/>
    <w:rsid w:val="00DA587D"/>
    <w:rsid w:val="00DA59AF"/>
    <w:rsid w:val="00DA5CAD"/>
    <w:rsid w:val="00DA5E17"/>
    <w:rsid w:val="00DA5EFF"/>
    <w:rsid w:val="00DA6122"/>
    <w:rsid w:val="00DA621D"/>
    <w:rsid w:val="00DA6437"/>
    <w:rsid w:val="00DA6E23"/>
    <w:rsid w:val="00DA70C4"/>
    <w:rsid w:val="00DA7928"/>
    <w:rsid w:val="00DA7D8C"/>
    <w:rsid w:val="00DA7FD6"/>
    <w:rsid w:val="00DB031F"/>
    <w:rsid w:val="00DB0375"/>
    <w:rsid w:val="00DB0470"/>
    <w:rsid w:val="00DB07D1"/>
    <w:rsid w:val="00DB0CE2"/>
    <w:rsid w:val="00DB1048"/>
    <w:rsid w:val="00DB1823"/>
    <w:rsid w:val="00DB1E8D"/>
    <w:rsid w:val="00DB21E3"/>
    <w:rsid w:val="00DB24C7"/>
    <w:rsid w:val="00DB27BB"/>
    <w:rsid w:val="00DB2BA9"/>
    <w:rsid w:val="00DB2D27"/>
    <w:rsid w:val="00DB2FB7"/>
    <w:rsid w:val="00DB3183"/>
    <w:rsid w:val="00DB31B5"/>
    <w:rsid w:val="00DB32AE"/>
    <w:rsid w:val="00DB34CE"/>
    <w:rsid w:val="00DB3571"/>
    <w:rsid w:val="00DB360A"/>
    <w:rsid w:val="00DB3A05"/>
    <w:rsid w:val="00DB3D15"/>
    <w:rsid w:val="00DB3E76"/>
    <w:rsid w:val="00DB3F75"/>
    <w:rsid w:val="00DB48DB"/>
    <w:rsid w:val="00DB4B48"/>
    <w:rsid w:val="00DB4BD4"/>
    <w:rsid w:val="00DB4E83"/>
    <w:rsid w:val="00DB50A4"/>
    <w:rsid w:val="00DB5853"/>
    <w:rsid w:val="00DB58AD"/>
    <w:rsid w:val="00DB60F6"/>
    <w:rsid w:val="00DB6263"/>
    <w:rsid w:val="00DB63B7"/>
    <w:rsid w:val="00DB6D0D"/>
    <w:rsid w:val="00DB705F"/>
    <w:rsid w:val="00DB72CB"/>
    <w:rsid w:val="00DB73E2"/>
    <w:rsid w:val="00DB7494"/>
    <w:rsid w:val="00DB77FA"/>
    <w:rsid w:val="00DB7B93"/>
    <w:rsid w:val="00DB7D00"/>
    <w:rsid w:val="00DC0544"/>
    <w:rsid w:val="00DC0C31"/>
    <w:rsid w:val="00DC0E50"/>
    <w:rsid w:val="00DC1489"/>
    <w:rsid w:val="00DC14CB"/>
    <w:rsid w:val="00DC1754"/>
    <w:rsid w:val="00DC1F66"/>
    <w:rsid w:val="00DC275A"/>
    <w:rsid w:val="00DC2B9B"/>
    <w:rsid w:val="00DC2CF8"/>
    <w:rsid w:val="00DC3041"/>
    <w:rsid w:val="00DC30F7"/>
    <w:rsid w:val="00DC3779"/>
    <w:rsid w:val="00DC37EC"/>
    <w:rsid w:val="00DC397B"/>
    <w:rsid w:val="00DC3DB3"/>
    <w:rsid w:val="00DC3E52"/>
    <w:rsid w:val="00DC41FD"/>
    <w:rsid w:val="00DC4460"/>
    <w:rsid w:val="00DC4E35"/>
    <w:rsid w:val="00DC4E3F"/>
    <w:rsid w:val="00DC50B4"/>
    <w:rsid w:val="00DC52CF"/>
    <w:rsid w:val="00DC53BD"/>
    <w:rsid w:val="00DC5B30"/>
    <w:rsid w:val="00DC5B75"/>
    <w:rsid w:val="00DC6005"/>
    <w:rsid w:val="00DC6156"/>
    <w:rsid w:val="00DC618E"/>
    <w:rsid w:val="00DC61DA"/>
    <w:rsid w:val="00DC6397"/>
    <w:rsid w:val="00DC68CF"/>
    <w:rsid w:val="00DC6B38"/>
    <w:rsid w:val="00DC6B9F"/>
    <w:rsid w:val="00DC6D78"/>
    <w:rsid w:val="00DC6D86"/>
    <w:rsid w:val="00DC6DCF"/>
    <w:rsid w:val="00DC6E1C"/>
    <w:rsid w:val="00DC7092"/>
    <w:rsid w:val="00DC75EB"/>
    <w:rsid w:val="00DC7F82"/>
    <w:rsid w:val="00DC7F8A"/>
    <w:rsid w:val="00DD007A"/>
    <w:rsid w:val="00DD01C5"/>
    <w:rsid w:val="00DD0240"/>
    <w:rsid w:val="00DD0271"/>
    <w:rsid w:val="00DD02DE"/>
    <w:rsid w:val="00DD08ED"/>
    <w:rsid w:val="00DD0CBE"/>
    <w:rsid w:val="00DD0EA0"/>
    <w:rsid w:val="00DD1067"/>
    <w:rsid w:val="00DD1793"/>
    <w:rsid w:val="00DD18CB"/>
    <w:rsid w:val="00DD1BCB"/>
    <w:rsid w:val="00DD20B2"/>
    <w:rsid w:val="00DD265E"/>
    <w:rsid w:val="00DD2AEA"/>
    <w:rsid w:val="00DD2E4E"/>
    <w:rsid w:val="00DD307B"/>
    <w:rsid w:val="00DD33E9"/>
    <w:rsid w:val="00DD35FB"/>
    <w:rsid w:val="00DD45C0"/>
    <w:rsid w:val="00DD4A3C"/>
    <w:rsid w:val="00DD4C18"/>
    <w:rsid w:val="00DD5045"/>
    <w:rsid w:val="00DD51EE"/>
    <w:rsid w:val="00DD54B2"/>
    <w:rsid w:val="00DD55D0"/>
    <w:rsid w:val="00DD568F"/>
    <w:rsid w:val="00DD57C3"/>
    <w:rsid w:val="00DD58A0"/>
    <w:rsid w:val="00DD63CB"/>
    <w:rsid w:val="00DD663C"/>
    <w:rsid w:val="00DD66BB"/>
    <w:rsid w:val="00DD68D9"/>
    <w:rsid w:val="00DD6A8C"/>
    <w:rsid w:val="00DD71DF"/>
    <w:rsid w:val="00DD7783"/>
    <w:rsid w:val="00DD780E"/>
    <w:rsid w:val="00DD79EA"/>
    <w:rsid w:val="00DD7A12"/>
    <w:rsid w:val="00DD7CE9"/>
    <w:rsid w:val="00DD7CF9"/>
    <w:rsid w:val="00DE02D5"/>
    <w:rsid w:val="00DE0356"/>
    <w:rsid w:val="00DE05FD"/>
    <w:rsid w:val="00DE06D4"/>
    <w:rsid w:val="00DE1056"/>
    <w:rsid w:val="00DE12D4"/>
    <w:rsid w:val="00DE1A4A"/>
    <w:rsid w:val="00DE1DF6"/>
    <w:rsid w:val="00DE2679"/>
    <w:rsid w:val="00DE2763"/>
    <w:rsid w:val="00DE28ED"/>
    <w:rsid w:val="00DE2B9C"/>
    <w:rsid w:val="00DE2E17"/>
    <w:rsid w:val="00DE3075"/>
    <w:rsid w:val="00DE32A2"/>
    <w:rsid w:val="00DE34CE"/>
    <w:rsid w:val="00DE35F1"/>
    <w:rsid w:val="00DE386F"/>
    <w:rsid w:val="00DE435E"/>
    <w:rsid w:val="00DE4606"/>
    <w:rsid w:val="00DE4B52"/>
    <w:rsid w:val="00DE4FB0"/>
    <w:rsid w:val="00DE55C3"/>
    <w:rsid w:val="00DE5676"/>
    <w:rsid w:val="00DE5A21"/>
    <w:rsid w:val="00DE5BF1"/>
    <w:rsid w:val="00DE5F6B"/>
    <w:rsid w:val="00DE5FFA"/>
    <w:rsid w:val="00DE637A"/>
    <w:rsid w:val="00DE63B6"/>
    <w:rsid w:val="00DE6486"/>
    <w:rsid w:val="00DE6920"/>
    <w:rsid w:val="00DE6A6F"/>
    <w:rsid w:val="00DE70BF"/>
    <w:rsid w:val="00DE71A0"/>
    <w:rsid w:val="00DE76EC"/>
    <w:rsid w:val="00DE780E"/>
    <w:rsid w:val="00DE786F"/>
    <w:rsid w:val="00DE7B12"/>
    <w:rsid w:val="00DE7BB2"/>
    <w:rsid w:val="00DE7C5B"/>
    <w:rsid w:val="00DE7DF5"/>
    <w:rsid w:val="00DE7E75"/>
    <w:rsid w:val="00DF084F"/>
    <w:rsid w:val="00DF08E7"/>
    <w:rsid w:val="00DF0C35"/>
    <w:rsid w:val="00DF0E3D"/>
    <w:rsid w:val="00DF10C6"/>
    <w:rsid w:val="00DF11DE"/>
    <w:rsid w:val="00DF12C5"/>
    <w:rsid w:val="00DF1953"/>
    <w:rsid w:val="00DF1F24"/>
    <w:rsid w:val="00DF1F9D"/>
    <w:rsid w:val="00DF1FBE"/>
    <w:rsid w:val="00DF2707"/>
    <w:rsid w:val="00DF27C0"/>
    <w:rsid w:val="00DF27CF"/>
    <w:rsid w:val="00DF2B0B"/>
    <w:rsid w:val="00DF2C6A"/>
    <w:rsid w:val="00DF2CE6"/>
    <w:rsid w:val="00DF3679"/>
    <w:rsid w:val="00DF3ED6"/>
    <w:rsid w:val="00DF4104"/>
    <w:rsid w:val="00DF4423"/>
    <w:rsid w:val="00DF50A2"/>
    <w:rsid w:val="00DF575C"/>
    <w:rsid w:val="00DF5A07"/>
    <w:rsid w:val="00DF5B4B"/>
    <w:rsid w:val="00DF5F39"/>
    <w:rsid w:val="00DF5F7F"/>
    <w:rsid w:val="00DF6085"/>
    <w:rsid w:val="00DF63EC"/>
    <w:rsid w:val="00DF6983"/>
    <w:rsid w:val="00DF69C3"/>
    <w:rsid w:val="00DF74FC"/>
    <w:rsid w:val="00DF78FF"/>
    <w:rsid w:val="00DF7A15"/>
    <w:rsid w:val="00DF7F0F"/>
    <w:rsid w:val="00E001BE"/>
    <w:rsid w:val="00E00612"/>
    <w:rsid w:val="00E0061D"/>
    <w:rsid w:val="00E00DC1"/>
    <w:rsid w:val="00E00E7D"/>
    <w:rsid w:val="00E015D2"/>
    <w:rsid w:val="00E0186B"/>
    <w:rsid w:val="00E0194A"/>
    <w:rsid w:val="00E01991"/>
    <w:rsid w:val="00E01AFE"/>
    <w:rsid w:val="00E01DD0"/>
    <w:rsid w:val="00E01F23"/>
    <w:rsid w:val="00E01F81"/>
    <w:rsid w:val="00E02224"/>
    <w:rsid w:val="00E02464"/>
    <w:rsid w:val="00E026E3"/>
    <w:rsid w:val="00E027A8"/>
    <w:rsid w:val="00E02CAF"/>
    <w:rsid w:val="00E02E1E"/>
    <w:rsid w:val="00E039AF"/>
    <w:rsid w:val="00E03F09"/>
    <w:rsid w:val="00E03F0A"/>
    <w:rsid w:val="00E03F69"/>
    <w:rsid w:val="00E04058"/>
    <w:rsid w:val="00E040A9"/>
    <w:rsid w:val="00E0411C"/>
    <w:rsid w:val="00E0486C"/>
    <w:rsid w:val="00E04959"/>
    <w:rsid w:val="00E04ADF"/>
    <w:rsid w:val="00E04B5A"/>
    <w:rsid w:val="00E04C70"/>
    <w:rsid w:val="00E04E98"/>
    <w:rsid w:val="00E04F68"/>
    <w:rsid w:val="00E05082"/>
    <w:rsid w:val="00E052B6"/>
    <w:rsid w:val="00E05460"/>
    <w:rsid w:val="00E0558B"/>
    <w:rsid w:val="00E0579D"/>
    <w:rsid w:val="00E059F7"/>
    <w:rsid w:val="00E05D32"/>
    <w:rsid w:val="00E05E77"/>
    <w:rsid w:val="00E05FFE"/>
    <w:rsid w:val="00E06136"/>
    <w:rsid w:val="00E062D4"/>
    <w:rsid w:val="00E06725"/>
    <w:rsid w:val="00E067B4"/>
    <w:rsid w:val="00E06C5E"/>
    <w:rsid w:val="00E0740E"/>
    <w:rsid w:val="00E07791"/>
    <w:rsid w:val="00E079B6"/>
    <w:rsid w:val="00E07AFE"/>
    <w:rsid w:val="00E10361"/>
    <w:rsid w:val="00E10567"/>
    <w:rsid w:val="00E1063E"/>
    <w:rsid w:val="00E10B5B"/>
    <w:rsid w:val="00E10BBB"/>
    <w:rsid w:val="00E11205"/>
    <w:rsid w:val="00E11267"/>
    <w:rsid w:val="00E11638"/>
    <w:rsid w:val="00E11726"/>
    <w:rsid w:val="00E12623"/>
    <w:rsid w:val="00E12801"/>
    <w:rsid w:val="00E12E43"/>
    <w:rsid w:val="00E12F34"/>
    <w:rsid w:val="00E13178"/>
    <w:rsid w:val="00E13BC4"/>
    <w:rsid w:val="00E13E80"/>
    <w:rsid w:val="00E14176"/>
    <w:rsid w:val="00E1421B"/>
    <w:rsid w:val="00E1431B"/>
    <w:rsid w:val="00E146E5"/>
    <w:rsid w:val="00E149A8"/>
    <w:rsid w:val="00E149B8"/>
    <w:rsid w:val="00E1539A"/>
    <w:rsid w:val="00E155DC"/>
    <w:rsid w:val="00E15A9A"/>
    <w:rsid w:val="00E15B4A"/>
    <w:rsid w:val="00E168D2"/>
    <w:rsid w:val="00E169D8"/>
    <w:rsid w:val="00E171EF"/>
    <w:rsid w:val="00E17237"/>
    <w:rsid w:val="00E174FD"/>
    <w:rsid w:val="00E175F1"/>
    <w:rsid w:val="00E1785B"/>
    <w:rsid w:val="00E17A4D"/>
    <w:rsid w:val="00E20089"/>
    <w:rsid w:val="00E202FE"/>
    <w:rsid w:val="00E20330"/>
    <w:rsid w:val="00E2065E"/>
    <w:rsid w:val="00E206EC"/>
    <w:rsid w:val="00E213C6"/>
    <w:rsid w:val="00E21429"/>
    <w:rsid w:val="00E214B0"/>
    <w:rsid w:val="00E2155C"/>
    <w:rsid w:val="00E21E82"/>
    <w:rsid w:val="00E21F9B"/>
    <w:rsid w:val="00E23C35"/>
    <w:rsid w:val="00E23F40"/>
    <w:rsid w:val="00E24140"/>
    <w:rsid w:val="00E246A4"/>
    <w:rsid w:val="00E24A52"/>
    <w:rsid w:val="00E24F3C"/>
    <w:rsid w:val="00E25342"/>
    <w:rsid w:val="00E254E0"/>
    <w:rsid w:val="00E254EA"/>
    <w:rsid w:val="00E25BF3"/>
    <w:rsid w:val="00E25CFA"/>
    <w:rsid w:val="00E27174"/>
    <w:rsid w:val="00E27209"/>
    <w:rsid w:val="00E27573"/>
    <w:rsid w:val="00E27C45"/>
    <w:rsid w:val="00E3043D"/>
    <w:rsid w:val="00E30500"/>
    <w:rsid w:val="00E306E0"/>
    <w:rsid w:val="00E30A49"/>
    <w:rsid w:val="00E30BF9"/>
    <w:rsid w:val="00E30E18"/>
    <w:rsid w:val="00E30EB0"/>
    <w:rsid w:val="00E31D72"/>
    <w:rsid w:val="00E32436"/>
    <w:rsid w:val="00E324A5"/>
    <w:rsid w:val="00E32715"/>
    <w:rsid w:val="00E329FB"/>
    <w:rsid w:val="00E32A7E"/>
    <w:rsid w:val="00E33905"/>
    <w:rsid w:val="00E33FF5"/>
    <w:rsid w:val="00E3445F"/>
    <w:rsid w:val="00E34501"/>
    <w:rsid w:val="00E345C3"/>
    <w:rsid w:val="00E3468A"/>
    <w:rsid w:val="00E34737"/>
    <w:rsid w:val="00E348DE"/>
    <w:rsid w:val="00E349AA"/>
    <w:rsid w:val="00E35068"/>
    <w:rsid w:val="00E3509F"/>
    <w:rsid w:val="00E356AD"/>
    <w:rsid w:val="00E35A6A"/>
    <w:rsid w:val="00E35AF1"/>
    <w:rsid w:val="00E35EBC"/>
    <w:rsid w:val="00E36073"/>
    <w:rsid w:val="00E36084"/>
    <w:rsid w:val="00E3608C"/>
    <w:rsid w:val="00E3614E"/>
    <w:rsid w:val="00E3628A"/>
    <w:rsid w:val="00E369F8"/>
    <w:rsid w:val="00E36A64"/>
    <w:rsid w:val="00E36AE7"/>
    <w:rsid w:val="00E36CE3"/>
    <w:rsid w:val="00E36E6B"/>
    <w:rsid w:val="00E36EF4"/>
    <w:rsid w:val="00E372CA"/>
    <w:rsid w:val="00E37561"/>
    <w:rsid w:val="00E377A8"/>
    <w:rsid w:val="00E37DF9"/>
    <w:rsid w:val="00E40999"/>
    <w:rsid w:val="00E40E6B"/>
    <w:rsid w:val="00E40F5D"/>
    <w:rsid w:val="00E40FD3"/>
    <w:rsid w:val="00E41609"/>
    <w:rsid w:val="00E41926"/>
    <w:rsid w:val="00E41A92"/>
    <w:rsid w:val="00E41B40"/>
    <w:rsid w:val="00E41EE3"/>
    <w:rsid w:val="00E41FA1"/>
    <w:rsid w:val="00E421C7"/>
    <w:rsid w:val="00E42F15"/>
    <w:rsid w:val="00E4339D"/>
    <w:rsid w:val="00E43449"/>
    <w:rsid w:val="00E43C22"/>
    <w:rsid w:val="00E43CB3"/>
    <w:rsid w:val="00E43CEF"/>
    <w:rsid w:val="00E443C1"/>
    <w:rsid w:val="00E444AC"/>
    <w:rsid w:val="00E4498A"/>
    <w:rsid w:val="00E44A31"/>
    <w:rsid w:val="00E45197"/>
    <w:rsid w:val="00E452F9"/>
    <w:rsid w:val="00E45630"/>
    <w:rsid w:val="00E45779"/>
    <w:rsid w:val="00E45DEC"/>
    <w:rsid w:val="00E45E6B"/>
    <w:rsid w:val="00E45F8A"/>
    <w:rsid w:val="00E46079"/>
    <w:rsid w:val="00E46877"/>
    <w:rsid w:val="00E469DC"/>
    <w:rsid w:val="00E46B56"/>
    <w:rsid w:val="00E50193"/>
    <w:rsid w:val="00E503F5"/>
    <w:rsid w:val="00E5066D"/>
    <w:rsid w:val="00E50700"/>
    <w:rsid w:val="00E5074C"/>
    <w:rsid w:val="00E516D2"/>
    <w:rsid w:val="00E51D45"/>
    <w:rsid w:val="00E52099"/>
    <w:rsid w:val="00E522C2"/>
    <w:rsid w:val="00E52663"/>
    <w:rsid w:val="00E527AE"/>
    <w:rsid w:val="00E527E7"/>
    <w:rsid w:val="00E52A61"/>
    <w:rsid w:val="00E52DBF"/>
    <w:rsid w:val="00E53105"/>
    <w:rsid w:val="00E534B9"/>
    <w:rsid w:val="00E53B22"/>
    <w:rsid w:val="00E53B58"/>
    <w:rsid w:val="00E53F11"/>
    <w:rsid w:val="00E54003"/>
    <w:rsid w:val="00E54161"/>
    <w:rsid w:val="00E54526"/>
    <w:rsid w:val="00E5466A"/>
    <w:rsid w:val="00E54903"/>
    <w:rsid w:val="00E54F4E"/>
    <w:rsid w:val="00E559A2"/>
    <w:rsid w:val="00E55AEC"/>
    <w:rsid w:val="00E560CA"/>
    <w:rsid w:val="00E561A7"/>
    <w:rsid w:val="00E56458"/>
    <w:rsid w:val="00E564F7"/>
    <w:rsid w:val="00E56735"/>
    <w:rsid w:val="00E56C34"/>
    <w:rsid w:val="00E5709F"/>
    <w:rsid w:val="00E5741C"/>
    <w:rsid w:val="00E577A8"/>
    <w:rsid w:val="00E57B0E"/>
    <w:rsid w:val="00E57B71"/>
    <w:rsid w:val="00E57BC0"/>
    <w:rsid w:val="00E57C0A"/>
    <w:rsid w:val="00E57DAB"/>
    <w:rsid w:val="00E57EFC"/>
    <w:rsid w:val="00E57F5D"/>
    <w:rsid w:val="00E57FDF"/>
    <w:rsid w:val="00E60568"/>
    <w:rsid w:val="00E60D08"/>
    <w:rsid w:val="00E613AC"/>
    <w:rsid w:val="00E61476"/>
    <w:rsid w:val="00E617E3"/>
    <w:rsid w:val="00E61D24"/>
    <w:rsid w:val="00E61E95"/>
    <w:rsid w:val="00E61F75"/>
    <w:rsid w:val="00E6227C"/>
    <w:rsid w:val="00E62C80"/>
    <w:rsid w:val="00E62CAB"/>
    <w:rsid w:val="00E62D7C"/>
    <w:rsid w:val="00E63089"/>
    <w:rsid w:val="00E63106"/>
    <w:rsid w:val="00E631A9"/>
    <w:rsid w:val="00E632E5"/>
    <w:rsid w:val="00E63813"/>
    <w:rsid w:val="00E63C31"/>
    <w:rsid w:val="00E63EF4"/>
    <w:rsid w:val="00E646F7"/>
    <w:rsid w:val="00E6484A"/>
    <w:rsid w:val="00E6486D"/>
    <w:rsid w:val="00E6488F"/>
    <w:rsid w:val="00E64A67"/>
    <w:rsid w:val="00E64E91"/>
    <w:rsid w:val="00E6512D"/>
    <w:rsid w:val="00E65261"/>
    <w:rsid w:val="00E654E3"/>
    <w:rsid w:val="00E658A1"/>
    <w:rsid w:val="00E658A3"/>
    <w:rsid w:val="00E65919"/>
    <w:rsid w:val="00E65CE8"/>
    <w:rsid w:val="00E65E57"/>
    <w:rsid w:val="00E6636A"/>
    <w:rsid w:val="00E66545"/>
    <w:rsid w:val="00E6665B"/>
    <w:rsid w:val="00E66951"/>
    <w:rsid w:val="00E66A74"/>
    <w:rsid w:val="00E66C10"/>
    <w:rsid w:val="00E6738F"/>
    <w:rsid w:val="00E67494"/>
    <w:rsid w:val="00E676A9"/>
    <w:rsid w:val="00E677FC"/>
    <w:rsid w:val="00E67805"/>
    <w:rsid w:val="00E70739"/>
    <w:rsid w:val="00E70AB1"/>
    <w:rsid w:val="00E70B49"/>
    <w:rsid w:val="00E70DC1"/>
    <w:rsid w:val="00E7106E"/>
    <w:rsid w:val="00E712AF"/>
    <w:rsid w:val="00E712FC"/>
    <w:rsid w:val="00E721EC"/>
    <w:rsid w:val="00E728C2"/>
    <w:rsid w:val="00E72936"/>
    <w:rsid w:val="00E7299E"/>
    <w:rsid w:val="00E72B0B"/>
    <w:rsid w:val="00E72B10"/>
    <w:rsid w:val="00E73096"/>
    <w:rsid w:val="00E73CCB"/>
    <w:rsid w:val="00E7449D"/>
    <w:rsid w:val="00E7486F"/>
    <w:rsid w:val="00E74C92"/>
    <w:rsid w:val="00E751F7"/>
    <w:rsid w:val="00E75829"/>
    <w:rsid w:val="00E75A94"/>
    <w:rsid w:val="00E75C64"/>
    <w:rsid w:val="00E75D82"/>
    <w:rsid w:val="00E7633A"/>
    <w:rsid w:val="00E770CA"/>
    <w:rsid w:val="00E772C9"/>
    <w:rsid w:val="00E7746E"/>
    <w:rsid w:val="00E77700"/>
    <w:rsid w:val="00E77892"/>
    <w:rsid w:val="00E77E32"/>
    <w:rsid w:val="00E77EDA"/>
    <w:rsid w:val="00E80350"/>
    <w:rsid w:val="00E80832"/>
    <w:rsid w:val="00E80B2B"/>
    <w:rsid w:val="00E81019"/>
    <w:rsid w:val="00E8126D"/>
    <w:rsid w:val="00E8170F"/>
    <w:rsid w:val="00E817DC"/>
    <w:rsid w:val="00E8197C"/>
    <w:rsid w:val="00E81D43"/>
    <w:rsid w:val="00E81FF5"/>
    <w:rsid w:val="00E82121"/>
    <w:rsid w:val="00E82444"/>
    <w:rsid w:val="00E824F9"/>
    <w:rsid w:val="00E82602"/>
    <w:rsid w:val="00E82AFE"/>
    <w:rsid w:val="00E82C0D"/>
    <w:rsid w:val="00E83065"/>
    <w:rsid w:val="00E83250"/>
    <w:rsid w:val="00E8325F"/>
    <w:rsid w:val="00E83E37"/>
    <w:rsid w:val="00E83F1A"/>
    <w:rsid w:val="00E8410A"/>
    <w:rsid w:val="00E844CD"/>
    <w:rsid w:val="00E85006"/>
    <w:rsid w:val="00E852AE"/>
    <w:rsid w:val="00E8534A"/>
    <w:rsid w:val="00E855CB"/>
    <w:rsid w:val="00E857EE"/>
    <w:rsid w:val="00E8595E"/>
    <w:rsid w:val="00E85CE0"/>
    <w:rsid w:val="00E85E50"/>
    <w:rsid w:val="00E86356"/>
    <w:rsid w:val="00E865A0"/>
    <w:rsid w:val="00E8677E"/>
    <w:rsid w:val="00E86DAC"/>
    <w:rsid w:val="00E86E9F"/>
    <w:rsid w:val="00E8707B"/>
    <w:rsid w:val="00E87219"/>
    <w:rsid w:val="00E873DA"/>
    <w:rsid w:val="00E87500"/>
    <w:rsid w:val="00E87931"/>
    <w:rsid w:val="00E8798F"/>
    <w:rsid w:val="00E87AB8"/>
    <w:rsid w:val="00E9012A"/>
    <w:rsid w:val="00E90498"/>
    <w:rsid w:val="00E9055B"/>
    <w:rsid w:val="00E90A7F"/>
    <w:rsid w:val="00E90DD2"/>
    <w:rsid w:val="00E90FBB"/>
    <w:rsid w:val="00E9130F"/>
    <w:rsid w:val="00E914FA"/>
    <w:rsid w:val="00E91686"/>
    <w:rsid w:val="00E91904"/>
    <w:rsid w:val="00E91A6D"/>
    <w:rsid w:val="00E91C34"/>
    <w:rsid w:val="00E91EFF"/>
    <w:rsid w:val="00E92118"/>
    <w:rsid w:val="00E92867"/>
    <w:rsid w:val="00E928BD"/>
    <w:rsid w:val="00E929C0"/>
    <w:rsid w:val="00E92AF4"/>
    <w:rsid w:val="00E92F17"/>
    <w:rsid w:val="00E93598"/>
    <w:rsid w:val="00E93655"/>
    <w:rsid w:val="00E93BA0"/>
    <w:rsid w:val="00E93D49"/>
    <w:rsid w:val="00E93FEF"/>
    <w:rsid w:val="00E941D8"/>
    <w:rsid w:val="00E94320"/>
    <w:rsid w:val="00E943D3"/>
    <w:rsid w:val="00E944C0"/>
    <w:rsid w:val="00E9457A"/>
    <w:rsid w:val="00E9457E"/>
    <w:rsid w:val="00E946A5"/>
    <w:rsid w:val="00E94713"/>
    <w:rsid w:val="00E94AC6"/>
    <w:rsid w:val="00E94C2D"/>
    <w:rsid w:val="00E94EA8"/>
    <w:rsid w:val="00E94F0D"/>
    <w:rsid w:val="00E95000"/>
    <w:rsid w:val="00E9519E"/>
    <w:rsid w:val="00E953E5"/>
    <w:rsid w:val="00E9558F"/>
    <w:rsid w:val="00E956BB"/>
    <w:rsid w:val="00E958E2"/>
    <w:rsid w:val="00E95B66"/>
    <w:rsid w:val="00E96363"/>
    <w:rsid w:val="00E96420"/>
    <w:rsid w:val="00E96528"/>
    <w:rsid w:val="00E96710"/>
    <w:rsid w:val="00E96772"/>
    <w:rsid w:val="00E96874"/>
    <w:rsid w:val="00E973C8"/>
    <w:rsid w:val="00E976B5"/>
    <w:rsid w:val="00E97966"/>
    <w:rsid w:val="00E97A44"/>
    <w:rsid w:val="00EA0276"/>
    <w:rsid w:val="00EA1090"/>
    <w:rsid w:val="00EA1194"/>
    <w:rsid w:val="00EA156D"/>
    <w:rsid w:val="00EA1896"/>
    <w:rsid w:val="00EA19D1"/>
    <w:rsid w:val="00EA1ABE"/>
    <w:rsid w:val="00EA1D07"/>
    <w:rsid w:val="00EA1D9F"/>
    <w:rsid w:val="00EA1E17"/>
    <w:rsid w:val="00EA20E2"/>
    <w:rsid w:val="00EA267D"/>
    <w:rsid w:val="00EA26A0"/>
    <w:rsid w:val="00EA272F"/>
    <w:rsid w:val="00EA29EA"/>
    <w:rsid w:val="00EA2B6B"/>
    <w:rsid w:val="00EA33DC"/>
    <w:rsid w:val="00EA39A1"/>
    <w:rsid w:val="00EA4393"/>
    <w:rsid w:val="00EA447A"/>
    <w:rsid w:val="00EA4C94"/>
    <w:rsid w:val="00EA545B"/>
    <w:rsid w:val="00EA5540"/>
    <w:rsid w:val="00EA5890"/>
    <w:rsid w:val="00EA5981"/>
    <w:rsid w:val="00EA5A14"/>
    <w:rsid w:val="00EA5E3D"/>
    <w:rsid w:val="00EA63D0"/>
    <w:rsid w:val="00EA6A6D"/>
    <w:rsid w:val="00EA6D4D"/>
    <w:rsid w:val="00EA6D51"/>
    <w:rsid w:val="00EA6FC2"/>
    <w:rsid w:val="00EA716E"/>
    <w:rsid w:val="00EA71E7"/>
    <w:rsid w:val="00EA7218"/>
    <w:rsid w:val="00EA7486"/>
    <w:rsid w:val="00EA7652"/>
    <w:rsid w:val="00EA7BAA"/>
    <w:rsid w:val="00EB00CB"/>
    <w:rsid w:val="00EB0625"/>
    <w:rsid w:val="00EB069F"/>
    <w:rsid w:val="00EB0DEA"/>
    <w:rsid w:val="00EB0E63"/>
    <w:rsid w:val="00EB14CE"/>
    <w:rsid w:val="00EB2178"/>
    <w:rsid w:val="00EB2536"/>
    <w:rsid w:val="00EB2578"/>
    <w:rsid w:val="00EB271E"/>
    <w:rsid w:val="00EB2BA1"/>
    <w:rsid w:val="00EB2D61"/>
    <w:rsid w:val="00EB2D83"/>
    <w:rsid w:val="00EB33C2"/>
    <w:rsid w:val="00EB3580"/>
    <w:rsid w:val="00EB3808"/>
    <w:rsid w:val="00EB3854"/>
    <w:rsid w:val="00EB425B"/>
    <w:rsid w:val="00EB4396"/>
    <w:rsid w:val="00EB4569"/>
    <w:rsid w:val="00EB457F"/>
    <w:rsid w:val="00EB45EB"/>
    <w:rsid w:val="00EB4A60"/>
    <w:rsid w:val="00EB4B88"/>
    <w:rsid w:val="00EB51B5"/>
    <w:rsid w:val="00EB54A3"/>
    <w:rsid w:val="00EB570E"/>
    <w:rsid w:val="00EB582D"/>
    <w:rsid w:val="00EB5CCC"/>
    <w:rsid w:val="00EB5DF5"/>
    <w:rsid w:val="00EB5E10"/>
    <w:rsid w:val="00EB5F02"/>
    <w:rsid w:val="00EB5F33"/>
    <w:rsid w:val="00EB6591"/>
    <w:rsid w:val="00EB6608"/>
    <w:rsid w:val="00EB6B41"/>
    <w:rsid w:val="00EC0085"/>
    <w:rsid w:val="00EC0683"/>
    <w:rsid w:val="00EC07FD"/>
    <w:rsid w:val="00EC0B16"/>
    <w:rsid w:val="00EC0BE0"/>
    <w:rsid w:val="00EC10A8"/>
    <w:rsid w:val="00EC10B1"/>
    <w:rsid w:val="00EC12BE"/>
    <w:rsid w:val="00EC19A3"/>
    <w:rsid w:val="00EC1ED6"/>
    <w:rsid w:val="00EC33B6"/>
    <w:rsid w:val="00EC3590"/>
    <w:rsid w:val="00EC374E"/>
    <w:rsid w:val="00EC3CA6"/>
    <w:rsid w:val="00EC42B9"/>
    <w:rsid w:val="00EC4497"/>
    <w:rsid w:val="00EC4AC7"/>
    <w:rsid w:val="00EC52DA"/>
    <w:rsid w:val="00EC63B4"/>
    <w:rsid w:val="00EC65F1"/>
    <w:rsid w:val="00EC6699"/>
    <w:rsid w:val="00EC66F2"/>
    <w:rsid w:val="00EC69C7"/>
    <w:rsid w:val="00EC6C34"/>
    <w:rsid w:val="00EC6D22"/>
    <w:rsid w:val="00EC6E2C"/>
    <w:rsid w:val="00EC6EE1"/>
    <w:rsid w:val="00EC7310"/>
    <w:rsid w:val="00EC7445"/>
    <w:rsid w:val="00EC770E"/>
    <w:rsid w:val="00ED009D"/>
    <w:rsid w:val="00ED0403"/>
    <w:rsid w:val="00ED067F"/>
    <w:rsid w:val="00ED0CDC"/>
    <w:rsid w:val="00ED0F94"/>
    <w:rsid w:val="00ED1341"/>
    <w:rsid w:val="00ED1576"/>
    <w:rsid w:val="00ED15F2"/>
    <w:rsid w:val="00ED18A6"/>
    <w:rsid w:val="00ED18AA"/>
    <w:rsid w:val="00ED242B"/>
    <w:rsid w:val="00ED2736"/>
    <w:rsid w:val="00ED273D"/>
    <w:rsid w:val="00ED2788"/>
    <w:rsid w:val="00ED28AA"/>
    <w:rsid w:val="00ED2D0B"/>
    <w:rsid w:val="00ED33F9"/>
    <w:rsid w:val="00ED41F7"/>
    <w:rsid w:val="00ED46B8"/>
    <w:rsid w:val="00ED4AAD"/>
    <w:rsid w:val="00ED4D3D"/>
    <w:rsid w:val="00ED561D"/>
    <w:rsid w:val="00ED56C1"/>
    <w:rsid w:val="00ED5FAC"/>
    <w:rsid w:val="00ED62B1"/>
    <w:rsid w:val="00ED6A83"/>
    <w:rsid w:val="00ED6BCA"/>
    <w:rsid w:val="00ED7026"/>
    <w:rsid w:val="00ED752D"/>
    <w:rsid w:val="00ED7B8B"/>
    <w:rsid w:val="00ED7D62"/>
    <w:rsid w:val="00EE055B"/>
    <w:rsid w:val="00EE0576"/>
    <w:rsid w:val="00EE0845"/>
    <w:rsid w:val="00EE0A1F"/>
    <w:rsid w:val="00EE0AC6"/>
    <w:rsid w:val="00EE0B6D"/>
    <w:rsid w:val="00EE0D6C"/>
    <w:rsid w:val="00EE16EE"/>
    <w:rsid w:val="00EE1A46"/>
    <w:rsid w:val="00EE1EE9"/>
    <w:rsid w:val="00EE222B"/>
    <w:rsid w:val="00EE22A3"/>
    <w:rsid w:val="00EE251A"/>
    <w:rsid w:val="00EE2601"/>
    <w:rsid w:val="00EE2663"/>
    <w:rsid w:val="00EE2876"/>
    <w:rsid w:val="00EE2B8D"/>
    <w:rsid w:val="00EE2F3C"/>
    <w:rsid w:val="00EE334E"/>
    <w:rsid w:val="00EE342E"/>
    <w:rsid w:val="00EE3861"/>
    <w:rsid w:val="00EE3FBB"/>
    <w:rsid w:val="00EE40A8"/>
    <w:rsid w:val="00EE4664"/>
    <w:rsid w:val="00EE4754"/>
    <w:rsid w:val="00EE4FED"/>
    <w:rsid w:val="00EE51DC"/>
    <w:rsid w:val="00EE52DA"/>
    <w:rsid w:val="00EE5C30"/>
    <w:rsid w:val="00EE6350"/>
    <w:rsid w:val="00EE64FA"/>
    <w:rsid w:val="00EE6586"/>
    <w:rsid w:val="00EE6949"/>
    <w:rsid w:val="00EE6B1F"/>
    <w:rsid w:val="00EE6DE6"/>
    <w:rsid w:val="00EE7244"/>
    <w:rsid w:val="00EE7F03"/>
    <w:rsid w:val="00EF01EC"/>
    <w:rsid w:val="00EF0380"/>
    <w:rsid w:val="00EF0851"/>
    <w:rsid w:val="00EF0CD5"/>
    <w:rsid w:val="00EF1066"/>
    <w:rsid w:val="00EF1465"/>
    <w:rsid w:val="00EF1872"/>
    <w:rsid w:val="00EF27AB"/>
    <w:rsid w:val="00EF2A9E"/>
    <w:rsid w:val="00EF2F2F"/>
    <w:rsid w:val="00EF3678"/>
    <w:rsid w:val="00EF3803"/>
    <w:rsid w:val="00EF3E4A"/>
    <w:rsid w:val="00EF41BE"/>
    <w:rsid w:val="00EF4BFC"/>
    <w:rsid w:val="00EF5203"/>
    <w:rsid w:val="00EF5674"/>
    <w:rsid w:val="00EF5706"/>
    <w:rsid w:val="00EF5B1F"/>
    <w:rsid w:val="00EF5BA3"/>
    <w:rsid w:val="00EF6079"/>
    <w:rsid w:val="00EF637B"/>
    <w:rsid w:val="00EF64E2"/>
    <w:rsid w:val="00EF7599"/>
    <w:rsid w:val="00EF79DE"/>
    <w:rsid w:val="00F002C5"/>
    <w:rsid w:val="00F00312"/>
    <w:rsid w:val="00F005BB"/>
    <w:rsid w:val="00F00774"/>
    <w:rsid w:val="00F00898"/>
    <w:rsid w:val="00F009D1"/>
    <w:rsid w:val="00F00B6C"/>
    <w:rsid w:val="00F00CBC"/>
    <w:rsid w:val="00F00D02"/>
    <w:rsid w:val="00F00DB3"/>
    <w:rsid w:val="00F00E4B"/>
    <w:rsid w:val="00F00FF6"/>
    <w:rsid w:val="00F01068"/>
    <w:rsid w:val="00F01074"/>
    <w:rsid w:val="00F01796"/>
    <w:rsid w:val="00F020BF"/>
    <w:rsid w:val="00F02509"/>
    <w:rsid w:val="00F02527"/>
    <w:rsid w:val="00F02662"/>
    <w:rsid w:val="00F02712"/>
    <w:rsid w:val="00F02C97"/>
    <w:rsid w:val="00F02CE6"/>
    <w:rsid w:val="00F030FD"/>
    <w:rsid w:val="00F03D60"/>
    <w:rsid w:val="00F03F51"/>
    <w:rsid w:val="00F0420B"/>
    <w:rsid w:val="00F0424E"/>
    <w:rsid w:val="00F045F2"/>
    <w:rsid w:val="00F04844"/>
    <w:rsid w:val="00F0486D"/>
    <w:rsid w:val="00F0521A"/>
    <w:rsid w:val="00F05455"/>
    <w:rsid w:val="00F054D8"/>
    <w:rsid w:val="00F055EA"/>
    <w:rsid w:val="00F05C72"/>
    <w:rsid w:val="00F06B5B"/>
    <w:rsid w:val="00F06C87"/>
    <w:rsid w:val="00F06EF6"/>
    <w:rsid w:val="00F07030"/>
    <w:rsid w:val="00F0743E"/>
    <w:rsid w:val="00F075AF"/>
    <w:rsid w:val="00F10531"/>
    <w:rsid w:val="00F10963"/>
    <w:rsid w:val="00F10AC7"/>
    <w:rsid w:val="00F10BA6"/>
    <w:rsid w:val="00F11639"/>
    <w:rsid w:val="00F11F53"/>
    <w:rsid w:val="00F1213F"/>
    <w:rsid w:val="00F12451"/>
    <w:rsid w:val="00F12DAB"/>
    <w:rsid w:val="00F1346D"/>
    <w:rsid w:val="00F13518"/>
    <w:rsid w:val="00F13765"/>
    <w:rsid w:val="00F13C72"/>
    <w:rsid w:val="00F13D27"/>
    <w:rsid w:val="00F13E0C"/>
    <w:rsid w:val="00F143D1"/>
    <w:rsid w:val="00F14497"/>
    <w:rsid w:val="00F148A2"/>
    <w:rsid w:val="00F14962"/>
    <w:rsid w:val="00F14BB0"/>
    <w:rsid w:val="00F15128"/>
    <w:rsid w:val="00F157AD"/>
    <w:rsid w:val="00F15F62"/>
    <w:rsid w:val="00F1608F"/>
    <w:rsid w:val="00F16732"/>
    <w:rsid w:val="00F16800"/>
    <w:rsid w:val="00F16FD4"/>
    <w:rsid w:val="00F1775F"/>
    <w:rsid w:val="00F177D4"/>
    <w:rsid w:val="00F17FDD"/>
    <w:rsid w:val="00F20496"/>
    <w:rsid w:val="00F206C3"/>
    <w:rsid w:val="00F21036"/>
    <w:rsid w:val="00F214E8"/>
    <w:rsid w:val="00F21BBA"/>
    <w:rsid w:val="00F21F9D"/>
    <w:rsid w:val="00F222DF"/>
    <w:rsid w:val="00F22445"/>
    <w:rsid w:val="00F2255E"/>
    <w:rsid w:val="00F227ED"/>
    <w:rsid w:val="00F22B5D"/>
    <w:rsid w:val="00F22EBE"/>
    <w:rsid w:val="00F230AD"/>
    <w:rsid w:val="00F23142"/>
    <w:rsid w:val="00F23516"/>
    <w:rsid w:val="00F236D0"/>
    <w:rsid w:val="00F239C7"/>
    <w:rsid w:val="00F23BDC"/>
    <w:rsid w:val="00F23F78"/>
    <w:rsid w:val="00F240DB"/>
    <w:rsid w:val="00F240F5"/>
    <w:rsid w:val="00F24A2C"/>
    <w:rsid w:val="00F24B9C"/>
    <w:rsid w:val="00F24F01"/>
    <w:rsid w:val="00F252BC"/>
    <w:rsid w:val="00F2540D"/>
    <w:rsid w:val="00F256F7"/>
    <w:rsid w:val="00F25D44"/>
    <w:rsid w:val="00F25F80"/>
    <w:rsid w:val="00F261DA"/>
    <w:rsid w:val="00F264C9"/>
    <w:rsid w:val="00F26753"/>
    <w:rsid w:val="00F26B47"/>
    <w:rsid w:val="00F26E22"/>
    <w:rsid w:val="00F26F27"/>
    <w:rsid w:val="00F27990"/>
    <w:rsid w:val="00F27AFA"/>
    <w:rsid w:val="00F3019C"/>
    <w:rsid w:val="00F302F1"/>
    <w:rsid w:val="00F30600"/>
    <w:rsid w:val="00F30A9A"/>
    <w:rsid w:val="00F30AEE"/>
    <w:rsid w:val="00F30D47"/>
    <w:rsid w:val="00F30E73"/>
    <w:rsid w:val="00F316F1"/>
    <w:rsid w:val="00F319DF"/>
    <w:rsid w:val="00F31A82"/>
    <w:rsid w:val="00F31F67"/>
    <w:rsid w:val="00F322A5"/>
    <w:rsid w:val="00F327E2"/>
    <w:rsid w:val="00F32E0C"/>
    <w:rsid w:val="00F32FB5"/>
    <w:rsid w:val="00F333B5"/>
    <w:rsid w:val="00F33679"/>
    <w:rsid w:val="00F33695"/>
    <w:rsid w:val="00F33CCB"/>
    <w:rsid w:val="00F34279"/>
    <w:rsid w:val="00F34EA9"/>
    <w:rsid w:val="00F350CF"/>
    <w:rsid w:val="00F3554F"/>
    <w:rsid w:val="00F356A8"/>
    <w:rsid w:val="00F35864"/>
    <w:rsid w:val="00F3594C"/>
    <w:rsid w:val="00F359AB"/>
    <w:rsid w:val="00F36298"/>
    <w:rsid w:val="00F36346"/>
    <w:rsid w:val="00F36745"/>
    <w:rsid w:val="00F3683E"/>
    <w:rsid w:val="00F3698A"/>
    <w:rsid w:val="00F36D42"/>
    <w:rsid w:val="00F372FB"/>
    <w:rsid w:val="00F378AE"/>
    <w:rsid w:val="00F37A9D"/>
    <w:rsid w:val="00F37AA4"/>
    <w:rsid w:val="00F40328"/>
    <w:rsid w:val="00F40BCE"/>
    <w:rsid w:val="00F41031"/>
    <w:rsid w:val="00F41139"/>
    <w:rsid w:val="00F41489"/>
    <w:rsid w:val="00F414E1"/>
    <w:rsid w:val="00F417F8"/>
    <w:rsid w:val="00F4181C"/>
    <w:rsid w:val="00F41F8B"/>
    <w:rsid w:val="00F42371"/>
    <w:rsid w:val="00F42493"/>
    <w:rsid w:val="00F42ACC"/>
    <w:rsid w:val="00F43236"/>
    <w:rsid w:val="00F434BE"/>
    <w:rsid w:val="00F436B7"/>
    <w:rsid w:val="00F43786"/>
    <w:rsid w:val="00F437F8"/>
    <w:rsid w:val="00F43859"/>
    <w:rsid w:val="00F4393D"/>
    <w:rsid w:val="00F43BDF"/>
    <w:rsid w:val="00F43D86"/>
    <w:rsid w:val="00F442B8"/>
    <w:rsid w:val="00F44355"/>
    <w:rsid w:val="00F44A12"/>
    <w:rsid w:val="00F44BF3"/>
    <w:rsid w:val="00F450C9"/>
    <w:rsid w:val="00F45223"/>
    <w:rsid w:val="00F455A3"/>
    <w:rsid w:val="00F45719"/>
    <w:rsid w:val="00F45A8E"/>
    <w:rsid w:val="00F45DBF"/>
    <w:rsid w:val="00F45F7D"/>
    <w:rsid w:val="00F460D4"/>
    <w:rsid w:val="00F4659B"/>
    <w:rsid w:val="00F46E00"/>
    <w:rsid w:val="00F473BD"/>
    <w:rsid w:val="00F47CDD"/>
    <w:rsid w:val="00F47F1E"/>
    <w:rsid w:val="00F50CDE"/>
    <w:rsid w:val="00F50D1D"/>
    <w:rsid w:val="00F50FDF"/>
    <w:rsid w:val="00F51C20"/>
    <w:rsid w:val="00F51E08"/>
    <w:rsid w:val="00F51E1D"/>
    <w:rsid w:val="00F52239"/>
    <w:rsid w:val="00F52472"/>
    <w:rsid w:val="00F52527"/>
    <w:rsid w:val="00F5253D"/>
    <w:rsid w:val="00F527DB"/>
    <w:rsid w:val="00F5288D"/>
    <w:rsid w:val="00F52A22"/>
    <w:rsid w:val="00F52A5B"/>
    <w:rsid w:val="00F52C00"/>
    <w:rsid w:val="00F52C6B"/>
    <w:rsid w:val="00F52DF6"/>
    <w:rsid w:val="00F52ED8"/>
    <w:rsid w:val="00F53195"/>
    <w:rsid w:val="00F5342C"/>
    <w:rsid w:val="00F53630"/>
    <w:rsid w:val="00F53858"/>
    <w:rsid w:val="00F538E5"/>
    <w:rsid w:val="00F53E48"/>
    <w:rsid w:val="00F54454"/>
    <w:rsid w:val="00F544DE"/>
    <w:rsid w:val="00F5473D"/>
    <w:rsid w:val="00F547D8"/>
    <w:rsid w:val="00F547DE"/>
    <w:rsid w:val="00F548A0"/>
    <w:rsid w:val="00F54A35"/>
    <w:rsid w:val="00F54A7B"/>
    <w:rsid w:val="00F54B44"/>
    <w:rsid w:val="00F54D03"/>
    <w:rsid w:val="00F5500A"/>
    <w:rsid w:val="00F5554B"/>
    <w:rsid w:val="00F55D11"/>
    <w:rsid w:val="00F5609E"/>
    <w:rsid w:val="00F5622D"/>
    <w:rsid w:val="00F563D9"/>
    <w:rsid w:val="00F567FF"/>
    <w:rsid w:val="00F569CC"/>
    <w:rsid w:val="00F56B05"/>
    <w:rsid w:val="00F57516"/>
    <w:rsid w:val="00F575A0"/>
    <w:rsid w:val="00F57695"/>
    <w:rsid w:val="00F5769B"/>
    <w:rsid w:val="00F5792D"/>
    <w:rsid w:val="00F57E56"/>
    <w:rsid w:val="00F60367"/>
    <w:rsid w:val="00F60729"/>
    <w:rsid w:val="00F60816"/>
    <w:rsid w:val="00F60FAC"/>
    <w:rsid w:val="00F616BC"/>
    <w:rsid w:val="00F61798"/>
    <w:rsid w:val="00F617F3"/>
    <w:rsid w:val="00F61AF3"/>
    <w:rsid w:val="00F61CC6"/>
    <w:rsid w:val="00F61D85"/>
    <w:rsid w:val="00F61F61"/>
    <w:rsid w:val="00F6219F"/>
    <w:rsid w:val="00F62282"/>
    <w:rsid w:val="00F62363"/>
    <w:rsid w:val="00F626B0"/>
    <w:rsid w:val="00F635DF"/>
    <w:rsid w:val="00F638B0"/>
    <w:rsid w:val="00F63CAF"/>
    <w:rsid w:val="00F63F1F"/>
    <w:rsid w:val="00F64205"/>
    <w:rsid w:val="00F64551"/>
    <w:rsid w:val="00F645F1"/>
    <w:rsid w:val="00F6467D"/>
    <w:rsid w:val="00F64708"/>
    <w:rsid w:val="00F64A1A"/>
    <w:rsid w:val="00F64BEF"/>
    <w:rsid w:val="00F64C50"/>
    <w:rsid w:val="00F64D25"/>
    <w:rsid w:val="00F64E8F"/>
    <w:rsid w:val="00F65070"/>
    <w:rsid w:val="00F6508A"/>
    <w:rsid w:val="00F65299"/>
    <w:rsid w:val="00F65CE1"/>
    <w:rsid w:val="00F66134"/>
    <w:rsid w:val="00F66909"/>
    <w:rsid w:val="00F66A36"/>
    <w:rsid w:val="00F671A8"/>
    <w:rsid w:val="00F67403"/>
    <w:rsid w:val="00F674ED"/>
    <w:rsid w:val="00F6769B"/>
    <w:rsid w:val="00F6782B"/>
    <w:rsid w:val="00F678D6"/>
    <w:rsid w:val="00F67B5A"/>
    <w:rsid w:val="00F67BF2"/>
    <w:rsid w:val="00F67E78"/>
    <w:rsid w:val="00F7009F"/>
    <w:rsid w:val="00F700F6"/>
    <w:rsid w:val="00F70322"/>
    <w:rsid w:val="00F7056B"/>
    <w:rsid w:val="00F7059C"/>
    <w:rsid w:val="00F71042"/>
    <w:rsid w:val="00F71337"/>
    <w:rsid w:val="00F7235E"/>
    <w:rsid w:val="00F72374"/>
    <w:rsid w:val="00F72921"/>
    <w:rsid w:val="00F72BF5"/>
    <w:rsid w:val="00F72C19"/>
    <w:rsid w:val="00F731AA"/>
    <w:rsid w:val="00F737D1"/>
    <w:rsid w:val="00F73908"/>
    <w:rsid w:val="00F73C87"/>
    <w:rsid w:val="00F73D25"/>
    <w:rsid w:val="00F73D90"/>
    <w:rsid w:val="00F7452C"/>
    <w:rsid w:val="00F745BA"/>
    <w:rsid w:val="00F74638"/>
    <w:rsid w:val="00F74D31"/>
    <w:rsid w:val="00F75A51"/>
    <w:rsid w:val="00F75EEC"/>
    <w:rsid w:val="00F760E6"/>
    <w:rsid w:val="00F7610A"/>
    <w:rsid w:val="00F761EC"/>
    <w:rsid w:val="00F766CD"/>
    <w:rsid w:val="00F76EF4"/>
    <w:rsid w:val="00F77510"/>
    <w:rsid w:val="00F775C6"/>
    <w:rsid w:val="00F77866"/>
    <w:rsid w:val="00F77D70"/>
    <w:rsid w:val="00F80078"/>
    <w:rsid w:val="00F800CF"/>
    <w:rsid w:val="00F8046D"/>
    <w:rsid w:val="00F8056E"/>
    <w:rsid w:val="00F80612"/>
    <w:rsid w:val="00F80735"/>
    <w:rsid w:val="00F8080C"/>
    <w:rsid w:val="00F8092F"/>
    <w:rsid w:val="00F80C74"/>
    <w:rsid w:val="00F81A04"/>
    <w:rsid w:val="00F81A68"/>
    <w:rsid w:val="00F82019"/>
    <w:rsid w:val="00F820F8"/>
    <w:rsid w:val="00F82170"/>
    <w:rsid w:val="00F8249B"/>
    <w:rsid w:val="00F824A6"/>
    <w:rsid w:val="00F82BF1"/>
    <w:rsid w:val="00F82C8C"/>
    <w:rsid w:val="00F832D2"/>
    <w:rsid w:val="00F83602"/>
    <w:rsid w:val="00F83C61"/>
    <w:rsid w:val="00F83CE8"/>
    <w:rsid w:val="00F83F83"/>
    <w:rsid w:val="00F84567"/>
    <w:rsid w:val="00F8493C"/>
    <w:rsid w:val="00F84AA7"/>
    <w:rsid w:val="00F84EF1"/>
    <w:rsid w:val="00F85241"/>
    <w:rsid w:val="00F8534C"/>
    <w:rsid w:val="00F856E9"/>
    <w:rsid w:val="00F85C12"/>
    <w:rsid w:val="00F85C19"/>
    <w:rsid w:val="00F85D28"/>
    <w:rsid w:val="00F8619C"/>
    <w:rsid w:val="00F86543"/>
    <w:rsid w:val="00F86693"/>
    <w:rsid w:val="00F86B9F"/>
    <w:rsid w:val="00F8700A"/>
    <w:rsid w:val="00F8710F"/>
    <w:rsid w:val="00F87170"/>
    <w:rsid w:val="00F87D1E"/>
    <w:rsid w:val="00F9026A"/>
    <w:rsid w:val="00F90478"/>
    <w:rsid w:val="00F9057F"/>
    <w:rsid w:val="00F90FF4"/>
    <w:rsid w:val="00F918CB"/>
    <w:rsid w:val="00F91DD5"/>
    <w:rsid w:val="00F92549"/>
    <w:rsid w:val="00F92B10"/>
    <w:rsid w:val="00F92BD7"/>
    <w:rsid w:val="00F92F77"/>
    <w:rsid w:val="00F92FBA"/>
    <w:rsid w:val="00F9325C"/>
    <w:rsid w:val="00F9394F"/>
    <w:rsid w:val="00F9474B"/>
    <w:rsid w:val="00F94B23"/>
    <w:rsid w:val="00F94FA8"/>
    <w:rsid w:val="00F9529E"/>
    <w:rsid w:val="00F953B6"/>
    <w:rsid w:val="00F954D7"/>
    <w:rsid w:val="00F956C5"/>
    <w:rsid w:val="00F95D52"/>
    <w:rsid w:val="00F961F6"/>
    <w:rsid w:val="00F9640A"/>
    <w:rsid w:val="00F96547"/>
    <w:rsid w:val="00F96836"/>
    <w:rsid w:val="00F96B3D"/>
    <w:rsid w:val="00F96B5D"/>
    <w:rsid w:val="00F96F2C"/>
    <w:rsid w:val="00F974B6"/>
    <w:rsid w:val="00F9782F"/>
    <w:rsid w:val="00F97AEF"/>
    <w:rsid w:val="00F97CC1"/>
    <w:rsid w:val="00F97DE3"/>
    <w:rsid w:val="00FA0401"/>
    <w:rsid w:val="00FA043C"/>
    <w:rsid w:val="00FA04A5"/>
    <w:rsid w:val="00FA04C7"/>
    <w:rsid w:val="00FA04CF"/>
    <w:rsid w:val="00FA064B"/>
    <w:rsid w:val="00FA0717"/>
    <w:rsid w:val="00FA1049"/>
    <w:rsid w:val="00FA18CE"/>
    <w:rsid w:val="00FA203C"/>
    <w:rsid w:val="00FA21BF"/>
    <w:rsid w:val="00FA279A"/>
    <w:rsid w:val="00FA2EFD"/>
    <w:rsid w:val="00FA3178"/>
    <w:rsid w:val="00FA3304"/>
    <w:rsid w:val="00FA337D"/>
    <w:rsid w:val="00FA33B8"/>
    <w:rsid w:val="00FA406B"/>
    <w:rsid w:val="00FA41D2"/>
    <w:rsid w:val="00FA4337"/>
    <w:rsid w:val="00FA4652"/>
    <w:rsid w:val="00FA4C73"/>
    <w:rsid w:val="00FA51E1"/>
    <w:rsid w:val="00FA546F"/>
    <w:rsid w:val="00FA5AF5"/>
    <w:rsid w:val="00FA5AFD"/>
    <w:rsid w:val="00FA5BE5"/>
    <w:rsid w:val="00FA7035"/>
    <w:rsid w:val="00FA7224"/>
    <w:rsid w:val="00FA7A69"/>
    <w:rsid w:val="00FA7D93"/>
    <w:rsid w:val="00FB0513"/>
    <w:rsid w:val="00FB070A"/>
    <w:rsid w:val="00FB08A8"/>
    <w:rsid w:val="00FB0AB7"/>
    <w:rsid w:val="00FB0B04"/>
    <w:rsid w:val="00FB1292"/>
    <w:rsid w:val="00FB12DD"/>
    <w:rsid w:val="00FB13E0"/>
    <w:rsid w:val="00FB1639"/>
    <w:rsid w:val="00FB1D5B"/>
    <w:rsid w:val="00FB210A"/>
    <w:rsid w:val="00FB21F2"/>
    <w:rsid w:val="00FB2210"/>
    <w:rsid w:val="00FB2241"/>
    <w:rsid w:val="00FB22C3"/>
    <w:rsid w:val="00FB2534"/>
    <w:rsid w:val="00FB2800"/>
    <w:rsid w:val="00FB3075"/>
    <w:rsid w:val="00FB357D"/>
    <w:rsid w:val="00FB3907"/>
    <w:rsid w:val="00FB39BD"/>
    <w:rsid w:val="00FB3B30"/>
    <w:rsid w:val="00FB3B7F"/>
    <w:rsid w:val="00FB402A"/>
    <w:rsid w:val="00FB4145"/>
    <w:rsid w:val="00FB43AE"/>
    <w:rsid w:val="00FB46BB"/>
    <w:rsid w:val="00FB4784"/>
    <w:rsid w:val="00FB4A81"/>
    <w:rsid w:val="00FB5154"/>
    <w:rsid w:val="00FB52DC"/>
    <w:rsid w:val="00FB5755"/>
    <w:rsid w:val="00FB5B1C"/>
    <w:rsid w:val="00FB622D"/>
    <w:rsid w:val="00FB6254"/>
    <w:rsid w:val="00FB6411"/>
    <w:rsid w:val="00FB6449"/>
    <w:rsid w:val="00FB6488"/>
    <w:rsid w:val="00FB686B"/>
    <w:rsid w:val="00FB7336"/>
    <w:rsid w:val="00FB73D6"/>
    <w:rsid w:val="00FB7543"/>
    <w:rsid w:val="00FB78CD"/>
    <w:rsid w:val="00FB7D91"/>
    <w:rsid w:val="00FB7EB6"/>
    <w:rsid w:val="00FC033F"/>
    <w:rsid w:val="00FC093D"/>
    <w:rsid w:val="00FC1903"/>
    <w:rsid w:val="00FC1BB6"/>
    <w:rsid w:val="00FC2097"/>
    <w:rsid w:val="00FC22B5"/>
    <w:rsid w:val="00FC29AE"/>
    <w:rsid w:val="00FC2E92"/>
    <w:rsid w:val="00FC3257"/>
    <w:rsid w:val="00FC3449"/>
    <w:rsid w:val="00FC39EC"/>
    <w:rsid w:val="00FC3A27"/>
    <w:rsid w:val="00FC3C29"/>
    <w:rsid w:val="00FC412B"/>
    <w:rsid w:val="00FC4777"/>
    <w:rsid w:val="00FC498E"/>
    <w:rsid w:val="00FC49EE"/>
    <w:rsid w:val="00FC4C61"/>
    <w:rsid w:val="00FC5061"/>
    <w:rsid w:val="00FC5736"/>
    <w:rsid w:val="00FC583E"/>
    <w:rsid w:val="00FC5C34"/>
    <w:rsid w:val="00FC5C9F"/>
    <w:rsid w:val="00FC5CD4"/>
    <w:rsid w:val="00FC61B3"/>
    <w:rsid w:val="00FC66FD"/>
    <w:rsid w:val="00FC6BCB"/>
    <w:rsid w:val="00FC72A2"/>
    <w:rsid w:val="00FC7D62"/>
    <w:rsid w:val="00FC7E17"/>
    <w:rsid w:val="00FC7FBB"/>
    <w:rsid w:val="00FD07AE"/>
    <w:rsid w:val="00FD08C0"/>
    <w:rsid w:val="00FD0C96"/>
    <w:rsid w:val="00FD0EF3"/>
    <w:rsid w:val="00FD0F38"/>
    <w:rsid w:val="00FD124F"/>
    <w:rsid w:val="00FD1435"/>
    <w:rsid w:val="00FD192C"/>
    <w:rsid w:val="00FD2054"/>
    <w:rsid w:val="00FD22FA"/>
    <w:rsid w:val="00FD2909"/>
    <w:rsid w:val="00FD2F53"/>
    <w:rsid w:val="00FD36B6"/>
    <w:rsid w:val="00FD3823"/>
    <w:rsid w:val="00FD3C14"/>
    <w:rsid w:val="00FD4220"/>
    <w:rsid w:val="00FD44BE"/>
    <w:rsid w:val="00FD4530"/>
    <w:rsid w:val="00FD4788"/>
    <w:rsid w:val="00FD4F5C"/>
    <w:rsid w:val="00FD5684"/>
    <w:rsid w:val="00FD59FC"/>
    <w:rsid w:val="00FD62D0"/>
    <w:rsid w:val="00FD67DB"/>
    <w:rsid w:val="00FD6B3E"/>
    <w:rsid w:val="00FD6FE0"/>
    <w:rsid w:val="00FD72AE"/>
    <w:rsid w:val="00FD7367"/>
    <w:rsid w:val="00FD7559"/>
    <w:rsid w:val="00FD7C01"/>
    <w:rsid w:val="00FD7EBD"/>
    <w:rsid w:val="00FD7F36"/>
    <w:rsid w:val="00FE012B"/>
    <w:rsid w:val="00FE034D"/>
    <w:rsid w:val="00FE044D"/>
    <w:rsid w:val="00FE066C"/>
    <w:rsid w:val="00FE0D72"/>
    <w:rsid w:val="00FE0EE3"/>
    <w:rsid w:val="00FE10C8"/>
    <w:rsid w:val="00FE10E3"/>
    <w:rsid w:val="00FE11E8"/>
    <w:rsid w:val="00FE151A"/>
    <w:rsid w:val="00FE22AE"/>
    <w:rsid w:val="00FE2422"/>
    <w:rsid w:val="00FE2E26"/>
    <w:rsid w:val="00FE2E41"/>
    <w:rsid w:val="00FE2F17"/>
    <w:rsid w:val="00FE3051"/>
    <w:rsid w:val="00FE34DF"/>
    <w:rsid w:val="00FE38A0"/>
    <w:rsid w:val="00FE39D5"/>
    <w:rsid w:val="00FE4324"/>
    <w:rsid w:val="00FE457D"/>
    <w:rsid w:val="00FE49DE"/>
    <w:rsid w:val="00FE4EB6"/>
    <w:rsid w:val="00FE5058"/>
    <w:rsid w:val="00FE560A"/>
    <w:rsid w:val="00FE599D"/>
    <w:rsid w:val="00FE5AAA"/>
    <w:rsid w:val="00FE5AC1"/>
    <w:rsid w:val="00FE5EFF"/>
    <w:rsid w:val="00FE5FEE"/>
    <w:rsid w:val="00FE5FFB"/>
    <w:rsid w:val="00FE6036"/>
    <w:rsid w:val="00FE6168"/>
    <w:rsid w:val="00FE63C8"/>
    <w:rsid w:val="00FE699B"/>
    <w:rsid w:val="00FE6C80"/>
    <w:rsid w:val="00FE6DE6"/>
    <w:rsid w:val="00FE7632"/>
    <w:rsid w:val="00FE7646"/>
    <w:rsid w:val="00FE786D"/>
    <w:rsid w:val="00FE7D7B"/>
    <w:rsid w:val="00FF07B3"/>
    <w:rsid w:val="00FF0A3B"/>
    <w:rsid w:val="00FF0AA6"/>
    <w:rsid w:val="00FF0CEC"/>
    <w:rsid w:val="00FF0DD7"/>
    <w:rsid w:val="00FF0E45"/>
    <w:rsid w:val="00FF117D"/>
    <w:rsid w:val="00FF164B"/>
    <w:rsid w:val="00FF165B"/>
    <w:rsid w:val="00FF1AAD"/>
    <w:rsid w:val="00FF1E00"/>
    <w:rsid w:val="00FF270B"/>
    <w:rsid w:val="00FF273D"/>
    <w:rsid w:val="00FF3030"/>
    <w:rsid w:val="00FF3084"/>
    <w:rsid w:val="00FF3127"/>
    <w:rsid w:val="00FF3227"/>
    <w:rsid w:val="00FF37E1"/>
    <w:rsid w:val="00FF3EA9"/>
    <w:rsid w:val="00FF438F"/>
    <w:rsid w:val="00FF4711"/>
    <w:rsid w:val="00FF495F"/>
    <w:rsid w:val="00FF4D01"/>
    <w:rsid w:val="00FF4FB0"/>
    <w:rsid w:val="00FF543E"/>
    <w:rsid w:val="00FF550B"/>
    <w:rsid w:val="00FF5549"/>
    <w:rsid w:val="00FF5CC9"/>
    <w:rsid w:val="00FF5D1B"/>
    <w:rsid w:val="00FF5D37"/>
    <w:rsid w:val="00FF6694"/>
    <w:rsid w:val="00FF6E68"/>
    <w:rsid w:val="00FF7599"/>
    <w:rsid w:val="00FF7B27"/>
    <w:rsid w:val="02808298"/>
    <w:rsid w:val="02C79CFD"/>
    <w:rsid w:val="06AF2A66"/>
    <w:rsid w:val="07DCABF1"/>
    <w:rsid w:val="0B43C9D9"/>
    <w:rsid w:val="0DEB03B9"/>
    <w:rsid w:val="0DF72610"/>
    <w:rsid w:val="0E33F1E0"/>
    <w:rsid w:val="10737E86"/>
    <w:rsid w:val="110BC186"/>
    <w:rsid w:val="11F3F354"/>
    <w:rsid w:val="11FDC08F"/>
    <w:rsid w:val="1474313A"/>
    <w:rsid w:val="1613B359"/>
    <w:rsid w:val="180A0B56"/>
    <w:rsid w:val="1D6EE369"/>
    <w:rsid w:val="21355B19"/>
    <w:rsid w:val="21947E59"/>
    <w:rsid w:val="23E58494"/>
    <w:rsid w:val="2A47B4D4"/>
    <w:rsid w:val="2B21E3EA"/>
    <w:rsid w:val="2BABB606"/>
    <w:rsid w:val="2C361122"/>
    <w:rsid w:val="2CD372FF"/>
    <w:rsid w:val="2DA54FAC"/>
    <w:rsid w:val="3529D269"/>
    <w:rsid w:val="356FB72F"/>
    <w:rsid w:val="35E9CC8A"/>
    <w:rsid w:val="38B0EC7B"/>
    <w:rsid w:val="3D635061"/>
    <w:rsid w:val="3F4D6FAB"/>
    <w:rsid w:val="404C2B05"/>
    <w:rsid w:val="44C12EF4"/>
    <w:rsid w:val="4579E454"/>
    <w:rsid w:val="45A8DC50"/>
    <w:rsid w:val="46EDEE83"/>
    <w:rsid w:val="48504A79"/>
    <w:rsid w:val="48C8EE96"/>
    <w:rsid w:val="4A1CE342"/>
    <w:rsid w:val="4C58636B"/>
    <w:rsid w:val="4C834359"/>
    <w:rsid w:val="4E918ED5"/>
    <w:rsid w:val="4EF3C6F3"/>
    <w:rsid w:val="540585F6"/>
    <w:rsid w:val="54B91D2A"/>
    <w:rsid w:val="567B5CDE"/>
    <w:rsid w:val="567F8284"/>
    <w:rsid w:val="57C711B6"/>
    <w:rsid w:val="58368830"/>
    <w:rsid w:val="58E9759F"/>
    <w:rsid w:val="599FF1B8"/>
    <w:rsid w:val="5B07E611"/>
    <w:rsid w:val="5C64C4B1"/>
    <w:rsid w:val="5FF4234E"/>
    <w:rsid w:val="6084B177"/>
    <w:rsid w:val="616D0D38"/>
    <w:rsid w:val="61D0A25A"/>
    <w:rsid w:val="633DDBF0"/>
    <w:rsid w:val="6507AD1C"/>
    <w:rsid w:val="65537294"/>
    <w:rsid w:val="65A242DC"/>
    <w:rsid w:val="67B8CD56"/>
    <w:rsid w:val="67F1DDEA"/>
    <w:rsid w:val="68FF7D3F"/>
    <w:rsid w:val="6A1BA543"/>
    <w:rsid w:val="6A3ED651"/>
    <w:rsid w:val="6D8A42F8"/>
    <w:rsid w:val="6FD67FD3"/>
    <w:rsid w:val="703CB63B"/>
    <w:rsid w:val="716F69F5"/>
    <w:rsid w:val="73DAF2C2"/>
    <w:rsid w:val="73E6319A"/>
    <w:rsid w:val="7438A3B0"/>
    <w:rsid w:val="77DDA3E3"/>
    <w:rsid w:val="782A393E"/>
    <w:rsid w:val="79BD4ED9"/>
    <w:rsid w:val="7A30973B"/>
    <w:rsid w:val="7A9FAAF5"/>
    <w:rsid w:val="7B76D1AC"/>
    <w:rsid w:val="7BC1C3B0"/>
    <w:rsid w:val="7DB22DE1"/>
    <w:rsid w:val="7F23DF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F70F"/>
  <w15:chartTrackingRefBased/>
  <w15:docId w15:val="{E732D6F9-B0A3-438F-B482-E94617C6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A5"/>
    <w:rPr>
      <w:rFonts w:ascii="Arial" w:hAnsi="Arial"/>
    </w:rPr>
  </w:style>
  <w:style w:type="paragraph" w:styleId="Heading1">
    <w:name w:val="heading 1"/>
    <w:basedOn w:val="Normal"/>
    <w:next w:val="Normal"/>
    <w:link w:val="Heading1Char"/>
    <w:autoRedefine/>
    <w:uiPriority w:val="9"/>
    <w:qFormat/>
    <w:rsid w:val="0025106C"/>
    <w:pPr>
      <w:keepNext/>
      <w:keepLines/>
      <w:numPr>
        <w:numId w:val="7"/>
      </w:numPr>
      <w:spacing w:before="36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3F65DC"/>
    <w:pPr>
      <w:keepNext/>
      <w:keepLines/>
      <w:numPr>
        <w:ilvl w:val="1"/>
        <w:numId w:val="7"/>
      </w:numPr>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247AA3"/>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AA3"/>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AA3"/>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AA3"/>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AA3"/>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AA3"/>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AA3"/>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06C"/>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3F65D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247AA3"/>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AA3"/>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247AA3"/>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247AA3"/>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247AA3"/>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247AA3"/>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247AA3"/>
    <w:rPr>
      <w:rFonts w:ascii="Arial" w:eastAsiaTheme="majorEastAsia" w:hAnsi="Arial" w:cstheme="majorBidi"/>
      <w:color w:val="272727" w:themeColor="text1" w:themeTint="D8"/>
    </w:rPr>
  </w:style>
  <w:style w:type="paragraph" w:styleId="Title">
    <w:name w:val="Title"/>
    <w:basedOn w:val="Normal"/>
    <w:next w:val="Normal"/>
    <w:link w:val="TitleChar"/>
    <w:uiPriority w:val="10"/>
    <w:qFormat/>
    <w:rsid w:val="00C2528A"/>
    <w:pPr>
      <w:spacing w:before="2600" w:after="480" w:line="240" w:lineRule="auto"/>
      <w:contextualSpacing/>
    </w:pPr>
    <w:rPr>
      <w:rFonts w:eastAsiaTheme="majorEastAsia" w:cstheme="majorBidi"/>
      <w:b/>
      <w:color w:val="0070C0"/>
      <w:spacing w:val="-10"/>
      <w:kern w:val="28"/>
      <w:sz w:val="40"/>
      <w:szCs w:val="56"/>
    </w:rPr>
  </w:style>
  <w:style w:type="character" w:customStyle="1" w:styleId="TitleChar">
    <w:name w:val="Title Char"/>
    <w:basedOn w:val="DefaultParagraphFont"/>
    <w:link w:val="Title"/>
    <w:uiPriority w:val="10"/>
    <w:rsid w:val="00C2528A"/>
    <w:rPr>
      <w:rFonts w:ascii="Arial" w:eastAsiaTheme="majorEastAsia" w:hAnsi="Arial" w:cstheme="majorBidi"/>
      <w:b/>
      <w:color w:val="0070C0"/>
      <w:spacing w:val="-10"/>
      <w:kern w:val="28"/>
      <w:sz w:val="40"/>
      <w:szCs w:val="56"/>
    </w:rPr>
  </w:style>
  <w:style w:type="paragraph" w:styleId="Subtitle">
    <w:name w:val="Subtitle"/>
    <w:basedOn w:val="Normal"/>
    <w:next w:val="Normal"/>
    <w:link w:val="SubtitleChar"/>
    <w:uiPriority w:val="11"/>
    <w:qFormat/>
    <w:rsid w:val="00812B38"/>
    <w:pPr>
      <w:numPr>
        <w:ilvl w:val="1"/>
      </w:numPr>
    </w:pPr>
    <w:rPr>
      <w:rFonts w:eastAsiaTheme="majorEastAsia" w:cstheme="majorBidi"/>
      <w:b/>
      <w:color w:val="0070C0"/>
      <w:sz w:val="32"/>
      <w:szCs w:val="28"/>
    </w:rPr>
  </w:style>
  <w:style w:type="character" w:customStyle="1" w:styleId="SubtitleChar">
    <w:name w:val="Subtitle Char"/>
    <w:basedOn w:val="DefaultParagraphFont"/>
    <w:link w:val="Subtitle"/>
    <w:uiPriority w:val="11"/>
    <w:rsid w:val="00812B38"/>
    <w:rPr>
      <w:rFonts w:ascii="Arial" w:eastAsiaTheme="majorEastAsia" w:hAnsi="Arial" w:cstheme="majorBidi"/>
      <w:b/>
      <w:color w:val="0070C0"/>
      <w:sz w:val="32"/>
      <w:szCs w:val="28"/>
    </w:rPr>
  </w:style>
  <w:style w:type="paragraph" w:styleId="Quote">
    <w:name w:val="Quote"/>
    <w:basedOn w:val="Normal"/>
    <w:next w:val="Normal"/>
    <w:link w:val="QuoteChar"/>
    <w:uiPriority w:val="29"/>
    <w:qFormat/>
    <w:rsid w:val="00247AA3"/>
    <w:pPr>
      <w:spacing w:before="160"/>
      <w:jc w:val="center"/>
    </w:pPr>
    <w:rPr>
      <w:i/>
      <w:iCs/>
      <w:color w:val="404040" w:themeColor="text1" w:themeTint="BF"/>
    </w:rPr>
  </w:style>
  <w:style w:type="character" w:customStyle="1" w:styleId="QuoteChar">
    <w:name w:val="Quote Char"/>
    <w:basedOn w:val="DefaultParagraphFont"/>
    <w:link w:val="Quote"/>
    <w:uiPriority w:val="29"/>
    <w:rsid w:val="00247AA3"/>
    <w:rPr>
      <w:i/>
      <w:iCs/>
      <w:color w:val="404040" w:themeColor="text1" w:themeTint="BF"/>
    </w:rPr>
  </w:style>
  <w:style w:type="paragraph" w:styleId="ListParagraph">
    <w:name w:val="List Paragraph"/>
    <w:basedOn w:val="Normal"/>
    <w:uiPriority w:val="34"/>
    <w:qFormat/>
    <w:rsid w:val="00CC53DE"/>
    <w:pPr>
      <w:numPr>
        <w:numId w:val="2"/>
      </w:numPr>
      <w:contextualSpacing/>
    </w:pPr>
  </w:style>
  <w:style w:type="character" w:styleId="IntenseEmphasis">
    <w:name w:val="Intense Emphasis"/>
    <w:basedOn w:val="DefaultParagraphFont"/>
    <w:uiPriority w:val="21"/>
    <w:qFormat/>
    <w:rsid w:val="00247AA3"/>
    <w:rPr>
      <w:i/>
      <w:iCs/>
      <w:color w:val="0F4761" w:themeColor="accent1" w:themeShade="BF"/>
    </w:rPr>
  </w:style>
  <w:style w:type="paragraph" w:styleId="IntenseQuote">
    <w:name w:val="Intense Quote"/>
    <w:basedOn w:val="Normal"/>
    <w:next w:val="Normal"/>
    <w:link w:val="IntenseQuoteChar"/>
    <w:uiPriority w:val="30"/>
    <w:qFormat/>
    <w:rsid w:val="0024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AA3"/>
    <w:rPr>
      <w:i/>
      <w:iCs/>
      <w:color w:val="0F4761" w:themeColor="accent1" w:themeShade="BF"/>
    </w:rPr>
  </w:style>
  <w:style w:type="character" w:styleId="IntenseReference">
    <w:name w:val="Intense Reference"/>
    <w:basedOn w:val="DefaultParagraphFont"/>
    <w:uiPriority w:val="32"/>
    <w:qFormat/>
    <w:rsid w:val="00247AA3"/>
    <w:rPr>
      <w:b/>
      <w:bCs/>
      <w:smallCaps/>
      <w:color w:val="0F4761" w:themeColor="accent1" w:themeShade="BF"/>
      <w:spacing w:val="5"/>
    </w:rPr>
  </w:style>
  <w:style w:type="paragraph" w:styleId="TOCHeading">
    <w:name w:val="TOC Heading"/>
    <w:basedOn w:val="Heading1"/>
    <w:next w:val="Normal"/>
    <w:uiPriority w:val="39"/>
    <w:unhideWhenUsed/>
    <w:qFormat/>
    <w:rsid w:val="00B42AE6"/>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971C84"/>
    <w:pPr>
      <w:spacing w:after="100"/>
    </w:pPr>
  </w:style>
  <w:style w:type="character" w:styleId="Hyperlink">
    <w:name w:val="Hyperlink"/>
    <w:basedOn w:val="DefaultParagraphFont"/>
    <w:uiPriority w:val="99"/>
    <w:unhideWhenUsed/>
    <w:rsid w:val="00971C84"/>
    <w:rPr>
      <w:color w:val="467886" w:themeColor="hyperlink"/>
      <w:u w:val="single"/>
    </w:rPr>
  </w:style>
  <w:style w:type="paragraph" w:styleId="FootnoteText">
    <w:name w:val="footnote text"/>
    <w:basedOn w:val="Normal"/>
    <w:link w:val="FootnoteTextChar"/>
    <w:uiPriority w:val="99"/>
    <w:semiHidden/>
    <w:unhideWhenUsed/>
    <w:rsid w:val="008F2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F8C"/>
    <w:rPr>
      <w:rFonts w:ascii="Arial" w:hAnsi="Arial"/>
      <w:sz w:val="20"/>
      <w:szCs w:val="20"/>
    </w:rPr>
  </w:style>
  <w:style w:type="character" w:styleId="FootnoteReference">
    <w:name w:val="footnote reference"/>
    <w:basedOn w:val="DefaultParagraphFont"/>
    <w:uiPriority w:val="99"/>
    <w:semiHidden/>
    <w:unhideWhenUsed/>
    <w:rsid w:val="008F2F8C"/>
    <w:rPr>
      <w:vertAlign w:val="superscript"/>
    </w:rPr>
  </w:style>
  <w:style w:type="character" w:styleId="CommentReference">
    <w:name w:val="annotation reference"/>
    <w:basedOn w:val="DefaultParagraphFont"/>
    <w:uiPriority w:val="99"/>
    <w:semiHidden/>
    <w:unhideWhenUsed/>
    <w:rsid w:val="00334148"/>
    <w:rPr>
      <w:sz w:val="16"/>
      <w:szCs w:val="16"/>
    </w:rPr>
  </w:style>
  <w:style w:type="paragraph" w:styleId="CommentText">
    <w:name w:val="annotation text"/>
    <w:basedOn w:val="Normal"/>
    <w:link w:val="CommentTextChar"/>
    <w:uiPriority w:val="99"/>
    <w:unhideWhenUsed/>
    <w:rsid w:val="00334148"/>
    <w:pPr>
      <w:spacing w:line="240" w:lineRule="auto"/>
    </w:pPr>
    <w:rPr>
      <w:sz w:val="20"/>
      <w:szCs w:val="20"/>
    </w:rPr>
  </w:style>
  <w:style w:type="character" w:customStyle="1" w:styleId="CommentTextChar">
    <w:name w:val="Comment Text Char"/>
    <w:basedOn w:val="DefaultParagraphFont"/>
    <w:link w:val="CommentText"/>
    <w:uiPriority w:val="99"/>
    <w:rsid w:val="003341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4148"/>
    <w:rPr>
      <w:b/>
      <w:bCs/>
    </w:rPr>
  </w:style>
  <w:style w:type="character" w:customStyle="1" w:styleId="CommentSubjectChar">
    <w:name w:val="Comment Subject Char"/>
    <w:basedOn w:val="CommentTextChar"/>
    <w:link w:val="CommentSubject"/>
    <w:uiPriority w:val="99"/>
    <w:semiHidden/>
    <w:rsid w:val="00334148"/>
    <w:rPr>
      <w:rFonts w:ascii="Arial" w:hAnsi="Arial"/>
      <w:b/>
      <w:bCs/>
      <w:sz w:val="20"/>
      <w:szCs w:val="20"/>
    </w:rPr>
  </w:style>
  <w:style w:type="paragraph" w:styleId="Header">
    <w:name w:val="header"/>
    <w:basedOn w:val="Normal"/>
    <w:link w:val="HeaderChar"/>
    <w:uiPriority w:val="99"/>
    <w:unhideWhenUsed/>
    <w:rsid w:val="00506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D54"/>
    <w:rPr>
      <w:rFonts w:ascii="Arial" w:hAnsi="Arial"/>
    </w:rPr>
  </w:style>
  <w:style w:type="paragraph" w:styleId="Footer">
    <w:name w:val="footer"/>
    <w:basedOn w:val="Normal"/>
    <w:link w:val="FooterChar"/>
    <w:uiPriority w:val="99"/>
    <w:unhideWhenUsed/>
    <w:rsid w:val="00506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D54"/>
    <w:rPr>
      <w:rFonts w:ascii="Arial" w:hAnsi="Arial"/>
    </w:rPr>
  </w:style>
  <w:style w:type="paragraph" w:styleId="TOC2">
    <w:name w:val="toc 2"/>
    <w:basedOn w:val="Normal"/>
    <w:next w:val="Normal"/>
    <w:autoRedefine/>
    <w:uiPriority w:val="39"/>
    <w:unhideWhenUsed/>
    <w:rsid w:val="005C5A22"/>
    <w:pPr>
      <w:spacing w:after="100"/>
      <w:ind w:left="220"/>
    </w:pPr>
  </w:style>
  <w:style w:type="character" w:styleId="UnresolvedMention">
    <w:name w:val="Unresolved Mention"/>
    <w:basedOn w:val="DefaultParagraphFont"/>
    <w:uiPriority w:val="99"/>
    <w:semiHidden/>
    <w:unhideWhenUsed/>
    <w:rsid w:val="00D03EEF"/>
    <w:rPr>
      <w:color w:val="605E5C"/>
      <w:shd w:val="clear" w:color="auto" w:fill="E1DFDD"/>
    </w:rPr>
  </w:style>
  <w:style w:type="paragraph" w:styleId="Revision">
    <w:name w:val="Revision"/>
    <w:hidden/>
    <w:uiPriority w:val="99"/>
    <w:semiHidden/>
    <w:rsid w:val="00510A8E"/>
    <w:pPr>
      <w:spacing w:after="0" w:line="240" w:lineRule="auto"/>
    </w:pPr>
    <w:rPr>
      <w:rFonts w:ascii="Arial" w:hAnsi="Arial"/>
    </w:rPr>
  </w:style>
  <w:style w:type="table" w:styleId="TableGrid">
    <w:name w:val="Table Grid"/>
    <w:basedOn w:val="TableNormal"/>
    <w:uiPriority w:val="39"/>
    <w:rsid w:val="0071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7261"/>
    <w:rPr>
      <w:color w:val="96607D" w:themeColor="followedHyperlink"/>
      <w:u w:val="single"/>
    </w:rPr>
  </w:style>
  <w:style w:type="paragraph" w:customStyle="1" w:styleId="pf0">
    <w:name w:val="pf0"/>
    <w:basedOn w:val="Normal"/>
    <w:rsid w:val="007415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74157E"/>
    <w:rPr>
      <w:rFonts w:ascii="Segoe UI" w:hAnsi="Segoe UI" w:cs="Segoe UI" w:hint="default"/>
      <w:sz w:val="18"/>
      <w:szCs w:val="18"/>
    </w:rPr>
  </w:style>
  <w:style w:type="paragraph" w:styleId="NormalWeb">
    <w:name w:val="Normal (Web)"/>
    <w:basedOn w:val="Normal"/>
    <w:uiPriority w:val="99"/>
    <w:semiHidden/>
    <w:unhideWhenUsed/>
    <w:rsid w:val="007415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0668">
      <w:bodyDiv w:val="1"/>
      <w:marLeft w:val="0"/>
      <w:marRight w:val="0"/>
      <w:marTop w:val="0"/>
      <w:marBottom w:val="0"/>
      <w:divBdr>
        <w:top w:val="none" w:sz="0" w:space="0" w:color="auto"/>
        <w:left w:val="none" w:sz="0" w:space="0" w:color="auto"/>
        <w:bottom w:val="none" w:sz="0" w:space="0" w:color="auto"/>
        <w:right w:val="none" w:sz="0" w:space="0" w:color="auto"/>
      </w:divBdr>
      <w:divsChild>
        <w:div w:id="339167319">
          <w:marLeft w:val="0"/>
          <w:marRight w:val="0"/>
          <w:marTop w:val="0"/>
          <w:marBottom w:val="0"/>
          <w:divBdr>
            <w:top w:val="none" w:sz="0" w:space="0" w:color="auto"/>
            <w:left w:val="none" w:sz="0" w:space="0" w:color="auto"/>
            <w:bottom w:val="none" w:sz="0" w:space="0" w:color="auto"/>
            <w:right w:val="none" w:sz="0" w:space="0" w:color="auto"/>
          </w:divBdr>
        </w:div>
        <w:div w:id="522524347">
          <w:marLeft w:val="0"/>
          <w:marRight w:val="0"/>
          <w:marTop w:val="0"/>
          <w:marBottom w:val="0"/>
          <w:divBdr>
            <w:top w:val="none" w:sz="0" w:space="0" w:color="auto"/>
            <w:left w:val="none" w:sz="0" w:space="0" w:color="auto"/>
            <w:bottom w:val="none" w:sz="0" w:space="0" w:color="auto"/>
            <w:right w:val="none" w:sz="0" w:space="0" w:color="auto"/>
          </w:divBdr>
        </w:div>
        <w:div w:id="633947101">
          <w:marLeft w:val="0"/>
          <w:marRight w:val="0"/>
          <w:marTop w:val="0"/>
          <w:marBottom w:val="0"/>
          <w:divBdr>
            <w:top w:val="none" w:sz="0" w:space="0" w:color="auto"/>
            <w:left w:val="none" w:sz="0" w:space="0" w:color="auto"/>
            <w:bottom w:val="none" w:sz="0" w:space="0" w:color="auto"/>
            <w:right w:val="none" w:sz="0" w:space="0" w:color="auto"/>
          </w:divBdr>
        </w:div>
        <w:div w:id="1151752203">
          <w:marLeft w:val="0"/>
          <w:marRight w:val="0"/>
          <w:marTop w:val="0"/>
          <w:marBottom w:val="0"/>
          <w:divBdr>
            <w:top w:val="none" w:sz="0" w:space="0" w:color="auto"/>
            <w:left w:val="none" w:sz="0" w:space="0" w:color="auto"/>
            <w:bottom w:val="none" w:sz="0" w:space="0" w:color="auto"/>
            <w:right w:val="none" w:sz="0" w:space="0" w:color="auto"/>
          </w:divBdr>
        </w:div>
        <w:div w:id="1713460462">
          <w:marLeft w:val="0"/>
          <w:marRight w:val="0"/>
          <w:marTop w:val="0"/>
          <w:marBottom w:val="0"/>
          <w:divBdr>
            <w:top w:val="none" w:sz="0" w:space="0" w:color="auto"/>
            <w:left w:val="none" w:sz="0" w:space="0" w:color="auto"/>
            <w:bottom w:val="none" w:sz="0" w:space="0" w:color="auto"/>
            <w:right w:val="none" w:sz="0" w:space="0" w:color="auto"/>
          </w:divBdr>
        </w:div>
      </w:divsChild>
    </w:div>
    <w:div w:id="369691310">
      <w:bodyDiv w:val="1"/>
      <w:marLeft w:val="0"/>
      <w:marRight w:val="0"/>
      <w:marTop w:val="0"/>
      <w:marBottom w:val="0"/>
      <w:divBdr>
        <w:top w:val="none" w:sz="0" w:space="0" w:color="auto"/>
        <w:left w:val="none" w:sz="0" w:space="0" w:color="auto"/>
        <w:bottom w:val="none" w:sz="0" w:space="0" w:color="auto"/>
        <w:right w:val="none" w:sz="0" w:space="0" w:color="auto"/>
      </w:divBdr>
      <w:divsChild>
        <w:div w:id="1886061659">
          <w:marLeft w:val="360"/>
          <w:marRight w:val="0"/>
          <w:marTop w:val="0"/>
          <w:marBottom w:val="0"/>
          <w:divBdr>
            <w:top w:val="none" w:sz="0" w:space="0" w:color="auto"/>
            <w:left w:val="none" w:sz="0" w:space="0" w:color="auto"/>
            <w:bottom w:val="none" w:sz="0" w:space="0" w:color="auto"/>
            <w:right w:val="none" w:sz="0" w:space="0" w:color="auto"/>
          </w:divBdr>
        </w:div>
      </w:divsChild>
    </w:div>
    <w:div w:id="459882709">
      <w:bodyDiv w:val="1"/>
      <w:marLeft w:val="0"/>
      <w:marRight w:val="0"/>
      <w:marTop w:val="0"/>
      <w:marBottom w:val="0"/>
      <w:divBdr>
        <w:top w:val="none" w:sz="0" w:space="0" w:color="auto"/>
        <w:left w:val="none" w:sz="0" w:space="0" w:color="auto"/>
        <w:bottom w:val="none" w:sz="0" w:space="0" w:color="auto"/>
        <w:right w:val="none" w:sz="0" w:space="0" w:color="auto"/>
      </w:divBdr>
    </w:div>
    <w:div w:id="488135191">
      <w:bodyDiv w:val="1"/>
      <w:marLeft w:val="0"/>
      <w:marRight w:val="0"/>
      <w:marTop w:val="0"/>
      <w:marBottom w:val="0"/>
      <w:divBdr>
        <w:top w:val="none" w:sz="0" w:space="0" w:color="auto"/>
        <w:left w:val="none" w:sz="0" w:space="0" w:color="auto"/>
        <w:bottom w:val="none" w:sz="0" w:space="0" w:color="auto"/>
        <w:right w:val="none" w:sz="0" w:space="0" w:color="auto"/>
      </w:divBdr>
    </w:div>
    <w:div w:id="621376569">
      <w:bodyDiv w:val="1"/>
      <w:marLeft w:val="0"/>
      <w:marRight w:val="0"/>
      <w:marTop w:val="0"/>
      <w:marBottom w:val="0"/>
      <w:divBdr>
        <w:top w:val="none" w:sz="0" w:space="0" w:color="auto"/>
        <w:left w:val="none" w:sz="0" w:space="0" w:color="auto"/>
        <w:bottom w:val="none" w:sz="0" w:space="0" w:color="auto"/>
        <w:right w:val="none" w:sz="0" w:space="0" w:color="auto"/>
      </w:divBdr>
    </w:div>
    <w:div w:id="845168120">
      <w:bodyDiv w:val="1"/>
      <w:marLeft w:val="0"/>
      <w:marRight w:val="0"/>
      <w:marTop w:val="0"/>
      <w:marBottom w:val="0"/>
      <w:divBdr>
        <w:top w:val="none" w:sz="0" w:space="0" w:color="auto"/>
        <w:left w:val="none" w:sz="0" w:space="0" w:color="auto"/>
        <w:bottom w:val="none" w:sz="0" w:space="0" w:color="auto"/>
        <w:right w:val="none" w:sz="0" w:space="0" w:color="auto"/>
      </w:divBdr>
    </w:div>
    <w:div w:id="937639671">
      <w:bodyDiv w:val="1"/>
      <w:marLeft w:val="0"/>
      <w:marRight w:val="0"/>
      <w:marTop w:val="0"/>
      <w:marBottom w:val="0"/>
      <w:divBdr>
        <w:top w:val="none" w:sz="0" w:space="0" w:color="auto"/>
        <w:left w:val="none" w:sz="0" w:space="0" w:color="auto"/>
        <w:bottom w:val="none" w:sz="0" w:space="0" w:color="auto"/>
        <w:right w:val="none" w:sz="0" w:space="0" w:color="auto"/>
      </w:divBdr>
    </w:div>
    <w:div w:id="942147757">
      <w:bodyDiv w:val="1"/>
      <w:marLeft w:val="0"/>
      <w:marRight w:val="0"/>
      <w:marTop w:val="0"/>
      <w:marBottom w:val="0"/>
      <w:divBdr>
        <w:top w:val="none" w:sz="0" w:space="0" w:color="auto"/>
        <w:left w:val="none" w:sz="0" w:space="0" w:color="auto"/>
        <w:bottom w:val="none" w:sz="0" w:space="0" w:color="auto"/>
        <w:right w:val="none" w:sz="0" w:space="0" w:color="auto"/>
      </w:divBdr>
      <w:divsChild>
        <w:div w:id="434986787">
          <w:marLeft w:val="0"/>
          <w:marRight w:val="0"/>
          <w:marTop w:val="0"/>
          <w:marBottom w:val="0"/>
          <w:divBdr>
            <w:top w:val="none" w:sz="0" w:space="0" w:color="auto"/>
            <w:left w:val="none" w:sz="0" w:space="0" w:color="auto"/>
            <w:bottom w:val="none" w:sz="0" w:space="0" w:color="auto"/>
            <w:right w:val="none" w:sz="0" w:space="0" w:color="auto"/>
          </w:divBdr>
        </w:div>
        <w:div w:id="1379816392">
          <w:marLeft w:val="0"/>
          <w:marRight w:val="0"/>
          <w:marTop w:val="0"/>
          <w:marBottom w:val="0"/>
          <w:divBdr>
            <w:top w:val="none" w:sz="0" w:space="0" w:color="auto"/>
            <w:left w:val="none" w:sz="0" w:space="0" w:color="auto"/>
            <w:bottom w:val="none" w:sz="0" w:space="0" w:color="auto"/>
            <w:right w:val="none" w:sz="0" w:space="0" w:color="auto"/>
          </w:divBdr>
        </w:div>
        <w:div w:id="1715037057">
          <w:marLeft w:val="0"/>
          <w:marRight w:val="0"/>
          <w:marTop w:val="0"/>
          <w:marBottom w:val="0"/>
          <w:divBdr>
            <w:top w:val="none" w:sz="0" w:space="0" w:color="auto"/>
            <w:left w:val="none" w:sz="0" w:space="0" w:color="auto"/>
            <w:bottom w:val="none" w:sz="0" w:space="0" w:color="auto"/>
            <w:right w:val="none" w:sz="0" w:space="0" w:color="auto"/>
          </w:divBdr>
        </w:div>
        <w:div w:id="1965043918">
          <w:marLeft w:val="0"/>
          <w:marRight w:val="0"/>
          <w:marTop w:val="0"/>
          <w:marBottom w:val="0"/>
          <w:divBdr>
            <w:top w:val="none" w:sz="0" w:space="0" w:color="auto"/>
            <w:left w:val="none" w:sz="0" w:space="0" w:color="auto"/>
            <w:bottom w:val="none" w:sz="0" w:space="0" w:color="auto"/>
            <w:right w:val="none" w:sz="0" w:space="0" w:color="auto"/>
          </w:divBdr>
        </w:div>
        <w:div w:id="2085639630">
          <w:marLeft w:val="0"/>
          <w:marRight w:val="0"/>
          <w:marTop w:val="0"/>
          <w:marBottom w:val="0"/>
          <w:divBdr>
            <w:top w:val="none" w:sz="0" w:space="0" w:color="auto"/>
            <w:left w:val="none" w:sz="0" w:space="0" w:color="auto"/>
            <w:bottom w:val="none" w:sz="0" w:space="0" w:color="auto"/>
            <w:right w:val="none" w:sz="0" w:space="0" w:color="auto"/>
          </w:divBdr>
        </w:div>
      </w:divsChild>
    </w:div>
    <w:div w:id="1039549901">
      <w:bodyDiv w:val="1"/>
      <w:marLeft w:val="0"/>
      <w:marRight w:val="0"/>
      <w:marTop w:val="0"/>
      <w:marBottom w:val="0"/>
      <w:divBdr>
        <w:top w:val="none" w:sz="0" w:space="0" w:color="auto"/>
        <w:left w:val="none" w:sz="0" w:space="0" w:color="auto"/>
        <w:bottom w:val="none" w:sz="0" w:space="0" w:color="auto"/>
        <w:right w:val="none" w:sz="0" w:space="0" w:color="auto"/>
      </w:divBdr>
    </w:div>
    <w:div w:id="1094090085">
      <w:bodyDiv w:val="1"/>
      <w:marLeft w:val="0"/>
      <w:marRight w:val="0"/>
      <w:marTop w:val="0"/>
      <w:marBottom w:val="0"/>
      <w:divBdr>
        <w:top w:val="none" w:sz="0" w:space="0" w:color="auto"/>
        <w:left w:val="none" w:sz="0" w:space="0" w:color="auto"/>
        <w:bottom w:val="none" w:sz="0" w:space="0" w:color="auto"/>
        <w:right w:val="none" w:sz="0" w:space="0" w:color="auto"/>
      </w:divBdr>
    </w:div>
    <w:div w:id="1184830424">
      <w:bodyDiv w:val="1"/>
      <w:marLeft w:val="0"/>
      <w:marRight w:val="0"/>
      <w:marTop w:val="0"/>
      <w:marBottom w:val="0"/>
      <w:divBdr>
        <w:top w:val="none" w:sz="0" w:space="0" w:color="auto"/>
        <w:left w:val="none" w:sz="0" w:space="0" w:color="auto"/>
        <w:bottom w:val="none" w:sz="0" w:space="0" w:color="auto"/>
        <w:right w:val="none" w:sz="0" w:space="0" w:color="auto"/>
      </w:divBdr>
    </w:div>
    <w:div w:id="1304582834">
      <w:bodyDiv w:val="1"/>
      <w:marLeft w:val="0"/>
      <w:marRight w:val="0"/>
      <w:marTop w:val="0"/>
      <w:marBottom w:val="0"/>
      <w:divBdr>
        <w:top w:val="none" w:sz="0" w:space="0" w:color="auto"/>
        <w:left w:val="none" w:sz="0" w:space="0" w:color="auto"/>
        <w:bottom w:val="none" w:sz="0" w:space="0" w:color="auto"/>
        <w:right w:val="none" w:sz="0" w:space="0" w:color="auto"/>
      </w:divBdr>
    </w:div>
    <w:div w:id="1332442461">
      <w:bodyDiv w:val="1"/>
      <w:marLeft w:val="0"/>
      <w:marRight w:val="0"/>
      <w:marTop w:val="0"/>
      <w:marBottom w:val="0"/>
      <w:divBdr>
        <w:top w:val="none" w:sz="0" w:space="0" w:color="auto"/>
        <w:left w:val="none" w:sz="0" w:space="0" w:color="auto"/>
        <w:bottom w:val="none" w:sz="0" w:space="0" w:color="auto"/>
        <w:right w:val="none" w:sz="0" w:space="0" w:color="auto"/>
      </w:divBdr>
    </w:div>
    <w:div w:id="1460419413">
      <w:bodyDiv w:val="1"/>
      <w:marLeft w:val="0"/>
      <w:marRight w:val="0"/>
      <w:marTop w:val="0"/>
      <w:marBottom w:val="0"/>
      <w:divBdr>
        <w:top w:val="none" w:sz="0" w:space="0" w:color="auto"/>
        <w:left w:val="none" w:sz="0" w:space="0" w:color="auto"/>
        <w:bottom w:val="none" w:sz="0" w:space="0" w:color="auto"/>
        <w:right w:val="none" w:sz="0" w:space="0" w:color="auto"/>
      </w:divBdr>
    </w:div>
    <w:div w:id="1528134240">
      <w:bodyDiv w:val="1"/>
      <w:marLeft w:val="0"/>
      <w:marRight w:val="0"/>
      <w:marTop w:val="0"/>
      <w:marBottom w:val="0"/>
      <w:divBdr>
        <w:top w:val="none" w:sz="0" w:space="0" w:color="auto"/>
        <w:left w:val="none" w:sz="0" w:space="0" w:color="auto"/>
        <w:bottom w:val="none" w:sz="0" w:space="0" w:color="auto"/>
        <w:right w:val="none" w:sz="0" w:space="0" w:color="auto"/>
      </w:divBdr>
    </w:div>
    <w:div w:id="1572161041">
      <w:bodyDiv w:val="1"/>
      <w:marLeft w:val="0"/>
      <w:marRight w:val="0"/>
      <w:marTop w:val="0"/>
      <w:marBottom w:val="0"/>
      <w:divBdr>
        <w:top w:val="none" w:sz="0" w:space="0" w:color="auto"/>
        <w:left w:val="none" w:sz="0" w:space="0" w:color="auto"/>
        <w:bottom w:val="none" w:sz="0" w:space="0" w:color="auto"/>
        <w:right w:val="none" w:sz="0" w:space="0" w:color="auto"/>
      </w:divBdr>
    </w:div>
    <w:div w:id="1785226127">
      <w:bodyDiv w:val="1"/>
      <w:marLeft w:val="0"/>
      <w:marRight w:val="0"/>
      <w:marTop w:val="0"/>
      <w:marBottom w:val="0"/>
      <w:divBdr>
        <w:top w:val="none" w:sz="0" w:space="0" w:color="auto"/>
        <w:left w:val="none" w:sz="0" w:space="0" w:color="auto"/>
        <w:bottom w:val="none" w:sz="0" w:space="0" w:color="auto"/>
        <w:right w:val="none" w:sz="0" w:space="0" w:color="auto"/>
      </w:divBdr>
      <w:divsChild>
        <w:div w:id="269631719">
          <w:marLeft w:val="0"/>
          <w:marRight w:val="0"/>
          <w:marTop w:val="0"/>
          <w:marBottom w:val="0"/>
          <w:divBdr>
            <w:top w:val="none" w:sz="0" w:space="0" w:color="auto"/>
            <w:left w:val="none" w:sz="0" w:space="0" w:color="auto"/>
            <w:bottom w:val="none" w:sz="0" w:space="0" w:color="auto"/>
            <w:right w:val="none" w:sz="0" w:space="0" w:color="auto"/>
          </w:divBdr>
        </w:div>
        <w:div w:id="866720608">
          <w:marLeft w:val="0"/>
          <w:marRight w:val="0"/>
          <w:marTop w:val="0"/>
          <w:marBottom w:val="0"/>
          <w:divBdr>
            <w:top w:val="none" w:sz="0" w:space="0" w:color="auto"/>
            <w:left w:val="none" w:sz="0" w:space="0" w:color="auto"/>
            <w:bottom w:val="none" w:sz="0" w:space="0" w:color="auto"/>
            <w:right w:val="none" w:sz="0" w:space="0" w:color="auto"/>
          </w:divBdr>
        </w:div>
        <w:div w:id="1224756633">
          <w:marLeft w:val="0"/>
          <w:marRight w:val="0"/>
          <w:marTop w:val="0"/>
          <w:marBottom w:val="0"/>
          <w:divBdr>
            <w:top w:val="none" w:sz="0" w:space="0" w:color="auto"/>
            <w:left w:val="none" w:sz="0" w:space="0" w:color="auto"/>
            <w:bottom w:val="none" w:sz="0" w:space="0" w:color="auto"/>
            <w:right w:val="none" w:sz="0" w:space="0" w:color="auto"/>
          </w:divBdr>
        </w:div>
      </w:divsChild>
    </w:div>
    <w:div w:id="18756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integrated-urgent-care-key-performance-indicato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hero.com/governments/about"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www.shropshiretelfordandwrekin.nhs.uk/"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shropdoc.org.uk/" TargetMode="External"/><Relationship Id="rId6" Type="http://schemas.openxmlformats.org/officeDocument/2006/relationships/hyperlink" Target="https://www.england.nhs.uk/long-read/the-provider-selection-regime-statutory-guidance/" TargetMode="External"/><Relationship Id="rId5" Type="http://schemas.openxmlformats.org/officeDocument/2006/relationships/hyperlink" Target="https://www.legislation.gov.uk/uksi/2023/1348/contents/made" TargetMode="External"/><Relationship Id="rId4" Type="http://schemas.openxmlformats.org/officeDocument/2006/relationships/hyperlink" Target="https://www.england.nhs.uk/commissioning/how-commissioning-is-changing/nhs-provider-selection-regime/independent-patient-choice-and-procurement-panel/panel-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6" ma:contentTypeDescription="Create a new document." ma:contentTypeScope="" ma:versionID="f305d54e012ac09fbebdd0e928606b8b">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13b26b09df7e3304df9e850f42fa3a7" ns2:_="" ns3:_="">
    <xsd:import namespace="96410c0b-a514-402d-9462-ba76dadfba38"/>
    <xsd:import namespace="47bd0a4b-cdef-49e3-b4c2-dc603af9f461"/>
    <xsd:element name="properties">
      <xsd:complexType>
        <xsd:sequence>
          <xsd:element name="documentManagement">
            <xsd:complexType>
              <xsd:all>
                <xsd:element ref="ns2:Category" minOccurs="0"/>
                <xsd:element ref="ns2:MeetingDate" minOccurs="0"/>
                <xsd:element ref="ns2:DocumentN" minOccurs="0"/>
                <xsd:element ref="ns2:Duplicateversion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Category" ma:index="2"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MeetingDate" ma:index="4" nillable="true" ma:displayName="Meeting Date " ma:format="DateOnly" ma:internalName="MeetingDate">
      <xsd:simpleType>
        <xsd:restriction base="dms:DateTime"/>
      </xsd:simpleType>
    </xsd:element>
    <xsd:element name="DocumentN" ma:index="5" nillable="true" ma:displayName="Document N" ma:format="Dropdown" ma:internalName="DocumentN">
      <xsd:simpleType>
        <xsd:restriction base="dms:Note">
          <xsd:maxLength value="255"/>
        </xsd:restriction>
      </xsd:simpleType>
    </xsd:element>
    <xsd:element name="Duplicateversions" ma:index="6" nillable="true" ma:displayName="Duplicate versions" ma:format="Dropdown" ma:internalName="Duplicateversion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N xmlns="96410c0b-a514-402d-9462-ba76dadfba38">CMS00</DocumentN>
    <Category xmlns="96410c0b-a514-402d-9462-ba76dadfba38">Case Document</Category>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F89C-467D-4B4B-8D3E-0EA68969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C106A-8FDF-4189-864E-CD98D0A0E7E6}">
  <ds:schemaRefs>
    <ds:schemaRef ds:uri="http://schemas.microsoft.com/sharepoint/v3/contenttype/forms"/>
  </ds:schemaRefs>
</ds:datastoreItem>
</file>

<file path=customXml/itemProps3.xml><?xml version="1.0" encoding="utf-8"?>
<ds:datastoreItem xmlns:ds="http://schemas.openxmlformats.org/officeDocument/2006/customXml" ds:itemID="{1B77D4D9-D4EE-4A2A-9370-55F6AE00D4B1}">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customXml/itemProps4.xml><?xml version="1.0" encoding="utf-8"?>
<ds:datastoreItem xmlns:ds="http://schemas.openxmlformats.org/officeDocument/2006/customXml" ds:itemID="{ED6BB0BA-2C4D-4BAB-A3C4-A9F9FA9A03C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10443</Words>
  <Characters>59526</Characters>
  <Application>Microsoft Office Word</Application>
  <DocSecurity>8</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69830</CharactersWithSpaces>
  <SharedDoc>false</SharedDoc>
  <HLinks>
    <vt:vector size="126" baseType="variant">
      <vt:variant>
        <vt:i4>5898243</vt:i4>
      </vt:variant>
      <vt:variant>
        <vt:i4>99</vt:i4>
      </vt:variant>
      <vt:variant>
        <vt:i4>0</vt:i4>
      </vt:variant>
      <vt:variant>
        <vt:i4>5</vt:i4>
      </vt:variant>
      <vt:variant>
        <vt:lpwstr>https://www.england.nhs.uk/publication/integrated-urgent-care-key-performance-indicators/</vt:lpwstr>
      </vt:variant>
      <vt:variant>
        <vt:lpwstr/>
      </vt:variant>
      <vt:variant>
        <vt:i4>1507381</vt:i4>
      </vt:variant>
      <vt:variant>
        <vt:i4>68</vt:i4>
      </vt:variant>
      <vt:variant>
        <vt:i4>0</vt:i4>
      </vt:variant>
      <vt:variant>
        <vt:i4>5</vt:i4>
      </vt:variant>
      <vt:variant>
        <vt:lpwstr/>
      </vt:variant>
      <vt:variant>
        <vt:lpwstr>_Toc201919701</vt:lpwstr>
      </vt:variant>
      <vt:variant>
        <vt:i4>1507381</vt:i4>
      </vt:variant>
      <vt:variant>
        <vt:i4>62</vt:i4>
      </vt:variant>
      <vt:variant>
        <vt:i4>0</vt:i4>
      </vt:variant>
      <vt:variant>
        <vt:i4>5</vt:i4>
      </vt:variant>
      <vt:variant>
        <vt:lpwstr/>
      </vt:variant>
      <vt:variant>
        <vt:lpwstr>_Toc201919700</vt:lpwstr>
      </vt:variant>
      <vt:variant>
        <vt:i4>1966132</vt:i4>
      </vt:variant>
      <vt:variant>
        <vt:i4>56</vt:i4>
      </vt:variant>
      <vt:variant>
        <vt:i4>0</vt:i4>
      </vt:variant>
      <vt:variant>
        <vt:i4>5</vt:i4>
      </vt:variant>
      <vt:variant>
        <vt:lpwstr/>
      </vt:variant>
      <vt:variant>
        <vt:lpwstr>_Toc201919699</vt:lpwstr>
      </vt:variant>
      <vt:variant>
        <vt:i4>1966132</vt:i4>
      </vt:variant>
      <vt:variant>
        <vt:i4>50</vt:i4>
      </vt:variant>
      <vt:variant>
        <vt:i4>0</vt:i4>
      </vt:variant>
      <vt:variant>
        <vt:i4>5</vt:i4>
      </vt:variant>
      <vt:variant>
        <vt:lpwstr/>
      </vt:variant>
      <vt:variant>
        <vt:lpwstr>_Toc201919698</vt:lpwstr>
      </vt:variant>
      <vt:variant>
        <vt:i4>1966132</vt:i4>
      </vt:variant>
      <vt:variant>
        <vt:i4>44</vt:i4>
      </vt:variant>
      <vt:variant>
        <vt:i4>0</vt:i4>
      </vt:variant>
      <vt:variant>
        <vt:i4>5</vt:i4>
      </vt:variant>
      <vt:variant>
        <vt:lpwstr/>
      </vt:variant>
      <vt:variant>
        <vt:lpwstr>_Toc201919697</vt:lpwstr>
      </vt:variant>
      <vt:variant>
        <vt:i4>1966132</vt:i4>
      </vt:variant>
      <vt:variant>
        <vt:i4>38</vt:i4>
      </vt:variant>
      <vt:variant>
        <vt:i4>0</vt:i4>
      </vt:variant>
      <vt:variant>
        <vt:i4>5</vt:i4>
      </vt:variant>
      <vt:variant>
        <vt:lpwstr/>
      </vt:variant>
      <vt:variant>
        <vt:lpwstr>_Toc201919696</vt:lpwstr>
      </vt:variant>
      <vt:variant>
        <vt:i4>1966132</vt:i4>
      </vt:variant>
      <vt:variant>
        <vt:i4>32</vt:i4>
      </vt:variant>
      <vt:variant>
        <vt:i4>0</vt:i4>
      </vt:variant>
      <vt:variant>
        <vt:i4>5</vt:i4>
      </vt:variant>
      <vt:variant>
        <vt:lpwstr/>
      </vt:variant>
      <vt:variant>
        <vt:lpwstr>_Toc201919695</vt:lpwstr>
      </vt:variant>
      <vt:variant>
        <vt:i4>1966132</vt:i4>
      </vt:variant>
      <vt:variant>
        <vt:i4>26</vt:i4>
      </vt:variant>
      <vt:variant>
        <vt:i4>0</vt:i4>
      </vt:variant>
      <vt:variant>
        <vt:i4>5</vt:i4>
      </vt:variant>
      <vt:variant>
        <vt:lpwstr/>
      </vt:variant>
      <vt:variant>
        <vt:lpwstr>_Toc201919694</vt:lpwstr>
      </vt:variant>
      <vt:variant>
        <vt:i4>1966132</vt:i4>
      </vt:variant>
      <vt:variant>
        <vt:i4>20</vt:i4>
      </vt:variant>
      <vt:variant>
        <vt:i4>0</vt:i4>
      </vt:variant>
      <vt:variant>
        <vt:i4>5</vt:i4>
      </vt:variant>
      <vt:variant>
        <vt:lpwstr/>
      </vt:variant>
      <vt:variant>
        <vt:lpwstr>_Toc201919693</vt:lpwstr>
      </vt:variant>
      <vt:variant>
        <vt:i4>1966132</vt:i4>
      </vt:variant>
      <vt:variant>
        <vt:i4>14</vt:i4>
      </vt:variant>
      <vt:variant>
        <vt:i4>0</vt:i4>
      </vt:variant>
      <vt:variant>
        <vt:i4>5</vt:i4>
      </vt:variant>
      <vt:variant>
        <vt:lpwstr/>
      </vt:variant>
      <vt:variant>
        <vt:lpwstr>_Toc201919692</vt:lpwstr>
      </vt:variant>
      <vt:variant>
        <vt:i4>1966132</vt:i4>
      </vt:variant>
      <vt:variant>
        <vt:i4>8</vt:i4>
      </vt:variant>
      <vt:variant>
        <vt:i4>0</vt:i4>
      </vt:variant>
      <vt:variant>
        <vt:i4>5</vt:i4>
      </vt:variant>
      <vt:variant>
        <vt:lpwstr/>
      </vt:variant>
      <vt:variant>
        <vt:lpwstr>_Toc201919691</vt:lpwstr>
      </vt:variant>
      <vt:variant>
        <vt:i4>1966132</vt:i4>
      </vt:variant>
      <vt:variant>
        <vt:i4>2</vt:i4>
      </vt:variant>
      <vt:variant>
        <vt:i4>0</vt:i4>
      </vt:variant>
      <vt:variant>
        <vt:i4>5</vt:i4>
      </vt:variant>
      <vt:variant>
        <vt:lpwstr/>
      </vt:variant>
      <vt:variant>
        <vt:lpwstr>_Toc201919690</vt:lpwstr>
      </vt:variant>
      <vt:variant>
        <vt:i4>4456452</vt:i4>
      </vt:variant>
      <vt:variant>
        <vt:i4>21</vt:i4>
      </vt:variant>
      <vt:variant>
        <vt:i4>0</vt:i4>
      </vt:variant>
      <vt:variant>
        <vt:i4>5</vt:i4>
      </vt:variant>
      <vt:variant>
        <vt:lpwstr>https://www.healthhero.com/governments/about</vt:lpwstr>
      </vt:variant>
      <vt:variant>
        <vt:lpwstr/>
      </vt:variant>
      <vt:variant>
        <vt:i4>7602222</vt:i4>
      </vt:variant>
      <vt:variant>
        <vt:i4>18</vt:i4>
      </vt:variant>
      <vt:variant>
        <vt:i4>0</vt:i4>
      </vt:variant>
      <vt:variant>
        <vt:i4>5</vt:i4>
      </vt:variant>
      <vt:variant>
        <vt:lpwstr>https://www.shropshiretelfordandwrekin.nhs.uk/</vt:lpwstr>
      </vt:variant>
      <vt:variant>
        <vt:lpwstr/>
      </vt:variant>
      <vt:variant>
        <vt:i4>2818172</vt:i4>
      </vt:variant>
      <vt:variant>
        <vt:i4>15</vt:i4>
      </vt:variant>
      <vt:variant>
        <vt:i4>0</vt:i4>
      </vt:variant>
      <vt:variant>
        <vt:i4>5</vt:i4>
      </vt:variant>
      <vt:variant>
        <vt:lpwstr>https://www.england.nhs.uk/long-read/the-provider-selection-regime-statutory-guidance/</vt:lpwstr>
      </vt:variant>
      <vt:variant>
        <vt:lpwstr/>
      </vt:variant>
      <vt:variant>
        <vt:i4>3670113</vt:i4>
      </vt:variant>
      <vt:variant>
        <vt:i4>12</vt:i4>
      </vt:variant>
      <vt:variant>
        <vt:i4>0</vt:i4>
      </vt:variant>
      <vt:variant>
        <vt:i4>5</vt:i4>
      </vt:variant>
      <vt:variant>
        <vt:lpwstr>https://www.legislation.gov.uk/uksi/2023/1348/contents/made</vt:lpwstr>
      </vt:variant>
      <vt:variant>
        <vt:lpwstr/>
      </vt:variant>
      <vt:variant>
        <vt:i4>720903</vt:i4>
      </vt:variant>
      <vt:variant>
        <vt:i4>9</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6</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7864419</vt:i4>
      </vt:variant>
      <vt:variant>
        <vt:i4>3</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4390983</vt:i4>
      </vt:variant>
      <vt:variant>
        <vt:i4>0</vt:i4>
      </vt:variant>
      <vt:variant>
        <vt:i4>0</vt:i4>
      </vt:variant>
      <vt:variant>
        <vt:i4>5</vt:i4>
      </vt:variant>
      <vt:variant>
        <vt:lpwstr>https://shropdoc.org.uk/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Bianca (NHS SOUTH, CENTRAL AND WEST COMMISSIONING SUPPORT UNIT)</dc:creator>
  <cp:keywords/>
  <dc:description/>
  <cp:lastModifiedBy>BOSHELL, Joanne (NHS ENGLAND)</cp:lastModifiedBy>
  <cp:revision>75</cp:revision>
  <cp:lastPrinted>2025-06-20T18:04:00Z</cp:lastPrinted>
  <dcterms:created xsi:type="dcterms:W3CDTF">2025-06-30T13:58:00Z</dcterms:created>
  <dcterms:modified xsi:type="dcterms:W3CDTF">2025-07-02T11:29:00Z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