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3F9C" w14:textId="4FA48E90" w:rsidR="00073523" w:rsidRPr="00C2528A" w:rsidRDefault="00BA1284" w:rsidP="00C2528A">
      <w:pPr>
        <w:pStyle w:val="Title"/>
      </w:pPr>
      <w:r w:rsidRPr="00C2528A">
        <w:t>I</w:t>
      </w:r>
      <w:bookmarkStart w:id="0" w:name="_Ref202424618"/>
      <w:bookmarkEnd w:id="0"/>
      <w:r w:rsidRPr="00C2528A">
        <w:t>ndependent Patient Choice and Procurement Panel</w:t>
      </w:r>
    </w:p>
    <w:p w14:paraId="099EC198" w14:textId="1802625D" w:rsidR="00BA1284" w:rsidRPr="00E56C34" w:rsidRDefault="00BA1284" w:rsidP="00E56C34">
      <w:pPr>
        <w:pStyle w:val="Subtitle"/>
      </w:pPr>
      <w:r w:rsidRPr="00E56C34">
        <w:t xml:space="preserve">Review of a </w:t>
      </w:r>
      <w:r w:rsidR="008864AD" w:rsidRPr="00E56C34">
        <w:t>proposed contract award</w:t>
      </w:r>
    </w:p>
    <w:p w14:paraId="14D3A4FB" w14:textId="77777777" w:rsidR="00C2528A" w:rsidRDefault="00C2528A" w:rsidP="00812B38">
      <w:pPr>
        <w:pStyle w:val="Subtitle"/>
        <w:rPr>
          <w:highlight w:val="yellow"/>
        </w:rPr>
      </w:pPr>
    </w:p>
    <w:p w14:paraId="3D241E8A" w14:textId="7DBFAE1A" w:rsidR="008864AD" w:rsidRPr="00B53993" w:rsidRDefault="00C76C93" w:rsidP="00812B38">
      <w:pPr>
        <w:pStyle w:val="Subtitle"/>
      </w:pPr>
      <w:r>
        <w:t>Whitehawk Alternative Provider Medical Services (APMS) Primary Care Services</w:t>
      </w:r>
    </w:p>
    <w:p w14:paraId="6D39B052" w14:textId="77777777" w:rsidR="00DC6D78" w:rsidRDefault="00DC6D78"/>
    <w:p w14:paraId="477EAD69" w14:textId="77777777" w:rsidR="0025106C" w:rsidRDefault="0025106C" w:rsidP="00812B38">
      <w:pPr>
        <w:pStyle w:val="Subtitle"/>
        <w:rPr>
          <w:sz w:val="28"/>
          <w:szCs w:val="24"/>
        </w:rPr>
      </w:pPr>
    </w:p>
    <w:p w14:paraId="70E108B0" w14:textId="77777777" w:rsidR="0025106C" w:rsidRDefault="0025106C" w:rsidP="00812B38">
      <w:pPr>
        <w:pStyle w:val="Subtitle"/>
        <w:rPr>
          <w:sz w:val="28"/>
          <w:szCs w:val="24"/>
        </w:rPr>
      </w:pPr>
    </w:p>
    <w:p w14:paraId="083AECAA" w14:textId="77777777" w:rsidR="0025106C" w:rsidRDefault="0025106C" w:rsidP="00812B38">
      <w:pPr>
        <w:pStyle w:val="Subtitle"/>
        <w:rPr>
          <w:sz w:val="28"/>
          <w:szCs w:val="24"/>
        </w:rPr>
      </w:pPr>
    </w:p>
    <w:p w14:paraId="4FA54F58" w14:textId="43DDD7C0" w:rsidR="00D6101B" w:rsidRPr="00812B38" w:rsidRDefault="00D6101B" w:rsidP="00812B38">
      <w:pPr>
        <w:pStyle w:val="Subtitle"/>
        <w:rPr>
          <w:sz w:val="28"/>
          <w:szCs w:val="24"/>
        </w:rPr>
      </w:pPr>
      <w:r w:rsidRPr="00812B38">
        <w:rPr>
          <w:sz w:val="28"/>
          <w:szCs w:val="24"/>
        </w:rPr>
        <w:t xml:space="preserve">Case Reference: </w:t>
      </w:r>
      <w:r w:rsidR="00000F91">
        <w:rPr>
          <w:sz w:val="28"/>
          <w:szCs w:val="24"/>
        </w:rPr>
        <w:t>CR0020-25</w:t>
      </w:r>
    </w:p>
    <w:p w14:paraId="2FD38E52" w14:textId="6A00F7C3" w:rsidR="00D6101B" w:rsidRPr="00812B38" w:rsidRDefault="00D51AEE" w:rsidP="00812B38">
      <w:pPr>
        <w:pStyle w:val="Subtitle"/>
        <w:rPr>
          <w:sz w:val="28"/>
          <w:szCs w:val="24"/>
        </w:rPr>
      </w:pPr>
      <w:r w:rsidRPr="007E268E">
        <w:rPr>
          <w:sz w:val="28"/>
          <w:szCs w:val="24"/>
        </w:rPr>
        <w:t>23</w:t>
      </w:r>
      <w:r w:rsidR="003D4335" w:rsidRPr="007E268E">
        <w:rPr>
          <w:sz w:val="28"/>
          <w:szCs w:val="24"/>
        </w:rPr>
        <w:t xml:space="preserve"> July</w:t>
      </w:r>
      <w:r w:rsidR="003D4335">
        <w:rPr>
          <w:sz w:val="28"/>
          <w:szCs w:val="24"/>
        </w:rPr>
        <w:t xml:space="preserve"> 2025</w:t>
      </w:r>
    </w:p>
    <w:p w14:paraId="6AF81D4D" w14:textId="4B890C22" w:rsidR="0005616B" w:rsidRDefault="0005616B">
      <w:pPr>
        <w:rPr>
          <w:b/>
          <w:bCs/>
          <w:color w:val="0070C0"/>
          <w:sz w:val="28"/>
          <w:szCs w:val="28"/>
        </w:rPr>
      </w:pPr>
      <w:r>
        <w:rPr>
          <w:b/>
          <w:bCs/>
          <w:color w:val="0070C0"/>
          <w:sz w:val="28"/>
          <w:szCs w:val="28"/>
        </w:rPr>
        <w:br w:type="page"/>
      </w:r>
    </w:p>
    <w:sdt>
      <w:sdtPr>
        <w:rPr>
          <w:rFonts w:cs="Arial"/>
          <w:b/>
          <w:bCs/>
          <w:sz w:val="28"/>
          <w:szCs w:val="28"/>
        </w:rPr>
        <w:id w:val="-119384216"/>
        <w:docPartObj>
          <w:docPartGallery w:val="Table of Contents"/>
          <w:docPartUnique/>
        </w:docPartObj>
      </w:sdtPr>
      <w:sdtEndPr>
        <w:rPr>
          <w:rFonts w:cstheme="minorBidi"/>
          <w:b w:val="0"/>
          <w:bCs w:val="0"/>
          <w:sz w:val="22"/>
          <w:szCs w:val="22"/>
        </w:rPr>
      </w:sdtEndPr>
      <w:sdtContent>
        <w:p w14:paraId="5566C04A" w14:textId="4E1AFD3B" w:rsidR="00B42AE6" w:rsidRPr="000273B4" w:rsidRDefault="00B42AE6" w:rsidP="00971C84">
          <w:pPr>
            <w:rPr>
              <w:rFonts w:cs="Arial"/>
              <w:sz w:val="28"/>
              <w:szCs w:val="28"/>
            </w:rPr>
          </w:pPr>
          <w:r w:rsidRPr="00FC4638">
            <w:rPr>
              <w:rFonts w:cs="Arial"/>
              <w:sz w:val="28"/>
              <w:szCs w:val="28"/>
            </w:rPr>
            <w:t>Contents</w:t>
          </w:r>
        </w:p>
        <w:p w14:paraId="7F9FEA1D" w14:textId="16D261B8" w:rsidR="007E268E" w:rsidRDefault="00AB42AE">
          <w:pPr>
            <w:pStyle w:val="TOC1"/>
            <w:tabs>
              <w:tab w:val="left" w:pos="440"/>
              <w:tab w:val="right" w:leader="dot" w:pos="9016"/>
            </w:tabs>
            <w:rPr>
              <w:rFonts w:asciiTheme="minorHAnsi" w:eastAsiaTheme="minorEastAsia" w:hAnsiTheme="minorHAnsi"/>
              <w:noProof/>
              <w:sz w:val="24"/>
              <w:szCs w:val="24"/>
              <w:lang w:eastAsia="en-GB"/>
            </w:rPr>
          </w:pPr>
          <w:r>
            <w:fldChar w:fldCharType="begin"/>
          </w:r>
          <w:r>
            <w:instrText xml:space="preserve"> TOC \o "1-2" \h \z \u </w:instrText>
          </w:r>
          <w:r>
            <w:fldChar w:fldCharType="separate"/>
          </w:r>
          <w:hyperlink w:anchor="_Toc204164414" w:history="1">
            <w:r w:rsidR="007E268E" w:rsidRPr="00E5600F">
              <w:rPr>
                <w:rStyle w:val="Hyperlink"/>
                <w:noProof/>
              </w:rPr>
              <w:t>1</w:t>
            </w:r>
            <w:r w:rsidR="007E268E">
              <w:rPr>
                <w:rFonts w:asciiTheme="minorHAnsi" w:eastAsiaTheme="minorEastAsia" w:hAnsiTheme="minorHAnsi"/>
                <w:noProof/>
                <w:sz w:val="24"/>
                <w:szCs w:val="24"/>
                <w:lang w:eastAsia="en-GB"/>
              </w:rPr>
              <w:tab/>
            </w:r>
            <w:r w:rsidR="007E268E" w:rsidRPr="00E5600F">
              <w:rPr>
                <w:rStyle w:val="Hyperlink"/>
                <w:noProof/>
              </w:rPr>
              <w:t>Executive Summary</w:t>
            </w:r>
            <w:r w:rsidR="007E268E">
              <w:rPr>
                <w:noProof/>
                <w:webHidden/>
              </w:rPr>
              <w:tab/>
            </w:r>
            <w:r w:rsidR="007E268E">
              <w:rPr>
                <w:noProof/>
                <w:webHidden/>
              </w:rPr>
              <w:fldChar w:fldCharType="begin"/>
            </w:r>
            <w:r w:rsidR="007E268E">
              <w:rPr>
                <w:noProof/>
                <w:webHidden/>
              </w:rPr>
              <w:instrText xml:space="preserve"> PAGEREF _Toc204164414 \h </w:instrText>
            </w:r>
            <w:r w:rsidR="007E268E">
              <w:rPr>
                <w:noProof/>
                <w:webHidden/>
              </w:rPr>
            </w:r>
            <w:r w:rsidR="007E268E">
              <w:rPr>
                <w:noProof/>
                <w:webHidden/>
              </w:rPr>
              <w:fldChar w:fldCharType="separate"/>
            </w:r>
            <w:r w:rsidR="00C81C5A">
              <w:rPr>
                <w:noProof/>
                <w:webHidden/>
              </w:rPr>
              <w:t>3</w:t>
            </w:r>
            <w:r w:rsidR="007E268E">
              <w:rPr>
                <w:noProof/>
                <w:webHidden/>
              </w:rPr>
              <w:fldChar w:fldCharType="end"/>
            </w:r>
          </w:hyperlink>
        </w:p>
        <w:p w14:paraId="34E54981" w14:textId="11CF5471"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15" w:history="1">
            <w:r w:rsidRPr="00E5600F">
              <w:rPr>
                <w:rStyle w:val="Hyperlink"/>
                <w:noProof/>
              </w:rPr>
              <w:t>2</w:t>
            </w:r>
            <w:r>
              <w:rPr>
                <w:rFonts w:asciiTheme="minorHAnsi" w:eastAsiaTheme="minorEastAsia" w:hAnsiTheme="minorHAnsi"/>
                <w:noProof/>
                <w:sz w:val="24"/>
                <w:szCs w:val="24"/>
                <w:lang w:eastAsia="en-GB"/>
              </w:rPr>
              <w:tab/>
            </w:r>
            <w:r w:rsidRPr="00E5600F">
              <w:rPr>
                <w:rStyle w:val="Hyperlink"/>
                <w:noProof/>
              </w:rPr>
              <w:t>Introduction</w:t>
            </w:r>
            <w:r>
              <w:rPr>
                <w:noProof/>
                <w:webHidden/>
              </w:rPr>
              <w:tab/>
            </w:r>
            <w:r>
              <w:rPr>
                <w:noProof/>
                <w:webHidden/>
              </w:rPr>
              <w:fldChar w:fldCharType="begin"/>
            </w:r>
            <w:r>
              <w:rPr>
                <w:noProof/>
                <w:webHidden/>
              </w:rPr>
              <w:instrText xml:space="preserve"> PAGEREF _Toc204164415 \h </w:instrText>
            </w:r>
            <w:r>
              <w:rPr>
                <w:noProof/>
                <w:webHidden/>
              </w:rPr>
            </w:r>
            <w:r>
              <w:rPr>
                <w:noProof/>
                <w:webHidden/>
              </w:rPr>
              <w:fldChar w:fldCharType="separate"/>
            </w:r>
            <w:r w:rsidR="00C81C5A">
              <w:rPr>
                <w:noProof/>
                <w:webHidden/>
              </w:rPr>
              <w:t>5</w:t>
            </w:r>
            <w:r>
              <w:rPr>
                <w:noProof/>
                <w:webHidden/>
              </w:rPr>
              <w:fldChar w:fldCharType="end"/>
            </w:r>
          </w:hyperlink>
        </w:p>
        <w:p w14:paraId="5B41B427" w14:textId="157B66AC"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16" w:history="1">
            <w:r w:rsidRPr="00E5600F">
              <w:rPr>
                <w:rStyle w:val="Hyperlink"/>
                <w:noProof/>
              </w:rPr>
              <w:t>3</w:t>
            </w:r>
            <w:r>
              <w:rPr>
                <w:rFonts w:asciiTheme="minorHAnsi" w:eastAsiaTheme="minorEastAsia" w:hAnsiTheme="minorHAnsi"/>
                <w:noProof/>
                <w:sz w:val="24"/>
                <w:szCs w:val="24"/>
                <w:lang w:eastAsia="en-GB"/>
              </w:rPr>
              <w:tab/>
            </w:r>
            <w:r w:rsidRPr="00E5600F">
              <w:rPr>
                <w:rStyle w:val="Hyperlink"/>
                <w:noProof/>
              </w:rPr>
              <w:t>Role of the Panel</w:t>
            </w:r>
            <w:r>
              <w:rPr>
                <w:noProof/>
                <w:webHidden/>
              </w:rPr>
              <w:tab/>
            </w:r>
            <w:r>
              <w:rPr>
                <w:noProof/>
                <w:webHidden/>
              </w:rPr>
              <w:fldChar w:fldCharType="begin"/>
            </w:r>
            <w:r>
              <w:rPr>
                <w:noProof/>
                <w:webHidden/>
              </w:rPr>
              <w:instrText xml:space="preserve"> PAGEREF _Toc204164416 \h </w:instrText>
            </w:r>
            <w:r>
              <w:rPr>
                <w:noProof/>
                <w:webHidden/>
              </w:rPr>
            </w:r>
            <w:r>
              <w:rPr>
                <w:noProof/>
                <w:webHidden/>
              </w:rPr>
              <w:fldChar w:fldCharType="separate"/>
            </w:r>
            <w:r w:rsidR="00C81C5A">
              <w:rPr>
                <w:noProof/>
                <w:webHidden/>
              </w:rPr>
              <w:t>6</w:t>
            </w:r>
            <w:r>
              <w:rPr>
                <w:noProof/>
                <w:webHidden/>
              </w:rPr>
              <w:fldChar w:fldCharType="end"/>
            </w:r>
          </w:hyperlink>
        </w:p>
        <w:p w14:paraId="02A9114A" w14:textId="424403AA"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17" w:history="1">
            <w:r w:rsidRPr="00E5600F">
              <w:rPr>
                <w:rStyle w:val="Hyperlink"/>
                <w:noProof/>
              </w:rPr>
              <w:t>4</w:t>
            </w:r>
            <w:r>
              <w:rPr>
                <w:rFonts w:asciiTheme="minorHAnsi" w:eastAsiaTheme="minorEastAsia" w:hAnsiTheme="minorHAnsi"/>
                <w:noProof/>
                <w:sz w:val="24"/>
                <w:szCs w:val="24"/>
                <w:lang w:eastAsia="en-GB"/>
              </w:rPr>
              <w:tab/>
            </w:r>
            <w:r w:rsidRPr="00E5600F">
              <w:rPr>
                <w:rStyle w:val="Hyperlink"/>
                <w:noProof/>
              </w:rPr>
              <w:t>Background to this review</w:t>
            </w:r>
            <w:r>
              <w:rPr>
                <w:noProof/>
                <w:webHidden/>
              </w:rPr>
              <w:tab/>
            </w:r>
            <w:r>
              <w:rPr>
                <w:noProof/>
                <w:webHidden/>
              </w:rPr>
              <w:fldChar w:fldCharType="begin"/>
            </w:r>
            <w:r>
              <w:rPr>
                <w:noProof/>
                <w:webHidden/>
              </w:rPr>
              <w:instrText xml:space="preserve"> PAGEREF _Toc204164417 \h </w:instrText>
            </w:r>
            <w:r>
              <w:rPr>
                <w:noProof/>
                <w:webHidden/>
              </w:rPr>
            </w:r>
            <w:r>
              <w:rPr>
                <w:noProof/>
                <w:webHidden/>
              </w:rPr>
              <w:fldChar w:fldCharType="separate"/>
            </w:r>
            <w:r w:rsidR="00C81C5A">
              <w:rPr>
                <w:noProof/>
                <w:webHidden/>
              </w:rPr>
              <w:t>6</w:t>
            </w:r>
            <w:r>
              <w:rPr>
                <w:noProof/>
                <w:webHidden/>
              </w:rPr>
              <w:fldChar w:fldCharType="end"/>
            </w:r>
          </w:hyperlink>
        </w:p>
        <w:p w14:paraId="2B09048C" w14:textId="2552467C"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18" w:history="1">
            <w:r w:rsidRPr="00E5600F">
              <w:rPr>
                <w:rStyle w:val="Hyperlink"/>
                <w:noProof/>
              </w:rPr>
              <w:t>5</w:t>
            </w:r>
            <w:r>
              <w:rPr>
                <w:rFonts w:asciiTheme="minorHAnsi" w:eastAsiaTheme="minorEastAsia" w:hAnsiTheme="minorHAnsi"/>
                <w:noProof/>
                <w:sz w:val="24"/>
                <w:szCs w:val="24"/>
                <w:lang w:eastAsia="en-GB"/>
              </w:rPr>
              <w:tab/>
            </w:r>
            <w:r w:rsidRPr="00E5600F">
              <w:rPr>
                <w:rStyle w:val="Hyperlink"/>
                <w:noProof/>
              </w:rPr>
              <w:t>Representations by Wellsbourne</w:t>
            </w:r>
            <w:r>
              <w:rPr>
                <w:noProof/>
                <w:webHidden/>
              </w:rPr>
              <w:tab/>
            </w:r>
            <w:r>
              <w:rPr>
                <w:noProof/>
                <w:webHidden/>
              </w:rPr>
              <w:fldChar w:fldCharType="begin"/>
            </w:r>
            <w:r>
              <w:rPr>
                <w:noProof/>
                <w:webHidden/>
              </w:rPr>
              <w:instrText xml:space="preserve"> PAGEREF _Toc204164418 \h </w:instrText>
            </w:r>
            <w:r>
              <w:rPr>
                <w:noProof/>
                <w:webHidden/>
              </w:rPr>
            </w:r>
            <w:r>
              <w:rPr>
                <w:noProof/>
                <w:webHidden/>
              </w:rPr>
              <w:fldChar w:fldCharType="separate"/>
            </w:r>
            <w:r w:rsidR="00C81C5A">
              <w:rPr>
                <w:noProof/>
                <w:webHidden/>
              </w:rPr>
              <w:t>8</w:t>
            </w:r>
            <w:r>
              <w:rPr>
                <w:noProof/>
                <w:webHidden/>
              </w:rPr>
              <w:fldChar w:fldCharType="end"/>
            </w:r>
          </w:hyperlink>
        </w:p>
        <w:p w14:paraId="14003F56" w14:textId="63C7B28F"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19" w:history="1">
            <w:r w:rsidRPr="00E5600F">
              <w:rPr>
                <w:rStyle w:val="Hyperlink"/>
                <w:noProof/>
              </w:rPr>
              <w:t>6</w:t>
            </w:r>
            <w:r>
              <w:rPr>
                <w:rFonts w:asciiTheme="minorHAnsi" w:eastAsiaTheme="minorEastAsia" w:hAnsiTheme="minorHAnsi"/>
                <w:noProof/>
                <w:sz w:val="24"/>
                <w:szCs w:val="24"/>
                <w:lang w:eastAsia="en-GB"/>
              </w:rPr>
              <w:tab/>
            </w:r>
            <w:r w:rsidRPr="00E5600F">
              <w:rPr>
                <w:rStyle w:val="Hyperlink"/>
                <w:noProof/>
              </w:rPr>
              <w:t>PSR regulations relevant to this review</w:t>
            </w:r>
            <w:r>
              <w:rPr>
                <w:noProof/>
                <w:webHidden/>
              </w:rPr>
              <w:tab/>
            </w:r>
            <w:r>
              <w:rPr>
                <w:noProof/>
                <w:webHidden/>
              </w:rPr>
              <w:fldChar w:fldCharType="begin"/>
            </w:r>
            <w:r>
              <w:rPr>
                <w:noProof/>
                <w:webHidden/>
              </w:rPr>
              <w:instrText xml:space="preserve"> PAGEREF _Toc204164419 \h </w:instrText>
            </w:r>
            <w:r>
              <w:rPr>
                <w:noProof/>
                <w:webHidden/>
              </w:rPr>
            </w:r>
            <w:r>
              <w:rPr>
                <w:noProof/>
                <w:webHidden/>
              </w:rPr>
              <w:fldChar w:fldCharType="separate"/>
            </w:r>
            <w:r w:rsidR="00C81C5A">
              <w:rPr>
                <w:noProof/>
                <w:webHidden/>
              </w:rPr>
              <w:t>10</w:t>
            </w:r>
            <w:r>
              <w:rPr>
                <w:noProof/>
                <w:webHidden/>
              </w:rPr>
              <w:fldChar w:fldCharType="end"/>
            </w:r>
          </w:hyperlink>
        </w:p>
        <w:p w14:paraId="688A93DE" w14:textId="24FE1A49"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20" w:history="1">
            <w:r w:rsidRPr="00E5600F">
              <w:rPr>
                <w:rStyle w:val="Hyperlink"/>
                <w:noProof/>
              </w:rPr>
              <w:t>7</w:t>
            </w:r>
            <w:r>
              <w:rPr>
                <w:rFonts w:asciiTheme="minorHAnsi" w:eastAsiaTheme="minorEastAsia" w:hAnsiTheme="minorHAnsi"/>
                <w:noProof/>
                <w:sz w:val="24"/>
                <w:szCs w:val="24"/>
                <w:lang w:eastAsia="en-GB"/>
              </w:rPr>
              <w:tab/>
            </w:r>
            <w:r w:rsidRPr="00E5600F">
              <w:rPr>
                <w:rStyle w:val="Hyperlink"/>
                <w:noProof/>
              </w:rPr>
              <w:t>Panel Assessment</w:t>
            </w:r>
            <w:r>
              <w:rPr>
                <w:noProof/>
                <w:webHidden/>
              </w:rPr>
              <w:tab/>
            </w:r>
            <w:r>
              <w:rPr>
                <w:noProof/>
                <w:webHidden/>
              </w:rPr>
              <w:fldChar w:fldCharType="begin"/>
            </w:r>
            <w:r>
              <w:rPr>
                <w:noProof/>
                <w:webHidden/>
              </w:rPr>
              <w:instrText xml:space="preserve"> PAGEREF _Toc204164420 \h </w:instrText>
            </w:r>
            <w:r>
              <w:rPr>
                <w:noProof/>
                <w:webHidden/>
              </w:rPr>
            </w:r>
            <w:r>
              <w:rPr>
                <w:noProof/>
                <w:webHidden/>
              </w:rPr>
              <w:fldChar w:fldCharType="separate"/>
            </w:r>
            <w:r w:rsidR="00C81C5A">
              <w:rPr>
                <w:noProof/>
                <w:webHidden/>
              </w:rPr>
              <w:t>11</w:t>
            </w:r>
            <w:r>
              <w:rPr>
                <w:noProof/>
                <w:webHidden/>
              </w:rPr>
              <w:fldChar w:fldCharType="end"/>
            </w:r>
          </w:hyperlink>
        </w:p>
        <w:p w14:paraId="27578C62" w14:textId="015ED5EA" w:rsidR="007E268E" w:rsidRDefault="007E268E">
          <w:pPr>
            <w:pStyle w:val="TOC2"/>
            <w:tabs>
              <w:tab w:val="left" w:pos="960"/>
              <w:tab w:val="right" w:leader="dot" w:pos="9016"/>
            </w:tabs>
            <w:rPr>
              <w:rFonts w:asciiTheme="minorHAnsi" w:eastAsiaTheme="minorEastAsia" w:hAnsiTheme="minorHAnsi"/>
              <w:noProof/>
              <w:sz w:val="24"/>
              <w:szCs w:val="24"/>
              <w:lang w:eastAsia="en-GB"/>
            </w:rPr>
          </w:pPr>
          <w:hyperlink w:anchor="_Toc204164421" w:history="1">
            <w:r w:rsidRPr="00E5600F">
              <w:rPr>
                <w:rStyle w:val="Hyperlink"/>
                <w:noProof/>
              </w:rPr>
              <w:t>7.1</w:t>
            </w:r>
            <w:r>
              <w:rPr>
                <w:rFonts w:asciiTheme="minorHAnsi" w:eastAsiaTheme="minorEastAsia" w:hAnsiTheme="minorHAnsi"/>
                <w:noProof/>
                <w:sz w:val="24"/>
                <w:szCs w:val="24"/>
                <w:lang w:eastAsia="en-GB"/>
              </w:rPr>
              <w:tab/>
            </w:r>
            <w:r w:rsidRPr="00E5600F">
              <w:rPr>
                <w:rStyle w:val="Hyperlink"/>
                <w:noProof/>
              </w:rPr>
              <w:t>Pre-procurement public engagement</w:t>
            </w:r>
            <w:r>
              <w:rPr>
                <w:noProof/>
                <w:webHidden/>
              </w:rPr>
              <w:tab/>
            </w:r>
            <w:r>
              <w:rPr>
                <w:noProof/>
                <w:webHidden/>
              </w:rPr>
              <w:fldChar w:fldCharType="begin"/>
            </w:r>
            <w:r>
              <w:rPr>
                <w:noProof/>
                <w:webHidden/>
              </w:rPr>
              <w:instrText xml:space="preserve"> PAGEREF _Toc204164421 \h </w:instrText>
            </w:r>
            <w:r>
              <w:rPr>
                <w:noProof/>
                <w:webHidden/>
              </w:rPr>
            </w:r>
            <w:r>
              <w:rPr>
                <w:noProof/>
                <w:webHidden/>
              </w:rPr>
              <w:fldChar w:fldCharType="separate"/>
            </w:r>
            <w:r w:rsidR="00C81C5A">
              <w:rPr>
                <w:noProof/>
                <w:webHidden/>
              </w:rPr>
              <w:t>11</w:t>
            </w:r>
            <w:r>
              <w:rPr>
                <w:noProof/>
                <w:webHidden/>
              </w:rPr>
              <w:fldChar w:fldCharType="end"/>
            </w:r>
          </w:hyperlink>
        </w:p>
        <w:p w14:paraId="64B1522F" w14:textId="138FE000" w:rsidR="007E268E" w:rsidRDefault="007E268E">
          <w:pPr>
            <w:pStyle w:val="TOC2"/>
            <w:tabs>
              <w:tab w:val="left" w:pos="960"/>
              <w:tab w:val="right" w:leader="dot" w:pos="9016"/>
            </w:tabs>
            <w:rPr>
              <w:rFonts w:asciiTheme="minorHAnsi" w:eastAsiaTheme="minorEastAsia" w:hAnsiTheme="minorHAnsi"/>
              <w:noProof/>
              <w:sz w:val="24"/>
              <w:szCs w:val="24"/>
              <w:lang w:eastAsia="en-GB"/>
            </w:rPr>
          </w:pPr>
          <w:hyperlink w:anchor="_Toc204164422" w:history="1">
            <w:r w:rsidRPr="00E5600F">
              <w:rPr>
                <w:rStyle w:val="Hyperlink"/>
                <w:noProof/>
              </w:rPr>
              <w:t>7.2</w:t>
            </w:r>
            <w:r>
              <w:rPr>
                <w:rFonts w:asciiTheme="minorHAnsi" w:eastAsiaTheme="minorEastAsia" w:hAnsiTheme="minorHAnsi"/>
                <w:noProof/>
                <w:sz w:val="24"/>
                <w:szCs w:val="24"/>
                <w:lang w:eastAsia="en-GB"/>
              </w:rPr>
              <w:tab/>
            </w:r>
            <w:r w:rsidRPr="00E5600F">
              <w:rPr>
                <w:rStyle w:val="Hyperlink"/>
                <w:noProof/>
              </w:rPr>
              <w:t>Quality-related questions for bidders and their evaluation</w:t>
            </w:r>
            <w:r>
              <w:rPr>
                <w:noProof/>
                <w:webHidden/>
              </w:rPr>
              <w:tab/>
            </w:r>
            <w:r>
              <w:rPr>
                <w:noProof/>
                <w:webHidden/>
              </w:rPr>
              <w:fldChar w:fldCharType="begin"/>
            </w:r>
            <w:r>
              <w:rPr>
                <w:noProof/>
                <w:webHidden/>
              </w:rPr>
              <w:instrText xml:space="preserve"> PAGEREF _Toc204164422 \h </w:instrText>
            </w:r>
            <w:r>
              <w:rPr>
                <w:noProof/>
                <w:webHidden/>
              </w:rPr>
            </w:r>
            <w:r>
              <w:rPr>
                <w:noProof/>
                <w:webHidden/>
              </w:rPr>
              <w:fldChar w:fldCharType="separate"/>
            </w:r>
            <w:r w:rsidR="00C81C5A">
              <w:rPr>
                <w:noProof/>
                <w:webHidden/>
              </w:rPr>
              <w:t>12</w:t>
            </w:r>
            <w:r>
              <w:rPr>
                <w:noProof/>
                <w:webHidden/>
              </w:rPr>
              <w:fldChar w:fldCharType="end"/>
            </w:r>
          </w:hyperlink>
        </w:p>
        <w:p w14:paraId="01AAB2F7" w14:textId="06950633" w:rsidR="007E268E" w:rsidRDefault="007E268E">
          <w:pPr>
            <w:pStyle w:val="TOC2"/>
            <w:tabs>
              <w:tab w:val="left" w:pos="960"/>
              <w:tab w:val="right" w:leader="dot" w:pos="9016"/>
            </w:tabs>
            <w:rPr>
              <w:rFonts w:asciiTheme="minorHAnsi" w:eastAsiaTheme="minorEastAsia" w:hAnsiTheme="minorHAnsi"/>
              <w:noProof/>
              <w:sz w:val="24"/>
              <w:szCs w:val="24"/>
              <w:lang w:eastAsia="en-GB"/>
            </w:rPr>
          </w:pPr>
          <w:hyperlink w:anchor="_Toc204164423" w:history="1">
            <w:r w:rsidRPr="00E5600F">
              <w:rPr>
                <w:rStyle w:val="Hyperlink"/>
                <w:noProof/>
              </w:rPr>
              <w:t>7.3</w:t>
            </w:r>
            <w:r>
              <w:rPr>
                <w:rFonts w:asciiTheme="minorHAnsi" w:eastAsiaTheme="minorEastAsia" w:hAnsiTheme="minorHAnsi"/>
                <w:noProof/>
                <w:sz w:val="24"/>
                <w:szCs w:val="24"/>
                <w:lang w:eastAsia="en-GB"/>
              </w:rPr>
              <w:tab/>
            </w:r>
            <w:r w:rsidRPr="00E5600F">
              <w:rPr>
                <w:rStyle w:val="Hyperlink"/>
                <w:noProof/>
              </w:rPr>
              <w:t>Financial questions for bidders and their evaluation</w:t>
            </w:r>
            <w:r>
              <w:rPr>
                <w:noProof/>
                <w:webHidden/>
              </w:rPr>
              <w:tab/>
            </w:r>
            <w:r>
              <w:rPr>
                <w:noProof/>
                <w:webHidden/>
              </w:rPr>
              <w:fldChar w:fldCharType="begin"/>
            </w:r>
            <w:r>
              <w:rPr>
                <w:noProof/>
                <w:webHidden/>
              </w:rPr>
              <w:instrText xml:space="preserve"> PAGEREF _Toc204164423 \h </w:instrText>
            </w:r>
            <w:r>
              <w:rPr>
                <w:noProof/>
                <w:webHidden/>
              </w:rPr>
            </w:r>
            <w:r>
              <w:rPr>
                <w:noProof/>
                <w:webHidden/>
              </w:rPr>
              <w:fldChar w:fldCharType="separate"/>
            </w:r>
            <w:r w:rsidR="00C81C5A">
              <w:rPr>
                <w:noProof/>
                <w:webHidden/>
              </w:rPr>
              <w:t>25</w:t>
            </w:r>
            <w:r>
              <w:rPr>
                <w:noProof/>
                <w:webHidden/>
              </w:rPr>
              <w:fldChar w:fldCharType="end"/>
            </w:r>
          </w:hyperlink>
        </w:p>
        <w:p w14:paraId="0CA051B3" w14:textId="1E2C15EB" w:rsidR="007E268E" w:rsidRDefault="007E268E">
          <w:pPr>
            <w:pStyle w:val="TOC2"/>
            <w:tabs>
              <w:tab w:val="left" w:pos="960"/>
              <w:tab w:val="right" w:leader="dot" w:pos="9016"/>
            </w:tabs>
            <w:rPr>
              <w:rFonts w:asciiTheme="minorHAnsi" w:eastAsiaTheme="minorEastAsia" w:hAnsiTheme="minorHAnsi"/>
              <w:noProof/>
              <w:sz w:val="24"/>
              <w:szCs w:val="24"/>
              <w:lang w:eastAsia="en-GB"/>
            </w:rPr>
          </w:pPr>
          <w:hyperlink w:anchor="_Toc204164424" w:history="1">
            <w:r w:rsidRPr="00E5600F">
              <w:rPr>
                <w:rStyle w:val="Hyperlink"/>
                <w:noProof/>
              </w:rPr>
              <w:t>7.4</w:t>
            </w:r>
            <w:r>
              <w:rPr>
                <w:rFonts w:asciiTheme="minorHAnsi" w:eastAsiaTheme="minorEastAsia" w:hAnsiTheme="minorHAnsi"/>
                <w:noProof/>
                <w:sz w:val="24"/>
                <w:szCs w:val="24"/>
                <w:lang w:eastAsia="en-GB"/>
              </w:rPr>
              <w:tab/>
            </w:r>
            <w:r w:rsidRPr="00E5600F">
              <w:rPr>
                <w:rStyle w:val="Hyperlink"/>
                <w:noProof/>
              </w:rPr>
              <w:t>Evaluation governance and representations review panel</w:t>
            </w:r>
            <w:r>
              <w:rPr>
                <w:noProof/>
                <w:webHidden/>
              </w:rPr>
              <w:tab/>
            </w:r>
            <w:r>
              <w:rPr>
                <w:noProof/>
                <w:webHidden/>
              </w:rPr>
              <w:fldChar w:fldCharType="begin"/>
            </w:r>
            <w:r>
              <w:rPr>
                <w:noProof/>
                <w:webHidden/>
              </w:rPr>
              <w:instrText xml:space="preserve"> PAGEREF _Toc204164424 \h </w:instrText>
            </w:r>
            <w:r>
              <w:rPr>
                <w:noProof/>
                <w:webHidden/>
              </w:rPr>
            </w:r>
            <w:r>
              <w:rPr>
                <w:noProof/>
                <w:webHidden/>
              </w:rPr>
              <w:fldChar w:fldCharType="separate"/>
            </w:r>
            <w:r w:rsidR="00C81C5A">
              <w:rPr>
                <w:noProof/>
                <w:webHidden/>
              </w:rPr>
              <w:t>32</w:t>
            </w:r>
            <w:r>
              <w:rPr>
                <w:noProof/>
                <w:webHidden/>
              </w:rPr>
              <w:fldChar w:fldCharType="end"/>
            </w:r>
          </w:hyperlink>
        </w:p>
        <w:p w14:paraId="7D6AFAB2" w14:textId="7F3F67A2" w:rsidR="007E268E" w:rsidRDefault="007E268E">
          <w:pPr>
            <w:pStyle w:val="TOC1"/>
            <w:tabs>
              <w:tab w:val="left" w:pos="440"/>
              <w:tab w:val="right" w:leader="dot" w:pos="9016"/>
            </w:tabs>
            <w:rPr>
              <w:rFonts w:asciiTheme="minorHAnsi" w:eastAsiaTheme="minorEastAsia" w:hAnsiTheme="minorHAnsi"/>
              <w:noProof/>
              <w:sz w:val="24"/>
              <w:szCs w:val="24"/>
              <w:lang w:eastAsia="en-GB"/>
            </w:rPr>
          </w:pPr>
          <w:hyperlink w:anchor="_Toc204164425" w:history="1">
            <w:r w:rsidRPr="00E5600F">
              <w:rPr>
                <w:rStyle w:val="Hyperlink"/>
                <w:noProof/>
              </w:rPr>
              <w:t>8</w:t>
            </w:r>
            <w:r>
              <w:rPr>
                <w:rFonts w:asciiTheme="minorHAnsi" w:eastAsiaTheme="minorEastAsia" w:hAnsiTheme="minorHAnsi"/>
                <w:noProof/>
                <w:sz w:val="24"/>
                <w:szCs w:val="24"/>
                <w:lang w:eastAsia="en-GB"/>
              </w:rPr>
              <w:tab/>
            </w:r>
            <w:r w:rsidRPr="00E5600F">
              <w:rPr>
                <w:rStyle w:val="Hyperlink"/>
                <w:noProof/>
              </w:rPr>
              <w:t>Panel Advice</w:t>
            </w:r>
            <w:r>
              <w:rPr>
                <w:noProof/>
                <w:webHidden/>
              </w:rPr>
              <w:tab/>
            </w:r>
            <w:r>
              <w:rPr>
                <w:noProof/>
                <w:webHidden/>
              </w:rPr>
              <w:fldChar w:fldCharType="begin"/>
            </w:r>
            <w:r>
              <w:rPr>
                <w:noProof/>
                <w:webHidden/>
              </w:rPr>
              <w:instrText xml:space="preserve"> PAGEREF _Toc204164425 \h </w:instrText>
            </w:r>
            <w:r>
              <w:rPr>
                <w:noProof/>
                <w:webHidden/>
              </w:rPr>
            </w:r>
            <w:r>
              <w:rPr>
                <w:noProof/>
                <w:webHidden/>
              </w:rPr>
              <w:fldChar w:fldCharType="separate"/>
            </w:r>
            <w:r w:rsidR="00C81C5A">
              <w:rPr>
                <w:noProof/>
                <w:webHidden/>
              </w:rPr>
              <w:t>33</w:t>
            </w:r>
            <w:r>
              <w:rPr>
                <w:noProof/>
                <w:webHidden/>
              </w:rPr>
              <w:fldChar w:fldCharType="end"/>
            </w:r>
          </w:hyperlink>
        </w:p>
        <w:p w14:paraId="61EBC374" w14:textId="0C20781E" w:rsidR="00B42AE6" w:rsidRDefault="00AB42AE">
          <w:r>
            <w:fldChar w:fldCharType="end"/>
          </w:r>
        </w:p>
      </w:sdtContent>
    </w:sdt>
    <w:p w14:paraId="4D9D900B" w14:textId="77777777" w:rsidR="00001D81" w:rsidRPr="000119E3" w:rsidRDefault="00001D81">
      <w:pPr>
        <w:rPr>
          <w:sz w:val="24"/>
          <w:szCs w:val="24"/>
        </w:rPr>
      </w:pPr>
    </w:p>
    <w:p w14:paraId="73D95BBD" w14:textId="77777777" w:rsidR="00D73EF7" w:rsidRPr="000119E3" w:rsidRDefault="00D73EF7">
      <w:pPr>
        <w:rPr>
          <w:sz w:val="24"/>
          <w:szCs w:val="24"/>
        </w:rPr>
      </w:pPr>
    </w:p>
    <w:p w14:paraId="63A34340" w14:textId="02C15319" w:rsidR="00E56C34" w:rsidRPr="000119E3" w:rsidRDefault="00E56C34">
      <w:pPr>
        <w:rPr>
          <w:sz w:val="24"/>
          <w:szCs w:val="24"/>
        </w:rPr>
      </w:pPr>
      <w:r w:rsidRPr="000119E3">
        <w:rPr>
          <w:sz w:val="24"/>
          <w:szCs w:val="24"/>
        </w:rPr>
        <w:br w:type="page"/>
      </w:r>
    </w:p>
    <w:p w14:paraId="00A30C5E" w14:textId="254F45D0" w:rsidR="0005616B" w:rsidRDefault="004B492C" w:rsidP="0025106C">
      <w:pPr>
        <w:pStyle w:val="Heading1"/>
      </w:pPr>
      <w:bookmarkStart w:id="1" w:name="_Toc204164414"/>
      <w:r w:rsidRPr="006B6C56">
        <w:lastRenderedPageBreak/>
        <w:t>Executive Summary</w:t>
      </w:r>
      <w:bookmarkEnd w:id="1"/>
    </w:p>
    <w:p w14:paraId="096F2BD0" w14:textId="6301EAE4" w:rsidR="00D22F46" w:rsidRDefault="00D22F46">
      <w:pPr>
        <w:pStyle w:val="ListParagraph"/>
        <w:numPr>
          <w:ilvl w:val="0"/>
          <w:numId w:val="4"/>
        </w:numPr>
        <w:spacing w:after="160"/>
        <w:ind w:left="567" w:hanging="567"/>
      </w:pPr>
      <w:r w:rsidRPr="003A1AFC">
        <w:t xml:space="preserve">On 23 May 2025, Wellsbourne Healthcare Community Interest Company (Wellsbourne) asked the Panel to advise on the selection of a provider by NHS Sussex Integrated Care Board (Sussex ICB) for an Alternative Provider Medical Service (APMS) contract to provide </w:t>
      </w:r>
      <w:r>
        <w:t>p</w:t>
      </w:r>
      <w:r w:rsidRPr="003A1AFC">
        <w:t xml:space="preserve">rimary </w:t>
      </w:r>
      <w:r>
        <w:t>c</w:t>
      </w:r>
      <w:r w:rsidRPr="003A1AFC">
        <w:t xml:space="preserve">are </w:t>
      </w:r>
      <w:r>
        <w:t>s</w:t>
      </w:r>
      <w:r w:rsidRPr="003A1AFC">
        <w:t>ervices to the population of Whitehawk and the surrounding area of Brighton and Hove (</w:t>
      </w:r>
      <w:r>
        <w:t xml:space="preserve">the </w:t>
      </w:r>
      <w:r w:rsidRPr="003A1AFC">
        <w:t>Whitehawk APMS</w:t>
      </w:r>
      <w:r>
        <w:t xml:space="preserve"> contract</w:t>
      </w:r>
      <w:r w:rsidRPr="003A1AFC">
        <w:t>).</w:t>
      </w:r>
      <w:r w:rsidR="002B030A">
        <w:t xml:space="preserve"> </w:t>
      </w:r>
      <w:r>
        <w:t>The Panel accepted Wellsbourne’s request on 28 May 2025.</w:t>
      </w:r>
    </w:p>
    <w:p w14:paraId="6C0F9EB0" w14:textId="7ADA4B76" w:rsidR="00D22F46" w:rsidRPr="0062715C" w:rsidRDefault="00D22F46" w:rsidP="00D22F46">
      <w:pPr>
        <w:pStyle w:val="ListParagraph"/>
        <w:numPr>
          <w:ilvl w:val="0"/>
          <w:numId w:val="4"/>
        </w:numPr>
        <w:spacing w:after="160"/>
        <w:ind w:left="567" w:hanging="567"/>
      </w:pPr>
      <w:r>
        <w:t>Wellsbourne, under t</w:t>
      </w:r>
      <w:r w:rsidRPr="008C637A">
        <w:t xml:space="preserve">he </w:t>
      </w:r>
      <w:r>
        <w:t xml:space="preserve">terms of the </w:t>
      </w:r>
      <w:r w:rsidRPr="008C637A">
        <w:t xml:space="preserve">Whitehawk </w:t>
      </w:r>
      <w:r>
        <w:t>APMS</w:t>
      </w:r>
      <w:r w:rsidRPr="008C637A">
        <w:t xml:space="preserve"> </w:t>
      </w:r>
      <w:r>
        <w:t xml:space="preserve">contract, </w:t>
      </w:r>
      <w:r w:rsidRPr="008C637A">
        <w:t>offer</w:t>
      </w:r>
      <w:r>
        <w:t>s</w:t>
      </w:r>
      <w:r w:rsidRPr="008C637A">
        <w:t xml:space="preserve"> primary care services to patients in t</w:t>
      </w:r>
      <w:r>
        <w:t xml:space="preserve">he Whitehawk area </w:t>
      </w:r>
      <w:r w:rsidRPr="008C637A">
        <w:t xml:space="preserve">who </w:t>
      </w:r>
      <w:r>
        <w:t xml:space="preserve">are </w:t>
      </w:r>
      <w:r w:rsidRPr="008C637A">
        <w:t>register</w:t>
      </w:r>
      <w:r>
        <w:t xml:space="preserve">ed with </w:t>
      </w:r>
      <w:r w:rsidRPr="008C637A">
        <w:t>the practice</w:t>
      </w:r>
      <w:r>
        <w:t xml:space="preserve"> (the Whitehawk practice)</w:t>
      </w:r>
      <w:r w:rsidRPr="003E7ED8">
        <w:t>.</w:t>
      </w:r>
      <w:r>
        <w:t xml:space="preserve"> The Whitehawk area has higher than average levels of deprivation and includes </w:t>
      </w:r>
      <w:proofErr w:type="gramStart"/>
      <w:r>
        <w:t>a number of</w:t>
      </w:r>
      <w:proofErr w:type="gramEnd"/>
      <w:r>
        <w:t xml:space="preserve"> socio-economic disadvantaged communities</w:t>
      </w:r>
      <w:r w:rsidRPr="008C637A">
        <w:t xml:space="preserve">. </w:t>
      </w:r>
      <w:r>
        <w:t xml:space="preserve">Approximately 8,300 patients were registered with Wellsbourne </w:t>
      </w:r>
      <w:r w:rsidRPr="003E7ED8">
        <w:t xml:space="preserve">as of January </w:t>
      </w:r>
      <w:r w:rsidRPr="0062715C">
        <w:t>2024.</w:t>
      </w:r>
    </w:p>
    <w:p w14:paraId="2E47C804" w14:textId="19F43D8E" w:rsidR="00D22F46" w:rsidRPr="00144D72" w:rsidRDefault="0057673F" w:rsidP="00D22F46">
      <w:pPr>
        <w:pStyle w:val="ListParagraph"/>
        <w:numPr>
          <w:ilvl w:val="0"/>
          <w:numId w:val="4"/>
        </w:numPr>
        <w:spacing w:after="160"/>
        <w:ind w:left="567" w:hanging="567"/>
      </w:pPr>
      <w:r>
        <w:t>O</w:t>
      </w:r>
      <w:r w:rsidR="00D22F46" w:rsidRPr="00144D72">
        <w:t>n 15</w:t>
      </w:r>
      <w:r w:rsidR="00D22F46">
        <w:t> </w:t>
      </w:r>
      <w:r w:rsidR="00D22F46" w:rsidRPr="00144D72">
        <w:t>December 2023</w:t>
      </w:r>
      <w:r w:rsidR="00D22F46">
        <w:t>, Sussex ICB decided</w:t>
      </w:r>
      <w:r w:rsidR="00D22F46" w:rsidRPr="00144D72">
        <w:t xml:space="preserve"> to select a provider for </w:t>
      </w:r>
      <w:r w:rsidR="00D22F46">
        <w:t>a new</w:t>
      </w:r>
      <w:r w:rsidR="00D22F46" w:rsidRPr="00144D72">
        <w:t xml:space="preserve"> </w:t>
      </w:r>
      <w:r w:rsidR="00D22F46">
        <w:t xml:space="preserve">Whitehawk APMS </w:t>
      </w:r>
      <w:r w:rsidR="00D22F46" w:rsidRPr="00144D72">
        <w:t>contract</w:t>
      </w:r>
      <w:r w:rsidR="00D22F46">
        <w:t xml:space="preserve"> using the competitive process under the PSR regulations</w:t>
      </w:r>
      <w:r w:rsidR="00D22F46" w:rsidRPr="00144D72">
        <w:t>.</w:t>
      </w:r>
      <w:r w:rsidR="00D22F46">
        <w:t xml:space="preserve"> </w:t>
      </w:r>
    </w:p>
    <w:p w14:paraId="77340A67" w14:textId="08A1CA48" w:rsidR="00D22F46" w:rsidRPr="007F0C66" w:rsidRDefault="00D22F46">
      <w:pPr>
        <w:pStyle w:val="ListParagraph"/>
        <w:numPr>
          <w:ilvl w:val="0"/>
          <w:numId w:val="4"/>
        </w:numPr>
        <w:spacing w:after="160"/>
        <w:ind w:left="567" w:hanging="567"/>
      </w:pPr>
      <w:r>
        <w:t xml:space="preserve">On 8 January 2024, Sussex ICB published a </w:t>
      </w:r>
      <w:r w:rsidRPr="005B4007">
        <w:t>Prior Information Notice (PIN)</w:t>
      </w:r>
      <w:r>
        <w:t xml:space="preserve"> for the new contract on the Find a Tender Service</w:t>
      </w:r>
      <w:r w:rsidR="00F824A2">
        <w:t>, and o</w:t>
      </w:r>
      <w:r w:rsidRPr="00AD23B5">
        <w:t>n</w:t>
      </w:r>
      <w:r>
        <w:t xml:space="preserve"> 17 May 2024, Sussex ICB</w:t>
      </w:r>
      <w:r w:rsidRPr="00E64E91">
        <w:t xml:space="preserve"> </w:t>
      </w:r>
      <w:r w:rsidRPr="00AD23B5">
        <w:t xml:space="preserve">published a </w:t>
      </w:r>
      <w:r>
        <w:t>c</w:t>
      </w:r>
      <w:r w:rsidRPr="00AD23B5">
        <w:t xml:space="preserve">ontract </w:t>
      </w:r>
      <w:r>
        <w:t>n</w:t>
      </w:r>
      <w:r w:rsidRPr="00AD23B5">
        <w:t xml:space="preserve">otice </w:t>
      </w:r>
      <w:r>
        <w:t>inviting proposals from interested providers</w:t>
      </w:r>
      <w:r w:rsidRPr="0046036A">
        <w:t xml:space="preserve">. The </w:t>
      </w:r>
      <w:r>
        <w:t xml:space="preserve">new </w:t>
      </w:r>
      <w:r w:rsidRPr="0046036A">
        <w:t xml:space="preserve">contract </w:t>
      </w:r>
      <w:r>
        <w:t xml:space="preserve">is to have a </w:t>
      </w:r>
      <w:proofErr w:type="gramStart"/>
      <w:r>
        <w:t>seven year</w:t>
      </w:r>
      <w:proofErr w:type="gramEnd"/>
      <w:r>
        <w:t xml:space="preserve"> term, with the option of a </w:t>
      </w:r>
      <w:proofErr w:type="gramStart"/>
      <w:r>
        <w:t>two year</w:t>
      </w:r>
      <w:proofErr w:type="gramEnd"/>
      <w:r>
        <w:t xml:space="preserve"> extension,</w:t>
      </w:r>
      <w:r w:rsidRPr="0046036A">
        <w:t xml:space="preserve"> </w:t>
      </w:r>
      <w:r>
        <w:t xml:space="preserve">and was due to </w:t>
      </w:r>
      <w:r w:rsidRPr="0046036A">
        <w:t>commenc</w:t>
      </w:r>
      <w:r>
        <w:t>e</w:t>
      </w:r>
      <w:r w:rsidRPr="0046036A">
        <w:t xml:space="preserve"> on 1</w:t>
      </w:r>
      <w:r>
        <w:t xml:space="preserve"> April</w:t>
      </w:r>
      <w:r w:rsidRPr="0046036A">
        <w:t xml:space="preserve"> 2025</w:t>
      </w:r>
      <w:r>
        <w:t xml:space="preserve">. The </w:t>
      </w:r>
      <w:r w:rsidRPr="0046036A">
        <w:t>estimated total contract value</w:t>
      </w:r>
      <w:r>
        <w:t>, including the extension period,</w:t>
      </w:r>
      <w:r w:rsidRPr="0046036A">
        <w:t xml:space="preserve"> </w:t>
      </w:r>
      <w:r>
        <w:t>is</w:t>
      </w:r>
      <w:r w:rsidRPr="0046036A">
        <w:t xml:space="preserve"> </w:t>
      </w:r>
      <w:r w:rsidRPr="00ED5E58">
        <w:t>approximately £10.4m (excluding VAT).</w:t>
      </w:r>
    </w:p>
    <w:p w14:paraId="4DC83CDD" w14:textId="7DAFA957" w:rsidR="00D22F46" w:rsidRPr="00AC45D1" w:rsidRDefault="00D22F46">
      <w:pPr>
        <w:pStyle w:val="ListParagraph"/>
        <w:numPr>
          <w:ilvl w:val="0"/>
          <w:numId w:val="4"/>
        </w:numPr>
        <w:spacing w:after="160"/>
        <w:ind w:left="567" w:hanging="567"/>
      </w:pPr>
      <w:r>
        <w:t>The deadline for proposals</w:t>
      </w:r>
      <w:r w:rsidR="00F261D9">
        <w:t xml:space="preserve">, after a pause </w:t>
      </w:r>
      <w:r w:rsidR="007016E8">
        <w:t xml:space="preserve">to </w:t>
      </w:r>
      <w:r w:rsidR="00B906C8">
        <w:t xml:space="preserve">consider </w:t>
      </w:r>
      <w:r w:rsidR="00B41E6E">
        <w:t xml:space="preserve">bidders’ questions on </w:t>
      </w:r>
      <w:r w:rsidR="008F04B2">
        <w:t>TUPE-related matters,</w:t>
      </w:r>
      <w:r>
        <w:t xml:space="preserve"> was 11 October 2024. On</w:t>
      </w:r>
      <w:r w:rsidRPr="00AC45D1">
        <w:t xml:space="preserve"> 14 March 2025</w:t>
      </w:r>
      <w:r>
        <w:t xml:space="preserve">, Sussex ICB </w:t>
      </w:r>
      <w:r w:rsidRPr="00AC45D1">
        <w:t xml:space="preserve">published a </w:t>
      </w:r>
      <w:r>
        <w:t>c</w:t>
      </w:r>
      <w:r w:rsidRPr="00AC45D1">
        <w:t xml:space="preserve">ontract </w:t>
      </w:r>
      <w:r>
        <w:t>a</w:t>
      </w:r>
      <w:r w:rsidRPr="00AC45D1">
        <w:t xml:space="preserve">ward </w:t>
      </w:r>
      <w:r>
        <w:t>n</w:t>
      </w:r>
      <w:r w:rsidRPr="00AC45D1">
        <w:t>otice announcing the successful bidder as One Medicare t/a One Primary Care LLP (One Medicare</w:t>
      </w:r>
      <w:r>
        <w:t>)</w:t>
      </w:r>
      <w:r w:rsidRPr="00AC45D1">
        <w:t>.</w:t>
      </w:r>
      <w:r w:rsidRPr="009F519F">
        <w:t xml:space="preserve"> </w:t>
      </w:r>
      <w:r w:rsidRPr="00AC45D1">
        <w:t>Wellsbourne’s proposal was ranked</w:t>
      </w:r>
      <w:r>
        <w:t xml:space="preserve"> third out of four compliant bids</w:t>
      </w:r>
      <w:r w:rsidRPr="00AC45D1">
        <w:t>.</w:t>
      </w:r>
    </w:p>
    <w:p w14:paraId="15D3CF84" w14:textId="63226E51" w:rsidR="00D22F46" w:rsidRDefault="00D22F46" w:rsidP="00D22F46">
      <w:pPr>
        <w:pStyle w:val="ListParagraph"/>
        <w:numPr>
          <w:ilvl w:val="0"/>
          <w:numId w:val="4"/>
        </w:numPr>
        <w:spacing w:after="160"/>
        <w:ind w:left="567" w:hanging="567"/>
      </w:pPr>
      <w:r>
        <w:t xml:space="preserve">On 20 March 2025, prior to the standstill period ending, Wellsbourne made representations to Sussex ICB raising concerns about the provider selection process and requesting information. </w:t>
      </w:r>
      <w:r w:rsidR="008F2F62">
        <w:t xml:space="preserve">This was followed by further representations on 4 April and 8 May. </w:t>
      </w:r>
      <w:r w:rsidR="00DB4DDF">
        <w:t xml:space="preserve">Sussex ICB </w:t>
      </w:r>
      <w:r w:rsidR="005B2CEF">
        <w:t xml:space="preserve">confirmed </w:t>
      </w:r>
      <w:r w:rsidR="006F50AF">
        <w:t xml:space="preserve">its </w:t>
      </w:r>
      <w:r w:rsidR="00D60800">
        <w:t xml:space="preserve">selection of One Medicare as the successful bidder </w:t>
      </w:r>
      <w:r w:rsidR="000D0575">
        <w:t xml:space="preserve">following each of these representations. </w:t>
      </w:r>
      <w:r w:rsidR="008F2F62">
        <w:t xml:space="preserve">On 20 May, </w:t>
      </w:r>
      <w:r w:rsidR="00D7371C">
        <w:t xml:space="preserve">after </w:t>
      </w:r>
      <w:r w:rsidR="008F2F62">
        <w:t>communicat</w:t>
      </w:r>
      <w:r w:rsidR="00D7371C">
        <w:t>ing</w:t>
      </w:r>
      <w:r w:rsidR="008F2F62">
        <w:t xml:space="preserve"> its third further decision to Wellsbourne, namely that it would proceed with the contract award to One Medicare</w:t>
      </w:r>
      <w:r w:rsidR="0024326A">
        <w:t>, Sussex ICB</w:t>
      </w:r>
      <w:r w:rsidR="008F2F62">
        <w:t xml:space="preserve"> told Wellsbourne that it would not be responding to any new representations.</w:t>
      </w:r>
    </w:p>
    <w:p w14:paraId="0BFC8AB3" w14:textId="2F266500" w:rsidR="007E1A65" w:rsidRDefault="007E1A65" w:rsidP="007E1A65">
      <w:pPr>
        <w:pStyle w:val="ListParagraph"/>
        <w:numPr>
          <w:ilvl w:val="0"/>
          <w:numId w:val="4"/>
        </w:numPr>
        <w:ind w:left="567" w:hanging="567"/>
        <w:contextualSpacing/>
      </w:pPr>
      <w:r>
        <w:t xml:space="preserve">The Panel’s assessment of Wellsbourne’s representations and its findings on whether Sussex ICB complied with the PSR regulations </w:t>
      </w:r>
      <w:r w:rsidR="00017FA1">
        <w:t>address</w:t>
      </w:r>
      <w:r>
        <w:t>:</w:t>
      </w:r>
    </w:p>
    <w:p w14:paraId="7261B889" w14:textId="523AE6B0" w:rsidR="007E1A65" w:rsidRPr="008545C1" w:rsidRDefault="007E1A65" w:rsidP="007E1A65">
      <w:pPr>
        <w:pStyle w:val="ListParagraph"/>
        <w:numPr>
          <w:ilvl w:val="0"/>
          <w:numId w:val="13"/>
        </w:numPr>
        <w:ind w:left="1077" w:hanging="357"/>
        <w:contextualSpacing/>
        <w:rPr>
          <w:lang w:val="fr-FR"/>
        </w:rPr>
      </w:pPr>
      <w:r w:rsidRPr="008545C1">
        <w:rPr>
          <w:lang w:val="fr-FR"/>
        </w:rPr>
        <w:t>first, pre-procurement public engagement;</w:t>
      </w:r>
    </w:p>
    <w:p w14:paraId="29F152DC" w14:textId="00814EAE" w:rsidR="007E1A65" w:rsidRPr="00033AD9" w:rsidRDefault="007E1A65" w:rsidP="007E1A65">
      <w:pPr>
        <w:pStyle w:val="ListParagraph"/>
        <w:numPr>
          <w:ilvl w:val="0"/>
          <w:numId w:val="13"/>
        </w:numPr>
        <w:ind w:left="1077" w:hanging="357"/>
        <w:contextualSpacing/>
      </w:pPr>
      <w:r w:rsidRPr="000D23C3">
        <w:t>second</w:t>
      </w:r>
      <w:r w:rsidRPr="00033AD9">
        <w:t xml:space="preserve">, the </w:t>
      </w:r>
      <w:r>
        <w:t xml:space="preserve">quality-related questions asked of bidders and their </w:t>
      </w:r>
      <w:proofErr w:type="gramStart"/>
      <w:r w:rsidRPr="00033AD9">
        <w:t>evaluation;</w:t>
      </w:r>
      <w:proofErr w:type="gramEnd"/>
    </w:p>
    <w:p w14:paraId="2A049BC3" w14:textId="6E78F5E2" w:rsidR="007E1A65" w:rsidRPr="00033AD9" w:rsidRDefault="007E1A65" w:rsidP="007E1A65">
      <w:pPr>
        <w:pStyle w:val="ListParagraph"/>
        <w:numPr>
          <w:ilvl w:val="0"/>
          <w:numId w:val="13"/>
        </w:numPr>
        <w:ind w:left="1077" w:hanging="357"/>
        <w:contextualSpacing/>
      </w:pPr>
      <w:r w:rsidRPr="00033AD9">
        <w:t xml:space="preserve">third, </w:t>
      </w:r>
      <w:r>
        <w:t xml:space="preserve">the financial questions asked of </w:t>
      </w:r>
      <w:r w:rsidRPr="00033AD9">
        <w:t>bidders</w:t>
      </w:r>
      <w:r>
        <w:t xml:space="preserve"> and their evaluation</w:t>
      </w:r>
      <w:r w:rsidRPr="00033AD9">
        <w:t>;</w:t>
      </w:r>
      <w:r>
        <w:t xml:space="preserve"> and</w:t>
      </w:r>
    </w:p>
    <w:p w14:paraId="0DD85984" w14:textId="34C5ABBE" w:rsidR="007E1A65" w:rsidRPr="00033AD9" w:rsidRDefault="007E1A65" w:rsidP="007E1A65">
      <w:pPr>
        <w:pStyle w:val="ListParagraph"/>
        <w:numPr>
          <w:ilvl w:val="0"/>
          <w:numId w:val="13"/>
        </w:numPr>
        <w:ind w:left="1077" w:hanging="357"/>
      </w:pPr>
      <w:r>
        <w:t>finally</w:t>
      </w:r>
      <w:r w:rsidRPr="00033AD9">
        <w:t xml:space="preserve">, </w:t>
      </w:r>
      <w:r>
        <w:t xml:space="preserve">evaluation </w:t>
      </w:r>
      <w:r w:rsidRPr="00033AD9">
        <w:t xml:space="preserve">governance and the independence of </w:t>
      </w:r>
      <w:r>
        <w:t xml:space="preserve">the </w:t>
      </w:r>
      <w:r w:rsidRPr="00033AD9">
        <w:t>representations review panel</w:t>
      </w:r>
      <w:r>
        <w:t>.</w:t>
      </w:r>
    </w:p>
    <w:p w14:paraId="77FA6E15" w14:textId="17764158" w:rsidR="00D22F46" w:rsidRDefault="00017FA1" w:rsidP="00D22F46">
      <w:pPr>
        <w:pStyle w:val="ListParagraph"/>
        <w:numPr>
          <w:ilvl w:val="0"/>
          <w:numId w:val="4"/>
        </w:numPr>
        <w:ind w:left="567" w:hanging="567"/>
      </w:pPr>
      <w:bookmarkStart w:id="2" w:name="_Ref204087571"/>
      <w:r>
        <w:t>T</w:t>
      </w:r>
      <w:r w:rsidR="00D22F46" w:rsidRPr="008C637A">
        <w:t>he Panel</w:t>
      </w:r>
      <w:r w:rsidR="00D22F46">
        <w:t xml:space="preserve"> finds that Sussex ICB’s </w:t>
      </w:r>
      <w:r w:rsidR="00D22F46" w:rsidRPr="008C637A">
        <w:t xml:space="preserve">provider selection process for the </w:t>
      </w:r>
      <w:r w:rsidR="00D22F46">
        <w:t>Whitehawk APMS contract has breached the PSR regulations in four respects.</w:t>
      </w:r>
      <w:bookmarkEnd w:id="2"/>
    </w:p>
    <w:p w14:paraId="5D5E0CEB" w14:textId="2C0922EC" w:rsidR="00D22F46" w:rsidRDefault="00D22F46" w:rsidP="00D22F46">
      <w:pPr>
        <w:pStyle w:val="ListParagraph"/>
        <w:numPr>
          <w:ilvl w:val="0"/>
          <w:numId w:val="15"/>
        </w:numPr>
      </w:pPr>
      <w:r>
        <w:lastRenderedPageBreak/>
        <w:t xml:space="preserve">First, </w:t>
      </w:r>
      <w:r w:rsidR="00314B3C">
        <w:t>t</w:t>
      </w:r>
      <w:r w:rsidR="00314B3C" w:rsidRPr="00AB3C97">
        <w:t xml:space="preserve">he Panel finds that Sussex ICB, </w:t>
      </w:r>
      <w:r w:rsidR="00314B3C">
        <w:t>by conducting the evaluation and scoring process differently to the way in which it was described to Wellsbourne,</w:t>
      </w:r>
      <w:r w:rsidR="00314B3C" w:rsidRPr="00AB3C97">
        <w:t xml:space="preserve"> breach</w:t>
      </w:r>
      <w:r w:rsidR="00314B3C">
        <w:t>ed</w:t>
      </w:r>
      <w:r w:rsidR="00314B3C" w:rsidRPr="00AB3C97">
        <w:t xml:space="preserve"> the PSR regulations, and in particular its obligations under Regulation 4 </w:t>
      </w:r>
      <w:r w:rsidR="00314B3C" w:rsidRPr="00643DCD">
        <w:t>to act transparently</w:t>
      </w:r>
      <w:r w:rsidR="00314B3C">
        <w:t xml:space="preserve"> and fairly</w:t>
      </w:r>
      <w:r w:rsidRPr="00643DCD">
        <w:t>.</w:t>
      </w:r>
    </w:p>
    <w:p w14:paraId="7C2285C9" w14:textId="0634CAC9" w:rsidR="00D22F46" w:rsidRPr="008A4116" w:rsidRDefault="00D22F46" w:rsidP="00D22F46">
      <w:pPr>
        <w:pStyle w:val="ListParagraph"/>
        <w:numPr>
          <w:ilvl w:val="0"/>
          <w:numId w:val="15"/>
        </w:numPr>
      </w:pPr>
      <w:r>
        <w:t xml:space="preserve">Second, the Panel </w:t>
      </w:r>
      <w:r w:rsidR="00AF00B6">
        <w:t>finds that Sussex ICB, in evaluating Wellsbourne’s response to Question ITT02 (Communications) erred by concluding that Wellsbourne did not address certain issues when this was not the case, and as a result breached Regulation 4, which requires it to act transparently and fairly.</w:t>
      </w:r>
    </w:p>
    <w:p w14:paraId="537357DF" w14:textId="096DDA85" w:rsidR="00D22F46" w:rsidRDefault="00D22F46" w:rsidP="00D22F46">
      <w:pPr>
        <w:pStyle w:val="ListParagraph"/>
        <w:numPr>
          <w:ilvl w:val="0"/>
          <w:numId w:val="15"/>
        </w:numPr>
      </w:pPr>
      <w:r>
        <w:t xml:space="preserve">Third, </w:t>
      </w:r>
      <w:r w:rsidRPr="0059079B">
        <w:t>the Panel finds that Sussex ICB</w:t>
      </w:r>
      <w:r>
        <w:t>: (</w:t>
      </w:r>
      <w:proofErr w:type="spellStart"/>
      <w:r>
        <w:t>i</w:t>
      </w:r>
      <w:proofErr w:type="spellEnd"/>
      <w:r>
        <w:t xml:space="preserve">) in not providing information to bidders about the </w:t>
      </w:r>
      <w:r w:rsidR="008D40CF">
        <w:t>locally commissioned services (</w:t>
      </w:r>
      <w:r>
        <w:t>LCSs</w:t>
      </w:r>
      <w:r w:rsidR="008D40CF">
        <w:t>)</w:t>
      </w:r>
      <w:r>
        <w:t xml:space="preserve"> they might potentially supply, (ii)</w:t>
      </w:r>
      <w:r w:rsidR="00925338">
        <w:t> </w:t>
      </w:r>
      <w:r>
        <w:t>in lacking clarity about its expectations of the LCSs that the successful bidder would deliver, (iii) in requesting bidders’ estimates of their likely income from LCSs and other sources without supplying information about these LCSs, and (iv)</w:t>
      </w:r>
      <w:r w:rsidR="00925338">
        <w:t> </w:t>
      </w:r>
      <w:r>
        <w:t xml:space="preserve">in evaluating proposals that contained a significant disconnect between the additional revenue estimates and the workforce and costs necessary to deliver this revenue, </w:t>
      </w:r>
      <w:r w:rsidRPr="0059079B">
        <w:t>breached the PSR regulations, and in particular its obligations under Regulation 4 to act transparently and fairly.</w:t>
      </w:r>
    </w:p>
    <w:p w14:paraId="0AFED690" w14:textId="77777777" w:rsidR="00D22F46" w:rsidRDefault="00D22F46" w:rsidP="00D22F46">
      <w:pPr>
        <w:pStyle w:val="ListParagraph"/>
        <w:numPr>
          <w:ilvl w:val="0"/>
          <w:numId w:val="15"/>
        </w:numPr>
        <w:spacing w:after="160"/>
        <w:ind w:left="1077" w:hanging="357"/>
      </w:pPr>
      <w:r>
        <w:t>Finally, the Panel finds that Sussex ICB, in its evaluation and scoring of Wellsbourne’s financial proposal, breached the PSR regulations, and in particular Regulation 24(g), which requires the ICB to keep a record of the reasons for its decisions.</w:t>
      </w:r>
    </w:p>
    <w:p w14:paraId="6D7A0FE7" w14:textId="77777777" w:rsidR="00D22F46" w:rsidRDefault="00D22F46" w:rsidP="00D22F46">
      <w:pPr>
        <w:pStyle w:val="ListParagraph"/>
        <w:numPr>
          <w:ilvl w:val="0"/>
          <w:numId w:val="4"/>
        </w:numPr>
        <w:ind w:left="567" w:hanging="567"/>
      </w:pPr>
      <w:r>
        <w:t>The Panel also finds that Sussex ICB’s provider selection process for the Whitehawk APMS contract did not breach the PSR regulations in four other respects.</w:t>
      </w:r>
    </w:p>
    <w:p w14:paraId="7EC0F698" w14:textId="47D35E30" w:rsidR="00D22F46" w:rsidRDefault="00D22F46" w:rsidP="00D22F46">
      <w:pPr>
        <w:pStyle w:val="ListParagraph"/>
        <w:numPr>
          <w:ilvl w:val="0"/>
          <w:numId w:val="15"/>
        </w:numPr>
      </w:pPr>
      <w:r>
        <w:t>First, the Panel finds that Sussex ICB, in its pre-procurement public engagement, did not breach the PSR regulations</w:t>
      </w:r>
      <w:proofErr w:type="gramStart"/>
      <w:r w:rsidR="00833B69">
        <w:t>,</w:t>
      </w:r>
      <w:r>
        <w:t xml:space="preserve"> and in particular</w:t>
      </w:r>
      <w:proofErr w:type="gramEnd"/>
      <w:r>
        <w:t xml:space="preserve"> its obligations under Regulation 4,</w:t>
      </w:r>
      <w:r w:rsidRPr="0058015B">
        <w:t xml:space="preserve"> </w:t>
      </w:r>
      <w:r>
        <w:t>which require</w:t>
      </w:r>
      <w:r w:rsidR="006D2F10">
        <w:t>s</w:t>
      </w:r>
      <w:r>
        <w:t xml:space="preserve"> it to act with a view to securing the needs of the people who use the services</w:t>
      </w:r>
      <w:r w:rsidR="006D2F10">
        <w:t>,</w:t>
      </w:r>
      <w:r>
        <w:t xml:space="preserve"> and to act transparently, fairly and proportionately.</w:t>
      </w:r>
    </w:p>
    <w:p w14:paraId="4BC111CA" w14:textId="70289D7D" w:rsidR="00D22F46" w:rsidRDefault="00D22F46" w:rsidP="00D22F46">
      <w:pPr>
        <w:pStyle w:val="ListParagraph"/>
        <w:numPr>
          <w:ilvl w:val="0"/>
          <w:numId w:val="15"/>
        </w:numPr>
      </w:pPr>
      <w:r>
        <w:t>Second, the Panel finds that Sussex ICB, in the formulation of its ITT questions, did not breach the PSR regulations</w:t>
      </w:r>
      <w:proofErr w:type="gramStart"/>
      <w:r w:rsidR="00833B69">
        <w:t>,</w:t>
      </w:r>
      <w:r>
        <w:t xml:space="preserve"> and in particular</w:t>
      </w:r>
      <w:proofErr w:type="gramEnd"/>
      <w:r>
        <w:t xml:space="preserve"> its obligations under Regulation 4, which requires it to act fairly.</w:t>
      </w:r>
    </w:p>
    <w:p w14:paraId="48D453DD" w14:textId="1464ACB4" w:rsidR="00D22F46" w:rsidRDefault="00D22F46" w:rsidP="00D22F46">
      <w:pPr>
        <w:pStyle w:val="ListParagraph"/>
        <w:numPr>
          <w:ilvl w:val="0"/>
          <w:numId w:val="15"/>
        </w:numPr>
      </w:pPr>
      <w:r>
        <w:t>Third, the Panel finds that Sussex ICB, in deciding the weightings for the key criteria, did not breach the PSR regulations</w:t>
      </w:r>
      <w:r w:rsidR="000D1C3D">
        <w:t>,</w:t>
      </w:r>
      <w:r>
        <w:t xml:space="preserve"> </w:t>
      </w:r>
      <w:r w:rsidRPr="00AB3C97">
        <w:t>and in particular its obligations under Regulation</w:t>
      </w:r>
      <w:r>
        <w:t>s</w:t>
      </w:r>
      <w:r w:rsidRPr="00AB3C97">
        <w:t xml:space="preserve"> </w:t>
      </w:r>
      <w:r>
        <w:t>5(e) and 11(2), which state that “</w:t>
      </w:r>
      <w:r w:rsidRPr="005464ED">
        <w:t xml:space="preserve">Step 1 </w:t>
      </w:r>
      <w:r>
        <w:t xml:space="preserve">[of the competitive process] </w:t>
      </w:r>
      <w:r w:rsidRPr="005464ED">
        <w:t>is that the relevant authority determines the contract or framework award criteria, taking into account the key criteria and applying the basic selection criteria</w:t>
      </w:r>
      <w:r>
        <w:t>”</w:t>
      </w:r>
      <w:r w:rsidRPr="005464ED">
        <w:t>.</w:t>
      </w:r>
    </w:p>
    <w:p w14:paraId="14A22B31" w14:textId="63D58A47" w:rsidR="00D22F46" w:rsidRDefault="00D22F46" w:rsidP="00D22F46">
      <w:pPr>
        <w:pStyle w:val="ListParagraph"/>
        <w:numPr>
          <w:ilvl w:val="0"/>
          <w:numId w:val="15"/>
        </w:numPr>
        <w:spacing w:after="160"/>
        <w:ind w:left="1077" w:hanging="357"/>
      </w:pPr>
      <w:r w:rsidRPr="00651010">
        <w:t>Finally</w:t>
      </w:r>
      <w:r>
        <w:t xml:space="preserve">, the Panel </w:t>
      </w:r>
      <w:r w:rsidR="000C588C" w:rsidRPr="0094758F">
        <w:t xml:space="preserve">finds that </w:t>
      </w:r>
      <w:r w:rsidR="000C588C">
        <w:t xml:space="preserve">Sussex ICB, in the selection of an evaluator related to </w:t>
      </w:r>
      <w:r w:rsidR="000C588C" w:rsidRPr="004728A8">
        <w:t>Healthwatch</w:t>
      </w:r>
      <w:r w:rsidR="000C588C">
        <w:t>, and in setting out the composition of its representations review panel, did not breach the PSR regulations</w:t>
      </w:r>
      <w:proofErr w:type="gramStart"/>
      <w:r w:rsidR="000C588C">
        <w:t>, and in particular</w:t>
      </w:r>
      <w:proofErr w:type="gramEnd"/>
      <w:r w:rsidR="000C588C">
        <w:t xml:space="preserve"> its obligations under Regulation 4, which requires it to act fairly.</w:t>
      </w:r>
    </w:p>
    <w:p w14:paraId="2C5FAB7A" w14:textId="77777777" w:rsidR="00D22F46" w:rsidRPr="002B067A" w:rsidRDefault="00D22F46" w:rsidP="00D22F46">
      <w:pPr>
        <w:pStyle w:val="ListParagraph"/>
        <w:numPr>
          <w:ilvl w:val="0"/>
          <w:numId w:val="4"/>
        </w:numPr>
        <w:ind w:left="567" w:hanging="567"/>
        <w:contextualSpacing/>
      </w:pPr>
      <w:r w:rsidRPr="002B067A">
        <w:t>Given the</w:t>
      </w:r>
      <w:r>
        <w:t xml:space="preserve"> Panel’s findings that Sussex ICB breached the PSR regulations</w:t>
      </w:r>
      <w:r w:rsidRPr="002B067A">
        <w:t>, three options are open to the Panel. The Panel may advise that:</w:t>
      </w:r>
    </w:p>
    <w:p w14:paraId="6D423565" w14:textId="77777777" w:rsidR="00D22F46" w:rsidRPr="002B067A" w:rsidRDefault="00D22F46" w:rsidP="00D22F46">
      <w:pPr>
        <w:pStyle w:val="ListParagraph"/>
        <w:numPr>
          <w:ilvl w:val="0"/>
          <w:numId w:val="16"/>
        </w:numPr>
        <w:contextualSpacing/>
      </w:pPr>
      <w:r>
        <w:lastRenderedPageBreak/>
        <w:t>t</w:t>
      </w:r>
      <w:r w:rsidRPr="002B067A">
        <w:t xml:space="preserve">he breaches </w:t>
      </w:r>
      <w:r>
        <w:t xml:space="preserve">of the PSR regulations </w:t>
      </w:r>
      <w:r w:rsidRPr="002B067A">
        <w:t xml:space="preserve">had no material effect on </w:t>
      </w:r>
      <w:r>
        <w:t>Sussex ICB</w:t>
      </w:r>
      <w:r w:rsidRPr="002B067A">
        <w:t xml:space="preserve">’s selection of a provider and it should proceed with awarding the contract as originally </w:t>
      </w:r>
      <w:proofErr w:type="gramStart"/>
      <w:r w:rsidRPr="002B067A">
        <w:t>intended;</w:t>
      </w:r>
      <w:proofErr w:type="gramEnd"/>
    </w:p>
    <w:p w14:paraId="200747DF" w14:textId="77777777" w:rsidR="00D22F46" w:rsidRPr="002B067A" w:rsidRDefault="00D22F46" w:rsidP="00D22F46">
      <w:pPr>
        <w:pStyle w:val="ListParagraph"/>
        <w:numPr>
          <w:ilvl w:val="0"/>
          <w:numId w:val="16"/>
        </w:numPr>
        <w:contextualSpacing/>
      </w:pPr>
      <w:r>
        <w:t xml:space="preserve">Sussex ICB </w:t>
      </w:r>
      <w:r w:rsidRPr="002B067A">
        <w:t>should return to an earlier step in the provider selection process to rectify the issues identified by the Panel; or</w:t>
      </w:r>
    </w:p>
    <w:p w14:paraId="525D0A4E" w14:textId="77777777" w:rsidR="00D22F46" w:rsidRDefault="00D22F46" w:rsidP="00D22F46">
      <w:pPr>
        <w:pStyle w:val="ListParagraph"/>
        <w:numPr>
          <w:ilvl w:val="0"/>
          <w:numId w:val="16"/>
        </w:numPr>
        <w:spacing w:after="160"/>
        <w:ind w:left="1077" w:hanging="357"/>
      </w:pPr>
      <w:r>
        <w:t xml:space="preserve">Sussex ICB </w:t>
      </w:r>
      <w:r w:rsidRPr="002B067A">
        <w:t>should abandon the current provider selection process</w:t>
      </w:r>
      <w:r>
        <w:t>.</w:t>
      </w:r>
    </w:p>
    <w:p w14:paraId="56613970" w14:textId="77B73B07" w:rsidR="00D22F46" w:rsidRDefault="00D22F46" w:rsidP="00D22F46">
      <w:pPr>
        <w:pStyle w:val="ListParagraph"/>
        <w:numPr>
          <w:ilvl w:val="0"/>
          <w:numId w:val="4"/>
        </w:numPr>
        <w:spacing w:after="160"/>
        <w:ind w:left="567" w:hanging="567"/>
      </w:pPr>
      <w:r>
        <w:t xml:space="preserve">The Panel’s view is that Sussex ICB’s breaches of the PSR regulations are sufficiently serious to have had a material effect on its selection of a provider. This is particularly the case in relation to the </w:t>
      </w:r>
      <w:r w:rsidRPr="0059079B">
        <w:t>Sussex ICB</w:t>
      </w:r>
      <w:r>
        <w:t xml:space="preserve">’s </w:t>
      </w:r>
      <w:r w:rsidR="00A04D9D">
        <w:t xml:space="preserve">provision of information about </w:t>
      </w:r>
      <w:r>
        <w:t xml:space="preserve">LCSs </w:t>
      </w:r>
      <w:r w:rsidR="00E50D3B">
        <w:t xml:space="preserve">in the provider selection process </w:t>
      </w:r>
      <w:r>
        <w:t xml:space="preserve">and </w:t>
      </w:r>
      <w:r w:rsidR="002F16D1">
        <w:t xml:space="preserve">its </w:t>
      </w:r>
      <w:r>
        <w:t xml:space="preserve">request </w:t>
      </w:r>
      <w:r w:rsidR="008A4823">
        <w:t xml:space="preserve">for </w:t>
      </w:r>
      <w:r>
        <w:t>bidders</w:t>
      </w:r>
      <w:r w:rsidR="008A4823">
        <w:t>’</w:t>
      </w:r>
      <w:r w:rsidR="007C618B">
        <w:t xml:space="preserve"> </w:t>
      </w:r>
      <w:r>
        <w:t>estimate</w:t>
      </w:r>
      <w:r w:rsidR="00BB24AD">
        <w:t>d</w:t>
      </w:r>
      <w:r>
        <w:t xml:space="preserve"> income from deliver</w:t>
      </w:r>
      <w:r w:rsidR="00EC63C7">
        <w:t>ing</w:t>
      </w:r>
      <w:r>
        <w:t xml:space="preserve"> LCSs</w:t>
      </w:r>
      <w:r w:rsidR="005D7B65">
        <w:t xml:space="preserve"> (i.e. the </w:t>
      </w:r>
      <w:r w:rsidR="00B1169F">
        <w:t xml:space="preserve">third bullet point in paragraph </w:t>
      </w:r>
      <w:r w:rsidR="00B1169F">
        <w:fldChar w:fldCharType="begin"/>
      </w:r>
      <w:r w:rsidR="00B1169F">
        <w:instrText xml:space="preserve"> REF _Ref204087571 \r \h </w:instrText>
      </w:r>
      <w:r w:rsidR="00B1169F">
        <w:fldChar w:fldCharType="separate"/>
      </w:r>
      <w:r w:rsidR="00C81C5A">
        <w:t>8</w:t>
      </w:r>
      <w:r w:rsidR="00B1169F">
        <w:fldChar w:fldCharType="end"/>
      </w:r>
      <w:r w:rsidR="00B1169F">
        <w:t>)</w:t>
      </w:r>
      <w:r w:rsidR="00A1047A">
        <w:t>.</w:t>
      </w:r>
    </w:p>
    <w:p w14:paraId="6AE55520" w14:textId="02B06E20" w:rsidR="00D22F46" w:rsidRDefault="00D22F46" w:rsidP="00D22F46">
      <w:pPr>
        <w:pStyle w:val="ListParagraph"/>
        <w:numPr>
          <w:ilvl w:val="0"/>
          <w:numId w:val="4"/>
        </w:numPr>
        <w:spacing w:after="160"/>
        <w:ind w:left="567" w:hanging="567"/>
      </w:pPr>
      <w:r>
        <w:t>The Panel’s advice to Sussex ICB is that it returns to an earlier step in the provider selection process, namely the</w:t>
      </w:r>
      <w:r w:rsidR="00670096">
        <w:t xml:space="preserve"> publication of a new </w:t>
      </w:r>
      <w:r w:rsidR="008E0B26">
        <w:t>contract notice and</w:t>
      </w:r>
      <w:r>
        <w:t xml:space="preserve"> issuance of ITT documentation suitably revised to address the issues identified by the Panel in this review. This will allow a new provider selection process to take place </w:t>
      </w:r>
      <w:r w:rsidR="0030484D">
        <w:t>that</w:t>
      </w:r>
      <w:r w:rsidR="3BBE5E0E">
        <w:t xml:space="preserve"> </w:t>
      </w:r>
      <w:r>
        <w:t>address</w:t>
      </w:r>
      <w:r w:rsidR="0030484D">
        <w:t>es</w:t>
      </w:r>
      <w:r>
        <w:t xml:space="preserve"> </w:t>
      </w:r>
      <w:proofErr w:type="gramStart"/>
      <w:r>
        <w:t>all of</w:t>
      </w:r>
      <w:proofErr w:type="gramEnd"/>
      <w:r>
        <w:t xml:space="preserve"> the issues identified by the Panel in this report.</w:t>
      </w:r>
    </w:p>
    <w:p w14:paraId="22AFBBAE" w14:textId="14A013DF" w:rsidR="007E268E" w:rsidRDefault="007E268E" w:rsidP="007E268E">
      <w:pPr>
        <w:pStyle w:val="ListParagraph"/>
        <w:numPr>
          <w:ilvl w:val="0"/>
          <w:numId w:val="4"/>
        </w:numPr>
        <w:spacing w:after="160"/>
        <w:ind w:left="567" w:hanging="567"/>
      </w:pPr>
      <w:r>
        <w:t>The Panel also recommends that Sussex ICB ensures that, in future, sufficient</w:t>
      </w:r>
      <w:r w:rsidR="008C618B">
        <w:t>ly detailed</w:t>
      </w:r>
      <w:r>
        <w:t xml:space="preserve"> notes are kept of moderation meeting discussions so that bidders, internal review panels and the Panel can follow the reasoning of those involved in decision making.</w:t>
      </w:r>
    </w:p>
    <w:p w14:paraId="7AA49AA2" w14:textId="7D97CA60" w:rsidR="00AF703F" w:rsidRDefault="009E2DF7" w:rsidP="0025106C">
      <w:pPr>
        <w:pStyle w:val="Heading1"/>
      </w:pPr>
      <w:bookmarkStart w:id="3" w:name="_Toc204164415"/>
      <w:r>
        <w:t>Introduction</w:t>
      </w:r>
      <w:bookmarkEnd w:id="3"/>
    </w:p>
    <w:p w14:paraId="2DDB60E3" w14:textId="3CD541CA" w:rsidR="004724B3" w:rsidRPr="00456123" w:rsidRDefault="00C52B3C" w:rsidP="009D14EA">
      <w:pPr>
        <w:pStyle w:val="ListParagraph"/>
        <w:numPr>
          <w:ilvl w:val="0"/>
          <w:numId w:val="4"/>
        </w:numPr>
        <w:spacing w:after="160"/>
        <w:ind w:left="567" w:hanging="567"/>
      </w:pPr>
      <w:r w:rsidRPr="003A1AFC">
        <w:t xml:space="preserve">On </w:t>
      </w:r>
      <w:r w:rsidR="00E8695C" w:rsidRPr="003A1AFC">
        <w:t>23 May 2025</w:t>
      </w:r>
      <w:r w:rsidR="008F72BD" w:rsidRPr="003A1AFC">
        <w:t xml:space="preserve">, </w:t>
      </w:r>
      <w:r w:rsidR="006A0EB1" w:rsidRPr="003A1AFC">
        <w:t>Wellsbourne</w:t>
      </w:r>
      <w:r w:rsidR="00E63731" w:rsidRPr="003A1AFC">
        <w:t xml:space="preserve"> Healthcare Community Interest Company (Wellsbourne</w:t>
      </w:r>
      <w:r w:rsidR="00A96B47" w:rsidRPr="003A1AFC">
        <w:t>)</w:t>
      </w:r>
      <w:r w:rsidR="00856A83" w:rsidRPr="00794B02">
        <w:rPr>
          <w:vertAlign w:val="superscript"/>
        </w:rPr>
        <w:footnoteReference w:id="1"/>
      </w:r>
      <w:r w:rsidR="008F72BD" w:rsidRPr="003A1AFC">
        <w:t xml:space="preserve"> asked the Panel to advise on </w:t>
      </w:r>
      <w:r w:rsidR="0033618B" w:rsidRPr="003A1AFC">
        <w:t>the</w:t>
      </w:r>
      <w:r w:rsidR="008F72BD" w:rsidRPr="003A1AFC">
        <w:t xml:space="preserve"> selection of a provider </w:t>
      </w:r>
      <w:r w:rsidR="0033618B" w:rsidRPr="003A1AFC">
        <w:t xml:space="preserve">by </w:t>
      </w:r>
      <w:r w:rsidR="00A96B47" w:rsidRPr="003A1AFC">
        <w:t>NHS Sussex Integrated Care Board (Sussex ICB)</w:t>
      </w:r>
      <w:r w:rsidR="0033618B" w:rsidRPr="003A1AFC">
        <w:t xml:space="preserve"> </w:t>
      </w:r>
      <w:r w:rsidR="008F72BD" w:rsidRPr="003A1AFC">
        <w:t>for</w:t>
      </w:r>
      <w:r w:rsidR="00626CDE" w:rsidRPr="003A1AFC">
        <w:t xml:space="preserve"> </w:t>
      </w:r>
      <w:r w:rsidR="00943A61" w:rsidRPr="003A1AFC">
        <w:t xml:space="preserve">an Alternative Provider Medical Service (APMS) contract to provide </w:t>
      </w:r>
      <w:r w:rsidR="000F46C9">
        <w:t>p</w:t>
      </w:r>
      <w:r w:rsidR="00943A61" w:rsidRPr="003A1AFC">
        <w:t xml:space="preserve">rimary </w:t>
      </w:r>
      <w:r w:rsidR="000F46C9">
        <w:t>c</w:t>
      </w:r>
      <w:r w:rsidR="00943A61" w:rsidRPr="003A1AFC">
        <w:t xml:space="preserve">are </w:t>
      </w:r>
      <w:r w:rsidR="000F46C9">
        <w:t>s</w:t>
      </w:r>
      <w:r w:rsidR="00943A61" w:rsidRPr="003A1AFC">
        <w:t xml:space="preserve">ervices to the population of Whitehawk </w:t>
      </w:r>
      <w:r w:rsidR="001A4272" w:rsidRPr="003A1AFC">
        <w:t>and the surrounding area of</w:t>
      </w:r>
      <w:r w:rsidR="00943A61" w:rsidRPr="003A1AFC">
        <w:t xml:space="preserve"> Brighton and Hove</w:t>
      </w:r>
      <w:r w:rsidR="00FA08E0" w:rsidRPr="003A1AFC">
        <w:t xml:space="preserve"> (</w:t>
      </w:r>
      <w:r w:rsidR="004B07F5">
        <w:t xml:space="preserve">the </w:t>
      </w:r>
      <w:r w:rsidR="00FA08E0" w:rsidRPr="003A1AFC">
        <w:t>Whitehawk APMS</w:t>
      </w:r>
      <w:r w:rsidR="004B07F5">
        <w:t xml:space="preserve"> contract</w:t>
      </w:r>
      <w:r w:rsidR="00FA08E0" w:rsidRPr="003A1AFC">
        <w:t>)</w:t>
      </w:r>
      <w:r w:rsidR="008F72BD" w:rsidRPr="003A1AFC">
        <w:t>.</w:t>
      </w:r>
    </w:p>
    <w:p w14:paraId="4FF9EE89" w14:textId="5C49A5F7" w:rsidR="005C2C79" w:rsidRDefault="008F72BD" w:rsidP="009D14EA">
      <w:pPr>
        <w:pStyle w:val="ListParagraph"/>
        <w:numPr>
          <w:ilvl w:val="0"/>
          <w:numId w:val="4"/>
        </w:numPr>
        <w:spacing w:after="160"/>
        <w:ind w:left="567" w:hanging="567"/>
      </w:pPr>
      <w:r>
        <w:t xml:space="preserve">The Panel accepted </w:t>
      </w:r>
      <w:r w:rsidR="00BA3151">
        <w:t>Wellsbourne</w:t>
      </w:r>
      <w:r w:rsidR="00812837">
        <w:t xml:space="preserve">’s request on </w:t>
      </w:r>
      <w:r w:rsidR="009D0F52">
        <w:t>28 May 2025</w:t>
      </w:r>
      <w:r w:rsidR="00812837">
        <w:t xml:space="preserve"> in accordance with its case acceptance criteria. These criteria set out both eligibility requirements and the </w:t>
      </w:r>
      <w:r w:rsidR="002B6260">
        <w:t>prioritisation</w:t>
      </w:r>
      <w:r w:rsidR="00812837">
        <w:t xml:space="preserve"> criteria </w:t>
      </w:r>
      <w:r w:rsidR="002B6260">
        <w:t>the Panel will apply when it is approaching full caseload capacity.</w:t>
      </w:r>
      <w:r w:rsidR="004724B3" w:rsidRPr="00794B02">
        <w:rPr>
          <w:vertAlign w:val="superscript"/>
        </w:rPr>
        <w:footnoteReference w:id="2"/>
      </w:r>
      <w:r w:rsidR="002B6260" w:rsidRPr="00794B02">
        <w:rPr>
          <w:vertAlign w:val="superscript"/>
        </w:rPr>
        <w:t xml:space="preserve"> </w:t>
      </w:r>
      <w:r w:rsidR="009D0F52" w:rsidRPr="00783D57">
        <w:t>Wellsbourne’s</w:t>
      </w:r>
      <w:r w:rsidR="002B6260" w:rsidRPr="00783D57">
        <w:t xml:space="preserve"> request met the eligibility requirements, and as the Panel was not approaching full capacity, there was no need to apply the prioritisation criteria</w:t>
      </w:r>
      <w:r w:rsidR="005C2C79" w:rsidRPr="00783D57">
        <w:t>.</w:t>
      </w:r>
    </w:p>
    <w:p w14:paraId="6B1A486F" w14:textId="5712B6AB" w:rsidR="002B6260" w:rsidRDefault="00716EEB" w:rsidP="00D22F46">
      <w:pPr>
        <w:pStyle w:val="ListParagraph"/>
        <w:numPr>
          <w:ilvl w:val="0"/>
          <w:numId w:val="4"/>
        </w:numPr>
        <w:spacing w:after="0"/>
        <w:ind w:left="567" w:hanging="567"/>
      </w:pPr>
      <w:r>
        <w:t>The Panel’s Chair appointed three members to a Case Panel</w:t>
      </w:r>
      <w:r w:rsidR="007F7092">
        <w:t xml:space="preserve"> for this review (in line with the Panel’s procedures). The Case Panel consisted of:</w:t>
      </w:r>
    </w:p>
    <w:p w14:paraId="3C0A0165" w14:textId="4CC580DF" w:rsidR="007F7092" w:rsidRDefault="007F7092" w:rsidP="006C0982">
      <w:pPr>
        <w:pStyle w:val="ListParagraph"/>
        <w:numPr>
          <w:ilvl w:val="0"/>
          <w:numId w:val="10"/>
        </w:numPr>
        <w:ind w:left="1077" w:hanging="357"/>
        <w:contextualSpacing/>
      </w:pPr>
      <w:r>
        <w:t xml:space="preserve">Andrew Taylor, Panel </w:t>
      </w:r>
      <w:proofErr w:type="gramStart"/>
      <w:r>
        <w:t>Chair;</w:t>
      </w:r>
      <w:proofErr w:type="gramEnd"/>
    </w:p>
    <w:p w14:paraId="2AF7F4B8" w14:textId="27AC7266" w:rsidR="00955666" w:rsidRDefault="00783D57" w:rsidP="006C0982">
      <w:pPr>
        <w:pStyle w:val="ListParagraph"/>
        <w:numPr>
          <w:ilvl w:val="0"/>
          <w:numId w:val="10"/>
        </w:numPr>
        <w:ind w:left="1077" w:hanging="357"/>
        <w:contextualSpacing/>
      </w:pPr>
      <w:r>
        <w:t xml:space="preserve">Albert </w:t>
      </w:r>
      <w:proofErr w:type="spellStart"/>
      <w:r>
        <w:t>Sanchez-Graells</w:t>
      </w:r>
      <w:proofErr w:type="spellEnd"/>
      <w:r w:rsidR="00955666">
        <w:t>, Case Panel Member; and</w:t>
      </w:r>
    </w:p>
    <w:p w14:paraId="16B21427" w14:textId="037D392D" w:rsidR="00955666" w:rsidRPr="008545C1" w:rsidRDefault="00783D57" w:rsidP="009D14EA">
      <w:pPr>
        <w:pStyle w:val="ListParagraph"/>
        <w:numPr>
          <w:ilvl w:val="0"/>
          <w:numId w:val="10"/>
        </w:numPr>
        <w:spacing w:after="160"/>
        <w:ind w:left="1077" w:hanging="357"/>
        <w:rPr>
          <w:lang w:val="it-IT"/>
        </w:rPr>
      </w:pPr>
      <w:r w:rsidRPr="008545C1">
        <w:rPr>
          <w:lang w:val="it-IT"/>
        </w:rPr>
        <w:t xml:space="preserve">Daria Prigioni, </w:t>
      </w:r>
      <w:r w:rsidR="00955666" w:rsidRPr="008545C1">
        <w:rPr>
          <w:lang w:val="it-IT"/>
        </w:rPr>
        <w:t>Case Panel Member.</w:t>
      </w:r>
      <w:r w:rsidR="004A0C4C">
        <w:rPr>
          <w:rStyle w:val="FootnoteReference"/>
        </w:rPr>
        <w:footnoteReference w:id="3"/>
      </w:r>
    </w:p>
    <w:p w14:paraId="6DBF7A0F" w14:textId="31273B99" w:rsidR="00CD4CF5" w:rsidRDefault="00955666" w:rsidP="009D14EA">
      <w:pPr>
        <w:pStyle w:val="ListParagraph"/>
        <w:numPr>
          <w:ilvl w:val="0"/>
          <w:numId w:val="4"/>
        </w:numPr>
        <w:spacing w:after="160"/>
        <w:ind w:left="567" w:hanging="567"/>
      </w:pPr>
      <w:r>
        <w:lastRenderedPageBreak/>
        <w:t>The Case Panel’s review has been carried out in accordance with the Panel’s Standard Operating Procedures</w:t>
      </w:r>
      <w:r w:rsidR="00444D28">
        <w:t>.</w:t>
      </w:r>
      <w:r w:rsidR="00CD4CF5" w:rsidRPr="00794B02">
        <w:rPr>
          <w:vertAlign w:val="superscript"/>
        </w:rPr>
        <w:footnoteReference w:id="4"/>
      </w:r>
    </w:p>
    <w:p w14:paraId="26F6E11E" w14:textId="51EFBE35" w:rsidR="007F7092" w:rsidRDefault="00444D28" w:rsidP="009D14EA">
      <w:pPr>
        <w:pStyle w:val="ListParagraph"/>
        <w:numPr>
          <w:ilvl w:val="0"/>
          <w:numId w:val="4"/>
        </w:numPr>
        <w:spacing w:after="0"/>
        <w:ind w:left="567" w:hanging="567"/>
      </w:pPr>
      <w:r>
        <w:t xml:space="preserve">This report provides the Panel’s assessment and advice to </w:t>
      </w:r>
      <w:r w:rsidR="00B05DE0">
        <w:t xml:space="preserve">Sussex ICB </w:t>
      </w:r>
      <w:r>
        <w:t>and is set out as follows:</w:t>
      </w:r>
    </w:p>
    <w:p w14:paraId="36D37C21" w14:textId="66780FE5" w:rsidR="0092692C" w:rsidRDefault="0092692C" w:rsidP="006C0982">
      <w:pPr>
        <w:pStyle w:val="ListParagraph"/>
        <w:numPr>
          <w:ilvl w:val="0"/>
          <w:numId w:val="11"/>
        </w:numPr>
        <w:ind w:left="1077" w:hanging="357"/>
        <w:contextualSpacing/>
      </w:pPr>
      <w:r>
        <w:t xml:space="preserve">Section 3 briefly describes the role of the </w:t>
      </w:r>
      <w:proofErr w:type="gramStart"/>
      <w:r>
        <w:t>Panel;</w:t>
      </w:r>
      <w:proofErr w:type="gramEnd"/>
    </w:p>
    <w:p w14:paraId="497E0A4E" w14:textId="3A1C647E" w:rsidR="0092692C" w:rsidRDefault="0092692C" w:rsidP="006C0982">
      <w:pPr>
        <w:pStyle w:val="ListParagraph"/>
        <w:numPr>
          <w:ilvl w:val="0"/>
          <w:numId w:val="11"/>
        </w:numPr>
        <w:ind w:left="1077" w:hanging="357"/>
        <w:contextualSpacing/>
      </w:pPr>
      <w:r>
        <w:t xml:space="preserve">Section 4 sets out the background to the Panel’s review, including the events leading up to, and including, the </w:t>
      </w:r>
      <w:r w:rsidR="00057030">
        <w:t xml:space="preserve">provider </w:t>
      </w:r>
      <w:r>
        <w:t xml:space="preserve">selection </w:t>
      </w:r>
      <w:proofErr w:type="gramStart"/>
      <w:r w:rsidR="00057030">
        <w:t>process</w:t>
      </w:r>
      <w:r w:rsidR="00C94378">
        <w:t>;</w:t>
      </w:r>
      <w:proofErr w:type="gramEnd"/>
    </w:p>
    <w:p w14:paraId="08A32742" w14:textId="33AEB40F" w:rsidR="00C94378" w:rsidRDefault="00C94378" w:rsidP="006C0982">
      <w:pPr>
        <w:pStyle w:val="ListParagraph"/>
        <w:numPr>
          <w:ilvl w:val="0"/>
          <w:numId w:val="11"/>
        </w:numPr>
        <w:ind w:left="1077" w:hanging="357"/>
        <w:contextualSpacing/>
      </w:pPr>
      <w:r>
        <w:t xml:space="preserve">Section 5 sets out the concerns raised by </w:t>
      </w:r>
      <w:proofErr w:type="gramStart"/>
      <w:r w:rsidR="00B05DE0">
        <w:t>Wellsbourne</w:t>
      </w:r>
      <w:r>
        <w:t>;</w:t>
      </w:r>
      <w:proofErr w:type="gramEnd"/>
    </w:p>
    <w:p w14:paraId="224CF706" w14:textId="6E480BA4" w:rsidR="00C94378" w:rsidRDefault="00C94378" w:rsidP="006C0982">
      <w:pPr>
        <w:pStyle w:val="ListParagraph"/>
        <w:numPr>
          <w:ilvl w:val="0"/>
          <w:numId w:val="11"/>
        </w:numPr>
        <w:ind w:left="1077" w:hanging="357"/>
        <w:contextualSpacing/>
      </w:pPr>
      <w:r>
        <w:t>Section 6 summarise</w:t>
      </w:r>
      <w:r w:rsidR="008500D3">
        <w:t>s</w:t>
      </w:r>
      <w:r>
        <w:t xml:space="preserve"> the provisions of the PSR regulations relevant to this </w:t>
      </w:r>
      <w:proofErr w:type="gramStart"/>
      <w:r>
        <w:t>review;</w:t>
      </w:r>
      <w:proofErr w:type="gramEnd"/>
    </w:p>
    <w:p w14:paraId="441BE4DC" w14:textId="556576CA" w:rsidR="00C94378" w:rsidRDefault="00C94378" w:rsidP="006C0982">
      <w:pPr>
        <w:pStyle w:val="ListParagraph"/>
        <w:numPr>
          <w:ilvl w:val="0"/>
          <w:numId w:val="11"/>
        </w:numPr>
        <w:ind w:left="1077" w:hanging="357"/>
        <w:contextualSpacing/>
      </w:pPr>
      <w:r>
        <w:t>Section 7 sets out the Panel</w:t>
      </w:r>
      <w:r w:rsidR="00B16FDB">
        <w:t>’s</w:t>
      </w:r>
      <w:r>
        <w:t xml:space="preserve"> assessment of the issues; and</w:t>
      </w:r>
    </w:p>
    <w:p w14:paraId="0F291F4A" w14:textId="17DAE60D" w:rsidR="00C94378" w:rsidRDefault="00C94378" w:rsidP="009D14EA">
      <w:pPr>
        <w:pStyle w:val="ListParagraph"/>
        <w:numPr>
          <w:ilvl w:val="0"/>
          <w:numId w:val="11"/>
        </w:numPr>
        <w:spacing w:after="160"/>
        <w:ind w:left="1077" w:hanging="357"/>
      </w:pPr>
      <w:r>
        <w:t xml:space="preserve">Section 8 sets out the Panel’s advice to </w:t>
      </w:r>
      <w:r w:rsidR="00B05DE0">
        <w:t>Sussex ICB</w:t>
      </w:r>
      <w:r>
        <w:t>.</w:t>
      </w:r>
      <w:r w:rsidR="00A47C13">
        <w:rPr>
          <w:rStyle w:val="FootnoteReference"/>
        </w:rPr>
        <w:footnoteReference w:id="5"/>
      </w:r>
    </w:p>
    <w:p w14:paraId="4B7770C8" w14:textId="6EAFEC0D" w:rsidR="00444D28" w:rsidRPr="008B410D" w:rsidRDefault="0092692C" w:rsidP="009D14EA">
      <w:pPr>
        <w:pStyle w:val="ListParagraph"/>
        <w:numPr>
          <w:ilvl w:val="0"/>
          <w:numId w:val="4"/>
        </w:numPr>
        <w:spacing w:after="160"/>
        <w:ind w:left="567" w:hanging="567"/>
      </w:pPr>
      <w:r>
        <w:t xml:space="preserve">The Panel thanks </w:t>
      </w:r>
      <w:r w:rsidR="00B05DE0">
        <w:t>Sussex ICB</w:t>
      </w:r>
      <w:r>
        <w:t xml:space="preserve"> and </w:t>
      </w:r>
      <w:r w:rsidR="00B05DE0">
        <w:t>Wellsbourne</w:t>
      </w:r>
      <w:r>
        <w:t xml:space="preserve"> for their assistance and cooperation during this review.</w:t>
      </w:r>
    </w:p>
    <w:p w14:paraId="1FC86429" w14:textId="5C2EEC94" w:rsidR="00485DA5" w:rsidRDefault="00485DA5" w:rsidP="00485DA5">
      <w:pPr>
        <w:pStyle w:val="Heading1"/>
      </w:pPr>
      <w:bookmarkStart w:id="4" w:name="_Toc204164416"/>
      <w:r>
        <w:t>Role of the Panel</w:t>
      </w:r>
      <w:bookmarkEnd w:id="4"/>
    </w:p>
    <w:p w14:paraId="3999A5A7" w14:textId="13BCC96C" w:rsidR="00DA200D" w:rsidRDefault="00E749EB" w:rsidP="009D14EA">
      <w:pPr>
        <w:pStyle w:val="ListParagraph"/>
        <w:numPr>
          <w:ilvl w:val="0"/>
          <w:numId w:val="4"/>
        </w:numPr>
        <w:spacing w:after="160"/>
        <w:ind w:left="567" w:hanging="567"/>
      </w:pPr>
      <w:r>
        <w:t xml:space="preserve">The PSR regulations, issued under the Health and Care Act 2022, put into effect the Provider Selection Regime for NHS and local authority commissioning of health care services. The Provider Selection Regime </w:t>
      </w:r>
      <w:r w:rsidR="00833FA9">
        <w:t xml:space="preserve">came into force with the adoption of the PSR regulations on </w:t>
      </w:r>
      <w:proofErr w:type="gramStart"/>
      <w:r w:rsidR="00833FA9">
        <w:t>1 January 2024, and</w:t>
      </w:r>
      <w:proofErr w:type="gramEnd"/>
      <w:r w:rsidR="00833FA9">
        <w:t xml:space="preserve"> </w:t>
      </w:r>
      <w:r>
        <w:t>gives relevant authorities (i.e. commissioners) greater flexibility when selecting providers of health care services</w:t>
      </w:r>
      <w:r w:rsidR="00BF4715">
        <w:t>.</w:t>
      </w:r>
      <w:r w:rsidR="008F2F8C" w:rsidRPr="00794B02">
        <w:rPr>
          <w:vertAlign w:val="superscript"/>
        </w:rPr>
        <w:footnoteReference w:id="6"/>
      </w:r>
    </w:p>
    <w:p w14:paraId="22550EC9" w14:textId="6C3458D6" w:rsidR="009C30B9" w:rsidRDefault="009C30B9" w:rsidP="009D14EA">
      <w:pPr>
        <w:pStyle w:val="ListParagraph"/>
        <w:numPr>
          <w:ilvl w:val="0"/>
          <w:numId w:val="4"/>
        </w:numPr>
        <w:spacing w:after="160"/>
        <w:ind w:left="567" w:hanging="567"/>
      </w:pPr>
      <w:r>
        <w:t>The Panel’s role is to act as an independent review body where a provider has concerns about a commissioner’s provider selection decision. Panel reviews only take place following a commissioner’s review of its original decision.</w:t>
      </w:r>
    </w:p>
    <w:p w14:paraId="51B6322F" w14:textId="61604284" w:rsidR="009C30B9" w:rsidRPr="008B410D" w:rsidRDefault="009C30B9" w:rsidP="009D14EA">
      <w:pPr>
        <w:pStyle w:val="ListParagraph"/>
        <w:numPr>
          <w:ilvl w:val="0"/>
          <w:numId w:val="4"/>
        </w:numPr>
        <w:spacing w:after="160"/>
        <w:ind w:left="567" w:hanging="567"/>
      </w:pPr>
      <w:r>
        <w:t xml:space="preserve">For each review, the Panel’s assessment and advice is supplied to the commissioner and the </w:t>
      </w:r>
      <w:r w:rsidR="00F7631F">
        <w:t xml:space="preserve">potential </w:t>
      </w:r>
      <w:r>
        <w:t xml:space="preserve">provider that has requested the Panel’s review. It is also published on the Panel’s webpages. The commissioner is then responsible for reviewing its decision </w:t>
      </w:r>
      <w:proofErr w:type="gramStart"/>
      <w:r>
        <w:t>in light of</w:t>
      </w:r>
      <w:proofErr w:type="gramEnd"/>
      <w:r>
        <w:t xml:space="preserve"> the Panel’s advice.</w:t>
      </w:r>
    </w:p>
    <w:p w14:paraId="45E9213A" w14:textId="16E23B7E" w:rsidR="00485DA5" w:rsidRDefault="00485DA5" w:rsidP="00DA200D">
      <w:pPr>
        <w:pStyle w:val="Heading1"/>
      </w:pPr>
      <w:bookmarkStart w:id="5" w:name="_Toc204164417"/>
      <w:r>
        <w:t>Background to this review</w:t>
      </w:r>
      <w:bookmarkEnd w:id="5"/>
    </w:p>
    <w:p w14:paraId="5A18376A" w14:textId="6B7B6947" w:rsidR="00DA200D" w:rsidRPr="002A2071" w:rsidRDefault="008D461D" w:rsidP="009D14EA">
      <w:pPr>
        <w:pStyle w:val="ListParagraph"/>
        <w:numPr>
          <w:ilvl w:val="0"/>
          <w:numId w:val="4"/>
        </w:numPr>
        <w:spacing w:after="160"/>
        <w:ind w:left="567" w:hanging="567"/>
      </w:pPr>
      <w:r w:rsidRPr="008D461D">
        <w:t xml:space="preserve">Sussex </w:t>
      </w:r>
      <w:r w:rsidRPr="002A2071">
        <w:t>ICB</w:t>
      </w:r>
      <w:r w:rsidR="00047060" w:rsidRPr="002A2071">
        <w:t xml:space="preserve"> is </w:t>
      </w:r>
      <w:r w:rsidR="00DA66CD" w:rsidRPr="002A2071">
        <w:t xml:space="preserve">a statutory body responsible for planning health services to meet the health needs of the </w:t>
      </w:r>
      <w:r w:rsidR="00DD3087" w:rsidRPr="002A2071">
        <w:t xml:space="preserve">Sussex </w:t>
      </w:r>
      <w:r w:rsidR="00984AE2" w:rsidRPr="002A2071">
        <w:t>population and managing the budget for the provision of NHS services to this population.</w:t>
      </w:r>
      <w:r w:rsidR="00323C2C" w:rsidRPr="00794B02">
        <w:rPr>
          <w:vertAlign w:val="superscript"/>
        </w:rPr>
        <w:footnoteReference w:id="7"/>
      </w:r>
    </w:p>
    <w:p w14:paraId="4B70113C" w14:textId="3A7439CD" w:rsidR="00BC7CB6" w:rsidRPr="0062715C" w:rsidRDefault="008A7AC6" w:rsidP="009D14EA">
      <w:pPr>
        <w:pStyle w:val="ListParagraph"/>
        <w:numPr>
          <w:ilvl w:val="0"/>
          <w:numId w:val="4"/>
        </w:numPr>
        <w:spacing w:after="160"/>
        <w:ind w:left="567" w:hanging="567"/>
      </w:pPr>
      <w:r>
        <w:t xml:space="preserve">Wellsbourne, </w:t>
      </w:r>
      <w:r w:rsidR="00D20DCD">
        <w:t>under t</w:t>
      </w:r>
      <w:r w:rsidR="004D65DD" w:rsidRPr="008C637A">
        <w:t xml:space="preserve">he </w:t>
      </w:r>
      <w:r w:rsidR="00D20DCD">
        <w:t xml:space="preserve">terms of the </w:t>
      </w:r>
      <w:r w:rsidR="004D65DD" w:rsidRPr="008C637A">
        <w:t xml:space="preserve">Whitehawk </w:t>
      </w:r>
      <w:r w:rsidR="004D65DD">
        <w:t>APMS</w:t>
      </w:r>
      <w:r w:rsidR="004D65DD" w:rsidRPr="008C637A">
        <w:t xml:space="preserve"> </w:t>
      </w:r>
      <w:r w:rsidR="00D20DCD">
        <w:t xml:space="preserve">contract, </w:t>
      </w:r>
      <w:r w:rsidR="004D65DD" w:rsidRPr="008C637A">
        <w:t>offer</w:t>
      </w:r>
      <w:r w:rsidR="00020432">
        <w:t>s</w:t>
      </w:r>
      <w:r w:rsidR="004D65DD" w:rsidRPr="008C637A">
        <w:t xml:space="preserve"> primary care services to patients in t</w:t>
      </w:r>
      <w:r w:rsidR="00CF49E9">
        <w:t xml:space="preserve">he Whitehawk area </w:t>
      </w:r>
      <w:r w:rsidR="004D65DD" w:rsidRPr="008C637A">
        <w:t xml:space="preserve">who </w:t>
      </w:r>
      <w:r w:rsidR="00826FB2">
        <w:t xml:space="preserve">are </w:t>
      </w:r>
      <w:r w:rsidR="004D65DD" w:rsidRPr="008C637A">
        <w:t>register</w:t>
      </w:r>
      <w:r w:rsidR="00826FB2">
        <w:t xml:space="preserve">ed with </w:t>
      </w:r>
      <w:r w:rsidR="004D65DD" w:rsidRPr="008C637A">
        <w:t>the practice</w:t>
      </w:r>
      <w:r w:rsidR="00525DF5">
        <w:t xml:space="preserve"> (the Whitehawk practice)</w:t>
      </w:r>
      <w:r w:rsidR="004D65DD" w:rsidRPr="003E7ED8">
        <w:t>.</w:t>
      </w:r>
      <w:r w:rsidR="00CF49E9">
        <w:t xml:space="preserve"> </w:t>
      </w:r>
      <w:r w:rsidR="00113AD3">
        <w:t>Th</w:t>
      </w:r>
      <w:r w:rsidR="00401461">
        <w:t>e Whitehawk</w:t>
      </w:r>
      <w:r w:rsidR="0007659F">
        <w:t xml:space="preserve"> area </w:t>
      </w:r>
      <w:r w:rsidR="00C2594B">
        <w:t>has</w:t>
      </w:r>
      <w:r w:rsidR="0007659F">
        <w:t xml:space="preserve"> higher </w:t>
      </w:r>
      <w:r w:rsidR="00C2594B">
        <w:t xml:space="preserve">than average levels of </w:t>
      </w:r>
      <w:r w:rsidR="0007659F">
        <w:lastRenderedPageBreak/>
        <w:t xml:space="preserve">deprivation </w:t>
      </w:r>
      <w:r w:rsidR="00C2594B">
        <w:t>and</w:t>
      </w:r>
      <w:r w:rsidR="007F4BA8">
        <w:t xml:space="preserve"> includes </w:t>
      </w:r>
      <w:proofErr w:type="gramStart"/>
      <w:r w:rsidR="00C2594B">
        <w:t>a number of</w:t>
      </w:r>
      <w:proofErr w:type="gramEnd"/>
      <w:r w:rsidR="00C2594B">
        <w:t xml:space="preserve"> </w:t>
      </w:r>
      <w:r w:rsidR="0007659F">
        <w:t>socio-economic disadvantaged communities</w:t>
      </w:r>
      <w:r w:rsidR="00D8079A" w:rsidRPr="008C637A">
        <w:t xml:space="preserve">. </w:t>
      </w:r>
      <w:r w:rsidR="004B70F3">
        <w:t xml:space="preserve">Approximately 8,300 patients were registered with </w:t>
      </w:r>
      <w:r w:rsidR="001D0540">
        <w:t>Wellsbourne</w:t>
      </w:r>
      <w:r w:rsidR="004B70F3">
        <w:t xml:space="preserve"> </w:t>
      </w:r>
      <w:r w:rsidR="0097136D" w:rsidRPr="003E7ED8">
        <w:t xml:space="preserve">as of January </w:t>
      </w:r>
      <w:r w:rsidR="0097136D" w:rsidRPr="0062715C">
        <w:t>2024.</w:t>
      </w:r>
      <w:r w:rsidR="007B4538" w:rsidRPr="00794B02">
        <w:rPr>
          <w:vertAlign w:val="superscript"/>
        </w:rPr>
        <w:footnoteReference w:id="8"/>
      </w:r>
    </w:p>
    <w:p w14:paraId="21A5D16D" w14:textId="234C674A" w:rsidR="005237CD" w:rsidRPr="00144D72" w:rsidRDefault="0037791E" w:rsidP="009D14EA">
      <w:pPr>
        <w:pStyle w:val="ListParagraph"/>
        <w:numPr>
          <w:ilvl w:val="0"/>
          <w:numId w:val="4"/>
        </w:numPr>
        <w:spacing w:after="160"/>
        <w:ind w:left="567" w:hanging="567"/>
      </w:pPr>
      <w:r>
        <w:t xml:space="preserve">Wellsbourne’s APMS contract </w:t>
      </w:r>
      <w:r w:rsidR="004E5579">
        <w:t xml:space="preserve">was </w:t>
      </w:r>
      <w:r>
        <w:t>due to expire</w:t>
      </w:r>
      <w:r w:rsidR="00694D2D">
        <w:t xml:space="preserve"> on </w:t>
      </w:r>
      <w:r w:rsidR="00FD3889">
        <w:t>31 March 2023</w:t>
      </w:r>
      <w:r w:rsidR="002A4D98">
        <w:t xml:space="preserve">, </w:t>
      </w:r>
      <w:r w:rsidR="00D62C1D">
        <w:t xml:space="preserve">and </w:t>
      </w:r>
      <w:r w:rsidR="007D4189">
        <w:t>o</w:t>
      </w:r>
      <w:r w:rsidR="007D4189" w:rsidRPr="00144D72">
        <w:t>n</w:t>
      </w:r>
      <w:r w:rsidR="00F966F8" w:rsidRPr="00144D72">
        <w:t xml:space="preserve"> </w:t>
      </w:r>
      <w:r w:rsidR="0062715C" w:rsidRPr="00144D72">
        <w:t>15</w:t>
      </w:r>
      <w:r w:rsidR="007D4189">
        <w:t> </w:t>
      </w:r>
      <w:r w:rsidR="0062715C" w:rsidRPr="00144D72">
        <w:t>December 2023</w:t>
      </w:r>
      <w:r w:rsidR="00403B8D">
        <w:t>, Sussex ICB decided</w:t>
      </w:r>
      <w:r w:rsidR="0062715C" w:rsidRPr="00144D72">
        <w:t xml:space="preserve"> </w:t>
      </w:r>
      <w:r w:rsidR="00FD1388" w:rsidRPr="00144D72">
        <w:t xml:space="preserve">to select </w:t>
      </w:r>
      <w:r w:rsidR="005B3CA5" w:rsidRPr="00144D72">
        <w:t xml:space="preserve">a provider for </w:t>
      </w:r>
      <w:r w:rsidR="005237CD">
        <w:t>a new</w:t>
      </w:r>
      <w:r w:rsidR="005237CD" w:rsidRPr="00144D72">
        <w:t xml:space="preserve"> </w:t>
      </w:r>
      <w:r w:rsidR="00403B8D">
        <w:t xml:space="preserve">Whitehawk </w:t>
      </w:r>
      <w:r w:rsidR="005237CD">
        <w:t xml:space="preserve">APMS </w:t>
      </w:r>
      <w:r w:rsidR="005B3CA5" w:rsidRPr="00144D72">
        <w:t>contract</w:t>
      </w:r>
      <w:r w:rsidR="005237CD">
        <w:t xml:space="preserve"> using the competitive process</w:t>
      </w:r>
      <w:r w:rsidR="001D7930">
        <w:t xml:space="preserve"> under the PSR regulations</w:t>
      </w:r>
      <w:r w:rsidR="005B3CA5" w:rsidRPr="00144D72">
        <w:t>.</w:t>
      </w:r>
      <w:r w:rsidR="00984C18">
        <w:t xml:space="preserve"> Wellsbourne’s contract </w:t>
      </w:r>
      <w:r w:rsidR="00D62C1D">
        <w:t xml:space="preserve">was </w:t>
      </w:r>
      <w:r w:rsidR="003C5919">
        <w:t xml:space="preserve">subsequently </w:t>
      </w:r>
      <w:r w:rsidR="0017579E">
        <w:t xml:space="preserve">extended </w:t>
      </w:r>
      <w:r w:rsidR="008130D5">
        <w:t xml:space="preserve">to </w:t>
      </w:r>
      <w:r w:rsidR="00C76062">
        <w:t>31 March 202</w:t>
      </w:r>
      <w:r w:rsidR="003C5919">
        <w:t>4</w:t>
      </w:r>
      <w:r w:rsidR="00273495">
        <w:t xml:space="preserve">, and has since been extended </w:t>
      </w:r>
      <w:r w:rsidR="00B947EE">
        <w:t xml:space="preserve">again </w:t>
      </w:r>
      <w:r w:rsidR="00273495">
        <w:t>to cover the duration of the current provider selection process</w:t>
      </w:r>
      <w:r w:rsidR="002A4D98">
        <w:t>.</w:t>
      </w:r>
    </w:p>
    <w:p w14:paraId="1EE01006" w14:textId="5C4DF686" w:rsidR="006B127E" w:rsidRPr="005B4007" w:rsidRDefault="0062330F" w:rsidP="009D14EA">
      <w:pPr>
        <w:pStyle w:val="ListParagraph"/>
        <w:numPr>
          <w:ilvl w:val="0"/>
          <w:numId w:val="4"/>
        </w:numPr>
        <w:spacing w:after="160"/>
        <w:ind w:left="567" w:hanging="567"/>
      </w:pPr>
      <w:bookmarkStart w:id="6" w:name="_Ref203375644"/>
      <w:bookmarkStart w:id="7" w:name="_Ref204154490"/>
      <w:r>
        <w:t>On 8 January 2024, Sussex ICB published a</w:t>
      </w:r>
      <w:r w:rsidR="006D0245">
        <w:t xml:space="preserve"> </w:t>
      </w:r>
      <w:r w:rsidR="006D0245" w:rsidRPr="005B4007">
        <w:t>Prior Information Notice (PIN)</w:t>
      </w:r>
      <w:r w:rsidR="006D0245">
        <w:t xml:space="preserve"> </w:t>
      </w:r>
      <w:r w:rsidR="002611DF">
        <w:t>for the new contract</w:t>
      </w:r>
      <w:r w:rsidR="003835A7" w:rsidRPr="005B4007">
        <w:t xml:space="preserve"> </w:t>
      </w:r>
      <w:r w:rsidR="00694D2D">
        <w:t>on the Find a Tender Service</w:t>
      </w:r>
      <w:r w:rsidR="002611DF">
        <w:t>.</w:t>
      </w:r>
      <w:r w:rsidR="00D22088">
        <w:rPr>
          <w:rStyle w:val="FootnoteReference"/>
        </w:rPr>
        <w:footnoteReference w:id="9"/>
      </w:r>
      <w:r w:rsidR="003835A7" w:rsidRPr="005B4007">
        <w:t xml:space="preserve"> </w:t>
      </w:r>
      <w:r w:rsidR="002611DF">
        <w:t>S</w:t>
      </w:r>
      <w:r w:rsidR="007B1DF8" w:rsidRPr="005B4007">
        <w:t xml:space="preserve">ix </w:t>
      </w:r>
      <w:r w:rsidR="005B4007" w:rsidRPr="005B4007">
        <w:t xml:space="preserve">expressions of interest </w:t>
      </w:r>
      <w:r w:rsidR="006D0245">
        <w:t xml:space="preserve">were received </w:t>
      </w:r>
      <w:r w:rsidR="007B1DF8" w:rsidRPr="005B4007">
        <w:t xml:space="preserve">from </w:t>
      </w:r>
      <w:r w:rsidR="00C53D39">
        <w:t xml:space="preserve">potential </w:t>
      </w:r>
      <w:r w:rsidR="001F5A9D" w:rsidRPr="005B4007">
        <w:t>p</w:t>
      </w:r>
      <w:r w:rsidR="007D6260" w:rsidRPr="005B4007">
        <w:t>roviders</w:t>
      </w:r>
      <w:r w:rsidR="00C53D39">
        <w:t>.</w:t>
      </w:r>
      <w:r w:rsidR="003C3FBB">
        <w:rPr>
          <w:rStyle w:val="FootnoteReference"/>
        </w:rPr>
        <w:footnoteReference w:id="10"/>
      </w:r>
      <w:r w:rsidR="00F31778">
        <w:t xml:space="preserve"> Sussex ICB also carried out </w:t>
      </w:r>
      <w:r w:rsidR="00DB5266">
        <w:t xml:space="preserve">a survey of residents in the Whitehawk area </w:t>
      </w:r>
      <w:r w:rsidR="00656D27">
        <w:t>in February and March 2024</w:t>
      </w:r>
      <w:r w:rsidR="009002AA">
        <w:t xml:space="preserve"> </w:t>
      </w:r>
      <w:r w:rsidR="009002AA" w:rsidRPr="00B22240">
        <w:t xml:space="preserve">to gain a better understanding of </w:t>
      </w:r>
      <w:r w:rsidR="008127CE">
        <w:t>their experience of healthcare services</w:t>
      </w:r>
      <w:r w:rsidR="009002AA">
        <w:t>, receiving 56 responses from members of the public.</w:t>
      </w:r>
      <w:r w:rsidR="009002AA" w:rsidRPr="00794B02">
        <w:rPr>
          <w:vertAlign w:val="superscript"/>
        </w:rPr>
        <w:footnoteReference w:id="11"/>
      </w:r>
      <w:bookmarkEnd w:id="6"/>
      <w:r w:rsidR="00194F06">
        <w:t xml:space="preserve"> Feedback from providers and the survey was incorporated into a revised specification for the procurement</w:t>
      </w:r>
      <w:r w:rsidR="00154B07">
        <w:t>.</w:t>
      </w:r>
      <w:bookmarkEnd w:id="7"/>
    </w:p>
    <w:p w14:paraId="1EC60C1D" w14:textId="0DFFBC99" w:rsidR="00AC0874" w:rsidRPr="007F0C66" w:rsidRDefault="00AC0874" w:rsidP="00605E0E">
      <w:pPr>
        <w:pStyle w:val="ListParagraph"/>
        <w:numPr>
          <w:ilvl w:val="0"/>
          <w:numId w:val="4"/>
        </w:numPr>
        <w:spacing w:after="160"/>
        <w:ind w:left="567" w:hanging="567"/>
      </w:pPr>
      <w:r w:rsidRPr="00AD23B5">
        <w:t>On</w:t>
      </w:r>
      <w:r w:rsidR="00AD23B5">
        <w:t xml:space="preserve"> 17 May 2024, </w:t>
      </w:r>
      <w:r w:rsidR="003A1016">
        <w:t>Sussex</w:t>
      </w:r>
      <w:r w:rsidR="00AD23B5">
        <w:t xml:space="preserve"> ICB</w:t>
      </w:r>
      <w:r w:rsidR="004C5B1E" w:rsidRPr="00E64E91">
        <w:t xml:space="preserve"> </w:t>
      </w:r>
      <w:r w:rsidR="004C5B1E" w:rsidRPr="00AD23B5">
        <w:t xml:space="preserve">published a </w:t>
      </w:r>
      <w:r w:rsidR="00EF54BC">
        <w:t>c</w:t>
      </w:r>
      <w:r w:rsidR="004C5B1E" w:rsidRPr="00AD23B5">
        <w:t xml:space="preserve">ontract </w:t>
      </w:r>
      <w:r w:rsidR="00EF54BC">
        <w:t>n</w:t>
      </w:r>
      <w:r w:rsidR="004C5B1E" w:rsidRPr="00AD23B5">
        <w:t xml:space="preserve">otice </w:t>
      </w:r>
      <w:r w:rsidR="00153793">
        <w:t>inviting proposals from interested providers</w:t>
      </w:r>
      <w:r w:rsidR="00897246" w:rsidRPr="0046036A">
        <w:t xml:space="preserve">. </w:t>
      </w:r>
      <w:r w:rsidR="00BF5477" w:rsidRPr="0046036A">
        <w:t xml:space="preserve">The </w:t>
      </w:r>
      <w:r w:rsidR="008F7B4F">
        <w:t xml:space="preserve">new </w:t>
      </w:r>
      <w:r w:rsidR="00BF5477" w:rsidRPr="0046036A">
        <w:t xml:space="preserve">contract </w:t>
      </w:r>
      <w:r w:rsidR="004025D6">
        <w:t xml:space="preserve">is to </w:t>
      </w:r>
      <w:r w:rsidR="008F7B4F">
        <w:t>ha</w:t>
      </w:r>
      <w:r w:rsidR="00B16EBE">
        <w:t>ve</w:t>
      </w:r>
      <w:r w:rsidR="008F7B4F">
        <w:t xml:space="preserve"> a</w:t>
      </w:r>
      <w:r w:rsidR="004025D6">
        <w:t xml:space="preserve"> </w:t>
      </w:r>
      <w:proofErr w:type="gramStart"/>
      <w:r w:rsidR="004025D6">
        <w:t>seven year</w:t>
      </w:r>
      <w:proofErr w:type="gramEnd"/>
      <w:r w:rsidR="004025D6">
        <w:t xml:space="preserve"> </w:t>
      </w:r>
      <w:r w:rsidR="008F7B4F">
        <w:t>term</w:t>
      </w:r>
      <w:r w:rsidR="001D6847">
        <w:t xml:space="preserve">, with </w:t>
      </w:r>
      <w:r w:rsidR="004025D6">
        <w:t xml:space="preserve">the option of </w:t>
      </w:r>
      <w:r w:rsidR="001D6847">
        <w:t xml:space="preserve">a </w:t>
      </w:r>
      <w:proofErr w:type="gramStart"/>
      <w:r w:rsidR="001D6847">
        <w:t>two year</w:t>
      </w:r>
      <w:proofErr w:type="gramEnd"/>
      <w:r w:rsidR="001D6847">
        <w:t xml:space="preserve"> extension,</w:t>
      </w:r>
      <w:r w:rsidR="00BF5477" w:rsidRPr="0046036A">
        <w:t xml:space="preserve"> </w:t>
      </w:r>
      <w:r w:rsidR="00B16EBE">
        <w:t xml:space="preserve">and was due to </w:t>
      </w:r>
      <w:r w:rsidR="00BF5477" w:rsidRPr="0046036A">
        <w:t>commenc</w:t>
      </w:r>
      <w:r w:rsidR="00B16EBE">
        <w:t>e</w:t>
      </w:r>
      <w:r w:rsidR="00BF5477" w:rsidRPr="0046036A">
        <w:t xml:space="preserve"> on </w:t>
      </w:r>
      <w:r w:rsidR="002C4F02" w:rsidRPr="0046036A">
        <w:t>1</w:t>
      </w:r>
      <w:r w:rsidR="008B41B1">
        <w:t xml:space="preserve"> April</w:t>
      </w:r>
      <w:r w:rsidR="002C4F02" w:rsidRPr="0046036A">
        <w:t xml:space="preserve"> 2025</w:t>
      </w:r>
      <w:r w:rsidR="004025D6">
        <w:t>.</w:t>
      </w:r>
      <w:r w:rsidR="004164F3">
        <w:rPr>
          <w:rStyle w:val="FootnoteReference"/>
        </w:rPr>
        <w:footnoteReference w:id="12"/>
      </w:r>
      <w:r w:rsidR="001D6847">
        <w:t xml:space="preserve"> The </w:t>
      </w:r>
      <w:r w:rsidR="00BF5477" w:rsidRPr="0046036A">
        <w:t>estimated total contract value</w:t>
      </w:r>
      <w:r w:rsidR="008F7B4F">
        <w:t>, including the extension</w:t>
      </w:r>
      <w:r w:rsidR="00CB5DC0">
        <w:t xml:space="preserve"> period</w:t>
      </w:r>
      <w:r w:rsidR="008F7B4F">
        <w:t>,</w:t>
      </w:r>
      <w:r w:rsidR="00BF5477" w:rsidRPr="0046036A">
        <w:t xml:space="preserve"> </w:t>
      </w:r>
      <w:r w:rsidR="00AD5961">
        <w:t>is</w:t>
      </w:r>
      <w:r w:rsidR="00AD5961" w:rsidRPr="0046036A">
        <w:t xml:space="preserve"> </w:t>
      </w:r>
      <w:r w:rsidR="00BF5477" w:rsidRPr="00ED5E58">
        <w:t xml:space="preserve">approximately </w:t>
      </w:r>
      <w:r w:rsidR="00E64E91" w:rsidRPr="00ED5E58">
        <w:t>£</w:t>
      </w:r>
      <w:r w:rsidR="0046036A" w:rsidRPr="00ED5E58">
        <w:t xml:space="preserve">10.4m </w:t>
      </w:r>
      <w:r w:rsidR="00E64E91" w:rsidRPr="00ED5E58">
        <w:t>(excluding VAT).</w:t>
      </w:r>
      <w:r w:rsidR="00E64E91" w:rsidRPr="00ED5E58">
        <w:rPr>
          <w:vertAlign w:val="superscript"/>
        </w:rPr>
        <w:footnoteReference w:id="13"/>
      </w:r>
    </w:p>
    <w:p w14:paraId="6BD24EFB" w14:textId="56B67615" w:rsidR="00713B12" w:rsidRDefault="007934FA" w:rsidP="009D14EA">
      <w:pPr>
        <w:pStyle w:val="ListParagraph"/>
        <w:numPr>
          <w:ilvl w:val="0"/>
          <w:numId w:val="4"/>
        </w:numPr>
        <w:spacing w:after="160"/>
        <w:ind w:left="567" w:hanging="567"/>
      </w:pPr>
      <w:bookmarkStart w:id="8" w:name="_Ref204013299"/>
      <w:r>
        <w:t>The deadline for proposals was 11 October 2024</w:t>
      </w:r>
      <w:r w:rsidR="005F4858">
        <w:t>.</w:t>
      </w:r>
      <w:r>
        <w:t xml:space="preserve"> </w:t>
      </w:r>
      <w:r w:rsidR="005F4858">
        <w:t>Th</w:t>
      </w:r>
      <w:r w:rsidR="00C42F2D">
        <w:t xml:space="preserve">e deadline was extended to this date </w:t>
      </w:r>
      <w:r>
        <w:t>f</w:t>
      </w:r>
      <w:r w:rsidR="00127843" w:rsidRPr="009D14EA">
        <w:t>ollowing</w:t>
      </w:r>
      <w:r w:rsidR="00127843">
        <w:t xml:space="preserve"> a pause in the procurement process </w:t>
      </w:r>
      <w:r w:rsidR="00F41DFC">
        <w:t xml:space="preserve">to clarify </w:t>
      </w:r>
      <w:r w:rsidR="00AE7794">
        <w:t xml:space="preserve">information </w:t>
      </w:r>
      <w:r w:rsidR="00F41DFC">
        <w:t>supplied by Wellsbourne</w:t>
      </w:r>
      <w:r w:rsidR="006C655C">
        <w:t>,</w:t>
      </w:r>
      <w:r w:rsidR="00E7140D">
        <w:t xml:space="preserve"> </w:t>
      </w:r>
      <w:r w:rsidR="00B149F1">
        <w:t>and shared with bidders</w:t>
      </w:r>
      <w:r w:rsidR="006C655C">
        <w:t>,</w:t>
      </w:r>
      <w:r w:rsidR="00B149F1">
        <w:t xml:space="preserve"> </w:t>
      </w:r>
      <w:r w:rsidR="00E7140D">
        <w:t xml:space="preserve">about </w:t>
      </w:r>
      <w:r w:rsidR="008B136B">
        <w:t xml:space="preserve">the number </w:t>
      </w:r>
      <w:r w:rsidR="00F00B43">
        <w:t xml:space="preserve">and cost </w:t>
      </w:r>
      <w:r w:rsidR="008B136B">
        <w:t xml:space="preserve">of </w:t>
      </w:r>
      <w:r w:rsidR="00355EFC">
        <w:t>staff Wellsbourne considered eligible to transfer to a new provider under TUPE rules</w:t>
      </w:r>
      <w:r>
        <w:t xml:space="preserve">. </w:t>
      </w:r>
      <w:r w:rsidR="00001C31">
        <w:t>Wellsbourne’s</w:t>
      </w:r>
      <w:r w:rsidR="00FC1E68">
        <w:t xml:space="preserve"> </w:t>
      </w:r>
      <w:r w:rsidR="00AE7794">
        <w:t xml:space="preserve">information </w:t>
      </w:r>
      <w:r w:rsidR="000F4907">
        <w:t xml:space="preserve">indicated that </w:t>
      </w:r>
      <w:r w:rsidR="00355EFC">
        <w:t xml:space="preserve">the annual cost of </w:t>
      </w:r>
      <w:r w:rsidR="00FC1E68">
        <w:t xml:space="preserve">these </w:t>
      </w:r>
      <w:r w:rsidR="00355EFC">
        <w:t>staff exceed</w:t>
      </w:r>
      <w:r w:rsidR="00FC1E68">
        <w:t>ed</w:t>
      </w:r>
      <w:r w:rsidR="00355EFC">
        <w:t xml:space="preserve"> </w:t>
      </w:r>
      <w:r w:rsidR="00210D36">
        <w:t>the</w:t>
      </w:r>
      <w:r w:rsidR="0049708B">
        <w:t xml:space="preserve"> new</w:t>
      </w:r>
      <w:r w:rsidR="00210D36">
        <w:t xml:space="preserve"> </w:t>
      </w:r>
      <w:r w:rsidR="00532AB6">
        <w:t>contract’s annual value</w:t>
      </w:r>
      <w:r w:rsidR="00A03FC0">
        <w:t xml:space="preserve">. </w:t>
      </w:r>
      <w:r w:rsidR="009126B9">
        <w:t xml:space="preserve">Following Wellsbourne’s confirmation of </w:t>
      </w:r>
      <w:r w:rsidR="008D01B0">
        <w:t xml:space="preserve">its view on the eligibility of staff to transfer to a new provider under TUPE rules, the </w:t>
      </w:r>
      <w:r w:rsidR="00904AF4">
        <w:t>tender process resumed.</w:t>
      </w:r>
      <w:r w:rsidR="00A03FC0">
        <w:t xml:space="preserve"> </w:t>
      </w:r>
      <w:r w:rsidR="00C463A9">
        <w:t>B</w:t>
      </w:r>
      <w:r w:rsidR="00FC2077" w:rsidRPr="00AC45D1">
        <w:t xml:space="preserve">ids </w:t>
      </w:r>
      <w:r w:rsidR="00C463A9">
        <w:t xml:space="preserve">were received </w:t>
      </w:r>
      <w:r w:rsidR="00FC2077" w:rsidRPr="00AC45D1">
        <w:t xml:space="preserve">from </w:t>
      </w:r>
      <w:r w:rsidR="00C463A9">
        <w:t xml:space="preserve">six </w:t>
      </w:r>
      <w:r w:rsidR="00FC2077" w:rsidRPr="00AC45D1">
        <w:t>interested providers</w:t>
      </w:r>
      <w:r w:rsidR="008A6E2F">
        <w:t>,</w:t>
      </w:r>
      <w:r w:rsidR="00FC2077" w:rsidRPr="00AC45D1">
        <w:t xml:space="preserve"> including Wellsbourne</w:t>
      </w:r>
      <w:r w:rsidR="00EF0F6B">
        <w:t>.</w:t>
      </w:r>
      <w:r w:rsidR="00A25788" w:rsidRPr="00794B02">
        <w:rPr>
          <w:vertAlign w:val="superscript"/>
        </w:rPr>
        <w:footnoteReference w:id="14"/>
      </w:r>
      <w:bookmarkEnd w:id="8"/>
    </w:p>
    <w:p w14:paraId="74ADD521" w14:textId="637BEB85" w:rsidR="007F1147" w:rsidRDefault="00EF0F6B" w:rsidP="009D14EA">
      <w:pPr>
        <w:pStyle w:val="ListParagraph"/>
        <w:numPr>
          <w:ilvl w:val="0"/>
          <w:numId w:val="4"/>
        </w:numPr>
        <w:spacing w:after="160"/>
        <w:ind w:left="567" w:hanging="567"/>
      </w:pPr>
      <w:bookmarkStart w:id="9" w:name="_Ref204013302"/>
      <w:r>
        <w:t>During the evaluation process</w:t>
      </w:r>
      <w:r w:rsidR="00326818">
        <w:t>,</w:t>
      </w:r>
      <w:r w:rsidR="00DE5E08" w:rsidRPr="00AC45D1">
        <w:t xml:space="preserve"> </w:t>
      </w:r>
      <w:r w:rsidR="008B11FC">
        <w:t xml:space="preserve">bidders were asked to resubmit their </w:t>
      </w:r>
      <w:r w:rsidR="006F1273">
        <w:t xml:space="preserve">financial model </w:t>
      </w:r>
      <w:r w:rsidR="007E1BFF">
        <w:t xml:space="preserve">with </w:t>
      </w:r>
      <w:r w:rsidR="003A60C0">
        <w:t xml:space="preserve">estimates of </w:t>
      </w:r>
      <w:r w:rsidR="00410701">
        <w:t>additional income</w:t>
      </w:r>
      <w:r w:rsidR="00CB44DD">
        <w:t xml:space="preserve"> </w:t>
      </w:r>
      <w:r w:rsidR="00EE5CDA">
        <w:t xml:space="preserve">that </w:t>
      </w:r>
      <w:r w:rsidR="00CB44DD">
        <w:t xml:space="preserve">bidders </w:t>
      </w:r>
      <w:r w:rsidR="00410701">
        <w:t xml:space="preserve">expected </w:t>
      </w:r>
      <w:r w:rsidR="00EE5CDA">
        <w:t xml:space="preserve">to derive </w:t>
      </w:r>
      <w:r w:rsidR="00CA3360">
        <w:t>from operating the Whitehawk practice</w:t>
      </w:r>
      <w:r w:rsidR="00933C1A">
        <w:t xml:space="preserve">, </w:t>
      </w:r>
      <w:r w:rsidR="003A60C0">
        <w:t xml:space="preserve">beyond </w:t>
      </w:r>
      <w:r w:rsidR="00FD12F7">
        <w:t>APMS contract</w:t>
      </w:r>
      <w:r w:rsidR="00DB1A1B">
        <w:t xml:space="preserve"> revenues</w:t>
      </w:r>
      <w:r w:rsidR="007F1147">
        <w:t>.</w:t>
      </w:r>
      <w:r w:rsidR="00A97282">
        <w:t xml:space="preserve"> </w:t>
      </w:r>
      <w:r w:rsidR="007D3971">
        <w:t>These</w:t>
      </w:r>
      <w:r w:rsidR="00CB44DD">
        <w:t xml:space="preserve"> </w:t>
      </w:r>
      <w:r w:rsidR="00AE2BB3">
        <w:t xml:space="preserve">potential </w:t>
      </w:r>
      <w:r w:rsidR="005A19E4">
        <w:t xml:space="preserve">additional </w:t>
      </w:r>
      <w:r w:rsidR="00AE2BB3">
        <w:t xml:space="preserve">income </w:t>
      </w:r>
      <w:r w:rsidR="005A19E4">
        <w:t>sources included</w:t>
      </w:r>
      <w:r w:rsidR="00C84DB7">
        <w:t>, for example, Qualit</w:t>
      </w:r>
      <w:r w:rsidR="00C87452">
        <w:t>y</w:t>
      </w:r>
      <w:r w:rsidR="00410701">
        <w:t xml:space="preserve"> </w:t>
      </w:r>
      <w:r w:rsidR="00326818" w:rsidDel="00DB19AF">
        <w:t xml:space="preserve">and </w:t>
      </w:r>
      <w:r w:rsidR="00C84DB7">
        <w:t xml:space="preserve">Outcomes Framework (QOF) </w:t>
      </w:r>
      <w:r w:rsidR="00CA76F6">
        <w:t xml:space="preserve">funding </w:t>
      </w:r>
      <w:r w:rsidR="00C84DB7">
        <w:t xml:space="preserve">and </w:t>
      </w:r>
      <w:r w:rsidR="00CA76F6">
        <w:t>income from locally commissioned services</w:t>
      </w:r>
      <w:r w:rsidR="00A21EF1">
        <w:t xml:space="preserve"> (LCSs)</w:t>
      </w:r>
      <w:r w:rsidR="00215F81">
        <w:t>.</w:t>
      </w:r>
      <w:bookmarkEnd w:id="9"/>
    </w:p>
    <w:p w14:paraId="6F1E87E8" w14:textId="7BD88ECF" w:rsidR="00DE5E08" w:rsidRPr="00AC45D1" w:rsidRDefault="00DB19AF" w:rsidP="009D14EA">
      <w:pPr>
        <w:pStyle w:val="ListParagraph"/>
        <w:numPr>
          <w:ilvl w:val="0"/>
          <w:numId w:val="4"/>
        </w:numPr>
        <w:spacing w:after="160"/>
        <w:ind w:left="567" w:hanging="567"/>
      </w:pPr>
      <w:r>
        <w:lastRenderedPageBreak/>
        <w:t>O</w:t>
      </w:r>
      <w:r w:rsidR="00326818">
        <w:t>n</w:t>
      </w:r>
      <w:r w:rsidR="002A1748" w:rsidRPr="00AC45D1">
        <w:t xml:space="preserve"> 14 March 2025</w:t>
      </w:r>
      <w:r w:rsidR="0060356B">
        <w:t>,</w:t>
      </w:r>
      <w:r w:rsidR="00326818">
        <w:t xml:space="preserve"> </w:t>
      </w:r>
      <w:r w:rsidR="008A6E2F">
        <w:t xml:space="preserve">Sussex ICB </w:t>
      </w:r>
      <w:r w:rsidR="002A1748" w:rsidRPr="00AC45D1">
        <w:t xml:space="preserve">published a </w:t>
      </w:r>
      <w:r w:rsidR="008A6E2F">
        <w:t>c</w:t>
      </w:r>
      <w:r w:rsidR="002A1748" w:rsidRPr="00AC45D1">
        <w:t xml:space="preserve">ontract </w:t>
      </w:r>
      <w:r w:rsidR="008A6E2F">
        <w:t>a</w:t>
      </w:r>
      <w:r w:rsidR="002A1748" w:rsidRPr="00AC45D1">
        <w:t xml:space="preserve">ward </w:t>
      </w:r>
      <w:r w:rsidR="008A6E2F">
        <w:t>n</w:t>
      </w:r>
      <w:r w:rsidR="002A1748" w:rsidRPr="00AC45D1">
        <w:t>otice announcing the successful bidder as One Medicare t/a One Primary Care LLP (One Medicare</w:t>
      </w:r>
      <w:r w:rsidR="00862936">
        <w:t>)</w:t>
      </w:r>
      <w:r w:rsidR="00AC45D1" w:rsidRPr="00AC45D1">
        <w:t>.</w:t>
      </w:r>
      <w:r w:rsidR="0004446E" w:rsidRPr="00794B02">
        <w:rPr>
          <w:vertAlign w:val="superscript"/>
        </w:rPr>
        <w:footnoteReference w:id="15"/>
      </w:r>
      <w:r w:rsidR="00AC45D1" w:rsidRPr="009F519F">
        <w:t xml:space="preserve"> </w:t>
      </w:r>
      <w:r w:rsidR="00AC45D1" w:rsidRPr="00AC45D1">
        <w:t>Wellsbourne’s proposal was ranked</w:t>
      </w:r>
      <w:r w:rsidR="008E6DCC">
        <w:t xml:space="preserve"> third</w:t>
      </w:r>
      <w:r w:rsidR="006D309C">
        <w:t xml:space="preserve"> </w:t>
      </w:r>
      <w:r w:rsidR="00745E2C">
        <w:t xml:space="preserve">out </w:t>
      </w:r>
      <w:r w:rsidR="006D309C">
        <w:t xml:space="preserve">of </w:t>
      </w:r>
      <w:r w:rsidR="00E86817">
        <w:t>four</w:t>
      </w:r>
      <w:r w:rsidR="00B469BC">
        <w:t xml:space="preserve"> compliant</w:t>
      </w:r>
      <w:r w:rsidR="00E86817">
        <w:t xml:space="preserve"> </w:t>
      </w:r>
      <w:r w:rsidR="00B469BC">
        <w:t>bids</w:t>
      </w:r>
      <w:r w:rsidR="00AC45D1" w:rsidRPr="00AC45D1">
        <w:t>.</w:t>
      </w:r>
    </w:p>
    <w:p w14:paraId="63359F08" w14:textId="1F843066" w:rsidR="001429F4" w:rsidRDefault="00A5067B" w:rsidP="009D14EA">
      <w:pPr>
        <w:pStyle w:val="ListParagraph"/>
        <w:numPr>
          <w:ilvl w:val="0"/>
          <w:numId w:val="4"/>
        </w:numPr>
        <w:spacing w:after="160"/>
        <w:ind w:left="567" w:hanging="567"/>
      </w:pPr>
      <w:r>
        <w:t>On 20 March 2025, prior to the standstill period</w:t>
      </w:r>
      <w:r w:rsidR="00745E2C">
        <w:t xml:space="preserve"> </w:t>
      </w:r>
      <w:r>
        <w:t>end</w:t>
      </w:r>
      <w:r w:rsidR="00745E2C">
        <w:t>ing</w:t>
      </w:r>
      <w:r>
        <w:t xml:space="preserve">, </w:t>
      </w:r>
      <w:r w:rsidR="005412E3">
        <w:t xml:space="preserve">Wellsbourne </w:t>
      </w:r>
      <w:r w:rsidR="005E6CD3">
        <w:t xml:space="preserve">made representations to </w:t>
      </w:r>
      <w:r w:rsidR="00546E3F">
        <w:t>Sussex ICB</w:t>
      </w:r>
      <w:r w:rsidR="005E6CD3">
        <w:t xml:space="preserve"> raising concerns about the provider selection process</w:t>
      </w:r>
      <w:r w:rsidR="00546E3F">
        <w:t xml:space="preserve"> and requesting information</w:t>
      </w:r>
      <w:r w:rsidR="005E6CD3">
        <w:t>.</w:t>
      </w:r>
      <w:r w:rsidR="006E4B99">
        <w:t xml:space="preserve"> </w:t>
      </w:r>
      <w:r w:rsidR="00927381">
        <w:t>Sussex ICB</w:t>
      </w:r>
      <w:r w:rsidR="0000306C">
        <w:t xml:space="preserve"> </w:t>
      </w:r>
      <w:r w:rsidR="008D2C23">
        <w:t>–</w:t>
      </w:r>
      <w:r w:rsidR="0066041A">
        <w:t xml:space="preserve"> </w:t>
      </w:r>
      <w:r w:rsidR="0008596A">
        <w:t xml:space="preserve">following a </w:t>
      </w:r>
      <w:r w:rsidR="001429F4">
        <w:t xml:space="preserve">review </w:t>
      </w:r>
      <w:r w:rsidR="0008596A">
        <w:t xml:space="preserve">of </w:t>
      </w:r>
      <w:r w:rsidR="00927381">
        <w:t>Wellsbourne</w:t>
      </w:r>
      <w:r w:rsidR="001429F4">
        <w:t>’s representations</w:t>
      </w:r>
      <w:r w:rsidR="00C0160E">
        <w:t xml:space="preserve"> </w:t>
      </w:r>
      <w:r w:rsidR="0008596A">
        <w:t xml:space="preserve">by </w:t>
      </w:r>
      <w:r w:rsidR="00C0160E">
        <w:t xml:space="preserve">the ICB’s </w:t>
      </w:r>
      <w:r w:rsidR="0008596A">
        <w:t xml:space="preserve">representations </w:t>
      </w:r>
      <w:r w:rsidR="00C0160E">
        <w:t>review panel</w:t>
      </w:r>
      <w:r w:rsidR="0000306C">
        <w:t xml:space="preserve"> </w:t>
      </w:r>
      <w:r w:rsidR="008D2C23">
        <w:t>–</w:t>
      </w:r>
      <w:r w:rsidR="0066041A">
        <w:t xml:space="preserve"> </w:t>
      </w:r>
      <w:r w:rsidR="008F45CA">
        <w:t>wrote</w:t>
      </w:r>
      <w:r w:rsidR="008D2C23">
        <w:t xml:space="preserve"> </w:t>
      </w:r>
      <w:r w:rsidR="008F45CA">
        <w:t xml:space="preserve">to Wellsbourne </w:t>
      </w:r>
      <w:r w:rsidR="00CA5B18">
        <w:t xml:space="preserve">on 28 March 2025, </w:t>
      </w:r>
      <w:r w:rsidR="000E2354">
        <w:t>communicating</w:t>
      </w:r>
      <w:r w:rsidR="00B01494">
        <w:t xml:space="preserve"> its</w:t>
      </w:r>
      <w:r w:rsidR="008A3FD3">
        <w:t xml:space="preserve"> </w:t>
      </w:r>
      <w:r w:rsidR="00B01494">
        <w:t>further decision to award the contract to One</w:t>
      </w:r>
      <w:r w:rsidR="00253D0E">
        <w:t xml:space="preserve"> </w:t>
      </w:r>
      <w:r w:rsidR="00B01494">
        <w:t>Medicare</w:t>
      </w:r>
      <w:r w:rsidR="004D6013">
        <w:t xml:space="preserve"> as intended</w:t>
      </w:r>
      <w:r w:rsidR="00AF18C8">
        <w:t>, and at the same time</w:t>
      </w:r>
      <w:r w:rsidR="000C2FDC">
        <w:t xml:space="preserve"> </w:t>
      </w:r>
      <w:r w:rsidR="004F0912">
        <w:t>disclosing</w:t>
      </w:r>
      <w:r w:rsidR="003B366A">
        <w:t xml:space="preserve"> </w:t>
      </w:r>
      <w:r w:rsidR="00CA5B18">
        <w:t>documentation</w:t>
      </w:r>
      <w:r w:rsidR="006C385A">
        <w:t xml:space="preserve"> in response to </w:t>
      </w:r>
      <w:r w:rsidR="00CA5B18">
        <w:t>Wellsbourne’s</w:t>
      </w:r>
      <w:r w:rsidR="006C385A">
        <w:t xml:space="preserve"> </w:t>
      </w:r>
      <w:r w:rsidR="000E3EBC">
        <w:t>request.</w:t>
      </w:r>
    </w:p>
    <w:p w14:paraId="433B73E6" w14:textId="1B4BE2B0" w:rsidR="00EA407E" w:rsidRDefault="00EA407E" w:rsidP="009D14EA">
      <w:pPr>
        <w:pStyle w:val="ListParagraph"/>
        <w:numPr>
          <w:ilvl w:val="0"/>
          <w:numId w:val="4"/>
        </w:numPr>
        <w:spacing w:after="160"/>
        <w:ind w:left="567" w:hanging="567"/>
      </w:pPr>
      <w:r>
        <w:t>On 4 April 2025, Wellsbourn</w:t>
      </w:r>
      <w:r w:rsidR="005F2C84">
        <w:t>e</w:t>
      </w:r>
      <w:r w:rsidR="004F0912">
        <w:t xml:space="preserve"> </w:t>
      </w:r>
      <w:r w:rsidR="007E2768">
        <w:t>s</w:t>
      </w:r>
      <w:r>
        <w:t xml:space="preserve">ubmitted further representations to Sussex ICB, </w:t>
      </w:r>
      <w:r w:rsidRPr="008300C9">
        <w:t xml:space="preserve">including </w:t>
      </w:r>
      <w:r w:rsidR="008300C9" w:rsidRPr="008300C9">
        <w:t>a further</w:t>
      </w:r>
      <w:r w:rsidR="00253D0E" w:rsidRPr="008300C9">
        <w:t xml:space="preserve"> request for </w:t>
      </w:r>
      <w:r w:rsidRPr="008300C9">
        <w:t xml:space="preserve">information. </w:t>
      </w:r>
      <w:r w:rsidR="00374532">
        <w:t>O</w:t>
      </w:r>
      <w:r w:rsidR="000444B5">
        <w:t>n 30 April 2025</w:t>
      </w:r>
      <w:r w:rsidR="00D30D09">
        <w:t xml:space="preserve">, </w:t>
      </w:r>
      <w:r w:rsidR="00F87308">
        <w:t>Sussex ICB</w:t>
      </w:r>
      <w:r w:rsidR="005F6C78">
        <w:t xml:space="preserve"> </w:t>
      </w:r>
      <w:r w:rsidR="00393921">
        <w:t>responded to</w:t>
      </w:r>
      <w:r w:rsidR="00F87308">
        <w:t xml:space="preserve"> Wellsbourne</w:t>
      </w:r>
      <w:r w:rsidR="002B0F1A">
        <w:t xml:space="preserve"> </w:t>
      </w:r>
      <w:r w:rsidR="00435CBF">
        <w:t xml:space="preserve">and communicated its second further decision </w:t>
      </w:r>
      <w:r w:rsidR="004108E1">
        <w:t>to award the contract to One Medicare</w:t>
      </w:r>
      <w:r w:rsidR="000A38DA">
        <w:t xml:space="preserve">, as originally intended, provided </w:t>
      </w:r>
      <w:r w:rsidR="004108E1">
        <w:t xml:space="preserve">that </w:t>
      </w:r>
      <w:r w:rsidR="00076270">
        <w:t xml:space="preserve">“no further substantive correspondence” was received </w:t>
      </w:r>
      <w:r w:rsidR="00131537">
        <w:t xml:space="preserve">from </w:t>
      </w:r>
      <w:r w:rsidR="00076270">
        <w:t>Wellsbourne</w:t>
      </w:r>
      <w:r w:rsidR="009B4FCD">
        <w:t xml:space="preserve"> by the end of the standstill period.</w:t>
      </w:r>
    </w:p>
    <w:p w14:paraId="782D9BAE" w14:textId="5C358603" w:rsidR="0014086F" w:rsidRDefault="0014086F" w:rsidP="009D14EA">
      <w:pPr>
        <w:pStyle w:val="ListParagraph"/>
        <w:numPr>
          <w:ilvl w:val="0"/>
          <w:numId w:val="4"/>
        </w:numPr>
        <w:spacing w:after="160"/>
        <w:ind w:left="567" w:hanging="567"/>
      </w:pPr>
      <w:r>
        <w:t xml:space="preserve">On 8 May 2025, Wellsbourne made </w:t>
      </w:r>
      <w:r w:rsidR="00471BF7">
        <w:t xml:space="preserve">further </w:t>
      </w:r>
      <w:r w:rsidRPr="00540F32">
        <w:t xml:space="preserve">representations to Sussex ICB, including </w:t>
      </w:r>
      <w:r w:rsidR="009B3FA4" w:rsidRPr="00540F32">
        <w:t>a</w:t>
      </w:r>
      <w:r w:rsidR="00E04EB2" w:rsidRPr="00540F32">
        <w:t xml:space="preserve"> </w:t>
      </w:r>
      <w:r w:rsidR="00471BF7">
        <w:t xml:space="preserve">further </w:t>
      </w:r>
      <w:r w:rsidRPr="00540F32">
        <w:t>request for</w:t>
      </w:r>
      <w:r w:rsidR="00CF572F" w:rsidRPr="00540F32">
        <w:t xml:space="preserve"> </w:t>
      </w:r>
      <w:r w:rsidRPr="00540F32">
        <w:t>information.</w:t>
      </w:r>
      <w:r w:rsidR="000444B5" w:rsidRPr="00540F32">
        <w:t xml:space="preserve"> </w:t>
      </w:r>
      <w:r w:rsidR="000444B5">
        <w:t>On 20 May 2025,</w:t>
      </w:r>
      <w:r>
        <w:t xml:space="preserve"> </w:t>
      </w:r>
      <w:r w:rsidR="00A12A6A">
        <w:t>Sussex ICB</w:t>
      </w:r>
      <w:r w:rsidR="005D145E">
        <w:t xml:space="preserve"> </w:t>
      </w:r>
      <w:r w:rsidR="00BA03EA">
        <w:t xml:space="preserve">communicated its </w:t>
      </w:r>
      <w:r w:rsidR="00645D28">
        <w:t xml:space="preserve">third </w:t>
      </w:r>
      <w:r w:rsidR="00BA03EA">
        <w:t>further</w:t>
      </w:r>
      <w:r w:rsidR="003A1D4A">
        <w:t xml:space="preserve"> </w:t>
      </w:r>
      <w:r w:rsidR="00BA03EA">
        <w:t xml:space="preserve">decision </w:t>
      </w:r>
      <w:r w:rsidR="005D145E">
        <w:t>to Wellsbourne,</w:t>
      </w:r>
      <w:r w:rsidR="00BA03EA">
        <w:t xml:space="preserve"> </w:t>
      </w:r>
      <w:r w:rsidR="004319EC">
        <w:t>namely</w:t>
      </w:r>
      <w:r w:rsidR="005D145E">
        <w:t xml:space="preserve"> that it would</w:t>
      </w:r>
      <w:r w:rsidR="00BA03EA">
        <w:t xml:space="preserve"> proceed with the contract award to One Medicare</w:t>
      </w:r>
      <w:r w:rsidR="00413D0A">
        <w:t xml:space="preserve"> as originally intended</w:t>
      </w:r>
      <w:r w:rsidR="00CC49A1">
        <w:t xml:space="preserve">. It also told Wellsbourne </w:t>
      </w:r>
      <w:r w:rsidR="00A5777D">
        <w:t>that it would not be responding to any new representations</w:t>
      </w:r>
      <w:r w:rsidR="007E0605">
        <w:t>.</w:t>
      </w:r>
    </w:p>
    <w:p w14:paraId="4C39BC48" w14:textId="371FDDF4" w:rsidR="00B14504" w:rsidRPr="00E64E91" w:rsidRDefault="00B14504" w:rsidP="009D14EA">
      <w:pPr>
        <w:pStyle w:val="ListParagraph"/>
        <w:numPr>
          <w:ilvl w:val="0"/>
          <w:numId w:val="4"/>
        </w:numPr>
        <w:spacing w:after="160"/>
        <w:ind w:left="567" w:hanging="567"/>
      </w:pPr>
      <w:r>
        <w:t xml:space="preserve">On </w:t>
      </w:r>
      <w:r w:rsidR="00095372">
        <w:t xml:space="preserve">23 May 2025, </w:t>
      </w:r>
      <w:r w:rsidR="004C0FA6">
        <w:t xml:space="preserve">prior to the end of the standstill period, </w:t>
      </w:r>
      <w:r w:rsidR="00095372">
        <w:t xml:space="preserve">Wellsbourne </w:t>
      </w:r>
      <w:r w:rsidR="004C0FA6">
        <w:t xml:space="preserve">asked the Panel to review </w:t>
      </w:r>
      <w:r w:rsidR="00095372">
        <w:t>Sussex ICB</w:t>
      </w:r>
      <w:r w:rsidR="004C0FA6">
        <w:t xml:space="preserve">’s provider selection decision. The Panel accepted this request on </w:t>
      </w:r>
      <w:r w:rsidR="00095372">
        <w:t xml:space="preserve">28 May 2025. </w:t>
      </w:r>
      <w:r w:rsidR="00FE066C">
        <w:t xml:space="preserve">On being made aware of </w:t>
      </w:r>
      <w:r w:rsidR="008F644C">
        <w:t xml:space="preserve">this, </w:t>
      </w:r>
      <w:r w:rsidR="00095372">
        <w:t>Sussex ICB</w:t>
      </w:r>
      <w:r w:rsidR="00FE066C">
        <w:t xml:space="preserve"> confirmed that it would hold the standstill period open for the duration of the Panel’s review</w:t>
      </w:r>
      <w:r w:rsidR="000D28DB">
        <w:t>.</w:t>
      </w:r>
    </w:p>
    <w:p w14:paraId="7C82D25B" w14:textId="5AC1364F" w:rsidR="00DA200D" w:rsidRDefault="00DA200D" w:rsidP="00DA200D">
      <w:pPr>
        <w:pStyle w:val="Heading1"/>
      </w:pPr>
      <w:bookmarkStart w:id="10" w:name="_Toc204164418"/>
      <w:r>
        <w:t xml:space="preserve">Representations by </w:t>
      </w:r>
      <w:r w:rsidR="002A6D2A">
        <w:t>Wellsbourne</w:t>
      </w:r>
      <w:bookmarkEnd w:id="10"/>
    </w:p>
    <w:p w14:paraId="6351C71F" w14:textId="5C92A431" w:rsidR="00DA200D" w:rsidRDefault="00F32680" w:rsidP="008C637A">
      <w:pPr>
        <w:pStyle w:val="ListParagraph"/>
        <w:numPr>
          <w:ilvl w:val="0"/>
          <w:numId w:val="4"/>
        </w:numPr>
        <w:ind w:left="567" w:hanging="567"/>
      </w:pPr>
      <w:bookmarkStart w:id="11" w:name="_Ref201645531"/>
      <w:r>
        <w:t>Wellsbourne</w:t>
      </w:r>
      <w:r w:rsidR="005E362F">
        <w:t xml:space="preserve">’s concerns about the provider selection process, as summarised in its representations to the Panel, </w:t>
      </w:r>
      <w:r w:rsidR="00E800AC">
        <w:t xml:space="preserve">are </w:t>
      </w:r>
      <w:r w:rsidR="005E362F">
        <w:t>as follows:</w:t>
      </w:r>
      <w:bookmarkEnd w:id="11"/>
    </w:p>
    <w:p w14:paraId="5D59A236" w14:textId="00B1E1BE" w:rsidR="00F976A6" w:rsidRPr="009D14EA" w:rsidRDefault="00F976A6" w:rsidP="00A0237A">
      <w:pPr>
        <w:keepNext/>
        <w:spacing w:after="120" w:line="276" w:lineRule="auto"/>
        <w:ind w:left="851"/>
        <w:rPr>
          <w:sz w:val="21"/>
          <w:szCs w:val="21"/>
          <w:u w:val="single"/>
        </w:rPr>
      </w:pPr>
      <w:r w:rsidRPr="009D14EA">
        <w:rPr>
          <w:sz w:val="21"/>
          <w:szCs w:val="21"/>
          <w:u w:val="single"/>
        </w:rPr>
        <w:t>1. Engagement and Equality</w:t>
      </w:r>
    </w:p>
    <w:p w14:paraId="10B6E7A2" w14:textId="03BE9BCF" w:rsidR="007C3822" w:rsidRPr="009D14EA" w:rsidRDefault="007C3822" w:rsidP="009D14EA">
      <w:pPr>
        <w:spacing w:after="120" w:line="276" w:lineRule="auto"/>
        <w:ind w:left="851"/>
        <w:rPr>
          <w:sz w:val="21"/>
          <w:szCs w:val="21"/>
        </w:rPr>
      </w:pPr>
      <w:r w:rsidRPr="009D14EA">
        <w:rPr>
          <w:sz w:val="21"/>
          <w:szCs w:val="21"/>
        </w:rPr>
        <w:t xml:space="preserve">The public engagement that was undertaken was inadequate. The Equalities and Health Inequalities Impact Assessment (EHIA) claimed no need for engagement with targeted groups despite acknowledging health inequalities locally. Without consulting staff or assessing risks, the EHIA assumed there would be no impact from replacing a non-profit practice with a for-profit provider. The </w:t>
      </w:r>
      <w:r w:rsidR="000C6399" w:rsidRPr="009D14EA">
        <w:rPr>
          <w:sz w:val="21"/>
          <w:szCs w:val="21"/>
        </w:rPr>
        <w:t>E</w:t>
      </w:r>
      <w:r w:rsidRPr="009D14EA">
        <w:rPr>
          <w:sz w:val="21"/>
          <w:szCs w:val="21"/>
        </w:rPr>
        <w:t>HIA remains in draft form and was neither reviewed nor signed off before procurement concluded – suggesting a breach of the Equality Act 2010 and Public Sector Equality Duty.</w:t>
      </w:r>
    </w:p>
    <w:p w14:paraId="4AE7649B" w14:textId="426BF638" w:rsidR="002800AD" w:rsidRPr="009D14EA" w:rsidRDefault="002800AD" w:rsidP="00A0237A">
      <w:pPr>
        <w:keepNext/>
        <w:spacing w:after="120" w:line="276" w:lineRule="auto"/>
        <w:ind w:left="851"/>
        <w:rPr>
          <w:sz w:val="21"/>
          <w:szCs w:val="21"/>
          <w:u w:val="single"/>
        </w:rPr>
      </w:pPr>
      <w:r w:rsidRPr="009D14EA">
        <w:rPr>
          <w:sz w:val="21"/>
          <w:szCs w:val="21"/>
          <w:u w:val="single"/>
        </w:rPr>
        <w:t>2. Scoring and Evaluation Bias</w:t>
      </w:r>
    </w:p>
    <w:p w14:paraId="4E7EF5D8" w14:textId="2FE3BDEA" w:rsidR="0094788D" w:rsidRPr="009D14EA" w:rsidRDefault="007C3822" w:rsidP="009D14EA">
      <w:pPr>
        <w:spacing w:after="120" w:line="276" w:lineRule="auto"/>
        <w:ind w:left="851"/>
        <w:rPr>
          <w:sz w:val="21"/>
          <w:szCs w:val="21"/>
        </w:rPr>
      </w:pPr>
      <w:r w:rsidRPr="009D14EA">
        <w:rPr>
          <w:sz w:val="21"/>
          <w:szCs w:val="21"/>
        </w:rPr>
        <w:t>Social value, a statutory requirement under PSR Regulation 5(e), was considered in only 2 of 21 questions. Local context and service integration were not meaningfully weighted, despite PSR guidance that requires commissioners to consider continuity and system alignment.</w:t>
      </w:r>
    </w:p>
    <w:p w14:paraId="2DF58AE1" w14:textId="560050A5" w:rsidR="000C6399" w:rsidRPr="009D14EA" w:rsidRDefault="007C3822" w:rsidP="009D14EA">
      <w:pPr>
        <w:spacing w:after="120" w:line="276" w:lineRule="auto"/>
        <w:ind w:left="851"/>
        <w:rPr>
          <w:sz w:val="21"/>
          <w:szCs w:val="21"/>
        </w:rPr>
      </w:pPr>
      <w:r w:rsidRPr="009D14EA">
        <w:rPr>
          <w:sz w:val="21"/>
          <w:szCs w:val="21"/>
        </w:rPr>
        <w:lastRenderedPageBreak/>
        <w:t>The evaluation methodology used in this procurement introduced structural disadvantages for the incumbent provider. Key criteria lacked transparency, moderation was inconsistent, and responses grounded in existing delivery were scored less favourably than speculative proposals from new entrants.</w:t>
      </w:r>
    </w:p>
    <w:p w14:paraId="4BE8D740" w14:textId="7C4B48D3" w:rsidR="000C6399" w:rsidRPr="009D14EA" w:rsidRDefault="007C3822" w:rsidP="009D14EA">
      <w:pPr>
        <w:spacing w:after="120" w:line="276" w:lineRule="auto"/>
        <w:ind w:left="851"/>
        <w:rPr>
          <w:sz w:val="21"/>
          <w:szCs w:val="21"/>
        </w:rPr>
      </w:pPr>
      <w:r w:rsidRPr="009D14EA">
        <w:rPr>
          <w:sz w:val="21"/>
          <w:szCs w:val="21"/>
        </w:rPr>
        <w:t>Moderation notes contain acknowledged errors and inconsistencies. The ICB has argued that these did not affect outcomes, yet no documented re-moderation process has been provided.</w:t>
      </w:r>
    </w:p>
    <w:p w14:paraId="3B1F17D5" w14:textId="5458AE72" w:rsidR="007C3822" w:rsidRPr="009D14EA" w:rsidRDefault="000C6399" w:rsidP="009D14EA">
      <w:pPr>
        <w:spacing w:after="120" w:line="276" w:lineRule="auto"/>
        <w:ind w:left="851"/>
        <w:rPr>
          <w:sz w:val="21"/>
          <w:szCs w:val="21"/>
        </w:rPr>
      </w:pPr>
      <w:r w:rsidRPr="009D14EA">
        <w:rPr>
          <w:sz w:val="21"/>
          <w:szCs w:val="21"/>
        </w:rPr>
        <w:t>“</w:t>
      </w:r>
      <w:r w:rsidR="007C3822" w:rsidRPr="009D14EA">
        <w:rPr>
          <w:sz w:val="21"/>
          <w:szCs w:val="21"/>
        </w:rPr>
        <w:t>No scoring framework was shared, which limits transparency and the ability to understand evaluation outcomes, in breach of regulation 7 of the PSR [clarified with Wellsbourne to be referring to regulation 4</w:t>
      </w:r>
      <w:r w:rsidR="004056FA" w:rsidRPr="009D14EA">
        <w:rPr>
          <w:sz w:val="21"/>
          <w:szCs w:val="21"/>
        </w:rPr>
        <w:t>]</w:t>
      </w:r>
      <w:r w:rsidR="007C3822" w:rsidRPr="009D14EA">
        <w:rPr>
          <w:sz w:val="21"/>
          <w:szCs w:val="21"/>
        </w:rPr>
        <w:t>.</w:t>
      </w:r>
    </w:p>
    <w:p w14:paraId="630BC07D" w14:textId="6F35CF3E" w:rsidR="003807F4" w:rsidRPr="009D14EA" w:rsidRDefault="003807F4" w:rsidP="00A0237A">
      <w:pPr>
        <w:keepNext/>
        <w:spacing w:after="120" w:line="276" w:lineRule="auto"/>
        <w:ind w:left="851"/>
        <w:rPr>
          <w:sz w:val="21"/>
          <w:szCs w:val="21"/>
          <w:u w:val="single"/>
        </w:rPr>
      </w:pPr>
      <w:r w:rsidRPr="009D14EA">
        <w:rPr>
          <w:sz w:val="21"/>
          <w:szCs w:val="21"/>
          <w:u w:val="single"/>
        </w:rPr>
        <w:t>3. TUPE and Financial Modelling</w:t>
      </w:r>
    </w:p>
    <w:p w14:paraId="10B5E3D3" w14:textId="38F8B8BC" w:rsidR="007C3822" w:rsidRPr="009D14EA" w:rsidRDefault="007C3822" w:rsidP="009D14EA">
      <w:pPr>
        <w:spacing w:after="120" w:line="276" w:lineRule="auto"/>
        <w:ind w:left="851"/>
        <w:rPr>
          <w:sz w:val="21"/>
          <w:szCs w:val="21"/>
        </w:rPr>
      </w:pPr>
      <w:r w:rsidRPr="009D14EA">
        <w:rPr>
          <w:sz w:val="21"/>
          <w:szCs w:val="21"/>
        </w:rPr>
        <w:t>The financial and staffing elements of this procurement process were marked by shifting expectations, unclear guidance, and decisions that may have created legal and structural disadvantage for providers operating on community-led or not-for-profit models. For example: Evaluators comments suggest that outdated financial templates influenced evaluators’ perceptions of our bid, creating residual bias that was not adequately addressed in the ICB’s response to representations. These issues appear to have breached regulations 5(b), 5(d), 5(f), and 7 of the PSR [clarified with Wellsbourne to be referring to regulation 4 and 5(b)].</w:t>
      </w:r>
    </w:p>
    <w:p w14:paraId="2816A933" w14:textId="38D3DF69" w:rsidR="003B573C" w:rsidRPr="009D14EA" w:rsidRDefault="003B573C" w:rsidP="009D14EA">
      <w:pPr>
        <w:keepNext/>
        <w:spacing w:after="120" w:line="276" w:lineRule="auto"/>
        <w:ind w:left="851"/>
        <w:rPr>
          <w:sz w:val="21"/>
          <w:szCs w:val="21"/>
          <w:u w:val="single"/>
        </w:rPr>
      </w:pPr>
      <w:r w:rsidRPr="009D14EA">
        <w:rPr>
          <w:sz w:val="21"/>
          <w:szCs w:val="21"/>
          <w:u w:val="single"/>
        </w:rPr>
        <w:t>4. Governance</w:t>
      </w:r>
    </w:p>
    <w:p w14:paraId="3F9A07BC" w14:textId="1CF7D57F" w:rsidR="003B573C" w:rsidRPr="009D14EA" w:rsidRDefault="007C3822" w:rsidP="009D14EA">
      <w:pPr>
        <w:spacing w:after="120" w:line="276" w:lineRule="auto"/>
        <w:ind w:left="851"/>
        <w:rPr>
          <w:sz w:val="21"/>
          <w:szCs w:val="21"/>
        </w:rPr>
      </w:pPr>
      <w:r w:rsidRPr="009D14EA">
        <w:rPr>
          <w:sz w:val="21"/>
          <w:szCs w:val="21"/>
        </w:rPr>
        <w:t>NHS Sussex failed to respond to our request under Regulation 24 of the PSR for documentation explaining its decision not to pursue a direct award process</w:t>
      </w:r>
      <w:r w:rsidR="003B573C" w:rsidRPr="009D14EA">
        <w:rPr>
          <w:sz w:val="21"/>
          <w:szCs w:val="21"/>
        </w:rPr>
        <w:t xml:space="preserve">. </w:t>
      </w:r>
      <w:r w:rsidRPr="009D14EA">
        <w:rPr>
          <w:sz w:val="21"/>
          <w:szCs w:val="21"/>
        </w:rPr>
        <w:t>Healthwatch Brighton was cited by the ICB as an independent validation of patient insight however, their CEO was a bid evaluator. Healthwatch cannot be presented as both an objective observer and an active participant in bid scoring without a conflict of interest.</w:t>
      </w:r>
    </w:p>
    <w:p w14:paraId="4BD437EC" w14:textId="6AC63DBA" w:rsidR="00C3623D" w:rsidRPr="009D14EA" w:rsidRDefault="007C3822" w:rsidP="009D14EA">
      <w:pPr>
        <w:spacing w:after="120" w:line="276" w:lineRule="auto"/>
        <w:ind w:left="851"/>
        <w:rPr>
          <w:sz w:val="21"/>
          <w:szCs w:val="21"/>
        </w:rPr>
      </w:pPr>
      <w:r w:rsidRPr="009D14EA">
        <w:rPr>
          <w:sz w:val="21"/>
          <w:szCs w:val="21"/>
        </w:rPr>
        <w:t xml:space="preserve">The representation review panel included members of the Procurement Steering Group who had designed and approved the original procurement process, raising concerns about impartiality of the review. This appears to breach Regulation 3(5) and Regulation 7 of the PSR [clarified with Wellsbourne to be referring to regulation 4, 12 and 21]. </w:t>
      </w:r>
    </w:p>
    <w:p w14:paraId="62364CA4" w14:textId="523B0B8B" w:rsidR="00C3623D" w:rsidRPr="009D14EA" w:rsidRDefault="007C3822" w:rsidP="009D14EA">
      <w:pPr>
        <w:spacing w:after="120" w:line="276" w:lineRule="auto"/>
        <w:ind w:left="851"/>
        <w:rPr>
          <w:sz w:val="21"/>
          <w:szCs w:val="21"/>
        </w:rPr>
      </w:pPr>
      <w:r w:rsidRPr="009D14EA">
        <w:rPr>
          <w:sz w:val="21"/>
          <w:szCs w:val="21"/>
        </w:rPr>
        <w:t xml:space="preserve">No account appears to have been taken of the public visibility of this decision or its impact on trust in local services. This appears to breach Regulation 5(c), 5(d), and 5(f) and 7 of the PSR [clarified with Wellsbourne to be referring to regulation 5(c), 5(d) and 5(e)]. </w:t>
      </w:r>
    </w:p>
    <w:p w14:paraId="32DEF103" w14:textId="3E36C0D1" w:rsidR="007C3822" w:rsidRPr="009D14EA" w:rsidRDefault="007C3822" w:rsidP="009D14EA">
      <w:pPr>
        <w:spacing w:after="120" w:line="276" w:lineRule="auto"/>
        <w:ind w:left="851"/>
        <w:rPr>
          <w:sz w:val="21"/>
          <w:szCs w:val="21"/>
        </w:rPr>
      </w:pPr>
      <w:r w:rsidRPr="009D14EA">
        <w:rPr>
          <w:sz w:val="21"/>
          <w:szCs w:val="21"/>
        </w:rPr>
        <w:t xml:space="preserve">The Quality Impact Assessment acknowledges but does not mitigate against the risks to service stability, staff continuity, and patient confidence. </w:t>
      </w:r>
    </w:p>
    <w:p w14:paraId="58272D62" w14:textId="558FEC4A" w:rsidR="00C3623D" w:rsidRPr="009D14EA" w:rsidRDefault="00C3623D" w:rsidP="00A0237A">
      <w:pPr>
        <w:keepNext/>
        <w:spacing w:after="120" w:line="276" w:lineRule="auto"/>
        <w:ind w:left="851"/>
        <w:rPr>
          <w:sz w:val="21"/>
          <w:szCs w:val="21"/>
          <w:u w:val="single"/>
        </w:rPr>
      </w:pPr>
      <w:r w:rsidRPr="009D14EA">
        <w:rPr>
          <w:sz w:val="21"/>
          <w:szCs w:val="21"/>
          <w:u w:val="single"/>
        </w:rPr>
        <w:t>5. Broader Failures</w:t>
      </w:r>
    </w:p>
    <w:p w14:paraId="219FE59C" w14:textId="1B10176A" w:rsidR="007C3822" w:rsidRPr="009D14EA" w:rsidRDefault="007C3822" w:rsidP="009D14EA">
      <w:pPr>
        <w:spacing w:after="120" w:line="276" w:lineRule="auto"/>
        <w:ind w:left="851"/>
        <w:rPr>
          <w:sz w:val="21"/>
          <w:szCs w:val="21"/>
        </w:rPr>
      </w:pPr>
      <w:r w:rsidRPr="009D14EA">
        <w:rPr>
          <w:sz w:val="21"/>
          <w:szCs w:val="21"/>
        </w:rPr>
        <w:t>This decision appears misaligned with patient needs and undermines the principles of continuity, proportionality, and fairness set out by the PSR. The QIA states Wellsbourne ‘indicated that they would be unable to continue</w:t>
      </w:r>
      <w:r w:rsidR="00DC323E">
        <w:rPr>
          <w:sz w:val="21"/>
          <w:szCs w:val="21"/>
        </w:rPr>
        <w:t xml:space="preserve"> </w:t>
      </w:r>
      <w:r w:rsidRPr="009D14EA">
        <w:rPr>
          <w:sz w:val="21"/>
          <w:szCs w:val="21"/>
        </w:rPr>
        <w:t>…</w:t>
      </w:r>
      <w:r w:rsidR="00DC323E">
        <w:rPr>
          <w:sz w:val="21"/>
          <w:szCs w:val="21"/>
        </w:rPr>
        <w:t xml:space="preserve"> </w:t>
      </w:r>
      <w:r w:rsidRPr="009D14EA">
        <w:rPr>
          <w:sz w:val="21"/>
          <w:szCs w:val="21"/>
        </w:rPr>
        <w:t>without a continued uplift’. On the contrary, we confirmed our acceptance of a direct award in August 202</w:t>
      </w:r>
      <w:r w:rsidR="000D6496" w:rsidRPr="009D14EA">
        <w:rPr>
          <w:sz w:val="21"/>
          <w:szCs w:val="21"/>
        </w:rPr>
        <w:t>3.</w:t>
      </w:r>
      <w:r w:rsidRPr="009D14EA">
        <w:rPr>
          <w:sz w:val="21"/>
          <w:szCs w:val="21"/>
        </w:rPr>
        <w:t>”</w:t>
      </w:r>
      <w:r w:rsidR="00A71137">
        <w:rPr>
          <w:rStyle w:val="FootnoteReference"/>
          <w:sz w:val="21"/>
          <w:szCs w:val="21"/>
        </w:rPr>
        <w:footnoteReference w:id="16"/>
      </w:r>
    </w:p>
    <w:p w14:paraId="7904AE47" w14:textId="476EF393" w:rsidR="00DA200D" w:rsidRDefault="00DA200D" w:rsidP="00DA200D">
      <w:pPr>
        <w:pStyle w:val="Heading1"/>
      </w:pPr>
      <w:bookmarkStart w:id="12" w:name="_Toc204164419"/>
      <w:r>
        <w:lastRenderedPageBreak/>
        <w:t>PSR regulations relevant to this review</w:t>
      </w:r>
      <w:bookmarkEnd w:id="12"/>
    </w:p>
    <w:p w14:paraId="2C8EEAAE" w14:textId="05516020" w:rsidR="00DA200D" w:rsidRDefault="00236F9E" w:rsidP="008C637A">
      <w:pPr>
        <w:pStyle w:val="ListParagraph"/>
        <w:numPr>
          <w:ilvl w:val="0"/>
          <w:numId w:val="4"/>
        </w:numPr>
        <w:ind w:left="567" w:hanging="567"/>
      </w:pPr>
      <w:r>
        <w:t xml:space="preserve">In its representations to the Panel, </w:t>
      </w:r>
      <w:r w:rsidR="003575F7">
        <w:t xml:space="preserve">Wellsbourne </w:t>
      </w:r>
      <w:r>
        <w:t xml:space="preserve">suggested that </w:t>
      </w:r>
      <w:r w:rsidR="003575F7">
        <w:t xml:space="preserve">Sussex ICB </w:t>
      </w:r>
      <w:r>
        <w:t>had breached the PSR regulations in relation to</w:t>
      </w:r>
      <w:r w:rsidR="00E44B34">
        <w:t xml:space="preserve"> </w:t>
      </w:r>
      <w:r w:rsidR="001D03DC">
        <w:t xml:space="preserve">the general </w:t>
      </w:r>
      <w:r w:rsidR="00355526">
        <w:t xml:space="preserve">requirements </w:t>
      </w:r>
      <w:r w:rsidR="001D03DC">
        <w:t xml:space="preserve">on commissioners (as set out in Regulation 4), </w:t>
      </w:r>
      <w:r w:rsidR="006C5A6C">
        <w:t xml:space="preserve">the application of basic and key criteria (as set out in Regulation 5), </w:t>
      </w:r>
      <w:r w:rsidR="00083149">
        <w:t xml:space="preserve">the </w:t>
      </w:r>
      <w:r w:rsidR="00355526">
        <w:t>requirements</w:t>
      </w:r>
      <w:r w:rsidR="00083149">
        <w:t xml:space="preserve"> </w:t>
      </w:r>
      <w:r w:rsidR="00303A01">
        <w:t xml:space="preserve">in relation to responding to representations (as set out in Regulation 12), </w:t>
      </w:r>
      <w:r w:rsidR="006A5EDD">
        <w:t xml:space="preserve">the </w:t>
      </w:r>
      <w:r w:rsidR="00295526">
        <w:t>requirements</w:t>
      </w:r>
      <w:r w:rsidR="006A5EDD">
        <w:t xml:space="preserve"> in relation to </w:t>
      </w:r>
      <w:r w:rsidR="00BC0F02">
        <w:t xml:space="preserve">the management </w:t>
      </w:r>
      <w:r w:rsidR="00146913">
        <w:t xml:space="preserve">of </w:t>
      </w:r>
      <w:r w:rsidR="006A5EDD">
        <w:t>conflicts of interest</w:t>
      </w:r>
      <w:r w:rsidR="0066261C">
        <w:t xml:space="preserve"> (as set out in Regulation 21), and the </w:t>
      </w:r>
      <w:r w:rsidR="00355526">
        <w:t xml:space="preserve">requirement </w:t>
      </w:r>
      <w:r w:rsidR="0066261C">
        <w:t>to keep a record of all decisions made and their rationale</w:t>
      </w:r>
      <w:r w:rsidR="00E629C8">
        <w:t xml:space="preserve"> (as set out in Regulation 24).</w:t>
      </w:r>
    </w:p>
    <w:p w14:paraId="0D8F02B1" w14:textId="0D62D65F" w:rsidR="00247071" w:rsidRPr="009D7D58" w:rsidRDefault="00247071" w:rsidP="008C637A">
      <w:pPr>
        <w:pStyle w:val="ListParagraph"/>
        <w:numPr>
          <w:ilvl w:val="0"/>
          <w:numId w:val="4"/>
        </w:numPr>
        <w:ind w:left="567" w:hanging="567"/>
      </w:pPr>
      <w:r w:rsidRPr="009D7D58">
        <w:t>Those parts of the PSR regulations most relevant to this review are set out below:</w:t>
      </w:r>
    </w:p>
    <w:p w14:paraId="64662AEC" w14:textId="358A7576" w:rsidR="00EF46F2" w:rsidRPr="009D7D58" w:rsidRDefault="00C24242" w:rsidP="00C24242">
      <w:pPr>
        <w:pStyle w:val="ListParagraph"/>
        <w:numPr>
          <w:ilvl w:val="0"/>
          <w:numId w:val="12"/>
        </w:numPr>
      </w:pPr>
      <w:r w:rsidRPr="009D7D58">
        <w:t xml:space="preserve">Regulation </w:t>
      </w:r>
      <w:r w:rsidR="00B328AD" w:rsidRPr="009D7D58">
        <w:t xml:space="preserve">4 </w:t>
      </w:r>
      <w:r w:rsidRPr="009D7D58">
        <w:t>sets out</w:t>
      </w:r>
      <w:r w:rsidR="00B328AD" w:rsidRPr="009D7D58">
        <w:t xml:space="preserve"> the general </w:t>
      </w:r>
      <w:r w:rsidR="00903B68" w:rsidRPr="009D7D58">
        <w:t>requirements on</w:t>
      </w:r>
      <w:r w:rsidR="00B328AD" w:rsidRPr="009D7D58">
        <w:t xml:space="preserve"> relevant authorities (i.e. commissioners) when selecting a provider of health care services. This states that relevant authorities </w:t>
      </w:r>
      <w:r w:rsidR="00EF46F2" w:rsidRPr="009D7D58">
        <w:t>“</w:t>
      </w:r>
      <w:r w:rsidR="00B328AD" w:rsidRPr="009D7D58">
        <w:t>must a</w:t>
      </w:r>
      <w:r w:rsidR="006A11A3" w:rsidRPr="009D7D58">
        <w:t xml:space="preserve">ct </w:t>
      </w:r>
      <w:r w:rsidR="00297A7B" w:rsidRPr="009D7D58">
        <w:t xml:space="preserve">– (a) </w:t>
      </w:r>
      <w:r w:rsidR="0090592C" w:rsidRPr="009D7D58">
        <w:t>with a view to (</w:t>
      </w:r>
      <w:proofErr w:type="spellStart"/>
      <w:r w:rsidR="0090592C" w:rsidRPr="009D7D58">
        <w:t>i</w:t>
      </w:r>
      <w:proofErr w:type="spellEnd"/>
      <w:r w:rsidR="0090592C" w:rsidRPr="009D7D58">
        <w:t>)</w:t>
      </w:r>
      <w:r w:rsidR="00522C25" w:rsidRPr="009D7D58">
        <w:t xml:space="preserve"> securing the needs of the people who use the services</w:t>
      </w:r>
      <w:r w:rsidR="00DC236B" w:rsidRPr="009D7D58">
        <w:t>; (ii) improving the quality of the services</w:t>
      </w:r>
      <w:r w:rsidR="0010007E" w:rsidRPr="009D7D58">
        <w:t xml:space="preserve">, </w:t>
      </w:r>
      <w:proofErr w:type="gramStart"/>
      <w:r w:rsidR="0010007E" w:rsidRPr="009D7D58">
        <w:t>and;</w:t>
      </w:r>
      <w:proofErr w:type="gramEnd"/>
      <w:r w:rsidR="0010007E" w:rsidRPr="009D7D58">
        <w:t xml:space="preserve"> (iii)</w:t>
      </w:r>
      <w:r w:rsidR="002D7CBF">
        <w:t> </w:t>
      </w:r>
      <w:r w:rsidR="0010007E" w:rsidRPr="009D7D58">
        <w:t>improving the efficiency in the provision of the services; and (b) tr</w:t>
      </w:r>
      <w:r w:rsidR="00EF46F2" w:rsidRPr="009D7D58">
        <w:t>ansparently, fairly and proportionately”.</w:t>
      </w:r>
    </w:p>
    <w:p w14:paraId="6D7FCFA1" w14:textId="6CECF0C5" w:rsidR="00A73EEA" w:rsidRPr="009D7D58" w:rsidRDefault="00E53915" w:rsidP="00C24242">
      <w:pPr>
        <w:pStyle w:val="ListParagraph"/>
        <w:numPr>
          <w:ilvl w:val="0"/>
          <w:numId w:val="12"/>
        </w:numPr>
      </w:pPr>
      <w:r w:rsidRPr="009D7D58">
        <w:t xml:space="preserve">Regulation 5 sets out the key criteria which a commissioner must consider when procuring relevant health care services. </w:t>
      </w:r>
      <w:r w:rsidR="006E7211" w:rsidRPr="009D7D58">
        <w:t>The five key criteria are: (a) quality and innovation; (b) value; (c) integration, collaboration and service sustainability; (d)</w:t>
      </w:r>
      <w:r w:rsidR="002D7CBF">
        <w:t> </w:t>
      </w:r>
      <w:r w:rsidR="006E7211" w:rsidRPr="009D7D58">
        <w:t>improving access, reducing health inequalities</w:t>
      </w:r>
      <w:r w:rsidR="00992E68" w:rsidRPr="009D7D58">
        <w:t xml:space="preserve"> and facilitating choice; and (e)</w:t>
      </w:r>
      <w:r w:rsidR="002D7CBF">
        <w:t> </w:t>
      </w:r>
      <w:r w:rsidR="00992E68" w:rsidRPr="009D7D58">
        <w:t>social value.</w:t>
      </w:r>
    </w:p>
    <w:p w14:paraId="0F4858A6" w14:textId="0FF1CCEE" w:rsidR="00303A01" w:rsidRDefault="00303A01" w:rsidP="00C24242">
      <w:pPr>
        <w:pStyle w:val="ListParagraph"/>
        <w:numPr>
          <w:ilvl w:val="0"/>
          <w:numId w:val="12"/>
        </w:numPr>
      </w:pPr>
      <w:r w:rsidRPr="00303A01">
        <w:t xml:space="preserve">Regulation 12 sets out the </w:t>
      </w:r>
      <w:r w:rsidR="00F1466A">
        <w:t xml:space="preserve">requirements </w:t>
      </w:r>
      <w:r w:rsidR="00903B68">
        <w:t>on</w:t>
      </w:r>
      <w:r w:rsidRPr="00303A01">
        <w:t xml:space="preserve"> commissioners in relation to the standstill period after a contract award decision. It states that “(4) Where the relevant authority receives representations [during the standstill period], it must </w:t>
      </w:r>
      <w:r w:rsidR="00BD2506">
        <w:t>(a) e</w:t>
      </w:r>
      <w:r w:rsidR="00BD2506" w:rsidRPr="00BD2506">
        <w:t xml:space="preserve">nsure each provider who made representations is afforded such further opportunity to explain or clarify the representations made as the relevant authority considers appropriate, </w:t>
      </w:r>
      <w:r w:rsidRPr="00303A01">
        <w:t>(b) provide promptly any information requested by an aggrieved provider where the relevant authority has a duty to record that information under regulation 24 (information requirements)</w:t>
      </w:r>
      <w:r w:rsidR="00FB27A2">
        <w:t xml:space="preserve">, </w:t>
      </w:r>
      <w:r w:rsidR="00FB27A2" w:rsidRPr="00FB27A2">
        <w:t>(c)</w:t>
      </w:r>
      <w:r w:rsidR="00FB27A2">
        <w:t xml:space="preserve"> </w:t>
      </w:r>
      <w:r w:rsidR="00FB27A2" w:rsidRPr="00FB27A2">
        <w:t>review the decision to award the contract or conclude the framework agreement, taking into account the representations made</w:t>
      </w:r>
      <w:r w:rsidR="00FF6204">
        <w:t xml:space="preserve"> </w:t>
      </w:r>
      <w:r w:rsidRPr="00303A01">
        <w:t>…”.</w:t>
      </w:r>
    </w:p>
    <w:p w14:paraId="6A2130DF" w14:textId="28F01A68" w:rsidR="00C75AA1" w:rsidRPr="00992E68" w:rsidRDefault="00C75AA1">
      <w:pPr>
        <w:pStyle w:val="ListParagraph"/>
        <w:numPr>
          <w:ilvl w:val="0"/>
          <w:numId w:val="12"/>
        </w:numPr>
      </w:pPr>
      <w:r>
        <w:t xml:space="preserve">Regulation 21 sets out </w:t>
      </w:r>
      <w:r w:rsidR="00BC0F02">
        <w:t xml:space="preserve">the </w:t>
      </w:r>
      <w:r w:rsidR="00295526">
        <w:t>requirements</w:t>
      </w:r>
      <w:r w:rsidR="00BC0F02">
        <w:t xml:space="preserve"> on relevant authorities in relation to the management of conflicts of interest. </w:t>
      </w:r>
      <w:r w:rsidR="00146913">
        <w:t xml:space="preserve">This states that </w:t>
      </w:r>
      <w:r w:rsidR="00547AEA">
        <w:t>“</w:t>
      </w:r>
      <w:r w:rsidR="00146913">
        <w:t>(1) a relevant authority must take appropriate measures to effectively prevent, identify and remedy conflicts of interest arising in the conduct of procurement process under these Regulations</w:t>
      </w:r>
      <w:r w:rsidR="00C67DE7">
        <w:t xml:space="preserve"> ..</w:t>
      </w:r>
      <w:r w:rsidR="00B24363">
        <w:t>.</w:t>
      </w:r>
      <w:r w:rsidR="00C67DE7">
        <w:t>”.</w:t>
      </w:r>
    </w:p>
    <w:p w14:paraId="651BF1E2" w14:textId="456E405E" w:rsidR="00C24242" w:rsidRPr="00C2516F" w:rsidRDefault="00C24242" w:rsidP="009B4513">
      <w:pPr>
        <w:pStyle w:val="ListParagraph"/>
        <w:numPr>
          <w:ilvl w:val="0"/>
          <w:numId w:val="12"/>
        </w:numPr>
        <w:spacing w:after="160"/>
        <w:ind w:left="1077" w:hanging="357"/>
      </w:pPr>
      <w:r>
        <w:t xml:space="preserve"> </w:t>
      </w:r>
      <w:r w:rsidR="00295526" w:rsidRPr="00C2516F">
        <w:t xml:space="preserve">Regulation 24 </w:t>
      </w:r>
      <w:r w:rsidR="0001769E" w:rsidRPr="00C2516F">
        <w:t xml:space="preserve">sets out the </w:t>
      </w:r>
      <w:r w:rsidR="00C2516F" w:rsidRPr="00C2516F">
        <w:t>information that must be recorded by commissioners. This includes</w:t>
      </w:r>
      <w:r w:rsidR="003D60AC">
        <w:t xml:space="preserve"> “</w:t>
      </w:r>
      <w:r w:rsidR="00E45CB9">
        <w:t>…</w:t>
      </w:r>
      <w:r w:rsidR="00224E7E">
        <w:t xml:space="preserve"> </w:t>
      </w:r>
      <w:r w:rsidR="00E45CB9">
        <w:t>(d) the decision-making process followed, including the identity of individuals making decisions … (f)</w:t>
      </w:r>
      <w:r w:rsidR="000627ED">
        <w:t xml:space="preserve"> where the competitive process was followed, a description of the way in which the key criteria were taken into account, the basic selection criteria were assessed and contract or framework award criteria were evaluated when making a decision</w:t>
      </w:r>
      <w:r w:rsidR="008F1034">
        <w:t>; (g) the reasons for decisions made under these Regulations; (h) declared conflicts or potential conflicts of interest; (</w:t>
      </w:r>
      <w:proofErr w:type="spellStart"/>
      <w:r w:rsidR="008F1034">
        <w:t>i</w:t>
      </w:r>
      <w:proofErr w:type="spellEnd"/>
      <w:r w:rsidR="008F1034">
        <w:t>)</w:t>
      </w:r>
      <w:r w:rsidR="00005A58">
        <w:t xml:space="preserve"> how any conflicts or potential conflicts of interest were managed for each decision</w:t>
      </w:r>
      <w:r w:rsidR="00FF6204">
        <w:t xml:space="preserve"> </w:t>
      </w:r>
      <w:r w:rsidR="00005A58">
        <w:t>…”.</w:t>
      </w:r>
    </w:p>
    <w:p w14:paraId="173BBE07" w14:textId="5BA7362E" w:rsidR="00247071" w:rsidRPr="008B410D" w:rsidRDefault="00247071" w:rsidP="008C637A">
      <w:pPr>
        <w:pStyle w:val="ListParagraph"/>
        <w:numPr>
          <w:ilvl w:val="0"/>
          <w:numId w:val="4"/>
        </w:numPr>
        <w:ind w:left="567" w:hanging="567"/>
      </w:pPr>
      <w:r>
        <w:lastRenderedPageBreak/>
        <w:t xml:space="preserve">The Provider Selection Regime </w:t>
      </w:r>
      <w:r w:rsidR="00800E55">
        <w:t>Statutory Guidance “sits along</w:t>
      </w:r>
      <w:r w:rsidR="00DF77E6">
        <w:t>side</w:t>
      </w:r>
      <w:r w:rsidR="00800E55">
        <w:t xml:space="preserve"> the Regulations to support organisations to understand and interpret the PSR regulations”.</w:t>
      </w:r>
      <w:r w:rsidR="001A2DB4" w:rsidRPr="00C368B2">
        <w:rPr>
          <w:vertAlign w:val="superscript"/>
        </w:rPr>
        <w:footnoteReference w:id="17"/>
      </w:r>
      <w:r w:rsidR="00800E55" w:rsidRPr="00C368B2">
        <w:rPr>
          <w:vertAlign w:val="superscript"/>
        </w:rPr>
        <w:t xml:space="preserve"> </w:t>
      </w:r>
      <w:r w:rsidR="00800E55">
        <w:t>Reference is made to relevant provisions of the Statutory Guidance in the Panel’s assessment of the issues in Section 7</w:t>
      </w:r>
      <w:r w:rsidR="001A2DB4">
        <w:t>.</w:t>
      </w:r>
      <w:r w:rsidR="001A2DB4" w:rsidRPr="00794B02">
        <w:rPr>
          <w:vertAlign w:val="superscript"/>
        </w:rPr>
        <w:footnoteReference w:id="18"/>
      </w:r>
    </w:p>
    <w:p w14:paraId="42FD0098" w14:textId="1C5B2080" w:rsidR="00DA200D" w:rsidRDefault="00DA200D" w:rsidP="00DA200D">
      <w:pPr>
        <w:pStyle w:val="Heading1"/>
      </w:pPr>
      <w:bookmarkStart w:id="13" w:name="_Toc204164420"/>
      <w:r>
        <w:t>Panel Assessment</w:t>
      </w:r>
      <w:bookmarkEnd w:id="13"/>
    </w:p>
    <w:p w14:paraId="02BABFC7" w14:textId="6E32EA2C" w:rsidR="00DA200D" w:rsidRDefault="00020FEE" w:rsidP="009B4513">
      <w:pPr>
        <w:pStyle w:val="ListParagraph"/>
        <w:numPr>
          <w:ilvl w:val="0"/>
          <w:numId w:val="4"/>
        </w:numPr>
        <w:ind w:left="567" w:hanging="567"/>
        <w:contextualSpacing/>
      </w:pPr>
      <w:r>
        <w:t xml:space="preserve">This section </w:t>
      </w:r>
      <w:r w:rsidR="00A93CEB">
        <w:t xml:space="preserve">sets out the Panel’s assessment of </w:t>
      </w:r>
      <w:r w:rsidR="00181195">
        <w:t>Wellsbourne</w:t>
      </w:r>
      <w:r w:rsidR="00A93CEB">
        <w:t xml:space="preserve">’s representations and its findings on whether </w:t>
      </w:r>
      <w:r w:rsidR="00181195">
        <w:t>Sussex ICB</w:t>
      </w:r>
      <w:r w:rsidR="00A93CEB">
        <w:t xml:space="preserve"> complied with the PSR regulations in relation to:</w:t>
      </w:r>
    </w:p>
    <w:p w14:paraId="3AF8D225" w14:textId="36B04474" w:rsidR="00A93CEB" w:rsidRPr="008545C1" w:rsidRDefault="00FE012B" w:rsidP="009B4513">
      <w:pPr>
        <w:pStyle w:val="ListParagraph"/>
        <w:numPr>
          <w:ilvl w:val="0"/>
          <w:numId w:val="13"/>
        </w:numPr>
        <w:ind w:left="1077" w:hanging="357"/>
        <w:contextualSpacing/>
        <w:rPr>
          <w:lang w:val="fr-FR"/>
        </w:rPr>
      </w:pPr>
      <w:r w:rsidRPr="008545C1">
        <w:rPr>
          <w:lang w:val="fr-FR"/>
        </w:rPr>
        <w:t>f</w:t>
      </w:r>
      <w:r w:rsidR="00A93CEB" w:rsidRPr="008545C1">
        <w:rPr>
          <w:lang w:val="fr-FR"/>
        </w:rPr>
        <w:t xml:space="preserve">irst, </w:t>
      </w:r>
      <w:r w:rsidR="002B4082" w:rsidRPr="008545C1">
        <w:rPr>
          <w:lang w:val="fr-FR"/>
        </w:rPr>
        <w:t xml:space="preserve">pre-procurement </w:t>
      </w:r>
      <w:r w:rsidR="00BC6FAB" w:rsidRPr="008545C1">
        <w:rPr>
          <w:lang w:val="fr-FR"/>
        </w:rPr>
        <w:t>public</w:t>
      </w:r>
      <w:r w:rsidR="00976A84" w:rsidRPr="008545C1">
        <w:rPr>
          <w:lang w:val="fr-FR"/>
        </w:rPr>
        <w:t xml:space="preserve"> engagement</w:t>
      </w:r>
      <w:r w:rsidR="00C75AAD" w:rsidRPr="008545C1">
        <w:rPr>
          <w:lang w:val="fr-FR"/>
        </w:rPr>
        <w:t xml:space="preserve"> </w:t>
      </w:r>
      <w:r w:rsidR="00A93CEB" w:rsidRPr="008545C1">
        <w:rPr>
          <w:lang w:val="fr-FR"/>
        </w:rPr>
        <w:t>(Section 7.1);</w:t>
      </w:r>
    </w:p>
    <w:p w14:paraId="290E46BD" w14:textId="11FFD9BF" w:rsidR="00A93CEB" w:rsidRPr="00033AD9" w:rsidRDefault="00690E2C" w:rsidP="009B4513">
      <w:pPr>
        <w:pStyle w:val="ListParagraph"/>
        <w:numPr>
          <w:ilvl w:val="0"/>
          <w:numId w:val="13"/>
        </w:numPr>
        <w:ind w:left="1077" w:hanging="357"/>
        <w:contextualSpacing/>
      </w:pPr>
      <w:r w:rsidRPr="000D23C3">
        <w:t>s</w:t>
      </w:r>
      <w:r w:rsidR="00A93CEB" w:rsidRPr="000D23C3">
        <w:t>econd</w:t>
      </w:r>
      <w:r w:rsidR="00A93CEB" w:rsidRPr="00033AD9">
        <w:t xml:space="preserve">, </w:t>
      </w:r>
      <w:r w:rsidR="00D217A2" w:rsidRPr="00033AD9">
        <w:t xml:space="preserve">the </w:t>
      </w:r>
      <w:r w:rsidR="00776FB0">
        <w:t>quality-related</w:t>
      </w:r>
      <w:r w:rsidR="004B5B9E">
        <w:t xml:space="preserve"> questions asked of bidders and their </w:t>
      </w:r>
      <w:r w:rsidR="00BE446C" w:rsidRPr="00033AD9">
        <w:t>evaluation</w:t>
      </w:r>
      <w:r w:rsidR="00D217A2" w:rsidRPr="00033AD9">
        <w:t xml:space="preserve"> </w:t>
      </w:r>
      <w:r w:rsidR="00A93CEB" w:rsidRPr="00033AD9">
        <w:t>(Section 7.2</w:t>
      </w:r>
      <w:proofErr w:type="gramStart"/>
      <w:r w:rsidR="00A93CEB" w:rsidRPr="00033AD9">
        <w:t>);</w:t>
      </w:r>
      <w:proofErr w:type="gramEnd"/>
    </w:p>
    <w:p w14:paraId="1E64F30C" w14:textId="1C209C67" w:rsidR="00EC52DA" w:rsidRPr="00033AD9" w:rsidRDefault="00BE446C" w:rsidP="009B4513">
      <w:pPr>
        <w:pStyle w:val="ListParagraph"/>
        <w:numPr>
          <w:ilvl w:val="0"/>
          <w:numId w:val="13"/>
        </w:numPr>
        <w:ind w:left="1077" w:hanging="357"/>
        <w:contextualSpacing/>
      </w:pPr>
      <w:r w:rsidRPr="00033AD9">
        <w:t>third</w:t>
      </w:r>
      <w:r w:rsidR="00EC52DA" w:rsidRPr="00033AD9">
        <w:t xml:space="preserve">, </w:t>
      </w:r>
      <w:r w:rsidR="00352D8C" w:rsidRPr="00033AD9">
        <w:t xml:space="preserve">the </w:t>
      </w:r>
      <w:r w:rsidR="007015DD">
        <w:t>financial</w:t>
      </w:r>
      <w:r w:rsidR="00571473">
        <w:t xml:space="preserve"> </w:t>
      </w:r>
      <w:r w:rsidR="00715DF4">
        <w:t xml:space="preserve">questions asked of </w:t>
      </w:r>
      <w:r w:rsidR="0036462A" w:rsidRPr="00033AD9">
        <w:t>bidders</w:t>
      </w:r>
      <w:r w:rsidR="00715DF4">
        <w:t xml:space="preserve"> and their </w:t>
      </w:r>
      <w:r w:rsidR="0036462A" w:rsidRPr="00033AD9">
        <w:t xml:space="preserve">evaluation </w:t>
      </w:r>
      <w:r w:rsidR="00EC52DA" w:rsidRPr="00033AD9">
        <w:t>(Section 7.3)</w:t>
      </w:r>
      <w:r w:rsidR="00CE2826" w:rsidRPr="00033AD9">
        <w:t>;</w:t>
      </w:r>
      <w:r w:rsidR="0030606E">
        <w:t xml:space="preserve"> and</w:t>
      </w:r>
    </w:p>
    <w:p w14:paraId="2F8BE157" w14:textId="7F12EE11" w:rsidR="00CE2826" w:rsidRPr="00033AD9" w:rsidRDefault="00BD5E20" w:rsidP="00FE012B">
      <w:pPr>
        <w:pStyle w:val="ListParagraph"/>
        <w:numPr>
          <w:ilvl w:val="0"/>
          <w:numId w:val="13"/>
        </w:numPr>
        <w:ind w:left="1077" w:hanging="357"/>
      </w:pPr>
      <w:r>
        <w:t>finally</w:t>
      </w:r>
      <w:r w:rsidR="00CE2826" w:rsidRPr="00033AD9">
        <w:t xml:space="preserve">, </w:t>
      </w:r>
      <w:r w:rsidR="00692EE8">
        <w:t xml:space="preserve">evaluation </w:t>
      </w:r>
      <w:r w:rsidR="004D7D1C" w:rsidRPr="00033AD9">
        <w:t>governance</w:t>
      </w:r>
      <w:r w:rsidR="00321E4C" w:rsidRPr="00033AD9">
        <w:t xml:space="preserve"> and the independence of</w:t>
      </w:r>
      <w:r w:rsidR="00957E17" w:rsidRPr="00033AD9">
        <w:t xml:space="preserve"> </w:t>
      </w:r>
      <w:r w:rsidR="008C70A2">
        <w:t xml:space="preserve">the </w:t>
      </w:r>
      <w:r w:rsidR="00957E17" w:rsidRPr="00033AD9">
        <w:t>representations review panel</w:t>
      </w:r>
      <w:r w:rsidR="00321E4C" w:rsidRPr="00033AD9">
        <w:t xml:space="preserve"> </w:t>
      </w:r>
      <w:r w:rsidR="00006447" w:rsidRPr="00033AD9">
        <w:t>(Section 7.4)</w:t>
      </w:r>
      <w:r w:rsidR="0030606E">
        <w:t>.</w:t>
      </w:r>
    </w:p>
    <w:p w14:paraId="016200CB" w14:textId="79265077" w:rsidR="00306A7C" w:rsidRPr="000D23C3" w:rsidRDefault="00BC6FAB" w:rsidP="00E11CF5">
      <w:pPr>
        <w:pStyle w:val="Heading2"/>
        <w:spacing w:before="240" w:after="160"/>
        <w:ind w:left="578" w:hanging="578"/>
      </w:pPr>
      <w:bookmarkStart w:id="14" w:name="_Toc204164421"/>
      <w:r w:rsidRPr="000D23C3">
        <w:t>P</w:t>
      </w:r>
      <w:r w:rsidR="002B4082">
        <w:t>re-procurement p</w:t>
      </w:r>
      <w:r w:rsidRPr="000D23C3">
        <w:t>ublic</w:t>
      </w:r>
      <w:r w:rsidR="00683FF7" w:rsidRPr="000D23C3">
        <w:t xml:space="preserve"> engagement</w:t>
      </w:r>
      <w:bookmarkEnd w:id="14"/>
    </w:p>
    <w:p w14:paraId="6270A9F4" w14:textId="3E83A149" w:rsidR="00D90AA8" w:rsidRDefault="00D90AA8" w:rsidP="00EE025F">
      <w:pPr>
        <w:pStyle w:val="ListParagraph"/>
        <w:numPr>
          <w:ilvl w:val="0"/>
          <w:numId w:val="4"/>
        </w:numPr>
        <w:spacing w:after="160"/>
        <w:ind w:left="567" w:hanging="567"/>
      </w:pPr>
      <w:bookmarkStart w:id="15" w:name="_Ref202286696"/>
      <w:bookmarkStart w:id="16" w:name="_Hlk199240393"/>
      <w:r>
        <w:t xml:space="preserve">This section </w:t>
      </w:r>
      <w:r w:rsidR="003D0BB0">
        <w:t>sets out the Panel’s assessment of Wellsbourne’s concerns about Sussex ICB’s public engagement prior to the provider selection process.</w:t>
      </w:r>
    </w:p>
    <w:p w14:paraId="21B64AA6" w14:textId="1EA95D65" w:rsidR="00683FF7" w:rsidRPr="004F0B76" w:rsidRDefault="00405054" w:rsidP="0013586F">
      <w:pPr>
        <w:pStyle w:val="ListParagraph"/>
        <w:numPr>
          <w:ilvl w:val="0"/>
          <w:numId w:val="4"/>
        </w:numPr>
        <w:ind w:left="567" w:hanging="567"/>
      </w:pPr>
      <w:r w:rsidRPr="004F0B76">
        <w:t>Wellsbourne</w:t>
      </w:r>
      <w:r w:rsidR="00343991" w:rsidRPr="004F0B76">
        <w:t>, in its representations to the Panel, said</w:t>
      </w:r>
      <w:r w:rsidR="0009180D" w:rsidRPr="004F0B76">
        <w:t>:</w:t>
      </w:r>
      <w:bookmarkEnd w:id="15"/>
    </w:p>
    <w:p w14:paraId="4796D7AF" w14:textId="1754CE25" w:rsidR="003D4177" w:rsidRPr="004006C8" w:rsidRDefault="003D4177" w:rsidP="00CF1C6D">
      <w:pPr>
        <w:pStyle w:val="ListParagraph"/>
        <w:spacing w:after="160"/>
        <w:ind w:left="851" w:firstLine="0"/>
        <w:rPr>
          <w:sz w:val="21"/>
          <w:szCs w:val="21"/>
        </w:rPr>
      </w:pPr>
      <w:r w:rsidRPr="004006C8">
        <w:rPr>
          <w:sz w:val="21"/>
          <w:szCs w:val="21"/>
        </w:rPr>
        <w:t>“</w:t>
      </w:r>
      <w:r w:rsidR="004F0B76" w:rsidRPr="004006C8">
        <w:rPr>
          <w:sz w:val="21"/>
          <w:szCs w:val="21"/>
        </w:rPr>
        <w:t xml:space="preserve">The public engagement that was undertaken was inadequate. The Equalities and Health Inequalities Impact Assessment (EHIA) claimed no need for engagement with targeted groups despite acknowledging health inequalities locally. Without consulting staff or assessing risks, the EHIA assumed there would be no impact from replacing a non-profit practice with a for-profit provider. The EHIA remains in draft form and was neither reviewed nor signed off before procurement concluded </w:t>
      </w:r>
      <w:r w:rsidR="00A64D9E">
        <w:rPr>
          <w:sz w:val="21"/>
          <w:szCs w:val="21"/>
        </w:rPr>
        <w:t>–</w:t>
      </w:r>
      <w:r w:rsidR="004F0B76" w:rsidRPr="004006C8">
        <w:rPr>
          <w:sz w:val="21"/>
          <w:szCs w:val="21"/>
        </w:rPr>
        <w:t xml:space="preserve"> suggesting</w:t>
      </w:r>
      <w:r w:rsidR="00A64D9E">
        <w:rPr>
          <w:sz w:val="21"/>
          <w:szCs w:val="21"/>
        </w:rPr>
        <w:t xml:space="preserve"> </w:t>
      </w:r>
      <w:r w:rsidR="004F0B76" w:rsidRPr="004006C8">
        <w:rPr>
          <w:sz w:val="21"/>
          <w:szCs w:val="21"/>
        </w:rPr>
        <w:t xml:space="preserve">a breach of the Equality Act 2010 and Public Sector Equality Duty” </w:t>
      </w:r>
      <w:r w:rsidR="004F0B76" w:rsidRPr="002F795A">
        <w:rPr>
          <w:sz w:val="21"/>
          <w:szCs w:val="21"/>
        </w:rPr>
        <w:t xml:space="preserve">(see paragraph </w:t>
      </w:r>
      <w:r w:rsidR="00B548E2">
        <w:rPr>
          <w:sz w:val="21"/>
          <w:szCs w:val="21"/>
        </w:rPr>
        <w:fldChar w:fldCharType="begin"/>
      </w:r>
      <w:r w:rsidR="00B548E2">
        <w:rPr>
          <w:sz w:val="21"/>
          <w:szCs w:val="21"/>
        </w:rPr>
        <w:instrText xml:space="preserve"> REF _Ref201645531 \r \h </w:instrText>
      </w:r>
      <w:r w:rsidR="00B548E2">
        <w:rPr>
          <w:sz w:val="21"/>
          <w:szCs w:val="21"/>
        </w:rPr>
      </w:r>
      <w:r w:rsidR="00B548E2">
        <w:rPr>
          <w:sz w:val="21"/>
          <w:szCs w:val="21"/>
        </w:rPr>
        <w:fldChar w:fldCharType="separate"/>
      </w:r>
      <w:r w:rsidR="00C81C5A">
        <w:rPr>
          <w:sz w:val="21"/>
          <w:szCs w:val="21"/>
        </w:rPr>
        <w:t>35</w:t>
      </w:r>
      <w:r w:rsidR="00B548E2">
        <w:rPr>
          <w:sz w:val="21"/>
          <w:szCs w:val="21"/>
        </w:rPr>
        <w:fldChar w:fldCharType="end"/>
      </w:r>
      <w:r w:rsidR="004F0B76" w:rsidRPr="002F795A">
        <w:rPr>
          <w:sz w:val="21"/>
          <w:szCs w:val="21"/>
        </w:rPr>
        <w:t>).</w:t>
      </w:r>
    </w:p>
    <w:p w14:paraId="0436971A" w14:textId="67361CD9" w:rsidR="0072328B" w:rsidRDefault="00FB25D1" w:rsidP="007238E8">
      <w:pPr>
        <w:pStyle w:val="ListParagraph"/>
        <w:numPr>
          <w:ilvl w:val="0"/>
          <w:numId w:val="4"/>
        </w:numPr>
        <w:spacing w:after="160"/>
        <w:ind w:left="567" w:hanging="567"/>
      </w:pPr>
      <w:r>
        <w:t>A</w:t>
      </w:r>
      <w:r w:rsidR="00275CEB" w:rsidRPr="00275CEB">
        <w:t xml:space="preserve">ssessing compliance with legal obligations </w:t>
      </w:r>
      <w:r w:rsidR="00257563">
        <w:t xml:space="preserve">outside </w:t>
      </w:r>
      <w:r w:rsidR="00F33FA3">
        <w:t xml:space="preserve">of </w:t>
      </w:r>
      <w:r w:rsidR="00257563">
        <w:t xml:space="preserve">the </w:t>
      </w:r>
      <w:r w:rsidR="00FE37B0">
        <w:t xml:space="preserve">PSR regulations </w:t>
      </w:r>
      <w:r w:rsidR="00275CEB" w:rsidRPr="00275CEB">
        <w:t>(including the Equality Act 2010 and Public Sector Equality Duty) does not fall within the scope of the Panel’s responsibilities</w:t>
      </w:r>
      <w:r w:rsidR="00F54A36">
        <w:t>.</w:t>
      </w:r>
      <w:r w:rsidR="00275CEB" w:rsidRPr="00275CEB">
        <w:t xml:space="preserve"> </w:t>
      </w:r>
      <w:r w:rsidR="0072328B">
        <w:t>A</w:t>
      </w:r>
      <w:r w:rsidR="0072328B" w:rsidRPr="00275CEB">
        <w:t xml:space="preserve">s a result, the Panel’s review does not address </w:t>
      </w:r>
      <w:r w:rsidR="0072328B">
        <w:t>Sussex ICB’s compliance with these obligations</w:t>
      </w:r>
      <w:r w:rsidR="001014BD">
        <w:t>.</w:t>
      </w:r>
    </w:p>
    <w:p w14:paraId="4E45BF5F" w14:textId="2F657EF8" w:rsidR="00F42804" w:rsidRDefault="00275CEB" w:rsidP="007238E8">
      <w:pPr>
        <w:pStyle w:val="ListParagraph"/>
        <w:numPr>
          <w:ilvl w:val="0"/>
          <w:numId w:val="4"/>
        </w:numPr>
        <w:spacing w:after="160"/>
        <w:ind w:left="567" w:hanging="567"/>
      </w:pPr>
      <w:r>
        <w:t>The Panel’s remit does</w:t>
      </w:r>
      <w:r w:rsidR="003F68B3">
        <w:t>, however,</w:t>
      </w:r>
      <w:r w:rsidR="00D907DC">
        <w:t xml:space="preserve"> </w:t>
      </w:r>
      <w:r w:rsidR="00BA3BAC">
        <w:t xml:space="preserve">extend to </w:t>
      </w:r>
      <w:r w:rsidR="008B7ACA">
        <w:t>assess</w:t>
      </w:r>
      <w:r w:rsidR="00BA3BAC">
        <w:t xml:space="preserve">ing </w:t>
      </w:r>
      <w:r>
        <w:t xml:space="preserve">whether Wellsbourne’s concerns about </w:t>
      </w:r>
      <w:r w:rsidR="00D907DC">
        <w:t xml:space="preserve">Sussex </w:t>
      </w:r>
      <w:r>
        <w:t xml:space="preserve">ICB’s </w:t>
      </w:r>
      <w:r w:rsidR="00E40949">
        <w:t xml:space="preserve">pre-procurement </w:t>
      </w:r>
      <w:r>
        <w:t>public engagement breach</w:t>
      </w:r>
      <w:r w:rsidR="001A3494">
        <w:t>ed</w:t>
      </w:r>
      <w:r>
        <w:t xml:space="preserve"> </w:t>
      </w:r>
      <w:r w:rsidR="00FC19A9">
        <w:t xml:space="preserve">its obligations under </w:t>
      </w:r>
      <w:r>
        <w:t>the PSR</w:t>
      </w:r>
      <w:r w:rsidR="008D4819">
        <w:t xml:space="preserve"> regulations</w:t>
      </w:r>
      <w:r w:rsidR="003276D7">
        <w:t xml:space="preserve">. </w:t>
      </w:r>
      <w:r w:rsidR="00F42804">
        <w:t>The Panel notes that there are no specific obligations on commissioners in relation to pre-procurement public engagement in either the PSR regulations or statutory guidance. Commissioners are, however, under wider obligations, such as those set out in Regulation 4, which require</w:t>
      </w:r>
      <w:r w:rsidR="0014616A">
        <w:t>s</w:t>
      </w:r>
      <w:r w:rsidR="00F42804">
        <w:t xml:space="preserve"> commissioners to act with a view to “securing the needs of the people who use the services”, and to act “transparently, fairly and proportionately”.</w:t>
      </w:r>
    </w:p>
    <w:p w14:paraId="12DE5A31" w14:textId="47009DE9" w:rsidR="009A5AC4" w:rsidRDefault="00015EB8" w:rsidP="009A5AC4">
      <w:pPr>
        <w:pStyle w:val="ListParagraph"/>
        <w:numPr>
          <w:ilvl w:val="0"/>
          <w:numId w:val="4"/>
        </w:numPr>
        <w:spacing w:after="160"/>
        <w:ind w:left="567" w:hanging="567"/>
      </w:pPr>
      <w:r>
        <w:lastRenderedPageBreak/>
        <w:t>T</w:t>
      </w:r>
      <w:r w:rsidR="009A5AC4">
        <w:t>he Panel notes that</w:t>
      </w:r>
      <w:r w:rsidR="00636C83">
        <w:t>, prior to the procurement,</w:t>
      </w:r>
      <w:r w:rsidR="009A5AC4">
        <w:t xml:space="preserve"> Sussex ICB engaged with </w:t>
      </w:r>
      <w:r w:rsidR="00494F44">
        <w:t xml:space="preserve">both potential </w:t>
      </w:r>
      <w:r w:rsidR="009A5AC4">
        <w:t xml:space="preserve">providers </w:t>
      </w:r>
      <w:r w:rsidR="00494F44">
        <w:t xml:space="preserve">and </w:t>
      </w:r>
      <w:r w:rsidR="009A5AC4">
        <w:t xml:space="preserve">the public, </w:t>
      </w:r>
      <w:r w:rsidR="00E15A7F">
        <w:t xml:space="preserve">and </w:t>
      </w:r>
      <w:r w:rsidR="00D90BF0">
        <w:t xml:space="preserve">information from </w:t>
      </w:r>
      <w:r w:rsidR="008243DB">
        <w:t xml:space="preserve">this </w:t>
      </w:r>
      <w:r w:rsidR="00A65725">
        <w:t>engagement</w:t>
      </w:r>
      <w:r w:rsidR="008243DB">
        <w:t xml:space="preserve"> was </w:t>
      </w:r>
      <w:r w:rsidR="00A65725">
        <w:t xml:space="preserve">used to </w:t>
      </w:r>
      <w:r w:rsidR="009A5AC4">
        <w:t xml:space="preserve">inform the specification for the </w:t>
      </w:r>
      <w:r w:rsidR="00A65725">
        <w:t>new Whitehawk APMS contract</w:t>
      </w:r>
      <w:r w:rsidR="009A5AC4">
        <w:t xml:space="preserve"> (see paragraph</w:t>
      </w:r>
      <w:r w:rsidR="00EE51CF">
        <w:t xml:space="preserve"> </w:t>
      </w:r>
      <w:r w:rsidR="00EE51CF">
        <w:fldChar w:fldCharType="begin"/>
      </w:r>
      <w:r w:rsidR="00EE51CF">
        <w:instrText xml:space="preserve"> REF _Ref204154490 \r \h </w:instrText>
      </w:r>
      <w:r w:rsidR="00EE51CF">
        <w:fldChar w:fldCharType="separate"/>
      </w:r>
      <w:r w:rsidR="00C81C5A">
        <w:t>26</w:t>
      </w:r>
      <w:r w:rsidR="00EE51CF">
        <w:fldChar w:fldCharType="end"/>
      </w:r>
      <w:r w:rsidR="009A5AC4">
        <w:t>).</w:t>
      </w:r>
    </w:p>
    <w:p w14:paraId="545BAD27" w14:textId="28158088" w:rsidR="00FA4456" w:rsidRDefault="006C5037" w:rsidP="00A27689">
      <w:pPr>
        <w:pStyle w:val="ListParagraph"/>
        <w:numPr>
          <w:ilvl w:val="0"/>
          <w:numId w:val="4"/>
        </w:numPr>
        <w:spacing w:after="160"/>
        <w:ind w:left="567" w:hanging="567"/>
      </w:pPr>
      <w:r>
        <w:t>The Panel</w:t>
      </w:r>
      <w:r w:rsidR="00B76BD9">
        <w:t>’s view</w:t>
      </w:r>
      <w:r w:rsidR="00633BF4">
        <w:t xml:space="preserve"> </w:t>
      </w:r>
      <w:r w:rsidR="00B76BD9">
        <w:t xml:space="preserve">is that the evidence </w:t>
      </w:r>
      <w:r w:rsidR="00B53A6D">
        <w:t xml:space="preserve">on </w:t>
      </w:r>
      <w:r w:rsidR="0048147B">
        <w:t xml:space="preserve">Sussex ICB’s </w:t>
      </w:r>
      <w:r w:rsidR="00B53A6D">
        <w:t xml:space="preserve">pre-procurement </w:t>
      </w:r>
      <w:r w:rsidR="0019675C">
        <w:t xml:space="preserve">public engagement </w:t>
      </w:r>
      <w:r w:rsidR="00B76BD9">
        <w:t xml:space="preserve">does not support a conclusion that </w:t>
      </w:r>
      <w:r w:rsidR="00B93471">
        <w:t xml:space="preserve">it </w:t>
      </w:r>
      <w:r w:rsidR="00291E04">
        <w:t>breached</w:t>
      </w:r>
      <w:r w:rsidR="00B93471">
        <w:t xml:space="preserve"> its </w:t>
      </w:r>
      <w:r w:rsidR="00291E04">
        <w:t xml:space="preserve">obligations </w:t>
      </w:r>
      <w:r w:rsidR="00CA3344">
        <w:t>under the PSR regulations</w:t>
      </w:r>
      <w:r w:rsidR="00291E04">
        <w:t xml:space="preserve">. </w:t>
      </w:r>
      <w:r w:rsidR="00697756">
        <w:t xml:space="preserve">As a result, the Panel finds that </w:t>
      </w:r>
      <w:r w:rsidR="00BB5AC3">
        <w:t>Sussex ICB, in its pre-procurement public engagement</w:t>
      </w:r>
      <w:r w:rsidR="00207193">
        <w:t>, did not breach the PSR regulations</w:t>
      </w:r>
      <w:proofErr w:type="gramStart"/>
      <w:r w:rsidR="00207193">
        <w:t xml:space="preserve"> and in particular</w:t>
      </w:r>
      <w:proofErr w:type="gramEnd"/>
      <w:r w:rsidR="00207193">
        <w:t xml:space="preserve"> its obligations under Regulation 4</w:t>
      </w:r>
      <w:r w:rsidR="0058015B">
        <w:t>,</w:t>
      </w:r>
      <w:r w:rsidR="0058015B" w:rsidRPr="0058015B">
        <w:t xml:space="preserve"> </w:t>
      </w:r>
      <w:r w:rsidR="0058015B">
        <w:t>which require</w:t>
      </w:r>
      <w:r w:rsidR="00EE253E">
        <w:t>s</w:t>
      </w:r>
      <w:r w:rsidR="0058015B">
        <w:t xml:space="preserve"> it </w:t>
      </w:r>
      <w:r w:rsidR="00D97AB6">
        <w:t xml:space="preserve">to act with a view to securing the needs of the people who use the services </w:t>
      </w:r>
      <w:r w:rsidR="00CC7207">
        <w:t xml:space="preserve">and </w:t>
      </w:r>
      <w:r w:rsidR="0058015B">
        <w:t>to act transparently, fairly and proportionately</w:t>
      </w:r>
      <w:r w:rsidR="00207193" w:rsidDel="00D97AB6">
        <w:t>.</w:t>
      </w:r>
    </w:p>
    <w:p w14:paraId="396482BB" w14:textId="0063614D" w:rsidR="00E05460" w:rsidRPr="00B77A91" w:rsidRDefault="0093218B" w:rsidP="00F04AC8">
      <w:pPr>
        <w:pStyle w:val="Heading2"/>
        <w:spacing w:before="240" w:after="160"/>
        <w:ind w:left="578" w:hanging="578"/>
      </w:pPr>
      <w:bookmarkStart w:id="17" w:name="_Toc204164422"/>
      <w:bookmarkEnd w:id="16"/>
      <w:r>
        <w:t xml:space="preserve">Quality-related </w:t>
      </w:r>
      <w:r w:rsidR="00A24DE3">
        <w:t>questions for bidders and their e</w:t>
      </w:r>
      <w:r w:rsidR="0004772F" w:rsidRPr="00B77A91">
        <w:t>valuation</w:t>
      </w:r>
      <w:bookmarkEnd w:id="17"/>
    </w:p>
    <w:p w14:paraId="6EF473E8" w14:textId="2C3789C1" w:rsidR="00995729" w:rsidRDefault="00995729" w:rsidP="008C637A">
      <w:pPr>
        <w:pStyle w:val="ListParagraph"/>
        <w:numPr>
          <w:ilvl w:val="0"/>
          <w:numId w:val="4"/>
        </w:numPr>
        <w:ind w:left="567" w:hanging="567"/>
      </w:pPr>
      <w:bookmarkStart w:id="18" w:name="_Ref201652209"/>
      <w:r>
        <w:t xml:space="preserve">This section sets out the Panel’s assessment of Wellsbourne’s concerns about the </w:t>
      </w:r>
      <w:r w:rsidR="0093218B">
        <w:t xml:space="preserve">quality-related </w:t>
      </w:r>
      <w:r w:rsidR="00C06C8F">
        <w:t>(</w:t>
      </w:r>
      <w:r w:rsidR="00171CFA">
        <w:t xml:space="preserve">i.e. </w:t>
      </w:r>
      <w:r w:rsidR="0093218B">
        <w:t>non-financial</w:t>
      </w:r>
      <w:r w:rsidR="00C06C8F">
        <w:t>)</w:t>
      </w:r>
      <w:r w:rsidR="00BD5F6F">
        <w:t xml:space="preserve"> </w:t>
      </w:r>
      <w:r w:rsidR="00F247B2">
        <w:t xml:space="preserve">questions asked </w:t>
      </w:r>
      <w:r w:rsidR="007D2D69">
        <w:t xml:space="preserve">of bidders </w:t>
      </w:r>
      <w:r w:rsidR="00F247B2">
        <w:t xml:space="preserve">in the tender documentation </w:t>
      </w:r>
      <w:r w:rsidR="0036724F">
        <w:t xml:space="preserve">and their </w:t>
      </w:r>
      <w:r>
        <w:t>evaluation.</w:t>
      </w:r>
      <w:r w:rsidR="00E153F3">
        <w:rPr>
          <w:rStyle w:val="FootnoteReference"/>
        </w:rPr>
        <w:footnoteReference w:id="19"/>
      </w:r>
    </w:p>
    <w:p w14:paraId="26A0B58C" w14:textId="351DF9C6" w:rsidR="0004772F" w:rsidRPr="006A502D" w:rsidRDefault="003E0B5D" w:rsidP="008C637A">
      <w:pPr>
        <w:pStyle w:val="ListParagraph"/>
        <w:numPr>
          <w:ilvl w:val="0"/>
          <w:numId w:val="4"/>
        </w:numPr>
        <w:ind w:left="567" w:hanging="567"/>
      </w:pPr>
      <w:bookmarkStart w:id="19" w:name="_Ref202540750"/>
      <w:r w:rsidRPr="006A502D">
        <w:t>Wellsbourne, in its representations to the Panel, said that:</w:t>
      </w:r>
      <w:bookmarkEnd w:id="18"/>
      <w:bookmarkEnd w:id="19"/>
    </w:p>
    <w:p w14:paraId="2667C4A5" w14:textId="3D566851" w:rsidR="00A1442F" w:rsidRDefault="003E0B5D" w:rsidP="003E0B5D">
      <w:pPr>
        <w:pStyle w:val="ListParagraph"/>
        <w:ind w:left="851" w:firstLine="0"/>
        <w:rPr>
          <w:sz w:val="21"/>
          <w:szCs w:val="21"/>
        </w:rPr>
      </w:pPr>
      <w:r w:rsidRPr="002C76AD">
        <w:rPr>
          <w:sz w:val="21"/>
          <w:szCs w:val="21"/>
        </w:rPr>
        <w:t>“</w:t>
      </w:r>
      <w:r w:rsidR="006A502D" w:rsidRPr="002C76AD">
        <w:rPr>
          <w:sz w:val="21"/>
          <w:szCs w:val="21"/>
        </w:rPr>
        <w:t>Social value, a statutory requirement under PSR Regulation 5(e), was considered in only 2 of 21 questions. Local context and service integration were not meaningfully weighted, despite PSR guidance that requires commissioners to consider continuity and system alignment.</w:t>
      </w:r>
    </w:p>
    <w:p w14:paraId="0A7CC495" w14:textId="18C8FE08" w:rsidR="00A1442F" w:rsidRDefault="005549BB" w:rsidP="003E0B5D">
      <w:pPr>
        <w:pStyle w:val="ListParagraph"/>
        <w:ind w:left="851" w:firstLine="0"/>
        <w:rPr>
          <w:sz w:val="21"/>
          <w:szCs w:val="21"/>
        </w:rPr>
      </w:pPr>
      <w:r>
        <w:rPr>
          <w:sz w:val="21"/>
          <w:szCs w:val="21"/>
        </w:rPr>
        <w:t>“</w:t>
      </w:r>
      <w:r w:rsidR="006A502D" w:rsidRPr="002C76AD">
        <w:rPr>
          <w:sz w:val="21"/>
          <w:szCs w:val="21"/>
        </w:rPr>
        <w:t>The evaluation methodology used in this procurement introduced structural disadvantages for the incumbent provider.</w:t>
      </w:r>
    </w:p>
    <w:p w14:paraId="41601AA6" w14:textId="28F1728C" w:rsidR="00A1442F" w:rsidRDefault="005549BB" w:rsidP="003E0B5D">
      <w:pPr>
        <w:pStyle w:val="ListParagraph"/>
        <w:ind w:left="851" w:firstLine="0"/>
        <w:rPr>
          <w:sz w:val="21"/>
          <w:szCs w:val="21"/>
        </w:rPr>
      </w:pPr>
      <w:r>
        <w:rPr>
          <w:sz w:val="21"/>
          <w:szCs w:val="21"/>
        </w:rPr>
        <w:t>“</w:t>
      </w:r>
      <w:r w:rsidR="006A502D" w:rsidRPr="002C76AD">
        <w:rPr>
          <w:sz w:val="21"/>
          <w:szCs w:val="21"/>
        </w:rPr>
        <w:t>Key criteria lacked transparency, moderation was inconsistent, and responses grounded in existing delivery were scored less favourably than speculative proposals from new entrants.</w:t>
      </w:r>
    </w:p>
    <w:p w14:paraId="3FCCD052" w14:textId="60B3632F" w:rsidR="00A1442F" w:rsidRDefault="005549BB" w:rsidP="003E0B5D">
      <w:pPr>
        <w:pStyle w:val="ListParagraph"/>
        <w:ind w:left="851" w:firstLine="0"/>
        <w:rPr>
          <w:sz w:val="21"/>
          <w:szCs w:val="21"/>
        </w:rPr>
      </w:pPr>
      <w:r>
        <w:rPr>
          <w:sz w:val="21"/>
          <w:szCs w:val="21"/>
        </w:rPr>
        <w:t>“</w:t>
      </w:r>
      <w:r w:rsidR="006A502D" w:rsidRPr="002C76AD">
        <w:rPr>
          <w:sz w:val="21"/>
          <w:szCs w:val="21"/>
        </w:rPr>
        <w:t>Moderation notes contain acknowledged errors and inconsistencies. The ICB has argued that these did not affect outcomes, yet no documented re-moderation process has been provided.</w:t>
      </w:r>
    </w:p>
    <w:p w14:paraId="647ED755" w14:textId="3478F932" w:rsidR="003E0B5D" w:rsidRPr="008F4ED1" w:rsidRDefault="005549BB" w:rsidP="008F4ED1">
      <w:pPr>
        <w:pStyle w:val="ListParagraph"/>
        <w:spacing w:after="160"/>
        <w:ind w:left="851" w:firstLine="0"/>
        <w:rPr>
          <w:sz w:val="21"/>
          <w:szCs w:val="21"/>
        </w:rPr>
      </w:pPr>
      <w:r>
        <w:rPr>
          <w:sz w:val="21"/>
          <w:szCs w:val="21"/>
        </w:rPr>
        <w:t>“</w:t>
      </w:r>
      <w:r w:rsidR="006A502D" w:rsidRPr="002C76AD">
        <w:rPr>
          <w:sz w:val="21"/>
          <w:szCs w:val="21"/>
        </w:rPr>
        <w:t xml:space="preserve">No scoring framework was shared, which limits transparency and the ability to </w:t>
      </w:r>
      <w:r w:rsidR="006A502D" w:rsidRPr="008F4ED1">
        <w:rPr>
          <w:sz w:val="21"/>
          <w:szCs w:val="21"/>
        </w:rPr>
        <w:t>understand evaluation outcomes, in breach of regulation 7 of the PSR</w:t>
      </w:r>
      <w:r w:rsidR="001A457A" w:rsidRPr="008F4ED1">
        <w:rPr>
          <w:sz w:val="21"/>
          <w:szCs w:val="21"/>
        </w:rPr>
        <w:t xml:space="preserve"> </w:t>
      </w:r>
      <w:r w:rsidR="008F4ED1" w:rsidRPr="008F4ED1">
        <w:rPr>
          <w:sz w:val="21"/>
          <w:szCs w:val="21"/>
        </w:rPr>
        <w:t>[</w:t>
      </w:r>
      <w:r w:rsidR="009F7547" w:rsidRPr="008F4ED1">
        <w:rPr>
          <w:sz w:val="21"/>
          <w:szCs w:val="21"/>
        </w:rPr>
        <w:t>clarified with Wellsbourne to be referring to regulation 4</w:t>
      </w:r>
      <w:r w:rsidR="008F4ED1" w:rsidRPr="008F4ED1">
        <w:rPr>
          <w:sz w:val="21"/>
          <w:szCs w:val="21"/>
        </w:rPr>
        <w:t>]”</w:t>
      </w:r>
      <w:r w:rsidR="009F7547" w:rsidRPr="008F4ED1">
        <w:rPr>
          <w:sz w:val="21"/>
          <w:szCs w:val="21"/>
        </w:rPr>
        <w:t xml:space="preserve"> </w:t>
      </w:r>
      <w:r w:rsidR="008F4ED1" w:rsidRPr="002F795A">
        <w:rPr>
          <w:sz w:val="21"/>
          <w:szCs w:val="21"/>
        </w:rPr>
        <w:t>(</w:t>
      </w:r>
      <w:r w:rsidR="006A502D" w:rsidRPr="002F795A">
        <w:rPr>
          <w:sz w:val="21"/>
          <w:szCs w:val="21"/>
        </w:rPr>
        <w:t>see paragraph</w:t>
      </w:r>
      <w:r w:rsidR="001C4705">
        <w:rPr>
          <w:sz w:val="21"/>
          <w:szCs w:val="21"/>
        </w:rPr>
        <w:t xml:space="preserve"> </w:t>
      </w:r>
      <w:r w:rsidR="001C4705">
        <w:rPr>
          <w:sz w:val="21"/>
          <w:szCs w:val="21"/>
        </w:rPr>
        <w:fldChar w:fldCharType="begin"/>
      </w:r>
      <w:r w:rsidR="001C4705">
        <w:rPr>
          <w:sz w:val="21"/>
          <w:szCs w:val="21"/>
        </w:rPr>
        <w:instrText xml:space="preserve"> REF _Ref201645531 \r \h </w:instrText>
      </w:r>
      <w:r w:rsidR="001C4705">
        <w:rPr>
          <w:sz w:val="21"/>
          <w:szCs w:val="21"/>
        </w:rPr>
      </w:r>
      <w:r w:rsidR="001C4705">
        <w:rPr>
          <w:sz w:val="21"/>
          <w:szCs w:val="21"/>
        </w:rPr>
        <w:fldChar w:fldCharType="separate"/>
      </w:r>
      <w:r w:rsidR="00C81C5A">
        <w:rPr>
          <w:sz w:val="21"/>
          <w:szCs w:val="21"/>
        </w:rPr>
        <w:t>35</w:t>
      </w:r>
      <w:r w:rsidR="001C4705">
        <w:rPr>
          <w:sz w:val="21"/>
          <w:szCs w:val="21"/>
        </w:rPr>
        <w:fldChar w:fldCharType="end"/>
      </w:r>
      <w:r w:rsidR="008F4ED1" w:rsidRPr="002F795A">
        <w:rPr>
          <w:sz w:val="21"/>
          <w:szCs w:val="21"/>
        </w:rPr>
        <w:t>)</w:t>
      </w:r>
      <w:r w:rsidR="006A502D" w:rsidRPr="002F795A">
        <w:rPr>
          <w:sz w:val="21"/>
          <w:szCs w:val="21"/>
        </w:rPr>
        <w:t>.</w:t>
      </w:r>
    </w:p>
    <w:p w14:paraId="0A21D792" w14:textId="4256693D" w:rsidR="00C06C77" w:rsidRPr="00D35FAA" w:rsidRDefault="002F2433" w:rsidP="00376F9F">
      <w:pPr>
        <w:pStyle w:val="ListParagraph"/>
        <w:numPr>
          <w:ilvl w:val="0"/>
          <w:numId w:val="4"/>
        </w:numPr>
        <w:ind w:left="567" w:hanging="567"/>
        <w:contextualSpacing/>
      </w:pPr>
      <w:r>
        <w:t xml:space="preserve">The Panel’s assessment of Wellsbourne’s concerns about the </w:t>
      </w:r>
      <w:r w:rsidR="005D489C">
        <w:t xml:space="preserve">quality-related </w:t>
      </w:r>
      <w:r w:rsidR="0019148A">
        <w:t xml:space="preserve">questions asked of bidders and their </w:t>
      </w:r>
      <w:r>
        <w:t>evaluation is set out as follows</w:t>
      </w:r>
      <w:r w:rsidR="008B61BA" w:rsidRPr="00D35FAA">
        <w:t>:</w:t>
      </w:r>
    </w:p>
    <w:p w14:paraId="79DBE03B" w14:textId="3B1CF38B" w:rsidR="00A70AB2" w:rsidRDefault="006D36F6" w:rsidP="00ED4F0B">
      <w:pPr>
        <w:pStyle w:val="ListParagraph"/>
        <w:numPr>
          <w:ilvl w:val="0"/>
          <w:numId w:val="24"/>
        </w:numPr>
        <w:ind w:left="1281" w:hanging="357"/>
        <w:contextualSpacing/>
      </w:pPr>
      <w:r>
        <w:t>f</w:t>
      </w:r>
      <w:r w:rsidR="00657BA6" w:rsidRPr="00D35FAA">
        <w:t xml:space="preserve">irst, </w:t>
      </w:r>
      <w:r w:rsidR="005E7401">
        <w:t xml:space="preserve">the number of </w:t>
      </w:r>
      <w:r w:rsidR="005E7401" w:rsidRPr="00D35FAA">
        <w:t>social value questions</w:t>
      </w:r>
      <w:r w:rsidR="005E7401">
        <w:t xml:space="preserve"> and </w:t>
      </w:r>
      <w:r w:rsidR="00842961">
        <w:t xml:space="preserve">their weighting, </w:t>
      </w:r>
      <w:r w:rsidR="005E7401">
        <w:t xml:space="preserve">and the weighting of local context and service integration </w:t>
      </w:r>
      <w:r w:rsidR="00D96EAC">
        <w:t>considerations</w:t>
      </w:r>
      <w:r w:rsidR="00117808">
        <w:t xml:space="preserve"> </w:t>
      </w:r>
      <w:r w:rsidR="005E7401">
        <w:t xml:space="preserve">is </w:t>
      </w:r>
      <w:r w:rsidR="00D96EAC">
        <w:t xml:space="preserve">reviewed </w:t>
      </w:r>
      <w:r w:rsidR="00A70AB2">
        <w:t>(</w:t>
      </w:r>
      <w:r w:rsidR="007825C8">
        <w:t xml:space="preserve">see </w:t>
      </w:r>
      <w:r w:rsidR="00A70AB2">
        <w:t>Section 7.2.1</w:t>
      </w:r>
      <w:proofErr w:type="gramStart"/>
      <w:r w:rsidR="00A70AB2">
        <w:t>);</w:t>
      </w:r>
      <w:proofErr w:type="gramEnd"/>
    </w:p>
    <w:p w14:paraId="62E489BE" w14:textId="36E1B671" w:rsidR="00F64548" w:rsidRPr="00D35FAA" w:rsidRDefault="00A70AB2" w:rsidP="00ED4F0B">
      <w:pPr>
        <w:pStyle w:val="ListParagraph"/>
        <w:numPr>
          <w:ilvl w:val="0"/>
          <w:numId w:val="24"/>
        </w:numPr>
        <w:ind w:left="1281" w:hanging="357"/>
        <w:contextualSpacing/>
      </w:pPr>
      <w:r>
        <w:t xml:space="preserve">second, </w:t>
      </w:r>
      <w:r w:rsidR="00D54732">
        <w:t>i</w:t>
      </w:r>
      <w:r w:rsidR="005F5682">
        <w:t xml:space="preserve">nformation </w:t>
      </w:r>
      <w:r w:rsidR="004B3CDA">
        <w:t xml:space="preserve">provided </w:t>
      </w:r>
      <w:r w:rsidR="00B72F30">
        <w:t xml:space="preserve">to bidders </w:t>
      </w:r>
      <w:r w:rsidR="003A491D">
        <w:t>(</w:t>
      </w:r>
      <w:r w:rsidR="004B3CDA">
        <w:t xml:space="preserve">including </w:t>
      </w:r>
      <w:r w:rsidR="003A491D">
        <w:t xml:space="preserve">to Wellsbourne during the representations review process) </w:t>
      </w:r>
      <w:r w:rsidR="00DB67F7">
        <w:t>on</w:t>
      </w:r>
      <w:r w:rsidR="00E21796">
        <w:t xml:space="preserve"> the </w:t>
      </w:r>
      <w:r w:rsidR="005E7401">
        <w:t xml:space="preserve">evaluation methodology and scoring framework </w:t>
      </w:r>
      <w:r w:rsidR="00E21796">
        <w:t>is</w:t>
      </w:r>
      <w:r w:rsidR="005E7401">
        <w:t xml:space="preserve"> </w:t>
      </w:r>
      <w:r w:rsidR="00D654A1">
        <w:t xml:space="preserve">discussed </w:t>
      </w:r>
      <w:r w:rsidR="00657BA6" w:rsidRPr="00D35FAA">
        <w:t>(see Section</w:t>
      </w:r>
      <w:r w:rsidR="008F72B5">
        <w:t> </w:t>
      </w:r>
      <w:r w:rsidR="00657BA6" w:rsidRPr="00D35FAA">
        <w:t>7.2.</w:t>
      </w:r>
      <w:r w:rsidR="00A21DD5">
        <w:t>2</w:t>
      </w:r>
      <w:r w:rsidR="00657BA6" w:rsidRPr="00D35FAA">
        <w:t>)</w:t>
      </w:r>
      <w:r w:rsidR="00F64548" w:rsidRPr="00D35FAA">
        <w:t>;</w:t>
      </w:r>
      <w:r w:rsidR="00481E93">
        <w:t xml:space="preserve"> and</w:t>
      </w:r>
    </w:p>
    <w:p w14:paraId="26DC32A0" w14:textId="766760EA" w:rsidR="00447A3C" w:rsidRPr="00D35FAA" w:rsidRDefault="003B2D59" w:rsidP="00AF305D">
      <w:pPr>
        <w:pStyle w:val="ListParagraph"/>
        <w:numPr>
          <w:ilvl w:val="0"/>
          <w:numId w:val="24"/>
        </w:numPr>
        <w:contextualSpacing/>
      </w:pPr>
      <w:r>
        <w:lastRenderedPageBreak/>
        <w:t>finally</w:t>
      </w:r>
      <w:r w:rsidR="00657BA6" w:rsidRPr="00D35FAA">
        <w:t xml:space="preserve">, </w:t>
      </w:r>
      <w:r w:rsidR="001E1B1D" w:rsidRPr="00D35FAA">
        <w:t>the</w:t>
      </w:r>
      <w:r w:rsidR="00CF3CAA" w:rsidRPr="00D35FAA">
        <w:t xml:space="preserve"> </w:t>
      </w:r>
      <w:r w:rsidR="008B6A01">
        <w:t xml:space="preserve">extent to which Wellsbourne, as the incumbent provider, was unfairly treated through the </w:t>
      </w:r>
      <w:r w:rsidR="00036FAB" w:rsidRPr="00D35FAA">
        <w:t>scoring framework</w:t>
      </w:r>
      <w:r w:rsidR="008B6A01">
        <w:t xml:space="preserve">, </w:t>
      </w:r>
      <w:r w:rsidR="00CF3CAA" w:rsidRPr="00D35FAA">
        <w:t>evaluation methodology</w:t>
      </w:r>
      <w:r w:rsidR="001E1B1D" w:rsidRPr="00D35FAA">
        <w:t xml:space="preserve"> and </w:t>
      </w:r>
      <w:r w:rsidR="008B6A01">
        <w:t>other aspects of the provider selection process is considered</w:t>
      </w:r>
      <w:r w:rsidR="00CF3CAA" w:rsidRPr="00D35FAA">
        <w:t xml:space="preserve"> </w:t>
      </w:r>
      <w:r w:rsidR="00657BA6" w:rsidRPr="00D35FAA">
        <w:t>(see Section</w:t>
      </w:r>
      <w:r w:rsidR="00B07064">
        <w:t> </w:t>
      </w:r>
      <w:r w:rsidR="00657BA6" w:rsidRPr="00D35FAA">
        <w:t>7.2.</w:t>
      </w:r>
      <w:r w:rsidR="00BB7014">
        <w:t>3</w:t>
      </w:r>
      <w:r w:rsidR="00657BA6" w:rsidRPr="00D35FAA">
        <w:t>)</w:t>
      </w:r>
      <w:r w:rsidR="00661AEF">
        <w:t>.</w:t>
      </w:r>
    </w:p>
    <w:p w14:paraId="4CD587BA" w14:textId="77777777" w:rsidR="00CC18E4" w:rsidRPr="00B41F38" w:rsidRDefault="00CC18E4" w:rsidP="00CC18E4">
      <w:pPr>
        <w:pStyle w:val="Heading3"/>
        <w:spacing w:before="240" w:after="160"/>
        <w:rPr>
          <w:b/>
          <w:bCs/>
          <w:color w:val="auto"/>
          <w:sz w:val="22"/>
          <w:szCs w:val="22"/>
        </w:rPr>
      </w:pPr>
      <w:bookmarkStart w:id="20" w:name="_Toc203044052"/>
      <w:bookmarkEnd w:id="20"/>
      <w:r w:rsidRPr="00B41F38">
        <w:rPr>
          <w:b/>
          <w:bCs/>
          <w:color w:val="auto"/>
          <w:sz w:val="22"/>
          <w:szCs w:val="22"/>
        </w:rPr>
        <w:t>Social Value</w:t>
      </w:r>
      <w:r>
        <w:rPr>
          <w:b/>
          <w:bCs/>
          <w:color w:val="auto"/>
          <w:sz w:val="22"/>
          <w:szCs w:val="22"/>
        </w:rPr>
        <w:t>, local context and service integration</w:t>
      </w:r>
    </w:p>
    <w:p w14:paraId="36C4DB0A" w14:textId="4142E62C" w:rsidR="00CC18E4" w:rsidRPr="00392DB4" w:rsidRDefault="00CC18E4" w:rsidP="00CC18E4">
      <w:pPr>
        <w:pStyle w:val="ListParagraph"/>
        <w:numPr>
          <w:ilvl w:val="0"/>
          <w:numId w:val="4"/>
        </w:numPr>
        <w:spacing w:after="160"/>
        <w:ind w:left="567" w:hanging="567"/>
      </w:pPr>
      <w:r w:rsidRPr="00334646">
        <w:t>Wellsbourne told the Panel that it had concerns that “Social value, a statutory requirement under PS</w:t>
      </w:r>
      <w:r w:rsidRPr="000B69CF">
        <w:t>R Regulation 5(e), was considered in only 2 of 21 questions”</w:t>
      </w:r>
      <w:r w:rsidRPr="00392DB4">
        <w:t xml:space="preserve">. It also said that </w:t>
      </w:r>
      <w:r>
        <w:t>“</w:t>
      </w:r>
      <w:r w:rsidRPr="004A5BBD">
        <w:t>Local context and service integration were not meaningfully weighted, despite PSR guidance that requires commissioners to consider continuity and system alignment</w:t>
      </w:r>
      <w:r w:rsidRPr="00EA3DD1">
        <w:t xml:space="preserve">” </w:t>
      </w:r>
      <w:r w:rsidRPr="002F795A">
        <w:t>(see paragraph</w:t>
      </w:r>
      <w:r w:rsidR="001C4705">
        <w:t xml:space="preserve"> </w:t>
      </w:r>
      <w:r w:rsidR="001C4705">
        <w:fldChar w:fldCharType="begin"/>
      </w:r>
      <w:r w:rsidR="001C4705">
        <w:instrText xml:space="preserve"> REF _Ref201645531 \r \h </w:instrText>
      </w:r>
      <w:r w:rsidR="001C4705">
        <w:fldChar w:fldCharType="separate"/>
      </w:r>
      <w:r w:rsidR="00C81C5A">
        <w:t>35</w:t>
      </w:r>
      <w:r w:rsidR="001C4705">
        <w:fldChar w:fldCharType="end"/>
      </w:r>
      <w:r w:rsidRPr="002F795A">
        <w:t>).</w:t>
      </w:r>
    </w:p>
    <w:p w14:paraId="3913DAC3" w14:textId="00C178B3" w:rsidR="00CC18E4" w:rsidRDefault="00CC18E4" w:rsidP="00CC18E4">
      <w:pPr>
        <w:pStyle w:val="ListParagraph"/>
        <w:numPr>
          <w:ilvl w:val="0"/>
          <w:numId w:val="4"/>
        </w:numPr>
        <w:ind w:left="567" w:hanging="567"/>
      </w:pPr>
      <w:r>
        <w:t>Sussex ICB applied the following weighting to the five key criteria:</w:t>
      </w:r>
    </w:p>
    <w:tbl>
      <w:tblPr>
        <w:tblStyle w:val="TableGrid"/>
        <w:tblW w:w="8177" w:type="dxa"/>
        <w:tblInd w:w="6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59"/>
        <w:gridCol w:w="1418"/>
      </w:tblGrid>
      <w:tr w:rsidR="00CC18E4" w:rsidRPr="003B0A7C" w14:paraId="6D5CF8DB" w14:textId="77777777" w:rsidTr="007238E8">
        <w:tc>
          <w:tcPr>
            <w:tcW w:w="6759" w:type="dxa"/>
            <w:shd w:val="clear" w:color="auto" w:fill="D9D9D9" w:themeFill="background1" w:themeFillShade="D9"/>
            <w:vAlign w:val="center"/>
          </w:tcPr>
          <w:p w14:paraId="49BC334C" w14:textId="77777777" w:rsidR="00CC18E4" w:rsidRPr="004A5BBD" w:rsidRDefault="00CC18E4" w:rsidP="00DD58B1">
            <w:pPr>
              <w:pStyle w:val="ListParagraph"/>
              <w:keepNext/>
              <w:spacing w:before="60" w:after="60" w:line="240" w:lineRule="auto"/>
              <w:ind w:left="0" w:firstLine="0"/>
              <w:rPr>
                <w:b/>
                <w:bCs/>
                <w:sz w:val="18"/>
                <w:szCs w:val="18"/>
              </w:rPr>
            </w:pPr>
            <w:r w:rsidRPr="004A5BBD">
              <w:rPr>
                <w:b/>
                <w:bCs/>
                <w:sz w:val="18"/>
                <w:szCs w:val="18"/>
              </w:rPr>
              <w:t>Key criteria</w:t>
            </w:r>
          </w:p>
        </w:tc>
        <w:tc>
          <w:tcPr>
            <w:tcW w:w="1418" w:type="dxa"/>
            <w:shd w:val="clear" w:color="auto" w:fill="D9D9D9" w:themeFill="background1" w:themeFillShade="D9"/>
            <w:vAlign w:val="center"/>
          </w:tcPr>
          <w:p w14:paraId="5408B6E3" w14:textId="77777777" w:rsidR="00CC18E4" w:rsidRPr="004A5BBD" w:rsidRDefault="00CC18E4" w:rsidP="00DD58B1">
            <w:pPr>
              <w:pStyle w:val="ListParagraph"/>
              <w:keepNext/>
              <w:spacing w:before="60" w:after="60" w:line="240" w:lineRule="auto"/>
              <w:ind w:left="0" w:firstLine="0"/>
              <w:jc w:val="center"/>
              <w:rPr>
                <w:b/>
                <w:bCs/>
                <w:sz w:val="18"/>
                <w:szCs w:val="18"/>
              </w:rPr>
            </w:pPr>
            <w:r w:rsidRPr="004A5BBD">
              <w:rPr>
                <w:b/>
                <w:bCs/>
                <w:sz w:val="18"/>
                <w:szCs w:val="18"/>
              </w:rPr>
              <w:t>Weighting</w:t>
            </w:r>
          </w:p>
        </w:tc>
      </w:tr>
      <w:tr w:rsidR="00CC18E4" w:rsidRPr="003B0A7C" w14:paraId="22AEAFCC" w14:textId="77777777" w:rsidTr="00267111">
        <w:tc>
          <w:tcPr>
            <w:tcW w:w="6759" w:type="dxa"/>
            <w:vAlign w:val="center"/>
          </w:tcPr>
          <w:p w14:paraId="22C3D3F5" w14:textId="77777777" w:rsidR="00CC18E4" w:rsidRPr="004A5BBD" w:rsidRDefault="00CC18E4" w:rsidP="00267111">
            <w:pPr>
              <w:pStyle w:val="ListParagraph"/>
              <w:spacing w:before="60" w:after="60" w:line="240" w:lineRule="auto"/>
              <w:ind w:left="0" w:firstLine="0"/>
              <w:rPr>
                <w:sz w:val="18"/>
                <w:szCs w:val="18"/>
              </w:rPr>
            </w:pPr>
            <w:r w:rsidRPr="004A5BBD">
              <w:rPr>
                <w:sz w:val="18"/>
                <w:szCs w:val="18"/>
              </w:rPr>
              <w:t>Quality and Innovation</w:t>
            </w:r>
          </w:p>
        </w:tc>
        <w:tc>
          <w:tcPr>
            <w:tcW w:w="1418" w:type="dxa"/>
            <w:vAlign w:val="center"/>
          </w:tcPr>
          <w:p w14:paraId="4DA73525" w14:textId="77777777" w:rsidR="00CC18E4" w:rsidRPr="004A5BBD" w:rsidRDefault="00CC18E4" w:rsidP="00267111">
            <w:pPr>
              <w:pStyle w:val="ListParagraph"/>
              <w:spacing w:before="60" w:after="60" w:line="240" w:lineRule="auto"/>
              <w:ind w:left="0" w:firstLine="0"/>
              <w:jc w:val="center"/>
              <w:rPr>
                <w:sz w:val="18"/>
                <w:szCs w:val="18"/>
              </w:rPr>
            </w:pPr>
            <w:r w:rsidRPr="004A5BBD">
              <w:rPr>
                <w:sz w:val="18"/>
                <w:szCs w:val="18"/>
              </w:rPr>
              <w:t>25%</w:t>
            </w:r>
          </w:p>
        </w:tc>
      </w:tr>
      <w:tr w:rsidR="00CC18E4" w:rsidRPr="003B0A7C" w14:paraId="05B284C3" w14:textId="77777777" w:rsidTr="00267111">
        <w:tc>
          <w:tcPr>
            <w:tcW w:w="6759" w:type="dxa"/>
            <w:vAlign w:val="center"/>
          </w:tcPr>
          <w:p w14:paraId="229AF968" w14:textId="77777777" w:rsidR="00CC18E4" w:rsidRPr="004A5BBD" w:rsidRDefault="00CC18E4" w:rsidP="00267111">
            <w:pPr>
              <w:pStyle w:val="ListParagraph"/>
              <w:spacing w:before="60" w:after="60" w:line="240" w:lineRule="auto"/>
              <w:ind w:left="0" w:firstLine="0"/>
              <w:rPr>
                <w:sz w:val="18"/>
                <w:szCs w:val="18"/>
              </w:rPr>
            </w:pPr>
            <w:r w:rsidRPr="004A5BBD">
              <w:rPr>
                <w:sz w:val="18"/>
                <w:szCs w:val="18"/>
              </w:rPr>
              <w:t>Social Value</w:t>
            </w:r>
          </w:p>
        </w:tc>
        <w:tc>
          <w:tcPr>
            <w:tcW w:w="1418" w:type="dxa"/>
            <w:vAlign w:val="center"/>
          </w:tcPr>
          <w:p w14:paraId="2E5ECB85" w14:textId="77777777" w:rsidR="00CC18E4" w:rsidRPr="004A5BBD" w:rsidRDefault="00CC18E4" w:rsidP="00267111">
            <w:pPr>
              <w:pStyle w:val="ListParagraph"/>
              <w:spacing w:before="60" w:after="60" w:line="240" w:lineRule="auto"/>
              <w:ind w:left="0" w:firstLine="0"/>
              <w:jc w:val="center"/>
              <w:rPr>
                <w:sz w:val="18"/>
                <w:szCs w:val="18"/>
              </w:rPr>
            </w:pPr>
            <w:r w:rsidRPr="004A5BBD">
              <w:rPr>
                <w:sz w:val="18"/>
                <w:szCs w:val="18"/>
              </w:rPr>
              <w:t>10%</w:t>
            </w:r>
          </w:p>
        </w:tc>
      </w:tr>
      <w:tr w:rsidR="00CC18E4" w:rsidRPr="003B0A7C" w14:paraId="48AF18E5" w14:textId="77777777" w:rsidTr="00267111">
        <w:tc>
          <w:tcPr>
            <w:tcW w:w="6759" w:type="dxa"/>
            <w:vAlign w:val="center"/>
          </w:tcPr>
          <w:p w14:paraId="2C9BDF58" w14:textId="77777777" w:rsidR="00CC18E4" w:rsidRPr="004A5BBD" w:rsidRDefault="00CC18E4" w:rsidP="00267111">
            <w:pPr>
              <w:pStyle w:val="ListParagraph"/>
              <w:spacing w:before="60" w:after="60" w:line="240" w:lineRule="auto"/>
              <w:ind w:left="0" w:firstLine="0"/>
              <w:rPr>
                <w:sz w:val="18"/>
                <w:szCs w:val="18"/>
              </w:rPr>
            </w:pPr>
            <w:r w:rsidRPr="004A5BBD">
              <w:rPr>
                <w:sz w:val="18"/>
                <w:szCs w:val="18"/>
              </w:rPr>
              <w:t>Integration, Collaboration and Service Sustainability</w:t>
            </w:r>
          </w:p>
        </w:tc>
        <w:tc>
          <w:tcPr>
            <w:tcW w:w="1418" w:type="dxa"/>
            <w:vAlign w:val="center"/>
          </w:tcPr>
          <w:p w14:paraId="72D3F6C7" w14:textId="77777777" w:rsidR="00CC18E4" w:rsidRPr="004A5BBD" w:rsidRDefault="00CC18E4" w:rsidP="00267111">
            <w:pPr>
              <w:pStyle w:val="ListParagraph"/>
              <w:spacing w:before="60" w:after="60" w:line="240" w:lineRule="auto"/>
              <w:ind w:left="0" w:firstLine="0"/>
              <w:jc w:val="center"/>
              <w:rPr>
                <w:sz w:val="18"/>
                <w:szCs w:val="18"/>
              </w:rPr>
            </w:pPr>
            <w:r w:rsidRPr="004A5BBD">
              <w:rPr>
                <w:sz w:val="18"/>
                <w:szCs w:val="18"/>
              </w:rPr>
              <w:t>25%</w:t>
            </w:r>
          </w:p>
        </w:tc>
      </w:tr>
      <w:tr w:rsidR="00CC18E4" w:rsidRPr="003B0A7C" w14:paraId="7D42B635" w14:textId="77777777" w:rsidTr="00267111">
        <w:tc>
          <w:tcPr>
            <w:tcW w:w="6759" w:type="dxa"/>
            <w:vAlign w:val="center"/>
          </w:tcPr>
          <w:p w14:paraId="005AD28D" w14:textId="77777777" w:rsidR="00CC18E4" w:rsidRPr="004A5BBD" w:rsidRDefault="00CC18E4" w:rsidP="00267111">
            <w:pPr>
              <w:pStyle w:val="ListParagraph"/>
              <w:spacing w:before="60" w:after="60" w:line="240" w:lineRule="auto"/>
              <w:ind w:left="0" w:firstLine="0"/>
              <w:rPr>
                <w:sz w:val="18"/>
                <w:szCs w:val="18"/>
              </w:rPr>
            </w:pPr>
            <w:r w:rsidRPr="004A5BBD">
              <w:rPr>
                <w:sz w:val="18"/>
                <w:szCs w:val="18"/>
              </w:rPr>
              <w:t>Improving Access, Reducing Health Inequalities and Facilitating Choice</w:t>
            </w:r>
          </w:p>
        </w:tc>
        <w:tc>
          <w:tcPr>
            <w:tcW w:w="1418" w:type="dxa"/>
            <w:vAlign w:val="center"/>
          </w:tcPr>
          <w:p w14:paraId="374C1808" w14:textId="77777777" w:rsidR="00CC18E4" w:rsidRPr="004A5BBD" w:rsidRDefault="00CC18E4" w:rsidP="00267111">
            <w:pPr>
              <w:pStyle w:val="ListParagraph"/>
              <w:spacing w:before="60" w:after="60" w:line="240" w:lineRule="auto"/>
              <w:ind w:left="0" w:firstLine="0"/>
              <w:jc w:val="center"/>
              <w:rPr>
                <w:sz w:val="18"/>
                <w:szCs w:val="18"/>
              </w:rPr>
            </w:pPr>
            <w:r w:rsidRPr="004A5BBD">
              <w:rPr>
                <w:sz w:val="18"/>
                <w:szCs w:val="18"/>
              </w:rPr>
              <w:t>30%</w:t>
            </w:r>
          </w:p>
        </w:tc>
      </w:tr>
      <w:tr w:rsidR="00CC18E4" w:rsidRPr="003B0A7C" w14:paraId="4497EF01" w14:textId="77777777" w:rsidTr="00267111">
        <w:tc>
          <w:tcPr>
            <w:tcW w:w="6759" w:type="dxa"/>
            <w:vAlign w:val="center"/>
          </w:tcPr>
          <w:p w14:paraId="03550C8A" w14:textId="77777777" w:rsidR="00CC18E4" w:rsidRPr="004A5BBD" w:rsidRDefault="00CC18E4" w:rsidP="00267111">
            <w:pPr>
              <w:pStyle w:val="ListParagraph"/>
              <w:spacing w:before="60" w:after="60" w:line="240" w:lineRule="auto"/>
              <w:ind w:left="0" w:firstLine="0"/>
              <w:rPr>
                <w:sz w:val="18"/>
                <w:szCs w:val="18"/>
              </w:rPr>
            </w:pPr>
            <w:r w:rsidRPr="004A5BBD">
              <w:rPr>
                <w:sz w:val="18"/>
                <w:szCs w:val="18"/>
              </w:rPr>
              <w:t>Financial Value</w:t>
            </w:r>
          </w:p>
        </w:tc>
        <w:tc>
          <w:tcPr>
            <w:tcW w:w="1418" w:type="dxa"/>
            <w:vAlign w:val="center"/>
          </w:tcPr>
          <w:p w14:paraId="70CEB238" w14:textId="77777777" w:rsidR="00CC18E4" w:rsidRPr="004A5BBD" w:rsidRDefault="00CC18E4" w:rsidP="00267111">
            <w:pPr>
              <w:pStyle w:val="ListParagraph"/>
              <w:spacing w:before="60" w:after="60" w:line="240" w:lineRule="auto"/>
              <w:ind w:left="0" w:firstLine="0"/>
              <w:jc w:val="center"/>
              <w:rPr>
                <w:sz w:val="18"/>
                <w:szCs w:val="18"/>
              </w:rPr>
            </w:pPr>
            <w:r w:rsidRPr="004A5BBD">
              <w:rPr>
                <w:sz w:val="18"/>
                <w:szCs w:val="18"/>
              </w:rPr>
              <w:t>10%</w:t>
            </w:r>
          </w:p>
        </w:tc>
      </w:tr>
    </w:tbl>
    <w:p w14:paraId="13B8D00F" w14:textId="77777777" w:rsidR="00CC18E4" w:rsidRPr="007238E8" w:rsidRDefault="00CC18E4" w:rsidP="00CC18E4">
      <w:pPr>
        <w:pStyle w:val="ListParagraph"/>
        <w:spacing w:before="60" w:after="360" w:line="240" w:lineRule="auto"/>
        <w:ind w:firstLine="0"/>
        <w:rPr>
          <w:sz w:val="16"/>
          <w:szCs w:val="16"/>
        </w:rPr>
      </w:pPr>
      <w:r w:rsidRPr="007238E8">
        <w:rPr>
          <w:sz w:val="16"/>
          <w:szCs w:val="16"/>
        </w:rPr>
        <w:t xml:space="preserve">Source: Sussex ICB, </w:t>
      </w:r>
      <w:r w:rsidRPr="007238E8">
        <w:rPr>
          <w:i/>
          <w:sz w:val="16"/>
          <w:szCs w:val="16"/>
        </w:rPr>
        <w:t>Whitehawk APMS ITT Document</w:t>
      </w:r>
      <w:r w:rsidRPr="007238E8">
        <w:rPr>
          <w:sz w:val="16"/>
          <w:szCs w:val="16"/>
        </w:rPr>
        <w:t>, 17 May 2024.</w:t>
      </w:r>
    </w:p>
    <w:p w14:paraId="461E654B" w14:textId="193E142F" w:rsidR="00CC18E4" w:rsidRPr="004E340E" w:rsidRDefault="00CC18E4" w:rsidP="00CC18E4">
      <w:pPr>
        <w:pStyle w:val="ListParagraph"/>
        <w:numPr>
          <w:ilvl w:val="0"/>
          <w:numId w:val="4"/>
        </w:numPr>
        <w:spacing w:after="160"/>
        <w:ind w:left="567" w:hanging="567"/>
      </w:pPr>
      <w:r>
        <w:t xml:space="preserve">The </w:t>
      </w:r>
      <w:r w:rsidRPr="004E340E">
        <w:t xml:space="preserve">PSR statutory guidance </w:t>
      </w:r>
      <w:r>
        <w:t>states that “</w:t>
      </w:r>
      <w:r w:rsidR="000A5FCA">
        <w:t>th</w:t>
      </w:r>
      <w:r w:rsidR="000A5FCA" w:rsidRPr="000A5FCA">
        <w:t>e relative importance of the key criteria is not predetermined by the Regulations or this guidance and there is no prescribed hierarchy or weighting for each criterion. Relevant authorities must decide the relative importance of the key criteria for each decision they make under this regime, based on the proposed contracting arrangements and what they are seeking to achieve from them/the services, including scenarios where a particular criterion is ‘pass/fail’, or where certain key</w:t>
      </w:r>
      <w:r w:rsidR="000A5FCA">
        <w:t xml:space="preserve"> </w:t>
      </w:r>
      <w:r w:rsidR="000A5FCA" w:rsidRPr="000A5FCA">
        <w:t>criteria are of equal importance. All criteria must be considered, and none is expected to be discounted when following a provider selection process</w:t>
      </w:r>
      <w:r>
        <w:t>”</w:t>
      </w:r>
      <w:r w:rsidRPr="004E340E">
        <w:t>.</w:t>
      </w:r>
      <w:r>
        <w:rPr>
          <w:rStyle w:val="FootnoteReference"/>
        </w:rPr>
        <w:footnoteReference w:id="20"/>
      </w:r>
    </w:p>
    <w:p w14:paraId="1720D31A" w14:textId="4CE6E0FE" w:rsidR="00CC18E4" w:rsidRDefault="00CC18E4" w:rsidP="00CC18E4">
      <w:pPr>
        <w:pStyle w:val="ListParagraph"/>
        <w:numPr>
          <w:ilvl w:val="0"/>
          <w:numId w:val="4"/>
        </w:numPr>
        <w:spacing w:after="160"/>
        <w:ind w:left="567" w:hanging="567"/>
      </w:pPr>
      <w:r w:rsidRPr="001928B5">
        <w:t xml:space="preserve">The </w:t>
      </w:r>
      <w:r>
        <w:t>PSR</w:t>
      </w:r>
      <w:r w:rsidRPr="001928B5">
        <w:t xml:space="preserve"> statutory guidance </w:t>
      </w:r>
      <w:r w:rsidR="00972B22">
        <w:t>also</w:t>
      </w:r>
      <w:r w:rsidRPr="001928B5">
        <w:t xml:space="preserve"> </w:t>
      </w:r>
      <w:r w:rsidR="00450D15">
        <w:t xml:space="preserve">advises </w:t>
      </w:r>
      <w:r>
        <w:t>commissioners</w:t>
      </w:r>
      <w:r w:rsidR="00450D15">
        <w:t xml:space="preserve"> to be aware</w:t>
      </w:r>
      <w:r w:rsidR="001C2606">
        <w:t xml:space="preserve"> of other requirements and duties</w:t>
      </w:r>
      <w:r w:rsidR="00434ED6">
        <w:t xml:space="preserve">, including </w:t>
      </w:r>
      <w:r w:rsidRPr="001928B5">
        <w:t>“duties and guidance related to social value”, including the national Social Value Model</w:t>
      </w:r>
      <w:r w:rsidR="00792CC6">
        <w:t xml:space="preserve">. </w:t>
      </w:r>
      <w:r w:rsidR="000E62B6">
        <w:t xml:space="preserve">Cabinet Office guidance </w:t>
      </w:r>
      <w:r w:rsidRPr="001928B5">
        <w:t xml:space="preserve">states that “a minimum weighting of 10% of the total score for social value should be applied in the procurement to ensure that it carries a heavy enough score to be a differentiating factor in bid evaluation; a higher weighting can </w:t>
      </w:r>
      <w:r w:rsidRPr="00914D7F">
        <w:t>be applied if justified”.</w:t>
      </w:r>
      <w:r w:rsidRPr="00914D7F">
        <w:rPr>
          <w:rStyle w:val="FootnoteReference"/>
        </w:rPr>
        <w:footnoteReference w:id="21"/>
      </w:r>
      <w:r w:rsidR="009467B5">
        <w:t xml:space="preserve"> </w:t>
      </w:r>
      <w:r w:rsidR="00A1057C">
        <w:t xml:space="preserve">The recently adopted </w:t>
      </w:r>
      <w:r w:rsidR="00670D3F" w:rsidRPr="00670D3F">
        <w:t>NHS Social Value Playbook</w:t>
      </w:r>
      <w:r w:rsidR="00670D3F">
        <w:t xml:space="preserve"> similarly stresses</w:t>
      </w:r>
      <w:r w:rsidR="00EB318C">
        <w:t xml:space="preserve">, by reference to the PSR statutory guidance, that </w:t>
      </w:r>
      <w:r w:rsidR="00DB6118">
        <w:t>“</w:t>
      </w:r>
      <w:r w:rsidR="00DB6118" w:rsidRPr="00DB6118">
        <w:t>Authorities are expected to assign at least 10% to social value when commissioning healthcare providers</w:t>
      </w:r>
      <w:r w:rsidR="00DB6118">
        <w:t>”</w:t>
      </w:r>
      <w:r w:rsidR="005052F9">
        <w:t>.</w:t>
      </w:r>
      <w:r w:rsidR="00DB6118">
        <w:rPr>
          <w:rStyle w:val="FootnoteReference"/>
        </w:rPr>
        <w:footnoteReference w:id="22"/>
      </w:r>
      <w:r w:rsidRPr="00914D7F">
        <w:t xml:space="preserve"> </w:t>
      </w:r>
      <w:r w:rsidRPr="00D27FAC">
        <w:t xml:space="preserve">The Panel notes that Sussex ICB’s </w:t>
      </w:r>
      <w:r w:rsidRPr="00D27FAC">
        <w:lastRenderedPageBreak/>
        <w:t xml:space="preserve">weighting of its two social value questions </w:t>
      </w:r>
      <w:r w:rsidR="00BD044E">
        <w:t>is</w:t>
      </w:r>
      <w:r w:rsidRPr="00D27FAC">
        <w:t xml:space="preserve"> consistent with </w:t>
      </w:r>
      <w:r w:rsidR="00C61999">
        <w:t>Cabinet Office guidance</w:t>
      </w:r>
      <w:r w:rsidR="001B6D5A">
        <w:t xml:space="preserve"> and the newly adopted </w:t>
      </w:r>
      <w:r w:rsidR="009467B5" w:rsidRPr="009467B5">
        <w:t>NHS Social Value Playbook</w:t>
      </w:r>
      <w:r w:rsidRPr="00D27FAC">
        <w:t>.</w:t>
      </w:r>
    </w:p>
    <w:p w14:paraId="614F52A7" w14:textId="747204D0" w:rsidR="00CC18E4" w:rsidRDefault="00CC18E4" w:rsidP="00CC18E4">
      <w:pPr>
        <w:pStyle w:val="ListParagraph"/>
        <w:numPr>
          <w:ilvl w:val="0"/>
          <w:numId w:val="4"/>
        </w:numPr>
        <w:spacing w:after="160"/>
        <w:ind w:left="567" w:hanging="567"/>
      </w:pPr>
      <w:r>
        <w:t xml:space="preserve">In relation to local context and service integration, the Panel notes that </w:t>
      </w:r>
      <w:r w:rsidR="0028213B">
        <w:t>“</w:t>
      </w:r>
      <w:r w:rsidR="0028213B" w:rsidRPr="0028213B">
        <w:t>integration, collaboration and service sustainability</w:t>
      </w:r>
      <w:r w:rsidR="0028213B">
        <w:t>”</w:t>
      </w:r>
      <w:r>
        <w:t xml:space="preserve"> is one of the five key criteria that a commissioner must </w:t>
      </w:r>
      <w:proofErr w:type="gramStart"/>
      <w:r>
        <w:t>take into account</w:t>
      </w:r>
      <w:proofErr w:type="gramEnd"/>
      <w:r>
        <w:t xml:space="preserve"> when selecting a provider. There is no specific requirement in the PSR regulations or statutory guidance as to the weighting that must be accorded to </w:t>
      </w:r>
      <w:r w:rsidR="00CB7DF6">
        <w:t>this</w:t>
      </w:r>
      <w:r w:rsidR="00677595">
        <w:t xml:space="preserve"> criterion</w:t>
      </w:r>
      <w:r>
        <w:t>.</w:t>
      </w:r>
    </w:p>
    <w:p w14:paraId="3B22B213" w14:textId="5CB57CFA" w:rsidR="00CC18E4" w:rsidRPr="00D27FAC" w:rsidRDefault="00CC18E4" w:rsidP="00CC18E4">
      <w:pPr>
        <w:pStyle w:val="ListParagraph"/>
        <w:numPr>
          <w:ilvl w:val="0"/>
          <w:numId w:val="4"/>
        </w:numPr>
        <w:spacing w:after="160"/>
        <w:ind w:left="567" w:hanging="567"/>
      </w:pPr>
      <w:r w:rsidRPr="00D27FAC">
        <w:t>The Panel’s view is that</w:t>
      </w:r>
      <w:r w:rsidR="00730C26">
        <w:t>,</w:t>
      </w:r>
      <w:r w:rsidRPr="00D27FAC">
        <w:t xml:space="preserve"> given commissioners’ flexibility under the PSR regulations to decide weight</w:t>
      </w:r>
      <w:r w:rsidR="00DD36F6">
        <w:t>ing</w:t>
      </w:r>
      <w:r w:rsidRPr="00D27FAC">
        <w:t xml:space="preserve">s </w:t>
      </w:r>
      <w:r w:rsidR="00B3015F">
        <w:t xml:space="preserve">for </w:t>
      </w:r>
      <w:r w:rsidRPr="00D27FAC">
        <w:t xml:space="preserve">the </w:t>
      </w:r>
      <w:r w:rsidR="00B3015F">
        <w:t xml:space="preserve">five </w:t>
      </w:r>
      <w:r w:rsidRPr="00D27FAC">
        <w:t>key criteria</w:t>
      </w:r>
      <w:r w:rsidR="00ED240C">
        <w:t xml:space="preserve"> and the guidance on weighting social value</w:t>
      </w:r>
      <w:r w:rsidRPr="00D27FAC">
        <w:t>, there is no evidence to suggest that the weightings chosen by Sussex ICB breach</w:t>
      </w:r>
      <w:r w:rsidR="00C03196">
        <w:t>ed</w:t>
      </w:r>
      <w:r w:rsidRPr="00D27FAC">
        <w:t xml:space="preserve"> the PSR regulations.</w:t>
      </w:r>
      <w:r w:rsidR="00712973">
        <w:t xml:space="preserve"> As a result, the Panel finds that Sussex ICB, </w:t>
      </w:r>
      <w:r w:rsidR="00686C4E">
        <w:t xml:space="preserve">in deciding the weightings </w:t>
      </w:r>
      <w:r w:rsidR="00C03196">
        <w:t>for</w:t>
      </w:r>
      <w:r w:rsidR="00686C4E">
        <w:t xml:space="preserve"> the key criteria, did not breach the PSR regulations </w:t>
      </w:r>
      <w:r w:rsidR="009869A0" w:rsidRPr="00AB3C97">
        <w:t>and in particular its obligations under Regulation</w:t>
      </w:r>
      <w:r w:rsidR="00DF5504">
        <w:t>s</w:t>
      </w:r>
      <w:r w:rsidR="009869A0" w:rsidRPr="00AB3C97">
        <w:t xml:space="preserve"> </w:t>
      </w:r>
      <w:r w:rsidR="001C56C5">
        <w:t>5(e) and</w:t>
      </w:r>
      <w:r w:rsidR="00431835">
        <w:t xml:space="preserve"> 11(2), which state that</w:t>
      </w:r>
      <w:r w:rsidR="005464ED">
        <w:t xml:space="preserve"> “</w:t>
      </w:r>
      <w:r w:rsidR="005464ED" w:rsidRPr="005464ED">
        <w:t xml:space="preserve">Step 1 </w:t>
      </w:r>
      <w:r w:rsidR="005464ED">
        <w:t xml:space="preserve">[of the competitive process] </w:t>
      </w:r>
      <w:r w:rsidR="005464ED" w:rsidRPr="005464ED">
        <w:t>is that the relevant authority determines the contract or framework award criteria, taking into account the key criteria and applying the basic selection criteria</w:t>
      </w:r>
      <w:r w:rsidR="005464ED">
        <w:t>”</w:t>
      </w:r>
      <w:r w:rsidR="005464ED" w:rsidRPr="005464ED">
        <w:t>.</w:t>
      </w:r>
    </w:p>
    <w:p w14:paraId="43DA1675" w14:textId="0C0A8988" w:rsidR="00A00587" w:rsidRDefault="00E74C15" w:rsidP="004A5BBD">
      <w:pPr>
        <w:pStyle w:val="Heading3"/>
        <w:spacing w:before="240" w:after="160"/>
        <w:rPr>
          <w:b/>
          <w:bCs/>
          <w:color w:val="auto"/>
          <w:sz w:val="22"/>
          <w:szCs w:val="22"/>
        </w:rPr>
      </w:pPr>
      <w:r>
        <w:rPr>
          <w:b/>
          <w:bCs/>
          <w:color w:val="auto"/>
          <w:sz w:val="22"/>
          <w:szCs w:val="22"/>
        </w:rPr>
        <w:t>Information on the e</w:t>
      </w:r>
      <w:r w:rsidR="00DB10E2">
        <w:rPr>
          <w:b/>
          <w:bCs/>
          <w:color w:val="auto"/>
          <w:sz w:val="22"/>
          <w:szCs w:val="22"/>
        </w:rPr>
        <w:t xml:space="preserve">valuation methodology </w:t>
      </w:r>
      <w:r w:rsidR="00F521D4">
        <w:rPr>
          <w:b/>
          <w:bCs/>
          <w:color w:val="auto"/>
          <w:sz w:val="22"/>
          <w:szCs w:val="22"/>
        </w:rPr>
        <w:t>and scoring frame</w:t>
      </w:r>
      <w:r w:rsidR="003E117E">
        <w:rPr>
          <w:b/>
          <w:bCs/>
          <w:color w:val="auto"/>
          <w:sz w:val="22"/>
          <w:szCs w:val="22"/>
        </w:rPr>
        <w:t>work</w:t>
      </w:r>
    </w:p>
    <w:p w14:paraId="20FA693D" w14:textId="0F2355A8" w:rsidR="00482416" w:rsidRDefault="002E3FB2" w:rsidP="00171FA6">
      <w:pPr>
        <w:pStyle w:val="ListParagraph"/>
        <w:numPr>
          <w:ilvl w:val="0"/>
          <w:numId w:val="4"/>
        </w:numPr>
        <w:spacing w:after="160"/>
        <w:ind w:left="567" w:hanging="567"/>
      </w:pPr>
      <w:r w:rsidRPr="00950E54">
        <w:t>Wellsbourne told the Panel that “</w:t>
      </w:r>
      <w:r>
        <w:t>n</w:t>
      </w:r>
      <w:r w:rsidRPr="00950E54">
        <w:t>o scoring framework was shared</w:t>
      </w:r>
      <w:r>
        <w:t xml:space="preserve"> </w:t>
      </w:r>
      <w:r w:rsidRPr="007D1275">
        <w:t xml:space="preserve">…” </w:t>
      </w:r>
      <w:r w:rsidRPr="002F795A">
        <w:t>(see paragraph</w:t>
      </w:r>
      <w:r w:rsidR="00461765" w:rsidRPr="002F795A">
        <w:t> </w:t>
      </w:r>
      <w:r w:rsidR="001C4705">
        <w:fldChar w:fldCharType="begin"/>
      </w:r>
      <w:r w:rsidR="001C4705">
        <w:instrText xml:space="preserve"> REF _Ref201645531 \r \h </w:instrText>
      </w:r>
      <w:r w:rsidR="001C4705">
        <w:fldChar w:fldCharType="separate"/>
      </w:r>
      <w:r w:rsidR="00C81C5A">
        <w:t>35</w:t>
      </w:r>
      <w:r w:rsidR="001C4705">
        <w:fldChar w:fldCharType="end"/>
      </w:r>
      <w:r w:rsidRPr="002F795A">
        <w:t>)</w:t>
      </w:r>
      <w:r w:rsidRPr="007D1275">
        <w:t xml:space="preserve"> and </w:t>
      </w:r>
      <w:r w:rsidR="00171FA6" w:rsidRPr="007D1275">
        <w:t>i</w:t>
      </w:r>
      <w:r w:rsidRPr="007D1275">
        <w:t>n response to questions from the Panel</w:t>
      </w:r>
      <w:r w:rsidR="004372A9" w:rsidRPr="007D1275">
        <w:t xml:space="preserve"> asking </w:t>
      </w:r>
      <w:r w:rsidR="00C92AB3" w:rsidRPr="007D1275">
        <w:t>for</w:t>
      </w:r>
      <w:r w:rsidR="00DF7508" w:rsidRPr="007D1275">
        <w:t xml:space="preserve"> further</w:t>
      </w:r>
      <w:r w:rsidR="00C92AB3">
        <w:t xml:space="preserve"> clarification</w:t>
      </w:r>
      <w:r w:rsidR="00DF7508">
        <w:t xml:space="preserve"> of its concerns</w:t>
      </w:r>
      <w:r>
        <w:t xml:space="preserve">, </w:t>
      </w:r>
      <w:r w:rsidR="00C92AB3">
        <w:t xml:space="preserve">Wellsbourne </w:t>
      </w:r>
      <w:r>
        <w:t>said</w:t>
      </w:r>
      <w:r w:rsidRPr="00386014">
        <w:t xml:space="preserve"> “we don’t have any information to help us to understand how the scores were reached. Was there a structured approach to evaluating or scoring? Was there guidance for the evaluators on how to score each question? Were they looking for </w:t>
      </w:r>
      <w:proofErr w:type="gramStart"/>
      <w:r w:rsidRPr="00386014">
        <w:t>particular points</w:t>
      </w:r>
      <w:proofErr w:type="gramEnd"/>
      <w:r w:rsidRPr="00386014">
        <w:t xml:space="preserve"> to be addressed? The discussion and moderation notes do not make this clear. In representations, we requested this information from the ICB but did not receive it”.</w:t>
      </w:r>
      <w:r>
        <w:rPr>
          <w:rStyle w:val="FootnoteReference"/>
        </w:rPr>
        <w:footnoteReference w:id="23"/>
      </w:r>
    </w:p>
    <w:p w14:paraId="4818E048" w14:textId="577BC264" w:rsidR="002E3FB2" w:rsidRPr="009C7F0B" w:rsidRDefault="009A3703" w:rsidP="002E3FB2">
      <w:pPr>
        <w:pStyle w:val="ListParagraph"/>
        <w:numPr>
          <w:ilvl w:val="0"/>
          <w:numId w:val="4"/>
        </w:numPr>
        <w:spacing w:after="160"/>
        <w:ind w:left="567" w:hanging="567"/>
      </w:pPr>
      <w:r>
        <w:t>Wells</w:t>
      </w:r>
      <w:r w:rsidR="00BE130B">
        <w:t>bourne also told the Panel that “</w:t>
      </w:r>
      <w:r w:rsidR="00BE130B" w:rsidRPr="00BE130B">
        <w:t>It is unclear from the moderation notes and feedback received how individual elements of each response were weighted. No consistent scoring framework was shared to explain how different components within each question contributed to the final score, which limits transparency and the ability to understand or challenge the evaluation outcomes in breach of regulation 7 of the PSR</w:t>
      </w:r>
      <w:r w:rsidR="00BD4A34">
        <w:t xml:space="preserve"> </w:t>
      </w:r>
      <w:r w:rsidR="00BD4A34" w:rsidRPr="009D14EA">
        <w:rPr>
          <w:sz w:val="21"/>
          <w:szCs w:val="21"/>
        </w:rPr>
        <w:t>[clarified with Wellsbourne to be referring to regulation</w:t>
      </w:r>
      <w:r w:rsidR="003D5DF9">
        <w:rPr>
          <w:sz w:val="21"/>
          <w:szCs w:val="21"/>
        </w:rPr>
        <w:t xml:space="preserve"> 4]</w:t>
      </w:r>
      <w:r w:rsidR="00BE130B">
        <w:t>”.</w:t>
      </w:r>
      <w:r w:rsidR="00097876">
        <w:rPr>
          <w:rStyle w:val="FootnoteReference"/>
        </w:rPr>
        <w:footnoteReference w:id="24"/>
      </w:r>
    </w:p>
    <w:p w14:paraId="14F1E510" w14:textId="5A0132AE" w:rsidR="002E3FB2" w:rsidRDefault="00766E15" w:rsidP="002E3FB2">
      <w:pPr>
        <w:pStyle w:val="ListParagraph"/>
        <w:numPr>
          <w:ilvl w:val="0"/>
          <w:numId w:val="4"/>
        </w:numPr>
        <w:spacing w:after="160"/>
        <w:ind w:left="567" w:hanging="567"/>
      </w:pPr>
      <w:r>
        <w:t>Given Wellsbourne’s concerns, t</w:t>
      </w:r>
      <w:r w:rsidR="002F215F" w:rsidRPr="0094153D">
        <w:t xml:space="preserve">his section </w:t>
      </w:r>
      <w:r w:rsidR="0084667D" w:rsidRPr="0094153D">
        <w:t>reviews</w:t>
      </w:r>
      <w:r w:rsidR="00AC1EC6">
        <w:t>:</w:t>
      </w:r>
      <w:r w:rsidR="004561CC">
        <w:t xml:space="preserve"> (</w:t>
      </w:r>
      <w:proofErr w:type="spellStart"/>
      <w:r w:rsidR="004561CC">
        <w:t>i</w:t>
      </w:r>
      <w:proofErr w:type="spellEnd"/>
      <w:r w:rsidR="004561CC">
        <w:t>)</w:t>
      </w:r>
      <w:r w:rsidR="000C6891" w:rsidRPr="0094153D">
        <w:t xml:space="preserve"> </w:t>
      </w:r>
      <w:r w:rsidR="004561CC">
        <w:t xml:space="preserve">information </w:t>
      </w:r>
      <w:r w:rsidR="00E235B3">
        <w:t xml:space="preserve">provided during the procurement process </w:t>
      </w:r>
      <w:r w:rsidR="004561CC">
        <w:t xml:space="preserve">about </w:t>
      </w:r>
      <w:r w:rsidR="0025380B">
        <w:t>the</w:t>
      </w:r>
      <w:r w:rsidR="000C6891" w:rsidRPr="0094153D">
        <w:t xml:space="preserve"> </w:t>
      </w:r>
      <w:r w:rsidR="0084667D" w:rsidRPr="0094153D">
        <w:t>evaluation methodology and scoring framework</w:t>
      </w:r>
      <w:r w:rsidR="00E235B3">
        <w:t xml:space="preserve">; </w:t>
      </w:r>
      <w:r w:rsidR="002F7CD9">
        <w:t xml:space="preserve">and </w:t>
      </w:r>
      <w:r w:rsidR="00E235B3">
        <w:t>(ii)</w:t>
      </w:r>
      <w:r w:rsidR="000238DD">
        <w:t xml:space="preserve"> </w:t>
      </w:r>
      <w:r w:rsidR="00B22718">
        <w:t xml:space="preserve">the extent to which the evaluation and scoring of bidders’ responses was consistent with </w:t>
      </w:r>
      <w:r w:rsidR="00CA2099">
        <w:t>the description set out in the tender documentation</w:t>
      </w:r>
      <w:r w:rsidR="00A940D0" w:rsidRPr="0094153D">
        <w:t xml:space="preserve"> and </w:t>
      </w:r>
      <w:r w:rsidR="004F34D4">
        <w:t>the information subsequently</w:t>
      </w:r>
      <w:r w:rsidR="00A940D0">
        <w:t xml:space="preserve"> </w:t>
      </w:r>
      <w:r w:rsidR="00CA2099">
        <w:t>supplie</w:t>
      </w:r>
      <w:r w:rsidR="002467E9">
        <w:t>d</w:t>
      </w:r>
      <w:r w:rsidR="00A940D0">
        <w:t xml:space="preserve"> to </w:t>
      </w:r>
      <w:r w:rsidR="000D289A">
        <w:t>Wellsbourne</w:t>
      </w:r>
      <w:r w:rsidR="0094153D" w:rsidRPr="00D51AEE">
        <w:t>.</w:t>
      </w:r>
    </w:p>
    <w:p w14:paraId="25A06F6F" w14:textId="3BC7366E" w:rsidR="007371F9" w:rsidRPr="009D14EA" w:rsidRDefault="00166123" w:rsidP="009D14EA">
      <w:pPr>
        <w:keepNext/>
        <w:spacing w:before="240"/>
        <w:rPr>
          <w:b/>
          <w:bCs/>
        </w:rPr>
      </w:pPr>
      <w:r w:rsidRPr="009D14EA">
        <w:rPr>
          <w:b/>
          <w:bCs/>
        </w:rPr>
        <w:t xml:space="preserve">Information </w:t>
      </w:r>
      <w:r w:rsidR="00661CED">
        <w:rPr>
          <w:b/>
          <w:bCs/>
        </w:rPr>
        <w:t>about the evaluation methodology and scoring framework in the tender documentation</w:t>
      </w:r>
    </w:p>
    <w:p w14:paraId="5FE12654" w14:textId="40309142" w:rsidR="00DB10E2" w:rsidRDefault="00DB10E2" w:rsidP="00FB0BBC">
      <w:pPr>
        <w:pStyle w:val="ListParagraph"/>
        <w:numPr>
          <w:ilvl w:val="0"/>
          <w:numId w:val="4"/>
        </w:numPr>
        <w:spacing w:after="160"/>
        <w:ind w:left="567" w:hanging="567"/>
      </w:pPr>
      <w:r>
        <w:t xml:space="preserve">Sussex ICB’s </w:t>
      </w:r>
      <w:r w:rsidR="00620D40">
        <w:t>Invitation to T</w:t>
      </w:r>
      <w:r>
        <w:t xml:space="preserve">ender </w:t>
      </w:r>
      <w:r w:rsidR="0058210C">
        <w:t xml:space="preserve">(ITT) </w:t>
      </w:r>
      <w:r>
        <w:t xml:space="preserve">document </w:t>
      </w:r>
      <w:r w:rsidR="00BC1C14">
        <w:t xml:space="preserve">for the Whitehawk APMS contract </w:t>
      </w:r>
      <w:r>
        <w:t>set out</w:t>
      </w:r>
      <w:r w:rsidR="00EA6A43">
        <w:t>:</w:t>
      </w:r>
      <w:r w:rsidR="00B54EFB">
        <w:t xml:space="preserve"> </w:t>
      </w:r>
      <w:r w:rsidR="00EA6A43">
        <w:t>(</w:t>
      </w:r>
      <w:proofErr w:type="spellStart"/>
      <w:r w:rsidR="00467406">
        <w:t>i</w:t>
      </w:r>
      <w:proofErr w:type="spellEnd"/>
      <w:r w:rsidR="00467406">
        <w:t xml:space="preserve">) </w:t>
      </w:r>
      <w:r w:rsidR="00C702D5">
        <w:t xml:space="preserve">the </w:t>
      </w:r>
      <w:r>
        <w:t xml:space="preserve">weighting </w:t>
      </w:r>
      <w:r w:rsidR="00175471">
        <w:t>to be applied to each of the five key criteria</w:t>
      </w:r>
      <w:r w:rsidR="00EA6A43">
        <w:t>;</w:t>
      </w:r>
      <w:r w:rsidR="00D33745">
        <w:t xml:space="preserve"> </w:t>
      </w:r>
      <w:r w:rsidR="00116439">
        <w:t xml:space="preserve">and </w:t>
      </w:r>
      <w:r w:rsidR="00EA6A43">
        <w:t>(</w:t>
      </w:r>
      <w:r w:rsidR="00116439">
        <w:t xml:space="preserve">ii) the individual questions </w:t>
      </w:r>
      <w:r w:rsidR="00175471">
        <w:t>asked in relation to each of the key criteria</w:t>
      </w:r>
      <w:r w:rsidR="006030F9">
        <w:t xml:space="preserve">, with a weighting for </w:t>
      </w:r>
      <w:r w:rsidR="006030F9">
        <w:lastRenderedPageBreak/>
        <w:t>each question</w:t>
      </w:r>
      <w:r w:rsidR="00585171">
        <w:t xml:space="preserve">. </w:t>
      </w:r>
      <w:r w:rsidR="00AB0B57">
        <w:t>N</w:t>
      </w:r>
      <w:r w:rsidR="00050187">
        <w:t xml:space="preserve">ineteen </w:t>
      </w:r>
      <w:r w:rsidR="00694E93">
        <w:t>questions</w:t>
      </w:r>
      <w:r w:rsidR="00B6139D">
        <w:t xml:space="preserve"> </w:t>
      </w:r>
      <w:r w:rsidR="00AB0B57">
        <w:t xml:space="preserve">addressed </w:t>
      </w:r>
      <w:r w:rsidR="00B6139D">
        <w:t xml:space="preserve">the </w:t>
      </w:r>
      <w:r w:rsidR="008112BD">
        <w:t xml:space="preserve">four </w:t>
      </w:r>
      <w:r w:rsidR="00694E93">
        <w:t>quality</w:t>
      </w:r>
      <w:r w:rsidR="00454B79">
        <w:t>-related</w:t>
      </w:r>
      <w:r w:rsidR="00694E93">
        <w:t xml:space="preserve"> </w:t>
      </w:r>
      <w:r w:rsidR="008112BD">
        <w:t>key criteria,</w:t>
      </w:r>
      <w:r w:rsidR="00332FEE">
        <w:t xml:space="preserve"> and </w:t>
      </w:r>
      <w:r w:rsidR="00050187">
        <w:t>three</w:t>
      </w:r>
      <w:r w:rsidR="00126751">
        <w:t xml:space="preserve"> questions</w:t>
      </w:r>
      <w:r w:rsidR="00920BE4">
        <w:t xml:space="preserve"> </w:t>
      </w:r>
      <w:r w:rsidR="00AB0B57">
        <w:t>addressed</w:t>
      </w:r>
      <w:r w:rsidR="008112BD">
        <w:t xml:space="preserve"> the value </w:t>
      </w:r>
      <w:r w:rsidR="00920BE4">
        <w:t>criterion</w:t>
      </w:r>
      <w:r>
        <w:t>.</w:t>
      </w:r>
      <w:r>
        <w:rPr>
          <w:rStyle w:val="FootnoteReference"/>
        </w:rPr>
        <w:footnoteReference w:id="25"/>
      </w:r>
    </w:p>
    <w:p w14:paraId="5B8843AC" w14:textId="30467604" w:rsidR="00DB10E2" w:rsidRPr="00DE5A28" w:rsidRDefault="00345E31" w:rsidP="00DB10E2">
      <w:pPr>
        <w:pStyle w:val="ListParagraph"/>
        <w:numPr>
          <w:ilvl w:val="0"/>
          <w:numId w:val="4"/>
        </w:numPr>
        <w:spacing w:after="160"/>
        <w:ind w:left="567" w:hanging="567"/>
      </w:pPr>
      <w:bookmarkStart w:id="21" w:name="_Ref203145569"/>
      <w:r>
        <w:t xml:space="preserve">The </w:t>
      </w:r>
      <w:r w:rsidR="008C0D33">
        <w:t>ITT</w:t>
      </w:r>
      <w:r w:rsidR="00DB10E2">
        <w:t xml:space="preserve"> document also set out the scoring framework. It s</w:t>
      </w:r>
      <w:r w:rsidR="00454B79">
        <w:t>aid</w:t>
      </w:r>
      <w:r w:rsidR="00DB10E2">
        <w:t xml:space="preserve"> that b</w:t>
      </w:r>
      <w:r w:rsidR="00DB10E2" w:rsidRPr="00DE5A28">
        <w:t>idders’ responses to scored quality</w:t>
      </w:r>
      <w:r w:rsidR="002C7EE5">
        <w:t>-related</w:t>
      </w:r>
      <w:r w:rsidR="00DB10E2" w:rsidRPr="00DE5A28">
        <w:t xml:space="preserve"> questions </w:t>
      </w:r>
      <w:r w:rsidR="00DB10E2">
        <w:t>would be</w:t>
      </w:r>
      <w:r w:rsidR="00DB10E2" w:rsidRPr="00DE5A28">
        <w:t xml:space="preserve"> evaluated and scored on a scale of 0-4 using the </w:t>
      </w:r>
      <w:r w:rsidR="007555AD">
        <w:t>matrix</w:t>
      </w:r>
      <w:r w:rsidR="00DB10E2">
        <w:t xml:space="preserve"> </w:t>
      </w:r>
      <w:r w:rsidR="00DB10E2" w:rsidRPr="00DE5A28">
        <w:t>below</w:t>
      </w:r>
      <w:r w:rsidR="00DB10E2">
        <w:t>.</w:t>
      </w:r>
      <w:bookmarkEnd w:id="21"/>
    </w:p>
    <w:tbl>
      <w:tblPr>
        <w:tblStyle w:val="TableGrid"/>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5811"/>
        <w:gridCol w:w="1083"/>
      </w:tblGrid>
      <w:tr w:rsidR="00DB10E2" w:rsidRPr="004543A3" w14:paraId="03218F32" w14:textId="77777777" w:rsidTr="007238E8">
        <w:tc>
          <w:tcPr>
            <w:tcW w:w="1555" w:type="dxa"/>
            <w:shd w:val="clear" w:color="auto" w:fill="D9D9D9" w:themeFill="background1" w:themeFillShade="D9"/>
          </w:tcPr>
          <w:p w14:paraId="1599118D" w14:textId="77777777" w:rsidR="00DB10E2" w:rsidRPr="00D27FAC" w:rsidRDefault="00DB10E2" w:rsidP="00267111">
            <w:pPr>
              <w:pStyle w:val="ListParagraph"/>
              <w:spacing w:before="60" w:after="60" w:line="240" w:lineRule="auto"/>
              <w:ind w:left="0" w:firstLine="0"/>
              <w:jc w:val="center"/>
              <w:rPr>
                <w:b/>
                <w:bCs/>
                <w:sz w:val="18"/>
                <w:szCs w:val="18"/>
              </w:rPr>
            </w:pPr>
            <w:r w:rsidRPr="00D27FAC">
              <w:rPr>
                <w:b/>
                <w:bCs/>
                <w:sz w:val="18"/>
                <w:szCs w:val="18"/>
              </w:rPr>
              <w:t>Assessment</w:t>
            </w:r>
          </w:p>
        </w:tc>
        <w:tc>
          <w:tcPr>
            <w:tcW w:w="5811" w:type="dxa"/>
            <w:shd w:val="clear" w:color="auto" w:fill="D9D9D9" w:themeFill="background1" w:themeFillShade="D9"/>
          </w:tcPr>
          <w:p w14:paraId="2C430F90" w14:textId="77777777" w:rsidR="00DB10E2" w:rsidRPr="00D27FAC" w:rsidRDefault="00DB10E2" w:rsidP="00267111">
            <w:pPr>
              <w:pStyle w:val="ListParagraph"/>
              <w:spacing w:before="60" w:after="60" w:line="240" w:lineRule="auto"/>
              <w:ind w:left="0" w:firstLine="0"/>
              <w:jc w:val="center"/>
              <w:rPr>
                <w:b/>
                <w:bCs/>
                <w:sz w:val="18"/>
                <w:szCs w:val="18"/>
              </w:rPr>
            </w:pPr>
            <w:r w:rsidRPr="00D27FAC">
              <w:rPr>
                <w:b/>
                <w:bCs/>
                <w:sz w:val="18"/>
                <w:szCs w:val="18"/>
              </w:rPr>
              <w:t>Interpretation</w:t>
            </w:r>
          </w:p>
        </w:tc>
        <w:tc>
          <w:tcPr>
            <w:tcW w:w="1083" w:type="dxa"/>
            <w:shd w:val="clear" w:color="auto" w:fill="D9D9D9" w:themeFill="background1" w:themeFillShade="D9"/>
          </w:tcPr>
          <w:p w14:paraId="23B8C9C7" w14:textId="77777777" w:rsidR="00DB10E2" w:rsidRPr="00D27FAC" w:rsidRDefault="00DB10E2" w:rsidP="00267111">
            <w:pPr>
              <w:pStyle w:val="ListParagraph"/>
              <w:spacing w:before="60" w:after="60" w:line="240" w:lineRule="auto"/>
              <w:ind w:left="0" w:firstLine="0"/>
              <w:jc w:val="center"/>
              <w:rPr>
                <w:b/>
                <w:bCs/>
                <w:sz w:val="18"/>
                <w:szCs w:val="18"/>
              </w:rPr>
            </w:pPr>
            <w:r w:rsidRPr="00D27FAC">
              <w:rPr>
                <w:b/>
                <w:bCs/>
                <w:sz w:val="18"/>
                <w:szCs w:val="18"/>
              </w:rPr>
              <w:t>Score</w:t>
            </w:r>
          </w:p>
        </w:tc>
      </w:tr>
      <w:tr w:rsidR="00DB10E2" w:rsidRPr="004543A3" w14:paraId="6B2FF798" w14:textId="77777777" w:rsidTr="00267111">
        <w:tc>
          <w:tcPr>
            <w:tcW w:w="1555" w:type="dxa"/>
          </w:tcPr>
          <w:p w14:paraId="397F119C"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Deficient</w:t>
            </w:r>
          </w:p>
        </w:tc>
        <w:tc>
          <w:tcPr>
            <w:tcW w:w="5811" w:type="dxa"/>
            <w:vAlign w:val="center"/>
          </w:tcPr>
          <w:p w14:paraId="5AD35A1A" w14:textId="77777777" w:rsidR="00DB10E2" w:rsidRPr="00D27FAC" w:rsidRDefault="00DB10E2" w:rsidP="00267111">
            <w:pPr>
              <w:pStyle w:val="ListParagraph"/>
              <w:spacing w:before="60" w:after="60" w:line="240" w:lineRule="auto"/>
              <w:ind w:left="0" w:firstLine="0"/>
              <w:rPr>
                <w:sz w:val="18"/>
                <w:szCs w:val="18"/>
              </w:rPr>
            </w:pPr>
            <w:r w:rsidRPr="00D27FAC">
              <w:rPr>
                <w:sz w:val="18"/>
                <w:szCs w:val="18"/>
              </w:rPr>
              <w:t>A significantly deficient answer, unanswered or unacceptable response.</w:t>
            </w:r>
          </w:p>
        </w:tc>
        <w:tc>
          <w:tcPr>
            <w:tcW w:w="1083" w:type="dxa"/>
          </w:tcPr>
          <w:p w14:paraId="79346C69"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0</w:t>
            </w:r>
          </w:p>
        </w:tc>
      </w:tr>
      <w:tr w:rsidR="00DB10E2" w:rsidRPr="004543A3" w14:paraId="2E542EC3" w14:textId="77777777" w:rsidTr="00267111">
        <w:tc>
          <w:tcPr>
            <w:tcW w:w="1555" w:type="dxa"/>
          </w:tcPr>
          <w:p w14:paraId="2A3A8160"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Limited</w:t>
            </w:r>
          </w:p>
        </w:tc>
        <w:tc>
          <w:tcPr>
            <w:tcW w:w="5811" w:type="dxa"/>
            <w:vAlign w:val="center"/>
          </w:tcPr>
          <w:p w14:paraId="2181FCCB" w14:textId="77777777" w:rsidR="00DB10E2" w:rsidRPr="00D27FAC" w:rsidRDefault="00DB10E2" w:rsidP="00267111">
            <w:pPr>
              <w:pStyle w:val="ListParagraph"/>
              <w:spacing w:before="60" w:after="60" w:line="240" w:lineRule="auto"/>
              <w:ind w:left="0" w:firstLine="0"/>
              <w:rPr>
                <w:sz w:val="18"/>
                <w:szCs w:val="18"/>
              </w:rPr>
            </w:pPr>
            <w:r w:rsidRPr="00D27FAC">
              <w:rPr>
                <w:sz w:val="18"/>
                <w:szCs w:val="18"/>
              </w:rPr>
              <w:t>A limited answer that does not meet the stated requirement or one that provides little detail or evidence.</w:t>
            </w:r>
          </w:p>
        </w:tc>
        <w:tc>
          <w:tcPr>
            <w:tcW w:w="1083" w:type="dxa"/>
          </w:tcPr>
          <w:p w14:paraId="12CBC513"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1</w:t>
            </w:r>
          </w:p>
        </w:tc>
      </w:tr>
      <w:tr w:rsidR="00DB10E2" w:rsidRPr="004543A3" w14:paraId="41385F5E" w14:textId="77777777" w:rsidTr="00267111">
        <w:tc>
          <w:tcPr>
            <w:tcW w:w="1555" w:type="dxa"/>
          </w:tcPr>
          <w:p w14:paraId="6E92C5E7"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Acceptable</w:t>
            </w:r>
          </w:p>
        </w:tc>
        <w:tc>
          <w:tcPr>
            <w:tcW w:w="5811" w:type="dxa"/>
            <w:vAlign w:val="center"/>
          </w:tcPr>
          <w:p w14:paraId="0FBF31AC" w14:textId="77777777" w:rsidR="00DB10E2" w:rsidRPr="00D27FAC" w:rsidRDefault="00DB10E2" w:rsidP="00267111">
            <w:pPr>
              <w:pStyle w:val="ListParagraph"/>
              <w:spacing w:before="60" w:after="60" w:line="240" w:lineRule="auto"/>
              <w:ind w:left="0" w:firstLine="0"/>
              <w:rPr>
                <w:sz w:val="18"/>
                <w:szCs w:val="18"/>
              </w:rPr>
            </w:pPr>
            <w:r w:rsidRPr="00D27FAC">
              <w:rPr>
                <w:sz w:val="18"/>
                <w:szCs w:val="18"/>
              </w:rPr>
              <w:t>An acceptable answer meeting the stated requirement with a sufficient level of detail and evidence.</w:t>
            </w:r>
          </w:p>
        </w:tc>
        <w:tc>
          <w:tcPr>
            <w:tcW w:w="1083" w:type="dxa"/>
          </w:tcPr>
          <w:p w14:paraId="34E1459D"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2</w:t>
            </w:r>
          </w:p>
        </w:tc>
      </w:tr>
      <w:tr w:rsidR="00DB10E2" w:rsidRPr="004543A3" w14:paraId="5C0A9A6E" w14:textId="77777777" w:rsidTr="00267111">
        <w:tc>
          <w:tcPr>
            <w:tcW w:w="1555" w:type="dxa"/>
          </w:tcPr>
          <w:p w14:paraId="2AAF6FFE"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Good</w:t>
            </w:r>
          </w:p>
        </w:tc>
        <w:tc>
          <w:tcPr>
            <w:tcW w:w="5811" w:type="dxa"/>
            <w:vAlign w:val="center"/>
          </w:tcPr>
          <w:p w14:paraId="27682AC2" w14:textId="77777777" w:rsidR="00DB10E2" w:rsidRPr="00D27FAC" w:rsidRDefault="00DB10E2" w:rsidP="00267111">
            <w:pPr>
              <w:pStyle w:val="ListParagraph"/>
              <w:spacing w:before="60" w:after="60" w:line="240" w:lineRule="auto"/>
              <w:ind w:left="0" w:firstLine="0"/>
              <w:rPr>
                <w:sz w:val="18"/>
                <w:szCs w:val="18"/>
              </w:rPr>
            </w:pPr>
            <w:r w:rsidRPr="00D27FAC">
              <w:rPr>
                <w:sz w:val="18"/>
                <w:szCs w:val="18"/>
              </w:rPr>
              <w:t>A good answer, with a comprehensive level of detail and strong evidence.</w:t>
            </w:r>
          </w:p>
        </w:tc>
        <w:tc>
          <w:tcPr>
            <w:tcW w:w="1083" w:type="dxa"/>
          </w:tcPr>
          <w:p w14:paraId="623D12E4"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3</w:t>
            </w:r>
          </w:p>
        </w:tc>
      </w:tr>
      <w:tr w:rsidR="00DB10E2" w:rsidRPr="004543A3" w14:paraId="47DDAA3C" w14:textId="77777777" w:rsidTr="00267111">
        <w:tc>
          <w:tcPr>
            <w:tcW w:w="1555" w:type="dxa"/>
          </w:tcPr>
          <w:p w14:paraId="1DD3537E"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Excellent</w:t>
            </w:r>
          </w:p>
        </w:tc>
        <w:tc>
          <w:tcPr>
            <w:tcW w:w="5811" w:type="dxa"/>
            <w:vAlign w:val="center"/>
          </w:tcPr>
          <w:p w14:paraId="4F36C0F8" w14:textId="77777777" w:rsidR="00DB10E2" w:rsidRPr="00D27FAC" w:rsidRDefault="00DB10E2" w:rsidP="00267111">
            <w:pPr>
              <w:pStyle w:val="ListParagraph"/>
              <w:spacing w:before="60" w:after="60" w:line="240" w:lineRule="auto"/>
              <w:ind w:left="0" w:firstLine="0"/>
              <w:rPr>
                <w:sz w:val="18"/>
                <w:szCs w:val="18"/>
              </w:rPr>
            </w:pPr>
            <w:r w:rsidRPr="00D27FAC">
              <w:rPr>
                <w:sz w:val="18"/>
                <w:szCs w:val="18"/>
              </w:rPr>
              <w:t xml:space="preserve">An excellent answer, exceeding the stated requirement with exceptional detail and evidence and/or one that is likely to result in increased quality, improved patient experience or innovation.  </w:t>
            </w:r>
          </w:p>
        </w:tc>
        <w:tc>
          <w:tcPr>
            <w:tcW w:w="1083" w:type="dxa"/>
          </w:tcPr>
          <w:p w14:paraId="0295CCC7" w14:textId="77777777" w:rsidR="00DB10E2" w:rsidRPr="00D27FAC" w:rsidRDefault="00DB10E2" w:rsidP="00267111">
            <w:pPr>
              <w:pStyle w:val="ListParagraph"/>
              <w:spacing w:before="60" w:after="60" w:line="240" w:lineRule="auto"/>
              <w:ind w:left="0" w:firstLine="0"/>
              <w:jc w:val="center"/>
              <w:rPr>
                <w:sz w:val="18"/>
                <w:szCs w:val="18"/>
              </w:rPr>
            </w:pPr>
            <w:r w:rsidRPr="00D27FAC">
              <w:rPr>
                <w:sz w:val="18"/>
                <w:szCs w:val="18"/>
              </w:rPr>
              <w:t>4</w:t>
            </w:r>
          </w:p>
        </w:tc>
      </w:tr>
    </w:tbl>
    <w:p w14:paraId="1DD8A5A1" w14:textId="77777777" w:rsidR="00DB10E2" w:rsidRPr="00DE5A28" w:rsidRDefault="00DB10E2" w:rsidP="00DB10E2">
      <w:pPr>
        <w:pStyle w:val="ListParagraph"/>
        <w:spacing w:before="60" w:after="360" w:line="240" w:lineRule="auto"/>
        <w:ind w:firstLine="0"/>
        <w:rPr>
          <w:sz w:val="18"/>
          <w:szCs w:val="18"/>
        </w:rPr>
      </w:pPr>
      <w:r w:rsidRPr="00DE5A28">
        <w:rPr>
          <w:sz w:val="18"/>
          <w:szCs w:val="18"/>
        </w:rPr>
        <w:t xml:space="preserve">Source: </w:t>
      </w:r>
      <w:r>
        <w:rPr>
          <w:sz w:val="18"/>
          <w:szCs w:val="18"/>
        </w:rPr>
        <w:t xml:space="preserve">Sussex ICB, </w:t>
      </w:r>
      <w:r w:rsidRPr="00DD4154">
        <w:rPr>
          <w:i/>
          <w:iCs/>
          <w:sz w:val="18"/>
          <w:szCs w:val="18"/>
        </w:rPr>
        <w:t>Whitehawk APMS ITT Document</w:t>
      </w:r>
      <w:r w:rsidRPr="00DE5A28">
        <w:rPr>
          <w:sz w:val="18"/>
          <w:szCs w:val="18"/>
        </w:rPr>
        <w:t>, 17 May 202</w:t>
      </w:r>
      <w:r>
        <w:rPr>
          <w:sz w:val="18"/>
          <w:szCs w:val="18"/>
        </w:rPr>
        <w:t>4</w:t>
      </w:r>
      <w:r w:rsidRPr="00DE5A28">
        <w:rPr>
          <w:sz w:val="18"/>
          <w:szCs w:val="18"/>
        </w:rPr>
        <w:t>.</w:t>
      </w:r>
    </w:p>
    <w:p w14:paraId="6D642BA8" w14:textId="02D7646A" w:rsidR="00DB10E2" w:rsidRDefault="00DB10E2" w:rsidP="009D14EA">
      <w:pPr>
        <w:pStyle w:val="ListParagraph"/>
        <w:numPr>
          <w:ilvl w:val="0"/>
          <w:numId w:val="4"/>
        </w:numPr>
        <w:ind w:left="567" w:hanging="567"/>
      </w:pPr>
      <w:bookmarkStart w:id="22" w:name="_Ref203731508"/>
      <w:r>
        <w:t xml:space="preserve">In relation to the evaluation process, the </w:t>
      </w:r>
      <w:r w:rsidR="00CF1C91">
        <w:t xml:space="preserve">ITT </w:t>
      </w:r>
      <w:r>
        <w:t>documentation said that:</w:t>
      </w:r>
      <w:bookmarkEnd w:id="22"/>
    </w:p>
    <w:p w14:paraId="36EBB0A9" w14:textId="1C33E9FC" w:rsidR="00DB10E2" w:rsidRDefault="00DB10E2" w:rsidP="009D14EA">
      <w:pPr>
        <w:pStyle w:val="ListParagraph"/>
        <w:ind w:left="851" w:firstLine="0"/>
        <w:rPr>
          <w:sz w:val="21"/>
          <w:szCs w:val="21"/>
          <w:lang w:val="en-US"/>
        </w:rPr>
      </w:pPr>
      <w:r w:rsidRPr="00D27FAC">
        <w:rPr>
          <w:sz w:val="21"/>
          <w:szCs w:val="21"/>
        </w:rPr>
        <w:t>“</w:t>
      </w:r>
      <w:r w:rsidRPr="00D27FAC">
        <w:rPr>
          <w:sz w:val="21"/>
          <w:szCs w:val="21"/>
          <w:lang w:val="en-US"/>
        </w:rPr>
        <w:t>Bid Evaluators will complete an individual evaluation of Bids using the responses received. Evaluators will be required to provide an explanation in support of each score. No prior information or knowledge of Bidders will be used, unless the information provided by a Bidder is known to be false or inaccurate</w:t>
      </w:r>
      <w:r w:rsidR="00CC7BDF">
        <w:rPr>
          <w:sz w:val="21"/>
          <w:szCs w:val="21"/>
          <w:lang w:val="en-US"/>
        </w:rPr>
        <w:t>.</w:t>
      </w:r>
    </w:p>
    <w:p w14:paraId="0AE51B24" w14:textId="0EA43A39" w:rsidR="00DB10E2" w:rsidRDefault="00DB10E2" w:rsidP="009D14EA">
      <w:pPr>
        <w:pStyle w:val="ListParagraph"/>
        <w:ind w:left="851" w:firstLine="0"/>
        <w:rPr>
          <w:sz w:val="21"/>
          <w:szCs w:val="21"/>
          <w:lang w:val="en-US"/>
        </w:rPr>
      </w:pPr>
      <w:r>
        <w:rPr>
          <w:sz w:val="21"/>
          <w:szCs w:val="21"/>
          <w:lang w:val="en-US"/>
        </w:rPr>
        <w:t>“</w:t>
      </w:r>
      <w:r w:rsidRPr="004924DA">
        <w:rPr>
          <w:sz w:val="21"/>
          <w:szCs w:val="21"/>
          <w:lang w:val="en-US"/>
        </w:rPr>
        <w:t>The evaluation methodology provides evaluators with a way of applying a clear rationale to their decision making and will ensure equality in the treatment of Bidders</w:t>
      </w:r>
      <w:r w:rsidR="00CC7BDF">
        <w:rPr>
          <w:sz w:val="21"/>
          <w:szCs w:val="21"/>
          <w:lang w:val="en-US"/>
        </w:rPr>
        <w:t>.</w:t>
      </w:r>
    </w:p>
    <w:p w14:paraId="124EDC18" w14:textId="788C466E" w:rsidR="00DB10E2" w:rsidRDefault="00DB10E2" w:rsidP="00DB10E2">
      <w:pPr>
        <w:pStyle w:val="ListParagraph"/>
        <w:spacing w:after="160"/>
        <w:ind w:left="851" w:firstLine="0"/>
        <w:rPr>
          <w:sz w:val="21"/>
          <w:szCs w:val="21"/>
          <w:lang w:val="en-US"/>
        </w:rPr>
      </w:pPr>
      <w:r>
        <w:rPr>
          <w:sz w:val="21"/>
          <w:szCs w:val="21"/>
          <w:lang w:val="en-US"/>
        </w:rPr>
        <w:t>“</w:t>
      </w:r>
      <w:r w:rsidRPr="004924DA">
        <w:rPr>
          <w:sz w:val="21"/>
          <w:szCs w:val="21"/>
          <w:lang w:val="en-US"/>
        </w:rPr>
        <w:t xml:space="preserve">When the individual evaluation process has been completed, a moderation process will take place to agree a final moderated score for each question, for each Bidder. When the moderation process is complete, a final </w:t>
      </w:r>
      <w:proofErr w:type="gramStart"/>
      <w:r w:rsidRPr="004924DA">
        <w:rPr>
          <w:sz w:val="21"/>
          <w:szCs w:val="21"/>
          <w:lang w:val="en-US"/>
        </w:rPr>
        <w:t>moderated</w:t>
      </w:r>
      <w:proofErr w:type="gramEnd"/>
      <w:r w:rsidRPr="004924DA">
        <w:rPr>
          <w:sz w:val="21"/>
          <w:szCs w:val="21"/>
          <w:lang w:val="en-US"/>
        </w:rPr>
        <w:t xml:space="preserve"> score will exist for each applicable question (subject to confirmation of Bid compliance). This moderated scoring will have the relevant weighting applied and the total weighted score will be used to determine the successful Bidder</w:t>
      </w:r>
      <w:r w:rsidR="009674B1">
        <w:rPr>
          <w:sz w:val="21"/>
          <w:szCs w:val="21"/>
          <w:lang w:val="en-US"/>
        </w:rPr>
        <w:t>.</w:t>
      </w:r>
      <w:r>
        <w:rPr>
          <w:sz w:val="21"/>
          <w:szCs w:val="21"/>
          <w:lang w:val="en-US"/>
        </w:rPr>
        <w:t>”</w:t>
      </w:r>
      <w:r w:rsidR="002830F6">
        <w:rPr>
          <w:rStyle w:val="FootnoteReference"/>
          <w:sz w:val="21"/>
          <w:szCs w:val="21"/>
        </w:rPr>
        <w:footnoteReference w:id="26"/>
      </w:r>
    </w:p>
    <w:p w14:paraId="765E380B" w14:textId="77777777" w:rsidR="00DB10E2" w:rsidRDefault="00DB10E2" w:rsidP="009745D6">
      <w:pPr>
        <w:pStyle w:val="ListParagraph"/>
        <w:numPr>
          <w:ilvl w:val="0"/>
          <w:numId w:val="4"/>
        </w:numPr>
        <w:ind w:left="567" w:hanging="567"/>
      </w:pPr>
      <w:r w:rsidRPr="00D27FAC">
        <w:t>On the role of evaluators, the tender documentation said that:</w:t>
      </w:r>
    </w:p>
    <w:p w14:paraId="1798E819" w14:textId="4D5A66BC" w:rsidR="00DB10E2" w:rsidRPr="00D27FAC" w:rsidRDefault="00DB10E2" w:rsidP="009D14EA">
      <w:pPr>
        <w:pStyle w:val="ListParagraph"/>
        <w:spacing w:after="0"/>
        <w:ind w:left="851" w:firstLine="0"/>
        <w:rPr>
          <w:sz w:val="21"/>
          <w:szCs w:val="21"/>
          <w:lang w:val="en-US"/>
        </w:rPr>
      </w:pPr>
      <w:r w:rsidRPr="00D27FAC">
        <w:rPr>
          <w:sz w:val="21"/>
          <w:szCs w:val="21"/>
        </w:rPr>
        <w:t>“</w:t>
      </w:r>
      <w:r w:rsidRPr="00D27FAC">
        <w:rPr>
          <w:sz w:val="21"/>
          <w:szCs w:val="21"/>
          <w:lang w:val="en-US"/>
        </w:rPr>
        <w:t>Members of the evaluation panel will:</w:t>
      </w:r>
    </w:p>
    <w:p w14:paraId="600CC259" w14:textId="77777777" w:rsidR="00DB10E2" w:rsidRPr="00D27FAC" w:rsidRDefault="00DB10E2" w:rsidP="009D14EA">
      <w:pPr>
        <w:pStyle w:val="ListParagraph"/>
        <w:numPr>
          <w:ilvl w:val="1"/>
          <w:numId w:val="39"/>
        </w:numPr>
        <w:ind w:left="1418"/>
        <w:contextualSpacing/>
        <w:rPr>
          <w:sz w:val="21"/>
          <w:szCs w:val="21"/>
        </w:rPr>
      </w:pPr>
      <w:r w:rsidRPr="00D27FAC">
        <w:rPr>
          <w:sz w:val="21"/>
          <w:szCs w:val="21"/>
        </w:rPr>
        <w:t xml:space="preserve">Read and review Bid responses allocated to </w:t>
      </w:r>
      <w:proofErr w:type="gramStart"/>
      <w:r w:rsidRPr="00D27FAC">
        <w:rPr>
          <w:sz w:val="21"/>
          <w:szCs w:val="21"/>
        </w:rPr>
        <w:t>them;</w:t>
      </w:r>
      <w:proofErr w:type="gramEnd"/>
    </w:p>
    <w:p w14:paraId="6488C42B" w14:textId="202425D2" w:rsidR="00DB10E2" w:rsidRPr="00D27FAC" w:rsidRDefault="00DB10E2" w:rsidP="009D14EA">
      <w:pPr>
        <w:pStyle w:val="ListParagraph"/>
        <w:numPr>
          <w:ilvl w:val="1"/>
          <w:numId w:val="39"/>
        </w:numPr>
        <w:ind w:left="1418"/>
        <w:contextualSpacing/>
        <w:rPr>
          <w:sz w:val="21"/>
          <w:szCs w:val="21"/>
        </w:rPr>
      </w:pPr>
      <w:r w:rsidRPr="00D27FAC">
        <w:rPr>
          <w:sz w:val="21"/>
          <w:szCs w:val="21"/>
        </w:rPr>
        <w:t>Evaluate Bid submissions in line with the evaluation criteria; and</w:t>
      </w:r>
    </w:p>
    <w:p w14:paraId="6DDA9EC7" w14:textId="25CBB5DE" w:rsidR="00DB10E2" w:rsidRPr="00D27FAC" w:rsidRDefault="00DB10E2" w:rsidP="009745D6">
      <w:pPr>
        <w:pStyle w:val="ListParagraph"/>
        <w:numPr>
          <w:ilvl w:val="1"/>
          <w:numId w:val="39"/>
        </w:numPr>
        <w:ind w:left="1417" w:hanging="357"/>
        <w:rPr>
          <w:sz w:val="21"/>
          <w:szCs w:val="21"/>
        </w:rPr>
      </w:pPr>
      <w:r w:rsidRPr="00D27FAC">
        <w:rPr>
          <w:sz w:val="21"/>
          <w:szCs w:val="21"/>
        </w:rPr>
        <w:t>Participate in the moderation process</w:t>
      </w:r>
      <w:r w:rsidR="0039268B">
        <w:rPr>
          <w:sz w:val="21"/>
          <w:szCs w:val="21"/>
        </w:rPr>
        <w:t>.</w:t>
      </w:r>
    </w:p>
    <w:p w14:paraId="770A2D7A" w14:textId="130CD18E" w:rsidR="00DB10E2" w:rsidRDefault="0039268B" w:rsidP="00DB10E2">
      <w:pPr>
        <w:pStyle w:val="ListParagraph"/>
        <w:spacing w:after="160"/>
        <w:ind w:left="851" w:firstLine="0"/>
        <w:rPr>
          <w:sz w:val="21"/>
          <w:szCs w:val="21"/>
        </w:rPr>
      </w:pPr>
      <w:r>
        <w:rPr>
          <w:sz w:val="21"/>
          <w:szCs w:val="21"/>
        </w:rPr>
        <w:t>“</w:t>
      </w:r>
      <w:r w:rsidR="00DB10E2" w:rsidRPr="00D27FAC">
        <w:rPr>
          <w:sz w:val="21"/>
          <w:szCs w:val="21"/>
        </w:rPr>
        <w:t>The majority of evaluators will not score the entire Bid submission therefore Bidders must ensure the response to each question is self-contained</w:t>
      </w:r>
      <w:r>
        <w:rPr>
          <w:sz w:val="21"/>
          <w:szCs w:val="21"/>
        </w:rPr>
        <w:t>.”</w:t>
      </w:r>
      <w:r w:rsidR="00DB10E2">
        <w:rPr>
          <w:rStyle w:val="FootnoteReference"/>
          <w:sz w:val="21"/>
          <w:szCs w:val="21"/>
        </w:rPr>
        <w:footnoteReference w:id="27"/>
      </w:r>
    </w:p>
    <w:p w14:paraId="6EB02813" w14:textId="3A20B76D" w:rsidR="002467E9" w:rsidRPr="007238E8" w:rsidRDefault="00AB5D05" w:rsidP="007238E8">
      <w:pPr>
        <w:keepNext/>
        <w:spacing w:before="240"/>
        <w:rPr>
          <w:b/>
        </w:rPr>
      </w:pPr>
      <w:r>
        <w:rPr>
          <w:b/>
          <w:bCs/>
        </w:rPr>
        <w:lastRenderedPageBreak/>
        <w:t xml:space="preserve">Conduct of the evaluation </w:t>
      </w:r>
      <w:r w:rsidR="00661CED">
        <w:rPr>
          <w:b/>
          <w:bCs/>
        </w:rPr>
        <w:t>and scoring process</w:t>
      </w:r>
    </w:p>
    <w:p w14:paraId="4DE18D22" w14:textId="6DE334C0" w:rsidR="0078356C" w:rsidRPr="00D51AEE" w:rsidRDefault="00111457" w:rsidP="0078356C">
      <w:pPr>
        <w:pStyle w:val="ListParagraph"/>
        <w:numPr>
          <w:ilvl w:val="0"/>
          <w:numId w:val="4"/>
        </w:numPr>
        <w:spacing w:after="160"/>
        <w:ind w:left="567" w:hanging="567"/>
      </w:pPr>
      <w:bookmarkStart w:id="23" w:name="_Ref203731476"/>
      <w:bookmarkStart w:id="24" w:name="_Ref203741751"/>
      <w:bookmarkStart w:id="25" w:name="_Ref202779886"/>
      <w:r>
        <w:t>Wellsbourne, i</w:t>
      </w:r>
      <w:r w:rsidR="0078356C" w:rsidRPr="003D312F">
        <w:t>n its representations</w:t>
      </w:r>
      <w:r w:rsidR="0078356C">
        <w:t xml:space="preserve"> to Sussex ICB</w:t>
      </w:r>
      <w:r w:rsidR="0078356C" w:rsidRPr="003D312F">
        <w:t>, requested information</w:t>
      </w:r>
      <w:r w:rsidR="0078356C">
        <w:t xml:space="preserve"> on </w:t>
      </w:r>
      <w:r w:rsidR="0078356C" w:rsidRPr="003D312F">
        <w:t>(a)</w:t>
      </w:r>
      <w:r w:rsidR="0078356C">
        <w:t> </w:t>
      </w:r>
      <w:r w:rsidR="0078356C" w:rsidRPr="003D312F">
        <w:t>“Information gathered during the independent scoring and moderation session, including reasons for scores awarded”; (b) “the key criteria which were evaluated when scoring”; and (c) “any other considerations made when scoring e.g. weighting around quality, cost, and social value”.</w:t>
      </w:r>
      <w:r w:rsidR="0078356C">
        <w:rPr>
          <w:rStyle w:val="FootnoteReference"/>
        </w:rPr>
        <w:footnoteReference w:id="28"/>
      </w:r>
    </w:p>
    <w:p w14:paraId="60F03F32" w14:textId="610F7BDC" w:rsidR="0078356C" w:rsidRDefault="0078356C" w:rsidP="0078356C">
      <w:pPr>
        <w:pStyle w:val="ListParagraph"/>
        <w:numPr>
          <w:ilvl w:val="0"/>
          <w:numId w:val="4"/>
        </w:numPr>
        <w:ind w:left="567" w:hanging="567"/>
      </w:pPr>
      <w:bookmarkStart w:id="26" w:name="_Ref204168788"/>
      <w:r w:rsidRPr="00331472">
        <w:t>Sussex ICB responded to Wellsbourne’s information request as follows:</w:t>
      </w:r>
      <w:bookmarkEnd w:id="26"/>
    </w:p>
    <w:p w14:paraId="7BB545F0" w14:textId="77777777" w:rsidR="0078356C" w:rsidRPr="00D51AEE" w:rsidRDefault="0078356C" w:rsidP="0078356C">
      <w:pPr>
        <w:pStyle w:val="ListParagraph"/>
        <w:ind w:left="851" w:firstLine="0"/>
        <w:contextualSpacing/>
        <w:rPr>
          <w:sz w:val="21"/>
          <w:szCs w:val="21"/>
        </w:rPr>
      </w:pPr>
      <w:r w:rsidRPr="00D51AEE">
        <w:rPr>
          <w:sz w:val="21"/>
          <w:szCs w:val="21"/>
        </w:rPr>
        <w:t>“</w:t>
      </w:r>
      <w:r>
        <w:rPr>
          <w:sz w:val="21"/>
          <w:szCs w:val="21"/>
        </w:rPr>
        <w:t xml:space="preserve">[a] </w:t>
      </w:r>
      <w:r w:rsidRPr="00D51AEE">
        <w:rPr>
          <w:sz w:val="21"/>
          <w:szCs w:val="21"/>
        </w:rPr>
        <w:t>Information gathered during the independent scoring and moderation session, including reasons for scores awarded.</w:t>
      </w:r>
    </w:p>
    <w:p w14:paraId="74491427" w14:textId="77777777" w:rsidR="0078356C" w:rsidRPr="00D51AEE" w:rsidRDefault="0078356C" w:rsidP="0078356C">
      <w:pPr>
        <w:pStyle w:val="ListParagraph"/>
        <w:ind w:left="851" w:firstLine="0"/>
        <w:rPr>
          <w:sz w:val="21"/>
          <w:szCs w:val="21"/>
        </w:rPr>
      </w:pPr>
      <w:r w:rsidRPr="00D51AEE">
        <w:rPr>
          <w:sz w:val="21"/>
          <w:szCs w:val="21"/>
        </w:rPr>
        <w:t>Response – The ICB always seeks to be completely transparent in the way it undertakes a tender and evaluation. Please see attached the individual evaluators initial assessment of your bid, with a summary of the feedback for each question. We have also enclosed for you the notes taken for every question at the moderation meetings, which detail the assessment and scoring of your bid.</w:t>
      </w:r>
    </w:p>
    <w:p w14:paraId="329701B2" w14:textId="77777777" w:rsidR="0078356C" w:rsidRPr="00D51AEE" w:rsidRDefault="0078356C" w:rsidP="0078356C">
      <w:pPr>
        <w:pStyle w:val="ListParagraph"/>
        <w:ind w:left="851" w:firstLine="0"/>
        <w:contextualSpacing/>
        <w:rPr>
          <w:sz w:val="21"/>
          <w:szCs w:val="21"/>
        </w:rPr>
      </w:pPr>
      <w:r w:rsidRPr="00D51AEE">
        <w:rPr>
          <w:sz w:val="21"/>
          <w:szCs w:val="21"/>
        </w:rPr>
        <w:t>“</w:t>
      </w:r>
      <w:r>
        <w:rPr>
          <w:sz w:val="21"/>
          <w:szCs w:val="21"/>
        </w:rPr>
        <w:t xml:space="preserve">[b] </w:t>
      </w:r>
      <w:proofErr w:type="gramStart"/>
      <w:r w:rsidRPr="00D51AEE">
        <w:rPr>
          <w:sz w:val="21"/>
          <w:szCs w:val="21"/>
        </w:rPr>
        <w:t>The</w:t>
      </w:r>
      <w:proofErr w:type="gramEnd"/>
      <w:r w:rsidRPr="00D51AEE">
        <w:rPr>
          <w:sz w:val="21"/>
          <w:szCs w:val="21"/>
        </w:rPr>
        <w:t xml:space="preserve"> key criteria which were evaluated when scoring.</w:t>
      </w:r>
    </w:p>
    <w:p w14:paraId="6628E84C" w14:textId="77777777" w:rsidR="0078356C" w:rsidRPr="00D51AEE" w:rsidRDefault="0078356C" w:rsidP="0078356C">
      <w:pPr>
        <w:pStyle w:val="ListParagraph"/>
        <w:ind w:left="851" w:firstLine="0"/>
        <w:rPr>
          <w:sz w:val="21"/>
          <w:szCs w:val="21"/>
        </w:rPr>
      </w:pPr>
      <w:r w:rsidRPr="00D51AEE">
        <w:rPr>
          <w:sz w:val="21"/>
          <w:szCs w:val="21"/>
        </w:rPr>
        <w:t>Response – The key criteria for scoring were set out in the Invitation to Tender pack.</w:t>
      </w:r>
    </w:p>
    <w:p w14:paraId="4A649542" w14:textId="77777777" w:rsidR="0078356C" w:rsidRDefault="0078356C" w:rsidP="0078356C">
      <w:pPr>
        <w:pStyle w:val="ListParagraph"/>
        <w:ind w:left="851" w:firstLine="0"/>
        <w:contextualSpacing/>
        <w:rPr>
          <w:sz w:val="21"/>
          <w:szCs w:val="21"/>
        </w:rPr>
      </w:pPr>
      <w:r w:rsidRPr="00D51AEE">
        <w:rPr>
          <w:sz w:val="21"/>
          <w:szCs w:val="21"/>
        </w:rPr>
        <w:t>“</w:t>
      </w:r>
      <w:r>
        <w:rPr>
          <w:sz w:val="21"/>
          <w:szCs w:val="21"/>
        </w:rPr>
        <w:t xml:space="preserve">[c] </w:t>
      </w:r>
      <w:r w:rsidRPr="00D51AEE">
        <w:rPr>
          <w:sz w:val="21"/>
          <w:szCs w:val="21"/>
        </w:rPr>
        <w:t>Any other considerations made when scoring e.g. weighting around quality, cost, and social value.</w:t>
      </w:r>
    </w:p>
    <w:p w14:paraId="0FBEE32A" w14:textId="77777777" w:rsidR="0078356C" w:rsidRPr="00D51AEE" w:rsidRDefault="0078356C" w:rsidP="0078356C">
      <w:pPr>
        <w:pStyle w:val="ListParagraph"/>
        <w:spacing w:after="160"/>
        <w:ind w:left="851" w:firstLine="0"/>
        <w:rPr>
          <w:sz w:val="21"/>
          <w:szCs w:val="21"/>
        </w:rPr>
      </w:pPr>
      <w:r w:rsidRPr="00D51AEE">
        <w:rPr>
          <w:sz w:val="21"/>
          <w:szCs w:val="21"/>
        </w:rPr>
        <w:t>Response – The Invitation to Tender sets out clearly the considerations that evaluators must make when assessing your bid. In addition to this, each Evaluator is required to undertake project-specific training, led by the procurement lead, before the evaluation of bids can take place.”</w:t>
      </w:r>
      <w:r>
        <w:rPr>
          <w:rStyle w:val="FootnoteReference"/>
          <w:sz w:val="21"/>
          <w:szCs w:val="21"/>
        </w:rPr>
        <w:footnoteReference w:id="29"/>
      </w:r>
    </w:p>
    <w:p w14:paraId="4F71AD22" w14:textId="1135A072" w:rsidR="00A1001B" w:rsidRDefault="008C0C60" w:rsidP="00E31C9B">
      <w:pPr>
        <w:pStyle w:val="ListParagraph"/>
        <w:numPr>
          <w:ilvl w:val="0"/>
          <w:numId w:val="4"/>
        </w:numPr>
        <w:ind w:left="567" w:hanging="567"/>
      </w:pPr>
      <w:bookmarkStart w:id="27" w:name="_Ref204157178"/>
      <w:r>
        <w:t xml:space="preserve">The Panel also asked Sussex ICB about </w:t>
      </w:r>
      <w:r w:rsidR="00E31C9B">
        <w:t>the conduct of the evaluation and scoring process. Sussex ICB told the Panel</w:t>
      </w:r>
      <w:r w:rsidR="00C56368">
        <w:t xml:space="preserve"> that:</w:t>
      </w:r>
      <w:bookmarkEnd w:id="23"/>
      <w:bookmarkEnd w:id="24"/>
      <w:bookmarkEnd w:id="27"/>
    </w:p>
    <w:p w14:paraId="4681C8BB" w14:textId="7A343B66" w:rsidR="00C56368" w:rsidRPr="007238E8" w:rsidRDefault="0023294B" w:rsidP="007238E8">
      <w:pPr>
        <w:pStyle w:val="ListParagraph"/>
        <w:numPr>
          <w:ilvl w:val="0"/>
          <w:numId w:val="52"/>
        </w:numPr>
        <w:rPr>
          <w:sz w:val="21"/>
          <w:szCs w:val="21"/>
        </w:rPr>
      </w:pPr>
      <w:r>
        <w:t>“</w:t>
      </w:r>
      <w:r w:rsidRPr="007238E8">
        <w:rPr>
          <w:sz w:val="21"/>
          <w:szCs w:val="21"/>
        </w:rPr>
        <w:t>Evaluators were required to conduct their individual assessment of the bids via the Atamis portal</w:t>
      </w:r>
      <w:r w:rsidR="007E46A7" w:rsidRPr="007238E8">
        <w:rPr>
          <w:sz w:val="21"/>
          <w:szCs w:val="21"/>
        </w:rPr>
        <w:t>. The individual evaluations did not require any scores to be given at the initial evaluation stage</w:t>
      </w:r>
      <w:r w:rsidR="00B7621B" w:rsidRPr="007238E8">
        <w:rPr>
          <w:sz w:val="21"/>
          <w:szCs w:val="21"/>
        </w:rPr>
        <w:t xml:space="preserve"> …</w:t>
      </w:r>
      <w:r w:rsidR="002E6A73">
        <w:rPr>
          <w:sz w:val="21"/>
          <w:szCs w:val="21"/>
        </w:rPr>
        <w:t xml:space="preserve"> </w:t>
      </w:r>
      <w:r w:rsidR="008A4FEE">
        <w:rPr>
          <w:sz w:val="21"/>
          <w:szCs w:val="21"/>
        </w:rPr>
        <w:t>Evaluators comments were downloaded by the procurement lead and copied to the Moderation Meeting Agenda.</w:t>
      </w:r>
    </w:p>
    <w:p w14:paraId="78BF42DB" w14:textId="090113C0" w:rsidR="00B7621B" w:rsidRPr="007238E8" w:rsidRDefault="00B7621B" w:rsidP="007238E8">
      <w:pPr>
        <w:pStyle w:val="ListParagraph"/>
        <w:numPr>
          <w:ilvl w:val="0"/>
          <w:numId w:val="52"/>
        </w:numPr>
        <w:rPr>
          <w:sz w:val="21"/>
          <w:szCs w:val="21"/>
        </w:rPr>
      </w:pPr>
      <w:r w:rsidRPr="007238E8">
        <w:rPr>
          <w:sz w:val="21"/>
          <w:szCs w:val="21"/>
        </w:rPr>
        <w:t>“Moderation meetings were chaired by the procurement lead for the project</w:t>
      </w:r>
      <w:r w:rsidR="00B71827" w:rsidRPr="007238E8">
        <w:rPr>
          <w:sz w:val="21"/>
          <w:szCs w:val="21"/>
        </w:rPr>
        <w:t xml:space="preserve"> … Each evaluator was asked to summarise their initial assessment of the bids</w:t>
      </w:r>
      <w:r w:rsidR="00A6093B" w:rsidRPr="007238E8">
        <w:rPr>
          <w:sz w:val="21"/>
          <w:szCs w:val="21"/>
        </w:rPr>
        <w:t xml:space="preserve">. Once </w:t>
      </w:r>
      <w:proofErr w:type="gramStart"/>
      <w:r w:rsidR="00A6093B" w:rsidRPr="007238E8">
        <w:rPr>
          <w:sz w:val="21"/>
          <w:szCs w:val="21"/>
        </w:rPr>
        <w:t>all of</w:t>
      </w:r>
      <w:proofErr w:type="gramEnd"/>
      <w:r w:rsidR="00A6093B" w:rsidRPr="007238E8">
        <w:rPr>
          <w:sz w:val="21"/>
          <w:szCs w:val="21"/>
        </w:rPr>
        <w:t xml:space="preserve"> the evaluators had given their summary, the floor was opened for</w:t>
      </w:r>
      <w:r w:rsidR="009538DC" w:rsidRPr="007238E8">
        <w:rPr>
          <w:sz w:val="21"/>
          <w:szCs w:val="21"/>
        </w:rPr>
        <w:t xml:space="preserve"> [discussion]</w:t>
      </w:r>
      <w:r w:rsidR="00B64F2F" w:rsidRPr="007238E8">
        <w:rPr>
          <w:sz w:val="21"/>
          <w:szCs w:val="21"/>
        </w:rPr>
        <w:t>. The procurement chair then agreed with the evaluation team for each question the summary of feedback comments that would be returned to bidders for each question</w:t>
      </w:r>
      <w:r w:rsidR="00D9594C" w:rsidRPr="007238E8">
        <w:rPr>
          <w:sz w:val="21"/>
          <w:szCs w:val="21"/>
        </w:rPr>
        <w:t>.</w:t>
      </w:r>
    </w:p>
    <w:p w14:paraId="472E5A89" w14:textId="52D54AE6" w:rsidR="00D9594C" w:rsidRPr="007238E8" w:rsidRDefault="00D9594C" w:rsidP="007238E8">
      <w:pPr>
        <w:pStyle w:val="ListParagraph"/>
        <w:numPr>
          <w:ilvl w:val="0"/>
          <w:numId w:val="52"/>
        </w:numPr>
        <w:spacing w:after="160"/>
        <w:rPr>
          <w:sz w:val="21"/>
          <w:szCs w:val="21"/>
        </w:rPr>
      </w:pPr>
      <w:r w:rsidRPr="007238E8">
        <w:rPr>
          <w:sz w:val="21"/>
          <w:szCs w:val="21"/>
        </w:rPr>
        <w:t xml:space="preserve">“The Chair then asked each of the evaluators to give their scores based on their individual </w:t>
      </w:r>
      <w:r w:rsidR="00C9785E" w:rsidRPr="007238E8">
        <w:rPr>
          <w:sz w:val="21"/>
          <w:szCs w:val="21"/>
        </w:rPr>
        <w:t>assessment, the subsequent discussion during the moderation meeting and the scoring criteria provided in the Invitation to Tender</w:t>
      </w:r>
      <w:r w:rsidR="003E215D" w:rsidRPr="007238E8">
        <w:rPr>
          <w:sz w:val="21"/>
          <w:szCs w:val="21"/>
        </w:rPr>
        <w:t>. Where there were any differences of opinion the floor was opened for further discussion on why evaluators may have given their initial thoughts on a score differently from other evaluators</w:t>
      </w:r>
      <w:r w:rsidR="000A4044" w:rsidRPr="007238E8">
        <w:rPr>
          <w:sz w:val="21"/>
          <w:szCs w:val="21"/>
        </w:rPr>
        <w:t>. This discussion continued under a consensus score was reached by all evaluators</w:t>
      </w:r>
      <w:r w:rsidR="00A5419F">
        <w:rPr>
          <w:sz w:val="21"/>
          <w:szCs w:val="21"/>
        </w:rPr>
        <w:t xml:space="preserve"> …</w:t>
      </w:r>
      <w:r w:rsidR="0079749D" w:rsidRPr="007238E8">
        <w:rPr>
          <w:sz w:val="21"/>
          <w:szCs w:val="21"/>
        </w:rPr>
        <w:t>”</w:t>
      </w:r>
      <w:r w:rsidR="00F80259">
        <w:rPr>
          <w:sz w:val="21"/>
          <w:szCs w:val="21"/>
        </w:rPr>
        <w:t>.</w:t>
      </w:r>
      <w:r w:rsidR="00A5419F">
        <w:rPr>
          <w:rStyle w:val="FootnoteReference"/>
          <w:sz w:val="21"/>
          <w:szCs w:val="21"/>
        </w:rPr>
        <w:footnoteReference w:id="30"/>
      </w:r>
    </w:p>
    <w:p w14:paraId="4B7A01C1" w14:textId="71DCA930" w:rsidR="00A7059F" w:rsidRDefault="0049176D" w:rsidP="0030414C">
      <w:pPr>
        <w:pStyle w:val="ListParagraph"/>
        <w:numPr>
          <w:ilvl w:val="0"/>
          <w:numId w:val="4"/>
        </w:numPr>
        <w:spacing w:after="160"/>
        <w:ind w:left="567" w:hanging="567"/>
      </w:pPr>
      <w:bookmarkStart w:id="28" w:name="_Ref204004292"/>
      <w:bookmarkEnd w:id="25"/>
      <w:r>
        <w:lastRenderedPageBreak/>
        <w:t>The Panel notes that th</w:t>
      </w:r>
      <w:r w:rsidR="00335C72">
        <w:t>e</w:t>
      </w:r>
      <w:r>
        <w:t xml:space="preserve"> description </w:t>
      </w:r>
      <w:r w:rsidR="00335C72">
        <w:t xml:space="preserve">of the evaluation and scoring process that Sussex ICB provided to the Panel </w:t>
      </w:r>
      <w:r>
        <w:t xml:space="preserve">is not consistent with the description set out in the Moderation Discussion Notes that were shared with Wellsbourne in response to its information request. </w:t>
      </w:r>
      <w:r w:rsidR="0030414C">
        <w:t>The Moderation Discussion Notes state that “For every question, individual evaluator scores and comments will be shared with the panel (through sharing screen on MS Teams). Scores/comments will either be read aloud or time given for panel members to read”.</w:t>
      </w:r>
      <w:r w:rsidR="00776A90">
        <w:t xml:space="preserve"> </w:t>
      </w:r>
      <w:r w:rsidR="004F58CE">
        <w:t xml:space="preserve">That is, </w:t>
      </w:r>
      <w:r w:rsidR="00991729">
        <w:t xml:space="preserve">the Moderation Discussion Notes described a process whereby </w:t>
      </w:r>
      <w:r w:rsidR="004F58CE" w:rsidRPr="004F58CE">
        <w:t xml:space="preserve">each evaluator </w:t>
      </w:r>
      <w:r w:rsidR="00553206">
        <w:t>carried out</w:t>
      </w:r>
      <w:r w:rsidR="004F58CE" w:rsidRPr="004F58CE">
        <w:t xml:space="preserve"> a scored individual evaluation before the moderation meeting; whereas the ICB's explanation to the Panel was that no scores were given until after the moderation discussion.</w:t>
      </w:r>
    </w:p>
    <w:p w14:paraId="7393DC7C" w14:textId="6ACE2C27" w:rsidR="0030414C" w:rsidRDefault="0030414C">
      <w:pPr>
        <w:pStyle w:val="ListParagraph"/>
        <w:numPr>
          <w:ilvl w:val="0"/>
          <w:numId w:val="4"/>
        </w:numPr>
        <w:spacing w:after="160"/>
        <w:ind w:left="567" w:hanging="567"/>
      </w:pPr>
      <w:r>
        <w:t>Sussex ICB told the Panel that the inconsistency between the information supplied to the Panel and that supplied to Wellsbourne arose from the use of template wording in the Moderation Discussion Notes. That is, the template wording did not accurately reflect the process that was used by the ICB in practice.</w:t>
      </w:r>
    </w:p>
    <w:p w14:paraId="4CD6E95C" w14:textId="458F8FFF" w:rsidR="004974F8" w:rsidRPr="00643DCD" w:rsidRDefault="004974F8">
      <w:pPr>
        <w:pStyle w:val="ListParagraph"/>
        <w:numPr>
          <w:ilvl w:val="0"/>
          <w:numId w:val="4"/>
        </w:numPr>
        <w:spacing w:after="160"/>
        <w:ind w:left="567" w:hanging="567"/>
      </w:pPr>
      <w:r>
        <w:t xml:space="preserve">The Panel’s view is that, by </w:t>
      </w:r>
      <w:r w:rsidR="000C797E">
        <w:t xml:space="preserve">conducting the evaluation and scoring process differently </w:t>
      </w:r>
      <w:r w:rsidR="00D94F48">
        <w:t>to th</w:t>
      </w:r>
      <w:r w:rsidR="00745DCF">
        <w:t xml:space="preserve">e way in which it was described </w:t>
      </w:r>
      <w:r w:rsidR="00611083">
        <w:t xml:space="preserve">to </w:t>
      </w:r>
      <w:r>
        <w:t>Wellsbourne, Sussex ICB prevented Wellsbourne from raising concerns about the conduct of the evaluation process, and as a result, did not act transparently or fairly.</w:t>
      </w:r>
      <w:r w:rsidR="00B268AC">
        <w:t xml:space="preserve"> </w:t>
      </w:r>
      <w:r>
        <w:t>As a result, t</w:t>
      </w:r>
      <w:r w:rsidRPr="00AB3C97">
        <w:t xml:space="preserve">he Panel finds that Sussex ICB, </w:t>
      </w:r>
      <w:r w:rsidR="00F34070">
        <w:t>by conducting the evaluation and scoring process differently to the way in which it was described to Wellsbourne,</w:t>
      </w:r>
      <w:r w:rsidRPr="00AB3C97">
        <w:t xml:space="preserve"> breach</w:t>
      </w:r>
      <w:r>
        <w:t>ed</w:t>
      </w:r>
      <w:r w:rsidRPr="00AB3C97">
        <w:t xml:space="preserve"> the PSR regulations, and in particular its obligations under Regulation 4 </w:t>
      </w:r>
      <w:r w:rsidRPr="00643DCD">
        <w:t>to act transparently</w:t>
      </w:r>
      <w:r>
        <w:t xml:space="preserve"> and fairly</w:t>
      </w:r>
      <w:r w:rsidRPr="00643DCD">
        <w:t>.</w:t>
      </w:r>
    </w:p>
    <w:bookmarkEnd w:id="28"/>
    <w:p w14:paraId="19AD0149" w14:textId="7118AE42" w:rsidR="00D348A7" w:rsidRPr="00B41F38" w:rsidRDefault="00C0510F" w:rsidP="00D27FAC">
      <w:pPr>
        <w:pStyle w:val="Heading3"/>
        <w:spacing w:before="240" w:after="160"/>
        <w:rPr>
          <w:b/>
          <w:bCs/>
          <w:color w:val="auto"/>
          <w:sz w:val="22"/>
          <w:szCs w:val="22"/>
        </w:rPr>
      </w:pPr>
      <w:r>
        <w:rPr>
          <w:b/>
          <w:bCs/>
          <w:color w:val="auto"/>
          <w:sz w:val="22"/>
          <w:szCs w:val="22"/>
        </w:rPr>
        <w:t xml:space="preserve">Fairness of </w:t>
      </w:r>
      <w:r w:rsidR="00EF0C85">
        <w:rPr>
          <w:b/>
          <w:bCs/>
          <w:color w:val="auto"/>
          <w:sz w:val="22"/>
          <w:szCs w:val="22"/>
        </w:rPr>
        <w:t xml:space="preserve">ITT </w:t>
      </w:r>
      <w:r w:rsidR="00F803E1">
        <w:rPr>
          <w:b/>
          <w:bCs/>
          <w:color w:val="auto"/>
          <w:sz w:val="22"/>
          <w:szCs w:val="22"/>
        </w:rPr>
        <w:t xml:space="preserve">questions </w:t>
      </w:r>
      <w:r w:rsidR="00DB068B">
        <w:rPr>
          <w:b/>
          <w:bCs/>
          <w:color w:val="auto"/>
          <w:sz w:val="22"/>
          <w:szCs w:val="22"/>
        </w:rPr>
        <w:t xml:space="preserve">and their </w:t>
      </w:r>
      <w:r>
        <w:rPr>
          <w:b/>
          <w:bCs/>
          <w:color w:val="auto"/>
          <w:sz w:val="22"/>
          <w:szCs w:val="22"/>
        </w:rPr>
        <w:t>e</w:t>
      </w:r>
      <w:r w:rsidR="00D730C9">
        <w:rPr>
          <w:b/>
          <w:bCs/>
          <w:color w:val="auto"/>
          <w:sz w:val="22"/>
          <w:szCs w:val="22"/>
        </w:rPr>
        <w:t>valuation</w:t>
      </w:r>
    </w:p>
    <w:p w14:paraId="6825EFDA" w14:textId="7A2E6F11" w:rsidR="00924139" w:rsidRPr="001B4621" w:rsidRDefault="00A2380C" w:rsidP="004501E3">
      <w:pPr>
        <w:pStyle w:val="ListParagraph"/>
        <w:numPr>
          <w:ilvl w:val="0"/>
          <w:numId w:val="4"/>
        </w:numPr>
        <w:ind w:left="567" w:hanging="567"/>
      </w:pPr>
      <w:bookmarkStart w:id="29" w:name="_Ref204155856"/>
      <w:r>
        <w:t>Wellsbourne told the Panel that “t</w:t>
      </w:r>
      <w:r w:rsidRPr="00A2380C">
        <w:t>he evaluation methodology used in this procurement introduced structural disadvantages for the incumbent provider</w:t>
      </w:r>
      <w:r w:rsidRPr="002F795A">
        <w:t>” (see paragraph</w:t>
      </w:r>
      <w:r w:rsidR="00EF25E3">
        <w:t xml:space="preserve"> </w:t>
      </w:r>
      <w:r w:rsidR="00EF25E3">
        <w:fldChar w:fldCharType="begin"/>
      </w:r>
      <w:r w:rsidR="00EF25E3">
        <w:instrText xml:space="preserve"> REF _Ref201645531 \r \h </w:instrText>
      </w:r>
      <w:r w:rsidR="00EF25E3">
        <w:fldChar w:fldCharType="separate"/>
      </w:r>
      <w:r w:rsidR="00C81C5A">
        <w:t>35</w:t>
      </w:r>
      <w:r w:rsidR="00EF25E3">
        <w:fldChar w:fldCharType="end"/>
      </w:r>
      <w:r w:rsidRPr="002F795A">
        <w:t>).</w:t>
      </w:r>
      <w:r>
        <w:t xml:space="preserve"> It </w:t>
      </w:r>
      <w:r w:rsidR="004501E3">
        <w:t>also said</w:t>
      </w:r>
      <w:r w:rsidR="008E60A7">
        <w:t>:</w:t>
      </w:r>
      <w:bookmarkStart w:id="30" w:name="_Ref202427296"/>
      <w:bookmarkEnd w:id="29"/>
    </w:p>
    <w:p w14:paraId="2B14E125" w14:textId="3BFD432D" w:rsidR="00924139" w:rsidRPr="0096651A" w:rsidRDefault="00924139" w:rsidP="00DC0E60">
      <w:pPr>
        <w:pStyle w:val="ListParagraph"/>
        <w:spacing w:after="160"/>
        <w:ind w:left="851" w:firstLine="0"/>
        <w:rPr>
          <w:sz w:val="21"/>
          <w:szCs w:val="21"/>
        </w:rPr>
      </w:pPr>
      <w:r w:rsidRPr="002C76AD">
        <w:rPr>
          <w:sz w:val="21"/>
          <w:szCs w:val="21"/>
        </w:rPr>
        <w:t>“The structure and content of several ITT questions, particularly those on mobilisation</w:t>
      </w:r>
      <w:r w:rsidR="008C5664">
        <w:rPr>
          <w:sz w:val="21"/>
          <w:szCs w:val="21"/>
        </w:rPr>
        <w:t xml:space="preserve"> [ITT01]</w:t>
      </w:r>
      <w:r w:rsidRPr="002C76AD">
        <w:rPr>
          <w:sz w:val="21"/>
          <w:szCs w:val="21"/>
        </w:rPr>
        <w:t>, communication</w:t>
      </w:r>
      <w:r w:rsidR="002D43DB">
        <w:rPr>
          <w:sz w:val="21"/>
          <w:szCs w:val="21"/>
        </w:rPr>
        <w:t>s</w:t>
      </w:r>
      <w:r w:rsidRPr="002C76AD">
        <w:rPr>
          <w:sz w:val="21"/>
          <w:szCs w:val="21"/>
        </w:rPr>
        <w:t xml:space="preserve"> </w:t>
      </w:r>
      <w:r w:rsidR="008C5664">
        <w:rPr>
          <w:sz w:val="21"/>
          <w:szCs w:val="21"/>
        </w:rPr>
        <w:t xml:space="preserve">[ITT02] </w:t>
      </w:r>
      <w:r w:rsidRPr="002C76AD">
        <w:rPr>
          <w:sz w:val="21"/>
          <w:szCs w:val="21"/>
        </w:rPr>
        <w:t>and promoting change</w:t>
      </w:r>
      <w:r w:rsidR="008C5664">
        <w:rPr>
          <w:sz w:val="21"/>
          <w:szCs w:val="21"/>
        </w:rPr>
        <w:t xml:space="preserve"> [ITT16]</w:t>
      </w:r>
      <w:r w:rsidRPr="002C76AD">
        <w:rPr>
          <w:sz w:val="21"/>
          <w:szCs w:val="21"/>
        </w:rPr>
        <w:t>, systematically disadvantaged the incumbent provider. Answers that reflected embedded, proven local delivery were scored lower than speculative proposals from new providers. This reflects inherent bias against continuity, not a neutral assessment of capability. These issues are outlined in our representations</w:t>
      </w:r>
      <w:r>
        <w:rPr>
          <w:sz w:val="21"/>
          <w:szCs w:val="21"/>
        </w:rPr>
        <w:t xml:space="preserve"> </w:t>
      </w:r>
      <w:r w:rsidRPr="002C76AD">
        <w:rPr>
          <w:sz w:val="21"/>
          <w:szCs w:val="21"/>
        </w:rPr>
        <w:t>…, but the ICB’s response to these appears to be an attempt to rebut our appeal than to genuinely consider our concerns</w:t>
      </w:r>
      <w:r w:rsidR="00FF47DB">
        <w:rPr>
          <w:sz w:val="21"/>
          <w:szCs w:val="21"/>
        </w:rPr>
        <w:t xml:space="preserve"> </w:t>
      </w:r>
      <w:r w:rsidR="00512348">
        <w:rPr>
          <w:sz w:val="21"/>
          <w:szCs w:val="21"/>
        </w:rPr>
        <w:t>…</w:t>
      </w:r>
      <w:r w:rsidR="007A1DD5">
        <w:rPr>
          <w:sz w:val="21"/>
          <w:szCs w:val="21"/>
        </w:rPr>
        <w:t>”</w:t>
      </w:r>
      <w:r w:rsidRPr="0096651A">
        <w:rPr>
          <w:rStyle w:val="FootnoteReference"/>
          <w:sz w:val="21"/>
          <w:szCs w:val="21"/>
        </w:rPr>
        <w:footnoteReference w:id="31"/>
      </w:r>
    </w:p>
    <w:bookmarkEnd w:id="30"/>
    <w:p w14:paraId="08D9B5F4" w14:textId="37197E6B" w:rsidR="00AD72D7" w:rsidRPr="002F795A" w:rsidRDefault="00AD72D7" w:rsidP="00AF305D">
      <w:pPr>
        <w:pStyle w:val="ListParagraph"/>
        <w:numPr>
          <w:ilvl w:val="0"/>
          <w:numId w:val="4"/>
        </w:numPr>
        <w:spacing w:after="160"/>
        <w:ind w:left="567" w:hanging="567"/>
      </w:pPr>
      <w:r>
        <w:t xml:space="preserve">Wellsbourne also told the Panel that </w:t>
      </w:r>
      <w:r w:rsidR="008E20F0">
        <w:t>“</w:t>
      </w:r>
      <w:r w:rsidR="003B1689">
        <w:t>Moderation notes contain</w:t>
      </w:r>
      <w:r w:rsidR="003A1B8F">
        <w:t xml:space="preserve"> acknowledged errors and inconsistencies</w:t>
      </w:r>
      <w:r w:rsidR="006322DE">
        <w:t>. The ICB has argued that these did not affect ou</w:t>
      </w:r>
      <w:r w:rsidR="00B93F35">
        <w:t>tcomes, yet no documented re-moderation process has been provided”</w:t>
      </w:r>
      <w:r w:rsidR="00060B0E">
        <w:t xml:space="preserve"> </w:t>
      </w:r>
      <w:r w:rsidR="00060B0E" w:rsidRPr="002F795A">
        <w:t>(see paragraph</w:t>
      </w:r>
      <w:r w:rsidR="00EF25E3">
        <w:t xml:space="preserve"> </w:t>
      </w:r>
      <w:r w:rsidR="00EF25E3">
        <w:fldChar w:fldCharType="begin"/>
      </w:r>
      <w:r w:rsidR="00EF25E3">
        <w:instrText xml:space="preserve"> REF _Ref201645531 \r \h </w:instrText>
      </w:r>
      <w:r w:rsidR="00EF25E3">
        <w:fldChar w:fldCharType="separate"/>
      </w:r>
      <w:r w:rsidR="00C81C5A">
        <w:t>35</w:t>
      </w:r>
      <w:r w:rsidR="00EF25E3">
        <w:fldChar w:fldCharType="end"/>
      </w:r>
      <w:r w:rsidR="00060B0E" w:rsidRPr="002F795A">
        <w:t>).</w:t>
      </w:r>
    </w:p>
    <w:p w14:paraId="4077F1C2" w14:textId="2BB491B5" w:rsidR="00DE5A28" w:rsidRPr="00FC32A7" w:rsidRDefault="00A66819" w:rsidP="00B4502D">
      <w:pPr>
        <w:pStyle w:val="ListParagraph"/>
        <w:numPr>
          <w:ilvl w:val="0"/>
          <w:numId w:val="4"/>
        </w:numPr>
        <w:ind w:left="567" w:hanging="567"/>
      </w:pPr>
      <w:r w:rsidRPr="00FC32A7">
        <w:t>In considering Wellsbourne’s concerns, the Panel reviewed</w:t>
      </w:r>
      <w:r w:rsidR="0013737D" w:rsidRPr="00FC32A7" w:rsidDel="0013737D">
        <w:t xml:space="preserve"> </w:t>
      </w:r>
      <w:r w:rsidR="00327FFA" w:rsidRPr="00FC32A7">
        <w:t>Sussex</w:t>
      </w:r>
      <w:r w:rsidR="00AD0553" w:rsidRPr="00FC32A7">
        <w:t xml:space="preserve"> ICB’s</w:t>
      </w:r>
      <w:r w:rsidR="007F06B2" w:rsidRPr="00FC32A7">
        <w:t xml:space="preserve"> </w:t>
      </w:r>
      <w:r w:rsidR="00E725DE" w:rsidRPr="00FC32A7">
        <w:t>evaluation of Wellsbourne</w:t>
      </w:r>
      <w:r w:rsidR="00131073">
        <w:t>’</w:t>
      </w:r>
      <w:r w:rsidR="00E725DE" w:rsidRPr="00FC32A7">
        <w:t xml:space="preserve">s responses </w:t>
      </w:r>
      <w:r w:rsidR="00DF2438">
        <w:t xml:space="preserve">to </w:t>
      </w:r>
      <w:r w:rsidR="0001416C">
        <w:t>the three questions where Wellsbourne’s concerns were most specifically elaborated, namely</w:t>
      </w:r>
      <w:r w:rsidR="0001416C" w:rsidRPr="00FC32A7">
        <w:t xml:space="preserve"> </w:t>
      </w:r>
      <w:r w:rsidR="00B300D8">
        <w:t>Q</w:t>
      </w:r>
      <w:r w:rsidR="006F1CDD" w:rsidRPr="00FC32A7">
        <w:t>uestions ITT01</w:t>
      </w:r>
      <w:r w:rsidR="00AD63E5" w:rsidRPr="00FC32A7">
        <w:t xml:space="preserve"> (Mobilisation)</w:t>
      </w:r>
      <w:r w:rsidR="006F1CDD" w:rsidRPr="00FC32A7">
        <w:t>, ITT02</w:t>
      </w:r>
      <w:r w:rsidR="00AD63E5" w:rsidRPr="00FC32A7">
        <w:t xml:space="preserve"> (Communication</w:t>
      </w:r>
      <w:r w:rsidR="002D43DB">
        <w:t>s</w:t>
      </w:r>
      <w:r w:rsidR="00AD63E5" w:rsidRPr="00FC32A7">
        <w:t>) and</w:t>
      </w:r>
      <w:r w:rsidR="006F1CDD" w:rsidRPr="00FC32A7">
        <w:t xml:space="preserve"> ITT16</w:t>
      </w:r>
      <w:r w:rsidR="00AD63E5" w:rsidRPr="00FC32A7">
        <w:t xml:space="preserve"> (Promoting change)</w:t>
      </w:r>
      <w:r w:rsidR="001351AB">
        <w:t>.</w:t>
      </w:r>
    </w:p>
    <w:p w14:paraId="10860762" w14:textId="782B231A" w:rsidR="00AD63E5" w:rsidRPr="004E4CD8" w:rsidRDefault="00AD63E5" w:rsidP="003B4157">
      <w:pPr>
        <w:keepNext/>
        <w:spacing w:before="240"/>
        <w:rPr>
          <w:b/>
          <w:bCs/>
        </w:rPr>
      </w:pPr>
      <w:r w:rsidRPr="004E4CD8">
        <w:rPr>
          <w:b/>
          <w:bCs/>
        </w:rPr>
        <w:lastRenderedPageBreak/>
        <w:t xml:space="preserve">Question ITT01 </w:t>
      </w:r>
      <w:r w:rsidR="00CD1E16">
        <w:rPr>
          <w:b/>
          <w:bCs/>
        </w:rPr>
        <w:t>(</w:t>
      </w:r>
      <w:r w:rsidRPr="004E4CD8">
        <w:rPr>
          <w:b/>
          <w:bCs/>
        </w:rPr>
        <w:t>Mobilisation</w:t>
      </w:r>
      <w:r w:rsidR="0017431F" w:rsidRPr="004E4CD8">
        <w:rPr>
          <w:b/>
          <w:bCs/>
        </w:rPr>
        <w:t xml:space="preserve"> Plan</w:t>
      </w:r>
      <w:r w:rsidR="00CD1E16">
        <w:rPr>
          <w:b/>
          <w:bCs/>
        </w:rPr>
        <w:t>)</w:t>
      </w:r>
    </w:p>
    <w:p w14:paraId="31B797E2" w14:textId="55DD188C" w:rsidR="00DF13DF" w:rsidRPr="00D34C26" w:rsidRDefault="006F63F5" w:rsidP="0096296A">
      <w:pPr>
        <w:pStyle w:val="ListParagraph"/>
        <w:numPr>
          <w:ilvl w:val="0"/>
          <w:numId w:val="4"/>
        </w:numPr>
        <w:ind w:left="567" w:hanging="567"/>
      </w:pPr>
      <w:r>
        <w:t>Wellsbourne raised concern</w:t>
      </w:r>
      <w:r w:rsidR="006B565C">
        <w:t xml:space="preserve">s </w:t>
      </w:r>
      <w:r w:rsidR="003D4A78">
        <w:t xml:space="preserve">that the </w:t>
      </w:r>
      <w:r w:rsidR="003E4E14">
        <w:t>question on m</w:t>
      </w:r>
      <w:r w:rsidR="005C02D6">
        <w:t xml:space="preserve">obilisation </w:t>
      </w:r>
      <w:r w:rsidR="001B1CB6">
        <w:t xml:space="preserve">and its evaluation </w:t>
      </w:r>
      <w:r w:rsidR="00C41F79">
        <w:t xml:space="preserve">was unfair to it as the incumbent </w:t>
      </w:r>
      <w:r w:rsidR="00C41F79" w:rsidRPr="002F795A">
        <w:t>provider</w:t>
      </w:r>
      <w:r w:rsidR="00FA7CCD" w:rsidRPr="002F795A">
        <w:t xml:space="preserve"> (see paragraph</w:t>
      </w:r>
      <w:r w:rsidR="00EF25E3">
        <w:t xml:space="preserve"> </w:t>
      </w:r>
      <w:r w:rsidR="00EF25E3">
        <w:fldChar w:fldCharType="begin"/>
      </w:r>
      <w:r w:rsidR="00EF25E3">
        <w:instrText xml:space="preserve"> REF _Ref204155856 \r \h </w:instrText>
      </w:r>
      <w:r w:rsidR="00EF25E3">
        <w:fldChar w:fldCharType="separate"/>
      </w:r>
      <w:r w:rsidR="00C81C5A">
        <w:t>68</w:t>
      </w:r>
      <w:r w:rsidR="00EF25E3">
        <w:fldChar w:fldCharType="end"/>
      </w:r>
      <w:r w:rsidR="00FA7CCD" w:rsidRPr="002F795A">
        <w:t>)</w:t>
      </w:r>
      <w:r w:rsidR="00C41F79" w:rsidRPr="002F795A">
        <w:t>.</w:t>
      </w:r>
      <w:r w:rsidR="005829C0" w:rsidRPr="002F795A">
        <w:t xml:space="preserve"> </w:t>
      </w:r>
      <w:r w:rsidR="003C1773" w:rsidRPr="002F795A">
        <w:t>Q</w:t>
      </w:r>
      <w:r w:rsidR="005829C0" w:rsidRPr="002F795A">
        <w:t>uestion</w:t>
      </w:r>
      <w:r w:rsidR="005A289D">
        <w:t xml:space="preserve"> </w:t>
      </w:r>
      <w:r w:rsidR="0038626F" w:rsidRPr="00D34C26">
        <w:t>ITT01</w:t>
      </w:r>
      <w:r w:rsidR="0096296A">
        <w:t xml:space="preserve"> </w:t>
      </w:r>
      <w:r w:rsidR="000824E1" w:rsidRPr="00D34C26">
        <w:t>(Mo</w:t>
      </w:r>
      <w:r w:rsidR="00D34C26" w:rsidRPr="00D34C26">
        <w:t>bilisation Plan)</w:t>
      </w:r>
      <w:r w:rsidR="0096296A">
        <w:t xml:space="preserve"> </w:t>
      </w:r>
      <w:r w:rsidR="00DF13DF" w:rsidRPr="00D34C26">
        <w:t>was</w:t>
      </w:r>
      <w:r w:rsidR="00D50A34">
        <w:t xml:space="preserve"> </w:t>
      </w:r>
      <w:r w:rsidR="00DF13DF" w:rsidRPr="00D34C26">
        <w:t>as follows:</w:t>
      </w:r>
    </w:p>
    <w:p w14:paraId="7553A8B4" w14:textId="567CE654" w:rsidR="000824E1" w:rsidRPr="000824E1" w:rsidRDefault="000824E1" w:rsidP="004E4CD8">
      <w:pPr>
        <w:pStyle w:val="ListParagraph"/>
        <w:spacing w:after="0"/>
        <w:ind w:left="851" w:firstLine="0"/>
        <w:rPr>
          <w:sz w:val="21"/>
          <w:szCs w:val="21"/>
        </w:rPr>
      </w:pPr>
      <w:r>
        <w:rPr>
          <w:sz w:val="21"/>
          <w:szCs w:val="21"/>
        </w:rPr>
        <w:t>“</w:t>
      </w:r>
      <w:r w:rsidRPr="000824E1">
        <w:rPr>
          <w:sz w:val="21"/>
          <w:szCs w:val="21"/>
        </w:rPr>
        <w:t>Provide your mobilisation plan for this service to go-live 1 April 2025. This must be in the form of a Gantt chart. You must include narrative with detail on:</w:t>
      </w:r>
    </w:p>
    <w:p w14:paraId="6645F260" w14:textId="77777777" w:rsidR="000824E1" w:rsidRPr="000824E1" w:rsidRDefault="000824E1" w:rsidP="004E4CD8">
      <w:pPr>
        <w:pStyle w:val="ListParagraph"/>
        <w:numPr>
          <w:ilvl w:val="0"/>
          <w:numId w:val="26"/>
        </w:numPr>
        <w:ind w:left="1560" w:hanging="357"/>
        <w:contextualSpacing/>
        <w:rPr>
          <w:sz w:val="21"/>
          <w:szCs w:val="21"/>
        </w:rPr>
      </w:pPr>
      <w:r w:rsidRPr="000824E1">
        <w:rPr>
          <w:sz w:val="21"/>
          <w:szCs w:val="21"/>
        </w:rPr>
        <w:t>Timeline and key milestones</w:t>
      </w:r>
    </w:p>
    <w:p w14:paraId="32B6378E" w14:textId="77777777" w:rsidR="000824E1" w:rsidRPr="000824E1" w:rsidRDefault="000824E1" w:rsidP="004E4CD8">
      <w:pPr>
        <w:pStyle w:val="ListParagraph"/>
        <w:numPr>
          <w:ilvl w:val="0"/>
          <w:numId w:val="26"/>
        </w:numPr>
        <w:ind w:left="1560" w:hanging="357"/>
        <w:contextualSpacing/>
        <w:rPr>
          <w:sz w:val="21"/>
          <w:szCs w:val="21"/>
        </w:rPr>
      </w:pPr>
      <w:r w:rsidRPr="000824E1">
        <w:rPr>
          <w:sz w:val="21"/>
          <w:szCs w:val="21"/>
        </w:rPr>
        <w:t>Transition Plan</w:t>
      </w:r>
    </w:p>
    <w:p w14:paraId="513FB983" w14:textId="77777777" w:rsidR="000824E1" w:rsidRPr="000824E1" w:rsidRDefault="000824E1" w:rsidP="004E4CD8">
      <w:pPr>
        <w:pStyle w:val="ListParagraph"/>
        <w:numPr>
          <w:ilvl w:val="0"/>
          <w:numId w:val="26"/>
        </w:numPr>
        <w:ind w:left="1560" w:hanging="357"/>
        <w:contextualSpacing/>
        <w:rPr>
          <w:sz w:val="21"/>
          <w:szCs w:val="21"/>
        </w:rPr>
      </w:pPr>
      <w:r w:rsidRPr="000824E1">
        <w:rPr>
          <w:sz w:val="21"/>
          <w:szCs w:val="21"/>
        </w:rPr>
        <w:t>Setup of IT &amp; Systems</w:t>
      </w:r>
    </w:p>
    <w:p w14:paraId="1D20D24F" w14:textId="7CC92B74" w:rsidR="00191B26" w:rsidRDefault="000824E1" w:rsidP="004E4CD8">
      <w:pPr>
        <w:pStyle w:val="ListParagraph"/>
        <w:numPr>
          <w:ilvl w:val="0"/>
          <w:numId w:val="26"/>
        </w:numPr>
        <w:spacing w:after="160"/>
        <w:ind w:left="1559" w:hanging="357"/>
        <w:rPr>
          <w:sz w:val="21"/>
          <w:szCs w:val="21"/>
        </w:rPr>
      </w:pPr>
      <w:r w:rsidRPr="000824E1">
        <w:rPr>
          <w:sz w:val="21"/>
          <w:szCs w:val="21"/>
        </w:rPr>
        <w:t>Identification and management of potential risks</w:t>
      </w:r>
      <w:r>
        <w:rPr>
          <w:sz w:val="21"/>
          <w:szCs w:val="21"/>
        </w:rPr>
        <w:t>”</w:t>
      </w:r>
    </w:p>
    <w:p w14:paraId="112B68CA" w14:textId="498C79CF" w:rsidR="00D97106" w:rsidRDefault="00D97106" w:rsidP="004E4CD8">
      <w:pPr>
        <w:pStyle w:val="ListParagraph"/>
        <w:numPr>
          <w:ilvl w:val="0"/>
          <w:numId w:val="4"/>
        </w:numPr>
        <w:spacing w:after="160"/>
        <w:ind w:left="567" w:hanging="567"/>
      </w:pPr>
      <w:bookmarkStart w:id="31" w:name="_Ref204008644"/>
      <w:bookmarkStart w:id="32" w:name="_Ref204157536"/>
      <w:r w:rsidRPr="00A2123E">
        <w:t xml:space="preserve">During the </w:t>
      </w:r>
      <w:r w:rsidR="00775C69">
        <w:t xml:space="preserve">bid </w:t>
      </w:r>
      <w:r w:rsidR="00D32B93">
        <w:t>response</w:t>
      </w:r>
      <w:r w:rsidR="00775C69">
        <w:t xml:space="preserve"> period</w:t>
      </w:r>
      <w:r w:rsidRPr="00A2123E">
        <w:t xml:space="preserve">, Wellsbourne </w:t>
      </w:r>
      <w:r w:rsidR="00783045">
        <w:t xml:space="preserve">and another bidder </w:t>
      </w:r>
      <w:r w:rsidRPr="00A2123E">
        <w:t xml:space="preserve">asked </w:t>
      </w:r>
      <w:r w:rsidR="00E5497F">
        <w:t>for</w:t>
      </w:r>
      <w:r w:rsidRPr="00A2123E">
        <w:t xml:space="preserve"> clarification </w:t>
      </w:r>
      <w:r w:rsidR="00A24071">
        <w:t>of</w:t>
      </w:r>
      <w:r w:rsidR="00E5497F">
        <w:t xml:space="preserve"> this </w:t>
      </w:r>
      <w:r w:rsidRPr="00A2123E">
        <w:t>question</w:t>
      </w:r>
      <w:r w:rsidR="0097190D">
        <w:t xml:space="preserve">. The </w:t>
      </w:r>
      <w:r w:rsidR="000D2FBA">
        <w:t>clarification</w:t>
      </w:r>
      <w:r w:rsidR="0097190D">
        <w:t xml:space="preserve"> questions, and Sussex ICB’s response</w:t>
      </w:r>
      <w:r w:rsidR="000D2FBA">
        <w:t>s</w:t>
      </w:r>
      <w:r w:rsidR="0097190D">
        <w:t>, are set out below</w:t>
      </w:r>
      <w:bookmarkEnd w:id="31"/>
      <w:r w:rsidR="00FF202F">
        <w:t>.</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4253"/>
        <w:gridCol w:w="3492"/>
      </w:tblGrid>
      <w:tr w:rsidR="004C754C" w:rsidRPr="004848C4" w14:paraId="5D91670D" w14:textId="77777777" w:rsidTr="007238E8">
        <w:tc>
          <w:tcPr>
            <w:tcW w:w="1271" w:type="dxa"/>
            <w:shd w:val="clear" w:color="auto" w:fill="D9D9D9" w:themeFill="background1" w:themeFillShade="D9"/>
          </w:tcPr>
          <w:p w14:paraId="39E7EA41" w14:textId="0938AE32" w:rsidR="0097190D" w:rsidRPr="004E4CD8" w:rsidRDefault="00DF372B" w:rsidP="004E4CD8">
            <w:pPr>
              <w:spacing w:before="60" w:after="60"/>
              <w:rPr>
                <w:b/>
                <w:bCs/>
                <w:sz w:val="18"/>
                <w:szCs w:val="18"/>
              </w:rPr>
            </w:pPr>
            <w:r w:rsidRPr="004E4CD8">
              <w:rPr>
                <w:b/>
                <w:bCs/>
                <w:sz w:val="18"/>
                <w:szCs w:val="18"/>
              </w:rPr>
              <w:t>Bidder</w:t>
            </w:r>
          </w:p>
        </w:tc>
        <w:tc>
          <w:tcPr>
            <w:tcW w:w="4253" w:type="dxa"/>
            <w:shd w:val="clear" w:color="auto" w:fill="D9D9D9" w:themeFill="background1" w:themeFillShade="D9"/>
          </w:tcPr>
          <w:p w14:paraId="111287FF" w14:textId="37395C55" w:rsidR="0097190D" w:rsidRPr="004E4CD8" w:rsidRDefault="0097190D" w:rsidP="004E4CD8">
            <w:pPr>
              <w:spacing w:before="60" w:after="60"/>
              <w:rPr>
                <w:b/>
                <w:bCs/>
                <w:sz w:val="18"/>
                <w:szCs w:val="18"/>
              </w:rPr>
            </w:pPr>
            <w:r w:rsidRPr="004E4CD8">
              <w:rPr>
                <w:b/>
                <w:bCs/>
                <w:sz w:val="18"/>
                <w:szCs w:val="18"/>
              </w:rPr>
              <w:t>Question</w:t>
            </w:r>
          </w:p>
        </w:tc>
        <w:tc>
          <w:tcPr>
            <w:tcW w:w="3492" w:type="dxa"/>
            <w:shd w:val="clear" w:color="auto" w:fill="D9D9D9" w:themeFill="background1" w:themeFillShade="D9"/>
          </w:tcPr>
          <w:p w14:paraId="0EF806F3" w14:textId="53C483C3" w:rsidR="0097190D" w:rsidRPr="004E4CD8" w:rsidRDefault="0097190D" w:rsidP="004E4CD8">
            <w:pPr>
              <w:spacing w:before="60" w:after="60"/>
              <w:rPr>
                <w:b/>
                <w:bCs/>
                <w:sz w:val="18"/>
                <w:szCs w:val="18"/>
              </w:rPr>
            </w:pPr>
            <w:r w:rsidRPr="004E4CD8">
              <w:rPr>
                <w:b/>
                <w:bCs/>
                <w:sz w:val="18"/>
                <w:szCs w:val="18"/>
              </w:rPr>
              <w:t>Response</w:t>
            </w:r>
          </w:p>
        </w:tc>
      </w:tr>
      <w:tr w:rsidR="0097190D" w:rsidRPr="0097190D" w14:paraId="16B36097" w14:textId="77777777" w:rsidTr="004E4CD8">
        <w:tc>
          <w:tcPr>
            <w:tcW w:w="1271" w:type="dxa"/>
          </w:tcPr>
          <w:p w14:paraId="1D93DBA0" w14:textId="312DE5EA" w:rsidR="0097190D" w:rsidRPr="004E4CD8" w:rsidRDefault="004848C4" w:rsidP="004E4CD8">
            <w:pPr>
              <w:spacing w:before="60" w:after="60"/>
              <w:rPr>
                <w:sz w:val="18"/>
                <w:szCs w:val="18"/>
              </w:rPr>
            </w:pPr>
            <w:r>
              <w:rPr>
                <w:sz w:val="18"/>
                <w:szCs w:val="18"/>
              </w:rPr>
              <w:t>Wellsbourne</w:t>
            </w:r>
          </w:p>
        </w:tc>
        <w:tc>
          <w:tcPr>
            <w:tcW w:w="4253" w:type="dxa"/>
          </w:tcPr>
          <w:p w14:paraId="4C5D3D6D" w14:textId="190376A3" w:rsidR="0097190D" w:rsidRPr="004E4CD8" w:rsidRDefault="005A3E4A" w:rsidP="004E4CD8">
            <w:pPr>
              <w:spacing w:before="60" w:after="60"/>
              <w:rPr>
                <w:sz w:val="18"/>
                <w:szCs w:val="18"/>
              </w:rPr>
            </w:pPr>
            <w:r>
              <w:rPr>
                <w:sz w:val="18"/>
                <w:szCs w:val="18"/>
              </w:rPr>
              <w:t>[</w:t>
            </w:r>
            <w:r w:rsidR="000269E1">
              <w:rPr>
                <w:sz w:val="18"/>
                <w:szCs w:val="18"/>
              </w:rPr>
              <w:t xml:space="preserve">56] </w:t>
            </w:r>
            <w:r w:rsidR="004848C4" w:rsidRPr="004E4CD8">
              <w:rPr>
                <w:sz w:val="18"/>
                <w:szCs w:val="18"/>
              </w:rPr>
              <w:t>As the incumbent, our mobilisation plan will be much lighter touch than if we were mobilising this contract from scratch. Should we provide a mobilisation plan for the actual steps that will be taken, or a plan covering all steps that would be taken if we were a new provider? If it is the first option, can we still score full marks for this response?</w:t>
            </w:r>
          </w:p>
        </w:tc>
        <w:tc>
          <w:tcPr>
            <w:tcW w:w="3492" w:type="dxa"/>
          </w:tcPr>
          <w:p w14:paraId="300A5032" w14:textId="2064FE77" w:rsidR="0097190D" w:rsidRPr="004E4CD8" w:rsidRDefault="004848C4" w:rsidP="004E4CD8">
            <w:pPr>
              <w:spacing w:before="60" w:after="60"/>
              <w:rPr>
                <w:sz w:val="18"/>
                <w:szCs w:val="18"/>
              </w:rPr>
            </w:pPr>
            <w:r w:rsidRPr="004E4CD8">
              <w:rPr>
                <w:sz w:val="18"/>
                <w:szCs w:val="18"/>
              </w:rPr>
              <w:t>The incumbent should make note of their position and that mobilisation will be less intensive, however the response should reference any adaptations that would be required due to the revisions in the new specification and KPIs.</w:t>
            </w:r>
          </w:p>
        </w:tc>
      </w:tr>
      <w:tr w:rsidR="0097190D" w:rsidRPr="0097190D" w14:paraId="601714B9" w14:textId="77777777" w:rsidTr="004E4CD8">
        <w:tc>
          <w:tcPr>
            <w:tcW w:w="1271" w:type="dxa"/>
          </w:tcPr>
          <w:p w14:paraId="7A8D2CD6" w14:textId="31402D03" w:rsidR="0097190D" w:rsidRPr="004E4CD8" w:rsidRDefault="004848C4" w:rsidP="004E4CD8">
            <w:pPr>
              <w:spacing w:before="60" w:after="60"/>
              <w:rPr>
                <w:sz w:val="18"/>
                <w:szCs w:val="18"/>
              </w:rPr>
            </w:pPr>
            <w:r>
              <w:rPr>
                <w:sz w:val="18"/>
                <w:szCs w:val="18"/>
              </w:rPr>
              <w:t>Other</w:t>
            </w:r>
          </w:p>
        </w:tc>
        <w:tc>
          <w:tcPr>
            <w:tcW w:w="4253" w:type="dxa"/>
          </w:tcPr>
          <w:p w14:paraId="14FDFF7C" w14:textId="0C8B3139" w:rsidR="0097190D" w:rsidRPr="004E4CD8" w:rsidRDefault="00D40974" w:rsidP="004E4CD8">
            <w:pPr>
              <w:spacing w:before="60" w:after="60"/>
              <w:rPr>
                <w:sz w:val="18"/>
                <w:szCs w:val="18"/>
              </w:rPr>
            </w:pPr>
            <w:r>
              <w:rPr>
                <w:sz w:val="18"/>
                <w:szCs w:val="18"/>
              </w:rPr>
              <w:t xml:space="preserve">[28] </w:t>
            </w:r>
            <w:r w:rsidR="004848C4" w:rsidRPr="004E4CD8">
              <w:rPr>
                <w:sz w:val="18"/>
                <w:szCs w:val="18"/>
              </w:rPr>
              <w:t>Regarding ITT01 could commissioners clarify what is meant by a transition plan and what is expected from this?</w:t>
            </w:r>
          </w:p>
        </w:tc>
        <w:tc>
          <w:tcPr>
            <w:tcW w:w="3492" w:type="dxa"/>
          </w:tcPr>
          <w:p w14:paraId="6F3F07B1" w14:textId="0B41DF16" w:rsidR="0097190D" w:rsidRPr="004E4CD8" w:rsidRDefault="004848C4" w:rsidP="004E4CD8">
            <w:pPr>
              <w:spacing w:before="60" w:after="60"/>
              <w:rPr>
                <w:sz w:val="18"/>
                <w:szCs w:val="18"/>
              </w:rPr>
            </w:pPr>
            <w:r w:rsidRPr="004E4CD8">
              <w:rPr>
                <w:sz w:val="18"/>
                <w:szCs w:val="18"/>
              </w:rPr>
              <w:t>Transition plan will outline how a service will move from one provider to another and how the new provider will move to implement the new service.</w:t>
            </w:r>
          </w:p>
        </w:tc>
      </w:tr>
    </w:tbl>
    <w:p w14:paraId="1A9FDC53" w14:textId="01F64D74" w:rsidR="0097190D" w:rsidRPr="008545C1" w:rsidRDefault="0097190D" w:rsidP="004E4CD8">
      <w:pPr>
        <w:spacing w:before="60" w:after="360" w:line="240" w:lineRule="auto"/>
        <w:rPr>
          <w:sz w:val="16"/>
          <w:szCs w:val="16"/>
          <w:lang w:val="fr-FR"/>
        </w:rPr>
      </w:pPr>
      <w:r w:rsidRPr="008545C1">
        <w:rPr>
          <w:sz w:val="16"/>
          <w:szCs w:val="16"/>
          <w:lang w:val="fr-FR"/>
        </w:rPr>
        <w:t xml:space="preserve">Source: </w:t>
      </w:r>
      <w:r w:rsidR="004049E7" w:rsidRPr="008545C1">
        <w:rPr>
          <w:sz w:val="16"/>
          <w:szCs w:val="16"/>
          <w:lang w:val="fr-FR"/>
        </w:rPr>
        <w:t xml:space="preserve">Sussex ICB, </w:t>
      </w:r>
      <w:r w:rsidR="004049E7" w:rsidRPr="008545C1">
        <w:rPr>
          <w:i/>
          <w:sz w:val="16"/>
          <w:szCs w:val="16"/>
          <w:lang w:val="fr-FR"/>
        </w:rPr>
        <w:t>Clarifications Questions Log</w:t>
      </w:r>
      <w:r w:rsidR="004049E7" w:rsidRPr="008545C1">
        <w:rPr>
          <w:sz w:val="16"/>
          <w:szCs w:val="16"/>
          <w:lang w:val="fr-FR"/>
        </w:rPr>
        <w:t xml:space="preserve">, </w:t>
      </w:r>
      <w:r w:rsidR="00001371">
        <w:rPr>
          <w:sz w:val="16"/>
          <w:szCs w:val="16"/>
          <w:lang w:val="fr-FR"/>
        </w:rPr>
        <w:t>4</w:t>
      </w:r>
      <w:r w:rsidR="00001371" w:rsidRPr="008545C1">
        <w:rPr>
          <w:sz w:val="16"/>
          <w:szCs w:val="16"/>
          <w:lang w:val="fr-FR"/>
        </w:rPr>
        <w:t xml:space="preserve"> </w:t>
      </w:r>
      <w:r w:rsidR="004049E7" w:rsidRPr="008545C1">
        <w:rPr>
          <w:sz w:val="16"/>
          <w:szCs w:val="16"/>
          <w:lang w:val="fr-FR"/>
        </w:rPr>
        <w:t>October 2024.</w:t>
      </w:r>
    </w:p>
    <w:p w14:paraId="086644B7" w14:textId="64042420" w:rsidR="00334F71" w:rsidRDefault="00AC1915" w:rsidP="004E4CD8">
      <w:pPr>
        <w:pStyle w:val="ListParagraph"/>
        <w:numPr>
          <w:ilvl w:val="0"/>
          <w:numId w:val="4"/>
        </w:numPr>
        <w:spacing w:after="160"/>
        <w:ind w:left="567" w:hanging="567"/>
      </w:pPr>
      <w:bookmarkStart w:id="33" w:name="_Ref202780981"/>
      <w:r>
        <w:t>The tender documentat</w:t>
      </w:r>
      <w:r w:rsidR="00670F27">
        <w:t>ion sets out that a</w:t>
      </w:r>
      <w:r w:rsidR="00543123" w:rsidRPr="00DA6ADE">
        <w:t xml:space="preserve"> </w:t>
      </w:r>
      <w:r w:rsidR="00CE0A16" w:rsidRPr="00DA6ADE">
        <w:t xml:space="preserve">minimum </w:t>
      </w:r>
      <w:r w:rsidR="006C6E2E" w:rsidRPr="00DA6ADE">
        <w:t xml:space="preserve">‘Pass’ threshold </w:t>
      </w:r>
      <w:r w:rsidR="00670F27">
        <w:t>would be</w:t>
      </w:r>
      <w:r w:rsidR="0097664B" w:rsidRPr="00DA6ADE">
        <w:t xml:space="preserve"> applicable to ITT01</w:t>
      </w:r>
      <w:r w:rsidR="00DA6ADE" w:rsidRPr="00DA6ADE">
        <w:t>, mean</w:t>
      </w:r>
      <w:r w:rsidR="00670F27">
        <w:t>ing</w:t>
      </w:r>
      <w:r w:rsidR="00DA6ADE" w:rsidRPr="00DA6ADE">
        <w:t xml:space="preserve"> that</w:t>
      </w:r>
      <w:r w:rsidR="006C6E2E" w:rsidRPr="00DA6ADE">
        <w:t xml:space="preserve"> “</w:t>
      </w:r>
      <w:r w:rsidR="0024104C" w:rsidRPr="00542D54">
        <w:rPr>
          <w:lang w:val="en-US"/>
        </w:rPr>
        <w:t xml:space="preserve">Bidders are expected to achieve a minimum of an ‘Acceptable’ standard </w:t>
      </w:r>
      <w:r w:rsidR="004F799C" w:rsidRPr="00542D54">
        <w:rPr>
          <w:lang w:val="en-US"/>
        </w:rPr>
        <w:t xml:space="preserve">… </w:t>
      </w:r>
      <w:r w:rsidR="0024104C" w:rsidRPr="00542D54">
        <w:rPr>
          <w:lang w:val="en-US"/>
        </w:rPr>
        <w:t>or an equivalent minimum numerical score of 2. The Commissioner reserves the right to reject any Bid which does not meet this threshold as a minimum in respect to one or more of these criteria</w:t>
      </w:r>
      <w:r w:rsidR="0097664B" w:rsidRPr="00542D54">
        <w:rPr>
          <w:lang w:val="en-US"/>
        </w:rPr>
        <w:t>”</w:t>
      </w:r>
      <w:r w:rsidR="00F1407E" w:rsidRPr="00542D54">
        <w:rPr>
          <w:lang w:val="en-US"/>
        </w:rPr>
        <w:t>.</w:t>
      </w:r>
      <w:r w:rsidR="00F1407E">
        <w:rPr>
          <w:rStyle w:val="FootnoteReference"/>
          <w:lang w:val="en-US"/>
        </w:rPr>
        <w:footnoteReference w:id="32"/>
      </w:r>
      <w:bookmarkEnd w:id="33"/>
    </w:p>
    <w:p w14:paraId="02FB510C" w14:textId="070FEB1C" w:rsidR="00F17A1F" w:rsidRPr="00987696" w:rsidRDefault="009D09D6" w:rsidP="00F17A1F">
      <w:pPr>
        <w:pStyle w:val="ListParagraph"/>
        <w:numPr>
          <w:ilvl w:val="0"/>
          <w:numId w:val="4"/>
        </w:numPr>
        <w:ind w:left="567" w:hanging="567"/>
      </w:pPr>
      <w:bookmarkStart w:id="34" w:name="_Ref201926298"/>
      <w:r w:rsidRPr="00F92447">
        <w:t xml:space="preserve">Wellsbourne’s response was awarded a score of </w:t>
      </w:r>
      <w:r>
        <w:t>1 (Limited). Sussex ICB, i</w:t>
      </w:r>
      <w:r w:rsidR="00F17A1F" w:rsidRPr="00987696">
        <w:t xml:space="preserve">n </w:t>
      </w:r>
      <w:r>
        <w:t>the</w:t>
      </w:r>
      <w:r w:rsidR="00F17A1F">
        <w:t xml:space="preserve"> tender</w:t>
      </w:r>
      <w:r w:rsidR="00F17A1F" w:rsidRPr="00987696">
        <w:t xml:space="preserve"> outcome letter</w:t>
      </w:r>
      <w:r>
        <w:t xml:space="preserve"> sent to Wellsbourne</w:t>
      </w:r>
      <w:r w:rsidR="00F17A1F" w:rsidRPr="00987696">
        <w:t xml:space="preserve">, </w:t>
      </w:r>
      <w:r w:rsidR="00630C77">
        <w:t xml:space="preserve">said that </w:t>
      </w:r>
      <w:r w:rsidR="0015171D">
        <w:t>it</w:t>
      </w:r>
      <w:r w:rsidR="004C1849">
        <w:t xml:space="preserve"> had “failed to meet the minimum criteria for this question” </w:t>
      </w:r>
      <w:r w:rsidR="00AE38EF">
        <w:t>although it did not reject Wellsbourne’s bid on this basis. The ICB</w:t>
      </w:r>
      <w:r w:rsidR="004C1849">
        <w:t xml:space="preserve"> </w:t>
      </w:r>
      <w:r w:rsidR="00F17A1F">
        <w:t>gave Wellsbourne</w:t>
      </w:r>
      <w:r w:rsidR="00F17A1F" w:rsidRPr="00987696">
        <w:t xml:space="preserve"> the following </w:t>
      </w:r>
      <w:r w:rsidR="00666966">
        <w:t>feedback</w:t>
      </w:r>
      <w:r w:rsidR="00F17A1F">
        <w:t>:</w:t>
      </w:r>
      <w:bookmarkEnd w:id="34"/>
    </w:p>
    <w:p w14:paraId="7E60E8A3" w14:textId="29EE820D" w:rsidR="00F17A1F" w:rsidRPr="00987696" w:rsidRDefault="00F17A1F" w:rsidP="004E4CD8">
      <w:pPr>
        <w:pStyle w:val="ListParagraph"/>
        <w:spacing w:after="0"/>
        <w:ind w:left="851" w:firstLine="0"/>
        <w:rPr>
          <w:sz w:val="21"/>
          <w:szCs w:val="21"/>
        </w:rPr>
      </w:pPr>
      <w:r w:rsidRPr="00987696">
        <w:rPr>
          <w:sz w:val="21"/>
          <w:szCs w:val="21"/>
        </w:rPr>
        <w:t>“The bidder provided a limited answer that does not meet the stated requirement and provides little detail or evidence. Positive aspects of the response included:</w:t>
      </w:r>
    </w:p>
    <w:p w14:paraId="66C9A6A8" w14:textId="77777777" w:rsidR="00F17A1F" w:rsidRPr="00987696" w:rsidRDefault="00F17A1F" w:rsidP="00F17A1F">
      <w:pPr>
        <w:pStyle w:val="ListParagraph"/>
        <w:numPr>
          <w:ilvl w:val="0"/>
          <w:numId w:val="29"/>
        </w:numPr>
        <w:rPr>
          <w:sz w:val="21"/>
          <w:szCs w:val="21"/>
        </w:rPr>
      </w:pPr>
      <w:r w:rsidRPr="00987696">
        <w:rPr>
          <w:sz w:val="21"/>
          <w:szCs w:val="21"/>
        </w:rPr>
        <w:t>A description of key risks identified.</w:t>
      </w:r>
    </w:p>
    <w:p w14:paraId="610B6C19" w14:textId="4864E055" w:rsidR="00F17A1F" w:rsidRPr="00987696" w:rsidRDefault="001654AD" w:rsidP="004E4CD8">
      <w:pPr>
        <w:pStyle w:val="ListParagraph"/>
        <w:spacing w:after="0"/>
        <w:ind w:left="697" w:firstLine="153"/>
        <w:rPr>
          <w:sz w:val="21"/>
          <w:szCs w:val="21"/>
        </w:rPr>
      </w:pPr>
      <w:r>
        <w:rPr>
          <w:sz w:val="21"/>
          <w:szCs w:val="21"/>
        </w:rPr>
        <w:t>“</w:t>
      </w:r>
      <w:r w:rsidR="00F17A1F" w:rsidRPr="00987696">
        <w:rPr>
          <w:sz w:val="21"/>
          <w:szCs w:val="21"/>
        </w:rPr>
        <w:t>The response could potentially have been improved by:</w:t>
      </w:r>
    </w:p>
    <w:p w14:paraId="0E3ED899" w14:textId="77777777" w:rsidR="00F17A1F" w:rsidRPr="00987696" w:rsidRDefault="00F17A1F" w:rsidP="00F17A1F">
      <w:pPr>
        <w:pStyle w:val="ListParagraph"/>
        <w:numPr>
          <w:ilvl w:val="0"/>
          <w:numId w:val="29"/>
        </w:numPr>
        <w:ind w:left="1570" w:hanging="357"/>
        <w:contextualSpacing/>
        <w:rPr>
          <w:sz w:val="21"/>
          <w:szCs w:val="21"/>
        </w:rPr>
      </w:pPr>
      <w:r w:rsidRPr="00987696">
        <w:rPr>
          <w:sz w:val="21"/>
          <w:szCs w:val="21"/>
        </w:rPr>
        <w:t xml:space="preserve">Providing a more detailed plan as the mobilisation plan was a list of around 20 generic tasks with no timeframes, resource requirements or named leads. </w:t>
      </w:r>
    </w:p>
    <w:p w14:paraId="1C080D12" w14:textId="3DFFEBE3" w:rsidR="00F17A1F" w:rsidRPr="00987696" w:rsidRDefault="00F17A1F" w:rsidP="00F17A1F">
      <w:pPr>
        <w:pStyle w:val="ListParagraph"/>
        <w:numPr>
          <w:ilvl w:val="0"/>
          <w:numId w:val="29"/>
        </w:numPr>
        <w:ind w:left="1570" w:hanging="357"/>
        <w:contextualSpacing/>
        <w:rPr>
          <w:sz w:val="21"/>
          <w:szCs w:val="21"/>
        </w:rPr>
      </w:pPr>
      <w:r w:rsidRPr="00987696">
        <w:rPr>
          <w:sz w:val="21"/>
          <w:szCs w:val="21"/>
        </w:rPr>
        <w:t xml:space="preserve">Being clearer on the risk management process. Where potential risks have been identified, they are very high level, which does not provide assurance that </w:t>
      </w:r>
      <w:r w:rsidRPr="00987696">
        <w:rPr>
          <w:sz w:val="21"/>
          <w:szCs w:val="21"/>
        </w:rPr>
        <w:lastRenderedPageBreak/>
        <w:t>a clear process is in place to identify, monitor and manage risk e.g., clinical focus.</w:t>
      </w:r>
    </w:p>
    <w:p w14:paraId="7BEA3ACF" w14:textId="1E094207" w:rsidR="00F17A1F" w:rsidRPr="00987696" w:rsidRDefault="00F17A1F" w:rsidP="00F17A1F">
      <w:pPr>
        <w:pStyle w:val="ListParagraph"/>
        <w:numPr>
          <w:ilvl w:val="0"/>
          <w:numId w:val="29"/>
        </w:numPr>
        <w:ind w:left="1570" w:hanging="357"/>
        <w:contextualSpacing/>
        <w:rPr>
          <w:sz w:val="21"/>
          <w:szCs w:val="21"/>
        </w:rPr>
      </w:pPr>
      <w:r w:rsidRPr="00987696">
        <w:rPr>
          <w:sz w:val="21"/>
          <w:szCs w:val="21"/>
        </w:rPr>
        <w:t>Providing a Gantt chart with more detail of key tasks, duration, timelines and milestones.</w:t>
      </w:r>
    </w:p>
    <w:p w14:paraId="63DF1E25" w14:textId="6436C2DC" w:rsidR="00F17A1F" w:rsidRPr="00987696" w:rsidRDefault="00F17A1F" w:rsidP="00F17A1F">
      <w:pPr>
        <w:pStyle w:val="ListParagraph"/>
        <w:numPr>
          <w:ilvl w:val="0"/>
          <w:numId w:val="29"/>
        </w:numPr>
        <w:ind w:left="1570" w:hanging="357"/>
        <w:contextualSpacing/>
        <w:rPr>
          <w:sz w:val="21"/>
          <w:szCs w:val="21"/>
        </w:rPr>
      </w:pPr>
      <w:r w:rsidRPr="00987696">
        <w:rPr>
          <w:sz w:val="21"/>
          <w:szCs w:val="21"/>
        </w:rPr>
        <w:t>Providing more detail to support the response as the narrative and supporting evidence is very high level and lacking in detail.</w:t>
      </w:r>
    </w:p>
    <w:p w14:paraId="01945088" w14:textId="23DE543B" w:rsidR="00F17A1F" w:rsidRPr="00987696" w:rsidRDefault="00F17A1F" w:rsidP="00F17A1F">
      <w:pPr>
        <w:pStyle w:val="ListParagraph"/>
        <w:numPr>
          <w:ilvl w:val="0"/>
          <w:numId w:val="29"/>
        </w:numPr>
        <w:ind w:left="1570" w:hanging="357"/>
        <w:contextualSpacing/>
        <w:rPr>
          <w:sz w:val="21"/>
          <w:szCs w:val="21"/>
        </w:rPr>
      </w:pPr>
      <w:r w:rsidRPr="00987696">
        <w:rPr>
          <w:sz w:val="21"/>
          <w:szCs w:val="21"/>
        </w:rPr>
        <w:t>Providing more detail on IT as the bidder only mentioned system 1 and nothing about cloud telephony, online consultations etc.</w:t>
      </w:r>
    </w:p>
    <w:p w14:paraId="31E211C7" w14:textId="77777777" w:rsidR="00F17A1F" w:rsidRPr="00987696" w:rsidRDefault="00F17A1F" w:rsidP="00F44CA9">
      <w:pPr>
        <w:pStyle w:val="ListParagraph"/>
        <w:numPr>
          <w:ilvl w:val="0"/>
          <w:numId w:val="29"/>
        </w:numPr>
        <w:spacing w:after="160"/>
        <w:ind w:left="1570" w:hanging="357"/>
        <w:rPr>
          <w:sz w:val="21"/>
          <w:szCs w:val="21"/>
        </w:rPr>
      </w:pPr>
      <w:r w:rsidRPr="00987696">
        <w:rPr>
          <w:sz w:val="21"/>
          <w:szCs w:val="21"/>
        </w:rPr>
        <w:t>Detailing how they will engage staff in the process as it was not included as a risk.”</w:t>
      </w:r>
      <w:r>
        <w:rPr>
          <w:rStyle w:val="FootnoteReference"/>
          <w:sz w:val="21"/>
          <w:szCs w:val="21"/>
        </w:rPr>
        <w:footnoteReference w:id="33"/>
      </w:r>
    </w:p>
    <w:p w14:paraId="77B255F4" w14:textId="09114283" w:rsidR="00663C28" w:rsidRDefault="002976BA" w:rsidP="00BD1A0D">
      <w:pPr>
        <w:pStyle w:val="ListParagraph"/>
        <w:numPr>
          <w:ilvl w:val="0"/>
          <w:numId w:val="4"/>
        </w:numPr>
        <w:spacing w:after="160"/>
        <w:ind w:left="567" w:hanging="567"/>
        <w:contextualSpacing/>
      </w:pPr>
      <w:bookmarkStart w:id="35" w:name="_Ref202776226"/>
      <w:bookmarkStart w:id="36" w:name="_Ref203375474"/>
      <w:r>
        <w:t xml:space="preserve">Sussex ICB </w:t>
      </w:r>
      <w:r w:rsidR="0001135A">
        <w:t xml:space="preserve">later shared </w:t>
      </w:r>
      <w:r w:rsidR="00F12C01">
        <w:t>with Wellsbourne</w:t>
      </w:r>
      <w:r w:rsidR="00F71105">
        <w:t>,</w:t>
      </w:r>
      <w:r w:rsidR="00F12C01">
        <w:t xml:space="preserve"> </w:t>
      </w:r>
      <w:r w:rsidR="008300D2">
        <w:t xml:space="preserve">following </w:t>
      </w:r>
      <w:r>
        <w:t xml:space="preserve">Wellsbourne’s request </w:t>
      </w:r>
      <w:r w:rsidR="000C18EB">
        <w:t>during its representations to the ICB</w:t>
      </w:r>
      <w:r w:rsidR="00BA446C">
        <w:t xml:space="preserve">, records from the evaluation </w:t>
      </w:r>
      <w:r w:rsidR="00BA446C" w:rsidRPr="002F795A">
        <w:t xml:space="preserve">process </w:t>
      </w:r>
      <w:r w:rsidR="0001135A" w:rsidRPr="002F795A">
        <w:t>(see paragraph</w:t>
      </w:r>
      <w:r w:rsidR="007A0B23" w:rsidRPr="002F795A">
        <w:t> </w:t>
      </w:r>
      <w:r w:rsidR="00EF25E3">
        <w:fldChar w:fldCharType="begin"/>
      </w:r>
      <w:r w:rsidR="00EF25E3">
        <w:instrText xml:space="preserve"> REF _Ref204168788 \r \h </w:instrText>
      </w:r>
      <w:r w:rsidR="00EF25E3">
        <w:fldChar w:fldCharType="separate"/>
      </w:r>
      <w:r w:rsidR="00C81C5A">
        <w:t>63</w:t>
      </w:r>
      <w:r w:rsidR="00EF25E3">
        <w:fldChar w:fldCharType="end"/>
      </w:r>
      <w:r w:rsidR="0001135A" w:rsidRPr="002F795A">
        <w:t>)</w:t>
      </w:r>
      <w:r w:rsidR="007A0B23" w:rsidRPr="002F795A">
        <w:t>.</w:t>
      </w:r>
      <w:r w:rsidR="00BA446C">
        <w:t xml:space="preserve"> These </w:t>
      </w:r>
      <w:r w:rsidR="00BE7E9E">
        <w:t xml:space="preserve">records </w:t>
      </w:r>
      <w:r w:rsidR="00BA446C">
        <w:t>took the form of two documents:</w:t>
      </w:r>
    </w:p>
    <w:p w14:paraId="32659C7E" w14:textId="0B417549" w:rsidR="00F34CD2" w:rsidRDefault="00BA446C" w:rsidP="00BD1A0D">
      <w:pPr>
        <w:pStyle w:val="ListParagraph"/>
        <w:numPr>
          <w:ilvl w:val="0"/>
          <w:numId w:val="55"/>
        </w:numPr>
        <w:spacing w:after="160"/>
        <w:contextualSpacing/>
      </w:pPr>
      <w:r>
        <w:t xml:space="preserve">first, </w:t>
      </w:r>
      <w:r w:rsidR="00102B80">
        <w:t>Moderation Discussion Notes</w:t>
      </w:r>
      <w:r w:rsidR="00FB6B83">
        <w:t xml:space="preserve">, which </w:t>
      </w:r>
      <w:r w:rsidR="009B6899">
        <w:t xml:space="preserve">include </w:t>
      </w:r>
      <w:r w:rsidR="00E01C6A">
        <w:t>evaluators</w:t>
      </w:r>
      <w:r w:rsidR="00C31793">
        <w:t>’ initial comments on bidders’ answers</w:t>
      </w:r>
      <w:r w:rsidR="00E44ED5">
        <w:t xml:space="preserve">, </w:t>
      </w:r>
      <w:r w:rsidR="002A3647">
        <w:t xml:space="preserve">a record of the </w:t>
      </w:r>
      <w:r w:rsidR="00E01C6A">
        <w:t>discussions between evaluators</w:t>
      </w:r>
      <w:r w:rsidR="0045666E">
        <w:t>,</w:t>
      </w:r>
      <w:r w:rsidR="000C18EB">
        <w:t xml:space="preserve"> </w:t>
      </w:r>
      <w:r w:rsidR="00661073">
        <w:t xml:space="preserve">the </w:t>
      </w:r>
      <w:r w:rsidR="002909F4">
        <w:t>individual evaluators</w:t>
      </w:r>
      <w:r w:rsidR="006D07EF">
        <w:t>’</w:t>
      </w:r>
      <w:r w:rsidR="002909F4">
        <w:t xml:space="preserve"> </w:t>
      </w:r>
      <w:r w:rsidR="0045666E">
        <w:t>scores</w:t>
      </w:r>
      <w:r w:rsidR="00443855">
        <w:t xml:space="preserve"> and</w:t>
      </w:r>
      <w:r w:rsidR="00661073">
        <w:t xml:space="preserve"> </w:t>
      </w:r>
      <w:r w:rsidR="00BF7638">
        <w:t>the moderated score</w:t>
      </w:r>
      <w:r w:rsidR="00663C28">
        <w:t>; and</w:t>
      </w:r>
    </w:p>
    <w:p w14:paraId="58C242AC" w14:textId="77777777" w:rsidR="00BD1A0D" w:rsidRDefault="00663C28" w:rsidP="00663C28">
      <w:pPr>
        <w:pStyle w:val="ListParagraph"/>
        <w:numPr>
          <w:ilvl w:val="0"/>
          <w:numId w:val="55"/>
        </w:numPr>
        <w:spacing w:after="160"/>
      </w:pPr>
      <w:r>
        <w:t xml:space="preserve">second, </w:t>
      </w:r>
      <w:r w:rsidR="00CC5290">
        <w:t xml:space="preserve">Moderation </w:t>
      </w:r>
      <w:r w:rsidR="005A7A57">
        <w:t>and Clarification Meeting</w:t>
      </w:r>
      <w:r w:rsidR="00A466A9">
        <w:t xml:space="preserve"> notes, which </w:t>
      </w:r>
      <w:r w:rsidR="00477969">
        <w:t xml:space="preserve">set out an </w:t>
      </w:r>
      <w:r w:rsidR="00264573">
        <w:t xml:space="preserve">annotated </w:t>
      </w:r>
      <w:r w:rsidR="00477969">
        <w:t>agenda for the moderation meeting</w:t>
      </w:r>
      <w:r w:rsidR="00264573">
        <w:t xml:space="preserve"> and a </w:t>
      </w:r>
      <w:r w:rsidR="00FA1FF7">
        <w:t xml:space="preserve">completed </w:t>
      </w:r>
      <w:r w:rsidR="00912A7F">
        <w:t xml:space="preserve">assessment </w:t>
      </w:r>
      <w:r w:rsidR="00AF2074">
        <w:t xml:space="preserve">for </w:t>
      </w:r>
      <w:r w:rsidR="003367F7">
        <w:t xml:space="preserve">bidders’ responses </w:t>
      </w:r>
      <w:r w:rsidR="009764EE">
        <w:t>to each question.</w:t>
      </w:r>
    </w:p>
    <w:p w14:paraId="2BE23430" w14:textId="124E7666" w:rsidR="003141FC" w:rsidRDefault="001F57E3" w:rsidP="007238E8">
      <w:pPr>
        <w:pStyle w:val="ListParagraph"/>
        <w:numPr>
          <w:ilvl w:val="0"/>
          <w:numId w:val="4"/>
        </w:numPr>
        <w:spacing w:after="160"/>
        <w:ind w:left="567" w:hanging="567"/>
        <w:contextualSpacing/>
      </w:pPr>
      <w:r>
        <w:t xml:space="preserve">The </w:t>
      </w:r>
      <w:r w:rsidR="00F12F19">
        <w:t xml:space="preserve">completed </w:t>
      </w:r>
      <w:r w:rsidR="00BD1A0D">
        <w:t>assessment</w:t>
      </w:r>
      <w:r w:rsidR="00F85390">
        <w:t>, from the Moderation and Clarification Meeting notes,</w:t>
      </w:r>
      <w:r w:rsidR="00BD1A0D">
        <w:t xml:space="preserve"> took the form of a table with three </w:t>
      </w:r>
      <w:r w:rsidR="003A2C44">
        <w:t xml:space="preserve">main </w:t>
      </w:r>
      <w:r w:rsidR="007A3D30">
        <w:t>boxes</w:t>
      </w:r>
      <w:r w:rsidR="00AE023F">
        <w:t>:</w:t>
      </w:r>
    </w:p>
    <w:p w14:paraId="38807A02" w14:textId="5F877042" w:rsidR="003141FC" w:rsidRDefault="00AE023F" w:rsidP="003141FC">
      <w:pPr>
        <w:pStyle w:val="ListParagraph"/>
        <w:numPr>
          <w:ilvl w:val="0"/>
          <w:numId w:val="53"/>
        </w:numPr>
        <w:spacing w:after="160"/>
        <w:contextualSpacing/>
      </w:pPr>
      <w:r>
        <w:t xml:space="preserve">first, </w:t>
      </w:r>
      <w:r w:rsidR="0080356A">
        <w:t xml:space="preserve">a box for </w:t>
      </w:r>
      <w:r>
        <w:t>the evaluators’ initial comments</w:t>
      </w:r>
      <w:r w:rsidR="001F0134">
        <w:t xml:space="preserve"> (which, consistent with the process described </w:t>
      </w:r>
      <w:r w:rsidR="001F0134" w:rsidRPr="002F795A">
        <w:t>in paragraph</w:t>
      </w:r>
      <w:r w:rsidR="00EF25E3">
        <w:t xml:space="preserve"> </w:t>
      </w:r>
      <w:r w:rsidR="00EF25E3">
        <w:fldChar w:fldCharType="begin"/>
      </w:r>
      <w:r w:rsidR="00EF25E3">
        <w:instrText xml:space="preserve"> REF _Ref204157178 \r \h </w:instrText>
      </w:r>
      <w:r w:rsidR="00EF25E3">
        <w:fldChar w:fldCharType="separate"/>
      </w:r>
      <w:r w:rsidR="00C81C5A">
        <w:t>64</w:t>
      </w:r>
      <w:r w:rsidR="00EF25E3">
        <w:fldChar w:fldCharType="end"/>
      </w:r>
      <w:r w:rsidR="00CA1231" w:rsidRPr="002F795A">
        <w:t>, had</w:t>
      </w:r>
      <w:r w:rsidR="00CA1231">
        <w:t xml:space="preserve"> been entered into </w:t>
      </w:r>
      <w:r w:rsidR="007673CE">
        <w:t xml:space="preserve">the Atamis portal by the evaluators prior to the meeting and then </w:t>
      </w:r>
      <w:r w:rsidR="00CA1231">
        <w:t xml:space="preserve">downloaded </w:t>
      </w:r>
      <w:r w:rsidR="007673CE">
        <w:t>and copied into the moderation meeting agenda</w:t>
      </w:r>
      <w:proofErr w:type="gramStart"/>
      <w:r w:rsidR="007673CE">
        <w:t>)</w:t>
      </w:r>
      <w:r w:rsidR="00867FB8">
        <w:t>;</w:t>
      </w:r>
      <w:proofErr w:type="gramEnd"/>
    </w:p>
    <w:p w14:paraId="20B34699" w14:textId="7C51294C" w:rsidR="003141FC" w:rsidRDefault="00BD1A0D" w:rsidP="007238E8">
      <w:pPr>
        <w:pStyle w:val="ListParagraph"/>
        <w:numPr>
          <w:ilvl w:val="0"/>
          <w:numId w:val="53"/>
        </w:numPr>
        <w:spacing w:after="160"/>
        <w:contextualSpacing/>
      </w:pPr>
      <w:r>
        <w:t>second</w:t>
      </w:r>
      <w:r w:rsidR="00867FB8">
        <w:t xml:space="preserve">, </w:t>
      </w:r>
      <w:r w:rsidR="00B35D86">
        <w:t xml:space="preserve">the outcome summary, which </w:t>
      </w:r>
      <w:r w:rsidR="001E6066">
        <w:t xml:space="preserve">is </w:t>
      </w:r>
      <w:r w:rsidR="00B35D86">
        <w:t xml:space="preserve">the feedback comment </w:t>
      </w:r>
      <w:r w:rsidR="001E6066">
        <w:t xml:space="preserve">agreed by evaluators and </w:t>
      </w:r>
      <w:r w:rsidR="00B35D86">
        <w:t xml:space="preserve">supplied to </w:t>
      </w:r>
      <w:r w:rsidR="001E6066">
        <w:t>the bidder</w:t>
      </w:r>
      <w:r w:rsidR="00B35D86">
        <w:t xml:space="preserve"> in its tender outcome letter; and</w:t>
      </w:r>
    </w:p>
    <w:p w14:paraId="329BB785" w14:textId="3F399FC6" w:rsidR="00C23B6A" w:rsidRPr="002909F4" w:rsidRDefault="00B35D86" w:rsidP="007238E8">
      <w:pPr>
        <w:pStyle w:val="ListParagraph"/>
        <w:numPr>
          <w:ilvl w:val="0"/>
          <w:numId w:val="53"/>
        </w:numPr>
        <w:spacing w:after="160"/>
        <w:ind w:left="1281" w:hanging="357"/>
      </w:pPr>
      <w:r>
        <w:t xml:space="preserve">finally, </w:t>
      </w:r>
      <w:r w:rsidR="003141FC">
        <w:t>the agreed overall score.</w:t>
      </w:r>
    </w:p>
    <w:p w14:paraId="0E6584F2" w14:textId="096E19A6" w:rsidR="00CF6426" w:rsidRDefault="00BD6C4A" w:rsidP="00987696">
      <w:pPr>
        <w:pStyle w:val="ListParagraph"/>
        <w:numPr>
          <w:ilvl w:val="0"/>
          <w:numId w:val="4"/>
        </w:numPr>
        <w:ind w:left="567" w:hanging="567"/>
      </w:pPr>
      <w:bookmarkStart w:id="37" w:name="_Ref204007173"/>
      <w:bookmarkEnd w:id="35"/>
      <w:bookmarkEnd w:id="36"/>
      <w:r>
        <w:t>Wellsbourne</w:t>
      </w:r>
      <w:r w:rsidR="00B80105">
        <w:t xml:space="preserve">, </w:t>
      </w:r>
      <w:r>
        <w:t>having</w:t>
      </w:r>
      <w:r w:rsidR="003E0B38">
        <w:t xml:space="preserve"> </w:t>
      </w:r>
      <w:r>
        <w:t xml:space="preserve">reviewed </w:t>
      </w:r>
      <w:r w:rsidR="00E159E4">
        <w:t>the Moderation Discussion Notes and Moderation and Clarification Meeting notes for</w:t>
      </w:r>
      <w:r w:rsidR="00AD6538">
        <w:t xml:space="preserve"> ITT01 (Mobilisation Plan)</w:t>
      </w:r>
      <w:r w:rsidR="00B80105">
        <w:t xml:space="preserve">, </w:t>
      </w:r>
      <w:r>
        <w:t>raised</w:t>
      </w:r>
      <w:r w:rsidR="003E0B38">
        <w:t xml:space="preserve"> </w:t>
      </w:r>
      <w:r>
        <w:t xml:space="preserve">concerns </w:t>
      </w:r>
      <w:r w:rsidR="007F5671">
        <w:t xml:space="preserve">in its second set of representations </w:t>
      </w:r>
      <w:r w:rsidR="001C3ADB">
        <w:t xml:space="preserve">to </w:t>
      </w:r>
      <w:r w:rsidR="00FD3D88">
        <w:t>Sussex</w:t>
      </w:r>
      <w:r w:rsidR="001C3ADB">
        <w:t xml:space="preserve"> ICB </w:t>
      </w:r>
      <w:r>
        <w:t xml:space="preserve">about </w:t>
      </w:r>
      <w:r w:rsidR="004E7F8E">
        <w:t xml:space="preserve">the </w:t>
      </w:r>
      <w:r w:rsidR="00FB770F">
        <w:t xml:space="preserve">individual evaluators’ </w:t>
      </w:r>
      <w:r w:rsidR="00E74041">
        <w:t>initial comments</w:t>
      </w:r>
      <w:r w:rsidR="00F31A59">
        <w:t xml:space="preserve">, including </w:t>
      </w:r>
      <w:r w:rsidR="003B2665">
        <w:t>the following</w:t>
      </w:r>
      <w:r w:rsidR="00E74041">
        <w:t>.</w:t>
      </w:r>
      <w:bookmarkEnd w:id="37"/>
    </w:p>
    <w:p w14:paraId="59E56CAC" w14:textId="41916137" w:rsidR="00036FCA" w:rsidRDefault="00036FCA" w:rsidP="009D14EA">
      <w:pPr>
        <w:pStyle w:val="ListParagraph"/>
        <w:numPr>
          <w:ilvl w:val="0"/>
          <w:numId w:val="42"/>
        </w:numPr>
        <w:ind w:left="1276"/>
        <w:rPr>
          <w:sz w:val="21"/>
          <w:szCs w:val="21"/>
        </w:rPr>
      </w:pPr>
      <w:r>
        <w:rPr>
          <w:sz w:val="21"/>
          <w:szCs w:val="21"/>
        </w:rPr>
        <w:t>“E</w:t>
      </w:r>
      <w:r w:rsidRPr="00036FCA">
        <w:rPr>
          <w:sz w:val="21"/>
          <w:szCs w:val="21"/>
        </w:rPr>
        <w:t xml:space="preserve">valuator 1 in initial comments notes </w:t>
      </w:r>
      <w:r>
        <w:rPr>
          <w:sz w:val="21"/>
          <w:szCs w:val="21"/>
        </w:rPr>
        <w:t>‘</w:t>
      </w:r>
      <w:r w:rsidRPr="00D51AEE">
        <w:rPr>
          <w:i/>
          <w:sz w:val="21"/>
          <w:szCs w:val="21"/>
        </w:rPr>
        <w:t>all musts referenced’</w:t>
      </w:r>
      <w:r w:rsidR="00893315">
        <w:rPr>
          <w:i/>
          <w:sz w:val="21"/>
          <w:szCs w:val="21"/>
        </w:rPr>
        <w:t xml:space="preserve"> </w:t>
      </w:r>
      <w:r>
        <w:rPr>
          <w:sz w:val="21"/>
          <w:szCs w:val="21"/>
        </w:rPr>
        <w:t xml:space="preserve">… </w:t>
      </w:r>
      <w:r w:rsidRPr="00036FCA">
        <w:rPr>
          <w:sz w:val="21"/>
          <w:szCs w:val="21"/>
        </w:rPr>
        <w:t xml:space="preserve">The evaluators comments around KPIs are contradictory - KPI’s are noted to not </w:t>
      </w:r>
      <w:r w:rsidR="00ED6E8F">
        <w:rPr>
          <w:sz w:val="21"/>
          <w:szCs w:val="21"/>
        </w:rPr>
        <w:t>‘</w:t>
      </w:r>
      <w:r w:rsidRPr="00D51AEE">
        <w:rPr>
          <w:i/>
          <w:sz w:val="21"/>
          <w:szCs w:val="21"/>
        </w:rPr>
        <w:t>be relevant during mobilisation</w:t>
      </w:r>
      <w:r w:rsidR="00ED6E8F" w:rsidRPr="00D51AEE">
        <w:rPr>
          <w:i/>
          <w:sz w:val="21"/>
          <w:szCs w:val="21"/>
        </w:rPr>
        <w:t>’</w:t>
      </w:r>
      <w:r w:rsidRPr="00036FCA">
        <w:rPr>
          <w:sz w:val="21"/>
          <w:szCs w:val="21"/>
        </w:rPr>
        <w:t xml:space="preserve">, despite confirmation in the clarification question that the incumbent should focus on the updated KPIs in their mobilisation plan. The guidance in respect of ITT01 was accordingly misleading. The evaluator’s feedback shows that they were clearly unhappy with this as a focus, </w:t>
      </w:r>
      <w:r w:rsidRPr="005F79F8">
        <w:rPr>
          <w:sz w:val="21"/>
          <w:szCs w:val="21"/>
        </w:rPr>
        <w:t>despite their review of Question 56 of the</w:t>
      </w:r>
      <w:r w:rsidRPr="00036FCA">
        <w:rPr>
          <w:sz w:val="21"/>
          <w:szCs w:val="21"/>
        </w:rPr>
        <w:t xml:space="preserve"> clarification log during the moderation meeting</w:t>
      </w:r>
      <w:r w:rsidR="00ED6E8F">
        <w:rPr>
          <w:sz w:val="21"/>
          <w:szCs w:val="21"/>
        </w:rPr>
        <w:t>”</w:t>
      </w:r>
      <w:r w:rsidR="00893315">
        <w:rPr>
          <w:sz w:val="21"/>
          <w:szCs w:val="21"/>
        </w:rPr>
        <w:t>.</w:t>
      </w:r>
    </w:p>
    <w:p w14:paraId="352AF69A" w14:textId="461E4969" w:rsidR="00DD1197" w:rsidRDefault="00CC016C" w:rsidP="009D14EA">
      <w:pPr>
        <w:pStyle w:val="ListParagraph"/>
        <w:numPr>
          <w:ilvl w:val="0"/>
          <w:numId w:val="42"/>
        </w:numPr>
        <w:spacing w:after="160"/>
        <w:ind w:left="1276" w:hanging="357"/>
        <w:rPr>
          <w:sz w:val="21"/>
          <w:szCs w:val="21"/>
        </w:rPr>
      </w:pPr>
      <w:r w:rsidRPr="00D51AEE">
        <w:rPr>
          <w:sz w:val="21"/>
          <w:szCs w:val="21"/>
        </w:rPr>
        <w:t>“</w:t>
      </w:r>
      <w:r w:rsidR="00CF6426" w:rsidRPr="00D51AEE">
        <w:rPr>
          <w:sz w:val="21"/>
          <w:szCs w:val="21"/>
        </w:rPr>
        <w:t>One evaluator notes that there was “</w:t>
      </w:r>
      <w:r w:rsidR="00CF6426" w:rsidRPr="00D51AEE">
        <w:rPr>
          <w:i/>
          <w:sz w:val="21"/>
          <w:szCs w:val="21"/>
        </w:rPr>
        <w:t>no mention of TUPE if they are unsuccessful”</w:t>
      </w:r>
      <w:r w:rsidR="00CF6426" w:rsidRPr="00D51AEE">
        <w:rPr>
          <w:sz w:val="21"/>
          <w:szCs w:val="21"/>
        </w:rPr>
        <w:t xml:space="preserve">. This was a tender for a new contract, in respect of which the exit strategy from the current contract was of no relevance, yet </w:t>
      </w:r>
      <w:proofErr w:type="gramStart"/>
      <w:r w:rsidR="00CF6426" w:rsidRPr="00D51AEE">
        <w:rPr>
          <w:sz w:val="21"/>
          <w:szCs w:val="21"/>
        </w:rPr>
        <w:t>it is clear that the</w:t>
      </w:r>
      <w:proofErr w:type="gramEnd"/>
      <w:r w:rsidR="00CF6426" w:rsidRPr="00D51AEE">
        <w:rPr>
          <w:sz w:val="21"/>
          <w:szCs w:val="21"/>
        </w:rPr>
        <w:t xml:space="preserve"> absence of an exit strategy adversely impacted on our score. Effectively, you</w:t>
      </w:r>
      <w:r w:rsidR="008955FC">
        <w:rPr>
          <w:sz w:val="21"/>
          <w:szCs w:val="21"/>
        </w:rPr>
        <w:t xml:space="preserve"> [Sussex ICB]</w:t>
      </w:r>
      <w:r w:rsidR="00CF6426" w:rsidRPr="00D51AEE">
        <w:rPr>
          <w:sz w:val="21"/>
          <w:szCs w:val="21"/>
        </w:rPr>
        <w:t xml:space="preserve"> have debited our score because we did not include items of no relevance to an </w:t>
      </w:r>
      <w:r w:rsidR="00CF6426" w:rsidRPr="00D51AEE">
        <w:rPr>
          <w:sz w:val="21"/>
          <w:szCs w:val="21"/>
        </w:rPr>
        <w:lastRenderedPageBreak/>
        <w:t>incumbent (such as a mobilisation plan as detailed as that for a new provider and early recruitment of leaders) and have further debited it by pointing to the absence of irrelevant factors (such as an exit plan) which only affected an incumbent and should never have been factored in to the assessmen</w:t>
      </w:r>
      <w:r w:rsidR="00CF6426">
        <w:rPr>
          <w:sz w:val="21"/>
          <w:szCs w:val="21"/>
        </w:rPr>
        <w:t>t</w:t>
      </w:r>
      <w:r w:rsidR="00CF6426" w:rsidRPr="00D51AEE">
        <w:rPr>
          <w:sz w:val="21"/>
          <w:szCs w:val="21"/>
        </w:rPr>
        <w:t>”</w:t>
      </w:r>
      <w:r w:rsidR="009143A1">
        <w:rPr>
          <w:sz w:val="21"/>
          <w:szCs w:val="21"/>
        </w:rPr>
        <w:t>.</w:t>
      </w:r>
      <w:r w:rsidR="008877B8">
        <w:rPr>
          <w:rStyle w:val="FootnoteReference"/>
          <w:sz w:val="21"/>
          <w:szCs w:val="21"/>
        </w:rPr>
        <w:footnoteReference w:id="34"/>
      </w:r>
    </w:p>
    <w:p w14:paraId="7E9F996D" w14:textId="2E7F3CD0" w:rsidR="006628B7" w:rsidRPr="002F795A" w:rsidRDefault="008A49C2" w:rsidP="006353D4">
      <w:pPr>
        <w:pStyle w:val="ListParagraph"/>
        <w:numPr>
          <w:ilvl w:val="0"/>
          <w:numId w:val="4"/>
        </w:numPr>
        <w:ind w:left="567" w:hanging="567"/>
      </w:pPr>
      <w:r w:rsidRPr="007238E8">
        <w:t xml:space="preserve">Sussex ICB, in responding </w:t>
      </w:r>
      <w:r w:rsidR="006628B7" w:rsidRPr="008A49C2">
        <w:t>to</w:t>
      </w:r>
      <w:r w:rsidR="006414A3" w:rsidRPr="008A49C2">
        <w:t xml:space="preserve"> Wellsbourne’s concerns about</w:t>
      </w:r>
      <w:r w:rsidR="007D2EF6" w:rsidRPr="008A49C2">
        <w:t xml:space="preserve"> th</w:t>
      </w:r>
      <w:r w:rsidR="00D737AF" w:rsidRPr="008A49C2">
        <w:t>e</w:t>
      </w:r>
      <w:r w:rsidR="006414A3" w:rsidRPr="008A49C2">
        <w:t xml:space="preserve"> feedback</w:t>
      </w:r>
      <w:r w:rsidR="00F844B5" w:rsidRPr="008A49C2">
        <w:t xml:space="preserve"> </w:t>
      </w:r>
      <w:r w:rsidR="00281EE5">
        <w:t xml:space="preserve">and </w:t>
      </w:r>
      <w:r w:rsidR="00E809A4">
        <w:t xml:space="preserve">its </w:t>
      </w:r>
      <w:r w:rsidR="00DB2EE1">
        <w:t>concern</w:t>
      </w:r>
      <w:r w:rsidR="00281EE5">
        <w:t xml:space="preserve"> </w:t>
      </w:r>
      <w:r w:rsidR="00034A5C">
        <w:t>that</w:t>
      </w:r>
      <w:r w:rsidR="00C96D5C">
        <w:t xml:space="preserve"> “the </w:t>
      </w:r>
      <w:r w:rsidR="004C1166">
        <w:t>evaluators</w:t>
      </w:r>
      <w:r w:rsidR="00C96D5C">
        <w:t xml:space="preserve"> comments around KPIs are contradictory</w:t>
      </w:r>
      <w:r w:rsidR="004C1166">
        <w:t>”</w:t>
      </w:r>
      <w:r w:rsidR="006414A3" w:rsidRPr="00451601">
        <w:t xml:space="preserve"> </w:t>
      </w:r>
      <w:r w:rsidR="00B03F72" w:rsidRPr="002F795A">
        <w:t>(</w:t>
      </w:r>
      <w:r w:rsidR="004C1166" w:rsidRPr="002F795A">
        <w:t xml:space="preserve">see </w:t>
      </w:r>
      <w:r w:rsidR="00B03F72" w:rsidRPr="002F795A">
        <w:t>paragraph</w:t>
      </w:r>
      <w:r w:rsidR="00664225" w:rsidRPr="002F795A">
        <w:t> </w:t>
      </w:r>
      <w:r w:rsidR="005F574A">
        <w:fldChar w:fldCharType="begin"/>
      </w:r>
      <w:r w:rsidR="005F574A">
        <w:instrText xml:space="preserve"> REF _Ref204007173 \r \h </w:instrText>
      </w:r>
      <w:r w:rsidR="005F574A">
        <w:fldChar w:fldCharType="separate"/>
      </w:r>
      <w:r w:rsidR="00C81C5A">
        <w:t>77</w:t>
      </w:r>
      <w:r w:rsidR="005F574A">
        <w:fldChar w:fldCharType="end"/>
      </w:r>
      <w:r w:rsidR="00281EE5" w:rsidRPr="002F795A">
        <w:t>)</w:t>
      </w:r>
      <w:r w:rsidR="00A32AFB" w:rsidRPr="002F795A">
        <w:t>,</w:t>
      </w:r>
      <w:r w:rsidR="00A32AFB" w:rsidRPr="002F795A" w:rsidDel="008A49C2">
        <w:t xml:space="preserve"> </w:t>
      </w:r>
      <w:r w:rsidR="00A32AFB" w:rsidRPr="002F795A">
        <w:t>said</w:t>
      </w:r>
      <w:r w:rsidR="00451601" w:rsidRPr="002F795A">
        <w:t xml:space="preserve"> that:</w:t>
      </w:r>
    </w:p>
    <w:p w14:paraId="03511F43" w14:textId="26E23463" w:rsidR="001234A9" w:rsidRPr="004E4CD8" w:rsidRDefault="00451601" w:rsidP="00E031F1">
      <w:pPr>
        <w:pStyle w:val="ListParagraph"/>
        <w:ind w:left="851" w:firstLine="0"/>
        <w:rPr>
          <w:sz w:val="21"/>
          <w:szCs w:val="21"/>
        </w:rPr>
      </w:pPr>
      <w:r w:rsidRPr="004E4CD8">
        <w:rPr>
          <w:sz w:val="21"/>
          <w:szCs w:val="21"/>
        </w:rPr>
        <w:t>“The</w:t>
      </w:r>
      <w:r w:rsidR="007D2EF6" w:rsidRPr="004E4CD8">
        <w:rPr>
          <w:sz w:val="21"/>
          <w:szCs w:val="21"/>
        </w:rPr>
        <w:t xml:space="preserve"> [ICB review]</w:t>
      </w:r>
      <w:r w:rsidRPr="004E4CD8">
        <w:rPr>
          <w:sz w:val="21"/>
          <w:szCs w:val="21"/>
        </w:rPr>
        <w:t xml:space="preserve"> Panel noted the Evaluators comments that the</w:t>
      </w:r>
      <w:r w:rsidR="007D2EF6" w:rsidRPr="004E4CD8">
        <w:rPr>
          <w:sz w:val="21"/>
          <w:szCs w:val="21"/>
        </w:rPr>
        <w:t xml:space="preserve"> </w:t>
      </w:r>
      <w:r w:rsidRPr="004E4CD8">
        <w:rPr>
          <w:sz w:val="21"/>
          <w:szCs w:val="21"/>
        </w:rPr>
        <w:t>Mobilisation Plan contained only a high-level plan</w:t>
      </w:r>
      <w:r w:rsidR="007D2EF6" w:rsidRPr="004E4CD8">
        <w:rPr>
          <w:sz w:val="21"/>
          <w:szCs w:val="21"/>
        </w:rPr>
        <w:t xml:space="preserve"> </w:t>
      </w:r>
      <w:r w:rsidRPr="004E4CD8">
        <w:rPr>
          <w:sz w:val="21"/>
          <w:szCs w:val="21"/>
        </w:rPr>
        <w:t>and lacked sufficient detail to be awarded a higher</w:t>
      </w:r>
      <w:r w:rsidR="007D2EF6" w:rsidRPr="004E4CD8">
        <w:rPr>
          <w:sz w:val="21"/>
          <w:szCs w:val="21"/>
        </w:rPr>
        <w:t xml:space="preserve"> </w:t>
      </w:r>
      <w:r w:rsidRPr="004E4CD8">
        <w:rPr>
          <w:sz w:val="21"/>
          <w:szCs w:val="21"/>
        </w:rPr>
        <w:t xml:space="preserve">score for this question. The </w:t>
      </w:r>
      <w:r w:rsidR="001234A9" w:rsidRPr="004E4CD8">
        <w:rPr>
          <w:sz w:val="21"/>
          <w:szCs w:val="21"/>
        </w:rPr>
        <w:t xml:space="preserve">[ICB review] </w:t>
      </w:r>
      <w:r w:rsidRPr="004E4CD8">
        <w:rPr>
          <w:sz w:val="21"/>
          <w:szCs w:val="21"/>
        </w:rPr>
        <w:t>Panel observed that</w:t>
      </w:r>
      <w:r w:rsidR="007D2EF6" w:rsidRPr="004E4CD8">
        <w:rPr>
          <w:sz w:val="21"/>
          <w:szCs w:val="21"/>
        </w:rPr>
        <w:t xml:space="preserve"> </w:t>
      </w:r>
      <w:r w:rsidRPr="004E4CD8">
        <w:rPr>
          <w:sz w:val="21"/>
          <w:szCs w:val="21"/>
        </w:rPr>
        <w:t>the Evaluators consistently awarded a higher score</w:t>
      </w:r>
      <w:r w:rsidR="007D2EF6" w:rsidRPr="004E4CD8">
        <w:rPr>
          <w:sz w:val="21"/>
          <w:szCs w:val="21"/>
        </w:rPr>
        <w:t xml:space="preserve"> </w:t>
      </w:r>
      <w:r w:rsidRPr="004E4CD8">
        <w:rPr>
          <w:sz w:val="21"/>
          <w:szCs w:val="21"/>
        </w:rPr>
        <w:t>where there was evidence of task descriptions,</w:t>
      </w:r>
      <w:r w:rsidR="007D2EF6" w:rsidRPr="004E4CD8">
        <w:rPr>
          <w:sz w:val="21"/>
          <w:szCs w:val="21"/>
        </w:rPr>
        <w:t xml:space="preserve"> </w:t>
      </w:r>
      <w:r w:rsidRPr="004E4CD8">
        <w:rPr>
          <w:sz w:val="21"/>
          <w:szCs w:val="21"/>
        </w:rPr>
        <w:t>allocated duration periods and assignment of tasks to named appointments for each themed area of work.</w:t>
      </w:r>
    </w:p>
    <w:p w14:paraId="382A26EC" w14:textId="3F1CA6A9" w:rsidR="00F47F79" w:rsidRDefault="001234A9" w:rsidP="009D14EA">
      <w:pPr>
        <w:pStyle w:val="ListParagraph"/>
        <w:ind w:left="851" w:firstLine="0"/>
        <w:rPr>
          <w:sz w:val="21"/>
          <w:szCs w:val="21"/>
        </w:rPr>
      </w:pPr>
      <w:r w:rsidRPr="004E4CD8">
        <w:rPr>
          <w:sz w:val="21"/>
          <w:szCs w:val="21"/>
        </w:rPr>
        <w:t>“</w:t>
      </w:r>
      <w:r w:rsidR="00451601" w:rsidRPr="004E4CD8">
        <w:rPr>
          <w:sz w:val="21"/>
          <w:szCs w:val="21"/>
        </w:rPr>
        <w:t>In response to CQ56, Wellsbourne were</w:t>
      </w:r>
      <w:r w:rsidR="007D2EF6" w:rsidRPr="004E4CD8">
        <w:rPr>
          <w:sz w:val="21"/>
          <w:szCs w:val="21"/>
        </w:rPr>
        <w:t xml:space="preserve"> </w:t>
      </w:r>
      <w:r w:rsidR="00451601" w:rsidRPr="004E4CD8">
        <w:rPr>
          <w:sz w:val="21"/>
          <w:szCs w:val="21"/>
        </w:rPr>
        <w:t xml:space="preserve">advised that </w:t>
      </w:r>
      <w:r w:rsidRPr="004E4CD8">
        <w:rPr>
          <w:sz w:val="21"/>
          <w:szCs w:val="21"/>
        </w:rPr>
        <w:t>‘</w:t>
      </w:r>
      <w:r w:rsidR="00451601" w:rsidRPr="004E4CD8">
        <w:rPr>
          <w:sz w:val="21"/>
          <w:szCs w:val="21"/>
        </w:rPr>
        <w:t>The incumbent should make note of</w:t>
      </w:r>
      <w:r w:rsidR="007D2EF6" w:rsidRPr="004E4CD8">
        <w:rPr>
          <w:sz w:val="21"/>
          <w:szCs w:val="21"/>
        </w:rPr>
        <w:t xml:space="preserve"> </w:t>
      </w:r>
      <w:r w:rsidR="00451601" w:rsidRPr="004E4CD8">
        <w:rPr>
          <w:sz w:val="21"/>
          <w:szCs w:val="21"/>
        </w:rPr>
        <w:t>their position and that mobilisation will be less</w:t>
      </w:r>
      <w:r w:rsidR="007D2EF6" w:rsidRPr="004E4CD8">
        <w:rPr>
          <w:sz w:val="21"/>
          <w:szCs w:val="21"/>
        </w:rPr>
        <w:t xml:space="preserve"> </w:t>
      </w:r>
      <w:r w:rsidR="00451601" w:rsidRPr="004E4CD8">
        <w:rPr>
          <w:sz w:val="21"/>
          <w:szCs w:val="21"/>
        </w:rPr>
        <w:t>intensive, however the response should reference</w:t>
      </w:r>
      <w:r w:rsidRPr="004E4CD8">
        <w:rPr>
          <w:sz w:val="21"/>
          <w:szCs w:val="21"/>
        </w:rPr>
        <w:t xml:space="preserve"> </w:t>
      </w:r>
      <w:r w:rsidR="00451601" w:rsidRPr="004E4CD8">
        <w:rPr>
          <w:sz w:val="21"/>
          <w:szCs w:val="21"/>
        </w:rPr>
        <w:t>any adaptations that would be required due to the</w:t>
      </w:r>
      <w:r w:rsidR="003C6903" w:rsidRPr="004E4CD8">
        <w:rPr>
          <w:sz w:val="21"/>
          <w:szCs w:val="21"/>
        </w:rPr>
        <w:t xml:space="preserve"> </w:t>
      </w:r>
      <w:r w:rsidR="00451601" w:rsidRPr="004E4CD8">
        <w:rPr>
          <w:sz w:val="21"/>
          <w:szCs w:val="21"/>
        </w:rPr>
        <w:t>revisions in the new specification and KPIs</w:t>
      </w:r>
      <w:r w:rsidRPr="004E4CD8">
        <w:rPr>
          <w:sz w:val="21"/>
          <w:szCs w:val="21"/>
        </w:rPr>
        <w:t>’.</w:t>
      </w:r>
      <w:r w:rsidR="00451601" w:rsidRPr="004E4CD8">
        <w:rPr>
          <w:sz w:val="21"/>
          <w:szCs w:val="21"/>
        </w:rPr>
        <w:t xml:space="preserve"> The</w:t>
      </w:r>
      <w:r w:rsidRPr="004E4CD8">
        <w:rPr>
          <w:sz w:val="21"/>
          <w:szCs w:val="21"/>
        </w:rPr>
        <w:t xml:space="preserve"> [ICB review] </w:t>
      </w:r>
      <w:r w:rsidR="00451601" w:rsidRPr="004E4CD8">
        <w:rPr>
          <w:sz w:val="21"/>
          <w:szCs w:val="21"/>
        </w:rPr>
        <w:t>Panel was satisfied that the evaluators score</w:t>
      </w:r>
      <w:r w:rsidRPr="004E4CD8">
        <w:rPr>
          <w:sz w:val="21"/>
          <w:szCs w:val="21"/>
        </w:rPr>
        <w:t xml:space="preserve"> </w:t>
      </w:r>
      <w:r w:rsidR="00451601" w:rsidRPr="004E4CD8">
        <w:rPr>
          <w:sz w:val="21"/>
          <w:szCs w:val="21"/>
        </w:rPr>
        <w:t>reflected the lack of evidence in this regard</w:t>
      </w:r>
      <w:r w:rsidR="0018549C">
        <w:rPr>
          <w:sz w:val="21"/>
          <w:szCs w:val="21"/>
        </w:rPr>
        <w:t>.</w:t>
      </w:r>
      <w:r w:rsidR="00451601" w:rsidRPr="004E4CD8">
        <w:rPr>
          <w:sz w:val="21"/>
          <w:szCs w:val="21"/>
        </w:rPr>
        <w:t>"</w:t>
      </w:r>
    </w:p>
    <w:p w14:paraId="557300E2" w14:textId="7CB7F2AA" w:rsidR="00451601" w:rsidRPr="004E4CD8" w:rsidRDefault="00F47F79" w:rsidP="004E4CD8">
      <w:pPr>
        <w:pStyle w:val="ListParagraph"/>
        <w:spacing w:after="160"/>
        <w:ind w:left="851" w:firstLine="0"/>
        <w:rPr>
          <w:sz w:val="21"/>
          <w:szCs w:val="21"/>
        </w:rPr>
      </w:pPr>
      <w:r>
        <w:rPr>
          <w:sz w:val="21"/>
          <w:szCs w:val="21"/>
        </w:rPr>
        <w:t>“</w:t>
      </w:r>
      <w:r w:rsidRPr="00F47F79">
        <w:rPr>
          <w:sz w:val="21"/>
          <w:szCs w:val="21"/>
        </w:rPr>
        <w:t xml:space="preserve">The </w:t>
      </w:r>
      <w:r w:rsidR="0079284F" w:rsidRPr="004E4CD8">
        <w:rPr>
          <w:sz w:val="21"/>
          <w:szCs w:val="21"/>
        </w:rPr>
        <w:t xml:space="preserve">[ICB review] </w:t>
      </w:r>
      <w:r w:rsidRPr="00F47F79">
        <w:rPr>
          <w:sz w:val="21"/>
          <w:szCs w:val="21"/>
        </w:rPr>
        <w:t xml:space="preserve">Panel noted that the bid contained the following reference </w:t>
      </w:r>
      <w:r>
        <w:rPr>
          <w:sz w:val="21"/>
          <w:szCs w:val="21"/>
        </w:rPr>
        <w:t>‘</w:t>
      </w:r>
      <w:r w:rsidRPr="00F47F79">
        <w:rPr>
          <w:sz w:val="21"/>
          <w:szCs w:val="21"/>
        </w:rPr>
        <w:t>MONITORING AND CONTROL (01/04/2025 - 01/04/2026): Performance will be tracked, and quality assurance processes will ensure readiness for the service launch.</w:t>
      </w:r>
      <w:r>
        <w:rPr>
          <w:sz w:val="21"/>
          <w:szCs w:val="21"/>
        </w:rPr>
        <w:t>’</w:t>
      </w:r>
      <w:r w:rsidRPr="00F47F79">
        <w:rPr>
          <w:sz w:val="21"/>
          <w:szCs w:val="21"/>
        </w:rPr>
        <w:t xml:space="preserve"> Following discussion with the evaluator the </w:t>
      </w:r>
      <w:r w:rsidR="0079284F" w:rsidRPr="004E4CD8">
        <w:rPr>
          <w:sz w:val="21"/>
          <w:szCs w:val="21"/>
        </w:rPr>
        <w:t xml:space="preserve">[ICB review] </w:t>
      </w:r>
      <w:r w:rsidRPr="00F47F79">
        <w:rPr>
          <w:sz w:val="21"/>
          <w:szCs w:val="21"/>
        </w:rPr>
        <w:t>Panel is satisfied that this comment was intended to be treated as an example of how a Mobilisation Plan could have been improved in terms of readiness for improved KPI reporting such that the quality of the bid to have been awarded a higher score</w:t>
      </w:r>
      <w:r w:rsidR="00521C51">
        <w:rPr>
          <w:sz w:val="21"/>
          <w:szCs w:val="21"/>
        </w:rPr>
        <w:t>.</w:t>
      </w:r>
      <w:r>
        <w:rPr>
          <w:sz w:val="21"/>
          <w:szCs w:val="21"/>
        </w:rPr>
        <w:t>”</w:t>
      </w:r>
      <w:r w:rsidR="006E0286" w:rsidRPr="004E4CD8">
        <w:rPr>
          <w:rStyle w:val="FootnoteReference"/>
          <w:sz w:val="21"/>
          <w:szCs w:val="21"/>
        </w:rPr>
        <w:footnoteReference w:id="35"/>
      </w:r>
    </w:p>
    <w:p w14:paraId="4DB35FD1" w14:textId="3888A866" w:rsidR="00410F16" w:rsidRPr="002F795A" w:rsidRDefault="00E717F9" w:rsidP="009D14EA">
      <w:pPr>
        <w:pStyle w:val="ListParagraph"/>
        <w:numPr>
          <w:ilvl w:val="0"/>
          <w:numId w:val="4"/>
        </w:numPr>
        <w:ind w:left="567" w:hanging="567"/>
      </w:pPr>
      <w:bookmarkStart w:id="38" w:name="_Ref202788915"/>
      <w:r>
        <w:t>Sussex ICB, i</w:t>
      </w:r>
      <w:r w:rsidR="00027383" w:rsidRPr="00D51AEE">
        <w:t>n respon</w:t>
      </w:r>
      <w:r w:rsidR="00D51B2F">
        <w:t>ding</w:t>
      </w:r>
      <w:r w:rsidR="00027383" w:rsidRPr="00D51AEE">
        <w:t xml:space="preserve"> to</w:t>
      </w:r>
      <w:r w:rsidR="00475962" w:rsidRPr="00D51AEE">
        <w:t xml:space="preserve"> Wellsbourne’s concern about </w:t>
      </w:r>
      <w:r w:rsidR="00D51B2F">
        <w:t xml:space="preserve">one of </w:t>
      </w:r>
      <w:r w:rsidR="00475962" w:rsidRPr="00D51AEE">
        <w:t>the evaluator</w:t>
      </w:r>
      <w:r w:rsidR="00D51B2F">
        <w:t>s</w:t>
      </w:r>
      <w:r w:rsidR="00475962" w:rsidRPr="00D51AEE">
        <w:t xml:space="preserve"> </w:t>
      </w:r>
      <w:r w:rsidR="00D51B2F">
        <w:t xml:space="preserve">saying </w:t>
      </w:r>
      <w:r w:rsidR="00463183" w:rsidRPr="00D51AEE">
        <w:t>there was “no mention of</w:t>
      </w:r>
      <w:r w:rsidR="006C3966" w:rsidRPr="00D51AEE">
        <w:t xml:space="preserve"> </w:t>
      </w:r>
      <w:r w:rsidR="00027383" w:rsidRPr="00D51AEE">
        <w:t>TUPE if they are unsuccessful</w:t>
      </w:r>
      <w:r w:rsidR="00245E72" w:rsidRPr="00D51AEE">
        <w:t>”</w:t>
      </w:r>
      <w:r w:rsidR="00027383" w:rsidRPr="00D51AEE">
        <w:t xml:space="preserve"> (</w:t>
      </w:r>
      <w:r w:rsidR="002A50A2">
        <w:t>the TUPE issue</w:t>
      </w:r>
      <w:r w:rsidR="002A50A2" w:rsidRPr="002F795A">
        <w:t xml:space="preserve">) </w:t>
      </w:r>
      <w:r w:rsidR="00027383" w:rsidRPr="002F795A">
        <w:t>(see paragraph</w:t>
      </w:r>
      <w:r w:rsidR="005F574A">
        <w:t xml:space="preserve"> </w:t>
      </w:r>
      <w:r w:rsidR="005F574A">
        <w:fldChar w:fldCharType="begin"/>
      </w:r>
      <w:r w:rsidR="005F574A">
        <w:instrText xml:space="preserve"> REF _Ref204007173 \r \h </w:instrText>
      </w:r>
      <w:r w:rsidR="005F574A">
        <w:fldChar w:fldCharType="separate"/>
      </w:r>
      <w:r w:rsidR="00C81C5A">
        <w:t>77</w:t>
      </w:r>
      <w:r w:rsidR="005F574A">
        <w:fldChar w:fldCharType="end"/>
      </w:r>
      <w:r w:rsidR="00027383" w:rsidRPr="002F795A">
        <w:t>), said that:</w:t>
      </w:r>
      <w:bookmarkEnd w:id="38"/>
    </w:p>
    <w:p w14:paraId="54CC8825" w14:textId="527D01F6" w:rsidR="00027383" w:rsidRPr="00D51AEE" w:rsidRDefault="00027383" w:rsidP="009D14EA">
      <w:pPr>
        <w:pStyle w:val="ListParagraph"/>
        <w:spacing w:after="160"/>
        <w:ind w:left="851" w:firstLine="0"/>
        <w:rPr>
          <w:sz w:val="21"/>
          <w:szCs w:val="21"/>
        </w:rPr>
      </w:pPr>
      <w:r w:rsidRPr="00D51AEE">
        <w:rPr>
          <w:sz w:val="21"/>
          <w:szCs w:val="21"/>
        </w:rPr>
        <w:t>“</w:t>
      </w:r>
      <w:r w:rsidR="00766228" w:rsidRPr="00D51AEE">
        <w:rPr>
          <w:sz w:val="21"/>
          <w:szCs w:val="21"/>
        </w:rPr>
        <w:t>The [ICB review] Panel accepts the observation that a mobilisation plan submitted by an incumbent provider should not include any actions that would be required of them in the event of being unsuccessful in its bid. The [ICB review] Panel has investigated this point and is satisfied that this comment did not negatively impact on the final score awarded, which was influenced by the lack of detail of relevant actions only.”</w:t>
      </w:r>
    </w:p>
    <w:p w14:paraId="35078C12" w14:textId="42F11415" w:rsidR="00350445" w:rsidRDefault="0081371C" w:rsidP="009D14EA">
      <w:pPr>
        <w:pStyle w:val="ListParagraph"/>
        <w:numPr>
          <w:ilvl w:val="0"/>
          <w:numId w:val="4"/>
        </w:numPr>
        <w:ind w:left="567" w:hanging="567"/>
      </w:pPr>
      <w:r>
        <w:t>Given the concerns raised by Wellsbourne</w:t>
      </w:r>
      <w:r w:rsidR="00624FFD">
        <w:t>, the Panel considered: (</w:t>
      </w:r>
      <w:proofErr w:type="spellStart"/>
      <w:r w:rsidR="00624FFD">
        <w:t>i</w:t>
      </w:r>
      <w:proofErr w:type="spellEnd"/>
      <w:r w:rsidR="00624FFD">
        <w:t xml:space="preserve">) </w:t>
      </w:r>
      <w:r w:rsidR="00CB0CD5">
        <w:t xml:space="preserve">whether the question on mobilisation was unfair to it as the incumbent provider; (ii) whether the evaluation of this question was unfair </w:t>
      </w:r>
      <w:r w:rsidR="00604061">
        <w:t>to it as the incumbent provider.</w:t>
      </w:r>
    </w:p>
    <w:p w14:paraId="66391BEE" w14:textId="5F3B570C" w:rsidR="00B84F7C" w:rsidRPr="002F795A" w:rsidRDefault="00B84F7C" w:rsidP="009D14EA">
      <w:pPr>
        <w:pStyle w:val="ListParagraph"/>
        <w:numPr>
          <w:ilvl w:val="0"/>
          <w:numId w:val="4"/>
        </w:numPr>
        <w:ind w:left="567" w:hanging="567"/>
      </w:pPr>
      <w:r>
        <w:t xml:space="preserve">On the first issue, the Panel’s view is that the question on mobilisation was not unfair to Wellsbourne as the incumbent provider. </w:t>
      </w:r>
      <w:r w:rsidR="0064570C">
        <w:t xml:space="preserve">The Panel observes that most, and perhaps all, </w:t>
      </w:r>
      <w:r w:rsidR="001E11D0">
        <w:t>provider selection processes</w:t>
      </w:r>
      <w:r w:rsidR="0064570C">
        <w:t xml:space="preserve"> </w:t>
      </w:r>
      <w:r w:rsidR="001E11D0">
        <w:t>ask bidders about mobilisation plans</w:t>
      </w:r>
      <w:r w:rsidR="007E4F17">
        <w:t xml:space="preserve"> and </w:t>
      </w:r>
      <w:r w:rsidR="00FF7966">
        <w:t xml:space="preserve">that incumbent providers will need to answer these questions </w:t>
      </w:r>
      <w:r w:rsidR="00AE4F6A">
        <w:t>in a way that reflects their position as the incumbent provider</w:t>
      </w:r>
      <w:r w:rsidR="002A6BEF">
        <w:t xml:space="preserve"> and any changes that are taking place </w:t>
      </w:r>
      <w:proofErr w:type="gramStart"/>
      <w:r w:rsidR="002A6BEF">
        <w:t>as a result of</w:t>
      </w:r>
      <w:proofErr w:type="gramEnd"/>
      <w:r w:rsidR="002A6BEF">
        <w:t xml:space="preserve"> </w:t>
      </w:r>
      <w:r w:rsidR="002A6BEF">
        <w:lastRenderedPageBreak/>
        <w:t>the new contract</w:t>
      </w:r>
      <w:r w:rsidR="00AE4F6A">
        <w:t xml:space="preserve">. Sussex ICB’s answer to </w:t>
      </w:r>
      <w:r w:rsidR="009D0DED">
        <w:t xml:space="preserve">Wellsbourne’s clarification question </w:t>
      </w:r>
      <w:r w:rsidR="002A6BEF">
        <w:t xml:space="preserve">recognises these </w:t>
      </w:r>
      <w:r w:rsidR="009D0DED">
        <w:t>point</w:t>
      </w:r>
      <w:r w:rsidR="002A6BEF">
        <w:t>s</w:t>
      </w:r>
      <w:r w:rsidR="009D0DED">
        <w:t xml:space="preserve"> </w:t>
      </w:r>
      <w:r w:rsidR="002A6BEF" w:rsidRPr="002F795A">
        <w:t>(see table at paragraph</w:t>
      </w:r>
      <w:r w:rsidR="005F574A">
        <w:t xml:space="preserve"> </w:t>
      </w:r>
      <w:r w:rsidR="005F574A">
        <w:fldChar w:fldCharType="begin"/>
      </w:r>
      <w:r w:rsidR="005F574A">
        <w:instrText xml:space="preserve"> REF _Ref204157536 \r \h </w:instrText>
      </w:r>
      <w:r w:rsidR="005F574A">
        <w:fldChar w:fldCharType="separate"/>
      </w:r>
      <w:r w:rsidR="00C81C5A">
        <w:t>72</w:t>
      </w:r>
      <w:r w:rsidR="005F574A">
        <w:fldChar w:fldCharType="end"/>
      </w:r>
      <w:r w:rsidR="002A6BEF" w:rsidRPr="002F795A">
        <w:t>).</w:t>
      </w:r>
    </w:p>
    <w:p w14:paraId="29B36198" w14:textId="6191FC82" w:rsidR="00603854" w:rsidRDefault="00603854" w:rsidP="009D14EA">
      <w:pPr>
        <w:pStyle w:val="ListParagraph"/>
        <w:numPr>
          <w:ilvl w:val="0"/>
          <w:numId w:val="4"/>
        </w:numPr>
        <w:ind w:left="567" w:hanging="567"/>
      </w:pPr>
      <w:r>
        <w:t xml:space="preserve">On the second issue (i.e. whether the </w:t>
      </w:r>
      <w:r w:rsidR="00627BAE">
        <w:t>evaluation of the mobilisation question was unfair to Wellsbourne), the Panel</w:t>
      </w:r>
      <w:r w:rsidR="00FF1A1E">
        <w:t xml:space="preserve"> observes </w:t>
      </w:r>
      <w:r w:rsidR="00627BAE">
        <w:t xml:space="preserve">that </w:t>
      </w:r>
      <w:r w:rsidR="0062792B">
        <w:t xml:space="preserve">the notes of </w:t>
      </w:r>
      <w:r w:rsidR="006F47AE">
        <w:t xml:space="preserve">the </w:t>
      </w:r>
      <w:r w:rsidR="0062792B">
        <w:t xml:space="preserve">evaluators’ discussion of </w:t>
      </w:r>
      <w:r w:rsidR="00AB25CA">
        <w:t xml:space="preserve">Wellsbourne’s response are limited, stating </w:t>
      </w:r>
      <w:r w:rsidR="0039723A">
        <w:t xml:space="preserve">only </w:t>
      </w:r>
      <w:r w:rsidR="00AB25CA">
        <w:t xml:space="preserve">that “The </w:t>
      </w:r>
      <w:r w:rsidR="2A95688C">
        <w:t>GAN</w:t>
      </w:r>
      <w:r w:rsidR="653D7E08">
        <w:t>T</w:t>
      </w:r>
      <w:r w:rsidR="2A95688C">
        <w:t>T</w:t>
      </w:r>
      <w:r w:rsidR="00AB25CA">
        <w:t xml:space="preserve"> Chart is of exceptionally poor detail. The incumbent did not cover in any detail the new KPIs in their response”</w:t>
      </w:r>
      <w:r w:rsidR="00B33773">
        <w:t xml:space="preserve">, and </w:t>
      </w:r>
      <w:r w:rsidR="00A141FB">
        <w:t xml:space="preserve">do not </w:t>
      </w:r>
      <w:r w:rsidR="0003119C">
        <w:t xml:space="preserve">address the </w:t>
      </w:r>
      <w:r w:rsidR="00B33773">
        <w:t xml:space="preserve">evaluator’s individual </w:t>
      </w:r>
      <w:r w:rsidR="003B2B19">
        <w:t>comment</w:t>
      </w:r>
      <w:r w:rsidR="00B33773">
        <w:t xml:space="preserve"> </w:t>
      </w:r>
      <w:r w:rsidR="003B2B19">
        <w:t xml:space="preserve">about </w:t>
      </w:r>
      <w:r w:rsidR="000A2456">
        <w:t xml:space="preserve">Wellsbourne’s </w:t>
      </w:r>
      <w:r w:rsidR="0003119C">
        <w:t xml:space="preserve">TUPE </w:t>
      </w:r>
      <w:r w:rsidR="000A2456">
        <w:t>obligations if it</w:t>
      </w:r>
      <w:r w:rsidR="00954C8F">
        <w:t>s bid was</w:t>
      </w:r>
      <w:r w:rsidR="007F3A7C">
        <w:t xml:space="preserve"> </w:t>
      </w:r>
      <w:r w:rsidR="000A2456">
        <w:t>not successful.</w:t>
      </w:r>
      <w:r w:rsidR="0075218C">
        <w:t xml:space="preserve"> </w:t>
      </w:r>
      <w:r w:rsidR="00DB51F3">
        <w:t xml:space="preserve">The Panel further notes that the agreed </w:t>
      </w:r>
      <w:r w:rsidR="00187CE4">
        <w:t xml:space="preserve">feedback comment does not </w:t>
      </w:r>
      <w:r w:rsidR="0096130F">
        <w:t xml:space="preserve">refer to the </w:t>
      </w:r>
      <w:r w:rsidR="00181F0D">
        <w:t>TUPE issue either.</w:t>
      </w:r>
    </w:p>
    <w:p w14:paraId="3AA5D128" w14:textId="3B4C7DFD" w:rsidR="00077115" w:rsidRDefault="00077115" w:rsidP="009D14EA">
      <w:pPr>
        <w:pStyle w:val="ListParagraph"/>
        <w:numPr>
          <w:ilvl w:val="0"/>
          <w:numId w:val="4"/>
        </w:numPr>
        <w:ind w:left="567" w:hanging="567"/>
      </w:pPr>
      <w:r>
        <w:t>Taken together, the Panel’s view is that</w:t>
      </w:r>
      <w:r w:rsidR="00994871">
        <w:t xml:space="preserve">, on balance, </w:t>
      </w:r>
      <w:r w:rsidR="00880741">
        <w:t xml:space="preserve">it does not appear that the </w:t>
      </w:r>
      <w:r w:rsidR="005A4925">
        <w:t xml:space="preserve">individual evaluator’s comments on TUPE </w:t>
      </w:r>
      <w:r w:rsidR="006D176C">
        <w:t xml:space="preserve">influenced the agreed score awarded to </w:t>
      </w:r>
      <w:r w:rsidR="005E7288">
        <w:t xml:space="preserve">Wellsbourne for </w:t>
      </w:r>
      <w:r w:rsidR="00B431BB">
        <w:t xml:space="preserve">its answer to this question. However, the Panel notes that the </w:t>
      </w:r>
      <w:r w:rsidR="00A718FC">
        <w:t xml:space="preserve">brevity of the discussion notes </w:t>
      </w:r>
      <w:r w:rsidR="00E54D45">
        <w:t xml:space="preserve">from the moderation meeting make it </w:t>
      </w:r>
      <w:r w:rsidR="005C0733">
        <w:t xml:space="preserve">difficult </w:t>
      </w:r>
      <w:r w:rsidR="00BB1039">
        <w:t xml:space="preserve">to trace the evolution of </w:t>
      </w:r>
      <w:r w:rsidR="0066677D">
        <w:t xml:space="preserve">evaluator’s views from their initial </w:t>
      </w:r>
      <w:r w:rsidR="005332B5">
        <w:t>thoughts to the final agreed feedback.</w:t>
      </w:r>
    </w:p>
    <w:p w14:paraId="5AD66810" w14:textId="0DA6610F" w:rsidR="00530163" w:rsidRPr="004E4CD8" w:rsidRDefault="00530163" w:rsidP="003B4157">
      <w:pPr>
        <w:keepNext/>
        <w:spacing w:before="240"/>
        <w:rPr>
          <w:b/>
          <w:bCs/>
        </w:rPr>
      </w:pPr>
      <w:r w:rsidRPr="004E4CD8">
        <w:rPr>
          <w:b/>
          <w:bCs/>
        </w:rPr>
        <w:t xml:space="preserve">Question ITT02 </w:t>
      </w:r>
      <w:r w:rsidR="00CD1E16">
        <w:rPr>
          <w:b/>
          <w:bCs/>
        </w:rPr>
        <w:t>(</w:t>
      </w:r>
      <w:r w:rsidRPr="004E4CD8">
        <w:rPr>
          <w:b/>
          <w:bCs/>
        </w:rPr>
        <w:t>Communication</w:t>
      </w:r>
      <w:r w:rsidR="004C1519" w:rsidRPr="004E4CD8">
        <w:rPr>
          <w:b/>
          <w:bCs/>
        </w:rPr>
        <w:t>s</w:t>
      </w:r>
      <w:r w:rsidR="00CD1E16">
        <w:rPr>
          <w:b/>
          <w:bCs/>
        </w:rPr>
        <w:t>)</w:t>
      </w:r>
    </w:p>
    <w:p w14:paraId="4F90F234" w14:textId="1C471766" w:rsidR="00C8685F" w:rsidRPr="009670B6" w:rsidRDefault="00635ECE" w:rsidP="00C8685F">
      <w:pPr>
        <w:pStyle w:val="ListParagraph"/>
        <w:numPr>
          <w:ilvl w:val="0"/>
          <w:numId w:val="4"/>
        </w:numPr>
        <w:ind w:left="567" w:hanging="567"/>
      </w:pPr>
      <w:r>
        <w:t>Wellsbourne raised concerns that the question on communications and its evaluation was unfair to it as the incumbent provider</w:t>
      </w:r>
      <w:r w:rsidR="00CE4F41">
        <w:t xml:space="preserve"> </w:t>
      </w:r>
      <w:r w:rsidR="00CE4F41" w:rsidRPr="002F795A">
        <w:t>(see paragraph</w:t>
      </w:r>
      <w:r w:rsidR="005F574A">
        <w:t xml:space="preserve"> </w:t>
      </w:r>
      <w:r w:rsidR="005F574A">
        <w:fldChar w:fldCharType="begin"/>
      </w:r>
      <w:r w:rsidR="005F574A">
        <w:instrText xml:space="preserve"> REF _Ref204155856 \r \h </w:instrText>
      </w:r>
      <w:r w:rsidR="005F574A">
        <w:fldChar w:fldCharType="separate"/>
      </w:r>
      <w:r w:rsidR="00C81C5A">
        <w:t>68</w:t>
      </w:r>
      <w:r w:rsidR="005F574A">
        <w:fldChar w:fldCharType="end"/>
      </w:r>
      <w:r w:rsidR="00CE4F41" w:rsidRPr="002F795A">
        <w:t>)</w:t>
      </w:r>
      <w:r w:rsidRPr="002F795A">
        <w:t xml:space="preserve">. </w:t>
      </w:r>
      <w:r w:rsidR="00A72040" w:rsidRPr="002F795A">
        <w:t>Q</w:t>
      </w:r>
      <w:r w:rsidR="00C8685F" w:rsidRPr="002F795A">
        <w:t>uestion</w:t>
      </w:r>
      <w:r w:rsidR="0026394C">
        <w:t xml:space="preserve"> </w:t>
      </w:r>
      <w:r w:rsidR="00C8685F" w:rsidRPr="009670B6">
        <w:t>ITT02 (Communication</w:t>
      </w:r>
      <w:r w:rsidR="004C1519" w:rsidRPr="009670B6">
        <w:t>s</w:t>
      </w:r>
      <w:r w:rsidR="00C8685F" w:rsidRPr="009670B6">
        <w:t>)</w:t>
      </w:r>
      <w:r w:rsidR="0026394C">
        <w:t xml:space="preserve"> </w:t>
      </w:r>
      <w:r w:rsidR="00C8685F" w:rsidRPr="009670B6">
        <w:t>was</w:t>
      </w:r>
      <w:r w:rsidR="0026394C">
        <w:t xml:space="preserve"> </w:t>
      </w:r>
      <w:r w:rsidR="00C8685F" w:rsidRPr="009670B6">
        <w:t>as follows:</w:t>
      </w:r>
    </w:p>
    <w:p w14:paraId="75203B68" w14:textId="77777777" w:rsidR="004C1519" w:rsidRPr="004C1519" w:rsidRDefault="00BF74F5" w:rsidP="00F1355B">
      <w:pPr>
        <w:pStyle w:val="ListParagraph"/>
        <w:spacing w:after="0"/>
        <w:ind w:left="873" w:firstLine="0"/>
        <w:rPr>
          <w:sz w:val="21"/>
          <w:szCs w:val="21"/>
        </w:rPr>
      </w:pPr>
      <w:r w:rsidRPr="004C1519">
        <w:rPr>
          <w:sz w:val="21"/>
          <w:szCs w:val="21"/>
        </w:rPr>
        <w:t>“</w:t>
      </w:r>
      <w:r w:rsidR="004C1519" w:rsidRPr="004C1519">
        <w:rPr>
          <w:sz w:val="21"/>
          <w:szCs w:val="21"/>
        </w:rPr>
        <w:t>How do you plan to communicate with patients in the first year of the service? You must include:</w:t>
      </w:r>
    </w:p>
    <w:p w14:paraId="459F9166" w14:textId="77777777" w:rsidR="004C1519" w:rsidRPr="004C1519" w:rsidRDefault="004C1519" w:rsidP="004C1519">
      <w:pPr>
        <w:pStyle w:val="ListParagraph"/>
        <w:numPr>
          <w:ilvl w:val="0"/>
          <w:numId w:val="27"/>
        </w:numPr>
        <w:ind w:left="1587" w:hanging="357"/>
        <w:contextualSpacing/>
        <w:rPr>
          <w:sz w:val="21"/>
          <w:szCs w:val="21"/>
        </w:rPr>
      </w:pPr>
      <w:r w:rsidRPr="004C1519">
        <w:rPr>
          <w:sz w:val="21"/>
          <w:szCs w:val="21"/>
        </w:rPr>
        <w:t>How to explain any changes and provide reassurance</w:t>
      </w:r>
    </w:p>
    <w:p w14:paraId="71D031C0" w14:textId="77777777" w:rsidR="004C1519" w:rsidRPr="004C1519" w:rsidRDefault="004C1519" w:rsidP="004C1519">
      <w:pPr>
        <w:pStyle w:val="ListParagraph"/>
        <w:numPr>
          <w:ilvl w:val="0"/>
          <w:numId w:val="27"/>
        </w:numPr>
        <w:ind w:left="1587" w:hanging="357"/>
        <w:contextualSpacing/>
        <w:rPr>
          <w:sz w:val="21"/>
          <w:szCs w:val="21"/>
        </w:rPr>
      </w:pPr>
      <w:r w:rsidRPr="004C1519">
        <w:rPr>
          <w:sz w:val="21"/>
          <w:szCs w:val="21"/>
        </w:rPr>
        <w:t>An understanding of stakeholders and their communication needs</w:t>
      </w:r>
    </w:p>
    <w:p w14:paraId="5A76DCF3" w14:textId="7DC06529" w:rsidR="00BF74F5" w:rsidRPr="004C1519" w:rsidRDefault="004C1519" w:rsidP="00F1355B">
      <w:pPr>
        <w:pStyle w:val="ListParagraph"/>
        <w:numPr>
          <w:ilvl w:val="0"/>
          <w:numId w:val="27"/>
        </w:numPr>
        <w:spacing w:after="160"/>
        <w:ind w:left="1587" w:hanging="357"/>
        <w:rPr>
          <w:sz w:val="21"/>
          <w:szCs w:val="21"/>
        </w:rPr>
      </w:pPr>
      <w:r w:rsidRPr="004C1519">
        <w:rPr>
          <w:sz w:val="21"/>
          <w:szCs w:val="21"/>
        </w:rPr>
        <w:t>Channels of communication”</w:t>
      </w:r>
    </w:p>
    <w:p w14:paraId="129C5C0B" w14:textId="6AE66AE3" w:rsidR="007040AD" w:rsidRPr="00987696" w:rsidRDefault="006A00BA" w:rsidP="00472C87">
      <w:pPr>
        <w:pStyle w:val="ListParagraph"/>
        <w:numPr>
          <w:ilvl w:val="0"/>
          <w:numId w:val="4"/>
        </w:numPr>
        <w:ind w:left="567" w:hanging="567"/>
      </w:pPr>
      <w:r w:rsidRPr="002B65EE">
        <w:t xml:space="preserve">Wellsbourne’s response was awarded a score of </w:t>
      </w:r>
      <w:r w:rsidR="0002438F" w:rsidRPr="002B65EE">
        <w:t xml:space="preserve">1 </w:t>
      </w:r>
      <w:r w:rsidR="000B75CC">
        <w:t>(Limited)</w:t>
      </w:r>
      <w:r w:rsidRPr="002B65EE">
        <w:t>.</w:t>
      </w:r>
      <w:r w:rsidR="006F129D">
        <w:t xml:space="preserve"> </w:t>
      </w:r>
      <w:r w:rsidR="007040AD" w:rsidRPr="00987696">
        <w:t xml:space="preserve">Sussex ICB </w:t>
      </w:r>
      <w:r w:rsidR="00CE0031">
        <w:t xml:space="preserve">gave Wellsbourne </w:t>
      </w:r>
      <w:r w:rsidR="007040AD" w:rsidRPr="00987696">
        <w:t xml:space="preserve">the following </w:t>
      </w:r>
      <w:r w:rsidR="007C45AD">
        <w:t>feedback</w:t>
      </w:r>
      <w:r w:rsidR="007040AD">
        <w:t>:</w:t>
      </w:r>
    </w:p>
    <w:p w14:paraId="60F78939" w14:textId="366A4C4A" w:rsidR="007040AD" w:rsidRPr="007040AD" w:rsidRDefault="007040AD" w:rsidP="00472C87">
      <w:pPr>
        <w:pStyle w:val="ListParagraph"/>
        <w:ind w:left="873" w:firstLine="0"/>
        <w:rPr>
          <w:sz w:val="21"/>
          <w:szCs w:val="21"/>
        </w:rPr>
      </w:pPr>
      <w:r w:rsidRPr="007040AD">
        <w:rPr>
          <w:sz w:val="21"/>
          <w:szCs w:val="21"/>
        </w:rPr>
        <w:t>“The bidder provided a limited answer that does not meet the stated requirement and provides little detail or evidence.</w:t>
      </w:r>
    </w:p>
    <w:p w14:paraId="3465CB48" w14:textId="12298B62" w:rsidR="007040AD" w:rsidRPr="007040AD" w:rsidRDefault="001E3B50" w:rsidP="00F1355B">
      <w:pPr>
        <w:pStyle w:val="ListParagraph"/>
        <w:spacing w:after="0"/>
        <w:ind w:left="873" w:firstLine="0"/>
        <w:rPr>
          <w:sz w:val="21"/>
          <w:szCs w:val="21"/>
        </w:rPr>
      </w:pPr>
      <w:r>
        <w:rPr>
          <w:sz w:val="21"/>
          <w:szCs w:val="21"/>
        </w:rPr>
        <w:t>“</w:t>
      </w:r>
      <w:r w:rsidR="007040AD" w:rsidRPr="007040AD">
        <w:rPr>
          <w:sz w:val="21"/>
          <w:szCs w:val="21"/>
        </w:rPr>
        <w:t>Positive aspects of the response included:</w:t>
      </w:r>
    </w:p>
    <w:p w14:paraId="0C0EBFA7" w14:textId="5856D9F2" w:rsidR="007040AD" w:rsidRPr="007040AD" w:rsidRDefault="007040AD" w:rsidP="007040AD">
      <w:pPr>
        <w:pStyle w:val="ListParagraph"/>
        <w:numPr>
          <w:ilvl w:val="0"/>
          <w:numId w:val="30"/>
        </w:numPr>
        <w:ind w:left="1587" w:hanging="357"/>
        <w:contextualSpacing/>
        <w:rPr>
          <w:sz w:val="21"/>
          <w:szCs w:val="21"/>
        </w:rPr>
      </w:pPr>
      <w:r w:rsidRPr="007040AD">
        <w:rPr>
          <w:sz w:val="21"/>
          <w:szCs w:val="21"/>
        </w:rPr>
        <w:t>A good mix of digital and offline methods of communication e.g., print and digital newsletters and in person engagement sessions.</w:t>
      </w:r>
    </w:p>
    <w:p w14:paraId="7D6A4B8A" w14:textId="16F4094F" w:rsidR="007040AD" w:rsidRPr="007040AD" w:rsidRDefault="007040AD" w:rsidP="007040AD">
      <w:pPr>
        <w:pStyle w:val="ListParagraph"/>
        <w:numPr>
          <w:ilvl w:val="0"/>
          <w:numId w:val="30"/>
        </w:numPr>
        <w:ind w:left="1587" w:hanging="357"/>
        <w:rPr>
          <w:sz w:val="21"/>
          <w:szCs w:val="21"/>
        </w:rPr>
      </w:pPr>
      <w:r w:rsidRPr="007040AD">
        <w:rPr>
          <w:sz w:val="21"/>
          <w:szCs w:val="21"/>
        </w:rPr>
        <w:t>Points on measuring the effectiveness of communications.</w:t>
      </w:r>
    </w:p>
    <w:p w14:paraId="49354599" w14:textId="337BD3A9" w:rsidR="007040AD" w:rsidRPr="007040AD" w:rsidRDefault="001E3B50" w:rsidP="00F1355B">
      <w:pPr>
        <w:pStyle w:val="ListParagraph"/>
        <w:spacing w:after="0"/>
        <w:ind w:left="873" w:firstLine="0"/>
        <w:rPr>
          <w:sz w:val="21"/>
          <w:szCs w:val="21"/>
        </w:rPr>
      </w:pPr>
      <w:r>
        <w:rPr>
          <w:sz w:val="21"/>
          <w:szCs w:val="21"/>
        </w:rPr>
        <w:t>“</w:t>
      </w:r>
      <w:r w:rsidR="007040AD" w:rsidRPr="007040AD">
        <w:rPr>
          <w:sz w:val="21"/>
          <w:szCs w:val="21"/>
        </w:rPr>
        <w:t>The response could potentially have been improved by:</w:t>
      </w:r>
    </w:p>
    <w:p w14:paraId="72033A6B" w14:textId="2B15E0DC" w:rsidR="007040AD" w:rsidRPr="007040AD" w:rsidRDefault="007040AD" w:rsidP="003F091E">
      <w:pPr>
        <w:pStyle w:val="ListParagraph"/>
        <w:numPr>
          <w:ilvl w:val="0"/>
          <w:numId w:val="31"/>
        </w:numPr>
        <w:ind w:left="1587" w:hanging="357"/>
        <w:contextualSpacing/>
        <w:rPr>
          <w:sz w:val="21"/>
          <w:szCs w:val="21"/>
        </w:rPr>
      </w:pPr>
      <w:r w:rsidRPr="007040AD">
        <w:rPr>
          <w:sz w:val="21"/>
          <w:szCs w:val="21"/>
        </w:rPr>
        <w:t>Addressing the bullet point on how to explain any changes and provide reassurance to the patients.</w:t>
      </w:r>
    </w:p>
    <w:p w14:paraId="1AB09D38" w14:textId="01602481" w:rsidR="007040AD" w:rsidRPr="007040AD" w:rsidRDefault="007040AD" w:rsidP="003F091E">
      <w:pPr>
        <w:pStyle w:val="ListParagraph"/>
        <w:numPr>
          <w:ilvl w:val="0"/>
          <w:numId w:val="31"/>
        </w:numPr>
        <w:ind w:left="1587" w:hanging="357"/>
        <w:contextualSpacing/>
        <w:rPr>
          <w:sz w:val="21"/>
          <w:szCs w:val="21"/>
        </w:rPr>
      </w:pPr>
      <w:r w:rsidRPr="007040AD">
        <w:rPr>
          <w:sz w:val="21"/>
          <w:szCs w:val="21"/>
        </w:rPr>
        <w:t xml:space="preserve">Referencing the </w:t>
      </w:r>
      <w:proofErr w:type="gramStart"/>
      <w:r w:rsidRPr="007040AD">
        <w:rPr>
          <w:sz w:val="21"/>
          <w:szCs w:val="21"/>
        </w:rPr>
        <w:t>particular needs</w:t>
      </w:r>
      <w:proofErr w:type="gramEnd"/>
      <w:r w:rsidRPr="007040AD">
        <w:rPr>
          <w:sz w:val="21"/>
          <w:szCs w:val="21"/>
        </w:rPr>
        <w:t xml:space="preserve"> of the local community, including low literacy levels, interpretation and translation needs and easy read etc., along with accessible communication for people with visual impairment, the deaf community and people with learning disabilities.</w:t>
      </w:r>
    </w:p>
    <w:p w14:paraId="202FB4C6" w14:textId="316DF467" w:rsidR="007040AD" w:rsidRPr="007040AD" w:rsidRDefault="007040AD" w:rsidP="00233645">
      <w:pPr>
        <w:pStyle w:val="ListParagraph"/>
        <w:numPr>
          <w:ilvl w:val="0"/>
          <w:numId w:val="31"/>
        </w:numPr>
        <w:spacing w:after="160"/>
        <w:ind w:left="1587" w:hanging="357"/>
        <w:rPr>
          <w:sz w:val="21"/>
          <w:szCs w:val="21"/>
        </w:rPr>
      </w:pPr>
      <w:r w:rsidRPr="007040AD">
        <w:rPr>
          <w:sz w:val="21"/>
          <w:szCs w:val="21"/>
        </w:rPr>
        <w:t>Providing information about ongoing regular communication and how the practice would utilise the Patient Participation Groups (PPG) to communicate with patients or wider stakeholders such as community groups and the Voluntary, Community and Social Enterprises (VCSE) etc.</w:t>
      </w:r>
      <w:r w:rsidR="003F091E">
        <w:rPr>
          <w:sz w:val="21"/>
          <w:szCs w:val="21"/>
        </w:rPr>
        <w:t>”</w:t>
      </w:r>
      <w:r w:rsidR="003F091E">
        <w:rPr>
          <w:rStyle w:val="FootnoteReference"/>
          <w:sz w:val="21"/>
          <w:szCs w:val="21"/>
        </w:rPr>
        <w:footnoteReference w:id="36"/>
      </w:r>
    </w:p>
    <w:p w14:paraId="57762ACA" w14:textId="39B2FC13" w:rsidR="00F2716F" w:rsidRPr="00D3256D" w:rsidRDefault="00A33F07" w:rsidP="00F1355B">
      <w:pPr>
        <w:pStyle w:val="ListParagraph"/>
        <w:numPr>
          <w:ilvl w:val="0"/>
          <w:numId w:val="4"/>
        </w:numPr>
        <w:spacing w:after="160"/>
        <w:ind w:left="567" w:hanging="567"/>
      </w:pPr>
      <w:r w:rsidRPr="00D3256D">
        <w:lastRenderedPageBreak/>
        <w:t>Wellsbourne</w:t>
      </w:r>
      <w:r w:rsidR="0054418E" w:rsidRPr="00D3256D">
        <w:t xml:space="preserve"> told Sussex ICB that</w:t>
      </w:r>
      <w:r w:rsidR="00B227D0" w:rsidRPr="00D3256D">
        <w:t xml:space="preserve"> it had concerns that</w:t>
      </w:r>
      <w:r w:rsidR="0054418E" w:rsidRPr="00D3256D">
        <w:t xml:space="preserve"> the ITT criteria were not applied fairl</w:t>
      </w:r>
      <w:r w:rsidR="0090174A" w:rsidRPr="00D3256D">
        <w:t>y</w:t>
      </w:r>
      <w:r w:rsidR="00B227D0" w:rsidRPr="00D3256D">
        <w:t xml:space="preserve"> and that “</w:t>
      </w:r>
      <w:r w:rsidR="00D3256D" w:rsidRPr="00D3256D">
        <w:t>insufficient</w:t>
      </w:r>
      <w:r w:rsidR="00B227D0" w:rsidRPr="00D3256D">
        <w:t xml:space="preserve"> weight appears to be given to the fact that an incumbent simply has less need than a new provider to communicate changes to patients during the first year”</w:t>
      </w:r>
      <w:r w:rsidR="003A36D0">
        <w:t xml:space="preserve"> and that</w:t>
      </w:r>
      <w:r w:rsidR="00F831B8">
        <w:t xml:space="preserve"> “t</w:t>
      </w:r>
      <w:r w:rsidR="00F831B8" w:rsidRPr="00F831B8">
        <w:t>he main change for the incumbent provider is the new KPI’s, and we have described how we would communicate this</w:t>
      </w:r>
      <w:r w:rsidR="00F831B8">
        <w:t>”</w:t>
      </w:r>
      <w:r w:rsidR="00D3256D" w:rsidRPr="00D3256D">
        <w:t>.</w:t>
      </w:r>
      <w:r w:rsidR="00D3256D">
        <w:rPr>
          <w:rStyle w:val="FootnoteReference"/>
        </w:rPr>
        <w:footnoteReference w:id="37"/>
      </w:r>
    </w:p>
    <w:p w14:paraId="78437E69" w14:textId="60650E67" w:rsidR="009B22EA" w:rsidRDefault="00BB258C" w:rsidP="00104471">
      <w:pPr>
        <w:pStyle w:val="ListParagraph"/>
        <w:numPr>
          <w:ilvl w:val="0"/>
          <w:numId w:val="4"/>
        </w:numPr>
        <w:ind w:left="567" w:hanging="567"/>
      </w:pPr>
      <w:r w:rsidRPr="00371A2D">
        <w:t>In response to Wellsbourne’s concerns, Sussex ICB</w:t>
      </w:r>
      <w:r w:rsidR="00503BA3" w:rsidRPr="00371A2D">
        <w:t xml:space="preserve"> said</w:t>
      </w:r>
      <w:r w:rsidR="009B22EA">
        <w:t>:</w:t>
      </w:r>
    </w:p>
    <w:p w14:paraId="5E7C2CC7" w14:textId="3959330F" w:rsidR="009B22EA" w:rsidRPr="009C5722" w:rsidRDefault="009B22EA" w:rsidP="00104471">
      <w:pPr>
        <w:pStyle w:val="ListParagraph"/>
        <w:ind w:left="851" w:firstLine="0"/>
        <w:rPr>
          <w:sz w:val="21"/>
          <w:szCs w:val="21"/>
        </w:rPr>
      </w:pPr>
      <w:r w:rsidRPr="009C5722">
        <w:rPr>
          <w:sz w:val="21"/>
          <w:szCs w:val="21"/>
        </w:rPr>
        <w:t xml:space="preserve">“[Wellsbourne’s] bid merely referenced an intention to implement a communication plan in the first year, however, as noted in the feedback, this response lacked reference to </w:t>
      </w:r>
      <w:proofErr w:type="gramStart"/>
      <w:r w:rsidRPr="009C5722">
        <w:rPr>
          <w:sz w:val="21"/>
          <w:szCs w:val="21"/>
        </w:rPr>
        <w:t>particular patient</w:t>
      </w:r>
      <w:proofErr w:type="gramEnd"/>
      <w:r w:rsidRPr="009C5722">
        <w:rPr>
          <w:sz w:val="21"/>
          <w:szCs w:val="21"/>
        </w:rPr>
        <w:t xml:space="preserve"> needs and examples of support provided.</w:t>
      </w:r>
    </w:p>
    <w:p w14:paraId="6CED7AB8" w14:textId="6F87F493" w:rsidR="009B22EA" w:rsidRPr="009C5722" w:rsidRDefault="009B22EA" w:rsidP="00F1355B">
      <w:pPr>
        <w:pStyle w:val="ListParagraph"/>
        <w:spacing w:after="160"/>
        <w:ind w:left="851" w:firstLine="0"/>
        <w:rPr>
          <w:sz w:val="21"/>
          <w:szCs w:val="21"/>
        </w:rPr>
      </w:pPr>
      <w:r w:rsidRPr="009C5722">
        <w:rPr>
          <w:sz w:val="21"/>
          <w:szCs w:val="21"/>
        </w:rPr>
        <w:t>“The [ICB review] Panel observed that the Evaluators consistently awarded a higher score where there was evidence of greater explanation, as per the feedback provided, with no evidence to support this bidder’s assertion of being unfairly treated</w:t>
      </w:r>
      <w:r w:rsidR="009C5722" w:rsidRPr="009C5722">
        <w:rPr>
          <w:sz w:val="21"/>
          <w:szCs w:val="21"/>
        </w:rPr>
        <w:t>.</w:t>
      </w:r>
      <w:r w:rsidRPr="009C5722">
        <w:rPr>
          <w:sz w:val="21"/>
          <w:szCs w:val="21"/>
        </w:rPr>
        <w:t>”</w:t>
      </w:r>
      <w:r w:rsidR="006369E6">
        <w:rPr>
          <w:rStyle w:val="FootnoteReference"/>
          <w:sz w:val="21"/>
          <w:szCs w:val="21"/>
        </w:rPr>
        <w:footnoteReference w:id="38"/>
      </w:r>
    </w:p>
    <w:p w14:paraId="5F36F197" w14:textId="535A48F9" w:rsidR="008528D3" w:rsidRDefault="008528D3" w:rsidP="00A2487D">
      <w:pPr>
        <w:pStyle w:val="ListParagraph"/>
        <w:numPr>
          <w:ilvl w:val="0"/>
          <w:numId w:val="4"/>
        </w:numPr>
        <w:spacing w:after="160"/>
        <w:ind w:left="567" w:hanging="567"/>
      </w:pPr>
      <w:r>
        <w:t>Given the concerns raised by Wellsbourne, the Panel considered: (</w:t>
      </w:r>
      <w:proofErr w:type="spellStart"/>
      <w:r>
        <w:t>i</w:t>
      </w:r>
      <w:proofErr w:type="spellEnd"/>
      <w:r>
        <w:t>) whether the question on communications was unfair to it as the incumbent provider; (ii) whether the evaluation of this question was unfair to it as the incumbent provider.</w:t>
      </w:r>
    </w:p>
    <w:p w14:paraId="6AABE32C" w14:textId="1CE4BB8C" w:rsidR="008528D3" w:rsidRDefault="00A2487D" w:rsidP="00082BAC">
      <w:pPr>
        <w:pStyle w:val="ListParagraph"/>
        <w:numPr>
          <w:ilvl w:val="0"/>
          <w:numId w:val="4"/>
        </w:numPr>
        <w:ind w:left="567" w:hanging="567"/>
      </w:pPr>
      <w:r>
        <w:t>On the first issue, the Panel’s view is that the question on communications was not unfair to Wellsbourne as the incumbent provider.</w:t>
      </w:r>
      <w:r w:rsidR="004B3E9D">
        <w:t xml:space="preserve"> Wellsbourne’s position as incumbent provider meant that </w:t>
      </w:r>
      <w:r w:rsidR="008F0B90">
        <w:t xml:space="preserve">if its bid </w:t>
      </w:r>
      <w:r w:rsidR="008360A2">
        <w:t>was</w:t>
      </w:r>
      <w:r w:rsidR="008F0B90">
        <w:t xml:space="preserve"> successful, its need to communicate with patients would </w:t>
      </w:r>
      <w:r w:rsidR="008360A2">
        <w:t>be</w:t>
      </w:r>
      <w:r w:rsidR="008F0B90">
        <w:t xml:space="preserve"> of a different order compared to </w:t>
      </w:r>
      <w:r w:rsidR="008360A2">
        <w:t xml:space="preserve">a new provider. However, this did not </w:t>
      </w:r>
      <w:r w:rsidR="00BA168C">
        <w:t>make the question, of itself, unfair to Wellsbourne.</w:t>
      </w:r>
    </w:p>
    <w:p w14:paraId="0D2B0BBD" w14:textId="42C8D961" w:rsidR="00BA168C" w:rsidRDefault="00BA168C" w:rsidP="00082BAC">
      <w:pPr>
        <w:pStyle w:val="ListParagraph"/>
        <w:numPr>
          <w:ilvl w:val="0"/>
          <w:numId w:val="4"/>
        </w:numPr>
        <w:ind w:left="567" w:hanging="567"/>
      </w:pPr>
      <w:r>
        <w:t xml:space="preserve">On the second issue (i.e. whether the evaluation of the question was unfair to Wellsbourne), </w:t>
      </w:r>
      <w:r w:rsidR="00EB2010">
        <w:t>the Panel’s view is that Sussex ICB erred by saying that: (a) Wellsbourne did not address the bullet point on “how to explain any changes and provide reassurance to patients”; and (b) Wellsbourne did not provide information about ongoing regular communication with patients. Wellsbourne’s response addresses these two issues, even if Sussex ICB may have wished for a different or more detailed response.</w:t>
      </w:r>
    </w:p>
    <w:p w14:paraId="408CD7B0" w14:textId="7A9FDCC0" w:rsidR="00DE4C6A" w:rsidRPr="00F1355B" w:rsidRDefault="00DE4C6A" w:rsidP="006058DE">
      <w:pPr>
        <w:keepNext/>
        <w:spacing w:before="240"/>
        <w:rPr>
          <w:b/>
          <w:bCs/>
        </w:rPr>
      </w:pPr>
      <w:r w:rsidRPr="00F1355B">
        <w:rPr>
          <w:b/>
          <w:bCs/>
        </w:rPr>
        <w:t xml:space="preserve">Question ITT16 </w:t>
      </w:r>
      <w:r w:rsidR="006058DE">
        <w:rPr>
          <w:b/>
          <w:bCs/>
        </w:rPr>
        <w:t>(</w:t>
      </w:r>
      <w:r w:rsidRPr="00F1355B">
        <w:rPr>
          <w:b/>
          <w:bCs/>
        </w:rPr>
        <w:t>Promoting Change</w:t>
      </w:r>
      <w:r w:rsidR="006058DE">
        <w:rPr>
          <w:b/>
          <w:bCs/>
        </w:rPr>
        <w:t>)</w:t>
      </w:r>
    </w:p>
    <w:p w14:paraId="338C6A6F" w14:textId="73E1CC31" w:rsidR="00DE4C6A" w:rsidRPr="000719E9" w:rsidRDefault="00C068C1" w:rsidP="00DE4C6A">
      <w:pPr>
        <w:pStyle w:val="ListParagraph"/>
        <w:numPr>
          <w:ilvl w:val="0"/>
          <w:numId w:val="4"/>
        </w:numPr>
        <w:ind w:left="567" w:hanging="567"/>
      </w:pPr>
      <w:r>
        <w:t>Wellsbourne raised concerns that the question on promoting change and its evaluation was unfair to it as the incumbent provider</w:t>
      </w:r>
      <w:r w:rsidR="00CE4F41">
        <w:t xml:space="preserve"> </w:t>
      </w:r>
      <w:r w:rsidR="00CE4F41" w:rsidRPr="002F795A">
        <w:t>(see paragraph</w:t>
      </w:r>
      <w:r w:rsidR="005F574A">
        <w:t xml:space="preserve"> </w:t>
      </w:r>
      <w:r w:rsidR="005F574A">
        <w:fldChar w:fldCharType="begin"/>
      </w:r>
      <w:r w:rsidR="005F574A">
        <w:instrText xml:space="preserve"> REF _Ref204155856 \r \h </w:instrText>
      </w:r>
      <w:r w:rsidR="005F574A">
        <w:fldChar w:fldCharType="separate"/>
      </w:r>
      <w:r w:rsidR="00C81C5A">
        <w:t>68</w:t>
      </w:r>
      <w:r w:rsidR="005F574A">
        <w:fldChar w:fldCharType="end"/>
      </w:r>
      <w:r w:rsidR="00CE4F41" w:rsidRPr="002F795A">
        <w:t>)</w:t>
      </w:r>
      <w:r w:rsidRPr="002F795A">
        <w:t>.</w:t>
      </w:r>
      <w:r>
        <w:t xml:space="preserve"> </w:t>
      </w:r>
      <w:r w:rsidR="00493F7C">
        <w:t>Q</w:t>
      </w:r>
      <w:r>
        <w:t xml:space="preserve">uestion </w:t>
      </w:r>
      <w:r w:rsidR="00DE4C6A" w:rsidRPr="000719E9">
        <w:t>ITT16 (Promoting Change)</w:t>
      </w:r>
      <w:r>
        <w:t xml:space="preserve"> </w:t>
      </w:r>
      <w:r w:rsidR="00DE4C6A" w:rsidRPr="000719E9">
        <w:t>was</w:t>
      </w:r>
      <w:r>
        <w:t xml:space="preserve"> </w:t>
      </w:r>
      <w:r w:rsidR="00DE4C6A" w:rsidRPr="000719E9">
        <w:t>as follows:</w:t>
      </w:r>
    </w:p>
    <w:p w14:paraId="42EB53CE" w14:textId="4CD226E5" w:rsidR="00435204" w:rsidRPr="00435204" w:rsidRDefault="00435204" w:rsidP="00F1355B">
      <w:pPr>
        <w:pStyle w:val="ListParagraph"/>
        <w:spacing w:after="160"/>
        <w:ind w:left="851" w:firstLine="0"/>
        <w:rPr>
          <w:sz w:val="21"/>
          <w:szCs w:val="21"/>
        </w:rPr>
      </w:pPr>
      <w:r w:rsidRPr="00435204">
        <w:rPr>
          <w:sz w:val="21"/>
          <w:szCs w:val="21"/>
        </w:rPr>
        <w:t>“Describe how you will work with and influence wider community partners (e.g. schools, VCSE), to provide the best care and promote change for the benefit of the patient population. Include examples of working with partnerships and other organisations aimed at enhancing service accessibility and addressing health inequalities</w:t>
      </w:r>
      <w:r w:rsidR="00F25396">
        <w:rPr>
          <w:sz w:val="21"/>
          <w:szCs w:val="21"/>
        </w:rPr>
        <w:t>.</w:t>
      </w:r>
      <w:r w:rsidR="000719E9">
        <w:rPr>
          <w:sz w:val="21"/>
          <w:szCs w:val="21"/>
        </w:rPr>
        <w:t>”</w:t>
      </w:r>
    </w:p>
    <w:p w14:paraId="4D4954BD" w14:textId="17DA63E4" w:rsidR="00334C61" w:rsidRPr="00DB04A2" w:rsidRDefault="00DE4C6A" w:rsidP="00766544">
      <w:pPr>
        <w:pStyle w:val="ListParagraph"/>
        <w:numPr>
          <w:ilvl w:val="0"/>
          <w:numId w:val="4"/>
        </w:numPr>
        <w:ind w:left="567" w:hanging="567"/>
      </w:pPr>
      <w:r w:rsidRPr="000B75CC">
        <w:t xml:space="preserve">Wellsbourne’s response was awarded a score of </w:t>
      </w:r>
      <w:r w:rsidR="000B75CC" w:rsidRPr="000B75CC">
        <w:t>1 (Limited)</w:t>
      </w:r>
      <w:r w:rsidRPr="000B75CC">
        <w:t>.</w:t>
      </w:r>
      <w:r w:rsidR="00F609D0">
        <w:t xml:space="preserve"> </w:t>
      </w:r>
      <w:r w:rsidR="00AE70F2" w:rsidRPr="00AE70F2">
        <w:t xml:space="preserve">In its </w:t>
      </w:r>
      <w:r w:rsidR="00F609D0">
        <w:t>tender</w:t>
      </w:r>
      <w:r w:rsidR="00F609D0" w:rsidRPr="00AE70F2">
        <w:t xml:space="preserve"> </w:t>
      </w:r>
      <w:r w:rsidR="00AE70F2" w:rsidRPr="00AE70F2">
        <w:t xml:space="preserve">outcome letter, Sussex ICB gave Wellsbourne the following </w:t>
      </w:r>
      <w:r w:rsidR="007C45AD">
        <w:t>feedback</w:t>
      </w:r>
      <w:r w:rsidR="00DB04A2" w:rsidRPr="00DB04A2">
        <w:t>:</w:t>
      </w:r>
    </w:p>
    <w:p w14:paraId="70507BB1" w14:textId="2E009CE3" w:rsidR="00DB04A2" w:rsidRPr="00DB04A2" w:rsidRDefault="00633691" w:rsidP="00DB04A2">
      <w:pPr>
        <w:pStyle w:val="ListParagraph"/>
        <w:ind w:left="873" w:firstLine="0"/>
        <w:rPr>
          <w:sz w:val="21"/>
          <w:szCs w:val="21"/>
        </w:rPr>
      </w:pPr>
      <w:r w:rsidRPr="00DB04A2">
        <w:rPr>
          <w:sz w:val="21"/>
          <w:szCs w:val="21"/>
        </w:rPr>
        <w:t>“The bidder provided a limited answer that does not meet the stated requirement and provides little detail or evidence.</w:t>
      </w:r>
    </w:p>
    <w:p w14:paraId="7DA2EFFE" w14:textId="757C2DC9" w:rsidR="00DB04A2" w:rsidRPr="00DB04A2" w:rsidRDefault="001E3B50" w:rsidP="00F1355B">
      <w:pPr>
        <w:pStyle w:val="ListParagraph"/>
        <w:spacing w:after="0"/>
        <w:ind w:left="873" w:firstLine="0"/>
        <w:rPr>
          <w:sz w:val="21"/>
          <w:szCs w:val="21"/>
        </w:rPr>
      </w:pPr>
      <w:r>
        <w:rPr>
          <w:sz w:val="21"/>
          <w:szCs w:val="21"/>
        </w:rPr>
        <w:t>“</w:t>
      </w:r>
      <w:r w:rsidR="00633691" w:rsidRPr="00DB04A2">
        <w:rPr>
          <w:sz w:val="21"/>
          <w:szCs w:val="21"/>
        </w:rPr>
        <w:t xml:space="preserve">Positive aspects of the response included: </w:t>
      </w:r>
    </w:p>
    <w:p w14:paraId="4369B39C" w14:textId="688F892E" w:rsidR="00DB04A2" w:rsidRPr="00DB04A2" w:rsidRDefault="00633691" w:rsidP="00DB04A2">
      <w:pPr>
        <w:pStyle w:val="ListParagraph"/>
        <w:numPr>
          <w:ilvl w:val="0"/>
          <w:numId w:val="32"/>
        </w:numPr>
        <w:ind w:left="1587" w:hanging="357"/>
        <w:contextualSpacing/>
        <w:rPr>
          <w:sz w:val="21"/>
          <w:szCs w:val="21"/>
        </w:rPr>
      </w:pPr>
      <w:r w:rsidRPr="00DB04A2">
        <w:rPr>
          <w:sz w:val="21"/>
          <w:szCs w:val="21"/>
        </w:rPr>
        <w:lastRenderedPageBreak/>
        <w:t>Examples showcase inclusion and impact.</w:t>
      </w:r>
    </w:p>
    <w:p w14:paraId="6BD593E5" w14:textId="658E85F2" w:rsidR="00DB04A2" w:rsidRPr="00DB04A2" w:rsidRDefault="00633691" w:rsidP="00DB04A2">
      <w:pPr>
        <w:pStyle w:val="ListParagraph"/>
        <w:numPr>
          <w:ilvl w:val="0"/>
          <w:numId w:val="32"/>
        </w:numPr>
        <w:ind w:left="1587" w:hanging="357"/>
        <w:contextualSpacing/>
        <w:rPr>
          <w:sz w:val="21"/>
          <w:szCs w:val="21"/>
        </w:rPr>
      </w:pPr>
      <w:r w:rsidRPr="00DB04A2">
        <w:rPr>
          <w:sz w:val="21"/>
          <w:szCs w:val="21"/>
        </w:rPr>
        <w:t>A reference made to both physical and mental health.</w:t>
      </w:r>
    </w:p>
    <w:p w14:paraId="2E984724" w14:textId="77777777" w:rsidR="00DB04A2" w:rsidRPr="00DB04A2" w:rsidRDefault="00633691" w:rsidP="00DB04A2">
      <w:pPr>
        <w:pStyle w:val="ListParagraph"/>
        <w:numPr>
          <w:ilvl w:val="0"/>
          <w:numId w:val="32"/>
        </w:numPr>
        <w:ind w:left="1587" w:hanging="357"/>
        <w:contextualSpacing/>
        <w:rPr>
          <w:sz w:val="21"/>
          <w:szCs w:val="21"/>
        </w:rPr>
      </w:pPr>
      <w:r w:rsidRPr="00633691">
        <w:rPr>
          <w:sz w:val="21"/>
          <w:szCs w:val="21"/>
        </w:rPr>
        <w:t>Evidencing proven success: They have set out how they have reduced health inequality by targeting care to specific cohorts meeting their population health need.</w:t>
      </w:r>
    </w:p>
    <w:p w14:paraId="4724B9D4" w14:textId="77777777" w:rsidR="00DB04A2" w:rsidRPr="00DB04A2" w:rsidRDefault="00633691" w:rsidP="00DB04A2">
      <w:pPr>
        <w:pStyle w:val="ListParagraph"/>
        <w:numPr>
          <w:ilvl w:val="0"/>
          <w:numId w:val="32"/>
        </w:numPr>
        <w:ind w:left="1587" w:hanging="357"/>
        <w:rPr>
          <w:sz w:val="21"/>
          <w:szCs w:val="21"/>
        </w:rPr>
      </w:pPr>
      <w:r w:rsidRPr="00DB04A2">
        <w:rPr>
          <w:sz w:val="21"/>
          <w:szCs w:val="21"/>
        </w:rPr>
        <w:t>Some examples of working in partnership.</w:t>
      </w:r>
    </w:p>
    <w:p w14:paraId="7D23DA12" w14:textId="27B585C2" w:rsidR="00DB04A2" w:rsidRPr="00DB04A2" w:rsidRDefault="001E3B50" w:rsidP="00F1355B">
      <w:pPr>
        <w:pStyle w:val="ListParagraph"/>
        <w:spacing w:after="0"/>
        <w:ind w:left="873" w:firstLine="0"/>
        <w:rPr>
          <w:sz w:val="21"/>
          <w:szCs w:val="21"/>
        </w:rPr>
      </w:pPr>
      <w:r>
        <w:rPr>
          <w:sz w:val="21"/>
          <w:szCs w:val="21"/>
        </w:rPr>
        <w:t>“</w:t>
      </w:r>
      <w:r w:rsidR="00633691" w:rsidRPr="00633691">
        <w:rPr>
          <w:sz w:val="21"/>
          <w:szCs w:val="21"/>
        </w:rPr>
        <w:t>The response could potentially have been improved by:</w:t>
      </w:r>
    </w:p>
    <w:p w14:paraId="24A3143E" w14:textId="79D92C14" w:rsidR="00DB04A2" w:rsidRPr="00DB04A2" w:rsidRDefault="00633691" w:rsidP="00DB04A2">
      <w:pPr>
        <w:pStyle w:val="ListParagraph"/>
        <w:numPr>
          <w:ilvl w:val="0"/>
          <w:numId w:val="33"/>
        </w:numPr>
        <w:ind w:left="1587" w:hanging="357"/>
        <w:contextualSpacing/>
        <w:rPr>
          <w:sz w:val="21"/>
          <w:szCs w:val="21"/>
        </w:rPr>
      </w:pPr>
      <w:r w:rsidRPr="00DB04A2">
        <w:rPr>
          <w:sz w:val="21"/>
          <w:szCs w:val="21"/>
        </w:rPr>
        <w:t>Referencing links with Secondary Care.</w:t>
      </w:r>
    </w:p>
    <w:p w14:paraId="641DA2A6" w14:textId="1B7CFBD8" w:rsidR="00DB04A2" w:rsidRPr="00DB04A2" w:rsidRDefault="00633691" w:rsidP="00DB04A2">
      <w:pPr>
        <w:pStyle w:val="ListParagraph"/>
        <w:numPr>
          <w:ilvl w:val="0"/>
          <w:numId w:val="33"/>
        </w:numPr>
        <w:ind w:left="1587" w:hanging="357"/>
        <w:contextualSpacing/>
        <w:rPr>
          <w:sz w:val="21"/>
          <w:szCs w:val="21"/>
        </w:rPr>
      </w:pPr>
      <w:r w:rsidRPr="00633691">
        <w:rPr>
          <w:sz w:val="21"/>
          <w:szCs w:val="21"/>
        </w:rPr>
        <w:t>Providing less focus on how the practice enhances patient access, reduces A&amp;E visits etc. which are not relevant to this question.</w:t>
      </w:r>
    </w:p>
    <w:p w14:paraId="04AA16D2" w14:textId="77777777" w:rsidR="00DB04A2" w:rsidRPr="00DB04A2" w:rsidRDefault="00633691" w:rsidP="00DB04A2">
      <w:pPr>
        <w:pStyle w:val="ListParagraph"/>
        <w:numPr>
          <w:ilvl w:val="0"/>
          <w:numId w:val="33"/>
        </w:numPr>
        <w:ind w:left="1587" w:hanging="357"/>
        <w:contextualSpacing/>
        <w:rPr>
          <w:sz w:val="21"/>
          <w:szCs w:val="21"/>
        </w:rPr>
      </w:pPr>
      <w:r w:rsidRPr="00DB04A2">
        <w:rPr>
          <w:sz w:val="21"/>
          <w:szCs w:val="21"/>
        </w:rPr>
        <w:t>Being clearer about their own role in the scheme being run by Bridging Change.</w:t>
      </w:r>
    </w:p>
    <w:p w14:paraId="5F4C0963" w14:textId="24D65B9F" w:rsidR="00DB04A2" w:rsidRPr="00DB04A2" w:rsidRDefault="00633691" w:rsidP="00DB04A2">
      <w:pPr>
        <w:pStyle w:val="ListParagraph"/>
        <w:numPr>
          <w:ilvl w:val="0"/>
          <w:numId w:val="33"/>
        </w:numPr>
        <w:ind w:left="1587" w:hanging="357"/>
        <w:contextualSpacing/>
        <w:rPr>
          <w:sz w:val="21"/>
          <w:szCs w:val="21"/>
        </w:rPr>
      </w:pPr>
      <w:r w:rsidRPr="00633691">
        <w:rPr>
          <w:sz w:val="21"/>
          <w:szCs w:val="21"/>
        </w:rPr>
        <w:t>Providing detail on how they will integrate and collaborate working with and influencing wider community partners.</w:t>
      </w:r>
    </w:p>
    <w:p w14:paraId="74BD803E" w14:textId="48D4FD65" w:rsidR="00633691" w:rsidRPr="00633691" w:rsidRDefault="00633691" w:rsidP="00F1355B">
      <w:pPr>
        <w:pStyle w:val="ListParagraph"/>
        <w:numPr>
          <w:ilvl w:val="0"/>
          <w:numId w:val="33"/>
        </w:numPr>
        <w:spacing w:after="160"/>
        <w:ind w:left="1587" w:hanging="357"/>
        <w:rPr>
          <w:sz w:val="21"/>
          <w:szCs w:val="21"/>
        </w:rPr>
      </w:pPr>
      <w:r w:rsidRPr="00633691">
        <w:rPr>
          <w:sz w:val="21"/>
          <w:szCs w:val="21"/>
        </w:rPr>
        <w:t>Concentrating on the benefits to the patients within the partner network rather than benefits to the ICB.</w:t>
      </w:r>
      <w:r w:rsidR="00DB04A2">
        <w:rPr>
          <w:sz w:val="21"/>
          <w:szCs w:val="21"/>
        </w:rPr>
        <w:t>”</w:t>
      </w:r>
      <w:r w:rsidR="00DB04A2">
        <w:rPr>
          <w:rStyle w:val="FootnoteReference"/>
          <w:sz w:val="21"/>
          <w:szCs w:val="21"/>
        </w:rPr>
        <w:footnoteReference w:id="39"/>
      </w:r>
    </w:p>
    <w:p w14:paraId="66278A77" w14:textId="77777777" w:rsidR="008E5078" w:rsidRPr="008E5078" w:rsidRDefault="00ED513F" w:rsidP="009D14EA">
      <w:pPr>
        <w:pStyle w:val="ListParagraph"/>
        <w:numPr>
          <w:ilvl w:val="0"/>
          <w:numId w:val="4"/>
        </w:numPr>
        <w:ind w:left="567" w:hanging="567"/>
      </w:pPr>
      <w:bookmarkStart w:id="39" w:name="_Ref202442773"/>
      <w:r w:rsidRPr="00F1355B">
        <w:t>Wellsbourne</w:t>
      </w:r>
      <w:r w:rsidR="00D46B23" w:rsidRPr="008E5078">
        <w:t xml:space="preserve">, in its representations, </w:t>
      </w:r>
      <w:r w:rsidR="00383B4A" w:rsidRPr="008E5078">
        <w:t>asked</w:t>
      </w:r>
      <w:r w:rsidR="00EC4327" w:rsidRPr="008E5078">
        <w:t xml:space="preserve"> Sussex ICB </w:t>
      </w:r>
      <w:r w:rsidR="00D46B23" w:rsidRPr="008E5078">
        <w:t>to</w:t>
      </w:r>
      <w:r w:rsidR="008E5078" w:rsidRPr="008E5078">
        <w:t>:</w:t>
      </w:r>
      <w:bookmarkEnd w:id="39"/>
    </w:p>
    <w:p w14:paraId="6015A98B" w14:textId="183AE1AD" w:rsidR="00ED513F" w:rsidRPr="00F1355B" w:rsidRDefault="008E5078" w:rsidP="003F30D3">
      <w:pPr>
        <w:ind w:left="851"/>
        <w:rPr>
          <w:sz w:val="21"/>
          <w:szCs w:val="21"/>
        </w:rPr>
      </w:pPr>
      <w:r w:rsidRPr="00F1355B">
        <w:rPr>
          <w:sz w:val="21"/>
          <w:szCs w:val="21"/>
        </w:rPr>
        <w:t>“</w:t>
      </w:r>
      <w:r w:rsidR="00D46B23" w:rsidRPr="00F1355B">
        <w:rPr>
          <w:sz w:val="21"/>
          <w:szCs w:val="21"/>
        </w:rPr>
        <w:t xml:space="preserve">outline </w:t>
      </w:r>
      <w:r w:rsidR="00127D2F" w:rsidRPr="00F1355B">
        <w:rPr>
          <w:sz w:val="21"/>
          <w:szCs w:val="21"/>
        </w:rPr>
        <w:t xml:space="preserve">how the score of 1 point (A limited answer that does not meet the stated requirement or one that provides little detail or evidence) was reached for our response to this question, given our comprehensive demonstration of our innovative partnership working and the evaluators’ own positive feedback, particularly this point: </w:t>
      </w:r>
      <w:r w:rsidRPr="00F1355B">
        <w:rPr>
          <w:sz w:val="21"/>
          <w:szCs w:val="21"/>
        </w:rPr>
        <w:t>‘</w:t>
      </w:r>
      <w:r w:rsidR="00127D2F" w:rsidRPr="00F1355B">
        <w:rPr>
          <w:sz w:val="21"/>
          <w:szCs w:val="21"/>
        </w:rPr>
        <w:t>Evidencing proven success: They have set out how they have reduced health inequality by targeting care to specific cohorts meeting their population health need</w:t>
      </w:r>
      <w:r w:rsidRPr="00F1355B">
        <w:rPr>
          <w:sz w:val="21"/>
          <w:szCs w:val="21"/>
        </w:rPr>
        <w:t>’</w:t>
      </w:r>
      <w:r w:rsidR="00127D2F" w:rsidRPr="00F1355B">
        <w:rPr>
          <w:sz w:val="21"/>
          <w:szCs w:val="21"/>
        </w:rPr>
        <w:t>. This is not clear from the moderation discussion notes provided.</w:t>
      </w:r>
      <w:r w:rsidRPr="00F1355B">
        <w:rPr>
          <w:sz w:val="21"/>
          <w:szCs w:val="21"/>
        </w:rPr>
        <w:t>”</w:t>
      </w:r>
    </w:p>
    <w:p w14:paraId="20FA2C05" w14:textId="4481ED42" w:rsidR="000F5FAF" w:rsidRPr="00F1355B" w:rsidRDefault="00DF15F7" w:rsidP="009D14EA">
      <w:pPr>
        <w:pStyle w:val="ListParagraph"/>
        <w:numPr>
          <w:ilvl w:val="0"/>
          <w:numId w:val="4"/>
        </w:numPr>
        <w:ind w:left="567" w:hanging="567"/>
      </w:pPr>
      <w:r w:rsidRPr="00F1355B">
        <w:t>In responding to Wellsbourne’s concerns, Sussex ICB s</w:t>
      </w:r>
      <w:r w:rsidR="000F5FAF" w:rsidRPr="00F1355B">
        <w:t>aid that:</w:t>
      </w:r>
    </w:p>
    <w:p w14:paraId="1F497B97" w14:textId="4E85A78C" w:rsidR="00C34949" w:rsidRPr="00F1355B" w:rsidRDefault="003D6C5A" w:rsidP="00F1355B">
      <w:pPr>
        <w:pStyle w:val="ListParagraph"/>
        <w:spacing w:after="160"/>
        <w:ind w:left="851" w:firstLine="0"/>
        <w:rPr>
          <w:sz w:val="21"/>
          <w:szCs w:val="21"/>
        </w:rPr>
      </w:pPr>
      <w:r w:rsidRPr="00F1355B">
        <w:rPr>
          <w:sz w:val="21"/>
          <w:szCs w:val="21"/>
        </w:rPr>
        <w:t>“The</w:t>
      </w:r>
      <w:r w:rsidR="00F1355B">
        <w:rPr>
          <w:sz w:val="21"/>
          <w:szCs w:val="21"/>
        </w:rPr>
        <w:t xml:space="preserve"> [ICB review]</w:t>
      </w:r>
      <w:r w:rsidRPr="00F1355B">
        <w:rPr>
          <w:sz w:val="21"/>
          <w:szCs w:val="21"/>
        </w:rPr>
        <w:t xml:space="preserve"> Panel observed that the Evaluators consistently awarded a higher score where there was evidence of greater explanation and evidence of wider system working and whilst the examples provided were highly creditable as examples of working with VCSE partners this response lacked substantiation as per the feedback provided. Furthermore the</w:t>
      </w:r>
      <w:r w:rsidR="00F1355B">
        <w:rPr>
          <w:sz w:val="21"/>
          <w:szCs w:val="21"/>
        </w:rPr>
        <w:t xml:space="preserve"> [ICB review]</w:t>
      </w:r>
      <w:r w:rsidRPr="00F1355B">
        <w:rPr>
          <w:sz w:val="21"/>
          <w:szCs w:val="21"/>
        </w:rPr>
        <w:t xml:space="preserve"> Panel supported the Lead Evaluators view that a significant proportion of the Wellsbourne response described how the practice enhanced patient access, reduced A&amp;E visits etc which was not relevant to this question and agreed with the feedback already provided.”</w:t>
      </w:r>
      <w:r w:rsidR="00DB1B6D" w:rsidRPr="00F1355B">
        <w:rPr>
          <w:rStyle w:val="FootnoteReference"/>
          <w:sz w:val="21"/>
          <w:szCs w:val="21"/>
        </w:rPr>
        <w:footnoteReference w:id="40"/>
      </w:r>
    </w:p>
    <w:p w14:paraId="0BAB7201" w14:textId="67099502" w:rsidR="003E7632" w:rsidRPr="00F1355B" w:rsidRDefault="003C07FE" w:rsidP="009D14EA">
      <w:pPr>
        <w:pStyle w:val="ListParagraph"/>
        <w:numPr>
          <w:ilvl w:val="0"/>
          <w:numId w:val="4"/>
        </w:numPr>
        <w:ind w:left="567" w:hanging="567"/>
      </w:pPr>
      <w:r>
        <w:t xml:space="preserve">The Panel notes that </w:t>
      </w:r>
      <w:r w:rsidR="00603963">
        <w:t>the evaluators</w:t>
      </w:r>
      <w:r w:rsidR="00091BE4">
        <w:t>’ initial comments</w:t>
      </w:r>
      <w:r w:rsidR="00603963">
        <w:t xml:space="preserve"> </w:t>
      </w:r>
      <w:r w:rsidR="000D1E96">
        <w:t>for this question</w:t>
      </w:r>
      <w:r w:rsidR="005C74C2">
        <w:t xml:space="preserve"> </w:t>
      </w:r>
      <w:r w:rsidR="00091BE4">
        <w:t xml:space="preserve">included </w:t>
      </w:r>
      <w:r>
        <w:t xml:space="preserve">both positive and negative comments </w:t>
      </w:r>
      <w:r w:rsidR="00603963">
        <w:t xml:space="preserve">in the </w:t>
      </w:r>
      <w:r w:rsidR="005C74C2">
        <w:t>assessment</w:t>
      </w:r>
      <w:r w:rsidR="00603963">
        <w:t xml:space="preserve"> of Wellsbourne’s response</w:t>
      </w:r>
      <w:r>
        <w:t>.</w:t>
      </w:r>
      <w:r w:rsidRPr="00215233">
        <w:rPr>
          <w:vertAlign w:val="superscript"/>
        </w:rPr>
        <w:footnoteReference w:id="41"/>
      </w:r>
      <w:r w:rsidR="00603963">
        <w:t xml:space="preserve"> </w:t>
      </w:r>
      <w:r w:rsidR="00137FAA">
        <w:t>T</w:t>
      </w:r>
      <w:r w:rsidR="00501215" w:rsidRPr="00F1355B">
        <w:t>he</w:t>
      </w:r>
      <w:r w:rsidR="00464078" w:rsidRPr="00F1355B">
        <w:t xml:space="preserve"> discussion notes of the</w:t>
      </w:r>
      <w:r w:rsidR="00501215" w:rsidRPr="00F1355B">
        <w:t xml:space="preserve"> moderation </w:t>
      </w:r>
      <w:r w:rsidR="00464078" w:rsidRPr="00F1355B">
        <w:t>meeting</w:t>
      </w:r>
      <w:r w:rsidR="00C85C6D" w:rsidRPr="00F1355B">
        <w:t>, which resulted in a moderated score of 1</w:t>
      </w:r>
      <w:r w:rsidR="001E6B1D">
        <w:t xml:space="preserve">, </w:t>
      </w:r>
      <w:r w:rsidR="00EA0432">
        <w:t xml:space="preserve">contain </w:t>
      </w:r>
      <w:r w:rsidR="00F2514E">
        <w:t>a</w:t>
      </w:r>
      <w:r w:rsidR="006242EB">
        <w:t xml:space="preserve"> </w:t>
      </w:r>
      <w:r w:rsidR="00EA0432">
        <w:t>record</w:t>
      </w:r>
      <w:r w:rsidR="00720A87">
        <w:t xml:space="preserve"> of</w:t>
      </w:r>
      <w:r w:rsidR="009E490A">
        <w:t xml:space="preserve"> </w:t>
      </w:r>
      <w:r w:rsidR="007160D1">
        <w:t xml:space="preserve">the </w:t>
      </w:r>
      <w:r w:rsidR="00192AAC">
        <w:t>reasons</w:t>
      </w:r>
      <w:r w:rsidR="009E490A">
        <w:t xml:space="preserve"> for </w:t>
      </w:r>
      <w:r w:rsidR="00855D3E">
        <w:t>the</w:t>
      </w:r>
      <w:r w:rsidR="005F4175">
        <w:t xml:space="preserve"> </w:t>
      </w:r>
      <w:r w:rsidR="008F1103">
        <w:t xml:space="preserve">moderated </w:t>
      </w:r>
      <w:r w:rsidR="005F4175">
        <w:t>scoring</w:t>
      </w:r>
      <w:r w:rsidR="006242EB">
        <w:t>, including the following:</w:t>
      </w:r>
    </w:p>
    <w:p w14:paraId="480094A3" w14:textId="0250F5DF" w:rsidR="00C80945" w:rsidRDefault="00C80945" w:rsidP="00AF305D">
      <w:pPr>
        <w:pStyle w:val="ListParagraph"/>
        <w:spacing w:after="160"/>
        <w:ind w:left="851" w:firstLine="0"/>
        <w:rPr>
          <w:sz w:val="21"/>
          <w:szCs w:val="21"/>
        </w:rPr>
      </w:pPr>
      <w:r>
        <w:rPr>
          <w:sz w:val="21"/>
          <w:szCs w:val="21"/>
        </w:rPr>
        <w:t>“</w:t>
      </w:r>
      <w:r w:rsidR="006242EB">
        <w:rPr>
          <w:sz w:val="21"/>
          <w:szCs w:val="21"/>
        </w:rPr>
        <w:t xml:space="preserve">[Evaluator 2] </w:t>
      </w:r>
      <w:r w:rsidRPr="005B5065">
        <w:rPr>
          <w:sz w:val="21"/>
          <w:szCs w:val="21"/>
        </w:rPr>
        <w:t>Score – 1 based on not talking enough about influence on wider stakeholders</w:t>
      </w:r>
      <w:r>
        <w:rPr>
          <w:sz w:val="21"/>
          <w:szCs w:val="21"/>
        </w:rPr>
        <w:t>”</w:t>
      </w:r>
    </w:p>
    <w:p w14:paraId="41D82C1C" w14:textId="30F22393" w:rsidR="00807205" w:rsidRPr="00F1355B" w:rsidRDefault="00807205" w:rsidP="00B70745">
      <w:pPr>
        <w:pStyle w:val="ListParagraph"/>
        <w:spacing w:after="160"/>
        <w:ind w:left="851" w:firstLine="0"/>
        <w:rPr>
          <w:sz w:val="21"/>
          <w:szCs w:val="21"/>
        </w:rPr>
      </w:pPr>
      <w:r w:rsidRPr="00F1355B">
        <w:rPr>
          <w:sz w:val="21"/>
          <w:szCs w:val="21"/>
        </w:rPr>
        <w:t>“</w:t>
      </w:r>
      <w:r w:rsidR="00C85C6D" w:rsidRPr="00F1355B">
        <w:rPr>
          <w:sz w:val="21"/>
          <w:szCs w:val="21"/>
          <w:u w:val="single"/>
        </w:rPr>
        <w:t>Discussion</w:t>
      </w:r>
      <w:r w:rsidR="00C85C6D" w:rsidRPr="009D14EA">
        <w:rPr>
          <w:sz w:val="21"/>
          <w:szCs w:val="21"/>
        </w:rPr>
        <w:t xml:space="preserve">: </w:t>
      </w:r>
      <w:r w:rsidR="00C85C6D" w:rsidRPr="00F1355B">
        <w:rPr>
          <w:sz w:val="21"/>
          <w:szCs w:val="21"/>
        </w:rPr>
        <w:t xml:space="preserve">Where is the innovation? Promoting change for the future? The response is missing on these issues. </w:t>
      </w:r>
      <w:r w:rsidR="00BA1462">
        <w:rPr>
          <w:sz w:val="21"/>
          <w:szCs w:val="21"/>
        </w:rPr>
        <w:t>[Evaluator</w:t>
      </w:r>
      <w:r w:rsidR="00766FFA">
        <w:rPr>
          <w:sz w:val="21"/>
          <w:szCs w:val="21"/>
        </w:rPr>
        <w:t xml:space="preserve"> 2</w:t>
      </w:r>
      <w:r w:rsidR="00BA1462">
        <w:rPr>
          <w:sz w:val="21"/>
          <w:szCs w:val="21"/>
        </w:rPr>
        <w:t>]</w:t>
      </w:r>
      <w:r w:rsidR="00C85C6D" w:rsidRPr="00F1355B">
        <w:rPr>
          <w:sz w:val="21"/>
          <w:szCs w:val="21"/>
        </w:rPr>
        <w:t xml:space="preserve"> now agrees that these elements are missing from the response”</w:t>
      </w:r>
      <w:r w:rsidR="006F29B4">
        <w:rPr>
          <w:sz w:val="21"/>
          <w:szCs w:val="21"/>
        </w:rPr>
        <w:t>.</w:t>
      </w:r>
    </w:p>
    <w:p w14:paraId="004F143C" w14:textId="414BA8ED" w:rsidR="00CF6623" w:rsidRPr="00841C25" w:rsidRDefault="00C80945" w:rsidP="008E659E">
      <w:pPr>
        <w:pStyle w:val="ListParagraph"/>
        <w:spacing w:after="160"/>
        <w:ind w:left="851" w:firstLine="0"/>
        <w:rPr>
          <w:sz w:val="21"/>
          <w:szCs w:val="21"/>
        </w:rPr>
      </w:pPr>
      <w:r>
        <w:rPr>
          <w:sz w:val="21"/>
          <w:szCs w:val="21"/>
        </w:rPr>
        <w:lastRenderedPageBreak/>
        <w:t>“</w:t>
      </w:r>
      <w:r w:rsidRPr="00C80945">
        <w:rPr>
          <w:sz w:val="21"/>
          <w:szCs w:val="21"/>
        </w:rPr>
        <w:t>Following the discussion, all of the evaluators confirmed agreement with a moderated score of 1.</w:t>
      </w:r>
      <w:r>
        <w:rPr>
          <w:sz w:val="21"/>
          <w:szCs w:val="21"/>
        </w:rPr>
        <w:t>”</w:t>
      </w:r>
      <w:r w:rsidR="00056B18">
        <w:rPr>
          <w:rStyle w:val="FootnoteReference"/>
          <w:sz w:val="21"/>
          <w:szCs w:val="21"/>
        </w:rPr>
        <w:footnoteReference w:id="42"/>
      </w:r>
    </w:p>
    <w:p w14:paraId="1D66FEFD" w14:textId="40DB9152" w:rsidR="00844E7F" w:rsidRDefault="00844E7F" w:rsidP="00844E7F">
      <w:pPr>
        <w:pStyle w:val="ListParagraph"/>
        <w:numPr>
          <w:ilvl w:val="0"/>
          <w:numId w:val="4"/>
        </w:numPr>
        <w:spacing w:after="160"/>
        <w:ind w:left="567" w:hanging="567"/>
      </w:pPr>
      <w:bookmarkStart w:id="40" w:name="_Ref202791387"/>
      <w:r>
        <w:t>Given the concerns raised by Wellsbourne, the Panel considered: (</w:t>
      </w:r>
      <w:proofErr w:type="spellStart"/>
      <w:r>
        <w:t>i</w:t>
      </w:r>
      <w:proofErr w:type="spellEnd"/>
      <w:r>
        <w:t>) whether the question on promoting change was unfair to it as the incumbent provider; (ii) whether the evaluation of this question was unfair to it as the incumbent provider.</w:t>
      </w:r>
    </w:p>
    <w:p w14:paraId="2EC2248C" w14:textId="5483C80D" w:rsidR="009952E0" w:rsidRPr="009952E0" w:rsidRDefault="00844E7F" w:rsidP="00844E7F">
      <w:pPr>
        <w:pStyle w:val="ListParagraph"/>
        <w:numPr>
          <w:ilvl w:val="0"/>
          <w:numId w:val="4"/>
        </w:numPr>
        <w:ind w:left="567" w:hanging="567"/>
      </w:pPr>
      <w:r>
        <w:t xml:space="preserve">On the first issue, the Panel’s view is that the question on promoting change was not unfair to Wellsbourne as the incumbent provider. Wellsbourne’s position as incumbent provider </w:t>
      </w:r>
      <w:r w:rsidR="003D359F">
        <w:t xml:space="preserve">does not </w:t>
      </w:r>
      <w:r w:rsidR="003D359F" w:rsidRPr="009952E0">
        <w:t xml:space="preserve">appear to have placed it in a significantly different position from other </w:t>
      </w:r>
      <w:r w:rsidR="009952E0" w:rsidRPr="009952E0">
        <w:t>bidders in terms of explaining how it would “work with and influence wider community partners (e.g. schools, VCSE), to provide the best care and promote change for the benefit of the patient population”.</w:t>
      </w:r>
    </w:p>
    <w:p w14:paraId="2AE434B0" w14:textId="599D2559" w:rsidR="00993400" w:rsidRDefault="00844E7F" w:rsidP="00844E7F">
      <w:pPr>
        <w:pStyle w:val="ListParagraph"/>
        <w:numPr>
          <w:ilvl w:val="0"/>
          <w:numId w:val="4"/>
        </w:numPr>
        <w:ind w:left="567" w:hanging="567"/>
      </w:pPr>
      <w:r>
        <w:t xml:space="preserve">On the second issue (i.e. whether the evaluation of the question was unfair to Wellsbourne), the Panel’s view is that </w:t>
      </w:r>
      <w:r w:rsidR="00993400">
        <w:t>Sussex ICB’s record of the moderation meeting provided sufficient explanation of the rationale for the moderated score.</w:t>
      </w:r>
    </w:p>
    <w:bookmarkEnd w:id="40"/>
    <w:p w14:paraId="4F8D3DB8" w14:textId="371D0595" w:rsidR="000C3B77" w:rsidRPr="009D14EA" w:rsidRDefault="000C3B77" w:rsidP="009D14EA">
      <w:pPr>
        <w:keepNext/>
        <w:spacing w:before="240"/>
        <w:rPr>
          <w:b/>
          <w:bCs/>
        </w:rPr>
      </w:pPr>
      <w:r w:rsidRPr="009D14EA">
        <w:rPr>
          <w:b/>
          <w:bCs/>
        </w:rPr>
        <w:t xml:space="preserve">Panel conclusions on </w:t>
      </w:r>
      <w:r w:rsidR="00D730C9">
        <w:rPr>
          <w:b/>
          <w:bCs/>
        </w:rPr>
        <w:t xml:space="preserve">the evaluation of </w:t>
      </w:r>
      <w:r w:rsidRPr="000C3B77">
        <w:rPr>
          <w:b/>
          <w:bCs/>
        </w:rPr>
        <w:t>Wellsbourne</w:t>
      </w:r>
      <w:r w:rsidR="00D730C9">
        <w:rPr>
          <w:b/>
          <w:bCs/>
        </w:rPr>
        <w:t>’s proposal</w:t>
      </w:r>
    </w:p>
    <w:p w14:paraId="6533B35D" w14:textId="04B022A1" w:rsidR="003A1219" w:rsidRDefault="005F738E" w:rsidP="00763B6E">
      <w:pPr>
        <w:pStyle w:val="ListParagraph"/>
        <w:numPr>
          <w:ilvl w:val="0"/>
          <w:numId w:val="4"/>
        </w:numPr>
        <w:spacing w:after="160"/>
        <w:ind w:left="567" w:hanging="567"/>
      </w:pPr>
      <w:r>
        <w:t>The Panel</w:t>
      </w:r>
      <w:r w:rsidR="00EF0C85">
        <w:t xml:space="preserve"> has assessed </w:t>
      </w:r>
      <w:r w:rsidR="005149C0">
        <w:t xml:space="preserve">the fairness of the </w:t>
      </w:r>
      <w:r w:rsidR="00EF0C85">
        <w:t>ITT questions and their evaluation, focusing on three specific questions raised by Wellsbourne, namely the questions on mobilisation, communications and promoting change</w:t>
      </w:r>
      <w:r w:rsidR="002C2EEC">
        <w:t>. The Panel’s view</w:t>
      </w:r>
      <w:r w:rsidR="003A1219">
        <w:t xml:space="preserve"> is that none of these questions </w:t>
      </w:r>
      <w:r w:rsidR="007037AD">
        <w:t>systematically disadvantaged Wellsbourne as the incumbent provider.</w:t>
      </w:r>
      <w:r w:rsidR="008B53D3">
        <w:t xml:space="preserve"> However, the Panel has concerns about </w:t>
      </w:r>
      <w:r w:rsidR="001A6213">
        <w:t>the evaluation of Wellsbourne’s response to the questions on mobilisation and communications.</w:t>
      </w:r>
    </w:p>
    <w:p w14:paraId="019F8585" w14:textId="4CEE0DF7" w:rsidR="002C2EEC" w:rsidRDefault="002C2EEC" w:rsidP="002C2EEC">
      <w:pPr>
        <w:pStyle w:val="ListParagraph"/>
        <w:numPr>
          <w:ilvl w:val="0"/>
          <w:numId w:val="56"/>
        </w:numPr>
        <w:spacing w:after="160"/>
      </w:pPr>
      <w:r>
        <w:t xml:space="preserve">On mobilisation, </w:t>
      </w:r>
      <w:r w:rsidR="0063409A">
        <w:t>the Panel’s view is that, on balance, it does not appear that the individual evaluator’s comments on TUPE influenced the agreed score awarded to Wellsbourne for its answer to this question. However, the Panel notes that the brevity of the discussion notes from the moderation meeting make it difficult to trace the evolution of evaluator’s views from their initial thoughts to the final agreed feedback.</w:t>
      </w:r>
    </w:p>
    <w:p w14:paraId="07378B42" w14:textId="0A2876B1" w:rsidR="002C2EEC" w:rsidRDefault="00156E8B" w:rsidP="002C2EEC">
      <w:pPr>
        <w:pStyle w:val="ListParagraph"/>
        <w:numPr>
          <w:ilvl w:val="0"/>
          <w:numId w:val="56"/>
        </w:numPr>
        <w:spacing w:after="160"/>
      </w:pPr>
      <w:r>
        <w:t>O</w:t>
      </w:r>
      <w:r w:rsidR="002C2EEC">
        <w:t xml:space="preserve">n communications, </w:t>
      </w:r>
      <w:r w:rsidR="00423E9B">
        <w:t xml:space="preserve">the </w:t>
      </w:r>
      <w:r w:rsidR="00CB4C26">
        <w:t xml:space="preserve">Panel’s view is that Sussex ICB erred </w:t>
      </w:r>
      <w:r w:rsidR="00231F8A">
        <w:t>by</w:t>
      </w:r>
      <w:r w:rsidR="00AF6BC4">
        <w:t xml:space="preserve"> </w:t>
      </w:r>
      <w:r w:rsidR="00CB4C26">
        <w:t>saying that</w:t>
      </w:r>
      <w:r w:rsidR="00AF6BC4">
        <w:t xml:space="preserve"> Wellsbourne’s response did not address certain issues when this was not the case</w:t>
      </w:r>
      <w:r w:rsidR="00CB4C26">
        <w:t>.</w:t>
      </w:r>
    </w:p>
    <w:p w14:paraId="24D79EC0" w14:textId="5508EA55" w:rsidR="002A04CA" w:rsidRDefault="00B16C2B" w:rsidP="00763B6E">
      <w:pPr>
        <w:pStyle w:val="ListParagraph"/>
        <w:numPr>
          <w:ilvl w:val="0"/>
          <w:numId w:val="4"/>
        </w:numPr>
        <w:spacing w:after="160"/>
        <w:ind w:left="567" w:hanging="567"/>
      </w:pPr>
      <w:r>
        <w:t xml:space="preserve">As a result, the Panel </w:t>
      </w:r>
      <w:r w:rsidR="0002492B">
        <w:t>finds that Sussex ICB, in evaluating Wellsbourne’s response to Question ITT02 (Communications) erred by concluding that Wellsbourne did not address certain issues when this was not the case, and as a result breached Regulation 4, which requires it to act transparently and fairly</w:t>
      </w:r>
      <w:r w:rsidR="00FB4E3D">
        <w:t>.</w:t>
      </w:r>
    </w:p>
    <w:p w14:paraId="30A198ED" w14:textId="5BD89947" w:rsidR="00A80A32" w:rsidRDefault="00F6163B" w:rsidP="00763B6E">
      <w:pPr>
        <w:pStyle w:val="ListParagraph"/>
        <w:numPr>
          <w:ilvl w:val="0"/>
          <w:numId w:val="4"/>
        </w:numPr>
        <w:spacing w:after="160"/>
        <w:ind w:left="567" w:hanging="567"/>
      </w:pPr>
      <w:r>
        <w:t>The Panel also recommends that Sussex ICB ensures that, in future, sufficiently detailed notes are kept of moderation meeting discussions so that bidders, internal review panels and the Panel can follow the reasoning of those involved in decision making.</w:t>
      </w:r>
    </w:p>
    <w:p w14:paraId="7E34FC8F" w14:textId="07BCCE29" w:rsidR="009E5133" w:rsidRPr="009E5133" w:rsidRDefault="007912B2" w:rsidP="003B4157">
      <w:pPr>
        <w:pStyle w:val="Heading2"/>
        <w:spacing w:before="240" w:after="160" w:line="276" w:lineRule="auto"/>
        <w:ind w:left="578" w:hanging="578"/>
      </w:pPr>
      <w:bookmarkStart w:id="41" w:name="_Toc204164423"/>
      <w:r>
        <w:lastRenderedPageBreak/>
        <w:t>Financial questions for bidders and their e</w:t>
      </w:r>
      <w:r w:rsidR="001E1575" w:rsidRPr="001E1575">
        <w:t>valuation</w:t>
      </w:r>
      <w:bookmarkEnd w:id="41"/>
    </w:p>
    <w:p w14:paraId="1A0F18B4" w14:textId="0292CEA3" w:rsidR="00C00303" w:rsidRDefault="00C00303" w:rsidP="003B4157">
      <w:pPr>
        <w:pStyle w:val="ListParagraph"/>
        <w:numPr>
          <w:ilvl w:val="0"/>
          <w:numId w:val="4"/>
        </w:numPr>
        <w:spacing w:after="160"/>
        <w:ind w:left="567" w:hanging="567"/>
      </w:pPr>
      <w:r>
        <w:t xml:space="preserve">This section sets out the Panel’s assessment of Wellsbourne’s concerns about the </w:t>
      </w:r>
      <w:r w:rsidR="007912B2">
        <w:t xml:space="preserve">financial questions asked of bidders and their </w:t>
      </w:r>
      <w:r w:rsidR="004C69E8">
        <w:t>evaluation.</w:t>
      </w:r>
      <w:r w:rsidR="004910E6">
        <w:t xml:space="preserve"> These concerns </w:t>
      </w:r>
      <w:r w:rsidR="003613B7">
        <w:t xml:space="preserve">primarily centre on </w:t>
      </w:r>
      <w:r w:rsidR="00D11115">
        <w:t xml:space="preserve">Sussex ICB’s </w:t>
      </w:r>
      <w:r w:rsidR="00125A11">
        <w:t xml:space="preserve">actions </w:t>
      </w:r>
      <w:r w:rsidR="00CF7001">
        <w:t xml:space="preserve">following </w:t>
      </w:r>
      <w:r w:rsidR="004C69E8">
        <w:t xml:space="preserve">bidders’ </w:t>
      </w:r>
      <w:r w:rsidR="003152A8">
        <w:t xml:space="preserve">questions about the </w:t>
      </w:r>
      <w:r w:rsidR="005805D4">
        <w:t>annual cost of staff likely to transfer to a new provider under TUPE rules exceeding the annual value of the</w:t>
      </w:r>
      <w:r w:rsidR="00C671E9">
        <w:t xml:space="preserve"> new</w:t>
      </w:r>
      <w:r w:rsidR="005805D4">
        <w:t xml:space="preserve"> APMS contract </w:t>
      </w:r>
      <w:r w:rsidR="005805D4" w:rsidRPr="002F795A">
        <w:t>(see paragraph</w:t>
      </w:r>
      <w:r w:rsidR="00600021" w:rsidRPr="002F795A">
        <w:t xml:space="preserve">s </w:t>
      </w:r>
      <w:r w:rsidR="005F574A">
        <w:fldChar w:fldCharType="begin"/>
      </w:r>
      <w:r w:rsidR="005F574A">
        <w:instrText xml:space="preserve"> REF _Ref204013299 \r \h </w:instrText>
      </w:r>
      <w:r w:rsidR="005F574A">
        <w:fldChar w:fldCharType="separate"/>
      </w:r>
      <w:r w:rsidR="00C81C5A">
        <w:t>28</w:t>
      </w:r>
      <w:r w:rsidR="005F574A">
        <w:fldChar w:fldCharType="end"/>
      </w:r>
      <w:r w:rsidR="00600021" w:rsidRPr="002F795A">
        <w:t xml:space="preserve"> and</w:t>
      </w:r>
      <w:r w:rsidR="005F574A">
        <w:t xml:space="preserve"> </w:t>
      </w:r>
      <w:r w:rsidR="005F574A">
        <w:fldChar w:fldCharType="begin"/>
      </w:r>
      <w:r w:rsidR="005F574A">
        <w:instrText xml:space="preserve"> REF _Ref204013302 \r \h </w:instrText>
      </w:r>
      <w:r w:rsidR="005F574A">
        <w:fldChar w:fldCharType="separate"/>
      </w:r>
      <w:r w:rsidR="00C81C5A">
        <w:t>29</w:t>
      </w:r>
      <w:r w:rsidR="005F574A">
        <w:fldChar w:fldCharType="end"/>
      </w:r>
      <w:r w:rsidR="00600021" w:rsidRPr="002F795A">
        <w:t>).</w:t>
      </w:r>
    </w:p>
    <w:p w14:paraId="13E1200C" w14:textId="5DB23E5B" w:rsidR="001E1575" w:rsidRPr="00D067D3" w:rsidRDefault="001E1575" w:rsidP="00A40B7E">
      <w:pPr>
        <w:pStyle w:val="ListParagraph"/>
        <w:numPr>
          <w:ilvl w:val="0"/>
          <w:numId w:val="4"/>
        </w:numPr>
        <w:ind w:left="567" w:hanging="567"/>
      </w:pPr>
      <w:r w:rsidRPr="00D067D3">
        <w:t>Wellsbourne, in its representations to the Panel, said that:</w:t>
      </w:r>
    </w:p>
    <w:p w14:paraId="3CFCC081" w14:textId="16391065" w:rsidR="001E1575" w:rsidRPr="000D01F1" w:rsidRDefault="001E1575" w:rsidP="00821DEF">
      <w:pPr>
        <w:pStyle w:val="ListParagraph"/>
        <w:spacing w:after="160"/>
        <w:ind w:left="851" w:firstLine="0"/>
        <w:rPr>
          <w:sz w:val="21"/>
          <w:szCs w:val="21"/>
          <w:highlight w:val="yellow"/>
        </w:rPr>
      </w:pPr>
      <w:r w:rsidRPr="000D01F1">
        <w:rPr>
          <w:sz w:val="21"/>
          <w:szCs w:val="21"/>
        </w:rPr>
        <w:t>“</w:t>
      </w:r>
      <w:r w:rsidR="00D067D3" w:rsidRPr="000D01F1">
        <w:rPr>
          <w:sz w:val="21"/>
          <w:szCs w:val="21"/>
        </w:rPr>
        <w:t>The financial and staffing elements of this procurement process were marked by shifting expectations, unclear guidance, and decisions that may have created legal and structural disadvantage for providers operating on community-led or not-for-profit models.</w:t>
      </w:r>
      <w:r w:rsidR="00A7778B">
        <w:rPr>
          <w:sz w:val="21"/>
          <w:szCs w:val="21"/>
        </w:rPr>
        <w:t xml:space="preserve"> </w:t>
      </w:r>
      <w:r w:rsidR="00D067D3" w:rsidRPr="000D01F1">
        <w:rPr>
          <w:sz w:val="21"/>
          <w:szCs w:val="21"/>
        </w:rPr>
        <w:t>For example: Evaluators comments suggest that outdated financial templates influenced evaluators’ perceptions of our bid, creating residual bias that was not adequately addressed in the ICB’s response to representations. These issues appear to have breached regulations 5(b), 5(d), 5(f), and 7 of the PSR [clarified with Wellsbourne to be referring to regulation 4 and 5</w:t>
      </w:r>
      <w:r w:rsidR="00D067D3" w:rsidRPr="002F795A">
        <w:rPr>
          <w:sz w:val="21"/>
          <w:szCs w:val="21"/>
        </w:rPr>
        <w:t>(b)]</w:t>
      </w:r>
      <w:r w:rsidR="001402C8" w:rsidRPr="002F795A">
        <w:rPr>
          <w:sz w:val="21"/>
          <w:szCs w:val="21"/>
        </w:rPr>
        <w:t>” (see paragraph</w:t>
      </w:r>
      <w:r w:rsidR="005F574A">
        <w:rPr>
          <w:sz w:val="21"/>
          <w:szCs w:val="21"/>
        </w:rPr>
        <w:t xml:space="preserve"> </w:t>
      </w:r>
      <w:r w:rsidR="005F574A">
        <w:rPr>
          <w:sz w:val="21"/>
          <w:szCs w:val="21"/>
        </w:rPr>
        <w:fldChar w:fldCharType="begin"/>
      </w:r>
      <w:r w:rsidR="005F574A">
        <w:rPr>
          <w:sz w:val="21"/>
          <w:szCs w:val="21"/>
        </w:rPr>
        <w:instrText xml:space="preserve"> REF _Ref201645531 \r \h </w:instrText>
      </w:r>
      <w:r w:rsidR="005F574A">
        <w:rPr>
          <w:sz w:val="21"/>
          <w:szCs w:val="21"/>
        </w:rPr>
      </w:r>
      <w:r w:rsidR="005F574A">
        <w:rPr>
          <w:sz w:val="21"/>
          <w:szCs w:val="21"/>
        </w:rPr>
        <w:fldChar w:fldCharType="separate"/>
      </w:r>
      <w:r w:rsidR="00C81C5A">
        <w:rPr>
          <w:sz w:val="21"/>
          <w:szCs w:val="21"/>
        </w:rPr>
        <w:t>35</w:t>
      </w:r>
      <w:r w:rsidR="005F574A">
        <w:rPr>
          <w:sz w:val="21"/>
          <w:szCs w:val="21"/>
        </w:rPr>
        <w:fldChar w:fldCharType="end"/>
      </w:r>
      <w:r w:rsidR="001402C8" w:rsidRPr="002F795A">
        <w:rPr>
          <w:sz w:val="21"/>
          <w:szCs w:val="21"/>
        </w:rPr>
        <w:t>).</w:t>
      </w:r>
    </w:p>
    <w:p w14:paraId="5344CCBA" w14:textId="7275A989" w:rsidR="009E5133" w:rsidRPr="00E955AD" w:rsidRDefault="00A138BD" w:rsidP="00821DEF">
      <w:pPr>
        <w:pStyle w:val="ListParagraph"/>
        <w:numPr>
          <w:ilvl w:val="0"/>
          <w:numId w:val="4"/>
        </w:numPr>
        <w:ind w:left="567" w:hanging="567"/>
      </w:pPr>
      <w:bookmarkStart w:id="42" w:name="_Ref202275465"/>
      <w:r w:rsidRPr="00E955AD">
        <w:t>Wellsbourne further told the Panel that:</w:t>
      </w:r>
      <w:bookmarkEnd w:id="42"/>
    </w:p>
    <w:p w14:paraId="6C66B1ED" w14:textId="672B28F6" w:rsidR="0086357C" w:rsidRPr="000D01F1" w:rsidRDefault="00A138BD" w:rsidP="00821DEF">
      <w:pPr>
        <w:pStyle w:val="ListParagraph"/>
        <w:ind w:left="851" w:firstLine="0"/>
        <w:rPr>
          <w:sz w:val="21"/>
          <w:szCs w:val="21"/>
        </w:rPr>
      </w:pPr>
      <w:r w:rsidRPr="000D01F1">
        <w:rPr>
          <w:sz w:val="21"/>
          <w:szCs w:val="21"/>
        </w:rPr>
        <w:t>“</w:t>
      </w:r>
      <w:r w:rsidR="0086357C" w:rsidRPr="000D01F1">
        <w:rPr>
          <w:sz w:val="21"/>
          <w:szCs w:val="21"/>
        </w:rPr>
        <w:t>The ICB requested via email … that Wellsbourne</w:t>
      </w:r>
      <w:r w:rsidR="00A032EB">
        <w:rPr>
          <w:sz w:val="21"/>
          <w:szCs w:val="21"/>
        </w:rPr>
        <w:t xml:space="preserve"> [as incumbent provider]</w:t>
      </w:r>
      <w:r w:rsidR="0086357C" w:rsidRPr="000D01F1">
        <w:rPr>
          <w:sz w:val="21"/>
          <w:szCs w:val="21"/>
        </w:rPr>
        <w:t xml:space="preserve"> adjust its TUPE assumptions by separating out staff costs which were funded through the core contract and therefore eligible for TUPE, from those funded via QOF and Local Enhanced Services, which would therefore be excluded from TUPE protection. This approach appears to disregard standard TUPE protections and may have placed the bidder in a legally and ethically compromised position. This distinction, applied mid-process and without legal grounding, created confusion and potential legal risk, and may have artificially suppressed cost modelling to the advantage of less established bidders.</w:t>
      </w:r>
    </w:p>
    <w:p w14:paraId="00ADA787" w14:textId="7BC867CD" w:rsidR="00A138BD" w:rsidRPr="000D01F1" w:rsidRDefault="0086357C" w:rsidP="003B4157">
      <w:pPr>
        <w:pStyle w:val="ListParagraph"/>
        <w:spacing w:after="160"/>
        <w:ind w:left="851" w:firstLine="0"/>
        <w:rPr>
          <w:sz w:val="21"/>
          <w:szCs w:val="21"/>
        </w:rPr>
      </w:pPr>
      <w:r w:rsidRPr="000D01F1">
        <w:rPr>
          <w:sz w:val="21"/>
          <w:szCs w:val="21"/>
        </w:rPr>
        <w:t>“The financial modelling template (FMT) was revised and reissued five times during the process, with critical corrections (e.g. non-APMS income) only added after evaluation had begun, creating structural disadvantages. The multiple versions of the FMT have been acknowledged by NHS Sussex</w:t>
      </w:r>
      <w:r w:rsidR="008F7DC7" w:rsidRPr="000D01F1">
        <w:rPr>
          <w:sz w:val="21"/>
          <w:szCs w:val="21"/>
        </w:rPr>
        <w:t xml:space="preserve"> </w:t>
      </w:r>
      <w:r w:rsidRPr="000D01F1">
        <w:rPr>
          <w:sz w:val="21"/>
          <w:szCs w:val="21"/>
        </w:rPr>
        <w:t xml:space="preserve">... There has been no response to the impact these repeated errors within versions 1-4 of the FMT spreadsheet had on bidders, or evaluation, given that evaluators evidently had sight of version 4 of the FMT as only that version contained the deficit mentioned in </w:t>
      </w:r>
      <w:r w:rsidR="005C04B3" w:rsidRPr="000D01F1">
        <w:rPr>
          <w:sz w:val="21"/>
          <w:szCs w:val="21"/>
        </w:rPr>
        <w:t>[</w:t>
      </w:r>
      <w:r w:rsidR="00E955AD" w:rsidRPr="000D01F1">
        <w:rPr>
          <w:sz w:val="21"/>
          <w:szCs w:val="21"/>
        </w:rPr>
        <w:t>moderation notes]</w:t>
      </w:r>
      <w:r w:rsidRPr="000D01F1">
        <w:rPr>
          <w:sz w:val="21"/>
          <w:szCs w:val="21"/>
        </w:rPr>
        <w:t>.</w:t>
      </w:r>
      <w:r w:rsidR="008F7DC7" w:rsidRPr="000D01F1">
        <w:rPr>
          <w:sz w:val="21"/>
          <w:szCs w:val="21"/>
        </w:rPr>
        <w:t>”</w:t>
      </w:r>
    </w:p>
    <w:p w14:paraId="15A4AD23" w14:textId="21089EF2" w:rsidR="00E52BBE" w:rsidRDefault="002A10B6" w:rsidP="008C637A">
      <w:pPr>
        <w:pStyle w:val="ListParagraph"/>
        <w:numPr>
          <w:ilvl w:val="0"/>
          <w:numId w:val="4"/>
        </w:numPr>
        <w:ind w:left="567" w:hanging="567"/>
      </w:pPr>
      <w:r w:rsidRPr="002A10B6">
        <w:t xml:space="preserve">Wellsbourne first raised concerns </w:t>
      </w:r>
      <w:r w:rsidR="00452A2E">
        <w:t>about</w:t>
      </w:r>
      <w:r w:rsidR="00C82C6D">
        <w:t xml:space="preserve"> these matters in </w:t>
      </w:r>
      <w:r w:rsidRPr="002A10B6">
        <w:t xml:space="preserve">its representations to </w:t>
      </w:r>
      <w:r w:rsidR="00C82C6D">
        <w:t xml:space="preserve">Sussex </w:t>
      </w:r>
      <w:r w:rsidRPr="002A10B6">
        <w:t xml:space="preserve">ICB on 4 April </w:t>
      </w:r>
      <w:r w:rsidR="00C82C6D">
        <w:t>2024</w:t>
      </w:r>
      <w:r w:rsidRPr="002A10B6">
        <w:t xml:space="preserve">. In response, </w:t>
      </w:r>
      <w:r w:rsidR="00E52BBE">
        <w:t>Sussex</w:t>
      </w:r>
      <w:r w:rsidRPr="002A10B6">
        <w:t xml:space="preserve"> ICB said that</w:t>
      </w:r>
      <w:r w:rsidR="00E52BBE">
        <w:t>:</w:t>
      </w:r>
    </w:p>
    <w:p w14:paraId="0E260347" w14:textId="5C074B7E" w:rsidR="00614ECB" w:rsidRPr="000D01F1" w:rsidRDefault="002A10B6" w:rsidP="00EF420F">
      <w:pPr>
        <w:pStyle w:val="ListParagraph"/>
        <w:ind w:left="851" w:firstLine="0"/>
        <w:rPr>
          <w:sz w:val="21"/>
          <w:szCs w:val="21"/>
        </w:rPr>
      </w:pPr>
      <w:r w:rsidRPr="000D01F1">
        <w:rPr>
          <w:sz w:val="21"/>
          <w:szCs w:val="21"/>
        </w:rPr>
        <w:t xml:space="preserve">“The [ICB review] Panel was satisfied that the assessment criteria </w:t>
      </w:r>
      <w:proofErr w:type="gramStart"/>
      <w:r w:rsidRPr="000D01F1">
        <w:rPr>
          <w:sz w:val="21"/>
          <w:szCs w:val="21"/>
        </w:rPr>
        <w:t>has</w:t>
      </w:r>
      <w:proofErr w:type="gramEnd"/>
      <w:r w:rsidRPr="000D01F1">
        <w:rPr>
          <w:sz w:val="21"/>
          <w:szCs w:val="21"/>
        </w:rPr>
        <w:t xml:space="preserve"> been applied fairly and appropriately commensurate with the level of detailed with the scoring methodology advised</w:t>
      </w:r>
      <w:r w:rsidR="00033DA5">
        <w:rPr>
          <w:sz w:val="21"/>
          <w:szCs w:val="21"/>
        </w:rPr>
        <w:t>.</w:t>
      </w:r>
      <w:r w:rsidR="00EF420F">
        <w:rPr>
          <w:sz w:val="21"/>
          <w:szCs w:val="21"/>
        </w:rPr>
        <w:t xml:space="preserve"> </w:t>
      </w:r>
      <w:r w:rsidRPr="000D01F1">
        <w:rPr>
          <w:sz w:val="21"/>
          <w:szCs w:val="21"/>
        </w:rPr>
        <w:t>The [ICB review] Panel is aware that all bidders were invited to resubmit their Finance and Activity Model, and all bidders were reassessed using Version 5 at the time of the Moderation”.</w:t>
      </w:r>
      <w:r w:rsidR="00C66E24">
        <w:rPr>
          <w:rStyle w:val="FootnoteReference"/>
          <w:sz w:val="21"/>
          <w:szCs w:val="21"/>
        </w:rPr>
        <w:footnoteReference w:id="43"/>
      </w:r>
    </w:p>
    <w:p w14:paraId="1EE4D79B" w14:textId="1FF33CA9" w:rsidR="00862222" w:rsidRDefault="00042AAA" w:rsidP="003B4157">
      <w:pPr>
        <w:pStyle w:val="ListParagraph"/>
        <w:numPr>
          <w:ilvl w:val="0"/>
          <w:numId w:val="4"/>
        </w:numPr>
        <w:spacing w:after="160"/>
        <w:ind w:left="567" w:hanging="567"/>
      </w:pPr>
      <w:r>
        <w:t xml:space="preserve">In </w:t>
      </w:r>
      <w:r w:rsidR="00560401">
        <w:t xml:space="preserve">response, Wellsbourne made further representations </w:t>
      </w:r>
      <w:r w:rsidR="00862222">
        <w:t>to Sussex</w:t>
      </w:r>
      <w:r w:rsidR="00536441">
        <w:t xml:space="preserve"> ICB</w:t>
      </w:r>
      <w:r w:rsidR="0029254C">
        <w:t xml:space="preserve">, to which </w:t>
      </w:r>
      <w:r w:rsidR="00862222">
        <w:t xml:space="preserve">Sussex </w:t>
      </w:r>
      <w:r w:rsidR="002A10B6" w:rsidRPr="002A10B6">
        <w:t>ICB</w:t>
      </w:r>
      <w:r w:rsidR="0029254C">
        <w:t xml:space="preserve"> responded</w:t>
      </w:r>
      <w:r w:rsidR="00806C09">
        <w:t xml:space="preserve"> </w:t>
      </w:r>
      <w:r w:rsidR="002A10B6" w:rsidRPr="002A10B6">
        <w:t xml:space="preserve">that “additional time was afforded to all bidders during the </w:t>
      </w:r>
      <w:r w:rsidR="002A10B6" w:rsidRPr="002A10B6">
        <w:lastRenderedPageBreak/>
        <w:t>relevant procurement process to ensure revised financial bids, concluding with version</w:t>
      </w:r>
      <w:r w:rsidR="00B10EF8">
        <w:t> </w:t>
      </w:r>
      <w:r w:rsidR="002A10B6" w:rsidRPr="002A10B6">
        <w:t>5 of the FMT, could be submitted and then evaluated on an equitable basis”</w:t>
      </w:r>
      <w:r w:rsidR="00641A60">
        <w:t>.</w:t>
      </w:r>
      <w:r w:rsidR="00615C4F">
        <w:rPr>
          <w:rStyle w:val="FootnoteReference"/>
        </w:rPr>
        <w:footnoteReference w:id="44"/>
      </w:r>
    </w:p>
    <w:p w14:paraId="7B2C16F8" w14:textId="561328B7" w:rsidR="00C6178D" w:rsidRPr="00613F5F" w:rsidRDefault="00F50906" w:rsidP="003B4157">
      <w:pPr>
        <w:pStyle w:val="ListParagraph"/>
        <w:numPr>
          <w:ilvl w:val="0"/>
          <w:numId w:val="4"/>
        </w:numPr>
        <w:spacing w:after="0"/>
        <w:ind w:left="567" w:hanging="567"/>
      </w:pPr>
      <w:r w:rsidRPr="00613F5F">
        <w:t>Th</w:t>
      </w:r>
      <w:r w:rsidR="00C73AA8">
        <w:t>e</w:t>
      </w:r>
      <w:r w:rsidRPr="00613F5F">
        <w:t xml:space="preserve"> Panel’s assessment of Wellsbourne’s concerns about</w:t>
      </w:r>
      <w:r w:rsidR="007B2B98" w:rsidRPr="00613F5F">
        <w:t xml:space="preserve"> Sussex ICB’s evaluation of </w:t>
      </w:r>
      <w:r w:rsidR="00DB482E">
        <w:t>bidders’ f</w:t>
      </w:r>
      <w:r w:rsidR="007B2B98" w:rsidRPr="00613F5F">
        <w:t xml:space="preserve">inancial </w:t>
      </w:r>
      <w:r w:rsidR="00DB482E">
        <w:t>proposals</w:t>
      </w:r>
      <w:r w:rsidR="00C73AA8">
        <w:t xml:space="preserve"> </w:t>
      </w:r>
      <w:r w:rsidR="00C6178D" w:rsidRPr="00613F5F">
        <w:t>is set out as follows:</w:t>
      </w:r>
    </w:p>
    <w:p w14:paraId="4293E2D5" w14:textId="33033A0E" w:rsidR="003C7334" w:rsidRPr="00613F5F" w:rsidRDefault="003E3961" w:rsidP="00A4679B">
      <w:pPr>
        <w:pStyle w:val="ListParagraph"/>
        <w:numPr>
          <w:ilvl w:val="0"/>
          <w:numId w:val="24"/>
        </w:numPr>
        <w:ind w:left="1281" w:hanging="357"/>
        <w:contextualSpacing/>
      </w:pPr>
      <w:r>
        <w:t>f</w:t>
      </w:r>
      <w:r w:rsidR="00C6178D" w:rsidRPr="00613F5F">
        <w:t xml:space="preserve">irst, </w:t>
      </w:r>
      <w:r w:rsidR="008714A1">
        <w:t xml:space="preserve">the financial questions </w:t>
      </w:r>
      <w:r w:rsidR="0087456E">
        <w:t>for</w:t>
      </w:r>
      <w:r w:rsidR="00B83784">
        <w:t xml:space="preserve"> bidders </w:t>
      </w:r>
      <w:r w:rsidR="0087456E">
        <w:t>are</w:t>
      </w:r>
      <w:r w:rsidR="008714A1">
        <w:t xml:space="preserve"> </w:t>
      </w:r>
      <w:r w:rsidR="00B83784">
        <w:t xml:space="preserve">set out </w:t>
      </w:r>
      <w:r w:rsidR="00494FF0" w:rsidRPr="00613F5F">
        <w:t xml:space="preserve">(Section </w:t>
      </w:r>
      <w:r w:rsidR="009F5F0E">
        <w:t>7.</w:t>
      </w:r>
      <w:r w:rsidR="00494FF0" w:rsidRPr="00613F5F">
        <w:t>3.1</w:t>
      </w:r>
      <w:proofErr w:type="gramStart"/>
      <w:r w:rsidR="00494FF0" w:rsidRPr="00613F5F">
        <w:t>);</w:t>
      </w:r>
      <w:proofErr w:type="gramEnd"/>
    </w:p>
    <w:p w14:paraId="6582DA62" w14:textId="23EB068D" w:rsidR="007D3005" w:rsidRDefault="003E3961" w:rsidP="00A4679B">
      <w:pPr>
        <w:pStyle w:val="ListParagraph"/>
        <w:numPr>
          <w:ilvl w:val="0"/>
          <w:numId w:val="24"/>
        </w:numPr>
        <w:ind w:left="1281" w:hanging="357"/>
        <w:contextualSpacing/>
      </w:pPr>
      <w:r>
        <w:t>s</w:t>
      </w:r>
      <w:r w:rsidR="003C7334" w:rsidRPr="00613F5F">
        <w:t>econd,</w:t>
      </w:r>
      <w:r w:rsidR="00B41339" w:rsidRPr="00613F5F">
        <w:t xml:space="preserve"> </w:t>
      </w:r>
      <w:r w:rsidR="00905407" w:rsidRPr="00613F5F">
        <w:t xml:space="preserve">the </w:t>
      </w:r>
      <w:r w:rsidR="00114D72" w:rsidRPr="00613F5F">
        <w:t>TUPE</w:t>
      </w:r>
      <w:r w:rsidR="0051104F">
        <w:t xml:space="preserve"> </w:t>
      </w:r>
      <w:r w:rsidR="007D3005" w:rsidRPr="00613F5F">
        <w:t xml:space="preserve">information </w:t>
      </w:r>
      <w:r w:rsidR="0087456E">
        <w:t>supplied</w:t>
      </w:r>
      <w:r w:rsidR="00E369E7">
        <w:t xml:space="preserve"> to</w:t>
      </w:r>
      <w:r w:rsidR="007D3005" w:rsidRPr="00613F5F">
        <w:t xml:space="preserve"> bidders</w:t>
      </w:r>
      <w:r w:rsidR="00A4679B">
        <w:t xml:space="preserve"> is reviewed</w:t>
      </w:r>
      <w:r w:rsidR="007D3005" w:rsidRPr="00613F5F">
        <w:t xml:space="preserve"> (Section </w:t>
      </w:r>
      <w:r w:rsidR="009F5F0E">
        <w:t>7.</w:t>
      </w:r>
      <w:r w:rsidR="007D3005" w:rsidRPr="00613F5F">
        <w:t>3.2</w:t>
      </w:r>
      <w:proofErr w:type="gramStart"/>
      <w:r w:rsidR="007D3005" w:rsidRPr="00613F5F">
        <w:t>);</w:t>
      </w:r>
      <w:proofErr w:type="gramEnd"/>
    </w:p>
    <w:p w14:paraId="4BC938B9" w14:textId="48EC9D60" w:rsidR="009C74F0" w:rsidRDefault="003E3961" w:rsidP="00A4679B">
      <w:pPr>
        <w:pStyle w:val="ListParagraph"/>
        <w:numPr>
          <w:ilvl w:val="0"/>
          <w:numId w:val="24"/>
        </w:numPr>
        <w:ind w:left="1281" w:hanging="357"/>
        <w:contextualSpacing/>
      </w:pPr>
      <w:r>
        <w:t>t</w:t>
      </w:r>
      <w:r w:rsidR="007D3005" w:rsidRPr="00613F5F">
        <w:t>hird,</w:t>
      </w:r>
      <w:r w:rsidR="00D66DEB" w:rsidRPr="00613F5F">
        <w:t xml:space="preserve"> </w:t>
      </w:r>
      <w:r w:rsidR="001379B4">
        <w:t xml:space="preserve">the </w:t>
      </w:r>
      <w:r w:rsidR="009C74F0">
        <w:t xml:space="preserve">information </w:t>
      </w:r>
      <w:r w:rsidR="001379B4">
        <w:t>supplied</w:t>
      </w:r>
      <w:r w:rsidR="009C74F0">
        <w:t xml:space="preserve"> to bidders </w:t>
      </w:r>
      <w:r w:rsidR="001379B4">
        <w:t xml:space="preserve">on locally commissioned services </w:t>
      </w:r>
      <w:r w:rsidR="0052213B">
        <w:t xml:space="preserve">and other income potentially available </w:t>
      </w:r>
      <w:r w:rsidR="009860EE">
        <w:t xml:space="preserve">to the operator of the Whitehawk practice is </w:t>
      </w:r>
      <w:r w:rsidR="00F33255">
        <w:t>reviewed</w:t>
      </w:r>
      <w:r w:rsidR="00061F81">
        <w:t>,</w:t>
      </w:r>
      <w:r w:rsidR="00F33255">
        <w:t xml:space="preserve"> </w:t>
      </w:r>
      <w:r w:rsidR="009860EE">
        <w:t xml:space="preserve">as well as </w:t>
      </w:r>
      <w:r w:rsidR="0052213B">
        <w:t xml:space="preserve">Sussex ICB’s expectations </w:t>
      </w:r>
      <w:r w:rsidR="00F42FCA">
        <w:t xml:space="preserve">for </w:t>
      </w:r>
      <w:r w:rsidR="009860EE">
        <w:t xml:space="preserve">locally commissioned services </w:t>
      </w:r>
      <w:r w:rsidR="00E369E7">
        <w:t xml:space="preserve">(Section </w:t>
      </w:r>
      <w:r w:rsidR="009F5F0E">
        <w:t>7.</w:t>
      </w:r>
      <w:r w:rsidR="00E369E7">
        <w:t>3.3</w:t>
      </w:r>
      <w:proofErr w:type="gramStart"/>
      <w:r w:rsidR="00E369E7">
        <w:t>);</w:t>
      </w:r>
      <w:proofErr w:type="gramEnd"/>
    </w:p>
    <w:p w14:paraId="24E02520" w14:textId="3F68E204" w:rsidR="00114D72" w:rsidRPr="00613F5F" w:rsidRDefault="003E3961" w:rsidP="00A4679B">
      <w:pPr>
        <w:pStyle w:val="ListParagraph"/>
        <w:numPr>
          <w:ilvl w:val="0"/>
          <w:numId w:val="24"/>
        </w:numPr>
        <w:ind w:left="1281" w:hanging="357"/>
        <w:contextualSpacing/>
      </w:pPr>
      <w:r>
        <w:t>f</w:t>
      </w:r>
      <w:r w:rsidR="009C74F0">
        <w:t xml:space="preserve">ourth, </w:t>
      </w:r>
      <w:r w:rsidR="00D66DEB" w:rsidRPr="00613F5F">
        <w:t>Sussex ICB’s evaluation of bidders’ response</w:t>
      </w:r>
      <w:r w:rsidR="00E369E7">
        <w:t>s</w:t>
      </w:r>
      <w:r w:rsidR="00D66DEB" w:rsidRPr="00613F5F">
        <w:t xml:space="preserve"> to ITT21</w:t>
      </w:r>
      <w:r w:rsidR="00D27FB4">
        <w:t xml:space="preserve"> (</w:t>
      </w:r>
      <w:r w:rsidR="00D66DEB" w:rsidRPr="00613F5F">
        <w:t>F</w:t>
      </w:r>
      <w:r w:rsidR="00D27FB4">
        <w:t xml:space="preserve">inancial </w:t>
      </w:r>
      <w:r w:rsidR="00D66DEB" w:rsidRPr="00613F5F">
        <w:t>M</w:t>
      </w:r>
      <w:r w:rsidR="00D27FB4">
        <w:t xml:space="preserve">odel </w:t>
      </w:r>
      <w:r w:rsidR="00D66DEB" w:rsidRPr="00613F5F">
        <w:t>T</w:t>
      </w:r>
      <w:r w:rsidR="00D27FB4">
        <w:t>emplate)</w:t>
      </w:r>
      <w:r w:rsidR="00D66DEB" w:rsidRPr="00613F5F">
        <w:t xml:space="preserve"> </w:t>
      </w:r>
      <w:r w:rsidR="00A4679B">
        <w:t xml:space="preserve">is reviewed </w:t>
      </w:r>
      <w:r w:rsidR="00D66DEB" w:rsidRPr="00613F5F">
        <w:t xml:space="preserve">(Section </w:t>
      </w:r>
      <w:r w:rsidR="009F5F0E">
        <w:t>7.</w:t>
      </w:r>
      <w:r w:rsidR="00D66DEB" w:rsidRPr="00613F5F">
        <w:t>3.</w:t>
      </w:r>
      <w:r w:rsidR="00E369E7">
        <w:t>4</w:t>
      </w:r>
      <w:r w:rsidR="00D66DEB" w:rsidRPr="00613F5F">
        <w:t>); and</w:t>
      </w:r>
    </w:p>
    <w:p w14:paraId="262B8E00" w14:textId="35B379F6" w:rsidR="00D66DEB" w:rsidRPr="00613F5F" w:rsidRDefault="003E3961" w:rsidP="003B4157">
      <w:pPr>
        <w:pStyle w:val="ListParagraph"/>
        <w:numPr>
          <w:ilvl w:val="0"/>
          <w:numId w:val="24"/>
        </w:numPr>
        <w:spacing w:after="160"/>
        <w:ind w:left="1281" w:hanging="357"/>
      </w:pPr>
      <w:r>
        <w:t>f</w:t>
      </w:r>
      <w:r w:rsidR="00D66DEB" w:rsidRPr="00613F5F">
        <w:t xml:space="preserve">inally, the </w:t>
      </w:r>
      <w:r w:rsidR="00613F5F" w:rsidRPr="00613F5F">
        <w:t>Panel’s conclusions</w:t>
      </w:r>
      <w:r w:rsidR="00385A6C">
        <w:t xml:space="preserve"> </w:t>
      </w:r>
      <w:r w:rsidR="0030288E">
        <w:t xml:space="preserve">about </w:t>
      </w:r>
      <w:r w:rsidR="0030288E" w:rsidRPr="00613F5F">
        <w:t xml:space="preserve">Sussex ICB’s evaluation of </w:t>
      </w:r>
      <w:r w:rsidR="0030288E">
        <w:t>bidders’ f</w:t>
      </w:r>
      <w:r w:rsidR="0030288E" w:rsidRPr="00613F5F">
        <w:t xml:space="preserve">inancial </w:t>
      </w:r>
      <w:r w:rsidR="0030288E">
        <w:t xml:space="preserve">proposals </w:t>
      </w:r>
      <w:r w:rsidR="00916823">
        <w:t>are</w:t>
      </w:r>
      <w:r w:rsidR="0030288E">
        <w:t xml:space="preserve"> </w:t>
      </w:r>
      <w:r w:rsidR="00A4679B">
        <w:t>set out</w:t>
      </w:r>
      <w:r w:rsidR="00613F5F" w:rsidRPr="00613F5F">
        <w:t xml:space="preserve"> (Section </w:t>
      </w:r>
      <w:r w:rsidR="009F5F0E">
        <w:t>7.</w:t>
      </w:r>
      <w:r w:rsidR="00613F5F" w:rsidRPr="00613F5F">
        <w:t>3.</w:t>
      </w:r>
      <w:r w:rsidR="00E369E7">
        <w:t>5</w:t>
      </w:r>
      <w:r w:rsidR="00613F5F" w:rsidRPr="00613F5F">
        <w:t>).</w:t>
      </w:r>
    </w:p>
    <w:p w14:paraId="3173106E" w14:textId="3CB82D8C" w:rsidR="009F5F0E" w:rsidRPr="004F3968" w:rsidRDefault="00F42FCA" w:rsidP="003B4157">
      <w:pPr>
        <w:pStyle w:val="Heading3"/>
        <w:spacing w:before="240" w:after="160"/>
        <w:rPr>
          <w:b/>
          <w:bCs/>
          <w:color w:val="auto"/>
          <w:sz w:val="22"/>
          <w:szCs w:val="22"/>
        </w:rPr>
      </w:pPr>
      <w:r>
        <w:rPr>
          <w:b/>
          <w:bCs/>
          <w:color w:val="auto"/>
          <w:sz w:val="22"/>
          <w:szCs w:val="22"/>
        </w:rPr>
        <w:t>F</w:t>
      </w:r>
      <w:r w:rsidR="00965853">
        <w:rPr>
          <w:b/>
          <w:bCs/>
          <w:color w:val="auto"/>
          <w:sz w:val="22"/>
          <w:szCs w:val="22"/>
        </w:rPr>
        <w:t>inancial questions for bidders</w:t>
      </w:r>
    </w:p>
    <w:p w14:paraId="20182942" w14:textId="5DBF291D" w:rsidR="00AD7EE2" w:rsidRDefault="00E811EE" w:rsidP="009D14EA">
      <w:pPr>
        <w:pStyle w:val="ListParagraph"/>
        <w:numPr>
          <w:ilvl w:val="0"/>
          <w:numId w:val="4"/>
        </w:numPr>
        <w:ind w:left="567" w:hanging="567"/>
      </w:pPr>
      <w:r>
        <w:t>Bidders</w:t>
      </w:r>
      <w:r w:rsidR="00BC34A0">
        <w:t xml:space="preserve"> were asked </w:t>
      </w:r>
      <w:r w:rsidR="00650F84">
        <w:t>three questions under the Value criterion</w:t>
      </w:r>
      <w:r w:rsidR="00EB1027">
        <w:t xml:space="preserve"> – see table below</w:t>
      </w:r>
      <w:r w:rsidR="00650F84">
        <w:t>.</w:t>
      </w:r>
    </w:p>
    <w:tbl>
      <w:tblPr>
        <w:tblW w:w="4688" w:type="pct"/>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bottom w:w="15" w:type="dxa"/>
        </w:tblCellMar>
        <w:tblLook w:val="04A0" w:firstRow="1" w:lastRow="0" w:firstColumn="1" w:lastColumn="0" w:noHBand="0" w:noVBand="1"/>
      </w:tblPr>
      <w:tblGrid>
        <w:gridCol w:w="1067"/>
        <w:gridCol w:w="5172"/>
        <w:gridCol w:w="1107"/>
        <w:gridCol w:w="1107"/>
      </w:tblGrid>
      <w:tr w:rsidR="00204E24" w:rsidRPr="008E428F" w14:paraId="200BE3B5" w14:textId="77777777" w:rsidTr="00112DE4">
        <w:trPr>
          <w:trHeight w:val="20"/>
        </w:trPr>
        <w:tc>
          <w:tcPr>
            <w:tcW w:w="631" w:type="pct"/>
            <w:shd w:val="clear" w:color="auto" w:fill="D9D9D9" w:themeFill="background1" w:themeFillShade="D9"/>
            <w:noWrap/>
            <w:hideMark/>
          </w:tcPr>
          <w:p w14:paraId="7D54412B" w14:textId="280DB78D" w:rsidR="00AC3358" w:rsidRPr="009D14EA" w:rsidRDefault="00AC3358" w:rsidP="009D14EA">
            <w:pPr>
              <w:spacing w:before="60" w:after="60" w:line="240" w:lineRule="auto"/>
              <w:jc w:val="center"/>
              <w:rPr>
                <w:b/>
                <w:bCs/>
                <w:sz w:val="18"/>
                <w:szCs w:val="18"/>
              </w:rPr>
            </w:pPr>
            <w:r w:rsidRPr="009D14EA">
              <w:rPr>
                <w:b/>
                <w:bCs/>
                <w:sz w:val="18"/>
                <w:szCs w:val="18"/>
              </w:rPr>
              <w:t>Q</w:t>
            </w:r>
            <w:r w:rsidR="008E428F">
              <w:rPr>
                <w:b/>
                <w:bCs/>
                <w:sz w:val="18"/>
                <w:szCs w:val="18"/>
              </w:rPr>
              <w:t>n no.</w:t>
            </w:r>
          </w:p>
        </w:tc>
        <w:tc>
          <w:tcPr>
            <w:tcW w:w="3058" w:type="pct"/>
            <w:shd w:val="clear" w:color="auto" w:fill="D9D9D9" w:themeFill="background1" w:themeFillShade="D9"/>
            <w:hideMark/>
          </w:tcPr>
          <w:p w14:paraId="245517AB" w14:textId="31476A39" w:rsidR="00AC3358" w:rsidRPr="009D14EA" w:rsidRDefault="00EB1027" w:rsidP="009D14EA">
            <w:pPr>
              <w:spacing w:before="60" w:after="60" w:line="240" w:lineRule="auto"/>
              <w:rPr>
                <w:b/>
                <w:bCs/>
                <w:sz w:val="18"/>
                <w:szCs w:val="18"/>
              </w:rPr>
            </w:pPr>
            <w:r>
              <w:rPr>
                <w:b/>
                <w:bCs/>
                <w:sz w:val="18"/>
                <w:szCs w:val="18"/>
              </w:rPr>
              <w:t>Question</w:t>
            </w:r>
          </w:p>
        </w:tc>
        <w:tc>
          <w:tcPr>
            <w:tcW w:w="655" w:type="pct"/>
            <w:shd w:val="clear" w:color="auto" w:fill="D9D9D9" w:themeFill="background1" w:themeFillShade="D9"/>
            <w:hideMark/>
          </w:tcPr>
          <w:p w14:paraId="6F79B723" w14:textId="77777777" w:rsidR="00AC3358" w:rsidRPr="009D14EA" w:rsidRDefault="00AC3358" w:rsidP="009D14EA">
            <w:pPr>
              <w:spacing w:before="60" w:after="60" w:line="240" w:lineRule="auto"/>
              <w:jc w:val="center"/>
              <w:rPr>
                <w:b/>
                <w:bCs/>
                <w:sz w:val="18"/>
                <w:szCs w:val="18"/>
              </w:rPr>
            </w:pPr>
            <w:r w:rsidRPr="009D14EA">
              <w:rPr>
                <w:b/>
                <w:bCs/>
                <w:sz w:val="18"/>
                <w:szCs w:val="18"/>
              </w:rPr>
              <w:t>Q type</w:t>
            </w:r>
          </w:p>
        </w:tc>
        <w:tc>
          <w:tcPr>
            <w:tcW w:w="655" w:type="pct"/>
            <w:shd w:val="clear" w:color="auto" w:fill="D9D9D9" w:themeFill="background1" w:themeFillShade="D9"/>
            <w:hideMark/>
          </w:tcPr>
          <w:p w14:paraId="0EC7BF8B" w14:textId="77777777" w:rsidR="00AC3358" w:rsidRPr="009D14EA" w:rsidRDefault="00AC3358" w:rsidP="009D14EA">
            <w:pPr>
              <w:spacing w:before="60" w:after="60" w:line="240" w:lineRule="auto"/>
              <w:jc w:val="center"/>
              <w:rPr>
                <w:b/>
                <w:bCs/>
                <w:sz w:val="18"/>
                <w:szCs w:val="18"/>
              </w:rPr>
            </w:pPr>
            <w:r w:rsidRPr="009D14EA">
              <w:rPr>
                <w:b/>
                <w:bCs/>
                <w:sz w:val="18"/>
                <w:szCs w:val="18"/>
              </w:rPr>
              <w:t>Q (Sub) Weighting</w:t>
            </w:r>
          </w:p>
        </w:tc>
      </w:tr>
      <w:tr w:rsidR="00B30715" w:rsidRPr="000D5A86" w14:paraId="3AF53E7B" w14:textId="77777777" w:rsidTr="008E428F">
        <w:trPr>
          <w:trHeight w:val="20"/>
        </w:trPr>
        <w:tc>
          <w:tcPr>
            <w:tcW w:w="631" w:type="pct"/>
            <w:noWrap/>
            <w:hideMark/>
          </w:tcPr>
          <w:p w14:paraId="108CD1B6" w14:textId="77777777" w:rsidR="003F60B6" w:rsidRPr="009D14EA" w:rsidRDefault="003F60B6" w:rsidP="009D14EA">
            <w:pPr>
              <w:spacing w:before="60" w:after="60" w:line="240" w:lineRule="auto"/>
              <w:jc w:val="center"/>
              <w:rPr>
                <w:sz w:val="18"/>
                <w:szCs w:val="18"/>
              </w:rPr>
            </w:pPr>
            <w:r w:rsidRPr="009D14EA">
              <w:rPr>
                <w:sz w:val="18"/>
                <w:szCs w:val="18"/>
              </w:rPr>
              <w:t>ITT20a</w:t>
            </w:r>
          </w:p>
        </w:tc>
        <w:tc>
          <w:tcPr>
            <w:tcW w:w="3058" w:type="pct"/>
            <w:hideMark/>
          </w:tcPr>
          <w:p w14:paraId="0555DD61" w14:textId="77777777" w:rsidR="003F60B6" w:rsidRPr="009D14EA" w:rsidRDefault="003F60B6" w:rsidP="009D14EA">
            <w:pPr>
              <w:spacing w:before="60" w:after="60" w:line="240" w:lineRule="auto"/>
              <w:rPr>
                <w:sz w:val="18"/>
                <w:szCs w:val="18"/>
              </w:rPr>
            </w:pPr>
            <w:r w:rsidRPr="009D14EA">
              <w:rPr>
                <w:sz w:val="18"/>
                <w:szCs w:val="18"/>
              </w:rPr>
              <w:t>The total Bid Price submitted for the 9 years must be below the maximum total financial envelope for each and all contract years. Bids submitted that are over the maximum financial envelope will be excluded</w:t>
            </w:r>
          </w:p>
        </w:tc>
        <w:tc>
          <w:tcPr>
            <w:tcW w:w="655" w:type="pct"/>
            <w:hideMark/>
          </w:tcPr>
          <w:p w14:paraId="4A1A96CC" w14:textId="77777777" w:rsidR="003F60B6" w:rsidRPr="009D14EA" w:rsidRDefault="003F60B6" w:rsidP="009D14EA">
            <w:pPr>
              <w:spacing w:before="60" w:after="60" w:line="240" w:lineRule="auto"/>
              <w:jc w:val="center"/>
              <w:rPr>
                <w:sz w:val="18"/>
                <w:szCs w:val="18"/>
              </w:rPr>
            </w:pPr>
            <w:r w:rsidRPr="009D14EA">
              <w:rPr>
                <w:sz w:val="18"/>
                <w:szCs w:val="18"/>
              </w:rPr>
              <w:t>Pass / Fail</w:t>
            </w:r>
          </w:p>
        </w:tc>
        <w:tc>
          <w:tcPr>
            <w:tcW w:w="655" w:type="pct"/>
            <w:hideMark/>
          </w:tcPr>
          <w:p w14:paraId="269EF3A1" w14:textId="1BC2E9EC" w:rsidR="003F60B6" w:rsidRPr="009D14EA" w:rsidRDefault="00EB1027" w:rsidP="009D14EA">
            <w:pPr>
              <w:spacing w:before="60" w:after="60" w:line="240" w:lineRule="auto"/>
              <w:jc w:val="center"/>
              <w:rPr>
                <w:sz w:val="18"/>
                <w:szCs w:val="18"/>
              </w:rPr>
            </w:pPr>
            <w:r>
              <w:rPr>
                <w:sz w:val="18"/>
                <w:szCs w:val="18"/>
              </w:rPr>
              <w:t>0%</w:t>
            </w:r>
          </w:p>
        </w:tc>
      </w:tr>
      <w:tr w:rsidR="00B30715" w:rsidRPr="000D5A86" w14:paraId="51B673C8" w14:textId="77777777" w:rsidTr="008E428F">
        <w:trPr>
          <w:trHeight w:val="20"/>
        </w:trPr>
        <w:tc>
          <w:tcPr>
            <w:tcW w:w="631" w:type="pct"/>
            <w:noWrap/>
            <w:hideMark/>
          </w:tcPr>
          <w:p w14:paraId="6D6ACA19" w14:textId="77777777" w:rsidR="003F60B6" w:rsidRPr="009D14EA" w:rsidRDefault="003F60B6" w:rsidP="009D14EA">
            <w:pPr>
              <w:spacing w:before="60" w:after="60" w:line="240" w:lineRule="auto"/>
              <w:jc w:val="center"/>
              <w:rPr>
                <w:sz w:val="18"/>
                <w:szCs w:val="18"/>
              </w:rPr>
            </w:pPr>
            <w:r w:rsidRPr="009D14EA">
              <w:rPr>
                <w:sz w:val="18"/>
                <w:szCs w:val="18"/>
              </w:rPr>
              <w:t>ITT20b</w:t>
            </w:r>
          </w:p>
        </w:tc>
        <w:tc>
          <w:tcPr>
            <w:tcW w:w="3058" w:type="pct"/>
            <w:hideMark/>
          </w:tcPr>
          <w:p w14:paraId="34D823FC" w14:textId="77777777" w:rsidR="003F60B6" w:rsidRPr="009D14EA" w:rsidRDefault="003F60B6" w:rsidP="009D14EA">
            <w:pPr>
              <w:spacing w:before="60" w:after="60" w:line="240" w:lineRule="auto"/>
              <w:rPr>
                <w:sz w:val="18"/>
                <w:szCs w:val="18"/>
              </w:rPr>
            </w:pPr>
            <w:r w:rsidRPr="009D14EA">
              <w:rPr>
                <w:sz w:val="18"/>
                <w:szCs w:val="18"/>
              </w:rPr>
              <w:t>Bidder must refer to and complete the Financial Model template (FMT). 5% will be awarded based on lowest cost bid (see ITT document 3, section C.7.4).</w:t>
            </w:r>
          </w:p>
        </w:tc>
        <w:tc>
          <w:tcPr>
            <w:tcW w:w="655" w:type="pct"/>
            <w:hideMark/>
          </w:tcPr>
          <w:p w14:paraId="62E93A9C" w14:textId="27B92FA9" w:rsidR="003F60B6" w:rsidRPr="009D14EA" w:rsidRDefault="003F60B6" w:rsidP="009D14EA">
            <w:pPr>
              <w:spacing w:before="60" w:after="60" w:line="240" w:lineRule="auto"/>
              <w:jc w:val="center"/>
              <w:rPr>
                <w:sz w:val="18"/>
                <w:szCs w:val="18"/>
              </w:rPr>
            </w:pPr>
            <w:r w:rsidRPr="009D14EA">
              <w:rPr>
                <w:sz w:val="18"/>
                <w:szCs w:val="18"/>
              </w:rPr>
              <w:t>Scored</w:t>
            </w:r>
            <w:r w:rsidR="00EB1027">
              <w:br/>
            </w:r>
          </w:p>
        </w:tc>
        <w:tc>
          <w:tcPr>
            <w:tcW w:w="655" w:type="pct"/>
            <w:hideMark/>
          </w:tcPr>
          <w:p w14:paraId="78939B37" w14:textId="77777777" w:rsidR="003F60B6" w:rsidRPr="009D14EA" w:rsidRDefault="003F60B6" w:rsidP="009D14EA">
            <w:pPr>
              <w:spacing w:before="60" w:after="60" w:line="240" w:lineRule="auto"/>
              <w:jc w:val="center"/>
              <w:rPr>
                <w:sz w:val="18"/>
                <w:szCs w:val="18"/>
              </w:rPr>
            </w:pPr>
            <w:r w:rsidRPr="009D14EA">
              <w:rPr>
                <w:sz w:val="18"/>
                <w:szCs w:val="18"/>
              </w:rPr>
              <w:t>5%</w:t>
            </w:r>
          </w:p>
        </w:tc>
      </w:tr>
      <w:tr w:rsidR="00B30715" w:rsidRPr="000D5A86" w14:paraId="3893F75E" w14:textId="77777777" w:rsidTr="008E428F">
        <w:trPr>
          <w:trHeight w:val="20"/>
        </w:trPr>
        <w:tc>
          <w:tcPr>
            <w:tcW w:w="631" w:type="pct"/>
            <w:noWrap/>
            <w:hideMark/>
          </w:tcPr>
          <w:p w14:paraId="5F84A196" w14:textId="77777777" w:rsidR="003F60B6" w:rsidRPr="009D14EA" w:rsidRDefault="003F60B6" w:rsidP="009D14EA">
            <w:pPr>
              <w:spacing w:before="60" w:after="60" w:line="240" w:lineRule="auto"/>
              <w:jc w:val="center"/>
              <w:rPr>
                <w:sz w:val="18"/>
                <w:szCs w:val="18"/>
              </w:rPr>
            </w:pPr>
            <w:r w:rsidRPr="009D14EA">
              <w:rPr>
                <w:sz w:val="18"/>
                <w:szCs w:val="18"/>
              </w:rPr>
              <w:t>ITT21</w:t>
            </w:r>
          </w:p>
        </w:tc>
        <w:tc>
          <w:tcPr>
            <w:tcW w:w="3058" w:type="pct"/>
            <w:hideMark/>
          </w:tcPr>
          <w:p w14:paraId="7E37E0D7" w14:textId="1F94B4B7" w:rsidR="003F60B6" w:rsidRPr="009D14EA" w:rsidRDefault="003F60B6" w:rsidP="009D14EA">
            <w:pPr>
              <w:spacing w:before="60" w:after="60" w:line="240" w:lineRule="auto"/>
              <w:rPr>
                <w:sz w:val="18"/>
                <w:szCs w:val="18"/>
              </w:rPr>
            </w:pPr>
            <w:r w:rsidRPr="009D14EA">
              <w:rPr>
                <w:sz w:val="18"/>
                <w:szCs w:val="18"/>
              </w:rPr>
              <w:t>Referring to the 'Bidder Costs' tab within 7. Financial Template, describe your workforce plan. This must include roles, responsibilities, staffing structure, governance and sample rota. The evaluation will consider both your written response to this question and your FMT submission.</w:t>
            </w:r>
          </w:p>
        </w:tc>
        <w:tc>
          <w:tcPr>
            <w:tcW w:w="655" w:type="pct"/>
            <w:hideMark/>
          </w:tcPr>
          <w:p w14:paraId="40B980C8" w14:textId="26E589E1" w:rsidR="003F60B6" w:rsidRPr="009D14EA" w:rsidRDefault="003F60B6" w:rsidP="009D14EA">
            <w:pPr>
              <w:spacing w:before="60" w:after="60" w:line="240" w:lineRule="auto"/>
              <w:jc w:val="center"/>
              <w:rPr>
                <w:sz w:val="18"/>
                <w:szCs w:val="18"/>
              </w:rPr>
            </w:pPr>
            <w:r w:rsidRPr="009D14EA">
              <w:rPr>
                <w:sz w:val="18"/>
                <w:szCs w:val="18"/>
              </w:rPr>
              <w:t>Scored</w:t>
            </w:r>
            <w:r w:rsidR="00EB1027">
              <w:rPr>
                <w:sz w:val="18"/>
                <w:szCs w:val="18"/>
              </w:rPr>
              <w:br/>
            </w:r>
            <w:r w:rsidRPr="009D14EA">
              <w:rPr>
                <w:sz w:val="18"/>
                <w:szCs w:val="18"/>
              </w:rPr>
              <w:t>(0-4)</w:t>
            </w:r>
          </w:p>
        </w:tc>
        <w:tc>
          <w:tcPr>
            <w:tcW w:w="655" w:type="pct"/>
            <w:hideMark/>
          </w:tcPr>
          <w:p w14:paraId="1895741B" w14:textId="77777777" w:rsidR="003F60B6" w:rsidRPr="009D14EA" w:rsidRDefault="003F60B6" w:rsidP="009D14EA">
            <w:pPr>
              <w:spacing w:before="60" w:after="60" w:line="240" w:lineRule="auto"/>
              <w:jc w:val="center"/>
              <w:rPr>
                <w:sz w:val="18"/>
                <w:szCs w:val="18"/>
              </w:rPr>
            </w:pPr>
            <w:r w:rsidRPr="009D14EA">
              <w:rPr>
                <w:sz w:val="18"/>
                <w:szCs w:val="18"/>
              </w:rPr>
              <w:t>5%</w:t>
            </w:r>
          </w:p>
        </w:tc>
      </w:tr>
    </w:tbl>
    <w:p w14:paraId="5D54643B" w14:textId="4A19E050" w:rsidR="00E639A8" w:rsidRPr="009D14EA" w:rsidRDefault="00BC0B53" w:rsidP="009D14EA">
      <w:pPr>
        <w:spacing w:before="60" w:after="360" w:line="240" w:lineRule="auto"/>
        <w:ind w:left="567"/>
        <w:rPr>
          <w:sz w:val="16"/>
          <w:szCs w:val="16"/>
        </w:rPr>
      </w:pPr>
      <w:r>
        <w:rPr>
          <w:sz w:val="16"/>
          <w:szCs w:val="16"/>
        </w:rPr>
        <w:t xml:space="preserve">Note: </w:t>
      </w:r>
      <w:r w:rsidR="00DB083C">
        <w:rPr>
          <w:sz w:val="16"/>
          <w:szCs w:val="16"/>
        </w:rPr>
        <w:t xml:space="preserve">Scoring of ITT20b was as follows - </w:t>
      </w:r>
      <w:r w:rsidR="0002139E" w:rsidRPr="0002139E">
        <w:rPr>
          <w:sz w:val="16"/>
          <w:szCs w:val="16"/>
        </w:rPr>
        <w:t xml:space="preserve">full marks (weighting 5%) </w:t>
      </w:r>
      <w:r w:rsidR="00DB083C">
        <w:rPr>
          <w:sz w:val="16"/>
          <w:szCs w:val="16"/>
        </w:rPr>
        <w:t xml:space="preserve">were given </w:t>
      </w:r>
      <w:r w:rsidR="0002139E" w:rsidRPr="0002139E">
        <w:rPr>
          <w:sz w:val="16"/>
          <w:szCs w:val="16"/>
        </w:rPr>
        <w:t xml:space="preserve">to the lowest cost </w:t>
      </w:r>
      <w:r w:rsidR="00DB083C">
        <w:rPr>
          <w:sz w:val="16"/>
          <w:szCs w:val="16"/>
        </w:rPr>
        <w:t>b</w:t>
      </w:r>
      <w:r w:rsidR="0002139E" w:rsidRPr="0002139E">
        <w:rPr>
          <w:sz w:val="16"/>
          <w:szCs w:val="16"/>
        </w:rPr>
        <w:t>id</w:t>
      </w:r>
      <w:r w:rsidR="00DB083C">
        <w:rPr>
          <w:sz w:val="16"/>
          <w:szCs w:val="16"/>
        </w:rPr>
        <w:t xml:space="preserve">, while the </w:t>
      </w:r>
      <w:r w:rsidR="0002139E" w:rsidRPr="0002139E">
        <w:rPr>
          <w:sz w:val="16"/>
          <w:szCs w:val="16"/>
        </w:rPr>
        <w:t xml:space="preserve">highest cost compliant bid </w:t>
      </w:r>
      <w:r w:rsidR="00DB083C">
        <w:rPr>
          <w:sz w:val="16"/>
          <w:szCs w:val="16"/>
        </w:rPr>
        <w:t xml:space="preserve">was </w:t>
      </w:r>
      <w:r w:rsidR="0002139E" w:rsidRPr="0002139E">
        <w:rPr>
          <w:sz w:val="16"/>
          <w:szCs w:val="16"/>
        </w:rPr>
        <w:t xml:space="preserve">awarded 1%. </w:t>
      </w:r>
      <w:r w:rsidR="00DB083C">
        <w:rPr>
          <w:sz w:val="16"/>
          <w:szCs w:val="16"/>
        </w:rPr>
        <w:t xml:space="preserve">Other bids were </w:t>
      </w:r>
      <w:r w:rsidR="0002139E" w:rsidRPr="0002139E">
        <w:rPr>
          <w:sz w:val="16"/>
          <w:szCs w:val="16"/>
        </w:rPr>
        <w:t xml:space="preserve">assigned marks in direct proportion to the lowest cost </w:t>
      </w:r>
      <w:r w:rsidR="003B0FB3">
        <w:rPr>
          <w:sz w:val="16"/>
          <w:szCs w:val="16"/>
        </w:rPr>
        <w:t>b</w:t>
      </w:r>
      <w:r w:rsidR="0002139E" w:rsidRPr="0002139E">
        <w:rPr>
          <w:sz w:val="16"/>
          <w:szCs w:val="16"/>
        </w:rPr>
        <w:t xml:space="preserve">id using the formula </w:t>
      </w:r>
      <w:r w:rsidR="003B0FB3">
        <w:rPr>
          <w:sz w:val="16"/>
          <w:szCs w:val="16"/>
        </w:rPr>
        <w:t>set out in the tender documentation.</w:t>
      </w:r>
      <w:r>
        <w:rPr>
          <w:sz w:val="16"/>
          <w:szCs w:val="16"/>
        </w:rPr>
        <w:br/>
      </w:r>
      <w:r w:rsidR="0055451B" w:rsidRPr="00D51AEE">
        <w:rPr>
          <w:sz w:val="16"/>
          <w:szCs w:val="16"/>
        </w:rPr>
        <w:t xml:space="preserve">Source: </w:t>
      </w:r>
      <w:r w:rsidR="00012AF5" w:rsidRPr="00D51AEE">
        <w:rPr>
          <w:sz w:val="16"/>
          <w:szCs w:val="16"/>
        </w:rPr>
        <w:t xml:space="preserve">Sussex ICB, </w:t>
      </w:r>
      <w:r w:rsidR="00012AF5" w:rsidRPr="00D51AEE">
        <w:rPr>
          <w:i/>
          <w:iCs/>
          <w:sz w:val="16"/>
          <w:szCs w:val="16"/>
        </w:rPr>
        <w:t>ITT Questions Whitehawk</w:t>
      </w:r>
      <w:r w:rsidR="004B134B">
        <w:rPr>
          <w:i/>
          <w:iCs/>
          <w:sz w:val="16"/>
          <w:szCs w:val="16"/>
        </w:rPr>
        <w:t>, 17 May 2025</w:t>
      </w:r>
      <w:r w:rsidR="00821613" w:rsidRPr="00AF305D">
        <w:rPr>
          <w:sz w:val="16"/>
          <w:szCs w:val="16"/>
        </w:rPr>
        <w:t>.</w:t>
      </w:r>
    </w:p>
    <w:p w14:paraId="476A1351" w14:textId="2303E2A4" w:rsidR="00DA3DA2" w:rsidRDefault="0045072F" w:rsidP="00595A07">
      <w:pPr>
        <w:pStyle w:val="ListParagraph"/>
        <w:numPr>
          <w:ilvl w:val="0"/>
          <w:numId w:val="4"/>
        </w:numPr>
        <w:spacing w:after="160"/>
        <w:ind w:left="567" w:hanging="567"/>
      </w:pPr>
      <w:bookmarkStart w:id="43" w:name="_Ref204018231"/>
      <w:bookmarkStart w:id="44" w:name="_Ref202276062"/>
      <w:r>
        <w:t xml:space="preserve">In relation to the Financial Model Template (FMT), bidders were </w:t>
      </w:r>
      <w:r w:rsidR="00595AA6">
        <w:t>supplied with</w:t>
      </w:r>
      <w:r>
        <w:t xml:space="preserve"> several versions during the provider selection process. </w:t>
      </w:r>
      <w:r w:rsidR="00AB5434">
        <w:t xml:space="preserve">The </w:t>
      </w:r>
      <w:r w:rsidR="00485E2E">
        <w:t xml:space="preserve">first </w:t>
      </w:r>
      <w:r w:rsidR="00AB5434">
        <w:t xml:space="preserve">version was </w:t>
      </w:r>
      <w:r w:rsidR="00EC2851">
        <w:t xml:space="preserve">included </w:t>
      </w:r>
      <w:r w:rsidR="00CF239A">
        <w:t>in the ITT pack</w:t>
      </w:r>
      <w:r w:rsidR="00F85DAA">
        <w:t xml:space="preserve"> </w:t>
      </w:r>
      <w:r w:rsidR="003B03D6">
        <w:t xml:space="preserve">distributed </w:t>
      </w:r>
      <w:r w:rsidR="00743BB3">
        <w:t xml:space="preserve">on </w:t>
      </w:r>
      <w:r w:rsidR="003F1A2E">
        <w:t>17 May 2024. T</w:t>
      </w:r>
      <w:r w:rsidR="007A5380">
        <w:t>wo</w:t>
      </w:r>
      <w:r w:rsidR="003F1A2E">
        <w:t xml:space="preserve"> </w:t>
      </w:r>
      <w:r w:rsidR="00595A07">
        <w:t xml:space="preserve">further </w:t>
      </w:r>
      <w:r w:rsidR="00884FB6">
        <w:t>versions</w:t>
      </w:r>
      <w:r w:rsidR="00EC2851">
        <w:t>, which corrected errors in the template,</w:t>
      </w:r>
      <w:r w:rsidR="00884FB6">
        <w:t xml:space="preserve"> </w:t>
      </w:r>
      <w:r w:rsidR="00276E94">
        <w:t xml:space="preserve">were issued </w:t>
      </w:r>
      <w:r w:rsidR="008C4166">
        <w:t>during</w:t>
      </w:r>
      <w:r w:rsidR="00884FB6">
        <w:t xml:space="preserve"> the </w:t>
      </w:r>
      <w:r w:rsidR="003F1A2E">
        <w:t>bid response period</w:t>
      </w:r>
      <w:r w:rsidR="00EC2851">
        <w:t>. A</w:t>
      </w:r>
      <w:r w:rsidR="002C6D52">
        <w:t xml:space="preserve"> fourth version was issued </w:t>
      </w:r>
      <w:r w:rsidR="00E301FE">
        <w:t>on 17 October 2024</w:t>
      </w:r>
      <w:r w:rsidR="00DA3DA2">
        <w:t>,</w:t>
      </w:r>
      <w:r w:rsidR="00ED256D">
        <w:t xml:space="preserve"> </w:t>
      </w:r>
      <w:r w:rsidR="00DA3DA2">
        <w:t>six</w:t>
      </w:r>
      <w:r w:rsidR="00E73FA5">
        <w:t xml:space="preserve"> days after the bid deadline</w:t>
      </w:r>
      <w:r w:rsidR="00A03BD4">
        <w:t xml:space="preserve">, to correct </w:t>
      </w:r>
      <w:r w:rsidR="002C3561" w:rsidRPr="002C3561">
        <w:t xml:space="preserve">an inconsistency between </w:t>
      </w:r>
      <w:r w:rsidR="00585A02">
        <w:t xml:space="preserve">two </w:t>
      </w:r>
      <w:r w:rsidR="00485B5A">
        <w:t>of the FMT worksheets</w:t>
      </w:r>
      <w:r w:rsidR="002C3561" w:rsidRPr="002C3561">
        <w:t>.</w:t>
      </w:r>
      <w:r w:rsidR="00686822">
        <w:t xml:space="preserve"> </w:t>
      </w:r>
      <w:r w:rsidR="00F77018">
        <w:t xml:space="preserve">As </w:t>
      </w:r>
      <w:r w:rsidR="00EB4C0E">
        <w:t>this was after the bid deadline</w:t>
      </w:r>
      <w:r w:rsidR="00F81227">
        <w:t xml:space="preserve">, Sussex ICB </w:t>
      </w:r>
      <w:r w:rsidR="00EB4C0E">
        <w:t>asked bidders to</w:t>
      </w:r>
      <w:r w:rsidR="00F77018" w:rsidRPr="00F77018">
        <w:t xml:space="preserve"> </w:t>
      </w:r>
      <w:r w:rsidR="005C6BC2">
        <w:t>complete</w:t>
      </w:r>
      <w:r w:rsidR="00F77018" w:rsidRPr="00F77018">
        <w:t xml:space="preserve"> </w:t>
      </w:r>
      <w:r w:rsidR="00E7384D">
        <w:t xml:space="preserve">and submit </w:t>
      </w:r>
      <w:r w:rsidR="008544A1">
        <w:t>a</w:t>
      </w:r>
      <w:r w:rsidR="00F77018" w:rsidRPr="00F77018">
        <w:t xml:space="preserve"> new </w:t>
      </w:r>
      <w:r w:rsidR="008544A1">
        <w:t>FMT</w:t>
      </w:r>
      <w:r w:rsidR="00662817">
        <w:t>, using</w:t>
      </w:r>
      <w:r w:rsidR="008544A1">
        <w:t xml:space="preserve"> </w:t>
      </w:r>
      <w:r w:rsidR="00F77018" w:rsidRPr="00F77018">
        <w:t xml:space="preserve">the </w:t>
      </w:r>
      <w:r w:rsidR="00AA3F61">
        <w:t xml:space="preserve">fourth version </w:t>
      </w:r>
      <w:r w:rsidR="00510CC3">
        <w:t xml:space="preserve">of the </w:t>
      </w:r>
      <w:r w:rsidR="00662817">
        <w:t>template,</w:t>
      </w:r>
      <w:r w:rsidR="00510CC3">
        <w:t xml:space="preserve"> </w:t>
      </w:r>
      <w:r w:rsidR="00E7384D">
        <w:t>to replace the version</w:t>
      </w:r>
      <w:r w:rsidR="00094A3D">
        <w:t xml:space="preserve"> </w:t>
      </w:r>
      <w:r w:rsidR="00A02E44">
        <w:t>already</w:t>
      </w:r>
      <w:r w:rsidR="00094A3D">
        <w:t xml:space="preserve"> submitted</w:t>
      </w:r>
      <w:r w:rsidR="00E7384D">
        <w:t>.</w:t>
      </w:r>
      <w:bookmarkEnd w:id="43"/>
    </w:p>
    <w:p w14:paraId="505FDF93" w14:textId="2AC67BFA" w:rsidR="00BA3586" w:rsidRDefault="000A78A8" w:rsidP="00595A07">
      <w:pPr>
        <w:pStyle w:val="ListParagraph"/>
        <w:numPr>
          <w:ilvl w:val="0"/>
          <w:numId w:val="4"/>
        </w:numPr>
        <w:spacing w:after="160"/>
        <w:ind w:left="567" w:hanging="567"/>
      </w:pPr>
      <w:bookmarkStart w:id="45" w:name="_Ref204159023"/>
      <w:r>
        <w:t xml:space="preserve">A </w:t>
      </w:r>
      <w:r w:rsidR="00082BAC">
        <w:t>fifth</w:t>
      </w:r>
      <w:r w:rsidR="003E2269">
        <w:t>, and final,</w:t>
      </w:r>
      <w:r>
        <w:t xml:space="preserve"> </w:t>
      </w:r>
      <w:r w:rsidR="00082BAC">
        <w:t xml:space="preserve">version </w:t>
      </w:r>
      <w:r w:rsidR="00DA3DA2">
        <w:t xml:space="preserve">of the FMT </w:t>
      </w:r>
      <w:r w:rsidR="00082BAC">
        <w:t xml:space="preserve">was </w:t>
      </w:r>
      <w:r w:rsidR="002563F0">
        <w:t>issued on 22 November 202</w:t>
      </w:r>
      <w:r w:rsidR="003D6D96">
        <w:t>4</w:t>
      </w:r>
      <w:r w:rsidR="00160126">
        <w:t xml:space="preserve">. This </w:t>
      </w:r>
      <w:r w:rsidR="0037482C">
        <w:t>follow</w:t>
      </w:r>
      <w:r w:rsidR="003E2269">
        <w:t>ed</w:t>
      </w:r>
      <w:r>
        <w:t xml:space="preserve"> </w:t>
      </w:r>
      <w:r w:rsidR="0037482C">
        <w:t>evaluators</w:t>
      </w:r>
      <w:r>
        <w:t>’</w:t>
      </w:r>
      <w:r w:rsidR="0037482C">
        <w:t xml:space="preserve"> assessment of bidders’ responses </w:t>
      </w:r>
      <w:r w:rsidR="00FB0423">
        <w:t>and an initial moderation meeting</w:t>
      </w:r>
      <w:bookmarkEnd w:id="44"/>
      <w:r w:rsidR="00DA3DA2">
        <w:t xml:space="preserve">. </w:t>
      </w:r>
      <w:r w:rsidR="000A3CEA">
        <w:t>The</w:t>
      </w:r>
      <w:r w:rsidR="00FB0423">
        <w:t xml:space="preserve"> fifth</w:t>
      </w:r>
      <w:r w:rsidR="00DA3DA2">
        <w:t xml:space="preserve"> version </w:t>
      </w:r>
      <w:r w:rsidR="000A3CEA">
        <w:t xml:space="preserve">of the FMT </w:t>
      </w:r>
      <w:r w:rsidR="00F42EB2">
        <w:t xml:space="preserve">was required to be completed by 26 November 2024 and </w:t>
      </w:r>
      <w:r w:rsidR="000A3CEA">
        <w:lastRenderedPageBreak/>
        <w:t xml:space="preserve">asked </w:t>
      </w:r>
      <w:r w:rsidR="006F43DD">
        <w:t>bidders</w:t>
      </w:r>
      <w:r w:rsidR="000A3CEA">
        <w:t xml:space="preserve">, for the first time, </w:t>
      </w:r>
      <w:r w:rsidR="006F43DD">
        <w:t xml:space="preserve">to </w:t>
      </w:r>
      <w:r w:rsidR="00715EA8">
        <w:t>inc</w:t>
      </w:r>
      <w:r w:rsidR="00DA3DA2">
        <w:t xml:space="preserve">lude </w:t>
      </w:r>
      <w:r w:rsidR="000A3CEA">
        <w:t>estimate</w:t>
      </w:r>
      <w:r w:rsidR="00992D15">
        <w:t>s of</w:t>
      </w:r>
      <w:r w:rsidR="008D10F7">
        <w:t xml:space="preserve"> </w:t>
      </w:r>
      <w:r w:rsidR="00715EA8">
        <w:t xml:space="preserve">additional income </w:t>
      </w:r>
      <w:r w:rsidR="008D10F7">
        <w:t xml:space="preserve">that </w:t>
      </w:r>
      <w:r w:rsidR="00951CB1">
        <w:t xml:space="preserve">would </w:t>
      </w:r>
      <w:r w:rsidR="00992D15">
        <w:t>arise</w:t>
      </w:r>
      <w:r w:rsidR="00715EA8">
        <w:t xml:space="preserve"> </w:t>
      </w:r>
      <w:r w:rsidR="000A3CEA">
        <w:t xml:space="preserve">from operating </w:t>
      </w:r>
      <w:r w:rsidR="008D10F7">
        <w:t xml:space="preserve">the </w:t>
      </w:r>
      <w:r w:rsidR="00142387">
        <w:t xml:space="preserve">Whitehawk </w:t>
      </w:r>
      <w:r w:rsidR="000A3CEA">
        <w:t xml:space="preserve">practice </w:t>
      </w:r>
      <w:r w:rsidR="001A7477">
        <w:t xml:space="preserve">(i.e. income additional </w:t>
      </w:r>
      <w:r w:rsidR="0055730A">
        <w:t xml:space="preserve">to </w:t>
      </w:r>
      <w:r w:rsidR="001A7477">
        <w:t>that payable under</w:t>
      </w:r>
      <w:r w:rsidR="00951CB1">
        <w:t xml:space="preserve"> the APMS contract</w:t>
      </w:r>
      <w:r w:rsidR="001A7477">
        <w:t>)</w:t>
      </w:r>
      <w:r w:rsidR="00951CB1">
        <w:t>.</w:t>
      </w:r>
      <w:r w:rsidR="003D6D96">
        <w:rPr>
          <w:rStyle w:val="FootnoteReference"/>
        </w:rPr>
        <w:footnoteReference w:id="45"/>
      </w:r>
      <w:bookmarkEnd w:id="45"/>
    </w:p>
    <w:p w14:paraId="794AF845" w14:textId="369C8850" w:rsidR="004F3968" w:rsidRPr="004F3968" w:rsidRDefault="00623A70" w:rsidP="00257327">
      <w:pPr>
        <w:pStyle w:val="Heading3"/>
        <w:spacing w:before="240" w:after="160"/>
        <w:rPr>
          <w:b/>
          <w:bCs/>
          <w:color w:val="auto"/>
          <w:sz w:val="22"/>
          <w:szCs w:val="22"/>
        </w:rPr>
      </w:pPr>
      <w:r>
        <w:rPr>
          <w:b/>
          <w:bCs/>
          <w:color w:val="auto"/>
          <w:sz w:val="22"/>
          <w:szCs w:val="22"/>
        </w:rPr>
        <w:t>TUPE i</w:t>
      </w:r>
      <w:r w:rsidR="004F3968">
        <w:rPr>
          <w:b/>
          <w:bCs/>
          <w:color w:val="auto"/>
          <w:sz w:val="22"/>
          <w:szCs w:val="22"/>
        </w:rPr>
        <w:t>nformation</w:t>
      </w:r>
      <w:r w:rsidR="00BB796E">
        <w:rPr>
          <w:b/>
          <w:bCs/>
          <w:color w:val="auto"/>
          <w:sz w:val="22"/>
          <w:szCs w:val="22"/>
        </w:rPr>
        <w:t xml:space="preserve"> </w:t>
      </w:r>
      <w:r w:rsidR="00F40805">
        <w:rPr>
          <w:b/>
          <w:bCs/>
          <w:color w:val="auto"/>
          <w:sz w:val="22"/>
          <w:szCs w:val="22"/>
        </w:rPr>
        <w:t>for</w:t>
      </w:r>
      <w:r>
        <w:rPr>
          <w:b/>
          <w:bCs/>
          <w:color w:val="auto"/>
          <w:sz w:val="22"/>
          <w:szCs w:val="22"/>
        </w:rPr>
        <w:t xml:space="preserve"> </w:t>
      </w:r>
      <w:r w:rsidR="00BB796E">
        <w:rPr>
          <w:b/>
          <w:bCs/>
          <w:color w:val="auto"/>
          <w:sz w:val="22"/>
          <w:szCs w:val="22"/>
        </w:rPr>
        <w:t>bidders</w:t>
      </w:r>
    </w:p>
    <w:p w14:paraId="03E91675" w14:textId="56AE2D4C" w:rsidR="00723D65" w:rsidRDefault="009815BD" w:rsidP="003B4157">
      <w:pPr>
        <w:pStyle w:val="ListParagraph"/>
        <w:numPr>
          <w:ilvl w:val="0"/>
          <w:numId w:val="4"/>
        </w:numPr>
        <w:spacing w:after="160"/>
        <w:ind w:left="567" w:hanging="567"/>
      </w:pPr>
      <w:r>
        <w:t>B</w:t>
      </w:r>
      <w:r w:rsidR="00524BE7" w:rsidRPr="00094246">
        <w:t>idders</w:t>
      </w:r>
      <w:r w:rsidR="009650D7" w:rsidRPr="00094246">
        <w:t xml:space="preserve"> </w:t>
      </w:r>
      <w:r w:rsidR="00474CDE" w:rsidRPr="00094246">
        <w:t xml:space="preserve">were provided </w:t>
      </w:r>
      <w:r w:rsidR="009650D7" w:rsidRPr="00094246">
        <w:t xml:space="preserve">with a ‘TUPE </w:t>
      </w:r>
      <w:r w:rsidR="00AA1789">
        <w:t>p</w:t>
      </w:r>
      <w:r w:rsidR="009650D7" w:rsidRPr="00094246">
        <w:t>ack’</w:t>
      </w:r>
      <w:r w:rsidR="00474CDE" w:rsidRPr="00094246">
        <w:t xml:space="preserve"> </w:t>
      </w:r>
      <w:r>
        <w:t>in the tender documentation.</w:t>
      </w:r>
      <w:r w:rsidR="00E22749" w:rsidRPr="00094246">
        <w:rPr>
          <w:rStyle w:val="FootnoteReference"/>
        </w:rPr>
        <w:footnoteReference w:id="46"/>
      </w:r>
      <w:r>
        <w:t xml:space="preserve"> This </w:t>
      </w:r>
      <w:r w:rsidR="00474CDE" w:rsidRPr="00094246">
        <w:t>includ</w:t>
      </w:r>
      <w:r>
        <w:t xml:space="preserve">ed </w:t>
      </w:r>
      <w:r w:rsidR="00723D65">
        <w:t xml:space="preserve">a list of staff </w:t>
      </w:r>
      <w:r w:rsidR="00657F5A">
        <w:t xml:space="preserve">that </w:t>
      </w:r>
      <w:r w:rsidR="00BF7BE4">
        <w:t xml:space="preserve">Wellsbourne considered </w:t>
      </w:r>
      <w:r w:rsidR="0048420C">
        <w:t xml:space="preserve">eligible </w:t>
      </w:r>
      <w:r w:rsidR="00723D65">
        <w:t>to transfer to a new provider under TUPE rules (the TUPE list)</w:t>
      </w:r>
      <w:r w:rsidR="0026392E">
        <w:t xml:space="preserve">. Wellsbourne prepared the TUPE list for Sussex ICB and included in the list </w:t>
      </w:r>
      <w:proofErr w:type="gramStart"/>
      <w:r w:rsidR="0026392E">
        <w:t>all of</w:t>
      </w:r>
      <w:proofErr w:type="gramEnd"/>
      <w:r w:rsidR="0026392E">
        <w:t xml:space="preserve"> its current staff members.</w:t>
      </w:r>
      <w:r w:rsidR="00E22749">
        <w:rPr>
          <w:rStyle w:val="FootnoteReference"/>
        </w:rPr>
        <w:footnoteReference w:id="47"/>
      </w:r>
    </w:p>
    <w:p w14:paraId="2F0043D8" w14:textId="4D69813B" w:rsidR="00751E5F" w:rsidRDefault="005B4CC0" w:rsidP="003B4157">
      <w:pPr>
        <w:pStyle w:val="ListParagraph"/>
        <w:numPr>
          <w:ilvl w:val="0"/>
          <w:numId w:val="4"/>
        </w:numPr>
        <w:spacing w:after="160"/>
        <w:ind w:left="567" w:hanging="567"/>
      </w:pPr>
      <w:bookmarkStart w:id="46" w:name="_Ref203113888"/>
      <w:bookmarkStart w:id="47" w:name="_Ref204158915"/>
      <w:r>
        <w:t xml:space="preserve">The </w:t>
      </w:r>
      <w:r w:rsidR="00FE1C72">
        <w:t>annual</w:t>
      </w:r>
      <w:r w:rsidR="00965BBD">
        <w:t xml:space="preserve"> cost of the staff included in the TUPE list exceeded the annual amount payable under the new </w:t>
      </w:r>
      <w:r w:rsidR="00F612AE">
        <w:t xml:space="preserve">APMS </w:t>
      </w:r>
      <w:r w:rsidR="00965BBD">
        <w:t>contract</w:t>
      </w:r>
      <w:r w:rsidR="00CF3217">
        <w:t xml:space="preserve">. This </w:t>
      </w:r>
      <w:r w:rsidR="00F612AE">
        <w:t>resulted in questions from bidders</w:t>
      </w:r>
      <w:r w:rsidR="00CD39B7">
        <w:t xml:space="preserve"> </w:t>
      </w:r>
      <w:r w:rsidR="00CF3217">
        <w:t xml:space="preserve">as set out </w:t>
      </w:r>
      <w:bookmarkEnd w:id="46"/>
      <w:r w:rsidR="00CD39B7">
        <w:t>below.</w:t>
      </w:r>
      <w:bookmarkEnd w:id="47"/>
    </w:p>
    <w:tbl>
      <w:tblPr>
        <w:tblStyle w:val="TableGrid"/>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4253"/>
        <w:gridCol w:w="3634"/>
      </w:tblGrid>
      <w:tr w:rsidR="008904C8" w:rsidRPr="00AA40B3" w14:paraId="7B786175" w14:textId="77777777" w:rsidTr="004C78F0">
        <w:tc>
          <w:tcPr>
            <w:tcW w:w="562" w:type="dxa"/>
            <w:shd w:val="clear" w:color="auto" w:fill="D9D9D9" w:themeFill="background1" w:themeFillShade="D9"/>
          </w:tcPr>
          <w:p w14:paraId="4DBBE2D9" w14:textId="0F674FFA" w:rsidR="008904C8" w:rsidRPr="009D14EA" w:rsidRDefault="008904C8" w:rsidP="009D14EA">
            <w:pPr>
              <w:pStyle w:val="ListParagraph"/>
              <w:spacing w:before="60" w:after="60" w:line="240" w:lineRule="auto"/>
              <w:ind w:left="0" w:firstLine="0"/>
              <w:jc w:val="center"/>
              <w:rPr>
                <w:rFonts w:cs="Arial"/>
                <w:b/>
                <w:bCs/>
                <w:sz w:val="18"/>
                <w:szCs w:val="18"/>
              </w:rPr>
            </w:pPr>
            <w:r w:rsidRPr="009D14EA">
              <w:rPr>
                <w:rFonts w:cs="Arial"/>
                <w:b/>
                <w:bCs/>
                <w:sz w:val="18"/>
                <w:szCs w:val="18"/>
              </w:rPr>
              <w:t>No</w:t>
            </w:r>
            <w:r w:rsidR="00AA40B3">
              <w:rPr>
                <w:rFonts w:cs="Arial"/>
                <w:b/>
                <w:bCs/>
                <w:sz w:val="18"/>
                <w:szCs w:val="18"/>
              </w:rPr>
              <w:t>.</w:t>
            </w:r>
          </w:p>
        </w:tc>
        <w:tc>
          <w:tcPr>
            <w:tcW w:w="4253" w:type="dxa"/>
            <w:shd w:val="clear" w:color="auto" w:fill="D9D9D9" w:themeFill="background1" w:themeFillShade="D9"/>
          </w:tcPr>
          <w:p w14:paraId="3BFA8ACE" w14:textId="77777777" w:rsidR="008904C8" w:rsidRPr="009D14EA" w:rsidRDefault="008904C8" w:rsidP="009D14EA">
            <w:pPr>
              <w:pStyle w:val="ListParagraph"/>
              <w:spacing w:before="60" w:after="60" w:line="240" w:lineRule="auto"/>
              <w:ind w:left="0" w:firstLine="0"/>
              <w:jc w:val="center"/>
              <w:rPr>
                <w:rFonts w:cs="Arial"/>
                <w:b/>
                <w:bCs/>
                <w:sz w:val="18"/>
                <w:szCs w:val="18"/>
              </w:rPr>
            </w:pPr>
            <w:r w:rsidRPr="009D14EA">
              <w:rPr>
                <w:rFonts w:cs="Arial"/>
                <w:b/>
                <w:bCs/>
                <w:sz w:val="18"/>
                <w:szCs w:val="18"/>
              </w:rPr>
              <w:t>Question</w:t>
            </w:r>
          </w:p>
        </w:tc>
        <w:tc>
          <w:tcPr>
            <w:tcW w:w="3634" w:type="dxa"/>
            <w:shd w:val="clear" w:color="auto" w:fill="D9D9D9" w:themeFill="background1" w:themeFillShade="D9"/>
          </w:tcPr>
          <w:p w14:paraId="15ABD0DD" w14:textId="77777777" w:rsidR="008904C8" w:rsidRPr="009D14EA" w:rsidRDefault="008904C8" w:rsidP="009D14EA">
            <w:pPr>
              <w:pStyle w:val="ListParagraph"/>
              <w:spacing w:before="60" w:after="60" w:line="240" w:lineRule="auto"/>
              <w:ind w:left="0" w:firstLine="0"/>
              <w:jc w:val="center"/>
              <w:rPr>
                <w:rFonts w:cs="Arial"/>
                <w:b/>
                <w:bCs/>
                <w:sz w:val="18"/>
                <w:szCs w:val="18"/>
              </w:rPr>
            </w:pPr>
            <w:r w:rsidRPr="009D14EA">
              <w:rPr>
                <w:rFonts w:cs="Arial"/>
                <w:b/>
                <w:bCs/>
                <w:sz w:val="18"/>
                <w:szCs w:val="18"/>
              </w:rPr>
              <w:t>Response</w:t>
            </w:r>
          </w:p>
        </w:tc>
      </w:tr>
      <w:tr w:rsidR="008904C8" w:rsidRPr="00AA40B3" w14:paraId="09D59D81" w14:textId="77777777" w:rsidTr="009D14EA">
        <w:tc>
          <w:tcPr>
            <w:tcW w:w="562" w:type="dxa"/>
          </w:tcPr>
          <w:p w14:paraId="104FA6F5" w14:textId="77777777" w:rsidR="008904C8" w:rsidRPr="009D14EA" w:rsidRDefault="008904C8" w:rsidP="009D14EA">
            <w:pPr>
              <w:pStyle w:val="ListParagraph"/>
              <w:spacing w:before="60" w:after="60" w:line="240" w:lineRule="auto"/>
              <w:ind w:left="0" w:firstLine="0"/>
              <w:jc w:val="center"/>
              <w:rPr>
                <w:rFonts w:cs="Arial"/>
                <w:sz w:val="18"/>
                <w:szCs w:val="18"/>
              </w:rPr>
            </w:pPr>
            <w:r w:rsidRPr="009D14EA">
              <w:rPr>
                <w:rFonts w:cs="Arial"/>
                <w:sz w:val="18"/>
                <w:szCs w:val="18"/>
              </w:rPr>
              <w:t>4</w:t>
            </w:r>
          </w:p>
        </w:tc>
        <w:tc>
          <w:tcPr>
            <w:tcW w:w="4253" w:type="dxa"/>
          </w:tcPr>
          <w:p w14:paraId="5AC4AD77"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Having reviewed the TUPE list, the total salary spend on staff is significantly higher than the total contract value (TCV) within the Finance and Activity Model (FAM). Please can you confirm:</w:t>
            </w:r>
          </w:p>
          <w:p w14:paraId="463F8B5E"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 xml:space="preserve">a) all members of staff listed in the TUPE document will transfer across to a new service provider under </w:t>
            </w:r>
            <w:proofErr w:type="gramStart"/>
            <w:r w:rsidRPr="009D14EA">
              <w:rPr>
                <w:rFonts w:cs="Arial"/>
                <w:sz w:val="18"/>
                <w:szCs w:val="18"/>
              </w:rPr>
              <w:t>TUPE?;</w:t>
            </w:r>
            <w:proofErr w:type="gramEnd"/>
          </w:p>
          <w:p w14:paraId="0ED26686"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 xml:space="preserve">b) if </w:t>
            </w:r>
            <w:proofErr w:type="spellStart"/>
            <w:r w:rsidRPr="009D14EA">
              <w:rPr>
                <w:rFonts w:cs="Arial"/>
                <w:sz w:val="18"/>
                <w:szCs w:val="18"/>
              </w:rPr>
              <w:t>QoF</w:t>
            </w:r>
            <w:proofErr w:type="spellEnd"/>
            <w:r w:rsidRPr="009D14EA">
              <w:rPr>
                <w:rFonts w:cs="Arial"/>
                <w:sz w:val="18"/>
                <w:szCs w:val="18"/>
              </w:rPr>
              <w:t xml:space="preserve">/LES/DES income can be included within the </w:t>
            </w:r>
            <w:proofErr w:type="gramStart"/>
            <w:r w:rsidRPr="009D14EA">
              <w:rPr>
                <w:rFonts w:cs="Arial"/>
                <w:sz w:val="18"/>
                <w:szCs w:val="18"/>
              </w:rPr>
              <w:t>FAM?;</w:t>
            </w:r>
            <w:proofErr w:type="gramEnd"/>
          </w:p>
          <w:p w14:paraId="38B3E032"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Under our current understanding of the FAM, it appears that to provide a passing bid the supplier would be operating under significant loss on a yearly basis. The staff salary costs alone are c.£1.6m, therefore, under tab 1. Bid Price and Financial Summary within the FAM, if we were to TUPE all existing staff, this would constitute an automatic failure.</w:t>
            </w:r>
          </w:p>
          <w:p w14:paraId="67ACBCDF"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Please can you clarify this anomaly?</w:t>
            </w:r>
          </w:p>
        </w:tc>
        <w:tc>
          <w:tcPr>
            <w:tcW w:w="3634" w:type="dxa"/>
          </w:tcPr>
          <w:p w14:paraId="68D6A7A0"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 xml:space="preserve">a) The TUPE document includes all staff who would transfer to a new service provider. The staff costs are </w:t>
            </w:r>
            <w:proofErr w:type="gramStart"/>
            <w:r w:rsidRPr="009D14EA">
              <w:rPr>
                <w:rFonts w:cs="Arial"/>
                <w:sz w:val="18"/>
                <w:szCs w:val="18"/>
              </w:rPr>
              <w:t>correct,</w:t>
            </w:r>
            <w:proofErr w:type="gramEnd"/>
            <w:r w:rsidRPr="009D14EA">
              <w:rPr>
                <w:rFonts w:cs="Arial"/>
                <w:sz w:val="18"/>
                <w:szCs w:val="18"/>
              </w:rPr>
              <w:t xml:space="preserve"> they reflect the salary of the staff member and their correct working hours. </w:t>
            </w:r>
          </w:p>
          <w:p w14:paraId="5780F8CC" w14:textId="41DE2D94" w:rsidR="008904C8" w:rsidRPr="00AA40B3" w:rsidRDefault="008904C8" w:rsidP="009D14EA">
            <w:pPr>
              <w:pStyle w:val="ListParagraph"/>
              <w:spacing w:before="60" w:after="60" w:line="240" w:lineRule="auto"/>
              <w:ind w:left="0" w:firstLine="0"/>
            </w:pPr>
            <w:r w:rsidRPr="009D14EA">
              <w:rPr>
                <w:rFonts w:cs="Arial"/>
                <w:sz w:val="18"/>
                <w:szCs w:val="18"/>
              </w:rPr>
              <w:t>b) QOF/LCS/DES income is not included in the FAM as this is commercially sensitive information and varies according to practice performance</w:t>
            </w:r>
          </w:p>
        </w:tc>
      </w:tr>
      <w:tr w:rsidR="008904C8" w:rsidRPr="00AA40B3" w14:paraId="42306871" w14:textId="77777777" w:rsidTr="009D14EA">
        <w:tc>
          <w:tcPr>
            <w:tcW w:w="562" w:type="dxa"/>
          </w:tcPr>
          <w:p w14:paraId="40C54FA5" w14:textId="77777777" w:rsidR="008904C8" w:rsidRPr="009D14EA" w:rsidRDefault="008904C8" w:rsidP="009D14EA">
            <w:pPr>
              <w:pStyle w:val="ListParagraph"/>
              <w:spacing w:before="60" w:after="60" w:line="240" w:lineRule="auto"/>
              <w:ind w:left="0" w:firstLine="0"/>
              <w:jc w:val="center"/>
              <w:rPr>
                <w:rFonts w:cs="Arial"/>
                <w:sz w:val="18"/>
                <w:szCs w:val="18"/>
              </w:rPr>
            </w:pPr>
            <w:r w:rsidRPr="009D14EA">
              <w:rPr>
                <w:rFonts w:cs="Arial"/>
                <w:sz w:val="18"/>
                <w:szCs w:val="18"/>
              </w:rPr>
              <w:t>47</w:t>
            </w:r>
          </w:p>
        </w:tc>
        <w:tc>
          <w:tcPr>
            <w:tcW w:w="4253" w:type="dxa"/>
          </w:tcPr>
          <w:p w14:paraId="6C8D541E"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 xml:space="preserve">There is a discrepancy between our actual staff costs for Net wages, PAYE &amp; Pensions and the costs estimated by the </w:t>
            </w:r>
            <w:r w:rsidR="003D1E53" w:rsidRPr="009D14EA">
              <w:rPr>
                <w:rFonts w:cs="Arial"/>
                <w:sz w:val="18"/>
                <w:szCs w:val="18"/>
              </w:rPr>
              <w:t>s</w:t>
            </w:r>
            <w:r w:rsidRPr="009D14EA">
              <w:rPr>
                <w:rFonts w:cs="Arial"/>
                <w:sz w:val="18"/>
                <w:szCs w:val="18"/>
              </w:rPr>
              <w:t>preadsheet. The difference is just under £200,000, which seems too large to overlook. Please advise.</w:t>
            </w:r>
          </w:p>
        </w:tc>
        <w:tc>
          <w:tcPr>
            <w:tcW w:w="3634" w:type="dxa"/>
          </w:tcPr>
          <w:p w14:paraId="04E0E150" w14:textId="77777777" w:rsidR="008904C8" w:rsidRPr="009D14EA" w:rsidRDefault="008904C8" w:rsidP="009D14EA">
            <w:pPr>
              <w:pStyle w:val="ListParagraph"/>
              <w:spacing w:before="60" w:after="60" w:line="240" w:lineRule="auto"/>
              <w:ind w:left="0" w:firstLine="0"/>
              <w:rPr>
                <w:rFonts w:cs="Arial"/>
                <w:sz w:val="18"/>
                <w:szCs w:val="18"/>
              </w:rPr>
            </w:pPr>
            <w:r w:rsidRPr="009D14EA">
              <w:rPr>
                <w:rFonts w:cs="Arial"/>
                <w:sz w:val="18"/>
                <w:szCs w:val="18"/>
              </w:rPr>
              <w:t>The bid-price is for the APMS service specification. There are likely other income streams available that could contribute towards staff involved in delivering this core service.</w:t>
            </w:r>
          </w:p>
        </w:tc>
      </w:tr>
    </w:tbl>
    <w:p w14:paraId="5AF481F6" w14:textId="496A769B" w:rsidR="00AD0D1A" w:rsidRPr="009D14EA" w:rsidRDefault="00AD0D1A" w:rsidP="009D14EA">
      <w:pPr>
        <w:pStyle w:val="ListParagraph"/>
        <w:spacing w:before="60" w:after="360" w:line="240" w:lineRule="auto"/>
        <w:ind w:firstLine="0"/>
        <w:rPr>
          <w:sz w:val="16"/>
          <w:szCs w:val="16"/>
        </w:rPr>
      </w:pPr>
      <w:r w:rsidRPr="009D14EA">
        <w:rPr>
          <w:sz w:val="16"/>
          <w:szCs w:val="16"/>
        </w:rPr>
        <w:t xml:space="preserve">Source: Sussex ICB, </w:t>
      </w:r>
      <w:r w:rsidRPr="009D14EA">
        <w:rPr>
          <w:i/>
          <w:iCs/>
          <w:sz w:val="16"/>
          <w:szCs w:val="16"/>
        </w:rPr>
        <w:t>Whitehawk</w:t>
      </w:r>
      <w:r w:rsidRPr="009D14EA">
        <w:rPr>
          <w:sz w:val="16"/>
          <w:szCs w:val="16"/>
        </w:rPr>
        <w:t xml:space="preserve"> </w:t>
      </w:r>
      <w:r w:rsidRPr="009D14EA">
        <w:rPr>
          <w:i/>
          <w:iCs/>
          <w:sz w:val="16"/>
          <w:szCs w:val="16"/>
        </w:rPr>
        <w:t>Clarification Log</w:t>
      </w:r>
      <w:r w:rsidRPr="009D14EA">
        <w:rPr>
          <w:sz w:val="16"/>
          <w:szCs w:val="16"/>
        </w:rPr>
        <w:t xml:space="preserve">, </w:t>
      </w:r>
      <w:r w:rsidR="00EA7AED">
        <w:rPr>
          <w:sz w:val="16"/>
          <w:szCs w:val="16"/>
        </w:rPr>
        <w:t>4 October 2024</w:t>
      </w:r>
      <w:r w:rsidRPr="009D14EA">
        <w:rPr>
          <w:sz w:val="16"/>
          <w:szCs w:val="16"/>
        </w:rPr>
        <w:t>.</w:t>
      </w:r>
    </w:p>
    <w:p w14:paraId="1A0EF241" w14:textId="099F9BF2" w:rsidR="00454185" w:rsidRDefault="00DF4A03" w:rsidP="00583319">
      <w:pPr>
        <w:pStyle w:val="ListParagraph"/>
        <w:numPr>
          <w:ilvl w:val="0"/>
          <w:numId w:val="4"/>
        </w:numPr>
        <w:spacing w:after="160"/>
        <w:ind w:left="567" w:hanging="567"/>
      </w:pPr>
      <w:r>
        <w:t xml:space="preserve">As a result of these questions, </w:t>
      </w:r>
      <w:r w:rsidR="00CD39B7">
        <w:t xml:space="preserve">Sussex ICB </w:t>
      </w:r>
      <w:r w:rsidR="00BE4799">
        <w:t>paused the procurement on 13 June 2024 to explore this issue with Wellsbourne.</w:t>
      </w:r>
      <w:r w:rsidR="00BE4799">
        <w:rPr>
          <w:rStyle w:val="FootnoteReference"/>
        </w:rPr>
        <w:footnoteReference w:id="48"/>
      </w:r>
      <w:r w:rsidR="00BE4799">
        <w:t xml:space="preserve"> </w:t>
      </w:r>
      <w:r w:rsidR="00CD39B7">
        <w:t xml:space="preserve">Sussex ICB </w:t>
      </w:r>
      <w:r>
        <w:t xml:space="preserve">asked Wellsbourne </w:t>
      </w:r>
      <w:r w:rsidR="00234CAF">
        <w:t xml:space="preserve">whether </w:t>
      </w:r>
      <w:r w:rsidR="005B49DF">
        <w:t xml:space="preserve">all of its </w:t>
      </w:r>
      <w:r w:rsidR="00870405">
        <w:t xml:space="preserve">current </w:t>
      </w:r>
      <w:r w:rsidR="005B49DF">
        <w:t xml:space="preserve">staff should be </w:t>
      </w:r>
      <w:r w:rsidR="00B17474">
        <w:t>on</w:t>
      </w:r>
      <w:r w:rsidR="005B49DF">
        <w:t xml:space="preserve"> the TUPE list</w:t>
      </w:r>
      <w:r w:rsidR="00870405">
        <w:t xml:space="preserve"> given that </w:t>
      </w:r>
      <w:r w:rsidR="00700354">
        <w:t>the practice also derived income from other sources, such as QOF (Quality and Outcomes Framework) funding</w:t>
      </w:r>
      <w:r w:rsidR="00132724">
        <w:rPr>
          <w:rStyle w:val="FootnoteReference"/>
        </w:rPr>
        <w:footnoteReference w:id="49"/>
      </w:r>
      <w:r w:rsidR="00700354">
        <w:t xml:space="preserve"> and Locally Enhanced Services</w:t>
      </w:r>
      <w:r w:rsidR="00547A95">
        <w:t xml:space="preserve"> (LES) (also known as Locally Commissioned Services (LCS))</w:t>
      </w:r>
      <w:r w:rsidR="00700354">
        <w:t>.</w:t>
      </w:r>
      <w:r w:rsidR="00132724">
        <w:rPr>
          <w:rStyle w:val="FootnoteReference"/>
        </w:rPr>
        <w:footnoteReference w:id="50"/>
      </w:r>
      <w:r w:rsidR="00700354">
        <w:t xml:space="preserve"> </w:t>
      </w:r>
      <w:r w:rsidR="0017279A">
        <w:t>Wellsbourne</w:t>
      </w:r>
      <w:r w:rsidR="00596E47">
        <w:t xml:space="preserve">, responding to </w:t>
      </w:r>
      <w:r w:rsidR="00FD6E76">
        <w:t xml:space="preserve">Sussex ICB’s </w:t>
      </w:r>
      <w:r w:rsidR="00596E47">
        <w:t xml:space="preserve">questions, </w:t>
      </w:r>
      <w:r w:rsidR="00FD6E76">
        <w:t xml:space="preserve">said </w:t>
      </w:r>
      <w:r w:rsidR="00596E47">
        <w:t>that</w:t>
      </w:r>
      <w:r w:rsidR="00D754A0">
        <w:t xml:space="preserve">, </w:t>
      </w:r>
      <w:r w:rsidR="00D754A0">
        <w:lastRenderedPageBreak/>
        <w:t>notwithstanding its additional income streams,</w:t>
      </w:r>
      <w:r w:rsidR="00596E47">
        <w:t xml:space="preserve"> it was not possible to </w:t>
      </w:r>
      <w:r w:rsidR="006D40DC">
        <w:t>exclude any</w:t>
      </w:r>
      <w:r w:rsidR="00AE41F1">
        <w:t xml:space="preserve"> of</w:t>
      </w:r>
      <w:r w:rsidR="006D40DC">
        <w:t xml:space="preserve"> </w:t>
      </w:r>
      <w:r w:rsidR="00F24CC7">
        <w:t xml:space="preserve">its existing </w:t>
      </w:r>
      <w:r w:rsidR="00D754A0">
        <w:t xml:space="preserve">staff </w:t>
      </w:r>
      <w:r w:rsidR="00F7356C">
        <w:t>f</w:t>
      </w:r>
      <w:r w:rsidR="006D40DC">
        <w:t>rom</w:t>
      </w:r>
      <w:r w:rsidR="00F7356C">
        <w:t xml:space="preserve"> the TUPE list</w:t>
      </w:r>
      <w:r w:rsidR="00D754A0">
        <w:t>.</w:t>
      </w:r>
      <w:r w:rsidR="00215600">
        <w:rPr>
          <w:rStyle w:val="FootnoteReference"/>
        </w:rPr>
        <w:footnoteReference w:id="51"/>
      </w:r>
    </w:p>
    <w:p w14:paraId="7A71DE09" w14:textId="68B5EC34" w:rsidR="00EA3410" w:rsidRDefault="00801D9C" w:rsidP="003B4157">
      <w:pPr>
        <w:pStyle w:val="ListParagraph"/>
        <w:numPr>
          <w:ilvl w:val="0"/>
          <w:numId w:val="4"/>
        </w:numPr>
        <w:spacing w:after="160"/>
        <w:ind w:left="567" w:hanging="567"/>
      </w:pPr>
      <w:r>
        <w:t xml:space="preserve">On 20 September 2024, </w:t>
      </w:r>
      <w:r w:rsidR="008C3320" w:rsidRPr="006451AA">
        <w:t>Sussex ICB</w:t>
      </w:r>
      <w:r w:rsidR="008C3320">
        <w:t xml:space="preserve"> </w:t>
      </w:r>
      <w:r w:rsidR="008C3320" w:rsidRPr="006451AA">
        <w:t>restarted the procurement</w:t>
      </w:r>
      <w:r>
        <w:t xml:space="preserve">, telling </w:t>
      </w:r>
      <w:r w:rsidR="008C3320" w:rsidRPr="006451AA">
        <w:t xml:space="preserve">bidders that the financial envelope </w:t>
      </w:r>
      <w:r w:rsidR="00712A7A">
        <w:t xml:space="preserve">for the APMS contract </w:t>
      </w:r>
      <w:r w:rsidR="008C3320" w:rsidRPr="006451AA">
        <w:t>would stay the same</w:t>
      </w:r>
      <w:r w:rsidR="00EA3410">
        <w:t xml:space="preserve">, but that </w:t>
      </w:r>
      <w:r w:rsidR="008C3320" w:rsidRPr="006451AA">
        <w:t xml:space="preserve">other income </w:t>
      </w:r>
      <w:r w:rsidR="00B676AC">
        <w:t xml:space="preserve">would be </w:t>
      </w:r>
      <w:r w:rsidR="008C3320" w:rsidRPr="006451AA">
        <w:t xml:space="preserve">available to </w:t>
      </w:r>
      <w:r w:rsidR="00EA3410">
        <w:t xml:space="preserve">the </w:t>
      </w:r>
      <w:r w:rsidR="00DE5501">
        <w:t xml:space="preserve">holder of the </w:t>
      </w:r>
      <w:r w:rsidR="00D702AF">
        <w:t xml:space="preserve">Whitehawk </w:t>
      </w:r>
      <w:r w:rsidR="00DE5501">
        <w:t xml:space="preserve">APMS contract, </w:t>
      </w:r>
      <w:r w:rsidR="008C3320" w:rsidRPr="006451AA">
        <w:t xml:space="preserve">including </w:t>
      </w:r>
      <w:r w:rsidR="00EA3410">
        <w:t>QOF</w:t>
      </w:r>
      <w:r w:rsidR="00DE5501">
        <w:t xml:space="preserve"> funding</w:t>
      </w:r>
      <w:r w:rsidR="00B602C1">
        <w:t>,</w:t>
      </w:r>
      <w:r w:rsidR="00DE5501">
        <w:t xml:space="preserve"> </w:t>
      </w:r>
      <w:r w:rsidR="007E3401">
        <w:t>Locally Enhanced Services and Primary Care Network Direct Enhanced Services</w:t>
      </w:r>
      <w:r w:rsidR="00B602C1">
        <w:t>.</w:t>
      </w:r>
      <w:r w:rsidR="00421ECF">
        <w:rPr>
          <w:rStyle w:val="FootnoteReference"/>
        </w:rPr>
        <w:footnoteReference w:id="52"/>
      </w:r>
    </w:p>
    <w:p w14:paraId="3D29976B" w14:textId="7DBB5B4E" w:rsidR="00D12CAC" w:rsidRPr="008543A7" w:rsidRDefault="008543A7" w:rsidP="008543A7">
      <w:pPr>
        <w:keepNext/>
        <w:spacing w:before="240"/>
        <w:rPr>
          <w:b/>
          <w:bCs/>
        </w:rPr>
      </w:pPr>
      <w:r>
        <w:rPr>
          <w:b/>
          <w:bCs/>
        </w:rPr>
        <w:t>7.3.3</w:t>
      </w:r>
      <w:r>
        <w:rPr>
          <w:b/>
          <w:bCs/>
        </w:rPr>
        <w:tab/>
      </w:r>
      <w:r w:rsidR="00F40805">
        <w:rPr>
          <w:b/>
          <w:bCs/>
        </w:rPr>
        <w:t>Information for bidders on additional</w:t>
      </w:r>
      <w:r w:rsidR="004A4310">
        <w:rPr>
          <w:b/>
          <w:bCs/>
        </w:rPr>
        <w:t xml:space="preserve"> services and</w:t>
      </w:r>
      <w:r w:rsidR="00F40805">
        <w:rPr>
          <w:b/>
          <w:bCs/>
        </w:rPr>
        <w:t xml:space="preserve"> income streams</w:t>
      </w:r>
    </w:p>
    <w:p w14:paraId="3ADD4C86" w14:textId="63781B58" w:rsidR="0011319F" w:rsidRDefault="00237192" w:rsidP="0011319F">
      <w:pPr>
        <w:pStyle w:val="ListParagraph"/>
        <w:numPr>
          <w:ilvl w:val="0"/>
          <w:numId w:val="4"/>
        </w:numPr>
        <w:spacing w:after="160"/>
        <w:ind w:left="567" w:hanging="567"/>
      </w:pPr>
      <w:bookmarkStart w:id="48" w:name="_Ref203143083"/>
      <w:r>
        <w:t>During the provider selection process, Sussex ICB provided b</w:t>
      </w:r>
      <w:r w:rsidR="003A42E2">
        <w:t xml:space="preserve">idders with </w:t>
      </w:r>
      <w:r w:rsidR="00DB58B5">
        <w:t>limited information about</w:t>
      </w:r>
      <w:r w:rsidR="0019359B">
        <w:t>: (</w:t>
      </w:r>
      <w:proofErr w:type="spellStart"/>
      <w:r w:rsidR="0019359B">
        <w:t>i</w:t>
      </w:r>
      <w:proofErr w:type="spellEnd"/>
      <w:r w:rsidR="0019359B">
        <w:t>)</w:t>
      </w:r>
      <w:r w:rsidR="00DB58B5">
        <w:t xml:space="preserve"> </w:t>
      </w:r>
      <w:r w:rsidR="004A4310">
        <w:t>the additional</w:t>
      </w:r>
      <w:r w:rsidR="00723CFD">
        <w:t>, locally commissioned</w:t>
      </w:r>
      <w:r w:rsidR="004A4310">
        <w:t xml:space="preserve"> services that the operator </w:t>
      </w:r>
      <w:r w:rsidR="0019359B">
        <w:t xml:space="preserve">of the Whitehawk practice would have the opportunity to </w:t>
      </w:r>
      <w:r w:rsidR="0019661F">
        <w:t>supply</w:t>
      </w:r>
      <w:r w:rsidR="0019359B">
        <w:t xml:space="preserve">; (ii) </w:t>
      </w:r>
      <w:r w:rsidR="0019661F">
        <w:t xml:space="preserve">Sussex ICB’s expectations about the additional services it wanted the successful bidder to supply; </w:t>
      </w:r>
      <w:r w:rsidR="009E2ED8">
        <w:t>and (iii) the income that the operator of the Whitehawk practice could potentially earn from supplying additional services and from other sources.</w:t>
      </w:r>
    </w:p>
    <w:p w14:paraId="007E75C1" w14:textId="1EDE4B74" w:rsidR="00E10876" w:rsidRDefault="00723CFD" w:rsidP="0011319F">
      <w:pPr>
        <w:pStyle w:val="ListParagraph"/>
        <w:numPr>
          <w:ilvl w:val="0"/>
          <w:numId w:val="4"/>
        </w:numPr>
        <w:spacing w:after="160"/>
        <w:ind w:left="567" w:hanging="567"/>
      </w:pPr>
      <w:r>
        <w:t xml:space="preserve">By way of background, </w:t>
      </w:r>
      <w:r w:rsidR="00C20FDC">
        <w:t xml:space="preserve">GP practices in </w:t>
      </w:r>
      <w:r w:rsidR="00DC530A">
        <w:t xml:space="preserve">the </w:t>
      </w:r>
      <w:r w:rsidR="00C20FDC">
        <w:t>Sussex ICB</w:t>
      </w:r>
      <w:r w:rsidR="00DC530A">
        <w:t xml:space="preserve"> area</w:t>
      </w:r>
      <w:r w:rsidR="00C20FDC">
        <w:t xml:space="preserve"> have the opportunity to supply locally commissioned services </w:t>
      </w:r>
      <w:r w:rsidR="00692C23">
        <w:t xml:space="preserve">(LCS) </w:t>
      </w:r>
      <w:r w:rsidR="00BA188C">
        <w:t>that are commissioned by the ICB and the local authority</w:t>
      </w:r>
      <w:r w:rsidR="00692C23">
        <w:t xml:space="preserve"> as well as Directed Enhanced Services (DES)</w:t>
      </w:r>
      <w:r w:rsidR="00781905">
        <w:t xml:space="preserve"> that are commissioned by NHS England.</w:t>
      </w:r>
      <w:r w:rsidR="00DA229B">
        <w:rPr>
          <w:rStyle w:val="FootnoteReference"/>
        </w:rPr>
        <w:footnoteReference w:id="53"/>
      </w:r>
      <w:r w:rsidR="00FC189B">
        <w:t xml:space="preserve"> </w:t>
      </w:r>
      <w:r w:rsidR="00D10834">
        <w:t xml:space="preserve">In addition, GP practices in </w:t>
      </w:r>
      <w:r w:rsidR="00DC530A">
        <w:t xml:space="preserve">the </w:t>
      </w:r>
      <w:r w:rsidR="00D10834">
        <w:t>Sussex ICB</w:t>
      </w:r>
      <w:r w:rsidR="00DC530A">
        <w:t xml:space="preserve"> area</w:t>
      </w:r>
      <w:r w:rsidR="00D10834">
        <w:t>, and elsewhere, can earn income under the Qualit</w:t>
      </w:r>
      <w:r w:rsidR="00B26AA6">
        <w:t>y</w:t>
      </w:r>
      <w:r w:rsidR="00D10834">
        <w:t xml:space="preserve"> and Outcomes Framework</w:t>
      </w:r>
      <w:r w:rsidR="00336461">
        <w:t xml:space="preserve"> (QOF).</w:t>
      </w:r>
    </w:p>
    <w:p w14:paraId="336D2857" w14:textId="63ACE069" w:rsidR="007902D0" w:rsidRDefault="007902D0" w:rsidP="0011319F">
      <w:pPr>
        <w:pStyle w:val="ListParagraph"/>
        <w:numPr>
          <w:ilvl w:val="0"/>
          <w:numId w:val="4"/>
        </w:numPr>
        <w:spacing w:after="160"/>
        <w:ind w:left="567" w:hanging="567"/>
      </w:pPr>
      <w:r>
        <w:t xml:space="preserve">Sussex ICB currently </w:t>
      </w:r>
      <w:r w:rsidR="00B51127">
        <w:t>commissions</w:t>
      </w:r>
      <w:r>
        <w:t xml:space="preserve"> around </w:t>
      </w:r>
      <w:r w:rsidR="00B51127">
        <w:t xml:space="preserve">25 LCS services. </w:t>
      </w:r>
      <w:r w:rsidR="00283CD7">
        <w:t>All l</w:t>
      </w:r>
      <w:r w:rsidR="00B51127">
        <w:t xml:space="preserve">ocal GP practices </w:t>
      </w:r>
      <w:proofErr w:type="gramStart"/>
      <w:r w:rsidR="00B51127">
        <w:t>are able to</w:t>
      </w:r>
      <w:proofErr w:type="gramEnd"/>
      <w:r w:rsidR="00B51127">
        <w:t xml:space="preserve"> </w:t>
      </w:r>
      <w:r w:rsidR="008D1DD3">
        <w:t>sign up to provide these services voluntarily</w:t>
      </w:r>
      <w:r w:rsidR="00283CD7">
        <w:t xml:space="preserve"> without any selection process. Wellsbourne is currently signed up to provide all, or nearly all, of these services. It also supplies four local authority commissioned services </w:t>
      </w:r>
      <w:r w:rsidR="00DA229B">
        <w:t xml:space="preserve">and thirteen NHS England DES services. </w:t>
      </w:r>
      <w:r w:rsidR="002D6EA7">
        <w:t>Sussex ICB’s LCS services account for around 80% of Wellsbourne’s planned revenue from additional servi</w:t>
      </w:r>
      <w:r w:rsidR="000E12C8">
        <w:t>ces in 2025/26.</w:t>
      </w:r>
      <w:r w:rsidR="000E12C8">
        <w:rPr>
          <w:rStyle w:val="FootnoteReference"/>
        </w:rPr>
        <w:footnoteReference w:id="54"/>
      </w:r>
    </w:p>
    <w:p w14:paraId="4EFFDF54" w14:textId="23FCC498" w:rsidR="00AF5B27" w:rsidRDefault="004E767F" w:rsidP="004E767F">
      <w:pPr>
        <w:pStyle w:val="ListParagraph"/>
        <w:numPr>
          <w:ilvl w:val="0"/>
          <w:numId w:val="4"/>
        </w:numPr>
        <w:spacing w:after="160"/>
        <w:ind w:left="567" w:hanging="567"/>
      </w:pPr>
      <w:r>
        <w:t xml:space="preserve">In the </w:t>
      </w:r>
      <w:r w:rsidR="00CD2B79">
        <w:t>tender</w:t>
      </w:r>
      <w:r>
        <w:t xml:space="preserve"> documentation, Sussex ICB </w:t>
      </w:r>
      <w:r w:rsidR="00AF5B27">
        <w:t xml:space="preserve">did not provide any overview of its </w:t>
      </w:r>
      <w:r w:rsidR="00A833CE">
        <w:t xml:space="preserve">locally commissioned services (or </w:t>
      </w:r>
      <w:r w:rsidR="00390DBB">
        <w:t xml:space="preserve">similar </w:t>
      </w:r>
      <w:r w:rsidR="00A833CE">
        <w:t>services commissioned by NHSE England or the local authority)</w:t>
      </w:r>
      <w:r w:rsidR="006E775F">
        <w:t xml:space="preserve"> n</w:t>
      </w:r>
      <w:r w:rsidR="00B96489">
        <w:t>or did it provide bidders with any information about income that bidders could potentially earn from these services.</w:t>
      </w:r>
    </w:p>
    <w:p w14:paraId="4657978B" w14:textId="77777777" w:rsidR="00DD01F1" w:rsidRDefault="00064BC2" w:rsidP="00A42E53">
      <w:pPr>
        <w:pStyle w:val="ListParagraph"/>
        <w:numPr>
          <w:ilvl w:val="0"/>
          <w:numId w:val="4"/>
        </w:numPr>
        <w:ind w:left="567" w:hanging="567"/>
      </w:pPr>
      <w:r>
        <w:t xml:space="preserve">During the provider selection process, Sussex ICB indicated to bidders that it </w:t>
      </w:r>
      <w:r w:rsidR="00DD01F1">
        <w:t>had</w:t>
      </w:r>
      <w:r>
        <w:t xml:space="preserve"> expectations that certain </w:t>
      </w:r>
      <w:r w:rsidR="005C7308">
        <w:t>LCSs currently supplied by W</w:t>
      </w:r>
      <w:r w:rsidR="00737123">
        <w:t>ellsbourne would be continued by the successful bidder.</w:t>
      </w:r>
    </w:p>
    <w:p w14:paraId="7FFFB16D" w14:textId="77777777" w:rsidR="00DD01F1" w:rsidRDefault="00737123" w:rsidP="00A42E53">
      <w:pPr>
        <w:pStyle w:val="ListParagraph"/>
        <w:numPr>
          <w:ilvl w:val="0"/>
          <w:numId w:val="57"/>
        </w:numPr>
      </w:pPr>
      <w:r>
        <w:t xml:space="preserve">In the tender documentation, it said that </w:t>
      </w:r>
      <w:r w:rsidR="004E767F">
        <w:t>“</w:t>
      </w:r>
      <w:r w:rsidR="004E767F" w:rsidRPr="00E11256">
        <w:t>patients will be offered Locally Commissioned Services as agreed with NHS Sussex. Weight Management Services and Learning Disabilities Health Check Enhanced Service will also be offered to appropriate registered patients</w:t>
      </w:r>
      <w:r w:rsidR="004E767F">
        <w:t>”.</w:t>
      </w:r>
      <w:r w:rsidR="004E767F">
        <w:rPr>
          <w:rStyle w:val="FootnoteReference"/>
        </w:rPr>
        <w:footnoteReference w:id="55"/>
      </w:r>
    </w:p>
    <w:p w14:paraId="5D24F897" w14:textId="03E2FEFA" w:rsidR="004E767F" w:rsidRPr="002F795A" w:rsidRDefault="00616690" w:rsidP="00DD01F1">
      <w:pPr>
        <w:pStyle w:val="ListParagraph"/>
        <w:numPr>
          <w:ilvl w:val="0"/>
          <w:numId w:val="57"/>
        </w:numPr>
        <w:spacing w:after="160"/>
      </w:pPr>
      <w:r w:rsidRPr="002F795A">
        <w:lastRenderedPageBreak/>
        <w:t>I</w:t>
      </w:r>
      <w:r>
        <w:t xml:space="preserve">n responding to a </w:t>
      </w:r>
      <w:r w:rsidR="004E767F">
        <w:t xml:space="preserve">clarification question, Sussex ICB said that Wellsbourne provides sexual health services under the APMS contract and LCS services, and the successful bidder “would be expected to continue these services” </w:t>
      </w:r>
      <w:r w:rsidR="004E767F" w:rsidRPr="002F795A">
        <w:t xml:space="preserve">(see </w:t>
      </w:r>
      <w:r w:rsidRPr="002F795A">
        <w:t xml:space="preserve">clarification question 23 </w:t>
      </w:r>
      <w:r w:rsidR="00C56F9E" w:rsidRPr="002F795A">
        <w:t xml:space="preserve">in </w:t>
      </w:r>
      <w:r w:rsidR="00A11AC7" w:rsidRPr="002F795A">
        <w:t xml:space="preserve">table at </w:t>
      </w:r>
      <w:r w:rsidR="004E767F" w:rsidRPr="002F795A">
        <w:t>paragraph</w:t>
      </w:r>
      <w:r w:rsidR="0023723C">
        <w:t xml:space="preserve"> </w:t>
      </w:r>
      <w:r w:rsidR="0023723C">
        <w:fldChar w:fldCharType="begin"/>
      </w:r>
      <w:r w:rsidR="0023723C">
        <w:instrText xml:space="preserve"> REF _Ref204158894 \r \h </w:instrText>
      </w:r>
      <w:r w:rsidR="0023723C">
        <w:fldChar w:fldCharType="separate"/>
      </w:r>
      <w:r w:rsidR="00C81C5A">
        <w:t>120</w:t>
      </w:r>
      <w:r w:rsidR="0023723C">
        <w:fldChar w:fldCharType="end"/>
      </w:r>
      <w:r w:rsidR="004E767F" w:rsidRPr="002F795A">
        <w:t>).</w:t>
      </w:r>
    </w:p>
    <w:p w14:paraId="2BF5A4FD" w14:textId="187D9DB6" w:rsidR="00FD0B64" w:rsidRDefault="00C65750" w:rsidP="003B4157">
      <w:pPr>
        <w:pStyle w:val="ListParagraph"/>
        <w:numPr>
          <w:ilvl w:val="0"/>
          <w:numId w:val="4"/>
        </w:numPr>
        <w:spacing w:after="160"/>
        <w:ind w:left="567" w:hanging="567"/>
      </w:pPr>
      <w:bookmarkStart w:id="49" w:name="_Ref204158894"/>
      <w:bookmarkEnd w:id="48"/>
      <w:r>
        <w:t xml:space="preserve">In response to bidders’ clarification questions, </w:t>
      </w:r>
      <w:r w:rsidR="00DA7FD5">
        <w:t xml:space="preserve">Sussex ICB provided information on Wellsbourne’s QOF performance, but not </w:t>
      </w:r>
      <w:r w:rsidR="00100147">
        <w:t xml:space="preserve">on the </w:t>
      </w:r>
      <w:r w:rsidR="00DA7FD5">
        <w:t xml:space="preserve">LCS or DES services </w:t>
      </w:r>
      <w:r w:rsidR="00100147">
        <w:t>supplied</w:t>
      </w:r>
      <w:r w:rsidR="00DA7FD5">
        <w:t xml:space="preserve"> by Wellsbourne</w:t>
      </w:r>
      <w:r w:rsidR="004873E4">
        <w:t>,</w:t>
      </w:r>
      <w:r w:rsidR="00DA7FD5">
        <w:t xml:space="preserve"> </w:t>
      </w:r>
      <w:r w:rsidR="00100147">
        <w:t xml:space="preserve">citing commercial confidentiality </w:t>
      </w:r>
      <w:r w:rsidR="00DA7FD5">
        <w:t xml:space="preserve">(see clarification question no.2 </w:t>
      </w:r>
      <w:r w:rsidR="00100147">
        <w:t>below</w:t>
      </w:r>
      <w:r w:rsidR="00DA7FD5">
        <w:t>).</w:t>
      </w:r>
      <w:r w:rsidR="00DA7FD5">
        <w:rPr>
          <w:rStyle w:val="FootnoteReference"/>
        </w:rPr>
        <w:footnoteReference w:id="56"/>
      </w:r>
      <w:bookmarkStart w:id="50" w:name="_Ref204017845"/>
      <w:bookmarkStart w:id="51" w:name="_Ref202974712"/>
      <w:r w:rsidR="00C56F9E" w:rsidRPr="00C56F9E">
        <w:t xml:space="preserve"> </w:t>
      </w:r>
      <w:r w:rsidR="00C56F9E">
        <w:t xml:space="preserve">Other clarification questions asked by bidders about additional services and income streams and Sussex ICB’s response are set out in the table below (and also in the table at </w:t>
      </w:r>
      <w:r w:rsidR="00C56F9E" w:rsidRPr="002F795A">
        <w:t>paragraph</w:t>
      </w:r>
      <w:r w:rsidR="0023723C">
        <w:t xml:space="preserve"> </w:t>
      </w:r>
      <w:r w:rsidR="0023723C">
        <w:fldChar w:fldCharType="begin"/>
      </w:r>
      <w:r w:rsidR="0023723C">
        <w:instrText xml:space="preserve"> REF _Ref204158915 \r \h </w:instrText>
      </w:r>
      <w:r w:rsidR="0023723C">
        <w:fldChar w:fldCharType="separate"/>
      </w:r>
      <w:r w:rsidR="00C81C5A">
        <w:t>112</w:t>
      </w:r>
      <w:r w:rsidR="0023723C">
        <w:fldChar w:fldCharType="end"/>
      </w:r>
      <w:r w:rsidR="00C56F9E" w:rsidRPr="002F795A">
        <w:t>).</w:t>
      </w:r>
      <w:bookmarkEnd w:id="49"/>
      <w:bookmarkEnd w:id="50"/>
      <w:bookmarkEnd w:id="51"/>
    </w:p>
    <w:tbl>
      <w:tblPr>
        <w:tblStyle w:val="TableGrid"/>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4111"/>
        <w:gridCol w:w="3634"/>
      </w:tblGrid>
      <w:tr w:rsidR="0017325C" w:rsidRPr="00866BB0" w14:paraId="1BBDBA62" w14:textId="77777777" w:rsidTr="00F44F04">
        <w:tc>
          <w:tcPr>
            <w:tcW w:w="704" w:type="dxa"/>
            <w:shd w:val="clear" w:color="auto" w:fill="D9D9D9" w:themeFill="background1" w:themeFillShade="D9"/>
          </w:tcPr>
          <w:p w14:paraId="24FAD4CB" w14:textId="6FF95587" w:rsidR="0017325C" w:rsidRPr="009D14EA" w:rsidRDefault="0017325C" w:rsidP="00DD2D9D">
            <w:pPr>
              <w:pStyle w:val="ListParagraph"/>
              <w:keepNext/>
              <w:spacing w:before="60" w:after="60" w:line="240" w:lineRule="auto"/>
              <w:ind w:left="0" w:firstLine="0"/>
              <w:jc w:val="center"/>
              <w:rPr>
                <w:b/>
                <w:bCs/>
                <w:sz w:val="18"/>
                <w:szCs w:val="18"/>
              </w:rPr>
            </w:pPr>
            <w:r w:rsidRPr="009D14EA">
              <w:rPr>
                <w:b/>
                <w:bCs/>
                <w:sz w:val="18"/>
                <w:szCs w:val="18"/>
              </w:rPr>
              <w:t>No</w:t>
            </w:r>
            <w:r w:rsidR="002706F1">
              <w:rPr>
                <w:b/>
                <w:bCs/>
                <w:sz w:val="18"/>
                <w:szCs w:val="18"/>
              </w:rPr>
              <w:t>.</w:t>
            </w:r>
          </w:p>
        </w:tc>
        <w:tc>
          <w:tcPr>
            <w:tcW w:w="4111" w:type="dxa"/>
            <w:shd w:val="clear" w:color="auto" w:fill="D9D9D9" w:themeFill="background1" w:themeFillShade="D9"/>
          </w:tcPr>
          <w:p w14:paraId="45C247B6" w14:textId="3981E1C7" w:rsidR="0017325C" w:rsidRPr="009D14EA" w:rsidRDefault="0017325C" w:rsidP="00DD2D9D">
            <w:pPr>
              <w:pStyle w:val="ListParagraph"/>
              <w:keepNext/>
              <w:spacing w:before="60" w:after="60" w:line="240" w:lineRule="auto"/>
              <w:ind w:left="0" w:firstLine="0"/>
              <w:jc w:val="center"/>
              <w:rPr>
                <w:b/>
                <w:bCs/>
                <w:sz w:val="18"/>
                <w:szCs w:val="18"/>
              </w:rPr>
            </w:pPr>
            <w:r w:rsidRPr="009D14EA">
              <w:rPr>
                <w:b/>
                <w:bCs/>
                <w:sz w:val="18"/>
                <w:szCs w:val="18"/>
              </w:rPr>
              <w:t>Question</w:t>
            </w:r>
          </w:p>
        </w:tc>
        <w:tc>
          <w:tcPr>
            <w:tcW w:w="3634" w:type="dxa"/>
            <w:shd w:val="clear" w:color="auto" w:fill="D9D9D9" w:themeFill="background1" w:themeFillShade="D9"/>
          </w:tcPr>
          <w:p w14:paraId="4945F466" w14:textId="509D5AD6" w:rsidR="0017325C" w:rsidRPr="009D14EA" w:rsidRDefault="0017325C" w:rsidP="00DD2D9D">
            <w:pPr>
              <w:pStyle w:val="ListParagraph"/>
              <w:keepNext/>
              <w:spacing w:before="60" w:after="60" w:line="240" w:lineRule="auto"/>
              <w:ind w:left="0" w:firstLine="0"/>
              <w:jc w:val="center"/>
              <w:rPr>
                <w:b/>
                <w:bCs/>
                <w:sz w:val="18"/>
                <w:szCs w:val="18"/>
              </w:rPr>
            </w:pPr>
            <w:r w:rsidRPr="009D14EA">
              <w:rPr>
                <w:b/>
                <w:bCs/>
                <w:sz w:val="18"/>
                <w:szCs w:val="18"/>
              </w:rPr>
              <w:t>Response</w:t>
            </w:r>
          </w:p>
        </w:tc>
      </w:tr>
      <w:tr w:rsidR="003D7B73" w:rsidRPr="00866BB0" w14:paraId="78C348F7" w14:textId="77777777" w:rsidTr="009D14EA">
        <w:tc>
          <w:tcPr>
            <w:tcW w:w="704" w:type="dxa"/>
          </w:tcPr>
          <w:p w14:paraId="6A00083F" w14:textId="779F9C32" w:rsidR="003D7B73" w:rsidRPr="009D14EA" w:rsidRDefault="002B04DE" w:rsidP="00DD2D9D">
            <w:pPr>
              <w:pStyle w:val="ListParagraph"/>
              <w:keepNext/>
              <w:spacing w:before="60" w:after="60" w:line="240" w:lineRule="auto"/>
              <w:ind w:left="0" w:firstLine="0"/>
              <w:jc w:val="center"/>
              <w:rPr>
                <w:sz w:val="18"/>
                <w:szCs w:val="18"/>
              </w:rPr>
            </w:pPr>
            <w:r w:rsidRPr="009D14EA">
              <w:rPr>
                <w:sz w:val="18"/>
                <w:szCs w:val="18"/>
              </w:rPr>
              <w:t>2</w:t>
            </w:r>
          </w:p>
        </w:tc>
        <w:tc>
          <w:tcPr>
            <w:tcW w:w="4111" w:type="dxa"/>
          </w:tcPr>
          <w:p w14:paraId="1E494323" w14:textId="1A5E33EC" w:rsidR="003D7B73" w:rsidRPr="009D14EA" w:rsidRDefault="003D7B73" w:rsidP="00DD2D9D">
            <w:pPr>
              <w:pStyle w:val="ListParagraph"/>
              <w:keepNext/>
              <w:spacing w:before="60" w:after="60" w:line="240" w:lineRule="auto"/>
              <w:ind w:left="0" w:firstLine="0"/>
              <w:rPr>
                <w:sz w:val="18"/>
                <w:szCs w:val="18"/>
              </w:rPr>
            </w:pPr>
            <w:r w:rsidRPr="009D14EA">
              <w:rPr>
                <w:sz w:val="18"/>
                <w:szCs w:val="18"/>
              </w:rPr>
              <w:t>Could we please have the Q</w:t>
            </w:r>
            <w:r w:rsidR="00727EE7">
              <w:rPr>
                <w:sz w:val="18"/>
                <w:szCs w:val="18"/>
              </w:rPr>
              <w:t>OF</w:t>
            </w:r>
            <w:r w:rsidRPr="009D14EA">
              <w:rPr>
                <w:sz w:val="18"/>
                <w:szCs w:val="18"/>
              </w:rPr>
              <w:t>/LES/DES financial performance over the last two years provided?</w:t>
            </w:r>
          </w:p>
        </w:tc>
        <w:tc>
          <w:tcPr>
            <w:tcW w:w="3634" w:type="dxa"/>
          </w:tcPr>
          <w:p w14:paraId="5CFE3955" w14:textId="1B800BBB" w:rsidR="002B04DE" w:rsidRPr="009D14EA" w:rsidRDefault="002B04DE" w:rsidP="00DD2D9D">
            <w:pPr>
              <w:keepNext/>
              <w:spacing w:before="60" w:after="60"/>
              <w:rPr>
                <w:sz w:val="18"/>
                <w:szCs w:val="18"/>
              </w:rPr>
            </w:pPr>
            <w:r w:rsidRPr="009D14EA">
              <w:rPr>
                <w:sz w:val="18"/>
                <w:szCs w:val="18"/>
              </w:rPr>
              <w:t>QOF achievement 21/22 = 91.09%</w:t>
            </w:r>
          </w:p>
          <w:p w14:paraId="1FEA6246" w14:textId="77777777" w:rsidR="002B04DE" w:rsidRPr="009D14EA" w:rsidRDefault="002B04DE" w:rsidP="00DD2D9D">
            <w:pPr>
              <w:keepNext/>
              <w:spacing w:before="60" w:after="60"/>
              <w:rPr>
                <w:sz w:val="18"/>
                <w:szCs w:val="18"/>
              </w:rPr>
            </w:pPr>
            <w:r w:rsidRPr="009D14EA">
              <w:rPr>
                <w:sz w:val="18"/>
                <w:szCs w:val="18"/>
              </w:rPr>
              <w:t>QOF achievement 22/23 91.86%</w:t>
            </w:r>
          </w:p>
          <w:p w14:paraId="7BA15EEB" w14:textId="503AFC6D" w:rsidR="003D7B73" w:rsidRPr="009D14EA" w:rsidRDefault="002B04DE" w:rsidP="00DD2D9D">
            <w:pPr>
              <w:keepNext/>
              <w:spacing w:before="60" w:after="60"/>
              <w:rPr>
                <w:sz w:val="18"/>
                <w:szCs w:val="18"/>
              </w:rPr>
            </w:pPr>
            <w:r w:rsidRPr="009D14EA">
              <w:rPr>
                <w:sz w:val="18"/>
                <w:szCs w:val="18"/>
              </w:rPr>
              <w:t>LES/DES performance = not available as commercially sensitive</w:t>
            </w:r>
          </w:p>
        </w:tc>
      </w:tr>
      <w:tr w:rsidR="0017325C" w:rsidRPr="00866BB0" w14:paraId="7C392A34" w14:textId="77777777" w:rsidTr="009D14EA">
        <w:tc>
          <w:tcPr>
            <w:tcW w:w="704" w:type="dxa"/>
          </w:tcPr>
          <w:p w14:paraId="040D9DA3" w14:textId="10DE5312" w:rsidR="0017325C" w:rsidRPr="009D14EA" w:rsidRDefault="008238DC" w:rsidP="009D14EA">
            <w:pPr>
              <w:pStyle w:val="ListParagraph"/>
              <w:spacing w:before="60" w:after="60" w:line="240" w:lineRule="auto"/>
              <w:ind w:left="0" w:firstLine="0"/>
              <w:jc w:val="center"/>
              <w:rPr>
                <w:sz w:val="18"/>
                <w:szCs w:val="18"/>
              </w:rPr>
            </w:pPr>
            <w:r w:rsidRPr="009D14EA">
              <w:rPr>
                <w:sz w:val="18"/>
                <w:szCs w:val="18"/>
              </w:rPr>
              <w:t>23</w:t>
            </w:r>
          </w:p>
        </w:tc>
        <w:tc>
          <w:tcPr>
            <w:tcW w:w="4111" w:type="dxa"/>
          </w:tcPr>
          <w:p w14:paraId="19652AD1" w14:textId="133B66B2" w:rsidR="0017325C" w:rsidRPr="009D14EA" w:rsidRDefault="008238DC" w:rsidP="009D14EA">
            <w:pPr>
              <w:pStyle w:val="ListParagraph"/>
              <w:spacing w:before="60" w:after="60" w:line="240" w:lineRule="auto"/>
              <w:ind w:left="0" w:firstLine="0"/>
              <w:rPr>
                <w:sz w:val="18"/>
                <w:szCs w:val="18"/>
              </w:rPr>
            </w:pPr>
            <w:r w:rsidRPr="009D14EA">
              <w:rPr>
                <w:sz w:val="18"/>
                <w:szCs w:val="18"/>
              </w:rPr>
              <w:t>Please could commissioners provide details regarding what sexual health services are offered, how these are funded and if the new provider is expected to continue these services?</w:t>
            </w:r>
          </w:p>
        </w:tc>
        <w:tc>
          <w:tcPr>
            <w:tcW w:w="3634" w:type="dxa"/>
          </w:tcPr>
          <w:p w14:paraId="027DAF2E" w14:textId="15C9FA1F" w:rsidR="00AC42D4" w:rsidRPr="009D14EA" w:rsidRDefault="00AC42D4" w:rsidP="009D14EA">
            <w:pPr>
              <w:pStyle w:val="ListParagraph"/>
              <w:spacing w:before="60" w:after="60" w:line="240" w:lineRule="auto"/>
              <w:ind w:left="0" w:firstLine="0"/>
              <w:rPr>
                <w:sz w:val="18"/>
                <w:szCs w:val="18"/>
              </w:rPr>
            </w:pPr>
            <w:r w:rsidRPr="009D14EA">
              <w:rPr>
                <w:sz w:val="18"/>
                <w:szCs w:val="18"/>
              </w:rPr>
              <w:t>Any sexual health services provided under the general APMS service, plus LCS services. No stand-alone sexual health service provided by this contract</w:t>
            </w:r>
            <w:r w:rsidR="00FB1654" w:rsidRPr="009D14EA">
              <w:rPr>
                <w:sz w:val="18"/>
                <w:szCs w:val="18"/>
              </w:rPr>
              <w:t>.</w:t>
            </w:r>
          </w:p>
          <w:p w14:paraId="59285B08" w14:textId="2AB61E00" w:rsidR="0017325C" w:rsidRPr="009D14EA" w:rsidRDefault="00AC42D4" w:rsidP="009D14EA">
            <w:pPr>
              <w:pStyle w:val="ListParagraph"/>
              <w:spacing w:before="60" w:after="60" w:line="240" w:lineRule="auto"/>
              <w:ind w:left="0" w:firstLine="0"/>
              <w:rPr>
                <w:sz w:val="18"/>
                <w:szCs w:val="18"/>
              </w:rPr>
            </w:pPr>
            <w:r w:rsidRPr="009D14EA">
              <w:rPr>
                <w:sz w:val="18"/>
                <w:szCs w:val="18"/>
              </w:rPr>
              <w:t>New Provider would be expected to continue these services.</w:t>
            </w:r>
          </w:p>
        </w:tc>
      </w:tr>
      <w:tr w:rsidR="002B6961" w:rsidRPr="00866BB0" w14:paraId="78E1109E" w14:textId="77777777" w:rsidTr="009D14EA">
        <w:tc>
          <w:tcPr>
            <w:tcW w:w="704" w:type="dxa"/>
          </w:tcPr>
          <w:p w14:paraId="5E860BBA" w14:textId="6B894AAD" w:rsidR="002B6961" w:rsidRPr="009D14EA" w:rsidRDefault="002B6961" w:rsidP="009D14EA">
            <w:pPr>
              <w:pStyle w:val="ListParagraph"/>
              <w:spacing w:before="60" w:after="60" w:line="240" w:lineRule="auto"/>
              <w:ind w:left="0" w:firstLine="0"/>
              <w:jc w:val="center"/>
              <w:rPr>
                <w:sz w:val="18"/>
                <w:szCs w:val="18"/>
              </w:rPr>
            </w:pPr>
            <w:r w:rsidRPr="009D14EA">
              <w:rPr>
                <w:sz w:val="18"/>
                <w:szCs w:val="18"/>
              </w:rPr>
              <w:t>48</w:t>
            </w:r>
          </w:p>
        </w:tc>
        <w:tc>
          <w:tcPr>
            <w:tcW w:w="4111" w:type="dxa"/>
          </w:tcPr>
          <w:p w14:paraId="577CCA04" w14:textId="0974DB80" w:rsidR="002B6961" w:rsidRPr="009D14EA" w:rsidRDefault="00B501DA" w:rsidP="009D14EA">
            <w:pPr>
              <w:pStyle w:val="ListParagraph"/>
              <w:spacing w:before="60" w:after="60" w:line="240" w:lineRule="auto"/>
              <w:ind w:left="0" w:firstLine="0"/>
              <w:rPr>
                <w:sz w:val="18"/>
                <w:szCs w:val="18"/>
              </w:rPr>
            </w:pPr>
            <w:r w:rsidRPr="009D14EA">
              <w:rPr>
                <w:sz w:val="18"/>
                <w:szCs w:val="18"/>
              </w:rPr>
              <w:t>Our Costs are much higher than the Contract Value because our non-APMS contract income cannot be included in the spreadsheet. Without this information, it is impossible to fit the service within the envelope. As this is a Pass/Fail question, how can we progress our bid, given the limitations of the spreadsheet?</w:t>
            </w:r>
          </w:p>
        </w:tc>
        <w:tc>
          <w:tcPr>
            <w:tcW w:w="3634" w:type="dxa"/>
          </w:tcPr>
          <w:p w14:paraId="695EE76C" w14:textId="2C5CB8B8" w:rsidR="002B6961" w:rsidRPr="009D14EA" w:rsidRDefault="007502D9" w:rsidP="009D14EA">
            <w:pPr>
              <w:pStyle w:val="ListParagraph"/>
              <w:spacing w:before="60" w:after="60" w:line="240" w:lineRule="auto"/>
              <w:ind w:left="0" w:firstLine="0"/>
              <w:rPr>
                <w:sz w:val="18"/>
                <w:szCs w:val="18"/>
              </w:rPr>
            </w:pPr>
            <w:r w:rsidRPr="009D14EA">
              <w:rPr>
                <w:sz w:val="18"/>
                <w:szCs w:val="18"/>
              </w:rPr>
              <w:t>Whilst the bid price is a pass / fail question, the collective costs of the bidder do not feature in any pass / fail question. It is not required that these costs are less than the bid price for the APMS service</w:t>
            </w:r>
            <w:r w:rsidR="0016010F">
              <w:rPr>
                <w:sz w:val="18"/>
                <w:szCs w:val="18"/>
              </w:rPr>
              <w:t>.</w:t>
            </w:r>
          </w:p>
        </w:tc>
      </w:tr>
      <w:tr w:rsidR="0017325C" w:rsidRPr="00866BB0" w14:paraId="320696BD" w14:textId="77777777" w:rsidTr="009D14EA">
        <w:tc>
          <w:tcPr>
            <w:tcW w:w="704" w:type="dxa"/>
          </w:tcPr>
          <w:p w14:paraId="38150719" w14:textId="57C86FB2" w:rsidR="0017325C" w:rsidRPr="009D14EA" w:rsidRDefault="00A863CE" w:rsidP="009D14EA">
            <w:pPr>
              <w:pStyle w:val="ListParagraph"/>
              <w:spacing w:before="60" w:after="60" w:line="240" w:lineRule="auto"/>
              <w:ind w:left="0" w:firstLine="0"/>
              <w:jc w:val="center"/>
              <w:rPr>
                <w:sz w:val="18"/>
                <w:szCs w:val="18"/>
              </w:rPr>
            </w:pPr>
            <w:r w:rsidRPr="009D14EA">
              <w:rPr>
                <w:sz w:val="18"/>
                <w:szCs w:val="18"/>
              </w:rPr>
              <w:t>108</w:t>
            </w:r>
          </w:p>
        </w:tc>
        <w:tc>
          <w:tcPr>
            <w:tcW w:w="4111" w:type="dxa"/>
          </w:tcPr>
          <w:p w14:paraId="19BE2DD0" w14:textId="20C95881" w:rsidR="0017325C" w:rsidRPr="009D14EA" w:rsidRDefault="0092611C" w:rsidP="009D14EA">
            <w:pPr>
              <w:pStyle w:val="ListParagraph"/>
              <w:spacing w:before="60" w:after="60" w:line="240" w:lineRule="auto"/>
              <w:ind w:left="0" w:firstLine="0"/>
              <w:rPr>
                <w:sz w:val="18"/>
                <w:szCs w:val="18"/>
              </w:rPr>
            </w:pPr>
            <w:r w:rsidRPr="009D14EA">
              <w:rPr>
                <w:sz w:val="18"/>
                <w:szCs w:val="18"/>
              </w:rPr>
              <w:t>Document 1</w:t>
            </w:r>
            <w:r w:rsidR="00C126DF">
              <w:rPr>
                <w:sz w:val="18"/>
                <w:szCs w:val="18"/>
              </w:rPr>
              <w:t xml:space="preserve">, </w:t>
            </w:r>
            <w:r w:rsidRPr="009D14EA">
              <w:rPr>
                <w:sz w:val="18"/>
                <w:szCs w:val="18"/>
              </w:rPr>
              <w:t>Page 12: Please can commissioners confirm whether the £1,157,738 income includes the additional income (QOF/Enhanced/Deprivation Premium). The table appears to indicate that this is income in addition to the £1,157,738</w:t>
            </w:r>
            <w:r w:rsidR="00A863CE" w:rsidRPr="009D14EA">
              <w:rPr>
                <w:sz w:val="18"/>
                <w:szCs w:val="18"/>
              </w:rPr>
              <w:t>.</w:t>
            </w:r>
          </w:p>
        </w:tc>
        <w:tc>
          <w:tcPr>
            <w:tcW w:w="3634" w:type="dxa"/>
          </w:tcPr>
          <w:p w14:paraId="2FF05556" w14:textId="65FD5A18" w:rsidR="0017325C" w:rsidRPr="009D14EA" w:rsidRDefault="00A863CE" w:rsidP="009D14EA">
            <w:pPr>
              <w:pStyle w:val="ListParagraph"/>
              <w:spacing w:before="60" w:after="60" w:line="240" w:lineRule="auto"/>
              <w:ind w:left="0" w:firstLine="0"/>
              <w:rPr>
                <w:sz w:val="18"/>
                <w:szCs w:val="18"/>
              </w:rPr>
            </w:pPr>
            <w:r w:rsidRPr="009D14EA">
              <w:rPr>
                <w:sz w:val="18"/>
                <w:szCs w:val="18"/>
              </w:rPr>
              <w:t>Page 12: The £1,158,738 includes a Deprivation element (APMS price premium). QOF and Enhanced services are not included.</w:t>
            </w:r>
          </w:p>
        </w:tc>
      </w:tr>
    </w:tbl>
    <w:p w14:paraId="0EC6EAB1" w14:textId="3C77C453" w:rsidR="0065545C" w:rsidRPr="009D14EA" w:rsidRDefault="00F54AF1" w:rsidP="009D14EA">
      <w:pPr>
        <w:pStyle w:val="ListParagraph"/>
        <w:spacing w:before="60" w:after="360" w:line="240" w:lineRule="auto"/>
        <w:ind w:firstLine="0"/>
        <w:rPr>
          <w:sz w:val="16"/>
          <w:szCs w:val="16"/>
        </w:rPr>
      </w:pPr>
      <w:r w:rsidRPr="009D14EA">
        <w:rPr>
          <w:sz w:val="16"/>
          <w:szCs w:val="16"/>
        </w:rPr>
        <w:t xml:space="preserve">Source: Sussex ICB, </w:t>
      </w:r>
      <w:r w:rsidR="009E09F3" w:rsidRPr="009D14EA">
        <w:rPr>
          <w:i/>
          <w:iCs/>
          <w:sz w:val="16"/>
          <w:szCs w:val="16"/>
        </w:rPr>
        <w:t>Whitehawk</w:t>
      </w:r>
      <w:r w:rsidR="009E09F3" w:rsidRPr="009D14EA">
        <w:rPr>
          <w:sz w:val="16"/>
          <w:szCs w:val="16"/>
        </w:rPr>
        <w:t xml:space="preserve"> </w:t>
      </w:r>
      <w:r w:rsidRPr="009D14EA">
        <w:rPr>
          <w:i/>
          <w:iCs/>
          <w:sz w:val="16"/>
          <w:szCs w:val="16"/>
        </w:rPr>
        <w:t>Clarification Log</w:t>
      </w:r>
      <w:r w:rsidRPr="009D14EA">
        <w:rPr>
          <w:sz w:val="16"/>
          <w:szCs w:val="16"/>
        </w:rPr>
        <w:t xml:space="preserve">, </w:t>
      </w:r>
      <w:r w:rsidR="003A38D1">
        <w:rPr>
          <w:sz w:val="16"/>
          <w:szCs w:val="16"/>
        </w:rPr>
        <w:t>4 October 2024</w:t>
      </w:r>
      <w:r w:rsidRPr="009D14EA">
        <w:rPr>
          <w:sz w:val="16"/>
          <w:szCs w:val="16"/>
        </w:rPr>
        <w:t>.</w:t>
      </w:r>
    </w:p>
    <w:p w14:paraId="6DA25D0A" w14:textId="78F0B838" w:rsidR="0074271A" w:rsidRPr="009D14EA" w:rsidRDefault="001F46CF" w:rsidP="009D14EA">
      <w:pPr>
        <w:keepNext/>
        <w:spacing w:before="240"/>
        <w:rPr>
          <w:b/>
          <w:bCs/>
        </w:rPr>
      </w:pPr>
      <w:r w:rsidRPr="009D14EA">
        <w:rPr>
          <w:b/>
          <w:bCs/>
        </w:rPr>
        <w:t>7.3.</w:t>
      </w:r>
      <w:r w:rsidR="00A937BD">
        <w:rPr>
          <w:b/>
          <w:bCs/>
        </w:rPr>
        <w:t>4</w:t>
      </w:r>
      <w:r w:rsidRPr="009D14EA">
        <w:rPr>
          <w:b/>
          <w:bCs/>
        </w:rPr>
        <w:tab/>
      </w:r>
      <w:r w:rsidR="00716C08">
        <w:rPr>
          <w:b/>
          <w:bCs/>
        </w:rPr>
        <w:t xml:space="preserve">Sussex ICB’s request for </w:t>
      </w:r>
      <w:r w:rsidR="002C0611">
        <w:rPr>
          <w:b/>
          <w:bCs/>
        </w:rPr>
        <w:t>additional income estimates from bidders</w:t>
      </w:r>
    </w:p>
    <w:p w14:paraId="64CD3B9D" w14:textId="7ACDA15F" w:rsidR="00C66656" w:rsidRDefault="00140149" w:rsidP="00861875">
      <w:pPr>
        <w:pStyle w:val="ListParagraph"/>
        <w:numPr>
          <w:ilvl w:val="0"/>
          <w:numId w:val="4"/>
        </w:numPr>
        <w:spacing w:after="160"/>
        <w:ind w:left="567" w:hanging="567"/>
      </w:pPr>
      <w:r>
        <w:t>Sussex ICB’s e</w:t>
      </w:r>
      <w:r w:rsidR="00E5531A">
        <w:t>valuation of bidders’ responses to the financial questions</w:t>
      </w:r>
      <w:r w:rsidR="00CF40E1">
        <w:t xml:space="preserve"> </w:t>
      </w:r>
      <w:r w:rsidR="00BB7F1C">
        <w:t xml:space="preserve">commenced with the </w:t>
      </w:r>
      <w:r w:rsidR="008F5B86">
        <w:t xml:space="preserve">individual </w:t>
      </w:r>
      <w:r w:rsidR="00BB7F1C">
        <w:t>assessment</w:t>
      </w:r>
      <w:r w:rsidR="008F5B86">
        <w:t xml:space="preserve"> by the evaluators</w:t>
      </w:r>
      <w:r w:rsidR="00C66656">
        <w:t>. This individual evaluation was</w:t>
      </w:r>
      <w:r w:rsidR="00D527CC">
        <w:t xml:space="preserve"> based on bidders’ responses to the fourth version of the FMT</w:t>
      </w:r>
      <w:r w:rsidR="00BF0DA3">
        <w:t xml:space="preserve"> </w:t>
      </w:r>
      <w:r w:rsidR="00BF0DA3" w:rsidRPr="002F795A">
        <w:t>(see paragraph</w:t>
      </w:r>
      <w:r w:rsidR="0023723C">
        <w:t xml:space="preserve"> </w:t>
      </w:r>
      <w:r w:rsidR="0023723C">
        <w:fldChar w:fldCharType="begin"/>
      </w:r>
      <w:r w:rsidR="0023723C">
        <w:instrText xml:space="preserve"> REF _Ref204159023 \r \h </w:instrText>
      </w:r>
      <w:r w:rsidR="0023723C">
        <w:fldChar w:fldCharType="separate"/>
      </w:r>
      <w:r w:rsidR="00C81C5A">
        <w:t>110</w:t>
      </w:r>
      <w:r w:rsidR="0023723C">
        <w:fldChar w:fldCharType="end"/>
      </w:r>
      <w:r w:rsidR="00BF0DA3" w:rsidRPr="002F795A">
        <w:t>)</w:t>
      </w:r>
      <w:r w:rsidR="00C66656" w:rsidRPr="002F795A">
        <w:t>.</w:t>
      </w:r>
    </w:p>
    <w:p w14:paraId="13558048" w14:textId="2E868002" w:rsidR="004F3968" w:rsidRDefault="00751EC4" w:rsidP="00861875">
      <w:pPr>
        <w:pStyle w:val="ListParagraph"/>
        <w:numPr>
          <w:ilvl w:val="0"/>
          <w:numId w:val="4"/>
        </w:numPr>
        <w:spacing w:after="160"/>
        <w:ind w:left="567" w:hanging="567"/>
      </w:pPr>
      <w:r>
        <w:t>T</w:t>
      </w:r>
      <w:r w:rsidR="00A60EA0">
        <w:t>he first moderation meeting for the</w:t>
      </w:r>
      <w:r>
        <w:t xml:space="preserve"> financial</w:t>
      </w:r>
      <w:r w:rsidR="00A60EA0">
        <w:t xml:space="preserve"> questions</w:t>
      </w:r>
      <w:r w:rsidR="00AE4986">
        <w:t xml:space="preserve"> </w:t>
      </w:r>
      <w:r>
        <w:t xml:space="preserve">was </w:t>
      </w:r>
      <w:r w:rsidR="00A60EA0">
        <w:t>on</w:t>
      </w:r>
      <w:r w:rsidR="00D81020">
        <w:t xml:space="preserve"> 22 November 2024</w:t>
      </w:r>
      <w:r w:rsidR="00A60EA0">
        <w:t xml:space="preserve">. </w:t>
      </w:r>
      <w:r>
        <w:t>Following this meeting</w:t>
      </w:r>
      <w:r w:rsidR="005757A2">
        <w:t xml:space="preserve">, </w:t>
      </w:r>
      <w:r w:rsidR="009A64BC">
        <w:t xml:space="preserve">bidders were issued with the fifth and final </w:t>
      </w:r>
      <w:r w:rsidR="004C23B8">
        <w:t>version</w:t>
      </w:r>
      <w:r w:rsidR="009A64BC" w:rsidDel="004C23B8">
        <w:t xml:space="preserve"> </w:t>
      </w:r>
      <w:r w:rsidR="00A76C54">
        <w:t>of the FMT</w:t>
      </w:r>
      <w:r w:rsidR="00591A7F">
        <w:t xml:space="preserve">. </w:t>
      </w:r>
      <w:r w:rsidR="00EF7D26" w:rsidRPr="00913873">
        <w:t>Sussex ICB</w:t>
      </w:r>
      <w:r w:rsidR="00424BB3" w:rsidRPr="00913873">
        <w:t xml:space="preserve"> </w:t>
      </w:r>
      <w:r w:rsidR="006A64A1" w:rsidRPr="00913873">
        <w:t xml:space="preserve">told bidders that </w:t>
      </w:r>
      <w:r w:rsidR="00183060" w:rsidRPr="00913873">
        <w:t>“the evaluators have asked all bidders to submit their Financial Modelling Template (FMT) again with the inclusion of other streams of income that can be accessed. This includes and is not limited to QOF, LCS, PCN DES etc</w:t>
      </w:r>
      <w:r w:rsidR="00A26977" w:rsidRPr="00913873">
        <w:t>”</w:t>
      </w:r>
      <w:r w:rsidR="00861875">
        <w:t>.</w:t>
      </w:r>
      <w:r w:rsidR="00A26977" w:rsidRPr="00913873">
        <w:rPr>
          <w:rStyle w:val="FootnoteReference"/>
        </w:rPr>
        <w:footnoteReference w:id="57"/>
      </w:r>
    </w:p>
    <w:p w14:paraId="3A4DDD1A" w14:textId="13A37EDC" w:rsidR="001708F7" w:rsidRDefault="00F51777" w:rsidP="00861875">
      <w:pPr>
        <w:pStyle w:val="ListParagraph"/>
        <w:numPr>
          <w:ilvl w:val="0"/>
          <w:numId w:val="4"/>
        </w:numPr>
        <w:spacing w:after="160"/>
        <w:ind w:left="567" w:hanging="567"/>
      </w:pPr>
      <w:r>
        <w:lastRenderedPageBreak/>
        <w:t xml:space="preserve">The Panel notes that information about </w:t>
      </w:r>
      <w:r w:rsidR="003D1317">
        <w:t>bidders’</w:t>
      </w:r>
      <w:r>
        <w:t xml:space="preserve"> additional income sources was </w:t>
      </w:r>
      <w:r w:rsidR="0041797E">
        <w:t xml:space="preserve">necessary to </w:t>
      </w:r>
      <w:r>
        <w:t>demonstrat</w:t>
      </w:r>
      <w:r w:rsidR="0041797E">
        <w:t>e</w:t>
      </w:r>
      <w:r>
        <w:t xml:space="preserve"> th</w:t>
      </w:r>
      <w:r w:rsidR="0041797E">
        <w:t xml:space="preserve">e sustainability of </w:t>
      </w:r>
      <w:r>
        <w:t>the</w:t>
      </w:r>
      <w:r w:rsidR="008254BB">
        <w:t xml:space="preserve">ir service </w:t>
      </w:r>
      <w:r>
        <w:t>given th</w:t>
      </w:r>
      <w:r w:rsidR="00E538C1">
        <w:t xml:space="preserve">at the cost of staff on the TUPE list exceeded </w:t>
      </w:r>
      <w:r w:rsidR="00B433BD">
        <w:t>the</w:t>
      </w:r>
      <w:r w:rsidR="00B3684D">
        <w:t xml:space="preserve"> revenue </w:t>
      </w:r>
      <w:r w:rsidR="0041797E">
        <w:t xml:space="preserve">that would </w:t>
      </w:r>
      <w:r w:rsidR="00F9562D">
        <w:t>be</w:t>
      </w:r>
      <w:r w:rsidR="0041797E">
        <w:t xml:space="preserve"> earned from </w:t>
      </w:r>
      <w:r w:rsidR="00B3684D">
        <w:t>the APMS contract</w:t>
      </w:r>
      <w:r w:rsidR="005B7AD2">
        <w:t>.</w:t>
      </w:r>
    </w:p>
    <w:p w14:paraId="1263F180" w14:textId="74BA5BAB" w:rsidR="00352DF6" w:rsidRDefault="00474489" w:rsidP="00015913">
      <w:pPr>
        <w:pStyle w:val="ListParagraph"/>
        <w:numPr>
          <w:ilvl w:val="0"/>
          <w:numId w:val="4"/>
        </w:numPr>
        <w:spacing w:after="160"/>
        <w:ind w:left="567" w:hanging="567"/>
      </w:pPr>
      <w:r>
        <w:t>The</w:t>
      </w:r>
      <w:r w:rsidR="00352DF6">
        <w:t xml:space="preserve"> Panel </w:t>
      </w:r>
      <w:r>
        <w:t>asked Sussex ICB</w:t>
      </w:r>
      <w:r w:rsidR="00352DF6">
        <w:t xml:space="preserve"> about </w:t>
      </w:r>
      <w:r w:rsidR="00915368">
        <w:t xml:space="preserve">the information </w:t>
      </w:r>
      <w:r w:rsidR="00874204">
        <w:t xml:space="preserve">on which </w:t>
      </w:r>
      <w:r w:rsidR="004507C1">
        <w:t xml:space="preserve">bidders </w:t>
      </w:r>
      <w:r w:rsidR="00D67C11">
        <w:t xml:space="preserve">could base </w:t>
      </w:r>
      <w:r w:rsidR="00874204">
        <w:t xml:space="preserve">estimates of </w:t>
      </w:r>
      <w:r w:rsidR="00D67C11">
        <w:t xml:space="preserve">other </w:t>
      </w:r>
      <w:r w:rsidR="00874204">
        <w:t xml:space="preserve">income </w:t>
      </w:r>
      <w:r w:rsidR="00015913">
        <w:t>streams.</w:t>
      </w:r>
      <w:r w:rsidR="00874204">
        <w:t xml:space="preserve"> Sussex ICB told the Panel that:</w:t>
      </w:r>
    </w:p>
    <w:p w14:paraId="74B9EEA9" w14:textId="67F0C663" w:rsidR="003E5A7C" w:rsidRPr="00D6766E" w:rsidRDefault="003E5A7C" w:rsidP="00D6766E">
      <w:pPr>
        <w:pStyle w:val="ListParagraph"/>
        <w:numPr>
          <w:ilvl w:val="0"/>
          <w:numId w:val="48"/>
        </w:numPr>
        <w:ind w:left="1276"/>
      </w:pPr>
      <w:bookmarkStart w:id="52" w:name="_Ref202796532"/>
      <w:r w:rsidRPr="00D6766E">
        <w:t xml:space="preserve">“All commissioned GP practices have access to the NHS Sussex intranet. All specifications for available locally commissioned services are stored there. They describe the detail of the service including responsibilities and accountability of the practice. If a practice chooses to offer any or </w:t>
      </w:r>
      <w:proofErr w:type="gramStart"/>
      <w:r w:rsidRPr="00D6766E">
        <w:t>all of</w:t>
      </w:r>
      <w:proofErr w:type="gramEnd"/>
      <w:r w:rsidRPr="00D6766E">
        <w:t xml:space="preserve"> those services then they sign up to them via an online form on the intranet which acts as a declaration that they will comply with the requirements stated in the specification. Once they have signed up then they can begin claiming as per the relevant payment schedule. These contracts are available to any practice so no expressions of interest, or approval process is required.”</w:t>
      </w:r>
      <w:r w:rsidRPr="00D6766E">
        <w:rPr>
          <w:rStyle w:val="FootnoteReference"/>
        </w:rPr>
        <w:footnoteReference w:id="58"/>
      </w:r>
      <w:bookmarkEnd w:id="52"/>
    </w:p>
    <w:p w14:paraId="67319592" w14:textId="404CE6AD" w:rsidR="00874204" w:rsidRPr="00D6766E" w:rsidRDefault="00874204" w:rsidP="00D6766E">
      <w:pPr>
        <w:pStyle w:val="ListParagraph"/>
        <w:numPr>
          <w:ilvl w:val="0"/>
          <w:numId w:val="48"/>
        </w:numPr>
        <w:ind w:left="1276"/>
        <w:rPr>
          <w:sz w:val="21"/>
          <w:szCs w:val="21"/>
        </w:rPr>
      </w:pPr>
      <w:r w:rsidRPr="00D51AEE">
        <w:t>“</w:t>
      </w:r>
      <w:r w:rsidRPr="00101D3D">
        <w:t>Potential bidders would have had access to information available in the public domain. Practice size information is publicly available, therefore potential providers could calculate income that could be earned from QOF and PCN Network Participation</w:t>
      </w:r>
      <w:r w:rsidRPr="002E21F5">
        <w:t>”.</w:t>
      </w:r>
      <w:r>
        <w:rPr>
          <w:rStyle w:val="FootnoteReference"/>
        </w:rPr>
        <w:footnoteReference w:id="59"/>
      </w:r>
    </w:p>
    <w:p w14:paraId="1419B91E" w14:textId="7D21EFA3" w:rsidR="00874204" w:rsidRPr="009D14EA" w:rsidRDefault="00874204" w:rsidP="00D6766E">
      <w:pPr>
        <w:pStyle w:val="ListParagraph"/>
        <w:numPr>
          <w:ilvl w:val="0"/>
          <w:numId w:val="48"/>
        </w:numPr>
        <w:spacing w:after="160"/>
        <w:ind w:left="1276"/>
        <w:rPr>
          <w:sz w:val="21"/>
          <w:szCs w:val="21"/>
        </w:rPr>
      </w:pPr>
      <w:r>
        <w:t>“</w:t>
      </w:r>
      <w:proofErr w:type="gramStart"/>
      <w:r w:rsidRPr="00E045F4">
        <w:t>you</w:t>
      </w:r>
      <w:proofErr w:type="gramEnd"/>
      <w:r w:rsidRPr="00E045F4">
        <w:t xml:space="preserve"> would imagine that other systems </w:t>
      </w:r>
      <w:r>
        <w:t xml:space="preserve">[ICBs] </w:t>
      </w:r>
      <w:r w:rsidRPr="00E045F4">
        <w:t xml:space="preserve">elsewhere in the country would have a similar system of locally commissioned services, so they </w:t>
      </w:r>
      <w:r>
        <w:t xml:space="preserve">[bidders] </w:t>
      </w:r>
      <w:r w:rsidRPr="00E045F4">
        <w:t xml:space="preserve">should be aware of the principle and the opportunity that, should they wish to go for some </w:t>
      </w:r>
      <w:r>
        <w:t>LCS</w:t>
      </w:r>
      <w:r w:rsidRPr="00E045F4">
        <w:t xml:space="preserve"> that they would be able to</w:t>
      </w:r>
      <w:r>
        <w:t xml:space="preserve"> …</w:t>
      </w:r>
      <w:r w:rsidRPr="00E045F4">
        <w:t xml:space="preserve"> sign up if that was something they would want to deliver</w:t>
      </w:r>
      <w:r>
        <w:t>”.</w:t>
      </w:r>
      <w:r>
        <w:rPr>
          <w:rStyle w:val="FootnoteReference"/>
        </w:rPr>
        <w:footnoteReference w:id="60"/>
      </w:r>
    </w:p>
    <w:p w14:paraId="5C13C4F6" w14:textId="250759AA" w:rsidR="001179D1" w:rsidRDefault="002F5EF2">
      <w:pPr>
        <w:pStyle w:val="ListParagraph"/>
        <w:numPr>
          <w:ilvl w:val="0"/>
          <w:numId w:val="4"/>
        </w:numPr>
        <w:spacing w:after="160"/>
        <w:ind w:left="567" w:hanging="567"/>
      </w:pPr>
      <w:r>
        <w:t xml:space="preserve">The Panel </w:t>
      </w:r>
      <w:r w:rsidR="001E3E34">
        <w:t>has</w:t>
      </w:r>
      <w:r w:rsidR="00C8499C">
        <w:t xml:space="preserve"> </w:t>
      </w:r>
      <w:r w:rsidR="001E3E34">
        <w:t>concerns about</w:t>
      </w:r>
      <w:r w:rsidR="00B0014B">
        <w:t>: (</w:t>
      </w:r>
      <w:proofErr w:type="spellStart"/>
      <w:r w:rsidR="00B0014B">
        <w:t>i</w:t>
      </w:r>
      <w:proofErr w:type="spellEnd"/>
      <w:r w:rsidR="00B0014B">
        <w:t>)</w:t>
      </w:r>
      <w:r w:rsidR="001E3E34">
        <w:t xml:space="preserve"> </w:t>
      </w:r>
      <w:r w:rsidR="00FF2AE7">
        <w:t xml:space="preserve">Sussex ICB’s provision of </w:t>
      </w:r>
      <w:r w:rsidR="001179D1">
        <w:t xml:space="preserve">information </w:t>
      </w:r>
      <w:r w:rsidR="00FF2AE7">
        <w:t xml:space="preserve">to </w:t>
      </w:r>
      <w:r w:rsidR="001179D1">
        <w:t xml:space="preserve">bidders </w:t>
      </w:r>
      <w:r w:rsidR="00B03088">
        <w:t>about</w:t>
      </w:r>
      <w:r w:rsidR="001179D1">
        <w:t xml:space="preserve"> </w:t>
      </w:r>
      <w:r w:rsidR="00980CE0">
        <w:t xml:space="preserve">the </w:t>
      </w:r>
      <w:r w:rsidR="001179D1">
        <w:t>LCSs</w:t>
      </w:r>
      <w:r w:rsidR="00980CE0">
        <w:t xml:space="preserve"> </w:t>
      </w:r>
      <w:r w:rsidR="00FF2AE7">
        <w:t>they</w:t>
      </w:r>
      <w:r w:rsidR="00980CE0">
        <w:t xml:space="preserve"> might </w:t>
      </w:r>
      <w:r w:rsidR="00FF2AE7">
        <w:t xml:space="preserve">potentially </w:t>
      </w:r>
      <w:r w:rsidR="00980CE0">
        <w:t>supply,</w:t>
      </w:r>
      <w:r w:rsidR="001179D1">
        <w:t xml:space="preserve"> </w:t>
      </w:r>
      <w:r w:rsidR="00B0014B">
        <w:t xml:space="preserve">(ii) </w:t>
      </w:r>
      <w:r w:rsidR="001179D1">
        <w:t>Sussex ICB</w:t>
      </w:r>
      <w:r w:rsidR="004807DC">
        <w:t>’</w:t>
      </w:r>
      <w:r w:rsidR="001179D1">
        <w:t xml:space="preserve">s </w:t>
      </w:r>
      <w:r w:rsidR="004807DC">
        <w:t xml:space="preserve">lack of clarity about its </w:t>
      </w:r>
      <w:r w:rsidR="001179D1">
        <w:t xml:space="preserve">expectations </w:t>
      </w:r>
      <w:r w:rsidR="004807DC">
        <w:t xml:space="preserve">of </w:t>
      </w:r>
      <w:r w:rsidR="00980CE0">
        <w:t xml:space="preserve">the LCSs </w:t>
      </w:r>
      <w:r w:rsidR="004807DC">
        <w:t xml:space="preserve">that </w:t>
      </w:r>
      <w:r w:rsidR="00980CE0">
        <w:t xml:space="preserve">the successful bidder would deliver, </w:t>
      </w:r>
      <w:r w:rsidR="004807DC">
        <w:t xml:space="preserve">(iii) </w:t>
      </w:r>
      <w:r w:rsidR="004B4DF8">
        <w:t xml:space="preserve">Sussex ICB’s request, after proposals had been submitted, </w:t>
      </w:r>
      <w:r w:rsidR="0018676A">
        <w:t xml:space="preserve">for bidders’ estimates of their likely income from LCSs and other sources, and (iv) </w:t>
      </w:r>
      <w:r w:rsidR="0022462C">
        <w:t xml:space="preserve">the disconnect between these additional revenue estimates and </w:t>
      </w:r>
      <w:r w:rsidR="009353FB">
        <w:t>the workforce and cost information in bidders’ proposals.</w:t>
      </w:r>
    </w:p>
    <w:p w14:paraId="2AD1F8BF" w14:textId="42D67C93" w:rsidR="001E3E34" w:rsidRDefault="00B03088">
      <w:pPr>
        <w:pStyle w:val="ListParagraph"/>
        <w:numPr>
          <w:ilvl w:val="0"/>
          <w:numId w:val="4"/>
        </w:numPr>
        <w:spacing w:after="160"/>
        <w:ind w:left="567" w:hanging="567"/>
      </w:pPr>
      <w:r>
        <w:t xml:space="preserve">Setting out these concerns in </w:t>
      </w:r>
      <w:r w:rsidR="009353FB">
        <w:t>more detail:</w:t>
      </w:r>
    </w:p>
    <w:p w14:paraId="1A5DFF61" w14:textId="4C1F53DC" w:rsidR="008A2CAE" w:rsidRDefault="00D246D3" w:rsidP="00D246D3">
      <w:pPr>
        <w:pStyle w:val="ListParagraph"/>
        <w:numPr>
          <w:ilvl w:val="0"/>
          <w:numId w:val="49"/>
        </w:numPr>
        <w:spacing w:after="160"/>
      </w:pPr>
      <w:r>
        <w:t xml:space="preserve">First, </w:t>
      </w:r>
      <w:r w:rsidR="008A2CAE">
        <w:t>Sussex ICB was not clear about the LCSs that the operator of the Whitehawk practice could supply and the income that it could potentially derive from these services</w:t>
      </w:r>
      <w:r w:rsidR="00196E7A">
        <w:t>.</w:t>
      </w:r>
      <w:r w:rsidR="00F5445C">
        <w:t xml:space="preserve"> While Sussex ICB does not commission all LCSs, it is responsible for commissioning a large proportion of these services, and as a result, was </w:t>
      </w:r>
      <w:proofErr w:type="gramStart"/>
      <w:r w:rsidR="00F5445C">
        <w:t>in a position</w:t>
      </w:r>
      <w:proofErr w:type="gramEnd"/>
      <w:r w:rsidR="00F5445C">
        <w:t xml:space="preserve"> to provide </w:t>
      </w:r>
      <w:r w:rsidR="003B1051">
        <w:t xml:space="preserve">significantly more information to bidders </w:t>
      </w:r>
      <w:r w:rsidR="008228A4">
        <w:t>than it made available</w:t>
      </w:r>
      <w:r w:rsidR="003B1051">
        <w:t>.</w:t>
      </w:r>
    </w:p>
    <w:p w14:paraId="0EC4612E" w14:textId="13AC586D" w:rsidR="00196E7A" w:rsidRDefault="00196E7A" w:rsidP="00D246D3">
      <w:pPr>
        <w:pStyle w:val="ListParagraph"/>
        <w:numPr>
          <w:ilvl w:val="0"/>
          <w:numId w:val="49"/>
        </w:numPr>
        <w:spacing w:after="160"/>
      </w:pPr>
      <w:r>
        <w:t xml:space="preserve">Second, Sussex ICB was not clear </w:t>
      </w:r>
      <w:r w:rsidR="00183692">
        <w:t xml:space="preserve">with bidders </w:t>
      </w:r>
      <w:r>
        <w:t xml:space="preserve">about </w:t>
      </w:r>
      <w:r w:rsidR="00B275AE">
        <w:t xml:space="preserve">what LCSs it expected </w:t>
      </w:r>
      <w:r w:rsidR="00183692">
        <w:t xml:space="preserve">the successful bidder </w:t>
      </w:r>
      <w:r w:rsidR="00A834F8">
        <w:t>to</w:t>
      </w:r>
      <w:r w:rsidR="00183692">
        <w:t xml:space="preserve"> supply. Some indication of these expectations was </w:t>
      </w:r>
      <w:r w:rsidR="00183692">
        <w:lastRenderedPageBreak/>
        <w:t>given in the tender documentation and in response to one of the clarification questions but this was by no means comprehensive.</w:t>
      </w:r>
    </w:p>
    <w:p w14:paraId="52ECE88F" w14:textId="21966E7A" w:rsidR="00966405" w:rsidRDefault="00073459" w:rsidP="00D246D3">
      <w:pPr>
        <w:pStyle w:val="ListParagraph"/>
        <w:numPr>
          <w:ilvl w:val="0"/>
          <w:numId w:val="49"/>
        </w:numPr>
        <w:spacing w:after="160"/>
      </w:pPr>
      <w:r>
        <w:t>Third</w:t>
      </w:r>
      <w:r w:rsidR="00BB6321">
        <w:t xml:space="preserve">, </w:t>
      </w:r>
      <w:r w:rsidR="00966405">
        <w:t xml:space="preserve">the lack of information </w:t>
      </w:r>
      <w:r w:rsidR="008B1A0B">
        <w:t xml:space="preserve">about LCSs meant that bidders were unable to respond meaningfully to Sussex ICB’s request for estimates </w:t>
      </w:r>
      <w:r w:rsidR="00CB0CDD">
        <w:t xml:space="preserve">about the revenue they were likely to earn from these services. Sussex ICB referred the Panel to the information available on its intranet. However, this </w:t>
      </w:r>
      <w:r w:rsidR="00F04B10">
        <w:t>would not have been available to all bidders</w:t>
      </w:r>
      <w:r w:rsidR="00990AB1">
        <w:t>.</w:t>
      </w:r>
    </w:p>
    <w:p w14:paraId="587A468F" w14:textId="3AF69472" w:rsidR="00723647" w:rsidRDefault="004127BB" w:rsidP="004F260E">
      <w:pPr>
        <w:pStyle w:val="ListParagraph"/>
        <w:numPr>
          <w:ilvl w:val="0"/>
          <w:numId w:val="49"/>
        </w:numPr>
        <w:spacing w:after="160"/>
      </w:pPr>
      <w:r>
        <w:t xml:space="preserve">Finally, </w:t>
      </w:r>
      <w:r w:rsidR="00723647">
        <w:t>while bidders were asked to include estimates of additional income</w:t>
      </w:r>
      <w:r w:rsidR="00632684">
        <w:t xml:space="preserve"> in their revised FMTs, they were not asked to </w:t>
      </w:r>
      <w:r w:rsidR="00424846">
        <w:t xml:space="preserve">provide adequate </w:t>
      </w:r>
      <w:r w:rsidR="00DF71CC">
        <w:t xml:space="preserve">details on </w:t>
      </w:r>
      <w:r w:rsidR="00632684">
        <w:t xml:space="preserve">costs </w:t>
      </w:r>
      <w:r w:rsidR="008E1C37">
        <w:t xml:space="preserve">or other information (e.g. workforce implications) </w:t>
      </w:r>
      <w:r w:rsidR="00632684">
        <w:t xml:space="preserve">associated with earning this additional income. </w:t>
      </w:r>
      <w:r w:rsidR="004A7099">
        <w:t xml:space="preserve">The omission of these </w:t>
      </w:r>
      <w:r w:rsidR="008E1C37">
        <w:t>details</w:t>
      </w:r>
      <w:r w:rsidR="004A7099">
        <w:t xml:space="preserve"> </w:t>
      </w:r>
      <w:r w:rsidR="008E1C37">
        <w:t>means that Sussex</w:t>
      </w:r>
      <w:r w:rsidR="004A7099">
        <w:t xml:space="preserve"> </w:t>
      </w:r>
      <w:r w:rsidR="008E1C37">
        <w:t xml:space="preserve">ICB’s evaluation </w:t>
      </w:r>
      <w:r w:rsidR="007F2990">
        <w:t>of bidders’ workforce and financial models is likely to have been based on a misleading picture.</w:t>
      </w:r>
    </w:p>
    <w:p w14:paraId="7DE72080" w14:textId="38585616" w:rsidR="00B03088" w:rsidRDefault="004C196D">
      <w:pPr>
        <w:pStyle w:val="ListParagraph"/>
        <w:numPr>
          <w:ilvl w:val="0"/>
          <w:numId w:val="4"/>
        </w:numPr>
        <w:spacing w:after="160"/>
        <w:ind w:left="567" w:hanging="567"/>
      </w:pPr>
      <w:r>
        <w:t>Given these concerns, t</w:t>
      </w:r>
      <w:r w:rsidR="0059079B" w:rsidRPr="0059079B">
        <w:t>he Panel’s view is that the provider selection process was neither transparent nor fair. As a result, the Panel finds that Sussex ICB</w:t>
      </w:r>
      <w:r w:rsidR="00B03088">
        <w:t>:</w:t>
      </w:r>
      <w:r w:rsidR="00A40A24">
        <w:t xml:space="preserve"> </w:t>
      </w:r>
      <w:r w:rsidR="00B03088">
        <w:t>(</w:t>
      </w:r>
      <w:proofErr w:type="spellStart"/>
      <w:r w:rsidR="00B03088">
        <w:t>i</w:t>
      </w:r>
      <w:proofErr w:type="spellEnd"/>
      <w:r w:rsidR="00B03088">
        <w:t xml:space="preserve">) in </w:t>
      </w:r>
      <w:r w:rsidR="00193DA9">
        <w:t xml:space="preserve">not </w:t>
      </w:r>
      <w:r w:rsidR="00B03088">
        <w:t xml:space="preserve">providing information to bidders about the LCSs they might potentially supply, (ii) </w:t>
      </w:r>
      <w:r w:rsidR="007C476C">
        <w:t xml:space="preserve">in </w:t>
      </w:r>
      <w:r w:rsidR="00B03088">
        <w:t>lack</w:t>
      </w:r>
      <w:r w:rsidR="007C476C">
        <w:t>ing</w:t>
      </w:r>
      <w:r w:rsidR="00B03088">
        <w:t xml:space="preserve"> clarity about its expectations of the LCSs that the successful bidder would deliver, (iii) </w:t>
      </w:r>
      <w:r w:rsidR="007C476C">
        <w:t xml:space="preserve">in </w:t>
      </w:r>
      <w:r w:rsidR="00B03088">
        <w:t>request</w:t>
      </w:r>
      <w:r w:rsidR="007C476C">
        <w:t>ing</w:t>
      </w:r>
      <w:r w:rsidR="00D507A3">
        <w:t xml:space="preserve"> </w:t>
      </w:r>
      <w:r w:rsidR="00B03088">
        <w:t>bidders’ estimates of their likely income from LCSs and other sources</w:t>
      </w:r>
      <w:r w:rsidR="00D507A3">
        <w:t xml:space="preserve"> without </w:t>
      </w:r>
      <w:r w:rsidR="006072AE">
        <w:t>supplying information about these LCSs</w:t>
      </w:r>
      <w:r w:rsidR="00B03088">
        <w:t xml:space="preserve">, and (iv) </w:t>
      </w:r>
      <w:r w:rsidR="006072AE">
        <w:t xml:space="preserve">in evaluating proposals that </w:t>
      </w:r>
      <w:r w:rsidR="0028281B">
        <w:t xml:space="preserve">contained a significant </w:t>
      </w:r>
      <w:r w:rsidR="00B03088">
        <w:t xml:space="preserve">disconnect between </w:t>
      </w:r>
      <w:r w:rsidR="0028281B">
        <w:t xml:space="preserve">the </w:t>
      </w:r>
      <w:r w:rsidR="00B03088">
        <w:t>additional revenue estimates and the workforce and cost</w:t>
      </w:r>
      <w:r w:rsidR="00A663C3">
        <w:t>s</w:t>
      </w:r>
      <w:r w:rsidR="00B03088">
        <w:t xml:space="preserve"> </w:t>
      </w:r>
      <w:r w:rsidR="0028281B">
        <w:t>necessary to deliver this revenue</w:t>
      </w:r>
      <w:r w:rsidR="00193DA9">
        <w:t xml:space="preserve">, </w:t>
      </w:r>
      <w:r w:rsidR="00193DA9" w:rsidRPr="0059079B">
        <w:t>breached the PSR regulations, and in particular its obligations under Regulation 4 to act transparently and fairly.</w:t>
      </w:r>
    </w:p>
    <w:p w14:paraId="5DF28279" w14:textId="4B7136A1" w:rsidR="004F3968" w:rsidRPr="00D57FF4" w:rsidRDefault="003C17FB" w:rsidP="00D57FF4">
      <w:pPr>
        <w:keepNext/>
        <w:spacing w:before="240"/>
        <w:rPr>
          <w:b/>
        </w:rPr>
      </w:pPr>
      <w:r>
        <w:rPr>
          <w:b/>
          <w:bCs/>
        </w:rPr>
        <w:t>7.3.</w:t>
      </w:r>
      <w:r w:rsidR="008F378F">
        <w:rPr>
          <w:b/>
          <w:bCs/>
        </w:rPr>
        <w:t>5</w:t>
      </w:r>
      <w:r>
        <w:rPr>
          <w:b/>
          <w:bCs/>
        </w:rPr>
        <w:t xml:space="preserve"> </w:t>
      </w:r>
      <w:r w:rsidR="00385A6C" w:rsidRPr="00D57FF4">
        <w:rPr>
          <w:b/>
        </w:rPr>
        <w:t xml:space="preserve">Evaluation of </w:t>
      </w:r>
      <w:r w:rsidR="0018088D" w:rsidRPr="00D57FF4">
        <w:rPr>
          <w:b/>
        </w:rPr>
        <w:t xml:space="preserve">Wellsbourne’s </w:t>
      </w:r>
      <w:r w:rsidR="00385A6C" w:rsidRPr="00D57FF4">
        <w:rPr>
          <w:b/>
        </w:rPr>
        <w:t>responses to ITT21</w:t>
      </w:r>
      <w:r w:rsidR="0018088D" w:rsidRPr="00D57FF4">
        <w:rPr>
          <w:b/>
        </w:rPr>
        <w:t xml:space="preserve"> (Financial Model Template)</w:t>
      </w:r>
    </w:p>
    <w:p w14:paraId="27064617" w14:textId="5DB6971A" w:rsidR="000A58AA" w:rsidRDefault="005D7B76" w:rsidP="00D23A09">
      <w:pPr>
        <w:pStyle w:val="ListParagraph"/>
        <w:numPr>
          <w:ilvl w:val="0"/>
          <w:numId w:val="4"/>
        </w:numPr>
        <w:spacing w:after="160"/>
        <w:ind w:left="567" w:hanging="567"/>
      </w:pPr>
      <w:r w:rsidRPr="00D51AEE">
        <w:t>Wellsbourne</w:t>
      </w:r>
      <w:r w:rsidR="00B30FB5">
        <w:t xml:space="preserve">’s concerns about the evaluation of the financial questions </w:t>
      </w:r>
      <w:r w:rsidR="004336E5">
        <w:t xml:space="preserve">additionally relate to </w:t>
      </w:r>
      <w:r w:rsidR="00544424">
        <w:t>the specific comments made by evaluators regarding its own proposal.</w:t>
      </w:r>
      <w:r w:rsidR="00F2045C">
        <w:t xml:space="preserve"> </w:t>
      </w:r>
      <w:proofErr w:type="gramStart"/>
      <w:r w:rsidR="00F2045C">
        <w:t xml:space="preserve">In particular, </w:t>
      </w:r>
      <w:r w:rsidR="009B0C97">
        <w:t>one</w:t>
      </w:r>
      <w:proofErr w:type="gramEnd"/>
      <w:r w:rsidR="009B0C97">
        <w:t xml:space="preserve"> evaluator commented that</w:t>
      </w:r>
      <w:r w:rsidR="00407647">
        <w:t xml:space="preserve"> “The bidder is planning to run at a deficit of £463k pa. There is no assurance given on how they would bridge this gap</w:t>
      </w:r>
      <w:r w:rsidR="005E105F">
        <w:t xml:space="preserve"> </w:t>
      </w:r>
      <w:r w:rsidR="00900B57">
        <w:t>… There is no assurance on how they will cover their deficit”.</w:t>
      </w:r>
      <w:r w:rsidR="00817020">
        <w:rPr>
          <w:rStyle w:val="FootnoteReference"/>
        </w:rPr>
        <w:footnoteReference w:id="61"/>
      </w:r>
    </w:p>
    <w:p w14:paraId="33E32DDE" w14:textId="1CCD1EC1" w:rsidR="00161C91" w:rsidRDefault="009419B8" w:rsidP="00D23A09">
      <w:pPr>
        <w:pStyle w:val="ListParagraph"/>
        <w:numPr>
          <w:ilvl w:val="0"/>
          <w:numId w:val="4"/>
        </w:numPr>
        <w:spacing w:after="160"/>
        <w:ind w:left="567" w:hanging="567"/>
      </w:pPr>
      <w:r>
        <w:t>Wellsbourne said that this comment must have related to version 4 of the FMT given that this was the only version that contained the deficit referred to by the evaluator</w:t>
      </w:r>
      <w:r w:rsidR="006571EC" w:rsidRPr="00D51AEE">
        <w:t>.</w:t>
      </w:r>
      <w:r w:rsidR="00D23A09">
        <w:t xml:space="preserve"> </w:t>
      </w:r>
      <w:r w:rsidR="00CD65A4">
        <w:t>Wellsbourne, however, noted that it should have been evaluated on version 5 of the FMT, not version 4.</w:t>
      </w:r>
    </w:p>
    <w:p w14:paraId="4AA0AC4A" w14:textId="38278E37" w:rsidR="00611350" w:rsidRDefault="004C7677" w:rsidP="00FB3322">
      <w:pPr>
        <w:pStyle w:val="ListParagraph"/>
        <w:numPr>
          <w:ilvl w:val="0"/>
          <w:numId w:val="4"/>
        </w:numPr>
        <w:spacing w:after="160"/>
        <w:ind w:left="567" w:hanging="567"/>
      </w:pPr>
      <w:r>
        <w:t xml:space="preserve">Sussex ICB told the Panel </w:t>
      </w:r>
      <w:r w:rsidR="001003C5">
        <w:t xml:space="preserve">that </w:t>
      </w:r>
      <w:r w:rsidR="00286F84">
        <w:t xml:space="preserve">the </w:t>
      </w:r>
      <w:r w:rsidR="001003C5">
        <w:t xml:space="preserve">comments </w:t>
      </w:r>
      <w:r w:rsidR="00286F84">
        <w:t xml:space="preserve">of concern to Wellsbourne </w:t>
      </w:r>
      <w:r w:rsidR="00E370BF">
        <w:t xml:space="preserve">were recorded </w:t>
      </w:r>
      <w:r w:rsidR="00286F84">
        <w:t xml:space="preserve">before </w:t>
      </w:r>
      <w:r w:rsidR="00611350">
        <w:t xml:space="preserve">the initial moderation meeting for the FMT on </w:t>
      </w:r>
      <w:r w:rsidR="00E370BF">
        <w:t>22 November 2024</w:t>
      </w:r>
      <w:r w:rsidR="00611350">
        <w:t xml:space="preserve">. It said </w:t>
      </w:r>
      <w:r>
        <w:t xml:space="preserve">that </w:t>
      </w:r>
      <w:r w:rsidR="00611350">
        <w:t xml:space="preserve">a further moderation meeting was held </w:t>
      </w:r>
      <w:r w:rsidR="00AA284C">
        <w:t>on 28 November</w:t>
      </w:r>
      <w:r w:rsidR="00ED4E78">
        <w:t xml:space="preserve"> 2024</w:t>
      </w:r>
      <w:r w:rsidR="00AA284C">
        <w:t xml:space="preserve"> </w:t>
      </w:r>
      <w:r w:rsidR="00611350">
        <w:t xml:space="preserve">to evaluate and score the </w:t>
      </w:r>
      <w:r w:rsidR="004D548E">
        <w:t>fifth and final version of the FMT.</w:t>
      </w:r>
    </w:p>
    <w:p w14:paraId="63D5EEF1" w14:textId="14B5AAC1" w:rsidR="00FB3322" w:rsidRDefault="004D548E">
      <w:pPr>
        <w:pStyle w:val="ListParagraph"/>
        <w:numPr>
          <w:ilvl w:val="0"/>
          <w:numId w:val="4"/>
        </w:numPr>
        <w:spacing w:after="160"/>
        <w:ind w:left="567" w:hanging="567"/>
      </w:pPr>
      <w:r>
        <w:t xml:space="preserve">The Panel notes, however, that </w:t>
      </w:r>
      <w:r w:rsidR="00972D89">
        <w:t xml:space="preserve">the second moderation meeting </w:t>
      </w:r>
      <w:r w:rsidR="003D5116">
        <w:t xml:space="preserve">notes </w:t>
      </w:r>
      <w:r w:rsidR="00972D89">
        <w:t>do not explain that evaluators’ initial comments relate to version 4 of the FMT</w:t>
      </w:r>
      <w:r w:rsidR="00ED263D">
        <w:t xml:space="preserve">, while the </w:t>
      </w:r>
      <w:r w:rsidR="00C3070A">
        <w:t xml:space="preserve">evaluation outcome and agreed score relate to </w:t>
      </w:r>
      <w:r w:rsidR="00ED263D">
        <w:t xml:space="preserve">version 5 </w:t>
      </w:r>
      <w:r w:rsidR="00C3070A">
        <w:t>of the FMT</w:t>
      </w:r>
      <w:r w:rsidR="00FB3322">
        <w:t>.</w:t>
      </w:r>
      <w:r w:rsidR="001E5C06">
        <w:t xml:space="preserve"> </w:t>
      </w:r>
      <w:r w:rsidR="00FB3322">
        <w:t>The Panel’s view is that</w:t>
      </w:r>
      <w:r w:rsidR="009339C6">
        <w:t xml:space="preserve">, as a result, Sussex ICB’s reasons for its evaluation and scoring of Wellsbourne’s </w:t>
      </w:r>
      <w:r w:rsidR="009339C6">
        <w:lastRenderedPageBreak/>
        <w:t xml:space="preserve">response did not adequately capture the rationale for the movement from individual evaluators’ comments to the </w:t>
      </w:r>
      <w:r w:rsidR="002030C8">
        <w:t>agreed feedback. This, in turn, mean that Wellsbourne could not fully ascertain the reasons for its feedback and moderated score.</w:t>
      </w:r>
    </w:p>
    <w:p w14:paraId="58814B2C" w14:textId="4B4C5642" w:rsidR="004F3968" w:rsidRPr="00316554" w:rsidRDefault="00A071B2" w:rsidP="003B4157">
      <w:pPr>
        <w:pStyle w:val="ListParagraph"/>
        <w:numPr>
          <w:ilvl w:val="0"/>
          <w:numId w:val="4"/>
        </w:numPr>
        <w:spacing w:after="160"/>
        <w:ind w:left="567" w:hanging="567"/>
      </w:pPr>
      <w:r>
        <w:t>As a result, t</w:t>
      </w:r>
      <w:r w:rsidR="004F3968">
        <w:t>he Panel finds that</w:t>
      </w:r>
      <w:r>
        <w:t xml:space="preserve"> </w:t>
      </w:r>
      <w:r w:rsidR="008E60B5">
        <w:t xml:space="preserve">Sussex ICB, in its evaluation and scoring of Wellsbourne’s financial proposal, breached the PSR regulations, and in particular Regulation 24(g), which requires the ICB to keep a record of </w:t>
      </w:r>
      <w:r w:rsidR="007F1AC4">
        <w:t xml:space="preserve">the reasons for </w:t>
      </w:r>
      <w:r w:rsidR="008E60B5">
        <w:t>its decisions.</w:t>
      </w:r>
    </w:p>
    <w:p w14:paraId="4891B4BD" w14:textId="0356C244" w:rsidR="004F6575" w:rsidRPr="009E5133" w:rsidRDefault="00E06931" w:rsidP="003B4157">
      <w:pPr>
        <w:pStyle w:val="Heading2"/>
        <w:spacing w:before="240" w:after="160" w:line="276" w:lineRule="auto"/>
        <w:ind w:left="578" w:hanging="578"/>
      </w:pPr>
      <w:bookmarkStart w:id="53" w:name="_Toc203044076"/>
      <w:bookmarkStart w:id="54" w:name="_Toc203044077"/>
      <w:bookmarkStart w:id="55" w:name="_Toc203044078"/>
      <w:bookmarkStart w:id="56" w:name="_Toc204164424"/>
      <w:bookmarkEnd w:id="53"/>
      <w:bookmarkEnd w:id="54"/>
      <w:bookmarkEnd w:id="55"/>
      <w:r>
        <w:t>Evaluation g</w:t>
      </w:r>
      <w:r w:rsidR="004D727E">
        <w:t xml:space="preserve">overnance and representations review </w:t>
      </w:r>
      <w:r w:rsidR="004D727E" w:rsidRPr="004343CC">
        <w:t>panel</w:t>
      </w:r>
      <w:bookmarkEnd w:id="56"/>
    </w:p>
    <w:p w14:paraId="3AB8EA4F" w14:textId="51809838" w:rsidR="00232F9E" w:rsidRDefault="00232F9E" w:rsidP="003B4157">
      <w:pPr>
        <w:pStyle w:val="ListParagraph"/>
        <w:numPr>
          <w:ilvl w:val="0"/>
          <w:numId w:val="4"/>
        </w:numPr>
        <w:spacing w:after="160"/>
        <w:ind w:left="567" w:hanging="567"/>
      </w:pPr>
      <w:r>
        <w:t xml:space="preserve">This section sets out the Panel’s assessment of </w:t>
      </w:r>
      <w:r w:rsidR="00086BDB">
        <w:t xml:space="preserve">Wellsbourne’s concerns about the </w:t>
      </w:r>
      <w:r w:rsidR="00550081">
        <w:t>governance and independence of Sussex ICB’s evaluators and its representations review panel.</w:t>
      </w:r>
    </w:p>
    <w:p w14:paraId="339EEEA5" w14:textId="084A1741" w:rsidR="001A616F" w:rsidRPr="00EF262D" w:rsidRDefault="007A533C" w:rsidP="004F6575">
      <w:pPr>
        <w:pStyle w:val="ListParagraph"/>
        <w:numPr>
          <w:ilvl w:val="0"/>
          <w:numId w:val="4"/>
        </w:numPr>
        <w:ind w:left="567" w:hanging="567"/>
      </w:pPr>
      <w:r w:rsidRPr="00EF262D">
        <w:t>Wellsbourne, in its representations to the Panel, said that</w:t>
      </w:r>
      <w:r w:rsidR="001A616F" w:rsidRPr="00EF262D">
        <w:t>:</w:t>
      </w:r>
    </w:p>
    <w:p w14:paraId="410F7674" w14:textId="1418CDD5" w:rsidR="00F74F09" w:rsidRPr="00EF262D" w:rsidRDefault="00167943" w:rsidP="001A616F">
      <w:pPr>
        <w:pStyle w:val="ListParagraph"/>
        <w:ind w:left="851" w:firstLine="0"/>
        <w:rPr>
          <w:sz w:val="21"/>
          <w:szCs w:val="21"/>
        </w:rPr>
      </w:pPr>
      <w:r w:rsidRPr="00EF262D">
        <w:rPr>
          <w:sz w:val="21"/>
          <w:szCs w:val="21"/>
        </w:rPr>
        <w:t>“Healthwatch Brighton was cited by the ICB as an independent validation of patient insight however, their CEO was a bid evaluator. Healthwatch cannot be presented as both an objective observer and an active participant in bid scoring without a conflict of interest.</w:t>
      </w:r>
      <w:r w:rsidR="00691C8D">
        <w:rPr>
          <w:rStyle w:val="FootnoteReference"/>
          <w:sz w:val="21"/>
          <w:szCs w:val="21"/>
        </w:rPr>
        <w:footnoteReference w:id="62"/>
      </w:r>
      <w:r w:rsidRPr="00EF262D">
        <w:rPr>
          <w:sz w:val="21"/>
          <w:szCs w:val="21"/>
        </w:rPr>
        <w:t xml:space="preserve"> </w:t>
      </w:r>
    </w:p>
    <w:p w14:paraId="7BF10603" w14:textId="5A4B0788" w:rsidR="001A616F" w:rsidRPr="00F3093A" w:rsidRDefault="00167943" w:rsidP="003B4157">
      <w:pPr>
        <w:pStyle w:val="ListParagraph"/>
        <w:spacing w:after="160"/>
        <w:ind w:left="851" w:firstLine="0"/>
        <w:rPr>
          <w:sz w:val="21"/>
          <w:szCs w:val="21"/>
        </w:rPr>
      </w:pPr>
      <w:r w:rsidRPr="00EF262D">
        <w:rPr>
          <w:sz w:val="21"/>
          <w:szCs w:val="21"/>
        </w:rPr>
        <w:t>The representation review panel included members of the Procurement Steering Group who had designed and approved the original procurement process, raising concerns about impartiality of the review. This appears to breach Regulation 3(5) and Regulation 7 of the PSR</w:t>
      </w:r>
      <w:r w:rsidR="00476B44" w:rsidRPr="00EF262D">
        <w:rPr>
          <w:sz w:val="21"/>
          <w:szCs w:val="21"/>
        </w:rPr>
        <w:t xml:space="preserve"> [clarified with Wellsbourne to be referring to regulation 4, 12 and 21]</w:t>
      </w:r>
      <w:r w:rsidR="0018650E">
        <w:rPr>
          <w:sz w:val="21"/>
          <w:szCs w:val="21"/>
        </w:rPr>
        <w:t>”</w:t>
      </w:r>
      <w:r w:rsidR="003D08D6">
        <w:rPr>
          <w:sz w:val="21"/>
          <w:szCs w:val="21"/>
        </w:rPr>
        <w:t xml:space="preserve"> </w:t>
      </w:r>
      <w:r w:rsidR="00F33AE5" w:rsidRPr="00F3093A">
        <w:rPr>
          <w:sz w:val="21"/>
          <w:szCs w:val="21"/>
        </w:rPr>
        <w:t>(see paragraph</w:t>
      </w:r>
      <w:r w:rsidR="00C83683">
        <w:rPr>
          <w:sz w:val="21"/>
          <w:szCs w:val="21"/>
        </w:rPr>
        <w:t xml:space="preserve"> </w:t>
      </w:r>
      <w:r w:rsidR="00C83683">
        <w:rPr>
          <w:sz w:val="21"/>
          <w:szCs w:val="21"/>
        </w:rPr>
        <w:fldChar w:fldCharType="begin"/>
      </w:r>
      <w:r w:rsidR="00C83683">
        <w:rPr>
          <w:sz w:val="21"/>
          <w:szCs w:val="21"/>
        </w:rPr>
        <w:instrText xml:space="preserve"> REF _Ref201645531 \r \h </w:instrText>
      </w:r>
      <w:r w:rsidR="00C83683">
        <w:rPr>
          <w:sz w:val="21"/>
          <w:szCs w:val="21"/>
        </w:rPr>
      </w:r>
      <w:r w:rsidR="00C83683">
        <w:rPr>
          <w:sz w:val="21"/>
          <w:szCs w:val="21"/>
        </w:rPr>
        <w:fldChar w:fldCharType="separate"/>
      </w:r>
      <w:r w:rsidR="00C81C5A">
        <w:rPr>
          <w:sz w:val="21"/>
          <w:szCs w:val="21"/>
        </w:rPr>
        <w:t>35</w:t>
      </w:r>
      <w:r w:rsidR="00C83683">
        <w:rPr>
          <w:sz w:val="21"/>
          <w:szCs w:val="21"/>
        </w:rPr>
        <w:fldChar w:fldCharType="end"/>
      </w:r>
      <w:r w:rsidR="00F33AE5" w:rsidRPr="00F3093A">
        <w:rPr>
          <w:sz w:val="21"/>
          <w:szCs w:val="21"/>
        </w:rPr>
        <w:t>)</w:t>
      </w:r>
      <w:r w:rsidRPr="00F3093A">
        <w:rPr>
          <w:sz w:val="21"/>
          <w:szCs w:val="21"/>
        </w:rPr>
        <w:t>.</w:t>
      </w:r>
    </w:p>
    <w:p w14:paraId="67AB7795" w14:textId="1E501A95" w:rsidR="006627E0" w:rsidRPr="004E1575" w:rsidRDefault="006627E0" w:rsidP="003B4157">
      <w:pPr>
        <w:pStyle w:val="ListParagraph"/>
        <w:numPr>
          <w:ilvl w:val="0"/>
          <w:numId w:val="4"/>
        </w:numPr>
        <w:spacing w:after="160"/>
        <w:ind w:left="567" w:hanging="567"/>
      </w:pPr>
      <w:r w:rsidRPr="004E1575">
        <w:t>Wellsbourne told the Panel that it felt it did</w:t>
      </w:r>
      <w:r w:rsidR="00FA6F5B">
        <w:t xml:space="preserve"> </w:t>
      </w:r>
      <w:r w:rsidRPr="004E1575">
        <w:t>n</w:t>
      </w:r>
      <w:r w:rsidR="00FA6F5B">
        <w:t>o</w:t>
      </w:r>
      <w:r w:rsidRPr="004E1575">
        <w:t xml:space="preserve">t have enough information to understand Healthwatch’s role in the </w:t>
      </w:r>
      <w:proofErr w:type="gramStart"/>
      <w:r w:rsidRPr="004E1575">
        <w:t>procurement, but</w:t>
      </w:r>
      <w:proofErr w:type="gramEnd"/>
      <w:r w:rsidRPr="004E1575">
        <w:t xml:space="preserve"> felt that it could</w:t>
      </w:r>
      <w:r w:rsidR="00121BAE">
        <w:t xml:space="preserve"> </w:t>
      </w:r>
      <w:r w:rsidRPr="004E1575">
        <w:t>n</w:t>
      </w:r>
      <w:r w:rsidR="00121BAE">
        <w:t>o</w:t>
      </w:r>
      <w:r w:rsidRPr="004E1575">
        <w:t>t both represent patients and represent Sussex ICB as an evaluator.</w:t>
      </w:r>
      <w:r w:rsidRPr="00D51AEE">
        <w:rPr>
          <w:vertAlign w:val="superscript"/>
        </w:rPr>
        <w:footnoteReference w:id="63"/>
      </w:r>
    </w:p>
    <w:p w14:paraId="381770FC" w14:textId="213B1828" w:rsidR="006627E0" w:rsidRDefault="006627E0" w:rsidP="003B4157">
      <w:pPr>
        <w:pStyle w:val="ListParagraph"/>
        <w:numPr>
          <w:ilvl w:val="0"/>
          <w:numId w:val="4"/>
        </w:numPr>
        <w:spacing w:after="160"/>
        <w:ind w:left="567" w:hanging="567"/>
      </w:pPr>
      <w:r w:rsidRPr="00F14B8E">
        <w:t xml:space="preserve">Sussex ICB told the Panel that Healthwatch </w:t>
      </w:r>
      <w:r>
        <w:t>“</w:t>
      </w:r>
      <w:r w:rsidRPr="00F14B8E">
        <w:t>supported the commissioner in helping to determine the components of the service specification and what features needed to be considered as part of the new service model. The individual was involved in that golden thread of continuity through the rest of the process in terms of helping to draft and determine the evaluation questions and then also being part of the evaluation panel</w:t>
      </w:r>
      <w:r w:rsidR="007C0365">
        <w:t xml:space="preserve"> </w:t>
      </w:r>
      <w:r w:rsidRPr="00F14B8E">
        <w:t>… working alongside the commissioner”.</w:t>
      </w:r>
      <w:r>
        <w:rPr>
          <w:rStyle w:val="FootnoteReference"/>
        </w:rPr>
        <w:footnoteReference w:id="64"/>
      </w:r>
    </w:p>
    <w:p w14:paraId="1F3F2B18" w14:textId="39D25BD1" w:rsidR="00796EC3" w:rsidRDefault="00796EC3" w:rsidP="003B4157">
      <w:pPr>
        <w:pStyle w:val="ListParagraph"/>
        <w:numPr>
          <w:ilvl w:val="0"/>
          <w:numId w:val="4"/>
        </w:numPr>
        <w:spacing w:after="160"/>
        <w:ind w:left="567" w:hanging="567"/>
      </w:pPr>
      <w:r>
        <w:t xml:space="preserve">The Panel </w:t>
      </w:r>
      <w:r w:rsidR="00CE262F">
        <w:t xml:space="preserve">questioned Wellsbourne further about </w:t>
      </w:r>
      <w:r>
        <w:t xml:space="preserve">potential </w:t>
      </w:r>
      <w:r w:rsidR="00E25962">
        <w:t>concerns about</w:t>
      </w:r>
      <w:r w:rsidR="00246128">
        <w:t xml:space="preserve"> Healthwatch’s involvement in the provider selection process</w:t>
      </w:r>
      <w:r w:rsidR="00E25962">
        <w:t xml:space="preserve">, including potential conflicts of interest, </w:t>
      </w:r>
      <w:r w:rsidR="00A01623">
        <w:t>and Wellsbourne was unable to suggest how a potential conflict of interest might come about.</w:t>
      </w:r>
      <w:r w:rsidR="0029597D">
        <w:t xml:space="preserve"> The Panel’s view is that there is no evidence to suggest that a conflict of interest arose from Healthwatch’s involvement in the provider selection process.</w:t>
      </w:r>
    </w:p>
    <w:p w14:paraId="6D91140D" w14:textId="7FDDF668" w:rsidR="004F6575" w:rsidRPr="00C4363E" w:rsidRDefault="00C4363E" w:rsidP="004F6575">
      <w:pPr>
        <w:pStyle w:val="ListParagraph"/>
        <w:numPr>
          <w:ilvl w:val="0"/>
          <w:numId w:val="4"/>
        </w:numPr>
        <w:ind w:left="567" w:hanging="567"/>
      </w:pPr>
      <w:r w:rsidRPr="00C4363E">
        <w:lastRenderedPageBreak/>
        <w:t xml:space="preserve">In </w:t>
      </w:r>
      <w:r w:rsidR="00906992" w:rsidRPr="00C4363E">
        <w:t>re</w:t>
      </w:r>
      <w:r w:rsidR="00906992">
        <w:t>sponse</w:t>
      </w:r>
      <w:r w:rsidRPr="00C4363E">
        <w:t xml:space="preserve"> to Wellsbourne’s concern about Sussex ICB’s representations review panel, Sussex ICB told Wellsbourne that:</w:t>
      </w:r>
    </w:p>
    <w:p w14:paraId="54EE820A" w14:textId="3FD908AD" w:rsidR="00C4363E" w:rsidRPr="00C4363E" w:rsidRDefault="00C4363E" w:rsidP="003B4157">
      <w:pPr>
        <w:pStyle w:val="ListParagraph"/>
        <w:spacing w:after="160"/>
        <w:ind w:left="851" w:firstLine="0"/>
        <w:rPr>
          <w:sz w:val="21"/>
          <w:szCs w:val="21"/>
        </w:rPr>
      </w:pPr>
      <w:r w:rsidRPr="00C4363E">
        <w:rPr>
          <w:sz w:val="21"/>
          <w:szCs w:val="21"/>
        </w:rPr>
        <w:t xml:space="preserve">“The PPSSG </w:t>
      </w:r>
      <w:r w:rsidR="00892224">
        <w:rPr>
          <w:sz w:val="21"/>
          <w:szCs w:val="21"/>
        </w:rPr>
        <w:t>[Procurement and Provider Selection Steering Group]</w:t>
      </w:r>
      <w:r w:rsidRPr="00C4363E">
        <w:rPr>
          <w:sz w:val="21"/>
          <w:szCs w:val="21"/>
        </w:rPr>
        <w:t xml:space="preserve"> is primarily responsible for providing oversight of the procurement processes, ensuring effective controls are in place and maintaining a record of decisions throughout the award process in compliance with the appropriate procurement legislation and in accordance with the NHS Sussex Operational Scheme of Delegation. The remit of this Group is to review, challenge and endorse procurement proposals, and recommending progression of procurements to the Commissioning Group. Both Panel Members have considerable experience of healthcare procurement processes and as neither member was directly involved in this procurement the ICB considers both Members of this Representation Panel to be both independent and impartial.”</w:t>
      </w:r>
      <w:r>
        <w:rPr>
          <w:rStyle w:val="FootnoteReference"/>
          <w:sz w:val="21"/>
          <w:szCs w:val="21"/>
        </w:rPr>
        <w:footnoteReference w:id="65"/>
      </w:r>
    </w:p>
    <w:p w14:paraId="32BBD060" w14:textId="1C9F5392" w:rsidR="00BA4BD5" w:rsidRDefault="00971B7E" w:rsidP="003B4157">
      <w:pPr>
        <w:pStyle w:val="ListParagraph"/>
        <w:numPr>
          <w:ilvl w:val="0"/>
          <w:numId w:val="4"/>
        </w:numPr>
        <w:spacing w:after="160"/>
        <w:ind w:left="567" w:hanging="567"/>
      </w:pPr>
      <w:r>
        <w:t>T</w:t>
      </w:r>
      <w:r w:rsidR="00BA4BD5" w:rsidRPr="00BA4BD5">
        <w:t xml:space="preserve">he PSR statutory guidance </w:t>
      </w:r>
      <w:r>
        <w:t>says</w:t>
      </w:r>
      <w:r w:rsidR="00BA4BD5" w:rsidRPr="00BA4BD5">
        <w:t xml:space="preserve"> that “relevant authorities should ensure that appropriate internal governance mechanisms are in place to deal with representations made against provider selection decisions. To this end, relevant authorities should, where possible, ensure that decisions are reviewed by individuals not involved in the original decision. Where this is not possible, relevant authorities should ensure that </w:t>
      </w:r>
      <w:r w:rsidR="00BA4BD5" w:rsidRPr="003B4157">
        <w:t>at least one individual not involved in the original decision is included in the review process</w:t>
      </w:r>
      <w:r w:rsidR="00BA4BD5" w:rsidRPr="00BA4BD5">
        <w:t>”.</w:t>
      </w:r>
      <w:r w:rsidR="003A6D3A">
        <w:rPr>
          <w:rStyle w:val="FootnoteReference"/>
        </w:rPr>
        <w:footnoteReference w:id="66"/>
      </w:r>
    </w:p>
    <w:p w14:paraId="4BEDF0A1" w14:textId="1BD0826D" w:rsidR="00BA4BD5" w:rsidRPr="00BA4BD5" w:rsidRDefault="00BA4BD5" w:rsidP="003B4157">
      <w:pPr>
        <w:pStyle w:val="ListParagraph"/>
        <w:numPr>
          <w:ilvl w:val="0"/>
          <w:numId w:val="4"/>
        </w:numPr>
        <w:spacing w:after="160"/>
        <w:ind w:left="567" w:hanging="567"/>
      </w:pPr>
      <w:r w:rsidRPr="00BA4BD5">
        <w:t xml:space="preserve">The Panel notes that </w:t>
      </w:r>
      <w:r w:rsidR="005A2030">
        <w:t>Sussex ICB’s</w:t>
      </w:r>
      <w:r w:rsidR="005A2030" w:rsidRPr="00BA4BD5">
        <w:t xml:space="preserve"> </w:t>
      </w:r>
      <w:r w:rsidRPr="00BA4BD5">
        <w:t xml:space="preserve">representations review panel </w:t>
      </w:r>
      <w:r w:rsidR="00EC1232">
        <w:t xml:space="preserve">had two members, namely </w:t>
      </w:r>
      <w:r w:rsidRPr="00BA4BD5">
        <w:t>the Head of Contracting &amp; Procurement (who is Chair of the Procurement Steering Group) and the Deputy Director of Primary Care Commissioning, who was “a non-conflicted representative from within [the] Integrated Care Board with knowledge and experience of the services to be provided that has not been involved during the procurement process”.</w:t>
      </w:r>
      <w:r w:rsidR="00AB2F2A">
        <w:rPr>
          <w:rStyle w:val="FootnoteReference"/>
        </w:rPr>
        <w:footnoteReference w:id="67"/>
      </w:r>
    </w:p>
    <w:p w14:paraId="75804F19" w14:textId="34A4C96F" w:rsidR="000553A5" w:rsidRDefault="004F6575" w:rsidP="00345AB6">
      <w:pPr>
        <w:pStyle w:val="ListParagraph"/>
        <w:numPr>
          <w:ilvl w:val="0"/>
          <w:numId w:val="4"/>
        </w:numPr>
        <w:spacing w:after="160"/>
        <w:ind w:left="567" w:hanging="567"/>
      </w:pPr>
      <w:r w:rsidRPr="00AD0730">
        <w:t xml:space="preserve">The </w:t>
      </w:r>
      <w:r w:rsidRPr="0094758F">
        <w:t>Panel</w:t>
      </w:r>
      <w:r w:rsidR="00D96D25">
        <w:t xml:space="preserve"> notes that</w:t>
      </w:r>
      <w:r w:rsidR="007111AC">
        <w:t>,</w:t>
      </w:r>
      <w:r w:rsidR="00D96D25">
        <w:t xml:space="preserve"> while best practice would be to have a </w:t>
      </w:r>
      <w:r w:rsidR="000553A5">
        <w:t xml:space="preserve">representations review panel with no members involved in the </w:t>
      </w:r>
      <w:r w:rsidR="00087A77">
        <w:t>decision</w:t>
      </w:r>
      <w:r w:rsidR="000553A5">
        <w:t xml:space="preserve"> that is being reviewed, </w:t>
      </w:r>
      <w:r w:rsidR="006C5096">
        <w:t xml:space="preserve">Sussex ICB met the requirement set out in the PSR statutory guidance to </w:t>
      </w:r>
      <w:r w:rsidR="006B11F5">
        <w:t xml:space="preserve">ensure that at least one of its review panel members was not </w:t>
      </w:r>
      <w:r w:rsidR="00087A77">
        <w:t>involved in the original decision.</w:t>
      </w:r>
    </w:p>
    <w:p w14:paraId="6E166A12" w14:textId="3DD08B6C" w:rsidR="004F6575" w:rsidRPr="003B4157" w:rsidRDefault="004F6575" w:rsidP="00EE6F18">
      <w:pPr>
        <w:pStyle w:val="ListParagraph"/>
        <w:numPr>
          <w:ilvl w:val="0"/>
          <w:numId w:val="4"/>
        </w:numPr>
        <w:ind w:left="567" w:hanging="567"/>
      </w:pPr>
      <w:r w:rsidRPr="0094758F">
        <w:t xml:space="preserve">The Panel finds that </w:t>
      </w:r>
      <w:r w:rsidR="00557C9A">
        <w:t xml:space="preserve">Sussex ICB, in the </w:t>
      </w:r>
      <w:r w:rsidR="000C588C">
        <w:t xml:space="preserve">selection of an evaluator related to </w:t>
      </w:r>
      <w:r w:rsidR="000C588C" w:rsidRPr="004728A8">
        <w:t>Healthwatch</w:t>
      </w:r>
      <w:r w:rsidR="000C588C">
        <w:t xml:space="preserve">, and in setting out the </w:t>
      </w:r>
      <w:r w:rsidR="00557C9A">
        <w:t>composition of its representations review panel, did not breach the PSR regulations</w:t>
      </w:r>
      <w:proofErr w:type="gramStart"/>
      <w:r w:rsidR="00372094">
        <w:t xml:space="preserve">, </w:t>
      </w:r>
      <w:r w:rsidR="000C588C">
        <w:t>and in particular</w:t>
      </w:r>
      <w:proofErr w:type="gramEnd"/>
      <w:r w:rsidR="000C588C">
        <w:t xml:space="preserve"> its obligations under</w:t>
      </w:r>
      <w:r w:rsidR="00372094">
        <w:t xml:space="preserve"> Regulation 4</w:t>
      </w:r>
      <w:r w:rsidR="00531DA9">
        <w:t xml:space="preserve">, which </w:t>
      </w:r>
      <w:r w:rsidR="000C588C">
        <w:t>requires</w:t>
      </w:r>
      <w:r w:rsidR="00531DA9">
        <w:t xml:space="preserve"> it to act fairly.</w:t>
      </w:r>
    </w:p>
    <w:p w14:paraId="1FAEB393" w14:textId="781A7444" w:rsidR="00DA200D" w:rsidRDefault="00DA200D" w:rsidP="00DA200D">
      <w:pPr>
        <w:pStyle w:val="Heading1"/>
      </w:pPr>
      <w:bookmarkStart w:id="57" w:name="_Toc204164425"/>
      <w:r>
        <w:t>Panel Advice</w:t>
      </w:r>
      <w:bookmarkEnd w:id="57"/>
    </w:p>
    <w:p w14:paraId="3705A91D" w14:textId="6276ECB0" w:rsidR="00E241B7" w:rsidRDefault="009E5133" w:rsidP="001F16B2">
      <w:pPr>
        <w:pStyle w:val="ListParagraph"/>
        <w:numPr>
          <w:ilvl w:val="0"/>
          <w:numId w:val="4"/>
        </w:numPr>
        <w:ind w:left="567" w:hanging="567"/>
      </w:pPr>
      <w:bookmarkStart w:id="58" w:name="_Ref204024226"/>
      <w:r w:rsidRPr="008C637A">
        <w:t>In summary, the Panel</w:t>
      </w:r>
      <w:r w:rsidR="00E241B7">
        <w:t xml:space="preserve"> finds that Sussex ICB’s </w:t>
      </w:r>
      <w:r w:rsidR="00E241B7" w:rsidRPr="008C637A">
        <w:t xml:space="preserve">provider selection process for the </w:t>
      </w:r>
      <w:r w:rsidR="00E241B7">
        <w:t>Whitehawk APMS contract</w:t>
      </w:r>
      <w:r w:rsidR="009C4B7A">
        <w:t xml:space="preserve"> has breached the PSR regulations in four respects.</w:t>
      </w:r>
    </w:p>
    <w:p w14:paraId="1D47DC8A" w14:textId="385397F7" w:rsidR="009C4B7A" w:rsidRDefault="009C4B7A" w:rsidP="001F16B2">
      <w:pPr>
        <w:pStyle w:val="ListParagraph"/>
        <w:numPr>
          <w:ilvl w:val="0"/>
          <w:numId w:val="15"/>
        </w:numPr>
      </w:pPr>
      <w:r>
        <w:t xml:space="preserve">First, </w:t>
      </w:r>
      <w:r w:rsidR="00D55C8C">
        <w:t>t</w:t>
      </w:r>
      <w:r w:rsidR="00D55C8C" w:rsidRPr="00AB3C97">
        <w:t xml:space="preserve">he Panel finds that Sussex ICB, </w:t>
      </w:r>
      <w:r w:rsidR="00D55C8C">
        <w:t>by conducting the evaluation and scoring process differently to the way in which it was described to Wellsbourne,</w:t>
      </w:r>
      <w:r w:rsidR="00D55C8C" w:rsidRPr="00AB3C97">
        <w:t xml:space="preserve"> breach</w:t>
      </w:r>
      <w:r w:rsidR="00D55C8C">
        <w:t>ed</w:t>
      </w:r>
      <w:r w:rsidR="00D55C8C" w:rsidRPr="00AB3C97">
        <w:t xml:space="preserve"> the PSR regulations, and in particular its obligations under Regulation 4 </w:t>
      </w:r>
      <w:r w:rsidR="00D55C8C" w:rsidRPr="00643DCD">
        <w:t>to act transparently</w:t>
      </w:r>
      <w:r w:rsidR="00D55C8C">
        <w:t xml:space="preserve"> and fairly</w:t>
      </w:r>
      <w:r w:rsidR="00D55C8C" w:rsidRPr="00643DCD">
        <w:t>.</w:t>
      </w:r>
    </w:p>
    <w:p w14:paraId="68E46C67" w14:textId="14046F77" w:rsidR="009C4B7A" w:rsidRPr="008A4116" w:rsidRDefault="009C4B7A">
      <w:pPr>
        <w:pStyle w:val="ListParagraph"/>
        <w:numPr>
          <w:ilvl w:val="0"/>
          <w:numId w:val="15"/>
        </w:numPr>
      </w:pPr>
      <w:r>
        <w:lastRenderedPageBreak/>
        <w:t xml:space="preserve">Second, the Panel </w:t>
      </w:r>
      <w:r w:rsidR="00B50F14">
        <w:t xml:space="preserve">finds that Sussex ICB, in </w:t>
      </w:r>
      <w:r w:rsidR="00393D55">
        <w:t>evaluati</w:t>
      </w:r>
      <w:r w:rsidR="00805CD1">
        <w:t>ng</w:t>
      </w:r>
      <w:r w:rsidR="00393D55">
        <w:t xml:space="preserve"> </w:t>
      </w:r>
      <w:r w:rsidR="00B50F14">
        <w:t xml:space="preserve">Wellsbourne’s response </w:t>
      </w:r>
      <w:r w:rsidR="00805CD1">
        <w:t xml:space="preserve">to Question ITT02 (Communications) erred </w:t>
      </w:r>
      <w:r w:rsidR="0002492B">
        <w:t xml:space="preserve">by concluding that Wellsbourne </w:t>
      </w:r>
      <w:r w:rsidR="00B50F14">
        <w:t>did not address certain issues when this was not the case, and as a result breached Regulation 4, which requires it to act transparently and fairly.</w:t>
      </w:r>
    </w:p>
    <w:p w14:paraId="1E1F9631" w14:textId="22EAF8AE" w:rsidR="009C4B7A" w:rsidRDefault="009C4B7A" w:rsidP="001F16B2">
      <w:pPr>
        <w:pStyle w:val="ListParagraph"/>
        <w:numPr>
          <w:ilvl w:val="0"/>
          <w:numId w:val="15"/>
        </w:numPr>
      </w:pPr>
      <w:r>
        <w:t xml:space="preserve">Third, </w:t>
      </w:r>
      <w:r w:rsidR="00A663C3" w:rsidRPr="0059079B">
        <w:t>the Panel finds that Sussex ICB</w:t>
      </w:r>
      <w:r w:rsidR="00A663C3">
        <w:t>: (</w:t>
      </w:r>
      <w:proofErr w:type="spellStart"/>
      <w:r w:rsidR="00A663C3">
        <w:t>i</w:t>
      </w:r>
      <w:proofErr w:type="spellEnd"/>
      <w:r w:rsidR="00A663C3">
        <w:t xml:space="preserve">) in not providing information to bidders about the LCSs they might potentially supply, (ii) in lacking clarity about its expectations of the LCSs that the successful bidder would deliver, (iii) in requesting bidders’ estimates of their likely income from LCSs and other sources without supplying information about these LCSs, and (iv) in evaluating proposals that contained a significant disconnect between the additional revenue estimates and the workforce and costs necessary to deliver this revenue, </w:t>
      </w:r>
      <w:r w:rsidR="00A663C3" w:rsidRPr="0059079B">
        <w:t>breached the PSR regulations, and in particular its obligations under Regulation 4 to act transparently and fairly</w:t>
      </w:r>
      <w:r w:rsidRPr="0059079B">
        <w:t>.</w:t>
      </w:r>
    </w:p>
    <w:p w14:paraId="3CD1A96C" w14:textId="5415BFA9" w:rsidR="009C4B7A" w:rsidRDefault="009C4B7A" w:rsidP="001F16B2">
      <w:pPr>
        <w:pStyle w:val="ListParagraph"/>
        <w:numPr>
          <w:ilvl w:val="0"/>
          <w:numId w:val="15"/>
        </w:numPr>
        <w:spacing w:after="160"/>
        <w:ind w:left="1077" w:hanging="357"/>
      </w:pPr>
      <w:r>
        <w:t>Finally, the Panel finds that Sussex ICB, in its evaluation and scoring of Wellsbourne’s financial proposal, breached the PSR regulations, and in particular Regulation 24(g), which requires the ICB to keep a record of the reasons for its decisions.</w:t>
      </w:r>
    </w:p>
    <w:p w14:paraId="3C67CD21" w14:textId="579BE1E1" w:rsidR="009C4B7A" w:rsidRDefault="001F16B2" w:rsidP="001F16B2">
      <w:pPr>
        <w:pStyle w:val="ListParagraph"/>
        <w:numPr>
          <w:ilvl w:val="0"/>
          <w:numId w:val="4"/>
        </w:numPr>
        <w:ind w:left="567" w:hanging="567"/>
      </w:pPr>
      <w:r>
        <w:t xml:space="preserve">The Panel also finds that Sussex ICB’s provider selection process for the Whitehawk APMS contract did not breach the PSR regulations in </w:t>
      </w:r>
      <w:r w:rsidR="0083421A">
        <w:t>four</w:t>
      </w:r>
      <w:r>
        <w:t xml:space="preserve"> other respects.</w:t>
      </w:r>
    </w:p>
    <w:bookmarkEnd w:id="58"/>
    <w:p w14:paraId="22B3068E" w14:textId="10209DD4" w:rsidR="00651010" w:rsidRDefault="00651010" w:rsidP="00651010">
      <w:pPr>
        <w:pStyle w:val="ListParagraph"/>
        <w:numPr>
          <w:ilvl w:val="0"/>
          <w:numId w:val="15"/>
        </w:numPr>
      </w:pPr>
      <w:r>
        <w:t xml:space="preserve">First, the Panel finds that </w:t>
      </w:r>
      <w:r w:rsidR="00831AD7">
        <w:t>Sussex ICB, in its pre-procurement public engagement, did not breach the PSR regulations</w:t>
      </w:r>
      <w:proofErr w:type="gramStart"/>
      <w:r w:rsidR="009F5A03">
        <w:t>,</w:t>
      </w:r>
      <w:r w:rsidR="00831AD7">
        <w:t xml:space="preserve"> and in particular</w:t>
      </w:r>
      <w:proofErr w:type="gramEnd"/>
      <w:r w:rsidR="00831AD7">
        <w:t xml:space="preserve"> its obligations under Regulation 4</w:t>
      </w:r>
      <w:r w:rsidR="008A4116">
        <w:t>,</w:t>
      </w:r>
      <w:r w:rsidR="0058015B">
        <w:t xml:space="preserve"> which require</w:t>
      </w:r>
      <w:r w:rsidR="00274465">
        <w:t>s</w:t>
      </w:r>
      <w:r w:rsidR="0058015B">
        <w:t xml:space="preserve"> it to act </w:t>
      </w:r>
      <w:r w:rsidR="00D94E55">
        <w:t>with a view to securing the needs of the people who use the services and</w:t>
      </w:r>
      <w:r w:rsidR="0058015B">
        <w:t xml:space="preserve"> to act transparently, fairly and proportionately</w:t>
      </w:r>
      <w:r w:rsidR="007F773B">
        <w:t>.</w:t>
      </w:r>
    </w:p>
    <w:p w14:paraId="71877D41" w14:textId="3E8A4A9C" w:rsidR="001350AF" w:rsidRDefault="00651010" w:rsidP="00651010">
      <w:pPr>
        <w:pStyle w:val="ListParagraph"/>
        <w:numPr>
          <w:ilvl w:val="0"/>
          <w:numId w:val="15"/>
        </w:numPr>
      </w:pPr>
      <w:r>
        <w:t xml:space="preserve">Second, the Panel finds that </w:t>
      </w:r>
      <w:r w:rsidR="00831AD7">
        <w:t xml:space="preserve">Sussex ICB, in </w:t>
      </w:r>
      <w:r w:rsidR="001350AF">
        <w:t>the formulation of its ITT questions, did not breach the PSR regulations</w:t>
      </w:r>
      <w:proofErr w:type="gramStart"/>
      <w:r w:rsidR="009F5A03">
        <w:t>,</w:t>
      </w:r>
      <w:r w:rsidR="001350AF">
        <w:t xml:space="preserve"> and in particular</w:t>
      </w:r>
      <w:proofErr w:type="gramEnd"/>
      <w:r w:rsidR="001350AF">
        <w:t xml:space="preserve"> its obligations under Regulation 4, which requires it to act fairly.</w:t>
      </w:r>
    </w:p>
    <w:p w14:paraId="5E6B6A1D" w14:textId="2C1F1617" w:rsidR="00651010" w:rsidRDefault="0083421A" w:rsidP="00651010">
      <w:pPr>
        <w:pStyle w:val="ListParagraph"/>
        <w:numPr>
          <w:ilvl w:val="0"/>
          <w:numId w:val="15"/>
        </w:numPr>
      </w:pPr>
      <w:r>
        <w:t>Third</w:t>
      </w:r>
      <w:r w:rsidR="00651010">
        <w:t xml:space="preserve">, </w:t>
      </w:r>
      <w:r w:rsidR="00E359DF">
        <w:t xml:space="preserve">the Panel finds that Sussex ICB, in </w:t>
      </w:r>
      <w:r w:rsidR="00831AD7">
        <w:t xml:space="preserve">deciding the weightings </w:t>
      </w:r>
      <w:r w:rsidR="00E359DF">
        <w:t>for</w:t>
      </w:r>
      <w:r w:rsidR="00831AD7">
        <w:t xml:space="preserve"> the key criteria, did not breach the PSR regulations </w:t>
      </w:r>
      <w:r w:rsidR="00831AD7" w:rsidRPr="00AB3C97">
        <w:t>and in particular its obligations under Regulation</w:t>
      </w:r>
      <w:r w:rsidR="00831AD7">
        <w:t>s</w:t>
      </w:r>
      <w:r w:rsidR="00831AD7" w:rsidRPr="00AB3C97">
        <w:t xml:space="preserve"> </w:t>
      </w:r>
      <w:r w:rsidR="00831AD7">
        <w:t>5(e) and 11(2), which state that “</w:t>
      </w:r>
      <w:r w:rsidR="00831AD7" w:rsidRPr="005464ED">
        <w:t xml:space="preserve">Step 1 </w:t>
      </w:r>
      <w:r w:rsidR="00831AD7">
        <w:t xml:space="preserve">[of the competitive process] </w:t>
      </w:r>
      <w:r w:rsidR="00831AD7" w:rsidRPr="005464ED">
        <w:t>is that the relevant authority determines the contract or framework award criteria, taking into account the key criteria and applying the basic selection criteria</w:t>
      </w:r>
      <w:r w:rsidR="00831AD7" w:rsidRPr="008A4116">
        <w:t>”</w:t>
      </w:r>
      <w:r w:rsidR="007F773B">
        <w:t>.</w:t>
      </w:r>
    </w:p>
    <w:p w14:paraId="1DB64A80" w14:textId="1E981923" w:rsidR="00651010" w:rsidRDefault="00651010" w:rsidP="0013082D">
      <w:pPr>
        <w:pStyle w:val="ListParagraph"/>
        <w:numPr>
          <w:ilvl w:val="0"/>
          <w:numId w:val="15"/>
        </w:numPr>
        <w:spacing w:after="160"/>
        <w:ind w:left="1077" w:hanging="357"/>
      </w:pPr>
      <w:r w:rsidRPr="00651010">
        <w:t>Finally</w:t>
      </w:r>
      <w:r>
        <w:t>, the Panel finds that</w:t>
      </w:r>
      <w:r w:rsidR="00606881">
        <w:t xml:space="preserve"> Sussex ICB, in the </w:t>
      </w:r>
      <w:r w:rsidR="004C47AB">
        <w:t xml:space="preserve">selection of an evaluator related to </w:t>
      </w:r>
      <w:r w:rsidR="004C47AB" w:rsidRPr="004728A8">
        <w:t>Healthwatch</w:t>
      </w:r>
      <w:r w:rsidR="004C47AB">
        <w:t xml:space="preserve">, and in setting out the </w:t>
      </w:r>
      <w:r w:rsidR="00606881">
        <w:t>composition of its representations review panel, did not breach the PSR regulations</w:t>
      </w:r>
      <w:proofErr w:type="gramStart"/>
      <w:r w:rsidR="00606881">
        <w:t xml:space="preserve">, </w:t>
      </w:r>
      <w:r w:rsidR="00D5035A">
        <w:t>and in particu</w:t>
      </w:r>
      <w:r w:rsidR="00D4498D">
        <w:t>lar</w:t>
      </w:r>
      <w:proofErr w:type="gramEnd"/>
      <w:r w:rsidR="00D4498D">
        <w:t xml:space="preserve"> its obligations under</w:t>
      </w:r>
      <w:r w:rsidR="004C47AB">
        <w:t xml:space="preserve"> Regulation 4, which </w:t>
      </w:r>
      <w:r w:rsidR="000C588C">
        <w:t>requires</w:t>
      </w:r>
      <w:r w:rsidR="004C47AB">
        <w:t xml:space="preserve"> </w:t>
      </w:r>
      <w:r w:rsidR="00606881">
        <w:t>it to act fairly.</w:t>
      </w:r>
    </w:p>
    <w:p w14:paraId="113E73DC" w14:textId="31B08DD5" w:rsidR="00FB4784" w:rsidRPr="002B067A" w:rsidRDefault="00FB4784" w:rsidP="002B067A">
      <w:pPr>
        <w:pStyle w:val="ListParagraph"/>
        <w:numPr>
          <w:ilvl w:val="0"/>
          <w:numId w:val="4"/>
        </w:numPr>
        <w:ind w:left="567" w:hanging="567"/>
        <w:contextualSpacing/>
      </w:pPr>
      <w:r w:rsidRPr="002B067A">
        <w:t>Given the</w:t>
      </w:r>
      <w:r w:rsidR="0013082D">
        <w:t xml:space="preserve"> Panel’s findings that Sussex ICB breached the PSR regulations</w:t>
      </w:r>
      <w:r w:rsidRPr="002B067A">
        <w:t>, three options are open to the Panel. The Panel may advise that:</w:t>
      </w:r>
    </w:p>
    <w:p w14:paraId="33C267B4" w14:textId="4E78B213" w:rsidR="00FB4784" w:rsidRPr="002B067A" w:rsidRDefault="00606881" w:rsidP="002B067A">
      <w:pPr>
        <w:pStyle w:val="ListParagraph"/>
        <w:numPr>
          <w:ilvl w:val="0"/>
          <w:numId w:val="16"/>
        </w:numPr>
        <w:contextualSpacing/>
      </w:pPr>
      <w:r>
        <w:t>t</w:t>
      </w:r>
      <w:r w:rsidR="00FB4784" w:rsidRPr="002B067A">
        <w:t xml:space="preserve">he breaches </w:t>
      </w:r>
      <w:r w:rsidR="00AB1391">
        <w:t>of the PSR regulations</w:t>
      </w:r>
      <w:r w:rsidR="00FB4784" w:rsidRPr="002B067A">
        <w:t xml:space="preserve"> had no material effect on </w:t>
      </w:r>
      <w:r>
        <w:t>Sussex IC</w:t>
      </w:r>
      <w:r w:rsidR="00A53B4E">
        <w:t>B</w:t>
      </w:r>
      <w:r w:rsidR="00FB4784" w:rsidRPr="002B067A">
        <w:t xml:space="preserve">’s selection of a provider and it should proceed with awarding the contract as originally </w:t>
      </w:r>
      <w:proofErr w:type="gramStart"/>
      <w:r w:rsidR="00FB4784" w:rsidRPr="002B067A">
        <w:t>intended;</w:t>
      </w:r>
      <w:proofErr w:type="gramEnd"/>
    </w:p>
    <w:p w14:paraId="7E7C1BE6" w14:textId="409813F9" w:rsidR="00FB4784" w:rsidRPr="002B067A" w:rsidRDefault="00606881" w:rsidP="002B067A">
      <w:pPr>
        <w:pStyle w:val="ListParagraph"/>
        <w:numPr>
          <w:ilvl w:val="0"/>
          <w:numId w:val="16"/>
        </w:numPr>
        <w:contextualSpacing/>
      </w:pPr>
      <w:r>
        <w:t>Sussex ICB</w:t>
      </w:r>
      <w:r w:rsidR="00FB4784">
        <w:t xml:space="preserve"> </w:t>
      </w:r>
      <w:r w:rsidR="00FB4784" w:rsidRPr="002B067A">
        <w:t>should return to an earlier step in the provider selection process to rectify the issues identified by the Panel; or</w:t>
      </w:r>
    </w:p>
    <w:p w14:paraId="0163F59C" w14:textId="10A7AD55" w:rsidR="00FB4784" w:rsidRDefault="00606881" w:rsidP="002B067A">
      <w:pPr>
        <w:pStyle w:val="ListParagraph"/>
        <w:numPr>
          <w:ilvl w:val="0"/>
          <w:numId w:val="16"/>
        </w:numPr>
        <w:spacing w:after="160"/>
        <w:ind w:left="1077" w:hanging="357"/>
      </w:pPr>
      <w:r>
        <w:t>Sussex ICB</w:t>
      </w:r>
      <w:r w:rsidR="00FB4784">
        <w:t xml:space="preserve"> </w:t>
      </w:r>
      <w:r w:rsidR="00FB4784" w:rsidRPr="002B067A">
        <w:t>should abandon the current provider selection process</w:t>
      </w:r>
      <w:r w:rsidR="00FB4784">
        <w:t>.</w:t>
      </w:r>
    </w:p>
    <w:p w14:paraId="4AA0FD91" w14:textId="6A4E2A68" w:rsidR="00834BF6" w:rsidRPr="00B16776" w:rsidRDefault="00834BF6" w:rsidP="00834BF6">
      <w:pPr>
        <w:pStyle w:val="ListParagraph"/>
        <w:numPr>
          <w:ilvl w:val="0"/>
          <w:numId w:val="4"/>
        </w:numPr>
        <w:spacing w:after="160"/>
        <w:ind w:left="567" w:hanging="567"/>
      </w:pPr>
      <w:r>
        <w:lastRenderedPageBreak/>
        <w:t xml:space="preserve">The Panel’s view is that Sussex ICB’s breaches of the PSR regulations are sufficiently serious to have had a material effect on its selection of a provider. This is particularly the case in relation to the </w:t>
      </w:r>
      <w:r w:rsidRPr="0059079B">
        <w:t>Sussex ICB</w:t>
      </w:r>
      <w:r>
        <w:t xml:space="preserve">’s provision of information about LCSs in the provider selection process and its request for bidders’ estimated income from delivering LCSs </w:t>
      </w:r>
      <w:r w:rsidRPr="00F1201B">
        <w:t>(i.e. the third bullet point in paragraph</w:t>
      </w:r>
      <w:r w:rsidR="00E81EFD">
        <w:t xml:space="preserve"> </w:t>
      </w:r>
      <w:r w:rsidR="00E81EFD">
        <w:fldChar w:fldCharType="begin"/>
      </w:r>
      <w:r w:rsidR="00E81EFD">
        <w:instrText xml:space="preserve"> REF _Ref204087571 \r \h </w:instrText>
      </w:r>
      <w:r w:rsidR="00E81EFD">
        <w:fldChar w:fldCharType="separate"/>
      </w:r>
      <w:r w:rsidR="00C81C5A">
        <w:t>8</w:t>
      </w:r>
      <w:r w:rsidR="00E81EFD">
        <w:fldChar w:fldCharType="end"/>
      </w:r>
      <w:r w:rsidRPr="00F1201B">
        <w:t>).</w:t>
      </w:r>
    </w:p>
    <w:p w14:paraId="1D2C9019" w14:textId="101B1A43" w:rsidR="00834BF6" w:rsidRDefault="00834BF6" w:rsidP="00834BF6">
      <w:pPr>
        <w:pStyle w:val="ListParagraph"/>
        <w:numPr>
          <w:ilvl w:val="0"/>
          <w:numId w:val="4"/>
        </w:numPr>
        <w:spacing w:after="160"/>
        <w:ind w:left="567" w:hanging="567"/>
      </w:pPr>
      <w:r>
        <w:t xml:space="preserve">The Panel’s advice to Sussex ICB is that it returns to an earlier step in the provider selection process, namely the publication of a new contract notice and issuance of ITT documentation suitably revised to address the issues identified by the Panel in this review. This will allow a new provider selection process to take place that addresses </w:t>
      </w:r>
      <w:proofErr w:type="gramStart"/>
      <w:r>
        <w:t>all of</w:t>
      </w:r>
      <w:proofErr w:type="gramEnd"/>
      <w:r>
        <w:t xml:space="preserve"> the issues identified by the Panel in this report.</w:t>
      </w:r>
    </w:p>
    <w:p w14:paraId="24213770" w14:textId="345AE6A9" w:rsidR="00485DA5" w:rsidRPr="00485DA5" w:rsidRDefault="00F6163B" w:rsidP="00F6163B">
      <w:pPr>
        <w:pStyle w:val="ListParagraph"/>
        <w:numPr>
          <w:ilvl w:val="0"/>
          <w:numId w:val="4"/>
        </w:numPr>
        <w:spacing w:after="160"/>
        <w:ind w:left="567" w:hanging="567"/>
      </w:pPr>
      <w:r>
        <w:t>The Panel also recommends that Sussex ICB ensures that, in future, sufficiently detailed notes are kept of moderation meeting discussions so that bidders, internal review panels and the Panel can follow the reasoning of those involved in decision making.</w:t>
      </w:r>
    </w:p>
    <w:sectPr w:rsidR="00485DA5" w:rsidRPr="00485DA5" w:rsidSect="009D14EA">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F727" w14:textId="77777777" w:rsidR="00B03E3E" w:rsidRDefault="00B03E3E" w:rsidP="008F2F8C">
      <w:pPr>
        <w:spacing w:after="0" w:line="240" w:lineRule="auto"/>
      </w:pPr>
      <w:r>
        <w:separator/>
      </w:r>
    </w:p>
  </w:endnote>
  <w:endnote w:type="continuationSeparator" w:id="0">
    <w:p w14:paraId="06C236D4" w14:textId="77777777" w:rsidR="00B03E3E" w:rsidRDefault="00B03E3E" w:rsidP="008F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834316"/>
      <w:docPartObj>
        <w:docPartGallery w:val="Page Numbers (Bottom of Page)"/>
        <w:docPartUnique/>
      </w:docPartObj>
    </w:sdtPr>
    <w:sdtEndPr>
      <w:rPr>
        <w:noProof/>
      </w:rPr>
    </w:sdtEndPr>
    <w:sdtContent>
      <w:p w14:paraId="0003A4E2" w14:textId="5C29E073" w:rsidR="008D18C1" w:rsidRDefault="008D18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5FC50E" w14:textId="77777777" w:rsidR="00480A65" w:rsidRDefault="0048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B022" w14:textId="77777777" w:rsidR="00B03E3E" w:rsidRDefault="00B03E3E" w:rsidP="008F2F8C">
      <w:pPr>
        <w:spacing w:after="0" w:line="240" w:lineRule="auto"/>
      </w:pPr>
      <w:r>
        <w:separator/>
      </w:r>
    </w:p>
  </w:footnote>
  <w:footnote w:type="continuationSeparator" w:id="0">
    <w:p w14:paraId="0E510EEB" w14:textId="77777777" w:rsidR="00B03E3E" w:rsidRDefault="00B03E3E" w:rsidP="008F2F8C">
      <w:pPr>
        <w:spacing w:after="0" w:line="240" w:lineRule="auto"/>
      </w:pPr>
      <w:r>
        <w:continuationSeparator/>
      </w:r>
    </w:p>
  </w:footnote>
  <w:footnote w:id="1">
    <w:p w14:paraId="0AD6A53C" w14:textId="3065C44E" w:rsidR="00856A83" w:rsidRPr="00856A83" w:rsidRDefault="00856A83">
      <w:pPr>
        <w:pStyle w:val="FootnoteText"/>
        <w:rPr>
          <w:sz w:val="16"/>
          <w:szCs w:val="16"/>
        </w:rPr>
      </w:pPr>
      <w:r w:rsidRPr="00FF3769">
        <w:rPr>
          <w:rStyle w:val="FootnoteReference"/>
          <w:sz w:val="16"/>
          <w:szCs w:val="16"/>
        </w:rPr>
        <w:footnoteRef/>
      </w:r>
      <w:r w:rsidRPr="00FF3769">
        <w:rPr>
          <w:sz w:val="16"/>
          <w:szCs w:val="16"/>
        </w:rPr>
        <w:t xml:space="preserve"> </w:t>
      </w:r>
      <w:r w:rsidR="00F04E3A" w:rsidRPr="00FF3769">
        <w:rPr>
          <w:sz w:val="16"/>
          <w:szCs w:val="16"/>
        </w:rPr>
        <w:t xml:space="preserve">Wellsbourne </w:t>
      </w:r>
      <w:r w:rsidR="00767933" w:rsidRPr="00FF3769">
        <w:rPr>
          <w:sz w:val="16"/>
          <w:szCs w:val="16"/>
        </w:rPr>
        <w:t>i</w:t>
      </w:r>
      <w:r w:rsidR="00A22C26" w:rsidRPr="00FF3769">
        <w:rPr>
          <w:sz w:val="16"/>
          <w:szCs w:val="16"/>
        </w:rPr>
        <w:t>s a GP</w:t>
      </w:r>
      <w:r w:rsidR="00A22C26">
        <w:rPr>
          <w:sz w:val="16"/>
          <w:szCs w:val="16"/>
        </w:rPr>
        <w:t xml:space="preserve"> surgery </w:t>
      </w:r>
      <w:r w:rsidR="00FF3769">
        <w:rPr>
          <w:sz w:val="16"/>
          <w:szCs w:val="16"/>
        </w:rPr>
        <w:t xml:space="preserve">and community </w:t>
      </w:r>
      <w:r w:rsidR="00FF3769" w:rsidRPr="00FF3769">
        <w:rPr>
          <w:sz w:val="16"/>
          <w:szCs w:val="16"/>
        </w:rPr>
        <w:t xml:space="preserve">organisation </w:t>
      </w:r>
      <w:r w:rsidR="00A22C26" w:rsidRPr="00FF3769">
        <w:rPr>
          <w:sz w:val="16"/>
          <w:szCs w:val="16"/>
        </w:rPr>
        <w:t>in East Brighton</w:t>
      </w:r>
      <w:r w:rsidR="00087C44" w:rsidRPr="00FF3769">
        <w:rPr>
          <w:sz w:val="16"/>
          <w:szCs w:val="16"/>
        </w:rPr>
        <w:t xml:space="preserve">. </w:t>
      </w:r>
      <w:r w:rsidR="00FE11E8" w:rsidRPr="00FF3769">
        <w:rPr>
          <w:sz w:val="16"/>
          <w:szCs w:val="16"/>
        </w:rPr>
        <w:t xml:space="preserve">Further information can be found on its website at </w:t>
      </w:r>
      <w:hyperlink r:id="rId1" w:history="1">
        <w:r w:rsidR="00FF3769" w:rsidRPr="00FF3769">
          <w:rPr>
            <w:rStyle w:val="Hyperlink"/>
            <w:sz w:val="16"/>
            <w:szCs w:val="16"/>
          </w:rPr>
          <w:t>https://www.wellsbournehealthcare.org.uk/</w:t>
        </w:r>
      </w:hyperlink>
      <w:r w:rsidR="00FF3769" w:rsidRPr="004D4891">
        <w:rPr>
          <w:sz w:val="16"/>
          <w:szCs w:val="16"/>
        </w:rPr>
        <w:t xml:space="preserve"> </w:t>
      </w:r>
    </w:p>
  </w:footnote>
  <w:footnote w:id="2">
    <w:p w14:paraId="0451A91F" w14:textId="53FF603C" w:rsidR="004724B3" w:rsidRPr="004A0C4C" w:rsidRDefault="004724B3">
      <w:pPr>
        <w:pStyle w:val="FootnoteText"/>
        <w:rPr>
          <w:sz w:val="16"/>
          <w:szCs w:val="16"/>
        </w:rPr>
      </w:pPr>
      <w:r w:rsidRPr="004A0C4C">
        <w:rPr>
          <w:rStyle w:val="FootnoteReference"/>
          <w:sz w:val="16"/>
          <w:szCs w:val="16"/>
        </w:rPr>
        <w:footnoteRef/>
      </w:r>
      <w:r w:rsidRPr="004A0C4C">
        <w:rPr>
          <w:sz w:val="16"/>
          <w:szCs w:val="16"/>
        </w:rPr>
        <w:t xml:space="preserve"> The Panel’s case acceptance criteria are available at </w:t>
      </w:r>
      <w:hyperlink r:id="rId2" w:history="1">
        <w:r w:rsidR="004A0C4C" w:rsidRPr="004A0C4C">
          <w:rPr>
            <w:rStyle w:val="Hyperlink"/>
            <w:rFonts w:cs="Arial"/>
            <w:sz w:val="16"/>
            <w:szCs w:val="16"/>
          </w:rPr>
          <w:t>https://www.england.nhs.uk/commissioning/how-commissioning-is-changing/nhs-provider-selection-regime/independent-patient-choice-and-procurement-panel/</w:t>
        </w:r>
      </w:hyperlink>
      <w:r w:rsidR="004A0C4C">
        <w:rPr>
          <w:sz w:val="16"/>
          <w:szCs w:val="16"/>
        </w:rPr>
        <w:t>.</w:t>
      </w:r>
    </w:p>
  </w:footnote>
  <w:footnote w:id="3">
    <w:p w14:paraId="6E6F3ED5" w14:textId="56ED232F" w:rsidR="004A0C4C" w:rsidRPr="006C3EF2" w:rsidRDefault="004A0C4C">
      <w:pPr>
        <w:pStyle w:val="FootnoteText"/>
        <w:rPr>
          <w:sz w:val="16"/>
          <w:szCs w:val="16"/>
        </w:rPr>
      </w:pPr>
      <w:r w:rsidRPr="006C3EF2">
        <w:rPr>
          <w:rStyle w:val="FootnoteReference"/>
          <w:sz w:val="16"/>
          <w:szCs w:val="16"/>
        </w:rPr>
        <w:footnoteRef/>
      </w:r>
      <w:r w:rsidRPr="006C3EF2">
        <w:rPr>
          <w:sz w:val="16"/>
          <w:szCs w:val="16"/>
        </w:rPr>
        <w:t xml:space="preserve"> Biographies of Panel members are available at </w:t>
      </w:r>
      <w:hyperlink r:id="rId3" w:history="1">
        <w:r w:rsidR="0050576A" w:rsidRPr="006C3EF2">
          <w:rPr>
            <w:rStyle w:val="Hyperlink"/>
            <w:rFonts w:cs="Arial"/>
            <w:sz w:val="16"/>
            <w:szCs w:val="16"/>
          </w:rPr>
          <w:t>https://www.england.nhs.uk/commissioning/how-commissioning-is-changing/nhs-provider-selection-regime/independent-patient-choice-and-procurement-panel/panel-members/</w:t>
        </w:r>
      </w:hyperlink>
      <w:r w:rsidR="0050576A" w:rsidRPr="006C3EF2">
        <w:rPr>
          <w:rFonts w:cs="Arial"/>
          <w:sz w:val="16"/>
          <w:szCs w:val="16"/>
        </w:rPr>
        <w:t>.</w:t>
      </w:r>
    </w:p>
  </w:footnote>
  <w:footnote w:id="4">
    <w:p w14:paraId="3EB524F8" w14:textId="292229CD" w:rsidR="00CD4CF5" w:rsidRPr="006C3EF2" w:rsidRDefault="00CD4CF5">
      <w:pPr>
        <w:pStyle w:val="FootnoteText"/>
        <w:rPr>
          <w:sz w:val="16"/>
          <w:szCs w:val="16"/>
        </w:rPr>
      </w:pPr>
      <w:r w:rsidRPr="006C3EF2">
        <w:rPr>
          <w:rStyle w:val="FootnoteReference"/>
          <w:sz w:val="16"/>
          <w:szCs w:val="16"/>
        </w:rPr>
        <w:footnoteRef/>
      </w:r>
      <w:r w:rsidRPr="006C3EF2">
        <w:rPr>
          <w:sz w:val="16"/>
          <w:szCs w:val="16"/>
        </w:rPr>
        <w:t xml:space="preserve"> The Panel’s Standard Operating Procedures are available at </w:t>
      </w:r>
      <w:hyperlink r:id="rId4" w:history="1">
        <w:r w:rsidR="00A47C13" w:rsidRPr="006C3EF2">
          <w:rPr>
            <w:rStyle w:val="Hyperlink"/>
            <w:rFonts w:cs="Arial"/>
            <w:sz w:val="16"/>
            <w:szCs w:val="16"/>
          </w:rPr>
          <w:t>https://www.england.nhs.uk/commissioning/how-commissioning-is-changing/nhs-provider-selection-regime/independent-patient-choice-and-procurement-panel/</w:t>
        </w:r>
      </w:hyperlink>
      <w:r w:rsidR="00A47C13" w:rsidRPr="006C3EF2">
        <w:rPr>
          <w:rFonts w:cs="Arial"/>
          <w:sz w:val="16"/>
          <w:szCs w:val="16"/>
        </w:rPr>
        <w:t>.</w:t>
      </w:r>
    </w:p>
  </w:footnote>
  <w:footnote w:id="5">
    <w:p w14:paraId="79995ABF" w14:textId="04E9C25F" w:rsidR="00A47C13" w:rsidRPr="006C3EF2" w:rsidRDefault="00A47C13">
      <w:pPr>
        <w:pStyle w:val="FootnoteText"/>
        <w:rPr>
          <w:sz w:val="16"/>
          <w:szCs w:val="16"/>
        </w:rPr>
      </w:pPr>
      <w:r w:rsidRPr="006C3EF2">
        <w:rPr>
          <w:rStyle w:val="FootnoteReference"/>
          <w:sz w:val="16"/>
          <w:szCs w:val="16"/>
        </w:rPr>
        <w:footnoteRef/>
      </w:r>
      <w:r w:rsidRPr="006C3EF2">
        <w:rPr>
          <w:sz w:val="16"/>
          <w:szCs w:val="16"/>
        </w:rPr>
        <w:t xml:space="preserve"> The Panel’s advice is provided under paragraph 23 of the PSR Regulations and takes account of the representations made to the Panel prior to forming its opinion.</w:t>
      </w:r>
    </w:p>
  </w:footnote>
  <w:footnote w:id="6">
    <w:p w14:paraId="3C8291CB" w14:textId="711AE01B" w:rsidR="008F2F8C" w:rsidRPr="006C3EF2" w:rsidRDefault="008F2F8C">
      <w:pPr>
        <w:pStyle w:val="FootnoteText"/>
        <w:rPr>
          <w:sz w:val="16"/>
          <w:szCs w:val="16"/>
        </w:rPr>
      </w:pPr>
      <w:r w:rsidRPr="006C3EF2">
        <w:rPr>
          <w:rStyle w:val="FootnoteReference"/>
          <w:sz w:val="16"/>
          <w:szCs w:val="16"/>
        </w:rPr>
        <w:footnoteRef/>
      </w:r>
      <w:r w:rsidRPr="006C3EF2">
        <w:rPr>
          <w:sz w:val="16"/>
          <w:szCs w:val="16"/>
        </w:rPr>
        <w:t xml:space="preserve"> The PSR Regulations are available at </w:t>
      </w:r>
      <w:hyperlink r:id="rId5" w:history="1">
        <w:r w:rsidR="009C30B9" w:rsidRPr="006C3EF2">
          <w:rPr>
            <w:rStyle w:val="Hyperlink"/>
            <w:rFonts w:cs="Arial"/>
            <w:sz w:val="16"/>
            <w:szCs w:val="16"/>
          </w:rPr>
          <w:t>https://www.legislation.gov.uk/uksi/2023/1348/contents/made</w:t>
        </w:r>
      </w:hyperlink>
      <w:r w:rsidR="009C30B9" w:rsidRPr="006C3EF2">
        <w:rPr>
          <w:rFonts w:cs="Arial"/>
          <w:sz w:val="16"/>
          <w:szCs w:val="16"/>
        </w:rPr>
        <w:t xml:space="preserve"> and the accompanying statutory guidance is available at NHS England, </w:t>
      </w:r>
      <w:r w:rsidR="009C30B9" w:rsidRPr="006C3EF2">
        <w:rPr>
          <w:rFonts w:cs="Arial"/>
          <w:i/>
          <w:iCs/>
          <w:sz w:val="16"/>
          <w:szCs w:val="16"/>
        </w:rPr>
        <w:t>The Provider Selection Regime: statutory guidance</w:t>
      </w:r>
      <w:r w:rsidR="009C30B9" w:rsidRPr="006C3EF2">
        <w:rPr>
          <w:rFonts w:cs="Arial"/>
          <w:sz w:val="16"/>
          <w:szCs w:val="16"/>
        </w:rPr>
        <w:t xml:space="preserve">, </w:t>
      </w:r>
      <w:hyperlink r:id="rId6" w:history="1">
        <w:r w:rsidR="009C30B9" w:rsidRPr="006C3EF2">
          <w:rPr>
            <w:rStyle w:val="Hyperlink"/>
            <w:rFonts w:cs="Arial"/>
            <w:sz w:val="16"/>
            <w:szCs w:val="16"/>
          </w:rPr>
          <w:t>https://www.england.nhs.uk/long-read/the-provider-selection-regime-statutory-guidance/</w:t>
        </w:r>
      </w:hyperlink>
      <w:r w:rsidR="0003126C" w:rsidRPr="006C3EF2">
        <w:rPr>
          <w:sz w:val="16"/>
          <w:szCs w:val="16"/>
        </w:rPr>
        <w:t>.</w:t>
      </w:r>
    </w:p>
  </w:footnote>
  <w:footnote w:id="7">
    <w:p w14:paraId="4722B677" w14:textId="2D112555" w:rsidR="00323C2C" w:rsidRPr="00A9467A" w:rsidRDefault="00323C2C">
      <w:pPr>
        <w:pStyle w:val="FootnoteText"/>
        <w:rPr>
          <w:sz w:val="16"/>
          <w:szCs w:val="16"/>
        </w:rPr>
      </w:pPr>
      <w:r w:rsidRPr="00A9467A">
        <w:rPr>
          <w:rStyle w:val="FootnoteReference"/>
          <w:sz w:val="16"/>
          <w:szCs w:val="16"/>
        </w:rPr>
        <w:footnoteRef/>
      </w:r>
      <w:r w:rsidRPr="00A9467A">
        <w:rPr>
          <w:sz w:val="16"/>
          <w:szCs w:val="16"/>
        </w:rPr>
        <w:t xml:space="preserve"> Further information on </w:t>
      </w:r>
      <w:r w:rsidR="00E23921" w:rsidRPr="00A9467A">
        <w:rPr>
          <w:sz w:val="16"/>
          <w:szCs w:val="16"/>
        </w:rPr>
        <w:t>Sussex ICB</w:t>
      </w:r>
      <w:r w:rsidRPr="00A9467A">
        <w:rPr>
          <w:sz w:val="16"/>
          <w:szCs w:val="16"/>
        </w:rPr>
        <w:t xml:space="preserve"> can be found on its website at</w:t>
      </w:r>
      <w:r w:rsidR="00B5346A" w:rsidRPr="00A9467A">
        <w:rPr>
          <w:sz w:val="16"/>
          <w:szCs w:val="16"/>
        </w:rPr>
        <w:t xml:space="preserve"> https</w:t>
      </w:r>
      <w:hyperlink r:id="rId7" w:history="1">
        <w:r w:rsidR="00B5346A" w:rsidRPr="00A9467A">
          <w:rPr>
            <w:rStyle w:val="Hyperlink"/>
            <w:sz w:val="16"/>
            <w:szCs w:val="16"/>
          </w:rPr>
          <w:t>://www.sussex.ics.nhs.uk/nhs-sussex/</w:t>
        </w:r>
        <w:r w:rsidRPr="00A9467A">
          <w:rPr>
            <w:rStyle w:val="Hyperlink"/>
            <w:sz w:val="16"/>
            <w:szCs w:val="16"/>
          </w:rPr>
          <w:t>.</w:t>
        </w:r>
      </w:hyperlink>
    </w:p>
  </w:footnote>
  <w:footnote w:id="8">
    <w:p w14:paraId="2E457749" w14:textId="0F4844CC" w:rsidR="007B4538" w:rsidRPr="00A9467A" w:rsidRDefault="007B4538">
      <w:pPr>
        <w:pStyle w:val="FootnoteText"/>
        <w:rPr>
          <w:sz w:val="16"/>
          <w:szCs w:val="16"/>
        </w:rPr>
      </w:pPr>
      <w:r w:rsidRPr="00A9467A">
        <w:rPr>
          <w:rStyle w:val="FootnoteReference"/>
          <w:sz w:val="16"/>
          <w:szCs w:val="16"/>
        </w:rPr>
        <w:footnoteRef/>
      </w:r>
      <w:r w:rsidRPr="00A9467A">
        <w:rPr>
          <w:sz w:val="16"/>
          <w:szCs w:val="16"/>
        </w:rPr>
        <w:t xml:space="preserve"> </w:t>
      </w:r>
      <w:r w:rsidR="000179F2" w:rsidRPr="00A9467A">
        <w:rPr>
          <w:sz w:val="16"/>
          <w:szCs w:val="16"/>
        </w:rPr>
        <w:t xml:space="preserve">Sussex ICB, </w:t>
      </w:r>
      <w:r w:rsidR="00E503FA" w:rsidRPr="00A9467A">
        <w:rPr>
          <w:i/>
          <w:iCs/>
          <w:sz w:val="16"/>
          <w:szCs w:val="16"/>
        </w:rPr>
        <w:t>Whitehawk APMS Primary Care Services Background Information (</w:t>
      </w:r>
      <w:r w:rsidR="00CB742D" w:rsidRPr="00A9467A">
        <w:rPr>
          <w:i/>
          <w:iCs/>
          <w:sz w:val="16"/>
          <w:szCs w:val="16"/>
        </w:rPr>
        <w:t>Part D of</w:t>
      </w:r>
      <w:r w:rsidR="00F51EEA" w:rsidRPr="00A9467A">
        <w:rPr>
          <w:i/>
          <w:iCs/>
          <w:sz w:val="16"/>
          <w:szCs w:val="16"/>
        </w:rPr>
        <w:t xml:space="preserve"> the </w:t>
      </w:r>
      <w:r w:rsidR="00514CEA" w:rsidRPr="00A9467A">
        <w:rPr>
          <w:i/>
          <w:iCs/>
          <w:sz w:val="16"/>
          <w:szCs w:val="16"/>
        </w:rPr>
        <w:t>ITT documentation)</w:t>
      </w:r>
      <w:r w:rsidR="0042578F" w:rsidRPr="00A9467A">
        <w:rPr>
          <w:i/>
          <w:iCs/>
          <w:sz w:val="16"/>
          <w:szCs w:val="16"/>
        </w:rPr>
        <w:t xml:space="preserve">, </w:t>
      </w:r>
      <w:r w:rsidR="002247E7" w:rsidRPr="00A9467A">
        <w:rPr>
          <w:sz w:val="16"/>
          <w:szCs w:val="16"/>
        </w:rPr>
        <w:t>17 May 2024</w:t>
      </w:r>
      <w:r w:rsidR="00BA78DE" w:rsidRPr="00A9467A">
        <w:rPr>
          <w:sz w:val="16"/>
          <w:szCs w:val="16"/>
        </w:rPr>
        <w:t>.</w:t>
      </w:r>
    </w:p>
  </w:footnote>
  <w:footnote w:id="9">
    <w:p w14:paraId="0E0BAC17" w14:textId="7282689E" w:rsidR="00D22088" w:rsidRPr="00A9467A" w:rsidRDefault="00D22088">
      <w:pPr>
        <w:pStyle w:val="FootnoteText"/>
        <w:rPr>
          <w:sz w:val="16"/>
          <w:szCs w:val="16"/>
        </w:rPr>
      </w:pPr>
      <w:r w:rsidRPr="00A9467A">
        <w:rPr>
          <w:rStyle w:val="FootnoteReference"/>
          <w:sz w:val="16"/>
          <w:szCs w:val="16"/>
        </w:rPr>
        <w:footnoteRef/>
      </w:r>
      <w:r w:rsidRPr="00A9467A">
        <w:rPr>
          <w:sz w:val="16"/>
          <w:szCs w:val="16"/>
        </w:rPr>
        <w:t xml:space="preserve"> </w:t>
      </w:r>
      <w:r w:rsidR="004B3372" w:rsidRPr="00A9467A">
        <w:rPr>
          <w:sz w:val="16"/>
          <w:szCs w:val="16"/>
        </w:rPr>
        <w:t>Sussex ICB</w:t>
      </w:r>
      <w:r w:rsidR="004B3372" w:rsidRPr="00A9467A">
        <w:rPr>
          <w:i/>
          <w:iCs/>
          <w:sz w:val="16"/>
          <w:szCs w:val="16"/>
        </w:rPr>
        <w:t>, Prior Information Notice on Find a Tender Service</w:t>
      </w:r>
      <w:r w:rsidR="004B3372" w:rsidRPr="00A9467A">
        <w:rPr>
          <w:sz w:val="16"/>
          <w:szCs w:val="16"/>
        </w:rPr>
        <w:t>, 8 January 2024.</w:t>
      </w:r>
    </w:p>
  </w:footnote>
  <w:footnote w:id="10">
    <w:p w14:paraId="78651A5F" w14:textId="75B95FFC" w:rsidR="003C3FBB" w:rsidRPr="00A9467A" w:rsidRDefault="003C3FBB">
      <w:pPr>
        <w:pStyle w:val="FootnoteText"/>
        <w:rPr>
          <w:sz w:val="16"/>
          <w:szCs w:val="16"/>
        </w:rPr>
      </w:pPr>
      <w:r w:rsidRPr="00A9467A">
        <w:rPr>
          <w:rStyle w:val="FootnoteReference"/>
          <w:sz w:val="16"/>
          <w:szCs w:val="16"/>
        </w:rPr>
        <w:footnoteRef/>
      </w:r>
      <w:r w:rsidRPr="00A9467A">
        <w:rPr>
          <w:sz w:val="16"/>
          <w:szCs w:val="16"/>
        </w:rPr>
        <w:t xml:space="preserve"> Sussex ICB, </w:t>
      </w:r>
      <w:r w:rsidRPr="00A9467A">
        <w:rPr>
          <w:i/>
          <w:iCs/>
          <w:sz w:val="16"/>
          <w:szCs w:val="16"/>
        </w:rPr>
        <w:t>Whitehawk APMS tender evaluation report</w:t>
      </w:r>
      <w:r w:rsidRPr="00A9467A">
        <w:rPr>
          <w:sz w:val="16"/>
          <w:szCs w:val="16"/>
        </w:rPr>
        <w:t xml:space="preserve">, </w:t>
      </w:r>
      <w:r w:rsidR="002260C6" w:rsidRPr="00A9467A">
        <w:rPr>
          <w:sz w:val="16"/>
          <w:szCs w:val="16"/>
        </w:rPr>
        <w:t>7 January 2025.</w:t>
      </w:r>
    </w:p>
  </w:footnote>
  <w:footnote w:id="11">
    <w:p w14:paraId="7C92089F" w14:textId="1374DE2A" w:rsidR="009002AA" w:rsidRPr="00A9467A" w:rsidRDefault="009002AA" w:rsidP="009002AA">
      <w:pPr>
        <w:pStyle w:val="FootnoteText"/>
        <w:rPr>
          <w:sz w:val="16"/>
          <w:szCs w:val="16"/>
        </w:rPr>
      </w:pPr>
      <w:r w:rsidRPr="00A9467A">
        <w:rPr>
          <w:rStyle w:val="FootnoteReference"/>
          <w:sz w:val="16"/>
          <w:szCs w:val="16"/>
        </w:rPr>
        <w:footnoteRef/>
      </w:r>
      <w:r w:rsidRPr="00A9467A">
        <w:rPr>
          <w:sz w:val="16"/>
          <w:szCs w:val="16"/>
        </w:rPr>
        <w:t xml:space="preserve"> </w:t>
      </w:r>
      <w:r w:rsidR="00CD331B">
        <w:rPr>
          <w:sz w:val="16"/>
          <w:szCs w:val="16"/>
        </w:rPr>
        <w:t>This included three responses from residents</w:t>
      </w:r>
      <w:r w:rsidR="009753A3">
        <w:rPr>
          <w:sz w:val="16"/>
          <w:szCs w:val="16"/>
        </w:rPr>
        <w:t xml:space="preserve"> outside the Whitehawk area (</w:t>
      </w:r>
      <w:r w:rsidRPr="00A9467A">
        <w:rPr>
          <w:sz w:val="16"/>
          <w:szCs w:val="16"/>
        </w:rPr>
        <w:t xml:space="preserve">Sussex ICB, </w:t>
      </w:r>
      <w:r w:rsidRPr="00A9467A">
        <w:rPr>
          <w:i/>
          <w:iCs/>
          <w:sz w:val="16"/>
          <w:szCs w:val="16"/>
        </w:rPr>
        <w:t>Whitehawk Survey Insight Report,</w:t>
      </w:r>
      <w:r w:rsidRPr="00A9467A">
        <w:rPr>
          <w:sz w:val="16"/>
          <w:szCs w:val="16"/>
        </w:rPr>
        <w:t xml:space="preserve"> 5</w:t>
      </w:r>
      <w:r w:rsidR="009753A3">
        <w:rPr>
          <w:sz w:val="16"/>
          <w:szCs w:val="16"/>
        </w:rPr>
        <w:t> </w:t>
      </w:r>
      <w:r w:rsidRPr="00A9467A">
        <w:rPr>
          <w:sz w:val="16"/>
          <w:szCs w:val="16"/>
        </w:rPr>
        <w:t>March 2024</w:t>
      </w:r>
      <w:r w:rsidR="009753A3">
        <w:rPr>
          <w:sz w:val="16"/>
          <w:szCs w:val="16"/>
        </w:rPr>
        <w:t>)</w:t>
      </w:r>
      <w:r w:rsidRPr="00A9467A">
        <w:rPr>
          <w:sz w:val="16"/>
          <w:szCs w:val="16"/>
        </w:rPr>
        <w:t>.</w:t>
      </w:r>
    </w:p>
  </w:footnote>
  <w:footnote w:id="12">
    <w:p w14:paraId="2AC3B376" w14:textId="143531C4" w:rsidR="004164F3" w:rsidRPr="00A9467A" w:rsidRDefault="004164F3">
      <w:pPr>
        <w:pStyle w:val="FootnoteText"/>
        <w:rPr>
          <w:sz w:val="16"/>
          <w:szCs w:val="16"/>
        </w:rPr>
      </w:pPr>
      <w:r w:rsidRPr="00A9467A">
        <w:rPr>
          <w:rStyle w:val="FootnoteReference"/>
          <w:sz w:val="16"/>
          <w:szCs w:val="16"/>
        </w:rPr>
        <w:footnoteRef/>
      </w:r>
      <w:r w:rsidRPr="00A9467A">
        <w:rPr>
          <w:sz w:val="16"/>
          <w:szCs w:val="16"/>
        </w:rPr>
        <w:t xml:space="preserve"> </w:t>
      </w:r>
      <w:r w:rsidR="00C20CE4" w:rsidRPr="00A9467A">
        <w:rPr>
          <w:sz w:val="16"/>
          <w:szCs w:val="16"/>
        </w:rPr>
        <w:t>Sussex ICB later revised t</w:t>
      </w:r>
      <w:r w:rsidRPr="00A9467A">
        <w:rPr>
          <w:sz w:val="16"/>
          <w:szCs w:val="16"/>
        </w:rPr>
        <w:t xml:space="preserve">he contract commencement date </w:t>
      </w:r>
      <w:r w:rsidR="00C20CE4" w:rsidRPr="00A9467A">
        <w:rPr>
          <w:sz w:val="16"/>
          <w:szCs w:val="16"/>
        </w:rPr>
        <w:t>to 1 September 2025</w:t>
      </w:r>
      <w:r w:rsidR="005D55A7" w:rsidRPr="00A9467A">
        <w:rPr>
          <w:sz w:val="16"/>
          <w:szCs w:val="16"/>
        </w:rPr>
        <w:t xml:space="preserve">, </w:t>
      </w:r>
      <w:r w:rsidR="00BA51B9" w:rsidRPr="00A9467A">
        <w:rPr>
          <w:sz w:val="16"/>
          <w:szCs w:val="16"/>
        </w:rPr>
        <w:t>because of</w:t>
      </w:r>
      <w:r w:rsidR="0030259B" w:rsidRPr="00A9467A">
        <w:rPr>
          <w:sz w:val="16"/>
          <w:szCs w:val="16"/>
        </w:rPr>
        <w:t xml:space="preserve"> </w:t>
      </w:r>
      <w:r w:rsidR="00BA51B9" w:rsidRPr="00A9467A">
        <w:rPr>
          <w:sz w:val="16"/>
          <w:szCs w:val="16"/>
        </w:rPr>
        <w:t>the delay</w:t>
      </w:r>
      <w:r w:rsidR="002062F3" w:rsidRPr="00A9467A">
        <w:rPr>
          <w:sz w:val="16"/>
          <w:szCs w:val="16"/>
        </w:rPr>
        <w:t xml:space="preserve"> </w:t>
      </w:r>
      <w:r w:rsidR="00BA7423" w:rsidRPr="00A9467A">
        <w:rPr>
          <w:sz w:val="16"/>
          <w:szCs w:val="16"/>
        </w:rPr>
        <w:t>caused by</w:t>
      </w:r>
      <w:r w:rsidR="005D55A7" w:rsidRPr="00A9467A">
        <w:rPr>
          <w:sz w:val="16"/>
          <w:szCs w:val="16"/>
        </w:rPr>
        <w:t xml:space="preserve"> the procurement</w:t>
      </w:r>
      <w:r w:rsidR="00BA7423" w:rsidRPr="00A9467A">
        <w:rPr>
          <w:sz w:val="16"/>
          <w:szCs w:val="16"/>
        </w:rPr>
        <w:t xml:space="preserve"> pause</w:t>
      </w:r>
      <w:r w:rsidR="005D55A7" w:rsidRPr="00A9467A">
        <w:rPr>
          <w:sz w:val="16"/>
          <w:szCs w:val="16"/>
        </w:rPr>
        <w:t xml:space="preserve"> </w:t>
      </w:r>
      <w:r w:rsidR="00196DA8" w:rsidRPr="00A9467A">
        <w:rPr>
          <w:sz w:val="16"/>
          <w:szCs w:val="16"/>
        </w:rPr>
        <w:t>between 13</w:t>
      </w:r>
      <w:r w:rsidR="005D55A7" w:rsidRPr="00A9467A">
        <w:rPr>
          <w:sz w:val="16"/>
          <w:szCs w:val="16"/>
        </w:rPr>
        <w:t xml:space="preserve"> June</w:t>
      </w:r>
      <w:r w:rsidR="00D26BA1" w:rsidRPr="00A9467A">
        <w:rPr>
          <w:sz w:val="16"/>
          <w:szCs w:val="16"/>
        </w:rPr>
        <w:t xml:space="preserve"> 2024</w:t>
      </w:r>
      <w:r w:rsidR="001D1E6E" w:rsidRPr="00A9467A">
        <w:rPr>
          <w:sz w:val="16"/>
          <w:szCs w:val="16"/>
        </w:rPr>
        <w:t xml:space="preserve"> </w:t>
      </w:r>
      <w:r w:rsidR="00196DA8" w:rsidRPr="00A9467A">
        <w:rPr>
          <w:sz w:val="16"/>
          <w:szCs w:val="16"/>
        </w:rPr>
        <w:t>and 20</w:t>
      </w:r>
      <w:r w:rsidR="001D1E6E" w:rsidRPr="00A9467A">
        <w:rPr>
          <w:sz w:val="16"/>
          <w:szCs w:val="16"/>
        </w:rPr>
        <w:t xml:space="preserve"> September 2024</w:t>
      </w:r>
      <w:r w:rsidR="005D55A7" w:rsidRPr="00A9467A">
        <w:rPr>
          <w:sz w:val="16"/>
          <w:szCs w:val="16"/>
        </w:rPr>
        <w:t>.</w:t>
      </w:r>
      <w:r w:rsidR="002A62B6" w:rsidRPr="00A9467A">
        <w:rPr>
          <w:sz w:val="16"/>
          <w:szCs w:val="16"/>
        </w:rPr>
        <w:t xml:space="preserve"> </w:t>
      </w:r>
    </w:p>
  </w:footnote>
  <w:footnote w:id="13">
    <w:p w14:paraId="2B57541F" w14:textId="3B56B782" w:rsidR="00E64E91" w:rsidRPr="00A9467A" w:rsidRDefault="00E64E91">
      <w:pPr>
        <w:pStyle w:val="FootnoteText"/>
        <w:rPr>
          <w:sz w:val="16"/>
          <w:szCs w:val="16"/>
        </w:rPr>
      </w:pPr>
      <w:r w:rsidRPr="00A9467A">
        <w:rPr>
          <w:rStyle w:val="FootnoteReference"/>
          <w:sz w:val="16"/>
          <w:szCs w:val="16"/>
        </w:rPr>
        <w:footnoteRef/>
      </w:r>
      <w:r w:rsidRPr="00A9467A">
        <w:rPr>
          <w:sz w:val="16"/>
          <w:szCs w:val="16"/>
        </w:rPr>
        <w:t xml:space="preserve"> </w:t>
      </w:r>
      <w:r w:rsidR="00132457" w:rsidRPr="00A9467A">
        <w:rPr>
          <w:sz w:val="16"/>
          <w:szCs w:val="16"/>
        </w:rPr>
        <w:t>Sussex ICB</w:t>
      </w:r>
      <w:r w:rsidRPr="00A9467A">
        <w:rPr>
          <w:sz w:val="16"/>
          <w:szCs w:val="16"/>
        </w:rPr>
        <w:t xml:space="preserve">, </w:t>
      </w:r>
      <w:r w:rsidRPr="00A9467A">
        <w:rPr>
          <w:i/>
          <w:iCs/>
          <w:sz w:val="16"/>
          <w:szCs w:val="16"/>
        </w:rPr>
        <w:t>Contract Notice on Find a Tender Service,</w:t>
      </w:r>
      <w:r w:rsidRPr="00A9467A">
        <w:rPr>
          <w:sz w:val="16"/>
          <w:szCs w:val="16"/>
        </w:rPr>
        <w:t xml:space="preserve"> </w:t>
      </w:r>
      <w:r w:rsidR="00C77B30" w:rsidRPr="00A9467A">
        <w:rPr>
          <w:sz w:val="16"/>
          <w:szCs w:val="16"/>
        </w:rPr>
        <w:t>17 May 2024</w:t>
      </w:r>
      <w:r w:rsidRPr="00A9467A">
        <w:rPr>
          <w:sz w:val="16"/>
          <w:szCs w:val="16"/>
        </w:rPr>
        <w:t>.</w:t>
      </w:r>
    </w:p>
  </w:footnote>
  <w:footnote w:id="14">
    <w:p w14:paraId="6395FB14" w14:textId="1EEF3902" w:rsidR="00A25788" w:rsidRPr="00A9467A" w:rsidRDefault="00A25788" w:rsidP="00A25788">
      <w:pPr>
        <w:pStyle w:val="FootnoteText"/>
        <w:rPr>
          <w:sz w:val="16"/>
          <w:szCs w:val="16"/>
        </w:rPr>
      </w:pPr>
      <w:r w:rsidRPr="00A9467A">
        <w:rPr>
          <w:rStyle w:val="FootnoteReference"/>
          <w:sz w:val="16"/>
          <w:szCs w:val="16"/>
        </w:rPr>
        <w:footnoteRef/>
      </w:r>
      <w:r w:rsidRPr="00A9467A">
        <w:rPr>
          <w:sz w:val="16"/>
          <w:szCs w:val="16"/>
        </w:rPr>
        <w:t xml:space="preserve"> During the Selection Questionnaire (SQ) stage of the process one bidder withdrew </w:t>
      </w:r>
      <w:r>
        <w:rPr>
          <w:sz w:val="16"/>
          <w:szCs w:val="16"/>
        </w:rPr>
        <w:t>its</w:t>
      </w:r>
      <w:r w:rsidRPr="00A9467A">
        <w:rPr>
          <w:sz w:val="16"/>
          <w:szCs w:val="16"/>
        </w:rPr>
        <w:t xml:space="preserve"> bid, and another bidder failed the initial completeness and compliance checks. Four bidders remained in the process and were further evaluated. STW ICB, </w:t>
      </w:r>
      <w:r w:rsidRPr="00A9467A">
        <w:rPr>
          <w:i/>
          <w:iCs/>
          <w:sz w:val="16"/>
          <w:szCs w:val="16"/>
        </w:rPr>
        <w:t>Whitehawk APMS tender evaluation report</w:t>
      </w:r>
      <w:r w:rsidRPr="00A9467A">
        <w:rPr>
          <w:sz w:val="16"/>
          <w:szCs w:val="16"/>
        </w:rPr>
        <w:t>, 7 January 2025.</w:t>
      </w:r>
    </w:p>
  </w:footnote>
  <w:footnote w:id="15">
    <w:p w14:paraId="41A366ED" w14:textId="09142121" w:rsidR="0004446E" w:rsidRPr="00A9467A" w:rsidRDefault="0004446E">
      <w:pPr>
        <w:pStyle w:val="FootnoteText"/>
        <w:rPr>
          <w:sz w:val="16"/>
          <w:szCs w:val="16"/>
        </w:rPr>
      </w:pPr>
      <w:r w:rsidRPr="00A9467A">
        <w:rPr>
          <w:rStyle w:val="FootnoteReference"/>
          <w:sz w:val="16"/>
          <w:szCs w:val="16"/>
        </w:rPr>
        <w:footnoteRef/>
      </w:r>
      <w:r w:rsidRPr="00A9467A">
        <w:rPr>
          <w:sz w:val="16"/>
          <w:szCs w:val="16"/>
        </w:rPr>
        <w:t xml:space="preserve"> </w:t>
      </w:r>
      <w:r w:rsidR="0027489A" w:rsidRPr="00A9467A">
        <w:rPr>
          <w:sz w:val="16"/>
          <w:szCs w:val="16"/>
        </w:rPr>
        <w:t>One</w:t>
      </w:r>
      <w:r w:rsidR="0037794B" w:rsidRPr="00A9467A">
        <w:rPr>
          <w:sz w:val="16"/>
          <w:szCs w:val="16"/>
        </w:rPr>
        <w:t xml:space="preserve"> Medicare</w:t>
      </w:r>
      <w:r w:rsidR="00D26BA1" w:rsidRPr="00A9467A">
        <w:rPr>
          <w:sz w:val="16"/>
          <w:szCs w:val="16"/>
        </w:rPr>
        <w:t xml:space="preserve"> </w:t>
      </w:r>
      <w:r w:rsidR="000D0946" w:rsidRPr="00A9467A">
        <w:rPr>
          <w:sz w:val="16"/>
          <w:szCs w:val="16"/>
        </w:rPr>
        <w:t xml:space="preserve">is </w:t>
      </w:r>
      <w:r w:rsidR="00B02824" w:rsidRPr="00A9467A">
        <w:rPr>
          <w:sz w:val="16"/>
          <w:szCs w:val="16"/>
        </w:rPr>
        <w:t xml:space="preserve">a provider of </w:t>
      </w:r>
      <w:r w:rsidR="003014AE" w:rsidRPr="00A9467A">
        <w:rPr>
          <w:sz w:val="16"/>
          <w:szCs w:val="16"/>
        </w:rPr>
        <w:t xml:space="preserve">primary, </w:t>
      </w:r>
      <w:r w:rsidR="009C5520" w:rsidRPr="00A9467A">
        <w:rPr>
          <w:sz w:val="16"/>
          <w:szCs w:val="16"/>
        </w:rPr>
        <w:t>community and urgent care</w:t>
      </w:r>
      <w:r w:rsidR="00B02824" w:rsidRPr="00A9467A">
        <w:rPr>
          <w:sz w:val="16"/>
          <w:szCs w:val="16"/>
        </w:rPr>
        <w:t xml:space="preserve"> services and </w:t>
      </w:r>
      <w:r w:rsidR="009C5520" w:rsidRPr="00A9467A">
        <w:rPr>
          <w:sz w:val="16"/>
          <w:szCs w:val="16"/>
        </w:rPr>
        <w:t xml:space="preserve">healthcare </w:t>
      </w:r>
      <w:r w:rsidR="00B02824" w:rsidRPr="00A9467A">
        <w:rPr>
          <w:sz w:val="16"/>
          <w:szCs w:val="16"/>
        </w:rPr>
        <w:t>estates</w:t>
      </w:r>
      <w:r w:rsidR="00162CE0" w:rsidRPr="00A9467A">
        <w:rPr>
          <w:sz w:val="16"/>
          <w:szCs w:val="16"/>
        </w:rPr>
        <w:t xml:space="preserve">. </w:t>
      </w:r>
      <w:r w:rsidR="00E3314A" w:rsidRPr="00A9467A">
        <w:rPr>
          <w:sz w:val="16"/>
          <w:szCs w:val="16"/>
        </w:rPr>
        <w:t>One Medicare is part of One Medical Group and f</w:t>
      </w:r>
      <w:r w:rsidR="00162CE0" w:rsidRPr="00A9467A">
        <w:rPr>
          <w:sz w:val="16"/>
          <w:szCs w:val="16"/>
        </w:rPr>
        <w:t>urther information can be found on its website at</w:t>
      </w:r>
      <w:r w:rsidR="005620D6" w:rsidRPr="00A9467A">
        <w:rPr>
          <w:sz w:val="16"/>
          <w:szCs w:val="16"/>
        </w:rPr>
        <w:t xml:space="preserve"> </w:t>
      </w:r>
      <w:hyperlink r:id="rId8" w:history="1">
        <w:r w:rsidR="005620D6" w:rsidRPr="00A9467A">
          <w:rPr>
            <w:rStyle w:val="Hyperlink"/>
            <w:sz w:val="16"/>
            <w:szCs w:val="16"/>
          </w:rPr>
          <w:t>https://onemedicalgroup.co.uk/</w:t>
        </w:r>
      </w:hyperlink>
      <w:r w:rsidR="005620D6" w:rsidRPr="00A9467A">
        <w:rPr>
          <w:sz w:val="16"/>
          <w:szCs w:val="16"/>
        </w:rPr>
        <w:t>.</w:t>
      </w:r>
    </w:p>
  </w:footnote>
  <w:footnote w:id="16">
    <w:p w14:paraId="535EF242" w14:textId="12F39228" w:rsidR="00A71137" w:rsidRPr="00AF305D" w:rsidRDefault="00A71137">
      <w:pPr>
        <w:pStyle w:val="FootnoteText"/>
        <w:rPr>
          <w:sz w:val="16"/>
          <w:szCs w:val="16"/>
        </w:rPr>
      </w:pPr>
      <w:r w:rsidRPr="00AF305D">
        <w:rPr>
          <w:rStyle w:val="FootnoteReference"/>
          <w:sz w:val="16"/>
          <w:szCs w:val="16"/>
        </w:rPr>
        <w:footnoteRef/>
      </w:r>
      <w:r w:rsidRPr="00AF305D">
        <w:rPr>
          <w:sz w:val="16"/>
          <w:szCs w:val="16"/>
        </w:rPr>
        <w:t xml:space="preserve"> </w:t>
      </w:r>
      <w:r w:rsidR="00FC729A" w:rsidRPr="00AF305D">
        <w:rPr>
          <w:sz w:val="16"/>
          <w:szCs w:val="16"/>
        </w:rPr>
        <w:t xml:space="preserve">To the extent that the </w:t>
      </w:r>
      <w:r w:rsidR="00DF7133" w:rsidRPr="00AF305D">
        <w:rPr>
          <w:sz w:val="16"/>
          <w:szCs w:val="16"/>
        </w:rPr>
        <w:t>concerns</w:t>
      </w:r>
      <w:r w:rsidR="00FC729A" w:rsidRPr="00AF305D">
        <w:rPr>
          <w:sz w:val="16"/>
          <w:szCs w:val="16"/>
        </w:rPr>
        <w:t xml:space="preserve"> raised by Wellsbourne </w:t>
      </w:r>
      <w:r w:rsidR="00DF7133" w:rsidRPr="00AF305D">
        <w:rPr>
          <w:sz w:val="16"/>
          <w:szCs w:val="16"/>
        </w:rPr>
        <w:t xml:space="preserve">relate to matters that occurred prior to the </w:t>
      </w:r>
      <w:r w:rsidR="001548C5">
        <w:rPr>
          <w:sz w:val="16"/>
          <w:szCs w:val="16"/>
        </w:rPr>
        <w:t xml:space="preserve">adoption of the </w:t>
      </w:r>
      <w:r w:rsidR="0092149F" w:rsidRPr="00AF305D">
        <w:rPr>
          <w:sz w:val="16"/>
          <w:szCs w:val="16"/>
        </w:rPr>
        <w:t xml:space="preserve">Provider Selection Regime, these fall outside the Panel’s remit and are not considered </w:t>
      </w:r>
      <w:r w:rsidR="00224E7E" w:rsidRPr="00AF305D">
        <w:rPr>
          <w:sz w:val="16"/>
          <w:szCs w:val="16"/>
        </w:rPr>
        <w:t>further in this report.</w:t>
      </w:r>
    </w:p>
  </w:footnote>
  <w:footnote w:id="17">
    <w:p w14:paraId="300B6995" w14:textId="77920AC6" w:rsidR="001A2DB4" w:rsidRPr="001A2DB4" w:rsidRDefault="001A2DB4">
      <w:pPr>
        <w:pStyle w:val="FootnoteText"/>
        <w:rPr>
          <w:sz w:val="16"/>
          <w:szCs w:val="16"/>
        </w:rPr>
      </w:pPr>
      <w:r w:rsidRPr="001A2DB4">
        <w:rPr>
          <w:rStyle w:val="FootnoteReference"/>
          <w:sz w:val="16"/>
          <w:szCs w:val="16"/>
        </w:rPr>
        <w:footnoteRef/>
      </w:r>
      <w:r w:rsidRPr="001A2DB4">
        <w:rPr>
          <w:sz w:val="16"/>
          <w:szCs w:val="16"/>
        </w:rPr>
        <w:t xml:space="preserve"> NHS England, </w:t>
      </w:r>
      <w:r w:rsidRPr="001A2DB4">
        <w:rPr>
          <w:i/>
          <w:iCs/>
          <w:sz w:val="16"/>
          <w:szCs w:val="16"/>
        </w:rPr>
        <w:t>The Provider Selection Regime: statutory guidance</w:t>
      </w:r>
      <w:r w:rsidRPr="001A2DB4">
        <w:rPr>
          <w:sz w:val="16"/>
          <w:szCs w:val="16"/>
        </w:rPr>
        <w:t>, 21 February 2024, p.2.</w:t>
      </w:r>
    </w:p>
  </w:footnote>
  <w:footnote w:id="18">
    <w:p w14:paraId="7771282B" w14:textId="22C6C62E" w:rsidR="001A2DB4" w:rsidRPr="00C24242" w:rsidRDefault="001A2DB4">
      <w:pPr>
        <w:pStyle w:val="FootnoteText"/>
        <w:rPr>
          <w:sz w:val="16"/>
          <w:szCs w:val="16"/>
        </w:rPr>
      </w:pPr>
      <w:r w:rsidRPr="00C24242">
        <w:rPr>
          <w:rStyle w:val="FootnoteReference"/>
          <w:sz w:val="16"/>
          <w:szCs w:val="16"/>
        </w:rPr>
        <w:footnoteRef/>
      </w:r>
      <w:r w:rsidRPr="00C24242">
        <w:rPr>
          <w:sz w:val="16"/>
          <w:szCs w:val="16"/>
        </w:rPr>
        <w:t xml:space="preserve"> The PSR Statutory Guidance was updated in April 2025. However, references to the Statutory Guidance in this report are to the February 20</w:t>
      </w:r>
      <w:r w:rsidR="00A42E35">
        <w:rPr>
          <w:sz w:val="16"/>
          <w:szCs w:val="16"/>
        </w:rPr>
        <w:t>2</w:t>
      </w:r>
      <w:r w:rsidRPr="00C24242">
        <w:rPr>
          <w:sz w:val="16"/>
          <w:szCs w:val="16"/>
        </w:rPr>
        <w:t>4 guidance as this was the version in force during this provider selection process. Where relevant, differences between the two versions of the Statutory Guidance</w:t>
      </w:r>
      <w:r w:rsidR="00C24242" w:rsidRPr="00C24242">
        <w:rPr>
          <w:sz w:val="16"/>
          <w:szCs w:val="16"/>
        </w:rPr>
        <w:t xml:space="preserve"> are noted in this report.</w:t>
      </w:r>
    </w:p>
  </w:footnote>
  <w:footnote w:id="19">
    <w:p w14:paraId="115B767A" w14:textId="1EB43080" w:rsidR="00E153F3" w:rsidRPr="007238E8" w:rsidRDefault="00E153F3">
      <w:pPr>
        <w:pStyle w:val="FootnoteText"/>
        <w:rPr>
          <w:sz w:val="16"/>
          <w:szCs w:val="16"/>
        </w:rPr>
      </w:pPr>
      <w:r w:rsidRPr="007238E8">
        <w:rPr>
          <w:rStyle w:val="FootnoteReference"/>
          <w:sz w:val="16"/>
          <w:szCs w:val="16"/>
        </w:rPr>
        <w:footnoteRef/>
      </w:r>
      <w:r w:rsidRPr="007238E8">
        <w:rPr>
          <w:sz w:val="16"/>
          <w:szCs w:val="16"/>
        </w:rPr>
        <w:t xml:space="preserve"> </w:t>
      </w:r>
      <w:r w:rsidR="00FC33C3" w:rsidRPr="007238E8">
        <w:rPr>
          <w:sz w:val="16"/>
          <w:szCs w:val="16"/>
        </w:rPr>
        <w:t xml:space="preserve">The Panel uses the term </w:t>
      </w:r>
      <w:r w:rsidR="00187F0A" w:rsidRPr="007238E8">
        <w:rPr>
          <w:sz w:val="16"/>
          <w:szCs w:val="16"/>
        </w:rPr>
        <w:t xml:space="preserve">‘quality-related questions’ to refer to all questions </w:t>
      </w:r>
      <w:r w:rsidR="0093218B" w:rsidRPr="007238E8">
        <w:rPr>
          <w:sz w:val="16"/>
          <w:szCs w:val="16"/>
        </w:rPr>
        <w:t xml:space="preserve">asked </w:t>
      </w:r>
      <w:r w:rsidR="00187F0A" w:rsidRPr="007238E8">
        <w:rPr>
          <w:sz w:val="16"/>
          <w:szCs w:val="16"/>
        </w:rPr>
        <w:t xml:space="preserve">under the four key criteria of </w:t>
      </w:r>
      <w:r w:rsidR="0044121D" w:rsidRPr="007238E8">
        <w:rPr>
          <w:sz w:val="16"/>
          <w:szCs w:val="16"/>
        </w:rPr>
        <w:t>(</w:t>
      </w:r>
      <w:r w:rsidR="0044121D" w:rsidRPr="007238E8">
        <w:rPr>
          <w:sz w:val="16"/>
          <w:szCs w:val="16"/>
        </w:rPr>
        <w:t xml:space="preserve">i) </w:t>
      </w:r>
      <w:r w:rsidR="0093218B" w:rsidRPr="007238E8">
        <w:rPr>
          <w:sz w:val="16"/>
          <w:szCs w:val="16"/>
        </w:rPr>
        <w:t>Q</w:t>
      </w:r>
      <w:r w:rsidR="0044121D" w:rsidRPr="007238E8">
        <w:rPr>
          <w:sz w:val="16"/>
          <w:szCs w:val="16"/>
        </w:rPr>
        <w:t xml:space="preserve">uality and innovation, (ii) </w:t>
      </w:r>
      <w:r w:rsidR="0093218B" w:rsidRPr="007238E8">
        <w:rPr>
          <w:sz w:val="16"/>
          <w:szCs w:val="16"/>
        </w:rPr>
        <w:t>I</w:t>
      </w:r>
      <w:r w:rsidR="0044121D" w:rsidRPr="007238E8">
        <w:rPr>
          <w:sz w:val="16"/>
          <w:szCs w:val="16"/>
        </w:rPr>
        <w:t>ntegration, collaboration and service sustainability</w:t>
      </w:r>
      <w:r w:rsidR="009C28DC" w:rsidRPr="007238E8">
        <w:rPr>
          <w:sz w:val="16"/>
          <w:szCs w:val="16"/>
        </w:rPr>
        <w:t>, (iii)</w:t>
      </w:r>
      <w:r w:rsidR="0093218B" w:rsidRPr="007238E8">
        <w:rPr>
          <w:sz w:val="16"/>
          <w:szCs w:val="16"/>
        </w:rPr>
        <w:t> I</w:t>
      </w:r>
      <w:r w:rsidR="007673FA" w:rsidRPr="007238E8">
        <w:rPr>
          <w:sz w:val="16"/>
          <w:szCs w:val="16"/>
        </w:rPr>
        <w:t xml:space="preserve">mproving access, reducing health inequalities and facilitating choice, and (iv) </w:t>
      </w:r>
      <w:r w:rsidR="0093218B" w:rsidRPr="007238E8">
        <w:rPr>
          <w:sz w:val="16"/>
          <w:szCs w:val="16"/>
        </w:rPr>
        <w:t>S</w:t>
      </w:r>
      <w:r w:rsidR="007673FA" w:rsidRPr="007238E8">
        <w:rPr>
          <w:sz w:val="16"/>
          <w:szCs w:val="16"/>
        </w:rPr>
        <w:t>ocial value</w:t>
      </w:r>
      <w:r w:rsidR="000E1B6A" w:rsidRPr="007238E8">
        <w:rPr>
          <w:sz w:val="16"/>
          <w:szCs w:val="16"/>
        </w:rPr>
        <w:t>. The Panel uses the term ‘financial</w:t>
      </w:r>
      <w:r w:rsidR="0093218B" w:rsidRPr="007238E8">
        <w:rPr>
          <w:sz w:val="16"/>
          <w:szCs w:val="16"/>
        </w:rPr>
        <w:t xml:space="preserve"> questions’ to refer to all questions asked under the fifth key criterion, namely Value.</w:t>
      </w:r>
    </w:p>
  </w:footnote>
  <w:footnote w:id="20">
    <w:p w14:paraId="59792A01" w14:textId="478C3D90" w:rsidR="00CC18E4" w:rsidRPr="006E67FE" w:rsidRDefault="00CC18E4" w:rsidP="00CC18E4">
      <w:pPr>
        <w:pStyle w:val="FootnoteText"/>
        <w:rPr>
          <w:sz w:val="16"/>
          <w:szCs w:val="16"/>
        </w:rPr>
      </w:pPr>
      <w:r w:rsidRPr="006E67FE">
        <w:rPr>
          <w:rStyle w:val="FootnoteReference"/>
          <w:sz w:val="16"/>
          <w:szCs w:val="16"/>
        </w:rPr>
        <w:footnoteRef/>
      </w:r>
      <w:r w:rsidRPr="006E67FE">
        <w:rPr>
          <w:sz w:val="16"/>
          <w:szCs w:val="16"/>
        </w:rPr>
        <w:t xml:space="preserve"> NHS England, </w:t>
      </w:r>
      <w:r w:rsidRPr="006E67FE">
        <w:rPr>
          <w:i/>
          <w:iCs/>
          <w:sz w:val="16"/>
          <w:szCs w:val="16"/>
        </w:rPr>
        <w:t>The Provider Selection Regime: statutory guidance</w:t>
      </w:r>
      <w:r w:rsidRPr="006E67FE">
        <w:rPr>
          <w:sz w:val="16"/>
          <w:szCs w:val="16"/>
        </w:rPr>
        <w:t>, 21 February 2024, p.</w:t>
      </w:r>
      <w:r w:rsidR="00797F39">
        <w:rPr>
          <w:sz w:val="16"/>
          <w:szCs w:val="16"/>
        </w:rPr>
        <w:t>2</w:t>
      </w:r>
      <w:r>
        <w:rPr>
          <w:sz w:val="16"/>
          <w:szCs w:val="16"/>
        </w:rPr>
        <w:t>1.</w:t>
      </w:r>
      <w:r w:rsidR="005760D8">
        <w:rPr>
          <w:sz w:val="16"/>
          <w:szCs w:val="16"/>
        </w:rPr>
        <w:t xml:space="preserve"> (The PSR statutory guidance has since been revised</w:t>
      </w:r>
      <w:r w:rsidR="008C5689">
        <w:rPr>
          <w:sz w:val="16"/>
          <w:szCs w:val="16"/>
        </w:rPr>
        <w:t xml:space="preserve"> but similarly says that </w:t>
      </w:r>
      <w:r w:rsidR="00565309">
        <w:rPr>
          <w:sz w:val="16"/>
          <w:szCs w:val="16"/>
        </w:rPr>
        <w:t>“</w:t>
      </w:r>
      <w:r w:rsidR="008C5689" w:rsidRPr="008C5689">
        <w:rPr>
          <w:sz w:val="16"/>
          <w:szCs w:val="16"/>
        </w:rPr>
        <w:t xml:space="preserve">The relative importance of the key criteria is not predetermined by the Regulations or this guidance and there is no prescribed hierarchy or weighting for each criterion. Relevant authorities must decide their relative importance for each decision they make under this regime, based on the proposed contracting arrangements and what they are seeking to achieve from them </w:t>
      </w:r>
      <w:r w:rsidR="008C5689" w:rsidRPr="008C5689">
        <w:rPr>
          <w:sz w:val="16"/>
          <w:szCs w:val="16"/>
        </w:rPr>
        <w:t>ort he services, including for scenarios where a particular criterion is ‘pass or fail’ or certain key criteria are equally important</w:t>
      </w:r>
      <w:r w:rsidR="008C5689">
        <w:rPr>
          <w:sz w:val="16"/>
          <w:szCs w:val="16"/>
        </w:rPr>
        <w:t>”.</w:t>
      </w:r>
      <w:r w:rsidR="00952237">
        <w:rPr>
          <w:sz w:val="16"/>
          <w:szCs w:val="16"/>
        </w:rPr>
        <w:t>)</w:t>
      </w:r>
    </w:p>
  </w:footnote>
  <w:footnote w:id="21">
    <w:p w14:paraId="184D4D85" w14:textId="0DDE53DC" w:rsidR="00CC18E4" w:rsidRPr="00DE7DB7" w:rsidRDefault="00CC18E4" w:rsidP="00CC18E4">
      <w:pPr>
        <w:pStyle w:val="FootnoteText"/>
        <w:rPr>
          <w:sz w:val="16"/>
          <w:szCs w:val="16"/>
        </w:rPr>
      </w:pPr>
      <w:r w:rsidRPr="00DE7DB7">
        <w:rPr>
          <w:rStyle w:val="FootnoteReference"/>
          <w:sz w:val="16"/>
          <w:szCs w:val="16"/>
        </w:rPr>
        <w:footnoteRef/>
      </w:r>
      <w:r w:rsidRPr="00DE7DB7">
        <w:rPr>
          <w:sz w:val="16"/>
          <w:szCs w:val="16"/>
        </w:rPr>
        <w:t xml:space="preserve"> Cabinet Office, </w:t>
      </w:r>
      <w:r w:rsidRPr="00DE7DB7">
        <w:rPr>
          <w:i/>
          <w:iCs/>
          <w:sz w:val="16"/>
          <w:szCs w:val="16"/>
        </w:rPr>
        <w:t>P</w:t>
      </w:r>
      <w:r w:rsidR="00D74931">
        <w:rPr>
          <w:i/>
          <w:iCs/>
          <w:sz w:val="16"/>
          <w:szCs w:val="16"/>
        </w:rPr>
        <w:t xml:space="preserve">PN </w:t>
      </w:r>
      <w:r w:rsidR="00351283">
        <w:rPr>
          <w:i/>
          <w:iCs/>
          <w:sz w:val="16"/>
          <w:szCs w:val="16"/>
        </w:rPr>
        <w:t>002: Taking account of social value in the award of contracts</w:t>
      </w:r>
      <w:r w:rsidRPr="00DE7DB7">
        <w:rPr>
          <w:sz w:val="16"/>
          <w:szCs w:val="16"/>
        </w:rPr>
        <w:t xml:space="preserve">, </w:t>
      </w:r>
      <w:r w:rsidR="00351283">
        <w:rPr>
          <w:sz w:val="16"/>
          <w:szCs w:val="16"/>
        </w:rPr>
        <w:t xml:space="preserve">13 February </w:t>
      </w:r>
      <w:r w:rsidRPr="00DE7DB7">
        <w:rPr>
          <w:sz w:val="16"/>
          <w:szCs w:val="16"/>
        </w:rPr>
        <w:t>202</w:t>
      </w:r>
      <w:r w:rsidR="00351283">
        <w:rPr>
          <w:sz w:val="16"/>
          <w:szCs w:val="16"/>
        </w:rPr>
        <w:t>5</w:t>
      </w:r>
      <w:r w:rsidRPr="00DE7DB7">
        <w:rPr>
          <w:sz w:val="16"/>
          <w:szCs w:val="16"/>
        </w:rPr>
        <w:t>.</w:t>
      </w:r>
      <w:r w:rsidR="004242A2">
        <w:rPr>
          <w:sz w:val="16"/>
          <w:szCs w:val="16"/>
        </w:rPr>
        <w:t xml:space="preserve"> (While this guidance was put in place after the provider selection process that is the subject of this review, </w:t>
      </w:r>
      <w:r w:rsidR="00723779">
        <w:rPr>
          <w:sz w:val="16"/>
          <w:szCs w:val="16"/>
        </w:rPr>
        <w:t xml:space="preserve">it repeats </w:t>
      </w:r>
      <w:r w:rsidR="00940549">
        <w:rPr>
          <w:sz w:val="16"/>
          <w:szCs w:val="16"/>
        </w:rPr>
        <w:t>earlier Cabinet Office guidance on this subject.)</w:t>
      </w:r>
    </w:p>
  </w:footnote>
  <w:footnote w:id="22">
    <w:p w14:paraId="4AAFA74A" w14:textId="3FB727A4" w:rsidR="00DB6118" w:rsidRPr="007238E8" w:rsidRDefault="00DB6118">
      <w:pPr>
        <w:pStyle w:val="FootnoteText"/>
        <w:rPr>
          <w:sz w:val="16"/>
          <w:szCs w:val="16"/>
        </w:rPr>
      </w:pPr>
      <w:r w:rsidRPr="007238E8">
        <w:rPr>
          <w:rStyle w:val="FootnoteReference"/>
          <w:sz w:val="16"/>
          <w:szCs w:val="16"/>
        </w:rPr>
        <w:footnoteRef/>
      </w:r>
      <w:r w:rsidRPr="007238E8">
        <w:rPr>
          <w:sz w:val="16"/>
          <w:szCs w:val="16"/>
        </w:rPr>
        <w:t xml:space="preserve"> NHS England, </w:t>
      </w:r>
      <w:r w:rsidR="005B4E7E" w:rsidRPr="007238E8">
        <w:rPr>
          <w:i/>
          <w:sz w:val="16"/>
          <w:szCs w:val="16"/>
        </w:rPr>
        <w:t>NHS Social Value Playbook</w:t>
      </w:r>
      <w:r w:rsidR="005B4E7E">
        <w:rPr>
          <w:sz w:val="16"/>
          <w:szCs w:val="16"/>
        </w:rPr>
        <w:t>, 14 July 2025, p.</w:t>
      </w:r>
      <w:r w:rsidR="00625B81">
        <w:rPr>
          <w:sz w:val="16"/>
          <w:szCs w:val="16"/>
        </w:rPr>
        <w:t>4.</w:t>
      </w:r>
    </w:p>
  </w:footnote>
  <w:footnote w:id="23">
    <w:p w14:paraId="7D60FF0C" w14:textId="77777777" w:rsidR="002E3FB2" w:rsidRPr="009C7F0B" w:rsidRDefault="002E3FB2" w:rsidP="002E3FB2">
      <w:pPr>
        <w:pStyle w:val="FootnoteText"/>
        <w:rPr>
          <w:sz w:val="16"/>
          <w:szCs w:val="16"/>
        </w:rPr>
      </w:pPr>
      <w:r w:rsidRPr="009C7F0B">
        <w:rPr>
          <w:rStyle w:val="FootnoteReference"/>
          <w:sz w:val="16"/>
          <w:szCs w:val="16"/>
        </w:rPr>
        <w:footnoteRef/>
      </w:r>
      <w:r w:rsidRPr="009C7F0B">
        <w:rPr>
          <w:sz w:val="16"/>
          <w:szCs w:val="16"/>
        </w:rPr>
        <w:t xml:space="preserve"> </w:t>
      </w:r>
      <w:r w:rsidRPr="006E77A9">
        <w:rPr>
          <w:sz w:val="16"/>
          <w:szCs w:val="16"/>
        </w:rPr>
        <w:t xml:space="preserve">Wellsbourne, </w:t>
      </w:r>
      <w:r w:rsidRPr="006E77A9">
        <w:rPr>
          <w:i/>
          <w:iCs/>
          <w:sz w:val="16"/>
          <w:szCs w:val="16"/>
        </w:rPr>
        <w:t>Response to Panel questions,</w:t>
      </w:r>
      <w:r w:rsidRPr="006E77A9">
        <w:rPr>
          <w:sz w:val="16"/>
          <w:szCs w:val="16"/>
        </w:rPr>
        <w:t xml:space="preserve"> 30 June 2025.</w:t>
      </w:r>
    </w:p>
  </w:footnote>
  <w:footnote w:id="24">
    <w:p w14:paraId="1A0DB985" w14:textId="715D4229" w:rsidR="00097876" w:rsidRPr="00643DCD" w:rsidRDefault="00097876">
      <w:pPr>
        <w:pStyle w:val="FootnoteText"/>
        <w:rPr>
          <w:sz w:val="16"/>
          <w:szCs w:val="16"/>
        </w:rPr>
      </w:pPr>
      <w:r w:rsidRPr="00643DCD">
        <w:rPr>
          <w:rStyle w:val="FootnoteReference"/>
          <w:sz w:val="16"/>
          <w:szCs w:val="16"/>
        </w:rPr>
        <w:footnoteRef/>
      </w:r>
      <w:r w:rsidRPr="00643DCD">
        <w:rPr>
          <w:sz w:val="16"/>
          <w:szCs w:val="16"/>
        </w:rPr>
        <w:t xml:space="preserve"> Wellsbourne, </w:t>
      </w:r>
      <w:r w:rsidRPr="007238E8">
        <w:rPr>
          <w:i/>
          <w:sz w:val="16"/>
          <w:szCs w:val="16"/>
        </w:rPr>
        <w:t>Accompanying representations letter to the Panel</w:t>
      </w:r>
      <w:r w:rsidRPr="00643DCD">
        <w:rPr>
          <w:sz w:val="16"/>
          <w:szCs w:val="16"/>
        </w:rPr>
        <w:t>, 23 May 2025.</w:t>
      </w:r>
    </w:p>
  </w:footnote>
  <w:footnote w:id="25">
    <w:p w14:paraId="016B3D51" w14:textId="5D7C128B" w:rsidR="00DB10E2" w:rsidRPr="00FE6B23" w:rsidRDefault="00DB10E2" w:rsidP="00DB10E2">
      <w:pPr>
        <w:pStyle w:val="FootnoteText"/>
        <w:rPr>
          <w:sz w:val="16"/>
          <w:szCs w:val="16"/>
        </w:rPr>
      </w:pPr>
      <w:r w:rsidRPr="00FE6B23">
        <w:rPr>
          <w:rStyle w:val="FootnoteReference"/>
          <w:sz w:val="16"/>
          <w:szCs w:val="16"/>
        </w:rPr>
        <w:footnoteRef/>
      </w:r>
      <w:r w:rsidRPr="00FE6B23">
        <w:rPr>
          <w:sz w:val="16"/>
          <w:szCs w:val="16"/>
        </w:rPr>
        <w:t xml:space="preserve"> Sussex ICB, </w:t>
      </w:r>
      <w:r w:rsidRPr="00575E2E">
        <w:rPr>
          <w:i/>
          <w:iCs/>
          <w:sz w:val="16"/>
          <w:szCs w:val="16"/>
        </w:rPr>
        <w:t>Whitehawk APMS ITT Document – Appendix 5 ITT Questions</w:t>
      </w:r>
      <w:r w:rsidRPr="00575E2E">
        <w:rPr>
          <w:sz w:val="16"/>
          <w:szCs w:val="16"/>
        </w:rPr>
        <w:t>, 17 May 2024.</w:t>
      </w:r>
    </w:p>
  </w:footnote>
  <w:footnote w:id="26">
    <w:p w14:paraId="3D63C36B" w14:textId="77777777" w:rsidR="002830F6" w:rsidRPr="003B4157" w:rsidRDefault="002830F6" w:rsidP="002830F6">
      <w:pPr>
        <w:pStyle w:val="FootnoteText"/>
        <w:rPr>
          <w:sz w:val="16"/>
          <w:szCs w:val="16"/>
        </w:rPr>
      </w:pPr>
      <w:r w:rsidRPr="003B4157">
        <w:rPr>
          <w:rStyle w:val="FootnoteReference"/>
          <w:sz w:val="16"/>
          <w:szCs w:val="16"/>
        </w:rPr>
        <w:footnoteRef/>
      </w:r>
      <w:r w:rsidRPr="003B4157">
        <w:rPr>
          <w:sz w:val="16"/>
          <w:szCs w:val="16"/>
        </w:rPr>
        <w:t xml:space="preserve"> Sussex ICB, </w:t>
      </w:r>
      <w:r w:rsidRPr="003B4157">
        <w:rPr>
          <w:i/>
          <w:iCs/>
          <w:sz w:val="16"/>
          <w:szCs w:val="16"/>
        </w:rPr>
        <w:t>Whitehawk APMS ITT Document</w:t>
      </w:r>
      <w:r w:rsidRPr="003B4157">
        <w:rPr>
          <w:sz w:val="16"/>
          <w:szCs w:val="16"/>
        </w:rPr>
        <w:t>, 17 May 2024.</w:t>
      </w:r>
    </w:p>
  </w:footnote>
  <w:footnote w:id="27">
    <w:p w14:paraId="0A1BF80A" w14:textId="77777777" w:rsidR="00DB10E2" w:rsidRPr="003B4157" w:rsidRDefault="00DB10E2" w:rsidP="00DB10E2">
      <w:pPr>
        <w:pStyle w:val="FootnoteText"/>
        <w:rPr>
          <w:sz w:val="16"/>
          <w:szCs w:val="16"/>
        </w:rPr>
      </w:pPr>
      <w:r w:rsidRPr="003B4157">
        <w:rPr>
          <w:rStyle w:val="FootnoteReference"/>
          <w:sz w:val="16"/>
          <w:szCs w:val="16"/>
        </w:rPr>
        <w:footnoteRef/>
      </w:r>
      <w:r w:rsidRPr="003B4157">
        <w:rPr>
          <w:sz w:val="16"/>
          <w:szCs w:val="16"/>
        </w:rPr>
        <w:t xml:space="preserve"> Sussex ICB, </w:t>
      </w:r>
      <w:r w:rsidRPr="003B4157">
        <w:rPr>
          <w:i/>
          <w:iCs/>
          <w:sz w:val="16"/>
          <w:szCs w:val="16"/>
        </w:rPr>
        <w:t>Whitehawk APMS ITT Document</w:t>
      </w:r>
      <w:r w:rsidRPr="003B4157">
        <w:rPr>
          <w:sz w:val="16"/>
          <w:szCs w:val="16"/>
        </w:rPr>
        <w:t>, 17 May 2024.</w:t>
      </w:r>
    </w:p>
  </w:footnote>
  <w:footnote w:id="28">
    <w:p w14:paraId="291D8219" w14:textId="77777777" w:rsidR="0078356C" w:rsidRPr="00D51AEE" w:rsidRDefault="0078356C" w:rsidP="0078356C">
      <w:pPr>
        <w:pStyle w:val="FootnoteText"/>
        <w:rPr>
          <w:sz w:val="16"/>
          <w:szCs w:val="16"/>
        </w:rPr>
      </w:pPr>
      <w:r w:rsidRPr="00D51AEE">
        <w:rPr>
          <w:rStyle w:val="FootnoteReference"/>
          <w:sz w:val="16"/>
          <w:szCs w:val="16"/>
        </w:rPr>
        <w:footnoteRef/>
      </w:r>
      <w:r w:rsidRPr="00D51AEE">
        <w:rPr>
          <w:sz w:val="16"/>
          <w:szCs w:val="16"/>
        </w:rPr>
        <w:t xml:space="preserve"> </w:t>
      </w:r>
      <w:r w:rsidRPr="0048088E">
        <w:rPr>
          <w:sz w:val="16"/>
          <w:szCs w:val="16"/>
        </w:rPr>
        <w:t xml:space="preserve">Wellsbourne, </w:t>
      </w:r>
      <w:r w:rsidRPr="0048088E">
        <w:rPr>
          <w:i/>
          <w:iCs/>
          <w:sz w:val="16"/>
          <w:szCs w:val="16"/>
        </w:rPr>
        <w:t>Representations to Sussex ICB,</w:t>
      </w:r>
      <w:r w:rsidRPr="0048088E">
        <w:rPr>
          <w:sz w:val="16"/>
          <w:szCs w:val="16"/>
        </w:rPr>
        <w:t xml:space="preserve"> 20 March 2025.</w:t>
      </w:r>
    </w:p>
  </w:footnote>
  <w:footnote w:id="29">
    <w:p w14:paraId="6C14C9A1" w14:textId="77777777" w:rsidR="0078356C" w:rsidRPr="00D51AEE" w:rsidRDefault="0078356C" w:rsidP="0078356C">
      <w:pPr>
        <w:pStyle w:val="FootnoteText"/>
        <w:rPr>
          <w:sz w:val="16"/>
          <w:szCs w:val="16"/>
        </w:rPr>
      </w:pPr>
      <w:r w:rsidRPr="00D51AEE">
        <w:rPr>
          <w:rStyle w:val="FootnoteReference"/>
          <w:sz w:val="16"/>
          <w:szCs w:val="16"/>
        </w:rPr>
        <w:footnoteRef/>
      </w:r>
      <w:r w:rsidRPr="00D51AEE">
        <w:rPr>
          <w:sz w:val="16"/>
          <w:szCs w:val="16"/>
        </w:rPr>
        <w:t xml:space="preserve"> </w:t>
      </w:r>
      <w:r w:rsidRPr="00FD5F7B">
        <w:rPr>
          <w:sz w:val="16"/>
          <w:szCs w:val="16"/>
        </w:rPr>
        <w:t xml:space="preserve">Sussex ICB, </w:t>
      </w:r>
      <w:r w:rsidRPr="00FD5F7B">
        <w:rPr>
          <w:i/>
          <w:iCs/>
          <w:sz w:val="16"/>
          <w:szCs w:val="16"/>
        </w:rPr>
        <w:t>Wellsbourne Representation response letter</w:t>
      </w:r>
      <w:r w:rsidRPr="00FD5F7B">
        <w:rPr>
          <w:sz w:val="16"/>
          <w:szCs w:val="16"/>
        </w:rPr>
        <w:t>, 28 March 2025.</w:t>
      </w:r>
    </w:p>
  </w:footnote>
  <w:footnote w:id="30">
    <w:p w14:paraId="62B98002" w14:textId="3C15825D" w:rsidR="00A5419F" w:rsidRPr="007238E8" w:rsidRDefault="00A5419F">
      <w:pPr>
        <w:pStyle w:val="FootnoteText"/>
        <w:rPr>
          <w:sz w:val="16"/>
          <w:szCs w:val="16"/>
        </w:rPr>
      </w:pPr>
      <w:r w:rsidRPr="007238E8">
        <w:rPr>
          <w:rStyle w:val="FootnoteReference"/>
          <w:sz w:val="16"/>
          <w:szCs w:val="16"/>
        </w:rPr>
        <w:footnoteRef/>
      </w:r>
      <w:r w:rsidRPr="007238E8">
        <w:rPr>
          <w:sz w:val="16"/>
          <w:szCs w:val="16"/>
        </w:rPr>
        <w:t xml:space="preserve"> Sussex ICB, </w:t>
      </w:r>
      <w:r w:rsidRPr="007238E8">
        <w:rPr>
          <w:i/>
          <w:sz w:val="16"/>
          <w:szCs w:val="16"/>
        </w:rPr>
        <w:t>Response to Q7 RA Evaluation Process</w:t>
      </w:r>
      <w:r w:rsidRPr="007238E8">
        <w:rPr>
          <w:sz w:val="16"/>
          <w:szCs w:val="16"/>
        </w:rPr>
        <w:t xml:space="preserve">, </w:t>
      </w:r>
      <w:r w:rsidR="00403DBC">
        <w:rPr>
          <w:sz w:val="16"/>
          <w:szCs w:val="16"/>
        </w:rPr>
        <w:t>3 June 2025</w:t>
      </w:r>
      <w:r>
        <w:rPr>
          <w:sz w:val="16"/>
          <w:szCs w:val="16"/>
        </w:rPr>
        <w:t>.</w:t>
      </w:r>
    </w:p>
  </w:footnote>
  <w:footnote w:id="31">
    <w:p w14:paraId="43F9075C" w14:textId="77777777" w:rsidR="00924139" w:rsidRPr="007338E1" w:rsidRDefault="00924139" w:rsidP="00924139">
      <w:pPr>
        <w:pStyle w:val="FootnoteText"/>
        <w:rPr>
          <w:sz w:val="16"/>
          <w:szCs w:val="16"/>
        </w:rPr>
      </w:pPr>
      <w:r w:rsidRPr="007338E1">
        <w:rPr>
          <w:rStyle w:val="FootnoteReference"/>
          <w:sz w:val="16"/>
          <w:szCs w:val="16"/>
        </w:rPr>
        <w:footnoteRef/>
      </w:r>
      <w:r w:rsidRPr="007338E1">
        <w:rPr>
          <w:sz w:val="16"/>
          <w:szCs w:val="16"/>
        </w:rPr>
        <w:t xml:space="preserve"> Wellsbourne, </w:t>
      </w:r>
      <w:r w:rsidRPr="007338E1">
        <w:rPr>
          <w:i/>
          <w:iCs/>
          <w:sz w:val="16"/>
          <w:szCs w:val="16"/>
        </w:rPr>
        <w:t>Accompanying representations letter to the Panel,</w:t>
      </w:r>
      <w:r w:rsidRPr="007338E1">
        <w:rPr>
          <w:sz w:val="16"/>
          <w:szCs w:val="16"/>
        </w:rPr>
        <w:t xml:space="preserve"> 23 May 2025.</w:t>
      </w:r>
    </w:p>
  </w:footnote>
  <w:footnote w:id="32">
    <w:p w14:paraId="389FF344" w14:textId="58EF32AA" w:rsidR="00F1407E" w:rsidRPr="00F1407E" w:rsidRDefault="00F1407E">
      <w:pPr>
        <w:pStyle w:val="FootnoteText"/>
        <w:rPr>
          <w:sz w:val="16"/>
          <w:szCs w:val="16"/>
        </w:rPr>
      </w:pPr>
      <w:r w:rsidRPr="00F1407E">
        <w:rPr>
          <w:rStyle w:val="FootnoteReference"/>
          <w:sz w:val="16"/>
          <w:szCs w:val="16"/>
        </w:rPr>
        <w:footnoteRef/>
      </w:r>
      <w:r w:rsidRPr="00F1407E">
        <w:rPr>
          <w:sz w:val="16"/>
          <w:szCs w:val="16"/>
        </w:rPr>
        <w:t xml:space="preserve"> Sussex ICB, </w:t>
      </w:r>
      <w:r w:rsidRPr="00F1407E">
        <w:rPr>
          <w:i/>
          <w:iCs/>
          <w:sz w:val="16"/>
          <w:szCs w:val="16"/>
        </w:rPr>
        <w:t>Whitehawk APMS ITT Document</w:t>
      </w:r>
      <w:r w:rsidRPr="00F1407E">
        <w:rPr>
          <w:sz w:val="16"/>
          <w:szCs w:val="16"/>
        </w:rPr>
        <w:t>, 17 May 202</w:t>
      </w:r>
      <w:r w:rsidR="000657ED">
        <w:rPr>
          <w:sz w:val="16"/>
          <w:szCs w:val="16"/>
        </w:rPr>
        <w:t>4</w:t>
      </w:r>
      <w:r w:rsidRPr="00F1407E">
        <w:rPr>
          <w:sz w:val="16"/>
          <w:szCs w:val="16"/>
        </w:rPr>
        <w:t>.</w:t>
      </w:r>
    </w:p>
  </w:footnote>
  <w:footnote w:id="33">
    <w:p w14:paraId="0C18EDB4" w14:textId="77777777" w:rsidR="00F17A1F" w:rsidRPr="00E70006" w:rsidRDefault="00F17A1F" w:rsidP="00F17A1F">
      <w:pPr>
        <w:pStyle w:val="FootnoteText"/>
        <w:rPr>
          <w:sz w:val="16"/>
          <w:szCs w:val="16"/>
        </w:rPr>
      </w:pPr>
      <w:r w:rsidRPr="00E70006">
        <w:rPr>
          <w:rStyle w:val="FootnoteReference"/>
          <w:sz w:val="16"/>
          <w:szCs w:val="16"/>
        </w:rPr>
        <w:footnoteRef/>
      </w:r>
      <w:r w:rsidRPr="00E70006">
        <w:rPr>
          <w:sz w:val="16"/>
          <w:szCs w:val="16"/>
        </w:rPr>
        <w:t xml:space="preserve"> Sussex ICB, </w:t>
      </w:r>
      <w:r w:rsidRPr="00E70006">
        <w:rPr>
          <w:i/>
          <w:iCs/>
          <w:sz w:val="16"/>
          <w:szCs w:val="16"/>
        </w:rPr>
        <w:t>Procurement</w:t>
      </w:r>
      <w:r>
        <w:rPr>
          <w:sz w:val="16"/>
          <w:szCs w:val="16"/>
        </w:rPr>
        <w:t xml:space="preserve"> o</w:t>
      </w:r>
      <w:r w:rsidRPr="00E70006">
        <w:rPr>
          <w:i/>
          <w:iCs/>
          <w:sz w:val="16"/>
          <w:szCs w:val="16"/>
        </w:rPr>
        <w:t>utcome letter to Wellsbourne</w:t>
      </w:r>
      <w:r w:rsidRPr="00E70006">
        <w:rPr>
          <w:sz w:val="16"/>
          <w:szCs w:val="16"/>
        </w:rPr>
        <w:t>,</w:t>
      </w:r>
      <w:r>
        <w:rPr>
          <w:sz w:val="16"/>
          <w:szCs w:val="16"/>
        </w:rPr>
        <w:t xml:space="preserve"> </w:t>
      </w:r>
      <w:r w:rsidRPr="00E70006">
        <w:rPr>
          <w:sz w:val="16"/>
          <w:szCs w:val="16"/>
        </w:rPr>
        <w:t>14 March 2025.</w:t>
      </w:r>
    </w:p>
  </w:footnote>
  <w:footnote w:id="34">
    <w:p w14:paraId="3874A797" w14:textId="36688E1D" w:rsidR="008877B8" w:rsidRPr="00D51AEE" w:rsidRDefault="008877B8">
      <w:pPr>
        <w:pStyle w:val="FootnoteText"/>
        <w:rPr>
          <w:sz w:val="16"/>
          <w:szCs w:val="16"/>
        </w:rPr>
      </w:pPr>
      <w:r w:rsidRPr="00D51AEE">
        <w:rPr>
          <w:rStyle w:val="FootnoteReference"/>
          <w:sz w:val="16"/>
          <w:szCs w:val="16"/>
        </w:rPr>
        <w:footnoteRef/>
      </w:r>
      <w:r w:rsidRPr="00D51AEE">
        <w:rPr>
          <w:sz w:val="16"/>
          <w:szCs w:val="16"/>
        </w:rPr>
        <w:t xml:space="preserve"> Wellsbourne, </w:t>
      </w:r>
      <w:r w:rsidRPr="00D51AEE">
        <w:rPr>
          <w:i/>
          <w:iCs/>
          <w:sz w:val="16"/>
          <w:szCs w:val="16"/>
        </w:rPr>
        <w:t>Representations to Sussex ICB</w:t>
      </w:r>
      <w:r w:rsidRPr="00D51AEE">
        <w:rPr>
          <w:sz w:val="16"/>
          <w:szCs w:val="16"/>
        </w:rPr>
        <w:t>, 4 April 2025.</w:t>
      </w:r>
    </w:p>
  </w:footnote>
  <w:footnote w:id="35">
    <w:p w14:paraId="0735C075" w14:textId="43D3020E" w:rsidR="006E0286" w:rsidRPr="00FB70A3" w:rsidRDefault="006E0286">
      <w:pPr>
        <w:pStyle w:val="FootnoteText"/>
        <w:rPr>
          <w:sz w:val="16"/>
          <w:szCs w:val="16"/>
        </w:rPr>
      </w:pPr>
      <w:r w:rsidRPr="00FB70A3">
        <w:rPr>
          <w:rStyle w:val="FootnoteReference"/>
          <w:sz w:val="16"/>
          <w:szCs w:val="16"/>
        </w:rPr>
        <w:footnoteRef/>
      </w:r>
      <w:r w:rsidRPr="00FB70A3">
        <w:rPr>
          <w:sz w:val="16"/>
          <w:szCs w:val="16"/>
        </w:rPr>
        <w:t xml:space="preserve"> Sussex ICB, </w:t>
      </w:r>
      <w:r w:rsidRPr="00FB70A3">
        <w:rPr>
          <w:i/>
          <w:iCs/>
          <w:sz w:val="16"/>
          <w:szCs w:val="16"/>
        </w:rPr>
        <w:t>Representations response report</w:t>
      </w:r>
      <w:r w:rsidR="003C6903" w:rsidRPr="00FB70A3">
        <w:rPr>
          <w:i/>
          <w:iCs/>
          <w:sz w:val="16"/>
          <w:szCs w:val="16"/>
        </w:rPr>
        <w:t xml:space="preserve"> to Wellsbourne</w:t>
      </w:r>
      <w:r w:rsidRPr="00FB70A3">
        <w:rPr>
          <w:sz w:val="16"/>
          <w:szCs w:val="16"/>
        </w:rPr>
        <w:t xml:space="preserve">, </w:t>
      </w:r>
      <w:r w:rsidR="003C6903" w:rsidRPr="00FB70A3">
        <w:rPr>
          <w:sz w:val="16"/>
          <w:szCs w:val="16"/>
        </w:rPr>
        <w:t xml:space="preserve">30 </w:t>
      </w:r>
      <w:r w:rsidRPr="00FB70A3">
        <w:rPr>
          <w:sz w:val="16"/>
          <w:szCs w:val="16"/>
        </w:rPr>
        <w:t>April 2025.</w:t>
      </w:r>
    </w:p>
  </w:footnote>
  <w:footnote w:id="36">
    <w:p w14:paraId="0AE44424" w14:textId="2080FE76" w:rsidR="003F091E" w:rsidRPr="003F091E" w:rsidRDefault="003F091E">
      <w:pPr>
        <w:pStyle w:val="FootnoteText"/>
        <w:rPr>
          <w:sz w:val="16"/>
          <w:szCs w:val="16"/>
        </w:rPr>
      </w:pPr>
      <w:r w:rsidRPr="003F091E">
        <w:rPr>
          <w:rStyle w:val="FootnoteReference"/>
          <w:sz w:val="16"/>
          <w:szCs w:val="16"/>
        </w:rPr>
        <w:footnoteRef/>
      </w:r>
      <w:r w:rsidRPr="003F091E">
        <w:rPr>
          <w:sz w:val="16"/>
          <w:szCs w:val="16"/>
        </w:rPr>
        <w:t xml:space="preserve"> Sussex ICB, </w:t>
      </w:r>
      <w:r w:rsidRPr="003F091E">
        <w:rPr>
          <w:i/>
          <w:iCs/>
          <w:sz w:val="16"/>
          <w:szCs w:val="16"/>
        </w:rPr>
        <w:t>Procurement</w:t>
      </w:r>
      <w:r w:rsidRPr="003F091E">
        <w:rPr>
          <w:sz w:val="16"/>
          <w:szCs w:val="16"/>
        </w:rPr>
        <w:t xml:space="preserve"> o</w:t>
      </w:r>
      <w:r w:rsidRPr="003F091E">
        <w:rPr>
          <w:i/>
          <w:iCs/>
          <w:sz w:val="16"/>
          <w:szCs w:val="16"/>
        </w:rPr>
        <w:t>utcome letter to Wellsbourne</w:t>
      </w:r>
      <w:r w:rsidRPr="003F091E">
        <w:rPr>
          <w:sz w:val="16"/>
          <w:szCs w:val="16"/>
        </w:rPr>
        <w:t>, 14 March 2025.</w:t>
      </w:r>
    </w:p>
  </w:footnote>
  <w:footnote w:id="37">
    <w:p w14:paraId="332511FE" w14:textId="36A2749E" w:rsidR="00D3256D" w:rsidRPr="00D3256D" w:rsidRDefault="00D3256D">
      <w:pPr>
        <w:pStyle w:val="FootnoteText"/>
        <w:rPr>
          <w:sz w:val="16"/>
          <w:szCs w:val="16"/>
        </w:rPr>
      </w:pPr>
      <w:r w:rsidRPr="00D3256D">
        <w:rPr>
          <w:rStyle w:val="FootnoteReference"/>
          <w:sz w:val="16"/>
          <w:szCs w:val="16"/>
        </w:rPr>
        <w:footnoteRef/>
      </w:r>
      <w:r w:rsidRPr="00D3256D">
        <w:rPr>
          <w:sz w:val="16"/>
          <w:szCs w:val="16"/>
        </w:rPr>
        <w:t xml:space="preserve"> Wellsbourne, </w:t>
      </w:r>
      <w:r w:rsidRPr="00D3256D">
        <w:rPr>
          <w:i/>
          <w:iCs/>
          <w:sz w:val="16"/>
          <w:szCs w:val="16"/>
        </w:rPr>
        <w:t>Representations to Sussex ICB</w:t>
      </w:r>
      <w:r w:rsidRPr="00D3256D">
        <w:rPr>
          <w:sz w:val="16"/>
          <w:szCs w:val="16"/>
        </w:rPr>
        <w:t>, 4 April 2025.</w:t>
      </w:r>
    </w:p>
  </w:footnote>
  <w:footnote w:id="38">
    <w:p w14:paraId="4DBE9D71" w14:textId="72EE4B15" w:rsidR="006369E6" w:rsidRPr="006369E6" w:rsidRDefault="006369E6">
      <w:pPr>
        <w:pStyle w:val="FootnoteText"/>
        <w:rPr>
          <w:sz w:val="16"/>
          <w:szCs w:val="16"/>
        </w:rPr>
      </w:pPr>
      <w:r w:rsidRPr="006369E6">
        <w:rPr>
          <w:rStyle w:val="FootnoteReference"/>
          <w:sz w:val="16"/>
          <w:szCs w:val="16"/>
        </w:rPr>
        <w:footnoteRef/>
      </w:r>
      <w:r w:rsidRPr="006369E6">
        <w:rPr>
          <w:sz w:val="16"/>
          <w:szCs w:val="16"/>
        </w:rPr>
        <w:t xml:space="preserve"> Sussex ICB, </w:t>
      </w:r>
      <w:r w:rsidRPr="006369E6">
        <w:rPr>
          <w:i/>
          <w:iCs/>
          <w:sz w:val="16"/>
          <w:szCs w:val="16"/>
        </w:rPr>
        <w:t>Representations response report to Wellsbourne</w:t>
      </w:r>
      <w:r w:rsidRPr="006369E6">
        <w:rPr>
          <w:sz w:val="16"/>
          <w:szCs w:val="16"/>
        </w:rPr>
        <w:t>, 30 April 2025.</w:t>
      </w:r>
    </w:p>
  </w:footnote>
  <w:footnote w:id="39">
    <w:p w14:paraId="158636B9" w14:textId="541FFC00" w:rsidR="00DB04A2" w:rsidRPr="00DB04A2" w:rsidRDefault="00DB04A2">
      <w:pPr>
        <w:pStyle w:val="FootnoteText"/>
        <w:rPr>
          <w:sz w:val="16"/>
          <w:szCs w:val="16"/>
        </w:rPr>
      </w:pPr>
      <w:r w:rsidRPr="00DB04A2">
        <w:rPr>
          <w:rStyle w:val="FootnoteReference"/>
          <w:sz w:val="16"/>
          <w:szCs w:val="16"/>
        </w:rPr>
        <w:footnoteRef/>
      </w:r>
      <w:r w:rsidRPr="00DB04A2">
        <w:rPr>
          <w:sz w:val="16"/>
          <w:szCs w:val="16"/>
        </w:rPr>
        <w:t xml:space="preserve"> Sussex ICB, </w:t>
      </w:r>
      <w:r w:rsidRPr="00DB04A2">
        <w:rPr>
          <w:i/>
          <w:iCs/>
          <w:sz w:val="16"/>
          <w:szCs w:val="16"/>
        </w:rPr>
        <w:t>Procurement</w:t>
      </w:r>
      <w:r w:rsidRPr="00DB04A2">
        <w:rPr>
          <w:sz w:val="16"/>
          <w:szCs w:val="16"/>
        </w:rPr>
        <w:t xml:space="preserve"> o</w:t>
      </w:r>
      <w:r w:rsidRPr="00DB04A2">
        <w:rPr>
          <w:i/>
          <w:iCs/>
          <w:sz w:val="16"/>
          <w:szCs w:val="16"/>
        </w:rPr>
        <w:t>utcome letter to Wellsbourne</w:t>
      </w:r>
      <w:r w:rsidRPr="00DB04A2">
        <w:rPr>
          <w:sz w:val="16"/>
          <w:szCs w:val="16"/>
        </w:rPr>
        <w:t>, 14 March 2025</w:t>
      </w:r>
      <w:r w:rsidR="00BC798A">
        <w:rPr>
          <w:sz w:val="16"/>
          <w:szCs w:val="16"/>
        </w:rPr>
        <w:t>.</w:t>
      </w:r>
    </w:p>
  </w:footnote>
  <w:footnote w:id="40">
    <w:p w14:paraId="6C063307" w14:textId="099713D9" w:rsidR="00DB1B6D" w:rsidRPr="003B4157" w:rsidRDefault="00DB1B6D">
      <w:pPr>
        <w:pStyle w:val="FootnoteText"/>
        <w:rPr>
          <w:sz w:val="16"/>
          <w:szCs w:val="16"/>
        </w:rPr>
      </w:pPr>
      <w:r w:rsidRPr="003B4157">
        <w:rPr>
          <w:rStyle w:val="FootnoteReference"/>
          <w:sz w:val="16"/>
          <w:szCs w:val="16"/>
        </w:rPr>
        <w:footnoteRef/>
      </w:r>
      <w:r w:rsidRPr="003B4157">
        <w:rPr>
          <w:sz w:val="16"/>
          <w:szCs w:val="16"/>
        </w:rPr>
        <w:t xml:space="preserve"> Sussex ICB, </w:t>
      </w:r>
      <w:r w:rsidR="00BC798A" w:rsidRPr="003B4157">
        <w:rPr>
          <w:i/>
          <w:iCs/>
          <w:sz w:val="16"/>
          <w:szCs w:val="16"/>
        </w:rPr>
        <w:t xml:space="preserve">Representations </w:t>
      </w:r>
      <w:r w:rsidR="002121A7">
        <w:rPr>
          <w:i/>
          <w:iCs/>
          <w:sz w:val="16"/>
          <w:szCs w:val="16"/>
        </w:rPr>
        <w:t>response r</w:t>
      </w:r>
      <w:r w:rsidR="00BC798A" w:rsidRPr="003B4157">
        <w:rPr>
          <w:i/>
          <w:iCs/>
          <w:sz w:val="16"/>
          <w:szCs w:val="16"/>
        </w:rPr>
        <w:t>eport</w:t>
      </w:r>
      <w:r w:rsidR="002121A7">
        <w:rPr>
          <w:i/>
          <w:iCs/>
          <w:sz w:val="16"/>
          <w:szCs w:val="16"/>
        </w:rPr>
        <w:t xml:space="preserve"> to Wellsbourne</w:t>
      </w:r>
      <w:r w:rsidR="00BC798A" w:rsidRPr="003B4157">
        <w:rPr>
          <w:sz w:val="16"/>
          <w:szCs w:val="16"/>
        </w:rPr>
        <w:t>, 30 April 2025.</w:t>
      </w:r>
    </w:p>
  </w:footnote>
  <w:footnote w:id="41">
    <w:p w14:paraId="2EB9E6DD" w14:textId="53821B02" w:rsidR="003C07FE" w:rsidRPr="009B41C3" w:rsidRDefault="003C07FE" w:rsidP="003C07FE">
      <w:pPr>
        <w:pStyle w:val="FootnoteText"/>
        <w:rPr>
          <w:sz w:val="16"/>
          <w:szCs w:val="16"/>
        </w:rPr>
      </w:pPr>
      <w:r w:rsidRPr="009B41C3">
        <w:rPr>
          <w:rStyle w:val="FootnoteReference"/>
          <w:sz w:val="16"/>
          <w:szCs w:val="16"/>
        </w:rPr>
        <w:footnoteRef/>
      </w:r>
      <w:r w:rsidRPr="009B41C3">
        <w:rPr>
          <w:sz w:val="16"/>
          <w:szCs w:val="16"/>
        </w:rPr>
        <w:t xml:space="preserve"> Sussex ICB, </w:t>
      </w:r>
      <w:r w:rsidRPr="009B41C3">
        <w:rPr>
          <w:i/>
          <w:iCs/>
          <w:sz w:val="16"/>
          <w:szCs w:val="16"/>
        </w:rPr>
        <w:t xml:space="preserve">Moderation </w:t>
      </w:r>
      <w:r>
        <w:rPr>
          <w:i/>
          <w:iCs/>
          <w:sz w:val="16"/>
          <w:szCs w:val="16"/>
        </w:rPr>
        <w:t>and Clarification M</w:t>
      </w:r>
      <w:r w:rsidRPr="009B41C3">
        <w:rPr>
          <w:i/>
          <w:iCs/>
          <w:sz w:val="16"/>
          <w:szCs w:val="16"/>
        </w:rPr>
        <w:t>eeting</w:t>
      </w:r>
      <w:r w:rsidR="00572CF0">
        <w:rPr>
          <w:i/>
          <w:iCs/>
          <w:sz w:val="16"/>
          <w:szCs w:val="16"/>
        </w:rPr>
        <w:t xml:space="preserve"> – ITT16</w:t>
      </w:r>
      <w:r>
        <w:rPr>
          <w:sz w:val="16"/>
          <w:szCs w:val="16"/>
        </w:rPr>
        <w:t>, 9 December 2024.</w:t>
      </w:r>
    </w:p>
  </w:footnote>
  <w:footnote w:id="42">
    <w:p w14:paraId="0E9C5EB6" w14:textId="2462EA19" w:rsidR="00056B18" w:rsidRPr="00AF305D" w:rsidRDefault="00056B18">
      <w:pPr>
        <w:pStyle w:val="FootnoteText"/>
        <w:rPr>
          <w:sz w:val="16"/>
          <w:szCs w:val="16"/>
        </w:rPr>
      </w:pPr>
      <w:r w:rsidRPr="00AF305D">
        <w:rPr>
          <w:rStyle w:val="FootnoteReference"/>
          <w:sz w:val="16"/>
          <w:szCs w:val="16"/>
        </w:rPr>
        <w:footnoteRef/>
      </w:r>
      <w:r w:rsidRPr="00AF305D">
        <w:rPr>
          <w:sz w:val="16"/>
          <w:szCs w:val="16"/>
        </w:rPr>
        <w:t xml:space="preserve"> Sussex ICB, </w:t>
      </w:r>
      <w:r w:rsidRPr="00AF305D">
        <w:rPr>
          <w:i/>
          <w:sz w:val="16"/>
          <w:szCs w:val="16"/>
        </w:rPr>
        <w:t>Moderation Discussion Notes</w:t>
      </w:r>
      <w:r w:rsidR="00572CF0" w:rsidRPr="00AF305D">
        <w:rPr>
          <w:i/>
          <w:iCs/>
          <w:sz w:val="16"/>
          <w:szCs w:val="16"/>
        </w:rPr>
        <w:t xml:space="preserve"> – ITT16</w:t>
      </w:r>
      <w:r w:rsidR="00572CF0" w:rsidRPr="00AF305D">
        <w:rPr>
          <w:sz w:val="16"/>
          <w:szCs w:val="16"/>
        </w:rPr>
        <w:t>, 9 December 2024.</w:t>
      </w:r>
    </w:p>
  </w:footnote>
  <w:footnote w:id="43">
    <w:p w14:paraId="439D56B8" w14:textId="396E9823" w:rsidR="00C66E24" w:rsidRPr="00C66E24" w:rsidRDefault="00C66E24">
      <w:pPr>
        <w:pStyle w:val="FootnoteText"/>
        <w:rPr>
          <w:sz w:val="16"/>
          <w:szCs w:val="16"/>
        </w:rPr>
      </w:pPr>
      <w:r w:rsidRPr="00C66E24">
        <w:rPr>
          <w:rStyle w:val="FootnoteReference"/>
          <w:sz w:val="16"/>
          <w:szCs w:val="16"/>
        </w:rPr>
        <w:footnoteRef/>
      </w:r>
      <w:r w:rsidRPr="00C66E24">
        <w:rPr>
          <w:sz w:val="16"/>
          <w:szCs w:val="16"/>
        </w:rPr>
        <w:t xml:space="preserve"> Sussex ICB, </w:t>
      </w:r>
      <w:r w:rsidR="006574EB" w:rsidRPr="00AF305D">
        <w:rPr>
          <w:i/>
          <w:iCs/>
          <w:sz w:val="16"/>
          <w:szCs w:val="16"/>
        </w:rPr>
        <w:t>Representation</w:t>
      </w:r>
      <w:r w:rsidR="000754F7" w:rsidRPr="00AF305D">
        <w:rPr>
          <w:i/>
          <w:iCs/>
          <w:sz w:val="16"/>
          <w:szCs w:val="16"/>
        </w:rPr>
        <w:t xml:space="preserve"> r</w:t>
      </w:r>
      <w:r w:rsidRPr="000754F7">
        <w:rPr>
          <w:i/>
          <w:iCs/>
          <w:sz w:val="16"/>
          <w:szCs w:val="16"/>
        </w:rPr>
        <w:t xml:space="preserve">esponse </w:t>
      </w:r>
      <w:r w:rsidR="000754F7" w:rsidRPr="000754F7">
        <w:rPr>
          <w:i/>
          <w:iCs/>
          <w:sz w:val="16"/>
          <w:szCs w:val="16"/>
        </w:rPr>
        <w:t>report</w:t>
      </w:r>
      <w:r w:rsidRPr="00C66E24">
        <w:rPr>
          <w:i/>
          <w:iCs/>
          <w:sz w:val="16"/>
          <w:szCs w:val="16"/>
        </w:rPr>
        <w:t xml:space="preserve"> to Wellsbourne</w:t>
      </w:r>
      <w:r w:rsidRPr="00C66E24">
        <w:rPr>
          <w:sz w:val="16"/>
          <w:szCs w:val="16"/>
        </w:rPr>
        <w:t>, 30 April 2025.</w:t>
      </w:r>
    </w:p>
  </w:footnote>
  <w:footnote w:id="44">
    <w:p w14:paraId="2B37A463" w14:textId="78A3F6BE" w:rsidR="00615C4F" w:rsidRPr="00F36E57" w:rsidRDefault="00615C4F">
      <w:pPr>
        <w:pStyle w:val="FootnoteText"/>
        <w:rPr>
          <w:sz w:val="16"/>
          <w:szCs w:val="16"/>
        </w:rPr>
      </w:pPr>
      <w:r w:rsidRPr="00F36E57">
        <w:rPr>
          <w:rStyle w:val="FootnoteReference"/>
          <w:sz w:val="16"/>
          <w:szCs w:val="16"/>
        </w:rPr>
        <w:footnoteRef/>
      </w:r>
      <w:r w:rsidRPr="00F36E57">
        <w:rPr>
          <w:sz w:val="16"/>
          <w:szCs w:val="16"/>
        </w:rPr>
        <w:t xml:space="preserve"> Sussex ICB, </w:t>
      </w:r>
      <w:r w:rsidR="00F2727D" w:rsidRPr="00F36E57">
        <w:rPr>
          <w:i/>
          <w:iCs/>
          <w:sz w:val="16"/>
          <w:szCs w:val="16"/>
        </w:rPr>
        <w:t>R</w:t>
      </w:r>
      <w:r w:rsidR="000754F7">
        <w:rPr>
          <w:i/>
          <w:iCs/>
          <w:sz w:val="16"/>
          <w:szCs w:val="16"/>
        </w:rPr>
        <w:t>epresentation r</w:t>
      </w:r>
      <w:r w:rsidR="00F2727D" w:rsidRPr="00F36E57">
        <w:rPr>
          <w:i/>
          <w:iCs/>
          <w:sz w:val="16"/>
          <w:szCs w:val="16"/>
        </w:rPr>
        <w:t xml:space="preserve">esponse </w:t>
      </w:r>
      <w:r w:rsidR="000754F7">
        <w:rPr>
          <w:i/>
          <w:iCs/>
          <w:sz w:val="16"/>
          <w:szCs w:val="16"/>
        </w:rPr>
        <w:t>report</w:t>
      </w:r>
      <w:r w:rsidR="00F2727D" w:rsidRPr="00F36E57">
        <w:rPr>
          <w:i/>
          <w:iCs/>
          <w:sz w:val="16"/>
          <w:szCs w:val="16"/>
        </w:rPr>
        <w:t xml:space="preserve"> to Wellsbourne</w:t>
      </w:r>
      <w:r w:rsidR="00F2727D" w:rsidRPr="00F36E57">
        <w:rPr>
          <w:sz w:val="16"/>
          <w:szCs w:val="16"/>
        </w:rPr>
        <w:t xml:space="preserve">, </w:t>
      </w:r>
      <w:r w:rsidR="00F36E57" w:rsidRPr="00F36E57">
        <w:rPr>
          <w:sz w:val="16"/>
          <w:szCs w:val="16"/>
        </w:rPr>
        <w:t>20 May 2025.</w:t>
      </w:r>
    </w:p>
  </w:footnote>
  <w:footnote w:id="45">
    <w:p w14:paraId="4D93EA2A" w14:textId="3685EFC2" w:rsidR="003D6D96" w:rsidRPr="003D6D96" w:rsidRDefault="003D6D96">
      <w:pPr>
        <w:pStyle w:val="FootnoteText"/>
        <w:rPr>
          <w:sz w:val="16"/>
          <w:szCs w:val="16"/>
        </w:rPr>
      </w:pPr>
      <w:r w:rsidRPr="003D6D96">
        <w:rPr>
          <w:rStyle w:val="FootnoteReference"/>
          <w:sz w:val="16"/>
          <w:szCs w:val="16"/>
        </w:rPr>
        <w:footnoteRef/>
      </w:r>
      <w:r w:rsidRPr="003D6D96">
        <w:rPr>
          <w:sz w:val="16"/>
          <w:szCs w:val="16"/>
        </w:rPr>
        <w:t xml:space="preserve"> Sussex ICB, </w:t>
      </w:r>
      <w:r w:rsidRPr="003D6D96">
        <w:rPr>
          <w:i/>
          <w:iCs/>
          <w:sz w:val="16"/>
          <w:szCs w:val="16"/>
        </w:rPr>
        <w:t>Response to Panel questions</w:t>
      </w:r>
      <w:r w:rsidRPr="003D6D96">
        <w:rPr>
          <w:sz w:val="16"/>
          <w:szCs w:val="16"/>
        </w:rPr>
        <w:t>, 12 June 2025.</w:t>
      </w:r>
    </w:p>
  </w:footnote>
  <w:footnote w:id="46">
    <w:p w14:paraId="5343DCF4" w14:textId="77777777" w:rsidR="00E22749" w:rsidRPr="00DE5D91" w:rsidRDefault="00E22749" w:rsidP="00E22749">
      <w:pPr>
        <w:pStyle w:val="FootnoteText"/>
        <w:rPr>
          <w:sz w:val="16"/>
          <w:szCs w:val="16"/>
        </w:rPr>
      </w:pPr>
      <w:r w:rsidRPr="00DE5D91">
        <w:rPr>
          <w:rStyle w:val="FootnoteReference"/>
          <w:sz w:val="16"/>
          <w:szCs w:val="16"/>
        </w:rPr>
        <w:footnoteRef/>
      </w:r>
      <w:r w:rsidRPr="00DE5D91">
        <w:rPr>
          <w:sz w:val="16"/>
          <w:szCs w:val="16"/>
        </w:rPr>
        <w:t xml:space="preserve"> Sussex ICB, </w:t>
      </w:r>
      <w:r w:rsidRPr="00DE5D91">
        <w:rPr>
          <w:i/>
          <w:iCs/>
          <w:sz w:val="16"/>
          <w:szCs w:val="16"/>
        </w:rPr>
        <w:t>Response to Panel questions</w:t>
      </w:r>
      <w:r w:rsidRPr="00DE5D91">
        <w:rPr>
          <w:sz w:val="16"/>
          <w:szCs w:val="16"/>
        </w:rPr>
        <w:t>, 26 June 2025.</w:t>
      </w:r>
    </w:p>
  </w:footnote>
  <w:footnote w:id="47">
    <w:p w14:paraId="61C4E799" w14:textId="77777777" w:rsidR="00E22749" w:rsidRPr="00217AE3" w:rsidRDefault="00E22749" w:rsidP="00E22749">
      <w:pPr>
        <w:pStyle w:val="FootnoteText"/>
        <w:rPr>
          <w:sz w:val="16"/>
          <w:szCs w:val="16"/>
        </w:rPr>
      </w:pPr>
      <w:r w:rsidRPr="00217AE3">
        <w:rPr>
          <w:rStyle w:val="FootnoteReference"/>
          <w:sz w:val="16"/>
          <w:szCs w:val="16"/>
        </w:rPr>
        <w:footnoteRef/>
      </w:r>
      <w:r w:rsidRPr="00217AE3">
        <w:rPr>
          <w:sz w:val="16"/>
          <w:szCs w:val="16"/>
        </w:rPr>
        <w:t xml:space="preserve"> Panel meeting with Wellsbourne, 20 June 2025.</w:t>
      </w:r>
    </w:p>
  </w:footnote>
  <w:footnote w:id="48">
    <w:p w14:paraId="0398B607" w14:textId="77777777" w:rsidR="00BE4799" w:rsidRPr="00163685" w:rsidRDefault="00BE4799" w:rsidP="00BE4799">
      <w:pPr>
        <w:pStyle w:val="FootnoteText"/>
        <w:rPr>
          <w:sz w:val="16"/>
          <w:szCs w:val="16"/>
        </w:rPr>
      </w:pPr>
      <w:r w:rsidRPr="00163685">
        <w:rPr>
          <w:rStyle w:val="FootnoteReference"/>
          <w:sz w:val="16"/>
          <w:szCs w:val="16"/>
        </w:rPr>
        <w:footnoteRef/>
      </w:r>
      <w:r w:rsidRPr="00163685">
        <w:rPr>
          <w:sz w:val="16"/>
          <w:szCs w:val="16"/>
        </w:rPr>
        <w:t xml:space="preserve"> Panel meeting with Sussex ICB, 23 June 2025.</w:t>
      </w:r>
    </w:p>
  </w:footnote>
  <w:footnote w:id="49">
    <w:p w14:paraId="0E63DC8B" w14:textId="6B3FD446" w:rsidR="00132724" w:rsidRPr="00156D65" w:rsidRDefault="00132724" w:rsidP="00132724">
      <w:pPr>
        <w:pStyle w:val="FootnoteText"/>
        <w:rPr>
          <w:sz w:val="16"/>
          <w:szCs w:val="16"/>
        </w:rPr>
      </w:pPr>
      <w:r w:rsidRPr="00156D65">
        <w:rPr>
          <w:rStyle w:val="FootnoteReference"/>
          <w:sz w:val="16"/>
          <w:szCs w:val="16"/>
        </w:rPr>
        <w:footnoteRef/>
      </w:r>
      <w:r w:rsidRPr="00156D65">
        <w:rPr>
          <w:sz w:val="16"/>
          <w:szCs w:val="16"/>
        </w:rPr>
        <w:t xml:space="preserve"> </w:t>
      </w:r>
      <w:r w:rsidR="00530E1E" w:rsidRPr="00156D65">
        <w:rPr>
          <w:sz w:val="16"/>
          <w:szCs w:val="16"/>
        </w:rPr>
        <w:t>QOF</w:t>
      </w:r>
      <w:r w:rsidR="00530E1E">
        <w:rPr>
          <w:sz w:val="16"/>
          <w:szCs w:val="16"/>
        </w:rPr>
        <w:t xml:space="preserve"> </w:t>
      </w:r>
      <w:r w:rsidR="00530E1E" w:rsidRPr="00014591">
        <w:rPr>
          <w:sz w:val="16"/>
          <w:szCs w:val="16"/>
        </w:rPr>
        <w:t xml:space="preserve">is a voluntary programme that practices can opt into </w:t>
      </w:r>
      <w:r w:rsidR="00530E1E" w:rsidRPr="00014591">
        <w:rPr>
          <w:sz w:val="16"/>
          <w:szCs w:val="16"/>
        </w:rPr>
        <w:t>in order to receive payments based on good performance against a number of indicators</w:t>
      </w:r>
      <w:r w:rsidR="00530E1E">
        <w:rPr>
          <w:sz w:val="16"/>
          <w:szCs w:val="16"/>
        </w:rPr>
        <w:t xml:space="preserve">. NHS England, </w:t>
      </w:r>
      <w:r w:rsidR="00530E1E" w:rsidRPr="00D74F10">
        <w:rPr>
          <w:i/>
          <w:iCs/>
          <w:sz w:val="16"/>
          <w:szCs w:val="16"/>
        </w:rPr>
        <w:t>Quality and Outcomes Framework</w:t>
      </w:r>
      <w:r w:rsidR="00530E1E">
        <w:rPr>
          <w:i/>
          <w:iCs/>
          <w:sz w:val="16"/>
          <w:szCs w:val="16"/>
        </w:rPr>
        <w:t xml:space="preserve">, </w:t>
      </w:r>
      <w:r w:rsidR="00530E1E" w:rsidRPr="00C91F16">
        <w:rPr>
          <w:sz w:val="16"/>
          <w:szCs w:val="16"/>
        </w:rPr>
        <w:t>27 March 2025</w:t>
      </w:r>
      <w:r w:rsidR="00530E1E">
        <w:rPr>
          <w:sz w:val="16"/>
          <w:szCs w:val="16"/>
        </w:rPr>
        <w:t>.</w:t>
      </w:r>
    </w:p>
  </w:footnote>
  <w:footnote w:id="50">
    <w:p w14:paraId="10F74014" w14:textId="6A3962D9" w:rsidR="00132724" w:rsidRPr="003B4157" w:rsidRDefault="00132724" w:rsidP="00132724">
      <w:pPr>
        <w:pStyle w:val="FootnoteText"/>
        <w:rPr>
          <w:sz w:val="16"/>
          <w:szCs w:val="16"/>
        </w:rPr>
      </w:pPr>
      <w:r w:rsidRPr="003B4157">
        <w:rPr>
          <w:rStyle w:val="FootnoteReference"/>
          <w:sz w:val="16"/>
          <w:szCs w:val="16"/>
        </w:rPr>
        <w:footnoteRef/>
      </w:r>
      <w:r w:rsidRPr="003B4157">
        <w:rPr>
          <w:sz w:val="16"/>
          <w:szCs w:val="16"/>
        </w:rPr>
        <w:t xml:space="preserve"> </w:t>
      </w:r>
      <w:r w:rsidR="00530E1E" w:rsidRPr="00156D65">
        <w:rPr>
          <w:sz w:val="16"/>
          <w:szCs w:val="16"/>
        </w:rPr>
        <w:t>LCS</w:t>
      </w:r>
      <w:r w:rsidR="00530E1E">
        <w:rPr>
          <w:sz w:val="16"/>
          <w:szCs w:val="16"/>
        </w:rPr>
        <w:t xml:space="preserve"> (or LES) </w:t>
      </w:r>
      <w:r w:rsidR="00530E1E" w:rsidRPr="00156D65">
        <w:rPr>
          <w:sz w:val="16"/>
          <w:szCs w:val="16"/>
        </w:rPr>
        <w:t xml:space="preserve">are focussed to meet the needs of local care pathways and </w:t>
      </w:r>
      <w:r w:rsidR="00530E1E">
        <w:rPr>
          <w:sz w:val="16"/>
          <w:szCs w:val="16"/>
        </w:rPr>
        <w:t>local population</w:t>
      </w:r>
      <w:r w:rsidR="00530E1E" w:rsidRPr="00156D65">
        <w:rPr>
          <w:sz w:val="16"/>
          <w:szCs w:val="16"/>
        </w:rPr>
        <w:t xml:space="preserve"> </w:t>
      </w:r>
      <w:r w:rsidR="00530E1E">
        <w:rPr>
          <w:sz w:val="16"/>
          <w:szCs w:val="16"/>
        </w:rPr>
        <w:t>h</w:t>
      </w:r>
      <w:r w:rsidR="00530E1E" w:rsidRPr="00156D65">
        <w:rPr>
          <w:sz w:val="16"/>
          <w:szCs w:val="16"/>
        </w:rPr>
        <w:t>ealth profile</w:t>
      </w:r>
      <w:r w:rsidR="00530E1E">
        <w:rPr>
          <w:sz w:val="16"/>
          <w:szCs w:val="16"/>
        </w:rPr>
        <w:t xml:space="preserve"> </w:t>
      </w:r>
      <w:r w:rsidR="00530E1E" w:rsidRPr="00156D65">
        <w:rPr>
          <w:sz w:val="16"/>
          <w:szCs w:val="16"/>
        </w:rPr>
        <w:t xml:space="preserve">and are generally commissioned by ICBs </w:t>
      </w:r>
      <w:r w:rsidR="00530E1E">
        <w:rPr>
          <w:sz w:val="16"/>
          <w:szCs w:val="16"/>
        </w:rPr>
        <w:t>through</w:t>
      </w:r>
      <w:r w:rsidR="00530E1E" w:rsidRPr="00156D65">
        <w:rPr>
          <w:sz w:val="16"/>
          <w:szCs w:val="16"/>
        </w:rPr>
        <w:t xml:space="preserve"> NHS GP contracts</w:t>
      </w:r>
      <w:r w:rsidR="00530E1E">
        <w:rPr>
          <w:sz w:val="16"/>
          <w:szCs w:val="16"/>
        </w:rPr>
        <w:t>, or via a Standard NHS Contract</w:t>
      </w:r>
      <w:r w:rsidR="00530E1E" w:rsidRPr="00014591">
        <w:rPr>
          <w:sz w:val="16"/>
          <w:szCs w:val="16"/>
        </w:rPr>
        <w:t>.</w:t>
      </w:r>
      <w:r w:rsidR="00530E1E">
        <w:rPr>
          <w:sz w:val="16"/>
          <w:szCs w:val="16"/>
        </w:rPr>
        <w:t xml:space="preserve"> NHS England, </w:t>
      </w:r>
      <w:r w:rsidR="00530E1E" w:rsidRPr="00FA1B2B">
        <w:rPr>
          <w:i/>
          <w:iCs/>
          <w:sz w:val="16"/>
          <w:szCs w:val="16"/>
        </w:rPr>
        <w:t>Local enhanced service commissioning through GP contracts</w:t>
      </w:r>
      <w:r w:rsidR="00530E1E">
        <w:rPr>
          <w:sz w:val="16"/>
          <w:szCs w:val="16"/>
        </w:rPr>
        <w:t xml:space="preserve">, 5 September 2023. </w:t>
      </w:r>
    </w:p>
  </w:footnote>
  <w:footnote w:id="51">
    <w:p w14:paraId="4B2E5227" w14:textId="18C3CB9A" w:rsidR="00215600" w:rsidRPr="00A34EC3" w:rsidRDefault="00215600">
      <w:pPr>
        <w:pStyle w:val="FootnoteText"/>
        <w:rPr>
          <w:sz w:val="16"/>
          <w:szCs w:val="16"/>
        </w:rPr>
      </w:pPr>
      <w:r w:rsidRPr="00A34EC3">
        <w:rPr>
          <w:rStyle w:val="FootnoteReference"/>
          <w:sz w:val="16"/>
          <w:szCs w:val="16"/>
        </w:rPr>
        <w:footnoteRef/>
      </w:r>
      <w:r w:rsidRPr="00A34EC3">
        <w:rPr>
          <w:sz w:val="16"/>
          <w:szCs w:val="16"/>
        </w:rPr>
        <w:t xml:space="preserve"> Wellsbourne told the Panel that this position was informed by </w:t>
      </w:r>
      <w:r w:rsidR="00094A7A" w:rsidRPr="00A34EC3">
        <w:rPr>
          <w:sz w:val="16"/>
          <w:szCs w:val="16"/>
        </w:rPr>
        <w:t>expert external advice.</w:t>
      </w:r>
    </w:p>
  </w:footnote>
  <w:footnote w:id="52">
    <w:p w14:paraId="1AB6EBD7" w14:textId="77777777" w:rsidR="00421ECF" w:rsidRPr="00FA51E9" w:rsidRDefault="00421ECF" w:rsidP="00421ECF">
      <w:pPr>
        <w:pStyle w:val="FootnoteText"/>
        <w:rPr>
          <w:sz w:val="16"/>
          <w:szCs w:val="16"/>
        </w:rPr>
      </w:pPr>
      <w:r w:rsidRPr="00FA51E9">
        <w:rPr>
          <w:rStyle w:val="FootnoteReference"/>
          <w:sz w:val="16"/>
          <w:szCs w:val="16"/>
        </w:rPr>
        <w:footnoteRef/>
      </w:r>
      <w:r w:rsidRPr="00FA51E9">
        <w:rPr>
          <w:sz w:val="16"/>
          <w:szCs w:val="16"/>
        </w:rPr>
        <w:t xml:space="preserve"> PCN DES </w:t>
      </w:r>
      <w:r>
        <w:rPr>
          <w:sz w:val="16"/>
          <w:szCs w:val="16"/>
        </w:rPr>
        <w:t xml:space="preserve">is a national NHS contract arrangement that sets out the core requirements and entitlements for a PCN, supporting GP practices to work together within a network to enable greater provision of personalised, coordinated and integrated health and social care to local communities. NHS England, </w:t>
      </w:r>
      <w:r w:rsidRPr="00D74F10">
        <w:rPr>
          <w:i/>
          <w:iCs/>
          <w:sz w:val="16"/>
          <w:szCs w:val="16"/>
        </w:rPr>
        <w:t>Network Contract DES</w:t>
      </w:r>
      <w:r>
        <w:rPr>
          <w:sz w:val="16"/>
          <w:szCs w:val="16"/>
        </w:rPr>
        <w:t xml:space="preserve">, 27 March 2025. </w:t>
      </w:r>
    </w:p>
  </w:footnote>
  <w:footnote w:id="53">
    <w:p w14:paraId="34FBF6A2" w14:textId="77777777" w:rsidR="00DA229B" w:rsidRPr="007238E8" w:rsidRDefault="00DA229B" w:rsidP="00DA229B">
      <w:pPr>
        <w:pStyle w:val="FootnoteText"/>
        <w:rPr>
          <w:sz w:val="16"/>
          <w:szCs w:val="16"/>
        </w:rPr>
      </w:pPr>
      <w:r w:rsidRPr="007238E8">
        <w:rPr>
          <w:rStyle w:val="FootnoteReference"/>
          <w:sz w:val="16"/>
          <w:szCs w:val="16"/>
        </w:rPr>
        <w:footnoteRef/>
      </w:r>
      <w:r w:rsidRPr="007238E8">
        <w:rPr>
          <w:sz w:val="16"/>
          <w:szCs w:val="16"/>
        </w:rPr>
        <w:t xml:space="preserve"> DES </w:t>
      </w:r>
      <w:r>
        <w:rPr>
          <w:sz w:val="16"/>
          <w:szCs w:val="16"/>
        </w:rPr>
        <w:t xml:space="preserve">are nationally agreed services commissioned by NHS England, which any GP practice in England can sign up to. </w:t>
      </w:r>
    </w:p>
  </w:footnote>
  <w:footnote w:id="54">
    <w:p w14:paraId="279C2E0F" w14:textId="77777777" w:rsidR="000E12C8" w:rsidRPr="00D51AEE" w:rsidRDefault="000E12C8" w:rsidP="000E12C8">
      <w:pPr>
        <w:pStyle w:val="FootnoteText"/>
        <w:rPr>
          <w:sz w:val="16"/>
          <w:szCs w:val="16"/>
        </w:rPr>
      </w:pPr>
      <w:r w:rsidRPr="00D51AEE">
        <w:rPr>
          <w:rStyle w:val="FootnoteReference"/>
          <w:sz w:val="16"/>
          <w:szCs w:val="16"/>
        </w:rPr>
        <w:footnoteRef/>
      </w:r>
      <w:r w:rsidRPr="00D51AEE">
        <w:rPr>
          <w:sz w:val="16"/>
          <w:szCs w:val="16"/>
        </w:rPr>
        <w:t xml:space="preserve"> Wellsbourne, </w:t>
      </w:r>
      <w:r w:rsidRPr="00D51AEE">
        <w:rPr>
          <w:i/>
          <w:sz w:val="16"/>
          <w:szCs w:val="16"/>
        </w:rPr>
        <w:t>Response to Panel questions</w:t>
      </w:r>
      <w:r w:rsidRPr="00D51AEE">
        <w:rPr>
          <w:sz w:val="16"/>
          <w:szCs w:val="16"/>
        </w:rPr>
        <w:t>, 2 July 2025.</w:t>
      </w:r>
    </w:p>
  </w:footnote>
  <w:footnote w:id="55">
    <w:p w14:paraId="3F596148" w14:textId="77777777" w:rsidR="004E767F" w:rsidRPr="00EB474E" w:rsidRDefault="004E767F" w:rsidP="004E767F">
      <w:pPr>
        <w:pStyle w:val="FootnoteText"/>
        <w:rPr>
          <w:sz w:val="16"/>
          <w:szCs w:val="16"/>
        </w:rPr>
      </w:pPr>
      <w:r w:rsidRPr="00AF305D">
        <w:rPr>
          <w:rStyle w:val="FootnoteReference"/>
          <w:sz w:val="16"/>
          <w:szCs w:val="16"/>
        </w:rPr>
        <w:footnoteRef/>
      </w:r>
      <w:r w:rsidRPr="00AF305D">
        <w:rPr>
          <w:sz w:val="16"/>
          <w:szCs w:val="16"/>
        </w:rPr>
        <w:t xml:space="preserve"> Sussex ICB</w:t>
      </w:r>
      <w:r w:rsidRPr="00AF305D">
        <w:rPr>
          <w:i/>
          <w:sz w:val="16"/>
          <w:szCs w:val="16"/>
        </w:rPr>
        <w:t xml:space="preserve">, Whitehawk APMS </w:t>
      </w:r>
      <w:r w:rsidRPr="00AF305D">
        <w:rPr>
          <w:i/>
          <w:iCs/>
          <w:sz w:val="16"/>
          <w:szCs w:val="16"/>
        </w:rPr>
        <w:t xml:space="preserve">ITT Document - </w:t>
      </w:r>
      <w:r w:rsidRPr="00AF305D">
        <w:rPr>
          <w:i/>
          <w:sz w:val="16"/>
          <w:szCs w:val="16"/>
        </w:rPr>
        <w:t>Background Information</w:t>
      </w:r>
      <w:r w:rsidRPr="00AF305D">
        <w:rPr>
          <w:sz w:val="16"/>
          <w:szCs w:val="16"/>
        </w:rPr>
        <w:t>, 17 May 2024.</w:t>
      </w:r>
    </w:p>
  </w:footnote>
  <w:footnote w:id="56">
    <w:p w14:paraId="019F83E3" w14:textId="790AE8B0" w:rsidR="00DA7FD5" w:rsidRPr="003A72CF" w:rsidRDefault="00DA7FD5" w:rsidP="00DA7FD5">
      <w:pPr>
        <w:pStyle w:val="FootnoteText"/>
        <w:rPr>
          <w:sz w:val="16"/>
          <w:szCs w:val="16"/>
        </w:rPr>
      </w:pPr>
      <w:r w:rsidRPr="003A72CF">
        <w:rPr>
          <w:rStyle w:val="FootnoteReference"/>
          <w:sz w:val="16"/>
          <w:szCs w:val="16"/>
        </w:rPr>
        <w:footnoteRef/>
      </w:r>
      <w:r w:rsidRPr="003A72CF">
        <w:rPr>
          <w:sz w:val="16"/>
          <w:szCs w:val="16"/>
        </w:rPr>
        <w:t xml:space="preserve"> </w:t>
      </w:r>
      <w:r w:rsidR="003A72CF" w:rsidRPr="003A72CF">
        <w:rPr>
          <w:sz w:val="16"/>
          <w:szCs w:val="16"/>
        </w:rPr>
        <w:t>Wellsbourne separately told the Panel that it would have been willing to share this information with other bidders but no request to this effect was received from Sussex ICB (</w:t>
      </w:r>
      <w:r w:rsidRPr="003A72CF">
        <w:rPr>
          <w:sz w:val="16"/>
          <w:szCs w:val="16"/>
        </w:rPr>
        <w:t>Panel meeting with Wellsbourne, 20 June 2025</w:t>
      </w:r>
      <w:r w:rsidR="003A72CF" w:rsidRPr="003A72CF">
        <w:rPr>
          <w:sz w:val="16"/>
          <w:szCs w:val="16"/>
        </w:rPr>
        <w:t>)</w:t>
      </w:r>
      <w:r w:rsidRPr="003A72CF">
        <w:rPr>
          <w:sz w:val="16"/>
          <w:szCs w:val="16"/>
        </w:rPr>
        <w:t>.</w:t>
      </w:r>
    </w:p>
  </w:footnote>
  <w:footnote w:id="57">
    <w:p w14:paraId="55027139" w14:textId="2CB5C981" w:rsidR="00A26977" w:rsidRPr="00A26977" w:rsidRDefault="00A26977">
      <w:pPr>
        <w:pStyle w:val="FootnoteText"/>
        <w:rPr>
          <w:sz w:val="16"/>
          <w:szCs w:val="16"/>
        </w:rPr>
      </w:pPr>
      <w:r w:rsidRPr="00A26977">
        <w:rPr>
          <w:rStyle w:val="FootnoteReference"/>
          <w:sz w:val="16"/>
          <w:szCs w:val="16"/>
        </w:rPr>
        <w:footnoteRef/>
      </w:r>
      <w:r w:rsidRPr="00A26977">
        <w:rPr>
          <w:sz w:val="16"/>
          <w:szCs w:val="16"/>
        </w:rPr>
        <w:t xml:space="preserve"> Sussex ICB, </w:t>
      </w:r>
      <w:r w:rsidRPr="00A26977">
        <w:rPr>
          <w:i/>
          <w:iCs/>
          <w:sz w:val="16"/>
          <w:szCs w:val="16"/>
        </w:rPr>
        <w:t>Response to Panel questions</w:t>
      </w:r>
      <w:r w:rsidRPr="00A26977">
        <w:rPr>
          <w:sz w:val="16"/>
          <w:szCs w:val="16"/>
        </w:rPr>
        <w:t>, 12 June 2024.</w:t>
      </w:r>
    </w:p>
  </w:footnote>
  <w:footnote w:id="58">
    <w:p w14:paraId="22A40078" w14:textId="77777777" w:rsidR="003E5A7C" w:rsidRPr="005E488B" w:rsidRDefault="003E5A7C" w:rsidP="003E5A7C">
      <w:pPr>
        <w:pStyle w:val="FootnoteText"/>
        <w:rPr>
          <w:sz w:val="16"/>
          <w:szCs w:val="16"/>
        </w:rPr>
      </w:pPr>
      <w:r w:rsidRPr="005E488B">
        <w:rPr>
          <w:rStyle w:val="FootnoteReference"/>
          <w:sz w:val="16"/>
          <w:szCs w:val="16"/>
        </w:rPr>
        <w:footnoteRef/>
      </w:r>
      <w:r w:rsidRPr="005E488B">
        <w:rPr>
          <w:sz w:val="16"/>
          <w:szCs w:val="16"/>
        </w:rPr>
        <w:t xml:space="preserve"> Sussex ICB, </w:t>
      </w:r>
      <w:r w:rsidRPr="005E488B">
        <w:rPr>
          <w:i/>
          <w:iCs/>
          <w:sz w:val="16"/>
          <w:szCs w:val="16"/>
        </w:rPr>
        <w:t>Response to Panel questions</w:t>
      </w:r>
      <w:r w:rsidRPr="005E488B">
        <w:rPr>
          <w:sz w:val="16"/>
          <w:szCs w:val="16"/>
        </w:rPr>
        <w:t>, 3 July 2025.</w:t>
      </w:r>
    </w:p>
  </w:footnote>
  <w:footnote w:id="59">
    <w:p w14:paraId="613A6146" w14:textId="77777777" w:rsidR="00874204" w:rsidRPr="00D51AEE" w:rsidRDefault="00874204" w:rsidP="00874204">
      <w:pPr>
        <w:pStyle w:val="FootnoteText"/>
        <w:rPr>
          <w:sz w:val="16"/>
          <w:szCs w:val="16"/>
        </w:rPr>
      </w:pPr>
      <w:r w:rsidRPr="00D51AEE">
        <w:rPr>
          <w:rStyle w:val="FootnoteReference"/>
          <w:sz w:val="16"/>
          <w:szCs w:val="16"/>
        </w:rPr>
        <w:footnoteRef/>
      </w:r>
      <w:r w:rsidRPr="00D51AEE">
        <w:rPr>
          <w:sz w:val="16"/>
          <w:szCs w:val="16"/>
        </w:rPr>
        <w:t xml:space="preserve"> </w:t>
      </w:r>
      <w:r w:rsidRPr="002E21F5">
        <w:rPr>
          <w:sz w:val="16"/>
          <w:szCs w:val="16"/>
        </w:rPr>
        <w:t xml:space="preserve">Sussex ICB, </w:t>
      </w:r>
      <w:r w:rsidRPr="002E21F5">
        <w:rPr>
          <w:i/>
          <w:iCs/>
          <w:sz w:val="16"/>
          <w:szCs w:val="16"/>
        </w:rPr>
        <w:t>Response to Panel questions</w:t>
      </w:r>
      <w:r w:rsidRPr="002E21F5">
        <w:rPr>
          <w:sz w:val="16"/>
          <w:szCs w:val="16"/>
        </w:rPr>
        <w:t>, 3 July 2025</w:t>
      </w:r>
    </w:p>
  </w:footnote>
  <w:footnote w:id="60">
    <w:p w14:paraId="19F33674" w14:textId="77777777" w:rsidR="00874204" w:rsidRPr="00D51AEE" w:rsidRDefault="00874204" w:rsidP="00874204">
      <w:pPr>
        <w:pStyle w:val="FootnoteText"/>
        <w:rPr>
          <w:sz w:val="16"/>
          <w:szCs w:val="16"/>
        </w:rPr>
      </w:pPr>
      <w:r w:rsidRPr="00D51AEE">
        <w:rPr>
          <w:rStyle w:val="FootnoteReference"/>
          <w:sz w:val="16"/>
          <w:szCs w:val="16"/>
        </w:rPr>
        <w:footnoteRef/>
      </w:r>
      <w:r w:rsidRPr="00D51AEE">
        <w:rPr>
          <w:sz w:val="16"/>
          <w:szCs w:val="16"/>
        </w:rPr>
        <w:t xml:space="preserve"> Panel meeting with Sussex ICB, 23 June 2025. </w:t>
      </w:r>
    </w:p>
  </w:footnote>
  <w:footnote w:id="61">
    <w:p w14:paraId="77CBEF46" w14:textId="77777777" w:rsidR="00817020" w:rsidRPr="00AF305D" w:rsidRDefault="00817020">
      <w:pPr>
        <w:pStyle w:val="FootnoteText"/>
        <w:rPr>
          <w:sz w:val="16"/>
          <w:szCs w:val="16"/>
        </w:rPr>
      </w:pPr>
      <w:r w:rsidRPr="00AF305D">
        <w:rPr>
          <w:rStyle w:val="FootnoteReference"/>
          <w:sz w:val="16"/>
          <w:szCs w:val="16"/>
        </w:rPr>
        <w:footnoteRef/>
      </w:r>
      <w:r w:rsidRPr="00AF305D">
        <w:rPr>
          <w:sz w:val="16"/>
          <w:szCs w:val="16"/>
        </w:rPr>
        <w:t xml:space="preserve"> Sussex ICB, </w:t>
      </w:r>
      <w:r w:rsidRPr="00AF305D">
        <w:rPr>
          <w:i/>
          <w:iCs/>
          <w:sz w:val="16"/>
          <w:szCs w:val="16"/>
        </w:rPr>
        <w:t>Modification and Clarification Meeting</w:t>
      </w:r>
      <w:r w:rsidR="009F3972" w:rsidRPr="00AF305D">
        <w:rPr>
          <w:sz w:val="16"/>
          <w:szCs w:val="16"/>
        </w:rPr>
        <w:t>, 25 November 2024.</w:t>
      </w:r>
    </w:p>
  </w:footnote>
  <w:footnote w:id="62">
    <w:p w14:paraId="169D227F" w14:textId="5DCFC99F" w:rsidR="00691C8D" w:rsidRPr="003B4157" w:rsidRDefault="00691C8D">
      <w:pPr>
        <w:pStyle w:val="FootnoteText"/>
        <w:rPr>
          <w:sz w:val="16"/>
          <w:szCs w:val="16"/>
        </w:rPr>
      </w:pPr>
      <w:r w:rsidRPr="003B4157">
        <w:rPr>
          <w:rStyle w:val="FootnoteReference"/>
          <w:sz w:val="16"/>
          <w:szCs w:val="16"/>
        </w:rPr>
        <w:footnoteRef/>
      </w:r>
      <w:r w:rsidRPr="003B4157">
        <w:rPr>
          <w:sz w:val="16"/>
          <w:szCs w:val="16"/>
        </w:rPr>
        <w:t xml:space="preserve"> The Panel notes that the issue raised by Wellsbourne in relation to the involvement of Healthwatch Brighton arose from Sussex ICB’s provision of information on the members of the evaluation panel to Wellsbourne during the representations review </w:t>
      </w:r>
      <w:r w:rsidRPr="003B4157">
        <w:rPr>
          <w:sz w:val="16"/>
          <w:szCs w:val="16"/>
        </w:rPr>
        <w:t>process, and was raised directly with the Panel with Wellsbourne rather than with Sussex ICB, due to the ICB’s position that it would not be responding to any new representations.</w:t>
      </w:r>
    </w:p>
  </w:footnote>
  <w:footnote w:id="63">
    <w:p w14:paraId="3DF18E24" w14:textId="77777777" w:rsidR="006627E0" w:rsidRPr="008B3D14" w:rsidRDefault="006627E0" w:rsidP="006627E0">
      <w:pPr>
        <w:pStyle w:val="FootnoteText"/>
        <w:rPr>
          <w:sz w:val="16"/>
          <w:szCs w:val="16"/>
        </w:rPr>
      </w:pPr>
      <w:r w:rsidRPr="008B3D14">
        <w:rPr>
          <w:rStyle w:val="FootnoteReference"/>
          <w:sz w:val="16"/>
          <w:szCs w:val="16"/>
        </w:rPr>
        <w:footnoteRef/>
      </w:r>
      <w:r w:rsidRPr="008B3D14">
        <w:rPr>
          <w:sz w:val="16"/>
          <w:szCs w:val="16"/>
        </w:rPr>
        <w:t xml:space="preserve"> Panel meeting with Wellsbourne, 20 June 2025.</w:t>
      </w:r>
    </w:p>
  </w:footnote>
  <w:footnote w:id="64">
    <w:p w14:paraId="76E6CDA5" w14:textId="77777777" w:rsidR="006627E0" w:rsidRPr="00F14B8E" w:rsidRDefault="006627E0" w:rsidP="006627E0">
      <w:pPr>
        <w:pStyle w:val="FootnoteText"/>
        <w:rPr>
          <w:sz w:val="16"/>
          <w:szCs w:val="16"/>
        </w:rPr>
      </w:pPr>
      <w:r w:rsidRPr="00F14B8E">
        <w:rPr>
          <w:rStyle w:val="FootnoteReference"/>
          <w:sz w:val="16"/>
          <w:szCs w:val="16"/>
        </w:rPr>
        <w:footnoteRef/>
      </w:r>
      <w:r w:rsidRPr="00F14B8E">
        <w:rPr>
          <w:sz w:val="16"/>
          <w:szCs w:val="16"/>
        </w:rPr>
        <w:t xml:space="preserve"> Panel meeting with Sussex ICB, 23 June 2025.</w:t>
      </w:r>
    </w:p>
  </w:footnote>
  <w:footnote w:id="65">
    <w:p w14:paraId="6C3B6E96" w14:textId="155D303C" w:rsidR="00C4363E" w:rsidRPr="00C4363E" w:rsidRDefault="00C4363E">
      <w:pPr>
        <w:pStyle w:val="FootnoteText"/>
        <w:rPr>
          <w:sz w:val="16"/>
          <w:szCs w:val="16"/>
        </w:rPr>
      </w:pPr>
      <w:r w:rsidRPr="00C4363E">
        <w:rPr>
          <w:rStyle w:val="FootnoteReference"/>
          <w:sz w:val="16"/>
          <w:szCs w:val="16"/>
        </w:rPr>
        <w:footnoteRef/>
      </w:r>
      <w:r w:rsidRPr="00C4363E">
        <w:rPr>
          <w:sz w:val="16"/>
          <w:szCs w:val="16"/>
        </w:rPr>
        <w:t xml:space="preserve"> Sussex ICB, </w:t>
      </w:r>
      <w:r w:rsidRPr="00C4363E">
        <w:rPr>
          <w:i/>
          <w:iCs/>
          <w:sz w:val="16"/>
          <w:szCs w:val="16"/>
        </w:rPr>
        <w:t xml:space="preserve">Representations </w:t>
      </w:r>
      <w:r w:rsidR="000D42AD">
        <w:rPr>
          <w:i/>
          <w:iCs/>
          <w:sz w:val="16"/>
          <w:szCs w:val="16"/>
        </w:rPr>
        <w:t>response r</w:t>
      </w:r>
      <w:r w:rsidRPr="00C4363E">
        <w:rPr>
          <w:i/>
          <w:iCs/>
          <w:sz w:val="16"/>
          <w:szCs w:val="16"/>
        </w:rPr>
        <w:t>eport</w:t>
      </w:r>
      <w:r w:rsidR="000D42AD">
        <w:rPr>
          <w:i/>
          <w:iCs/>
          <w:sz w:val="16"/>
          <w:szCs w:val="16"/>
        </w:rPr>
        <w:t xml:space="preserve"> to Wellsbourne</w:t>
      </w:r>
      <w:r w:rsidRPr="00C4363E">
        <w:rPr>
          <w:sz w:val="16"/>
          <w:szCs w:val="16"/>
        </w:rPr>
        <w:t>, 20 May 2025.</w:t>
      </w:r>
    </w:p>
  </w:footnote>
  <w:footnote w:id="66">
    <w:p w14:paraId="72745351" w14:textId="79721037" w:rsidR="003A6D3A" w:rsidRPr="003A6D3A" w:rsidRDefault="003A6D3A">
      <w:pPr>
        <w:pStyle w:val="FootnoteText"/>
        <w:rPr>
          <w:sz w:val="16"/>
          <w:szCs w:val="16"/>
        </w:rPr>
      </w:pPr>
      <w:r w:rsidRPr="003A6D3A">
        <w:rPr>
          <w:rStyle w:val="FootnoteReference"/>
          <w:sz w:val="16"/>
          <w:szCs w:val="16"/>
        </w:rPr>
        <w:footnoteRef/>
      </w:r>
      <w:r w:rsidRPr="003A6D3A">
        <w:rPr>
          <w:sz w:val="16"/>
          <w:szCs w:val="16"/>
        </w:rPr>
        <w:t xml:space="preserve"> NHS England, </w:t>
      </w:r>
      <w:r w:rsidRPr="003A6D3A">
        <w:rPr>
          <w:i/>
          <w:iCs/>
          <w:sz w:val="16"/>
          <w:szCs w:val="16"/>
        </w:rPr>
        <w:t>The Provider Selection Regime: statutory guidance</w:t>
      </w:r>
      <w:r w:rsidRPr="003A6D3A">
        <w:rPr>
          <w:sz w:val="16"/>
          <w:szCs w:val="16"/>
        </w:rPr>
        <w:t>, 21 February 2024, p.33.</w:t>
      </w:r>
    </w:p>
  </w:footnote>
  <w:footnote w:id="67">
    <w:p w14:paraId="454F9201" w14:textId="47FE0CE4" w:rsidR="00AB2F2A" w:rsidRPr="002C226D" w:rsidRDefault="00AB2F2A">
      <w:pPr>
        <w:pStyle w:val="FootnoteText"/>
        <w:rPr>
          <w:sz w:val="16"/>
          <w:szCs w:val="16"/>
        </w:rPr>
      </w:pPr>
      <w:r w:rsidRPr="002C226D">
        <w:rPr>
          <w:rStyle w:val="FootnoteReference"/>
          <w:sz w:val="16"/>
          <w:szCs w:val="16"/>
        </w:rPr>
        <w:footnoteRef/>
      </w:r>
      <w:r w:rsidRPr="002C226D">
        <w:rPr>
          <w:sz w:val="16"/>
          <w:szCs w:val="16"/>
        </w:rPr>
        <w:t xml:space="preserve"> </w:t>
      </w:r>
      <w:r w:rsidR="002C226D" w:rsidRPr="002C226D">
        <w:rPr>
          <w:sz w:val="16"/>
          <w:szCs w:val="16"/>
        </w:rPr>
        <w:t xml:space="preserve">Sussex ICB, </w:t>
      </w:r>
      <w:r w:rsidR="002C226D" w:rsidRPr="002C226D">
        <w:rPr>
          <w:i/>
          <w:iCs/>
          <w:sz w:val="16"/>
          <w:szCs w:val="16"/>
        </w:rPr>
        <w:t>Representation</w:t>
      </w:r>
      <w:r w:rsidR="00A81477">
        <w:rPr>
          <w:i/>
          <w:iCs/>
          <w:sz w:val="16"/>
          <w:szCs w:val="16"/>
        </w:rPr>
        <w:t xml:space="preserve">s </w:t>
      </w:r>
      <w:r w:rsidR="000D42AD">
        <w:rPr>
          <w:i/>
          <w:iCs/>
          <w:sz w:val="16"/>
          <w:szCs w:val="16"/>
        </w:rPr>
        <w:t>response r</w:t>
      </w:r>
      <w:r w:rsidR="00A81477">
        <w:rPr>
          <w:i/>
          <w:iCs/>
          <w:sz w:val="16"/>
          <w:szCs w:val="16"/>
        </w:rPr>
        <w:t>eport</w:t>
      </w:r>
      <w:r w:rsidR="000D42AD">
        <w:rPr>
          <w:i/>
          <w:iCs/>
          <w:sz w:val="16"/>
          <w:szCs w:val="16"/>
        </w:rPr>
        <w:t xml:space="preserve"> to Wellsbourne</w:t>
      </w:r>
      <w:r w:rsidR="002C226D" w:rsidRPr="002C226D">
        <w:rPr>
          <w:sz w:val="16"/>
          <w:szCs w:val="16"/>
        </w:rPr>
        <w:t xml:space="preserve">, </w:t>
      </w:r>
      <w:r w:rsidR="00D063B7">
        <w:rPr>
          <w:sz w:val="16"/>
          <w:szCs w:val="16"/>
        </w:rPr>
        <w:t xml:space="preserve">30 </w:t>
      </w:r>
      <w:r w:rsidR="00A45AEA">
        <w:rPr>
          <w:sz w:val="16"/>
          <w:szCs w:val="16"/>
        </w:rPr>
        <w:t xml:space="preserve">April 2025 and </w:t>
      </w:r>
      <w:r w:rsidR="002C226D" w:rsidRPr="002C226D">
        <w:rPr>
          <w:sz w:val="16"/>
          <w:szCs w:val="16"/>
        </w:rPr>
        <w:t>20 May 2025</w:t>
      </w:r>
      <w:r w:rsidR="00A45AEA">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5BE"/>
    <w:multiLevelType w:val="hybridMultilevel"/>
    <w:tmpl w:val="05886A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3A1CE7"/>
    <w:multiLevelType w:val="hybridMultilevel"/>
    <w:tmpl w:val="FD7AC3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EF2862"/>
    <w:multiLevelType w:val="hybridMultilevel"/>
    <w:tmpl w:val="0284FE94"/>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3" w15:restartNumberingAfterBreak="0">
    <w:nsid w:val="07A617F5"/>
    <w:multiLevelType w:val="hybridMultilevel"/>
    <w:tmpl w:val="91CCB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26FA9"/>
    <w:multiLevelType w:val="hybridMultilevel"/>
    <w:tmpl w:val="F5BCF96A"/>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5" w15:restartNumberingAfterBreak="0">
    <w:nsid w:val="08C40A04"/>
    <w:multiLevelType w:val="hybridMultilevel"/>
    <w:tmpl w:val="450C3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986F43"/>
    <w:multiLevelType w:val="hybridMultilevel"/>
    <w:tmpl w:val="3BEC3542"/>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7" w15:restartNumberingAfterBreak="0">
    <w:nsid w:val="0F2123D5"/>
    <w:multiLevelType w:val="multilevel"/>
    <w:tmpl w:val="3CDE5F5E"/>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DA229B"/>
    <w:multiLevelType w:val="hybridMultilevel"/>
    <w:tmpl w:val="BF14DD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1162A94"/>
    <w:multiLevelType w:val="hybridMultilevel"/>
    <w:tmpl w:val="5E706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A4FE1"/>
    <w:multiLevelType w:val="hybridMultilevel"/>
    <w:tmpl w:val="3F74C7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E224A3"/>
    <w:multiLevelType w:val="hybridMultilevel"/>
    <w:tmpl w:val="7438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D904D5B"/>
    <w:multiLevelType w:val="hybridMultilevel"/>
    <w:tmpl w:val="D42C37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F2B5A19"/>
    <w:multiLevelType w:val="hybridMultilevel"/>
    <w:tmpl w:val="5C04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213D1"/>
    <w:multiLevelType w:val="hybridMultilevel"/>
    <w:tmpl w:val="EFA8CA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3E4D05"/>
    <w:multiLevelType w:val="hybridMultilevel"/>
    <w:tmpl w:val="1A78B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A27C41"/>
    <w:multiLevelType w:val="hybridMultilevel"/>
    <w:tmpl w:val="32DC7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6F207A"/>
    <w:multiLevelType w:val="hybridMultilevel"/>
    <w:tmpl w:val="AAD2C504"/>
    <w:lvl w:ilvl="0" w:tplc="201E7D7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2D65483F"/>
    <w:multiLevelType w:val="multilevel"/>
    <w:tmpl w:val="98A2F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1557E4"/>
    <w:multiLevelType w:val="hybridMultilevel"/>
    <w:tmpl w:val="9BFA34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4BA0FB5"/>
    <w:multiLevelType w:val="hybridMultilevel"/>
    <w:tmpl w:val="1376D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02749D"/>
    <w:multiLevelType w:val="hybridMultilevel"/>
    <w:tmpl w:val="0A34F052"/>
    <w:lvl w:ilvl="0" w:tplc="F500862C">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7FE3E3C"/>
    <w:multiLevelType w:val="hybridMultilevel"/>
    <w:tmpl w:val="777E8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BD4EFB"/>
    <w:multiLevelType w:val="hybridMultilevel"/>
    <w:tmpl w:val="71261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DB5512"/>
    <w:multiLevelType w:val="hybridMultilevel"/>
    <w:tmpl w:val="BDBA08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12D2443"/>
    <w:multiLevelType w:val="hybridMultilevel"/>
    <w:tmpl w:val="736C6C7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F22482"/>
    <w:multiLevelType w:val="hybridMultilevel"/>
    <w:tmpl w:val="8B84B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C7D13E2"/>
    <w:multiLevelType w:val="hybridMultilevel"/>
    <w:tmpl w:val="D8C0E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6D0F5D"/>
    <w:multiLevelType w:val="hybridMultilevel"/>
    <w:tmpl w:val="07E41A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4DA86B80"/>
    <w:multiLevelType w:val="hybridMultilevel"/>
    <w:tmpl w:val="A3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49429B"/>
    <w:multiLevelType w:val="hybridMultilevel"/>
    <w:tmpl w:val="F9BC46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10028C9"/>
    <w:multiLevelType w:val="hybridMultilevel"/>
    <w:tmpl w:val="AB8A5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64B4CB3"/>
    <w:multiLevelType w:val="hybridMultilevel"/>
    <w:tmpl w:val="ED4C45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EC522D"/>
    <w:multiLevelType w:val="hybridMultilevel"/>
    <w:tmpl w:val="A96051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8A0313E"/>
    <w:multiLevelType w:val="hybridMultilevel"/>
    <w:tmpl w:val="B46E56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AB520FB"/>
    <w:multiLevelType w:val="hybridMultilevel"/>
    <w:tmpl w:val="CDB2A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EE73EB"/>
    <w:multiLevelType w:val="hybridMultilevel"/>
    <w:tmpl w:val="C16E13C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60D81B39"/>
    <w:multiLevelType w:val="hybridMultilevel"/>
    <w:tmpl w:val="13C003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1455E51"/>
    <w:multiLevelType w:val="hybridMultilevel"/>
    <w:tmpl w:val="B4BE6584"/>
    <w:lvl w:ilvl="0" w:tplc="44F247C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62BF747B"/>
    <w:multiLevelType w:val="hybridMultilevel"/>
    <w:tmpl w:val="E614367C"/>
    <w:lvl w:ilvl="0" w:tplc="08090001">
      <w:start w:val="1"/>
      <w:numFmt w:val="bullet"/>
      <w:lvlText w:val=""/>
      <w:lvlJc w:val="left"/>
      <w:pPr>
        <w:ind w:left="1571" w:hanging="72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0" w15:restartNumberingAfterBreak="0">
    <w:nsid w:val="64AA26C6"/>
    <w:multiLevelType w:val="hybridMultilevel"/>
    <w:tmpl w:val="78168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6076AFF"/>
    <w:multiLevelType w:val="hybridMultilevel"/>
    <w:tmpl w:val="FD622C60"/>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2" w15:restartNumberingAfterBreak="0">
    <w:nsid w:val="712E33AD"/>
    <w:multiLevelType w:val="hybridMultilevel"/>
    <w:tmpl w:val="EA38E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9F2827"/>
    <w:multiLevelType w:val="multilevel"/>
    <w:tmpl w:val="1CF2F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3A667D5"/>
    <w:multiLevelType w:val="hybridMultilevel"/>
    <w:tmpl w:val="2FE61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D410E4"/>
    <w:multiLevelType w:val="hybridMultilevel"/>
    <w:tmpl w:val="52D87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8257EA8"/>
    <w:multiLevelType w:val="hybridMultilevel"/>
    <w:tmpl w:val="797E7B5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8D96326"/>
    <w:multiLevelType w:val="hybridMultilevel"/>
    <w:tmpl w:val="0CA21946"/>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8" w15:restartNumberingAfterBreak="0">
    <w:nsid w:val="7AE9093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334541"/>
    <w:multiLevelType w:val="hybridMultilevel"/>
    <w:tmpl w:val="3E187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3816115">
    <w:abstractNumId w:val="3"/>
  </w:num>
  <w:num w:numId="2" w16cid:durableId="447895304">
    <w:abstractNumId w:val="9"/>
  </w:num>
  <w:num w:numId="3" w16cid:durableId="1788968321">
    <w:abstractNumId w:val="5"/>
  </w:num>
  <w:num w:numId="4" w16cid:durableId="84503779">
    <w:abstractNumId w:val="25"/>
  </w:num>
  <w:num w:numId="5" w16cid:durableId="735013521">
    <w:abstractNumId w:val="7"/>
  </w:num>
  <w:num w:numId="6" w16cid:durableId="7029560">
    <w:abstractNumId w:val="7"/>
  </w:num>
  <w:num w:numId="7" w16cid:durableId="1629435474">
    <w:abstractNumId w:val="21"/>
  </w:num>
  <w:num w:numId="8" w16cid:durableId="1644848656">
    <w:abstractNumId w:val="29"/>
  </w:num>
  <w:num w:numId="9" w16cid:durableId="1069158940">
    <w:abstractNumId w:val="49"/>
  </w:num>
  <w:num w:numId="10" w16cid:durableId="66223732">
    <w:abstractNumId w:val="45"/>
  </w:num>
  <w:num w:numId="11" w16cid:durableId="45104576">
    <w:abstractNumId w:val="16"/>
  </w:num>
  <w:num w:numId="12" w16cid:durableId="730158728">
    <w:abstractNumId w:val="44"/>
  </w:num>
  <w:num w:numId="13" w16cid:durableId="535628692">
    <w:abstractNumId w:val="27"/>
  </w:num>
  <w:num w:numId="14" w16cid:durableId="197207422">
    <w:abstractNumId w:val="48"/>
  </w:num>
  <w:num w:numId="15" w16cid:durableId="177431390">
    <w:abstractNumId w:val="40"/>
  </w:num>
  <w:num w:numId="16" w16cid:durableId="1663048386">
    <w:abstractNumId w:val="22"/>
  </w:num>
  <w:num w:numId="17" w16cid:durableId="1139147993">
    <w:abstractNumId w:val="21"/>
  </w:num>
  <w:num w:numId="18" w16cid:durableId="871574559">
    <w:abstractNumId w:val="21"/>
  </w:num>
  <w:num w:numId="19" w16cid:durableId="1886477795">
    <w:abstractNumId w:val="21"/>
  </w:num>
  <w:num w:numId="20" w16cid:durableId="1015152803">
    <w:abstractNumId w:val="13"/>
  </w:num>
  <w:num w:numId="21" w16cid:durableId="1271670937">
    <w:abstractNumId w:val="21"/>
  </w:num>
  <w:num w:numId="22" w16cid:durableId="1966349545">
    <w:abstractNumId w:val="31"/>
  </w:num>
  <w:num w:numId="23" w16cid:durableId="1676882730">
    <w:abstractNumId w:val="17"/>
  </w:num>
  <w:num w:numId="24" w16cid:durableId="1874345776">
    <w:abstractNumId w:val="34"/>
  </w:num>
  <w:num w:numId="25" w16cid:durableId="1908804624">
    <w:abstractNumId w:val="39"/>
  </w:num>
  <w:num w:numId="26" w16cid:durableId="605893720">
    <w:abstractNumId w:val="26"/>
  </w:num>
  <w:num w:numId="27" w16cid:durableId="82536373">
    <w:abstractNumId w:val="41"/>
  </w:num>
  <w:num w:numId="28" w16cid:durableId="1776707991">
    <w:abstractNumId w:val="18"/>
  </w:num>
  <w:num w:numId="29" w16cid:durableId="257754772">
    <w:abstractNumId w:val="0"/>
  </w:num>
  <w:num w:numId="30" w16cid:durableId="335352639">
    <w:abstractNumId w:val="2"/>
  </w:num>
  <w:num w:numId="31" w16cid:durableId="1472208811">
    <w:abstractNumId w:val="4"/>
  </w:num>
  <w:num w:numId="32" w16cid:durableId="774832971">
    <w:abstractNumId w:val="47"/>
  </w:num>
  <w:num w:numId="33" w16cid:durableId="1722437393">
    <w:abstractNumId w:val="6"/>
  </w:num>
  <w:num w:numId="34" w16cid:durableId="1297249763">
    <w:abstractNumId w:val="43"/>
  </w:num>
  <w:num w:numId="35" w16cid:durableId="1787849579">
    <w:abstractNumId w:val="23"/>
  </w:num>
  <w:num w:numId="36" w16cid:durableId="173344397">
    <w:abstractNumId w:val="46"/>
  </w:num>
  <w:num w:numId="37" w16cid:durableId="681978115">
    <w:abstractNumId w:val="48"/>
  </w:num>
  <w:num w:numId="38" w16cid:durableId="1534611793">
    <w:abstractNumId w:val="35"/>
  </w:num>
  <w:num w:numId="39" w16cid:durableId="843203978">
    <w:abstractNumId w:val="32"/>
  </w:num>
  <w:num w:numId="40" w16cid:durableId="780953143">
    <w:abstractNumId w:val="38"/>
  </w:num>
  <w:num w:numId="41" w16cid:durableId="1392072407">
    <w:abstractNumId w:val="28"/>
  </w:num>
  <w:num w:numId="42" w16cid:durableId="575750376">
    <w:abstractNumId w:val="19"/>
  </w:num>
  <w:num w:numId="43" w16cid:durableId="52240139">
    <w:abstractNumId w:val="10"/>
  </w:num>
  <w:num w:numId="44" w16cid:durableId="5138626">
    <w:abstractNumId w:val="11"/>
  </w:num>
  <w:num w:numId="45" w16cid:durableId="487553025">
    <w:abstractNumId w:val="12"/>
  </w:num>
  <w:num w:numId="46" w16cid:durableId="633607405">
    <w:abstractNumId w:val="48"/>
    <w:lvlOverride w:ilvl="0">
      <w:startOverride w:val="7"/>
    </w:lvlOverride>
    <w:lvlOverride w:ilvl="1">
      <w:startOverride w:val="3"/>
    </w:lvlOverride>
    <w:lvlOverride w:ilvl="2">
      <w:startOverride w:val="4"/>
    </w:lvlOverride>
  </w:num>
  <w:num w:numId="47" w16cid:durableId="1233278146">
    <w:abstractNumId w:val="37"/>
  </w:num>
  <w:num w:numId="48" w16cid:durableId="561329387">
    <w:abstractNumId w:val="36"/>
  </w:num>
  <w:num w:numId="49" w16cid:durableId="893082160">
    <w:abstractNumId w:val="14"/>
  </w:num>
  <w:num w:numId="50" w16cid:durableId="563679385">
    <w:abstractNumId w:val="42"/>
  </w:num>
  <w:num w:numId="51" w16cid:durableId="1236211003">
    <w:abstractNumId w:val="20"/>
  </w:num>
  <w:num w:numId="52" w16cid:durableId="1421412518">
    <w:abstractNumId w:val="1"/>
  </w:num>
  <w:num w:numId="53" w16cid:durableId="2050451030">
    <w:abstractNumId w:val="24"/>
  </w:num>
  <w:num w:numId="54" w16cid:durableId="927079793">
    <w:abstractNumId w:val="15"/>
  </w:num>
  <w:num w:numId="55" w16cid:durableId="155998712">
    <w:abstractNumId w:val="30"/>
  </w:num>
  <w:num w:numId="56" w16cid:durableId="479152841">
    <w:abstractNumId w:val="33"/>
  </w:num>
  <w:num w:numId="57" w16cid:durableId="51599769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ocumentProtection w:edit="readOnly" w:formatting="1" w:enforcement="1" w:cryptProviderType="rsaAES" w:cryptAlgorithmClass="hash" w:cryptAlgorithmType="typeAny" w:cryptAlgorithmSid="14" w:cryptSpinCount="100000" w:hash="iVpkcKF20A5cdGMzdRb1b/HvRC53KjmBSsBh5MnKINR4nY9h7IW4w0UCinykutKvsFtaOX9Qh7k0YTu4cvmTWw==" w:salt="eyzwp8Wpg2VMzHXqu20t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A3"/>
    <w:rsid w:val="00000086"/>
    <w:rsid w:val="000001BF"/>
    <w:rsid w:val="0000045F"/>
    <w:rsid w:val="00000C7E"/>
    <w:rsid w:val="00000F91"/>
    <w:rsid w:val="00001059"/>
    <w:rsid w:val="00001371"/>
    <w:rsid w:val="000019DE"/>
    <w:rsid w:val="00001C31"/>
    <w:rsid w:val="00001CD7"/>
    <w:rsid w:val="00001D81"/>
    <w:rsid w:val="00002133"/>
    <w:rsid w:val="000022E6"/>
    <w:rsid w:val="00002385"/>
    <w:rsid w:val="0000254D"/>
    <w:rsid w:val="00002D60"/>
    <w:rsid w:val="0000306C"/>
    <w:rsid w:val="000030BB"/>
    <w:rsid w:val="00003832"/>
    <w:rsid w:val="00003E7E"/>
    <w:rsid w:val="00003F59"/>
    <w:rsid w:val="0000423F"/>
    <w:rsid w:val="00004F46"/>
    <w:rsid w:val="000050FE"/>
    <w:rsid w:val="00005A58"/>
    <w:rsid w:val="00005D5F"/>
    <w:rsid w:val="00005DF1"/>
    <w:rsid w:val="0000618B"/>
    <w:rsid w:val="00006447"/>
    <w:rsid w:val="00006F6F"/>
    <w:rsid w:val="00006FB3"/>
    <w:rsid w:val="00007087"/>
    <w:rsid w:val="00007091"/>
    <w:rsid w:val="00007510"/>
    <w:rsid w:val="00007A0D"/>
    <w:rsid w:val="00007B12"/>
    <w:rsid w:val="00007CAF"/>
    <w:rsid w:val="00007DC7"/>
    <w:rsid w:val="000107A2"/>
    <w:rsid w:val="000108D6"/>
    <w:rsid w:val="00010A8E"/>
    <w:rsid w:val="0001135A"/>
    <w:rsid w:val="00011770"/>
    <w:rsid w:val="000119E3"/>
    <w:rsid w:val="0001224E"/>
    <w:rsid w:val="000124D4"/>
    <w:rsid w:val="00012AF5"/>
    <w:rsid w:val="00012B33"/>
    <w:rsid w:val="00012D4B"/>
    <w:rsid w:val="00012E4A"/>
    <w:rsid w:val="00012EF7"/>
    <w:rsid w:val="00013461"/>
    <w:rsid w:val="00013564"/>
    <w:rsid w:val="000136A7"/>
    <w:rsid w:val="0001390D"/>
    <w:rsid w:val="000139A5"/>
    <w:rsid w:val="00013CBC"/>
    <w:rsid w:val="0001416C"/>
    <w:rsid w:val="00014564"/>
    <w:rsid w:val="00014591"/>
    <w:rsid w:val="000147BF"/>
    <w:rsid w:val="000149B7"/>
    <w:rsid w:val="000149D8"/>
    <w:rsid w:val="00014A3D"/>
    <w:rsid w:val="00014CEF"/>
    <w:rsid w:val="0001547C"/>
    <w:rsid w:val="000156E5"/>
    <w:rsid w:val="00015913"/>
    <w:rsid w:val="00015B7A"/>
    <w:rsid w:val="00015D3B"/>
    <w:rsid w:val="00015EB8"/>
    <w:rsid w:val="0001604A"/>
    <w:rsid w:val="00016239"/>
    <w:rsid w:val="000165F9"/>
    <w:rsid w:val="000168D0"/>
    <w:rsid w:val="00016911"/>
    <w:rsid w:val="00016BC3"/>
    <w:rsid w:val="000173FA"/>
    <w:rsid w:val="0001769E"/>
    <w:rsid w:val="000177D9"/>
    <w:rsid w:val="0001792E"/>
    <w:rsid w:val="000179F2"/>
    <w:rsid w:val="00017B52"/>
    <w:rsid w:val="00017BA3"/>
    <w:rsid w:val="00017FA1"/>
    <w:rsid w:val="00020077"/>
    <w:rsid w:val="00020432"/>
    <w:rsid w:val="000204E0"/>
    <w:rsid w:val="000209FD"/>
    <w:rsid w:val="00020DB5"/>
    <w:rsid w:val="00020E54"/>
    <w:rsid w:val="00020FEE"/>
    <w:rsid w:val="00021255"/>
    <w:rsid w:val="0002139E"/>
    <w:rsid w:val="0002162B"/>
    <w:rsid w:val="00021650"/>
    <w:rsid w:val="00021BCF"/>
    <w:rsid w:val="00021C07"/>
    <w:rsid w:val="000220FE"/>
    <w:rsid w:val="0002279A"/>
    <w:rsid w:val="0002280A"/>
    <w:rsid w:val="00022A4A"/>
    <w:rsid w:val="00022E86"/>
    <w:rsid w:val="00023308"/>
    <w:rsid w:val="000238DD"/>
    <w:rsid w:val="00023D74"/>
    <w:rsid w:val="00023E27"/>
    <w:rsid w:val="00023E29"/>
    <w:rsid w:val="000242C8"/>
    <w:rsid w:val="0002438F"/>
    <w:rsid w:val="00024513"/>
    <w:rsid w:val="0002492B"/>
    <w:rsid w:val="00024A91"/>
    <w:rsid w:val="00024B96"/>
    <w:rsid w:val="00024DBD"/>
    <w:rsid w:val="00025168"/>
    <w:rsid w:val="00025C33"/>
    <w:rsid w:val="000268C1"/>
    <w:rsid w:val="000269E1"/>
    <w:rsid w:val="00026ADF"/>
    <w:rsid w:val="00026C7C"/>
    <w:rsid w:val="00026FF4"/>
    <w:rsid w:val="00027383"/>
    <w:rsid w:val="000273B4"/>
    <w:rsid w:val="00027564"/>
    <w:rsid w:val="00027990"/>
    <w:rsid w:val="000279FC"/>
    <w:rsid w:val="00027B4A"/>
    <w:rsid w:val="00027F59"/>
    <w:rsid w:val="000307C8"/>
    <w:rsid w:val="000309F4"/>
    <w:rsid w:val="00030BA3"/>
    <w:rsid w:val="00030BF5"/>
    <w:rsid w:val="00030D51"/>
    <w:rsid w:val="00030E59"/>
    <w:rsid w:val="00030EE8"/>
    <w:rsid w:val="00030FDF"/>
    <w:rsid w:val="0003119C"/>
    <w:rsid w:val="0003126C"/>
    <w:rsid w:val="000314BA"/>
    <w:rsid w:val="00031789"/>
    <w:rsid w:val="00031D3E"/>
    <w:rsid w:val="000323F4"/>
    <w:rsid w:val="00032461"/>
    <w:rsid w:val="000324F3"/>
    <w:rsid w:val="0003271B"/>
    <w:rsid w:val="000327D0"/>
    <w:rsid w:val="00032930"/>
    <w:rsid w:val="00032FBA"/>
    <w:rsid w:val="0003306C"/>
    <w:rsid w:val="000333B2"/>
    <w:rsid w:val="00033529"/>
    <w:rsid w:val="00033AD9"/>
    <w:rsid w:val="00033B6F"/>
    <w:rsid w:val="00033DA5"/>
    <w:rsid w:val="000341C6"/>
    <w:rsid w:val="0003439A"/>
    <w:rsid w:val="00034786"/>
    <w:rsid w:val="00034852"/>
    <w:rsid w:val="00034863"/>
    <w:rsid w:val="0003493C"/>
    <w:rsid w:val="00034A5C"/>
    <w:rsid w:val="00034B36"/>
    <w:rsid w:val="00034EC5"/>
    <w:rsid w:val="00034EDB"/>
    <w:rsid w:val="000360BF"/>
    <w:rsid w:val="000362FB"/>
    <w:rsid w:val="000364D1"/>
    <w:rsid w:val="0003662F"/>
    <w:rsid w:val="00036820"/>
    <w:rsid w:val="00036C3D"/>
    <w:rsid w:val="00036C67"/>
    <w:rsid w:val="00036E4F"/>
    <w:rsid w:val="00036EE3"/>
    <w:rsid w:val="00036FAB"/>
    <w:rsid w:val="00036FCA"/>
    <w:rsid w:val="00036FEF"/>
    <w:rsid w:val="000371BD"/>
    <w:rsid w:val="0003731A"/>
    <w:rsid w:val="00037509"/>
    <w:rsid w:val="000378D2"/>
    <w:rsid w:val="00037C01"/>
    <w:rsid w:val="00037C7D"/>
    <w:rsid w:val="00037C82"/>
    <w:rsid w:val="00037C8F"/>
    <w:rsid w:val="00037EDC"/>
    <w:rsid w:val="00040124"/>
    <w:rsid w:val="000401FD"/>
    <w:rsid w:val="00040340"/>
    <w:rsid w:val="00040682"/>
    <w:rsid w:val="00040692"/>
    <w:rsid w:val="00040D35"/>
    <w:rsid w:val="0004108B"/>
    <w:rsid w:val="00041327"/>
    <w:rsid w:val="00041419"/>
    <w:rsid w:val="0004173A"/>
    <w:rsid w:val="00041890"/>
    <w:rsid w:val="00041C53"/>
    <w:rsid w:val="00041D46"/>
    <w:rsid w:val="00041E46"/>
    <w:rsid w:val="000420CF"/>
    <w:rsid w:val="0004241D"/>
    <w:rsid w:val="00042726"/>
    <w:rsid w:val="00042809"/>
    <w:rsid w:val="0004291C"/>
    <w:rsid w:val="000429C0"/>
    <w:rsid w:val="00042AAA"/>
    <w:rsid w:val="00042AAB"/>
    <w:rsid w:val="00042CE4"/>
    <w:rsid w:val="00043005"/>
    <w:rsid w:val="000430EE"/>
    <w:rsid w:val="0004353A"/>
    <w:rsid w:val="000435FE"/>
    <w:rsid w:val="0004396A"/>
    <w:rsid w:val="000439E0"/>
    <w:rsid w:val="00043C4F"/>
    <w:rsid w:val="00044221"/>
    <w:rsid w:val="0004446E"/>
    <w:rsid w:val="000444B5"/>
    <w:rsid w:val="00044564"/>
    <w:rsid w:val="00044BAA"/>
    <w:rsid w:val="000451EE"/>
    <w:rsid w:val="00045261"/>
    <w:rsid w:val="00045365"/>
    <w:rsid w:val="00045462"/>
    <w:rsid w:val="000456E3"/>
    <w:rsid w:val="000458A1"/>
    <w:rsid w:val="000459C9"/>
    <w:rsid w:val="00045B8C"/>
    <w:rsid w:val="000460DE"/>
    <w:rsid w:val="00046266"/>
    <w:rsid w:val="0004627C"/>
    <w:rsid w:val="00046329"/>
    <w:rsid w:val="00046CBF"/>
    <w:rsid w:val="00047060"/>
    <w:rsid w:val="00047275"/>
    <w:rsid w:val="00047620"/>
    <w:rsid w:val="0004772F"/>
    <w:rsid w:val="0004788B"/>
    <w:rsid w:val="00047D7A"/>
    <w:rsid w:val="00047D86"/>
    <w:rsid w:val="00050187"/>
    <w:rsid w:val="0005069F"/>
    <w:rsid w:val="00050822"/>
    <w:rsid w:val="000509C2"/>
    <w:rsid w:val="00050A18"/>
    <w:rsid w:val="00050AF6"/>
    <w:rsid w:val="00050E42"/>
    <w:rsid w:val="0005122F"/>
    <w:rsid w:val="00051287"/>
    <w:rsid w:val="00051489"/>
    <w:rsid w:val="00051539"/>
    <w:rsid w:val="0005162B"/>
    <w:rsid w:val="00051944"/>
    <w:rsid w:val="00052932"/>
    <w:rsid w:val="00052BF3"/>
    <w:rsid w:val="000530FC"/>
    <w:rsid w:val="00053262"/>
    <w:rsid w:val="000534F2"/>
    <w:rsid w:val="000536F3"/>
    <w:rsid w:val="00053819"/>
    <w:rsid w:val="00053D17"/>
    <w:rsid w:val="00053FDA"/>
    <w:rsid w:val="00054306"/>
    <w:rsid w:val="0005431C"/>
    <w:rsid w:val="00054583"/>
    <w:rsid w:val="00054F12"/>
    <w:rsid w:val="0005521C"/>
    <w:rsid w:val="000553A5"/>
    <w:rsid w:val="00055506"/>
    <w:rsid w:val="0005552A"/>
    <w:rsid w:val="00055823"/>
    <w:rsid w:val="0005616B"/>
    <w:rsid w:val="00056416"/>
    <w:rsid w:val="000568BD"/>
    <w:rsid w:val="00056A5E"/>
    <w:rsid w:val="00056B18"/>
    <w:rsid w:val="00056DF6"/>
    <w:rsid w:val="00057030"/>
    <w:rsid w:val="00057681"/>
    <w:rsid w:val="00057752"/>
    <w:rsid w:val="00057E17"/>
    <w:rsid w:val="000600F7"/>
    <w:rsid w:val="00060234"/>
    <w:rsid w:val="00060504"/>
    <w:rsid w:val="0006056E"/>
    <w:rsid w:val="00060698"/>
    <w:rsid w:val="00060B0E"/>
    <w:rsid w:val="00060D70"/>
    <w:rsid w:val="00060EBC"/>
    <w:rsid w:val="00061152"/>
    <w:rsid w:val="00061463"/>
    <w:rsid w:val="00061F81"/>
    <w:rsid w:val="0006210E"/>
    <w:rsid w:val="0006244C"/>
    <w:rsid w:val="000627ED"/>
    <w:rsid w:val="00062C29"/>
    <w:rsid w:val="000630F4"/>
    <w:rsid w:val="00063673"/>
    <w:rsid w:val="00063D90"/>
    <w:rsid w:val="00063EE2"/>
    <w:rsid w:val="000643AB"/>
    <w:rsid w:val="00064614"/>
    <w:rsid w:val="00064BC2"/>
    <w:rsid w:val="00064FAA"/>
    <w:rsid w:val="00065074"/>
    <w:rsid w:val="0006509D"/>
    <w:rsid w:val="00065180"/>
    <w:rsid w:val="000657ED"/>
    <w:rsid w:val="00065DFF"/>
    <w:rsid w:val="00065F16"/>
    <w:rsid w:val="000661B7"/>
    <w:rsid w:val="00066473"/>
    <w:rsid w:val="0006650A"/>
    <w:rsid w:val="000665EA"/>
    <w:rsid w:val="000668F3"/>
    <w:rsid w:val="00066C73"/>
    <w:rsid w:val="00066FC3"/>
    <w:rsid w:val="0006708C"/>
    <w:rsid w:val="00067398"/>
    <w:rsid w:val="00067995"/>
    <w:rsid w:val="00067B16"/>
    <w:rsid w:val="00067D30"/>
    <w:rsid w:val="00067D6A"/>
    <w:rsid w:val="0007002F"/>
    <w:rsid w:val="000703C9"/>
    <w:rsid w:val="000707A0"/>
    <w:rsid w:val="00070B10"/>
    <w:rsid w:val="0007168F"/>
    <w:rsid w:val="0007184C"/>
    <w:rsid w:val="000718D4"/>
    <w:rsid w:val="000719E9"/>
    <w:rsid w:val="00071A40"/>
    <w:rsid w:val="00072200"/>
    <w:rsid w:val="000725B5"/>
    <w:rsid w:val="0007280E"/>
    <w:rsid w:val="0007292B"/>
    <w:rsid w:val="00072C29"/>
    <w:rsid w:val="00072C2E"/>
    <w:rsid w:val="00072EDE"/>
    <w:rsid w:val="0007337C"/>
    <w:rsid w:val="000733A4"/>
    <w:rsid w:val="00073459"/>
    <w:rsid w:val="00073523"/>
    <w:rsid w:val="000736DA"/>
    <w:rsid w:val="00073A24"/>
    <w:rsid w:val="00073C05"/>
    <w:rsid w:val="00073D38"/>
    <w:rsid w:val="00074425"/>
    <w:rsid w:val="00074DFD"/>
    <w:rsid w:val="0007513A"/>
    <w:rsid w:val="00075269"/>
    <w:rsid w:val="000754F7"/>
    <w:rsid w:val="000755A1"/>
    <w:rsid w:val="0007566A"/>
    <w:rsid w:val="00075BC2"/>
    <w:rsid w:val="0007607C"/>
    <w:rsid w:val="00076258"/>
    <w:rsid w:val="00076270"/>
    <w:rsid w:val="00076511"/>
    <w:rsid w:val="0007659F"/>
    <w:rsid w:val="00076DE1"/>
    <w:rsid w:val="000770EF"/>
    <w:rsid w:val="00077115"/>
    <w:rsid w:val="00077296"/>
    <w:rsid w:val="0007748E"/>
    <w:rsid w:val="00077A9E"/>
    <w:rsid w:val="00077B21"/>
    <w:rsid w:val="0008031F"/>
    <w:rsid w:val="00080410"/>
    <w:rsid w:val="00080E10"/>
    <w:rsid w:val="00080E48"/>
    <w:rsid w:val="000813FA"/>
    <w:rsid w:val="00081DC0"/>
    <w:rsid w:val="0008202A"/>
    <w:rsid w:val="00082033"/>
    <w:rsid w:val="000820C4"/>
    <w:rsid w:val="000823FD"/>
    <w:rsid w:val="000824E1"/>
    <w:rsid w:val="00082BAC"/>
    <w:rsid w:val="00082DAD"/>
    <w:rsid w:val="00082F0E"/>
    <w:rsid w:val="00083149"/>
    <w:rsid w:val="0008353D"/>
    <w:rsid w:val="000837C7"/>
    <w:rsid w:val="00083934"/>
    <w:rsid w:val="00083B5D"/>
    <w:rsid w:val="00083BD2"/>
    <w:rsid w:val="00083E19"/>
    <w:rsid w:val="00083E3A"/>
    <w:rsid w:val="00084014"/>
    <w:rsid w:val="00084168"/>
    <w:rsid w:val="000841F8"/>
    <w:rsid w:val="0008432B"/>
    <w:rsid w:val="0008436B"/>
    <w:rsid w:val="0008458B"/>
    <w:rsid w:val="00084929"/>
    <w:rsid w:val="00084B9A"/>
    <w:rsid w:val="00084E47"/>
    <w:rsid w:val="000850A4"/>
    <w:rsid w:val="000850C5"/>
    <w:rsid w:val="00085427"/>
    <w:rsid w:val="000858D3"/>
    <w:rsid w:val="0008596A"/>
    <w:rsid w:val="00085BFD"/>
    <w:rsid w:val="00086BDB"/>
    <w:rsid w:val="00087244"/>
    <w:rsid w:val="00087515"/>
    <w:rsid w:val="00087A77"/>
    <w:rsid w:val="00087C44"/>
    <w:rsid w:val="0009004E"/>
    <w:rsid w:val="000901BD"/>
    <w:rsid w:val="0009045B"/>
    <w:rsid w:val="0009081C"/>
    <w:rsid w:val="00090A84"/>
    <w:rsid w:val="00090AAA"/>
    <w:rsid w:val="00091078"/>
    <w:rsid w:val="00091591"/>
    <w:rsid w:val="0009180D"/>
    <w:rsid w:val="00091BE4"/>
    <w:rsid w:val="00091DC0"/>
    <w:rsid w:val="0009235A"/>
    <w:rsid w:val="0009249B"/>
    <w:rsid w:val="00092CD2"/>
    <w:rsid w:val="00092D9D"/>
    <w:rsid w:val="00092F55"/>
    <w:rsid w:val="00093A8F"/>
    <w:rsid w:val="00094235"/>
    <w:rsid w:val="00094246"/>
    <w:rsid w:val="00094294"/>
    <w:rsid w:val="000944FF"/>
    <w:rsid w:val="000947C9"/>
    <w:rsid w:val="00094A3D"/>
    <w:rsid w:val="00094A7A"/>
    <w:rsid w:val="00095064"/>
    <w:rsid w:val="0009531C"/>
    <w:rsid w:val="00095372"/>
    <w:rsid w:val="00095427"/>
    <w:rsid w:val="00095569"/>
    <w:rsid w:val="00095840"/>
    <w:rsid w:val="00095A40"/>
    <w:rsid w:val="00095B51"/>
    <w:rsid w:val="00096366"/>
    <w:rsid w:val="0009675C"/>
    <w:rsid w:val="00097200"/>
    <w:rsid w:val="00097255"/>
    <w:rsid w:val="00097403"/>
    <w:rsid w:val="00097876"/>
    <w:rsid w:val="000A03FA"/>
    <w:rsid w:val="000A10BC"/>
    <w:rsid w:val="000A13B4"/>
    <w:rsid w:val="000A16AB"/>
    <w:rsid w:val="000A1A81"/>
    <w:rsid w:val="000A1AF0"/>
    <w:rsid w:val="000A1EB9"/>
    <w:rsid w:val="000A23DE"/>
    <w:rsid w:val="000A2456"/>
    <w:rsid w:val="000A2580"/>
    <w:rsid w:val="000A2609"/>
    <w:rsid w:val="000A2661"/>
    <w:rsid w:val="000A29DE"/>
    <w:rsid w:val="000A38DA"/>
    <w:rsid w:val="000A3A0D"/>
    <w:rsid w:val="000A3A8E"/>
    <w:rsid w:val="000A3B07"/>
    <w:rsid w:val="000A3BB5"/>
    <w:rsid w:val="000A3CEA"/>
    <w:rsid w:val="000A3EF6"/>
    <w:rsid w:val="000A3F6F"/>
    <w:rsid w:val="000A3FF9"/>
    <w:rsid w:val="000A4044"/>
    <w:rsid w:val="000A4624"/>
    <w:rsid w:val="000A46EC"/>
    <w:rsid w:val="000A4B5B"/>
    <w:rsid w:val="000A4B9A"/>
    <w:rsid w:val="000A525F"/>
    <w:rsid w:val="000A55B7"/>
    <w:rsid w:val="000A562D"/>
    <w:rsid w:val="000A5824"/>
    <w:rsid w:val="000A5863"/>
    <w:rsid w:val="000A58AA"/>
    <w:rsid w:val="000A5ACE"/>
    <w:rsid w:val="000A5AD5"/>
    <w:rsid w:val="000A5C88"/>
    <w:rsid w:val="000A5FCA"/>
    <w:rsid w:val="000A6137"/>
    <w:rsid w:val="000A61AE"/>
    <w:rsid w:val="000A6260"/>
    <w:rsid w:val="000A6327"/>
    <w:rsid w:val="000A635C"/>
    <w:rsid w:val="000A6637"/>
    <w:rsid w:val="000A667F"/>
    <w:rsid w:val="000A6739"/>
    <w:rsid w:val="000A67B0"/>
    <w:rsid w:val="000A67B6"/>
    <w:rsid w:val="000A6978"/>
    <w:rsid w:val="000A6B6C"/>
    <w:rsid w:val="000A6DAD"/>
    <w:rsid w:val="000A6E5F"/>
    <w:rsid w:val="000A727A"/>
    <w:rsid w:val="000A733B"/>
    <w:rsid w:val="000A76F3"/>
    <w:rsid w:val="000A78A8"/>
    <w:rsid w:val="000A7AB2"/>
    <w:rsid w:val="000A7DE7"/>
    <w:rsid w:val="000A7E19"/>
    <w:rsid w:val="000A7F0A"/>
    <w:rsid w:val="000A7F67"/>
    <w:rsid w:val="000A7F83"/>
    <w:rsid w:val="000A7FDF"/>
    <w:rsid w:val="000B074F"/>
    <w:rsid w:val="000B0ACA"/>
    <w:rsid w:val="000B0B34"/>
    <w:rsid w:val="000B0EFE"/>
    <w:rsid w:val="000B12ED"/>
    <w:rsid w:val="000B1490"/>
    <w:rsid w:val="000B15E5"/>
    <w:rsid w:val="000B1AB1"/>
    <w:rsid w:val="000B215A"/>
    <w:rsid w:val="000B233B"/>
    <w:rsid w:val="000B2358"/>
    <w:rsid w:val="000B2479"/>
    <w:rsid w:val="000B292F"/>
    <w:rsid w:val="000B2B62"/>
    <w:rsid w:val="000B3056"/>
    <w:rsid w:val="000B34B3"/>
    <w:rsid w:val="000B34B4"/>
    <w:rsid w:val="000B3BCA"/>
    <w:rsid w:val="000B3E0E"/>
    <w:rsid w:val="000B414D"/>
    <w:rsid w:val="000B4789"/>
    <w:rsid w:val="000B4820"/>
    <w:rsid w:val="000B4C6E"/>
    <w:rsid w:val="000B4FE2"/>
    <w:rsid w:val="000B5393"/>
    <w:rsid w:val="000B569B"/>
    <w:rsid w:val="000B58C6"/>
    <w:rsid w:val="000B5A84"/>
    <w:rsid w:val="000B5C55"/>
    <w:rsid w:val="000B5D8D"/>
    <w:rsid w:val="000B6252"/>
    <w:rsid w:val="000B62EB"/>
    <w:rsid w:val="000B68AC"/>
    <w:rsid w:val="000B69CF"/>
    <w:rsid w:val="000B6E22"/>
    <w:rsid w:val="000B6E51"/>
    <w:rsid w:val="000B6F44"/>
    <w:rsid w:val="000B70A3"/>
    <w:rsid w:val="000B710E"/>
    <w:rsid w:val="000B7114"/>
    <w:rsid w:val="000B7359"/>
    <w:rsid w:val="000B75CC"/>
    <w:rsid w:val="000B7937"/>
    <w:rsid w:val="000B7BEE"/>
    <w:rsid w:val="000B7D3E"/>
    <w:rsid w:val="000B7DD8"/>
    <w:rsid w:val="000B7E73"/>
    <w:rsid w:val="000C0116"/>
    <w:rsid w:val="000C0170"/>
    <w:rsid w:val="000C0371"/>
    <w:rsid w:val="000C038E"/>
    <w:rsid w:val="000C0878"/>
    <w:rsid w:val="000C099D"/>
    <w:rsid w:val="000C0C12"/>
    <w:rsid w:val="000C0DFD"/>
    <w:rsid w:val="000C1035"/>
    <w:rsid w:val="000C1606"/>
    <w:rsid w:val="000C1650"/>
    <w:rsid w:val="000C171C"/>
    <w:rsid w:val="000C18EB"/>
    <w:rsid w:val="000C1AC0"/>
    <w:rsid w:val="000C1C25"/>
    <w:rsid w:val="000C1F37"/>
    <w:rsid w:val="000C2395"/>
    <w:rsid w:val="000C29C6"/>
    <w:rsid w:val="000C2FAE"/>
    <w:rsid w:val="000C2FDC"/>
    <w:rsid w:val="000C35DD"/>
    <w:rsid w:val="000C3851"/>
    <w:rsid w:val="000C392D"/>
    <w:rsid w:val="000C3A0A"/>
    <w:rsid w:val="000C3B4E"/>
    <w:rsid w:val="000C3B77"/>
    <w:rsid w:val="000C3F5A"/>
    <w:rsid w:val="000C41A6"/>
    <w:rsid w:val="000C4A67"/>
    <w:rsid w:val="000C4E87"/>
    <w:rsid w:val="000C4EFE"/>
    <w:rsid w:val="000C588C"/>
    <w:rsid w:val="000C5B1D"/>
    <w:rsid w:val="000C5B6A"/>
    <w:rsid w:val="000C5E79"/>
    <w:rsid w:val="000C5F09"/>
    <w:rsid w:val="000C6399"/>
    <w:rsid w:val="000C6891"/>
    <w:rsid w:val="000C76A3"/>
    <w:rsid w:val="000C797E"/>
    <w:rsid w:val="000C7B49"/>
    <w:rsid w:val="000C7DCF"/>
    <w:rsid w:val="000C7EAC"/>
    <w:rsid w:val="000D01F1"/>
    <w:rsid w:val="000D0437"/>
    <w:rsid w:val="000D04B6"/>
    <w:rsid w:val="000D0575"/>
    <w:rsid w:val="000D0946"/>
    <w:rsid w:val="000D0F4B"/>
    <w:rsid w:val="000D1281"/>
    <w:rsid w:val="000D134D"/>
    <w:rsid w:val="000D169D"/>
    <w:rsid w:val="000D1C06"/>
    <w:rsid w:val="000D1C3D"/>
    <w:rsid w:val="000D1DEA"/>
    <w:rsid w:val="000D1E96"/>
    <w:rsid w:val="000D207D"/>
    <w:rsid w:val="000D2389"/>
    <w:rsid w:val="000D23C3"/>
    <w:rsid w:val="000D24CA"/>
    <w:rsid w:val="000D289A"/>
    <w:rsid w:val="000D28DB"/>
    <w:rsid w:val="000D2CEC"/>
    <w:rsid w:val="000D2E9B"/>
    <w:rsid w:val="000D2FBA"/>
    <w:rsid w:val="000D3182"/>
    <w:rsid w:val="000D3C1E"/>
    <w:rsid w:val="000D3FA5"/>
    <w:rsid w:val="000D4204"/>
    <w:rsid w:val="000D4256"/>
    <w:rsid w:val="000D42AD"/>
    <w:rsid w:val="000D4448"/>
    <w:rsid w:val="000D44B2"/>
    <w:rsid w:val="000D4A96"/>
    <w:rsid w:val="000D4B1F"/>
    <w:rsid w:val="000D5138"/>
    <w:rsid w:val="000D587F"/>
    <w:rsid w:val="000D5A86"/>
    <w:rsid w:val="000D5C58"/>
    <w:rsid w:val="000D5DE5"/>
    <w:rsid w:val="000D61CF"/>
    <w:rsid w:val="000D63A2"/>
    <w:rsid w:val="000D647F"/>
    <w:rsid w:val="000D6496"/>
    <w:rsid w:val="000D6539"/>
    <w:rsid w:val="000D67F5"/>
    <w:rsid w:val="000D6A5E"/>
    <w:rsid w:val="000D6E18"/>
    <w:rsid w:val="000D7161"/>
    <w:rsid w:val="000D7357"/>
    <w:rsid w:val="000D79C4"/>
    <w:rsid w:val="000D7CFD"/>
    <w:rsid w:val="000E0631"/>
    <w:rsid w:val="000E0BB3"/>
    <w:rsid w:val="000E0E7F"/>
    <w:rsid w:val="000E129D"/>
    <w:rsid w:val="000E12C8"/>
    <w:rsid w:val="000E1630"/>
    <w:rsid w:val="000E1B6A"/>
    <w:rsid w:val="000E22F2"/>
    <w:rsid w:val="000E2354"/>
    <w:rsid w:val="000E23C4"/>
    <w:rsid w:val="000E261C"/>
    <w:rsid w:val="000E289C"/>
    <w:rsid w:val="000E290C"/>
    <w:rsid w:val="000E2BF7"/>
    <w:rsid w:val="000E2D3E"/>
    <w:rsid w:val="000E2DB4"/>
    <w:rsid w:val="000E3083"/>
    <w:rsid w:val="000E31A5"/>
    <w:rsid w:val="000E363F"/>
    <w:rsid w:val="000E36FC"/>
    <w:rsid w:val="000E37A7"/>
    <w:rsid w:val="000E3AB8"/>
    <w:rsid w:val="000E3BBB"/>
    <w:rsid w:val="000E3C50"/>
    <w:rsid w:val="000E3EBC"/>
    <w:rsid w:val="000E3EC1"/>
    <w:rsid w:val="000E4176"/>
    <w:rsid w:val="000E471B"/>
    <w:rsid w:val="000E4C1D"/>
    <w:rsid w:val="000E4F12"/>
    <w:rsid w:val="000E5B2F"/>
    <w:rsid w:val="000E5B84"/>
    <w:rsid w:val="000E5BBE"/>
    <w:rsid w:val="000E62B6"/>
    <w:rsid w:val="000E64FA"/>
    <w:rsid w:val="000E65EE"/>
    <w:rsid w:val="000E6664"/>
    <w:rsid w:val="000E6761"/>
    <w:rsid w:val="000E68C1"/>
    <w:rsid w:val="000E6E07"/>
    <w:rsid w:val="000E7121"/>
    <w:rsid w:val="000E757A"/>
    <w:rsid w:val="000E7881"/>
    <w:rsid w:val="000E7BE5"/>
    <w:rsid w:val="000F01BD"/>
    <w:rsid w:val="000F0394"/>
    <w:rsid w:val="000F04B2"/>
    <w:rsid w:val="000F0628"/>
    <w:rsid w:val="000F088D"/>
    <w:rsid w:val="000F0C10"/>
    <w:rsid w:val="000F0F65"/>
    <w:rsid w:val="000F100E"/>
    <w:rsid w:val="000F1069"/>
    <w:rsid w:val="000F1E5C"/>
    <w:rsid w:val="000F1ED3"/>
    <w:rsid w:val="000F2037"/>
    <w:rsid w:val="000F2692"/>
    <w:rsid w:val="000F26B4"/>
    <w:rsid w:val="000F31A6"/>
    <w:rsid w:val="000F31C8"/>
    <w:rsid w:val="000F3887"/>
    <w:rsid w:val="000F388C"/>
    <w:rsid w:val="000F3977"/>
    <w:rsid w:val="000F3AB6"/>
    <w:rsid w:val="000F3B9A"/>
    <w:rsid w:val="000F3DD0"/>
    <w:rsid w:val="000F3FD5"/>
    <w:rsid w:val="000F46C9"/>
    <w:rsid w:val="000F474D"/>
    <w:rsid w:val="000F478E"/>
    <w:rsid w:val="000F4907"/>
    <w:rsid w:val="000F51BD"/>
    <w:rsid w:val="000F52FA"/>
    <w:rsid w:val="000F5493"/>
    <w:rsid w:val="000F5644"/>
    <w:rsid w:val="000F5A61"/>
    <w:rsid w:val="000F5A65"/>
    <w:rsid w:val="000F5DAF"/>
    <w:rsid w:val="000F5DBA"/>
    <w:rsid w:val="000F5F65"/>
    <w:rsid w:val="000F5FAF"/>
    <w:rsid w:val="000F64AD"/>
    <w:rsid w:val="000F6744"/>
    <w:rsid w:val="000F68DA"/>
    <w:rsid w:val="000F6A12"/>
    <w:rsid w:val="000F6F9C"/>
    <w:rsid w:val="000F743C"/>
    <w:rsid w:val="000F7AE9"/>
    <w:rsid w:val="000F7D6A"/>
    <w:rsid w:val="0010007E"/>
    <w:rsid w:val="00100147"/>
    <w:rsid w:val="0010031E"/>
    <w:rsid w:val="001003C5"/>
    <w:rsid w:val="00100746"/>
    <w:rsid w:val="001008B1"/>
    <w:rsid w:val="00100A56"/>
    <w:rsid w:val="00100C0B"/>
    <w:rsid w:val="001011D0"/>
    <w:rsid w:val="00101441"/>
    <w:rsid w:val="001014BD"/>
    <w:rsid w:val="001019C1"/>
    <w:rsid w:val="00101B0B"/>
    <w:rsid w:val="00101CEE"/>
    <w:rsid w:val="00101D3D"/>
    <w:rsid w:val="00101E0C"/>
    <w:rsid w:val="00101E8C"/>
    <w:rsid w:val="00102374"/>
    <w:rsid w:val="0010262D"/>
    <w:rsid w:val="00102713"/>
    <w:rsid w:val="0010299B"/>
    <w:rsid w:val="00102A85"/>
    <w:rsid w:val="00102B80"/>
    <w:rsid w:val="00102C4E"/>
    <w:rsid w:val="00102C53"/>
    <w:rsid w:val="001031C7"/>
    <w:rsid w:val="00103AF9"/>
    <w:rsid w:val="00103C69"/>
    <w:rsid w:val="00103FCA"/>
    <w:rsid w:val="00104471"/>
    <w:rsid w:val="00104F90"/>
    <w:rsid w:val="0010500C"/>
    <w:rsid w:val="001056A3"/>
    <w:rsid w:val="00105830"/>
    <w:rsid w:val="00105D4E"/>
    <w:rsid w:val="00105F6A"/>
    <w:rsid w:val="001061BB"/>
    <w:rsid w:val="001061E0"/>
    <w:rsid w:val="00106231"/>
    <w:rsid w:val="001064E0"/>
    <w:rsid w:val="00106573"/>
    <w:rsid w:val="001065AD"/>
    <w:rsid w:val="001065DC"/>
    <w:rsid w:val="00106831"/>
    <w:rsid w:val="00106E9F"/>
    <w:rsid w:val="00106EB5"/>
    <w:rsid w:val="001075CC"/>
    <w:rsid w:val="0010761A"/>
    <w:rsid w:val="00107711"/>
    <w:rsid w:val="00107B24"/>
    <w:rsid w:val="00107D63"/>
    <w:rsid w:val="00107FAC"/>
    <w:rsid w:val="00107FE8"/>
    <w:rsid w:val="001103F2"/>
    <w:rsid w:val="0011100E"/>
    <w:rsid w:val="00111157"/>
    <w:rsid w:val="00111169"/>
    <w:rsid w:val="00111193"/>
    <w:rsid w:val="00111355"/>
    <w:rsid w:val="00111457"/>
    <w:rsid w:val="00111E3C"/>
    <w:rsid w:val="0011211B"/>
    <w:rsid w:val="00112685"/>
    <w:rsid w:val="00112DE4"/>
    <w:rsid w:val="0011319F"/>
    <w:rsid w:val="00113296"/>
    <w:rsid w:val="00113896"/>
    <w:rsid w:val="00113AD3"/>
    <w:rsid w:val="00113B78"/>
    <w:rsid w:val="0011427F"/>
    <w:rsid w:val="001148C4"/>
    <w:rsid w:val="00114AA5"/>
    <w:rsid w:val="00114B64"/>
    <w:rsid w:val="00114D72"/>
    <w:rsid w:val="00114F2C"/>
    <w:rsid w:val="001153BC"/>
    <w:rsid w:val="00115742"/>
    <w:rsid w:val="001157B7"/>
    <w:rsid w:val="00115A89"/>
    <w:rsid w:val="00115BDD"/>
    <w:rsid w:val="00115BF7"/>
    <w:rsid w:val="00115C03"/>
    <w:rsid w:val="00115E56"/>
    <w:rsid w:val="00115EBE"/>
    <w:rsid w:val="00115FF8"/>
    <w:rsid w:val="00116382"/>
    <w:rsid w:val="00116439"/>
    <w:rsid w:val="00116A68"/>
    <w:rsid w:val="001172F0"/>
    <w:rsid w:val="001173DF"/>
    <w:rsid w:val="0011770F"/>
    <w:rsid w:val="001177AF"/>
    <w:rsid w:val="00117808"/>
    <w:rsid w:val="0011782A"/>
    <w:rsid w:val="00117865"/>
    <w:rsid w:val="00117981"/>
    <w:rsid w:val="001179D1"/>
    <w:rsid w:val="00117AA7"/>
    <w:rsid w:val="00117D59"/>
    <w:rsid w:val="00120189"/>
    <w:rsid w:val="001203A2"/>
    <w:rsid w:val="0012055D"/>
    <w:rsid w:val="001205D1"/>
    <w:rsid w:val="0012084B"/>
    <w:rsid w:val="0012085D"/>
    <w:rsid w:val="00120B17"/>
    <w:rsid w:val="00120B42"/>
    <w:rsid w:val="0012107B"/>
    <w:rsid w:val="0012135D"/>
    <w:rsid w:val="001214FC"/>
    <w:rsid w:val="001217C1"/>
    <w:rsid w:val="00121856"/>
    <w:rsid w:val="00121BAE"/>
    <w:rsid w:val="00121DE5"/>
    <w:rsid w:val="001221B9"/>
    <w:rsid w:val="00122244"/>
    <w:rsid w:val="0012270C"/>
    <w:rsid w:val="001228CB"/>
    <w:rsid w:val="00122B29"/>
    <w:rsid w:val="00122DB7"/>
    <w:rsid w:val="00123409"/>
    <w:rsid w:val="001234A9"/>
    <w:rsid w:val="0012396D"/>
    <w:rsid w:val="00123B7C"/>
    <w:rsid w:val="00123F47"/>
    <w:rsid w:val="0012441D"/>
    <w:rsid w:val="00124766"/>
    <w:rsid w:val="001249C0"/>
    <w:rsid w:val="00124CE2"/>
    <w:rsid w:val="00124E69"/>
    <w:rsid w:val="00125807"/>
    <w:rsid w:val="0012585E"/>
    <w:rsid w:val="00125927"/>
    <w:rsid w:val="00125A11"/>
    <w:rsid w:val="001261C4"/>
    <w:rsid w:val="0012642F"/>
    <w:rsid w:val="00126751"/>
    <w:rsid w:val="00126FB0"/>
    <w:rsid w:val="0012704A"/>
    <w:rsid w:val="00127216"/>
    <w:rsid w:val="001275AA"/>
    <w:rsid w:val="00127843"/>
    <w:rsid w:val="00127D2F"/>
    <w:rsid w:val="00130165"/>
    <w:rsid w:val="0013082D"/>
    <w:rsid w:val="00130849"/>
    <w:rsid w:val="0013086C"/>
    <w:rsid w:val="00130AD3"/>
    <w:rsid w:val="00130F63"/>
    <w:rsid w:val="00130FE4"/>
    <w:rsid w:val="00131056"/>
    <w:rsid w:val="0013106B"/>
    <w:rsid w:val="00131073"/>
    <w:rsid w:val="00131537"/>
    <w:rsid w:val="0013156A"/>
    <w:rsid w:val="00131A4D"/>
    <w:rsid w:val="00131B6F"/>
    <w:rsid w:val="00131D44"/>
    <w:rsid w:val="001321B1"/>
    <w:rsid w:val="0013237F"/>
    <w:rsid w:val="00132457"/>
    <w:rsid w:val="0013264B"/>
    <w:rsid w:val="00132724"/>
    <w:rsid w:val="00132B17"/>
    <w:rsid w:val="00132B8C"/>
    <w:rsid w:val="00132D80"/>
    <w:rsid w:val="001331F4"/>
    <w:rsid w:val="001331F9"/>
    <w:rsid w:val="0013331C"/>
    <w:rsid w:val="00133EE0"/>
    <w:rsid w:val="001348CC"/>
    <w:rsid w:val="00134AE7"/>
    <w:rsid w:val="00134BCF"/>
    <w:rsid w:val="001350AF"/>
    <w:rsid w:val="001351AB"/>
    <w:rsid w:val="00135352"/>
    <w:rsid w:val="001353E9"/>
    <w:rsid w:val="0013586F"/>
    <w:rsid w:val="001359B7"/>
    <w:rsid w:val="00135A55"/>
    <w:rsid w:val="0013617D"/>
    <w:rsid w:val="00136884"/>
    <w:rsid w:val="00136A03"/>
    <w:rsid w:val="00136BC9"/>
    <w:rsid w:val="00136DCD"/>
    <w:rsid w:val="00136E4C"/>
    <w:rsid w:val="00136F14"/>
    <w:rsid w:val="00136FF6"/>
    <w:rsid w:val="0013737D"/>
    <w:rsid w:val="001379B4"/>
    <w:rsid w:val="00137ED8"/>
    <w:rsid w:val="00137FAA"/>
    <w:rsid w:val="00140149"/>
    <w:rsid w:val="001401CF"/>
    <w:rsid w:val="001402C8"/>
    <w:rsid w:val="00140798"/>
    <w:rsid w:val="0014086F"/>
    <w:rsid w:val="00140F97"/>
    <w:rsid w:val="001417D0"/>
    <w:rsid w:val="0014181F"/>
    <w:rsid w:val="00141827"/>
    <w:rsid w:val="0014190B"/>
    <w:rsid w:val="00141B41"/>
    <w:rsid w:val="00141D76"/>
    <w:rsid w:val="00141EFD"/>
    <w:rsid w:val="00142387"/>
    <w:rsid w:val="001424FC"/>
    <w:rsid w:val="001429BE"/>
    <w:rsid w:val="001429F4"/>
    <w:rsid w:val="00142F14"/>
    <w:rsid w:val="00142FC1"/>
    <w:rsid w:val="0014301A"/>
    <w:rsid w:val="001431C6"/>
    <w:rsid w:val="0014327D"/>
    <w:rsid w:val="0014362C"/>
    <w:rsid w:val="001437EA"/>
    <w:rsid w:val="00143C45"/>
    <w:rsid w:val="00143D95"/>
    <w:rsid w:val="00143F53"/>
    <w:rsid w:val="0014405B"/>
    <w:rsid w:val="00144114"/>
    <w:rsid w:val="001442E3"/>
    <w:rsid w:val="0014444B"/>
    <w:rsid w:val="001446EB"/>
    <w:rsid w:val="00144773"/>
    <w:rsid w:val="00144D72"/>
    <w:rsid w:val="00144DEE"/>
    <w:rsid w:val="00145722"/>
    <w:rsid w:val="0014598D"/>
    <w:rsid w:val="00145BDE"/>
    <w:rsid w:val="00145FF0"/>
    <w:rsid w:val="0014616A"/>
    <w:rsid w:val="00146265"/>
    <w:rsid w:val="00146469"/>
    <w:rsid w:val="00146530"/>
    <w:rsid w:val="00146600"/>
    <w:rsid w:val="0014687A"/>
    <w:rsid w:val="00146913"/>
    <w:rsid w:val="0014699F"/>
    <w:rsid w:val="00146AE6"/>
    <w:rsid w:val="00146F44"/>
    <w:rsid w:val="0014712C"/>
    <w:rsid w:val="0014762C"/>
    <w:rsid w:val="00147FB6"/>
    <w:rsid w:val="0015018F"/>
    <w:rsid w:val="00150545"/>
    <w:rsid w:val="00150C21"/>
    <w:rsid w:val="00150C6F"/>
    <w:rsid w:val="00150D07"/>
    <w:rsid w:val="00151565"/>
    <w:rsid w:val="0015171D"/>
    <w:rsid w:val="001517D5"/>
    <w:rsid w:val="00151AE7"/>
    <w:rsid w:val="00151BF6"/>
    <w:rsid w:val="00151FC2"/>
    <w:rsid w:val="001526C0"/>
    <w:rsid w:val="0015279C"/>
    <w:rsid w:val="00152A01"/>
    <w:rsid w:val="00152BAA"/>
    <w:rsid w:val="00152E56"/>
    <w:rsid w:val="001532D7"/>
    <w:rsid w:val="00153380"/>
    <w:rsid w:val="001533DD"/>
    <w:rsid w:val="0015347A"/>
    <w:rsid w:val="00153548"/>
    <w:rsid w:val="00153793"/>
    <w:rsid w:val="0015386A"/>
    <w:rsid w:val="0015391B"/>
    <w:rsid w:val="00153A4A"/>
    <w:rsid w:val="00154111"/>
    <w:rsid w:val="001548C5"/>
    <w:rsid w:val="00154917"/>
    <w:rsid w:val="00154B07"/>
    <w:rsid w:val="00155259"/>
    <w:rsid w:val="00155475"/>
    <w:rsid w:val="00155512"/>
    <w:rsid w:val="001557C3"/>
    <w:rsid w:val="00155D49"/>
    <w:rsid w:val="00155E56"/>
    <w:rsid w:val="00155FD6"/>
    <w:rsid w:val="001561B3"/>
    <w:rsid w:val="00156585"/>
    <w:rsid w:val="00156953"/>
    <w:rsid w:val="00156D65"/>
    <w:rsid w:val="00156E04"/>
    <w:rsid w:val="00156E40"/>
    <w:rsid w:val="00156E8B"/>
    <w:rsid w:val="00156F34"/>
    <w:rsid w:val="00156FEE"/>
    <w:rsid w:val="001570B4"/>
    <w:rsid w:val="0015771D"/>
    <w:rsid w:val="0015797F"/>
    <w:rsid w:val="00157B75"/>
    <w:rsid w:val="00157E72"/>
    <w:rsid w:val="00157E75"/>
    <w:rsid w:val="0016010F"/>
    <w:rsid w:val="00160126"/>
    <w:rsid w:val="00160250"/>
    <w:rsid w:val="00160666"/>
    <w:rsid w:val="001608B1"/>
    <w:rsid w:val="0016097A"/>
    <w:rsid w:val="00160ACA"/>
    <w:rsid w:val="00160DB4"/>
    <w:rsid w:val="001611F7"/>
    <w:rsid w:val="0016128C"/>
    <w:rsid w:val="00161291"/>
    <w:rsid w:val="00161370"/>
    <w:rsid w:val="001613C8"/>
    <w:rsid w:val="00161595"/>
    <w:rsid w:val="001619CC"/>
    <w:rsid w:val="00161C91"/>
    <w:rsid w:val="00161F46"/>
    <w:rsid w:val="001621F5"/>
    <w:rsid w:val="0016250D"/>
    <w:rsid w:val="0016255B"/>
    <w:rsid w:val="00162804"/>
    <w:rsid w:val="00162923"/>
    <w:rsid w:val="00162C2B"/>
    <w:rsid w:val="00162CE0"/>
    <w:rsid w:val="00162E20"/>
    <w:rsid w:val="00162F74"/>
    <w:rsid w:val="00163685"/>
    <w:rsid w:val="00163703"/>
    <w:rsid w:val="0016378D"/>
    <w:rsid w:val="00163A64"/>
    <w:rsid w:val="00163CCB"/>
    <w:rsid w:val="001643BE"/>
    <w:rsid w:val="00164542"/>
    <w:rsid w:val="00164755"/>
    <w:rsid w:val="001648CE"/>
    <w:rsid w:val="00164AC5"/>
    <w:rsid w:val="00164AC8"/>
    <w:rsid w:val="00164B4F"/>
    <w:rsid w:val="00164C1A"/>
    <w:rsid w:val="00165009"/>
    <w:rsid w:val="0016506F"/>
    <w:rsid w:val="001654AD"/>
    <w:rsid w:val="00165692"/>
    <w:rsid w:val="001657D9"/>
    <w:rsid w:val="00165832"/>
    <w:rsid w:val="00166047"/>
    <w:rsid w:val="00166123"/>
    <w:rsid w:val="00166268"/>
    <w:rsid w:val="001663C3"/>
    <w:rsid w:val="001669B9"/>
    <w:rsid w:val="00166AC2"/>
    <w:rsid w:val="00166B9C"/>
    <w:rsid w:val="00166C81"/>
    <w:rsid w:val="00167943"/>
    <w:rsid w:val="00167A46"/>
    <w:rsid w:val="0017002D"/>
    <w:rsid w:val="00170360"/>
    <w:rsid w:val="00170572"/>
    <w:rsid w:val="00170685"/>
    <w:rsid w:val="001708F7"/>
    <w:rsid w:val="0017100C"/>
    <w:rsid w:val="001711ED"/>
    <w:rsid w:val="001713B2"/>
    <w:rsid w:val="00171A17"/>
    <w:rsid w:val="00171B94"/>
    <w:rsid w:val="00171CFA"/>
    <w:rsid w:val="00171DF6"/>
    <w:rsid w:val="00171F7B"/>
    <w:rsid w:val="00171FA6"/>
    <w:rsid w:val="00172076"/>
    <w:rsid w:val="001722A7"/>
    <w:rsid w:val="0017279A"/>
    <w:rsid w:val="00172846"/>
    <w:rsid w:val="00172C40"/>
    <w:rsid w:val="00172E0D"/>
    <w:rsid w:val="00172E30"/>
    <w:rsid w:val="00172FD7"/>
    <w:rsid w:val="001731B1"/>
    <w:rsid w:val="0017325C"/>
    <w:rsid w:val="00173346"/>
    <w:rsid w:val="00173455"/>
    <w:rsid w:val="001738CA"/>
    <w:rsid w:val="00173F0A"/>
    <w:rsid w:val="0017424E"/>
    <w:rsid w:val="0017431F"/>
    <w:rsid w:val="00174953"/>
    <w:rsid w:val="00174DA6"/>
    <w:rsid w:val="00175471"/>
    <w:rsid w:val="0017579E"/>
    <w:rsid w:val="001757D7"/>
    <w:rsid w:val="00175AD8"/>
    <w:rsid w:val="00175B57"/>
    <w:rsid w:val="00175F26"/>
    <w:rsid w:val="001762B7"/>
    <w:rsid w:val="001767FC"/>
    <w:rsid w:val="00176992"/>
    <w:rsid w:val="001769D1"/>
    <w:rsid w:val="001769EC"/>
    <w:rsid w:val="00176AF5"/>
    <w:rsid w:val="00176C87"/>
    <w:rsid w:val="00176F24"/>
    <w:rsid w:val="0017723D"/>
    <w:rsid w:val="00177520"/>
    <w:rsid w:val="001775C8"/>
    <w:rsid w:val="001775E6"/>
    <w:rsid w:val="0017762C"/>
    <w:rsid w:val="001776DE"/>
    <w:rsid w:val="001804B8"/>
    <w:rsid w:val="0018088D"/>
    <w:rsid w:val="00180922"/>
    <w:rsid w:val="00180B25"/>
    <w:rsid w:val="00180D74"/>
    <w:rsid w:val="00181159"/>
    <w:rsid w:val="00181195"/>
    <w:rsid w:val="00181214"/>
    <w:rsid w:val="00181579"/>
    <w:rsid w:val="001815DF"/>
    <w:rsid w:val="001819E5"/>
    <w:rsid w:val="00181B5E"/>
    <w:rsid w:val="00181ED3"/>
    <w:rsid w:val="00181F0D"/>
    <w:rsid w:val="00182350"/>
    <w:rsid w:val="00182759"/>
    <w:rsid w:val="00182862"/>
    <w:rsid w:val="00182B58"/>
    <w:rsid w:val="00183060"/>
    <w:rsid w:val="001832BF"/>
    <w:rsid w:val="001835FD"/>
    <w:rsid w:val="00183692"/>
    <w:rsid w:val="0018370A"/>
    <w:rsid w:val="00183794"/>
    <w:rsid w:val="00183810"/>
    <w:rsid w:val="00183F60"/>
    <w:rsid w:val="0018427C"/>
    <w:rsid w:val="001843DB"/>
    <w:rsid w:val="00184647"/>
    <w:rsid w:val="001847C8"/>
    <w:rsid w:val="001847F5"/>
    <w:rsid w:val="00184AAA"/>
    <w:rsid w:val="0018549C"/>
    <w:rsid w:val="001856A1"/>
    <w:rsid w:val="00185AD9"/>
    <w:rsid w:val="00185C67"/>
    <w:rsid w:val="00185F0A"/>
    <w:rsid w:val="0018609A"/>
    <w:rsid w:val="00186159"/>
    <w:rsid w:val="00186392"/>
    <w:rsid w:val="001864D4"/>
    <w:rsid w:val="0018650E"/>
    <w:rsid w:val="0018676A"/>
    <w:rsid w:val="00186820"/>
    <w:rsid w:val="001869E1"/>
    <w:rsid w:val="00186F9A"/>
    <w:rsid w:val="0018741F"/>
    <w:rsid w:val="001877BE"/>
    <w:rsid w:val="00187A61"/>
    <w:rsid w:val="00187AAF"/>
    <w:rsid w:val="00187C5F"/>
    <w:rsid w:val="00187CE4"/>
    <w:rsid w:val="00187D45"/>
    <w:rsid w:val="00187F0A"/>
    <w:rsid w:val="001900C3"/>
    <w:rsid w:val="001901E0"/>
    <w:rsid w:val="00190D88"/>
    <w:rsid w:val="001912EF"/>
    <w:rsid w:val="0019148A"/>
    <w:rsid w:val="0019157A"/>
    <w:rsid w:val="001918E4"/>
    <w:rsid w:val="00191B26"/>
    <w:rsid w:val="00191B37"/>
    <w:rsid w:val="00191F04"/>
    <w:rsid w:val="001921BB"/>
    <w:rsid w:val="001927DF"/>
    <w:rsid w:val="00192846"/>
    <w:rsid w:val="00192868"/>
    <w:rsid w:val="001928B5"/>
    <w:rsid w:val="00192A49"/>
    <w:rsid w:val="00192AAC"/>
    <w:rsid w:val="00192CF5"/>
    <w:rsid w:val="001931BB"/>
    <w:rsid w:val="0019359B"/>
    <w:rsid w:val="001938F8"/>
    <w:rsid w:val="00193DA9"/>
    <w:rsid w:val="00194015"/>
    <w:rsid w:val="00194413"/>
    <w:rsid w:val="00194532"/>
    <w:rsid w:val="0019458F"/>
    <w:rsid w:val="001948F4"/>
    <w:rsid w:val="0019494A"/>
    <w:rsid w:val="0019498D"/>
    <w:rsid w:val="00194A85"/>
    <w:rsid w:val="00194D7F"/>
    <w:rsid w:val="00194F06"/>
    <w:rsid w:val="0019586B"/>
    <w:rsid w:val="00195F3D"/>
    <w:rsid w:val="00195F74"/>
    <w:rsid w:val="001960BA"/>
    <w:rsid w:val="0019661F"/>
    <w:rsid w:val="0019675C"/>
    <w:rsid w:val="00196903"/>
    <w:rsid w:val="00196C0F"/>
    <w:rsid w:val="00196DA8"/>
    <w:rsid w:val="00196E7A"/>
    <w:rsid w:val="00196EB5"/>
    <w:rsid w:val="00196F9D"/>
    <w:rsid w:val="00197690"/>
    <w:rsid w:val="00197A1D"/>
    <w:rsid w:val="00197B91"/>
    <w:rsid w:val="00197C3A"/>
    <w:rsid w:val="00197C54"/>
    <w:rsid w:val="001A01F6"/>
    <w:rsid w:val="001A0312"/>
    <w:rsid w:val="001A04D9"/>
    <w:rsid w:val="001A0620"/>
    <w:rsid w:val="001A062B"/>
    <w:rsid w:val="001A09C4"/>
    <w:rsid w:val="001A0E4D"/>
    <w:rsid w:val="001A106E"/>
    <w:rsid w:val="001A1484"/>
    <w:rsid w:val="001A1645"/>
    <w:rsid w:val="001A1A5F"/>
    <w:rsid w:val="001A1D73"/>
    <w:rsid w:val="001A1F13"/>
    <w:rsid w:val="001A21C1"/>
    <w:rsid w:val="001A2403"/>
    <w:rsid w:val="001A24DB"/>
    <w:rsid w:val="001A2921"/>
    <w:rsid w:val="001A2DB4"/>
    <w:rsid w:val="001A33AA"/>
    <w:rsid w:val="001A3494"/>
    <w:rsid w:val="001A382B"/>
    <w:rsid w:val="001A39A0"/>
    <w:rsid w:val="001A39AE"/>
    <w:rsid w:val="001A3AD2"/>
    <w:rsid w:val="001A3B06"/>
    <w:rsid w:val="001A4045"/>
    <w:rsid w:val="001A4176"/>
    <w:rsid w:val="001A4272"/>
    <w:rsid w:val="001A435B"/>
    <w:rsid w:val="001A457A"/>
    <w:rsid w:val="001A48C8"/>
    <w:rsid w:val="001A497B"/>
    <w:rsid w:val="001A4992"/>
    <w:rsid w:val="001A50CE"/>
    <w:rsid w:val="001A5655"/>
    <w:rsid w:val="001A616F"/>
    <w:rsid w:val="001A61E9"/>
    <w:rsid w:val="001A6213"/>
    <w:rsid w:val="001A65CA"/>
    <w:rsid w:val="001A6645"/>
    <w:rsid w:val="001A6779"/>
    <w:rsid w:val="001A68B9"/>
    <w:rsid w:val="001A6930"/>
    <w:rsid w:val="001A6991"/>
    <w:rsid w:val="001A69D4"/>
    <w:rsid w:val="001A7477"/>
    <w:rsid w:val="001A768D"/>
    <w:rsid w:val="001A7790"/>
    <w:rsid w:val="001A7A8F"/>
    <w:rsid w:val="001A7ADD"/>
    <w:rsid w:val="001A7B0E"/>
    <w:rsid w:val="001A7DAE"/>
    <w:rsid w:val="001A7E26"/>
    <w:rsid w:val="001A7FCE"/>
    <w:rsid w:val="001B0088"/>
    <w:rsid w:val="001B0843"/>
    <w:rsid w:val="001B09BC"/>
    <w:rsid w:val="001B0E45"/>
    <w:rsid w:val="001B0ECE"/>
    <w:rsid w:val="001B0F50"/>
    <w:rsid w:val="001B12D5"/>
    <w:rsid w:val="001B1934"/>
    <w:rsid w:val="001B1B2E"/>
    <w:rsid w:val="001B1CB6"/>
    <w:rsid w:val="001B1DB3"/>
    <w:rsid w:val="001B268E"/>
    <w:rsid w:val="001B2BB6"/>
    <w:rsid w:val="001B2EE4"/>
    <w:rsid w:val="001B337E"/>
    <w:rsid w:val="001B3464"/>
    <w:rsid w:val="001B3472"/>
    <w:rsid w:val="001B3A6F"/>
    <w:rsid w:val="001B3AE5"/>
    <w:rsid w:val="001B3CF5"/>
    <w:rsid w:val="001B3DC3"/>
    <w:rsid w:val="001B3ECC"/>
    <w:rsid w:val="001B437F"/>
    <w:rsid w:val="001B4621"/>
    <w:rsid w:val="001B47A8"/>
    <w:rsid w:val="001B47FB"/>
    <w:rsid w:val="001B481A"/>
    <w:rsid w:val="001B5747"/>
    <w:rsid w:val="001B5D18"/>
    <w:rsid w:val="001B60CE"/>
    <w:rsid w:val="001B6800"/>
    <w:rsid w:val="001B6B67"/>
    <w:rsid w:val="001B6D5A"/>
    <w:rsid w:val="001B7196"/>
    <w:rsid w:val="001B790F"/>
    <w:rsid w:val="001B7A6B"/>
    <w:rsid w:val="001B7B07"/>
    <w:rsid w:val="001B7D28"/>
    <w:rsid w:val="001C00D7"/>
    <w:rsid w:val="001C0103"/>
    <w:rsid w:val="001C04B5"/>
    <w:rsid w:val="001C0537"/>
    <w:rsid w:val="001C0A3F"/>
    <w:rsid w:val="001C0C96"/>
    <w:rsid w:val="001C0F2A"/>
    <w:rsid w:val="001C14CC"/>
    <w:rsid w:val="001C1698"/>
    <w:rsid w:val="001C1802"/>
    <w:rsid w:val="001C220F"/>
    <w:rsid w:val="001C238F"/>
    <w:rsid w:val="001C2606"/>
    <w:rsid w:val="001C27D9"/>
    <w:rsid w:val="001C2A4F"/>
    <w:rsid w:val="001C2AB7"/>
    <w:rsid w:val="001C2BB4"/>
    <w:rsid w:val="001C2C4F"/>
    <w:rsid w:val="001C2C92"/>
    <w:rsid w:val="001C2D3D"/>
    <w:rsid w:val="001C2E4D"/>
    <w:rsid w:val="001C33AF"/>
    <w:rsid w:val="001C384F"/>
    <w:rsid w:val="001C38C9"/>
    <w:rsid w:val="001C3ADB"/>
    <w:rsid w:val="001C3AF7"/>
    <w:rsid w:val="001C3BDA"/>
    <w:rsid w:val="001C3D0C"/>
    <w:rsid w:val="001C41E4"/>
    <w:rsid w:val="001C4285"/>
    <w:rsid w:val="001C4434"/>
    <w:rsid w:val="001C4602"/>
    <w:rsid w:val="001C4705"/>
    <w:rsid w:val="001C4FA0"/>
    <w:rsid w:val="001C56C5"/>
    <w:rsid w:val="001C5947"/>
    <w:rsid w:val="001C595D"/>
    <w:rsid w:val="001C5CD5"/>
    <w:rsid w:val="001C61D9"/>
    <w:rsid w:val="001C6622"/>
    <w:rsid w:val="001C6752"/>
    <w:rsid w:val="001C67F2"/>
    <w:rsid w:val="001C686B"/>
    <w:rsid w:val="001C6F9B"/>
    <w:rsid w:val="001C70D6"/>
    <w:rsid w:val="001C7233"/>
    <w:rsid w:val="001C7757"/>
    <w:rsid w:val="001C7888"/>
    <w:rsid w:val="001C7E9F"/>
    <w:rsid w:val="001C7F01"/>
    <w:rsid w:val="001D03BF"/>
    <w:rsid w:val="001D03DC"/>
    <w:rsid w:val="001D0413"/>
    <w:rsid w:val="001D0540"/>
    <w:rsid w:val="001D060A"/>
    <w:rsid w:val="001D0699"/>
    <w:rsid w:val="001D0BFF"/>
    <w:rsid w:val="001D1734"/>
    <w:rsid w:val="001D19DC"/>
    <w:rsid w:val="001D1B9E"/>
    <w:rsid w:val="001D1D16"/>
    <w:rsid w:val="001D1D84"/>
    <w:rsid w:val="001D1E6E"/>
    <w:rsid w:val="001D1F24"/>
    <w:rsid w:val="001D20A2"/>
    <w:rsid w:val="001D2273"/>
    <w:rsid w:val="001D23AF"/>
    <w:rsid w:val="001D2459"/>
    <w:rsid w:val="001D26B5"/>
    <w:rsid w:val="001D28EC"/>
    <w:rsid w:val="001D2901"/>
    <w:rsid w:val="001D2D80"/>
    <w:rsid w:val="001D32E5"/>
    <w:rsid w:val="001D349F"/>
    <w:rsid w:val="001D34E5"/>
    <w:rsid w:val="001D37C0"/>
    <w:rsid w:val="001D3938"/>
    <w:rsid w:val="001D4279"/>
    <w:rsid w:val="001D4702"/>
    <w:rsid w:val="001D4C4F"/>
    <w:rsid w:val="001D4E12"/>
    <w:rsid w:val="001D4E34"/>
    <w:rsid w:val="001D592A"/>
    <w:rsid w:val="001D5937"/>
    <w:rsid w:val="001D5CA2"/>
    <w:rsid w:val="001D5F2C"/>
    <w:rsid w:val="001D67FD"/>
    <w:rsid w:val="001D6847"/>
    <w:rsid w:val="001D6CDE"/>
    <w:rsid w:val="001D6FE1"/>
    <w:rsid w:val="001D71B8"/>
    <w:rsid w:val="001D7367"/>
    <w:rsid w:val="001D7910"/>
    <w:rsid w:val="001D7930"/>
    <w:rsid w:val="001D7C2B"/>
    <w:rsid w:val="001E02EC"/>
    <w:rsid w:val="001E04B5"/>
    <w:rsid w:val="001E04FF"/>
    <w:rsid w:val="001E0A62"/>
    <w:rsid w:val="001E103C"/>
    <w:rsid w:val="001E11D0"/>
    <w:rsid w:val="001E1237"/>
    <w:rsid w:val="001E142D"/>
    <w:rsid w:val="001E1575"/>
    <w:rsid w:val="001E17F3"/>
    <w:rsid w:val="001E1B1D"/>
    <w:rsid w:val="001E1B7C"/>
    <w:rsid w:val="001E1D98"/>
    <w:rsid w:val="001E1FA5"/>
    <w:rsid w:val="001E20A3"/>
    <w:rsid w:val="001E2343"/>
    <w:rsid w:val="001E2529"/>
    <w:rsid w:val="001E267B"/>
    <w:rsid w:val="001E26F2"/>
    <w:rsid w:val="001E2F17"/>
    <w:rsid w:val="001E3091"/>
    <w:rsid w:val="001E33D7"/>
    <w:rsid w:val="001E3546"/>
    <w:rsid w:val="001E3680"/>
    <w:rsid w:val="001E3B50"/>
    <w:rsid w:val="001E3E34"/>
    <w:rsid w:val="001E3F87"/>
    <w:rsid w:val="001E3FAD"/>
    <w:rsid w:val="001E4058"/>
    <w:rsid w:val="001E40B1"/>
    <w:rsid w:val="001E4565"/>
    <w:rsid w:val="001E48E9"/>
    <w:rsid w:val="001E53D8"/>
    <w:rsid w:val="001E558F"/>
    <w:rsid w:val="001E5630"/>
    <w:rsid w:val="001E5761"/>
    <w:rsid w:val="001E5B41"/>
    <w:rsid w:val="001E5C06"/>
    <w:rsid w:val="001E5CD0"/>
    <w:rsid w:val="001E6066"/>
    <w:rsid w:val="001E60FE"/>
    <w:rsid w:val="001E6484"/>
    <w:rsid w:val="001E650B"/>
    <w:rsid w:val="001E6675"/>
    <w:rsid w:val="001E6B1D"/>
    <w:rsid w:val="001E6C4D"/>
    <w:rsid w:val="001E6D5F"/>
    <w:rsid w:val="001E714D"/>
    <w:rsid w:val="001E7700"/>
    <w:rsid w:val="001E770B"/>
    <w:rsid w:val="001E7B3D"/>
    <w:rsid w:val="001F0134"/>
    <w:rsid w:val="001F021C"/>
    <w:rsid w:val="001F1114"/>
    <w:rsid w:val="001F139D"/>
    <w:rsid w:val="001F14E4"/>
    <w:rsid w:val="001F159C"/>
    <w:rsid w:val="001F16B2"/>
    <w:rsid w:val="001F171E"/>
    <w:rsid w:val="001F1738"/>
    <w:rsid w:val="001F1775"/>
    <w:rsid w:val="001F17B4"/>
    <w:rsid w:val="001F19E8"/>
    <w:rsid w:val="001F1D2E"/>
    <w:rsid w:val="001F1D6C"/>
    <w:rsid w:val="001F1DD3"/>
    <w:rsid w:val="001F1FAA"/>
    <w:rsid w:val="001F22EB"/>
    <w:rsid w:val="001F286E"/>
    <w:rsid w:val="001F3238"/>
    <w:rsid w:val="001F327F"/>
    <w:rsid w:val="001F35AB"/>
    <w:rsid w:val="001F3840"/>
    <w:rsid w:val="001F3C66"/>
    <w:rsid w:val="001F407A"/>
    <w:rsid w:val="001F4568"/>
    <w:rsid w:val="001F46CF"/>
    <w:rsid w:val="001F4771"/>
    <w:rsid w:val="001F47A5"/>
    <w:rsid w:val="001F484F"/>
    <w:rsid w:val="001F4ED0"/>
    <w:rsid w:val="001F53DA"/>
    <w:rsid w:val="001F55C8"/>
    <w:rsid w:val="001F57E3"/>
    <w:rsid w:val="001F5A9D"/>
    <w:rsid w:val="001F5B4D"/>
    <w:rsid w:val="001F64AA"/>
    <w:rsid w:val="001F65AF"/>
    <w:rsid w:val="001F6BF7"/>
    <w:rsid w:val="001F6D52"/>
    <w:rsid w:val="001F6E1C"/>
    <w:rsid w:val="001F70CC"/>
    <w:rsid w:val="001F71EB"/>
    <w:rsid w:val="0020060A"/>
    <w:rsid w:val="00200BD3"/>
    <w:rsid w:val="0020150A"/>
    <w:rsid w:val="00201544"/>
    <w:rsid w:val="00201D2C"/>
    <w:rsid w:val="00201EDD"/>
    <w:rsid w:val="00202257"/>
    <w:rsid w:val="0020227B"/>
    <w:rsid w:val="002026CB"/>
    <w:rsid w:val="002026D3"/>
    <w:rsid w:val="002027C7"/>
    <w:rsid w:val="00202A16"/>
    <w:rsid w:val="00202B03"/>
    <w:rsid w:val="00202D5F"/>
    <w:rsid w:val="00202D7F"/>
    <w:rsid w:val="00202DF1"/>
    <w:rsid w:val="00202F19"/>
    <w:rsid w:val="002030C8"/>
    <w:rsid w:val="0020334B"/>
    <w:rsid w:val="0020336D"/>
    <w:rsid w:val="002035EE"/>
    <w:rsid w:val="00203DAB"/>
    <w:rsid w:val="00203E09"/>
    <w:rsid w:val="00203E37"/>
    <w:rsid w:val="0020427D"/>
    <w:rsid w:val="002045FA"/>
    <w:rsid w:val="002047A8"/>
    <w:rsid w:val="00204BB1"/>
    <w:rsid w:val="00204C69"/>
    <w:rsid w:val="00204D7C"/>
    <w:rsid w:val="00204E24"/>
    <w:rsid w:val="00204E9F"/>
    <w:rsid w:val="00205028"/>
    <w:rsid w:val="0020523C"/>
    <w:rsid w:val="00205677"/>
    <w:rsid w:val="00205938"/>
    <w:rsid w:val="0020595B"/>
    <w:rsid w:val="00205A59"/>
    <w:rsid w:val="00205C7F"/>
    <w:rsid w:val="00205E6A"/>
    <w:rsid w:val="00205ED7"/>
    <w:rsid w:val="00206248"/>
    <w:rsid w:val="00206283"/>
    <w:rsid w:val="002062BA"/>
    <w:rsid w:val="002062F3"/>
    <w:rsid w:val="002063FA"/>
    <w:rsid w:val="00206955"/>
    <w:rsid w:val="00207193"/>
    <w:rsid w:val="002077D1"/>
    <w:rsid w:val="002079F8"/>
    <w:rsid w:val="00207AE5"/>
    <w:rsid w:val="0021002F"/>
    <w:rsid w:val="002102F9"/>
    <w:rsid w:val="002103F2"/>
    <w:rsid w:val="00210D36"/>
    <w:rsid w:val="00211AA2"/>
    <w:rsid w:val="00211CEF"/>
    <w:rsid w:val="002121A7"/>
    <w:rsid w:val="00212227"/>
    <w:rsid w:val="002123EB"/>
    <w:rsid w:val="002123F5"/>
    <w:rsid w:val="00212572"/>
    <w:rsid w:val="002126BF"/>
    <w:rsid w:val="00212B13"/>
    <w:rsid w:val="00212B80"/>
    <w:rsid w:val="00212BC8"/>
    <w:rsid w:val="00212C2E"/>
    <w:rsid w:val="00212D69"/>
    <w:rsid w:val="00213353"/>
    <w:rsid w:val="0021344E"/>
    <w:rsid w:val="002134A7"/>
    <w:rsid w:val="00213A08"/>
    <w:rsid w:val="002149E5"/>
    <w:rsid w:val="00214F48"/>
    <w:rsid w:val="00215102"/>
    <w:rsid w:val="00215144"/>
    <w:rsid w:val="00215233"/>
    <w:rsid w:val="002153FB"/>
    <w:rsid w:val="00215546"/>
    <w:rsid w:val="00215600"/>
    <w:rsid w:val="00215F81"/>
    <w:rsid w:val="00216337"/>
    <w:rsid w:val="002166B6"/>
    <w:rsid w:val="002169E8"/>
    <w:rsid w:val="002169F2"/>
    <w:rsid w:val="00217380"/>
    <w:rsid w:val="00217569"/>
    <w:rsid w:val="0021770C"/>
    <w:rsid w:val="002177A2"/>
    <w:rsid w:val="00217AE3"/>
    <w:rsid w:val="00217BFE"/>
    <w:rsid w:val="00217E40"/>
    <w:rsid w:val="00217EAA"/>
    <w:rsid w:val="00217FA6"/>
    <w:rsid w:val="0022041C"/>
    <w:rsid w:val="00220805"/>
    <w:rsid w:val="00221014"/>
    <w:rsid w:val="00221587"/>
    <w:rsid w:val="00221631"/>
    <w:rsid w:val="002216A6"/>
    <w:rsid w:val="00221700"/>
    <w:rsid w:val="00221780"/>
    <w:rsid w:val="0022189A"/>
    <w:rsid w:val="00221A66"/>
    <w:rsid w:val="00221C75"/>
    <w:rsid w:val="00221D6F"/>
    <w:rsid w:val="00221E54"/>
    <w:rsid w:val="002222D3"/>
    <w:rsid w:val="00222830"/>
    <w:rsid w:val="00223049"/>
    <w:rsid w:val="002231B4"/>
    <w:rsid w:val="00223A9F"/>
    <w:rsid w:val="00223F1E"/>
    <w:rsid w:val="00224239"/>
    <w:rsid w:val="002245F4"/>
    <w:rsid w:val="0022462C"/>
    <w:rsid w:val="002247C7"/>
    <w:rsid w:val="002247E7"/>
    <w:rsid w:val="00224C06"/>
    <w:rsid w:val="00224D61"/>
    <w:rsid w:val="00224E7C"/>
    <w:rsid w:val="00224E7E"/>
    <w:rsid w:val="0022510C"/>
    <w:rsid w:val="002252D1"/>
    <w:rsid w:val="00225538"/>
    <w:rsid w:val="002256DC"/>
    <w:rsid w:val="002256EC"/>
    <w:rsid w:val="002257DF"/>
    <w:rsid w:val="00225ACC"/>
    <w:rsid w:val="00225B1D"/>
    <w:rsid w:val="00225B26"/>
    <w:rsid w:val="00225C8E"/>
    <w:rsid w:val="00225CC3"/>
    <w:rsid w:val="002260C6"/>
    <w:rsid w:val="00226264"/>
    <w:rsid w:val="002262A3"/>
    <w:rsid w:val="0022633A"/>
    <w:rsid w:val="0022640D"/>
    <w:rsid w:val="0022645C"/>
    <w:rsid w:val="002264FF"/>
    <w:rsid w:val="002267D9"/>
    <w:rsid w:val="00226C8B"/>
    <w:rsid w:val="00226F4A"/>
    <w:rsid w:val="002272B5"/>
    <w:rsid w:val="00227536"/>
    <w:rsid w:val="00227948"/>
    <w:rsid w:val="00227CF8"/>
    <w:rsid w:val="00227F3F"/>
    <w:rsid w:val="0023019D"/>
    <w:rsid w:val="002305BA"/>
    <w:rsid w:val="00230867"/>
    <w:rsid w:val="0023093A"/>
    <w:rsid w:val="00230CFE"/>
    <w:rsid w:val="00230F60"/>
    <w:rsid w:val="00231190"/>
    <w:rsid w:val="00231652"/>
    <w:rsid w:val="0023191E"/>
    <w:rsid w:val="002319CA"/>
    <w:rsid w:val="00231D5D"/>
    <w:rsid w:val="00231F8A"/>
    <w:rsid w:val="002320C6"/>
    <w:rsid w:val="00232774"/>
    <w:rsid w:val="0023294B"/>
    <w:rsid w:val="00232C4B"/>
    <w:rsid w:val="00232F9E"/>
    <w:rsid w:val="002330E0"/>
    <w:rsid w:val="002331FA"/>
    <w:rsid w:val="00233258"/>
    <w:rsid w:val="0023345B"/>
    <w:rsid w:val="00233645"/>
    <w:rsid w:val="0023397A"/>
    <w:rsid w:val="00233C89"/>
    <w:rsid w:val="00233CE5"/>
    <w:rsid w:val="00233D03"/>
    <w:rsid w:val="0023426E"/>
    <w:rsid w:val="00234CAF"/>
    <w:rsid w:val="00234E62"/>
    <w:rsid w:val="00234FAA"/>
    <w:rsid w:val="0023508D"/>
    <w:rsid w:val="0023539E"/>
    <w:rsid w:val="002353F0"/>
    <w:rsid w:val="00235757"/>
    <w:rsid w:val="00235829"/>
    <w:rsid w:val="00235D84"/>
    <w:rsid w:val="00235F39"/>
    <w:rsid w:val="00235FAC"/>
    <w:rsid w:val="00236652"/>
    <w:rsid w:val="002369EF"/>
    <w:rsid w:val="00236C55"/>
    <w:rsid w:val="00236C94"/>
    <w:rsid w:val="00236F9E"/>
    <w:rsid w:val="00237192"/>
    <w:rsid w:val="0023723C"/>
    <w:rsid w:val="002372C9"/>
    <w:rsid w:val="002373C4"/>
    <w:rsid w:val="002375DD"/>
    <w:rsid w:val="002379D9"/>
    <w:rsid w:val="00237B61"/>
    <w:rsid w:val="00237F90"/>
    <w:rsid w:val="00237FE6"/>
    <w:rsid w:val="002407B3"/>
    <w:rsid w:val="00240965"/>
    <w:rsid w:val="00240FC0"/>
    <w:rsid w:val="0024104C"/>
    <w:rsid w:val="00241679"/>
    <w:rsid w:val="00241D4B"/>
    <w:rsid w:val="00241D8C"/>
    <w:rsid w:val="00242375"/>
    <w:rsid w:val="002423BE"/>
    <w:rsid w:val="00242BA0"/>
    <w:rsid w:val="0024313F"/>
    <w:rsid w:val="0024326A"/>
    <w:rsid w:val="00243359"/>
    <w:rsid w:val="002436B9"/>
    <w:rsid w:val="00243B47"/>
    <w:rsid w:val="00243C8F"/>
    <w:rsid w:val="00243EA1"/>
    <w:rsid w:val="00243F90"/>
    <w:rsid w:val="00244755"/>
    <w:rsid w:val="00244931"/>
    <w:rsid w:val="00244C2C"/>
    <w:rsid w:val="002453A8"/>
    <w:rsid w:val="002455F2"/>
    <w:rsid w:val="00245663"/>
    <w:rsid w:val="002456EB"/>
    <w:rsid w:val="0024590A"/>
    <w:rsid w:val="00245E72"/>
    <w:rsid w:val="00245FB4"/>
    <w:rsid w:val="00246128"/>
    <w:rsid w:val="00246578"/>
    <w:rsid w:val="002467E9"/>
    <w:rsid w:val="00246866"/>
    <w:rsid w:val="00246D5D"/>
    <w:rsid w:val="00246E9F"/>
    <w:rsid w:val="00247071"/>
    <w:rsid w:val="002470C4"/>
    <w:rsid w:val="00247262"/>
    <w:rsid w:val="002472F4"/>
    <w:rsid w:val="00247543"/>
    <w:rsid w:val="0024791D"/>
    <w:rsid w:val="002479E7"/>
    <w:rsid w:val="00247AA3"/>
    <w:rsid w:val="00247BBE"/>
    <w:rsid w:val="0025032D"/>
    <w:rsid w:val="002503B2"/>
    <w:rsid w:val="002503C2"/>
    <w:rsid w:val="00250775"/>
    <w:rsid w:val="0025106C"/>
    <w:rsid w:val="002514DD"/>
    <w:rsid w:val="002514FB"/>
    <w:rsid w:val="00251B18"/>
    <w:rsid w:val="00251EB8"/>
    <w:rsid w:val="00251EEC"/>
    <w:rsid w:val="00252110"/>
    <w:rsid w:val="002528C4"/>
    <w:rsid w:val="002530CD"/>
    <w:rsid w:val="002535B7"/>
    <w:rsid w:val="0025380B"/>
    <w:rsid w:val="00253A6D"/>
    <w:rsid w:val="00253B0A"/>
    <w:rsid w:val="00253B1A"/>
    <w:rsid w:val="00253C0A"/>
    <w:rsid w:val="00253D0E"/>
    <w:rsid w:val="00253E98"/>
    <w:rsid w:val="00254021"/>
    <w:rsid w:val="002541D8"/>
    <w:rsid w:val="00254254"/>
    <w:rsid w:val="002542EE"/>
    <w:rsid w:val="00254693"/>
    <w:rsid w:val="00254912"/>
    <w:rsid w:val="00255412"/>
    <w:rsid w:val="00255AA7"/>
    <w:rsid w:val="00255AE6"/>
    <w:rsid w:val="00255D53"/>
    <w:rsid w:val="00255D68"/>
    <w:rsid w:val="00255FAE"/>
    <w:rsid w:val="002563F0"/>
    <w:rsid w:val="0025646B"/>
    <w:rsid w:val="00256C49"/>
    <w:rsid w:val="00256CC6"/>
    <w:rsid w:val="00257327"/>
    <w:rsid w:val="002573B1"/>
    <w:rsid w:val="002573E1"/>
    <w:rsid w:val="00257563"/>
    <w:rsid w:val="00257599"/>
    <w:rsid w:val="0025772C"/>
    <w:rsid w:val="002578FB"/>
    <w:rsid w:val="00257939"/>
    <w:rsid w:val="00257B5C"/>
    <w:rsid w:val="00257E5D"/>
    <w:rsid w:val="00260077"/>
    <w:rsid w:val="002607AF"/>
    <w:rsid w:val="0026104A"/>
    <w:rsid w:val="0026109F"/>
    <w:rsid w:val="002611DF"/>
    <w:rsid w:val="0026131B"/>
    <w:rsid w:val="002615BE"/>
    <w:rsid w:val="0026172A"/>
    <w:rsid w:val="00261C15"/>
    <w:rsid w:val="00261C5F"/>
    <w:rsid w:val="00261EA1"/>
    <w:rsid w:val="00262058"/>
    <w:rsid w:val="0026223F"/>
    <w:rsid w:val="00262311"/>
    <w:rsid w:val="00262560"/>
    <w:rsid w:val="002627A2"/>
    <w:rsid w:val="002629BD"/>
    <w:rsid w:val="00262A89"/>
    <w:rsid w:val="00262BCD"/>
    <w:rsid w:val="00262C31"/>
    <w:rsid w:val="00263187"/>
    <w:rsid w:val="002634A4"/>
    <w:rsid w:val="0026392E"/>
    <w:rsid w:val="0026394C"/>
    <w:rsid w:val="00263984"/>
    <w:rsid w:val="002644B2"/>
    <w:rsid w:val="00264573"/>
    <w:rsid w:val="002649D3"/>
    <w:rsid w:val="00264A43"/>
    <w:rsid w:val="00264D04"/>
    <w:rsid w:val="00264F0E"/>
    <w:rsid w:val="0026528C"/>
    <w:rsid w:val="002654B7"/>
    <w:rsid w:val="00265907"/>
    <w:rsid w:val="00265938"/>
    <w:rsid w:val="00265E96"/>
    <w:rsid w:val="0026680F"/>
    <w:rsid w:val="00267111"/>
    <w:rsid w:val="002671B2"/>
    <w:rsid w:val="00267405"/>
    <w:rsid w:val="002678FA"/>
    <w:rsid w:val="00267922"/>
    <w:rsid w:val="00267DF8"/>
    <w:rsid w:val="00270320"/>
    <w:rsid w:val="00270338"/>
    <w:rsid w:val="002703F6"/>
    <w:rsid w:val="0027051A"/>
    <w:rsid w:val="002706F1"/>
    <w:rsid w:val="002707C4"/>
    <w:rsid w:val="00270B56"/>
    <w:rsid w:val="00270C60"/>
    <w:rsid w:val="00270C77"/>
    <w:rsid w:val="00271046"/>
    <w:rsid w:val="0027122D"/>
    <w:rsid w:val="00271B49"/>
    <w:rsid w:val="00271D2D"/>
    <w:rsid w:val="00271D73"/>
    <w:rsid w:val="00271DB6"/>
    <w:rsid w:val="00271DC0"/>
    <w:rsid w:val="00271F67"/>
    <w:rsid w:val="0027200A"/>
    <w:rsid w:val="00272544"/>
    <w:rsid w:val="00273495"/>
    <w:rsid w:val="002736D2"/>
    <w:rsid w:val="00273912"/>
    <w:rsid w:val="002739EA"/>
    <w:rsid w:val="002742B2"/>
    <w:rsid w:val="002743E0"/>
    <w:rsid w:val="00274465"/>
    <w:rsid w:val="0027489A"/>
    <w:rsid w:val="0027554F"/>
    <w:rsid w:val="00275CEB"/>
    <w:rsid w:val="00275FED"/>
    <w:rsid w:val="00276015"/>
    <w:rsid w:val="002763DF"/>
    <w:rsid w:val="00276617"/>
    <w:rsid w:val="00276678"/>
    <w:rsid w:val="0027691F"/>
    <w:rsid w:val="00276E94"/>
    <w:rsid w:val="00276EC9"/>
    <w:rsid w:val="002770CB"/>
    <w:rsid w:val="002770CE"/>
    <w:rsid w:val="00277101"/>
    <w:rsid w:val="00277627"/>
    <w:rsid w:val="00277A49"/>
    <w:rsid w:val="00277B41"/>
    <w:rsid w:val="00277C4C"/>
    <w:rsid w:val="002800AD"/>
    <w:rsid w:val="0028043B"/>
    <w:rsid w:val="002807EA"/>
    <w:rsid w:val="00280974"/>
    <w:rsid w:val="00280B52"/>
    <w:rsid w:val="002810A7"/>
    <w:rsid w:val="0028117C"/>
    <w:rsid w:val="002811A3"/>
    <w:rsid w:val="002811DA"/>
    <w:rsid w:val="0028184B"/>
    <w:rsid w:val="00281E86"/>
    <w:rsid w:val="00281EE5"/>
    <w:rsid w:val="00282041"/>
    <w:rsid w:val="0028213B"/>
    <w:rsid w:val="002822CE"/>
    <w:rsid w:val="0028267E"/>
    <w:rsid w:val="002827C2"/>
    <w:rsid w:val="0028281B"/>
    <w:rsid w:val="0028287E"/>
    <w:rsid w:val="00282A6F"/>
    <w:rsid w:val="002830F6"/>
    <w:rsid w:val="0028324C"/>
    <w:rsid w:val="002832C9"/>
    <w:rsid w:val="00283545"/>
    <w:rsid w:val="00283748"/>
    <w:rsid w:val="002837A1"/>
    <w:rsid w:val="00283A9D"/>
    <w:rsid w:val="00283CD7"/>
    <w:rsid w:val="002840F1"/>
    <w:rsid w:val="0028460B"/>
    <w:rsid w:val="00284752"/>
    <w:rsid w:val="00284A98"/>
    <w:rsid w:val="00284B29"/>
    <w:rsid w:val="00284BED"/>
    <w:rsid w:val="00284D35"/>
    <w:rsid w:val="00285113"/>
    <w:rsid w:val="00285152"/>
    <w:rsid w:val="0028573E"/>
    <w:rsid w:val="00285752"/>
    <w:rsid w:val="00285976"/>
    <w:rsid w:val="00285C16"/>
    <w:rsid w:val="00285DD8"/>
    <w:rsid w:val="00285F93"/>
    <w:rsid w:val="00286079"/>
    <w:rsid w:val="002860B5"/>
    <w:rsid w:val="002862EF"/>
    <w:rsid w:val="00286357"/>
    <w:rsid w:val="002868B9"/>
    <w:rsid w:val="00286D97"/>
    <w:rsid w:val="00286F84"/>
    <w:rsid w:val="00287516"/>
    <w:rsid w:val="0028787B"/>
    <w:rsid w:val="00287B48"/>
    <w:rsid w:val="00287CD3"/>
    <w:rsid w:val="00287F74"/>
    <w:rsid w:val="00290102"/>
    <w:rsid w:val="002907A3"/>
    <w:rsid w:val="002908CB"/>
    <w:rsid w:val="0029097D"/>
    <w:rsid w:val="002909F4"/>
    <w:rsid w:val="00290BA7"/>
    <w:rsid w:val="00290DB5"/>
    <w:rsid w:val="00291227"/>
    <w:rsid w:val="002912D0"/>
    <w:rsid w:val="002913B3"/>
    <w:rsid w:val="002914AA"/>
    <w:rsid w:val="00291595"/>
    <w:rsid w:val="00291DE7"/>
    <w:rsid w:val="00291E04"/>
    <w:rsid w:val="0029237B"/>
    <w:rsid w:val="002924FA"/>
    <w:rsid w:val="0029254C"/>
    <w:rsid w:val="00292695"/>
    <w:rsid w:val="00292719"/>
    <w:rsid w:val="0029275B"/>
    <w:rsid w:val="002928EF"/>
    <w:rsid w:val="00292B44"/>
    <w:rsid w:val="00292F46"/>
    <w:rsid w:val="00293636"/>
    <w:rsid w:val="00293787"/>
    <w:rsid w:val="0029380B"/>
    <w:rsid w:val="00293863"/>
    <w:rsid w:val="00293A68"/>
    <w:rsid w:val="00293C11"/>
    <w:rsid w:val="00293CF4"/>
    <w:rsid w:val="00293DAC"/>
    <w:rsid w:val="00293EA6"/>
    <w:rsid w:val="00293F7A"/>
    <w:rsid w:val="002941EF"/>
    <w:rsid w:val="002942B2"/>
    <w:rsid w:val="002943E3"/>
    <w:rsid w:val="00294725"/>
    <w:rsid w:val="002949ED"/>
    <w:rsid w:val="00294AA6"/>
    <w:rsid w:val="00294E1B"/>
    <w:rsid w:val="00295526"/>
    <w:rsid w:val="0029597D"/>
    <w:rsid w:val="00295A4D"/>
    <w:rsid w:val="00295F9C"/>
    <w:rsid w:val="002960B5"/>
    <w:rsid w:val="002963A6"/>
    <w:rsid w:val="002964E4"/>
    <w:rsid w:val="00296536"/>
    <w:rsid w:val="00296BDF"/>
    <w:rsid w:val="00296C97"/>
    <w:rsid w:val="002975F2"/>
    <w:rsid w:val="002976BA"/>
    <w:rsid w:val="00297A7B"/>
    <w:rsid w:val="00297DFA"/>
    <w:rsid w:val="00297E6B"/>
    <w:rsid w:val="00297EF5"/>
    <w:rsid w:val="00297FA5"/>
    <w:rsid w:val="002A00B8"/>
    <w:rsid w:val="002A018C"/>
    <w:rsid w:val="002A03E6"/>
    <w:rsid w:val="002A0460"/>
    <w:rsid w:val="002A0483"/>
    <w:rsid w:val="002A04CA"/>
    <w:rsid w:val="002A0555"/>
    <w:rsid w:val="002A09BE"/>
    <w:rsid w:val="002A0F50"/>
    <w:rsid w:val="002A10B6"/>
    <w:rsid w:val="002A1160"/>
    <w:rsid w:val="002A1321"/>
    <w:rsid w:val="002A15DB"/>
    <w:rsid w:val="002A1710"/>
    <w:rsid w:val="002A1748"/>
    <w:rsid w:val="002A1BE7"/>
    <w:rsid w:val="002A1CAB"/>
    <w:rsid w:val="002A1E6E"/>
    <w:rsid w:val="002A2071"/>
    <w:rsid w:val="002A2076"/>
    <w:rsid w:val="002A21C0"/>
    <w:rsid w:val="002A23C6"/>
    <w:rsid w:val="002A270F"/>
    <w:rsid w:val="002A2739"/>
    <w:rsid w:val="002A2BD2"/>
    <w:rsid w:val="002A3230"/>
    <w:rsid w:val="002A3317"/>
    <w:rsid w:val="002A3395"/>
    <w:rsid w:val="002A34C6"/>
    <w:rsid w:val="002A3557"/>
    <w:rsid w:val="002A355B"/>
    <w:rsid w:val="002A3647"/>
    <w:rsid w:val="002A3B00"/>
    <w:rsid w:val="002A413F"/>
    <w:rsid w:val="002A4295"/>
    <w:rsid w:val="002A47D6"/>
    <w:rsid w:val="002A48DD"/>
    <w:rsid w:val="002A4D3A"/>
    <w:rsid w:val="002A4D79"/>
    <w:rsid w:val="002A4D98"/>
    <w:rsid w:val="002A4F08"/>
    <w:rsid w:val="002A5084"/>
    <w:rsid w:val="002A5085"/>
    <w:rsid w:val="002A50A2"/>
    <w:rsid w:val="002A5285"/>
    <w:rsid w:val="002A54FF"/>
    <w:rsid w:val="002A562C"/>
    <w:rsid w:val="002A5CDC"/>
    <w:rsid w:val="002A5F4B"/>
    <w:rsid w:val="002A60AE"/>
    <w:rsid w:val="002A62B6"/>
    <w:rsid w:val="002A62FE"/>
    <w:rsid w:val="002A658C"/>
    <w:rsid w:val="002A6A03"/>
    <w:rsid w:val="002A6A6F"/>
    <w:rsid w:val="002A6ABE"/>
    <w:rsid w:val="002A6B65"/>
    <w:rsid w:val="002A6BEF"/>
    <w:rsid w:val="002A6D2A"/>
    <w:rsid w:val="002A6DB7"/>
    <w:rsid w:val="002A6FF4"/>
    <w:rsid w:val="002A7434"/>
    <w:rsid w:val="002A787C"/>
    <w:rsid w:val="002A7AA0"/>
    <w:rsid w:val="002A7CB6"/>
    <w:rsid w:val="002B02A3"/>
    <w:rsid w:val="002B030A"/>
    <w:rsid w:val="002B04DE"/>
    <w:rsid w:val="002B04FE"/>
    <w:rsid w:val="002B067A"/>
    <w:rsid w:val="002B0765"/>
    <w:rsid w:val="002B07C5"/>
    <w:rsid w:val="002B07E8"/>
    <w:rsid w:val="002B0A66"/>
    <w:rsid w:val="002B0F1A"/>
    <w:rsid w:val="002B0FC6"/>
    <w:rsid w:val="002B150B"/>
    <w:rsid w:val="002B1939"/>
    <w:rsid w:val="002B1EE9"/>
    <w:rsid w:val="002B2532"/>
    <w:rsid w:val="002B2B2D"/>
    <w:rsid w:val="002B2CB4"/>
    <w:rsid w:val="002B30C9"/>
    <w:rsid w:val="002B33D8"/>
    <w:rsid w:val="002B34B0"/>
    <w:rsid w:val="002B37A4"/>
    <w:rsid w:val="002B3B2B"/>
    <w:rsid w:val="002B3F0F"/>
    <w:rsid w:val="002B3F4D"/>
    <w:rsid w:val="002B3FF6"/>
    <w:rsid w:val="002B4039"/>
    <w:rsid w:val="002B4082"/>
    <w:rsid w:val="002B40CB"/>
    <w:rsid w:val="002B42B4"/>
    <w:rsid w:val="002B49A9"/>
    <w:rsid w:val="002B4F81"/>
    <w:rsid w:val="002B55B5"/>
    <w:rsid w:val="002B588C"/>
    <w:rsid w:val="002B5AB5"/>
    <w:rsid w:val="002B5BC1"/>
    <w:rsid w:val="002B5EA7"/>
    <w:rsid w:val="002B5ECB"/>
    <w:rsid w:val="002B5F77"/>
    <w:rsid w:val="002B6242"/>
    <w:rsid w:val="002B6260"/>
    <w:rsid w:val="002B63C6"/>
    <w:rsid w:val="002B65EE"/>
    <w:rsid w:val="002B6765"/>
    <w:rsid w:val="002B6961"/>
    <w:rsid w:val="002B6AB6"/>
    <w:rsid w:val="002B701E"/>
    <w:rsid w:val="002B73CF"/>
    <w:rsid w:val="002B78C2"/>
    <w:rsid w:val="002B78F1"/>
    <w:rsid w:val="002C0472"/>
    <w:rsid w:val="002C05A5"/>
    <w:rsid w:val="002C0611"/>
    <w:rsid w:val="002C0746"/>
    <w:rsid w:val="002C0E74"/>
    <w:rsid w:val="002C0FB7"/>
    <w:rsid w:val="002C0FFD"/>
    <w:rsid w:val="002C1076"/>
    <w:rsid w:val="002C1C17"/>
    <w:rsid w:val="002C2105"/>
    <w:rsid w:val="002C2241"/>
    <w:rsid w:val="002C226D"/>
    <w:rsid w:val="002C26BD"/>
    <w:rsid w:val="002C2D96"/>
    <w:rsid w:val="002C2EEC"/>
    <w:rsid w:val="002C332A"/>
    <w:rsid w:val="002C3412"/>
    <w:rsid w:val="002C3561"/>
    <w:rsid w:val="002C37B1"/>
    <w:rsid w:val="002C38B1"/>
    <w:rsid w:val="002C3A79"/>
    <w:rsid w:val="002C410B"/>
    <w:rsid w:val="002C4262"/>
    <w:rsid w:val="002C4588"/>
    <w:rsid w:val="002C45EA"/>
    <w:rsid w:val="002C4C7B"/>
    <w:rsid w:val="002C4E99"/>
    <w:rsid w:val="002C4F02"/>
    <w:rsid w:val="002C4FD9"/>
    <w:rsid w:val="002C5154"/>
    <w:rsid w:val="002C54FF"/>
    <w:rsid w:val="002C5CA8"/>
    <w:rsid w:val="002C605A"/>
    <w:rsid w:val="002C6169"/>
    <w:rsid w:val="002C63EB"/>
    <w:rsid w:val="002C640A"/>
    <w:rsid w:val="002C6609"/>
    <w:rsid w:val="002C6B90"/>
    <w:rsid w:val="002C6D52"/>
    <w:rsid w:val="002C6DE0"/>
    <w:rsid w:val="002C7276"/>
    <w:rsid w:val="002C72E9"/>
    <w:rsid w:val="002C7409"/>
    <w:rsid w:val="002C76AD"/>
    <w:rsid w:val="002C79FD"/>
    <w:rsid w:val="002C7C15"/>
    <w:rsid w:val="002C7D3A"/>
    <w:rsid w:val="002C7EE5"/>
    <w:rsid w:val="002D06AD"/>
    <w:rsid w:val="002D06B5"/>
    <w:rsid w:val="002D06C2"/>
    <w:rsid w:val="002D0DA4"/>
    <w:rsid w:val="002D1574"/>
    <w:rsid w:val="002D1BC3"/>
    <w:rsid w:val="002D1C15"/>
    <w:rsid w:val="002D1D46"/>
    <w:rsid w:val="002D2098"/>
    <w:rsid w:val="002D257F"/>
    <w:rsid w:val="002D2A26"/>
    <w:rsid w:val="002D2A67"/>
    <w:rsid w:val="002D2E1A"/>
    <w:rsid w:val="002D378C"/>
    <w:rsid w:val="002D38D0"/>
    <w:rsid w:val="002D3AE6"/>
    <w:rsid w:val="002D3C13"/>
    <w:rsid w:val="002D3CF7"/>
    <w:rsid w:val="002D3D31"/>
    <w:rsid w:val="002D3DAB"/>
    <w:rsid w:val="002D3F8F"/>
    <w:rsid w:val="002D4141"/>
    <w:rsid w:val="002D42DD"/>
    <w:rsid w:val="002D4336"/>
    <w:rsid w:val="002D43DB"/>
    <w:rsid w:val="002D4450"/>
    <w:rsid w:val="002D46F4"/>
    <w:rsid w:val="002D471C"/>
    <w:rsid w:val="002D4E43"/>
    <w:rsid w:val="002D4EB5"/>
    <w:rsid w:val="002D4F47"/>
    <w:rsid w:val="002D5B03"/>
    <w:rsid w:val="002D5CD5"/>
    <w:rsid w:val="002D6135"/>
    <w:rsid w:val="002D6628"/>
    <w:rsid w:val="002D67A9"/>
    <w:rsid w:val="002D6A2D"/>
    <w:rsid w:val="002D6B38"/>
    <w:rsid w:val="002D6EA7"/>
    <w:rsid w:val="002D6F89"/>
    <w:rsid w:val="002D7351"/>
    <w:rsid w:val="002D774A"/>
    <w:rsid w:val="002D7CBF"/>
    <w:rsid w:val="002D7D03"/>
    <w:rsid w:val="002D7E0A"/>
    <w:rsid w:val="002E0160"/>
    <w:rsid w:val="002E0226"/>
    <w:rsid w:val="002E04BA"/>
    <w:rsid w:val="002E065B"/>
    <w:rsid w:val="002E0C84"/>
    <w:rsid w:val="002E0C8C"/>
    <w:rsid w:val="002E0E8C"/>
    <w:rsid w:val="002E1179"/>
    <w:rsid w:val="002E1670"/>
    <w:rsid w:val="002E184D"/>
    <w:rsid w:val="002E1A45"/>
    <w:rsid w:val="002E1E52"/>
    <w:rsid w:val="002E2025"/>
    <w:rsid w:val="002E21F5"/>
    <w:rsid w:val="002E24B0"/>
    <w:rsid w:val="002E27EE"/>
    <w:rsid w:val="002E2E5A"/>
    <w:rsid w:val="002E30A9"/>
    <w:rsid w:val="002E3124"/>
    <w:rsid w:val="002E369F"/>
    <w:rsid w:val="002E3914"/>
    <w:rsid w:val="002E3A60"/>
    <w:rsid w:val="002E3D1A"/>
    <w:rsid w:val="002E3FB2"/>
    <w:rsid w:val="002E407B"/>
    <w:rsid w:val="002E4902"/>
    <w:rsid w:val="002E4AF5"/>
    <w:rsid w:val="002E5334"/>
    <w:rsid w:val="002E561F"/>
    <w:rsid w:val="002E5937"/>
    <w:rsid w:val="002E5A2F"/>
    <w:rsid w:val="002E6A73"/>
    <w:rsid w:val="002E6BF4"/>
    <w:rsid w:val="002E6E32"/>
    <w:rsid w:val="002E7376"/>
    <w:rsid w:val="002E73BC"/>
    <w:rsid w:val="002E74D9"/>
    <w:rsid w:val="002E7A27"/>
    <w:rsid w:val="002E7A94"/>
    <w:rsid w:val="002F0252"/>
    <w:rsid w:val="002F04ED"/>
    <w:rsid w:val="002F0CA5"/>
    <w:rsid w:val="002F0ED6"/>
    <w:rsid w:val="002F0FFF"/>
    <w:rsid w:val="002F16D1"/>
    <w:rsid w:val="002F1BDB"/>
    <w:rsid w:val="002F1F7C"/>
    <w:rsid w:val="002F2012"/>
    <w:rsid w:val="002F215F"/>
    <w:rsid w:val="002F23B7"/>
    <w:rsid w:val="002F2433"/>
    <w:rsid w:val="002F2774"/>
    <w:rsid w:val="002F279F"/>
    <w:rsid w:val="002F2AA6"/>
    <w:rsid w:val="002F2AAE"/>
    <w:rsid w:val="002F2B6C"/>
    <w:rsid w:val="002F2F91"/>
    <w:rsid w:val="002F302B"/>
    <w:rsid w:val="002F3213"/>
    <w:rsid w:val="002F3330"/>
    <w:rsid w:val="002F34FA"/>
    <w:rsid w:val="002F378C"/>
    <w:rsid w:val="002F3FB8"/>
    <w:rsid w:val="002F4190"/>
    <w:rsid w:val="002F4217"/>
    <w:rsid w:val="002F43B7"/>
    <w:rsid w:val="002F4A3E"/>
    <w:rsid w:val="002F4B73"/>
    <w:rsid w:val="002F4CB5"/>
    <w:rsid w:val="002F4E7D"/>
    <w:rsid w:val="002F55D4"/>
    <w:rsid w:val="002F56C7"/>
    <w:rsid w:val="002F5750"/>
    <w:rsid w:val="002F5EF2"/>
    <w:rsid w:val="002F5F32"/>
    <w:rsid w:val="002F5F3F"/>
    <w:rsid w:val="002F5F8D"/>
    <w:rsid w:val="002F67ED"/>
    <w:rsid w:val="002F793C"/>
    <w:rsid w:val="002F795A"/>
    <w:rsid w:val="002F7CD9"/>
    <w:rsid w:val="00300257"/>
    <w:rsid w:val="003003A7"/>
    <w:rsid w:val="00300536"/>
    <w:rsid w:val="003008D6"/>
    <w:rsid w:val="00300CDA"/>
    <w:rsid w:val="00300EE0"/>
    <w:rsid w:val="00301270"/>
    <w:rsid w:val="003013E9"/>
    <w:rsid w:val="003014AE"/>
    <w:rsid w:val="0030163A"/>
    <w:rsid w:val="0030166F"/>
    <w:rsid w:val="003018CB"/>
    <w:rsid w:val="00301B05"/>
    <w:rsid w:val="00301CA3"/>
    <w:rsid w:val="00301DD9"/>
    <w:rsid w:val="003023F9"/>
    <w:rsid w:val="00302488"/>
    <w:rsid w:val="0030259B"/>
    <w:rsid w:val="0030288E"/>
    <w:rsid w:val="00302F40"/>
    <w:rsid w:val="003031EF"/>
    <w:rsid w:val="00303A01"/>
    <w:rsid w:val="00303D73"/>
    <w:rsid w:val="00303DA3"/>
    <w:rsid w:val="00303FA9"/>
    <w:rsid w:val="00304069"/>
    <w:rsid w:val="0030414C"/>
    <w:rsid w:val="0030442B"/>
    <w:rsid w:val="003047E7"/>
    <w:rsid w:val="0030484D"/>
    <w:rsid w:val="00304940"/>
    <w:rsid w:val="00304CEA"/>
    <w:rsid w:val="0030501D"/>
    <w:rsid w:val="0030564A"/>
    <w:rsid w:val="00305FA8"/>
    <w:rsid w:val="0030606E"/>
    <w:rsid w:val="0030607F"/>
    <w:rsid w:val="003061EE"/>
    <w:rsid w:val="0030633A"/>
    <w:rsid w:val="003063D3"/>
    <w:rsid w:val="003067FF"/>
    <w:rsid w:val="00306A7C"/>
    <w:rsid w:val="00306D24"/>
    <w:rsid w:val="00307A8D"/>
    <w:rsid w:val="00307E3E"/>
    <w:rsid w:val="00307F2D"/>
    <w:rsid w:val="00310504"/>
    <w:rsid w:val="00310A9C"/>
    <w:rsid w:val="00310BFB"/>
    <w:rsid w:val="00310E33"/>
    <w:rsid w:val="00310F8C"/>
    <w:rsid w:val="003110AD"/>
    <w:rsid w:val="00311975"/>
    <w:rsid w:val="00311ECA"/>
    <w:rsid w:val="00312374"/>
    <w:rsid w:val="00312641"/>
    <w:rsid w:val="003127F4"/>
    <w:rsid w:val="00312895"/>
    <w:rsid w:val="00313255"/>
    <w:rsid w:val="00313B26"/>
    <w:rsid w:val="00313ECC"/>
    <w:rsid w:val="00313FBD"/>
    <w:rsid w:val="003141FC"/>
    <w:rsid w:val="0031431B"/>
    <w:rsid w:val="00314676"/>
    <w:rsid w:val="00314997"/>
    <w:rsid w:val="00314B3C"/>
    <w:rsid w:val="00314BA2"/>
    <w:rsid w:val="00314D22"/>
    <w:rsid w:val="003152A8"/>
    <w:rsid w:val="0031531F"/>
    <w:rsid w:val="00315B39"/>
    <w:rsid w:val="00315ED1"/>
    <w:rsid w:val="00316292"/>
    <w:rsid w:val="00316554"/>
    <w:rsid w:val="0031658F"/>
    <w:rsid w:val="00316838"/>
    <w:rsid w:val="00316880"/>
    <w:rsid w:val="003168E4"/>
    <w:rsid w:val="00316A72"/>
    <w:rsid w:val="00316B52"/>
    <w:rsid w:val="00316C36"/>
    <w:rsid w:val="00316E44"/>
    <w:rsid w:val="00317346"/>
    <w:rsid w:val="003174C3"/>
    <w:rsid w:val="00317C75"/>
    <w:rsid w:val="00317F01"/>
    <w:rsid w:val="00317FB5"/>
    <w:rsid w:val="003201C2"/>
    <w:rsid w:val="0032054C"/>
    <w:rsid w:val="00320716"/>
    <w:rsid w:val="00320E3A"/>
    <w:rsid w:val="00320EA9"/>
    <w:rsid w:val="00320F0C"/>
    <w:rsid w:val="00321033"/>
    <w:rsid w:val="00321CF4"/>
    <w:rsid w:val="00321E4C"/>
    <w:rsid w:val="00321F9D"/>
    <w:rsid w:val="0032216D"/>
    <w:rsid w:val="00322234"/>
    <w:rsid w:val="003223C9"/>
    <w:rsid w:val="00322F18"/>
    <w:rsid w:val="003230DD"/>
    <w:rsid w:val="00323163"/>
    <w:rsid w:val="0032334C"/>
    <w:rsid w:val="00323C2C"/>
    <w:rsid w:val="00323FE4"/>
    <w:rsid w:val="00324133"/>
    <w:rsid w:val="003241A1"/>
    <w:rsid w:val="00324545"/>
    <w:rsid w:val="00324598"/>
    <w:rsid w:val="0032480D"/>
    <w:rsid w:val="00324B6A"/>
    <w:rsid w:val="003253E5"/>
    <w:rsid w:val="00325946"/>
    <w:rsid w:val="00325A19"/>
    <w:rsid w:val="00325A8C"/>
    <w:rsid w:val="00325BB5"/>
    <w:rsid w:val="00325C83"/>
    <w:rsid w:val="00325F89"/>
    <w:rsid w:val="00326002"/>
    <w:rsid w:val="00326151"/>
    <w:rsid w:val="00326206"/>
    <w:rsid w:val="00326323"/>
    <w:rsid w:val="0032640D"/>
    <w:rsid w:val="0032664C"/>
    <w:rsid w:val="00326818"/>
    <w:rsid w:val="0032686F"/>
    <w:rsid w:val="00326A7B"/>
    <w:rsid w:val="00326FE3"/>
    <w:rsid w:val="00327143"/>
    <w:rsid w:val="0032749E"/>
    <w:rsid w:val="003275B0"/>
    <w:rsid w:val="003276D7"/>
    <w:rsid w:val="00327A3D"/>
    <w:rsid w:val="00327A98"/>
    <w:rsid w:val="00327FFA"/>
    <w:rsid w:val="00330044"/>
    <w:rsid w:val="00330120"/>
    <w:rsid w:val="00330617"/>
    <w:rsid w:val="003306AF"/>
    <w:rsid w:val="003313A7"/>
    <w:rsid w:val="00331472"/>
    <w:rsid w:val="00331529"/>
    <w:rsid w:val="0033152B"/>
    <w:rsid w:val="00331720"/>
    <w:rsid w:val="00331D45"/>
    <w:rsid w:val="00331FA0"/>
    <w:rsid w:val="003320D5"/>
    <w:rsid w:val="00332149"/>
    <w:rsid w:val="003321AE"/>
    <w:rsid w:val="003322E0"/>
    <w:rsid w:val="00332323"/>
    <w:rsid w:val="003329E5"/>
    <w:rsid w:val="00332A29"/>
    <w:rsid w:val="00332BE8"/>
    <w:rsid w:val="00332CB7"/>
    <w:rsid w:val="00332E2C"/>
    <w:rsid w:val="00332FEE"/>
    <w:rsid w:val="0033309F"/>
    <w:rsid w:val="003339A3"/>
    <w:rsid w:val="00333F63"/>
    <w:rsid w:val="00333FF0"/>
    <w:rsid w:val="00334148"/>
    <w:rsid w:val="0033448F"/>
    <w:rsid w:val="00334646"/>
    <w:rsid w:val="00334667"/>
    <w:rsid w:val="00334743"/>
    <w:rsid w:val="00334C61"/>
    <w:rsid w:val="00334F71"/>
    <w:rsid w:val="00335257"/>
    <w:rsid w:val="003352B5"/>
    <w:rsid w:val="00335A51"/>
    <w:rsid w:val="00335BC2"/>
    <w:rsid w:val="00335C72"/>
    <w:rsid w:val="00336083"/>
    <w:rsid w:val="0033618B"/>
    <w:rsid w:val="003362D1"/>
    <w:rsid w:val="00336444"/>
    <w:rsid w:val="00336461"/>
    <w:rsid w:val="003367F7"/>
    <w:rsid w:val="00336A03"/>
    <w:rsid w:val="00336B2B"/>
    <w:rsid w:val="00336F9C"/>
    <w:rsid w:val="003372F0"/>
    <w:rsid w:val="00337366"/>
    <w:rsid w:val="003373BE"/>
    <w:rsid w:val="003376FB"/>
    <w:rsid w:val="0034001D"/>
    <w:rsid w:val="003400D3"/>
    <w:rsid w:val="0034058B"/>
    <w:rsid w:val="003405A4"/>
    <w:rsid w:val="00340B0D"/>
    <w:rsid w:val="00340F43"/>
    <w:rsid w:val="0034151D"/>
    <w:rsid w:val="0034153E"/>
    <w:rsid w:val="00341941"/>
    <w:rsid w:val="00341A05"/>
    <w:rsid w:val="00341A09"/>
    <w:rsid w:val="00341A3D"/>
    <w:rsid w:val="00341DC8"/>
    <w:rsid w:val="00341F4C"/>
    <w:rsid w:val="0034212E"/>
    <w:rsid w:val="00342754"/>
    <w:rsid w:val="00342AA9"/>
    <w:rsid w:val="00342DF5"/>
    <w:rsid w:val="003434B1"/>
    <w:rsid w:val="00343991"/>
    <w:rsid w:val="00343B52"/>
    <w:rsid w:val="00343DC9"/>
    <w:rsid w:val="003443DC"/>
    <w:rsid w:val="00344745"/>
    <w:rsid w:val="00344875"/>
    <w:rsid w:val="003448A6"/>
    <w:rsid w:val="00344A47"/>
    <w:rsid w:val="00345355"/>
    <w:rsid w:val="00345573"/>
    <w:rsid w:val="003457C8"/>
    <w:rsid w:val="00345AB6"/>
    <w:rsid w:val="00345E31"/>
    <w:rsid w:val="00346600"/>
    <w:rsid w:val="00346922"/>
    <w:rsid w:val="00346AD1"/>
    <w:rsid w:val="00346B26"/>
    <w:rsid w:val="00346B8A"/>
    <w:rsid w:val="00346C5D"/>
    <w:rsid w:val="00346FAE"/>
    <w:rsid w:val="00347049"/>
    <w:rsid w:val="00347201"/>
    <w:rsid w:val="0034722C"/>
    <w:rsid w:val="003472F9"/>
    <w:rsid w:val="0034773B"/>
    <w:rsid w:val="003477BE"/>
    <w:rsid w:val="003478CC"/>
    <w:rsid w:val="00347915"/>
    <w:rsid w:val="00347BA1"/>
    <w:rsid w:val="00347D55"/>
    <w:rsid w:val="00347EA1"/>
    <w:rsid w:val="00350105"/>
    <w:rsid w:val="003501A7"/>
    <w:rsid w:val="00350348"/>
    <w:rsid w:val="0035035D"/>
    <w:rsid w:val="00350445"/>
    <w:rsid w:val="00350859"/>
    <w:rsid w:val="00350CAC"/>
    <w:rsid w:val="00350DDD"/>
    <w:rsid w:val="00351283"/>
    <w:rsid w:val="00351AD9"/>
    <w:rsid w:val="0035233B"/>
    <w:rsid w:val="00352406"/>
    <w:rsid w:val="0035256C"/>
    <w:rsid w:val="00352B44"/>
    <w:rsid w:val="00352D8C"/>
    <w:rsid w:val="00352DF6"/>
    <w:rsid w:val="0035317A"/>
    <w:rsid w:val="00353702"/>
    <w:rsid w:val="00353895"/>
    <w:rsid w:val="00353BAA"/>
    <w:rsid w:val="00353C9B"/>
    <w:rsid w:val="003544DA"/>
    <w:rsid w:val="003546C1"/>
    <w:rsid w:val="00355526"/>
    <w:rsid w:val="003558FB"/>
    <w:rsid w:val="00355B8B"/>
    <w:rsid w:val="00355EFC"/>
    <w:rsid w:val="003560F2"/>
    <w:rsid w:val="003564EB"/>
    <w:rsid w:val="003566A4"/>
    <w:rsid w:val="00356741"/>
    <w:rsid w:val="00356C3C"/>
    <w:rsid w:val="00356D42"/>
    <w:rsid w:val="0035706A"/>
    <w:rsid w:val="0035718C"/>
    <w:rsid w:val="00357197"/>
    <w:rsid w:val="00357597"/>
    <w:rsid w:val="003575D3"/>
    <w:rsid w:val="003575F7"/>
    <w:rsid w:val="003577D9"/>
    <w:rsid w:val="00357AA6"/>
    <w:rsid w:val="00357B5B"/>
    <w:rsid w:val="00357D52"/>
    <w:rsid w:val="00357EE9"/>
    <w:rsid w:val="00357F5E"/>
    <w:rsid w:val="00360549"/>
    <w:rsid w:val="00360B3A"/>
    <w:rsid w:val="00360FC5"/>
    <w:rsid w:val="003613B7"/>
    <w:rsid w:val="003613F5"/>
    <w:rsid w:val="00361641"/>
    <w:rsid w:val="00362424"/>
    <w:rsid w:val="003625D7"/>
    <w:rsid w:val="00362F6C"/>
    <w:rsid w:val="00363AF3"/>
    <w:rsid w:val="00363BAB"/>
    <w:rsid w:val="00364058"/>
    <w:rsid w:val="003641D8"/>
    <w:rsid w:val="00364371"/>
    <w:rsid w:val="003643BC"/>
    <w:rsid w:val="00364621"/>
    <w:rsid w:val="0036462A"/>
    <w:rsid w:val="003646AC"/>
    <w:rsid w:val="00364861"/>
    <w:rsid w:val="0036497A"/>
    <w:rsid w:val="00364A4D"/>
    <w:rsid w:val="00364C38"/>
    <w:rsid w:val="0036597D"/>
    <w:rsid w:val="00365D7A"/>
    <w:rsid w:val="00366274"/>
    <w:rsid w:val="003663A6"/>
    <w:rsid w:val="00366992"/>
    <w:rsid w:val="00366AFF"/>
    <w:rsid w:val="00366F65"/>
    <w:rsid w:val="00367048"/>
    <w:rsid w:val="0036724F"/>
    <w:rsid w:val="00367633"/>
    <w:rsid w:val="003678BC"/>
    <w:rsid w:val="00367D95"/>
    <w:rsid w:val="00367EAA"/>
    <w:rsid w:val="00370132"/>
    <w:rsid w:val="003702E2"/>
    <w:rsid w:val="0037051B"/>
    <w:rsid w:val="0037096C"/>
    <w:rsid w:val="00370991"/>
    <w:rsid w:val="00370A3A"/>
    <w:rsid w:val="00370AD6"/>
    <w:rsid w:val="00371109"/>
    <w:rsid w:val="00371111"/>
    <w:rsid w:val="003711B5"/>
    <w:rsid w:val="0037124B"/>
    <w:rsid w:val="00371788"/>
    <w:rsid w:val="00371904"/>
    <w:rsid w:val="00371A2D"/>
    <w:rsid w:val="00371D1E"/>
    <w:rsid w:val="00371D4F"/>
    <w:rsid w:val="00371EC4"/>
    <w:rsid w:val="0037206A"/>
    <w:rsid w:val="00372094"/>
    <w:rsid w:val="003720FE"/>
    <w:rsid w:val="003724D5"/>
    <w:rsid w:val="003728DC"/>
    <w:rsid w:val="003728FD"/>
    <w:rsid w:val="00372A4A"/>
    <w:rsid w:val="00372B21"/>
    <w:rsid w:val="00372C8B"/>
    <w:rsid w:val="003734F1"/>
    <w:rsid w:val="00373A1E"/>
    <w:rsid w:val="00373BB3"/>
    <w:rsid w:val="00373CDF"/>
    <w:rsid w:val="00373DFA"/>
    <w:rsid w:val="003740B5"/>
    <w:rsid w:val="0037411F"/>
    <w:rsid w:val="0037426C"/>
    <w:rsid w:val="00374416"/>
    <w:rsid w:val="00374532"/>
    <w:rsid w:val="003745B2"/>
    <w:rsid w:val="0037482C"/>
    <w:rsid w:val="00375055"/>
    <w:rsid w:val="0037514F"/>
    <w:rsid w:val="00375161"/>
    <w:rsid w:val="003752C0"/>
    <w:rsid w:val="00375B27"/>
    <w:rsid w:val="003760B2"/>
    <w:rsid w:val="0037618F"/>
    <w:rsid w:val="003761B6"/>
    <w:rsid w:val="00376293"/>
    <w:rsid w:val="0037644E"/>
    <w:rsid w:val="00376937"/>
    <w:rsid w:val="00376C11"/>
    <w:rsid w:val="00376F95"/>
    <w:rsid w:val="00376F9F"/>
    <w:rsid w:val="003770A8"/>
    <w:rsid w:val="003773B7"/>
    <w:rsid w:val="0037743A"/>
    <w:rsid w:val="0037784F"/>
    <w:rsid w:val="00377887"/>
    <w:rsid w:val="0037791E"/>
    <w:rsid w:val="0037794B"/>
    <w:rsid w:val="00377CC4"/>
    <w:rsid w:val="00377CCE"/>
    <w:rsid w:val="00377D2F"/>
    <w:rsid w:val="0038022B"/>
    <w:rsid w:val="003807F4"/>
    <w:rsid w:val="00380958"/>
    <w:rsid w:val="00380EC5"/>
    <w:rsid w:val="00381162"/>
    <w:rsid w:val="00381216"/>
    <w:rsid w:val="003812BD"/>
    <w:rsid w:val="0038131E"/>
    <w:rsid w:val="003814E4"/>
    <w:rsid w:val="00381F8E"/>
    <w:rsid w:val="00382124"/>
    <w:rsid w:val="00382434"/>
    <w:rsid w:val="003825B6"/>
    <w:rsid w:val="00382769"/>
    <w:rsid w:val="00382A00"/>
    <w:rsid w:val="00382B1E"/>
    <w:rsid w:val="00382FD0"/>
    <w:rsid w:val="00383409"/>
    <w:rsid w:val="003835A7"/>
    <w:rsid w:val="003836C7"/>
    <w:rsid w:val="00383896"/>
    <w:rsid w:val="00383A33"/>
    <w:rsid w:val="00383B15"/>
    <w:rsid w:val="00383B4A"/>
    <w:rsid w:val="00383DB3"/>
    <w:rsid w:val="00384147"/>
    <w:rsid w:val="003848D4"/>
    <w:rsid w:val="00384A5F"/>
    <w:rsid w:val="00385073"/>
    <w:rsid w:val="00385159"/>
    <w:rsid w:val="003852D9"/>
    <w:rsid w:val="00385873"/>
    <w:rsid w:val="00385A6C"/>
    <w:rsid w:val="00386014"/>
    <w:rsid w:val="0038604C"/>
    <w:rsid w:val="00386114"/>
    <w:rsid w:val="0038626F"/>
    <w:rsid w:val="003864E6"/>
    <w:rsid w:val="00386A42"/>
    <w:rsid w:val="00386B0D"/>
    <w:rsid w:val="00386DAF"/>
    <w:rsid w:val="00386E3F"/>
    <w:rsid w:val="00387112"/>
    <w:rsid w:val="00387A23"/>
    <w:rsid w:val="00387DF5"/>
    <w:rsid w:val="00390109"/>
    <w:rsid w:val="003903CC"/>
    <w:rsid w:val="00390A5D"/>
    <w:rsid w:val="00390DBB"/>
    <w:rsid w:val="00391475"/>
    <w:rsid w:val="00391D91"/>
    <w:rsid w:val="00391E75"/>
    <w:rsid w:val="003920B0"/>
    <w:rsid w:val="00392112"/>
    <w:rsid w:val="003922D1"/>
    <w:rsid w:val="0039268B"/>
    <w:rsid w:val="00392DB4"/>
    <w:rsid w:val="003932B2"/>
    <w:rsid w:val="003938B9"/>
    <w:rsid w:val="00393921"/>
    <w:rsid w:val="00393D55"/>
    <w:rsid w:val="003945E2"/>
    <w:rsid w:val="0039460D"/>
    <w:rsid w:val="00394863"/>
    <w:rsid w:val="003948B2"/>
    <w:rsid w:val="00394EA0"/>
    <w:rsid w:val="00394F63"/>
    <w:rsid w:val="00395680"/>
    <w:rsid w:val="00395C1A"/>
    <w:rsid w:val="00395D35"/>
    <w:rsid w:val="00395DBE"/>
    <w:rsid w:val="00396208"/>
    <w:rsid w:val="003963E9"/>
    <w:rsid w:val="0039672A"/>
    <w:rsid w:val="0039676E"/>
    <w:rsid w:val="00397193"/>
    <w:rsid w:val="003971B2"/>
    <w:rsid w:val="0039723A"/>
    <w:rsid w:val="0039725B"/>
    <w:rsid w:val="00397468"/>
    <w:rsid w:val="00397579"/>
    <w:rsid w:val="003977EC"/>
    <w:rsid w:val="00397A23"/>
    <w:rsid w:val="00397CDB"/>
    <w:rsid w:val="00397E26"/>
    <w:rsid w:val="00397ECA"/>
    <w:rsid w:val="003A03BA"/>
    <w:rsid w:val="003A05F7"/>
    <w:rsid w:val="003A0FD8"/>
    <w:rsid w:val="003A1016"/>
    <w:rsid w:val="003A1091"/>
    <w:rsid w:val="003A1219"/>
    <w:rsid w:val="003A14DB"/>
    <w:rsid w:val="003A186E"/>
    <w:rsid w:val="003A1AC7"/>
    <w:rsid w:val="003A1AFC"/>
    <w:rsid w:val="003A1B8F"/>
    <w:rsid w:val="003A1D4A"/>
    <w:rsid w:val="003A2409"/>
    <w:rsid w:val="003A25FA"/>
    <w:rsid w:val="003A26CD"/>
    <w:rsid w:val="003A2BFD"/>
    <w:rsid w:val="003A2C44"/>
    <w:rsid w:val="003A2CC6"/>
    <w:rsid w:val="003A305C"/>
    <w:rsid w:val="003A314A"/>
    <w:rsid w:val="003A316A"/>
    <w:rsid w:val="003A3386"/>
    <w:rsid w:val="003A36D0"/>
    <w:rsid w:val="003A38D1"/>
    <w:rsid w:val="003A3E73"/>
    <w:rsid w:val="003A3F08"/>
    <w:rsid w:val="003A42E2"/>
    <w:rsid w:val="003A43DE"/>
    <w:rsid w:val="003A440C"/>
    <w:rsid w:val="003A4482"/>
    <w:rsid w:val="003A46DF"/>
    <w:rsid w:val="003A491D"/>
    <w:rsid w:val="003A4CA1"/>
    <w:rsid w:val="003A502B"/>
    <w:rsid w:val="003A50F2"/>
    <w:rsid w:val="003A53A5"/>
    <w:rsid w:val="003A57C6"/>
    <w:rsid w:val="003A5A0B"/>
    <w:rsid w:val="003A5CDB"/>
    <w:rsid w:val="003A60C0"/>
    <w:rsid w:val="003A6182"/>
    <w:rsid w:val="003A634D"/>
    <w:rsid w:val="003A63F6"/>
    <w:rsid w:val="003A67CC"/>
    <w:rsid w:val="003A69D3"/>
    <w:rsid w:val="003A6D3A"/>
    <w:rsid w:val="003A6D8C"/>
    <w:rsid w:val="003A70F8"/>
    <w:rsid w:val="003A72CF"/>
    <w:rsid w:val="003A76D7"/>
    <w:rsid w:val="003A7AD7"/>
    <w:rsid w:val="003A7DDF"/>
    <w:rsid w:val="003B0025"/>
    <w:rsid w:val="003B03D6"/>
    <w:rsid w:val="003B04BA"/>
    <w:rsid w:val="003B0692"/>
    <w:rsid w:val="003B0809"/>
    <w:rsid w:val="003B0914"/>
    <w:rsid w:val="003B0A7C"/>
    <w:rsid w:val="003B0FB3"/>
    <w:rsid w:val="003B1051"/>
    <w:rsid w:val="003B12AC"/>
    <w:rsid w:val="003B1689"/>
    <w:rsid w:val="003B16AA"/>
    <w:rsid w:val="003B1D6E"/>
    <w:rsid w:val="003B23FD"/>
    <w:rsid w:val="003B24C7"/>
    <w:rsid w:val="003B2558"/>
    <w:rsid w:val="003B2665"/>
    <w:rsid w:val="003B2732"/>
    <w:rsid w:val="003B2890"/>
    <w:rsid w:val="003B29A9"/>
    <w:rsid w:val="003B2B19"/>
    <w:rsid w:val="003B2D59"/>
    <w:rsid w:val="003B3264"/>
    <w:rsid w:val="003B366A"/>
    <w:rsid w:val="003B3779"/>
    <w:rsid w:val="003B3A4A"/>
    <w:rsid w:val="003B3A5F"/>
    <w:rsid w:val="003B3DC6"/>
    <w:rsid w:val="003B4055"/>
    <w:rsid w:val="003B4157"/>
    <w:rsid w:val="003B472C"/>
    <w:rsid w:val="003B4739"/>
    <w:rsid w:val="003B4906"/>
    <w:rsid w:val="003B49A1"/>
    <w:rsid w:val="003B49F0"/>
    <w:rsid w:val="003B53AB"/>
    <w:rsid w:val="003B573C"/>
    <w:rsid w:val="003B5917"/>
    <w:rsid w:val="003B5C5A"/>
    <w:rsid w:val="003B6A00"/>
    <w:rsid w:val="003B6BC8"/>
    <w:rsid w:val="003B6CD1"/>
    <w:rsid w:val="003B6EDF"/>
    <w:rsid w:val="003B70FE"/>
    <w:rsid w:val="003B72FB"/>
    <w:rsid w:val="003B74F8"/>
    <w:rsid w:val="003B75EE"/>
    <w:rsid w:val="003B79CD"/>
    <w:rsid w:val="003B7C16"/>
    <w:rsid w:val="003C01DC"/>
    <w:rsid w:val="003C03CD"/>
    <w:rsid w:val="003C03E6"/>
    <w:rsid w:val="003C06A9"/>
    <w:rsid w:val="003C06FC"/>
    <w:rsid w:val="003C07FE"/>
    <w:rsid w:val="003C0860"/>
    <w:rsid w:val="003C095F"/>
    <w:rsid w:val="003C0A50"/>
    <w:rsid w:val="003C0B20"/>
    <w:rsid w:val="003C0B69"/>
    <w:rsid w:val="003C0F43"/>
    <w:rsid w:val="003C107C"/>
    <w:rsid w:val="003C167B"/>
    <w:rsid w:val="003C1773"/>
    <w:rsid w:val="003C17FB"/>
    <w:rsid w:val="003C1AA1"/>
    <w:rsid w:val="003C1BC7"/>
    <w:rsid w:val="003C1C3C"/>
    <w:rsid w:val="003C1D59"/>
    <w:rsid w:val="003C1D7F"/>
    <w:rsid w:val="003C1E6E"/>
    <w:rsid w:val="003C20C9"/>
    <w:rsid w:val="003C2130"/>
    <w:rsid w:val="003C2484"/>
    <w:rsid w:val="003C25DA"/>
    <w:rsid w:val="003C2652"/>
    <w:rsid w:val="003C2CED"/>
    <w:rsid w:val="003C2D0F"/>
    <w:rsid w:val="003C3429"/>
    <w:rsid w:val="003C390E"/>
    <w:rsid w:val="003C396E"/>
    <w:rsid w:val="003C3BD8"/>
    <w:rsid w:val="003C3CD9"/>
    <w:rsid w:val="003C3FBB"/>
    <w:rsid w:val="003C402B"/>
    <w:rsid w:val="003C4447"/>
    <w:rsid w:val="003C449D"/>
    <w:rsid w:val="003C4AC3"/>
    <w:rsid w:val="003C4B81"/>
    <w:rsid w:val="003C4C83"/>
    <w:rsid w:val="003C4CB8"/>
    <w:rsid w:val="003C4EA5"/>
    <w:rsid w:val="003C537C"/>
    <w:rsid w:val="003C586D"/>
    <w:rsid w:val="003C5919"/>
    <w:rsid w:val="003C62B6"/>
    <w:rsid w:val="003C68B2"/>
    <w:rsid w:val="003C68D6"/>
    <w:rsid w:val="003C6903"/>
    <w:rsid w:val="003C6A09"/>
    <w:rsid w:val="003C6A95"/>
    <w:rsid w:val="003C6B54"/>
    <w:rsid w:val="003C6BC9"/>
    <w:rsid w:val="003C6F4E"/>
    <w:rsid w:val="003C7292"/>
    <w:rsid w:val="003C7334"/>
    <w:rsid w:val="003C7554"/>
    <w:rsid w:val="003C76E8"/>
    <w:rsid w:val="003C7A8F"/>
    <w:rsid w:val="003C7A95"/>
    <w:rsid w:val="003C7AB2"/>
    <w:rsid w:val="003C7C07"/>
    <w:rsid w:val="003D0271"/>
    <w:rsid w:val="003D08D6"/>
    <w:rsid w:val="003D0BB0"/>
    <w:rsid w:val="003D109A"/>
    <w:rsid w:val="003D1317"/>
    <w:rsid w:val="003D18F1"/>
    <w:rsid w:val="003D1919"/>
    <w:rsid w:val="003D1B1A"/>
    <w:rsid w:val="003D1B80"/>
    <w:rsid w:val="003D1E53"/>
    <w:rsid w:val="003D1E66"/>
    <w:rsid w:val="003D1FD2"/>
    <w:rsid w:val="003D208B"/>
    <w:rsid w:val="003D2391"/>
    <w:rsid w:val="003D27AF"/>
    <w:rsid w:val="003D27D3"/>
    <w:rsid w:val="003D2BD3"/>
    <w:rsid w:val="003D2CF0"/>
    <w:rsid w:val="003D2ED6"/>
    <w:rsid w:val="003D312F"/>
    <w:rsid w:val="003D31A5"/>
    <w:rsid w:val="003D322E"/>
    <w:rsid w:val="003D3320"/>
    <w:rsid w:val="003D359F"/>
    <w:rsid w:val="003D386F"/>
    <w:rsid w:val="003D38B2"/>
    <w:rsid w:val="003D3AD3"/>
    <w:rsid w:val="003D3DBC"/>
    <w:rsid w:val="003D3DCB"/>
    <w:rsid w:val="003D4177"/>
    <w:rsid w:val="003D417C"/>
    <w:rsid w:val="003D4270"/>
    <w:rsid w:val="003D4335"/>
    <w:rsid w:val="003D449A"/>
    <w:rsid w:val="003D4768"/>
    <w:rsid w:val="003D4A78"/>
    <w:rsid w:val="003D4BEA"/>
    <w:rsid w:val="003D4E9F"/>
    <w:rsid w:val="003D5116"/>
    <w:rsid w:val="003D5A11"/>
    <w:rsid w:val="003D5B6E"/>
    <w:rsid w:val="003D5BA1"/>
    <w:rsid w:val="003D5DDA"/>
    <w:rsid w:val="003D5DF9"/>
    <w:rsid w:val="003D5E38"/>
    <w:rsid w:val="003D5F12"/>
    <w:rsid w:val="003D60AC"/>
    <w:rsid w:val="003D6145"/>
    <w:rsid w:val="003D674C"/>
    <w:rsid w:val="003D675C"/>
    <w:rsid w:val="003D69EC"/>
    <w:rsid w:val="003D6C5A"/>
    <w:rsid w:val="003D6D96"/>
    <w:rsid w:val="003D701B"/>
    <w:rsid w:val="003D7B73"/>
    <w:rsid w:val="003D7BDA"/>
    <w:rsid w:val="003D7D44"/>
    <w:rsid w:val="003E00D6"/>
    <w:rsid w:val="003E0439"/>
    <w:rsid w:val="003E047F"/>
    <w:rsid w:val="003E0508"/>
    <w:rsid w:val="003E06D6"/>
    <w:rsid w:val="003E0701"/>
    <w:rsid w:val="003E0913"/>
    <w:rsid w:val="003E0987"/>
    <w:rsid w:val="003E0B38"/>
    <w:rsid w:val="003E0B5D"/>
    <w:rsid w:val="003E0DE2"/>
    <w:rsid w:val="003E117E"/>
    <w:rsid w:val="003E1327"/>
    <w:rsid w:val="003E13BF"/>
    <w:rsid w:val="003E13F9"/>
    <w:rsid w:val="003E1517"/>
    <w:rsid w:val="003E1947"/>
    <w:rsid w:val="003E1A56"/>
    <w:rsid w:val="003E1B4C"/>
    <w:rsid w:val="003E1CB7"/>
    <w:rsid w:val="003E1EAF"/>
    <w:rsid w:val="003E215D"/>
    <w:rsid w:val="003E2269"/>
    <w:rsid w:val="003E2398"/>
    <w:rsid w:val="003E242C"/>
    <w:rsid w:val="003E2556"/>
    <w:rsid w:val="003E260A"/>
    <w:rsid w:val="003E2654"/>
    <w:rsid w:val="003E2842"/>
    <w:rsid w:val="003E28D4"/>
    <w:rsid w:val="003E2A2B"/>
    <w:rsid w:val="003E2CAD"/>
    <w:rsid w:val="003E3570"/>
    <w:rsid w:val="003E35A9"/>
    <w:rsid w:val="003E3961"/>
    <w:rsid w:val="003E3A45"/>
    <w:rsid w:val="003E3B22"/>
    <w:rsid w:val="003E3B3D"/>
    <w:rsid w:val="003E3B6A"/>
    <w:rsid w:val="003E41E4"/>
    <w:rsid w:val="003E423D"/>
    <w:rsid w:val="003E45ED"/>
    <w:rsid w:val="003E471D"/>
    <w:rsid w:val="003E4B00"/>
    <w:rsid w:val="003E4E14"/>
    <w:rsid w:val="003E50EF"/>
    <w:rsid w:val="003E51F8"/>
    <w:rsid w:val="003E54CF"/>
    <w:rsid w:val="003E5599"/>
    <w:rsid w:val="003E5A7C"/>
    <w:rsid w:val="003E5A8D"/>
    <w:rsid w:val="003E5BC0"/>
    <w:rsid w:val="003E5DA0"/>
    <w:rsid w:val="003E5DBA"/>
    <w:rsid w:val="003E5F40"/>
    <w:rsid w:val="003E66BA"/>
    <w:rsid w:val="003E6777"/>
    <w:rsid w:val="003E68E9"/>
    <w:rsid w:val="003E6987"/>
    <w:rsid w:val="003E72C3"/>
    <w:rsid w:val="003E7322"/>
    <w:rsid w:val="003E7632"/>
    <w:rsid w:val="003E78CC"/>
    <w:rsid w:val="003E78FB"/>
    <w:rsid w:val="003E7A16"/>
    <w:rsid w:val="003E7C5F"/>
    <w:rsid w:val="003E7E18"/>
    <w:rsid w:val="003E7ED8"/>
    <w:rsid w:val="003F000C"/>
    <w:rsid w:val="003F091E"/>
    <w:rsid w:val="003F0CBE"/>
    <w:rsid w:val="003F13FE"/>
    <w:rsid w:val="003F1A2E"/>
    <w:rsid w:val="003F1B11"/>
    <w:rsid w:val="003F2146"/>
    <w:rsid w:val="003F2718"/>
    <w:rsid w:val="003F281B"/>
    <w:rsid w:val="003F287F"/>
    <w:rsid w:val="003F2B86"/>
    <w:rsid w:val="003F30D3"/>
    <w:rsid w:val="003F32C5"/>
    <w:rsid w:val="003F36A8"/>
    <w:rsid w:val="003F3D19"/>
    <w:rsid w:val="003F4197"/>
    <w:rsid w:val="003F49A2"/>
    <w:rsid w:val="003F4B96"/>
    <w:rsid w:val="003F4E56"/>
    <w:rsid w:val="003F53B4"/>
    <w:rsid w:val="003F5BF0"/>
    <w:rsid w:val="003F60B6"/>
    <w:rsid w:val="003F62BB"/>
    <w:rsid w:val="003F63C8"/>
    <w:rsid w:val="003F64CD"/>
    <w:rsid w:val="003F6515"/>
    <w:rsid w:val="003F65DC"/>
    <w:rsid w:val="003F6662"/>
    <w:rsid w:val="003F68B3"/>
    <w:rsid w:val="003F6B71"/>
    <w:rsid w:val="003F6D67"/>
    <w:rsid w:val="003F6D8B"/>
    <w:rsid w:val="003F6F0A"/>
    <w:rsid w:val="003F7004"/>
    <w:rsid w:val="003F724E"/>
    <w:rsid w:val="003F76FC"/>
    <w:rsid w:val="003F7965"/>
    <w:rsid w:val="003F7DBE"/>
    <w:rsid w:val="0040006C"/>
    <w:rsid w:val="004006C8"/>
    <w:rsid w:val="00400B77"/>
    <w:rsid w:val="00400DAF"/>
    <w:rsid w:val="00401357"/>
    <w:rsid w:val="00401461"/>
    <w:rsid w:val="0040157E"/>
    <w:rsid w:val="00401890"/>
    <w:rsid w:val="00401C00"/>
    <w:rsid w:val="00401D3A"/>
    <w:rsid w:val="00401FB2"/>
    <w:rsid w:val="004022CC"/>
    <w:rsid w:val="004025D6"/>
    <w:rsid w:val="0040296F"/>
    <w:rsid w:val="00402CE2"/>
    <w:rsid w:val="0040300D"/>
    <w:rsid w:val="00403464"/>
    <w:rsid w:val="00403519"/>
    <w:rsid w:val="0040369D"/>
    <w:rsid w:val="004038E4"/>
    <w:rsid w:val="00403B8D"/>
    <w:rsid w:val="00403DBC"/>
    <w:rsid w:val="00404105"/>
    <w:rsid w:val="00404406"/>
    <w:rsid w:val="0040442C"/>
    <w:rsid w:val="004049E7"/>
    <w:rsid w:val="00405054"/>
    <w:rsid w:val="00405130"/>
    <w:rsid w:val="00405181"/>
    <w:rsid w:val="0040530C"/>
    <w:rsid w:val="00405397"/>
    <w:rsid w:val="004056FA"/>
    <w:rsid w:val="00405BC2"/>
    <w:rsid w:val="00405DAB"/>
    <w:rsid w:val="004060B4"/>
    <w:rsid w:val="00406F1B"/>
    <w:rsid w:val="00407067"/>
    <w:rsid w:val="00407380"/>
    <w:rsid w:val="0040755A"/>
    <w:rsid w:val="00407647"/>
    <w:rsid w:val="004078DB"/>
    <w:rsid w:val="00407A5E"/>
    <w:rsid w:val="00407DEE"/>
    <w:rsid w:val="00410125"/>
    <w:rsid w:val="00410421"/>
    <w:rsid w:val="0041050E"/>
    <w:rsid w:val="00410701"/>
    <w:rsid w:val="00410787"/>
    <w:rsid w:val="00410808"/>
    <w:rsid w:val="004108E1"/>
    <w:rsid w:val="00410F16"/>
    <w:rsid w:val="004110F7"/>
    <w:rsid w:val="004110FB"/>
    <w:rsid w:val="00411528"/>
    <w:rsid w:val="00411783"/>
    <w:rsid w:val="0041185B"/>
    <w:rsid w:val="00411BFD"/>
    <w:rsid w:val="00411DA3"/>
    <w:rsid w:val="00411E4E"/>
    <w:rsid w:val="00411EC2"/>
    <w:rsid w:val="004127BB"/>
    <w:rsid w:val="00412B68"/>
    <w:rsid w:val="00413232"/>
    <w:rsid w:val="0041328C"/>
    <w:rsid w:val="004134D3"/>
    <w:rsid w:val="00413759"/>
    <w:rsid w:val="004137DE"/>
    <w:rsid w:val="004137EB"/>
    <w:rsid w:val="00413823"/>
    <w:rsid w:val="00413D0A"/>
    <w:rsid w:val="00414205"/>
    <w:rsid w:val="004145DC"/>
    <w:rsid w:val="0041473E"/>
    <w:rsid w:val="004147F3"/>
    <w:rsid w:val="00414856"/>
    <w:rsid w:val="00414F08"/>
    <w:rsid w:val="00414F2A"/>
    <w:rsid w:val="00415045"/>
    <w:rsid w:val="004153A2"/>
    <w:rsid w:val="004153CF"/>
    <w:rsid w:val="004158CB"/>
    <w:rsid w:val="00415C02"/>
    <w:rsid w:val="00415D2C"/>
    <w:rsid w:val="00415D65"/>
    <w:rsid w:val="00415FCB"/>
    <w:rsid w:val="004160DA"/>
    <w:rsid w:val="004162B1"/>
    <w:rsid w:val="004164F3"/>
    <w:rsid w:val="00416ACC"/>
    <w:rsid w:val="0041702F"/>
    <w:rsid w:val="0041709C"/>
    <w:rsid w:val="00417749"/>
    <w:rsid w:val="00417753"/>
    <w:rsid w:val="0041797E"/>
    <w:rsid w:val="004179EE"/>
    <w:rsid w:val="00417B4C"/>
    <w:rsid w:val="00417E55"/>
    <w:rsid w:val="0042020A"/>
    <w:rsid w:val="0042086D"/>
    <w:rsid w:val="004211B6"/>
    <w:rsid w:val="004212DD"/>
    <w:rsid w:val="004214C2"/>
    <w:rsid w:val="00421D82"/>
    <w:rsid w:val="00421ECF"/>
    <w:rsid w:val="004221F5"/>
    <w:rsid w:val="00422266"/>
    <w:rsid w:val="00422D0E"/>
    <w:rsid w:val="00422EC9"/>
    <w:rsid w:val="00422F33"/>
    <w:rsid w:val="004232B0"/>
    <w:rsid w:val="00423428"/>
    <w:rsid w:val="004234D3"/>
    <w:rsid w:val="004236C1"/>
    <w:rsid w:val="00423814"/>
    <w:rsid w:val="0042385A"/>
    <w:rsid w:val="00423C43"/>
    <w:rsid w:val="00423E9B"/>
    <w:rsid w:val="0042420F"/>
    <w:rsid w:val="004242A2"/>
    <w:rsid w:val="00424379"/>
    <w:rsid w:val="004244B6"/>
    <w:rsid w:val="004244E9"/>
    <w:rsid w:val="00424846"/>
    <w:rsid w:val="00424BA7"/>
    <w:rsid w:val="00424BB3"/>
    <w:rsid w:val="00424FBB"/>
    <w:rsid w:val="00425127"/>
    <w:rsid w:val="00425514"/>
    <w:rsid w:val="0042578F"/>
    <w:rsid w:val="00425FD4"/>
    <w:rsid w:val="004262BE"/>
    <w:rsid w:val="0042648D"/>
    <w:rsid w:val="00426511"/>
    <w:rsid w:val="00426849"/>
    <w:rsid w:val="004269A3"/>
    <w:rsid w:val="00426DF4"/>
    <w:rsid w:val="00426E1C"/>
    <w:rsid w:val="00426E38"/>
    <w:rsid w:val="00426ED7"/>
    <w:rsid w:val="00427396"/>
    <w:rsid w:val="0042760F"/>
    <w:rsid w:val="0042783C"/>
    <w:rsid w:val="004279D6"/>
    <w:rsid w:val="00427AC0"/>
    <w:rsid w:val="00427E47"/>
    <w:rsid w:val="00430018"/>
    <w:rsid w:val="00430348"/>
    <w:rsid w:val="00430DD9"/>
    <w:rsid w:val="00431125"/>
    <w:rsid w:val="004316D9"/>
    <w:rsid w:val="00431835"/>
    <w:rsid w:val="0043198F"/>
    <w:rsid w:val="004319EC"/>
    <w:rsid w:val="00431EBB"/>
    <w:rsid w:val="00432A5C"/>
    <w:rsid w:val="00432ABE"/>
    <w:rsid w:val="00432BE4"/>
    <w:rsid w:val="00432C05"/>
    <w:rsid w:val="00432FDD"/>
    <w:rsid w:val="00433438"/>
    <w:rsid w:val="004334AC"/>
    <w:rsid w:val="00433669"/>
    <w:rsid w:val="004336E5"/>
    <w:rsid w:val="00433B17"/>
    <w:rsid w:val="00433FC1"/>
    <w:rsid w:val="00434296"/>
    <w:rsid w:val="004343CC"/>
    <w:rsid w:val="004343F3"/>
    <w:rsid w:val="00434E2B"/>
    <w:rsid w:val="00434ED6"/>
    <w:rsid w:val="004351CD"/>
    <w:rsid w:val="00435204"/>
    <w:rsid w:val="00435320"/>
    <w:rsid w:val="004359AD"/>
    <w:rsid w:val="00435CBF"/>
    <w:rsid w:val="00436365"/>
    <w:rsid w:val="004366A0"/>
    <w:rsid w:val="00436BA6"/>
    <w:rsid w:val="00436E8A"/>
    <w:rsid w:val="00436ED8"/>
    <w:rsid w:val="00436FD3"/>
    <w:rsid w:val="004372A9"/>
    <w:rsid w:val="00437379"/>
    <w:rsid w:val="00437474"/>
    <w:rsid w:val="00437B2A"/>
    <w:rsid w:val="00437B94"/>
    <w:rsid w:val="00437DE6"/>
    <w:rsid w:val="00437DE9"/>
    <w:rsid w:val="00437FAF"/>
    <w:rsid w:val="00440188"/>
    <w:rsid w:val="00440590"/>
    <w:rsid w:val="004410DC"/>
    <w:rsid w:val="0044112E"/>
    <w:rsid w:val="0044121D"/>
    <w:rsid w:val="004413D2"/>
    <w:rsid w:val="00441795"/>
    <w:rsid w:val="00441C9E"/>
    <w:rsid w:val="00442010"/>
    <w:rsid w:val="0044207F"/>
    <w:rsid w:val="00442108"/>
    <w:rsid w:val="0044269B"/>
    <w:rsid w:val="0044284C"/>
    <w:rsid w:val="00442978"/>
    <w:rsid w:val="00442C23"/>
    <w:rsid w:val="00443374"/>
    <w:rsid w:val="004433A8"/>
    <w:rsid w:val="004436C6"/>
    <w:rsid w:val="00443855"/>
    <w:rsid w:val="00443B17"/>
    <w:rsid w:val="00444433"/>
    <w:rsid w:val="00444BD0"/>
    <w:rsid w:val="00444D28"/>
    <w:rsid w:val="00444E2D"/>
    <w:rsid w:val="004452C1"/>
    <w:rsid w:val="0044535B"/>
    <w:rsid w:val="004457BB"/>
    <w:rsid w:val="00445867"/>
    <w:rsid w:val="00445DBF"/>
    <w:rsid w:val="00446094"/>
    <w:rsid w:val="00446467"/>
    <w:rsid w:val="0044656F"/>
    <w:rsid w:val="0044657C"/>
    <w:rsid w:val="0044717E"/>
    <w:rsid w:val="004472AA"/>
    <w:rsid w:val="004472EE"/>
    <w:rsid w:val="004475B9"/>
    <w:rsid w:val="00447927"/>
    <w:rsid w:val="00447A3C"/>
    <w:rsid w:val="00447F2E"/>
    <w:rsid w:val="004501E3"/>
    <w:rsid w:val="00450249"/>
    <w:rsid w:val="0045038E"/>
    <w:rsid w:val="0045066B"/>
    <w:rsid w:val="0045072F"/>
    <w:rsid w:val="004507C1"/>
    <w:rsid w:val="00450CF7"/>
    <w:rsid w:val="00450CF9"/>
    <w:rsid w:val="00450D15"/>
    <w:rsid w:val="00450E07"/>
    <w:rsid w:val="00451368"/>
    <w:rsid w:val="00451601"/>
    <w:rsid w:val="00451AEE"/>
    <w:rsid w:val="00451B72"/>
    <w:rsid w:val="00452126"/>
    <w:rsid w:val="00452159"/>
    <w:rsid w:val="0045246E"/>
    <w:rsid w:val="004524AA"/>
    <w:rsid w:val="00452734"/>
    <w:rsid w:val="004527BC"/>
    <w:rsid w:val="00452A20"/>
    <w:rsid w:val="00452A2E"/>
    <w:rsid w:val="00452BD3"/>
    <w:rsid w:val="00452F54"/>
    <w:rsid w:val="00453296"/>
    <w:rsid w:val="0045354F"/>
    <w:rsid w:val="004537F7"/>
    <w:rsid w:val="00453A94"/>
    <w:rsid w:val="004540B2"/>
    <w:rsid w:val="00454185"/>
    <w:rsid w:val="004543A3"/>
    <w:rsid w:val="00454880"/>
    <w:rsid w:val="00454B79"/>
    <w:rsid w:val="0045519D"/>
    <w:rsid w:val="0045527F"/>
    <w:rsid w:val="004552DA"/>
    <w:rsid w:val="00455328"/>
    <w:rsid w:val="00455BCE"/>
    <w:rsid w:val="00455BDC"/>
    <w:rsid w:val="00455D9D"/>
    <w:rsid w:val="00456014"/>
    <w:rsid w:val="00456123"/>
    <w:rsid w:val="004561CC"/>
    <w:rsid w:val="004565CB"/>
    <w:rsid w:val="0045666E"/>
    <w:rsid w:val="00456F46"/>
    <w:rsid w:val="00456FDA"/>
    <w:rsid w:val="00457C54"/>
    <w:rsid w:val="00460114"/>
    <w:rsid w:val="0046036A"/>
    <w:rsid w:val="0046075F"/>
    <w:rsid w:val="00460A2B"/>
    <w:rsid w:val="00460CD4"/>
    <w:rsid w:val="00460DEE"/>
    <w:rsid w:val="00461053"/>
    <w:rsid w:val="00461075"/>
    <w:rsid w:val="00461420"/>
    <w:rsid w:val="00461765"/>
    <w:rsid w:val="00461D81"/>
    <w:rsid w:val="00461E6D"/>
    <w:rsid w:val="0046270F"/>
    <w:rsid w:val="00462EA3"/>
    <w:rsid w:val="00462F9F"/>
    <w:rsid w:val="004630A4"/>
    <w:rsid w:val="00463116"/>
    <w:rsid w:val="0046313C"/>
    <w:rsid w:val="00463167"/>
    <w:rsid w:val="00463183"/>
    <w:rsid w:val="0046335A"/>
    <w:rsid w:val="0046364D"/>
    <w:rsid w:val="00463811"/>
    <w:rsid w:val="00463C3C"/>
    <w:rsid w:val="00464078"/>
    <w:rsid w:val="004649FD"/>
    <w:rsid w:val="00464CC1"/>
    <w:rsid w:val="00464D55"/>
    <w:rsid w:val="00464D95"/>
    <w:rsid w:val="00464F5D"/>
    <w:rsid w:val="0046507F"/>
    <w:rsid w:val="0046508D"/>
    <w:rsid w:val="0046520D"/>
    <w:rsid w:val="004655DF"/>
    <w:rsid w:val="00465760"/>
    <w:rsid w:val="004658BE"/>
    <w:rsid w:val="00465AE3"/>
    <w:rsid w:val="00465CFF"/>
    <w:rsid w:val="00466085"/>
    <w:rsid w:val="004660D1"/>
    <w:rsid w:val="00466948"/>
    <w:rsid w:val="00466956"/>
    <w:rsid w:val="0046717D"/>
    <w:rsid w:val="004671C8"/>
    <w:rsid w:val="00467406"/>
    <w:rsid w:val="00467824"/>
    <w:rsid w:val="004679C4"/>
    <w:rsid w:val="00470198"/>
    <w:rsid w:val="004703B6"/>
    <w:rsid w:val="004703EE"/>
    <w:rsid w:val="004707B1"/>
    <w:rsid w:val="004709BE"/>
    <w:rsid w:val="00470BEF"/>
    <w:rsid w:val="004710A1"/>
    <w:rsid w:val="0047194F"/>
    <w:rsid w:val="00471B36"/>
    <w:rsid w:val="00471BF7"/>
    <w:rsid w:val="0047211F"/>
    <w:rsid w:val="004724B3"/>
    <w:rsid w:val="004728A8"/>
    <w:rsid w:val="00472C87"/>
    <w:rsid w:val="004733E0"/>
    <w:rsid w:val="00473515"/>
    <w:rsid w:val="00473990"/>
    <w:rsid w:val="00473A6C"/>
    <w:rsid w:val="00473BA3"/>
    <w:rsid w:val="00473C69"/>
    <w:rsid w:val="004741A6"/>
    <w:rsid w:val="00474489"/>
    <w:rsid w:val="00474608"/>
    <w:rsid w:val="00474C8F"/>
    <w:rsid w:val="00474CDE"/>
    <w:rsid w:val="004754B6"/>
    <w:rsid w:val="004754FE"/>
    <w:rsid w:val="00475962"/>
    <w:rsid w:val="00475EE6"/>
    <w:rsid w:val="00476246"/>
    <w:rsid w:val="00476774"/>
    <w:rsid w:val="004767DD"/>
    <w:rsid w:val="00476B44"/>
    <w:rsid w:val="00476CF7"/>
    <w:rsid w:val="004770A9"/>
    <w:rsid w:val="00477609"/>
    <w:rsid w:val="00477958"/>
    <w:rsid w:val="00477969"/>
    <w:rsid w:val="00477AB5"/>
    <w:rsid w:val="00477B1A"/>
    <w:rsid w:val="00477CE7"/>
    <w:rsid w:val="00477FD9"/>
    <w:rsid w:val="00480186"/>
    <w:rsid w:val="004803F4"/>
    <w:rsid w:val="004806D4"/>
    <w:rsid w:val="004807DC"/>
    <w:rsid w:val="0048088E"/>
    <w:rsid w:val="00480A65"/>
    <w:rsid w:val="00480AED"/>
    <w:rsid w:val="00480F04"/>
    <w:rsid w:val="00480F82"/>
    <w:rsid w:val="00480FBA"/>
    <w:rsid w:val="0048147B"/>
    <w:rsid w:val="004815B5"/>
    <w:rsid w:val="004816C9"/>
    <w:rsid w:val="00481911"/>
    <w:rsid w:val="00481E93"/>
    <w:rsid w:val="00482021"/>
    <w:rsid w:val="00482271"/>
    <w:rsid w:val="004822EC"/>
    <w:rsid w:val="00482416"/>
    <w:rsid w:val="0048276C"/>
    <w:rsid w:val="00482E2D"/>
    <w:rsid w:val="00482E7D"/>
    <w:rsid w:val="00482FC1"/>
    <w:rsid w:val="00483014"/>
    <w:rsid w:val="00483424"/>
    <w:rsid w:val="0048351D"/>
    <w:rsid w:val="00483E52"/>
    <w:rsid w:val="00484092"/>
    <w:rsid w:val="0048420C"/>
    <w:rsid w:val="004844BC"/>
    <w:rsid w:val="0048459C"/>
    <w:rsid w:val="004848C4"/>
    <w:rsid w:val="00484A07"/>
    <w:rsid w:val="00484BC7"/>
    <w:rsid w:val="00484C1F"/>
    <w:rsid w:val="00484C73"/>
    <w:rsid w:val="00484C93"/>
    <w:rsid w:val="004851A9"/>
    <w:rsid w:val="00485271"/>
    <w:rsid w:val="0048563C"/>
    <w:rsid w:val="00485999"/>
    <w:rsid w:val="00485B5A"/>
    <w:rsid w:val="00485C6D"/>
    <w:rsid w:val="00485DA5"/>
    <w:rsid w:val="00485E2E"/>
    <w:rsid w:val="00485E9C"/>
    <w:rsid w:val="00485F09"/>
    <w:rsid w:val="0048616A"/>
    <w:rsid w:val="00486392"/>
    <w:rsid w:val="004867F7"/>
    <w:rsid w:val="00486969"/>
    <w:rsid w:val="00486CFE"/>
    <w:rsid w:val="00487098"/>
    <w:rsid w:val="00487216"/>
    <w:rsid w:val="0048732F"/>
    <w:rsid w:val="004873E4"/>
    <w:rsid w:val="00487A0E"/>
    <w:rsid w:val="00487AD8"/>
    <w:rsid w:val="00487C59"/>
    <w:rsid w:val="0049002E"/>
    <w:rsid w:val="0049027A"/>
    <w:rsid w:val="00490493"/>
    <w:rsid w:val="00490586"/>
    <w:rsid w:val="004910D3"/>
    <w:rsid w:val="004910E6"/>
    <w:rsid w:val="00491156"/>
    <w:rsid w:val="004911CF"/>
    <w:rsid w:val="004912DB"/>
    <w:rsid w:val="004915CF"/>
    <w:rsid w:val="0049176D"/>
    <w:rsid w:val="00491B50"/>
    <w:rsid w:val="00491B57"/>
    <w:rsid w:val="00491DA4"/>
    <w:rsid w:val="0049243D"/>
    <w:rsid w:val="004924DA"/>
    <w:rsid w:val="00492CED"/>
    <w:rsid w:val="00493337"/>
    <w:rsid w:val="00493A9B"/>
    <w:rsid w:val="00493B35"/>
    <w:rsid w:val="00493B3C"/>
    <w:rsid w:val="00493D97"/>
    <w:rsid w:val="00493F7C"/>
    <w:rsid w:val="004943D7"/>
    <w:rsid w:val="0049448F"/>
    <w:rsid w:val="00494862"/>
    <w:rsid w:val="00494DFC"/>
    <w:rsid w:val="00494F44"/>
    <w:rsid w:val="00494FF0"/>
    <w:rsid w:val="0049526D"/>
    <w:rsid w:val="0049537B"/>
    <w:rsid w:val="0049568A"/>
    <w:rsid w:val="004956C9"/>
    <w:rsid w:val="00495A9C"/>
    <w:rsid w:val="00496874"/>
    <w:rsid w:val="00496CE4"/>
    <w:rsid w:val="0049708B"/>
    <w:rsid w:val="004970B7"/>
    <w:rsid w:val="00497126"/>
    <w:rsid w:val="00497287"/>
    <w:rsid w:val="004974B5"/>
    <w:rsid w:val="004974F8"/>
    <w:rsid w:val="004975A2"/>
    <w:rsid w:val="004977FF"/>
    <w:rsid w:val="00497A0E"/>
    <w:rsid w:val="00497BD3"/>
    <w:rsid w:val="00497CCE"/>
    <w:rsid w:val="00497CDD"/>
    <w:rsid w:val="00497E55"/>
    <w:rsid w:val="004A0393"/>
    <w:rsid w:val="004A074F"/>
    <w:rsid w:val="004A07BA"/>
    <w:rsid w:val="004A0AFC"/>
    <w:rsid w:val="004A0C4C"/>
    <w:rsid w:val="004A1130"/>
    <w:rsid w:val="004A11CF"/>
    <w:rsid w:val="004A146D"/>
    <w:rsid w:val="004A15A3"/>
    <w:rsid w:val="004A18B5"/>
    <w:rsid w:val="004A18E7"/>
    <w:rsid w:val="004A2454"/>
    <w:rsid w:val="004A248C"/>
    <w:rsid w:val="004A2571"/>
    <w:rsid w:val="004A25DE"/>
    <w:rsid w:val="004A2D2F"/>
    <w:rsid w:val="004A2E74"/>
    <w:rsid w:val="004A2F25"/>
    <w:rsid w:val="004A2FE7"/>
    <w:rsid w:val="004A3115"/>
    <w:rsid w:val="004A32B2"/>
    <w:rsid w:val="004A346E"/>
    <w:rsid w:val="004A35C6"/>
    <w:rsid w:val="004A3620"/>
    <w:rsid w:val="004A3641"/>
    <w:rsid w:val="004A3E8E"/>
    <w:rsid w:val="004A3FD1"/>
    <w:rsid w:val="004A4310"/>
    <w:rsid w:val="004A43F5"/>
    <w:rsid w:val="004A47A9"/>
    <w:rsid w:val="004A4988"/>
    <w:rsid w:val="004A4E11"/>
    <w:rsid w:val="004A4E67"/>
    <w:rsid w:val="004A567B"/>
    <w:rsid w:val="004A581D"/>
    <w:rsid w:val="004A5B9C"/>
    <w:rsid w:val="004A5BBD"/>
    <w:rsid w:val="004A5BDA"/>
    <w:rsid w:val="004A5D60"/>
    <w:rsid w:val="004A62B3"/>
    <w:rsid w:val="004A62C5"/>
    <w:rsid w:val="004A6B60"/>
    <w:rsid w:val="004A6C84"/>
    <w:rsid w:val="004A7015"/>
    <w:rsid w:val="004A7099"/>
    <w:rsid w:val="004A7104"/>
    <w:rsid w:val="004A71AA"/>
    <w:rsid w:val="004A7536"/>
    <w:rsid w:val="004A7582"/>
    <w:rsid w:val="004A7A3E"/>
    <w:rsid w:val="004A7D6A"/>
    <w:rsid w:val="004B00F2"/>
    <w:rsid w:val="004B03D4"/>
    <w:rsid w:val="004B07C9"/>
    <w:rsid w:val="004B07F5"/>
    <w:rsid w:val="004B09B7"/>
    <w:rsid w:val="004B1346"/>
    <w:rsid w:val="004B134B"/>
    <w:rsid w:val="004B13AE"/>
    <w:rsid w:val="004B143D"/>
    <w:rsid w:val="004B1441"/>
    <w:rsid w:val="004B16F5"/>
    <w:rsid w:val="004B1C41"/>
    <w:rsid w:val="004B1FBD"/>
    <w:rsid w:val="004B2265"/>
    <w:rsid w:val="004B28E6"/>
    <w:rsid w:val="004B2C3A"/>
    <w:rsid w:val="004B2C64"/>
    <w:rsid w:val="004B2DF2"/>
    <w:rsid w:val="004B335E"/>
    <w:rsid w:val="004B3372"/>
    <w:rsid w:val="004B35A6"/>
    <w:rsid w:val="004B3600"/>
    <w:rsid w:val="004B375F"/>
    <w:rsid w:val="004B398D"/>
    <w:rsid w:val="004B3CDA"/>
    <w:rsid w:val="004B3E9D"/>
    <w:rsid w:val="004B4379"/>
    <w:rsid w:val="004B492C"/>
    <w:rsid w:val="004B4DF8"/>
    <w:rsid w:val="004B4F6A"/>
    <w:rsid w:val="004B529A"/>
    <w:rsid w:val="004B541A"/>
    <w:rsid w:val="004B56C8"/>
    <w:rsid w:val="004B597C"/>
    <w:rsid w:val="004B5B9E"/>
    <w:rsid w:val="004B5CCB"/>
    <w:rsid w:val="004B630D"/>
    <w:rsid w:val="004B6369"/>
    <w:rsid w:val="004B63C6"/>
    <w:rsid w:val="004B63E7"/>
    <w:rsid w:val="004B6804"/>
    <w:rsid w:val="004B6F36"/>
    <w:rsid w:val="004B70F3"/>
    <w:rsid w:val="004B72CA"/>
    <w:rsid w:val="004B76EC"/>
    <w:rsid w:val="004B7772"/>
    <w:rsid w:val="004B7CCE"/>
    <w:rsid w:val="004C0125"/>
    <w:rsid w:val="004C0130"/>
    <w:rsid w:val="004C0684"/>
    <w:rsid w:val="004C0BA2"/>
    <w:rsid w:val="004C0CE3"/>
    <w:rsid w:val="004C0D35"/>
    <w:rsid w:val="004C0F60"/>
    <w:rsid w:val="004C0F9F"/>
    <w:rsid w:val="004C0FA6"/>
    <w:rsid w:val="004C1134"/>
    <w:rsid w:val="004C1135"/>
    <w:rsid w:val="004C1166"/>
    <w:rsid w:val="004C12A5"/>
    <w:rsid w:val="004C133E"/>
    <w:rsid w:val="004C1519"/>
    <w:rsid w:val="004C152E"/>
    <w:rsid w:val="004C16EB"/>
    <w:rsid w:val="004C1849"/>
    <w:rsid w:val="004C186A"/>
    <w:rsid w:val="004C196D"/>
    <w:rsid w:val="004C19B6"/>
    <w:rsid w:val="004C19CD"/>
    <w:rsid w:val="004C1A36"/>
    <w:rsid w:val="004C1CC1"/>
    <w:rsid w:val="004C218D"/>
    <w:rsid w:val="004C23B8"/>
    <w:rsid w:val="004C25B5"/>
    <w:rsid w:val="004C2714"/>
    <w:rsid w:val="004C27CE"/>
    <w:rsid w:val="004C28EA"/>
    <w:rsid w:val="004C2F37"/>
    <w:rsid w:val="004C3565"/>
    <w:rsid w:val="004C36AF"/>
    <w:rsid w:val="004C45F8"/>
    <w:rsid w:val="004C47AB"/>
    <w:rsid w:val="004C4D9F"/>
    <w:rsid w:val="004C4F76"/>
    <w:rsid w:val="004C5238"/>
    <w:rsid w:val="004C53F8"/>
    <w:rsid w:val="004C542E"/>
    <w:rsid w:val="004C56BE"/>
    <w:rsid w:val="004C579E"/>
    <w:rsid w:val="004C591F"/>
    <w:rsid w:val="004C5953"/>
    <w:rsid w:val="004C5AAA"/>
    <w:rsid w:val="004C5B1E"/>
    <w:rsid w:val="004C5B83"/>
    <w:rsid w:val="004C5B89"/>
    <w:rsid w:val="004C61B4"/>
    <w:rsid w:val="004C62CF"/>
    <w:rsid w:val="004C62E6"/>
    <w:rsid w:val="004C6393"/>
    <w:rsid w:val="004C64D3"/>
    <w:rsid w:val="004C65C6"/>
    <w:rsid w:val="004C693C"/>
    <w:rsid w:val="004C69E8"/>
    <w:rsid w:val="004C6AE1"/>
    <w:rsid w:val="004C6D1A"/>
    <w:rsid w:val="004C6DAC"/>
    <w:rsid w:val="004C7137"/>
    <w:rsid w:val="004C7178"/>
    <w:rsid w:val="004C72FB"/>
    <w:rsid w:val="004C746F"/>
    <w:rsid w:val="004C74F6"/>
    <w:rsid w:val="004C754C"/>
    <w:rsid w:val="004C763E"/>
    <w:rsid w:val="004C7677"/>
    <w:rsid w:val="004C78F0"/>
    <w:rsid w:val="004C7BD9"/>
    <w:rsid w:val="004C7BF0"/>
    <w:rsid w:val="004C7D5B"/>
    <w:rsid w:val="004C7D6F"/>
    <w:rsid w:val="004D02F2"/>
    <w:rsid w:val="004D0CF8"/>
    <w:rsid w:val="004D104C"/>
    <w:rsid w:val="004D12FA"/>
    <w:rsid w:val="004D18B4"/>
    <w:rsid w:val="004D1D32"/>
    <w:rsid w:val="004D1FA8"/>
    <w:rsid w:val="004D23CE"/>
    <w:rsid w:val="004D2608"/>
    <w:rsid w:val="004D2828"/>
    <w:rsid w:val="004D293B"/>
    <w:rsid w:val="004D3090"/>
    <w:rsid w:val="004D3303"/>
    <w:rsid w:val="004D330E"/>
    <w:rsid w:val="004D340D"/>
    <w:rsid w:val="004D38C3"/>
    <w:rsid w:val="004D3C4E"/>
    <w:rsid w:val="004D3D54"/>
    <w:rsid w:val="004D4330"/>
    <w:rsid w:val="004D453D"/>
    <w:rsid w:val="004D4891"/>
    <w:rsid w:val="004D48C6"/>
    <w:rsid w:val="004D4BF1"/>
    <w:rsid w:val="004D4C54"/>
    <w:rsid w:val="004D5268"/>
    <w:rsid w:val="004D548E"/>
    <w:rsid w:val="004D5512"/>
    <w:rsid w:val="004D5BB4"/>
    <w:rsid w:val="004D5D4A"/>
    <w:rsid w:val="004D5F53"/>
    <w:rsid w:val="004D6013"/>
    <w:rsid w:val="004D61ED"/>
    <w:rsid w:val="004D63F8"/>
    <w:rsid w:val="004D655A"/>
    <w:rsid w:val="004D65DD"/>
    <w:rsid w:val="004D688D"/>
    <w:rsid w:val="004D6972"/>
    <w:rsid w:val="004D6AD1"/>
    <w:rsid w:val="004D6D6C"/>
    <w:rsid w:val="004D727E"/>
    <w:rsid w:val="004D72C6"/>
    <w:rsid w:val="004D7745"/>
    <w:rsid w:val="004D78D6"/>
    <w:rsid w:val="004D7D1C"/>
    <w:rsid w:val="004D7DD4"/>
    <w:rsid w:val="004D7F38"/>
    <w:rsid w:val="004E00CC"/>
    <w:rsid w:val="004E0324"/>
    <w:rsid w:val="004E085D"/>
    <w:rsid w:val="004E099A"/>
    <w:rsid w:val="004E1159"/>
    <w:rsid w:val="004E126D"/>
    <w:rsid w:val="004E167F"/>
    <w:rsid w:val="004E1879"/>
    <w:rsid w:val="004E1B68"/>
    <w:rsid w:val="004E24BD"/>
    <w:rsid w:val="004E26C7"/>
    <w:rsid w:val="004E27AF"/>
    <w:rsid w:val="004E2825"/>
    <w:rsid w:val="004E28A2"/>
    <w:rsid w:val="004E2909"/>
    <w:rsid w:val="004E2B1B"/>
    <w:rsid w:val="004E2C70"/>
    <w:rsid w:val="004E2EDE"/>
    <w:rsid w:val="004E3373"/>
    <w:rsid w:val="004E340E"/>
    <w:rsid w:val="004E3504"/>
    <w:rsid w:val="004E36B9"/>
    <w:rsid w:val="004E376D"/>
    <w:rsid w:val="004E4107"/>
    <w:rsid w:val="004E4384"/>
    <w:rsid w:val="004E43F3"/>
    <w:rsid w:val="004E45E8"/>
    <w:rsid w:val="004E4CD8"/>
    <w:rsid w:val="004E4E64"/>
    <w:rsid w:val="004E4F19"/>
    <w:rsid w:val="004E528C"/>
    <w:rsid w:val="004E5579"/>
    <w:rsid w:val="004E5A0D"/>
    <w:rsid w:val="004E5A18"/>
    <w:rsid w:val="004E5A54"/>
    <w:rsid w:val="004E5DDE"/>
    <w:rsid w:val="004E5E04"/>
    <w:rsid w:val="004E5EF9"/>
    <w:rsid w:val="004E61A3"/>
    <w:rsid w:val="004E640B"/>
    <w:rsid w:val="004E67DD"/>
    <w:rsid w:val="004E6D6A"/>
    <w:rsid w:val="004E7112"/>
    <w:rsid w:val="004E767F"/>
    <w:rsid w:val="004E768C"/>
    <w:rsid w:val="004E77AC"/>
    <w:rsid w:val="004E7866"/>
    <w:rsid w:val="004E7A57"/>
    <w:rsid w:val="004E7C4D"/>
    <w:rsid w:val="004E7F45"/>
    <w:rsid w:val="004E7F8E"/>
    <w:rsid w:val="004E7F92"/>
    <w:rsid w:val="004F0001"/>
    <w:rsid w:val="004F036C"/>
    <w:rsid w:val="004F040B"/>
    <w:rsid w:val="004F04D8"/>
    <w:rsid w:val="004F06FA"/>
    <w:rsid w:val="004F07BD"/>
    <w:rsid w:val="004F0912"/>
    <w:rsid w:val="004F0A3C"/>
    <w:rsid w:val="004F0B76"/>
    <w:rsid w:val="004F0B7C"/>
    <w:rsid w:val="004F0C00"/>
    <w:rsid w:val="004F0C65"/>
    <w:rsid w:val="004F0D30"/>
    <w:rsid w:val="004F12BB"/>
    <w:rsid w:val="004F14AF"/>
    <w:rsid w:val="004F1BE4"/>
    <w:rsid w:val="004F1D68"/>
    <w:rsid w:val="004F2259"/>
    <w:rsid w:val="004F23DC"/>
    <w:rsid w:val="004F25C2"/>
    <w:rsid w:val="004F260E"/>
    <w:rsid w:val="004F3267"/>
    <w:rsid w:val="004F34D4"/>
    <w:rsid w:val="004F3896"/>
    <w:rsid w:val="004F38F0"/>
    <w:rsid w:val="004F38F3"/>
    <w:rsid w:val="004F3968"/>
    <w:rsid w:val="004F3A32"/>
    <w:rsid w:val="004F3CC2"/>
    <w:rsid w:val="004F446A"/>
    <w:rsid w:val="004F456D"/>
    <w:rsid w:val="004F4919"/>
    <w:rsid w:val="004F4C0B"/>
    <w:rsid w:val="004F4C15"/>
    <w:rsid w:val="004F4F36"/>
    <w:rsid w:val="004F5507"/>
    <w:rsid w:val="004F5871"/>
    <w:rsid w:val="004F58CE"/>
    <w:rsid w:val="004F5B4B"/>
    <w:rsid w:val="004F5DC5"/>
    <w:rsid w:val="004F6048"/>
    <w:rsid w:val="004F61C2"/>
    <w:rsid w:val="004F64D5"/>
    <w:rsid w:val="004F6575"/>
    <w:rsid w:val="004F6ABC"/>
    <w:rsid w:val="004F6ADE"/>
    <w:rsid w:val="004F74E7"/>
    <w:rsid w:val="004F7554"/>
    <w:rsid w:val="004F799C"/>
    <w:rsid w:val="004F7E33"/>
    <w:rsid w:val="00500044"/>
    <w:rsid w:val="00500230"/>
    <w:rsid w:val="00500303"/>
    <w:rsid w:val="005006DF"/>
    <w:rsid w:val="0050095C"/>
    <w:rsid w:val="00500B6D"/>
    <w:rsid w:val="00500E9F"/>
    <w:rsid w:val="00501215"/>
    <w:rsid w:val="00501314"/>
    <w:rsid w:val="005016EF"/>
    <w:rsid w:val="00501F0D"/>
    <w:rsid w:val="005020C5"/>
    <w:rsid w:val="00502867"/>
    <w:rsid w:val="0050286B"/>
    <w:rsid w:val="0050348B"/>
    <w:rsid w:val="00503BA3"/>
    <w:rsid w:val="00503CEF"/>
    <w:rsid w:val="00503F05"/>
    <w:rsid w:val="00504E1C"/>
    <w:rsid w:val="005052F9"/>
    <w:rsid w:val="00505658"/>
    <w:rsid w:val="00505724"/>
    <w:rsid w:val="00505741"/>
    <w:rsid w:val="0050576A"/>
    <w:rsid w:val="00505A64"/>
    <w:rsid w:val="00505C73"/>
    <w:rsid w:val="00505E15"/>
    <w:rsid w:val="00505E82"/>
    <w:rsid w:val="00505F14"/>
    <w:rsid w:val="00506A3E"/>
    <w:rsid w:val="00506B19"/>
    <w:rsid w:val="00506D54"/>
    <w:rsid w:val="00507321"/>
    <w:rsid w:val="0050761D"/>
    <w:rsid w:val="005078C9"/>
    <w:rsid w:val="00507958"/>
    <w:rsid w:val="00507A9E"/>
    <w:rsid w:val="00507DE2"/>
    <w:rsid w:val="00507E74"/>
    <w:rsid w:val="00510111"/>
    <w:rsid w:val="0051039F"/>
    <w:rsid w:val="00510742"/>
    <w:rsid w:val="00510CC3"/>
    <w:rsid w:val="0051104F"/>
    <w:rsid w:val="005112DB"/>
    <w:rsid w:val="0051144B"/>
    <w:rsid w:val="00511FFF"/>
    <w:rsid w:val="0051205E"/>
    <w:rsid w:val="005120DB"/>
    <w:rsid w:val="005121A9"/>
    <w:rsid w:val="005122E8"/>
    <w:rsid w:val="00512348"/>
    <w:rsid w:val="00512C2F"/>
    <w:rsid w:val="00512D7A"/>
    <w:rsid w:val="00512D9B"/>
    <w:rsid w:val="005130A9"/>
    <w:rsid w:val="005132F5"/>
    <w:rsid w:val="0051342B"/>
    <w:rsid w:val="00513446"/>
    <w:rsid w:val="0051393E"/>
    <w:rsid w:val="00513B0D"/>
    <w:rsid w:val="00513C86"/>
    <w:rsid w:val="005146B0"/>
    <w:rsid w:val="005147BE"/>
    <w:rsid w:val="005148AB"/>
    <w:rsid w:val="005149C0"/>
    <w:rsid w:val="00514AFB"/>
    <w:rsid w:val="00514B73"/>
    <w:rsid w:val="00514CEA"/>
    <w:rsid w:val="00515090"/>
    <w:rsid w:val="00515C5D"/>
    <w:rsid w:val="00515C63"/>
    <w:rsid w:val="00515E09"/>
    <w:rsid w:val="005161A6"/>
    <w:rsid w:val="00516794"/>
    <w:rsid w:val="005168F3"/>
    <w:rsid w:val="005169EB"/>
    <w:rsid w:val="00517072"/>
    <w:rsid w:val="00517117"/>
    <w:rsid w:val="005174CA"/>
    <w:rsid w:val="0051774C"/>
    <w:rsid w:val="00517F24"/>
    <w:rsid w:val="00520223"/>
    <w:rsid w:val="005211F7"/>
    <w:rsid w:val="0052147C"/>
    <w:rsid w:val="0052195C"/>
    <w:rsid w:val="00521A9B"/>
    <w:rsid w:val="00521C51"/>
    <w:rsid w:val="00521D77"/>
    <w:rsid w:val="00521E85"/>
    <w:rsid w:val="00521F16"/>
    <w:rsid w:val="00521F75"/>
    <w:rsid w:val="0052213B"/>
    <w:rsid w:val="005222F9"/>
    <w:rsid w:val="0052239A"/>
    <w:rsid w:val="005223C4"/>
    <w:rsid w:val="005226E8"/>
    <w:rsid w:val="005228BD"/>
    <w:rsid w:val="00522C25"/>
    <w:rsid w:val="00523694"/>
    <w:rsid w:val="00523777"/>
    <w:rsid w:val="005237CD"/>
    <w:rsid w:val="00523C73"/>
    <w:rsid w:val="0052456A"/>
    <w:rsid w:val="0052462C"/>
    <w:rsid w:val="00524662"/>
    <w:rsid w:val="00524A78"/>
    <w:rsid w:val="00524BE7"/>
    <w:rsid w:val="00524C50"/>
    <w:rsid w:val="00524D8A"/>
    <w:rsid w:val="00525352"/>
    <w:rsid w:val="00525A7E"/>
    <w:rsid w:val="00525CDF"/>
    <w:rsid w:val="00525DF5"/>
    <w:rsid w:val="00525E0D"/>
    <w:rsid w:val="00525EB0"/>
    <w:rsid w:val="005268C9"/>
    <w:rsid w:val="00526A02"/>
    <w:rsid w:val="00526BB6"/>
    <w:rsid w:val="00526E38"/>
    <w:rsid w:val="00526EEF"/>
    <w:rsid w:val="005271C0"/>
    <w:rsid w:val="00527465"/>
    <w:rsid w:val="005276FE"/>
    <w:rsid w:val="00527AB8"/>
    <w:rsid w:val="00527C01"/>
    <w:rsid w:val="00527E69"/>
    <w:rsid w:val="00527E92"/>
    <w:rsid w:val="0052BE3D"/>
    <w:rsid w:val="00530163"/>
    <w:rsid w:val="005301A8"/>
    <w:rsid w:val="005303AA"/>
    <w:rsid w:val="005304D6"/>
    <w:rsid w:val="005309A4"/>
    <w:rsid w:val="00530C34"/>
    <w:rsid w:val="00530E1E"/>
    <w:rsid w:val="00531657"/>
    <w:rsid w:val="005316C9"/>
    <w:rsid w:val="00531DA9"/>
    <w:rsid w:val="005320E5"/>
    <w:rsid w:val="0053238F"/>
    <w:rsid w:val="0053247E"/>
    <w:rsid w:val="0053253A"/>
    <w:rsid w:val="00532827"/>
    <w:rsid w:val="00532893"/>
    <w:rsid w:val="00532AB6"/>
    <w:rsid w:val="00532B5E"/>
    <w:rsid w:val="005332B5"/>
    <w:rsid w:val="00533A2B"/>
    <w:rsid w:val="0053420F"/>
    <w:rsid w:val="00534435"/>
    <w:rsid w:val="005346BB"/>
    <w:rsid w:val="00534967"/>
    <w:rsid w:val="00534BAC"/>
    <w:rsid w:val="00534D41"/>
    <w:rsid w:val="00534D99"/>
    <w:rsid w:val="0053582B"/>
    <w:rsid w:val="00535918"/>
    <w:rsid w:val="00535B0D"/>
    <w:rsid w:val="00535BD9"/>
    <w:rsid w:val="00535E66"/>
    <w:rsid w:val="00536441"/>
    <w:rsid w:val="00536BFD"/>
    <w:rsid w:val="00536EDA"/>
    <w:rsid w:val="005372F6"/>
    <w:rsid w:val="00537309"/>
    <w:rsid w:val="00540759"/>
    <w:rsid w:val="00540BD9"/>
    <w:rsid w:val="00540D17"/>
    <w:rsid w:val="00540E87"/>
    <w:rsid w:val="00540EA1"/>
    <w:rsid w:val="00540F32"/>
    <w:rsid w:val="0054116F"/>
    <w:rsid w:val="005412E3"/>
    <w:rsid w:val="00541998"/>
    <w:rsid w:val="005419CE"/>
    <w:rsid w:val="00541D2C"/>
    <w:rsid w:val="00541DA2"/>
    <w:rsid w:val="00542118"/>
    <w:rsid w:val="0054217F"/>
    <w:rsid w:val="00542391"/>
    <w:rsid w:val="00542705"/>
    <w:rsid w:val="00542715"/>
    <w:rsid w:val="00542D54"/>
    <w:rsid w:val="00542DDB"/>
    <w:rsid w:val="00542FC4"/>
    <w:rsid w:val="00543123"/>
    <w:rsid w:val="0054320E"/>
    <w:rsid w:val="0054373E"/>
    <w:rsid w:val="0054377F"/>
    <w:rsid w:val="005440F7"/>
    <w:rsid w:val="00544107"/>
    <w:rsid w:val="0054418E"/>
    <w:rsid w:val="005441B6"/>
    <w:rsid w:val="005441BC"/>
    <w:rsid w:val="00544424"/>
    <w:rsid w:val="0054489D"/>
    <w:rsid w:val="005449DE"/>
    <w:rsid w:val="00544BEC"/>
    <w:rsid w:val="00544FD9"/>
    <w:rsid w:val="005454C7"/>
    <w:rsid w:val="005456F1"/>
    <w:rsid w:val="005457C5"/>
    <w:rsid w:val="005458DC"/>
    <w:rsid w:val="00545BAD"/>
    <w:rsid w:val="00545C43"/>
    <w:rsid w:val="00545C8A"/>
    <w:rsid w:val="00545F45"/>
    <w:rsid w:val="0054627B"/>
    <w:rsid w:val="005464ED"/>
    <w:rsid w:val="005467F5"/>
    <w:rsid w:val="005468E2"/>
    <w:rsid w:val="00546BC1"/>
    <w:rsid w:val="00546C78"/>
    <w:rsid w:val="00546C9B"/>
    <w:rsid w:val="00546DD3"/>
    <w:rsid w:val="00546E3F"/>
    <w:rsid w:val="005476A4"/>
    <w:rsid w:val="0054779F"/>
    <w:rsid w:val="00547964"/>
    <w:rsid w:val="00547A0C"/>
    <w:rsid w:val="00547A95"/>
    <w:rsid w:val="00547AEA"/>
    <w:rsid w:val="00547E88"/>
    <w:rsid w:val="00550081"/>
    <w:rsid w:val="00550363"/>
    <w:rsid w:val="00551567"/>
    <w:rsid w:val="005519F1"/>
    <w:rsid w:val="00551A54"/>
    <w:rsid w:val="00551E3B"/>
    <w:rsid w:val="0055232E"/>
    <w:rsid w:val="00552402"/>
    <w:rsid w:val="00552BAE"/>
    <w:rsid w:val="00552F11"/>
    <w:rsid w:val="0055305E"/>
    <w:rsid w:val="00553206"/>
    <w:rsid w:val="00553424"/>
    <w:rsid w:val="0055371F"/>
    <w:rsid w:val="00553788"/>
    <w:rsid w:val="0055394E"/>
    <w:rsid w:val="0055451B"/>
    <w:rsid w:val="005549BB"/>
    <w:rsid w:val="00554A4D"/>
    <w:rsid w:val="00555098"/>
    <w:rsid w:val="00555136"/>
    <w:rsid w:val="005551B0"/>
    <w:rsid w:val="005551F7"/>
    <w:rsid w:val="005553FA"/>
    <w:rsid w:val="00555569"/>
    <w:rsid w:val="00555582"/>
    <w:rsid w:val="00555682"/>
    <w:rsid w:val="00555821"/>
    <w:rsid w:val="00555898"/>
    <w:rsid w:val="00556192"/>
    <w:rsid w:val="0055637B"/>
    <w:rsid w:val="00556790"/>
    <w:rsid w:val="005569CC"/>
    <w:rsid w:val="00556B0E"/>
    <w:rsid w:val="00556B67"/>
    <w:rsid w:val="00556FD4"/>
    <w:rsid w:val="0055710A"/>
    <w:rsid w:val="0055730A"/>
    <w:rsid w:val="0055789E"/>
    <w:rsid w:val="00557C9A"/>
    <w:rsid w:val="00560401"/>
    <w:rsid w:val="005604DB"/>
    <w:rsid w:val="00560511"/>
    <w:rsid w:val="00560959"/>
    <w:rsid w:val="00560EC7"/>
    <w:rsid w:val="00560EE6"/>
    <w:rsid w:val="00561151"/>
    <w:rsid w:val="00561356"/>
    <w:rsid w:val="0056173F"/>
    <w:rsid w:val="0056174E"/>
    <w:rsid w:val="00561861"/>
    <w:rsid w:val="00561DF4"/>
    <w:rsid w:val="005620D6"/>
    <w:rsid w:val="005622E8"/>
    <w:rsid w:val="00562562"/>
    <w:rsid w:val="0056259F"/>
    <w:rsid w:val="00562C85"/>
    <w:rsid w:val="00563177"/>
    <w:rsid w:val="005635A9"/>
    <w:rsid w:val="00563A0F"/>
    <w:rsid w:val="00563AC2"/>
    <w:rsid w:val="00563AED"/>
    <w:rsid w:val="00563B39"/>
    <w:rsid w:val="005645C3"/>
    <w:rsid w:val="005646B1"/>
    <w:rsid w:val="00564D3A"/>
    <w:rsid w:val="00565309"/>
    <w:rsid w:val="0056534A"/>
    <w:rsid w:val="00565515"/>
    <w:rsid w:val="00565712"/>
    <w:rsid w:val="0056591B"/>
    <w:rsid w:val="00565A91"/>
    <w:rsid w:val="005660C3"/>
    <w:rsid w:val="005660CE"/>
    <w:rsid w:val="005662BE"/>
    <w:rsid w:val="0056632B"/>
    <w:rsid w:val="005665BC"/>
    <w:rsid w:val="00566710"/>
    <w:rsid w:val="005667A5"/>
    <w:rsid w:val="00566AB4"/>
    <w:rsid w:val="00566B28"/>
    <w:rsid w:val="00566CCC"/>
    <w:rsid w:val="00566D5A"/>
    <w:rsid w:val="0056720E"/>
    <w:rsid w:val="005676DE"/>
    <w:rsid w:val="00567DAE"/>
    <w:rsid w:val="00570283"/>
    <w:rsid w:val="00570855"/>
    <w:rsid w:val="005708F5"/>
    <w:rsid w:val="00570945"/>
    <w:rsid w:val="00570A42"/>
    <w:rsid w:val="00570E39"/>
    <w:rsid w:val="00570E3A"/>
    <w:rsid w:val="00571003"/>
    <w:rsid w:val="00571473"/>
    <w:rsid w:val="005715D3"/>
    <w:rsid w:val="00571AA8"/>
    <w:rsid w:val="00571B75"/>
    <w:rsid w:val="00572311"/>
    <w:rsid w:val="00572594"/>
    <w:rsid w:val="00572609"/>
    <w:rsid w:val="005728E0"/>
    <w:rsid w:val="00572CF0"/>
    <w:rsid w:val="00572FF0"/>
    <w:rsid w:val="00573339"/>
    <w:rsid w:val="0057396D"/>
    <w:rsid w:val="00573985"/>
    <w:rsid w:val="00573CEA"/>
    <w:rsid w:val="00574311"/>
    <w:rsid w:val="00574659"/>
    <w:rsid w:val="00574EB4"/>
    <w:rsid w:val="0057507B"/>
    <w:rsid w:val="0057520E"/>
    <w:rsid w:val="005752B1"/>
    <w:rsid w:val="0057548F"/>
    <w:rsid w:val="005754C2"/>
    <w:rsid w:val="0057558F"/>
    <w:rsid w:val="005756E0"/>
    <w:rsid w:val="005757A2"/>
    <w:rsid w:val="00575C9B"/>
    <w:rsid w:val="00575E2E"/>
    <w:rsid w:val="005760B7"/>
    <w:rsid w:val="005760D8"/>
    <w:rsid w:val="005764A0"/>
    <w:rsid w:val="005765DC"/>
    <w:rsid w:val="0057673F"/>
    <w:rsid w:val="00576EF2"/>
    <w:rsid w:val="005770C2"/>
    <w:rsid w:val="00577120"/>
    <w:rsid w:val="005776A7"/>
    <w:rsid w:val="005777AF"/>
    <w:rsid w:val="00577B2D"/>
    <w:rsid w:val="00577B7B"/>
    <w:rsid w:val="00577CF0"/>
    <w:rsid w:val="00577DA3"/>
    <w:rsid w:val="00577E52"/>
    <w:rsid w:val="0058015B"/>
    <w:rsid w:val="0058024A"/>
    <w:rsid w:val="00580278"/>
    <w:rsid w:val="005805D4"/>
    <w:rsid w:val="00580607"/>
    <w:rsid w:val="0058082B"/>
    <w:rsid w:val="00580D7E"/>
    <w:rsid w:val="00581953"/>
    <w:rsid w:val="00581D74"/>
    <w:rsid w:val="00582050"/>
    <w:rsid w:val="0058210C"/>
    <w:rsid w:val="00582874"/>
    <w:rsid w:val="005829C0"/>
    <w:rsid w:val="00583047"/>
    <w:rsid w:val="00583319"/>
    <w:rsid w:val="005835E3"/>
    <w:rsid w:val="005838C4"/>
    <w:rsid w:val="00583CBC"/>
    <w:rsid w:val="00583FFE"/>
    <w:rsid w:val="00584ABC"/>
    <w:rsid w:val="00584C0E"/>
    <w:rsid w:val="00584C3E"/>
    <w:rsid w:val="00584E46"/>
    <w:rsid w:val="00585171"/>
    <w:rsid w:val="00585245"/>
    <w:rsid w:val="00585357"/>
    <w:rsid w:val="00585960"/>
    <w:rsid w:val="00585A02"/>
    <w:rsid w:val="005866F0"/>
    <w:rsid w:val="00586721"/>
    <w:rsid w:val="00586AE2"/>
    <w:rsid w:val="00586D92"/>
    <w:rsid w:val="00586DC3"/>
    <w:rsid w:val="00586E30"/>
    <w:rsid w:val="0058708B"/>
    <w:rsid w:val="005871F5"/>
    <w:rsid w:val="00587A3F"/>
    <w:rsid w:val="00587CC1"/>
    <w:rsid w:val="005905E4"/>
    <w:rsid w:val="0059079B"/>
    <w:rsid w:val="00591609"/>
    <w:rsid w:val="005917A0"/>
    <w:rsid w:val="00591A7F"/>
    <w:rsid w:val="00591CA1"/>
    <w:rsid w:val="005921A4"/>
    <w:rsid w:val="0059258B"/>
    <w:rsid w:val="00592895"/>
    <w:rsid w:val="00592B73"/>
    <w:rsid w:val="00592BFC"/>
    <w:rsid w:val="005938B1"/>
    <w:rsid w:val="00593982"/>
    <w:rsid w:val="00593B6A"/>
    <w:rsid w:val="0059426D"/>
    <w:rsid w:val="00594450"/>
    <w:rsid w:val="0059455B"/>
    <w:rsid w:val="00594B73"/>
    <w:rsid w:val="00594D84"/>
    <w:rsid w:val="00595A07"/>
    <w:rsid w:val="00595AA6"/>
    <w:rsid w:val="00595BD1"/>
    <w:rsid w:val="00595BEB"/>
    <w:rsid w:val="00595CA1"/>
    <w:rsid w:val="00595E8E"/>
    <w:rsid w:val="00595F79"/>
    <w:rsid w:val="00596380"/>
    <w:rsid w:val="00596E47"/>
    <w:rsid w:val="00597334"/>
    <w:rsid w:val="00597427"/>
    <w:rsid w:val="005975B8"/>
    <w:rsid w:val="005978AC"/>
    <w:rsid w:val="00597952"/>
    <w:rsid w:val="0059798F"/>
    <w:rsid w:val="00597A28"/>
    <w:rsid w:val="00597A44"/>
    <w:rsid w:val="005A04AC"/>
    <w:rsid w:val="005A111C"/>
    <w:rsid w:val="005A19E4"/>
    <w:rsid w:val="005A1B0C"/>
    <w:rsid w:val="005A1BE5"/>
    <w:rsid w:val="005A1D25"/>
    <w:rsid w:val="005A1EDC"/>
    <w:rsid w:val="005A2030"/>
    <w:rsid w:val="005A2612"/>
    <w:rsid w:val="005A289D"/>
    <w:rsid w:val="005A30F6"/>
    <w:rsid w:val="005A3169"/>
    <w:rsid w:val="005A3E4A"/>
    <w:rsid w:val="005A4925"/>
    <w:rsid w:val="005A493C"/>
    <w:rsid w:val="005A49AC"/>
    <w:rsid w:val="005A4EE7"/>
    <w:rsid w:val="005A5032"/>
    <w:rsid w:val="005A5185"/>
    <w:rsid w:val="005A51BB"/>
    <w:rsid w:val="005A51F4"/>
    <w:rsid w:val="005A51FF"/>
    <w:rsid w:val="005A58ED"/>
    <w:rsid w:val="005A5FED"/>
    <w:rsid w:val="005A6455"/>
    <w:rsid w:val="005A68C0"/>
    <w:rsid w:val="005A6E29"/>
    <w:rsid w:val="005A7A57"/>
    <w:rsid w:val="005A7B45"/>
    <w:rsid w:val="005B0109"/>
    <w:rsid w:val="005B054D"/>
    <w:rsid w:val="005B055B"/>
    <w:rsid w:val="005B0B77"/>
    <w:rsid w:val="005B0D96"/>
    <w:rsid w:val="005B174E"/>
    <w:rsid w:val="005B1D17"/>
    <w:rsid w:val="005B1D79"/>
    <w:rsid w:val="005B1ED3"/>
    <w:rsid w:val="005B20F5"/>
    <w:rsid w:val="005B276B"/>
    <w:rsid w:val="005B2783"/>
    <w:rsid w:val="005B2860"/>
    <w:rsid w:val="005B2984"/>
    <w:rsid w:val="005B2AE8"/>
    <w:rsid w:val="005B2BFC"/>
    <w:rsid w:val="005B2CEF"/>
    <w:rsid w:val="005B347D"/>
    <w:rsid w:val="005B34E6"/>
    <w:rsid w:val="005B35E4"/>
    <w:rsid w:val="005B399B"/>
    <w:rsid w:val="005B3AB0"/>
    <w:rsid w:val="005B3BA8"/>
    <w:rsid w:val="005B3C84"/>
    <w:rsid w:val="005B3CA5"/>
    <w:rsid w:val="005B3DC1"/>
    <w:rsid w:val="005B4007"/>
    <w:rsid w:val="005B4774"/>
    <w:rsid w:val="005B49DF"/>
    <w:rsid w:val="005B4CC0"/>
    <w:rsid w:val="005B4E71"/>
    <w:rsid w:val="005B4E7E"/>
    <w:rsid w:val="005B5065"/>
    <w:rsid w:val="005B511A"/>
    <w:rsid w:val="005B6070"/>
    <w:rsid w:val="005B6B62"/>
    <w:rsid w:val="005B726B"/>
    <w:rsid w:val="005B7362"/>
    <w:rsid w:val="005B7620"/>
    <w:rsid w:val="005B773C"/>
    <w:rsid w:val="005B77E6"/>
    <w:rsid w:val="005B7857"/>
    <w:rsid w:val="005B785A"/>
    <w:rsid w:val="005B794A"/>
    <w:rsid w:val="005B7AD2"/>
    <w:rsid w:val="005B7E74"/>
    <w:rsid w:val="005C01B0"/>
    <w:rsid w:val="005C02D6"/>
    <w:rsid w:val="005C038B"/>
    <w:rsid w:val="005C04B3"/>
    <w:rsid w:val="005C056F"/>
    <w:rsid w:val="005C0733"/>
    <w:rsid w:val="005C12A3"/>
    <w:rsid w:val="005C1543"/>
    <w:rsid w:val="005C1753"/>
    <w:rsid w:val="005C1D0D"/>
    <w:rsid w:val="005C1EB8"/>
    <w:rsid w:val="005C2013"/>
    <w:rsid w:val="005C2566"/>
    <w:rsid w:val="005C256B"/>
    <w:rsid w:val="005C2653"/>
    <w:rsid w:val="005C27F2"/>
    <w:rsid w:val="005C2B5C"/>
    <w:rsid w:val="005C2C79"/>
    <w:rsid w:val="005C2D17"/>
    <w:rsid w:val="005C2DAD"/>
    <w:rsid w:val="005C2EB2"/>
    <w:rsid w:val="005C313E"/>
    <w:rsid w:val="005C34A0"/>
    <w:rsid w:val="005C3982"/>
    <w:rsid w:val="005C4314"/>
    <w:rsid w:val="005C43C6"/>
    <w:rsid w:val="005C44CB"/>
    <w:rsid w:val="005C44D9"/>
    <w:rsid w:val="005C4F13"/>
    <w:rsid w:val="005C5059"/>
    <w:rsid w:val="005C529A"/>
    <w:rsid w:val="005C54D9"/>
    <w:rsid w:val="005C561B"/>
    <w:rsid w:val="005C56CA"/>
    <w:rsid w:val="005C56E9"/>
    <w:rsid w:val="005C5757"/>
    <w:rsid w:val="005C5C08"/>
    <w:rsid w:val="005C6A07"/>
    <w:rsid w:val="005C6A87"/>
    <w:rsid w:val="005C6AB2"/>
    <w:rsid w:val="005C6BC2"/>
    <w:rsid w:val="005C6E87"/>
    <w:rsid w:val="005C6F66"/>
    <w:rsid w:val="005C7308"/>
    <w:rsid w:val="005C74C2"/>
    <w:rsid w:val="005C79C3"/>
    <w:rsid w:val="005C7E26"/>
    <w:rsid w:val="005D0097"/>
    <w:rsid w:val="005D0189"/>
    <w:rsid w:val="005D01EC"/>
    <w:rsid w:val="005D025F"/>
    <w:rsid w:val="005D035F"/>
    <w:rsid w:val="005D084D"/>
    <w:rsid w:val="005D0979"/>
    <w:rsid w:val="005D0E84"/>
    <w:rsid w:val="005D1015"/>
    <w:rsid w:val="005D112E"/>
    <w:rsid w:val="005D145E"/>
    <w:rsid w:val="005D18C2"/>
    <w:rsid w:val="005D1E23"/>
    <w:rsid w:val="005D204D"/>
    <w:rsid w:val="005D223E"/>
    <w:rsid w:val="005D23B1"/>
    <w:rsid w:val="005D26AB"/>
    <w:rsid w:val="005D2C15"/>
    <w:rsid w:val="005D2DD4"/>
    <w:rsid w:val="005D3469"/>
    <w:rsid w:val="005D34B2"/>
    <w:rsid w:val="005D3FB8"/>
    <w:rsid w:val="005D489C"/>
    <w:rsid w:val="005D48EF"/>
    <w:rsid w:val="005D4A0B"/>
    <w:rsid w:val="005D4AC1"/>
    <w:rsid w:val="005D4CEF"/>
    <w:rsid w:val="005D54E4"/>
    <w:rsid w:val="005D54FA"/>
    <w:rsid w:val="005D55A7"/>
    <w:rsid w:val="005D5933"/>
    <w:rsid w:val="005D5B11"/>
    <w:rsid w:val="005D5B40"/>
    <w:rsid w:val="005D5C26"/>
    <w:rsid w:val="005D6542"/>
    <w:rsid w:val="005D6848"/>
    <w:rsid w:val="005D685C"/>
    <w:rsid w:val="005D68C6"/>
    <w:rsid w:val="005D6904"/>
    <w:rsid w:val="005D6BD9"/>
    <w:rsid w:val="005D6C2E"/>
    <w:rsid w:val="005D7170"/>
    <w:rsid w:val="005D739B"/>
    <w:rsid w:val="005D7B65"/>
    <w:rsid w:val="005D7B76"/>
    <w:rsid w:val="005D7E4D"/>
    <w:rsid w:val="005E00D1"/>
    <w:rsid w:val="005E056B"/>
    <w:rsid w:val="005E067D"/>
    <w:rsid w:val="005E0718"/>
    <w:rsid w:val="005E0781"/>
    <w:rsid w:val="005E08C9"/>
    <w:rsid w:val="005E0E16"/>
    <w:rsid w:val="005E105F"/>
    <w:rsid w:val="005E1080"/>
    <w:rsid w:val="005E1807"/>
    <w:rsid w:val="005E1C20"/>
    <w:rsid w:val="005E1DB4"/>
    <w:rsid w:val="005E2755"/>
    <w:rsid w:val="005E2A66"/>
    <w:rsid w:val="005E2D7C"/>
    <w:rsid w:val="005E30E1"/>
    <w:rsid w:val="005E3378"/>
    <w:rsid w:val="005E340B"/>
    <w:rsid w:val="005E35E0"/>
    <w:rsid w:val="005E362F"/>
    <w:rsid w:val="005E377E"/>
    <w:rsid w:val="005E3BE9"/>
    <w:rsid w:val="005E3FEB"/>
    <w:rsid w:val="005E41C5"/>
    <w:rsid w:val="005E4242"/>
    <w:rsid w:val="005E47DC"/>
    <w:rsid w:val="005E4928"/>
    <w:rsid w:val="005E4D7B"/>
    <w:rsid w:val="005E50DF"/>
    <w:rsid w:val="005E59B1"/>
    <w:rsid w:val="005E5DFB"/>
    <w:rsid w:val="005E601A"/>
    <w:rsid w:val="005E6139"/>
    <w:rsid w:val="005E6257"/>
    <w:rsid w:val="005E6AA6"/>
    <w:rsid w:val="005E6CD3"/>
    <w:rsid w:val="005E6D0D"/>
    <w:rsid w:val="005E7288"/>
    <w:rsid w:val="005E73F6"/>
    <w:rsid w:val="005E7401"/>
    <w:rsid w:val="005E7776"/>
    <w:rsid w:val="005E7B61"/>
    <w:rsid w:val="005E7C2C"/>
    <w:rsid w:val="005E7CE7"/>
    <w:rsid w:val="005E7D0E"/>
    <w:rsid w:val="005E7D1F"/>
    <w:rsid w:val="005E7DE4"/>
    <w:rsid w:val="005E7F55"/>
    <w:rsid w:val="005F0003"/>
    <w:rsid w:val="005F029E"/>
    <w:rsid w:val="005F08AF"/>
    <w:rsid w:val="005F0A05"/>
    <w:rsid w:val="005F0AA1"/>
    <w:rsid w:val="005F1267"/>
    <w:rsid w:val="005F134A"/>
    <w:rsid w:val="005F1412"/>
    <w:rsid w:val="005F1651"/>
    <w:rsid w:val="005F16E9"/>
    <w:rsid w:val="005F1939"/>
    <w:rsid w:val="005F1A70"/>
    <w:rsid w:val="005F1A7D"/>
    <w:rsid w:val="005F1AC1"/>
    <w:rsid w:val="005F1AEB"/>
    <w:rsid w:val="005F1C05"/>
    <w:rsid w:val="005F2610"/>
    <w:rsid w:val="005F2B95"/>
    <w:rsid w:val="005F2C84"/>
    <w:rsid w:val="005F2D43"/>
    <w:rsid w:val="005F2FE0"/>
    <w:rsid w:val="005F36DE"/>
    <w:rsid w:val="005F3A6F"/>
    <w:rsid w:val="005F4175"/>
    <w:rsid w:val="005F43D5"/>
    <w:rsid w:val="005F4858"/>
    <w:rsid w:val="005F4A94"/>
    <w:rsid w:val="005F510B"/>
    <w:rsid w:val="005F53B4"/>
    <w:rsid w:val="005F5682"/>
    <w:rsid w:val="005F574A"/>
    <w:rsid w:val="005F58BA"/>
    <w:rsid w:val="005F5A4C"/>
    <w:rsid w:val="005F5C71"/>
    <w:rsid w:val="005F5DB9"/>
    <w:rsid w:val="005F5E3C"/>
    <w:rsid w:val="005F61A1"/>
    <w:rsid w:val="005F6660"/>
    <w:rsid w:val="005F68DC"/>
    <w:rsid w:val="005F6C78"/>
    <w:rsid w:val="005F738E"/>
    <w:rsid w:val="005F73DC"/>
    <w:rsid w:val="005F75C5"/>
    <w:rsid w:val="005F79F8"/>
    <w:rsid w:val="005F7A74"/>
    <w:rsid w:val="005F7B0A"/>
    <w:rsid w:val="005F7FDF"/>
    <w:rsid w:val="00600021"/>
    <w:rsid w:val="0060006A"/>
    <w:rsid w:val="00600087"/>
    <w:rsid w:val="00600712"/>
    <w:rsid w:val="006007BE"/>
    <w:rsid w:val="00600DDC"/>
    <w:rsid w:val="00600ED2"/>
    <w:rsid w:val="0060125B"/>
    <w:rsid w:val="006013B6"/>
    <w:rsid w:val="006015F2"/>
    <w:rsid w:val="00601F8C"/>
    <w:rsid w:val="006020CF"/>
    <w:rsid w:val="0060230F"/>
    <w:rsid w:val="006024DD"/>
    <w:rsid w:val="00602CA8"/>
    <w:rsid w:val="00602F51"/>
    <w:rsid w:val="006030F9"/>
    <w:rsid w:val="0060311C"/>
    <w:rsid w:val="0060348D"/>
    <w:rsid w:val="0060356B"/>
    <w:rsid w:val="00603854"/>
    <w:rsid w:val="0060386B"/>
    <w:rsid w:val="00603963"/>
    <w:rsid w:val="00604061"/>
    <w:rsid w:val="00604396"/>
    <w:rsid w:val="00604BBF"/>
    <w:rsid w:val="00604E76"/>
    <w:rsid w:val="00604ED5"/>
    <w:rsid w:val="00604FE9"/>
    <w:rsid w:val="00605478"/>
    <w:rsid w:val="00605555"/>
    <w:rsid w:val="006057E7"/>
    <w:rsid w:val="006058DE"/>
    <w:rsid w:val="006059E1"/>
    <w:rsid w:val="00605C71"/>
    <w:rsid w:val="00605D95"/>
    <w:rsid w:val="00605E0E"/>
    <w:rsid w:val="006061EA"/>
    <w:rsid w:val="00606881"/>
    <w:rsid w:val="00606912"/>
    <w:rsid w:val="00607191"/>
    <w:rsid w:val="006072AE"/>
    <w:rsid w:val="00607652"/>
    <w:rsid w:val="00607776"/>
    <w:rsid w:val="00607A2B"/>
    <w:rsid w:val="00607D06"/>
    <w:rsid w:val="00607DB6"/>
    <w:rsid w:val="0061023B"/>
    <w:rsid w:val="00610599"/>
    <w:rsid w:val="00610771"/>
    <w:rsid w:val="00610A20"/>
    <w:rsid w:val="00611083"/>
    <w:rsid w:val="00611350"/>
    <w:rsid w:val="006116FA"/>
    <w:rsid w:val="00611C9A"/>
    <w:rsid w:val="00611EFE"/>
    <w:rsid w:val="00612366"/>
    <w:rsid w:val="00612717"/>
    <w:rsid w:val="006131A6"/>
    <w:rsid w:val="00613200"/>
    <w:rsid w:val="00613473"/>
    <w:rsid w:val="0061360D"/>
    <w:rsid w:val="00613A0E"/>
    <w:rsid w:val="00613A4F"/>
    <w:rsid w:val="00613C57"/>
    <w:rsid w:val="00613D3C"/>
    <w:rsid w:val="00613EA6"/>
    <w:rsid w:val="00613F5F"/>
    <w:rsid w:val="00614180"/>
    <w:rsid w:val="006143DD"/>
    <w:rsid w:val="006143FC"/>
    <w:rsid w:val="00614B94"/>
    <w:rsid w:val="00614ECB"/>
    <w:rsid w:val="006153AC"/>
    <w:rsid w:val="006155AD"/>
    <w:rsid w:val="00615C4F"/>
    <w:rsid w:val="00615D7F"/>
    <w:rsid w:val="00615E04"/>
    <w:rsid w:val="006160C1"/>
    <w:rsid w:val="006165F7"/>
    <w:rsid w:val="00616690"/>
    <w:rsid w:val="00616915"/>
    <w:rsid w:val="00616ACE"/>
    <w:rsid w:val="00616D72"/>
    <w:rsid w:val="00616D74"/>
    <w:rsid w:val="00616D85"/>
    <w:rsid w:val="0061762A"/>
    <w:rsid w:val="00617A9C"/>
    <w:rsid w:val="00617C70"/>
    <w:rsid w:val="00617CA6"/>
    <w:rsid w:val="00617D2C"/>
    <w:rsid w:val="00617DC1"/>
    <w:rsid w:val="00617E99"/>
    <w:rsid w:val="0062050C"/>
    <w:rsid w:val="00620548"/>
    <w:rsid w:val="00620C6F"/>
    <w:rsid w:val="00620D40"/>
    <w:rsid w:val="0062112B"/>
    <w:rsid w:val="0062114F"/>
    <w:rsid w:val="00621475"/>
    <w:rsid w:val="0062148B"/>
    <w:rsid w:val="0062166E"/>
    <w:rsid w:val="006217BF"/>
    <w:rsid w:val="00621A71"/>
    <w:rsid w:val="00621ED1"/>
    <w:rsid w:val="00621F08"/>
    <w:rsid w:val="006220F3"/>
    <w:rsid w:val="006222ED"/>
    <w:rsid w:val="0062230A"/>
    <w:rsid w:val="00622C0D"/>
    <w:rsid w:val="00622E18"/>
    <w:rsid w:val="0062300B"/>
    <w:rsid w:val="0062330F"/>
    <w:rsid w:val="006235B4"/>
    <w:rsid w:val="00623860"/>
    <w:rsid w:val="00623A70"/>
    <w:rsid w:val="006242EB"/>
    <w:rsid w:val="0062483E"/>
    <w:rsid w:val="0062491D"/>
    <w:rsid w:val="00624E51"/>
    <w:rsid w:val="00624F56"/>
    <w:rsid w:val="00624FFD"/>
    <w:rsid w:val="00624FFF"/>
    <w:rsid w:val="00625B81"/>
    <w:rsid w:val="00625E9C"/>
    <w:rsid w:val="00625FA4"/>
    <w:rsid w:val="00625FF8"/>
    <w:rsid w:val="00626074"/>
    <w:rsid w:val="006261BA"/>
    <w:rsid w:val="0062652C"/>
    <w:rsid w:val="0062653A"/>
    <w:rsid w:val="00626632"/>
    <w:rsid w:val="00626949"/>
    <w:rsid w:val="00626A27"/>
    <w:rsid w:val="00626A56"/>
    <w:rsid w:val="00626CDE"/>
    <w:rsid w:val="0062714C"/>
    <w:rsid w:val="0062715C"/>
    <w:rsid w:val="0062792B"/>
    <w:rsid w:val="00627BAE"/>
    <w:rsid w:val="006300EF"/>
    <w:rsid w:val="006303CA"/>
    <w:rsid w:val="006304CE"/>
    <w:rsid w:val="00630924"/>
    <w:rsid w:val="00630A14"/>
    <w:rsid w:val="00630C77"/>
    <w:rsid w:val="00631388"/>
    <w:rsid w:val="00631738"/>
    <w:rsid w:val="00631E69"/>
    <w:rsid w:val="0063212E"/>
    <w:rsid w:val="006322DE"/>
    <w:rsid w:val="006323E5"/>
    <w:rsid w:val="00632684"/>
    <w:rsid w:val="00632BEE"/>
    <w:rsid w:val="00632BFF"/>
    <w:rsid w:val="00632CA6"/>
    <w:rsid w:val="00632D20"/>
    <w:rsid w:val="006330C7"/>
    <w:rsid w:val="006332A4"/>
    <w:rsid w:val="0063332F"/>
    <w:rsid w:val="00633691"/>
    <w:rsid w:val="0063392D"/>
    <w:rsid w:val="00633A2E"/>
    <w:rsid w:val="00633BF4"/>
    <w:rsid w:val="00633BFD"/>
    <w:rsid w:val="00634048"/>
    <w:rsid w:val="0063409A"/>
    <w:rsid w:val="006341AC"/>
    <w:rsid w:val="006341E7"/>
    <w:rsid w:val="006343AB"/>
    <w:rsid w:val="006343C2"/>
    <w:rsid w:val="00634456"/>
    <w:rsid w:val="0063446F"/>
    <w:rsid w:val="006348BB"/>
    <w:rsid w:val="006348C9"/>
    <w:rsid w:val="00634A7B"/>
    <w:rsid w:val="00634A95"/>
    <w:rsid w:val="006353D4"/>
    <w:rsid w:val="00635B4F"/>
    <w:rsid w:val="00635ECE"/>
    <w:rsid w:val="006362CE"/>
    <w:rsid w:val="006362E7"/>
    <w:rsid w:val="00636434"/>
    <w:rsid w:val="006369E6"/>
    <w:rsid w:val="00636BC4"/>
    <w:rsid w:val="00636C83"/>
    <w:rsid w:val="00637356"/>
    <w:rsid w:val="0063749F"/>
    <w:rsid w:val="0063771E"/>
    <w:rsid w:val="00637AB2"/>
    <w:rsid w:val="00637C9E"/>
    <w:rsid w:val="00637F9C"/>
    <w:rsid w:val="00637FDE"/>
    <w:rsid w:val="00640191"/>
    <w:rsid w:val="0064037B"/>
    <w:rsid w:val="00640461"/>
    <w:rsid w:val="006405A8"/>
    <w:rsid w:val="00640802"/>
    <w:rsid w:val="006408F2"/>
    <w:rsid w:val="00640A21"/>
    <w:rsid w:val="00640CF3"/>
    <w:rsid w:val="0064112A"/>
    <w:rsid w:val="006414A3"/>
    <w:rsid w:val="006416AE"/>
    <w:rsid w:val="006419C2"/>
    <w:rsid w:val="00641A60"/>
    <w:rsid w:val="00641B39"/>
    <w:rsid w:val="00641B6A"/>
    <w:rsid w:val="00641E22"/>
    <w:rsid w:val="00641EB5"/>
    <w:rsid w:val="00641F33"/>
    <w:rsid w:val="0064300A"/>
    <w:rsid w:val="006431D9"/>
    <w:rsid w:val="0064328F"/>
    <w:rsid w:val="006435BB"/>
    <w:rsid w:val="00643789"/>
    <w:rsid w:val="00643D3E"/>
    <w:rsid w:val="00643DCD"/>
    <w:rsid w:val="006440AF"/>
    <w:rsid w:val="00644291"/>
    <w:rsid w:val="00644435"/>
    <w:rsid w:val="006447FE"/>
    <w:rsid w:val="0064485F"/>
    <w:rsid w:val="00644934"/>
    <w:rsid w:val="00644A83"/>
    <w:rsid w:val="006451AA"/>
    <w:rsid w:val="006454E9"/>
    <w:rsid w:val="00645528"/>
    <w:rsid w:val="0064570C"/>
    <w:rsid w:val="00645D28"/>
    <w:rsid w:val="006460EC"/>
    <w:rsid w:val="006464F6"/>
    <w:rsid w:val="00646818"/>
    <w:rsid w:val="006469E2"/>
    <w:rsid w:val="00647124"/>
    <w:rsid w:val="00647159"/>
    <w:rsid w:val="00647855"/>
    <w:rsid w:val="0064789F"/>
    <w:rsid w:val="006478D9"/>
    <w:rsid w:val="00647A09"/>
    <w:rsid w:val="00647BA7"/>
    <w:rsid w:val="00647D85"/>
    <w:rsid w:val="00647DE9"/>
    <w:rsid w:val="006502BE"/>
    <w:rsid w:val="006505AB"/>
    <w:rsid w:val="006505E5"/>
    <w:rsid w:val="006506A9"/>
    <w:rsid w:val="00650BF6"/>
    <w:rsid w:val="00650C72"/>
    <w:rsid w:val="00650CD2"/>
    <w:rsid w:val="00650F84"/>
    <w:rsid w:val="00651010"/>
    <w:rsid w:val="006511D8"/>
    <w:rsid w:val="006514EE"/>
    <w:rsid w:val="0065160D"/>
    <w:rsid w:val="00652465"/>
    <w:rsid w:val="0065263D"/>
    <w:rsid w:val="0065264F"/>
    <w:rsid w:val="006526AE"/>
    <w:rsid w:val="00652BD6"/>
    <w:rsid w:val="006530CA"/>
    <w:rsid w:val="00653484"/>
    <w:rsid w:val="00653580"/>
    <w:rsid w:val="00653825"/>
    <w:rsid w:val="00653CB5"/>
    <w:rsid w:val="00653F0F"/>
    <w:rsid w:val="0065447E"/>
    <w:rsid w:val="00654579"/>
    <w:rsid w:val="00654A5C"/>
    <w:rsid w:val="00654C82"/>
    <w:rsid w:val="00654DAC"/>
    <w:rsid w:val="006551CB"/>
    <w:rsid w:val="0065545C"/>
    <w:rsid w:val="006555C1"/>
    <w:rsid w:val="00655669"/>
    <w:rsid w:val="0065570C"/>
    <w:rsid w:val="006559F0"/>
    <w:rsid w:val="00655B28"/>
    <w:rsid w:val="00655CC0"/>
    <w:rsid w:val="00655DAC"/>
    <w:rsid w:val="00656D27"/>
    <w:rsid w:val="00656DE4"/>
    <w:rsid w:val="006571EC"/>
    <w:rsid w:val="006574EB"/>
    <w:rsid w:val="00657A78"/>
    <w:rsid w:val="00657BA6"/>
    <w:rsid w:val="00657F5A"/>
    <w:rsid w:val="006600E3"/>
    <w:rsid w:val="00660162"/>
    <w:rsid w:val="006601F1"/>
    <w:rsid w:val="00660301"/>
    <w:rsid w:val="0066041A"/>
    <w:rsid w:val="006609B2"/>
    <w:rsid w:val="006609BF"/>
    <w:rsid w:val="00660A3B"/>
    <w:rsid w:val="00660AD6"/>
    <w:rsid w:val="00660B98"/>
    <w:rsid w:val="00660BBD"/>
    <w:rsid w:val="00660CBB"/>
    <w:rsid w:val="00661073"/>
    <w:rsid w:val="00661368"/>
    <w:rsid w:val="00661AEF"/>
    <w:rsid w:val="00661CD4"/>
    <w:rsid w:val="00661CED"/>
    <w:rsid w:val="00661F45"/>
    <w:rsid w:val="00661F66"/>
    <w:rsid w:val="006621DD"/>
    <w:rsid w:val="0066225A"/>
    <w:rsid w:val="006622F8"/>
    <w:rsid w:val="00662532"/>
    <w:rsid w:val="0066261C"/>
    <w:rsid w:val="006627E0"/>
    <w:rsid w:val="00662817"/>
    <w:rsid w:val="00662887"/>
    <w:rsid w:val="006628B7"/>
    <w:rsid w:val="006632D3"/>
    <w:rsid w:val="006634BC"/>
    <w:rsid w:val="006638BC"/>
    <w:rsid w:val="00663C28"/>
    <w:rsid w:val="00663C88"/>
    <w:rsid w:val="00663E24"/>
    <w:rsid w:val="00663F5A"/>
    <w:rsid w:val="006640BF"/>
    <w:rsid w:val="00664225"/>
    <w:rsid w:val="0066480A"/>
    <w:rsid w:val="0066491F"/>
    <w:rsid w:val="00664E06"/>
    <w:rsid w:val="0066505B"/>
    <w:rsid w:val="00665272"/>
    <w:rsid w:val="006653EE"/>
    <w:rsid w:val="00665710"/>
    <w:rsid w:val="006658EB"/>
    <w:rsid w:val="00665A8B"/>
    <w:rsid w:val="00665B0C"/>
    <w:rsid w:val="00666144"/>
    <w:rsid w:val="006665E7"/>
    <w:rsid w:val="00666699"/>
    <w:rsid w:val="006666FB"/>
    <w:rsid w:val="0066677D"/>
    <w:rsid w:val="00666966"/>
    <w:rsid w:val="00666A3E"/>
    <w:rsid w:val="00666C32"/>
    <w:rsid w:val="00666CBC"/>
    <w:rsid w:val="006679D2"/>
    <w:rsid w:val="00667A20"/>
    <w:rsid w:val="00667B9C"/>
    <w:rsid w:val="00667EC5"/>
    <w:rsid w:val="00670096"/>
    <w:rsid w:val="00670335"/>
    <w:rsid w:val="006706BC"/>
    <w:rsid w:val="0067081F"/>
    <w:rsid w:val="006709C5"/>
    <w:rsid w:val="00670B85"/>
    <w:rsid w:val="00670D3F"/>
    <w:rsid w:val="00670DFB"/>
    <w:rsid w:val="00670F27"/>
    <w:rsid w:val="00670F90"/>
    <w:rsid w:val="00671051"/>
    <w:rsid w:val="006710E1"/>
    <w:rsid w:val="00671262"/>
    <w:rsid w:val="00671336"/>
    <w:rsid w:val="00671497"/>
    <w:rsid w:val="006718B4"/>
    <w:rsid w:val="00671E69"/>
    <w:rsid w:val="006729C3"/>
    <w:rsid w:val="00672C5B"/>
    <w:rsid w:val="00672CB8"/>
    <w:rsid w:val="00672EB0"/>
    <w:rsid w:val="006734F0"/>
    <w:rsid w:val="00673C66"/>
    <w:rsid w:val="00673C80"/>
    <w:rsid w:val="00674541"/>
    <w:rsid w:val="00674A44"/>
    <w:rsid w:val="00674A57"/>
    <w:rsid w:val="00674F0B"/>
    <w:rsid w:val="00674F3C"/>
    <w:rsid w:val="006754FA"/>
    <w:rsid w:val="006756E4"/>
    <w:rsid w:val="006756F7"/>
    <w:rsid w:val="006758E4"/>
    <w:rsid w:val="006759BC"/>
    <w:rsid w:val="00675B4C"/>
    <w:rsid w:val="00675C4D"/>
    <w:rsid w:val="00675D5B"/>
    <w:rsid w:val="006761BD"/>
    <w:rsid w:val="00676488"/>
    <w:rsid w:val="00676587"/>
    <w:rsid w:val="00676691"/>
    <w:rsid w:val="00676999"/>
    <w:rsid w:val="00676ADB"/>
    <w:rsid w:val="00676D38"/>
    <w:rsid w:val="00676DAB"/>
    <w:rsid w:val="00676EA8"/>
    <w:rsid w:val="00676EED"/>
    <w:rsid w:val="0067709F"/>
    <w:rsid w:val="00677364"/>
    <w:rsid w:val="006773AF"/>
    <w:rsid w:val="006773B9"/>
    <w:rsid w:val="006773FA"/>
    <w:rsid w:val="00677473"/>
    <w:rsid w:val="00677595"/>
    <w:rsid w:val="0067769F"/>
    <w:rsid w:val="006778B2"/>
    <w:rsid w:val="0067799E"/>
    <w:rsid w:val="00677A62"/>
    <w:rsid w:val="00680664"/>
    <w:rsid w:val="0068068A"/>
    <w:rsid w:val="00680ACD"/>
    <w:rsid w:val="00680C26"/>
    <w:rsid w:val="00680C33"/>
    <w:rsid w:val="00680D56"/>
    <w:rsid w:val="00681242"/>
    <w:rsid w:val="006813C4"/>
    <w:rsid w:val="00681A88"/>
    <w:rsid w:val="00681CD2"/>
    <w:rsid w:val="0068211F"/>
    <w:rsid w:val="006823FE"/>
    <w:rsid w:val="00682760"/>
    <w:rsid w:val="00683012"/>
    <w:rsid w:val="0068334C"/>
    <w:rsid w:val="00683B50"/>
    <w:rsid w:val="00683BC8"/>
    <w:rsid w:val="00683D3E"/>
    <w:rsid w:val="00683D55"/>
    <w:rsid w:val="00683FF7"/>
    <w:rsid w:val="00684224"/>
    <w:rsid w:val="00684491"/>
    <w:rsid w:val="00684C7A"/>
    <w:rsid w:val="00684CEA"/>
    <w:rsid w:val="00684E25"/>
    <w:rsid w:val="00685009"/>
    <w:rsid w:val="0068500B"/>
    <w:rsid w:val="00685052"/>
    <w:rsid w:val="00685077"/>
    <w:rsid w:val="00685178"/>
    <w:rsid w:val="006853FD"/>
    <w:rsid w:val="0068559F"/>
    <w:rsid w:val="006855D2"/>
    <w:rsid w:val="0068597F"/>
    <w:rsid w:val="00685D2B"/>
    <w:rsid w:val="00686145"/>
    <w:rsid w:val="0068631E"/>
    <w:rsid w:val="00686818"/>
    <w:rsid w:val="00686822"/>
    <w:rsid w:val="00686933"/>
    <w:rsid w:val="00686B37"/>
    <w:rsid w:val="00686C4E"/>
    <w:rsid w:val="00686D11"/>
    <w:rsid w:val="00686D78"/>
    <w:rsid w:val="00686FD6"/>
    <w:rsid w:val="0068752A"/>
    <w:rsid w:val="00687711"/>
    <w:rsid w:val="00687D4D"/>
    <w:rsid w:val="00690057"/>
    <w:rsid w:val="00690350"/>
    <w:rsid w:val="00690379"/>
    <w:rsid w:val="00690A08"/>
    <w:rsid w:val="00690CCD"/>
    <w:rsid w:val="00690D0A"/>
    <w:rsid w:val="00690E2C"/>
    <w:rsid w:val="0069149E"/>
    <w:rsid w:val="0069172C"/>
    <w:rsid w:val="00691C8D"/>
    <w:rsid w:val="00691D50"/>
    <w:rsid w:val="00691ECC"/>
    <w:rsid w:val="00691FB2"/>
    <w:rsid w:val="00692137"/>
    <w:rsid w:val="0069214F"/>
    <w:rsid w:val="00692195"/>
    <w:rsid w:val="006926C7"/>
    <w:rsid w:val="006927FA"/>
    <w:rsid w:val="00692AAE"/>
    <w:rsid w:val="00692C23"/>
    <w:rsid w:val="00692EE8"/>
    <w:rsid w:val="006933C9"/>
    <w:rsid w:val="006939DC"/>
    <w:rsid w:val="00693DD6"/>
    <w:rsid w:val="00693F6A"/>
    <w:rsid w:val="00694C4C"/>
    <w:rsid w:val="00694CA5"/>
    <w:rsid w:val="00694D2D"/>
    <w:rsid w:val="00694E93"/>
    <w:rsid w:val="00695821"/>
    <w:rsid w:val="00695BA1"/>
    <w:rsid w:val="00696144"/>
    <w:rsid w:val="0069639D"/>
    <w:rsid w:val="00696652"/>
    <w:rsid w:val="00696D1C"/>
    <w:rsid w:val="00696D39"/>
    <w:rsid w:val="00696DAA"/>
    <w:rsid w:val="006971C8"/>
    <w:rsid w:val="00697422"/>
    <w:rsid w:val="0069760F"/>
    <w:rsid w:val="0069761C"/>
    <w:rsid w:val="00697756"/>
    <w:rsid w:val="00697D47"/>
    <w:rsid w:val="00697F82"/>
    <w:rsid w:val="006A00BA"/>
    <w:rsid w:val="006A00C1"/>
    <w:rsid w:val="006A0281"/>
    <w:rsid w:val="006A0473"/>
    <w:rsid w:val="006A04BF"/>
    <w:rsid w:val="006A0586"/>
    <w:rsid w:val="006A0AAC"/>
    <w:rsid w:val="006A0D68"/>
    <w:rsid w:val="006A0EB1"/>
    <w:rsid w:val="006A1048"/>
    <w:rsid w:val="006A11A3"/>
    <w:rsid w:val="006A1711"/>
    <w:rsid w:val="006A1DF3"/>
    <w:rsid w:val="006A1F48"/>
    <w:rsid w:val="006A20DE"/>
    <w:rsid w:val="006A258D"/>
    <w:rsid w:val="006A2704"/>
    <w:rsid w:val="006A2724"/>
    <w:rsid w:val="006A27BF"/>
    <w:rsid w:val="006A2A29"/>
    <w:rsid w:val="006A3808"/>
    <w:rsid w:val="006A3BB4"/>
    <w:rsid w:val="006A3F57"/>
    <w:rsid w:val="006A41BB"/>
    <w:rsid w:val="006A4834"/>
    <w:rsid w:val="006A4BBE"/>
    <w:rsid w:val="006A502D"/>
    <w:rsid w:val="006A50D7"/>
    <w:rsid w:val="006A526E"/>
    <w:rsid w:val="006A55F2"/>
    <w:rsid w:val="006A5EDD"/>
    <w:rsid w:val="006A5FC2"/>
    <w:rsid w:val="006A61EF"/>
    <w:rsid w:val="006A64A1"/>
    <w:rsid w:val="006A6F5F"/>
    <w:rsid w:val="006A71FD"/>
    <w:rsid w:val="006A75EB"/>
    <w:rsid w:val="006A7D24"/>
    <w:rsid w:val="006A7DFB"/>
    <w:rsid w:val="006A7F8E"/>
    <w:rsid w:val="006B04F9"/>
    <w:rsid w:val="006B0B1E"/>
    <w:rsid w:val="006B0C9E"/>
    <w:rsid w:val="006B0CC4"/>
    <w:rsid w:val="006B0D87"/>
    <w:rsid w:val="006B10D2"/>
    <w:rsid w:val="006B11F5"/>
    <w:rsid w:val="006B127E"/>
    <w:rsid w:val="006B1411"/>
    <w:rsid w:val="006B1AD2"/>
    <w:rsid w:val="006B2327"/>
    <w:rsid w:val="006B2C53"/>
    <w:rsid w:val="006B2E3A"/>
    <w:rsid w:val="006B34AC"/>
    <w:rsid w:val="006B367D"/>
    <w:rsid w:val="006B3810"/>
    <w:rsid w:val="006B3914"/>
    <w:rsid w:val="006B3AE0"/>
    <w:rsid w:val="006B4BC9"/>
    <w:rsid w:val="006B4D7B"/>
    <w:rsid w:val="006B5134"/>
    <w:rsid w:val="006B5483"/>
    <w:rsid w:val="006B5492"/>
    <w:rsid w:val="006B565C"/>
    <w:rsid w:val="006B5769"/>
    <w:rsid w:val="006B5A35"/>
    <w:rsid w:val="006B5D38"/>
    <w:rsid w:val="006B5D54"/>
    <w:rsid w:val="006B5E99"/>
    <w:rsid w:val="006B6C56"/>
    <w:rsid w:val="006B6FE9"/>
    <w:rsid w:val="006B7251"/>
    <w:rsid w:val="006B72A5"/>
    <w:rsid w:val="006B73A9"/>
    <w:rsid w:val="006B767E"/>
    <w:rsid w:val="006B7BD9"/>
    <w:rsid w:val="006B7C27"/>
    <w:rsid w:val="006B7ED9"/>
    <w:rsid w:val="006B7F33"/>
    <w:rsid w:val="006B7FBE"/>
    <w:rsid w:val="006C02B8"/>
    <w:rsid w:val="006C0493"/>
    <w:rsid w:val="006C06E5"/>
    <w:rsid w:val="006C0982"/>
    <w:rsid w:val="006C0F3A"/>
    <w:rsid w:val="006C13E7"/>
    <w:rsid w:val="006C1AC3"/>
    <w:rsid w:val="006C1C8D"/>
    <w:rsid w:val="006C224B"/>
    <w:rsid w:val="006C2315"/>
    <w:rsid w:val="006C293C"/>
    <w:rsid w:val="006C2A2D"/>
    <w:rsid w:val="006C33DC"/>
    <w:rsid w:val="006C3484"/>
    <w:rsid w:val="006C35FF"/>
    <w:rsid w:val="006C367B"/>
    <w:rsid w:val="006C385A"/>
    <w:rsid w:val="006C3966"/>
    <w:rsid w:val="006C3968"/>
    <w:rsid w:val="006C399D"/>
    <w:rsid w:val="006C3D0D"/>
    <w:rsid w:val="006C3EF2"/>
    <w:rsid w:val="006C423A"/>
    <w:rsid w:val="006C442C"/>
    <w:rsid w:val="006C44F9"/>
    <w:rsid w:val="006C4549"/>
    <w:rsid w:val="006C4A0C"/>
    <w:rsid w:val="006C4ACF"/>
    <w:rsid w:val="006C4C36"/>
    <w:rsid w:val="006C5037"/>
    <w:rsid w:val="006C5096"/>
    <w:rsid w:val="006C52B3"/>
    <w:rsid w:val="006C575E"/>
    <w:rsid w:val="006C586F"/>
    <w:rsid w:val="006C58E2"/>
    <w:rsid w:val="006C5A6C"/>
    <w:rsid w:val="006C5B85"/>
    <w:rsid w:val="006C5E25"/>
    <w:rsid w:val="006C6302"/>
    <w:rsid w:val="006C64A0"/>
    <w:rsid w:val="006C655C"/>
    <w:rsid w:val="006C6575"/>
    <w:rsid w:val="006C6E2E"/>
    <w:rsid w:val="006C7243"/>
    <w:rsid w:val="006C73DC"/>
    <w:rsid w:val="006C7756"/>
    <w:rsid w:val="006D0245"/>
    <w:rsid w:val="006D07EF"/>
    <w:rsid w:val="006D0A45"/>
    <w:rsid w:val="006D0CE3"/>
    <w:rsid w:val="006D0F1E"/>
    <w:rsid w:val="006D0FAA"/>
    <w:rsid w:val="006D14E3"/>
    <w:rsid w:val="006D176C"/>
    <w:rsid w:val="006D182E"/>
    <w:rsid w:val="006D1898"/>
    <w:rsid w:val="006D1A40"/>
    <w:rsid w:val="006D1AF4"/>
    <w:rsid w:val="006D232F"/>
    <w:rsid w:val="006D2649"/>
    <w:rsid w:val="006D2D29"/>
    <w:rsid w:val="006D2F10"/>
    <w:rsid w:val="006D309C"/>
    <w:rsid w:val="006D36F6"/>
    <w:rsid w:val="006D375A"/>
    <w:rsid w:val="006D3898"/>
    <w:rsid w:val="006D408C"/>
    <w:rsid w:val="006D40DC"/>
    <w:rsid w:val="006D4230"/>
    <w:rsid w:val="006D4288"/>
    <w:rsid w:val="006D4797"/>
    <w:rsid w:val="006D4D76"/>
    <w:rsid w:val="006D4D8C"/>
    <w:rsid w:val="006D559E"/>
    <w:rsid w:val="006D55E1"/>
    <w:rsid w:val="006D589C"/>
    <w:rsid w:val="006D59B6"/>
    <w:rsid w:val="006D5F1D"/>
    <w:rsid w:val="006D5F95"/>
    <w:rsid w:val="006D605B"/>
    <w:rsid w:val="006D643E"/>
    <w:rsid w:val="006D66B5"/>
    <w:rsid w:val="006D6715"/>
    <w:rsid w:val="006D681E"/>
    <w:rsid w:val="006D6D67"/>
    <w:rsid w:val="006D6DBE"/>
    <w:rsid w:val="006D6EA8"/>
    <w:rsid w:val="006D7196"/>
    <w:rsid w:val="006D71A1"/>
    <w:rsid w:val="006D745B"/>
    <w:rsid w:val="006D762C"/>
    <w:rsid w:val="006D765B"/>
    <w:rsid w:val="006D786D"/>
    <w:rsid w:val="006D78E5"/>
    <w:rsid w:val="006D7E9C"/>
    <w:rsid w:val="006D7EFD"/>
    <w:rsid w:val="006D7F61"/>
    <w:rsid w:val="006E005B"/>
    <w:rsid w:val="006E015F"/>
    <w:rsid w:val="006E0286"/>
    <w:rsid w:val="006E05A5"/>
    <w:rsid w:val="006E0A69"/>
    <w:rsid w:val="006E1360"/>
    <w:rsid w:val="006E1464"/>
    <w:rsid w:val="006E1B83"/>
    <w:rsid w:val="006E1F51"/>
    <w:rsid w:val="006E2322"/>
    <w:rsid w:val="006E2499"/>
    <w:rsid w:val="006E2737"/>
    <w:rsid w:val="006E29A8"/>
    <w:rsid w:val="006E2C6F"/>
    <w:rsid w:val="006E2D97"/>
    <w:rsid w:val="006E2FCD"/>
    <w:rsid w:val="006E3024"/>
    <w:rsid w:val="006E33E7"/>
    <w:rsid w:val="006E3B6D"/>
    <w:rsid w:val="006E40D9"/>
    <w:rsid w:val="006E4571"/>
    <w:rsid w:val="006E458D"/>
    <w:rsid w:val="006E48AD"/>
    <w:rsid w:val="006E4B60"/>
    <w:rsid w:val="006E4B99"/>
    <w:rsid w:val="006E4EA5"/>
    <w:rsid w:val="006E51B8"/>
    <w:rsid w:val="006E51E2"/>
    <w:rsid w:val="006E5218"/>
    <w:rsid w:val="006E5537"/>
    <w:rsid w:val="006E5C18"/>
    <w:rsid w:val="006E5DC1"/>
    <w:rsid w:val="006E5F07"/>
    <w:rsid w:val="006E67FE"/>
    <w:rsid w:val="006E6B49"/>
    <w:rsid w:val="006E6E94"/>
    <w:rsid w:val="006E702B"/>
    <w:rsid w:val="006E7211"/>
    <w:rsid w:val="006E7279"/>
    <w:rsid w:val="006E7587"/>
    <w:rsid w:val="006E775F"/>
    <w:rsid w:val="006E77A9"/>
    <w:rsid w:val="006E7863"/>
    <w:rsid w:val="006E7B54"/>
    <w:rsid w:val="006F030E"/>
    <w:rsid w:val="006F0776"/>
    <w:rsid w:val="006F0929"/>
    <w:rsid w:val="006F09CA"/>
    <w:rsid w:val="006F0CB1"/>
    <w:rsid w:val="006F0E95"/>
    <w:rsid w:val="006F1136"/>
    <w:rsid w:val="006F1273"/>
    <w:rsid w:val="006F129D"/>
    <w:rsid w:val="006F1670"/>
    <w:rsid w:val="006F1B34"/>
    <w:rsid w:val="006F1B99"/>
    <w:rsid w:val="006F1CDD"/>
    <w:rsid w:val="006F20E2"/>
    <w:rsid w:val="006F20E3"/>
    <w:rsid w:val="006F25FB"/>
    <w:rsid w:val="006F29B4"/>
    <w:rsid w:val="006F29DC"/>
    <w:rsid w:val="006F2D7B"/>
    <w:rsid w:val="006F3024"/>
    <w:rsid w:val="006F3300"/>
    <w:rsid w:val="006F3321"/>
    <w:rsid w:val="006F33C7"/>
    <w:rsid w:val="006F3AF6"/>
    <w:rsid w:val="006F3D1E"/>
    <w:rsid w:val="006F3F3D"/>
    <w:rsid w:val="006F43DD"/>
    <w:rsid w:val="006F47AE"/>
    <w:rsid w:val="006F487D"/>
    <w:rsid w:val="006F49FC"/>
    <w:rsid w:val="006F4CE7"/>
    <w:rsid w:val="006F4D87"/>
    <w:rsid w:val="006F50AF"/>
    <w:rsid w:val="006F50C3"/>
    <w:rsid w:val="006F5E9F"/>
    <w:rsid w:val="006F63F5"/>
    <w:rsid w:val="006F67A3"/>
    <w:rsid w:val="006F6B56"/>
    <w:rsid w:val="006F76ED"/>
    <w:rsid w:val="006F796C"/>
    <w:rsid w:val="006F7A2D"/>
    <w:rsid w:val="006F7EE4"/>
    <w:rsid w:val="00700100"/>
    <w:rsid w:val="007002CA"/>
    <w:rsid w:val="00700354"/>
    <w:rsid w:val="007004E5"/>
    <w:rsid w:val="00700875"/>
    <w:rsid w:val="00700991"/>
    <w:rsid w:val="00700B2D"/>
    <w:rsid w:val="00700BE5"/>
    <w:rsid w:val="00701599"/>
    <w:rsid w:val="007015DD"/>
    <w:rsid w:val="007016CE"/>
    <w:rsid w:val="007016E8"/>
    <w:rsid w:val="00701770"/>
    <w:rsid w:val="00701C2B"/>
    <w:rsid w:val="00702198"/>
    <w:rsid w:val="00702613"/>
    <w:rsid w:val="0070297D"/>
    <w:rsid w:val="007029D6"/>
    <w:rsid w:val="00702B39"/>
    <w:rsid w:val="00702B7F"/>
    <w:rsid w:val="00702D48"/>
    <w:rsid w:val="00702E73"/>
    <w:rsid w:val="00703375"/>
    <w:rsid w:val="007036BC"/>
    <w:rsid w:val="007037AD"/>
    <w:rsid w:val="0070381F"/>
    <w:rsid w:val="007038F6"/>
    <w:rsid w:val="00703EA9"/>
    <w:rsid w:val="00703FE6"/>
    <w:rsid w:val="007040AD"/>
    <w:rsid w:val="007042C6"/>
    <w:rsid w:val="00704456"/>
    <w:rsid w:val="007046C3"/>
    <w:rsid w:val="007049F3"/>
    <w:rsid w:val="00704A56"/>
    <w:rsid w:val="00704B79"/>
    <w:rsid w:val="00705038"/>
    <w:rsid w:val="0070516B"/>
    <w:rsid w:val="00705873"/>
    <w:rsid w:val="00705AE9"/>
    <w:rsid w:val="00705B04"/>
    <w:rsid w:val="00705FDB"/>
    <w:rsid w:val="00706499"/>
    <w:rsid w:val="007065E5"/>
    <w:rsid w:val="00706A78"/>
    <w:rsid w:val="00706CD9"/>
    <w:rsid w:val="00706E63"/>
    <w:rsid w:val="0070778A"/>
    <w:rsid w:val="00707F82"/>
    <w:rsid w:val="00707FA0"/>
    <w:rsid w:val="00710123"/>
    <w:rsid w:val="00710538"/>
    <w:rsid w:val="00710A01"/>
    <w:rsid w:val="00710A37"/>
    <w:rsid w:val="00710A73"/>
    <w:rsid w:val="00710B0C"/>
    <w:rsid w:val="00711142"/>
    <w:rsid w:val="007111AC"/>
    <w:rsid w:val="0071124D"/>
    <w:rsid w:val="00711403"/>
    <w:rsid w:val="0071144B"/>
    <w:rsid w:val="00711959"/>
    <w:rsid w:val="00711C35"/>
    <w:rsid w:val="00711C69"/>
    <w:rsid w:val="0071203C"/>
    <w:rsid w:val="007125F2"/>
    <w:rsid w:val="007126AD"/>
    <w:rsid w:val="00712973"/>
    <w:rsid w:val="00712A7A"/>
    <w:rsid w:val="00712FF4"/>
    <w:rsid w:val="007130F9"/>
    <w:rsid w:val="00713543"/>
    <w:rsid w:val="007137A8"/>
    <w:rsid w:val="00713B12"/>
    <w:rsid w:val="00713B36"/>
    <w:rsid w:val="00713C3E"/>
    <w:rsid w:val="00713D89"/>
    <w:rsid w:val="00713F3D"/>
    <w:rsid w:val="007142A4"/>
    <w:rsid w:val="00714345"/>
    <w:rsid w:val="00714F34"/>
    <w:rsid w:val="00715137"/>
    <w:rsid w:val="007157A1"/>
    <w:rsid w:val="00715838"/>
    <w:rsid w:val="00715D98"/>
    <w:rsid w:val="00715DF4"/>
    <w:rsid w:val="00715EA8"/>
    <w:rsid w:val="00715EBC"/>
    <w:rsid w:val="007160D1"/>
    <w:rsid w:val="007162AC"/>
    <w:rsid w:val="0071659F"/>
    <w:rsid w:val="0071669A"/>
    <w:rsid w:val="00716930"/>
    <w:rsid w:val="00716A2F"/>
    <w:rsid w:val="00716C08"/>
    <w:rsid w:val="00716EEB"/>
    <w:rsid w:val="00717026"/>
    <w:rsid w:val="007172CF"/>
    <w:rsid w:val="007172E4"/>
    <w:rsid w:val="00717A75"/>
    <w:rsid w:val="00717CBC"/>
    <w:rsid w:val="007202D0"/>
    <w:rsid w:val="0072041D"/>
    <w:rsid w:val="00720A87"/>
    <w:rsid w:val="00720A93"/>
    <w:rsid w:val="0072107D"/>
    <w:rsid w:val="0072141F"/>
    <w:rsid w:val="007215CC"/>
    <w:rsid w:val="00721743"/>
    <w:rsid w:val="007218EB"/>
    <w:rsid w:val="00721F68"/>
    <w:rsid w:val="007226DE"/>
    <w:rsid w:val="00722A03"/>
    <w:rsid w:val="00722DAD"/>
    <w:rsid w:val="0072303D"/>
    <w:rsid w:val="0072328B"/>
    <w:rsid w:val="0072330E"/>
    <w:rsid w:val="00723647"/>
    <w:rsid w:val="00723779"/>
    <w:rsid w:val="0072380A"/>
    <w:rsid w:val="007238E8"/>
    <w:rsid w:val="00723C45"/>
    <w:rsid w:val="00723CFD"/>
    <w:rsid w:val="00723D65"/>
    <w:rsid w:val="00723E33"/>
    <w:rsid w:val="007240CA"/>
    <w:rsid w:val="0072429B"/>
    <w:rsid w:val="00724719"/>
    <w:rsid w:val="00724852"/>
    <w:rsid w:val="007249B8"/>
    <w:rsid w:val="00724A51"/>
    <w:rsid w:val="00724AE2"/>
    <w:rsid w:val="00725216"/>
    <w:rsid w:val="0072537C"/>
    <w:rsid w:val="00725846"/>
    <w:rsid w:val="007258D5"/>
    <w:rsid w:val="00725F8B"/>
    <w:rsid w:val="0072623D"/>
    <w:rsid w:val="00726546"/>
    <w:rsid w:val="0072660D"/>
    <w:rsid w:val="00726894"/>
    <w:rsid w:val="00726CCF"/>
    <w:rsid w:val="00726DDA"/>
    <w:rsid w:val="00727063"/>
    <w:rsid w:val="0072744F"/>
    <w:rsid w:val="00727EE7"/>
    <w:rsid w:val="00727FF2"/>
    <w:rsid w:val="00730056"/>
    <w:rsid w:val="0073015A"/>
    <w:rsid w:val="007301E6"/>
    <w:rsid w:val="00730461"/>
    <w:rsid w:val="0073072F"/>
    <w:rsid w:val="00730AD4"/>
    <w:rsid w:val="00730C26"/>
    <w:rsid w:val="00730ECF"/>
    <w:rsid w:val="00730F80"/>
    <w:rsid w:val="007310AC"/>
    <w:rsid w:val="007311A1"/>
    <w:rsid w:val="0073144D"/>
    <w:rsid w:val="007316E3"/>
    <w:rsid w:val="00731966"/>
    <w:rsid w:val="00731C40"/>
    <w:rsid w:val="007324CB"/>
    <w:rsid w:val="0073250B"/>
    <w:rsid w:val="00732976"/>
    <w:rsid w:val="00732A5D"/>
    <w:rsid w:val="00732EB0"/>
    <w:rsid w:val="007338E1"/>
    <w:rsid w:val="00733977"/>
    <w:rsid w:val="00733C6A"/>
    <w:rsid w:val="00733D32"/>
    <w:rsid w:val="00733D50"/>
    <w:rsid w:val="007346FE"/>
    <w:rsid w:val="007347E7"/>
    <w:rsid w:val="00734DFF"/>
    <w:rsid w:val="007351A5"/>
    <w:rsid w:val="007356F8"/>
    <w:rsid w:val="007359EB"/>
    <w:rsid w:val="00735FBF"/>
    <w:rsid w:val="00736645"/>
    <w:rsid w:val="007368E9"/>
    <w:rsid w:val="00736935"/>
    <w:rsid w:val="00736ACF"/>
    <w:rsid w:val="00736B72"/>
    <w:rsid w:val="00736B8C"/>
    <w:rsid w:val="0073705A"/>
    <w:rsid w:val="00737123"/>
    <w:rsid w:val="007371F9"/>
    <w:rsid w:val="0073724C"/>
    <w:rsid w:val="00737611"/>
    <w:rsid w:val="00737666"/>
    <w:rsid w:val="00737D80"/>
    <w:rsid w:val="00737FD5"/>
    <w:rsid w:val="0074048B"/>
    <w:rsid w:val="007404E2"/>
    <w:rsid w:val="00740F03"/>
    <w:rsid w:val="00741400"/>
    <w:rsid w:val="00741511"/>
    <w:rsid w:val="00741755"/>
    <w:rsid w:val="00741EA3"/>
    <w:rsid w:val="00741EAD"/>
    <w:rsid w:val="00741F04"/>
    <w:rsid w:val="007422FD"/>
    <w:rsid w:val="00742328"/>
    <w:rsid w:val="0074271A"/>
    <w:rsid w:val="0074292C"/>
    <w:rsid w:val="00742AAA"/>
    <w:rsid w:val="00742F27"/>
    <w:rsid w:val="007431D8"/>
    <w:rsid w:val="00743BB3"/>
    <w:rsid w:val="00744321"/>
    <w:rsid w:val="00744C04"/>
    <w:rsid w:val="00744FAB"/>
    <w:rsid w:val="00745026"/>
    <w:rsid w:val="00745613"/>
    <w:rsid w:val="007458B7"/>
    <w:rsid w:val="00745A1D"/>
    <w:rsid w:val="00745DCF"/>
    <w:rsid w:val="00745E2C"/>
    <w:rsid w:val="00745F90"/>
    <w:rsid w:val="007460A6"/>
    <w:rsid w:val="00746248"/>
    <w:rsid w:val="00746392"/>
    <w:rsid w:val="00746407"/>
    <w:rsid w:val="007464CB"/>
    <w:rsid w:val="00746655"/>
    <w:rsid w:val="00746C88"/>
    <w:rsid w:val="00746DCB"/>
    <w:rsid w:val="00746F37"/>
    <w:rsid w:val="007471D8"/>
    <w:rsid w:val="00747AB5"/>
    <w:rsid w:val="00747E12"/>
    <w:rsid w:val="00750176"/>
    <w:rsid w:val="007501B8"/>
    <w:rsid w:val="007502D9"/>
    <w:rsid w:val="007506C5"/>
    <w:rsid w:val="00750864"/>
    <w:rsid w:val="00750F84"/>
    <w:rsid w:val="00751035"/>
    <w:rsid w:val="007513DA"/>
    <w:rsid w:val="0075155B"/>
    <w:rsid w:val="0075184B"/>
    <w:rsid w:val="00751A3A"/>
    <w:rsid w:val="00751E5F"/>
    <w:rsid w:val="00751EC4"/>
    <w:rsid w:val="00752143"/>
    <w:rsid w:val="0075218C"/>
    <w:rsid w:val="00752587"/>
    <w:rsid w:val="00752C9F"/>
    <w:rsid w:val="007537E8"/>
    <w:rsid w:val="00753ACE"/>
    <w:rsid w:val="00753C24"/>
    <w:rsid w:val="00753CAD"/>
    <w:rsid w:val="007540A7"/>
    <w:rsid w:val="0075431E"/>
    <w:rsid w:val="007546FB"/>
    <w:rsid w:val="00754B42"/>
    <w:rsid w:val="00754D26"/>
    <w:rsid w:val="007554A7"/>
    <w:rsid w:val="007555AD"/>
    <w:rsid w:val="007556B9"/>
    <w:rsid w:val="0075574A"/>
    <w:rsid w:val="00755940"/>
    <w:rsid w:val="00755BA9"/>
    <w:rsid w:val="007564D1"/>
    <w:rsid w:val="007569A4"/>
    <w:rsid w:val="00756E2F"/>
    <w:rsid w:val="0075729C"/>
    <w:rsid w:val="007575FE"/>
    <w:rsid w:val="00757799"/>
    <w:rsid w:val="00757AA4"/>
    <w:rsid w:val="00757D08"/>
    <w:rsid w:val="00757E54"/>
    <w:rsid w:val="0076028C"/>
    <w:rsid w:val="0076058A"/>
    <w:rsid w:val="007608A1"/>
    <w:rsid w:val="00760A0C"/>
    <w:rsid w:val="00760AF3"/>
    <w:rsid w:val="00761295"/>
    <w:rsid w:val="007612AC"/>
    <w:rsid w:val="0076167A"/>
    <w:rsid w:val="007617FB"/>
    <w:rsid w:val="007618BE"/>
    <w:rsid w:val="00761DA7"/>
    <w:rsid w:val="00761F85"/>
    <w:rsid w:val="00761FE0"/>
    <w:rsid w:val="00762BD6"/>
    <w:rsid w:val="00762C3E"/>
    <w:rsid w:val="00762D85"/>
    <w:rsid w:val="00763210"/>
    <w:rsid w:val="007635BE"/>
    <w:rsid w:val="0076388C"/>
    <w:rsid w:val="00763B6E"/>
    <w:rsid w:val="00763D89"/>
    <w:rsid w:val="0076403B"/>
    <w:rsid w:val="0076436E"/>
    <w:rsid w:val="007643EC"/>
    <w:rsid w:val="00764AFE"/>
    <w:rsid w:val="00764C85"/>
    <w:rsid w:val="00764D11"/>
    <w:rsid w:val="0076543C"/>
    <w:rsid w:val="007654AE"/>
    <w:rsid w:val="0076555E"/>
    <w:rsid w:val="00765A0A"/>
    <w:rsid w:val="00765A54"/>
    <w:rsid w:val="00765BF8"/>
    <w:rsid w:val="00765D21"/>
    <w:rsid w:val="00766228"/>
    <w:rsid w:val="00766544"/>
    <w:rsid w:val="00766680"/>
    <w:rsid w:val="0076680C"/>
    <w:rsid w:val="00766964"/>
    <w:rsid w:val="00766B5F"/>
    <w:rsid w:val="00766C1A"/>
    <w:rsid w:val="00766DF0"/>
    <w:rsid w:val="00766E15"/>
    <w:rsid w:val="00766FD1"/>
    <w:rsid w:val="00766FFA"/>
    <w:rsid w:val="0076702E"/>
    <w:rsid w:val="007673CE"/>
    <w:rsid w:val="007673FA"/>
    <w:rsid w:val="007676C2"/>
    <w:rsid w:val="00767933"/>
    <w:rsid w:val="00767BA7"/>
    <w:rsid w:val="00767D29"/>
    <w:rsid w:val="00767DA1"/>
    <w:rsid w:val="00767F0C"/>
    <w:rsid w:val="00767F15"/>
    <w:rsid w:val="00770450"/>
    <w:rsid w:val="00770685"/>
    <w:rsid w:val="00770AB7"/>
    <w:rsid w:val="00770B95"/>
    <w:rsid w:val="00770E92"/>
    <w:rsid w:val="00770E94"/>
    <w:rsid w:val="00770F36"/>
    <w:rsid w:val="00770FEE"/>
    <w:rsid w:val="007714B8"/>
    <w:rsid w:val="00771526"/>
    <w:rsid w:val="0077191C"/>
    <w:rsid w:val="00771A1D"/>
    <w:rsid w:val="00771CAC"/>
    <w:rsid w:val="00771DFD"/>
    <w:rsid w:val="00771F93"/>
    <w:rsid w:val="00771FCC"/>
    <w:rsid w:val="007723E7"/>
    <w:rsid w:val="00772AFD"/>
    <w:rsid w:val="00772B88"/>
    <w:rsid w:val="00772FD6"/>
    <w:rsid w:val="0077302D"/>
    <w:rsid w:val="007730E5"/>
    <w:rsid w:val="00773696"/>
    <w:rsid w:val="0077373D"/>
    <w:rsid w:val="0077387C"/>
    <w:rsid w:val="0077390A"/>
    <w:rsid w:val="0077419F"/>
    <w:rsid w:val="00774845"/>
    <w:rsid w:val="00774928"/>
    <w:rsid w:val="00774AB5"/>
    <w:rsid w:val="00774BAF"/>
    <w:rsid w:val="00774C72"/>
    <w:rsid w:val="00774E08"/>
    <w:rsid w:val="00775532"/>
    <w:rsid w:val="00775659"/>
    <w:rsid w:val="00775964"/>
    <w:rsid w:val="00775C69"/>
    <w:rsid w:val="00775E24"/>
    <w:rsid w:val="00776150"/>
    <w:rsid w:val="00776574"/>
    <w:rsid w:val="007765F9"/>
    <w:rsid w:val="00776743"/>
    <w:rsid w:val="007769C1"/>
    <w:rsid w:val="00776A90"/>
    <w:rsid w:val="00776A97"/>
    <w:rsid w:val="00776B9B"/>
    <w:rsid w:val="00776DA0"/>
    <w:rsid w:val="00776E21"/>
    <w:rsid w:val="00776FB0"/>
    <w:rsid w:val="00777079"/>
    <w:rsid w:val="00777172"/>
    <w:rsid w:val="007772E9"/>
    <w:rsid w:val="00777303"/>
    <w:rsid w:val="00777654"/>
    <w:rsid w:val="00777A81"/>
    <w:rsid w:val="00777AB6"/>
    <w:rsid w:val="00777CCE"/>
    <w:rsid w:val="0078030B"/>
    <w:rsid w:val="007803D8"/>
    <w:rsid w:val="007804A8"/>
    <w:rsid w:val="00780563"/>
    <w:rsid w:val="00780EC4"/>
    <w:rsid w:val="00781905"/>
    <w:rsid w:val="007819C6"/>
    <w:rsid w:val="00781B71"/>
    <w:rsid w:val="007825C8"/>
    <w:rsid w:val="00783045"/>
    <w:rsid w:val="0078356C"/>
    <w:rsid w:val="007835C9"/>
    <w:rsid w:val="00783C71"/>
    <w:rsid w:val="00783D57"/>
    <w:rsid w:val="00783F93"/>
    <w:rsid w:val="00784D4B"/>
    <w:rsid w:val="007852E2"/>
    <w:rsid w:val="00785325"/>
    <w:rsid w:val="00785369"/>
    <w:rsid w:val="00785397"/>
    <w:rsid w:val="00785531"/>
    <w:rsid w:val="00785534"/>
    <w:rsid w:val="00785A93"/>
    <w:rsid w:val="00785CDB"/>
    <w:rsid w:val="00785FEA"/>
    <w:rsid w:val="00786058"/>
    <w:rsid w:val="0078653C"/>
    <w:rsid w:val="007865C9"/>
    <w:rsid w:val="00786B0B"/>
    <w:rsid w:val="00786EF9"/>
    <w:rsid w:val="007871B6"/>
    <w:rsid w:val="00787626"/>
    <w:rsid w:val="0078763F"/>
    <w:rsid w:val="00787A5A"/>
    <w:rsid w:val="00790001"/>
    <w:rsid w:val="00790156"/>
    <w:rsid w:val="007902D0"/>
    <w:rsid w:val="00790447"/>
    <w:rsid w:val="0079065B"/>
    <w:rsid w:val="0079118E"/>
    <w:rsid w:val="007912B2"/>
    <w:rsid w:val="007916B6"/>
    <w:rsid w:val="007918D7"/>
    <w:rsid w:val="00791AB8"/>
    <w:rsid w:val="0079217E"/>
    <w:rsid w:val="00792843"/>
    <w:rsid w:val="0079284F"/>
    <w:rsid w:val="00792C1E"/>
    <w:rsid w:val="00792CC6"/>
    <w:rsid w:val="00792CF7"/>
    <w:rsid w:val="00792D54"/>
    <w:rsid w:val="00792E33"/>
    <w:rsid w:val="00792F1D"/>
    <w:rsid w:val="007934EE"/>
    <w:rsid w:val="007934FA"/>
    <w:rsid w:val="0079359A"/>
    <w:rsid w:val="007935F9"/>
    <w:rsid w:val="00793610"/>
    <w:rsid w:val="00793652"/>
    <w:rsid w:val="00793937"/>
    <w:rsid w:val="00793D3D"/>
    <w:rsid w:val="00793FE6"/>
    <w:rsid w:val="00794137"/>
    <w:rsid w:val="007942D1"/>
    <w:rsid w:val="007943CC"/>
    <w:rsid w:val="00794909"/>
    <w:rsid w:val="00794B02"/>
    <w:rsid w:val="0079556F"/>
    <w:rsid w:val="007956AE"/>
    <w:rsid w:val="00795C2F"/>
    <w:rsid w:val="00796393"/>
    <w:rsid w:val="007969DA"/>
    <w:rsid w:val="00796D76"/>
    <w:rsid w:val="00796E4D"/>
    <w:rsid w:val="00796EC3"/>
    <w:rsid w:val="007970C4"/>
    <w:rsid w:val="0079718E"/>
    <w:rsid w:val="00797195"/>
    <w:rsid w:val="007971E9"/>
    <w:rsid w:val="00797424"/>
    <w:rsid w:val="0079749D"/>
    <w:rsid w:val="007975A9"/>
    <w:rsid w:val="00797964"/>
    <w:rsid w:val="00797A73"/>
    <w:rsid w:val="00797AA9"/>
    <w:rsid w:val="00797B1A"/>
    <w:rsid w:val="00797DBD"/>
    <w:rsid w:val="00797F16"/>
    <w:rsid w:val="00797F39"/>
    <w:rsid w:val="007A0439"/>
    <w:rsid w:val="007A072F"/>
    <w:rsid w:val="007A0AA6"/>
    <w:rsid w:val="007A0B23"/>
    <w:rsid w:val="007A115A"/>
    <w:rsid w:val="007A12A6"/>
    <w:rsid w:val="007A14D7"/>
    <w:rsid w:val="007A154B"/>
    <w:rsid w:val="007A1DD5"/>
    <w:rsid w:val="007A1EC5"/>
    <w:rsid w:val="007A2260"/>
    <w:rsid w:val="007A259D"/>
    <w:rsid w:val="007A2763"/>
    <w:rsid w:val="007A29BF"/>
    <w:rsid w:val="007A2D66"/>
    <w:rsid w:val="007A30F1"/>
    <w:rsid w:val="007A336D"/>
    <w:rsid w:val="007A35A0"/>
    <w:rsid w:val="007A37C1"/>
    <w:rsid w:val="007A3989"/>
    <w:rsid w:val="007A39A7"/>
    <w:rsid w:val="007A3C03"/>
    <w:rsid w:val="007A3D30"/>
    <w:rsid w:val="007A3F0B"/>
    <w:rsid w:val="007A446C"/>
    <w:rsid w:val="007A4A8C"/>
    <w:rsid w:val="007A4AF9"/>
    <w:rsid w:val="007A4D7B"/>
    <w:rsid w:val="007A4FC7"/>
    <w:rsid w:val="007A533C"/>
    <w:rsid w:val="007A5364"/>
    <w:rsid w:val="007A5380"/>
    <w:rsid w:val="007A56D5"/>
    <w:rsid w:val="007A59AC"/>
    <w:rsid w:val="007A5A1B"/>
    <w:rsid w:val="007A603A"/>
    <w:rsid w:val="007A6865"/>
    <w:rsid w:val="007A6A04"/>
    <w:rsid w:val="007A6AD1"/>
    <w:rsid w:val="007A6BD2"/>
    <w:rsid w:val="007A7326"/>
    <w:rsid w:val="007A73DF"/>
    <w:rsid w:val="007A75C7"/>
    <w:rsid w:val="007A7739"/>
    <w:rsid w:val="007A7D1B"/>
    <w:rsid w:val="007A7D9B"/>
    <w:rsid w:val="007B032F"/>
    <w:rsid w:val="007B0346"/>
    <w:rsid w:val="007B0484"/>
    <w:rsid w:val="007B04DA"/>
    <w:rsid w:val="007B0860"/>
    <w:rsid w:val="007B0883"/>
    <w:rsid w:val="007B0E72"/>
    <w:rsid w:val="007B13B7"/>
    <w:rsid w:val="007B1A5E"/>
    <w:rsid w:val="007B1AC5"/>
    <w:rsid w:val="007B1C12"/>
    <w:rsid w:val="007B1D0C"/>
    <w:rsid w:val="007B1DF8"/>
    <w:rsid w:val="007B20F3"/>
    <w:rsid w:val="007B2495"/>
    <w:rsid w:val="007B26CD"/>
    <w:rsid w:val="007B2805"/>
    <w:rsid w:val="007B2B98"/>
    <w:rsid w:val="007B2C5D"/>
    <w:rsid w:val="007B2E62"/>
    <w:rsid w:val="007B35E9"/>
    <w:rsid w:val="007B39CA"/>
    <w:rsid w:val="007B3AE1"/>
    <w:rsid w:val="007B3E2A"/>
    <w:rsid w:val="007B4538"/>
    <w:rsid w:val="007B4573"/>
    <w:rsid w:val="007B47B3"/>
    <w:rsid w:val="007B4BD2"/>
    <w:rsid w:val="007B4BE0"/>
    <w:rsid w:val="007B4D63"/>
    <w:rsid w:val="007B4E09"/>
    <w:rsid w:val="007B5098"/>
    <w:rsid w:val="007B53DD"/>
    <w:rsid w:val="007B542C"/>
    <w:rsid w:val="007B576B"/>
    <w:rsid w:val="007B58BE"/>
    <w:rsid w:val="007B58FA"/>
    <w:rsid w:val="007B5A66"/>
    <w:rsid w:val="007B5BAC"/>
    <w:rsid w:val="007B5E2B"/>
    <w:rsid w:val="007B6975"/>
    <w:rsid w:val="007B6DAB"/>
    <w:rsid w:val="007B779A"/>
    <w:rsid w:val="007C0365"/>
    <w:rsid w:val="007C094E"/>
    <w:rsid w:val="007C0992"/>
    <w:rsid w:val="007C0C4B"/>
    <w:rsid w:val="007C1216"/>
    <w:rsid w:val="007C1724"/>
    <w:rsid w:val="007C189F"/>
    <w:rsid w:val="007C1929"/>
    <w:rsid w:val="007C198A"/>
    <w:rsid w:val="007C22FC"/>
    <w:rsid w:val="007C255B"/>
    <w:rsid w:val="007C2A54"/>
    <w:rsid w:val="007C2F05"/>
    <w:rsid w:val="007C2FD4"/>
    <w:rsid w:val="007C31C1"/>
    <w:rsid w:val="007C345D"/>
    <w:rsid w:val="007C3666"/>
    <w:rsid w:val="007C3822"/>
    <w:rsid w:val="007C399F"/>
    <w:rsid w:val="007C3AAD"/>
    <w:rsid w:val="007C44A5"/>
    <w:rsid w:val="007C45AD"/>
    <w:rsid w:val="007C4649"/>
    <w:rsid w:val="007C476C"/>
    <w:rsid w:val="007C4790"/>
    <w:rsid w:val="007C4995"/>
    <w:rsid w:val="007C4A5B"/>
    <w:rsid w:val="007C534B"/>
    <w:rsid w:val="007C57A3"/>
    <w:rsid w:val="007C581D"/>
    <w:rsid w:val="007C5DFC"/>
    <w:rsid w:val="007C5E1E"/>
    <w:rsid w:val="007C5FF7"/>
    <w:rsid w:val="007C604B"/>
    <w:rsid w:val="007C618B"/>
    <w:rsid w:val="007C69F5"/>
    <w:rsid w:val="007C6A6A"/>
    <w:rsid w:val="007C6ADF"/>
    <w:rsid w:val="007C6D1E"/>
    <w:rsid w:val="007C6D46"/>
    <w:rsid w:val="007C717E"/>
    <w:rsid w:val="007C74A6"/>
    <w:rsid w:val="007C7572"/>
    <w:rsid w:val="007C78AB"/>
    <w:rsid w:val="007C7FDF"/>
    <w:rsid w:val="007D0112"/>
    <w:rsid w:val="007D0958"/>
    <w:rsid w:val="007D11E1"/>
    <w:rsid w:val="007D1275"/>
    <w:rsid w:val="007D1B13"/>
    <w:rsid w:val="007D1B7E"/>
    <w:rsid w:val="007D2703"/>
    <w:rsid w:val="007D27FE"/>
    <w:rsid w:val="007D29C9"/>
    <w:rsid w:val="007D2C04"/>
    <w:rsid w:val="007D2CDA"/>
    <w:rsid w:val="007D2D69"/>
    <w:rsid w:val="007D2ED3"/>
    <w:rsid w:val="007D2EF6"/>
    <w:rsid w:val="007D2FC5"/>
    <w:rsid w:val="007D3005"/>
    <w:rsid w:val="007D3793"/>
    <w:rsid w:val="007D3971"/>
    <w:rsid w:val="007D3AF6"/>
    <w:rsid w:val="007D4137"/>
    <w:rsid w:val="007D4189"/>
    <w:rsid w:val="007D4647"/>
    <w:rsid w:val="007D4B2C"/>
    <w:rsid w:val="007D4BE6"/>
    <w:rsid w:val="007D4EB5"/>
    <w:rsid w:val="007D50EA"/>
    <w:rsid w:val="007D562F"/>
    <w:rsid w:val="007D577D"/>
    <w:rsid w:val="007D59D4"/>
    <w:rsid w:val="007D6164"/>
    <w:rsid w:val="007D6260"/>
    <w:rsid w:val="007D641A"/>
    <w:rsid w:val="007D6636"/>
    <w:rsid w:val="007D6771"/>
    <w:rsid w:val="007D6808"/>
    <w:rsid w:val="007D68E0"/>
    <w:rsid w:val="007D699E"/>
    <w:rsid w:val="007D6A31"/>
    <w:rsid w:val="007D6F1C"/>
    <w:rsid w:val="007D6F25"/>
    <w:rsid w:val="007D73DF"/>
    <w:rsid w:val="007D7B2F"/>
    <w:rsid w:val="007D7C48"/>
    <w:rsid w:val="007D7D4B"/>
    <w:rsid w:val="007D7D65"/>
    <w:rsid w:val="007E0295"/>
    <w:rsid w:val="007E0456"/>
    <w:rsid w:val="007E0605"/>
    <w:rsid w:val="007E0628"/>
    <w:rsid w:val="007E06AD"/>
    <w:rsid w:val="007E070D"/>
    <w:rsid w:val="007E0874"/>
    <w:rsid w:val="007E1785"/>
    <w:rsid w:val="007E1A65"/>
    <w:rsid w:val="007E1AB2"/>
    <w:rsid w:val="007E1BFF"/>
    <w:rsid w:val="007E2661"/>
    <w:rsid w:val="007E268E"/>
    <w:rsid w:val="007E2768"/>
    <w:rsid w:val="007E2A24"/>
    <w:rsid w:val="007E2AB7"/>
    <w:rsid w:val="007E2E03"/>
    <w:rsid w:val="007E31E8"/>
    <w:rsid w:val="007E3396"/>
    <w:rsid w:val="007E3401"/>
    <w:rsid w:val="007E3538"/>
    <w:rsid w:val="007E393C"/>
    <w:rsid w:val="007E395B"/>
    <w:rsid w:val="007E3B65"/>
    <w:rsid w:val="007E3D69"/>
    <w:rsid w:val="007E4153"/>
    <w:rsid w:val="007E4294"/>
    <w:rsid w:val="007E46A7"/>
    <w:rsid w:val="007E48FA"/>
    <w:rsid w:val="007E4C48"/>
    <w:rsid w:val="007E4D4B"/>
    <w:rsid w:val="007E4F17"/>
    <w:rsid w:val="007E590E"/>
    <w:rsid w:val="007E5A5D"/>
    <w:rsid w:val="007E5C64"/>
    <w:rsid w:val="007E5EB0"/>
    <w:rsid w:val="007E608E"/>
    <w:rsid w:val="007E60B3"/>
    <w:rsid w:val="007E6245"/>
    <w:rsid w:val="007E6BD3"/>
    <w:rsid w:val="007E6C78"/>
    <w:rsid w:val="007E6CC0"/>
    <w:rsid w:val="007E6EF0"/>
    <w:rsid w:val="007E7404"/>
    <w:rsid w:val="007E77B9"/>
    <w:rsid w:val="007E7A21"/>
    <w:rsid w:val="007E7F2D"/>
    <w:rsid w:val="007F003D"/>
    <w:rsid w:val="007F06B2"/>
    <w:rsid w:val="007F0907"/>
    <w:rsid w:val="007F0C66"/>
    <w:rsid w:val="007F0EF8"/>
    <w:rsid w:val="007F1147"/>
    <w:rsid w:val="007F13DA"/>
    <w:rsid w:val="007F13F0"/>
    <w:rsid w:val="007F17C3"/>
    <w:rsid w:val="007F1AC4"/>
    <w:rsid w:val="007F21BE"/>
    <w:rsid w:val="007F229E"/>
    <w:rsid w:val="007F22F1"/>
    <w:rsid w:val="007F239D"/>
    <w:rsid w:val="007F2990"/>
    <w:rsid w:val="007F29F0"/>
    <w:rsid w:val="007F2D41"/>
    <w:rsid w:val="007F3491"/>
    <w:rsid w:val="007F367F"/>
    <w:rsid w:val="007F3A7C"/>
    <w:rsid w:val="007F3DB4"/>
    <w:rsid w:val="007F3F49"/>
    <w:rsid w:val="007F4193"/>
    <w:rsid w:val="007F4385"/>
    <w:rsid w:val="007F46F1"/>
    <w:rsid w:val="007F4BA8"/>
    <w:rsid w:val="007F4DDD"/>
    <w:rsid w:val="007F5003"/>
    <w:rsid w:val="007F5265"/>
    <w:rsid w:val="007F5671"/>
    <w:rsid w:val="007F576F"/>
    <w:rsid w:val="007F5E1A"/>
    <w:rsid w:val="007F5EDE"/>
    <w:rsid w:val="007F6AD4"/>
    <w:rsid w:val="007F6BD1"/>
    <w:rsid w:val="007F6EA4"/>
    <w:rsid w:val="007F6F3D"/>
    <w:rsid w:val="007F7092"/>
    <w:rsid w:val="007F723E"/>
    <w:rsid w:val="007F773B"/>
    <w:rsid w:val="007F7A6A"/>
    <w:rsid w:val="00800167"/>
    <w:rsid w:val="00800341"/>
    <w:rsid w:val="00800382"/>
    <w:rsid w:val="008003EF"/>
    <w:rsid w:val="0080075F"/>
    <w:rsid w:val="00800B33"/>
    <w:rsid w:val="00800BE1"/>
    <w:rsid w:val="00800BF6"/>
    <w:rsid w:val="00800C20"/>
    <w:rsid w:val="00800E55"/>
    <w:rsid w:val="00800F40"/>
    <w:rsid w:val="0080105A"/>
    <w:rsid w:val="008012EB"/>
    <w:rsid w:val="008015F1"/>
    <w:rsid w:val="008016D5"/>
    <w:rsid w:val="00801C6F"/>
    <w:rsid w:val="00801D98"/>
    <w:rsid w:val="00801D9C"/>
    <w:rsid w:val="00801E5C"/>
    <w:rsid w:val="008023E1"/>
    <w:rsid w:val="00802584"/>
    <w:rsid w:val="0080277B"/>
    <w:rsid w:val="0080277E"/>
    <w:rsid w:val="00803491"/>
    <w:rsid w:val="0080351F"/>
    <w:rsid w:val="0080356A"/>
    <w:rsid w:val="00803641"/>
    <w:rsid w:val="00803674"/>
    <w:rsid w:val="008037F9"/>
    <w:rsid w:val="00803837"/>
    <w:rsid w:val="00803C02"/>
    <w:rsid w:val="00803F3A"/>
    <w:rsid w:val="00804145"/>
    <w:rsid w:val="008041F2"/>
    <w:rsid w:val="008047DD"/>
    <w:rsid w:val="00804ABF"/>
    <w:rsid w:val="00804C81"/>
    <w:rsid w:val="00804F3F"/>
    <w:rsid w:val="00805073"/>
    <w:rsid w:val="0080540B"/>
    <w:rsid w:val="008058F5"/>
    <w:rsid w:val="00805981"/>
    <w:rsid w:val="00805B84"/>
    <w:rsid w:val="00805BDD"/>
    <w:rsid w:val="00805CD1"/>
    <w:rsid w:val="00805DA8"/>
    <w:rsid w:val="00805E5C"/>
    <w:rsid w:val="0080671D"/>
    <w:rsid w:val="00806770"/>
    <w:rsid w:val="008068C7"/>
    <w:rsid w:val="00806966"/>
    <w:rsid w:val="00806C09"/>
    <w:rsid w:val="00806D05"/>
    <w:rsid w:val="00806E4E"/>
    <w:rsid w:val="00807205"/>
    <w:rsid w:val="008077CC"/>
    <w:rsid w:val="008079D9"/>
    <w:rsid w:val="00807C38"/>
    <w:rsid w:val="00807C80"/>
    <w:rsid w:val="00807ED4"/>
    <w:rsid w:val="0081013F"/>
    <w:rsid w:val="0081051D"/>
    <w:rsid w:val="008107F0"/>
    <w:rsid w:val="00810879"/>
    <w:rsid w:val="00810989"/>
    <w:rsid w:val="00810EA3"/>
    <w:rsid w:val="0081104C"/>
    <w:rsid w:val="0081117C"/>
    <w:rsid w:val="008112BD"/>
    <w:rsid w:val="00811554"/>
    <w:rsid w:val="008117DB"/>
    <w:rsid w:val="00811D25"/>
    <w:rsid w:val="00812598"/>
    <w:rsid w:val="00812676"/>
    <w:rsid w:val="008127CE"/>
    <w:rsid w:val="00812837"/>
    <w:rsid w:val="00812982"/>
    <w:rsid w:val="00812986"/>
    <w:rsid w:val="00812B38"/>
    <w:rsid w:val="008130D5"/>
    <w:rsid w:val="00813116"/>
    <w:rsid w:val="00813627"/>
    <w:rsid w:val="00813688"/>
    <w:rsid w:val="0081371C"/>
    <w:rsid w:val="00813951"/>
    <w:rsid w:val="00813EA9"/>
    <w:rsid w:val="00813EB3"/>
    <w:rsid w:val="00813F62"/>
    <w:rsid w:val="00814113"/>
    <w:rsid w:val="00814298"/>
    <w:rsid w:val="008143B7"/>
    <w:rsid w:val="00814464"/>
    <w:rsid w:val="008152C8"/>
    <w:rsid w:val="0081560B"/>
    <w:rsid w:val="00815968"/>
    <w:rsid w:val="00815C25"/>
    <w:rsid w:val="00815FD9"/>
    <w:rsid w:val="008160C9"/>
    <w:rsid w:val="008162EB"/>
    <w:rsid w:val="00816E7A"/>
    <w:rsid w:val="00817020"/>
    <w:rsid w:val="008173AA"/>
    <w:rsid w:val="008179B5"/>
    <w:rsid w:val="00817A21"/>
    <w:rsid w:val="00817E79"/>
    <w:rsid w:val="00817F9F"/>
    <w:rsid w:val="0082016E"/>
    <w:rsid w:val="00820634"/>
    <w:rsid w:val="00820713"/>
    <w:rsid w:val="00821174"/>
    <w:rsid w:val="008211A2"/>
    <w:rsid w:val="008212B4"/>
    <w:rsid w:val="0082138C"/>
    <w:rsid w:val="00821613"/>
    <w:rsid w:val="0082171B"/>
    <w:rsid w:val="00821DEF"/>
    <w:rsid w:val="00821F43"/>
    <w:rsid w:val="008228A4"/>
    <w:rsid w:val="00822A47"/>
    <w:rsid w:val="00822AC3"/>
    <w:rsid w:val="00823221"/>
    <w:rsid w:val="0082360B"/>
    <w:rsid w:val="008238DC"/>
    <w:rsid w:val="00823921"/>
    <w:rsid w:val="00823C1C"/>
    <w:rsid w:val="00823D05"/>
    <w:rsid w:val="008241A1"/>
    <w:rsid w:val="0082435A"/>
    <w:rsid w:val="008243DB"/>
    <w:rsid w:val="008245EA"/>
    <w:rsid w:val="00824B79"/>
    <w:rsid w:val="00824D32"/>
    <w:rsid w:val="00825317"/>
    <w:rsid w:val="008254BB"/>
    <w:rsid w:val="00825535"/>
    <w:rsid w:val="00825784"/>
    <w:rsid w:val="00825926"/>
    <w:rsid w:val="008259A1"/>
    <w:rsid w:val="00825CAB"/>
    <w:rsid w:val="008266C2"/>
    <w:rsid w:val="008268E9"/>
    <w:rsid w:val="0082690A"/>
    <w:rsid w:val="00826FB2"/>
    <w:rsid w:val="008274C5"/>
    <w:rsid w:val="008276CE"/>
    <w:rsid w:val="00827DB0"/>
    <w:rsid w:val="008300C9"/>
    <w:rsid w:val="008300D2"/>
    <w:rsid w:val="00830169"/>
    <w:rsid w:val="00830ACE"/>
    <w:rsid w:val="00830CBC"/>
    <w:rsid w:val="00831012"/>
    <w:rsid w:val="008311E1"/>
    <w:rsid w:val="00831224"/>
    <w:rsid w:val="00831333"/>
    <w:rsid w:val="008313CE"/>
    <w:rsid w:val="00831AD7"/>
    <w:rsid w:val="00831DD8"/>
    <w:rsid w:val="00831DEE"/>
    <w:rsid w:val="00831FD4"/>
    <w:rsid w:val="00832977"/>
    <w:rsid w:val="00832F91"/>
    <w:rsid w:val="00833335"/>
    <w:rsid w:val="008339CE"/>
    <w:rsid w:val="00833B69"/>
    <w:rsid w:val="00833FA9"/>
    <w:rsid w:val="008340FE"/>
    <w:rsid w:val="0083421A"/>
    <w:rsid w:val="0083430E"/>
    <w:rsid w:val="00834364"/>
    <w:rsid w:val="008343BE"/>
    <w:rsid w:val="00834BE5"/>
    <w:rsid w:val="00834BF6"/>
    <w:rsid w:val="00834CDE"/>
    <w:rsid w:val="00834FD2"/>
    <w:rsid w:val="0083553C"/>
    <w:rsid w:val="008355E5"/>
    <w:rsid w:val="00835665"/>
    <w:rsid w:val="00835716"/>
    <w:rsid w:val="00835853"/>
    <w:rsid w:val="00835A99"/>
    <w:rsid w:val="008360A2"/>
    <w:rsid w:val="0083638C"/>
    <w:rsid w:val="00836A48"/>
    <w:rsid w:val="00836AE4"/>
    <w:rsid w:val="00836D7C"/>
    <w:rsid w:val="00837274"/>
    <w:rsid w:val="00837483"/>
    <w:rsid w:val="0083771A"/>
    <w:rsid w:val="00837916"/>
    <w:rsid w:val="0084012B"/>
    <w:rsid w:val="0084033D"/>
    <w:rsid w:val="008404AE"/>
    <w:rsid w:val="00840B65"/>
    <w:rsid w:val="0084123B"/>
    <w:rsid w:val="00841854"/>
    <w:rsid w:val="00841C09"/>
    <w:rsid w:val="00841C25"/>
    <w:rsid w:val="00841C84"/>
    <w:rsid w:val="0084204E"/>
    <w:rsid w:val="00842080"/>
    <w:rsid w:val="008425DC"/>
    <w:rsid w:val="00842639"/>
    <w:rsid w:val="00842961"/>
    <w:rsid w:val="00842CA4"/>
    <w:rsid w:val="00842DCC"/>
    <w:rsid w:val="00842E8A"/>
    <w:rsid w:val="0084343F"/>
    <w:rsid w:val="008438D0"/>
    <w:rsid w:val="00843A29"/>
    <w:rsid w:val="00843D8D"/>
    <w:rsid w:val="008448FC"/>
    <w:rsid w:val="00844C96"/>
    <w:rsid w:val="00844E7F"/>
    <w:rsid w:val="00845257"/>
    <w:rsid w:val="00845A1D"/>
    <w:rsid w:val="00845AAF"/>
    <w:rsid w:val="00845E44"/>
    <w:rsid w:val="00845F9B"/>
    <w:rsid w:val="0084610A"/>
    <w:rsid w:val="0084667D"/>
    <w:rsid w:val="00846E30"/>
    <w:rsid w:val="00847083"/>
    <w:rsid w:val="008475AC"/>
    <w:rsid w:val="008475FD"/>
    <w:rsid w:val="008477AA"/>
    <w:rsid w:val="008479A6"/>
    <w:rsid w:val="00847B3C"/>
    <w:rsid w:val="00847C4B"/>
    <w:rsid w:val="00847F2E"/>
    <w:rsid w:val="008500D3"/>
    <w:rsid w:val="008502CD"/>
    <w:rsid w:val="0085055C"/>
    <w:rsid w:val="00850DB8"/>
    <w:rsid w:val="00851276"/>
    <w:rsid w:val="0085129F"/>
    <w:rsid w:val="00851394"/>
    <w:rsid w:val="0085140B"/>
    <w:rsid w:val="00851550"/>
    <w:rsid w:val="00851750"/>
    <w:rsid w:val="00851B26"/>
    <w:rsid w:val="00851E6C"/>
    <w:rsid w:val="00852303"/>
    <w:rsid w:val="00852509"/>
    <w:rsid w:val="00852714"/>
    <w:rsid w:val="00852727"/>
    <w:rsid w:val="008528D3"/>
    <w:rsid w:val="008529E4"/>
    <w:rsid w:val="0085309E"/>
    <w:rsid w:val="00853AAE"/>
    <w:rsid w:val="00853CDA"/>
    <w:rsid w:val="00853D9D"/>
    <w:rsid w:val="008542DF"/>
    <w:rsid w:val="008543A7"/>
    <w:rsid w:val="0085444C"/>
    <w:rsid w:val="008544A1"/>
    <w:rsid w:val="008545C1"/>
    <w:rsid w:val="008547DF"/>
    <w:rsid w:val="008548F3"/>
    <w:rsid w:val="00854BF9"/>
    <w:rsid w:val="008552E4"/>
    <w:rsid w:val="008553A6"/>
    <w:rsid w:val="00855BA7"/>
    <w:rsid w:val="00855D3E"/>
    <w:rsid w:val="00855F1D"/>
    <w:rsid w:val="00855FB4"/>
    <w:rsid w:val="008560D7"/>
    <w:rsid w:val="00856625"/>
    <w:rsid w:val="00856807"/>
    <w:rsid w:val="00856A83"/>
    <w:rsid w:val="00856AF2"/>
    <w:rsid w:val="00856D84"/>
    <w:rsid w:val="008576DF"/>
    <w:rsid w:val="00857E6F"/>
    <w:rsid w:val="00860044"/>
    <w:rsid w:val="00860122"/>
    <w:rsid w:val="00860664"/>
    <w:rsid w:val="00861300"/>
    <w:rsid w:val="008613C4"/>
    <w:rsid w:val="008614AF"/>
    <w:rsid w:val="00861875"/>
    <w:rsid w:val="008618D4"/>
    <w:rsid w:val="00861C55"/>
    <w:rsid w:val="00862222"/>
    <w:rsid w:val="00862936"/>
    <w:rsid w:val="00862E45"/>
    <w:rsid w:val="00863210"/>
    <w:rsid w:val="00863211"/>
    <w:rsid w:val="0086357C"/>
    <w:rsid w:val="00863909"/>
    <w:rsid w:val="00863A9D"/>
    <w:rsid w:val="00863FBD"/>
    <w:rsid w:val="00864843"/>
    <w:rsid w:val="008649DF"/>
    <w:rsid w:val="00864B01"/>
    <w:rsid w:val="00864BC1"/>
    <w:rsid w:val="00864FA7"/>
    <w:rsid w:val="008651E8"/>
    <w:rsid w:val="00865330"/>
    <w:rsid w:val="008654CE"/>
    <w:rsid w:val="0086578F"/>
    <w:rsid w:val="008657A1"/>
    <w:rsid w:val="00865BE8"/>
    <w:rsid w:val="00865C3E"/>
    <w:rsid w:val="00865F39"/>
    <w:rsid w:val="008660DB"/>
    <w:rsid w:val="0086612F"/>
    <w:rsid w:val="0086622A"/>
    <w:rsid w:val="00866BB0"/>
    <w:rsid w:val="00866E61"/>
    <w:rsid w:val="00866F88"/>
    <w:rsid w:val="0086712A"/>
    <w:rsid w:val="00867315"/>
    <w:rsid w:val="00867757"/>
    <w:rsid w:val="00867829"/>
    <w:rsid w:val="0086788D"/>
    <w:rsid w:val="00867D68"/>
    <w:rsid w:val="00867FB8"/>
    <w:rsid w:val="0087016F"/>
    <w:rsid w:val="0087034A"/>
    <w:rsid w:val="0087034F"/>
    <w:rsid w:val="00870405"/>
    <w:rsid w:val="0087054F"/>
    <w:rsid w:val="008707C1"/>
    <w:rsid w:val="00870CDF"/>
    <w:rsid w:val="00870E1C"/>
    <w:rsid w:val="00870ED9"/>
    <w:rsid w:val="00871125"/>
    <w:rsid w:val="00871216"/>
    <w:rsid w:val="008714A1"/>
    <w:rsid w:val="008715BA"/>
    <w:rsid w:val="00871608"/>
    <w:rsid w:val="00871875"/>
    <w:rsid w:val="00871927"/>
    <w:rsid w:val="00871F95"/>
    <w:rsid w:val="0087230F"/>
    <w:rsid w:val="008723A6"/>
    <w:rsid w:val="008723B9"/>
    <w:rsid w:val="00872471"/>
    <w:rsid w:val="008726D9"/>
    <w:rsid w:val="00872A34"/>
    <w:rsid w:val="00872C94"/>
    <w:rsid w:val="008731CD"/>
    <w:rsid w:val="00873592"/>
    <w:rsid w:val="0087369C"/>
    <w:rsid w:val="0087373D"/>
    <w:rsid w:val="008737EF"/>
    <w:rsid w:val="0087380E"/>
    <w:rsid w:val="0087384E"/>
    <w:rsid w:val="00873AA7"/>
    <w:rsid w:val="00873C50"/>
    <w:rsid w:val="00873E5A"/>
    <w:rsid w:val="00874204"/>
    <w:rsid w:val="0087456E"/>
    <w:rsid w:val="008745A9"/>
    <w:rsid w:val="008749E4"/>
    <w:rsid w:val="00874A8D"/>
    <w:rsid w:val="00874E00"/>
    <w:rsid w:val="008751EB"/>
    <w:rsid w:val="00875729"/>
    <w:rsid w:val="00875835"/>
    <w:rsid w:val="00875DE9"/>
    <w:rsid w:val="00876A33"/>
    <w:rsid w:val="00876DC4"/>
    <w:rsid w:val="00877080"/>
    <w:rsid w:val="0087733C"/>
    <w:rsid w:val="0087750F"/>
    <w:rsid w:val="0087769D"/>
    <w:rsid w:val="0087785B"/>
    <w:rsid w:val="008779F0"/>
    <w:rsid w:val="00877B4F"/>
    <w:rsid w:val="00877EB4"/>
    <w:rsid w:val="00877EB5"/>
    <w:rsid w:val="00877F32"/>
    <w:rsid w:val="00880364"/>
    <w:rsid w:val="008804B9"/>
    <w:rsid w:val="00880608"/>
    <w:rsid w:val="00880741"/>
    <w:rsid w:val="008807DF"/>
    <w:rsid w:val="0088089E"/>
    <w:rsid w:val="0088097A"/>
    <w:rsid w:val="00880A04"/>
    <w:rsid w:val="00881044"/>
    <w:rsid w:val="00881124"/>
    <w:rsid w:val="0088185A"/>
    <w:rsid w:val="00882438"/>
    <w:rsid w:val="008824EB"/>
    <w:rsid w:val="008824F4"/>
    <w:rsid w:val="0088276C"/>
    <w:rsid w:val="00882885"/>
    <w:rsid w:val="00882AA1"/>
    <w:rsid w:val="00882AF6"/>
    <w:rsid w:val="00882D53"/>
    <w:rsid w:val="00882E14"/>
    <w:rsid w:val="00882E8E"/>
    <w:rsid w:val="0088314A"/>
    <w:rsid w:val="0088322E"/>
    <w:rsid w:val="008834EE"/>
    <w:rsid w:val="008839FC"/>
    <w:rsid w:val="00883F01"/>
    <w:rsid w:val="008843EF"/>
    <w:rsid w:val="00884680"/>
    <w:rsid w:val="00884865"/>
    <w:rsid w:val="00884DD5"/>
    <w:rsid w:val="00884FB6"/>
    <w:rsid w:val="008851A8"/>
    <w:rsid w:val="008855DD"/>
    <w:rsid w:val="00885C62"/>
    <w:rsid w:val="0088642F"/>
    <w:rsid w:val="008864AD"/>
    <w:rsid w:val="008864EB"/>
    <w:rsid w:val="008866C0"/>
    <w:rsid w:val="0088671C"/>
    <w:rsid w:val="00886782"/>
    <w:rsid w:val="0088691E"/>
    <w:rsid w:val="00886AF2"/>
    <w:rsid w:val="00886CD7"/>
    <w:rsid w:val="008877B8"/>
    <w:rsid w:val="00887BA0"/>
    <w:rsid w:val="00887C19"/>
    <w:rsid w:val="00887D83"/>
    <w:rsid w:val="00887FE9"/>
    <w:rsid w:val="008904C8"/>
    <w:rsid w:val="00890928"/>
    <w:rsid w:val="00890992"/>
    <w:rsid w:val="00890DF3"/>
    <w:rsid w:val="0089105A"/>
    <w:rsid w:val="00891234"/>
    <w:rsid w:val="00891525"/>
    <w:rsid w:val="0089155A"/>
    <w:rsid w:val="008918CD"/>
    <w:rsid w:val="008918E8"/>
    <w:rsid w:val="00891920"/>
    <w:rsid w:val="008919F6"/>
    <w:rsid w:val="00891AE7"/>
    <w:rsid w:val="00891EE5"/>
    <w:rsid w:val="00892224"/>
    <w:rsid w:val="00893315"/>
    <w:rsid w:val="008937CF"/>
    <w:rsid w:val="00893D1B"/>
    <w:rsid w:val="00893D4D"/>
    <w:rsid w:val="00893E3D"/>
    <w:rsid w:val="008943DE"/>
    <w:rsid w:val="00894450"/>
    <w:rsid w:val="00895193"/>
    <w:rsid w:val="00895244"/>
    <w:rsid w:val="008955FC"/>
    <w:rsid w:val="00895604"/>
    <w:rsid w:val="00895635"/>
    <w:rsid w:val="00895B0B"/>
    <w:rsid w:val="00895E40"/>
    <w:rsid w:val="00896268"/>
    <w:rsid w:val="008962B2"/>
    <w:rsid w:val="00896572"/>
    <w:rsid w:val="008965FE"/>
    <w:rsid w:val="008966D2"/>
    <w:rsid w:val="008967D0"/>
    <w:rsid w:val="00897202"/>
    <w:rsid w:val="00897246"/>
    <w:rsid w:val="00897370"/>
    <w:rsid w:val="0089774E"/>
    <w:rsid w:val="008977EB"/>
    <w:rsid w:val="00897829"/>
    <w:rsid w:val="00897B37"/>
    <w:rsid w:val="00897B61"/>
    <w:rsid w:val="008A0490"/>
    <w:rsid w:val="008A08A1"/>
    <w:rsid w:val="008A0CED"/>
    <w:rsid w:val="008A108D"/>
    <w:rsid w:val="008A117F"/>
    <w:rsid w:val="008A1251"/>
    <w:rsid w:val="008A166D"/>
    <w:rsid w:val="008A173C"/>
    <w:rsid w:val="008A1A65"/>
    <w:rsid w:val="008A1BCB"/>
    <w:rsid w:val="008A2314"/>
    <w:rsid w:val="008A2417"/>
    <w:rsid w:val="008A2B97"/>
    <w:rsid w:val="008A2CAE"/>
    <w:rsid w:val="008A2D68"/>
    <w:rsid w:val="008A2E8C"/>
    <w:rsid w:val="008A3127"/>
    <w:rsid w:val="008A3628"/>
    <w:rsid w:val="008A3A9D"/>
    <w:rsid w:val="008A3B81"/>
    <w:rsid w:val="008A3B98"/>
    <w:rsid w:val="008A3DFC"/>
    <w:rsid w:val="008A3FD3"/>
    <w:rsid w:val="008A4116"/>
    <w:rsid w:val="008A4237"/>
    <w:rsid w:val="008A42AF"/>
    <w:rsid w:val="008A47AD"/>
    <w:rsid w:val="008A4823"/>
    <w:rsid w:val="008A49C2"/>
    <w:rsid w:val="008A4D33"/>
    <w:rsid w:val="008A4E72"/>
    <w:rsid w:val="008A4F00"/>
    <w:rsid w:val="008A4F64"/>
    <w:rsid w:val="008A4F72"/>
    <w:rsid w:val="008A4FEE"/>
    <w:rsid w:val="008A53EA"/>
    <w:rsid w:val="008A57E0"/>
    <w:rsid w:val="008A5821"/>
    <w:rsid w:val="008A5B94"/>
    <w:rsid w:val="008A5EA2"/>
    <w:rsid w:val="008A623A"/>
    <w:rsid w:val="008A6293"/>
    <w:rsid w:val="008A6374"/>
    <w:rsid w:val="008A650F"/>
    <w:rsid w:val="008A6512"/>
    <w:rsid w:val="008A65F8"/>
    <w:rsid w:val="008A6603"/>
    <w:rsid w:val="008A68AC"/>
    <w:rsid w:val="008A6E2F"/>
    <w:rsid w:val="008A736B"/>
    <w:rsid w:val="008A74A1"/>
    <w:rsid w:val="008A7505"/>
    <w:rsid w:val="008A75E9"/>
    <w:rsid w:val="008A782C"/>
    <w:rsid w:val="008A787F"/>
    <w:rsid w:val="008A7AC6"/>
    <w:rsid w:val="008B0170"/>
    <w:rsid w:val="008B019A"/>
    <w:rsid w:val="008B0201"/>
    <w:rsid w:val="008B02F1"/>
    <w:rsid w:val="008B0493"/>
    <w:rsid w:val="008B0614"/>
    <w:rsid w:val="008B0A01"/>
    <w:rsid w:val="008B0B4C"/>
    <w:rsid w:val="008B0B5B"/>
    <w:rsid w:val="008B0FD4"/>
    <w:rsid w:val="008B11FC"/>
    <w:rsid w:val="008B136B"/>
    <w:rsid w:val="008B16D9"/>
    <w:rsid w:val="008B197A"/>
    <w:rsid w:val="008B1A0B"/>
    <w:rsid w:val="008B1AFA"/>
    <w:rsid w:val="008B2058"/>
    <w:rsid w:val="008B260D"/>
    <w:rsid w:val="008B2D06"/>
    <w:rsid w:val="008B2DE4"/>
    <w:rsid w:val="008B2F17"/>
    <w:rsid w:val="008B33BF"/>
    <w:rsid w:val="008B3C60"/>
    <w:rsid w:val="008B3D14"/>
    <w:rsid w:val="008B3FDC"/>
    <w:rsid w:val="008B3FE2"/>
    <w:rsid w:val="008B410D"/>
    <w:rsid w:val="008B41B1"/>
    <w:rsid w:val="008B4319"/>
    <w:rsid w:val="008B4467"/>
    <w:rsid w:val="008B4501"/>
    <w:rsid w:val="008B482E"/>
    <w:rsid w:val="008B4885"/>
    <w:rsid w:val="008B4888"/>
    <w:rsid w:val="008B49B3"/>
    <w:rsid w:val="008B49F2"/>
    <w:rsid w:val="008B5091"/>
    <w:rsid w:val="008B53D3"/>
    <w:rsid w:val="008B5417"/>
    <w:rsid w:val="008B5578"/>
    <w:rsid w:val="008B5748"/>
    <w:rsid w:val="008B599F"/>
    <w:rsid w:val="008B59F3"/>
    <w:rsid w:val="008B5A5D"/>
    <w:rsid w:val="008B5B25"/>
    <w:rsid w:val="008B5D8F"/>
    <w:rsid w:val="008B5F4B"/>
    <w:rsid w:val="008B61BA"/>
    <w:rsid w:val="008B6358"/>
    <w:rsid w:val="008B64D0"/>
    <w:rsid w:val="008B6A01"/>
    <w:rsid w:val="008B6BE1"/>
    <w:rsid w:val="008B6C66"/>
    <w:rsid w:val="008B6ED5"/>
    <w:rsid w:val="008B6F7B"/>
    <w:rsid w:val="008B7006"/>
    <w:rsid w:val="008B7416"/>
    <w:rsid w:val="008B746E"/>
    <w:rsid w:val="008B79A1"/>
    <w:rsid w:val="008B79F6"/>
    <w:rsid w:val="008B7ACA"/>
    <w:rsid w:val="008B7B3A"/>
    <w:rsid w:val="008C04C8"/>
    <w:rsid w:val="008C07E0"/>
    <w:rsid w:val="008C0C60"/>
    <w:rsid w:val="008C0D33"/>
    <w:rsid w:val="008C0FA1"/>
    <w:rsid w:val="008C1205"/>
    <w:rsid w:val="008C13FF"/>
    <w:rsid w:val="008C1733"/>
    <w:rsid w:val="008C1767"/>
    <w:rsid w:val="008C1B85"/>
    <w:rsid w:val="008C1EA7"/>
    <w:rsid w:val="008C2831"/>
    <w:rsid w:val="008C3283"/>
    <w:rsid w:val="008C3320"/>
    <w:rsid w:val="008C3916"/>
    <w:rsid w:val="008C3A25"/>
    <w:rsid w:val="008C4166"/>
    <w:rsid w:val="008C4E9A"/>
    <w:rsid w:val="008C4F7B"/>
    <w:rsid w:val="008C51DA"/>
    <w:rsid w:val="008C5399"/>
    <w:rsid w:val="008C5542"/>
    <w:rsid w:val="008C5635"/>
    <w:rsid w:val="008C5664"/>
    <w:rsid w:val="008C5689"/>
    <w:rsid w:val="008C56AE"/>
    <w:rsid w:val="008C5718"/>
    <w:rsid w:val="008C5803"/>
    <w:rsid w:val="008C5B31"/>
    <w:rsid w:val="008C5C7D"/>
    <w:rsid w:val="008C5E69"/>
    <w:rsid w:val="008C618B"/>
    <w:rsid w:val="008C637A"/>
    <w:rsid w:val="008C6840"/>
    <w:rsid w:val="008C6906"/>
    <w:rsid w:val="008C6A25"/>
    <w:rsid w:val="008C6BF3"/>
    <w:rsid w:val="008C70A2"/>
    <w:rsid w:val="008C73AD"/>
    <w:rsid w:val="008C7459"/>
    <w:rsid w:val="008C746B"/>
    <w:rsid w:val="008C7727"/>
    <w:rsid w:val="008C79E1"/>
    <w:rsid w:val="008C7B05"/>
    <w:rsid w:val="008D01B0"/>
    <w:rsid w:val="008D02D0"/>
    <w:rsid w:val="008D0360"/>
    <w:rsid w:val="008D0768"/>
    <w:rsid w:val="008D079B"/>
    <w:rsid w:val="008D09B0"/>
    <w:rsid w:val="008D0E3D"/>
    <w:rsid w:val="008D0F09"/>
    <w:rsid w:val="008D10F7"/>
    <w:rsid w:val="008D18C1"/>
    <w:rsid w:val="008D1A1E"/>
    <w:rsid w:val="008D1C8D"/>
    <w:rsid w:val="008D1DD3"/>
    <w:rsid w:val="008D21E1"/>
    <w:rsid w:val="008D2427"/>
    <w:rsid w:val="008D28F7"/>
    <w:rsid w:val="008D2C23"/>
    <w:rsid w:val="008D2D62"/>
    <w:rsid w:val="008D2F10"/>
    <w:rsid w:val="008D3C40"/>
    <w:rsid w:val="008D3DBC"/>
    <w:rsid w:val="008D3E51"/>
    <w:rsid w:val="008D3E6D"/>
    <w:rsid w:val="008D40CF"/>
    <w:rsid w:val="008D461D"/>
    <w:rsid w:val="008D47DD"/>
    <w:rsid w:val="008D4819"/>
    <w:rsid w:val="008D48E7"/>
    <w:rsid w:val="008D4958"/>
    <w:rsid w:val="008D4B78"/>
    <w:rsid w:val="008D4E94"/>
    <w:rsid w:val="008D4F90"/>
    <w:rsid w:val="008D50B5"/>
    <w:rsid w:val="008D5292"/>
    <w:rsid w:val="008D55D3"/>
    <w:rsid w:val="008D57BA"/>
    <w:rsid w:val="008D5DD3"/>
    <w:rsid w:val="008D5E8B"/>
    <w:rsid w:val="008D5FE7"/>
    <w:rsid w:val="008D6E69"/>
    <w:rsid w:val="008D6F93"/>
    <w:rsid w:val="008D7596"/>
    <w:rsid w:val="008E082B"/>
    <w:rsid w:val="008E091F"/>
    <w:rsid w:val="008E0B26"/>
    <w:rsid w:val="008E0F29"/>
    <w:rsid w:val="008E1140"/>
    <w:rsid w:val="008E12F9"/>
    <w:rsid w:val="008E1465"/>
    <w:rsid w:val="008E14E8"/>
    <w:rsid w:val="008E157F"/>
    <w:rsid w:val="008E1627"/>
    <w:rsid w:val="008E19BD"/>
    <w:rsid w:val="008E1C37"/>
    <w:rsid w:val="008E1CF8"/>
    <w:rsid w:val="008E1FE8"/>
    <w:rsid w:val="008E20F0"/>
    <w:rsid w:val="008E2113"/>
    <w:rsid w:val="008E21CA"/>
    <w:rsid w:val="008E22A1"/>
    <w:rsid w:val="008E24C4"/>
    <w:rsid w:val="008E2793"/>
    <w:rsid w:val="008E29A0"/>
    <w:rsid w:val="008E29B8"/>
    <w:rsid w:val="008E29D8"/>
    <w:rsid w:val="008E2A34"/>
    <w:rsid w:val="008E2A7B"/>
    <w:rsid w:val="008E3302"/>
    <w:rsid w:val="008E348B"/>
    <w:rsid w:val="008E3A95"/>
    <w:rsid w:val="008E428F"/>
    <w:rsid w:val="008E4640"/>
    <w:rsid w:val="008E46D0"/>
    <w:rsid w:val="008E48B5"/>
    <w:rsid w:val="008E4900"/>
    <w:rsid w:val="008E4CF3"/>
    <w:rsid w:val="008E4ED2"/>
    <w:rsid w:val="008E4FA5"/>
    <w:rsid w:val="008E5078"/>
    <w:rsid w:val="008E517E"/>
    <w:rsid w:val="008E5684"/>
    <w:rsid w:val="008E59AB"/>
    <w:rsid w:val="008E5A56"/>
    <w:rsid w:val="008E5BC7"/>
    <w:rsid w:val="008E5F93"/>
    <w:rsid w:val="008E60A7"/>
    <w:rsid w:val="008E60B5"/>
    <w:rsid w:val="008E61B5"/>
    <w:rsid w:val="008E631E"/>
    <w:rsid w:val="008E6405"/>
    <w:rsid w:val="008E659E"/>
    <w:rsid w:val="008E6789"/>
    <w:rsid w:val="008E67F4"/>
    <w:rsid w:val="008E6968"/>
    <w:rsid w:val="008E6D95"/>
    <w:rsid w:val="008E6DCC"/>
    <w:rsid w:val="008E6F50"/>
    <w:rsid w:val="008E77FE"/>
    <w:rsid w:val="008E7DFD"/>
    <w:rsid w:val="008F0029"/>
    <w:rsid w:val="008F03A2"/>
    <w:rsid w:val="008F04B2"/>
    <w:rsid w:val="008F0917"/>
    <w:rsid w:val="008F095B"/>
    <w:rsid w:val="008F0B90"/>
    <w:rsid w:val="008F0D27"/>
    <w:rsid w:val="008F0ED7"/>
    <w:rsid w:val="008F1034"/>
    <w:rsid w:val="008F10A7"/>
    <w:rsid w:val="008F1103"/>
    <w:rsid w:val="008F1261"/>
    <w:rsid w:val="008F1B4F"/>
    <w:rsid w:val="008F204A"/>
    <w:rsid w:val="008F27B1"/>
    <w:rsid w:val="008F2F62"/>
    <w:rsid w:val="008F2F8C"/>
    <w:rsid w:val="008F3007"/>
    <w:rsid w:val="008F302B"/>
    <w:rsid w:val="008F3129"/>
    <w:rsid w:val="008F3229"/>
    <w:rsid w:val="008F3379"/>
    <w:rsid w:val="008F378D"/>
    <w:rsid w:val="008F378F"/>
    <w:rsid w:val="008F3ABF"/>
    <w:rsid w:val="008F3E3B"/>
    <w:rsid w:val="008F4192"/>
    <w:rsid w:val="008F429B"/>
    <w:rsid w:val="008F4547"/>
    <w:rsid w:val="008F45CA"/>
    <w:rsid w:val="008F483E"/>
    <w:rsid w:val="008F4A7D"/>
    <w:rsid w:val="008F4C85"/>
    <w:rsid w:val="008F4ED1"/>
    <w:rsid w:val="008F4F99"/>
    <w:rsid w:val="008F56AE"/>
    <w:rsid w:val="008F5AFB"/>
    <w:rsid w:val="008F5B86"/>
    <w:rsid w:val="008F644C"/>
    <w:rsid w:val="008F6864"/>
    <w:rsid w:val="008F6FF5"/>
    <w:rsid w:val="008F72B5"/>
    <w:rsid w:val="008F72BD"/>
    <w:rsid w:val="008F7B4F"/>
    <w:rsid w:val="008F7DC7"/>
    <w:rsid w:val="009000C7"/>
    <w:rsid w:val="009002AA"/>
    <w:rsid w:val="00900483"/>
    <w:rsid w:val="009008FD"/>
    <w:rsid w:val="00900B57"/>
    <w:rsid w:val="00900F7E"/>
    <w:rsid w:val="00901027"/>
    <w:rsid w:val="0090174A"/>
    <w:rsid w:val="00901939"/>
    <w:rsid w:val="00901BCD"/>
    <w:rsid w:val="009022D2"/>
    <w:rsid w:val="00902372"/>
    <w:rsid w:val="0090241E"/>
    <w:rsid w:val="00902422"/>
    <w:rsid w:val="0090259C"/>
    <w:rsid w:val="0090275F"/>
    <w:rsid w:val="00902B9D"/>
    <w:rsid w:val="0090307C"/>
    <w:rsid w:val="0090310A"/>
    <w:rsid w:val="009033B7"/>
    <w:rsid w:val="009033F2"/>
    <w:rsid w:val="00903B68"/>
    <w:rsid w:val="00903D6D"/>
    <w:rsid w:val="00903DEE"/>
    <w:rsid w:val="00903E50"/>
    <w:rsid w:val="00903F46"/>
    <w:rsid w:val="0090401B"/>
    <w:rsid w:val="0090419E"/>
    <w:rsid w:val="0090436E"/>
    <w:rsid w:val="009047ED"/>
    <w:rsid w:val="009048B6"/>
    <w:rsid w:val="00904AF4"/>
    <w:rsid w:val="00904FCC"/>
    <w:rsid w:val="00904FFF"/>
    <w:rsid w:val="009050FC"/>
    <w:rsid w:val="009053EE"/>
    <w:rsid w:val="00905407"/>
    <w:rsid w:val="0090577B"/>
    <w:rsid w:val="0090592C"/>
    <w:rsid w:val="0090593D"/>
    <w:rsid w:val="00905B1E"/>
    <w:rsid w:val="00906247"/>
    <w:rsid w:val="00906558"/>
    <w:rsid w:val="00906755"/>
    <w:rsid w:val="009068DC"/>
    <w:rsid w:val="00906992"/>
    <w:rsid w:val="00906A19"/>
    <w:rsid w:val="00906B2D"/>
    <w:rsid w:val="00906B9A"/>
    <w:rsid w:val="00906FAE"/>
    <w:rsid w:val="009072A4"/>
    <w:rsid w:val="0090739D"/>
    <w:rsid w:val="009073B5"/>
    <w:rsid w:val="0090781B"/>
    <w:rsid w:val="009079E1"/>
    <w:rsid w:val="00907CD9"/>
    <w:rsid w:val="00907D7D"/>
    <w:rsid w:val="00910BCC"/>
    <w:rsid w:val="00910E7F"/>
    <w:rsid w:val="00910F73"/>
    <w:rsid w:val="009111D9"/>
    <w:rsid w:val="0091192E"/>
    <w:rsid w:val="00911984"/>
    <w:rsid w:val="00911B3A"/>
    <w:rsid w:val="00911DF5"/>
    <w:rsid w:val="00911F87"/>
    <w:rsid w:val="0091228C"/>
    <w:rsid w:val="009123D1"/>
    <w:rsid w:val="00912452"/>
    <w:rsid w:val="009126B9"/>
    <w:rsid w:val="00912899"/>
    <w:rsid w:val="009128B7"/>
    <w:rsid w:val="0091297E"/>
    <w:rsid w:val="009129D6"/>
    <w:rsid w:val="00912A25"/>
    <w:rsid w:val="00912A7F"/>
    <w:rsid w:val="00912E56"/>
    <w:rsid w:val="009131B9"/>
    <w:rsid w:val="009133A2"/>
    <w:rsid w:val="00913852"/>
    <w:rsid w:val="00913873"/>
    <w:rsid w:val="00913B7E"/>
    <w:rsid w:val="0091423B"/>
    <w:rsid w:val="009142E4"/>
    <w:rsid w:val="00914361"/>
    <w:rsid w:val="009143A1"/>
    <w:rsid w:val="0091473A"/>
    <w:rsid w:val="00914770"/>
    <w:rsid w:val="009149CB"/>
    <w:rsid w:val="009149F0"/>
    <w:rsid w:val="00914D7F"/>
    <w:rsid w:val="009151B6"/>
    <w:rsid w:val="009152F5"/>
    <w:rsid w:val="00915368"/>
    <w:rsid w:val="00915546"/>
    <w:rsid w:val="009158AB"/>
    <w:rsid w:val="00915BDE"/>
    <w:rsid w:val="0091619F"/>
    <w:rsid w:val="009161BA"/>
    <w:rsid w:val="00916635"/>
    <w:rsid w:val="00916823"/>
    <w:rsid w:val="00916E87"/>
    <w:rsid w:val="00916F3C"/>
    <w:rsid w:val="00917A08"/>
    <w:rsid w:val="00917F2C"/>
    <w:rsid w:val="00920358"/>
    <w:rsid w:val="009203FA"/>
    <w:rsid w:val="009207EC"/>
    <w:rsid w:val="00920ACA"/>
    <w:rsid w:val="00920B22"/>
    <w:rsid w:val="00920BE4"/>
    <w:rsid w:val="00920D8E"/>
    <w:rsid w:val="00920DA3"/>
    <w:rsid w:val="00920ED2"/>
    <w:rsid w:val="009210B9"/>
    <w:rsid w:val="0092149F"/>
    <w:rsid w:val="009215B4"/>
    <w:rsid w:val="009223C2"/>
    <w:rsid w:val="00922709"/>
    <w:rsid w:val="009227C0"/>
    <w:rsid w:val="00922892"/>
    <w:rsid w:val="00922C1C"/>
    <w:rsid w:val="009230FC"/>
    <w:rsid w:val="009231EB"/>
    <w:rsid w:val="0092325B"/>
    <w:rsid w:val="00923362"/>
    <w:rsid w:val="009233C6"/>
    <w:rsid w:val="0092349E"/>
    <w:rsid w:val="00923A16"/>
    <w:rsid w:val="00923C00"/>
    <w:rsid w:val="00923EB6"/>
    <w:rsid w:val="00923FC5"/>
    <w:rsid w:val="00924139"/>
    <w:rsid w:val="0092458B"/>
    <w:rsid w:val="0092483E"/>
    <w:rsid w:val="0092498F"/>
    <w:rsid w:val="00924BB7"/>
    <w:rsid w:val="00924CC4"/>
    <w:rsid w:val="009252BC"/>
    <w:rsid w:val="009252CB"/>
    <w:rsid w:val="00925338"/>
    <w:rsid w:val="009253A3"/>
    <w:rsid w:val="009255CC"/>
    <w:rsid w:val="00925696"/>
    <w:rsid w:val="009258EA"/>
    <w:rsid w:val="00925A3D"/>
    <w:rsid w:val="00925B68"/>
    <w:rsid w:val="00925F5D"/>
    <w:rsid w:val="0092611C"/>
    <w:rsid w:val="00926499"/>
    <w:rsid w:val="009267B1"/>
    <w:rsid w:val="00926929"/>
    <w:rsid w:val="0092692C"/>
    <w:rsid w:val="00926D45"/>
    <w:rsid w:val="00927381"/>
    <w:rsid w:val="009275AD"/>
    <w:rsid w:val="009275C8"/>
    <w:rsid w:val="00927B8E"/>
    <w:rsid w:val="00927DBE"/>
    <w:rsid w:val="0093011E"/>
    <w:rsid w:val="00930368"/>
    <w:rsid w:val="0093047F"/>
    <w:rsid w:val="0093076C"/>
    <w:rsid w:val="0093090D"/>
    <w:rsid w:val="00930B40"/>
    <w:rsid w:val="00931027"/>
    <w:rsid w:val="0093133E"/>
    <w:rsid w:val="00931993"/>
    <w:rsid w:val="00931A59"/>
    <w:rsid w:val="00931B1D"/>
    <w:rsid w:val="00931B93"/>
    <w:rsid w:val="00931C85"/>
    <w:rsid w:val="00931D51"/>
    <w:rsid w:val="00931DA9"/>
    <w:rsid w:val="00931E00"/>
    <w:rsid w:val="00931E33"/>
    <w:rsid w:val="0093218B"/>
    <w:rsid w:val="009329A7"/>
    <w:rsid w:val="00933259"/>
    <w:rsid w:val="009338D6"/>
    <w:rsid w:val="009339C6"/>
    <w:rsid w:val="00933C1A"/>
    <w:rsid w:val="0093409C"/>
    <w:rsid w:val="0093435E"/>
    <w:rsid w:val="00934420"/>
    <w:rsid w:val="00934696"/>
    <w:rsid w:val="00934B39"/>
    <w:rsid w:val="00935048"/>
    <w:rsid w:val="009353FB"/>
    <w:rsid w:val="0093586F"/>
    <w:rsid w:val="00935B53"/>
    <w:rsid w:val="00935B79"/>
    <w:rsid w:val="00935E0A"/>
    <w:rsid w:val="00936042"/>
    <w:rsid w:val="0093618B"/>
    <w:rsid w:val="009361CE"/>
    <w:rsid w:val="0093654E"/>
    <w:rsid w:val="00936B28"/>
    <w:rsid w:val="00936CE4"/>
    <w:rsid w:val="00936E98"/>
    <w:rsid w:val="0093780F"/>
    <w:rsid w:val="00940325"/>
    <w:rsid w:val="0094048E"/>
    <w:rsid w:val="00940549"/>
    <w:rsid w:val="0094058F"/>
    <w:rsid w:val="00940C4C"/>
    <w:rsid w:val="00940CA9"/>
    <w:rsid w:val="009411B1"/>
    <w:rsid w:val="0094153D"/>
    <w:rsid w:val="009419B8"/>
    <w:rsid w:val="00941BF8"/>
    <w:rsid w:val="00942104"/>
    <w:rsid w:val="0094212C"/>
    <w:rsid w:val="00942344"/>
    <w:rsid w:val="0094249F"/>
    <w:rsid w:val="009425ED"/>
    <w:rsid w:val="009426A4"/>
    <w:rsid w:val="00942A75"/>
    <w:rsid w:val="00942C4A"/>
    <w:rsid w:val="00943135"/>
    <w:rsid w:val="00943724"/>
    <w:rsid w:val="009437F4"/>
    <w:rsid w:val="00943A61"/>
    <w:rsid w:val="00943A96"/>
    <w:rsid w:val="00943ACB"/>
    <w:rsid w:val="00943D9B"/>
    <w:rsid w:val="009442A1"/>
    <w:rsid w:val="0094430E"/>
    <w:rsid w:val="009447A2"/>
    <w:rsid w:val="00945504"/>
    <w:rsid w:val="009456CD"/>
    <w:rsid w:val="009456F6"/>
    <w:rsid w:val="0094599E"/>
    <w:rsid w:val="00945BA9"/>
    <w:rsid w:val="00946329"/>
    <w:rsid w:val="00946598"/>
    <w:rsid w:val="00946758"/>
    <w:rsid w:val="009467B5"/>
    <w:rsid w:val="00946A4C"/>
    <w:rsid w:val="0094758F"/>
    <w:rsid w:val="00947881"/>
    <w:rsid w:val="0094788D"/>
    <w:rsid w:val="00947C61"/>
    <w:rsid w:val="00947D42"/>
    <w:rsid w:val="00947F27"/>
    <w:rsid w:val="009504FD"/>
    <w:rsid w:val="009506F4"/>
    <w:rsid w:val="00950A00"/>
    <w:rsid w:val="00950B27"/>
    <w:rsid w:val="00950E54"/>
    <w:rsid w:val="00950E98"/>
    <w:rsid w:val="00951CB1"/>
    <w:rsid w:val="00951D51"/>
    <w:rsid w:val="00952097"/>
    <w:rsid w:val="00952237"/>
    <w:rsid w:val="0095261F"/>
    <w:rsid w:val="00952DC4"/>
    <w:rsid w:val="0095302E"/>
    <w:rsid w:val="00953294"/>
    <w:rsid w:val="00953330"/>
    <w:rsid w:val="009538DC"/>
    <w:rsid w:val="009538DF"/>
    <w:rsid w:val="00953E42"/>
    <w:rsid w:val="0095411F"/>
    <w:rsid w:val="00954361"/>
    <w:rsid w:val="009546EF"/>
    <w:rsid w:val="00954C8F"/>
    <w:rsid w:val="00954D13"/>
    <w:rsid w:val="00954E93"/>
    <w:rsid w:val="00954E9A"/>
    <w:rsid w:val="00954F0A"/>
    <w:rsid w:val="00955462"/>
    <w:rsid w:val="00955666"/>
    <w:rsid w:val="009559ED"/>
    <w:rsid w:val="00955A8E"/>
    <w:rsid w:val="00955ADF"/>
    <w:rsid w:val="00955DD0"/>
    <w:rsid w:val="009563D6"/>
    <w:rsid w:val="00956420"/>
    <w:rsid w:val="009564A9"/>
    <w:rsid w:val="0095671F"/>
    <w:rsid w:val="00956BCF"/>
    <w:rsid w:val="00956C50"/>
    <w:rsid w:val="00956E71"/>
    <w:rsid w:val="00956FAF"/>
    <w:rsid w:val="00957660"/>
    <w:rsid w:val="009576AA"/>
    <w:rsid w:val="0095787D"/>
    <w:rsid w:val="0095788C"/>
    <w:rsid w:val="009578AD"/>
    <w:rsid w:val="00957D6D"/>
    <w:rsid w:val="00957E17"/>
    <w:rsid w:val="00957FE4"/>
    <w:rsid w:val="00960184"/>
    <w:rsid w:val="00960287"/>
    <w:rsid w:val="00960572"/>
    <w:rsid w:val="009605CD"/>
    <w:rsid w:val="00960C3A"/>
    <w:rsid w:val="00960EB3"/>
    <w:rsid w:val="0096130F"/>
    <w:rsid w:val="00961516"/>
    <w:rsid w:val="0096161F"/>
    <w:rsid w:val="00961A6F"/>
    <w:rsid w:val="00961BD5"/>
    <w:rsid w:val="00961EE1"/>
    <w:rsid w:val="00962107"/>
    <w:rsid w:val="00962873"/>
    <w:rsid w:val="0096296A"/>
    <w:rsid w:val="00962AE6"/>
    <w:rsid w:val="00963023"/>
    <w:rsid w:val="0096377B"/>
    <w:rsid w:val="009639B1"/>
    <w:rsid w:val="00963C14"/>
    <w:rsid w:val="00963DF5"/>
    <w:rsid w:val="00963E15"/>
    <w:rsid w:val="00964223"/>
    <w:rsid w:val="0096453A"/>
    <w:rsid w:val="009650D7"/>
    <w:rsid w:val="00965673"/>
    <w:rsid w:val="00965853"/>
    <w:rsid w:val="009659A5"/>
    <w:rsid w:val="009659E0"/>
    <w:rsid w:val="00965AE6"/>
    <w:rsid w:val="00965BBD"/>
    <w:rsid w:val="00966405"/>
    <w:rsid w:val="009664A8"/>
    <w:rsid w:val="0096651A"/>
    <w:rsid w:val="00966649"/>
    <w:rsid w:val="009666D9"/>
    <w:rsid w:val="00966853"/>
    <w:rsid w:val="00966BE8"/>
    <w:rsid w:val="00966DB9"/>
    <w:rsid w:val="009670B6"/>
    <w:rsid w:val="009672C4"/>
    <w:rsid w:val="009672DA"/>
    <w:rsid w:val="009674B1"/>
    <w:rsid w:val="00967732"/>
    <w:rsid w:val="0096791D"/>
    <w:rsid w:val="009679FF"/>
    <w:rsid w:val="00967A9D"/>
    <w:rsid w:val="00967D3C"/>
    <w:rsid w:val="00970029"/>
    <w:rsid w:val="00970646"/>
    <w:rsid w:val="009706F2"/>
    <w:rsid w:val="00970CB9"/>
    <w:rsid w:val="00970F0F"/>
    <w:rsid w:val="00971103"/>
    <w:rsid w:val="0097136D"/>
    <w:rsid w:val="009718C9"/>
    <w:rsid w:val="0097190D"/>
    <w:rsid w:val="00971B7E"/>
    <w:rsid w:val="00971C84"/>
    <w:rsid w:val="009722A9"/>
    <w:rsid w:val="00972917"/>
    <w:rsid w:val="00972B22"/>
    <w:rsid w:val="00972D89"/>
    <w:rsid w:val="009730E8"/>
    <w:rsid w:val="00973174"/>
    <w:rsid w:val="00973359"/>
    <w:rsid w:val="00973632"/>
    <w:rsid w:val="009737DD"/>
    <w:rsid w:val="00973BC4"/>
    <w:rsid w:val="00973CF3"/>
    <w:rsid w:val="00974431"/>
    <w:rsid w:val="00974459"/>
    <w:rsid w:val="0097448F"/>
    <w:rsid w:val="009745D6"/>
    <w:rsid w:val="0097475F"/>
    <w:rsid w:val="0097486B"/>
    <w:rsid w:val="00974873"/>
    <w:rsid w:val="0097495C"/>
    <w:rsid w:val="00974C4D"/>
    <w:rsid w:val="00974E1B"/>
    <w:rsid w:val="00974F00"/>
    <w:rsid w:val="00974F38"/>
    <w:rsid w:val="00975363"/>
    <w:rsid w:val="009753A3"/>
    <w:rsid w:val="009753EA"/>
    <w:rsid w:val="009757B5"/>
    <w:rsid w:val="0097586A"/>
    <w:rsid w:val="00975AC5"/>
    <w:rsid w:val="009762B4"/>
    <w:rsid w:val="00976424"/>
    <w:rsid w:val="00976430"/>
    <w:rsid w:val="009764EE"/>
    <w:rsid w:val="0097664B"/>
    <w:rsid w:val="00976A84"/>
    <w:rsid w:val="00976B9D"/>
    <w:rsid w:val="00976BE6"/>
    <w:rsid w:val="00976C94"/>
    <w:rsid w:val="00977012"/>
    <w:rsid w:val="0097732F"/>
    <w:rsid w:val="009773D0"/>
    <w:rsid w:val="009773DC"/>
    <w:rsid w:val="009775B0"/>
    <w:rsid w:val="00977953"/>
    <w:rsid w:val="00980043"/>
    <w:rsid w:val="009802AA"/>
    <w:rsid w:val="009802BF"/>
    <w:rsid w:val="009803E3"/>
    <w:rsid w:val="00980643"/>
    <w:rsid w:val="00980952"/>
    <w:rsid w:val="00980B62"/>
    <w:rsid w:val="00980CE0"/>
    <w:rsid w:val="00980D10"/>
    <w:rsid w:val="009814C4"/>
    <w:rsid w:val="009815BD"/>
    <w:rsid w:val="009817C9"/>
    <w:rsid w:val="00981D4E"/>
    <w:rsid w:val="00981E35"/>
    <w:rsid w:val="00981EAB"/>
    <w:rsid w:val="00981EC7"/>
    <w:rsid w:val="00982562"/>
    <w:rsid w:val="00982B48"/>
    <w:rsid w:val="0098337B"/>
    <w:rsid w:val="009838F8"/>
    <w:rsid w:val="00983C62"/>
    <w:rsid w:val="00983CDE"/>
    <w:rsid w:val="00983F90"/>
    <w:rsid w:val="00983FB7"/>
    <w:rsid w:val="00983FFF"/>
    <w:rsid w:val="00984210"/>
    <w:rsid w:val="009848A6"/>
    <w:rsid w:val="00984AE2"/>
    <w:rsid w:val="00984C18"/>
    <w:rsid w:val="00984D94"/>
    <w:rsid w:val="00985148"/>
    <w:rsid w:val="009852A4"/>
    <w:rsid w:val="00985991"/>
    <w:rsid w:val="009860EE"/>
    <w:rsid w:val="009865FB"/>
    <w:rsid w:val="0098677B"/>
    <w:rsid w:val="009869A0"/>
    <w:rsid w:val="00986C9E"/>
    <w:rsid w:val="00986ED2"/>
    <w:rsid w:val="0098720F"/>
    <w:rsid w:val="00987443"/>
    <w:rsid w:val="0098759F"/>
    <w:rsid w:val="00987696"/>
    <w:rsid w:val="009877C9"/>
    <w:rsid w:val="00987AD9"/>
    <w:rsid w:val="00987C1F"/>
    <w:rsid w:val="00987C7D"/>
    <w:rsid w:val="00990043"/>
    <w:rsid w:val="00990531"/>
    <w:rsid w:val="00990772"/>
    <w:rsid w:val="00990833"/>
    <w:rsid w:val="0099098D"/>
    <w:rsid w:val="00990991"/>
    <w:rsid w:val="00990AB1"/>
    <w:rsid w:val="00990F9F"/>
    <w:rsid w:val="00991164"/>
    <w:rsid w:val="00991268"/>
    <w:rsid w:val="00991729"/>
    <w:rsid w:val="00991EBF"/>
    <w:rsid w:val="00991F3C"/>
    <w:rsid w:val="00992280"/>
    <w:rsid w:val="00992560"/>
    <w:rsid w:val="00992747"/>
    <w:rsid w:val="00992D15"/>
    <w:rsid w:val="00992DB3"/>
    <w:rsid w:val="00992E68"/>
    <w:rsid w:val="00993400"/>
    <w:rsid w:val="00993C57"/>
    <w:rsid w:val="00993D9D"/>
    <w:rsid w:val="00994198"/>
    <w:rsid w:val="00994871"/>
    <w:rsid w:val="00994DCB"/>
    <w:rsid w:val="00994F21"/>
    <w:rsid w:val="00994FA1"/>
    <w:rsid w:val="00995002"/>
    <w:rsid w:val="009952D1"/>
    <w:rsid w:val="009952E0"/>
    <w:rsid w:val="00995373"/>
    <w:rsid w:val="00995729"/>
    <w:rsid w:val="00995CBA"/>
    <w:rsid w:val="00996257"/>
    <w:rsid w:val="00996261"/>
    <w:rsid w:val="009963B4"/>
    <w:rsid w:val="009965EF"/>
    <w:rsid w:val="00996C3D"/>
    <w:rsid w:val="00996C98"/>
    <w:rsid w:val="00997CA3"/>
    <w:rsid w:val="009A008E"/>
    <w:rsid w:val="009A01EC"/>
    <w:rsid w:val="009A0510"/>
    <w:rsid w:val="009A0A37"/>
    <w:rsid w:val="009A0A81"/>
    <w:rsid w:val="009A0C57"/>
    <w:rsid w:val="009A0DBC"/>
    <w:rsid w:val="009A13CC"/>
    <w:rsid w:val="009A15AE"/>
    <w:rsid w:val="009A1B91"/>
    <w:rsid w:val="009A1C56"/>
    <w:rsid w:val="009A1E63"/>
    <w:rsid w:val="009A20F6"/>
    <w:rsid w:val="009A2307"/>
    <w:rsid w:val="009A27EC"/>
    <w:rsid w:val="009A2BFC"/>
    <w:rsid w:val="009A30FF"/>
    <w:rsid w:val="009A36F1"/>
    <w:rsid w:val="009A36FA"/>
    <w:rsid w:val="009A3703"/>
    <w:rsid w:val="009A3CF8"/>
    <w:rsid w:val="009A3EFB"/>
    <w:rsid w:val="009A40C1"/>
    <w:rsid w:val="009A40F3"/>
    <w:rsid w:val="009A43BB"/>
    <w:rsid w:val="009A4466"/>
    <w:rsid w:val="009A44E9"/>
    <w:rsid w:val="009A4BDE"/>
    <w:rsid w:val="009A522A"/>
    <w:rsid w:val="009A5339"/>
    <w:rsid w:val="009A58F9"/>
    <w:rsid w:val="009A5AC4"/>
    <w:rsid w:val="009A5CCE"/>
    <w:rsid w:val="009A5E37"/>
    <w:rsid w:val="009A5E3F"/>
    <w:rsid w:val="009A60E9"/>
    <w:rsid w:val="009A64BC"/>
    <w:rsid w:val="009A6728"/>
    <w:rsid w:val="009A6B44"/>
    <w:rsid w:val="009A7098"/>
    <w:rsid w:val="009A712A"/>
    <w:rsid w:val="009A718C"/>
    <w:rsid w:val="009A725C"/>
    <w:rsid w:val="009A72B8"/>
    <w:rsid w:val="009A7347"/>
    <w:rsid w:val="009A73EE"/>
    <w:rsid w:val="009A7D1F"/>
    <w:rsid w:val="009B0046"/>
    <w:rsid w:val="009B00B7"/>
    <w:rsid w:val="009B0520"/>
    <w:rsid w:val="009B07E1"/>
    <w:rsid w:val="009B08BA"/>
    <w:rsid w:val="009B09BE"/>
    <w:rsid w:val="009B0A7F"/>
    <w:rsid w:val="009B0C97"/>
    <w:rsid w:val="009B0D44"/>
    <w:rsid w:val="009B0F39"/>
    <w:rsid w:val="009B113D"/>
    <w:rsid w:val="009B120A"/>
    <w:rsid w:val="009B1349"/>
    <w:rsid w:val="009B16CA"/>
    <w:rsid w:val="009B1D5F"/>
    <w:rsid w:val="009B1FA2"/>
    <w:rsid w:val="009B22EA"/>
    <w:rsid w:val="009B3296"/>
    <w:rsid w:val="009B32FD"/>
    <w:rsid w:val="009B3302"/>
    <w:rsid w:val="009B3E7D"/>
    <w:rsid w:val="009B3FA4"/>
    <w:rsid w:val="009B421D"/>
    <w:rsid w:val="009B42AD"/>
    <w:rsid w:val="009B44EE"/>
    <w:rsid w:val="009B4513"/>
    <w:rsid w:val="009B477D"/>
    <w:rsid w:val="009B4799"/>
    <w:rsid w:val="009B4A0A"/>
    <w:rsid w:val="009B4D63"/>
    <w:rsid w:val="009B4D7C"/>
    <w:rsid w:val="009B4E48"/>
    <w:rsid w:val="009B4FCD"/>
    <w:rsid w:val="009B557D"/>
    <w:rsid w:val="009B5636"/>
    <w:rsid w:val="009B56D0"/>
    <w:rsid w:val="009B5920"/>
    <w:rsid w:val="009B5A6A"/>
    <w:rsid w:val="009B602E"/>
    <w:rsid w:val="009B6044"/>
    <w:rsid w:val="009B6899"/>
    <w:rsid w:val="009B6EBC"/>
    <w:rsid w:val="009B71AA"/>
    <w:rsid w:val="009B732D"/>
    <w:rsid w:val="009B7B03"/>
    <w:rsid w:val="009B7CAA"/>
    <w:rsid w:val="009B7EEC"/>
    <w:rsid w:val="009C06CC"/>
    <w:rsid w:val="009C0919"/>
    <w:rsid w:val="009C0DB7"/>
    <w:rsid w:val="009C1034"/>
    <w:rsid w:val="009C110B"/>
    <w:rsid w:val="009C143B"/>
    <w:rsid w:val="009C1905"/>
    <w:rsid w:val="009C1909"/>
    <w:rsid w:val="009C1B37"/>
    <w:rsid w:val="009C1C61"/>
    <w:rsid w:val="009C1CBA"/>
    <w:rsid w:val="009C1D00"/>
    <w:rsid w:val="009C1F87"/>
    <w:rsid w:val="009C2310"/>
    <w:rsid w:val="009C241F"/>
    <w:rsid w:val="009C2608"/>
    <w:rsid w:val="009C276B"/>
    <w:rsid w:val="009C28DC"/>
    <w:rsid w:val="009C2B22"/>
    <w:rsid w:val="009C2DCD"/>
    <w:rsid w:val="009C2E2A"/>
    <w:rsid w:val="009C2E68"/>
    <w:rsid w:val="009C304F"/>
    <w:rsid w:val="009C30B9"/>
    <w:rsid w:val="009C30E9"/>
    <w:rsid w:val="009C32D6"/>
    <w:rsid w:val="009C35AA"/>
    <w:rsid w:val="009C3606"/>
    <w:rsid w:val="009C367D"/>
    <w:rsid w:val="009C3778"/>
    <w:rsid w:val="009C37C5"/>
    <w:rsid w:val="009C3A9B"/>
    <w:rsid w:val="009C3F91"/>
    <w:rsid w:val="009C4037"/>
    <w:rsid w:val="009C4403"/>
    <w:rsid w:val="009C457F"/>
    <w:rsid w:val="009C47AB"/>
    <w:rsid w:val="009C49DB"/>
    <w:rsid w:val="009C4B7A"/>
    <w:rsid w:val="009C4C9A"/>
    <w:rsid w:val="009C4E2F"/>
    <w:rsid w:val="009C5520"/>
    <w:rsid w:val="009C5722"/>
    <w:rsid w:val="009C5B30"/>
    <w:rsid w:val="009C64C9"/>
    <w:rsid w:val="009C6518"/>
    <w:rsid w:val="009C6C31"/>
    <w:rsid w:val="009C74F0"/>
    <w:rsid w:val="009C79F6"/>
    <w:rsid w:val="009C7CF9"/>
    <w:rsid w:val="009C7F1D"/>
    <w:rsid w:val="009C7FAC"/>
    <w:rsid w:val="009C7FE9"/>
    <w:rsid w:val="009D0054"/>
    <w:rsid w:val="009D017B"/>
    <w:rsid w:val="009D02D0"/>
    <w:rsid w:val="009D09D6"/>
    <w:rsid w:val="009D0A14"/>
    <w:rsid w:val="009D0ACA"/>
    <w:rsid w:val="009D0CC8"/>
    <w:rsid w:val="009D0DED"/>
    <w:rsid w:val="009D0F52"/>
    <w:rsid w:val="009D1117"/>
    <w:rsid w:val="009D1176"/>
    <w:rsid w:val="009D14EA"/>
    <w:rsid w:val="009D194A"/>
    <w:rsid w:val="009D2827"/>
    <w:rsid w:val="009D2C01"/>
    <w:rsid w:val="009D2C21"/>
    <w:rsid w:val="009D3BE3"/>
    <w:rsid w:val="009D3D10"/>
    <w:rsid w:val="009D3D72"/>
    <w:rsid w:val="009D3F34"/>
    <w:rsid w:val="009D423F"/>
    <w:rsid w:val="009D44BF"/>
    <w:rsid w:val="009D46F0"/>
    <w:rsid w:val="009D46FC"/>
    <w:rsid w:val="009D48BF"/>
    <w:rsid w:val="009D4F73"/>
    <w:rsid w:val="009D4FE2"/>
    <w:rsid w:val="009D514E"/>
    <w:rsid w:val="009D57CB"/>
    <w:rsid w:val="009D5898"/>
    <w:rsid w:val="009D58E0"/>
    <w:rsid w:val="009D5CA4"/>
    <w:rsid w:val="009D5DEE"/>
    <w:rsid w:val="009D6329"/>
    <w:rsid w:val="009D68BE"/>
    <w:rsid w:val="009D6C8F"/>
    <w:rsid w:val="009D7460"/>
    <w:rsid w:val="009D7CC9"/>
    <w:rsid w:val="009D7D58"/>
    <w:rsid w:val="009E0127"/>
    <w:rsid w:val="009E0245"/>
    <w:rsid w:val="009E05C0"/>
    <w:rsid w:val="009E0853"/>
    <w:rsid w:val="009E09F3"/>
    <w:rsid w:val="009E0BCF"/>
    <w:rsid w:val="009E0BE7"/>
    <w:rsid w:val="009E0D4C"/>
    <w:rsid w:val="009E0D85"/>
    <w:rsid w:val="009E12FA"/>
    <w:rsid w:val="009E14EB"/>
    <w:rsid w:val="009E1AF3"/>
    <w:rsid w:val="009E1B08"/>
    <w:rsid w:val="009E1DC0"/>
    <w:rsid w:val="009E1E4B"/>
    <w:rsid w:val="009E2292"/>
    <w:rsid w:val="009E24EC"/>
    <w:rsid w:val="009E2512"/>
    <w:rsid w:val="009E2591"/>
    <w:rsid w:val="009E2DF7"/>
    <w:rsid w:val="009E2ED8"/>
    <w:rsid w:val="009E3028"/>
    <w:rsid w:val="009E31BE"/>
    <w:rsid w:val="009E31E7"/>
    <w:rsid w:val="009E328F"/>
    <w:rsid w:val="009E3632"/>
    <w:rsid w:val="009E3CDC"/>
    <w:rsid w:val="009E3F1C"/>
    <w:rsid w:val="009E44D8"/>
    <w:rsid w:val="009E468B"/>
    <w:rsid w:val="009E46EF"/>
    <w:rsid w:val="009E490A"/>
    <w:rsid w:val="009E4B09"/>
    <w:rsid w:val="009E512C"/>
    <w:rsid w:val="009E5133"/>
    <w:rsid w:val="009E52EC"/>
    <w:rsid w:val="009E5352"/>
    <w:rsid w:val="009E575E"/>
    <w:rsid w:val="009E673F"/>
    <w:rsid w:val="009E67C5"/>
    <w:rsid w:val="009E6975"/>
    <w:rsid w:val="009E6C86"/>
    <w:rsid w:val="009E734F"/>
    <w:rsid w:val="009E7380"/>
    <w:rsid w:val="009E7481"/>
    <w:rsid w:val="009E7714"/>
    <w:rsid w:val="009E77C2"/>
    <w:rsid w:val="009E7DFC"/>
    <w:rsid w:val="009F0459"/>
    <w:rsid w:val="009F0888"/>
    <w:rsid w:val="009F0D6C"/>
    <w:rsid w:val="009F1149"/>
    <w:rsid w:val="009F1231"/>
    <w:rsid w:val="009F16A4"/>
    <w:rsid w:val="009F1E72"/>
    <w:rsid w:val="009F2019"/>
    <w:rsid w:val="009F20EB"/>
    <w:rsid w:val="009F21EF"/>
    <w:rsid w:val="009F2275"/>
    <w:rsid w:val="009F2690"/>
    <w:rsid w:val="009F275D"/>
    <w:rsid w:val="009F293A"/>
    <w:rsid w:val="009F2B5B"/>
    <w:rsid w:val="009F2F0D"/>
    <w:rsid w:val="009F30BE"/>
    <w:rsid w:val="009F3146"/>
    <w:rsid w:val="009F3576"/>
    <w:rsid w:val="009F3591"/>
    <w:rsid w:val="009F3972"/>
    <w:rsid w:val="009F3CE4"/>
    <w:rsid w:val="009F3CF2"/>
    <w:rsid w:val="009F40D5"/>
    <w:rsid w:val="009F48AC"/>
    <w:rsid w:val="009F4D49"/>
    <w:rsid w:val="009F519F"/>
    <w:rsid w:val="009F5545"/>
    <w:rsid w:val="009F5941"/>
    <w:rsid w:val="009F5988"/>
    <w:rsid w:val="009F5A03"/>
    <w:rsid w:val="009F5CCF"/>
    <w:rsid w:val="009F5DF5"/>
    <w:rsid w:val="009F5EBB"/>
    <w:rsid w:val="009F5F0E"/>
    <w:rsid w:val="009F6674"/>
    <w:rsid w:val="009F6C8B"/>
    <w:rsid w:val="009F6E5E"/>
    <w:rsid w:val="009F71B0"/>
    <w:rsid w:val="009F7547"/>
    <w:rsid w:val="009F7778"/>
    <w:rsid w:val="009F7934"/>
    <w:rsid w:val="009F7A1B"/>
    <w:rsid w:val="009F7D34"/>
    <w:rsid w:val="00A00379"/>
    <w:rsid w:val="00A00587"/>
    <w:rsid w:val="00A00787"/>
    <w:rsid w:val="00A00A08"/>
    <w:rsid w:val="00A00E1A"/>
    <w:rsid w:val="00A00F64"/>
    <w:rsid w:val="00A0101F"/>
    <w:rsid w:val="00A010A6"/>
    <w:rsid w:val="00A013F6"/>
    <w:rsid w:val="00A015ED"/>
    <w:rsid w:val="00A01623"/>
    <w:rsid w:val="00A01BFC"/>
    <w:rsid w:val="00A02026"/>
    <w:rsid w:val="00A0237A"/>
    <w:rsid w:val="00A02969"/>
    <w:rsid w:val="00A02BCC"/>
    <w:rsid w:val="00A02E44"/>
    <w:rsid w:val="00A030E3"/>
    <w:rsid w:val="00A03184"/>
    <w:rsid w:val="00A032EB"/>
    <w:rsid w:val="00A03437"/>
    <w:rsid w:val="00A03450"/>
    <w:rsid w:val="00A034C6"/>
    <w:rsid w:val="00A039AD"/>
    <w:rsid w:val="00A03BD4"/>
    <w:rsid w:val="00A03FBF"/>
    <w:rsid w:val="00A03FC0"/>
    <w:rsid w:val="00A040AF"/>
    <w:rsid w:val="00A0425A"/>
    <w:rsid w:val="00A04AF5"/>
    <w:rsid w:val="00A04C84"/>
    <w:rsid w:val="00A04D9D"/>
    <w:rsid w:val="00A04F12"/>
    <w:rsid w:val="00A051F8"/>
    <w:rsid w:val="00A05404"/>
    <w:rsid w:val="00A05B05"/>
    <w:rsid w:val="00A05BA4"/>
    <w:rsid w:val="00A0626D"/>
    <w:rsid w:val="00A0642C"/>
    <w:rsid w:val="00A06A5D"/>
    <w:rsid w:val="00A06AAC"/>
    <w:rsid w:val="00A06AF6"/>
    <w:rsid w:val="00A06C64"/>
    <w:rsid w:val="00A06EF7"/>
    <w:rsid w:val="00A071B2"/>
    <w:rsid w:val="00A071DE"/>
    <w:rsid w:val="00A07AB9"/>
    <w:rsid w:val="00A07BCB"/>
    <w:rsid w:val="00A07BF5"/>
    <w:rsid w:val="00A07DEC"/>
    <w:rsid w:val="00A1001B"/>
    <w:rsid w:val="00A1047A"/>
    <w:rsid w:val="00A1057C"/>
    <w:rsid w:val="00A10A97"/>
    <w:rsid w:val="00A10B80"/>
    <w:rsid w:val="00A10E1B"/>
    <w:rsid w:val="00A11198"/>
    <w:rsid w:val="00A1119B"/>
    <w:rsid w:val="00A11254"/>
    <w:rsid w:val="00A115ED"/>
    <w:rsid w:val="00A11831"/>
    <w:rsid w:val="00A11A4D"/>
    <w:rsid w:val="00A11AC7"/>
    <w:rsid w:val="00A11C20"/>
    <w:rsid w:val="00A11E0D"/>
    <w:rsid w:val="00A124F9"/>
    <w:rsid w:val="00A12A6A"/>
    <w:rsid w:val="00A12BC0"/>
    <w:rsid w:val="00A12D71"/>
    <w:rsid w:val="00A12F44"/>
    <w:rsid w:val="00A13572"/>
    <w:rsid w:val="00A138BD"/>
    <w:rsid w:val="00A13E6C"/>
    <w:rsid w:val="00A1412E"/>
    <w:rsid w:val="00A141FB"/>
    <w:rsid w:val="00A14244"/>
    <w:rsid w:val="00A1438B"/>
    <w:rsid w:val="00A1441B"/>
    <w:rsid w:val="00A1442F"/>
    <w:rsid w:val="00A144BC"/>
    <w:rsid w:val="00A14648"/>
    <w:rsid w:val="00A14E55"/>
    <w:rsid w:val="00A15341"/>
    <w:rsid w:val="00A15350"/>
    <w:rsid w:val="00A15C4B"/>
    <w:rsid w:val="00A15C79"/>
    <w:rsid w:val="00A16316"/>
    <w:rsid w:val="00A16E1D"/>
    <w:rsid w:val="00A1787E"/>
    <w:rsid w:val="00A17A34"/>
    <w:rsid w:val="00A17D0D"/>
    <w:rsid w:val="00A17EE7"/>
    <w:rsid w:val="00A200D1"/>
    <w:rsid w:val="00A20260"/>
    <w:rsid w:val="00A20C39"/>
    <w:rsid w:val="00A20C92"/>
    <w:rsid w:val="00A20D36"/>
    <w:rsid w:val="00A20EEE"/>
    <w:rsid w:val="00A20F6C"/>
    <w:rsid w:val="00A2123E"/>
    <w:rsid w:val="00A21DD5"/>
    <w:rsid w:val="00A21E20"/>
    <w:rsid w:val="00A21EF1"/>
    <w:rsid w:val="00A22768"/>
    <w:rsid w:val="00A22C26"/>
    <w:rsid w:val="00A2333C"/>
    <w:rsid w:val="00A234AB"/>
    <w:rsid w:val="00A23563"/>
    <w:rsid w:val="00A2380C"/>
    <w:rsid w:val="00A2388A"/>
    <w:rsid w:val="00A23D94"/>
    <w:rsid w:val="00A23F8E"/>
    <w:rsid w:val="00A24071"/>
    <w:rsid w:val="00A240FD"/>
    <w:rsid w:val="00A24770"/>
    <w:rsid w:val="00A24865"/>
    <w:rsid w:val="00A2487D"/>
    <w:rsid w:val="00A24B0E"/>
    <w:rsid w:val="00A24DE3"/>
    <w:rsid w:val="00A25075"/>
    <w:rsid w:val="00A250FB"/>
    <w:rsid w:val="00A251D5"/>
    <w:rsid w:val="00A25666"/>
    <w:rsid w:val="00A25788"/>
    <w:rsid w:val="00A2592C"/>
    <w:rsid w:val="00A25994"/>
    <w:rsid w:val="00A25E7B"/>
    <w:rsid w:val="00A2614C"/>
    <w:rsid w:val="00A265E3"/>
    <w:rsid w:val="00A26977"/>
    <w:rsid w:val="00A26A8D"/>
    <w:rsid w:val="00A26B76"/>
    <w:rsid w:val="00A26D9E"/>
    <w:rsid w:val="00A26DD0"/>
    <w:rsid w:val="00A26FD2"/>
    <w:rsid w:val="00A2712D"/>
    <w:rsid w:val="00A27689"/>
    <w:rsid w:val="00A27790"/>
    <w:rsid w:val="00A27A47"/>
    <w:rsid w:val="00A30173"/>
    <w:rsid w:val="00A30226"/>
    <w:rsid w:val="00A306F3"/>
    <w:rsid w:val="00A31A61"/>
    <w:rsid w:val="00A3222F"/>
    <w:rsid w:val="00A3235D"/>
    <w:rsid w:val="00A32AFB"/>
    <w:rsid w:val="00A330E0"/>
    <w:rsid w:val="00A33167"/>
    <w:rsid w:val="00A331D0"/>
    <w:rsid w:val="00A3331F"/>
    <w:rsid w:val="00A33CAA"/>
    <w:rsid w:val="00A33DF1"/>
    <w:rsid w:val="00A33F07"/>
    <w:rsid w:val="00A33FA4"/>
    <w:rsid w:val="00A34002"/>
    <w:rsid w:val="00A344C3"/>
    <w:rsid w:val="00A34748"/>
    <w:rsid w:val="00A348FC"/>
    <w:rsid w:val="00A3498C"/>
    <w:rsid w:val="00A34A0E"/>
    <w:rsid w:val="00A34A65"/>
    <w:rsid w:val="00A34DF5"/>
    <w:rsid w:val="00A34EC3"/>
    <w:rsid w:val="00A35323"/>
    <w:rsid w:val="00A356E5"/>
    <w:rsid w:val="00A359C2"/>
    <w:rsid w:val="00A35B0B"/>
    <w:rsid w:val="00A35C13"/>
    <w:rsid w:val="00A35EE4"/>
    <w:rsid w:val="00A3643E"/>
    <w:rsid w:val="00A364EC"/>
    <w:rsid w:val="00A37046"/>
    <w:rsid w:val="00A3722A"/>
    <w:rsid w:val="00A379ED"/>
    <w:rsid w:val="00A37C32"/>
    <w:rsid w:val="00A37D9A"/>
    <w:rsid w:val="00A401BF"/>
    <w:rsid w:val="00A40256"/>
    <w:rsid w:val="00A40268"/>
    <w:rsid w:val="00A40689"/>
    <w:rsid w:val="00A409F3"/>
    <w:rsid w:val="00A40A24"/>
    <w:rsid w:val="00A40B7E"/>
    <w:rsid w:val="00A40E2D"/>
    <w:rsid w:val="00A412C4"/>
    <w:rsid w:val="00A413FB"/>
    <w:rsid w:val="00A421EF"/>
    <w:rsid w:val="00A42410"/>
    <w:rsid w:val="00A42AEF"/>
    <w:rsid w:val="00A42E35"/>
    <w:rsid w:val="00A42E53"/>
    <w:rsid w:val="00A43048"/>
    <w:rsid w:val="00A430AD"/>
    <w:rsid w:val="00A430EA"/>
    <w:rsid w:val="00A430EB"/>
    <w:rsid w:val="00A436C6"/>
    <w:rsid w:val="00A43788"/>
    <w:rsid w:val="00A43985"/>
    <w:rsid w:val="00A439A8"/>
    <w:rsid w:val="00A43FF2"/>
    <w:rsid w:val="00A4408A"/>
    <w:rsid w:val="00A44184"/>
    <w:rsid w:val="00A448C8"/>
    <w:rsid w:val="00A44CCF"/>
    <w:rsid w:val="00A44F67"/>
    <w:rsid w:val="00A44F9E"/>
    <w:rsid w:val="00A45263"/>
    <w:rsid w:val="00A45310"/>
    <w:rsid w:val="00A456A8"/>
    <w:rsid w:val="00A4580A"/>
    <w:rsid w:val="00A45935"/>
    <w:rsid w:val="00A45AEA"/>
    <w:rsid w:val="00A45AF0"/>
    <w:rsid w:val="00A45BE5"/>
    <w:rsid w:val="00A45C13"/>
    <w:rsid w:val="00A45EE0"/>
    <w:rsid w:val="00A45F27"/>
    <w:rsid w:val="00A46263"/>
    <w:rsid w:val="00A466A9"/>
    <w:rsid w:val="00A4673C"/>
    <w:rsid w:val="00A4679B"/>
    <w:rsid w:val="00A46A91"/>
    <w:rsid w:val="00A47051"/>
    <w:rsid w:val="00A471FC"/>
    <w:rsid w:val="00A47625"/>
    <w:rsid w:val="00A47856"/>
    <w:rsid w:val="00A47A14"/>
    <w:rsid w:val="00A47C13"/>
    <w:rsid w:val="00A47F2B"/>
    <w:rsid w:val="00A47F6F"/>
    <w:rsid w:val="00A47FA9"/>
    <w:rsid w:val="00A5067B"/>
    <w:rsid w:val="00A51271"/>
    <w:rsid w:val="00A513FB"/>
    <w:rsid w:val="00A514C8"/>
    <w:rsid w:val="00A515D1"/>
    <w:rsid w:val="00A51CE1"/>
    <w:rsid w:val="00A52114"/>
    <w:rsid w:val="00A52337"/>
    <w:rsid w:val="00A5279B"/>
    <w:rsid w:val="00A52BD8"/>
    <w:rsid w:val="00A5377F"/>
    <w:rsid w:val="00A538E6"/>
    <w:rsid w:val="00A53A8C"/>
    <w:rsid w:val="00A53B2A"/>
    <w:rsid w:val="00A53B4E"/>
    <w:rsid w:val="00A54047"/>
    <w:rsid w:val="00A5419F"/>
    <w:rsid w:val="00A543BA"/>
    <w:rsid w:val="00A548F9"/>
    <w:rsid w:val="00A54968"/>
    <w:rsid w:val="00A54EA7"/>
    <w:rsid w:val="00A550A7"/>
    <w:rsid w:val="00A551A1"/>
    <w:rsid w:val="00A552D6"/>
    <w:rsid w:val="00A553A8"/>
    <w:rsid w:val="00A553EB"/>
    <w:rsid w:val="00A5591C"/>
    <w:rsid w:val="00A55AE9"/>
    <w:rsid w:val="00A55FB0"/>
    <w:rsid w:val="00A56158"/>
    <w:rsid w:val="00A56C1C"/>
    <w:rsid w:val="00A56CDB"/>
    <w:rsid w:val="00A56D5C"/>
    <w:rsid w:val="00A56E43"/>
    <w:rsid w:val="00A56ECE"/>
    <w:rsid w:val="00A572D7"/>
    <w:rsid w:val="00A57493"/>
    <w:rsid w:val="00A57511"/>
    <w:rsid w:val="00A5771C"/>
    <w:rsid w:val="00A5777D"/>
    <w:rsid w:val="00A57936"/>
    <w:rsid w:val="00A57BBF"/>
    <w:rsid w:val="00A57D79"/>
    <w:rsid w:val="00A57F2C"/>
    <w:rsid w:val="00A600B8"/>
    <w:rsid w:val="00A601B2"/>
    <w:rsid w:val="00A6044D"/>
    <w:rsid w:val="00A604C8"/>
    <w:rsid w:val="00A607B0"/>
    <w:rsid w:val="00A607F2"/>
    <w:rsid w:val="00A6093B"/>
    <w:rsid w:val="00A60A58"/>
    <w:rsid w:val="00A60CC3"/>
    <w:rsid w:val="00A60D47"/>
    <w:rsid w:val="00A60EA0"/>
    <w:rsid w:val="00A60EC7"/>
    <w:rsid w:val="00A612D5"/>
    <w:rsid w:val="00A61616"/>
    <w:rsid w:val="00A61627"/>
    <w:rsid w:val="00A6177C"/>
    <w:rsid w:val="00A61B15"/>
    <w:rsid w:val="00A61DA8"/>
    <w:rsid w:val="00A62022"/>
    <w:rsid w:val="00A62189"/>
    <w:rsid w:val="00A6251D"/>
    <w:rsid w:val="00A62DF1"/>
    <w:rsid w:val="00A62ED4"/>
    <w:rsid w:val="00A63288"/>
    <w:rsid w:val="00A637B9"/>
    <w:rsid w:val="00A63DA0"/>
    <w:rsid w:val="00A64714"/>
    <w:rsid w:val="00A64739"/>
    <w:rsid w:val="00A64A93"/>
    <w:rsid w:val="00A64D9E"/>
    <w:rsid w:val="00A65725"/>
    <w:rsid w:val="00A657C4"/>
    <w:rsid w:val="00A65D34"/>
    <w:rsid w:val="00A65E17"/>
    <w:rsid w:val="00A65E58"/>
    <w:rsid w:val="00A65F60"/>
    <w:rsid w:val="00A663C3"/>
    <w:rsid w:val="00A66505"/>
    <w:rsid w:val="00A66572"/>
    <w:rsid w:val="00A66819"/>
    <w:rsid w:val="00A66B41"/>
    <w:rsid w:val="00A66BDE"/>
    <w:rsid w:val="00A6760E"/>
    <w:rsid w:val="00A679E0"/>
    <w:rsid w:val="00A67CDA"/>
    <w:rsid w:val="00A67E77"/>
    <w:rsid w:val="00A67ED9"/>
    <w:rsid w:val="00A70177"/>
    <w:rsid w:val="00A7059F"/>
    <w:rsid w:val="00A70823"/>
    <w:rsid w:val="00A708FF"/>
    <w:rsid w:val="00A70AB2"/>
    <w:rsid w:val="00A70EE3"/>
    <w:rsid w:val="00A71137"/>
    <w:rsid w:val="00A71147"/>
    <w:rsid w:val="00A71448"/>
    <w:rsid w:val="00A718FC"/>
    <w:rsid w:val="00A72040"/>
    <w:rsid w:val="00A720BF"/>
    <w:rsid w:val="00A72151"/>
    <w:rsid w:val="00A72A66"/>
    <w:rsid w:val="00A72B42"/>
    <w:rsid w:val="00A733D8"/>
    <w:rsid w:val="00A73A82"/>
    <w:rsid w:val="00A73C3C"/>
    <w:rsid w:val="00A73D45"/>
    <w:rsid w:val="00A73EEA"/>
    <w:rsid w:val="00A740C1"/>
    <w:rsid w:val="00A742B3"/>
    <w:rsid w:val="00A742F1"/>
    <w:rsid w:val="00A74314"/>
    <w:rsid w:val="00A74528"/>
    <w:rsid w:val="00A7486B"/>
    <w:rsid w:val="00A748D2"/>
    <w:rsid w:val="00A74A41"/>
    <w:rsid w:val="00A74AD1"/>
    <w:rsid w:val="00A74BC2"/>
    <w:rsid w:val="00A74D39"/>
    <w:rsid w:val="00A7503B"/>
    <w:rsid w:val="00A7507F"/>
    <w:rsid w:val="00A75164"/>
    <w:rsid w:val="00A75476"/>
    <w:rsid w:val="00A75694"/>
    <w:rsid w:val="00A757AD"/>
    <w:rsid w:val="00A75EF4"/>
    <w:rsid w:val="00A76117"/>
    <w:rsid w:val="00A76130"/>
    <w:rsid w:val="00A761AF"/>
    <w:rsid w:val="00A76769"/>
    <w:rsid w:val="00A767FE"/>
    <w:rsid w:val="00A76890"/>
    <w:rsid w:val="00A768D4"/>
    <w:rsid w:val="00A76934"/>
    <w:rsid w:val="00A76C54"/>
    <w:rsid w:val="00A7778B"/>
    <w:rsid w:val="00A77E80"/>
    <w:rsid w:val="00A77F41"/>
    <w:rsid w:val="00A800AA"/>
    <w:rsid w:val="00A8031B"/>
    <w:rsid w:val="00A803EF"/>
    <w:rsid w:val="00A8045B"/>
    <w:rsid w:val="00A808CE"/>
    <w:rsid w:val="00A80A32"/>
    <w:rsid w:val="00A80A40"/>
    <w:rsid w:val="00A80DBE"/>
    <w:rsid w:val="00A8129E"/>
    <w:rsid w:val="00A8145C"/>
    <w:rsid w:val="00A81477"/>
    <w:rsid w:val="00A81590"/>
    <w:rsid w:val="00A815E8"/>
    <w:rsid w:val="00A81602"/>
    <w:rsid w:val="00A81FEC"/>
    <w:rsid w:val="00A82128"/>
    <w:rsid w:val="00A82253"/>
    <w:rsid w:val="00A82360"/>
    <w:rsid w:val="00A826FC"/>
    <w:rsid w:val="00A82877"/>
    <w:rsid w:val="00A82A95"/>
    <w:rsid w:val="00A82B51"/>
    <w:rsid w:val="00A83007"/>
    <w:rsid w:val="00A833CE"/>
    <w:rsid w:val="00A83430"/>
    <w:rsid w:val="00A834F8"/>
    <w:rsid w:val="00A835F8"/>
    <w:rsid w:val="00A835FF"/>
    <w:rsid w:val="00A836C2"/>
    <w:rsid w:val="00A83CAB"/>
    <w:rsid w:val="00A83EA0"/>
    <w:rsid w:val="00A83F28"/>
    <w:rsid w:val="00A84123"/>
    <w:rsid w:val="00A84270"/>
    <w:rsid w:val="00A8438D"/>
    <w:rsid w:val="00A84858"/>
    <w:rsid w:val="00A84BAE"/>
    <w:rsid w:val="00A84EB5"/>
    <w:rsid w:val="00A85DCD"/>
    <w:rsid w:val="00A863CE"/>
    <w:rsid w:val="00A86437"/>
    <w:rsid w:val="00A8663E"/>
    <w:rsid w:val="00A86778"/>
    <w:rsid w:val="00A867D0"/>
    <w:rsid w:val="00A86A6B"/>
    <w:rsid w:val="00A86B05"/>
    <w:rsid w:val="00A86F35"/>
    <w:rsid w:val="00A874A5"/>
    <w:rsid w:val="00A87668"/>
    <w:rsid w:val="00A87833"/>
    <w:rsid w:val="00A87A76"/>
    <w:rsid w:val="00A87C92"/>
    <w:rsid w:val="00A87F09"/>
    <w:rsid w:val="00A903EC"/>
    <w:rsid w:val="00A9041A"/>
    <w:rsid w:val="00A9044B"/>
    <w:rsid w:val="00A90784"/>
    <w:rsid w:val="00A9078C"/>
    <w:rsid w:val="00A908DD"/>
    <w:rsid w:val="00A90B9A"/>
    <w:rsid w:val="00A90EB9"/>
    <w:rsid w:val="00A9117E"/>
    <w:rsid w:val="00A911A0"/>
    <w:rsid w:val="00A915ED"/>
    <w:rsid w:val="00A91C90"/>
    <w:rsid w:val="00A9206E"/>
    <w:rsid w:val="00A92723"/>
    <w:rsid w:val="00A927A0"/>
    <w:rsid w:val="00A9299A"/>
    <w:rsid w:val="00A92B36"/>
    <w:rsid w:val="00A92F7F"/>
    <w:rsid w:val="00A93184"/>
    <w:rsid w:val="00A93320"/>
    <w:rsid w:val="00A937BD"/>
    <w:rsid w:val="00A93B64"/>
    <w:rsid w:val="00A93BC5"/>
    <w:rsid w:val="00A93C60"/>
    <w:rsid w:val="00A93CEB"/>
    <w:rsid w:val="00A940D0"/>
    <w:rsid w:val="00A9440F"/>
    <w:rsid w:val="00A9467A"/>
    <w:rsid w:val="00A948DD"/>
    <w:rsid w:val="00A94C2C"/>
    <w:rsid w:val="00A95AF8"/>
    <w:rsid w:val="00A95ECE"/>
    <w:rsid w:val="00A96395"/>
    <w:rsid w:val="00A965F9"/>
    <w:rsid w:val="00A969B7"/>
    <w:rsid w:val="00A969F2"/>
    <w:rsid w:val="00A96B47"/>
    <w:rsid w:val="00A96C80"/>
    <w:rsid w:val="00A96DCB"/>
    <w:rsid w:val="00A96FB1"/>
    <w:rsid w:val="00A97227"/>
    <w:rsid w:val="00A97282"/>
    <w:rsid w:val="00A977BE"/>
    <w:rsid w:val="00A97840"/>
    <w:rsid w:val="00A97B92"/>
    <w:rsid w:val="00AA064B"/>
    <w:rsid w:val="00AA0B0B"/>
    <w:rsid w:val="00AA0B83"/>
    <w:rsid w:val="00AA0E8D"/>
    <w:rsid w:val="00AA0F13"/>
    <w:rsid w:val="00AA103B"/>
    <w:rsid w:val="00AA15CF"/>
    <w:rsid w:val="00AA1789"/>
    <w:rsid w:val="00AA1793"/>
    <w:rsid w:val="00AA1AA8"/>
    <w:rsid w:val="00AA1BEE"/>
    <w:rsid w:val="00AA1CFF"/>
    <w:rsid w:val="00AA2123"/>
    <w:rsid w:val="00AA27FE"/>
    <w:rsid w:val="00AA284C"/>
    <w:rsid w:val="00AA2B78"/>
    <w:rsid w:val="00AA3A0B"/>
    <w:rsid w:val="00AA3D89"/>
    <w:rsid w:val="00AA3E72"/>
    <w:rsid w:val="00AA3F61"/>
    <w:rsid w:val="00AA40B3"/>
    <w:rsid w:val="00AA4285"/>
    <w:rsid w:val="00AA4448"/>
    <w:rsid w:val="00AA4469"/>
    <w:rsid w:val="00AA552E"/>
    <w:rsid w:val="00AA5EE4"/>
    <w:rsid w:val="00AA6405"/>
    <w:rsid w:val="00AA6B3C"/>
    <w:rsid w:val="00AA6DCE"/>
    <w:rsid w:val="00AA709F"/>
    <w:rsid w:val="00AA73D9"/>
    <w:rsid w:val="00AA771B"/>
    <w:rsid w:val="00AA79E9"/>
    <w:rsid w:val="00AA7D76"/>
    <w:rsid w:val="00AA7E27"/>
    <w:rsid w:val="00AA7FF0"/>
    <w:rsid w:val="00AB0103"/>
    <w:rsid w:val="00AB01C2"/>
    <w:rsid w:val="00AB0334"/>
    <w:rsid w:val="00AB058F"/>
    <w:rsid w:val="00AB0B57"/>
    <w:rsid w:val="00AB0D27"/>
    <w:rsid w:val="00AB0E88"/>
    <w:rsid w:val="00AB115B"/>
    <w:rsid w:val="00AB1391"/>
    <w:rsid w:val="00AB13D7"/>
    <w:rsid w:val="00AB1CDE"/>
    <w:rsid w:val="00AB1F4A"/>
    <w:rsid w:val="00AB1FD9"/>
    <w:rsid w:val="00AB2257"/>
    <w:rsid w:val="00AB232D"/>
    <w:rsid w:val="00AB25CA"/>
    <w:rsid w:val="00AB2811"/>
    <w:rsid w:val="00AB2B0C"/>
    <w:rsid w:val="00AB2B7F"/>
    <w:rsid w:val="00AB2DA0"/>
    <w:rsid w:val="00AB2E57"/>
    <w:rsid w:val="00AB2F2A"/>
    <w:rsid w:val="00AB33AE"/>
    <w:rsid w:val="00AB36E9"/>
    <w:rsid w:val="00AB3960"/>
    <w:rsid w:val="00AB3BE2"/>
    <w:rsid w:val="00AB3C97"/>
    <w:rsid w:val="00AB3D41"/>
    <w:rsid w:val="00AB401E"/>
    <w:rsid w:val="00AB42AE"/>
    <w:rsid w:val="00AB46A8"/>
    <w:rsid w:val="00AB493A"/>
    <w:rsid w:val="00AB4B17"/>
    <w:rsid w:val="00AB5434"/>
    <w:rsid w:val="00AB5588"/>
    <w:rsid w:val="00AB570A"/>
    <w:rsid w:val="00AB57F4"/>
    <w:rsid w:val="00AB588C"/>
    <w:rsid w:val="00AB58DD"/>
    <w:rsid w:val="00AB5D05"/>
    <w:rsid w:val="00AB5D2B"/>
    <w:rsid w:val="00AB6093"/>
    <w:rsid w:val="00AB6214"/>
    <w:rsid w:val="00AB641E"/>
    <w:rsid w:val="00AB6733"/>
    <w:rsid w:val="00AB6C92"/>
    <w:rsid w:val="00AB6F2D"/>
    <w:rsid w:val="00AB7042"/>
    <w:rsid w:val="00AB7137"/>
    <w:rsid w:val="00AB73A7"/>
    <w:rsid w:val="00AB79C0"/>
    <w:rsid w:val="00AB7A1E"/>
    <w:rsid w:val="00AB7E2A"/>
    <w:rsid w:val="00AC046D"/>
    <w:rsid w:val="00AC0519"/>
    <w:rsid w:val="00AC0764"/>
    <w:rsid w:val="00AC0874"/>
    <w:rsid w:val="00AC09FC"/>
    <w:rsid w:val="00AC0A28"/>
    <w:rsid w:val="00AC12DF"/>
    <w:rsid w:val="00AC1915"/>
    <w:rsid w:val="00AC1BDE"/>
    <w:rsid w:val="00AC1D28"/>
    <w:rsid w:val="00AC1EC6"/>
    <w:rsid w:val="00AC20A2"/>
    <w:rsid w:val="00AC2429"/>
    <w:rsid w:val="00AC2872"/>
    <w:rsid w:val="00AC2B3E"/>
    <w:rsid w:val="00AC2C1B"/>
    <w:rsid w:val="00AC3310"/>
    <w:rsid w:val="00AC3358"/>
    <w:rsid w:val="00AC3389"/>
    <w:rsid w:val="00AC351F"/>
    <w:rsid w:val="00AC371C"/>
    <w:rsid w:val="00AC39B3"/>
    <w:rsid w:val="00AC3B29"/>
    <w:rsid w:val="00AC3C24"/>
    <w:rsid w:val="00AC4036"/>
    <w:rsid w:val="00AC4099"/>
    <w:rsid w:val="00AC4134"/>
    <w:rsid w:val="00AC42D4"/>
    <w:rsid w:val="00AC4368"/>
    <w:rsid w:val="00AC43E9"/>
    <w:rsid w:val="00AC4500"/>
    <w:rsid w:val="00AC45D1"/>
    <w:rsid w:val="00AC4B57"/>
    <w:rsid w:val="00AC4D99"/>
    <w:rsid w:val="00AC4DCF"/>
    <w:rsid w:val="00AC5460"/>
    <w:rsid w:val="00AC5535"/>
    <w:rsid w:val="00AC56AA"/>
    <w:rsid w:val="00AC5701"/>
    <w:rsid w:val="00AC57A2"/>
    <w:rsid w:val="00AC5824"/>
    <w:rsid w:val="00AC58F4"/>
    <w:rsid w:val="00AC659C"/>
    <w:rsid w:val="00AC7D36"/>
    <w:rsid w:val="00AD033C"/>
    <w:rsid w:val="00AD0462"/>
    <w:rsid w:val="00AD0553"/>
    <w:rsid w:val="00AD0620"/>
    <w:rsid w:val="00AD0730"/>
    <w:rsid w:val="00AD0945"/>
    <w:rsid w:val="00AD0C11"/>
    <w:rsid w:val="00AD0CC2"/>
    <w:rsid w:val="00AD0D1A"/>
    <w:rsid w:val="00AD0E3F"/>
    <w:rsid w:val="00AD142C"/>
    <w:rsid w:val="00AD179D"/>
    <w:rsid w:val="00AD17F1"/>
    <w:rsid w:val="00AD184F"/>
    <w:rsid w:val="00AD1989"/>
    <w:rsid w:val="00AD1D0D"/>
    <w:rsid w:val="00AD1D87"/>
    <w:rsid w:val="00AD2147"/>
    <w:rsid w:val="00AD2289"/>
    <w:rsid w:val="00AD23B5"/>
    <w:rsid w:val="00AD26B9"/>
    <w:rsid w:val="00AD2752"/>
    <w:rsid w:val="00AD28D1"/>
    <w:rsid w:val="00AD2D42"/>
    <w:rsid w:val="00AD2D85"/>
    <w:rsid w:val="00AD2EF7"/>
    <w:rsid w:val="00AD2F71"/>
    <w:rsid w:val="00AD3008"/>
    <w:rsid w:val="00AD3051"/>
    <w:rsid w:val="00AD3153"/>
    <w:rsid w:val="00AD36CF"/>
    <w:rsid w:val="00AD38AD"/>
    <w:rsid w:val="00AD3975"/>
    <w:rsid w:val="00AD39CE"/>
    <w:rsid w:val="00AD3BCD"/>
    <w:rsid w:val="00AD3C94"/>
    <w:rsid w:val="00AD3CF5"/>
    <w:rsid w:val="00AD4051"/>
    <w:rsid w:val="00AD40A2"/>
    <w:rsid w:val="00AD4F94"/>
    <w:rsid w:val="00AD5231"/>
    <w:rsid w:val="00AD5961"/>
    <w:rsid w:val="00AD5972"/>
    <w:rsid w:val="00AD5A4E"/>
    <w:rsid w:val="00AD5C1B"/>
    <w:rsid w:val="00AD5D08"/>
    <w:rsid w:val="00AD5F34"/>
    <w:rsid w:val="00AD63E5"/>
    <w:rsid w:val="00AD6465"/>
    <w:rsid w:val="00AD6538"/>
    <w:rsid w:val="00AD661A"/>
    <w:rsid w:val="00AD67CA"/>
    <w:rsid w:val="00AD6924"/>
    <w:rsid w:val="00AD6A11"/>
    <w:rsid w:val="00AD6D02"/>
    <w:rsid w:val="00AD6DB2"/>
    <w:rsid w:val="00AD6E8F"/>
    <w:rsid w:val="00AD6FC4"/>
    <w:rsid w:val="00AD705F"/>
    <w:rsid w:val="00AD72A8"/>
    <w:rsid w:val="00AD72D7"/>
    <w:rsid w:val="00AD73D3"/>
    <w:rsid w:val="00AD7BAA"/>
    <w:rsid w:val="00AD7EE2"/>
    <w:rsid w:val="00AE023F"/>
    <w:rsid w:val="00AE06EE"/>
    <w:rsid w:val="00AE092E"/>
    <w:rsid w:val="00AE0C4D"/>
    <w:rsid w:val="00AE0DD3"/>
    <w:rsid w:val="00AE15F9"/>
    <w:rsid w:val="00AE1E26"/>
    <w:rsid w:val="00AE1E9F"/>
    <w:rsid w:val="00AE20F2"/>
    <w:rsid w:val="00AE2577"/>
    <w:rsid w:val="00AE2745"/>
    <w:rsid w:val="00AE2BB3"/>
    <w:rsid w:val="00AE2D03"/>
    <w:rsid w:val="00AE3548"/>
    <w:rsid w:val="00AE38EF"/>
    <w:rsid w:val="00AE39AE"/>
    <w:rsid w:val="00AE39E7"/>
    <w:rsid w:val="00AE3CEA"/>
    <w:rsid w:val="00AE3D97"/>
    <w:rsid w:val="00AE3DAC"/>
    <w:rsid w:val="00AE400A"/>
    <w:rsid w:val="00AE4041"/>
    <w:rsid w:val="00AE41F1"/>
    <w:rsid w:val="00AE4745"/>
    <w:rsid w:val="00AE474D"/>
    <w:rsid w:val="00AE4986"/>
    <w:rsid w:val="00AE4C1E"/>
    <w:rsid w:val="00AE4D62"/>
    <w:rsid w:val="00AE4F6A"/>
    <w:rsid w:val="00AE52A5"/>
    <w:rsid w:val="00AE52AD"/>
    <w:rsid w:val="00AE52C6"/>
    <w:rsid w:val="00AE5390"/>
    <w:rsid w:val="00AE580D"/>
    <w:rsid w:val="00AE5AEF"/>
    <w:rsid w:val="00AE5C46"/>
    <w:rsid w:val="00AE5D38"/>
    <w:rsid w:val="00AE64AB"/>
    <w:rsid w:val="00AE64DA"/>
    <w:rsid w:val="00AE679B"/>
    <w:rsid w:val="00AE697B"/>
    <w:rsid w:val="00AE6998"/>
    <w:rsid w:val="00AE6B16"/>
    <w:rsid w:val="00AE6C22"/>
    <w:rsid w:val="00AE70F2"/>
    <w:rsid w:val="00AE711D"/>
    <w:rsid w:val="00AE7181"/>
    <w:rsid w:val="00AE722B"/>
    <w:rsid w:val="00AE73ED"/>
    <w:rsid w:val="00AE7794"/>
    <w:rsid w:val="00AE78C2"/>
    <w:rsid w:val="00AE7E29"/>
    <w:rsid w:val="00AE7F04"/>
    <w:rsid w:val="00AF00B6"/>
    <w:rsid w:val="00AF04C7"/>
    <w:rsid w:val="00AF04F5"/>
    <w:rsid w:val="00AF050D"/>
    <w:rsid w:val="00AF0770"/>
    <w:rsid w:val="00AF0A3C"/>
    <w:rsid w:val="00AF0B44"/>
    <w:rsid w:val="00AF0CB0"/>
    <w:rsid w:val="00AF0E48"/>
    <w:rsid w:val="00AF1362"/>
    <w:rsid w:val="00AF17F3"/>
    <w:rsid w:val="00AF1841"/>
    <w:rsid w:val="00AF18C8"/>
    <w:rsid w:val="00AF199D"/>
    <w:rsid w:val="00AF1A08"/>
    <w:rsid w:val="00AF1C49"/>
    <w:rsid w:val="00AF1FCB"/>
    <w:rsid w:val="00AF2074"/>
    <w:rsid w:val="00AF2D54"/>
    <w:rsid w:val="00AF305D"/>
    <w:rsid w:val="00AF332E"/>
    <w:rsid w:val="00AF33CB"/>
    <w:rsid w:val="00AF4653"/>
    <w:rsid w:val="00AF469C"/>
    <w:rsid w:val="00AF46CE"/>
    <w:rsid w:val="00AF4853"/>
    <w:rsid w:val="00AF4E98"/>
    <w:rsid w:val="00AF50A2"/>
    <w:rsid w:val="00AF5133"/>
    <w:rsid w:val="00AF54D4"/>
    <w:rsid w:val="00AF5562"/>
    <w:rsid w:val="00AF561E"/>
    <w:rsid w:val="00AF5B27"/>
    <w:rsid w:val="00AF5B31"/>
    <w:rsid w:val="00AF5F89"/>
    <w:rsid w:val="00AF636C"/>
    <w:rsid w:val="00AF650E"/>
    <w:rsid w:val="00AF6968"/>
    <w:rsid w:val="00AF6B14"/>
    <w:rsid w:val="00AF6BC4"/>
    <w:rsid w:val="00AF6EFC"/>
    <w:rsid w:val="00AF7002"/>
    <w:rsid w:val="00AF703F"/>
    <w:rsid w:val="00AF7745"/>
    <w:rsid w:val="00AF77DC"/>
    <w:rsid w:val="00B0014B"/>
    <w:rsid w:val="00B0014D"/>
    <w:rsid w:val="00B0032A"/>
    <w:rsid w:val="00B00406"/>
    <w:rsid w:val="00B0070A"/>
    <w:rsid w:val="00B00A6C"/>
    <w:rsid w:val="00B00E77"/>
    <w:rsid w:val="00B01383"/>
    <w:rsid w:val="00B01494"/>
    <w:rsid w:val="00B01843"/>
    <w:rsid w:val="00B01D58"/>
    <w:rsid w:val="00B02565"/>
    <w:rsid w:val="00B0273C"/>
    <w:rsid w:val="00B02824"/>
    <w:rsid w:val="00B02831"/>
    <w:rsid w:val="00B02B4B"/>
    <w:rsid w:val="00B02D0E"/>
    <w:rsid w:val="00B02D20"/>
    <w:rsid w:val="00B02F03"/>
    <w:rsid w:val="00B03035"/>
    <w:rsid w:val="00B03088"/>
    <w:rsid w:val="00B034FD"/>
    <w:rsid w:val="00B03553"/>
    <w:rsid w:val="00B0361E"/>
    <w:rsid w:val="00B03C13"/>
    <w:rsid w:val="00B03D97"/>
    <w:rsid w:val="00B03E3E"/>
    <w:rsid w:val="00B03F72"/>
    <w:rsid w:val="00B04125"/>
    <w:rsid w:val="00B0415C"/>
    <w:rsid w:val="00B045B9"/>
    <w:rsid w:val="00B0478C"/>
    <w:rsid w:val="00B047A4"/>
    <w:rsid w:val="00B047AE"/>
    <w:rsid w:val="00B04A86"/>
    <w:rsid w:val="00B05720"/>
    <w:rsid w:val="00B05DE0"/>
    <w:rsid w:val="00B06269"/>
    <w:rsid w:val="00B062AE"/>
    <w:rsid w:val="00B065B6"/>
    <w:rsid w:val="00B06B37"/>
    <w:rsid w:val="00B06C62"/>
    <w:rsid w:val="00B06CC6"/>
    <w:rsid w:val="00B06E84"/>
    <w:rsid w:val="00B07064"/>
    <w:rsid w:val="00B0728F"/>
    <w:rsid w:val="00B0740F"/>
    <w:rsid w:val="00B0742C"/>
    <w:rsid w:val="00B0743C"/>
    <w:rsid w:val="00B07514"/>
    <w:rsid w:val="00B07B38"/>
    <w:rsid w:val="00B07B7A"/>
    <w:rsid w:val="00B07EB6"/>
    <w:rsid w:val="00B07F43"/>
    <w:rsid w:val="00B101D8"/>
    <w:rsid w:val="00B10296"/>
    <w:rsid w:val="00B1080B"/>
    <w:rsid w:val="00B10861"/>
    <w:rsid w:val="00B10AF0"/>
    <w:rsid w:val="00B10EF8"/>
    <w:rsid w:val="00B1169F"/>
    <w:rsid w:val="00B1176C"/>
    <w:rsid w:val="00B11D8D"/>
    <w:rsid w:val="00B11FE3"/>
    <w:rsid w:val="00B12282"/>
    <w:rsid w:val="00B12319"/>
    <w:rsid w:val="00B12737"/>
    <w:rsid w:val="00B12D4E"/>
    <w:rsid w:val="00B130DB"/>
    <w:rsid w:val="00B1320F"/>
    <w:rsid w:val="00B13450"/>
    <w:rsid w:val="00B13BDA"/>
    <w:rsid w:val="00B14504"/>
    <w:rsid w:val="00B14709"/>
    <w:rsid w:val="00B149F1"/>
    <w:rsid w:val="00B14B2D"/>
    <w:rsid w:val="00B14CD1"/>
    <w:rsid w:val="00B14D8B"/>
    <w:rsid w:val="00B14FEA"/>
    <w:rsid w:val="00B14FEB"/>
    <w:rsid w:val="00B15441"/>
    <w:rsid w:val="00B158A2"/>
    <w:rsid w:val="00B15978"/>
    <w:rsid w:val="00B15A1D"/>
    <w:rsid w:val="00B15D83"/>
    <w:rsid w:val="00B162B4"/>
    <w:rsid w:val="00B16776"/>
    <w:rsid w:val="00B16C2B"/>
    <w:rsid w:val="00B16EBE"/>
    <w:rsid w:val="00B16FDB"/>
    <w:rsid w:val="00B1704D"/>
    <w:rsid w:val="00B1709D"/>
    <w:rsid w:val="00B17474"/>
    <w:rsid w:val="00B174FA"/>
    <w:rsid w:val="00B176FA"/>
    <w:rsid w:val="00B17808"/>
    <w:rsid w:val="00B1799E"/>
    <w:rsid w:val="00B17E89"/>
    <w:rsid w:val="00B17EAF"/>
    <w:rsid w:val="00B203BB"/>
    <w:rsid w:val="00B20B4F"/>
    <w:rsid w:val="00B20C5E"/>
    <w:rsid w:val="00B212DE"/>
    <w:rsid w:val="00B217DB"/>
    <w:rsid w:val="00B21C3E"/>
    <w:rsid w:val="00B21F3C"/>
    <w:rsid w:val="00B22240"/>
    <w:rsid w:val="00B22718"/>
    <w:rsid w:val="00B2279C"/>
    <w:rsid w:val="00B227D0"/>
    <w:rsid w:val="00B22A9F"/>
    <w:rsid w:val="00B22B97"/>
    <w:rsid w:val="00B22D12"/>
    <w:rsid w:val="00B2353C"/>
    <w:rsid w:val="00B23629"/>
    <w:rsid w:val="00B23820"/>
    <w:rsid w:val="00B23B8B"/>
    <w:rsid w:val="00B24363"/>
    <w:rsid w:val="00B24858"/>
    <w:rsid w:val="00B24B65"/>
    <w:rsid w:val="00B24BA1"/>
    <w:rsid w:val="00B24C8A"/>
    <w:rsid w:val="00B258B1"/>
    <w:rsid w:val="00B25980"/>
    <w:rsid w:val="00B26686"/>
    <w:rsid w:val="00B2683C"/>
    <w:rsid w:val="00B268AC"/>
    <w:rsid w:val="00B26AA6"/>
    <w:rsid w:val="00B27012"/>
    <w:rsid w:val="00B27119"/>
    <w:rsid w:val="00B275AE"/>
    <w:rsid w:val="00B275BF"/>
    <w:rsid w:val="00B275E4"/>
    <w:rsid w:val="00B27701"/>
    <w:rsid w:val="00B2775C"/>
    <w:rsid w:val="00B27E06"/>
    <w:rsid w:val="00B300D8"/>
    <w:rsid w:val="00B3015F"/>
    <w:rsid w:val="00B30215"/>
    <w:rsid w:val="00B304EF"/>
    <w:rsid w:val="00B30715"/>
    <w:rsid w:val="00B30DD8"/>
    <w:rsid w:val="00B30FB5"/>
    <w:rsid w:val="00B3110D"/>
    <w:rsid w:val="00B3191A"/>
    <w:rsid w:val="00B31AD5"/>
    <w:rsid w:val="00B31B54"/>
    <w:rsid w:val="00B31E9C"/>
    <w:rsid w:val="00B321BB"/>
    <w:rsid w:val="00B32702"/>
    <w:rsid w:val="00B32854"/>
    <w:rsid w:val="00B328AD"/>
    <w:rsid w:val="00B32925"/>
    <w:rsid w:val="00B32953"/>
    <w:rsid w:val="00B32978"/>
    <w:rsid w:val="00B32E9E"/>
    <w:rsid w:val="00B32FC9"/>
    <w:rsid w:val="00B33225"/>
    <w:rsid w:val="00B334A8"/>
    <w:rsid w:val="00B33773"/>
    <w:rsid w:val="00B33A0B"/>
    <w:rsid w:val="00B34164"/>
    <w:rsid w:val="00B34286"/>
    <w:rsid w:val="00B346D6"/>
    <w:rsid w:val="00B3498A"/>
    <w:rsid w:val="00B34A72"/>
    <w:rsid w:val="00B34A7F"/>
    <w:rsid w:val="00B34DFF"/>
    <w:rsid w:val="00B34E59"/>
    <w:rsid w:val="00B34EED"/>
    <w:rsid w:val="00B35049"/>
    <w:rsid w:val="00B3518D"/>
    <w:rsid w:val="00B35733"/>
    <w:rsid w:val="00B3580F"/>
    <w:rsid w:val="00B35BAA"/>
    <w:rsid w:val="00B35CD6"/>
    <w:rsid w:val="00B35D86"/>
    <w:rsid w:val="00B35FE9"/>
    <w:rsid w:val="00B3620F"/>
    <w:rsid w:val="00B36255"/>
    <w:rsid w:val="00B36434"/>
    <w:rsid w:val="00B367C0"/>
    <w:rsid w:val="00B3684D"/>
    <w:rsid w:val="00B36C70"/>
    <w:rsid w:val="00B36F3C"/>
    <w:rsid w:val="00B371C1"/>
    <w:rsid w:val="00B371EC"/>
    <w:rsid w:val="00B3742D"/>
    <w:rsid w:val="00B376A8"/>
    <w:rsid w:val="00B376E9"/>
    <w:rsid w:val="00B37DF4"/>
    <w:rsid w:val="00B37F5F"/>
    <w:rsid w:val="00B40183"/>
    <w:rsid w:val="00B40191"/>
    <w:rsid w:val="00B4049A"/>
    <w:rsid w:val="00B404A9"/>
    <w:rsid w:val="00B4085A"/>
    <w:rsid w:val="00B40B92"/>
    <w:rsid w:val="00B40FD7"/>
    <w:rsid w:val="00B41339"/>
    <w:rsid w:val="00B4137C"/>
    <w:rsid w:val="00B41901"/>
    <w:rsid w:val="00B4198F"/>
    <w:rsid w:val="00B41A44"/>
    <w:rsid w:val="00B41BDA"/>
    <w:rsid w:val="00B41E6E"/>
    <w:rsid w:val="00B41EFB"/>
    <w:rsid w:val="00B41F38"/>
    <w:rsid w:val="00B41FE1"/>
    <w:rsid w:val="00B4211D"/>
    <w:rsid w:val="00B426E5"/>
    <w:rsid w:val="00B42760"/>
    <w:rsid w:val="00B42787"/>
    <w:rsid w:val="00B429C4"/>
    <w:rsid w:val="00B42AE6"/>
    <w:rsid w:val="00B42DC2"/>
    <w:rsid w:val="00B431BB"/>
    <w:rsid w:val="00B43230"/>
    <w:rsid w:val="00B432EF"/>
    <w:rsid w:val="00B433BD"/>
    <w:rsid w:val="00B439E0"/>
    <w:rsid w:val="00B43D1E"/>
    <w:rsid w:val="00B43E43"/>
    <w:rsid w:val="00B440D6"/>
    <w:rsid w:val="00B44205"/>
    <w:rsid w:val="00B445E8"/>
    <w:rsid w:val="00B44A36"/>
    <w:rsid w:val="00B44B02"/>
    <w:rsid w:val="00B44BF9"/>
    <w:rsid w:val="00B4502D"/>
    <w:rsid w:val="00B45A09"/>
    <w:rsid w:val="00B45D7C"/>
    <w:rsid w:val="00B45D9E"/>
    <w:rsid w:val="00B45E1F"/>
    <w:rsid w:val="00B45EB4"/>
    <w:rsid w:val="00B460AD"/>
    <w:rsid w:val="00B462AE"/>
    <w:rsid w:val="00B46542"/>
    <w:rsid w:val="00B465AF"/>
    <w:rsid w:val="00B469BC"/>
    <w:rsid w:val="00B469BD"/>
    <w:rsid w:val="00B46AAC"/>
    <w:rsid w:val="00B46EF7"/>
    <w:rsid w:val="00B47C14"/>
    <w:rsid w:val="00B500A7"/>
    <w:rsid w:val="00B501DA"/>
    <w:rsid w:val="00B50984"/>
    <w:rsid w:val="00B50AAE"/>
    <w:rsid w:val="00B50CE2"/>
    <w:rsid w:val="00B50DC7"/>
    <w:rsid w:val="00B50E0C"/>
    <w:rsid w:val="00B50F14"/>
    <w:rsid w:val="00B5106E"/>
    <w:rsid w:val="00B510DB"/>
    <w:rsid w:val="00B51127"/>
    <w:rsid w:val="00B5172F"/>
    <w:rsid w:val="00B51788"/>
    <w:rsid w:val="00B51793"/>
    <w:rsid w:val="00B518AA"/>
    <w:rsid w:val="00B518D6"/>
    <w:rsid w:val="00B51BE2"/>
    <w:rsid w:val="00B51CC4"/>
    <w:rsid w:val="00B51FCA"/>
    <w:rsid w:val="00B52707"/>
    <w:rsid w:val="00B52858"/>
    <w:rsid w:val="00B530A8"/>
    <w:rsid w:val="00B530D5"/>
    <w:rsid w:val="00B5346A"/>
    <w:rsid w:val="00B53993"/>
    <w:rsid w:val="00B53A6D"/>
    <w:rsid w:val="00B53A86"/>
    <w:rsid w:val="00B53E0D"/>
    <w:rsid w:val="00B53F11"/>
    <w:rsid w:val="00B53F89"/>
    <w:rsid w:val="00B544A3"/>
    <w:rsid w:val="00B54703"/>
    <w:rsid w:val="00B548E2"/>
    <w:rsid w:val="00B54C6B"/>
    <w:rsid w:val="00B54D54"/>
    <w:rsid w:val="00B54E15"/>
    <w:rsid w:val="00B54EFB"/>
    <w:rsid w:val="00B54FF4"/>
    <w:rsid w:val="00B55088"/>
    <w:rsid w:val="00B550B3"/>
    <w:rsid w:val="00B551DB"/>
    <w:rsid w:val="00B5560F"/>
    <w:rsid w:val="00B5598A"/>
    <w:rsid w:val="00B559C5"/>
    <w:rsid w:val="00B55C08"/>
    <w:rsid w:val="00B561A6"/>
    <w:rsid w:val="00B56201"/>
    <w:rsid w:val="00B5627A"/>
    <w:rsid w:val="00B5649F"/>
    <w:rsid w:val="00B564A3"/>
    <w:rsid w:val="00B564E9"/>
    <w:rsid w:val="00B56839"/>
    <w:rsid w:val="00B56C20"/>
    <w:rsid w:val="00B56D64"/>
    <w:rsid w:val="00B572CC"/>
    <w:rsid w:val="00B5776E"/>
    <w:rsid w:val="00B5785D"/>
    <w:rsid w:val="00B578E6"/>
    <w:rsid w:val="00B600FE"/>
    <w:rsid w:val="00B602C1"/>
    <w:rsid w:val="00B6034E"/>
    <w:rsid w:val="00B60413"/>
    <w:rsid w:val="00B604D6"/>
    <w:rsid w:val="00B60541"/>
    <w:rsid w:val="00B60B22"/>
    <w:rsid w:val="00B60D3F"/>
    <w:rsid w:val="00B6139D"/>
    <w:rsid w:val="00B613A4"/>
    <w:rsid w:val="00B61467"/>
    <w:rsid w:val="00B61D3B"/>
    <w:rsid w:val="00B62D66"/>
    <w:rsid w:val="00B6343F"/>
    <w:rsid w:val="00B63440"/>
    <w:rsid w:val="00B634A9"/>
    <w:rsid w:val="00B6398E"/>
    <w:rsid w:val="00B63C71"/>
    <w:rsid w:val="00B63ECA"/>
    <w:rsid w:val="00B64060"/>
    <w:rsid w:val="00B642E2"/>
    <w:rsid w:val="00B64898"/>
    <w:rsid w:val="00B648B7"/>
    <w:rsid w:val="00B64914"/>
    <w:rsid w:val="00B64939"/>
    <w:rsid w:val="00B64CFF"/>
    <w:rsid w:val="00B64F2F"/>
    <w:rsid w:val="00B65078"/>
    <w:rsid w:val="00B65367"/>
    <w:rsid w:val="00B65842"/>
    <w:rsid w:val="00B65B5E"/>
    <w:rsid w:val="00B66046"/>
    <w:rsid w:val="00B663B9"/>
    <w:rsid w:val="00B6646D"/>
    <w:rsid w:val="00B668FE"/>
    <w:rsid w:val="00B66C7C"/>
    <w:rsid w:val="00B66FE9"/>
    <w:rsid w:val="00B67281"/>
    <w:rsid w:val="00B675AD"/>
    <w:rsid w:val="00B676AC"/>
    <w:rsid w:val="00B677FE"/>
    <w:rsid w:val="00B678CA"/>
    <w:rsid w:val="00B67985"/>
    <w:rsid w:val="00B67EB0"/>
    <w:rsid w:val="00B702BE"/>
    <w:rsid w:val="00B704BE"/>
    <w:rsid w:val="00B705C4"/>
    <w:rsid w:val="00B70745"/>
    <w:rsid w:val="00B712E2"/>
    <w:rsid w:val="00B71765"/>
    <w:rsid w:val="00B71827"/>
    <w:rsid w:val="00B71908"/>
    <w:rsid w:val="00B71B17"/>
    <w:rsid w:val="00B71D52"/>
    <w:rsid w:val="00B71DEA"/>
    <w:rsid w:val="00B721C9"/>
    <w:rsid w:val="00B722C9"/>
    <w:rsid w:val="00B72308"/>
    <w:rsid w:val="00B72527"/>
    <w:rsid w:val="00B72956"/>
    <w:rsid w:val="00B72CF8"/>
    <w:rsid w:val="00B72D5E"/>
    <w:rsid w:val="00B72D95"/>
    <w:rsid w:val="00B72ED2"/>
    <w:rsid w:val="00B72F30"/>
    <w:rsid w:val="00B730CA"/>
    <w:rsid w:val="00B73246"/>
    <w:rsid w:val="00B734A4"/>
    <w:rsid w:val="00B739AA"/>
    <w:rsid w:val="00B73B38"/>
    <w:rsid w:val="00B74661"/>
    <w:rsid w:val="00B747A3"/>
    <w:rsid w:val="00B74D0A"/>
    <w:rsid w:val="00B74E1F"/>
    <w:rsid w:val="00B75063"/>
    <w:rsid w:val="00B7515F"/>
    <w:rsid w:val="00B75491"/>
    <w:rsid w:val="00B754A7"/>
    <w:rsid w:val="00B755CF"/>
    <w:rsid w:val="00B75891"/>
    <w:rsid w:val="00B75A41"/>
    <w:rsid w:val="00B75C07"/>
    <w:rsid w:val="00B76047"/>
    <w:rsid w:val="00B7604B"/>
    <w:rsid w:val="00B76065"/>
    <w:rsid w:val="00B761ED"/>
    <w:rsid w:val="00B7621B"/>
    <w:rsid w:val="00B7646F"/>
    <w:rsid w:val="00B76632"/>
    <w:rsid w:val="00B76678"/>
    <w:rsid w:val="00B76724"/>
    <w:rsid w:val="00B7686D"/>
    <w:rsid w:val="00B76985"/>
    <w:rsid w:val="00B76A83"/>
    <w:rsid w:val="00B76AF0"/>
    <w:rsid w:val="00B76BD9"/>
    <w:rsid w:val="00B76C60"/>
    <w:rsid w:val="00B76F7C"/>
    <w:rsid w:val="00B77A91"/>
    <w:rsid w:val="00B77D9F"/>
    <w:rsid w:val="00B80105"/>
    <w:rsid w:val="00B801C0"/>
    <w:rsid w:val="00B80A22"/>
    <w:rsid w:val="00B80C9D"/>
    <w:rsid w:val="00B80EB0"/>
    <w:rsid w:val="00B812D8"/>
    <w:rsid w:val="00B813C9"/>
    <w:rsid w:val="00B81464"/>
    <w:rsid w:val="00B817F0"/>
    <w:rsid w:val="00B81989"/>
    <w:rsid w:val="00B821DF"/>
    <w:rsid w:val="00B82213"/>
    <w:rsid w:val="00B8226E"/>
    <w:rsid w:val="00B830AE"/>
    <w:rsid w:val="00B83202"/>
    <w:rsid w:val="00B83410"/>
    <w:rsid w:val="00B83784"/>
    <w:rsid w:val="00B837F6"/>
    <w:rsid w:val="00B8390E"/>
    <w:rsid w:val="00B8440C"/>
    <w:rsid w:val="00B846CE"/>
    <w:rsid w:val="00B84866"/>
    <w:rsid w:val="00B84887"/>
    <w:rsid w:val="00B84B2A"/>
    <w:rsid w:val="00B84D4C"/>
    <w:rsid w:val="00B84E55"/>
    <w:rsid w:val="00B84F7C"/>
    <w:rsid w:val="00B85D52"/>
    <w:rsid w:val="00B86086"/>
    <w:rsid w:val="00B860FB"/>
    <w:rsid w:val="00B8699F"/>
    <w:rsid w:val="00B86DA2"/>
    <w:rsid w:val="00B870E9"/>
    <w:rsid w:val="00B87522"/>
    <w:rsid w:val="00B87527"/>
    <w:rsid w:val="00B87AE6"/>
    <w:rsid w:val="00B906C8"/>
    <w:rsid w:val="00B907D4"/>
    <w:rsid w:val="00B90AE3"/>
    <w:rsid w:val="00B90B23"/>
    <w:rsid w:val="00B90B86"/>
    <w:rsid w:val="00B90FD7"/>
    <w:rsid w:val="00B91218"/>
    <w:rsid w:val="00B91396"/>
    <w:rsid w:val="00B91467"/>
    <w:rsid w:val="00B91C88"/>
    <w:rsid w:val="00B91E1B"/>
    <w:rsid w:val="00B92381"/>
    <w:rsid w:val="00B926DA"/>
    <w:rsid w:val="00B927EB"/>
    <w:rsid w:val="00B92A28"/>
    <w:rsid w:val="00B92A36"/>
    <w:rsid w:val="00B92AB3"/>
    <w:rsid w:val="00B92FC7"/>
    <w:rsid w:val="00B93360"/>
    <w:rsid w:val="00B93471"/>
    <w:rsid w:val="00B93554"/>
    <w:rsid w:val="00B93BFF"/>
    <w:rsid w:val="00B93F35"/>
    <w:rsid w:val="00B9420F"/>
    <w:rsid w:val="00B947EE"/>
    <w:rsid w:val="00B94910"/>
    <w:rsid w:val="00B9494A"/>
    <w:rsid w:val="00B94A72"/>
    <w:rsid w:val="00B94B67"/>
    <w:rsid w:val="00B94FD7"/>
    <w:rsid w:val="00B952E1"/>
    <w:rsid w:val="00B95599"/>
    <w:rsid w:val="00B95B03"/>
    <w:rsid w:val="00B95CDF"/>
    <w:rsid w:val="00B95DC0"/>
    <w:rsid w:val="00B95EE5"/>
    <w:rsid w:val="00B95F7A"/>
    <w:rsid w:val="00B96362"/>
    <w:rsid w:val="00B963D6"/>
    <w:rsid w:val="00B96489"/>
    <w:rsid w:val="00B966F0"/>
    <w:rsid w:val="00B96C76"/>
    <w:rsid w:val="00B96E03"/>
    <w:rsid w:val="00B96E0C"/>
    <w:rsid w:val="00B97470"/>
    <w:rsid w:val="00B97B3C"/>
    <w:rsid w:val="00B97FF8"/>
    <w:rsid w:val="00BA0065"/>
    <w:rsid w:val="00BA0228"/>
    <w:rsid w:val="00BA03EA"/>
    <w:rsid w:val="00BA07F4"/>
    <w:rsid w:val="00BA0893"/>
    <w:rsid w:val="00BA0B26"/>
    <w:rsid w:val="00BA0D4D"/>
    <w:rsid w:val="00BA1284"/>
    <w:rsid w:val="00BA1462"/>
    <w:rsid w:val="00BA168C"/>
    <w:rsid w:val="00BA188C"/>
    <w:rsid w:val="00BA193E"/>
    <w:rsid w:val="00BA1BCE"/>
    <w:rsid w:val="00BA204E"/>
    <w:rsid w:val="00BA20ED"/>
    <w:rsid w:val="00BA24C2"/>
    <w:rsid w:val="00BA26DE"/>
    <w:rsid w:val="00BA2702"/>
    <w:rsid w:val="00BA28BE"/>
    <w:rsid w:val="00BA2B75"/>
    <w:rsid w:val="00BA2D0C"/>
    <w:rsid w:val="00BA2D22"/>
    <w:rsid w:val="00BA30DB"/>
    <w:rsid w:val="00BA3151"/>
    <w:rsid w:val="00BA315E"/>
    <w:rsid w:val="00BA33FE"/>
    <w:rsid w:val="00BA3586"/>
    <w:rsid w:val="00BA3839"/>
    <w:rsid w:val="00BA3935"/>
    <w:rsid w:val="00BA3BAC"/>
    <w:rsid w:val="00BA3EA6"/>
    <w:rsid w:val="00BA40BF"/>
    <w:rsid w:val="00BA446C"/>
    <w:rsid w:val="00BA483B"/>
    <w:rsid w:val="00BA48A0"/>
    <w:rsid w:val="00BA48C8"/>
    <w:rsid w:val="00BA495A"/>
    <w:rsid w:val="00BA4B42"/>
    <w:rsid w:val="00BA4BD5"/>
    <w:rsid w:val="00BA517F"/>
    <w:rsid w:val="00BA51B9"/>
    <w:rsid w:val="00BA5302"/>
    <w:rsid w:val="00BA5571"/>
    <w:rsid w:val="00BA5770"/>
    <w:rsid w:val="00BA5786"/>
    <w:rsid w:val="00BA5823"/>
    <w:rsid w:val="00BA58DE"/>
    <w:rsid w:val="00BA5998"/>
    <w:rsid w:val="00BA59E4"/>
    <w:rsid w:val="00BA5A27"/>
    <w:rsid w:val="00BA6B4C"/>
    <w:rsid w:val="00BA721B"/>
    <w:rsid w:val="00BA7423"/>
    <w:rsid w:val="00BA75ED"/>
    <w:rsid w:val="00BA78DE"/>
    <w:rsid w:val="00BA7E70"/>
    <w:rsid w:val="00BB0642"/>
    <w:rsid w:val="00BB06F6"/>
    <w:rsid w:val="00BB080F"/>
    <w:rsid w:val="00BB0B9D"/>
    <w:rsid w:val="00BB1039"/>
    <w:rsid w:val="00BB118D"/>
    <w:rsid w:val="00BB14D1"/>
    <w:rsid w:val="00BB19FE"/>
    <w:rsid w:val="00BB1BB4"/>
    <w:rsid w:val="00BB1BF3"/>
    <w:rsid w:val="00BB1D8F"/>
    <w:rsid w:val="00BB1DDF"/>
    <w:rsid w:val="00BB2245"/>
    <w:rsid w:val="00BB24AD"/>
    <w:rsid w:val="00BB258C"/>
    <w:rsid w:val="00BB2691"/>
    <w:rsid w:val="00BB2971"/>
    <w:rsid w:val="00BB2F4A"/>
    <w:rsid w:val="00BB2F94"/>
    <w:rsid w:val="00BB307C"/>
    <w:rsid w:val="00BB3646"/>
    <w:rsid w:val="00BB3CB6"/>
    <w:rsid w:val="00BB3D6F"/>
    <w:rsid w:val="00BB4321"/>
    <w:rsid w:val="00BB4362"/>
    <w:rsid w:val="00BB4498"/>
    <w:rsid w:val="00BB4D8C"/>
    <w:rsid w:val="00BB4FF0"/>
    <w:rsid w:val="00BB502E"/>
    <w:rsid w:val="00BB5108"/>
    <w:rsid w:val="00BB527B"/>
    <w:rsid w:val="00BB55ED"/>
    <w:rsid w:val="00BB582A"/>
    <w:rsid w:val="00BB59E6"/>
    <w:rsid w:val="00BB5AC3"/>
    <w:rsid w:val="00BB5BFD"/>
    <w:rsid w:val="00BB5E66"/>
    <w:rsid w:val="00BB60E5"/>
    <w:rsid w:val="00BB6321"/>
    <w:rsid w:val="00BB6472"/>
    <w:rsid w:val="00BB6E3D"/>
    <w:rsid w:val="00BB7014"/>
    <w:rsid w:val="00BB7137"/>
    <w:rsid w:val="00BB72E0"/>
    <w:rsid w:val="00BB7522"/>
    <w:rsid w:val="00BB77DF"/>
    <w:rsid w:val="00BB796E"/>
    <w:rsid w:val="00BB7CE7"/>
    <w:rsid w:val="00BB7E12"/>
    <w:rsid w:val="00BB7EBA"/>
    <w:rsid w:val="00BB7F1C"/>
    <w:rsid w:val="00BB7F40"/>
    <w:rsid w:val="00BC017E"/>
    <w:rsid w:val="00BC0685"/>
    <w:rsid w:val="00BC08D9"/>
    <w:rsid w:val="00BC0B11"/>
    <w:rsid w:val="00BC0B53"/>
    <w:rsid w:val="00BC0F02"/>
    <w:rsid w:val="00BC101F"/>
    <w:rsid w:val="00BC1236"/>
    <w:rsid w:val="00BC1335"/>
    <w:rsid w:val="00BC160C"/>
    <w:rsid w:val="00BC1ABE"/>
    <w:rsid w:val="00BC1C14"/>
    <w:rsid w:val="00BC1CA8"/>
    <w:rsid w:val="00BC1CF9"/>
    <w:rsid w:val="00BC1D20"/>
    <w:rsid w:val="00BC1D67"/>
    <w:rsid w:val="00BC22A8"/>
    <w:rsid w:val="00BC2347"/>
    <w:rsid w:val="00BC243E"/>
    <w:rsid w:val="00BC24F3"/>
    <w:rsid w:val="00BC2BC1"/>
    <w:rsid w:val="00BC2C87"/>
    <w:rsid w:val="00BC2DF8"/>
    <w:rsid w:val="00BC308B"/>
    <w:rsid w:val="00BC3488"/>
    <w:rsid w:val="00BC34A0"/>
    <w:rsid w:val="00BC3AD3"/>
    <w:rsid w:val="00BC3C4C"/>
    <w:rsid w:val="00BC3CA6"/>
    <w:rsid w:val="00BC486A"/>
    <w:rsid w:val="00BC48E1"/>
    <w:rsid w:val="00BC4977"/>
    <w:rsid w:val="00BC4A65"/>
    <w:rsid w:val="00BC4CFB"/>
    <w:rsid w:val="00BC4EAB"/>
    <w:rsid w:val="00BC53C0"/>
    <w:rsid w:val="00BC5532"/>
    <w:rsid w:val="00BC556D"/>
    <w:rsid w:val="00BC5872"/>
    <w:rsid w:val="00BC5B69"/>
    <w:rsid w:val="00BC5BC3"/>
    <w:rsid w:val="00BC5C69"/>
    <w:rsid w:val="00BC5D71"/>
    <w:rsid w:val="00BC609B"/>
    <w:rsid w:val="00BC60CA"/>
    <w:rsid w:val="00BC623E"/>
    <w:rsid w:val="00BC64C2"/>
    <w:rsid w:val="00BC671E"/>
    <w:rsid w:val="00BC698C"/>
    <w:rsid w:val="00BC6A29"/>
    <w:rsid w:val="00BC6C07"/>
    <w:rsid w:val="00BC6DBA"/>
    <w:rsid w:val="00BC6FAB"/>
    <w:rsid w:val="00BC7163"/>
    <w:rsid w:val="00BC7908"/>
    <w:rsid w:val="00BC798A"/>
    <w:rsid w:val="00BC7CB2"/>
    <w:rsid w:val="00BC7CB6"/>
    <w:rsid w:val="00BC7DF1"/>
    <w:rsid w:val="00BC7F51"/>
    <w:rsid w:val="00BD0190"/>
    <w:rsid w:val="00BD02E1"/>
    <w:rsid w:val="00BD044E"/>
    <w:rsid w:val="00BD06F1"/>
    <w:rsid w:val="00BD076A"/>
    <w:rsid w:val="00BD0E4E"/>
    <w:rsid w:val="00BD0FCA"/>
    <w:rsid w:val="00BD125D"/>
    <w:rsid w:val="00BD1739"/>
    <w:rsid w:val="00BD1A0D"/>
    <w:rsid w:val="00BD1C5C"/>
    <w:rsid w:val="00BD1F40"/>
    <w:rsid w:val="00BD2506"/>
    <w:rsid w:val="00BD251A"/>
    <w:rsid w:val="00BD2618"/>
    <w:rsid w:val="00BD2F3D"/>
    <w:rsid w:val="00BD3741"/>
    <w:rsid w:val="00BD37E4"/>
    <w:rsid w:val="00BD3956"/>
    <w:rsid w:val="00BD3C31"/>
    <w:rsid w:val="00BD3C40"/>
    <w:rsid w:val="00BD41A2"/>
    <w:rsid w:val="00BD462B"/>
    <w:rsid w:val="00BD463F"/>
    <w:rsid w:val="00BD4A34"/>
    <w:rsid w:val="00BD4B14"/>
    <w:rsid w:val="00BD4B6D"/>
    <w:rsid w:val="00BD4F37"/>
    <w:rsid w:val="00BD5415"/>
    <w:rsid w:val="00BD5613"/>
    <w:rsid w:val="00BD5837"/>
    <w:rsid w:val="00BD58C0"/>
    <w:rsid w:val="00BD59BF"/>
    <w:rsid w:val="00BD5DEB"/>
    <w:rsid w:val="00BD5E20"/>
    <w:rsid w:val="00BD5F6F"/>
    <w:rsid w:val="00BD5F9F"/>
    <w:rsid w:val="00BD605D"/>
    <w:rsid w:val="00BD61A4"/>
    <w:rsid w:val="00BD6868"/>
    <w:rsid w:val="00BD68D3"/>
    <w:rsid w:val="00BD69D7"/>
    <w:rsid w:val="00BD6C4A"/>
    <w:rsid w:val="00BD6DF2"/>
    <w:rsid w:val="00BD708E"/>
    <w:rsid w:val="00BD7351"/>
    <w:rsid w:val="00BD74CB"/>
    <w:rsid w:val="00BD78DA"/>
    <w:rsid w:val="00BD7961"/>
    <w:rsid w:val="00BD7BC2"/>
    <w:rsid w:val="00BE005A"/>
    <w:rsid w:val="00BE01D8"/>
    <w:rsid w:val="00BE0231"/>
    <w:rsid w:val="00BE02C3"/>
    <w:rsid w:val="00BE049B"/>
    <w:rsid w:val="00BE089C"/>
    <w:rsid w:val="00BE09EA"/>
    <w:rsid w:val="00BE0E69"/>
    <w:rsid w:val="00BE0E8B"/>
    <w:rsid w:val="00BE1047"/>
    <w:rsid w:val="00BE12A2"/>
    <w:rsid w:val="00BE130B"/>
    <w:rsid w:val="00BE1501"/>
    <w:rsid w:val="00BE1678"/>
    <w:rsid w:val="00BE1793"/>
    <w:rsid w:val="00BE1CF4"/>
    <w:rsid w:val="00BE1D84"/>
    <w:rsid w:val="00BE2813"/>
    <w:rsid w:val="00BE2AD0"/>
    <w:rsid w:val="00BE2AE7"/>
    <w:rsid w:val="00BE2B4A"/>
    <w:rsid w:val="00BE371F"/>
    <w:rsid w:val="00BE3A48"/>
    <w:rsid w:val="00BE3B19"/>
    <w:rsid w:val="00BE3DF9"/>
    <w:rsid w:val="00BE3F1D"/>
    <w:rsid w:val="00BE40FD"/>
    <w:rsid w:val="00BE446C"/>
    <w:rsid w:val="00BE4646"/>
    <w:rsid w:val="00BE4799"/>
    <w:rsid w:val="00BE4AF5"/>
    <w:rsid w:val="00BE4D94"/>
    <w:rsid w:val="00BE4DD6"/>
    <w:rsid w:val="00BE4EE2"/>
    <w:rsid w:val="00BE57D5"/>
    <w:rsid w:val="00BE5C0A"/>
    <w:rsid w:val="00BE6015"/>
    <w:rsid w:val="00BE6140"/>
    <w:rsid w:val="00BE6432"/>
    <w:rsid w:val="00BE6512"/>
    <w:rsid w:val="00BE682D"/>
    <w:rsid w:val="00BE6A30"/>
    <w:rsid w:val="00BE6BAB"/>
    <w:rsid w:val="00BE6F19"/>
    <w:rsid w:val="00BE6FF4"/>
    <w:rsid w:val="00BE721C"/>
    <w:rsid w:val="00BE75E4"/>
    <w:rsid w:val="00BE7900"/>
    <w:rsid w:val="00BE7C7A"/>
    <w:rsid w:val="00BE7E9E"/>
    <w:rsid w:val="00BE7F5B"/>
    <w:rsid w:val="00BF0774"/>
    <w:rsid w:val="00BF07D1"/>
    <w:rsid w:val="00BF0A54"/>
    <w:rsid w:val="00BF0B08"/>
    <w:rsid w:val="00BF0D59"/>
    <w:rsid w:val="00BF0DA3"/>
    <w:rsid w:val="00BF0EE2"/>
    <w:rsid w:val="00BF1331"/>
    <w:rsid w:val="00BF1749"/>
    <w:rsid w:val="00BF1785"/>
    <w:rsid w:val="00BF1AC5"/>
    <w:rsid w:val="00BF1C97"/>
    <w:rsid w:val="00BF1E55"/>
    <w:rsid w:val="00BF25AD"/>
    <w:rsid w:val="00BF2812"/>
    <w:rsid w:val="00BF29E4"/>
    <w:rsid w:val="00BF2E66"/>
    <w:rsid w:val="00BF3564"/>
    <w:rsid w:val="00BF37F6"/>
    <w:rsid w:val="00BF39EB"/>
    <w:rsid w:val="00BF3EB6"/>
    <w:rsid w:val="00BF439A"/>
    <w:rsid w:val="00BF4715"/>
    <w:rsid w:val="00BF4CA1"/>
    <w:rsid w:val="00BF4E86"/>
    <w:rsid w:val="00BF4F54"/>
    <w:rsid w:val="00BF5134"/>
    <w:rsid w:val="00BF518F"/>
    <w:rsid w:val="00BF5477"/>
    <w:rsid w:val="00BF5C43"/>
    <w:rsid w:val="00BF5CED"/>
    <w:rsid w:val="00BF5E52"/>
    <w:rsid w:val="00BF6317"/>
    <w:rsid w:val="00BF6BAD"/>
    <w:rsid w:val="00BF74F5"/>
    <w:rsid w:val="00BF7638"/>
    <w:rsid w:val="00BF7720"/>
    <w:rsid w:val="00BF7822"/>
    <w:rsid w:val="00BF794C"/>
    <w:rsid w:val="00BF7BE4"/>
    <w:rsid w:val="00BF7C97"/>
    <w:rsid w:val="00BF7D3B"/>
    <w:rsid w:val="00C00303"/>
    <w:rsid w:val="00C005A4"/>
    <w:rsid w:val="00C00747"/>
    <w:rsid w:val="00C007E0"/>
    <w:rsid w:val="00C01090"/>
    <w:rsid w:val="00C0126E"/>
    <w:rsid w:val="00C0160E"/>
    <w:rsid w:val="00C01A0C"/>
    <w:rsid w:val="00C01AD1"/>
    <w:rsid w:val="00C01C3A"/>
    <w:rsid w:val="00C01C73"/>
    <w:rsid w:val="00C01C82"/>
    <w:rsid w:val="00C01DEC"/>
    <w:rsid w:val="00C02142"/>
    <w:rsid w:val="00C0271C"/>
    <w:rsid w:val="00C0299A"/>
    <w:rsid w:val="00C02EFE"/>
    <w:rsid w:val="00C02F39"/>
    <w:rsid w:val="00C03196"/>
    <w:rsid w:val="00C0353E"/>
    <w:rsid w:val="00C0377D"/>
    <w:rsid w:val="00C0381D"/>
    <w:rsid w:val="00C03995"/>
    <w:rsid w:val="00C0399C"/>
    <w:rsid w:val="00C03B3F"/>
    <w:rsid w:val="00C03CD4"/>
    <w:rsid w:val="00C044A2"/>
    <w:rsid w:val="00C047EA"/>
    <w:rsid w:val="00C04BFB"/>
    <w:rsid w:val="00C04C71"/>
    <w:rsid w:val="00C0510F"/>
    <w:rsid w:val="00C0522F"/>
    <w:rsid w:val="00C05343"/>
    <w:rsid w:val="00C05346"/>
    <w:rsid w:val="00C05BD6"/>
    <w:rsid w:val="00C05CE6"/>
    <w:rsid w:val="00C06165"/>
    <w:rsid w:val="00C061C1"/>
    <w:rsid w:val="00C0629F"/>
    <w:rsid w:val="00C06404"/>
    <w:rsid w:val="00C067E4"/>
    <w:rsid w:val="00C06818"/>
    <w:rsid w:val="00C068C1"/>
    <w:rsid w:val="00C068CC"/>
    <w:rsid w:val="00C06B58"/>
    <w:rsid w:val="00C06C77"/>
    <w:rsid w:val="00C06C8F"/>
    <w:rsid w:val="00C06C9A"/>
    <w:rsid w:val="00C074B2"/>
    <w:rsid w:val="00C07951"/>
    <w:rsid w:val="00C07A6E"/>
    <w:rsid w:val="00C07CB1"/>
    <w:rsid w:val="00C07E8C"/>
    <w:rsid w:val="00C07ED0"/>
    <w:rsid w:val="00C102B6"/>
    <w:rsid w:val="00C10350"/>
    <w:rsid w:val="00C10D9A"/>
    <w:rsid w:val="00C10DCD"/>
    <w:rsid w:val="00C10F84"/>
    <w:rsid w:val="00C10FA6"/>
    <w:rsid w:val="00C111C7"/>
    <w:rsid w:val="00C11351"/>
    <w:rsid w:val="00C11D2A"/>
    <w:rsid w:val="00C12260"/>
    <w:rsid w:val="00C122A0"/>
    <w:rsid w:val="00C12429"/>
    <w:rsid w:val="00C126DF"/>
    <w:rsid w:val="00C12716"/>
    <w:rsid w:val="00C12A3E"/>
    <w:rsid w:val="00C12DE6"/>
    <w:rsid w:val="00C12FFD"/>
    <w:rsid w:val="00C13271"/>
    <w:rsid w:val="00C132AC"/>
    <w:rsid w:val="00C132FE"/>
    <w:rsid w:val="00C1353E"/>
    <w:rsid w:val="00C13743"/>
    <w:rsid w:val="00C137F6"/>
    <w:rsid w:val="00C13EF9"/>
    <w:rsid w:val="00C14C07"/>
    <w:rsid w:val="00C14F6E"/>
    <w:rsid w:val="00C15672"/>
    <w:rsid w:val="00C15906"/>
    <w:rsid w:val="00C15A2A"/>
    <w:rsid w:val="00C15AB8"/>
    <w:rsid w:val="00C15C35"/>
    <w:rsid w:val="00C15EC0"/>
    <w:rsid w:val="00C1624C"/>
    <w:rsid w:val="00C162A8"/>
    <w:rsid w:val="00C16600"/>
    <w:rsid w:val="00C166EB"/>
    <w:rsid w:val="00C167A7"/>
    <w:rsid w:val="00C16966"/>
    <w:rsid w:val="00C16DF9"/>
    <w:rsid w:val="00C16E54"/>
    <w:rsid w:val="00C16E5D"/>
    <w:rsid w:val="00C17089"/>
    <w:rsid w:val="00C17254"/>
    <w:rsid w:val="00C17472"/>
    <w:rsid w:val="00C176B0"/>
    <w:rsid w:val="00C17ACE"/>
    <w:rsid w:val="00C17FB4"/>
    <w:rsid w:val="00C20408"/>
    <w:rsid w:val="00C20CC9"/>
    <w:rsid w:val="00C20CE4"/>
    <w:rsid w:val="00C20FDC"/>
    <w:rsid w:val="00C21164"/>
    <w:rsid w:val="00C21B4C"/>
    <w:rsid w:val="00C22208"/>
    <w:rsid w:val="00C224E4"/>
    <w:rsid w:val="00C22545"/>
    <w:rsid w:val="00C22E3A"/>
    <w:rsid w:val="00C232E0"/>
    <w:rsid w:val="00C2336F"/>
    <w:rsid w:val="00C234B4"/>
    <w:rsid w:val="00C237CC"/>
    <w:rsid w:val="00C23994"/>
    <w:rsid w:val="00C23B6A"/>
    <w:rsid w:val="00C23D55"/>
    <w:rsid w:val="00C23D99"/>
    <w:rsid w:val="00C24242"/>
    <w:rsid w:val="00C24C9B"/>
    <w:rsid w:val="00C24CF4"/>
    <w:rsid w:val="00C24F2D"/>
    <w:rsid w:val="00C24FC3"/>
    <w:rsid w:val="00C2516F"/>
    <w:rsid w:val="00C2528A"/>
    <w:rsid w:val="00C257B9"/>
    <w:rsid w:val="00C2594B"/>
    <w:rsid w:val="00C25C65"/>
    <w:rsid w:val="00C26496"/>
    <w:rsid w:val="00C268E8"/>
    <w:rsid w:val="00C26B24"/>
    <w:rsid w:val="00C26BC6"/>
    <w:rsid w:val="00C26C39"/>
    <w:rsid w:val="00C26FD2"/>
    <w:rsid w:val="00C27043"/>
    <w:rsid w:val="00C272B5"/>
    <w:rsid w:val="00C27354"/>
    <w:rsid w:val="00C275DD"/>
    <w:rsid w:val="00C27D85"/>
    <w:rsid w:val="00C27E67"/>
    <w:rsid w:val="00C3030D"/>
    <w:rsid w:val="00C3070A"/>
    <w:rsid w:val="00C30BA1"/>
    <w:rsid w:val="00C30D22"/>
    <w:rsid w:val="00C310B4"/>
    <w:rsid w:val="00C31188"/>
    <w:rsid w:val="00C311F6"/>
    <w:rsid w:val="00C31639"/>
    <w:rsid w:val="00C31765"/>
    <w:rsid w:val="00C31793"/>
    <w:rsid w:val="00C31A7C"/>
    <w:rsid w:val="00C31B68"/>
    <w:rsid w:val="00C32275"/>
    <w:rsid w:val="00C3297C"/>
    <w:rsid w:val="00C32B61"/>
    <w:rsid w:val="00C32E7C"/>
    <w:rsid w:val="00C32ED2"/>
    <w:rsid w:val="00C32F6C"/>
    <w:rsid w:val="00C330FA"/>
    <w:rsid w:val="00C33BA3"/>
    <w:rsid w:val="00C33BC9"/>
    <w:rsid w:val="00C33CFB"/>
    <w:rsid w:val="00C346BA"/>
    <w:rsid w:val="00C34949"/>
    <w:rsid w:val="00C35753"/>
    <w:rsid w:val="00C35763"/>
    <w:rsid w:val="00C357B9"/>
    <w:rsid w:val="00C358C8"/>
    <w:rsid w:val="00C35D99"/>
    <w:rsid w:val="00C35EE7"/>
    <w:rsid w:val="00C35F4C"/>
    <w:rsid w:val="00C3623D"/>
    <w:rsid w:val="00C36330"/>
    <w:rsid w:val="00C365A7"/>
    <w:rsid w:val="00C366A0"/>
    <w:rsid w:val="00C3676F"/>
    <w:rsid w:val="00C368B2"/>
    <w:rsid w:val="00C36B0B"/>
    <w:rsid w:val="00C36D79"/>
    <w:rsid w:val="00C37018"/>
    <w:rsid w:val="00C3753A"/>
    <w:rsid w:val="00C37713"/>
    <w:rsid w:val="00C37746"/>
    <w:rsid w:val="00C3785D"/>
    <w:rsid w:val="00C37927"/>
    <w:rsid w:val="00C37CD4"/>
    <w:rsid w:val="00C40066"/>
    <w:rsid w:val="00C4006E"/>
    <w:rsid w:val="00C40214"/>
    <w:rsid w:val="00C40309"/>
    <w:rsid w:val="00C40B81"/>
    <w:rsid w:val="00C413C0"/>
    <w:rsid w:val="00C414B0"/>
    <w:rsid w:val="00C41536"/>
    <w:rsid w:val="00C41586"/>
    <w:rsid w:val="00C41587"/>
    <w:rsid w:val="00C41F79"/>
    <w:rsid w:val="00C42254"/>
    <w:rsid w:val="00C42CF1"/>
    <w:rsid w:val="00C42EA4"/>
    <w:rsid w:val="00C42F2D"/>
    <w:rsid w:val="00C42F69"/>
    <w:rsid w:val="00C4363E"/>
    <w:rsid w:val="00C43DF7"/>
    <w:rsid w:val="00C4431C"/>
    <w:rsid w:val="00C44A9E"/>
    <w:rsid w:val="00C44B6B"/>
    <w:rsid w:val="00C44DAD"/>
    <w:rsid w:val="00C44E9D"/>
    <w:rsid w:val="00C451C6"/>
    <w:rsid w:val="00C45230"/>
    <w:rsid w:val="00C45391"/>
    <w:rsid w:val="00C453F7"/>
    <w:rsid w:val="00C45733"/>
    <w:rsid w:val="00C45D44"/>
    <w:rsid w:val="00C45DC2"/>
    <w:rsid w:val="00C45EA2"/>
    <w:rsid w:val="00C45F9D"/>
    <w:rsid w:val="00C4606A"/>
    <w:rsid w:val="00C460A3"/>
    <w:rsid w:val="00C462EF"/>
    <w:rsid w:val="00C463A9"/>
    <w:rsid w:val="00C465B2"/>
    <w:rsid w:val="00C465B8"/>
    <w:rsid w:val="00C466D2"/>
    <w:rsid w:val="00C467C3"/>
    <w:rsid w:val="00C468AA"/>
    <w:rsid w:val="00C46AF1"/>
    <w:rsid w:val="00C476FA"/>
    <w:rsid w:val="00C47819"/>
    <w:rsid w:val="00C47B39"/>
    <w:rsid w:val="00C5090D"/>
    <w:rsid w:val="00C50AE7"/>
    <w:rsid w:val="00C50D0A"/>
    <w:rsid w:val="00C50DE6"/>
    <w:rsid w:val="00C50EC3"/>
    <w:rsid w:val="00C51120"/>
    <w:rsid w:val="00C51342"/>
    <w:rsid w:val="00C514E4"/>
    <w:rsid w:val="00C515A8"/>
    <w:rsid w:val="00C5171A"/>
    <w:rsid w:val="00C5183A"/>
    <w:rsid w:val="00C51DF2"/>
    <w:rsid w:val="00C51E3C"/>
    <w:rsid w:val="00C51F57"/>
    <w:rsid w:val="00C52448"/>
    <w:rsid w:val="00C5293D"/>
    <w:rsid w:val="00C529D4"/>
    <w:rsid w:val="00C529E5"/>
    <w:rsid w:val="00C52B3C"/>
    <w:rsid w:val="00C52CF4"/>
    <w:rsid w:val="00C532BE"/>
    <w:rsid w:val="00C53D39"/>
    <w:rsid w:val="00C53F08"/>
    <w:rsid w:val="00C5429B"/>
    <w:rsid w:val="00C54447"/>
    <w:rsid w:val="00C544E2"/>
    <w:rsid w:val="00C54F0F"/>
    <w:rsid w:val="00C54F8A"/>
    <w:rsid w:val="00C55348"/>
    <w:rsid w:val="00C5545B"/>
    <w:rsid w:val="00C555C2"/>
    <w:rsid w:val="00C557C5"/>
    <w:rsid w:val="00C55AAA"/>
    <w:rsid w:val="00C55E51"/>
    <w:rsid w:val="00C55F75"/>
    <w:rsid w:val="00C56110"/>
    <w:rsid w:val="00C562D0"/>
    <w:rsid w:val="00C56368"/>
    <w:rsid w:val="00C5665E"/>
    <w:rsid w:val="00C567AD"/>
    <w:rsid w:val="00C56B44"/>
    <w:rsid w:val="00C56F9E"/>
    <w:rsid w:val="00C57254"/>
    <w:rsid w:val="00C5733B"/>
    <w:rsid w:val="00C57721"/>
    <w:rsid w:val="00C5776E"/>
    <w:rsid w:val="00C578B6"/>
    <w:rsid w:val="00C57BA0"/>
    <w:rsid w:val="00C57C0A"/>
    <w:rsid w:val="00C60075"/>
    <w:rsid w:val="00C603D7"/>
    <w:rsid w:val="00C609E0"/>
    <w:rsid w:val="00C60A33"/>
    <w:rsid w:val="00C61459"/>
    <w:rsid w:val="00C61742"/>
    <w:rsid w:val="00C6178D"/>
    <w:rsid w:val="00C61999"/>
    <w:rsid w:val="00C61BA8"/>
    <w:rsid w:val="00C61BDC"/>
    <w:rsid w:val="00C61BEC"/>
    <w:rsid w:val="00C61F48"/>
    <w:rsid w:val="00C62183"/>
    <w:rsid w:val="00C6238A"/>
    <w:rsid w:val="00C623B4"/>
    <w:rsid w:val="00C62521"/>
    <w:rsid w:val="00C625B2"/>
    <w:rsid w:val="00C62EA7"/>
    <w:rsid w:val="00C62FCB"/>
    <w:rsid w:val="00C6323F"/>
    <w:rsid w:val="00C63752"/>
    <w:rsid w:val="00C63880"/>
    <w:rsid w:val="00C63CEC"/>
    <w:rsid w:val="00C64351"/>
    <w:rsid w:val="00C645F8"/>
    <w:rsid w:val="00C64648"/>
    <w:rsid w:val="00C6468E"/>
    <w:rsid w:val="00C647AC"/>
    <w:rsid w:val="00C652F8"/>
    <w:rsid w:val="00C65399"/>
    <w:rsid w:val="00C6571F"/>
    <w:rsid w:val="00C65750"/>
    <w:rsid w:val="00C65948"/>
    <w:rsid w:val="00C65AFB"/>
    <w:rsid w:val="00C65E67"/>
    <w:rsid w:val="00C65F68"/>
    <w:rsid w:val="00C65FBC"/>
    <w:rsid w:val="00C663AA"/>
    <w:rsid w:val="00C66656"/>
    <w:rsid w:val="00C6681D"/>
    <w:rsid w:val="00C66A23"/>
    <w:rsid w:val="00C66E24"/>
    <w:rsid w:val="00C671E9"/>
    <w:rsid w:val="00C67506"/>
    <w:rsid w:val="00C675D9"/>
    <w:rsid w:val="00C67956"/>
    <w:rsid w:val="00C67DE7"/>
    <w:rsid w:val="00C67DF0"/>
    <w:rsid w:val="00C702D5"/>
    <w:rsid w:val="00C70658"/>
    <w:rsid w:val="00C706C4"/>
    <w:rsid w:val="00C70C44"/>
    <w:rsid w:val="00C70CB7"/>
    <w:rsid w:val="00C71282"/>
    <w:rsid w:val="00C71516"/>
    <w:rsid w:val="00C716BA"/>
    <w:rsid w:val="00C71A95"/>
    <w:rsid w:val="00C71B8B"/>
    <w:rsid w:val="00C71EE4"/>
    <w:rsid w:val="00C72647"/>
    <w:rsid w:val="00C728A2"/>
    <w:rsid w:val="00C7333D"/>
    <w:rsid w:val="00C733CD"/>
    <w:rsid w:val="00C737B9"/>
    <w:rsid w:val="00C737E8"/>
    <w:rsid w:val="00C73952"/>
    <w:rsid w:val="00C739B3"/>
    <w:rsid w:val="00C73A20"/>
    <w:rsid w:val="00C73AA8"/>
    <w:rsid w:val="00C73D96"/>
    <w:rsid w:val="00C73E0D"/>
    <w:rsid w:val="00C740E3"/>
    <w:rsid w:val="00C7419C"/>
    <w:rsid w:val="00C742C5"/>
    <w:rsid w:val="00C747CD"/>
    <w:rsid w:val="00C74DA7"/>
    <w:rsid w:val="00C74DF4"/>
    <w:rsid w:val="00C74EAF"/>
    <w:rsid w:val="00C752F0"/>
    <w:rsid w:val="00C75551"/>
    <w:rsid w:val="00C757D9"/>
    <w:rsid w:val="00C7599B"/>
    <w:rsid w:val="00C75AA1"/>
    <w:rsid w:val="00C75AAD"/>
    <w:rsid w:val="00C75D79"/>
    <w:rsid w:val="00C75F04"/>
    <w:rsid w:val="00C76007"/>
    <w:rsid w:val="00C76062"/>
    <w:rsid w:val="00C76294"/>
    <w:rsid w:val="00C76561"/>
    <w:rsid w:val="00C76690"/>
    <w:rsid w:val="00C76A38"/>
    <w:rsid w:val="00C76C4F"/>
    <w:rsid w:val="00C76C93"/>
    <w:rsid w:val="00C76E63"/>
    <w:rsid w:val="00C774AD"/>
    <w:rsid w:val="00C775D3"/>
    <w:rsid w:val="00C7767C"/>
    <w:rsid w:val="00C776B6"/>
    <w:rsid w:val="00C77769"/>
    <w:rsid w:val="00C77979"/>
    <w:rsid w:val="00C779E8"/>
    <w:rsid w:val="00C77A80"/>
    <w:rsid w:val="00C77B30"/>
    <w:rsid w:val="00C77B8E"/>
    <w:rsid w:val="00C77C5B"/>
    <w:rsid w:val="00C77D9C"/>
    <w:rsid w:val="00C77E35"/>
    <w:rsid w:val="00C77EDE"/>
    <w:rsid w:val="00C8020F"/>
    <w:rsid w:val="00C802CE"/>
    <w:rsid w:val="00C803EA"/>
    <w:rsid w:val="00C80626"/>
    <w:rsid w:val="00C8067B"/>
    <w:rsid w:val="00C806AB"/>
    <w:rsid w:val="00C80945"/>
    <w:rsid w:val="00C809BF"/>
    <w:rsid w:val="00C80F59"/>
    <w:rsid w:val="00C810A5"/>
    <w:rsid w:val="00C811E5"/>
    <w:rsid w:val="00C81580"/>
    <w:rsid w:val="00C815F1"/>
    <w:rsid w:val="00C81769"/>
    <w:rsid w:val="00C81C5A"/>
    <w:rsid w:val="00C81D76"/>
    <w:rsid w:val="00C82C6D"/>
    <w:rsid w:val="00C82CF4"/>
    <w:rsid w:val="00C82E2F"/>
    <w:rsid w:val="00C82F4B"/>
    <w:rsid w:val="00C8326A"/>
    <w:rsid w:val="00C83683"/>
    <w:rsid w:val="00C836A6"/>
    <w:rsid w:val="00C839B2"/>
    <w:rsid w:val="00C839D4"/>
    <w:rsid w:val="00C83C5C"/>
    <w:rsid w:val="00C83E6E"/>
    <w:rsid w:val="00C83FE1"/>
    <w:rsid w:val="00C84045"/>
    <w:rsid w:val="00C84483"/>
    <w:rsid w:val="00C8499C"/>
    <w:rsid w:val="00C84DB7"/>
    <w:rsid w:val="00C853AE"/>
    <w:rsid w:val="00C85471"/>
    <w:rsid w:val="00C8561E"/>
    <w:rsid w:val="00C85796"/>
    <w:rsid w:val="00C85C6D"/>
    <w:rsid w:val="00C85C82"/>
    <w:rsid w:val="00C8641C"/>
    <w:rsid w:val="00C8685F"/>
    <w:rsid w:val="00C86A06"/>
    <w:rsid w:val="00C86A7A"/>
    <w:rsid w:val="00C86A93"/>
    <w:rsid w:val="00C86D31"/>
    <w:rsid w:val="00C87452"/>
    <w:rsid w:val="00C87B0B"/>
    <w:rsid w:val="00C87C1C"/>
    <w:rsid w:val="00C90288"/>
    <w:rsid w:val="00C9034B"/>
    <w:rsid w:val="00C906F0"/>
    <w:rsid w:val="00C90C20"/>
    <w:rsid w:val="00C91138"/>
    <w:rsid w:val="00C911A6"/>
    <w:rsid w:val="00C91795"/>
    <w:rsid w:val="00C917ED"/>
    <w:rsid w:val="00C91C71"/>
    <w:rsid w:val="00C91D33"/>
    <w:rsid w:val="00C91D46"/>
    <w:rsid w:val="00C91F16"/>
    <w:rsid w:val="00C91FB9"/>
    <w:rsid w:val="00C92006"/>
    <w:rsid w:val="00C92193"/>
    <w:rsid w:val="00C921BE"/>
    <w:rsid w:val="00C92AB3"/>
    <w:rsid w:val="00C92B23"/>
    <w:rsid w:val="00C92CDB"/>
    <w:rsid w:val="00C92E70"/>
    <w:rsid w:val="00C931C4"/>
    <w:rsid w:val="00C932DC"/>
    <w:rsid w:val="00C933B6"/>
    <w:rsid w:val="00C93570"/>
    <w:rsid w:val="00C935D3"/>
    <w:rsid w:val="00C93AFC"/>
    <w:rsid w:val="00C93EEC"/>
    <w:rsid w:val="00C9429C"/>
    <w:rsid w:val="00C94378"/>
    <w:rsid w:val="00C94496"/>
    <w:rsid w:val="00C94E0F"/>
    <w:rsid w:val="00C94E82"/>
    <w:rsid w:val="00C94F90"/>
    <w:rsid w:val="00C9503D"/>
    <w:rsid w:val="00C95068"/>
    <w:rsid w:val="00C95346"/>
    <w:rsid w:val="00C956B4"/>
    <w:rsid w:val="00C95D46"/>
    <w:rsid w:val="00C96CA7"/>
    <w:rsid w:val="00C96D5C"/>
    <w:rsid w:val="00C96DE9"/>
    <w:rsid w:val="00C96EAA"/>
    <w:rsid w:val="00C971E0"/>
    <w:rsid w:val="00C976FA"/>
    <w:rsid w:val="00C9785E"/>
    <w:rsid w:val="00C979C9"/>
    <w:rsid w:val="00C97A39"/>
    <w:rsid w:val="00C97AE4"/>
    <w:rsid w:val="00C97BA9"/>
    <w:rsid w:val="00C97CE4"/>
    <w:rsid w:val="00CA0435"/>
    <w:rsid w:val="00CA069D"/>
    <w:rsid w:val="00CA0959"/>
    <w:rsid w:val="00CA0E27"/>
    <w:rsid w:val="00CA0E65"/>
    <w:rsid w:val="00CA0E7A"/>
    <w:rsid w:val="00CA1020"/>
    <w:rsid w:val="00CA11DD"/>
    <w:rsid w:val="00CA1231"/>
    <w:rsid w:val="00CA1C67"/>
    <w:rsid w:val="00CA2099"/>
    <w:rsid w:val="00CA2198"/>
    <w:rsid w:val="00CA23E3"/>
    <w:rsid w:val="00CA27E6"/>
    <w:rsid w:val="00CA29D2"/>
    <w:rsid w:val="00CA2CE1"/>
    <w:rsid w:val="00CA2E7B"/>
    <w:rsid w:val="00CA2FBE"/>
    <w:rsid w:val="00CA3344"/>
    <w:rsid w:val="00CA3360"/>
    <w:rsid w:val="00CA3437"/>
    <w:rsid w:val="00CA3BFE"/>
    <w:rsid w:val="00CA3F22"/>
    <w:rsid w:val="00CA4017"/>
    <w:rsid w:val="00CA40D7"/>
    <w:rsid w:val="00CA41F2"/>
    <w:rsid w:val="00CA436D"/>
    <w:rsid w:val="00CA4463"/>
    <w:rsid w:val="00CA4764"/>
    <w:rsid w:val="00CA4E7F"/>
    <w:rsid w:val="00CA50CD"/>
    <w:rsid w:val="00CA59D8"/>
    <w:rsid w:val="00CA5B18"/>
    <w:rsid w:val="00CA5BD6"/>
    <w:rsid w:val="00CA5D82"/>
    <w:rsid w:val="00CA60A6"/>
    <w:rsid w:val="00CA630B"/>
    <w:rsid w:val="00CA63A4"/>
    <w:rsid w:val="00CA6415"/>
    <w:rsid w:val="00CA685A"/>
    <w:rsid w:val="00CA6A38"/>
    <w:rsid w:val="00CA7383"/>
    <w:rsid w:val="00CA75D4"/>
    <w:rsid w:val="00CA75E9"/>
    <w:rsid w:val="00CA76F6"/>
    <w:rsid w:val="00CA7955"/>
    <w:rsid w:val="00CA7D41"/>
    <w:rsid w:val="00CB0193"/>
    <w:rsid w:val="00CB01E4"/>
    <w:rsid w:val="00CB0255"/>
    <w:rsid w:val="00CB0742"/>
    <w:rsid w:val="00CB0A51"/>
    <w:rsid w:val="00CB0CD5"/>
    <w:rsid w:val="00CB0CDD"/>
    <w:rsid w:val="00CB0FCE"/>
    <w:rsid w:val="00CB105C"/>
    <w:rsid w:val="00CB113F"/>
    <w:rsid w:val="00CB18AC"/>
    <w:rsid w:val="00CB1A7D"/>
    <w:rsid w:val="00CB1B71"/>
    <w:rsid w:val="00CB1DBD"/>
    <w:rsid w:val="00CB208A"/>
    <w:rsid w:val="00CB2148"/>
    <w:rsid w:val="00CB21AC"/>
    <w:rsid w:val="00CB2722"/>
    <w:rsid w:val="00CB2C0C"/>
    <w:rsid w:val="00CB2E95"/>
    <w:rsid w:val="00CB3A5D"/>
    <w:rsid w:val="00CB3A9B"/>
    <w:rsid w:val="00CB3B32"/>
    <w:rsid w:val="00CB4450"/>
    <w:rsid w:val="00CB44DD"/>
    <w:rsid w:val="00CB452C"/>
    <w:rsid w:val="00CB49DD"/>
    <w:rsid w:val="00CB4C26"/>
    <w:rsid w:val="00CB4DA2"/>
    <w:rsid w:val="00CB4E17"/>
    <w:rsid w:val="00CB523B"/>
    <w:rsid w:val="00CB5C84"/>
    <w:rsid w:val="00CB5DC0"/>
    <w:rsid w:val="00CB6007"/>
    <w:rsid w:val="00CB6099"/>
    <w:rsid w:val="00CB673C"/>
    <w:rsid w:val="00CB6BE6"/>
    <w:rsid w:val="00CB718F"/>
    <w:rsid w:val="00CB739C"/>
    <w:rsid w:val="00CB73CE"/>
    <w:rsid w:val="00CB742D"/>
    <w:rsid w:val="00CB7B9D"/>
    <w:rsid w:val="00CB7DF6"/>
    <w:rsid w:val="00CC016C"/>
    <w:rsid w:val="00CC01C2"/>
    <w:rsid w:val="00CC039A"/>
    <w:rsid w:val="00CC0479"/>
    <w:rsid w:val="00CC0567"/>
    <w:rsid w:val="00CC06DA"/>
    <w:rsid w:val="00CC0A2B"/>
    <w:rsid w:val="00CC0CBA"/>
    <w:rsid w:val="00CC0DC5"/>
    <w:rsid w:val="00CC0EF1"/>
    <w:rsid w:val="00CC1173"/>
    <w:rsid w:val="00CC155B"/>
    <w:rsid w:val="00CC18E4"/>
    <w:rsid w:val="00CC1CAE"/>
    <w:rsid w:val="00CC1DB3"/>
    <w:rsid w:val="00CC2020"/>
    <w:rsid w:val="00CC21BF"/>
    <w:rsid w:val="00CC21FD"/>
    <w:rsid w:val="00CC2726"/>
    <w:rsid w:val="00CC2833"/>
    <w:rsid w:val="00CC294B"/>
    <w:rsid w:val="00CC2E1D"/>
    <w:rsid w:val="00CC2F85"/>
    <w:rsid w:val="00CC2FF6"/>
    <w:rsid w:val="00CC322F"/>
    <w:rsid w:val="00CC3721"/>
    <w:rsid w:val="00CC39F3"/>
    <w:rsid w:val="00CC3C58"/>
    <w:rsid w:val="00CC3F10"/>
    <w:rsid w:val="00CC40A9"/>
    <w:rsid w:val="00CC4226"/>
    <w:rsid w:val="00CC4545"/>
    <w:rsid w:val="00CC49A1"/>
    <w:rsid w:val="00CC521B"/>
    <w:rsid w:val="00CC5290"/>
    <w:rsid w:val="00CC53BF"/>
    <w:rsid w:val="00CC53DE"/>
    <w:rsid w:val="00CC570A"/>
    <w:rsid w:val="00CC5A1E"/>
    <w:rsid w:val="00CC5CC5"/>
    <w:rsid w:val="00CC623E"/>
    <w:rsid w:val="00CC63A0"/>
    <w:rsid w:val="00CC63B8"/>
    <w:rsid w:val="00CC65C7"/>
    <w:rsid w:val="00CC6608"/>
    <w:rsid w:val="00CC6699"/>
    <w:rsid w:val="00CC69C7"/>
    <w:rsid w:val="00CC6B1F"/>
    <w:rsid w:val="00CC7207"/>
    <w:rsid w:val="00CC7BDF"/>
    <w:rsid w:val="00CC7D1D"/>
    <w:rsid w:val="00CD0070"/>
    <w:rsid w:val="00CD00B0"/>
    <w:rsid w:val="00CD0237"/>
    <w:rsid w:val="00CD043F"/>
    <w:rsid w:val="00CD076B"/>
    <w:rsid w:val="00CD077A"/>
    <w:rsid w:val="00CD087F"/>
    <w:rsid w:val="00CD098E"/>
    <w:rsid w:val="00CD1034"/>
    <w:rsid w:val="00CD1224"/>
    <w:rsid w:val="00CD135F"/>
    <w:rsid w:val="00CD165C"/>
    <w:rsid w:val="00CD1AC0"/>
    <w:rsid w:val="00CD1AE6"/>
    <w:rsid w:val="00CD1E16"/>
    <w:rsid w:val="00CD24F8"/>
    <w:rsid w:val="00CD27FC"/>
    <w:rsid w:val="00CD2B79"/>
    <w:rsid w:val="00CD2E13"/>
    <w:rsid w:val="00CD2E54"/>
    <w:rsid w:val="00CD2F89"/>
    <w:rsid w:val="00CD2FFE"/>
    <w:rsid w:val="00CD328B"/>
    <w:rsid w:val="00CD331B"/>
    <w:rsid w:val="00CD37F4"/>
    <w:rsid w:val="00CD39B7"/>
    <w:rsid w:val="00CD3C89"/>
    <w:rsid w:val="00CD3F21"/>
    <w:rsid w:val="00CD4125"/>
    <w:rsid w:val="00CD47AB"/>
    <w:rsid w:val="00CD4CF5"/>
    <w:rsid w:val="00CD4D69"/>
    <w:rsid w:val="00CD5158"/>
    <w:rsid w:val="00CD5174"/>
    <w:rsid w:val="00CD5305"/>
    <w:rsid w:val="00CD5D00"/>
    <w:rsid w:val="00CD5DF0"/>
    <w:rsid w:val="00CD5F72"/>
    <w:rsid w:val="00CD6461"/>
    <w:rsid w:val="00CD6466"/>
    <w:rsid w:val="00CD65A4"/>
    <w:rsid w:val="00CD6A9C"/>
    <w:rsid w:val="00CD6C8D"/>
    <w:rsid w:val="00CD7678"/>
    <w:rsid w:val="00CD7898"/>
    <w:rsid w:val="00CD78CA"/>
    <w:rsid w:val="00CD799C"/>
    <w:rsid w:val="00CE0031"/>
    <w:rsid w:val="00CE008C"/>
    <w:rsid w:val="00CE00D8"/>
    <w:rsid w:val="00CE0409"/>
    <w:rsid w:val="00CE0A16"/>
    <w:rsid w:val="00CE0BE6"/>
    <w:rsid w:val="00CE10A3"/>
    <w:rsid w:val="00CE18C4"/>
    <w:rsid w:val="00CE1B0D"/>
    <w:rsid w:val="00CE1DF7"/>
    <w:rsid w:val="00CE22FF"/>
    <w:rsid w:val="00CE262F"/>
    <w:rsid w:val="00CE2768"/>
    <w:rsid w:val="00CE2822"/>
    <w:rsid w:val="00CE2826"/>
    <w:rsid w:val="00CE2BE5"/>
    <w:rsid w:val="00CE2E71"/>
    <w:rsid w:val="00CE3272"/>
    <w:rsid w:val="00CE32F4"/>
    <w:rsid w:val="00CE34CF"/>
    <w:rsid w:val="00CE3954"/>
    <w:rsid w:val="00CE397A"/>
    <w:rsid w:val="00CE3A54"/>
    <w:rsid w:val="00CE3C4E"/>
    <w:rsid w:val="00CE3D9C"/>
    <w:rsid w:val="00CE4DAC"/>
    <w:rsid w:val="00CE4E60"/>
    <w:rsid w:val="00CE4F41"/>
    <w:rsid w:val="00CE5034"/>
    <w:rsid w:val="00CE5358"/>
    <w:rsid w:val="00CE5656"/>
    <w:rsid w:val="00CE5A5A"/>
    <w:rsid w:val="00CE5A69"/>
    <w:rsid w:val="00CE5E93"/>
    <w:rsid w:val="00CE5F5B"/>
    <w:rsid w:val="00CE61AE"/>
    <w:rsid w:val="00CE6328"/>
    <w:rsid w:val="00CE63E2"/>
    <w:rsid w:val="00CE6750"/>
    <w:rsid w:val="00CE6799"/>
    <w:rsid w:val="00CE6832"/>
    <w:rsid w:val="00CE68D8"/>
    <w:rsid w:val="00CE6D0D"/>
    <w:rsid w:val="00CE6E6C"/>
    <w:rsid w:val="00CE741E"/>
    <w:rsid w:val="00CE7472"/>
    <w:rsid w:val="00CE76BC"/>
    <w:rsid w:val="00CE7B73"/>
    <w:rsid w:val="00CE7C51"/>
    <w:rsid w:val="00CE7DD5"/>
    <w:rsid w:val="00CF0140"/>
    <w:rsid w:val="00CF0A8D"/>
    <w:rsid w:val="00CF0B97"/>
    <w:rsid w:val="00CF0DF5"/>
    <w:rsid w:val="00CF0E39"/>
    <w:rsid w:val="00CF1490"/>
    <w:rsid w:val="00CF149C"/>
    <w:rsid w:val="00CF1523"/>
    <w:rsid w:val="00CF1686"/>
    <w:rsid w:val="00CF17C6"/>
    <w:rsid w:val="00CF17C7"/>
    <w:rsid w:val="00CF196B"/>
    <w:rsid w:val="00CF1C6D"/>
    <w:rsid w:val="00CF1C91"/>
    <w:rsid w:val="00CF1D3B"/>
    <w:rsid w:val="00CF1D73"/>
    <w:rsid w:val="00CF1D76"/>
    <w:rsid w:val="00CF222F"/>
    <w:rsid w:val="00CF2317"/>
    <w:rsid w:val="00CF239A"/>
    <w:rsid w:val="00CF28EA"/>
    <w:rsid w:val="00CF310B"/>
    <w:rsid w:val="00CF31E0"/>
    <w:rsid w:val="00CF3217"/>
    <w:rsid w:val="00CF330A"/>
    <w:rsid w:val="00CF3CAA"/>
    <w:rsid w:val="00CF3E6C"/>
    <w:rsid w:val="00CF3E77"/>
    <w:rsid w:val="00CF3FF2"/>
    <w:rsid w:val="00CF40E1"/>
    <w:rsid w:val="00CF4253"/>
    <w:rsid w:val="00CF470F"/>
    <w:rsid w:val="00CF4864"/>
    <w:rsid w:val="00CF49E9"/>
    <w:rsid w:val="00CF4A78"/>
    <w:rsid w:val="00CF4DA6"/>
    <w:rsid w:val="00CF4EE7"/>
    <w:rsid w:val="00CF50F1"/>
    <w:rsid w:val="00CF51FE"/>
    <w:rsid w:val="00CF572F"/>
    <w:rsid w:val="00CF57E4"/>
    <w:rsid w:val="00CF5ACC"/>
    <w:rsid w:val="00CF5BA6"/>
    <w:rsid w:val="00CF5CB4"/>
    <w:rsid w:val="00CF5E6E"/>
    <w:rsid w:val="00CF63C6"/>
    <w:rsid w:val="00CF6426"/>
    <w:rsid w:val="00CF6623"/>
    <w:rsid w:val="00CF66CE"/>
    <w:rsid w:val="00CF683D"/>
    <w:rsid w:val="00CF6C2A"/>
    <w:rsid w:val="00CF7001"/>
    <w:rsid w:val="00CF70F2"/>
    <w:rsid w:val="00CF725D"/>
    <w:rsid w:val="00CF7328"/>
    <w:rsid w:val="00CF747C"/>
    <w:rsid w:val="00CF7740"/>
    <w:rsid w:val="00CF781B"/>
    <w:rsid w:val="00CF7AE6"/>
    <w:rsid w:val="00CF7CB5"/>
    <w:rsid w:val="00CF7FBE"/>
    <w:rsid w:val="00D004D8"/>
    <w:rsid w:val="00D00677"/>
    <w:rsid w:val="00D00826"/>
    <w:rsid w:val="00D00BA5"/>
    <w:rsid w:val="00D00E3D"/>
    <w:rsid w:val="00D00E6A"/>
    <w:rsid w:val="00D01051"/>
    <w:rsid w:val="00D01115"/>
    <w:rsid w:val="00D014CF"/>
    <w:rsid w:val="00D01643"/>
    <w:rsid w:val="00D02067"/>
    <w:rsid w:val="00D02263"/>
    <w:rsid w:val="00D02418"/>
    <w:rsid w:val="00D02A46"/>
    <w:rsid w:val="00D02FBC"/>
    <w:rsid w:val="00D03057"/>
    <w:rsid w:val="00D0365C"/>
    <w:rsid w:val="00D03C13"/>
    <w:rsid w:val="00D0430C"/>
    <w:rsid w:val="00D0469F"/>
    <w:rsid w:val="00D04795"/>
    <w:rsid w:val="00D04C85"/>
    <w:rsid w:val="00D04FE0"/>
    <w:rsid w:val="00D05362"/>
    <w:rsid w:val="00D054F0"/>
    <w:rsid w:val="00D054FD"/>
    <w:rsid w:val="00D057E0"/>
    <w:rsid w:val="00D05EFE"/>
    <w:rsid w:val="00D063B7"/>
    <w:rsid w:val="00D06533"/>
    <w:rsid w:val="00D065CE"/>
    <w:rsid w:val="00D0663C"/>
    <w:rsid w:val="00D0670A"/>
    <w:rsid w:val="00D067D3"/>
    <w:rsid w:val="00D06AA5"/>
    <w:rsid w:val="00D077B9"/>
    <w:rsid w:val="00D07950"/>
    <w:rsid w:val="00D1035C"/>
    <w:rsid w:val="00D10401"/>
    <w:rsid w:val="00D10834"/>
    <w:rsid w:val="00D10F29"/>
    <w:rsid w:val="00D11115"/>
    <w:rsid w:val="00D112B8"/>
    <w:rsid w:val="00D1154E"/>
    <w:rsid w:val="00D11A22"/>
    <w:rsid w:val="00D11FB4"/>
    <w:rsid w:val="00D121FD"/>
    <w:rsid w:val="00D12ADA"/>
    <w:rsid w:val="00D12AF8"/>
    <w:rsid w:val="00D12CAC"/>
    <w:rsid w:val="00D12E23"/>
    <w:rsid w:val="00D13540"/>
    <w:rsid w:val="00D13C33"/>
    <w:rsid w:val="00D142BA"/>
    <w:rsid w:val="00D143E1"/>
    <w:rsid w:val="00D14682"/>
    <w:rsid w:val="00D146FE"/>
    <w:rsid w:val="00D14720"/>
    <w:rsid w:val="00D147D2"/>
    <w:rsid w:val="00D149AD"/>
    <w:rsid w:val="00D14A40"/>
    <w:rsid w:val="00D14C0B"/>
    <w:rsid w:val="00D14FAA"/>
    <w:rsid w:val="00D151EF"/>
    <w:rsid w:val="00D153E1"/>
    <w:rsid w:val="00D15AA6"/>
    <w:rsid w:val="00D15D83"/>
    <w:rsid w:val="00D15F31"/>
    <w:rsid w:val="00D160CB"/>
    <w:rsid w:val="00D163CB"/>
    <w:rsid w:val="00D1683E"/>
    <w:rsid w:val="00D171FC"/>
    <w:rsid w:val="00D17BBC"/>
    <w:rsid w:val="00D17C42"/>
    <w:rsid w:val="00D17DB4"/>
    <w:rsid w:val="00D200A8"/>
    <w:rsid w:val="00D20823"/>
    <w:rsid w:val="00D20C84"/>
    <w:rsid w:val="00D20DCD"/>
    <w:rsid w:val="00D20F4F"/>
    <w:rsid w:val="00D21053"/>
    <w:rsid w:val="00D217A2"/>
    <w:rsid w:val="00D21E27"/>
    <w:rsid w:val="00D22088"/>
    <w:rsid w:val="00D22185"/>
    <w:rsid w:val="00D22F46"/>
    <w:rsid w:val="00D23046"/>
    <w:rsid w:val="00D2312D"/>
    <w:rsid w:val="00D2313B"/>
    <w:rsid w:val="00D237EB"/>
    <w:rsid w:val="00D238E1"/>
    <w:rsid w:val="00D2393D"/>
    <w:rsid w:val="00D23A09"/>
    <w:rsid w:val="00D23A76"/>
    <w:rsid w:val="00D23C2C"/>
    <w:rsid w:val="00D24008"/>
    <w:rsid w:val="00D24153"/>
    <w:rsid w:val="00D24620"/>
    <w:rsid w:val="00D246D3"/>
    <w:rsid w:val="00D247DD"/>
    <w:rsid w:val="00D24DDB"/>
    <w:rsid w:val="00D24F5A"/>
    <w:rsid w:val="00D24FE0"/>
    <w:rsid w:val="00D24FFB"/>
    <w:rsid w:val="00D2524B"/>
    <w:rsid w:val="00D2625D"/>
    <w:rsid w:val="00D263B5"/>
    <w:rsid w:val="00D26691"/>
    <w:rsid w:val="00D26985"/>
    <w:rsid w:val="00D26BA1"/>
    <w:rsid w:val="00D26D57"/>
    <w:rsid w:val="00D26FC3"/>
    <w:rsid w:val="00D27309"/>
    <w:rsid w:val="00D27329"/>
    <w:rsid w:val="00D278F1"/>
    <w:rsid w:val="00D2796A"/>
    <w:rsid w:val="00D27B08"/>
    <w:rsid w:val="00D27D7D"/>
    <w:rsid w:val="00D27FAC"/>
    <w:rsid w:val="00D27FB4"/>
    <w:rsid w:val="00D3070F"/>
    <w:rsid w:val="00D30894"/>
    <w:rsid w:val="00D30ABF"/>
    <w:rsid w:val="00D30C72"/>
    <w:rsid w:val="00D30D09"/>
    <w:rsid w:val="00D30FA1"/>
    <w:rsid w:val="00D3123D"/>
    <w:rsid w:val="00D31651"/>
    <w:rsid w:val="00D316C2"/>
    <w:rsid w:val="00D31941"/>
    <w:rsid w:val="00D31AB1"/>
    <w:rsid w:val="00D31E00"/>
    <w:rsid w:val="00D31F1C"/>
    <w:rsid w:val="00D322FF"/>
    <w:rsid w:val="00D3256D"/>
    <w:rsid w:val="00D327E2"/>
    <w:rsid w:val="00D32B93"/>
    <w:rsid w:val="00D33198"/>
    <w:rsid w:val="00D33603"/>
    <w:rsid w:val="00D33618"/>
    <w:rsid w:val="00D33745"/>
    <w:rsid w:val="00D3388C"/>
    <w:rsid w:val="00D33A43"/>
    <w:rsid w:val="00D33F28"/>
    <w:rsid w:val="00D341C9"/>
    <w:rsid w:val="00D34780"/>
    <w:rsid w:val="00D34796"/>
    <w:rsid w:val="00D348A7"/>
    <w:rsid w:val="00D34B00"/>
    <w:rsid w:val="00D34C26"/>
    <w:rsid w:val="00D34F16"/>
    <w:rsid w:val="00D351A3"/>
    <w:rsid w:val="00D35269"/>
    <w:rsid w:val="00D35858"/>
    <w:rsid w:val="00D35FAA"/>
    <w:rsid w:val="00D360EC"/>
    <w:rsid w:val="00D361B2"/>
    <w:rsid w:val="00D36541"/>
    <w:rsid w:val="00D36A44"/>
    <w:rsid w:val="00D36B3B"/>
    <w:rsid w:val="00D36CAE"/>
    <w:rsid w:val="00D36CB4"/>
    <w:rsid w:val="00D370C4"/>
    <w:rsid w:val="00D371E6"/>
    <w:rsid w:val="00D37A2D"/>
    <w:rsid w:val="00D37E78"/>
    <w:rsid w:val="00D4088F"/>
    <w:rsid w:val="00D40974"/>
    <w:rsid w:val="00D40A34"/>
    <w:rsid w:val="00D40B25"/>
    <w:rsid w:val="00D40F94"/>
    <w:rsid w:val="00D4100C"/>
    <w:rsid w:val="00D4101A"/>
    <w:rsid w:val="00D4103B"/>
    <w:rsid w:val="00D41494"/>
    <w:rsid w:val="00D414F4"/>
    <w:rsid w:val="00D41547"/>
    <w:rsid w:val="00D419E7"/>
    <w:rsid w:val="00D41A10"/>
    <w:rsid w:val="00D4216D"/>
    <w:rsid w:val="00D42294"/>
    <w:rsid w:val="00D42895"/>
    <w:rsid w:val="00D42AB7"/>
    <w:rsid w:val="00D42CBC"/>
    <w:rsid w:val="00D42CF9"/>
    <w:rsid w:val="00D42DCD"/>
    <w:rsid w:val="00D42EB2"/>
    <w:rsid w:val="00D432DC"/>
    <w:rsid w:val="00D43600"/>
    <w:rsid w:val="00D43CCC"/>
    <w:rsid w:val="00D43E74"/>
    <w:rsid w:val="00D43FA3"/>
    <w:rsid w:val="00D44028"/>
    <w:rsid w:val="00D44050"/>
    <w:rsid w:val="00D443CB"/>
    <w:rsid w:val="00D443D3"/>
    <w:rsid w:val="00D446B5"/>
    <w:rsid w:val="00D446D0"/>
    <w:rsid w:val="00D4498D"/>
    <w:rsid w:val="00D44BDF"/>
    <w:rsid w:val="00D44D3C"/>
    <w:rsid w:val="00D45040"/>
    <w:rsid w:val="00D45226"/>
    <w:rsid w:val="00D4595E"/>
    <w:rsid w:val="00D45A97"/>
    <w:rsid w:val="00D46437"/>
    <w:rsid w:val="00D464C6"/>
    <w:rsid w:val="00D466F6"/>
    <w:rsid w:val="00D468BE"/>
    <w:rsid w:val="00D46B23"/>
    <w:rsid w:val="00D46E6D"/>
    <w:rsid w:val="00D46E7D"/>
    <w:rsid w:val="00D47010"/>
    <w:rsid w:val="00D470B7"/>
    <w:rsid w:val="00D4738E"/>
    <w:rsid w:val="00D4786E"/>
    <w:rsid w:val="00D47A21"/>
    <w:rsid w:val="00D47E6C"/>
    <w:rsid w:val="00D47F4D"/>
    <w:rsid w:val="00D502F0"/>
    <w:rsid w:val="00D5035A"/>
    <w:rsid w:val="00D503D9"/>
    <w:rsid w:val="00D5046E"/>
    <w:rsid w:val="00D507A3"/>
    <w:rsid w:val="00D50A34"/>
    <w:rsid w:val="00D50D0B"/>
    <w:rsid w:val="00D50E32"/>
    <w:rsid w:val="00D50E4D"/>
    <w:rsid w:val="00D511AD"/>
    <w:rsid w:val="00D51AEE"/>
    <w:rsid w:val="00D51B2F"/>
    <w:rsid w:val="00D51DEB"/>
    <w:rsid w:val="00D52368"/>
    <w:rsid w:val="00D5271C"/>
    <w:rsid w:val="00D527CC"/>
    <w:rsid w:val="00D52B0D"/>
    <w:rsid w:val="00D52F04"/>
    <w:rsid w:val="00D52FF8"/>
    <w:rsid w:val="00D53081"/>
    <w:rsid w:val="00D5325E"/>
    <w:rsid w:val="00D53C2A"/>
    <w:rsid w:val="00D53DB7"/>
    <w:rsid w:val="00D53E23"/>
    <w:rsid w:val="00D54693"/>
    <w:rsid w:val="00D5472E"/>
    <w:rsid w:val="00D54732"/>
    <w:rsid w:val="00D549D1"/>
    <w:rsid w:val="00D54C42"/>
    <w:rsid w:val="00D54C64"/>
    <w:rsid w:val="00D551F1"/>
    <w:rsid w:val="00D55221"/>
    <w:rsid w:val="00D55648"/>
    <w:rsid w:val="00D55665"/>
    <w:rsid w:val="00D55C8C"/>
    <w:rsid w:val="00D55F52"/>
    <w:rsid w:val="00D55F60"/>
    <w:rsid w:val="00D5602D"/>
    <w:rsid w:val="00D563B2"/>
    <w:rsid w:val="00D565B6"/>
    <w:rsid w:val="00D5662F"/>
    <w:rsid w:val="00D568C3"/>
    <w:rsid w:val="00D568E8"/>
    <w:rsid w:val="00D56B3D"/>
    <w:rsid w:val="00D56C9E"/>
    <w:rsid w:val="00D56F43"/>
    <w:rsid w:val="00D57293"/>
    <w:rsid w:val="00D5796E"/>
    <w:rsid w:val="00D57B49"/>
    <w:rsid w:val="00D57B9F"/>
    <w:rsid w:val="00D57F5C"/>
    <w:rsid w:val="00D57FF4"/>
    <w:rsid w:val="00D60194"/>
    <w:rsid w:val="00D60203"/>
    <w:rsid w:val="00D6036E"/>
    <w:rsid w:val="00D60800"/>
    <w:rsid w:val="00D60B98"/>
    <w:rsid w:val="00D60CDF"/>
    <w:rsid w:val="00D60E1D"/>
    <w:rsid w:val="00D60FC9"/>
    <w:rsid w:val="00D6101B"/>
    <w:rsid w:val="00D610AF"/>
    <w:rsid w:val="00D61706"/>
    <w:rsid w:val="00D62122"/>
    <w:rsid w:val="00D6232A"/>
    <w:rsid w:val="00D625EF"/>
    <w:rsid w:val="00D627BA"/>
    <w:rsid w:val="00D627C3"/>
    <w:rsid w:val="00D62C1D"/>
    <w:rsid w:val="00D62E02"/>
    <w:rsid w:val="00D62FBD"/>
    <w:rsid w:val="00D6321A"/>
    <w:rsid w:val="00D63E85"/>
    <w:rsid w:val="00D64040"/>
    <w:rsid w:val="00D642D1"/>
    <w:rsid w:val="00D64526"/>
    <w:rsid w:val="00D6499D"/>
    <w:rsid w:val="00D64B7C"/>
    <w:rsid w:val="00D64C0E"/>
    <w:rsid w:val="00D64E77"/>
    <w:rsid w:val="00D654A1"/>
    <w:rsid w:val="00D654DF"/>
    <w:rsid w:val="00D6556C"/>
    <w:rsid w:val="00D65860"/>
    <w:rsid w:val="00D65B26"/>
    <w:rsid w:val="00D65BED"/>
    <w:rsid w:val="00D65D19"/>
    <w:rsid w:val="00D65F00"/>
    <w:rsid w:val="00D6640A"/>
    <w:rsid w:val="00D66575"/>
    <w:rsid w:val="00D66802"/>
    <w:rsid w:val="00D66CD5"/>
    <w:rsid w:val="00D66DEB"/>
    <w:rsid w:val="00D673CE"/>
    <w:rsid w:val="00D67607"/>
    <w:rsid w:val="00D6766E"/>
    <w:rsid w:val="00D6785C"/>
    <w:rsid w:val="00D67920"/>
    <w:rsid w:val="00D67937"/>
    <w:rsid w:val="00D679DB"/>
    <w:rsid w:val="00D67A37"/>
    <w:rsid w:val="00D67AE2"/>
    <w:rsid w:val="00D67C11"/>
    <w:rsid w:val="00D67E30"/>
    <w:rsid w:val="00D67EAC"/>
    <w:rsid w:val="00D67F29"/>
    <w:rsid w:val="00D7024D"/>
    <w:rsid w:val="00D702AF"/>
    <w:rsid w:val="00D7047A"/>
    <w:rsid w:val="00D70496"/>
    <w:rsid w:val="00D70726"/>
    <w:rsid w:val="00D710F4"/>
    <w:rsid w:val="00D71285"/>
    <w:rsid w:val="00D712AA"/>
    <w:rsid w:val="00D71422"/>
    <w:rsid w:val="00D7150F"/>
    <w:rsid w:val="00D71863"/>
    <w:rsid w:val="00D71CE2"/>
    <w:rsid w:val="00D72477"/>
    <w:rsid w:val="00D729D3"/>
    <w:rsid w:val="00D72C26"/>
    <w:rsid w:val="00D72C94"/>
    <w:rsid w:val="00D72DB4"/>
    <w:rsid w:val="00D73066"/>
    <w:rsid w:val="00D730C9"/>
    <w:rsid w:val="00D7311D"/>
    <w:rsid w:val="00D73170"/>
    <w:rsid w:val="00D732D6"/>
    <w:rsid w:val="00D7370C"/>
    <w:rsid w:val="00D7371C"/>
    <w:rsid w:val="00D737AF"/>
    <w:rsid w:val="00D73E29"/>
    <w:rsid w:val="00D73EF7"/>
    <w:rsid w:val="00D73FFE"/>
    <w:rsid w:val="00D74514"/>
    <w:rsid w:val="00D74931"/>
    <w:rsid w:val="00D74AC0"/>
    <w:rsid w:val="00D74D57"/>
    <w:rsid w:val="00D74DB5"/>
    <w:rsid w:val="00D74F10"/>
    <w:rsid w:val="00D74FDC"/>
    <w:rsid w:val="00D7505D"/>
    <w:rsid w:val="00D754A0"/>
    <w:rsid w:val="00D75A5B"/>
    <w:rsid w:val="00D75F2A"/>
    <w:rsid w:val="00D764CB"/>
    <w:rsid w:val="00D76547"/>
    <w:rsid w:val="00D76732"/>
    <w:rsid w:val="00D76953"/>
    <w:rsid w:val="00D76D46"/>
    <w:rsid w:val="00D76DF5"/>
    <w:rsid w:val="00D76EF6"/>
    <w:rsid w:val="00D76F0B"/>
    <w:rsid w:val="00D779C1"/>
    <w:rsid w:val="00D801C5"/>
    <w:rsid w:val="00D80487"/>
    <w:rsid w:val="00D8079A"/>
    <w:rsid w:val="00D80DA2"/>
    <w:rsid w:val="00D80E59"/>
    <w:rsid w:val="00D81020"/>
    <w:rsid w:val="00D8103E"/>
    <w:rsid w:val="00D81047"/>
    <w:rsid w:val="00D81553"/>
    <w:rsid w:val="00D816DE"/>
    <w:rsid w:val="00D81AAA"/>
    <w:rsid w:val="00D81B71"/>
    <w:rsid w:val="00D81E9C"/>
    <w:rsid w:val="00D8205C"/>
    <w:rsid w:val="00D8205E"/>
    <w:rsid w:val="00D82066"/>
    <w:rsid w:val="00D820B2"/>
    <w:rsid w:val="00D82273"/>
    <w:rsid w:val="00D822D3"/>
    <w:rsid w:val="00D82372"/>
    <w:rsid w:val="00D82418"/>
    <w:rsid w:val="00D8253E"/>
    <w:rsid w:val="00D827BE"/>
    <w:rsid w:val="00D83340"/>
    <w:rsid w:val="00D83588"/>
    <w:rsid w:val="00D83726"/>
    <w:rsid w:val="00D83860"/>
    <w:rsid w:val="00D83A27"/>
    <w:rsid w:val="00D83D04"/>
    <w:rsid w:val="00D83E95"/>
    <w:rsid w:val="00D840CB"/>
    <w:rsid w:val="00D844E8"/>
    <w:rsid w:val="00D84B0E"/>
    <w:rsid w:val="00D850FC"/>
    <w:rsid w:val="00D857E9"/>
    <w:rsid w:val="00D85A7A"/>
    <w:rsid w:val="00D85FB3"/>
    <w:rsid w:val="00D860D2"/>
    <w:rsid w:val="00D86123"/>
    <w:rsid w:val="00D866FD"/>
    <w:rsid w:val="00D8680D"/>
    <w:rsid w:val="00D86970"/>
    <w:rsid w:val="00D86A65"/>
    <w:rsid w:val="00D86CC8"/>
    <w:rsid w:val="00D86E35"/>
    <w:rsid w:val="00D8721D"/>
    <w:rsid w:val="00D87667"/>
    <w:rsid w:val="00D87D32"/>
    <w:rsid w:val="00D87DAF"/>
    <w:rsid w:val="00D87E17"/>
    <w:rsid w:val="00D87EB6"/>
    <w:rsid w:val="00D87ECC"/>
    <w:rsid w:val="00D87F65"/>
    <w:rsid w:val="00D9007C"/>
    <w:rsid w:val="00D9033C"/>
    <w:rsid w:val="00D9040F"/>
    <w:rsid w:val="00D907DC"/>
    <w:rsid w:val="00D9084D"/>
    <w:rsid w:val="00D90AA8"/>
    <w:rsid w:val="00D90ACE"/>
    <w:rsid w:val="00D90BF0"/>
    <w:rsid w:val="00D91096"/>
    <w:rsid w:val="00D917F0"/>
    <w:rsid w:val="00D918B2"/>
    <w:rsid w:val="00D9199F"/>
    <w:rsid w:val="00D91A01"/>
    <w:rsid w:val="00D9204B"/>
    <w:rsid w:val="00D920D4"/>
    <w:rsid w:val="00D92625"/>
    <w:rsid w:val="00D92680"/>
    <w:rsid w:val="00D92736"/>
    <w:rsid w:val="00D92A9D"/>
    <w:rsid w:val="00D92D41"/>
    <w:rsid w:val="00D9312A"/>
    <w:rsid w:val="00D931D6"/>
    <w:rsid w:val="00D932A3"/>
    <w:rsid w:val="00D939D7"/>
    <w:rsid w:val="00D93D47"/>
    <w:rsid w:val="00D93F53"/>
    <w:rsid w:val="00D93FD4"/>
    <w:rsid w:val="00D945A0"/>
    <w:rsid w:val="00D9466B"/>
    <w:rsid w:val="00D9488D"/>
    <w:rsid w:val="00D948AF"/>
    <w:rsid w:val="00D948B2"/>
    <w:rsid w:val="00D948BD"/>
    <w:rsid w:val="00D949A2"/>
    <w:rsid w:val="00D94AFA"/>
    <w:rsid w:val="00D94C4D"/>
    <w:rsid w:val="00D94E55"/>
    <w:rsid w:val="00D94E67"/>
    <w:rsid w:val="00D94F48"/>
    <w:rsid w:val="00D950B9"/>
    <w:rsid w:val="00D950F3"/>
    <w:rsid w:val="00D951AD"/>
    <w:rsid w:val="00D951B8"/>
    <w:rsid w:val="00D951D2"/>
    <w:rsid w:val="00D95723"/>
    <w:rsid w:val="00D95895"/>
    <w:rsid w:val="00D9594C"/>
    <w:rsid w:val="00D95A5F"/>
    <w:rsid w:val="00D95DD0"/>
    <w:rsid w:val="00D95F2B"/>
    <w:rsid w:val="00D95F91"/>
    <w:rsid w:val="00D96286"/>
    <w:rsid w:val="00D96B68"/>
    <w:rsid w:val="00D96D25"/>
    <w:rsid w:val="00D96EAC"/>
    <w:rsid w:val="00D97106"/>
    <w:rsid w:val="00D971D2"/>
    <w:rsid w:val="00D975A8"/>
    <w:rsid w:val="00D975EB"/>
    <w:rsid w:val="00D97981"/>
    <w:rsid w:val="00D97AB6"/>
    <w:rsid w:val="00DA03A4"/>
    <w:rsid w:val="00DA072E"/>
    <w:rsid w:val="00DA0744"/>
    <w:rsid w:val="00DA0C8B"/>
    <w:rsid w:val="00DA0DBB"/>
    <w:rsid w:val="00DA1104"/>
    <w:rsid w:val="00DA1333"/>
    <w:rsid w:val="00DA1661"/>
    <w:rsid w:val="00DA178C"/>
    <w:rsid w:val="00DA200D"/>
    <w:rsid w:val="00DA229B"/>
    <w:rsid w:val="00DA26A6"/>
    <w:rsid w:val="00DA26E1"/>
    <w:rsid w:val="00DA2ED9"/>
    <w:rsid w:val="00DA311B"/>
    <w:rsid w:val="00DA376D"/>
    <w:rsid w:val="00DA3CFC"/>
    <w:rsid w:val="00DA3D4F"/>
    <w:rsid w:val="00DA3DA2"/>
    <w:rsid w:val="00DA40D5"/>
    <w:rsid w:val="00DA429C"/>
    <w:rsid w:val="00DA4313"/>
    <w:rsid w:val="00DA4412"/>
    <w:rsid w:val="00DA4E93"/>
    <w:rsid w:val="00DA508E"/>
    <w:rsid w:val="00DA50D4"/>
    <w:rsid w:val="00DA52C4"/>
    <w:rsid w:val="00DA562B"/>
    <w:rsid w:val="00DA577A"/>
    <w:rsid w:val="00DA5B12"/>
    <w:rsid w:val="00DA5CCB"/>
    <w:rsid w:val="00DA5EA8"/>
    <w:rsid w:val="00DA5EBB"/>
    <w:rsid w:val="00DA5FA8"/>
    <w:rsid w:val="00DA60E2"/>
    <w:rsid w:val="00DA64C7"/>
    <w:rsid w:val="00DA66CD"/>
    <w:rsid w:val="00DA6712"/>
    <w:rsid w:val="00DA67E8"/>
    <w:rsid w:val="00DA6ADE"/>
    <w:rsid w:val="00DA6D70"/>
    <w:rsid w:val="00DA7085"/>
    <w:rsid w:val="00DA70EE"/>
    <w:rsid w:val="00DA71D6"/>
    <w:rsid w:val="00DA7243"/>
    <w:rsid w:val="00DA7447"/>
    <w:rsid w:val="00DA754F"/>
    <w:rsid w:val="00DA7D14"/>
    <w:rsid w:val="00DA7FD5"/>
    <w:rsid w:val="00DB006F"/>
    <w:rsid w:val="00DB0232"/>
    <w:rsid w:val="00DB04A2"/>
    <w:rsid w:val="00DB05BC"/>
    <w:rsid w:val="00DB0611"/>
    <w:rsid w:val="00DB0654"/>
    <w:rsid w:val="00DB068B"/>
    <w:rsid w:val="00DB083C"/>
    <w:rsid w:val="00DB083E"/>
    <w:rsid w:val="00DB09B9"/>
    <w:rsid w:val="00DB0A07"/>
    <w:rsid w:val="00DB0A4C"/>
    <w:rsid w:val="00DB0C05"/>
    <w:rsid w:val="00DB0E86"/>
    <w:rsid w:val="00DB10E2"/>
    <w:rsid w:val="00DB128A"/>
    <w:rsid w:val="00DB14F3"/>
    <w:rsid w:val="00DB1535"/>
    <w:rsid w:val="00DB16D7"/>
    <w:rsid w:val="00DB1745"/>
    <w:rsid w:val="00DB18C1"/>
    <w:rsid w:val="00DB19AF"/>
    <w:rsid w:val="00DB1A1B"/>
    <w:rsid w:val="00DB1B6D"/>
    <w:rsid w:val="00DB1E98"/>
    <w:rsid w:val="00DB23A8"/>
    <w:rsid w:val="00DB2B6B"/>
    <w:rsid w:val="00DB2D1C"/>
    <w:rsid w:val="00DB2D47"/>
    <w:rsid w:val="00DB2EE1"/>
    <w:rsid w:val="00DB3183"/>
    <w:rsid w:val="00DB3542"/>
    <w:rsid w:val="00DB3737"/>
    <w:rsid w:val="00DB3808"/>
    <w:rsid w:val="00DB3C9E"/>
    <w:rsid w:val="00DB3CC1"/>
    <w:rsid w:val="00DB3EE0"/>
    <w:rsid w:val="00DB3F6C"/>
    <w:rsid w:val="00DB4106"/>
    <w:rsid w:val="00DB4261"/>
    <w:rsid w:val="00DB4481"/>
    <w:rsid w:val="00DB44E2"/>
    <w:rsid w:val="00DB482E"/>
    <w:rsid w:val="00DB4DDF"/>
    <w:rsid w:val="00DB4F01"/>
    <w:rsid w:val="00DB5083"/>
    <w:rsid w:val="00DB51F3"/>
    <w:rsid w:val="00DB5266"/>
    <w:rsid w:val="00DB5680"/>
    <w:rsid w:val="00DB5699"/>
    <w:rsid w:val="00DB58B5"/>
    <w:rsid w:val="00DB59D0"/>
    <w:rsid w:val="00DB5C0D"/>
    <w:rsid w:val="00DB5C86"/>
    <w:rsid w:val="00DB5EB1"/>
    <w:rsid w:val="00DB6118"/>
    <w:rsid w:val="00DB66D6"/>
    <w:rsid w:val="00DB67F7"/>
    <w:rsid w:val="00DB6883"/>
    <w:rsid w:val="00DB6AE1"/>
    <w:rsid w:val="00DB6B3D"/>
    <w:rsid w:val="00DB6CBF"/>
    <w:rsid w:val="00DB6DC4"/>
    <w:rsid w:val="00DB7182"/>
    <w:rsid w:val="00DB7501"/>
    <w:rsid w:val="00DB7577"/>
    <w:rsid w:val="00DB7624"/>
    <w:rsid w:val="00DB76EB"/>
    <w:rsid w:val="00DB7C1C"/>
    <w:rsid w:val="00DB7C3C"/>
    <w:rsid w:val="00DB7C81"/>
    <w:rsid w:val="00DC00BC"/>
    <w:rsid w:val="00DC0113"/>
    <w:rsid w:val="00DC03BD"/>
    <w:rsid w:val="00DC0544"/>
    <w:rsid w:val="00DC0670"/>
    <w:rsid w:val="00DC0708"/>
    <w:rsid w:val="00DC09B8"/>
    <w:rsid w:val="00DC0ACB"/>
    <w:rsid w:val="00DC0AF6"/>
    <w:rsid w:val="00DC0BFA"/>
    <w:rsid w:val="00DC0E60"/>
    <w:rsid w:val="00DC1086"/>
    <w:rsid w:val="00DC120C"/>
    <w:rsid w:val="00DC199B"/>
    <w:rsid w:val="00DC22A0"/>
    <w:rsid w:val="00DC236B"/>
    <w:rsid w:val="00DC28A2"/>
    <w:rsid w:val="00DC29E2"/>
    <w:rsid w:val="00DC323E"/>
    <w:rsid w:val="00DC364D"/>
    <w:rsid w:val="00DC373E"/>
    <w:rsid w:val="00DC397B"/>
    <w:rsid w:val="00DC3BC9"/>
    <w:rsid w:val="00DC3C4A"/>
    <w:rsid w:val="00DC415D"/>
    <w:rsid w:val="00DC46F7"/>
    <w:rsid w:val="00DC4960"/>
    <w:rsid w:val="00DC4DAC"/>
    <w:rsid w:val="00DC4E26"/>
    <w:rsid w:val="00DC4F04"/>
    <w:rsid w:val="00DC5145"/>
    <w:rsid w:val="00DC5198"/>
    <w:rsid w:val="00DC530A"/>
    <w:rsid w:val="00DC5415"/>
    <w:rsid w:val="00DC5AFD"/>
    <w:rsid w:val="00DC5B04"/>
    <w:rsid w:val="00DC5F32"/>
    <w:rsid w:val="00DC60C6"/>
    <w:rsid w:val="00DC6241"/>
    <w:rsid w:val="00DC6530"/>
    <w:rsid w:val="00DC6588"/>
    <w:rsid w:val="00DC6816"/>
    <w:rsid w:val="00DC6898"/>
    <w:rsid w:val="00DC6D1F"/>
    <w:rsid w:val="00DC6D78"/>
    <w:rsid w:val="00DC6FFB"/>
    <w:rsid w:val="00DC7027"/>
    <w:rsid w:val="00DC7B00"/>
    <w:rsid w:val="00DC7D1C"/>
    <w:rsid w:val="00DC7EB8"/>
    <w:rsid w:val="00DD01B9"/>
    <w:rsid w:val="00DD01F1"/>
    <w:rsid w:val="00DD027F"/>
    <w:rsid w:val="00DD0954"/>
    <w:rsid w:val="00DD0A86"/>
    <w:rsid w:val="00DD0CAE"/>
    <w:rsid w:val="00DD0EEE"/>
    <w:rsid w:val="00DD1004"/>
    <w:rsid w:val="00DD1151"/>
    <w:rsid w:val="00DD1197"/>
    <w:rsid w:val="00DD1796"/>
    <w:rsid w:val="00DD17FF"/>
    <w:rsid w:val="00DD196D"/>
    <w:rsid w:val="00DD1970"/>
    <w:rsid w:val="00DD1E3A"/>
    <w:rsid w:val="00DD1E90"/>
    <w:rsid w:val="00DD232D"/>
    <w:rsid w:val="00DD2556"/>
    <w:rsid w:val="00DD2880"/>
    <w:rsid w:val="00DD289A"/>
    <w:rsid w:val="00DD28B8"/>
    <w:rsid w:val="00DD2917"/>
    <w:rsid w:val="00DD2D9D"/>
    <w:rsid w:val="00DD3079"/>
    <w:rsid w:val="00DD3087"/>
    <w:rsid w:val="00DD36F6"/>
    <w:rsid w:val="00DD3C1A"/>
    <w:rsid w:val="00DD3C9A"/>
    <w:rsid w:val="00DD3CEA"/>
    <w:rsid w:val="00DD4154"/>
    <w:rsid w:val="00DD4459"/>
    <w:rsid w:val="00DD475E"/>
    <w:rsid w:val="00DD479A"/>
    <w:rsid w:val="00DD4FB8"/>
    <w:rsid w:val="00DD52F9"/>
    <w:rsid w:val="00DD53A8"/>
    <w:rsid w:val="00DD58B1"/>
    <w:rsid w:val="00DD5CDA"/>
    <w:rsid w:val="00DD5DD4"/>
    <w:rsid w:val="00DD6424"/>
    <w:rsid w:val="00DD701D"/>
    <w:rsid w:val="00DD732C"/>
    <w:rsid w:val="00DD751C"/>
    <w:rsid w:val="00DD7747"/>
    <w:rsid w:val="00DD79A1"/>
    <w:rsid w:val="00DD7BEA"/>
    <w:rsid w:val="00DE0351"/>
    <w:rsid w:val="00DE06D3"/>
    <w:rsid w:val="00DE07AF"/>
    <w:rsid w:val="00DE084D"/>
    <w:rsid w:val="00DE08A5"/>
    <w:rsid w:val="00DE0BAA"/>
    <w:rsid w:val="00DE0C6C"/>
    <w:rsid w:val="00DE0C95"/>
    <w:rsid w:val="00DE0CDF"/>
    <w:rsid w:val="00DE0EB1"/>
    <w:rsid w:val="00DE120A"/>
    <w:rsid w:val="00DE17F7"/>
    <w:rsid w:val="00DE1A17"/>
    <w:rsid w:val="00DE1EAD"/>
    <w:rsid w:val="00DE2029"/>
    <w:rsid w:val="00DE2493"/>
    <w:rsid w:val="00DE24D3"/>
    <w:rsid w:val="00DE2FB5"/>
    <w:rsid w:val="00DE3101"/>
    <w:rsid w:val="00DE32D1"/>
    <w:rsid w:val="00DE38A7"/>
    <w:rsid w:val="00DE391B"/>
    <w:rsid w:val="00DE3C7F"/>
    <w:rsid w:val="00DE3CA8"/>
    <w:rsid w:val="00DE3CEF"/>
    <w:rsid w:val="00DE3E56"/>
    <w:rsid w:val="00DE4194"/>
    <w:rsid w:val="00DE4A23"/>
    <w:rsid w:val="00DE4C6A"/>
    <w:rsid w:val="00DE4CE4"/>
    <w:rsid w:val="00DE51FD"/>
    <w:rsid w:val="00DE5501"/>
    <w:rsid w:val="00DE561E"/>
    <w:rsid w:val="00DE5709"/>
    <w:rsid w:val="00DE573C"/>
    <w:rsid w:val="00DE5886"/>
    <w:rsid w:val="00DE5906"/>
    <w:rsid w:val="00DE5A28"/>
    <w:rsid w:val="00DE5D91"/>
    <w:rsid w:val="00DE5E08"/>
    <w:rsid w:val="00DE6039"/>
    <w:rsid w:val="00DE65AD"/>
    <w:rsid w:val="00DE68D7"/>
    <w:rsid w:val="00DE6A09"/>
    <w:rsid w:val="00DE6E74"/>
    <w:rsid w:val="00DE6F88"/>
    <w:rsid w:val="00DE7094"/>
    <w:rsid w:val="00DE70BE"/>
    <w:rsid w:val="00DE75A3"/>
    <w:rsid w:val="00DE782D"/>
    <w:rsid w:val="00DE7905"/>
    <w:rsid w:val="00DE7B2B"/>
    <w:rsid w:val="00DE7DB7"/>
    <w:rsid w:val="00DF01CC"/>
    <w:rsid w:val="00DF089C"/>
    <w:rsid w:val="00DF0D4E"/>
    <w:rsid w:val="00DF13DF"/>
    <w:rsid w:val="00DF15F7"/>
    <w:rsid w:val="00DF17D6"/>
    <w:rsid w:val="00DF2438"/>
    <w:rsid w:val="00DF28CD"/>
    <w:rsid w:val="00DF2DE5"/>
    <w:rsid w:val="00DF3363"/>
    <w:rsid w:val="00DF34E2"/>
    <w:rsid w:val="00DF35B9"/>
    <w:rsid w:val="00DF372B"/>
    <w:rsid w:val="00DF376B"/>
    <w:rsid w:val="00DF3A3F"/>
    <w:rsid w:val="00DF3D4F"/>
    <w:rsid w:val="00DF4016"/>
    <w:rsid w:val="00DF43DA"/>
    <w:rsid w:val="00DF4610"/>
    <w:rsid w:val="00DF4933"/>
    <w:rsid w:val="00DF4A03"/>
    <w:rsid w:val="00DF4AD0"/>
    <w:rsid w:val="00DF4E0A"/>
    <w:rsid w:val="00DF5504"/>
    <w:rsid w:val="00DF5615"/>
    <w:rsid w:val="00DF68D9"/>
    <w:rsid w:val="00DF6AC5"/>
    <w:rsid w:val="00DF6CEF"/>
    <w:rsid w:val="00DF6D10"/>
    <w:rsid w:val="00DF7029"/>
    <w:rsid w:val="00DF7133"/>
    <w:rsid w:val="00DF7191"/>
    <w:rsid w:val="00DF71CC"/>
    <w:rsid w:val="00DF7508"/>
    <w:rsid w:val="00DF75FF"/>
    <w:rsid w:val="00DF777D"/>
    <w:rsid w:val="00DF77E6"/>
    <w:rsid w:val="00DF7933"/>
    <w:rsid w:val="00DF7C3D"/>
    <w:rsid w:val="00DF7F4D"/>
    <w:rsid w:val="00E003A6"/>
    <w:rsid w:val="00E004A2"/>
    <w:rsid w:val="00E00BFD"/>
    <w:rsid w:val="00E016A0"/>
    <w:rsid w:val="00E01840"/>
    <w:rsid w:val="00E0198D"/>
    <w:rsid w:val="00E01A14"/>
    <w:rsid w:val="00E01C6A"/>
    <w:rsid w:val="00E02066"/>
    <w:rsid w:val="00E02124"/>
    <w:rsid w:val="00E0217F"/>
    <w:rsid w:val="00E02502"/>
    <w:rsid w:val="00E029E6"/>
    <w:rsid w:val="00E02BD1"/>
    <w:rsid w:val="00E02C3D"/>
    <w:rsid w:val="00E02D85"/>
    <w:rsid w:val="00E02D93"/>
    <w:rsid w:val="00E02E21"/>
    <w:rsid w:val="00E02ECF"/>
    <w:rsid w:val="00E030C0"/>
    <w:rsid w:val="00E031A5"/>
    <w:rsid w:val="00E031F1"/>
    <w:rsid w:val="00E03218"/>
    <w:rsid w:val="00E037ED"/>
    <w:rsid w:val="00E03A4E"/>
    <w:rsid w:val="00E03FA8"/>
    <w:rsid w:val="00E041EA"/>
    <w:rsid w:val="00E043D4"/>
    <w:rsid w:val="00E04505"/>
    <w:rsid w:val="00E045F4"/>
    <w:rsid w:val="00E045FE"/>
    <w:rsid w:val="00E04605"/>
    <w:rsid w:val="00E047EF"/>
    <w:rsid w:val="00E049A4"/>
    <w:rsid w:val="00E04E1D"/>
    <w:rsid w:val="00E04EB2"/>
    <w:rsid w:val="00E051B4"/>
    <w:rsid w:val="00E051D0"/>
    <w:rsid w:val="00E05460"/>
    <w:rsid w:val="00E05641"/>
    <w:rsid w:val="00E05715"/>
    <w:rsid w:val="00E05754"/>
    <w:rsid w:val="00E05755"/>
    <w:rsid w:val="00E059C6"/>
    <w:rsid w:val="00E05A7A"/>
    <w:rsid w:val="00E05C5B"/>
    <w:rsid w:val="00E060EC"/>
    <w:rsid w:val="00E06123"/>
    <w:rsid w:val="00E06236"/>
    <w:rsid w:val="00E06290"/>
    <w:rsid w:val="00E06456"/>
    <w:rsid w:val="00E066B8"/>
    <w:rsid w:val="00E0689D"/>
    <w:rsid w:val="00E06931"/>
    <w:rsid w:val="00E06DB3"/>
    <w:rsid w:val="00E06EF5"/>
    <w:rsid w:val="00E07B97"/>
    <w:rsid w:val="00E101AB"/>
    <w:rsid w:val="00E1028B"/>
    <w:rsid w:val="00E103E1"/>
    <w:rsid w:val="00E104FC"/>
    <w:rsid w:val="00E1061A"/>
    <w:rsid w:val="00E10851"/>
    <w:rsid w:val="00E10876"/>
    <w:rsid w:val="00E1112F"/>
    <w:rsid w:val="00E11256"/>
    <w:rsid w:val="00E1199C"/>
    <w:rsid w:val="00E11CE9"/>
    <w:rsid w:val="00E11CF5"/>
    <w:rsid w:val="00E125A6"/>
    <w:rsid w:val="00E12838"/>
    <w:rsid w:val="00E12BD3"/>
    <w:rsid w:val="00E12F3A"/>
    <w:rsid w:val="00E130DB"/>
    <w:rsid w:val="00E13376"/>
    <w:rsid w:val="00E13460"/>
    <w:rsid w:val="00E134F0"/>
    <w:rsid w:val="00E134F5"/>
    <w:rsid w:val="00E137BA"/>
    <w:rsid w:val="00E1425A"/>
    <w:rsid w:val="00E1483F"/>
    <w:rsid w:val="00E14A52"/>
    <w:rsid w:val="00E14BD3"/>
    <w:rsid w:val="00E14C38"/>
    <w:rsid w:val="00E15256"/>
    <w:rsid w:val="00E1534D"/>
    <w:rsid w:val="00E153F3"/>
    <w:rsid w:val="00E155F8"/>
    <w:rsid w:val="00E159E4"/>
    <w:rsid w:val="00E15A7F"/>
    <w:rsid w:val="00E15E98"/>
    <w:rsid w:val="00E15ECB"/>
    <w:rsid w:val="00E1600C"/>
    <w:rsid w:val="00E16573"/>
    <w:rsid w:val="00E16930"/>
    <w:rsid w:val="00E1730D"/>
    <w:rsid w:val="00E17668"/>
    <w:rsid w:val="00E176AA"/>
    <w:rsid w:val="00E20188"/>
    <w:rsid w:val="00E20217"/>
    <w:rsid w:val="00E203C1"/>
    <w:rsid w:val="00E2058B"/>
    <w:rsid w:val="00E2069F"/>
    <w:rsid w:val="00E207E7"/>
    <w:rsid w:val="00E20B01"/>
    <w:rsid w:val="00E20CE0"/>
    <w:rsid w:val="00E20CFB"/>
    <w:rsid w:val="00E21470"/>
    <w:rsid w:val="00E21796"/>
    <w:rsid w:val="00E21924"/>
    <w:rsid w:val="00E219B6"/>
    <w:rsid w:val="00E21E7D"/>
    <w:rsid w:val="00E21F5D"/>
    <w:rsid w:val="00E224C0"/>
    <w:rsid w:val="00E22749"/>
    <w:rsid w:val="00E22879"/>
    <w:rsid w:val="00E22CF4"/>
    <w:rsid w:val="00E23206"/>
    <w:rsid w:val="00E232FD"/>
    <w:rsid w:val="00E235B3"/>
    <w:rsid w:val="00E236B3"/>
    <w:rsid w:val="00E23921"/>
    <w:rsid w:val="00E23E2C"/>
    <w:rsid w:val="00E23FA4"/>
    <w:rsid w:val="00E241AF"/>
    <w:rsid w:val="00E241B7"/>
    <w:rsid w:val="00E2421D"/>
    <w:rsid w:val="00E24574"/>
    <w:rsid w:val="00E245BF"/>
    <w:rsid w:val="00E24A4C"/>
    <w:rsid w:val="00E24C91"/>
    <w:rsid w:val="00E24E36"/>
    <w:rsid w:val="00E2501A"/>
    <w:rsid w:val="00E25311"/>
    <w:rsid w:val="00E25812"/>
    <w:rsid w:val="00E25962"/>
    <w:rsid w:val="00E25C24"/>
    <w:rsid w:val="00E25D13"/>
    <w:rsid w:val="00E25E69"/>
    <w:rsid w:val="00E25FC2"/>
    <w:rsid w:val="00E26106"/>
    <w:rsid w:val="00E26409"/>
    <w:rsid w:val="00E2647B"/>
    <w:rsid w:val="00E264B4"/>
    <w:rsid w:val="00E26943"/>
    <w:rsid w:val="00E26947"/>
    <w:rsid w:val="00E26E62"/>
    <w:rsid w:val="00E26E6D"/>
    <w:rsid w:val="00E26EF8"/>
    <w:rsid w:val="00E26FE6"/>
    <w:rsid w:val="00E2757F"/>
    <w:rsid w:val="00E2768A"/>
    <w:rsid w:val="00E277B9"/>
    <w:rsid w:val="00E27A37"/>
    <w:rsid w:val="00E27F0E"/>
    <w:rsid w:val="00E301FE"/>
    <w:rsid w:val="00E3023F"/>
    <w:rsid w:val="00E304C9"/>
    <w:rsid w:val="00E306E4"/>
    <w:rsid w:val="00E30839"/>
    <w:rsid w:val="00E3102F"/>
    <w:rsid w:val="00E310B7"/>
    <w:rsid w:val="00E3163E"/>
    <w:rsid w:val="00E31682"/>
    <w:rsid w:val="00E317B9"/>
    <w:rsid w:val="00E31C42"/>
    <w:rsid w:val="00E31C9B"/>
    <w:rsid w:val="00E31D4F"/>
    <w:rsid w:val="00E320CA"/>
    <w:rsid w:val="00E328C5"/>
    <w:rsid w:val="00E32B3D"/>
    <w:rsid w:val="00E32C54"/>
    <w:rsid w:val="00E32CA9"/>
    <w:rsid w:val="00E32DCA"/>
    <w:rsid w:val="00E32F01"/>
    <w:rsid w:val="00E330A8"/>
    <w:rsid w:val="00E3314A"/>
    <w:rsid w:val="00E33966"/>
    <w:rsid w:val="00E343DC"/>
    <w:rsid w:val="00E3447B"/>
    <w:rsid w:val="00E3464E"/>
    <w:rsid w:val="00E347A4"/>
    <w:rsid w:val="00E34C42"/>
    <w:rsid w:val="00E3515C"/>
    <w:rsid w:val="00E3541A"/>
    <w:rsid w:val="00E35507"/>
    <w:rsid w:val="00E359AA"/>
    <w:rsid w:val="00E359DF"/>
    <w:rsid w:val="00E359EE"/>
    <w:rsid w:val="00E35A03"/>
    <w:rsid w:val="00E36718"/>
    <w:rsid w:val="00E36896"/>
    <w:rsid w:val="00E369E7"/>
    <w:rsid w:val="00E369EB"/>
    <w:rsid w:val="00E369F5"/>
    <w:rsid w:val="00E36A26"/>
    <w:rsid w:val="00E36CA3"/>
    <w:rsid w:val="00E37064"/>
    <w:rsid w:val="00E370BF"/>
    <w:rsid w:val="00E375F1"/>
    <w:rsid w:val="00E37692"/>
    <w:rsid w:val="00E37911"/>
    <w:rsid w:val="00E37AEE"/>
    <w:rsid w:val="00E403D9"/>
    <w:rsid w:val="00E40949"/>
    <w:rsid w:val="00E41117"/>
    <w:rsid w:val="00E416D7"/>
    <w:rsid w:val="00E42389"/>
    <w:rsid w:val="00E423B4"/>
    <w:rsid w:val="00E423FD"/>
    <w:rsid w:val="00E4298B"/>
    <w:rsid w:val="00E42F22"/>
    <w:rsid w:val="00E43207"/>
    <w:rsid w:val="00E43299"/>
    <w:rsid w:val="00E43AD4"/>
    <w:rsid w:val="00E43F24"/>
    <w:rsid w:val="00E446B2"/>
    <w:rsid w:val="00E44A16"/>
    <w:rsid w:val="00E44B34"/>
    <w:rsid w:val="00E44ED5"/>
    <w:rsid w:val="00E4509E"/>
    <w:rsid w:val="00E4513B"/>
    <w:rsid w:val="00E4529C"/>
    <w:rsid w:val="00E453F1"/>
    <w:rsid w:val="00E45CB9"/>
    <w:rsid w:val="00E46496"/>
    <w:rsid w:val="00E467EA"/>
    <w:rsid w:val="00E46D97"/>
    <w:rsid w:val="00E475B3"/>
    <w:rsid w:val="00E47B9A"/>
    <w:rsid w:val="00E47C03"/>
    <w:rsid w:val="00E47C96"/>
    <w:rsid w:val="00E47DAA"/>
    <w:rsid w:val="00E501C0"/>
    <w:rsid w:val="00E501C3"/>
    <w:rsid w:val="00E503FA"/>
    <w:rsid w:val="00E509E9"/>
    <w:rsid w:val="00E50D3B"/>
    <w:rsid w:val="00E517B3"/>
    <w:rsid w:val="00E51CFD"/>
    <w:rsid w:val="00E51E14"/>
    <w:rsid w:val="00E51F38"/>
    <w:rsid w:val="00E523F2"/>
    <w:rsid w:val="00E52511"/>
    <w:rsid w:val="00E52990"/>
    <w:rsid w:val="00E529BA"/>
    <w:rsid w:val="00E52B45"/>
    <w:rsid w:val="00E52BBE"/>
    <w:rsid w:val="00E52CCC"/>
    <w:rsid w:val="00E53444"/>
    <w:rsid w:val="00E534F6"/>
    <w:rsid w:val="00E538C1"/>
    <w:rsid w:val="00E53913"/>
    <w:rsid w:val="00E53915"/>
    <w:rsid w:val="00E53A1F"/>
    <w:rsid w:val="00E53B22"/>
    <w:rsid w:val="00E53BF8"/>
    <w:rsid w:val="00E53C81"/>
    <w:rsid w:val="00E53ED6"/>
    <w:rsid w:val="00E54496"/>
    <w:rsid w:val="00E5463F"/>
    <w:rsid w:val="00E547D2"/>
    <w:rsid w:val="00E5497F"/>
    <w:rsid w:val="00E54C4F"/>
    <w:rsid w:val="00E54D45"/>
    <w:rsid w:val="00E54E27"/>
    <w:rsid w:val="00E5531A"/>
    <w:rsid w:val="00E55489"/>
    <w:rsid w:val="00E55811"/>
    <w:rsid w:val="00E55C6A"/>
    <w:rsid w:val="00E56280"/>
    <w:rsid w:val="00E567A5"/>
    <w:rsid w:val="00E568A5"/>
    <w:rsid w:val="00E56C34"/>
    <w:rsid w:val="00E5759D"/>
    <w:rsid w:val="00E579E4"/>
    <w:rsid w:val="00E57D6A"/>
    <w:rsid w:val="00E57DC3"/>
    <w:rsid w:val="00E57EFE"/>
    <w:rsid w:val="00E605CC"/>
    <w:rsid w:val="00E605D3"/>
    <w:rsid w:val="00E6071C"/>
    <w:rsid w:val="00E60912"/>
    <w:rsid w:val="00E60C37"/>
    <w:rsid w:val="00E613EB"/>
    <w:rsid w:val="00E614C3"/>
    <w:rsid w:val="00E61636"/>
    <w:rsid w:val="00E61BF7"/>
    <w:rsid w:val="00E61CAC"/>
    <w:rsid w:val="00E620FD"/>
    <w:rsid w:val="00E628C5"/>
    <w:rsid w:val="00E629C8"/>
    <w:rsid w:val="00E6350A"/>
    <w:rsid w:val="00E63522"/>
    <w:rsid w:val="00E635E9"/>
    <w:rsid w:val="00E63729"/>
    <w:rsid w:val="00E63731"/>
    <w:rsid w:val="00E63767"/>
    <w:rsid w:val="00E6381A"/>
    <w:rsid w:val="00E63988"/>
    <w:rsid w:val="00E639A8"/>
    <w:rsid w:val="00E63C5B"/>
    <w:rsid w:val="00E63CEB"/>
    <w:rsid w:val="00E63EAA"/>
    <w:rsid w:val="00E63F9A"/>
    <w:rsid w:val="00E64382"/>
    <w:rsid w:val="00E644DC"/>
    <w:rsid w:val="00E6456D"/>
    <w:rsid w:val="00E64A05"/>
    <w:rsid w:val="00E64BBF"/>
    <w:rsid w:val="00E64E91"/>
    <w:rsid w:val="00E6507E"/>
    <w:rsid w:val="00E650C2"/>
    <w:rsid w:val="00E654A2"/>
    <w:rsid w:val="00E65756"/>
    <w:rsid w:val="00E65DCB"/>
    <w:rsid w:val="00E6676C"/>
    <w:rsid w:val="00E66791"/>
    <w:rsid w:val="00E668C8"/>
    <w:rsid w:val="00E66998"/>
    <w:rsid w:val="00E6709B"/>
    <w:rsid w:val="00E67E23"/>
    <w:rsid w:val="00E70006"/>
    <w:rsid w:val="00E700E7"/>
    <w:rsid w:val="00E7025B"/>
    <w:rsid w:val="00E704ED"/>
    <w:rsid w:val="00E7073F"/>
    <w:rsid w:val="00E7105C"/>
    <w:rsid w:val="00E7140D"/>
    <w:rsid w:val="00E71759"/>
    <w:rsid w:val="00E717F9"/>
    <w:rsid w:val="00E7215D"/>
    <w:rsid w:val="00E724A1"/>
    <w:rsid w:val="00E725DE"/>
    <w:rsid w:val="00E7267D"/>
    <w:rsid w:val="00E72CF8"/>
    <w:rsid w:val="00E72EF8"/>
    <w:rsid w:val="00E7303E"/>
    <w:rsid w:val="00E7384D"/>
    <w:rsid w:val="00E738B3"/>
    <w:rsid w:val="00E73A7E"/>
    <w:rsid w:val="00E73C7D"/>
    <w:rsid w:val="00E73EC1"/>
    <w:rsid w:val="00E73FA5"/>
    <w:rsid w:val="00E74041"/>
    <w:rsid w:val="00E742AF"/>
    <w:rsid w:val="00E742FC"/>
    <w:rsid w:val="00E74756"/>
    <w:rsid w:val="00E749EB"/>
    <w:rsid w:val="00E74A8D"/>
    <w:rsid w:val="00E74BAD"/>
    <w:rsid w:val="00E74C15"/>
    <w:rsid w:val="00E74EF7"/>
    <w:rsid w:val="00E75287"/>
    <w:rsid w:val="00E752DA"/>
    <w:rsid w:val="00E754AD"/>
    <w:rsid w:val="00E75580"/>
    <w:rsid w:val="00E75598"/>
    <w:rsid w:val="00E75ABE"/>
    <w:rsid w:val="00E76045"/>
    <w:rsid w:val="00E76072"/>
    <w:rsid w:val="00E76202"/>
    <w:rsid w:val="00E76378"/>
    <w:rsid w:val="00E76716"/>
    <w:rsid w:val="00E76767"/>
    <w:rsid w:val="00E76D46"/>
    <w:rsid w:val="00E7746E"/>
    <w:rsid w:val="00E776C2"/>
    <w:rsid w:val="00E80024"/>
    <w:rsid w:val="00E800AC"/>
    <w:rsid w:val="00E8015E"/>
    <w:rsid w:val="00E804B0"/>
    <w:rsid w:val="00E809A4"/>
    <w:rsid w:val="00E811EE"/>
    <w:rsid w:val="00E81408"/>
    <w:rsid w:val="00E8154B"/>
    <w:rsid w:val="00E817E4"/>
    <w:rsid w:val="00E8189D"/>
    <w:rsid w:val="00E81993"/>
    <w:rsid w:val="00E81C3A"/>
    <w:rsid w:val="00E81D13"/>
    <w:rsid w:val="00E81E28"/>
    <w:rsid w:val="00E81EFD"/>
    <w:rsid w:val="00E820F7"/>
    <w:rsid w:val="00E8237A"/>
    <w:rsid w:val="00E82892"/>
    <w:rsid w:val="00E829CF"/>
    <w:rsid w:val="00E82D1E"/>
    <w:rsid w:val="00E82ECA"/>
    <w:rsid w:val="00E83095"/>
    <w:rsid w:val="00E832ED"/>
    <w:rsid w:val="00E833B8"/>
    <w:rsid w:val="00E838D9"/>
    <w:rsid w:val="00E83DD9"/>
    <w:rsid w:val="00E83E49"/>
    <w:rsid w:val="00E84381"/>
    <w:rsid w:val="00E843D6"/>
    <w:rsid w:val="00E8464A"/>
    <w:rsid w:val="00E849D9"/>
    <w:rsid w:val="00E84C74"/>
    <w:rsid w:val="00E84D37"/>
    <w:rsid w:val="00E85345"/>
    <w:rsid w:val="00E8539C"/>
    <w:rsid w:val="00E857D5"/>
    <w:rsid w:val="00E85827"/>
    <w:rsid w:val="00E85E6C"/>
    <w:rsid w:val="00E86045"/>
    <w:rsid w:val="00E863D9"/>
    <w:rsid w:val="00E8646A"/>
    <w:rsid w:val="00E864C1"/>
    <w:rsid w:val="00E866DC"/>
    <w:rsid w:val="00E86789"/>
    <w:rsid w:val="00E86817"/>
    <w:rsid w:val="00E8695C"/>
    <w:rsid w:val="00E86B3D"/>
    <w:rsid w:val="00E86BA6"/>
    <w:rsid w:val="00E86C27"/>
    <w:rsid w:val="00E87063"/>
    <w:rsid w:val="00E872AD"/>
    <w:rsid w:val="00E878D6"/>
    <w:rsid w:val="00E87C4E"/>
    <w:rsid w:val="00E87D6F"/>
    <w:rsid w:val="00E87E0D"/>
    <w:rsid w:val="00E90434"/>
    <w:rsid w:val="00E904B5"/>
    <w:rsid w:val="00E90656"/>
    <w:rsid w:val="00E90858"/>
    <w:rsid w:val="00E90F1F"/>
    <w:rsid w:val="00E913FE"/>
    <w:rsid w:val="00E914B7"/>
    <w:rsid w:val="00E916F2"/>
    <w:rsid w:val="00E91B13"/>
    <w:rsid w:val="00E91E3A"/>
    <w:rsid w:val="00E927AB"/>
    <w:rsid w:val="00E92AD8"/>
    <w:rsid w:val="00E92FF0"/>
    <w:rsid w:val="00E93494"/>
    <w:rsid w:val="00E936A3"/>
    <w:rsid w:val="00E938B5"/>
    <w:rsid w:val="00E93AF9"/>
    <w:rsid w:val="00E93B81"/>
    <w:rsid w:val="00E9427A"/>
    <w:rsid w:val="00E94A29"/>
    <w:rsid w:val="00E94C35"/>
    <w:rsid w:val="00E955AD"/>
    <w:rsid w:val="00E9590F"/>
    <w:rsid w:val="00E9594B"/>
    <w:rsid w:val="00E95A23"/>
    <w:rsid w:val="00E9625E"/>
    <w:rsid w:val="00E96A66"/>
    <w:rsid w:val="00E97083"/>
    <w:rsid w:val="00E9766F"/>
    <w:rsid w:val="00E977E1"/>
    <w:rsid w:val="00E97C53"/>
    <w:rsid w:val="00E97D77"/>
    <w:rsid w:val="00EA0067"/>
    <w:rsid w:val="00EA0432"/>
    <w:rsid w:val="00EA0498"/>
    <w:rsid w:val="00EA0C58"/>
    <w:rsid w:val="00EA11A7"/>
    <w:rsid w:val="00EA128D"/>
    <w:rsid w:val="00EA157D"/>
    <w:rsid w:val="00EA15A9"/>
    <w:rsid w:val="00EA1613"/>
    <w:rsid w:val="00EA17C0"/>
    <w:rsid w:val="00EA187E"/>
    <w:rsid w:val="00EA1BDE"/>
    <w:rsid w:val="00EA1E85"/>
    <w:rsid w:val="00EA1FF7"/>
    <w:rsid w:val="00EA28F7"/>
    <w:rsid w:val="00EA2FD5"/>
    <w:rsid w:val="00EA33B2"/>
    <w:rsid w:val="00EA3410"/>
    <w:rsid w:val="00EA3837"/>
    <w:rsid w:val="00EA3BC5"/>
    <w:rsid w:val="00EA3D8A"/>
    <w:rsid w:val="00EA3DD1"/>
    <w:rsid w:val="00EA407E"/>
    <w:rsid w:val="00EA42A1"/>
    <w:rsid w:val="00EA433A"/>
    <w:rsid w:val="00EA4E65"/>
    <w:rsid w:val="00EA5081"/>
    <w:rsid w:val="00EA5AB9"/>
    <w:rsid w:val="00EA6189"/>
    <w:rsid w:val="00EA68E0"/>
    <w:rsid w:val="00EA69E6"/>
    <w:rsid w:val="00EA6A43"/>
    <w:rsid w:val="00EA72DF"/>
    <w:rsid w:val="00EA7498"/>
    <w:rsid w:val="00EA7544"/>
    <w:rsid w:val="00EA7800"/>
    <w:rsid w:val="00EA7AED"/>
    <w:rsid w:val="00EA7DA8"/>
    <w:rsid w:val="00EA7FA2"/>
    <w:rsid w:val="00EB034F"/>
    <w:rsid w:val="00EB0970"/>
    <w:rsid w:val="00EB09E5"/>
    <w:rsid w:val="00EB0D32"/>
    <w:rsid w:val="00EB1005"/>
    <w:rsid w:val="00EB1027"/>
    <w:rsid w:val="00EB121F"/>
    <w:rsid w:val="00EB17A2"/>
    <w:rsid w:val="00EB18AE"/>
    <w:rsid w:val="00EB1C0D"/>
    <w:rsid w:val="00EB1CAF"/>
    <w:rsid w:val="00EB1E89"/>
    <w:rsid w:val="00EB2010"/>
    <w:rsid w:val="00EB266F"/>
    <w:rsid w:val="00EB271E"/>
    <w:rsid w:val="00EB281A"/>
    <w:rsid w:val="00EB2C0C"/>
    <w:rsid w:val="00EB2CFA"/>
    <w:rsid w:val="00EB318C"/>
    <w:rsid w:val="00EB3328"/>
    <w:rsid w:val="00EB3597"/>
    <w:rsid w:val="00EB35E1"/>
    <w:rsid w:val="00EB3A2E"/>
    <w:rsid w:val="00EB3A71"/>
    <w:rsid w:val="00EB3BEF"/>
    <w:rsid w:val="00EB3F82"/>
    <w:rsid w:val="00EB4671"/>
    <w:rsid w:val="00EB49A8"/>
    <w:rsid w:val="00EB4B88"/>
    <w:rsid w:val="00EB4C0E"/>
    <w:rsid w:val="00EB53CD"/>
    <w:rsid w:val="00EB5478"/>
    <w:rsid w:val="00EB55EC"/>
    <w:rsid w:val="00EB5709"/>
    <w:rsid w:val="00EB625E"/>
    <w:rsid w:val="00EB6365"/>
    <w:rsid w:val="00EB69B3"/>
    <w:rsid w:val="00EB69D1"/>
    <w:rsid w:val="00EB6C24"/>
    <w:rsid w:val="00EB6D48"/>
    <w:rsid w:val="00EB6D98"/>
    <w:rsid w:val="00EB7383"/>
    <w:rsid w:val="00EB74C3"/>
    <w:rsid w:val="00EB7A5E"/>
    <w:rsid w:val="00EC02FE"/>
    <w:rsid w:val="00EC0464"/>
    <w:rsid w:val="00EC0C29"/>
    <w:rsid w:val="00EC0D02"/>
    <w:rsid w:val="00EC1232"/>
    <w:rsid w:val="00EC153E"/>
    <w:rsid w:val="00EC19BF"/>
    <w:rsid w:val="00EC1BAF"/>
    <w:rsid w:val="00EC1D31"/>
    <w:rsid w:val="00EC1EDC"/>
    <w:rsid w:val="00EC2262"/>
    <w:rsid w:val="00EC2415"/>
    <w:rsid w:val="00EC27A2"/>
    <w:rsid w:val="00EC2851"/>
    <w:rsid w:val="00EC2A01"/>
    <w:rsid w:val="00EC2A07"/>
    <w:rsid w:val="00EC2D41"/>
    <w:rsid w:val="00EC2E42"/>
    <w:rsid w:val="00EC2F9D"/>
    <w:rsid w:val="00EC2FA5"/>
    <w:rsid w:val="00EC2FDD"/>
    <w:rsid w:val="00EC3030"/>
    <w:rsid w:val="00EC34FF"/>
    <w:rsid w:val="00EC3618"/>
    <w:rsid w:val="00EC37B7"/>
    <w:rsid w:val="00EC38F7"/>
    <w:rsid w:val="00EC4203"/>
    <w:rsid w:val="00EC4327"/>
    <w:rsid w:val="00EC44F3"/>
    <w:rsid w:val="00EC4D43"/>
    <w:rsid w:val="00EC4D4B"/>
    <w:rsid w:val="00EC4EE4"/>
    <w:rsid w:val="00EC52DA"/>
    <w:rsid w:val="00EC53CE"/>
    <w:rsid w:val="00EC5606"/>
    <w:rsid w:val="00EC57E5"/>
    <w:rsid w:val="00EC5911"/>
    <w:rsid w:val="00EC59F1"/>
    <w:rsid w:val="00EC5A62"/>
    <w:rsid w:val="00EC5F1E"/>
    <w:rsid w:val="00EC633D"/>
    <w:rsid w:val="00EC63C7"/>
    <w:rsid w:val="00EC64D4"/>
    <w:rsid w:val="00EC6650"/>
    <w:rsid w:val="00EC6BEB"/>
    <w:rsid w:val="00EC6E37"/>
    <w:rsid w:val="00EC6F0C"/>
    <w:rsid w:val="00EC6FAC"/>
    <w:rsid w:val="00EC7003"/>
    <w:rsid w:val="00EC78BD"/>
    <w:rsid w:val="00EC7BDE"/>
    <w:rsid w:val="00EC7C49"/>
    <w:rsid w:val="00EC7D1C"/>
    <w:rsid w:val="00EC7F3D"/>
    <w:rsid w:val="00ED0062"/>
    <w:rsid w:val="00ED0256"/>
    <w:rsid w:val="00ED04F5"/>
    <w:rsid w:val="00ED09FA"/>
    <w:rsid w:val="00ED0B5C"/>
    <w:rsid w:val="00ED0E56"/>
    <w:rsid w:val="00ED10FB"/>
    <w:rsid w:val="00ED1232"/>
    <w:rsid w:val="00ED154A"/>
    <w:rsid w:val="00ED1C10"/>
    <w:rsid w:val="00ED1C81"/>
    <w:rsid w:val="00ED1E8F"/>
    <w:rsid w:val="00ED1F27"/>
    <w:rsid w:val="00ED22CC"/>
    <w:rsid w:val="00ED23AD"/>
    <w:rsid w:val="00ED240C"/>
    <w:rsid w:val="00ED256D"/>
    <w:rsid w:val="00ED25CD"/>
    <w:rsid w:val="00ED263D"/>
    <w:rsid w:val="00ED2734"/>
    <w:rsid w:val="00ED2ACA"/>
    <w:rsid w:val="00ED2CB6"/>
    <w:rsid w:val="00ED2D24"/>
    <w:rsid w:val="00ED2E7A"/>
    <w:rsid w:val="00ED31A7"/>
    <w:rsid w:val="00ED32EF"/>
    <w:rsid w:val="00ED34F9"/>
    <w:rsid w:val="00ED3856"/>
    <w:rsid w:val="00ED386E"/>
    <w:rsid w:val="00ED3C9D"/>
    <w:rsid w:val="00ED3DB1"/>
    <w:rsid w:val="00ED3E27"/>
    <w:rsid w:val="00ED40DE"/>
    <w:rsid w:val="00ED43D9"/>
    <w:rsid w:val="00ED447A"/>
    <w:rsid w:val="00ED4626"/>
    <w:rsid w:val="00ED46C1"/>
    <w:rsid w:val="00ED498F"/>
    <w:rsid w:val="00ED4A7A"/>
    <w:rsid w:val="00ED4C3F"/>
    <w:rsid w:val="00ED4E78"/>
    <w:rsid w:val="00ED4E8B"/>
    <w:rsid w:val="00ED4EC2"/>
    <w:rsid w:val="00ED4F0B"/>
    <w:rsid w:val="00ED501A"/>
    <w:rsid w:val="00ED513F"/>
    <w:rsid w:val="00ED5187"/>
    <w:rsid w:val="00ED5624"/>
    <w:rsid w:val="00ED5881"/>
    <w:rsid w:val="00ED5C88"/>
    <w:rsid w:val="00ED5E58"/>
    <w:rsid w:val="00ED5F03"/>
    <w:rsid w:val="00ED60FC"/>
    <w:rsid w:val="00ED6249"/>
    <w:rsid w:val="00ED6456"/>
    <w:rsid w:val="00ED6E15"/>
    <w:rsid w:val="00ED6E8F"/>
    <w:rsid w:val="00ED6F49"/>
    <w:rsid w:val="00ED727A"/>
    <w:rsid w:val="00ED7494"/>
    <w:rsid w:val="00ED7809"/>
    <w:rsid w:val="00ED78E0"/>
    <w:rsid w:val="00EE025F"/>
    <w:rsid w:val="00EE02D3"/>
    <w:rsid w:val="00EE065C"/>
    <w:rsid w:val="00EE0CE7"/>
    <w:rsid w:val="00EE0CFD"/>
    <w:rsid w:val="00EE0DC8"/>
    <w:rsid w:val="00EE0DD5"/>
    <w:rsid w:val="00EE0FAF"/>
    <w:rsid w:val="00EE0FF7"/>
    <w:rsid w:val="00EE0FF9"/>
    <w:rsid w:val="00EE11DD"/>
    <w:rsid w:val="00EE139B"/>
    <w:rsid w:val="00EE1543"/>
    <w:rsid w:val="00EE15F4"/>
    <w:rsid w:val="00EE19F2"/>
    <w:rsid w:val="00EE1C77"/>
    <w:rsid w:val="00EE1D4D"/>
    <w:rsid w:val="00EE216E"/>
    <w:rsid w:val="00EE241E"/>
    <w:rsid w:val="00EE253E"/>
    <w:rsid w:val="00EE2B4B"/>
    <w:rsid w:val="00EE2C66"/>
    <w:rsid w:val="00EE32C5"/>
    <w:rsid w:val="00EE3305"/>
    <w:rsid w:val="00EE3523"/>
    <w:rsid w:val="00EE363A"/>
    <w:rsid w:val="00EE3DDC"/>
    <w:rsid w:val="00EE42FE"/>
    <w:rsid w:val="00EE4368"/>
    <w:rsid w:val="00EE45D2"/>
    <w:rsid w:val="00EE4627"/>
    <w:rsid w:val="00EE4669"/>
    <w:rsid w:val="00EE4B46"/>
    <w:rsid w:val="00EE4B6A"/>
    <w:rsid w:val="00EE4E85"/>
    <w:rsid w:val="00EE5132"/>
    <w:rsid w:val="00EE51CF"/>
    <w:rsid w:val="00EE52E5"/>
    <w:rsid w:val="00EE53A8"/>
    <w:rsid w:val="00EE5B05"/>
    <w:rsid w:val="00EE5CDA"/>
    <w:rsid w:val="00EE5EA4"/>
    <w:rsid w:val="00EE6367"/>
    <w:rsid w:val="00EE64A2"/>
    <w:rsid w:val="00EE64C6"/>
    <w:rsid w:val="00EE6520"/>
    <w:rsid w:val="00EE6A18"/>
    <w:rsid w:val="00EE6EC4"/>
    <w:rsid w:val="00EE6F18"/>
    <w:rsid w:val="00EE6F8D"/>
    <w:rsid w:val="00EE7262"/>
    <w:rsid w:val="00EE72F2"/>
    <w:rsid w:val="00EE79E8"/>
    <w:rsid w:val="00EE7EB7"/>
    <w:rsid w:val="00EF0016"/>
    <w:rsid w:val="00EF00F2"/>
    <w:rsid w:val="00EF02EB"/>
    <w:rsid w:val="00EF075C"/>
    <w:rsid w:val="00EF0802"/>
    <w:rsid w:val="00EF09DF"/>
    <w:rsid w:val="00EF0AFE"/>
    <w:rsid w:val="00EF0B3D"/>
    <w:rsid w:val="00EF0B43"/>
    <w:rsid w:val="00EF0C85"/>
    <w:rsid w:val="00EF0F6B"/>
    <w:rsid w:val="00EF10AA"/>
    <w:rsid w:val="00EF11AB"/>
    <w:rsid w:val="00EF11C3"/>
    <w:rsid w:val="00EF1362"/>
    <w:rsid w:val="00EF1772"/>
    <w:rsid w:val="00EF1896"/>
    <w:rsid w:val="00EF19AD"/>
    <w:rsid w:val="00EF1F84"/>
    <w:rsid w:val="00EF225B"/>
    <w:rsid w:val="00EF243F"/>
    <w:rsid w:val="00EF25E3"/>
    <w:rsid w:val="00EF262D"/>
    <w:rsid w:val="00EF273D"/>
    <w:rsid w:val="00EF30AB"/>
    <w:rsid w:val="00EF32C3"/>
    <w:rsid w:val="00EF3A97"/>
    <w:rsid w:val="00EF3B2F"/>
    <w:rsid w:val="00EF3D20"/>
    <w:rsid w:val="00EF3D3E"/>
    <w:rsid w:val="00EF3EC5"/>
    <w:rsid w:val="00EF4021"/>
    <w:rsid w:val="00EF420F"/>
    <w:rsid w:val="00EF46F2"/>
    <w:rsid w:val="00EF4735"/>
    <w:rsid w:val="00EF49AD"/>
    <w:rsid w:val="00EF5123"/>
    <w:rsid w:val="00EF54BC"/>
    <w:rsid w:val="00EF5532"/>
    <w:rsid w:val="00EF5E02"/>
    <w:rsid w:val="00EF65DE"/>
    <w:rsid w:val="00EF6C00"/>
    <w:rsid w:val="00EF6F68"/>
    <w:rsid w:val="00EF707E"/>
    <w:rsid w:val="00EF7651"/>
    <w:rsid w:val="00EF7AC2"/>
    <w:rsid w:val="00EF7D26"/>
    <w:rsid w:val="00F002FF"/>
    <w:rsid w:val="00F004E7"/>
    <w:rsid w:val="00F00542"/>
    <w:rsid w:val="00F0058E"/>
    <w:rsid w:val="00F00594"/>
    <w:rsid w:val="00F00642"/>
    <w:rsid w:val="00F00876"/>
    <w:rsid w:val="00F00B43"/>
    <w:rsid w:val="00F00EA5"/>
    <w:rsid w:val="00F010F9"/>
    <w:rsid w:val="00F0130C"/>
    <w:rsid w:val="00F01839"/>
    <w:rsid w:val="00F01FF9"/>
    <w:rsid w:val="00F020C7"/>
    <w:rsid w:val="00F023F7"/>
    <w:rsid w:val="00F02560"/>
    <w:rsid w:val="00F026D8"/>
    <w:rsid w:val="00F0271F"/>
    <w:rsid w:val="00F027C3"/>
    <w:rsid w:val="00F0299E"/>
    <w:rsid w:val="00F02DE9"/>
    <w:rsid w:val="00F0329E"/>
    <w:rsid w:val="00F035D8"/>
    <w:rsid w:val="00F038DF"/>
    <w:rsid w:val="00F03B7B"/>
    <w:rsid w:val="00F03C16"/>
    <w:rsid w:val="00F03D2A"/>
    <w:rsid w:val="00F03F18"/>
    <w:rsid w:val="00F0416B"/>
    <w:rsid w:val="00F0424F"/>
    <w:rsid w:val="00F04393"/>
    <w:rsid w:val="00F044CD"/>
    <w:rsid w:val="00F04AC8"/>
    <w:rsid w:val="00F04B10"/>
    <w:rsid w:val="00F04DEA"/>
    <w:rsid w:val="00F04E3A"/>
    <w:rsid w:val="00F0581A"/>
    <w:rsid w:val="00F0592B"/>
    <w:rsid w:val="00F05BEF"/>
    <w:rsid w:val="00F05EA0"/>
    <w:rsid w:val="00F06ECB"/>
    <w:rsid w:val="00F06F8D"/>
    <w:rsid w:val="00F06FC4"/>
    <w:rsid w:val="00F070E3"/>
    <w:rsid w:val="00F0720D"/>
    <w:rsid w:val="00F0734B"/>
    <w:rsid w:val="00F07644"/>
    <w:rsid w:val="00F07DD0"/>
    <w:rsid w:val="00F100CF"/>
    <w:rsid w:val="00F103CA"/>
    <w:rsid w:val="00F1096D"/>
    <w:rsid w:val="00F10E22"/>
    <w:rsid w:val="00F10FC7"/>
    <w:rsid w:val="00F1105A"/>
    <w:rsid w:val="00F11432"/>
    <w:rsid w:val="00F11CC0"/>
    <w:rsid w:val="00F11FB0"/>
    <w:rsid w:val="00F1201B"/>
    <w:rsid w:val="00F12057"/>
    <w:rsid w:val="00F120E1"/>
    <w:rsid w:val="00F1239D"/>
    <w:rsid w:val="00F12A2B"/>
    <w:rsid w:val="00F12C01"/>
    <w:rsid w:val="00F12E92"/>
    <w:rsid w:val="00F12F19"/>
    <w:rsid w:val="00F12FC4"/>
    <w:rsid w:val="00F13326"/>
    <w:rsid w:val="00F1355B"/>
    <w:rsid w:val="00F13C6D"/>
    <w:rsid w:val="00F13E0C"/>
    <w:rsid w:val="00F1407E"/>
    <w:rsid w:val="00F1447E"/>
    <w:rsid w:val="00F14576"/>
    <w:rsid w:val="00F1466A"/>
    <w:rsid w:val="00F146F1"/>
    <w:rsid w:val="00F148A7"/>
    <w:rsid w:val="00F149A5"/>
    <w:rsid w:val="00F14B8E"/>
    <w:rsid w:val="00F14FEA"/>
    <w:rsid w:val="00F152C5"/>
    <w:rsid w:val="00F15344"/>
    <w:rsid w:val="00F15675"/>
    <w:rsid w:val="00F157EF"/>
    <w:rsid w:val="00F158D5"/>
    <w:rsid w:val="00F15EB3"/>
    <w:rsid w:val="00F1622F"/>
    <w:rsid w:val="00F16269"/>
    <w:rsid w:val="00F16ECA"/>
    <w:rsid w:val="00F17024"/>
    <w:rsid w:val="00F17067"/>
    <w:rsid w:val="00F176AA"/>
    <w:rsid w:val="00F17A1F"/>
    <w:rsid w:val="00F20044"/>
    <w:rsid w:val="00F200A1"/>
    <w:rsid w:val="00F2043F"/>
    <w:rsid w:val="00F2045C"/>
    <w:rsid w:val="00F2051C"/>
    <w:rsid w:val="00F20900"/>
    <w:rsid w:val="00F20A2F"/>
    <w:rsid w:val="00F2178C"/>
    <w:rsid w:val="00F21AB9"/>
    <w:rsid w:val="00F22496"/>
    <w:rsid w:val="00F2290A"/>
    <w:rsid w:val="00F22B0F"/>
    <w:rsid w:val="00F22C59"/>
    <w:rsid w:val="00F22E9D"/>
    <w:rsid w:val="00F22FDA"/>
    <w:rsid w:val="00F2346B"/>
    <w:rsid w:val="00F234C4"/>
    <w:rsid w:val="00F23758"/>
    <w:rsid w:val="00F2375E"/>
    <w:rsid w:val="00F23B21"/>
    <w:rsid w:val="00F23B91"/>
    <w:rsid w:val="00F24469"/>
    <w:rsid w:val="00F246BB"/>
    <w:rsid w:val="00F247B2"/>
    <w:rsid w:val="00F24A2D"/>
    <w:rsid w:val="00F24BF9"/>
    <w:rsid w:val="00F24C6A"/>
    <w:rsid w:val="00F24CC7"/>
    <w:rsid w:val="00F24D3B"/>
    <w:rsid w:val="00F2514E"/>
    <w:rsid w:val="00F25176"/>
    <w:rsid w:val="00F25396"/>
    <w:rsid w:val="00F2548F"/>
    <w:rsid w:val="00F25819"/>
    <w:rsid w:val="00F25BC7"/>
    <w:rsid w:val="00F25EF6"/>
    <w:rsid w:val="00F25F80"/>
    <w:rsid w:val="00F26133"/>
    <w:rsid w:val="00F261D9"/>
    <w:rsid w:val="00F26609"/>
    <w:rsid w:val="00F26797"/>
    <w:rsid w:val="00F268E3"/>
    <w:rsid w:val="00F26C3E"/>
    <w:rsid w:val="00F26C6B"/>
    <w:rsid w:val="00F26D05"/>
    <w:rsid w:val="00F270CB"/>
    <w:rsid w:val="00F2716F"/>
    <w:rsid w:val="00F2727D"/>
    <w:rsid w:val="00F27584"/>
    <w:rsid w:val="00F27755"/>
    <w:rsid w:val="00F27A9F"/>
    <w:rsid w:val="00F300F5"/>
    <w:rsid w:val="00F3010C"/>
    <w:rsid w:val="00F30119"/>
    <w:rsid w:val="00F30588"/>
    <w:rsid w:val="00F3093A"/>
    <w:rsid w:val="00F30A66"/>
    <w:rsid w:val="00F30B52"/>
    <w:rsid w:val="00F30F0F"/>
    <w:rsid w:val="00F311E9"/>
    <w:rsid w:val="00F31285"/>
    <w:rsid w:val="00F3161B"/>
    <w:rsid w:val="00F31778"/>
    <w:rsid w:val="00F317B7"/>
    <w:rsid w:val="00F31891"/>
    <w:rsid w:val="00F31A59"/>
    <w:rsid w:val="00F31F79"/>
    <w:rsid w:val="00F3251B"/>
    <w:rsid w:val="00F32680"/>
    <w:rsid w:val="00F32C41"/>
    <w:rsid w:val="00F32EAA"/>
    <w:rsid w:val="00F33255"/>
    <w:rsid w:val="00F338B4"/>
    <w:rsid w:val="00F33AB4"/>
    <w:rsid w:val="00F33AE5"/>
    <w:rsid w:val="00F33D66"/>
    <w:rsid w:val="00F33ED1"/>
    <w:rsid w:val="00F33FA3"/>
    <w:rsid w:val="00F34070"/>
    <w:rsid w:val="00F34216"/>
    <w:rsid w:val="00F3450A"/>
    <w:rsid w:val="00F34564"/>
    <w:rsid w:val="00F3492D"/>
    <w:rsid w:val="00F34CD2"/>
    <w:rsid w:val="00F34DC3"/>
    <w:rsid w:val="00F3514D"/>
    <w:rsid w:val="00F3541F"/>
    <w:rsid w:val="00F35AE9"/>
    <w:rsid w:val="00F35FCC"/>
    <w:rsid w:val="00F361E0"/>
    <w:rsid w:val="00F361F5"/>
    <w:rsid w:val="00F36605"/>
    <w:rsid w:val="00F36C56"/>
    <w:rsid w:val="00F36D52"/>
    <w:rsid w:val="00F36E57"/>
    <w:rsid w:val="00F3714A"/>
    <w:rsid w:val="00F373D5"/>
    <w:rsid w:val="00F373E9"/>
    <w:rsid w:val="00F37859"/>
    <w:rsid w:val="00F40765"/>
    <w:rsid w:val="00F40805"/>
    <w:rsid w:val="00F40831"/>
    <w:rsid w:val="00F40A59"/>
    <w:rsid w:val="00F40F8F"/>
    <w:rsid w:val="00F411D5"/>
    <w:rsid w:val="00F414C5"/>
    <w:rsid w:val="00F414DA"/>
    <w:rsid w:val="00F415A0"/>
    <w:rsid w:val="00F4181B"/>
    <w:rsid w:val="00F41DFC"/>
    <w:rsid w:val="00F42002"/>
    <w:rsid w:val="00F424B6"/>
    <w:rsid w:val="00F426E6"/>
    <w:rsid w:val="00F42804"/>
    <w:rsid w:val="00F428ED"/>
    <w:rsid w:val="00F42C45"/>
    <w:rsid w:val="00F42CBB"/>
    <w:rsid w:val="00F42EB2"/>
    <w:rsid w:val="00F42FCA"/>
    <w:rsid w:val="00F4316A"/>
    <w:rsid w:val="00F4356F"/>
    <w:rsid w:val="00F4366D"/>
    <w:rsid w:val="00F439ED"/>
    <w:rsid w:val="00F43E5C"/>
    <w:rsid w:val="00F44CA9"/>
    <w:rsid w:val="00F44D5A"/>
    <w:rsid w:val="00F44F04"/>
    <w:rsid w:val="00F450D8"/>
    <w:rsid w:val="00F45196"/>
    <w:rsid w:val="00F452A6"/>
    <w:rsid w:val="00F45335"/>
    <w:rsid w:val="00F4565D"/>
    <w:rsid w:val="00F457CD"/>
    <w:rsid w:val="00F45939"/>
    <w:rsid w:val="00F459A1"/>
    <w:rsid w:val="00F45D49"/>
    <w:rsid w:val="00F46090"/>
    <w:rsid w:val="00F46120"/>
    <w:rsid w:val="00F46366"/>
    <w:rsid w:val="00F46893"/>
    <w:rsid w:val="00F46903"/>
    <w:rsid w:val="00F47F79"/>
    <w:rsid w:val="00F47FCA"/>
    <w:rsid w:val="00F50363"/>
    <w:rsid w:val="00F503A3"/>
    <w:rsid w:val="00F50906"/>
    <w:rsid w:val="00F509E1"/>
    <w:rsid w:val="00F50A2B"/>
    <w:rsid w:val="00F50E93"/>
    <w:rsid w:val="00F51095"/>
    <w:rsid w:val="00F51777"/>
    <w:rsid w:val="00F517D6"/>
    <w:rsid w:val="00F51ED5"/>
    <w:rsid w:val="00F51EEA"/>
    <w:rsid w:val="00F520A4"/>
    <w:rsid w:val="00F521D4"/>
    <w:rsid w:val="00F524D9"/>
    <w:rsid w:val="00F5252D"/>
    <w:rsid w:val="00F525A5"/>
    <w:rsid w:val="00F52828"/>
    <w:rsid w:val="00F52B44"/>
    <w:rsid w:val="00F52C20"/>
    <w:rsid w:val="00F52E74"/>
    <w:rsid w:val="00F52FF4"/>
    <w:rsid w:val="00F5341C"/>
    <w:rsid w:val="00F53579"/>
    <w:rsid w:val="00F5366F"/>
    <w:rsid w:val="00F538CD"/>
    <w:rsid w:val="00F538E2"/>
    <w:rsid w:val="00F539EA"/>
    <w:rsid w:val="00F53C08"/>
    <w:rsid w:val="00F53D73"/>
    <w:rsid w:val="00F53F41"/>
    <w:rsid w:val="00F54020"/>
    <w:rsid w:val="00F540B5"/>
    <w:rsid w:val="00F5445C"/>
    <w:rsid w:val="00F54474"/>
    <w:rsid w:val="00F547D8"/>
    <w:rsid w:val="00F547ED"/>
    <w:rsid w:val="00F54A36"/>
    <w:rsid w:val="00F54A55"/>
    <w:rsid w:val="00F54AF1"/>
    <w:rsid w:val="00F54D4D"/>
    <w:rsid w:val="00F5528C"/>
    <w:rsid w:val="00F55864"/>
    <w:rsid w:val="00F55D10"/>
    <w:rsid w:val="00F561A0"/>
    <w:rsid w:val="00F563D1"/>
    <w:rsid w:val="00F56400"/>
    <w:rsid w:val="00F56AFE"/>
    <w:rsid w:val="00F56B85"/>
    <w:rsid w:val="00F56CBA"/>
    <w:rsid w:val="00F57020"/>
    <w:rsid w:val="00F57026"/>
    <w:rsid w:val="00F572CA"/>
    <w:rsid w:val="00F57D70"/>
    <w:rsid w:val="00F603EF"/>
    <w:rsid w:val="00F6069D"/>
    <w:rsid w:val="00F60781"/>
    <w:rsid w:val="00F609AA"/>
    <w:rsid w:val="00F609D0"/>
    <w:rsid w:val="00F60B4E"/>
    <w:rsid w:val="00F611AB"/>
    <w:rsid w:val="00F612AE"/>
    <w:rsid w:val="00F61417"/>
    <w:rsid w:val="00F6163B"/>
    <w:rsid w:val="00F61C80"/>
    <w:rsid w:val="00F6206A"/>
    <w:rsid w:val="00F62201"/>
    <w:rsid w:val="00F62722"/>
    <w:rsid w:val="00F627D3"/>
    <w:rsid w:val="00F62838"/>
    <w:rsid w:val="00F62938"/>
    <w:rsid w:val="00F62B61"/>
    <w:rsid w:val="00F63170"/>
    <w:rsid w:val="00F632B4"/>
    <w:rsid w:val="00F63375"/>
    <w:rsid w:val="00F63380"/>
    <w:rsid w:val="00F635D5"/>
    <w:rsid w:val="00F6378B"/>
    <w:rsid w:val="00F643B1"/>
    <w:rsid w:val="00F64412"/>
    <w:rsid w:val="00F64548"/>
    <w:rsid w:val="00F64C7C"/>
    <w:rsid w:val="00F64C88"/>
    <w:rsid w:val="00F64E6B"/>
    <w:rsid w:val="00F64EF2"/>
    <w:rsid w:val="00F6538B"/>
    <w:rsid w:val="00F654BB"/>
    <w:rsid w:val="00F656E6"/>
    <w:rsid w:val="00F658F3"/>
    <w:rsid w:val="00F659E2"/>
    <w:rsid w:val="00F65A47"/>
    <w:rsid w:val="00F65F16"/>
    <w:rsid w:val="00F66450"/>
    <w:rsid w:val="00F6647F"/>
    <w:rsid w:val="00F66A2E"/>
    <w:rsid w:val="00F66C62"/>
    <w:rsid w:val="00F66CE8"/>
    <w:rsid w:val="00F67B51"/>
    <w:rsid w:val="00F67E26"/>
    <w:rsid w:val="00F67F51"/>
    <w:rsid w:val="00F70205"/>
    <w:rsid w:val="00F70272"/>
    <w:rsid w:val="00F70600"/>
    <w:rsid w:val="00F70720"/>
    <w:rsid w:val="00F7084B"/>
    <w:rsid w:val="00F70E25"/>
    <w:rsid w:val="00F7104F"/>
    <w:rsid w:val="00F71105"/>
    <w:rsid w:val="00F715F0"/>
    <w:rsid w:val="00F71D27"/>
    <w:rsid w:val="00F720D8"/>
    <w:rsid w:val="00F72110"/>
    <w:rsid w:val="00F7259B"/>
    <w:rsid w:val="00F72A21"/>
    <w:rsid w:val="00F72B0B"/>
    <w:rsid w:val="00F7356C"/>
    <w:rsid w:val="00F735DE"/>
    <w:rsid w:val="00F73945"/>
    <w:rsid w:val="00F73A4B"/>
    <w:rsid w:val="00F73DDD"/>
    <w:rsid w:val="00F74031"/>
    <w:rsid w:val="00F74A1F"/>
    <w:rsid w:val="00F74A63"/>
    <w:rsid w:val="00F74CD9"/>
    <w:rsid w:val="00F74F09"/>
    <w:rsid w:val="00F74F52"/>
    <w:rsid w:val="00F7502F"/>
    <w:rsid w:val="00F75085"/>
    <w:rsid w:val="00F754AC"/>
    <w:rsid w:val="00F7576D"/>
    <w:rsid w:val="00F75E32"/>
    <w:rsid w:val="00F75FC5"/>
    <w:rsid w:val="00F761B2"/>
    <w:rsid w:val="00F7631F"/>
    <w:rsid w:val="00F77018"/>
    <w:rsid w:val="00F772A8"/>
    <w:rsid w:val="00F77418"/>
    <w:rsid w:val="00F77428"/>
    <w:rsid w:val="00F7744F"/>
    <w:rsid w:val="00F774A4"/>
    <w:rsid w:val="00F77C49"/>
    <w:rsid w:val="00F77FF7"/>
    <w:rsid w:val="00F80110"/>
    <w:rsid w:val="00F8018F"/>
    <w:rsid w:val="00F80259"/>
    <w:rsid w:val="00F803E1"/>
    <w:rsid w:val="00F804F9"/>
    <w:rsid w:val="00F805FC"/>
    <w:rsid w:val="00F806D1"/>
    <w:rsid w:val="00F811E2"/>
    <w:rsid w:val="00F81227"/>
    <w:rsid w:val="00F81636"/>
    <w:rsid w:val="00F81651"/>
    <w:rsid w:val="00F81BD1"/>
    <w:rsid w:val="00F81E50"/>
    <w:rsid w:val="00F824A2"/>
    <w:rsid w:val="00F8272A"/>
    <w:rsid w:val="00F82B38"/>
    <w:rsid w:val="00F82D15"/>
    <w:rsid w:val="00F82E35"/>
    <w:rsid w:val="00F82F5F"/>
    <w:rsid w:val="00F831B8"/>
    <w:rsid w:val="00F83247"/>
    <w:rsid w:val="00F83356"/>
    <w:rsid w:val="00F83556"/>
    <w:rsid w:val="00F83659"/>
    <w:rsid w:val="00F8365A"/>
    <w:rsid w:val="00F8370B"/>
    <w:rsid w:val="00F84119"/>
    <w:rsid w:val="00F8424A"/>
    <w:rsid w:val="00F844B5"/>
    <w:rsid w:val="00F8463E"/>
    <w:rsid w:val="00F8467A"/>
    <w:rsid w:val="00F847C0"/>
    <w:rsid w:val="00F848CC"/>
    <w:rsid w:val="00F852B7"/>
    <w:rsid w:val="00F85390"/>
    <w:rsid w:val="00F85402"/>
    <w:rsid w:val="00F85550"/>
    <w:rsid w:val="00F85C68"/>
    <w:rsid w:val="00F85DAA"/>
    <w:rsid w:val="00F861B2"/>
    <w:rsid w:val="00F8640C"/>
    <w:rsid w:val="00F866DE"/>
    <w:rsid w:val="00F86CF0"/>
    <w:rsid w:val="00F86D00"/>
    <w:rsid w:val="00F87308"/>
    <w:rsid w:val="00F87484"/>
    <w:rsid w:val="00F878FA"/>
    <w:rsid w:val="00F90010"/>
    <w:rsid w:val="00F901FA"/>
    <w:rsid w:val="00F9054E"/>
    <w:rsid w:val="00F907FE"/>
    <w:rsid w:val="00F90A6A"/>
    <w:rsid w:val="00F912EF"/>
    <w:rsid w:val="00F914A5"/>
    <w:rsid w:val="00F91894"/>
    <w:rsid w:val="00F918CB"/>
    <w:rsid w:val="00F91E65"/>
    <w:rsid w:val="00F91EF3"/>
    <w:rsid w:val="00F9202C"/>
    <w:rsid w:val="00F920C7"/>
    <w:rsid w:val="00F921DD"/>
    <w:rsid w:val="00F92447"/>
    <w:rsid w:val="00F92644"/>
    <w:rsid w:val="00F9280E"/>
    <w:rsid w:val="00F92C4F"/>
    <w:rsid w:val="00F9365A"/>
    <w:rsid w:val="00F938E1"/>
    <w:rsid w:val="00F939BB"/>
    <w:rsid w:val="00F93E13"/>
    <w:rsid w:val="00F93EE3"/>
    <w:rsid w:val="00F94178"/>
    <w:rsid w:val="00F942D1"/>
    <w:rsid w:val="00F94AA6"/>
    <w:rsid w:val="00F94FEE"/>
    <w:rsid w:val="00F95622"/>
    <w:rsid w:val="00F9562D"/>
    <w:rsid w:val="00F9563A"/>
    <w:rsid w:val="00F9572A"/>
    <w:rsid w:val="00F9590F"/>
    <w:rsid w:val="00F966F8"/>
    <w:rsid w:val="00F96C25"/>
    <w:rsid w:val="00F96CC9"/>
    <w:rsid w:val="00F96D53"/>
    <w:rsid w:val="00F96E1D"/>
    <w:rsid w:val="00F96ED9"/>
    <w:rsid w:val="00F97415"/>
    <w:rsid w:val="00F976A6"/>
    <w:rsid w:val="00F97D0A"/>
    <w:rsid w:val="00FA01BB"/>
    <w:rsid w:val="00FA05B6"/>
    <w:rsid w:val="00FA08E0"/>
    <w:rsid w:val="00FA09BE"/>
    <w:rsid w:val="00FA0D80"/>
    <w:rsid w:val="00FA11FB"/>
    <w:rsid w:val="00FA1496"/>
    <w:rsid w:val="00FA1698"/>
    <w:rsid w:val="00FA196A"/>
    <w:rsid w:val="00FA1A38"/>
    <w:rsid w:val="00FA1B2B"/>
    <w:rsid w:val="00FA1CEB"/>
    <w:rsid w:val="00FA1DA8"/>
    <w:rsid w:val="00FA1FF7"/>
    <w:rsid w:val="00FA23EC"/>
    <w:rsid w:val="00FA29C8"/>
    <w:rsid w:val="00FA2AB1"/>
    <w:rsid w:val="00FA2BA0"/>
    <w:rsid w:val="00FA3413"/>
    <w:rsid w:val="00FA350E"/>
    <w:rsid w:val="00FA399A"/>
    <w:rsid w:val="00FA42CE"/>
    <w:rsid w:val="00FA4456"/>
    <w:rsid w:val="00FA44F5"/>
    <w:rsid w:val="00FA4935"/>
    <w:rsid w:val="00FA4CE2"/>
    <w:rsid w:val="00FA4FAD"/>
    <w:rsid w:val="00FA51E9"/>
    <w:rsid w:val="00FA5268"/>
    <w:rsid w:val="00FA545D"/>
    <w:rsid w:val="00FA5641"/>
    <w:rsid w:val="00FA56AB"/>
    <w:rsid w:val="00FA590F"/>
    <w:rsid w:val="00FA5AB5"/>
    <w:rsid w:val="00FA653C"/>
    <w:rsid w:val="00FA667F"/>
    <w:rsid w:val="00FA6B25"/>
    <w:rsid w:val="00FA6C4B"/>
    <w:rsid w:val="00FA6F5B"/>
    <w:rsid w:val="00FA7450"/>
    <w:rsid w:val="00FA7457"/>
    <w:rsid w:val="00FA749F"/>
    <w:rsid w:val="00FA7571"/>
    <w:rsid w:val="00FA781E"/>
    <w:rsid w:val="00FA790E"/>
    <w:rsid w:val="00FA79FC"/>
    <w:rsid w:val="00FA7A29"/>
    <w:rsid w:val="00FA7CCD"/>
    <w:rsid w:val="00FA7CF7"/>
    <w:rsid w:val="00FB022D"/>
    <w:rsid w:val="00FB0423"/>
    <w:rsid w:val="00FB057B"/>
    <w:rsid w:val="00FB081A"/>
    <w:rsid w:val="00FB08B8"/>
    <w:rsid w:val="00FB09C5"/>
    <w:rsid w:val="00FB0BBC"/>
    <w:rsid w:val="00FB0BCA"/>
    <w:rsid w:val="00FB0D5A"/>
    <w:rsid w:val="00FB0E15"/>
    <w:rsid w:val="00FB0EC7"/>
    <w:rsid w:val="00FB0F52"/>
    <w:rsid w:val="00FB12FB"/>
    <w:rsid w:val="00FB1654"/>
    <w:rsid w:val="00FB1747"/>
    <w:rsid w:val="00FB18AF"/>
    <w:rsid w:val="00FB2350"/>
    <w:rsid w:val="00FB24BB"/>
    <w:rsid w:val="00FB25D1"/>
    <w:rsid w:val="00FB269B"/>
    <w:rsid w:val="00FB27A2"/>
    <w:rsid w:val="00FB2823"/>
    <w:rsid w:val="00FB308A"/>
    <w:rsid w:val="00FB3322"/>
    <w:rsid w:val="00FB337C"/>
    <w:rsid w:val="00FB372E"/>
    <w:rsid w:val="00FB396B"/>
    <w:rsid w:val="00FB3A2A"/>
    <w:rsid w:val="00FB3ABE"/>
    <w:rsid w:val="00FB3D6D"/>
    <w:rsid w:val="00FB3E9B"/>
    <w:rsid w:val="00FB44B0"/>
    <w:rsid w:val="00FB460A"/>
    <w:rsid w:val="00FB4784"/>
    <w:rsid w:val="00FB4D34"/>
    <w:rsid w:val="00FB4E3D"/>
    <w:rsid w:val="00FB4FE8"/>
    <w:rsid w:val="00FB51D0"/>
    <w:rsid w:val="00FB524B"/>
    <w:rsid w:val="00FB53D7"/>
    <w:rsid w:val="00FB56B6"/>
    <w:rsid w:val="00FB599D"/>
    <w:rsid w:val="00FB5FDC"/>
    <w:rsid w:val="00FB6809"/>
    <w:rsid w:val="00FB690D"/>
    <w:rsid w:val="00FB6B10"/>
    <w:rsid w:val="00FB6B83"/>
    <w:rsid w:val="00FB70A3"/>
    <w:rsid w:val="00FB7103"/>
    <w:rsid w:val="00FB75E5"/>
    <w:rsid w:val="00FB765A"/>
    <w:rsid w:val="00FB770F"/>
    <w:rsid w:val="00FB7785"/>
    <w:rsid w:val="00FB7B18"/>
    <w:rsid w:val="00FB7D09"/>
    <w:rsid w:val="00FB7D31"/>
    <w:rsid w:val="00FB7FE0"/>
    <w:rsid w:val="00FC051C"/>
    <w:rsid w:val="00FC084F"/>
    <w:rsid w:val="00FC0CCE"/>
    <w:rsid w:val="00FC1547"/>
    <w:rsid w:val="00FC189B"/>
    <w:rsid w:val="00FC19A9"/>
    <w:rsid w:val="00FC1A8E"/>
    <w:rsid w:val="00FC1E68"/>
    <w:rsid w:val="00FC2077"/>
    <w:rsid w:val="00FC22D9"/>
    <w:rsid w:val="00FC23BE"/>
    <w:rsid w:val="00FC23EE"/>
    <w:rsid w:val="00FC2E11"/>
    <w:rsid w:val="00FC2EA6"/>
    <w:rsid w:val="00FC32A7"/>
    <w:rsid w:val="00FC33C3"/>
    <w:rsid w:val="00FC3631"/>
    <w:rsid w:val="00FC37F3"/>
    <w:rsid w:val="00FC394D"/>
    <w:rsid w:val="00FC3B11"/>
    <w:rsid w:val="00FC3E54"/>
    <w:rsid w:val="00FC3EC0"/>
    <w:rsid w:val="00FC4535"/>
    <w:rsid w:val="00FC4638"/>
    <w:rsid w:val="00FC49BC"/>
    <w:rsid w:val="00FC4DB3"/>
    <w:rsid w:val="00FC4FAF"/>
    <w:rsid w:val="00FC5254"/>
    <w:rsid w:val="00FC53B8"/>
    <w:rsid w:val="00FC5430"/>
    <w:rsid w:val="00FC599D"/>
    <w:rsid w:val="00FC5B30"/>
    <w:rsid w:val="00FC5C9F"/>
    <w:rsid w:val="00FC5E98"/>
    <w:rsid w:val="00FC600B"/>
    <w:rsid w:val="00FC6244"/>
    <w:rsid w:val="00FC6302"/>
    <w:rsid w:val="00FC6376"/>
    <w:rsid w:val="00FC651E"/>
    <w:rsid w:val="00FC6A82"/>
    <w:rsid w:val="00FC6C6E"/>
    <w:rsid w:val="00FC729A"/>
    <w:rsid w:val="00FC730E"/>
    <w:rsid w:val="00FC791F"/>
    <w:rsid w:val="00FC7B06"/>
    <w:rsid w:val="00FC7B3C"/>
    <w:rsid w:val="00FC7D12"/>
    <w:rsid w:val="00FC7D15"/>
    <w:rsid w:val="00FD0081"/>
    <w:rsid w:val="00FD08C8"/>
    <w:rsid w:val="00FD0A3E"/>
    <w:rsid w:val="00FD0AB7"/>
    <w:rsid w:val="00FD0AD5"/>
    <w:rsid w:val="00FD0B25"/>
    <w:rsid w:val="00FD0B64"/>
    <w:rsid w:val="00FD0ED0"/>
    <w:rsid w:val="00FD12F7"/>
    <w:rsid w:val="00FD1388"/>
    <w:rsid w:val="00FD1515"/>
    <w:rsid w:val="00FD19EF"/>
    <w:rsid w:val="00FD236B"/>
    <w:rsid w:val="00FD28ED"/>
    <w:rsid w:val="00FD2B95"/>
    <w:rsid w:val="00FD32D4"/>
    <w:rsid w:val="00FD3889"/>
    <w:rsid w:val="00FD390D"/>
    <w:rsid w:val="00FD3A00"/>
    <w:rsid w:val="00FD3CDC"/>
    <w:rsid w:val="00FD3D88"/>
    <w:rsid w:val="00FD4049"/>
    <w:rsid w:val="00FD40FE"/>
    <w:rsid w:val="00FD417E"/>
    <w:rsid w:val="00FD424D"/>
    <w:rsid w:val="00FD49ED"/>
    <w:rsid w:val="00FD4B2B"/>
    <w:rsid w:val="00FD4B50"/>
    <w:rsid w:val="00FD4EB1"/>
    <w:rsid w:val="00FD52CB"/>
    <w:rsid w:val="00FD5B8F"/>
    <w:rsid w:val="00FD5CBF"/>
    <w:rsid w:val="00FD5F7B"/>
    <w:rsid w:val="00FD62D0"/>
    <w:rsid w:val="00FD66B5"/>
    <w:rsid w:val="00FD6795"/>
    <w:rsid w:val="00FD6C81"/>
    <w:rsid w:val="00FD6C88"/>
    <w:rsid w:val="00FD6CA5"/>
    <w:rsid w:val="00FD6DC7"/>
    <w:rsid w:val="00FD6E76"/>
    <w:rsid w:val="00FD6F9F"/>
    <w:rsid w:val="00FD6FCB"/>
    <w:rsid w:val="00FD6FE0"/>
    <w:rsid w:val="00FD752F"/>
    <w:rsid w:val="00FD75B6"/>
    <w:rsid w:val="00FD7744"/>
    <w:rsid w:val="00FD7961"/>
    <w:rsid w:val="00FD7F30"/>
    <w:rsid w:val="00FE012B"/>
    <w:rsid w:val="00FE0213"/>
    <w:rsid w:val="00FE048D"/>
    <w:rsid w:val="00FE060B"/>
    <w:rsid w:val="00FE066C"/>
    <w:rsid w:val="00FE07C1"/>
    <w:rsid w:val="00FE07C7"/>
    <w:rsid w:val="00FE0D1F"/>
    <w:rsid w:val="00FE0E26"/>
    <w:rsid w:val="00FE0F78"/>
    <w:rsid w:val="00FE103F"/>
    <w:rsid w:val="00FE11E8"/>
    <w:rsid w:val="00FE1237"/>
    <w:rsid w:val="00FE1A87"/>
    <w:rsid w:val="00FE1C72"/>
    <w:rsid w:val="00FE1E33"/>
    <w:rsid w:val="00FE214E"/>
    <w:rsid w:val="00FE2263"/>
    <w:rsid w:val="00FE2548"/>
    <w:rsid w:val="00FE29D2"/>
    <w:rsid w:val="00FE2E38"/>
    <w:rsid w:val="00FE2E69"/>
    <w:rsid w:val="00FE2EC3"/>
    <w:rsid w:val="00FE3640"/>
    <w:rsid w:val="00FE37B0"/>
    <w:rsid w:val="00FE423D"/>
    <w:rsid w:val="00FE47CA"/>
    <w:rsid w:val="00FE48C8"/>
    <w:rsid w:val="00FE4BB4"/>
    <w:rsid w:val="00FE4E3D"/>
    <w:rsid w:val="00FE4EFF"/>
    <w:rsid w:val="00FE521C"/>
    <w:rsid w:val="00FE5513"/>
    <w:rsid w:val="00FE56D8"/>
    <w:rsid w:val="00FE5908"/>
    <w:rsid w:val="00FE5F88"/>
    <w:rsid w:val="00FE6181"/>
    <w:rsid w:val="00FE63FF"/>
    <w:rsid w:val="00FE65B4"/>
    <w:rsid w:val="00FE6657"/>
    <w:rsid w:val="00FE6ABD"/>
    <w:rsid w:val="00FE6EA3"/>
    <w:rsid w:val="00FE6FE4"/>
    <w:rsid w:val="00FE7045"/>
    <w:rsid w:val="00FE72A9"/>
    <w:rsid w:val="00FE79F2"/>
    <w:rsid w:val="00FE7B82"/>
    <w:rsid w:val="00FE7D2A"/>
    <w:rsid w:val="00FF059A"/>
    <w:rsid w:val="00FF09A6"/>
    <w:rsid w:val="00FF10C0"/>
    <w:rsid w:val="00FF19B8"/>
    <w:rsid w:val="00FF1A1E"/>
    <w:rsid w:val="00FF1ADB"/>
    <w:rsid w:val="00FF1C39"/>
    <w:rsid w:val="00FF202F"/>
    <w:rsid w:val="00FF227F"/>
    <w:rsid w:val="00FF2315"/>
    <w:rsid w:val="00FF2414"/>
    <w:rsid w:val="00FF25A2"/>
    <w:rsid w:val="00FF286B"/>
    <w:rsid w:val="00FF28F2"/>
    <w:rsid w:val="00FF2AE7"/>
    <w:rsid w:val="00FF2EC3"/>
    <w:rsid w:val="00FF2ED9"/>
    <w:rsid w:val="00FF3591"/>
    <w:rsid w:val="00FF3769"/>
    <w:rsid w:val="00FF4111"/>
    <w:rsid w:val="00FF4149"/>
    <w:rsid w:val="00FF41B2"/>
    <w:rsid w:val="00FF4509"/>
    <w:rsid w:val="00FF470D"/>
    <w:rsid w:val="00FF4790"/>
    <w:rsid w:val="00FF47DB"/>
    <w:rsid w:val="00FF49B0"/>
    <w:rsid w:val="00FF4F6C"/>
    <w:rsid w:val="00FF52EE"/>
    <w:rsid w:val="00FF540B"/>
    <w:rsid w:val="00FF5460"/>
    <w:rsid w:val="00FF565D"/>
    <w:rsid w:val="00FF6204"/>
    <w:rsid w:val="00FF629E"/>
    <w:rsid w:val="00FF6597"/>
    <w:rsid w:val="00FF67FC"/>
    <w:rsid w:val="00FF6A09"/>
    <w:rsid w:val="00FF6C87"/>
    <w:rsid w:val="00FF70A8"/>
    <w:rsid w:val="00FF70D5"/>
    <w:rsid w:val="00FF7752"/>
    <w:rsid w:val="00FF78F7"/>
    <w:rsid w:val="00FF7966"/>
    <w:rsid w:val="00FF7A66"/>
    <w:rsid w:val="00FF7D7E"/>
    <w:rsid w:val="00FF7E15"/>
    <w:rsid w:val="01365C99"/>
    <w:rsid w:val="01C1547F"/>
    <w:rsid w:val="05192A48"/>
    <w:rsid w:val="0539DD26"/>
    <w:rsid w:val="057A9073"/>
    <w:rsid w:val="07E61D84"/>
    <w:rsid w:val="08D71B12"/>
    <w:rsid w:val="090DEA01"/>
    <w:rsid w:val="0940BF46"/>
    <w:rsid w:val="09ECF846"/>
    <w:rsid w:val="0A8E3637"/>
    <w:rsid w:val="0CFCAC76"/>
    <w:rsid w:val="0D198944"/>
    <w:rsid w:val="0DEC8C9C"/>
    <w:rsid w:val="0E80FDCE"/>
    <w:rsid w:val="101C6265"/>
    <w:rsid w:val="10784506"/>
    <w:rsid w:val="10D4E1C6"/>
    <w:rsid w:val="114A2178"/>
    <w:rsid w:val="11B4B3CB"/>
    <w:rsid w:val="12D5B234"/>
    <w:rsid w:val="130E7BF2"/>
    <w:rsid w:val="1483355F"/>
    <w:rsid w:val="14FF9E3D"/>
    <w:rsid w:val="172EC049"/>
    <w:rsid w:val="172F4A18"/>
    <w:rsid w:val="1915D9A1"/>
    <w:rsid w:val="1A4D74E9"/>
    <w:rsid w:val="1A6710FC"/>
    <w:rsid w:val="1A691B23"/>
    <w:rsid w:val="1AA2C3CB"/>
    <w:rsid w:val="1AEFC52D"/>
    <w:rsid w:val="1B394AC4"/>
    <w:rsid w:val="1B9EB5CD"/>
    <w:rsid w:val="1C73651A"/>
    <w:rsid w:val="1C9B583F"/>
    <w:rsid w:val="1DF21C57"/>
    <w:rsid w:val="1EB4450F"/>
    <w:rsid w:val="20A3FD35"/>
    <w:rsid w:val="21007604"/>
    <w:rsid w:val="21DCD9E7"/>
    <w:rsid w:val="220B1F3F"/>
    <w:rsid w:val="2257CC26"/>
    <w:rsid w:val="22FFFE21"/>
    <w:rsid w:val="23F5734E"/>
    <w:rsid w:val="2552D7BB"/>
    <w:rsid w:val="26A5C378"/>
    <w:rsid w:val="26F664B3"/>
    <w:rsid w:val="276733AC"/>
    <w:rsid w:val="277FE60D"/>
    <w:rsid w:val="278B2F8D"/>
    <w:rsid w:val="296B58DA"/>
    <w:rsid w:val="2A459069"/>
    <w:rsid w:val="2A95688C"/>
    <w:rsid w:val="2B5E8BA0"/>
    <w:rsid w:val="2BBD1B7F"/>
    <w:rsid w:val="2C551ECE"/>
    <w:rsid w:val="2D775631"/>
    <w:rsid w:val="2E02082D"/>
    <w:rsid w:val="2F615480"/>
    <w:rsid w:val="2F94FC9C"/>
    <w:rsid w:val="31542588"/>
    <w:rsid w:val="31D4D679"/>
    <w:rsid w:val="3211128A"/>
    <w:rsid w:val="323F3907"/>
    <w:rsid w:val="32B06408"/>
    <w:rsid w:val="33FB33A8"/>
    <w:rsid w:val="34E06A50"/>
    <w:rsid w:val="366A6F05"/>
    <w:rsid w:val="38805D9D"/>
    <w:rsid w:val="39B9E8C7"/>
    <w:rsid w:val="3A34A021"/>
    <w:rsid w:val="3A52A6CE"/>
    <w:rsid w:val="3A5EDC28"/>
    <w:rsid w:val="3B8F33C5"/>
    <w:rsid w:val="3BBE5E0E"/>
    <w:rsid w:val="3CD9CB72"/>
    <w:rsid w:val="3D9923BD"/>
    <w:rsid w:val="3FB7622E"/>
    <w:rsid w:val="3FDA6B16"/>
    <w:rsid w:val="400E0A87"/>
    <w:rsid w:val="409FE24F"/>
    <w:rsid w:val="41455A79"/>
    <w:rsid w:val="41AE5D3E"/>
    <w:rsid w:val="41F69703"/>
    <w:rsid w:val="41FE8ECB"/>
    <w:rsid w:val="420DA6E2"/>
    <w:rsid w:val="4247B1E6"/>
    <w:rsid w:val="43F2A010"/>
    <w:rsid w:val="440B182E"/>
    <w:rsid w:val="44BFBD16"/>
    <w:rsid w:val="45796238"/>
    <w:rsid w:val="47B46E7F"/>
    <w:rsid w:val="47D526E7"/>
    <w:rsid w:val="487B7DC0"/>
    <w:rsid w:val="4A562756"/>
    <w:rsid w:val="4A7C9DD7"/>
    <w:rsid w:val="4B485652"/>
    <w:rsid w:val="4C7C155E"/>
    <w:rsid w:val="4D97DF50"/>
    <w:rsid w:val="4E5707AC"/>
    <w:rsid w:val="4EC59AAE"/>
    <w:rsid w:val="4F22E4D7"/>
    <w:rsid w:val="50944E3D"/>
    <w:rsid w:val="5098DC5B"/>
    <w:rsid w:val="51889C08"/>
    <w:rsid w:val="521F4DCF"/>
    <w:rsid w:val="5322900D"/>
    <w:rsid w:val="559EB454"/>
    <w:rsid w:val="5C6362EC"/>
    <w:rsid w:val="5D0AF226"/>
    <w:rsid w:val="5E35DC29"/>
    <w:rsid w:val="5E57D4DC"/>
    <w:rsid w:val="6186F411"/>
    <w:rsid w:val="61E83B77"/>
    <w:rsid w:val="628BEC77"/>
    <w:rsid w:val="63C38FFF"/>
    <w:rsid w:val="63FA6D49"/>
    <w:rsid w:val="6437B945"/>
    <w:rsid w:val="64884CE8"/>
    <w:rsid w:val="64F1886E"/>
    <w:rsid w:val="653D7E08"/>
    <w:rsid w:val="65DB1562"/>
    <w:rsid w:val="6644ABF4"/>
    <w:rsid w:val="6813D735"/>
    <w:rsid w:val="6852A78C"/>
    <w:rsid w:val="689B3286"/>
    <w:rsid w:val="68AAC407"/>
    <w:rsid w:val="69CC9114"/>
    <w:rsid w:val="6A97FF17"/>
    <w:rsid w:val="6BF088E2"/>
    <w:rsid w:val="6C9D291D"/>
    <w:rsid w:val="6CA5DED7"/>
    <w:rsid w:val="6EA5B110"/>
    <w:rsid w:val="6F3683DD"/>
    <w:rsid w:val="712C3472"/>
    <w:rsid w:val="71308758"/>
    <w:rsid w:val="73393502"/>
    <w:rsid w:val="73B53C66"/>
    <w:rsid w:val="73DC0D1E"/>
    <w:rsid w:val="746C7A1B"/>
    <w:rsid w:val="75491D40"/>
    <w:rsid w:val="759E16F6"/>
    <w:rsid w:val="772CAD49"/>
    <w:rsid w:val="792F475F"/>
    <w:rsid w:val="7A0C8360"/>
    <w:rsid w:val="7A72B438"/>
    <w:rsid w:val="7B0892E4"/>
    <w:rsid w:val="7B9E14E2"/>
    <w:rsid w:val="7E53B169"/>
    <w:rsid w:val="7ED5ED82"/>
    <w:rsid w:val="7F0D047A"/>
    <w:rsid w:val="7F1FFD4C"/>
    <w:rsid w:val="7F5B7309"/>
    <w:rsid w:val="7F7D94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F70F"/>
  <w15:chartTrackingRefBased/>
  <w15:docId w15:val="{56B072D2-963A-4473-B298-3F8FB117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A5"/>
    <w:rPr>
      <w:rFonts w:ascii="Arial" w:hAnsi="Arial"/>
    </w:rPr>
  </w:style>
  <w:style w:type="paragraph" w:styleId="Heading1">
    <w:name w:val="heading 1"/>
    <w:basedOn w:val="Normal"/>
    <w:next w:val="Normal"/>
    <w:link w:val="Heading1Char"/>
    <w:autoRedefine/>
    <w:uiPriority w:val="9"/>
    <w:qFormat/>
    <w:rsid w:val="0025106C"/>
    <w:pPr>
      <w:keepNext/>
      <w:keepLines/>
      <w:numPr>
        <w:numId w:val="14"/>
      </w:numPr>
      <w:spacing w:before="36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3F65DC"/>
    <w:pPr>
      <w:keepNext/>
      <w:keepLines/>
      <w:numPr>
        <w:ilvl w:val="1"/>
        <w:numId w:val="14"/>
      </w:numPr>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247AA3"/>
    <w:pPr>
      <w:keepNext/>
      <w:keepLines/>
      <w:numPr>
        <w:ilvl w:val="2"/>
        <w:numId w:val="14"/>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AA3"/>
    <w:pPr>
      <w:keepNext/>
      <w:keepLines/>
      <w:numPr>
        <w:ilvl w:val="3"/>
        <w:numId w:val="14"/>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AA3"/>
    <w:pPr>
      <w:keepNext/>
      <w:keepLines/>
      <w:numPr>
        <w:ilvl w:val="4"/>
        <w:numId w:val="14"/>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AA3"/>
    <w:pPr>
      <w:keepNext/>
      <w:keepLines/>
      <w:numPr>
        <w:ilvl w:val="5"/>
        <w:numId w:val="14"/>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AA3"/>
    <w:pPr>
      <w:keepNext/>
      <w:keepLines/>
      <w:numPr>
        <w:ilvl w:val="6"/>
        <w:numId w:val="14"/>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AA3"/>
    <w:pPr>
      <w:keepNext/>
      <w:keepLines/>
      <w:numPr>
        <w:ilvl w:val="7"/>
        <w:numId w:val="14"/>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AA3"/>
    <w:pPr>
      <w:keepNext/>
      <w:keepLines/>
      <w:numPr>
        <w:ilvl w:val="8"/>
        <w:numId w:val="14"/>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06C"/>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3F65D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247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AA3"/>
    <w:rPr>
      <w:rFonts w:eastAsiaTheme="majorEastAsia" w:cstheme="majorBidi"/>
      <w:color w:val="272727" w:themeColor="text1" w:themeTint="D8"/>
    </w:rPr>
  </w:style>
  <w:style w:type="paragraph" w:styleId="Title">
    <w:name w:val="Title"/>
    <w:basedOn w:val="Normal"/>
    <w:next w:val="Normal"/>
    <w:link w:val="TitleChar"/>
    <w:uiPriority w:val="10"/>
    <w:qFormat/>
    <w:rsid w:val="00C2528A"/>
    <w:pPr>
      <w:spacing w:before="2600" w:after="480" w:line="240" w:lineRule="auto"/>
      <w:contextualSpacing/>
    </w:pPr>
    <w:rPr>
      <w:rFonts w:eastAsiaTheme="majorEastAsia" w:cstheme="majorBidi"/>
      <w:b/>
      <w:color w:val="0070C0"/>
      <w:spacing w:val="-10"/>
      <w:kern w:val="28"/>
      <w:sz w:val="40"/>
      <w:szCs w:val="56"/>
    </w:rPr>
  </w:style>
  <w:style w:type="character" w:customStyle="1" w:styleId="TitleChar">
    <w:name w:val="Title Char"/>
    <w:basedOn w:val="DefaultParagraphFont"/>
    <w:link w:val="Title"/>
    <w:uiPriority w:val="10"/>
    <w:rsid w:val="00C2528A"/>
    <w:rPr>
      <w:rFonts w:ascii="Arial" w:eastAsiaTheme="majorEastAsia" w:hAnsi="Arial" w:cstheme="majorBidi"/>
      <w:b/>
      <w:color w:val="0070C0"/>
      <w:spacing w:val="-10"/>
      <w:kern w:val="28"/>
      <w:sz w:val="40"/>
      <w:szCs w:val="56"/>
    </w:rPr>
  </w:style>
  <w:style w:type="paragraph" w:styleId="Subtitle">
    <w:name w:val="Subtitle"/>
    <w:basedOn w:val="Normal"/>
    <w:next w:val="Normal"/>
    <w:link w:val="SubtitleChar"/>
    <w:uiPriority w:val="11"/>
    <w:qFormat/>
    <w:rsid w:val="00812B38"/>
    <w:pPr>
      <w:numPr>
        <w:ilvl w:val="1"/>
      </w:numPr>
    </w:pPr>
    <w:rPr>
      <w:rFonts w:eastAsiaTheme="majorEastAsia" w:cstheme="majorBidi"/>
      <w:b/>
      <w:color w:val="0070C0"/>
      <w:sz w:val="32"/>
      <w:szCs w:val="28"/>
    </w:rPr>
  </w:style>
  <w:style w:type="character" w:customStyle="1" w:styleId="SubtitleChar">
    <w:name w:val="Subtitle Char"/>
    <w:basedOn w:val="DefaultParagraphFont"/>
    <w:link w:val="Subtitle"/>
    <w:uiPriority w:val="11"/>
    <w:rsid w:val="00812B38"/>
    <w:rPr>
      <w:rFonts w:ascii="Arial" w:eastAsiaTheme="majorEastAsia" w:hAnsi="Arial" w:cstheme="majorBidi"/>
      <w:b/>
      <w:color w:val="0070C0"/>
      <w:sz w:val="32"/>
      <w:szCs w:val="28"/>
    </w:rPr>
  </w:style>
  <w:style w:type="paragraph" w:styleId="Quote">
    <w:name w:val="Quote"/>
    <w:basedOn w:val="Normal"/>
    <w:next w:val="Normal"/>
    <w:link w:val="QuoteChar"/>
    <w:uiPriority w:val="29"/>
    <w:qFormat/>
    <w:rsid w:val="00247AA3"/>
    <w:pPr>
      <w:spacing w:before="160"/>
      <w:jc w:val="center"/>
    </w:pPr>
    <w:rPr>
      <w:i/>
      <w:iCs/>
      <w:color w:val="404040" w:themeColor="text1" w:themeTint="BF"/>
    </w:rPr>
  </w:style>
  <w:style w:type="character" w:customStyle="1" w:styleId="QuoteChar">
    <w:name w:val="Quote Char"/>
    <w:basedOn w:val="DefaultParagraphFont"/>
    <w:link w:val="Quote"/>
    <w:uiPriority w:val="29"/>
    <w:rsid w:val="00247AA3"/>
    <w:rPr>
      <w:i/>
      <w:iCs/>
      <w:color w:val="404040" w:themeColor="text1" w:themeTint="BF"/>
    </w:rPr>
  </w:style>
  <w:style w:type="paragraph" w:styleId="ListParagraph">
    <w:name w:val="List Paragraph"/>
    <w:basedOn w:val="Normal"/>
    <w:uiPriority w:val="34"/>
    <w:qFormat/>
    <w:rsid w:val="008C637A"/>
    <w:pPr>
      <w:spacing w:after="120" w:line="276" w:lineRule="auto"/>
      <w:ind w:left="567" w:hanging="567"/>
    </w:pPr>
  </w:style>
  <w:style w:type="character" w:styleId="IntenseEmphasis">
    <w:name w:val="Intense Emphasis"/>
    <w:basedOn w:val="DefaultParagraphFont"/>
    <w:uiPriority w:val="21"/>
    <w:qFormat/>
    <w:rsid w:val="00247AA3"/>
    <w:rPr>
      <w:i/>
      <w:iCs/>
      <w:color w:val="0F4761" w:themeColor="accent1" w:themeShade="BF"/>
    </w:rPr>
  </w:style>
  <w:style w:type="paragraph" w:styleId="IntenseQuote">
    <w:name w:val="Intense Quote"/>
    <w:basedOn w:val="Normal"/>
    <w:next w:val="Normal"/>
    <w:link w:val="IntenseQuoteChar"/>
    <w:uiPriority w:val="30"/>
    <w:qFormat/>
    <w:rsid w:val="0024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AA3"/>
    <w:rPr>
      <w:i/>
      <w:iCs/>
      <w:color w:val="0F4761" w:themeColor="accent1" w:themeShade="BF"/>
    </w:rPr>
  </w:style>
  <w:style w:type="character" w:styleId="IntenseReference">
    <w:name w:val="Intense Reference"/>
    <w:basedOn w:val="DefaultParagraphFont"/>
    <w:uiPriority w:val="32"/>
    <w:qFormat/>
    <w:rsid w:val="00247AA3"/>
    <w:rPr>
      <w:b/>
      <w:bCs/>
      <w:smallCaps/>
      <w:color w:val="0F4761" w:themeColor="accent1" w:themeShade="BF"/>
      <w:spacing w:val="5"/>
    </w:rPr>
  </w:style>
  <w:style w:type="paragraph" w:styleId="TOCHeading">
    <w:name w:val="TOC Heading"/>
    <w:basedOn w:val="Heading1"/>
    <w:next w:val="Normal"/>
    <w:uiPriority w:val="39"/>
    <w:unhideWhenUsed/>
    <w:qFormat/>
    <w:rsid w:val="00B42AE6"/>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971C84"/>
    <w:pPr>
      <w:spacing w:after="100"/>
    </w:pPr>
  </w:style>
  <w:style w:type="character" w:styleId="Hyperlink">
    <w:name w:val="Hyperlink"/>
    <w:basedOn w:val="DefaultParagraphFont"/>
    <w:uiPriority w:val="99"/>
    <w:unhideWhenUsed/>
    <w:rsid w:val="00971C84"/>
    <w:rPr>
      <w:color w:val="467886" w:themeColor="hyperlink"/>
      <w:u w:val="single"/>
    </w:rPr>
  </w:style>
  <w:style w:type="paragraph" w:styleId="FootnoteText">
    <w:name w:val="footnote text"/>
    <w:basedOn w:val="Normal"/>
    <w:link w:val="FootnoteTextChar"/>
    <w:uiPriority w:val="99"/>
    <w:semiHidden/>
    <w:unhideWhenUsed/>
    <w:rsid w:val="008F2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F8C"/>
    <w:rPr>
      <w:rFonts w:ascii="Arial" w:hAnsi="Arial"/>
      <w:sz w:val="20"/>
      <w:szCs w:val="20"/>
    </w:rPr>
  </w:style>
  <w:style w:type="character" w:styleId="FootnoteReference">
    <w:name w:val="footnote reference"/>
    <w:basedOn w:val="DefaultParagraphFont"/>
    <w:uiPriority w:val="99"/>
    <w:semiHidden/>
    <w:unhideWhenUsed/>
    <w:rsid w:val="008F2F8C"/>
    <w:rPr>
      <w:vertAlign w:val="superscript"/>
    </w:rPr>
  </w:style>
  <w:style w:type="character" w:styleId="CommentReference">
    <w:name w:val="annotation reference"/>
    <w:basedOn w:val="DefaultParagraphFont"/>
    <w:uiPriority w:val="99"/>
    <w:semiHidden/>
    <w:unhideWhenUsed/>
    <w:rsid w:val="00334148"/>
    <w:rPr>
      <w:sz w:val="16"/>
      <w:szCs w:val="16"/>
    </w:rPr>
  </w:style>
  <w:style w:type="paragraph" w:styleId="CommentText">
    <w:name w:val="annotation text"/>
    <w:basedOn w:val="Normal"/>
    <w:link w:val="CommentTextChar"/>
    <w:uiPriority w:val="99"/>
    <w:unhideWhenUsed/>
    <w:rsid w:val="00334148"/>
    <w:pPr>
      <w:spacing w:line="240" w:lineRule="auto"/>
    </w:pPr>
    <w:rPr>
      <w:sz w:val="20"/>
      <w:szCs w:val="20"/>
    </w:rPr>
  </w:style>
  <w:style w:type="character" w:customStyle="1" w:styleId="CommentTextChar">
    <w:name w:val="Comment Text Char"/>
    <w:basedOn w:val="DefaultParagraphFont"/>
    <w:link w:val="CommentText"/>
    <w:uiPriority w:val="99"/>
    <w:rsid w:val="003341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4148"/>
    <w:rPr>
      <w:b/>
      <w:bCs/>
    </w:rPr>
  </w:style>
  <w:style w:type="character" w:customStyle="1" w:styleId="CommentSubjectChar">
    <w:name w:val="Comment Subject Char"/>
    <w:basedOn w:val="CommentTextChar"/>
    <w:link w:val="CommentSubject"/>
    <w:uiPriority w:val="99"/>
    <w:semiHidden/>
    <w:rsid w:val="00334148"/>
    <w:rPr>
      <w:rFonts w:ascii="Arial" w:hAnsi="Arial"/>
      <w:b/>
      <w:bCs/>
      <w:sz w:val="20"/>
      <w:szCs w:val="20"/>
    </w:rPr>
  </w:style>
  <w:style w:type="paragraph" w:styleId="Header">
    <w:name w:val="header"/>
    <w:basedOn w:val="Normal"/>
    <w:link w:val="HeaderChar"/>
    <w:uiPriority w:val="99"/>
    <w:unhideWhenUsed/>
    <w:rsid w:val="00506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D54"/>
    <w:rPr>
      <w:rFonts w:ascii="Arial" w:hAnsi="Arial"/>
    </w:rPr>
  </w:style>
  <w:style w:type="paragraph" w:styleId="Footer">
    <w:name w:val="footer"/>
    <w:basedOn w:val="Normal"/>
    <w:link w:val="FooterChar"/>
    <w:uiPriority w:val="99"/>
    <w:unhideWhenUsed/>
    <w:rsid w:val="00506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D54"/>
    <w:rPr>
      <w:rFonts w:ascii="Arial" w:hAnsi="Arial"/>
    </w:rPr>
  </w:style>
  <w:style w:type="paragraph" w:styleId="TOC2">
    <w:name w:val="toc 2"/>
    <w:basedOn w:val="Normal"/>
    <w:next w:val="Normal"/>
    <w:autoRedefine/>
    <w:uiPriority w:val="39"/>
    <w:unhideWhenUsed/>
    <w:rsid w:val="00B7646F"/>
    <w:pPr>
      <w:spacing w:after="100"/>
      <w:ind w:left="220"/>
    </w:pPr>
  </w:style>
  <w:style w:type="character" w:styleId="UnresolvedMention">
    <w:name w:val="Unresolved Mention"/>
    <w:basedOn w:val="DefaultParagraphFont"/>
    <w:uiPriority w:val="99"/>
    <w:semiHidden/>
    <w:unhideWhenUsed/>
    <w:rsid w:val="008F0029"/>
    <w:rPr>
      <w:color w:val="605E5C"/>
      <w:shd w:val="clear" w:color="auto" w:fill="E1DFDD"/>
    </w:rPr>
  </w:style>
  <w:style w:type="paragraph" w:styleId="Revision">
    <w:name w:val="Revision"/>
    <w:hidden/>
    <w:uiPriority w:val="99"/>
    <w:semiHidden/>
    <w:rsid w:val="00226264"/>
    <w:pPr>
      <w:spacing w:after="0" w:line="240" w:lineRule="auto"/>
    </w:pPr>
    <w:rPr>
      <w:rFonts w:ascii="Arial" w:hAnsi="Arial"/>
    </w:rPr>
  </w:style>
  <w:style w:type="character" w:styleId="FollowedHyperlink">
    <w:name w:val="FollowedHyperlink"/>
    <w:basedOn w:val="DefaultParagraphFont"/>
    <w:uiPriority w:val="99"/>
    <w:semiHidden/>
    <w:unhideWhenUsed/>
    <w:rsid w:val="00B5346A"/>
    <w:rPr>
      <w:color w:val="96607D" w:themeColor="followedHyperlink"/>
      <w:u w:val="single"/>
    </w:rPr>
  </w:style>
  <w:style w:type="paragraph" w:customStyle="1" w:styleId="4Documentdetails">
    <w:name w:val="4 Document details"/>
    <w:basedOn w:val="Normal"/>
    <w:qFormat/>
    <w:rsid w:val="00CD37F4"/>
    <w:pPr>
      <w:spacing w:after="140" w:line="240" w:lineRule="auto"/>
      <w:jc w:val="right"/>
    </w:pPr>
    <w:rPr>
      <w:rFonts w:asciiTheme="minorHAnsi" w:hAnsiTheme="minorHAnsi"/>
      <w:b/>
      <w:color w:val="156082" w:themeColor="accent1"/>
      <w:kern w:val="0"/>
      <w:sz w:val="24"/>
      <w:szCs w:val="32"/>
      <w14:ligatures w14:val="none"/>
    </w:rPr>
  </w:style>
  <w:style w:type="paragraph" w:styleId="TOC3">
    <w:name w:val="toc 3"/>
    <w:basedOn w:val="Normal"/>
    <w:next w:val="Normal"/>
    <w:autoRedefine/>
    <w:uiPriority w:val="39"/>
    <w:unhideWhenUsed/>
    <w:rsid w:val="000273B4"/>
    <w:pPr>
      <w:tabs>
        <w:tab w:val="left" w:pos="1200"/>
        <w:tab w:val="right" w:leader="dot" w:pos="9016"/>
      </w:tabs>
      <w:spacing w:after="100"/>
      <w:ind w:left="440"/>
    </w:pPr>
    <w:rPr>
      <w:noProof/>
    </w:rPr>
  </w:style>
  <w:style w:type="paragraph" w:styleId="NormalWeb">
    <w:name w:val="Normal (Web)"/>
    <w:basedOn w:val="Normal"/>
    <w:uiPriority w:val="99"/>
    <w:semiHidden/>
    <w:unhideWhenUsed/>
    <w:rsid w:val="00334646"/>
    <w:rPr>
      <w:rFonts w:ascii="Times New Roman" w:hAnsi="Times New Roman" w:cs="Times New Roman"/>
      <w:sz w:val="24"/>
      <w:szCs w:val="24"/>
    </w:rPr>
  </w:style>
  <w:style w:type="table" w:styleId="TableGrid">
    <w:name w:val="Table Grid"/>
    <w:basedOn w:val="TableNormal"/>
    <w:uiPriority w:val="39"/>
    <w:rsid w:val="0087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D22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289"/>
    <w:rPr>
      <w:rFonts w:ascii="Arial" w:hAnsi="Arial"/>
      <w:sz w:val="20"/>
      <w:szCs w:val="20"/>
    </w:rPr>
  </w:style>
  <w:style w:type="character" w:styleId="EndnoteReference">
    <w:name w:val="endnote reference"/>
    <w:basedOn w:val="DefaultParagraphFont"/>
    <w:uiPriority w:val="99"/>
    <w:semiHidden/>
    <w:unhideWhenUsed/>
    <w:rsid w:val="00AD2289"/>
    <w:rPr>
      <w:vertAlign w:val="superscript"/>
    </w:rPr>
  </w:style>
  <w:style w:type="character" w:customStyle="1" w:styleId="font161">
    <w:name w:val="font161"/>
    <w:basedOn w:val="DefaultParagraphFont"/>
    <w:rsid w:val="00B722C9"/>
    <w:rPr>
      <w:rFonts w:ascii="Calibri" w:hAnsi="Calibri" w:cs="Calibri" w:hint="default"/>
      <w:b/>
      <w:bCs/>
      <w:i w:val="0"/>
      <w:iCs w:val="0"/>
      <w:strike w:val="0"/>
      <w:dstrike w:val="0"/>
      <w:color w:val="000000"/>
      <w:sz w:val="24"/>
      <w:szCs w:val="24"/>
      <w:u w:val="none"/>
      <w:effect w:val="none"/>
    </w:rPr>
  </w:style>
  <w:style w:type="character" w:customStyle="1" w:styleId="font171">
    <w:name w:val="font171"/>
    <w:basedOn w:val="DefaultParagraphFont"/>
    <w:rsid w:val="00B722C9"/>
    <w:rPr>
      <w:rFonts w:ascii="Calibri" w:hAnsi="Calibri" w:cs="Calibri" w:hint="default"/>
      <w:b/>
      <w:bCs/>
      <w:i w:val="0"/>
      <w:iCs w:val="0"/>
      <w:strike w:val="0"/>
      <w:dstrike w:val="0"/>
      <w:color w:val="FF0000"/>
      <w:sz w:val="24"/>
      <w:szCs w:val="24"/>
      <w:u w:val="none"/>
      <w:effect w:val="none"/>
    </w:rPr>
  </w:style>
  <w:style w:type="character" w:styleId="Mention">
    <w:name w:val="Mention"/>
    <w:basedOn w:val="DefaultParagraphFont"/>
    <w:uiPriority w:val="99"/>
    <w:unhideWhenUsed/>
    <w:rsid w:val="00101C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3088">
      <w:bodyDiv w:val="1"/>
      <w:marLeft w:val="0"/>
      <w:marRight w:val="0"/>
      <w:marTop w:val="0"/>
      <w:marBottom w:val="0"/>
      <w:divBdr>
        <w:top w:val="none" w:sz="0" w:space="0" w:color="auto"/>
        <w:left w:val="none" w:sz="0" w:space="0" w:color="auto"/>
        <w:bottom w:val="none" w:sz="0" w:space="0" w:color="auto"/>
        <w:right w:val="none" w:sz="0" w:space="0" w:color="auto"/>
      </w:divBdr>
      <w:divsChild>
        <w:div w:id="788862247">
          <w:marLeft w:val="0"/>
          <w:marRight w:val="0"/>
          <w:marTop w:val="0"/>
          <w:marBottom w:val="0"/>
          <w:divBdr>
            <w:top w:val="none" w:sz="0" w:space="0" w:color="auto"/>
            <w:left w:val="none" w:sz="0" w:space="0" w:color="auto"/>
            <w:bottom w:val="none" w:sz="0" w:space="0" w:color="auto"/>
            <w:right w:val="none" w:sz="0" w:space="0" w:color="auto"/>
          </w:divBdr>
        </w:div>
        <w:div w:id="1145782808">
          <w:marLeft w:val="0"/>
          <w:marRight w:val="0"/>
          <w:marTop w:val="0"/>
          <w:marBottom w:val="0"/>
          <w:divBdr>
            <w:top w:val="none" w:sz="0" w:space="0" w:color="auto"/>
            <w:left w:val="none" w:sz="0" w:space="0" w:color="auto"/>
            <w:bottom w:val="none" w:sz="0" w:space="0" w:color="auto"/>
            <w:right w:val="none" w:sz="0" w:space="0" w:color="auto"/>
          </w:divBdr>
        </w:div>
      </w:divsChild>
    </w:div>
    <w:div w:id="51850619">
      <w:bodyDiv w:val="1"/>
      <w:marLeft w:val="0"/>
      <w:marRight w:val="0"/>
      <w:marTop w:val="0"/>
      <w:marBottom w:val="0"/>
      <w:divBdr>
        <w:top w:val="none" w:sz="0" w:space="0" w:color="auto"/>
        <w:left w:val="none" w:sz="0" w:space="0" w:color="auto"/>
        <w:bottom w:val="none" w:sz="0" w:space="0" w:color="auto"/>
        <w:right w:val="none" w:sz="0" w:space="0" w:color="auto"/>
      </w:divBdr>
    </w:div>
    <w:div w:id="163787895">
      <w:bodyDiv w:val="1"/>
      <w:marLeft w:val="0"/>
      <w:marRight w:val="0"/>
      <w:marTop w:val="0"/>
      <w:marBottom w:val="0"/>
      <w:divBdr>
        <w:top w:val="none" w:sz="0" w:space="0" w:color="auto"/>
        <w:left w:val="none" w:sz="0" w:space="0" w:color="auto"/>
        <w:bottom w:val="none" w:sz="0" w:space="0" w:color="auto"/>
        <w:right w:val="none" w:sz="0" w:space="0" w:color="auto"/>
      </w:divBdr>
    </w:div>
    <w:div w:id="178662145">
      <w:bodyDiv w:val="1"/>
      <w:marLeft w:val="0"/>
      <w:marRight w:val="0"/>
      <w:marTop w:val="0"/>
      <w:marBottom w:val="0"/>
      <w:divBdr>
        <w:top w:val="none" w:sz="0" w:space="0" w:color="auto"/>
        <w:left w:val="none" w:sz="0" w:space="0" w:color="auto"/>
        <w:bottom w:val="none" w:sz="0" w:space="0" w:color="auto"/>
        <w:right w:val="none" w:sz="0" w:space="0" w:color="auto"/>
      </w:divBdr>
    </w:div>
    <w:div w:id="186912151">
      <w:bodyDiv w:val="1"/>
      <w:marLeft w:val="0"/>
      <w:marRight w:val="0"/>
      <w:marTop w:val="0"/>
      <w:marBottom w:val="0"/>
      <w:divBdr>
        <w:top w:val="none" w:sz="0" w:space="0" w:color="auto"/>
        <w:left w:val="none" w:sz="0" w:space="0" w:color="auto"/>
        <w:bottom w:val="none" w:sz="0" w:space="0" w:color="auto"/>
        <w:right w:val="none" w:sz="0" w:space="0" w:color="auto"/>
      </w:divBdr>
      <w:divsChild>
        <w:div w:id="14575199">
          <w:marLeft w:val="0"/>
          <w:marRight w:val="0"/>
          <w:marTop w:val="0"/>
          <w:marBottom w:val="0"/>
          <w:divBdr>
            <w:top w:val="none" w:sz="0" w:space="0" w:color="auto"/>
            <w:left w:val="none" w:sz="0" w:space="0" w:color="auto"/>
            <w:bottom w:val="none" w:sz="0" w:space="0" w:color="auto"/>
            <w:right w:val="none" w:sz="0" w:space="0" w:color="auto"/>
          </w:divBdr>
          <w:divsChild>
            <w:div w:id="2096245983">
              <w:marLeft w:val="0"/>
              <w:marRight w:val="0"/>
              <w:marTop w:val="0"/>
              <w:marBottom w:val="0"/>
              <w:divBdr>
                <w:top w:val="none" w:sz="0" w:space="0" w:color="auto"/>
                <w:left w:val="none" w:sz="0" w:space="0" w:color="auto"/>
                <w:bottom w:val="none" w:sz="0" w:space="0" w:color="auto"/>
                <w:right w:val="none" w:sz="0" w:space="0" w:color="auto"/>
              </w:divBdr>
            </w:div>
          </w:divsChild>
        </w:div>
        <w:div w:id="82844313">
          <w:marLeft w:val="0"/>
          <w:marRight w:val="0"/>
          <w:marTop w:val="0"/>
          <w:marBottom w:val="0"/>
          <w:divBdr>
            <w:top w:val="none" w:sz="0" w:space="0" w:color="auto"/>
            <w:left w:val="none" w:sz="0" w:space="0" w:color="auto"/>
            <w:bottom w:val="none" w:sz="0" w:space="0" w:color="auto"/>
            <w:right w:val="none" w:sz="0" w:space="0" w:color="auto"/>
          </w:divBdr>
          <w:divsChild>
            <w:div w:id="1911379474">
              <w:marLeft w:val="0"/>
              <w:marRight w:val="0"/>
              <w:marTop w:val="0"/>
              <w:marBottom w:val="0"/>
              <w:divBdr>
                <w:top w:val="none" w:sz="0" w:space="0" w:color="auto"/>
                <w:left w:val="none" w:sz="0" w:space="0" w:color="auto"/>
                <w:bottom w:val="none" w:sz="0" w:space="0" w:color="auto"/>
                <w:right w:val="none" w:sz="0" w:space="0" w:color="auto"/>
              </w:divBdr>
            </w:div>
          </w:divsChild>
        </w:div>
        <w:div w:id="104156442">
          <w:marLeft w:val="0"/>
          <w:marRight w:val="0"/>
          <w:marTop w:val="0"/>
          <w:marBottom w:val="0"/>
          <w:divBdr>
            <w:top w:val="none" w:sz="0" w:space="0" w:color="auto"/>
            <w:left w:val="none" w:sz="0" w:space="0" w:color="auto"/>
            <w:bottom w:val="none" w:sz="0" w:space="0" w:color="auto"/>
            <w:right w:val="none" w:sz="0" w:space="0" w:color="auto"/>
          </w:divBdr>
          <w:divsChild>
            <w:div w:id="174073775">
              <w:marLeft w:val="0"/>
              <w:marRight w:val="0"/>
              <w:marTop w:val="0"/>
              <w:marBottom w:val="0"/>
              <w:divBdr>
                <w:top w:val="none" w:sz="0" w:space="0" w:color="auto"/>
                <w:left w:val="none" w:sz="0" w:space="0" w:color="auto"/>
                <w:bottom w:val="none" w:sz="0" w:space="0" w:color="auto"/>
                <w:right w:val="none" w:sz="0" w:space="0" w:color="auto"/>
              </w:divBdr>
            </w:div>
          </w:divsChild>
        </w:div>
        <w:div w:id="226451757">
          <w:marLeft w:val="0"/>
          <w:marRight w:val="0"/>
          <w:marTop w:val="0"/>
          <w:marBottom w:val="0"/>
          <w:divBdr>
            <w:top w:val="none" w:sz="0" w:space="0" w:color="auto"/>
            <w:left w:val="none" w:sz="0" w:space="0" w:color="auto"/>
            <w:bottom w:val="none" w:sz="0" w:space="0" w:color="auto"/>
            <w:right w:val="none" w:sz="0" w:space="0" w:color="auto"/>
          </w:divBdr>
          <w:divsChild>
            <w:div w:id="1332371953">
              <w:marLeft w:val="0"/>
              <w:marRight w:val="0"/>
              <w:marTop w:val="0"/>
              <w:marBottom w:val="0"/>
              <w:divBdr>
                <w:top w:val="none" w:sz="0" w:space="0" w:color="auto"/>
                <w:left w:val="none" w:sz="0" w:space="0" w:color="auto"/>
                <w:bottom w:val="none" w:sz="0" w:space="0" w:color="auto"/>
                <w:right w:val="none" w:sz="0" w:space="0" w:color="auto"/>
              </w:divBdr>
            </w:div>
          </w:divsChild>
        </w:div>
        <w:div w:id="287399422">
          <w:marLeft w:val="0"/>
          <w:marRight w:val="0"/>
          <w:marTop w:val="0"/>
          <w:marBottom w:val="0"/>
          <w:divBdr>
            <w:top w:val="none" w:sz="0" w:space="0" w:color="auto"/>
            <w:left w:val="none" w:sz="0" w:space="0" w:color="auto"/>
            <w:bottom w:val="none" w:sz="0" w:space="0" w:color="auto"/>
            <w:right w:val="none" w:sz="0" w:space="0" w:color="auto"/>
          </w:divBdr>
          <w:divsChild>
            <w:div w:id="671488529">
              <w:marLeft w:val="0"/>
              <w:marRight w:val="0"/>
              <w:marTop w:val="0"/>
              <w:marBottom w:val="0"/>
              <w:divBdr>
                <w:top w:val="none" w:sz="0" w:space="0" w:color="auto"/>
                <w:left w:val="none" w:sz="0" w:space="0" w:color="auto"/>
                <w:bottom w:val="none" w:sz="0" w:space="0" w:color="auto"/>
                <w:right w:val="none" w:sz="0" w:space="0" w:color="auto"/>
              </w:divBdr>
            </w:div>
          </w:divsChild>
        </w:div>
        <w:div w:id="297607275">
          <w:marLeft w:val="0"/>
          <w:marRight w:val="0"/>
          <w:marTop w:val="0"/>
          <w:marBottom w:val="0"/>
          <w:divBdr>
            <w:top w:val="none" w:sz="0" w:space="0" w:color="auto"/>
            <w:left w:val="none" w:sz="0" w:space="0" w:color="auto"/>
            <w:bottom w:val="none" w:sz="0" w:space="0" w:color="auto"/>
            <w:right w:val="none" w:sz="0" w:space="0" w:color="auto"/>
          </w:divBdr>
          <w:divsChild>
            <w:div w:id="1425489755">
              <w:marLeft w:val="0"/>
              <w:marRight w:val="0"/>
              <w:marTop w:val="0"/>
              <w:marBottom w:val="0"/>
              <w:divBdr>
                <w:top w:val="none" w:sz="0" w:space="0" w:color="auto"/>
                <w:left w:val="none" w:sz="0" w:space="0" w:color="auto"/>
                <w:bottom w:val="none" w:sz="0" w:space="0" w:color="auto"/>
                <w:right w:val="none" w:sz="0" w:space="0" w:color="auto"/>
              </w:divBdr>
            </w:div>
          </w:divsChild>
        </w:div>
        <w:div w:id="542670702">
          <w:marLeft w:val="0"/>
          <w:marRight w:val="0"/>
          <w:marTop w:val="0"/>
          <w:marBottom w:val="0"/>
          <w:divBdr>
            <w:top w:val="none" w:sz="0" w:space="0" w:color="auto"/>
            <w:left w:val="none" w:sz="0" w:space="0" w:color="auto"/>
            <w:bottom w:val="none" w:sz="0" w:space="0" w:color="auto"/>
            <w:right w:val="none" w:sz="0" w:space="0" w:color="auto"/>
          </w:divBdr>
          <w:divsChild>
            <w:div w:id="507595465">
              <w:marLeft w:val="0"/>
              <w:marRight w:val="0"/>
              <w:marTop w:val="0"/>
              <w:marBottom w:val="0"/>
              <w:divBdr>
                <w:top w:val="none" w:sz="0" w:space="0" w:color="auto"/>
                <w:left w:val="none" w:sz="0" w:space="0" w:color="auto"/>
                <w:bottom w:val="none" w:sz="0" w:space="0" w:color="auto"/>
                <w:right w:val="none" w:sz="0" w:space="0" w:color="auto"/>
              </w:divBdr>
            </w:div>
          </w:divsChild>
        </w:div>
        <w:div w:id="927343739">
          <w:marLeft w:val="0"/>
          <w:marRight w:val="0"/>
          <w:marTop w:val="0"/>
          <w:marBottom w:val="0"/>
          <w:divBdr>
            <w:top w:val="none" w:sz="0" w:space="0" w:color="auto"/>
            <w:left w:val="none" w:sz="0" w:space="0" w:color="auto"/>
            <w:bottom w:val="none" w:sz="0" w:space="0" w:color="auto"/>
            <w:right w:val="none" w:sz="0" w:space="0" w:color="auto"/>
          </w:divBdr>
          <w:divsChild>
            <w:div w:id="195773396">
              <w:marLeft w:val="0"/>
              <w:marRight w:val="0"/>
              <w:marTop w:val="0"/>
              <w:marBottom w:val="0"/>
              <w:divBdr>
                <w:top w:val="none" w:sz="0" w:space="0" w:color="auto"/>
                <w:left w:val="none" w:sz="0" w:space="0" w:color="auto"/>
                <w:bottom w:val="none" w:sz="0" w:space="0" w:color="auto"/>
                <w:right w:val="none" w:sz="0" w:space="0" w:color="auto"/>
              </w:divBdr>
            </w:div>
          </w:divsChild>
        </w:div>
        <w:div w:id="1223104630">
          <w:marLeft w:val="0"/>
          <w:marRight w:val="0"/>
          <w:marTop w:val="0"/>
          <w:marBottom w:val="0"/>
          <w:divBdr>
            <w:top w:val="none" w:sz="0" w:space="0" w:color="auto"/>
            <w:left w:val="none" w:sz="0" w:space="0" w:color="auto"/>
            <w:bottom w:val="none" w:sz="0" w:space="0" w:color="auto"/>
            <w:right w:val="none" w:sz="0" w:space="0" w:color="auto"/>
          </w:divBdr>
          <w:divsChild>
            <w:div w:id="2004581286">
              <w:marLeft w:val="0"/>
              <w:marRight w:val="0"/>
              <w:marTop w:val="0"/>
              <w:marBottom w:val="0"/>
              <w:divBdr>
                <w:top w:val="none" w:sz="0" w:space="0" w:color="auto"/>
                <w:left w:val="none" w:sz="0" w:space="0" w:color="auto"/>
                <w:bottom w:val="none" w:sz="0" w:space="0" w:color="auto"/>
                <w:right w:val="none" w:sz="0" w:space="0" w:color="auto"/>
              </w:divBdr>
            </w:div>
          </w:divsChild>
        </w:div>
        <w:div w:id="1235163769">
          <w:marLeft w:val="0"/>
          <w:marRight w:val="0"/>
          <w:marTop w:val="0"/>
          <w:marBottom w:val="0"/>
          <w:divBdr>
            <w:top w:val="none" w:sz="0" w:space="0" w:color="auto"/>
            <w:left w:val="none" w:sz="0" w:space="0" w:color="auto"/>
            <w:bottom w:val="none" w:sz="0" w:space="0" w:color="auto"/>
            <w:right w:val="none" w:sz="0" w:space="0" w:color="auto"/>
          </w:divBdr>
          <w:divsChild>
            <w:div w:id="959723959">
              <w:marLeft w:val="0"/>
              <w:marRight w:val="0"/>
              <w:marTop w:val="0"/>
              <w:marBottom w:val="0"/>
              <w:divBdr>
                <w:top w:val="none" w:sz="0" w:space="0" w:color="auto"/>
                <w:left w:val="none" w:sz="0" w:space="0" w:color="auto"/>
                <w:bottom w:val="none" w:sz="0" w:space="0" w:color="auto"/>
                <w:right w:val="none" w:sz="0" w:space="0" w:color="auto"/>
              </w:divBdr>
            </w:div>
          </w:divsChild>
        </w:div>
        <w:div w:id="1338385314">
          <w:marLeft w:val="0"/>
          <w:marRight w:val="0"/>
          <w:marTop w:val="0"/>
          <w:marBottom w:val="0"/>
          <w:divBdr>
            <w:top w:val="none" w:sz="0" w:space="0" w:color="auto"/>
            <w:left w:val="none" w:sz="0" w:space="0" w:color="auto"/>
            <w:bottom w:val="none" w:sz="0" w:space="0" w:color="auto"/>
            <w:right w:val="none" w:sz="0" w:space="0" w:color="auto"/>
          </w:divBdr>
          <w:divsChild>
            <w:div w:id="372730109">
              <w:marLeft w:val="0"/>
              <w:marRight w:val="0"/>
              <w:marTop w:val="0"/>
              <w:marBottom w:val="0"/>
              <w:divBdr>
                <w:top w:val="none" w:sz="0" w:space="0" w:color="auto"/>
                <w:left w:val="none" w:sz="0" w:space="0" w:color="auto"/>
                <w:bottom w:val="none" w:sz="0" w:space="0" w:color="auto"/>
                <w:right w:val="none" w:sz="0" w:space="0" w:color="auto"/>
              </w:divBdr>
            </w:div>
          </w:divsChild>
        </w:div>
        <w:div w:id="1408461288">
          <w:marLeft w:val="0"/>
          <w:marRight w:val="0"/>
          <w:marTop w:val="0"/>
          <w:marBottom w:val="0"/>
          <w:divBdr>
            <w:top w:val="none" w:sz="0" w:space="0" w:color="auto"/>
            <w:left w:val="none" w:sz="0" w:space="0" w:color="auto"/>
            <w:bottom w:val="none" w:sz="0" w:space="0" w:color="auto"/>
            <w:right w:val="none" w:sz="0" w:space="0" w:color="auto"/>
          </w:divBdr>
          <w:divsChild>
            <w:div w:id="322901723">
              <w:marLeft w:val="0"/>
              <w:marRight w:val="0"/>
              <w:marTop w:val="0"/>
              <w:marBottom w:val="0"/>
              <w:divBdr>
                <w:top w:val="none" w:sz="0" w:space="0" w:color="auto"/>
                <w:left w:val="none" w:sz="0" w:space="0" w:color="auto"/>
                <w:bottom w:val="none" w:sz="0" w:space="0" w:color="auto"/>
                <w:right w:val="none" w:sz="0" w:space="0" w:color="auto"/>
              </w:divBdr>
            </w:div>
          </w:divsChild>
        </w:div>
        <w:div w:id="1558083047">
          <w:marLeft w:val="0"/>
          <w:marRight w:val="0"/>
          <w:marTop w:val="0"/>
          <w:marBottom w:val="0"/>
          <w:divBdr>
            <w:top w:val="none" w:sz="0" w:space="0" w:color="auto"/>
            <w:left w:val="none" w:sz="0" w:space="0" w:color="auto"/>
            <w:bottom w:val="none" w:sz="0" w:space="0" w:color="auto"/>
            <w:right w:val="none" w:sz="0" w:space="0" w:color="auto"/>
          </w:divBdr>
          <w:divsChild>
            <w:div w:id="190804168">
              <w:marLeft w:val="0"/>
              <w:marRight w:val="0"/>
              <w:marTop w:val="0"/>
              <w:marBottom w:val="0"/>
              <w:divBdr>
                <w:top w:val="none" w:sz="0" w:space="0" w:color="auto"/>
                <w:left w:val="none" w:sz="0" w:space="0" w:color="auto"/>
                <w:bottom w:val="none" w:sz="0" w:space="0" w:color="auto"/>
                <w:right w:val="none" w:sz="0" w:space="0" w:color="auto"/>
              </w:divBdr>
            </w:div>
          </w:divsChild>
        </w:div>
        <w:div w:id="1620212194">
          <w:marLeft w:val="0"/>
          <w:marRight w:val="0"/>
          <w:marTop w:val="0"/>
          <w:marBottom w:val="0"/>
          <w:divBdr>
            <w:top w:val="none" w:sz="0" w:space="0" w:color="auto"/>
            <w:left w:val="none" w:sz="0" w:space="0" w:color="auto"/>
            <w:bottom w:val="none" w:sz="0" w:space="0" w:color="auto"/>
            <w:right w:val="none" w:sz="0" w:space="0" w:color="auto"/>
          </w:divBdr>
          <w:divsChild>
            <w:div w:id="1778676683">
              <w:marLeft w:val="0"/>
              <w:marRight w:val="0"/>
              <w:marTop w:val="0"/>
              <w:marBottom w:val="0"/>
              <w:divBdr>
                <w:top w:val="none" w:sz="0" w:space="0" w:color="auto"/>
                <w:left w:val="none" w:sz="0" w:space="0" w:color="auto"/>
                <w:bottom w:val="none" w:sz="0" w:space="0" w:color="auto"/>
                <w:right w:val="none" w:sz="0" w:space="0" w:color="auto"/>
              </w:divBdr>
            </w:div>
          </w:divsChild>
        </w:div>
        <w:div w:id="1843348705">
          <w:marLeft w:val="0"/>
          <w:marRight w:val="0"/>
          <w:marTop w:val="0"/>
          <w:marBottom w:val="0"/>
          <w:divBdr>
            <w:top w:val="none" w:sz="0" w:space="0" w:color="auto"/>
            <w:left w:val="none" w:sz="0" w:space="0" w:color="auto"/>
            <w:bottom w:val="none" w:sz="0" w:space="0" w:color="auto"/>
            <w:right w:val="none" w:sz="0" w:space="0" w:color="auto"/>
          </w:divBdr>
          <w:divsChild>
            <w:div w:id="1266499751">
              <w:marLeft w:val="0"/>
              <w:marRight w:val="0"/>
              <w:marTop w:val="0"/>
              <w:marBottom w:val="0"/>
              <w:divBdr>
                <w:top w:val="none" w:sz="0" w:space="0" w:color="auto"/>
                <w:left w:val="none" w:sz="0" w:space="0" w:color="auto"/>
                <w:bottom w:val="none" w:sz="0" w:space="0" w:color="auto"/>
                <w:right w:val="none" w:sz="0" w:space="0" w:color="auto"/>
              </w:divBdr>
            </w:div>
          </w:divsChild>
        </w:div>
        <w:div w:id="2029943987">
          <w:marLeft w:val="0"/>
          <w:marRight w:val="0"/>
          <w:marTop w:val="0"/>
          <w:marBottom w:val="0"/>
          <w:divBdr>
            <w:top w:val="none" w:sz="0" w:space="0" w:color="auto"/>
            <w:left w:val="none" w:sz="0" w:space="0" w:color="auto"/>
            <w:bottom w:val="none" w:sz="0" w:space="0" w:color="auto"/>
            <w:right w:val="none" w:sz="0" w:space="0" w:color="auto"/>
          </w:divBdr>
          <w:divsChild>
            <w:div w:id="252250402">
              <w:marLeft w:val="0"/>
              <w:marRight w:val="0"/>
              <w:marTop w:val="0"/>
              <w:marBottom w:val="0"/>
              <w:divBdr>
                <w:top w:val="none" w:sz="0" w:space="0" w:color="auto"/>
                <w:left w:val="none" w:sz="0" w:space="0" w:color="auto"/>
                <w:bottom w:val="none" w:sz="0" w:space="0" w:color="auto"/>
                <w:right w:val="none" w:sz="0" w:space="0" w:color="auto"/>
              </w:divBdr>
            </w:div>
          </w:divsChild>
        </w:div>
        <w:div w:id="2074238024">
          <w:marLeft w:val="0"/>
          <w:marRight w:val="0"/>
          <w:marTop w:val="0"/>
          <w:marBottom w:val="0"/>
          <w:divBdr>
            <w:top w:val="none" w:sz="0" w:space="0" w:color="auto"/>
            <w:left w:val="none" w:sz="0" w:space="0" w:color="auto"/>
            <w:bottom w:val="none" w:sz="0" w:space="0" w:color="auto"/>
            <w:right w:val="none" w:sz="0" w:space="0" w:color="auto"/>
          </w:divBdr>
          <w:divsChild>
            <w:div w:id="1937596139">
              <w:marLeft w:val="0"/>
              <w:marRight w:val="0"/>
              <w:marTop w:val="0"/>
              <w:marBottom w:val="0"/>
              <w:divBdr>
                <w:top w:val="none" w:sz="0" w:space="0" w:color="auto"/>
                <w:left w:val="none" w:sz="0" w:space="0" w:color="auto"/>
                <w:bottom w:val="none" w:sz="0" w:space="0" w:color="auto"/>
                <w:right w:val="none" w:sz="0" w:space="0" w:color="auto"/>
              </w:divBdr>
            </w:div>
          </w:divsChild>
        </w:div>
        <w:div w:id="2117676988">
          <w:marLeft w:val="0"/>
          <w:marRight w:val="0"/>
          <w:marTop w:val="0"/>
          <w:marBottom w:val="0"/>
          <w:divBdr>
            <w:top w:val="none" w:sz="0" w:space="0" w:color="auto"/>
            <w:left w:val="none" w:sz="0" w:space="0" w:color="auto"/>
            <w:bottom w:val="none" w:sz="0" w:space="0" w:color="auto"/>
            <w:right w:val="none" w:sz="0" w:space="0" w:color="auto"/>
          </w:divBdr>
          <w:divsChild>
            <w:div w:id="5206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5229">
      <w:bodyDiv w:val="1"/>
      <w:marLeft w:val="0"/>
      <w:marRight w:val="0"/>
      <w:marTop w:val="0"/>
      <w:marBottom w:val="0"/>
      <w:divBdr>
        <w:top w:val="none" w:sz="0" w:space="0" w:color="auto"/>
        <w:left w:val="none" w:sz="0" w:space="0" w:color="auto"/>
        <w:bottom w:val="none" w:sz="0" w:space="0" w:color="auto"/>
        <w:right w:val="none" w:sz="0" w:space="0" w:color="auto"/>
      </w:divBdr>
      <w:divsChild>
        <w:div w:id="681124950">
          <w:marLeft w:val="0"/>
          <w:marRight w:val="0"/>
          <w:marTop w:val="0"/>
          <w:marBottom w:val="0"/>
          <w:divBdr>
            <w:top w:val="none" w:sz="0" w:space="0" w:color="auto"/>
            <w:left w:val="none" w:sz="0" w:space="0" w:color="auto"/>
            <w:bottom w:val="none" w:sz="0" w:space="0" w:color="auto"/>
            <w:right w:val="none" w:sz="0" w:space="0" w:color="auto"/>
          </w:divBdr>
        </w:div>
        <w:div w:id="894004206">
          <w:marLeft w:val="0"/>
          <w:marRight w:val="0"/>
          <w:marTop w:val="0"/>
          <w:marBottom w:val="0"/>
          <w:divBdr>
            <w:top w:val="none" w:sz="0" w:space="0" w:color="auto"/>
            <w:left w:val="none" w:sz="0" w:space="0" w:color="auto"/>
            <w:bottom w:val="none" w:sz="0" w:space="0" w:color="auto"/>
            <w:right w:val="none" w:sz="0" w:space="0" w:color="auto"/>
          </w:divBdr>
        </w:div>
        <w:div w:id="2050689473">
          <w:marLeft w:val="0"/>
          <w:marRight w:val="0"/>
          <w:marTop w:val="0"/>
          <w:marBottom w:val="0"/>
          <w:divBdr>
            <w:top w:val="none" w:sz="0" w:space="0" w:color="auto"/>
            <w:left w:val="none" w:sz="0" w:space="0" w:color="auto"/>
            <w:bottom w:val="none" w:sz="0" w:space="0" w:color="auto"/>
            <w:right w:val="none" w:sz="0" w:space="0" w:color="auto"/>
          </w:divBdr>
        </w:div>
      </w:divsChild>
    </w:div>
    <w:div w:id="217013786">
      <w:bodyDiv w:val="1"/>
      <w:marLeft w:val="0"/>
      <w:marRight w:val="0"/>
      <w:marTop w:val="0"/>
      <w:marBottom w:val="0"/>
      <w:divBdr>
        <w:top w:val="none" w:sz="0" w:space="0" w:color="auto"/>
        <w:left w:val="none" w:sz="0" w:space="0" w:color="auto"/>
        <w:bottom w:val="none" w:sz="0" w:space="0" w:color="auto"/>
        <w:right w:val="none" w:sz="0" w:space="0" w:color="auto"/>
      </w:divBdr>
      <w:divsChild>
        <w:div w:id="162598326">
          <w:marLeft w:val="0"/>
          <w:marRight w:val="0"/>
          <w:marTop w:val="0"/>
          <w:marBottom w:val="0"/>
          <w:divBdr>
            <w:top w:val="none" w:sz="0" w:space="0" w:color="auto"/>
            <w:left w:val="none" w:sz="0" w:space="0" w:color="auto"/>
            <w:bottom w:val="none" w:sz="0" w:space="0" w:color="auto"/>
            <w:right w:val="none" w:sz="0" w:space="0" w:color="auto"/>
          </w:divBdr>
        </w:div>
        <w:div w:id="1306743464">
          <w:marLeft w:val="0"/>
          <w:marRight w:val="0"/>
          <w:marTop w:val="0"/>
          <w:marBottom w:val="0"/>
          <w:divBdr>
            <w:top w:val="none" w:sz="0" w:space="0" w:color="auto"/>
            <w:left w:val="none" w:sz="0" w:space="0" w:color="auto"/>
            <w:bottom w:val="none" w:sz="0" w:space="0" w:color="auto"/>
            <w:right w:val="none" w:sz="0" w:space="0" w:color="auto"/>
          </w:divBdr>
        </w:div>
        <w:div w:id="1445345730">
          <w:marLeft w:val="0"/>
          <w:marRight w:val="0"/>
          <w:marTop w:val="0"/>
          <w:marBottom w:val="0"/>
          <w:divBdr>
            <w:top w:val="none" w:sz="0" w:space="0" w:color="auto"/>
            <w:left w:val="none" w:sz="0" w:space="0" w:color="auto"/>
            <w:bottom w:val="none" w:sz="0" w:space="0" w:color="auto"/>
            <w:right w:val="none" w:sz="0" w:space="0" w:color="auto"/>
          </w:divBdr>
        </w:div>
      </w:divsChild>
    </w:div>
    <w:div w:id="227884150">
      <w:bodyDiv w:val="1"/>
      <w:marLeft w:val="0"/>
      <w:marRight w:val="0"/>
      <w:marTop w:val="0"/>
      <w:marBottom w:val="0"/>
      <w:divBdr>
        <w:top w:val="none" w:sz="0" w:space="0" w:color="auto"/>
        <w:left w:val="none" w:sz="0" w:space="0" w:color="auto"/>
        <w:bottom w:val="none" w:sz="0" w:space="0" w:color="auto"/>
        <w:right w:val="none" w:sz="0" w:space="0" w:color="auto"/>
      </w:divBdr>
      <w:divsChild>
        <w:div w:id="2023629721">
          <w:marLeft w:val="0"/>
          <w:marRight w:val="0"/>
          <w:marTop w:val="0"/>
          <w:marBottom w:val="0"/>
          <w:divBdr>
            <w:top w:val="none" w:sz="0" w:space="0" w:color="auto"/>
            <w:left w:val="none" w:sz="0" w:space="0" w:color="auto"/>
            <w:bottom w:val="none" w:sz="0" w:space="0" w:color="auto"/>
            <w:right w:val="none" w:sz="0" w:space="0" w:color="auto"/>
          </w:divBdr>
        </w:div>
      </w:divsChild>
    </w:div>
    <w:div w:id="248317338">
      <w:bodyDiv w:val="1"/>
      <w:marLeft w:val="0"/>
      <w:marRight w:val="0"/>
      <w:marTop w:val="0"/>
      <w:marBottom w:val="0"/>
      <w:divBdr>
        <w:top w:val="none" w:sz="0" w:space="0" w:color="auto"/>
        <w:left w:val="none" w:sz="0" w:space="0" w:color="auto"/>
        <w:bottom w:val="none" w:sz="0" w:space="0" w:color="auto"/>
        <w:right w:val="none" w:sz="0" w:space="0" w:color="auto"/>
      </w:divBdr>
      <w:divsChild>
        <w:div w:id="20447669">
          <w:marLeft w:val="0"/>
          <w:marRight w:val="0"/>
          <w:marTop w:val="0"/>
          <w:marBottom w:val="0"/>
          <w:divBdr>
            <w:top w:val="none" w:sz="0" w:space="0" w:color="auto"/>
            <w:left w:val="none" w:sz="0" w:space="0" w:color="auto"/>
            <w:bottom w:val="none" w:sz="0" w:space="0" w:color="auto"/>
            <w:right w:val="none" w:sz="0" w:space="0" w:color="auto"/>
          </w:divBdr>
        </w:div>
        <w:div w:id="149710835">
          <w:marLeft w:val="0"/>
          <w:marRight w:val="0"/>
          <w:marTop w:val="0"/>
          <w:marBottom w:val="0"/>
          <w:divBdr>
            <w:top w:val="none" w:sz="0" w:space="0" w:color="auto"/>
            <w:left w:val="none" w:sz="0" w:space="0" w:color="auto"/>
            <w:bottom w:val="none" w:sz="0" w:space="0" w:color="auto"/>
            <w:right w:val="none" w:sz="0" w:space="0" w:color="auto"/>
          </w:divBdr>
        </w:div>
        <w:div w:id="906039758">
          <w:marLeft w:val="0"/>
          <w:marRight w:val="0"/>
          <w:marTop w:val="0"/>
          <w:marBottom w:val="0"/>
          <w:divBdr>
            <w:top w:val="none" w:sz="0" w:space="0" w:color="auto"/>
            <w:left w:val="none" w:sz="0" w:space="0" w:color="auto"/>
            <w:bottom w:val="none" w:sz="0" w:space="0" w:color="auto"/>
            <w:right w:val="none" w:sz="0" w:space="0" w:color="auto"/>
          </w:divBdr>
        </w:div>
        <w:div w:id="1059134378">
          <w:marLeft w:val="0"/>
          <w:marRight w:val="0"/>
          <w:marTop w:val="0"/>
          <w:marBottom w:val="0"/>
          <w:divBdr>
            <w:top w:val="none" w:sz="0" w:space="0" w:color="auto"/>
            <w:left w:val="none" w:sz="0" w:space="0" w:color="auto"/>
            <w:bottom w:val="none" w:sz="0" w:space="0" w:color="auto"/>
            <w:right w:val="none" w:sz="0" w:space="0" w:color="auto"/>
          </w:divBdr>
        </w:div>
        <w:div w:id="1712269955">
          <w:marLeft w:val="0"/>
          <w:marRight w:val="0"/>
          <w:marTop w:val="0"/>
          <w:marBottom w:val="0"/>
          <w:divBdr>
            <w:top w:val="none" w:sz="0" w:space="0" w:color="auto"/>
            <w:left w:val="none" w:sz="0" w:space="0" w:color="auto"/>
            <w:bottom w:val="none" w:sz="0" w:space="0" w:color="auto"/>
            <w:right w:val="none" w:sz="0" w:space="0" w:color="auto"/>
          </w:divBdr>
        </w:div>
        <w:div w:id="1784764260">
          <w:marLeft w:val="0"/>
          <w:marRight w:val="0"/>
          <w:marTop w:val="0"/>
          <w:marBottom w:val="0"/>
          <w:divBdr>
            <w:top w:val="none" w:sz="0" w:space="0" w:color="auto"/>
            <w:left w:val="none" w:sz="0" w:space="0" w:color="auto"/>
            <w:bottom w:val="none" w:sz="0" w:space="0" w:color="auto"/>
            <w:right w:val="none" w:sz="0" w:space="0" w:color="auto"/>
          </w:divBdr>
        </w:div>
        <w:div w:id="1944220920">
          <w:marLeft w:val="0"/>
          <w:marRight w:val="0"/>
          <w:marTop w:val="0"/>
          <w:marBottom w:val="0"/>
          <w:divBdr>
            <w:top w:val="none" w:sz="0" w:space="0" w:color="auto"/>
            <w:left w:val="none" w:sz="0" w:space="0" w:color="auto"/>
            <w:bottom w:val="none" w:sz="0" w:space="0" w:color="auto"/>
            <w:right w:val="none" w:sz="0" w:space="0" w:color="auto"/>
          </w:divBdr>
        </w:div>
        <w:div w:id="1983923862">
          <w:marLeft w:val="0"/>
          <w:marRight w:val="0"/>
          <w:marTop w:val="0"/>
          <w:marBottom w:val="0"/>
          <w:divBdr>
            <w:top w:val="none" w:sz="0" w:space="0" w:color="auto"/>
            <w:left w:val="none" w:sz="0" w:space="0" w:color="auto"/>
            <w:bottom w:val="none" w:sz="0" w:space="0" w:color="auto"/>
            <w:right w:val="none" w:sz="0" w:space="0" w:color="auto"/>
          </w:divBdr>
        </w:div>
      </w:divsChild>
    </w:div>
    <w:div w:id="280453721">
      <w:bodyDiv w:val="1"/>
      <w:marLeft w:val="0"/>
      <w:marRight w:val="0"/>
      <w:marTop w:val="0"/>
      <w:marBottom w:val="0"/>
      <w:divBdr>
        <w:top w:val="none" w:sz="0" w:space="0" w:color="auto"/>
        <w:left w:val="none" w:sz="0" w:space="0" w:color="auto"/>
        <w:bottom w:val="none" w:sz="0" w:space="0" w:color="auto"/>
        <w:right w:val="none" w:sz="0" w:space="0" w:color="auto"/>
      </w:divBdr>
      <w:divsChild>
        <w:div w:id="900364732">
          <w:marLeft w:val="0"/>
          <w:marRight w:val="0"/>
          <w:marTop w:val="0"/>
          <w:marBottom w:val="0"/>
          <w:divBdr>
            <w:top w:val="none" w:sz="0" w:space="0" w:color="auto"/>
            <w:left w:val="none" w:sz="0" w:space="0" w:color="auto"/>
            <w:bottom w:val="none" w:sz="0" w:space="0" w:color="auto"/>
            <w:right w:val="none" w:sz="0" w:space="0" w:color="auto"/>
          </w:divBdr>
        </w:div>
        <w:div w:id="1411654485">
          <w:marLeft w:val="0"/>
          <w:marRight w:val="0"/>
          <w:marTop w:val="0"/>
          <w:marBottom w:val="0"/>
          <w:divBdr>
            <w:top w:val="none" w:sz="0" w:space="0" w:color="auto"/>
            <w:left w:val="none" w:sz="0" w:space="0" w:color="auto"/>
            <w:bottom w:val="none" w:sz="0" w:space="0" w:color="auto"/>
            <w:right w:val="none" w:sz="0" w:space="0" w:color="auto"/>
          </w:divBdr>
        </w:div>
      </w:divsChild>
    </w:div>
    <w:div w:id="313334469">
      <w:bodyDiv w:val="1"/>
      <w:marLeft w:val="0"/>
      <w:marRight w:val="0"/>
      <w:marTop w:val="0"/>
      <w:marBottom w:val="0"/>
      <w:divBdr>
        <w:top w:val="none" w:sz="0" w:space="0" w:color="auto"/>
        <w:left w:val="none" w:sz="0" w:space="0" w:color="auto"/>
        <w:bottom w:val="none" w:sz="0" w:space="0" w:color="auto"/>
        <w:right w:val="none" w:sz="0" w:space="0" w:color="auto"/>
      </w:divBdr>
      <w:divsChild>
        <w:div w:id="416754056">
          <w:marLeft w:val="0"/>
          <w:marRight w:val="0"/>
          <w:marTop w:val="0"/>
          <w:marBottom w:val="0"/>
          <w:divBdr>
            <w:top w:val="none" w:sz="0" w:space="0" w:color="auto"/>
            <w:left w:val="none" w:sz="0" w:space="0" w:color="auto"/>
            <w:bottom w:val="none" w:sz="0" w:space="0" w:color="auto"/>
            <w:right w:val="none" w:sz="0" w:space="0" w:color="auto"/>
          </w:divBdr>
        </w:div>
      </w:divsChild>
    </w:div>
    <w:div w:id="318535499">
      <w:bodyDiv w:val="1"/>
      <w:marLeft w:val="0"/>
      <w:marRight w:val="0"/>
      <w:marTop w:val="0"/>
      <w:marBottom w:val="0"/>
      <w:divBdr>
        <w:top w:val="none" w:sz="0" w:space="0" w:color="auto"/>
        <w:left w:val="none" w:sz="0" w:space="0" w:color="auto"/>
        <w:bottom w:val="none" w:sz="0" w:space="0" w:color="auto"/>
        <w:right w:val="none" w:sz="0" w:space="0" w:color="auto"/>
      </w:divBdr>
      <w:divsChild>
        <w:div w:id="62220749">
          <w:marLeft w:val="0"/>
          <w:marRight w:val="0"/>
          <w:marTop w:val="0"/>
          <w:marBottom w:val="0"/>
          <w:divBdr>
            <w:top w:val="none" w:sz="0" w:space="0" w:color="auto"/>
            <w:left w:val="none" w:sz="0" w:space="0" w:color="auto"/>
            <w:bottom w:val="none" w:sz="0" w:space="0" w:color="auto"/>
            <w:right w:val="none" w:sz="0" w:space="0" w:color="auto"/>
          </w:divBdr>
        </w:div>
        <w:div w:id="431828228">
          <w:marLeft w:val="0"/>
          <w:marRight w:val="0"/>
          <w:marTop w:val="0"/>
          <w:marBottom w:val="0"/>
          <w:divBdr>
            <w:top w:val="none" w:sz="0" w:space="0" w:color="auto"/>
            <w:left w:val="none" w:sz="0" w:space="0" w:color="auto"/>
            <w:bottom w:val="none" w:sz="0" w:space="0" w:color="auto"/>
            <w:right w:val="none" w:sz="0" w:space="0" w:color="auto"/>
          </w:divBdr>
        </w:div>
        <w:div w:id="439570131">
          <w:marLeft w:val="0"/>
          <w:marRight w:val="0"/>
          <w:marTop w:val="0"/>
          <w:marBottom w:val="0"/>
          <w:divBdr>
            <w:top w:val="none" w:sz="0" w:space="0" w:color="auto"/>
            <w:left w:val="none" w:sz="0" w:space="0" w:color="auto"/>
            <w:bottom w:val="none" w:sz="0" w:space="0" w:color="auto"/>
            <w:right w:val="none" w:sz="0" w:space="0" w:color="auto"/>
          </w:divBdr>
        </w:div>
      </w:divsChild>
    </w:div>
    <w:div w:id="361056550">
      <w:bodyDiv w:val="1"/>
      <w:marLeft w:val="0"/>
      <w:marRight w:val="0"/>
      <w:marTop w:val="0"/>
      <w:marBottom w:val="0"/>
      <w:divBdr>
        <w:top w:val="none" w:sz="0" w:space="0" w:color="auto"/>
        <w:left w:val="none" w:sz="0" w:space="0" w:color="auto"/>
        <w:bottom w:val="none" w:sz="0" w:space="0" w:color="auto"/>
        <w:right w:val="none" w:sz="0" w:space="0" w:color="auto"/>
      </w:divBdr>
      <w:divsChild>
        <w:div w:id="70078517">
          <w:marLeft w:val="0"/>
          <w:marRight w:val="0"/>
          <w:marTop w:val="0"/>
          <w:marBottom w:val="0"/>
          <w:divBdr>
            <w:top w:val="none" w:sz="0" w:space="0" w:color="auto"/>
            <w:left w:val="none" w:sz="0" w:space="0" w:color="auto"/>
            <w:bottom w:val="none" w:sz="0" w:space="0" w:color="auto"/>
            <w:right w:val="none" w:sz="0" w:space="0" w:color="auto"/>
          </w:divBdr>
        </w:div>
        <w:div w:id="1020280996">
          <w:marLeft w:val="0"/>
          <w:marRight w:val="0"/>
          <w:marTop w:val="0"/>
          <w:marBottom w:val="0"/>
          <w:divBdr>
            <w:top w:val="none" w:sz="0" w:space="0" w:color="auto"/>
            <w:left w:val="none" w:sz="0" w:space="0" w:color="auto"/>
            <w:bottom w:val="none" w:sz="0" w:space="0" w:color="auto"/>
            <w:right w:val="none" w:sz="0" w:space="0" w:color="auto"/>
          </w:divBdr>
        </w:div>
        <w:div w:id="1919435450">
          <w:marLeft w:val="0"/>
          <w:marRight w:val="0"/>
          <w:marTop w:val="0"/>
          <w:marBottom w:val="0"/>
          <w:divBdr>
            <w:top w:val="none" w:sz="0" w:space="0" w:color="auto"/>
            <w:left w:val="none" w:sz="0" w:space="0" w:color="auto"/>
            <w:bottom w:val="none" w:sz="0" w:space="0" w:color="auto"/>
            <w:right w:val="none" w:sz="0" w:space="0" w:color="auto"/>
          </w:divBdr>
        </w:div>
      </w:divsChild>
    </w:div>
    <w:div w:id="392973746">
      <w:bodyDiv w:val="1"/>
      <w:marLeft w:val="0"/>
      <w:marRight w:val="0"/>
      <w:marTop w:val="0"/>
      <w:marBottom w:val="0"/>
      <w:divBdr>
        <w:top w:val="none" w:sz="0" w:space="0" w:color="auto"/>
        <w:left w:val="none" w:sz="0" w:space="0" w:color="auto"/>
        <w:bottom w:val="none" w:sz="0" w:space="0" w:color="auto"/>
        <w:right w:val="none" w:sz="0" w:space="0" w:color="auto"/>
      </w:divBdr>
    </w:div>
    <w:div w:id="406222818">
      <w:bodyDiv w:val="1"/>
      <w:marLeft w:val="0"/>
      <w:marRight w:val="0"/>
      <w:marTop w:val="0"/>
      <w:marBottom w:val="0"/>
      <w:divBdr>
        <w:top w:val="none" w:sz="0" w:space="0" w:color="auto"/>
        <w:left w:val="none" w:sz="0" w:space="0" w:color="auto"/>
        <w:bottom w:val="none" w:sz="0" w:space="0" w:color="auto"/>
        <w:right w:val="none" w:sz="0" w:space="0" w:color="auto"/>
      </w:divBdr>
      <w:divsChild>
        <w:div w:id="563107646">
          <w:marLeft w:val="0"/>
          <w:marRight w:val="0"/>
          <w:marTop w:val="0"/>
          <w:marBottom w:val="0"/>
          <w:divBdr>
            <w:top w:val="none" w:sz="0" w:space="0" w:color="auto"/>
            <w:left w:val="none" w:sz="0" w:space="0" w:color="auto"/>
            <w:bottom w:val="none" w:sz="0" w:space="0" w:color="auto"/>
            <w:right w:val="none" w:sz="0" w:space="0" w:color="auto"/>
          </w:divBdr>
        </w:div>
        <w:div w:id="2082559223">
          <w:marLeft w:val="0"/>
          <w:marRight w:val="0"/>
          <w:marTop w:val="0"/>
          <w:marBottom w:val="0"/>
          <w:divBdr>
            <w:top w:val="none" w:sz="0" w:space="0" w:color="auto"/>
            <w:left w:val="none" w:sz="0" w:space="0" w:color="auto"/>
            <w:bottom w:val="none" w:sz="0" w:space="0" w:color="auto"/>
            <w:right w:val="none" w:sz="0" w:space="0" w:color="auto"/>
          </w:divBdr>
        </w:div>
      </w:divsChild>
    </w:div>
    <w:div w:id="484248042">
      <w:bodyDiv w:val="1"/>
      <w:marLeft w:val="0"/>
      <w:marRight w:val="0"/>
      <w:marTop w:val="0"/>
      <w:marBottom w:val="0"/>
      <w:divBdr>
        <w:top w:val="none" w:sz="0" w:space="0" w:color="auto"/>
        <w:left w:val="none" w:sz="0" w:space="0" w:color="auto"/>
        <w:bottom w:val="none" w:sz="0" w:space="0" w:color="auto"/>
        <w:right w:val="none" w:sz="0" w:space="0" w:color="auto"/>
      </w:divBdr>
    </w:div>
    <w:div w:id="533275398">
      <w:bodyDiv w:val="1"/>
      <w:marLeft w:val="0"/>
      <w:marRight w:val="0"/>
      <w:marTop w:val="0"/>
      <w:marBottom w:val="0"/>
      <w:divBdr>
        <w:top w:val="none" w:sz="0" w:space="0" w:color="auto"/>
        <w:left w:val="none" w:sz="0" w:space="0" w:color="auto"/>
        <w:bottom w:val="none" w:sz="0" w:space="0" w:color="auto"/>
        <w:right w:val="none" w:sz="0" w:space="0" w:color="auto"/>
      </w:divBdr>
      <w:divsChild>
        <w:div w:id="666053611">
          <w:marLeft w:val="0"/>
          <w:marRight w:val="0"/>
          <w:marTop w:val="0"/>
          <w:marBottom w:val="0"/>
          <w:divBdr>
            <w:top w:val="none" w:sz="0" w:space="0" w:color="auto"/>
            <w:left w:val="none" w:sz="0" w:space="0" w:color="auto"/>
            <w:bottom w:val="none" w:sz="0" w:space="0" w:color="auto"/>
            <w:right w:val="none" w:sz="0" w:space="0" w:color="auto"/>
          </w:divBdr>
        </w:div>
        <w:div w:id="1812089438">
          <w:marLeft w:val="0"/>
          <w:marRight w:val="0"/>
          <w:marTop w:val="0"/>
          <w:marBottom w:val="0"/>
          <w:divBdr>
            <w:top w:val="none" w:sz="0" w:space="0" w:color="auto"/>
            <w:left w:val="none" w:sz="0" w:space="0" w:color="auto"/>
            <w:bottom w:val="none" w:sz="0" w:space="0" w:color="auto"/>
            <w:right w:val="none" w:sz="0" w:space="0" w:color="auto"/>
          </w:divBdr>
        </w:div>
        <w:div w:id="1836991246">
          <w:marLeft w:val="0"/>
          <w:marRight w:val="0"/>
          <w:marTop w:val="0"/>
          <w:marBottom w:val="0"/>
          <w:divBdr>
            <w:top w:val="none" w:sz="0" w:space="0" w:color="auto"/>
            <w:left w:val="none" w:sz="0" w:space="0" w:color="auto"/>
            <w:bottom w:val="none" w:sz="0" w:space="0" w:color="auto"/>
            <w:right w:val="none" w:sz="0" w:space="0" w:color="auto"/>
          </w:divBdr>
        </w:div>
        <w:div w:id="2089767466">
          <w:marLeft w:val="0"/>
          <w:marRight w:val="0"/>
          <w:marTop w:val="0"/>
          <w:marBottom w:val="0"/>
          <w:divBdr>
            <w:top w:val="none" w:sz="0" w:space="0" w:color="auto"/>
            <w:left w:val="none" w:sz="0" w:space="0" w:color="auto"/>
            <w:bottom w:val="none" w:sz="0" w:space="0" w:color="auto"/>
            <w:right w:val="none" w:sz="0" w:space="0" w:color="auto"/>
          </w:divBdr>
        </w:div>
        <w:div w:id="2125732185">
          <w:marLeft w:val="0"/>
          <w:marRight w:val="0"/>
          <w:marTop w:val="0"/>
          <w:marBottom w:val="0"/>
          <w:divBdr>
            <w:top w:val="none" w:sz="0" w:space="0" w:color="auto"/>
            <w:left w:val="none" w:sz="0" w:space="0" w:color="auto"/>
            <w:bottom w:val="none" w:sz="0" w:space="0" w:color="auto"/>
            <w:right w:val="none" w:sz="0" w:space="0" w:color="auto"/>
          </w:divBdr>
        </w:div>
      </w:divsChild>
    </w:div>
    <w:div w:id="594286532">
      <w:bodyDiv w:val="1"/>
      <w:marLeft w:val="0"/>
      <w:marRight w:val="0"/>
      <w:marTop w:val="0"/>
      <w:marBottom w:val="0"/>
      <w:divBdr>
        <w:top w:val="none" w:sz="0" w:space="0" w:color="auto"/>
        <w:left w:val="none" w:sz="0" w:space="0" w:color="auto"/>
        <w:bottom w:val="none" w:sz="0" w:space="0" w:color="auto"/>
        <w:right w:val="none" w:sz="0" w:space="0" w:color="auto"/>
      </w:divBdr>
    </w:div>
    <w:div w:id="627591100">
      <w:bodyDiv w:val="1"/>
      <w:marLeft w:val="0"/>
      <w:marRight w:val="0"/>
      <w:marTop w:val="0"/>
      <w:marBottom w:val="0"/>
      <w:divBdr>
        <w:top w:val="none" w:sz="0" w:space="0" w:color="auto"/>
        <w:left w:val="none" w:sz="0" w:space="0" w:color="auto"/>
        <w:bottom w:val="none" w:sz="0" w:space="0" w:color="auto"/>
        <w:right w:val="none" w:sz="0" w:space="0" w:color="auto"/>
      </w:divBdr>
      <w:divsChild>
        <w:div w:id="331491775">
          <w:marLeft w:val="0"/>
          <w:marRight w:val="0"/>
          <w:marTop w:val="0"/>
          <w:marBottom w:val="0"/>
          <w:divBdr>
            <w:top w:val="none" w:sz="0" w:space="0" w:color="auto"/>
            <w:left w:val="none" w:sz="0" w:space="0" w:color="auto"/>
            <w:bottom w:val="none" w:sz="0" w:space="0" w:color="auto"/>
            <w:right w:val="none" w:sz="0" w:space="0" w:color="auto"/>
          </w:divBdr>
        </w:div>
        <w:div w:id="351347235">
          <w:marLeft w:val="0"/>
          <w:marRight w:val="0"/>
          <w:marTop w:val="0"/>
          <w:marBottom w:val="0"/>
          <w:divBdr>
            <w:top w:val="none" w:sz="0" w:space="0" w:color="auto"/>
            <w:left w:val="none" w:sz="0" w:space="0" w:color="auto"/>
            <w:bottom w:val="none" w:sz="0" w:space="0" w:color="auto"/>
            <w:right w:val="none" w:sz="0" w:space="0" w:color="auto"/>
          </w:divBdr>
        </w:div>
        <w:div w:id="738794329">
          <w:marLeft w:val="0"/>
          <w:marRight w:val="0"/>
          <w:marTop w:val="0"/>
          <w:marBottom w:val="0"/>
          <w:divBdr>
            <w:top w:val="none" w:sz="0" w:space="0" w:color="auto"/>
            <w:left w:val="none" w:sz="0" w:space="0" w:color="auto"/>
            <w:bottom w:val="none" w:sz="0" w:space="0" w:color="auto"/>
            <w:right w:val="none" w:sz="0" w:space="0" w:color="auto"/>
          </w:divBdr>
        </w:div>
      </w:divsChild>
    </w:div>
    <w:div w:id="649793685">
      <w:bodyDiv w:val="1"/>
      <w:marLeft w:val="0"/>
      <w:marRight w:val="0"/>
      <w:marTop w:val="0"/>
      <w:marBottom w:val="0"/>
      <w:divBdr>
        <w:top w:val="none" w:sz="0" w:space="0" w:color="auto"/>
        <w:left w:val="none" w:sz="0" w:space="0" w:color="auto"/>
        <w:bottom w:val="none" w:sz="0" w:space="0" w:color="auto"/>
        <w:right w:val="none" w:sz="0" w:space="0" w:color="auto"/>
      </w:divBdr>
      <w:divsChild>
        <w:div w:id="100034358">
          <w:marLeft w:val="0"/>
          <w:marRight w:val="0"/>
          <w:marTop w:val="0"/>
          <w:marBottom w:val="0"/>
          <w:divBdr>
            <w:top w:val="none" w:sz="0" w:space="0" w:color="auto"/>
            <w:left w:val="none" w:sz="0" w:space="0" w:color="auto"/>
            <w:bottom w:val="none" w:sz="0" w:space="0" w:color="auto"/>
            <w:right w:val="none" w:sz="0" w:space="0" w:color="auto"/>
          </w:divBdr>
        </w:div>
        <w:div w:id="510683116">
          <w:marLeft w:val="0"/>
          <w:marRight w:val="0"/>
          <w:marTop w:val="0"/>
          <w:marBottom w:val="0"/>
          <w:divBdr>
            <w:top w:val="none" w:sz="0" w:space="0" w:color="auto"/>
            <w:left w:val="none" w:sz="0" w:space="0" w:color="auto"/>
            <w:bottom w:val="none" w:sz="0" w:space="0" w:color="auto"/>
            <w:right w:val="none" w:sz="0" w:space="0" w:color="auto"/>
          </w:divBdr>
        </w:div>
        <w:div w:id="2146239382">
          <w:marLeft w:val="0"/>
          <w:marRight w:val="0"/>
          <w:marTop w:val="0"/>
          <w:marBottom w:val="0"/>
          <w:divBdr>
            <w:top w:val="none" w:sz="0" w:space="0" w:color="auto"/>
            <w:left w:val="none" w:sz="0" w:space="0" w:color="auto"/>
            <w:bottom w:val="none" w:sz="0" w:space="0" w:color="auto"/>
            <w:right w:val="none" w:sz="0" w:space="0" w:color="auto"/>
          </w:divBdr>
        </w:div>
      </w:divsChild>
    </w:div>
    <w:div w:id="680543733">
      <w:bodyDiv w:val="1"/>
      <w:marLeft w:val="0"/>
      <w:marRight w:val="0"/>
      <w:marTop w:val="0"/>
      <w:marBottom w:val="0"/>
      <w:divBdr>
        <w:top w:val="none" w:sz="0" w:space="0" w:color="auto"/>
        <w:left w:val="none" w:sz="0" w:space="0" w:color="auto"/>
        <w:bottom w:val="none" w:sz="0" w:space="0" w:color="auto"/>
        <w:right w:val="none" w:sz="0" w:space="0" w:color="auto"/>
      </w:divBdr>
    </w:div>
    <w:div w:id="740568239">
      <w:bodyDiv w:val="1"/>
      <w:marLeft w:val="0"/>
      <w:marRight w:val="0"/>
      <w:marTop w:val="0"/>
      <w:marBottom w:val="0"/>
      <w:divBdr>
        <w:top w:val="none" w:sz="0" w:space="0" w:color="auto"/>
        <w:left w:val="none" w:sz="0" w:space="0" w:color="auto"/>
        <w:bottom w:val="none" w:sz="0" w:space="0" w:color="auto"/>
        <w:right w:val="none" w:sz="0" w:space="0" w:color="auto"/>
      </w:divBdr>
      <w:divsChild>
        <w:div w:id="568343651">
          <w:marLeft w:val="0"/>
          <w:marRight w:val="0"/>
          <w:marTop w:val="0"/>
          <w:marBottom w:val="0"/>
          <w:divBdr>
            <w:top w:val="none" w:sz="0" w:space="0" w:color="auto"/>
            <w:left w:val="none" w:sz="0" w:space="0" w:color="auto"/>
            <w:bottom w:val="none" w:sz="0" w:space="0" w:color="auto"/>
            <w:right w:val="none" w:sz="0" w:space="0" w:color="auto"/>
          </w:divBdr>
        </w:div>
        <w:div w:id="621687625">
          <w:marLeft w:val="0"/>
          <w:marRight w:val="0"/>
          <w:marTop w:val="0"/>
          <w:marBottom w:val="0"/>
          <w:divBdr>
            <w:top w:val="none" w:sz="0" w:space="0" w:color="auto"/>
            <w:left w:val="none" w:sz="0" w:space="0" w:color="auto"/>
            <w:bottom w:val="none" w:sz="0" w:space="0" w:color="auto"/>
            <w:right w:val="none" w:sz="0" w:space="0" w:color="auto"/>
          </w:divBdr>
        </w:div>
        <w:div w:id="634529572">
          <w:marLeft w:val="0"/>
          <w:marRight w:val="0"/>
          <w:marTop w:val="0"/>
          <w:marBottom w:val="0"/>
          <w:divBdr>
            <w:top w:val="none" w:sz="0" w:space="0" w:color="auto"/>
            <w:left w:val="none" w:sz="0" w:space="0" w:color="auto"/>
            <w:bottom w:val="none" w:sz="0" w:space="0" w:color="auto"/>
            <w:right w:val="none" w:sz="0" w:space="0" w:color="auto"/>
          </w:divBdr>
        </w:div>
        <w:div w:id="888297648">
          <w:marLeft w:val="0"/>
          <w:marRight w:val="0"/>
          <w:marTop w:val="0"/>
          <w:marBottom w:val="0"/>
          <w:divBdr>
            <w:top w:val="none" w:sz="0" w:space="0" w:color="auto"/>
            <w:left w:val="none" w:sz="0" w:space="0" w:color="auto"/>
            <w:bottom w:val="none" w:sz="0" w:space="0" w:color="auto"/>
            <w:right w:val="none" w:sz="0" w:space="0" w:color="auto"/>
          </w:divBdr>
        </w:div>
        <w:div w:id="2036883924">
          <w:marLeft w:val="0"/>
          <w:marRight w:val="0"/>
          <w:marTop w:val="0"/>
          <w:marBottom w:val="0"/>
          <w:divBdr>
            <w:top w:val="none" w:sz="0" w:space="0" w:color="auto"/>
            <w:left w:val="none" w:sz="0" w:space="0" w:color="auto"/>
            <w:bottom w:val="none" w:sz="0" w:space="0" w:color="auto"/>
            <w:right w:val="none" w:sz="0" w:space="0" w:color="auto"/>
          </w:divBdr>
        </w:div>
      </w:divsChild>
    </w:div>
    <w:div w:id="768306859">
      <w:bodyDiv w:val="1"/>
      <w:marLeft w:val="0"/>
      <w:marRight w:val="0"/>
      <w:marTop w:val="0"/>
      <w:marBottom w:val="0"/>
      <w:divBdr>
        <w:top w:val="none" w:sz="0" w:space="0" w:color="auto"/>
        <w:left w:val="none" w:sz="0" w:space="0" w:color="auto"/>
        <w:bottom w:val="none" w:sz="0" w:space="0" w:color="auto"/>
        <w:right w:val="none" w:sz="0" w:space="0" w:color="auto"/>
      </w:divBdr>
    </w:div>
    <w:div w:id="891190834">
      <w:bodyDiv w:val="1"/>
      <w:marLeft w:val="0"/>
      <w:marRight w:val="0"/>
      <w:marTop w:val="0"/>
      <w:marBottom w:val="0"/>
      <w:divBdr>
        <w:top w:val="none" w:sz="0" w:space="0" w:color="auto"/>
        <w:left w:val="none" w:sz="0" w:space="0" w:color="auto"/>
        <w:bottom w:val="none" w:sz="0" w:space="0" w:color="auto"/>
        <w:right w:val="none" w:sz="0" w:space="0" w:color="auto"/>
      </w:divBdr>
      <w:divsChild>
        <w:div w:id="200897677">
          <w:marLeft w:val="0"/>
          <w:marRight w:val="0"/>
          <w:marTop w:val="0"/>
          <w:marBottom w:val="0"/>
          <w:divBdr>
            <w:top w:val="none" w:sz="0" w:space="0" w:color="auto"/>
            <w:left w:val="none" w:sz="0" w:space="0" w:color="auto"/>
            <w:bottom w:val="none" w:sz="0" w:space="0" w:color="auto"/>
            <w:right w:val="none" w:sz="0" w:space="0" w:color="auto"/>
          </w:divBdr>
        </w:div>
        <w:div w:id="786781791">
          <w:marLeft w:val="0"/>
          <w:marRight w:val="0"/>
          <w:marTop w:val="0"/>
          <w:marBottom w:val="0"/>
          <w:divBdr>
            <w:top w:val="none" w:sz="0" w:space="0" w:color="auto"/>
            <w:left w:val="none" w:sz="0" w:space="0" w:color="auto"/>
            <w:bottom w:val="none" w:sz="0" w:space="0" w:color="auto"/>
            <w:right w:val="none" w:sz="0" w:space="0" w:color="auto"/>
          </w:divBdr>
        </w:div>
        <w:div w:id="1762869641">
          <w:marLeft w:val="0"/>
          <w:marRight w:val="0"/>
          <w:marTop w:val="0"/>
          <w:marBottom w:val="0"/>
          <w:divBdr>
            <w:top w:val="none" w:sz="0" w:space="0" w:color="auto"/>
            <w:left w:val="none" w:sz="0" w:space="0" w:color="auto"/>
            <w:bottom w:val="none" w:sz="0" w:space="0" w:color="auto"/>
            <w:right w:val="none" w:sz="0" w:space="0" w:color="auto"/>
          </w:divBdr>
        </w:div>
      </w:divsChild>
    </w:div>
    <w:div w:id="958681113">
      <w:bodyDiv w:val="1"/>
      <w:marLeft w:val="0"/>
      <w:marRight w:val="0"/>
      <w:marTop w:val="0"/>
      <w:marBottom w:val="0"/>
      <w:divBdr>
        <w:top w:val="none" w:sz="0" w:space="0" w:color="auto"/>
        <w:left w:val="none" w:sz="0" w:space="0" w:color="auto"/>
        <w:bottom w:val="none" w:sz="0" w:space="0" w:color="auto"/>
        <w:right w:val="none" w:sz="0" w:space="0" w:color="auto"/>
      </w:divBdr>
      <w:divsChild>
        <w:div w:id="770006351">
          <w:marLeft w:val="0"/>
          <w:marRight w:val="0"/>
          <w:marTop w:val="0"/>
          <w:marBottom w:val="0"/>
          <w:divBdr>
            <w:top w:val="none" w:sz="0" w:space="0" w:color="auto"/>
            <w:left w:val="none" w:sz="0" w:space="0" w:color="auto"/>
            <w:bottom w:val="none" w:sz="0" w:space="0" w:color="auto"/>
            <w:right w:val="none" w:sz="0" w:space="0" w:color="auto"/>
          </w:divBdr>
        </w:div>
        <w:div w:id="1863787961">
          <w:marLeft w:val="0"/>
          <w:marRight w:val="0"/>
          <w:marTop w:val="0"/>
          <w:marBottom w:val="0"/>
          <w:divBdr>
            <w:top w:val="none" w:sz="0" w:space="0" w:color="auto"/>
            <w:left w:val="none" w:sz="0" w:space="0" w:color="auto"/>
            <w:bottom w:val="none" w:sz="0" w:space="0" w:color="auto"/>
            <w:right w:val="none" w:sz="0" w:space="0" w:color="auto"/>
          </w:divBdr>
        </w:div>
      </w:divsChild>
    </w:div>
    <w:div w:id="975913206">
      <w:bodyDiv w:val="1"/>
      <w:marLeft w:val="0"/>
      <w:marRight w:val="0"/>
      <w:marTop w:val="0"/>
      <w:marBottom w:val="0"/>
      <w:divBdr>
        <w:top w:val="none" w:sz="0" w:space="0" w:color="auto"/>
        <w:left w:val="none" w:sz="0" w:space="0" w:color="auto"/>
        <w:bottom w:val="none" w:sz="0" w:space="0" w:color="auto"/>
        <w:right w:val="none" w:sz="0" w:space="0" w:color="auto"/>
      </w:divBdr>
    </w:div>
    <w:div w:id="977803340">
      <w:bodyDiv w:val="1"/>
      <w:marLeft w:val="0"/>
      <w:marRight w:val="0"/>
      <w:marTop w:val="0"/>
      <w:marBottom w:val="0"/>
      <w:divBdr>
        <w:top w:val="none" w:sz="0" w:space="0" w:color="auto"/>
        <w:left w:val="none" w:sz="0" w:space="0" w:color="auto"/>
        <w:bottom w:val="none" w:sz="0" w:space="0" w:color="auto"/>
        <w:right w:val="none" w:sz="0" w:space="0" w:color="auto"/>
      </w:divBdr>
    </w:div>
    <w:div w:id="1041713574">
      <w:bodyDiv w:val="1"/>
      <w:marLeft w:val="0"/>
      <w:marRight w:val="0"/>
      <w:marTop w:val="0"/>
      <w:marBottom w:val="0"/>
      <w:divBdr>
        <w:top w:val="none" w:sz="0" w:space="0" w:color="auto"/>
        <w:left w:val="none" w:sz="0" w:space="0" w:color="auto"/>
        <w:bottom w:val="none" w:sz="0" w:space="0" w:color="auto"/>
        <w:right w:val="none" w:sz="0" w:space="0" w:color="auto"/>
      </w:divBdr>
    </w:div>
    <w:div w:id="1070544534">
      <w:bodyDiv w:val="1"/>
      <w:marLeft w:val="0"/>
      <w:marRight w:val="0"/>
      <w:marTop w:val="0"/>
      <w:marBottom w:val="0"/>
      <w:divBdr>
        <w:top w:val="none" w:sz="0" w:space="0" w:color="auto"/>
        <w:left w:val="none" w:sz="0" w:space="0" w:color="auto"/>
        <w:bottom w:val="none" w:sz="0" w:space="0" w:color="auto"/>
        <w:right w:val="none" w:sz="0" w:space="0" w:color="auto"/>
      </w:divBdr>
    </w:div>
    <w:div w:id="1079718197">
      <w:bodyDiv w:val="1"/>
      <w:marLeft w:val="0"/>
      <w:marRight w:val="0"/>
      <w:marTop w:val="0"/>
      <w:marBottom w:val="0"/>
      <w:divBdr>
        <w:top w:val="none" w:sz="0" w:space="0" w:color="auto"/>
        <w:left w:val="none" w:sz="0" w:space="0" w:color="auto"/>
        <w:bottom w:val="none" w:sz="0" w:space="0" w:color="auto"/>
        <w:right w:val="none" w:sz="0" w:space="0" w:color="auto"/>
      </w:divBdr>
    </w:div>
    <w:div w:id="1110852660">
      <w:bodyDiv w:val="1"/>
      <w:marLeft w:val="0"/>
      <w:marRight w:val="0"/>
      <w:marTop w:val="0"/>
      <w:marBottom w:val="0"/>
      <w:divBdr>
        <w:top w:val="none" w:sz="0" w:space="0" w:color="auto"/>
        <w:left w:val="none" w:sz="0" w:space="0" w:color="auto"/>
        <w:bottom w:val="none" w:sz="0" w:space="0" w:color="auto"/>
        <w:right w:val="none" w:sz="0" w:space="0" w:color="auto"/>
      </w:divBdr>
      <w:divsChild>
        <w:div w:id="534461191">
          <w:marLeft w:val="0"/>
          <w:marRight w:val="0"/>
          <w:marTop w:val="0"/>
          <w:marBottom w:val="0"/>
          <w:divBdr>
            <w:top w:val="none" w:sz="0" w:space="0" w:color="auto"/>
            <w:left w:val="none" w:sz="0" w:space="0" w:color="auto"/>
            <w:bottom w:val="none" w:sz="0" w:space="0" w:color="auto"/>
            <w:right w:val="none" w:sz="0" w:space="0" w:color="auto"/>
          </w:divBdr>
        </w:div>
        <w:div w:id="651182500">
          <w:marLeft w:val="0"/>
          <w:marRight w:val="0"/>
          <w:marTop w:val="0"/>
          <w:marBottom w:val="0"/>
          <w:divBdr>
            <w:top w:val="none" w:sz="0" w:space="0" w:color="auto"/>
            <w:left w:val="none" w:sz="0" w:space="0" w:color="auto"/>
            <w:bottom w:val="none" w:sz="0" w:space="0" w:color="auto"/>
            <w:right w:val="none" w:sz="0" w:space="0" w:color="auto"/>
          </w:divBdr>
        </w:div>
      </w:divsChild>
    </w:div>
    <w:div w:id="1145582907">
      <w:bodyDiv w:val="1"/>
      <w:marLeft w:val="0"/>
      <w:marRight w:val="0"/>
      <w:marTop w:val="0"/>
      <w:marBottom w:val="0"/>
      <w:divBdr>
        <w:top w:val="none" w:sz="0" w:space="0" w:color="auto"/>
        <w:left w:val="none" w:sz="0" w:space="0" w:color="auto"/>
        <w:bottom w:val="none" w:sz="0" w:space="0" w:color="auto"/>
        <w:right w:val="none" w:sz="0" w:space="0" w:color="auto"/>
      </w:divBdr>
    </w:div>
    <w:div w:id="1183974929">
      <w:bodyDiv w:val="1"/>
      <w:marLeft w:val="0"/>
      <w:marRight w:val="0"/>
      <w:marTop w:val="0"/>
      <w:marBottom w:val="0"/>
      <w:divBdr>
        <w:top w:val="none" w:sz="0" w:space="0" w:color="auto"/>
        <w:left w:val="none" w:sz="0" w:space="0" w:color="auto"/>
        <w:bottom w:val="none" w:sz="0" w:space="0" w:color="auto"/>
        <w:right w:val="none" w:sz="0" w:space="0" w:color="auto"/>
      </w:divBdr>
    </w:div>
    <w:div w:id="1232084035">
      <w:bodyDiv w:val="1"/>
      <w:marLeft w:val="0"/>
      <w:marRight w:val="0"/>
      <w:marTop w:val="0"/>
      <w:marBottom w:val="0"/>
      <w:divBdr>
        <w:top w:val="none" w:sz="0" w:space="0" w:color="auto"/>
        <w:left w:val="none" w:sz="0" w:space="0" w:color="auto"/>
        <w:bottom w:val="none" w:sz="0" w:space="0" w:color="auto"/>
        <w:right w:val="none" w:sz="0" w:space="0" w:color="auto"/>
      </w:divBdr>
      <w:divsChild>
        <w:div w:id="867134887">
          <w:marLeft w:val="0"/>
          <w:marRight w:val="0"/>
          <w:marTop w:val="0"/>
          <w:marBottom w:val="0"/>
          <w:divBdr>
            <w:top w:val="none" w:sz="0" w:space="0" w:color="auto"/>
            <w:left w:val="none" w:sz="0" w:space="0" w:color="auto"/>
            <w:bottom w:val="none" w:sz="0" w:space="0" w:color="auto"/>
            <w:right w:val="none" w:sz="0" w:space="0" w:color="auto"/>
          </w:divBdr>
        </w:div>
        <w:div w:id="1406685442">
          <w:marLeft w:val="0"/>
          <w:marRight w:val="0"/>
          <w:marTop w:val="0"/>
          <w:marBottom w:val="0"/>
          <w:divBdr>
            <w:top w:val="none" w:sz="0" w:space="0" w:color="auto"/>
            <w:left w:val="none" w:sz="0" w:space="0" w:color="auto"/>
            <w:bottom w:val="none" w:sz="0" w:space="0" w:color="auto"/>
            <w:right w:val="none" w:sz="0" w:space="0" w:color="auto"/>
          </w:divBdr>
        </w:div>
      </w:divsChild>
    </w:div>
    <w:div w:id="1297682330">
      <w:bodyDiv w:val="1"/>
      <w:marLeft w:val="0"/>
      <w:marRight w:val="0"/>
      <w:marTop w:val="0"/>
      <w:marBottom w:val="0"/>
      <w:divBdr>
        <w:top w:val="none" w:sz="0" w:space="0" w:color="auto"/>
        <w:left w:val="none" w:sz="0" w:space="0" w:color="auto"/>
        <w:bottom w:val="none" w:sz="0" w:space="0" w:color="auto"/>
        <w:right w:val="none" w:sz="0" w:space="0" w:color="auto"/>
      </w:divBdr>
      <w:divsChild>
        <w:div w:id="144591578">
          <w:marLeft w:val="0"/>
          <w:marRight w:val="0"/>
          <w:marTop w:val="0"/>
          <w:marBottom w:val="0"/>
          <w:divBdr>
            <w:top w:val="none" w:sz="0" w:space="0" w:color="auto"/>
            <w:left w:val="none" w:sz="0" w:space="0" w:color="auto"/>
            <w:bottom w:val="none" w:sz="0" w:space="0" w:color="auto"/>
            <w:right w:val="none" w:sz="0" w:space="0" w:color="auto"/>
          </w:divBdr>
        </w:div>
        <w:div w:id="150340373">
          <w:marLeft w:val="0"/>
          <w:marRight w:val="0"/>
          <w:marTop w:val="0"/>
          <w:marBottom w:val="0"/>
          <w:divBdr>
            <w:top w:val="none" w:sz="0" w:space="0" w:color="auto"/>
            <w:left w:val="none" w:sz="0" w:space="0" w:color="auto"/>
            <w:bottom w:val="none" w:sz="0" w:space="0" w:color="auto"/>
            <w:right w:val="none" w:sz="0" w:space="0" w:color="auto"/>
          </w:divBdr>
        </w:div>
        <w:div w:id="329606653">
          <w:marLeft w:val="0"/>
          <w:marRight w:val="0"/>
          <w:marTop w:val="0"/>
          <w:marBottom w:val="0"/>
          <w:divBdr>
            <w:top w:val="none" w:sz="0" w:space="0" w:color="auto"/>
            <w:left w:val="none" w:sz="0" w:space="0" w:color="auto"/>
            <w:bottom w:val="none" w:sz="0" w:space="0" w:color="auto"/>
            <w:right w:val="none" w:sz="0" w:space="0" w:color="auto"/>
          </w:divBdr>
        </w:div>
        <w:div w:id="786319852">
          <w:marLeft w:val="0"/>
          <w:marRight w:val="0"/>
          <w:marTop w:val="0"/>
          <w:marBottom w:val="0"/>
          <w:divBdr>
            <w:top w:val="none" w:sz="0" w:space="0" w:color="auto"/>
            <w:left w:val="none" w:sz="0" w:space="0" w:color="auto"/>
            <w:bottom w:val="none" w:sz="0" w:space="0" w:color="auto"/>
            <w:right w:val="none" w:sz="0" w:space="0" w:color="auto"/>
          </w:divBdr>
        </w:div>
        <w:div w:id="912542812">
          <w:marLeft w:val="0"/>
          <w:marRight w:val="0"/>
          <w:marTop w:val="0"/>
          <w:marBottom w:val="0"/>
          <w:divBdr>
            <w:top w:val="none" w:sz="0" w:space="0" w:color="auto"/>
            <w:left w:val="none" w:sz="0" w:space="0" w:color="auto"/>
            <w:bottom w:val="none" w:sz="0" w:space="0" w:color="auto"/>
            <w:right w:val="none" w:sz="0" w:space="0" w:color="auto"/>
          </w:divBdr>
        </w:div>
        <w:div w:id="930040678">
          <w:marLeft w:val="0"/>
          <w:marRight w:val="0"/>
          <w:marTop w:val="0"/>
          <w:marBottom w:val="0"/>
          <w:divBdr>
            <w:top w:val="none" w:sz="0" w:space="0" w:color="auto"/>
            <w:left w:val="none" w:sz="0" w:space="0" w:color="auto"/>
            <w:bottom w:val="none" w:sz="0" w:space="0" w:color="auto"/>
            <w:right w:val="none" w:sz="0" w:space="0" w:color="auto"/>
          </w:divBdr>
        </w:div>
        <w:div w:id="1166478520">
          <w:marLeft w:val="0"/>
          <w:marRight w:val="0"/>
          <w:marTop w:val="0"/>
          <w:marBottom w:val="0"/>
          <w:divBdr>
            <w:top w:val="none" w:sz="0" w:space="0" w:color="auto"/>
            <w:left w:val="none" w:sz="0" w:space="0" w:color="auto"/>
            <w:bottom w:val="none" w:sz="0" w:space="0" w:color="auto"/>
            <w:right w:val="none" w:sz="0" w:space="0" w:color="auto"/>
          </w:divBdr>
        </w:div>
        <w:div w:id="1861891186">
          <w:marLeft w:val="0"/>
          <w:marRight w:val="0"/>
          <w:marTop w:val="0"/>
          <w:marBottom w:val="0"/>
          <w:divBdr>
            <w:top w:val="none" w:sz="0" w:space="0" w:color="auto"/>
            <w:left w:val="none" w:sz="0" w:space="0" w:color="auto"/>
            <w:bottom w:val="none" w:sz="0" w:space="0" w:color="auto"/>
            <w:right w:val="none" w:sz="0" w:space="0" w:color="auto"/>
          </w:divBdr>
        </w:div>
      </w:divsChild>
    </w:div>
    <w:div w:id="1316764221">
      <w:bodyDiv w:val="1"/>
      <w:marLeft w:val="0"/>
      <w:marRight w:val="0"/>
      <w:marTop w:val="0"/>
      <w:marBottom w:val="0"/>
      <w:divBdr>
        <w:top w:val="none" w:sz="0" w:space="0" w:color="auto"/>
        <w:left w:val="none" w:sz="0" w:space="0" w:color="auto"/>
        <w:bottom w:val="none" w:sz="0" w:space="0" w:color="auto"/>
        <w:right w:val="none" w:sz="0" w:space="0" w:color="auto"/>
      </w:divBdr>
      <w:divsChild>
        <w:div w:id="280772802">
          <w:marLeft w:val="0"/>
          <w:marRight w:val="0"/>
          <w:marTop w:val="0"/>
          <w:marBottom w:val="0"/>
          <w:divBdr>
            <w:top w:val="none" w:sz="0" w:space="0" w:color="auto"/>
            <w:left w:val="none" w:sz="0" w:space="0" w:color="auto"/>
            <w:bottom w:val="none" w:sz="0" w:space="0" w:color="auto"/>
            <w:right w:val="none" w:sz="0" w:space="0" w:color="auto"/>
          </w:divBdr>
        </w:div>
        <w:div w:id="1611668731">
          <w:marLeft w:val="0"/>
          <w:marRight w:val="0"/>
          <w:marTop w:val="0"/>
          <w:marBottom w:val="0"/>
          <w:divBdr>
            <w:top w:val="none" w:sz="0" w:space="0" w:color="auto"/>
            <w:left w:val="none" w:sz="0" w:space="0" w:color="auto"/>
            <w:bottom w:val="none" w:sz="0" w:space="0" w:color="auto"/>
            <w:right w:val="none" w:sz="0" w:space="0" w:color="auto"/>
          </w:divBdr>
        </w:div>
        <w:div w:id="1787120170">
          <w:marLeft w:val="0"/>
          <w:marRight w:val="0"/>
          <w:marTop w:val="0"/>
          <w:marBottom w:val="0"/>
          <w:divBdr>
            <w:top w:val="none" w:sz="0" w:space="0" w:color="auto"/>
            <w:left w:val="none" w:sz="0" w:space="0" w:color="auto"/>
            <w:bottom w:val="none" w:sz="0" w:space="0" w:color="auto"/>
            <w:right w:val="none" w:sz="0" w:space="0" w:color="auto"/>
          </w:divBdr>
        </w:div>
      </w:divsChild>
    </w:div>
    <w:div w:id="1321739567">
      <w:bodyDiv w:val="1"/>
      <w:marLeft w:val="0"/>
      <w:marRight w:val="0"/>
      <w:marTop w:val="0"/>
      <w:marBottom w:val="0"/>
      <w:divBdr>
        <w:top w:val="none" w:sz="0" w:space="0" w:color="auto"/>
        <w:left w:val="none" w:sz="0" w:space="0" w:color="auto"/>
        <w:bottom w:val="none" w:sz="0" w:space="0" w:color="auto"/>
        <w:right w:val="none" w:sz="0" w:space="0" w:color="auto"/>
      </w:divBdr>
    </w:div>
    <w:div w:id="1457795912">
      <w:bodyDiv w:val="1"/>
      <w:marLeft w:val="0"/>
      <w:marRight w:val="0"/>
      <w:marTop w:val="0"/>
      <w:marBottom w:val="0"/>
      <w:divBdr>
        <w:top w:val="none" w:sz="0" w:space="0" w:color="auto"/>
        <w:left w:val="none" w:sz="0" w:space="0" w:color="auto"/>
        <w:bottom w:val="none" w:sz="0" w:space="0" w:color="auto"/>
        <w:right w:val="none" w:sz="0" w:space="0" w:color="auto"/>
      </w:divBdr>
    </w:div>
    <w:div w:id="1465350744">
      <w:bodyDiv w:val="1"/>
      <w:marLeft w:val="0"/>
      <w:marRight w:val="0"/>
      <w:marTop w:val="0"/>
      <w:marBottom w:val="0"/>
      <w:divBdr>
        <w:top w:val="none" w:sz="0" w:space="0" w:color="auto"/>
        <w:left w:val="none" w:sz="0" w:space="0" w:color="auto"/>
        <w:bottom w:val="none" w:sz="0" w:space="0" w:color="auto"/>
        <w:right w:val="none" w:sz="0" w:space="0" w:color="auto"/>
      </w:divBdr>
      <w:divsChild>
        <w:div w:id="551428261">
          <w:marLeft w:val="0"/>
          <w:marRight w:val="0"/>
          <w:marTop w:val="0"/>
          <w:marBottom w:val="0"/>
          <w:divBdr>
            <w:top w:val="none" w:sz="0" w:space="0" w:color="auto"/>
            <w:left w:val="none" w:sz="0" w:space="0" w:color="auto"/>
            <w:bottom w:val="none" w:sz="0" w:space="0" w:color="auto"/>
            <w:right w:val="none" w:sz="0" w:space="0" w:color="auto"/>
          </w:divBdr>
        </w:div>
        <w:div w:id="1312324429">
          <w:marLeft w:val="0"/>
          <w:marRight w:val="0"/>
          <w:marTop w:val="0"/>
          <w:marBottom w:val="0"/>
          <w:divBdr>
            <w:top w:val="none" w:sz="0" w:space="0" w:color="auto"/>
            <w:left w:val="none" w:sz="0" w:space="0" w:color="auto"/>
            <w:bottom w:val="none" w:sz="0" w:space="0" w:color="auto"/>
            <w:right w:val="none" w:sz="0" w:space="0" w:color="auto"/>
          </w:divBdr>
        </w:div>
        <w:div w:id="2107075123">
          <w:marLeft w:val="0"/>
          <w:marRight w:val="0"/>
          <w:marTop w:val="0"/>
          <w:marBottom w:val="0"/>
          <w:divBdr>
            <w:top w:val="none" w:sz="0" w:space="0" w:color="auto"/>
            <w:left w:val="none" w:sz="0" w:space="0" w:color="auto"/>
            <w:bottom w:val="none" w:sz="0" w:space="0" w:color="auto"/>
            <w:right w:val="none" w:sz="0" w:space="0" w:color="auto"/>
          </w:divBdr>
        </w:div>
      </w:divsChild>
    </w:div>
    <w:div w:id="1485244286">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31138926">
      <w:bodyDiv w:val="1"/>
      <w:marLeft w:val="0"/>
      <w:marRight w:val="0"/>
      <w:marTop w:val="0"/>
      <w:marBottom w:val="0"/>
      <w:divBdr>
        <w:top w:val="none" w:sz="0" w:space="0" w:color="auto"/>
        <w:left w:val="none" w:sz="0" w:space="0" w:color="auto"/>
        <w:bottom w:val="none" w:sz="0" w:space="0" w:color="auto"/>
        <w:right w:val="none" w:sz="0" w:space="0" w:color="auto"/>
      </w:divBdr>
    </w:div>
    <w:div w:id="1534152926">
      <w:bodyDiv w:val="1"/>
      <w:marLeft w:val="0"/>
      <w:marRight w:val="0"/>
      <w:marTop w:val="0"/>
      <w:marBottom w:val="0"/>
      <w:divBdr>
        <w:top w:val="none" w:sz="0" w:space="0" w:color="auto"/>
        <w:left w:val="none" w:sz="0" w:space="0" w:color="auto"/>
        <w:bottom w:val="none" w:sz="0" w:space="0" w:color="auto"/>
        <w:right w:val="none" w:sz="0" w:space="0" w:color="auto"/>
      </w:divBdr>
      <w:divsChild>
        <w:div w:id="1213617747">
          <w:marLeft w:val="0"/>
          <w:marRight w:val="0"/>
          <w:marTop w:val="0"/>
          <w:marBottom w:val="0"/>
          <w:divBdr>
            <w:top w:val="none" w:sz="0" w:space="0" w:color="auto"/>
            <w:left w:val="none" w:sz="0" w:space="0" w:color="auto"/>
            <w:bottom w:val="none" w:sz="0" w:space="0" w:color="auto"/>
            <w:right w:val="none" w:sz="0" w:space="0" w:color="auto"/>
          </w:divBdr>
        </w:div>
      </w:divsChild>
    </w:div>
    <w:div w:id="1680230252">
      <w:bodyDiv w:val="1"/>
      <w:marLeft w:val="0"/>
      <w:marRight w:val="0"/>
      <w:marTop w:val="0"/>
      <w:marBottom w:val="0"/>
      <w:divBdr>
        <w:top w:val="none" w:sz="0" w:space="0" w:color="auto"/>
        <w:left w:val="none" w:sz="0" w:space="0" w:color="auto"/>
        <w:bottom w:val="none" w:sz="0" w:space="0" w:color="auto"/>
        <w:right w:val="none" w:sz="0" w:space="0" w:color="auto"/>
      </w:divBdr>
    </w:div>
    <w:div w:id="1682466496">
      <w:bodyDiv w:val="1"/>
      <w:marLeft w:val="0"/>
      <w:marRight w:val="0"/>
      <w:marTop w:val="0"/>
      <w:marBottom w:val="0"/>
      <w:divBdr>
        <w:top w:val="none" w:sz="0" w:space="0" w:color="auto"/>
        <w:left w:val="none" w:sz="0" w:space="0" w:color="auto"/>
        <w:bottom w:val="none" w:sz="0" w:space="0" w:color="auto"/>
        <w:right w:val="none" w:sz="0" w:space="0" w:color="auto"/>
      </w:divBdr>
    </w:div>
    <w:div w:id="1740252596">
      <w:bodyDiv w:val="1"/>
      <w:marLeft w:val="0"/>
      <w:marRight w:val="0"/>
      <w:marTop w:val="0"/>
      <w:marBottom w:val="0"/>
      <w:divBdr>
        <w:top w:val="none" w:sz="0" w:space="0" w:color="auto"/>
        <w:left w:val="none" w:sz="0" w:space="0" w:color="auto"/>
        <w:bottom w:val="none" w:sz="0" w:space="0" w:color="auto"/>
        <w:right w:val="none" w:sz="0" w:space="0" w:color="auto"/>
      </w:divBdr>
    </w:div>
    <w:div w:id="1916547882">
      <w:bodyDiv w:val="1"/>
      <w:marLeft w:val="0"/>
      <w:marRight w:val="0"/>
      <w:marTop w:val="0"/>
      <w:marBottom w:val="0"/>
      <w:divBdr>
        <w:top w:val="none" w:sz="0" w:space="0" w:color="auto"/>
        <w:left w:val="none" w:sz="0" w:space="0" w:color="auto"/>
        <w:bottom w:val="none" w:sz="0" w:space="0" w:color="auto"/>
        <w:right w:val="none" w:sz="0" w:space="0" w:color="auto"/>
      </w:divBdr>
      <w:divsChild>
        <w:div w:id="629747244">
          <w:marLeft w:val="0"/>
          <w:marRight w:val="0"/>
          <w:marTop w:val="0"/>
          <w:marBottom w:val="0"/>
          <w:divBdr>
            <w:top w:val="none" w:sz="0" w:space="0" w:color="auto"/>
            <w:left w:val="none" w:sz="0" w:space="0" w:color="auto"/>
            <w:bottom w:val="none" w:sz="0" w:space="0" w:color="auto"/>
            <w:right w:val="none" w:sz="0" w:space="0" w:color="auto"/>
          </w:divBdr>
        </w:div>
        <w:div w:id="1519543160">
          <w:marLeft w:val="0"/>
          <w:marRight w:val="0"/>
          <w:marTop w:val="0"/>
          <w:marBottom w:val="0"/>
          <w:divBdr>
            <w:top w:val="none" w:sz="0" w:space="0" w:color="auto"/>
            <w:left w:val="none" w:sz="0" w:space="0" w:color="auto"/>
            <w:bottom w:val="none" w:sz="0" w:space="0" w:color="auto"/>
            <w:right w:val="none" w:sz="0" w:space="0" w:color="auto"/>
          </w:divBdr>
        </w:div>
      </w:divsChild>
    </w:div>
    <w:div w:id="1926721868">
      <w:bodyDiv w:val="1"/>
      <w:marLeft w:val="0"/>
      <w:marRight w:val="0"/>
      <w:marTop w:val="0"/>
      <w:marBottom w:val="0"/>
      <w:divBdr>
        <w:top w:val="none" w:sz="0" w:space="0" w:color="auto"/>
        <w:left w:val="none" w:sz="0" w:space="0" w:color="auto"/>
        <w:bottom w:val="none" w:sz="0" w:space="0" w:color="auto"/>
        <w:right w:val="none" w:sz="0" w:space="0" w:color="auto"/>
      </w:divBdr>
      <w:divsChild>
        <w:div w:id="358896427">
          <w:marLeft w:val="0"/>
          <w:marRight w:val="0"/>
          <w:marTop w:val="0"/>
          <w:marBottom w:val="0"/>
          <w:divBdr>
            <w:top w:val="none" w:sz="0" w:space="0" w:color="auto"/>
            <w:left w:val="none" w:sz="0" w:space="0" w:color="auto"/>
            <w:bottom w:val="none" w:sz="0" w:space="0" w:color="auto"/>
            <w:right w:val="none" w:sz="0" w:space="0" w:color="auto"/>
          </w:divBdr>
        </w:div>
        <w:div w:id="584921172">
          <w:marLeft w:val="0"/>
          <w:marRight w:val="0"/>
          <w:marTop w:val="0"/>
          <w:marBottom w:val="0"/>
          <w:divBdr>
            <w:top w:val="none" w:sz="0" w:space="0" w:color="auto"/>
            <w:left w:val="none" w:sz="0" w:space="0" w:color="auto"/>
            <w:bottom w:val="none" w:sz="0" w:space="0" w:color="auto"/>
            <w:right w:val="none" w:sz="0" w:space="0" w:color="auto"/>
          </w:divBdr>
        </w:div>
        <w:div w:id="1082484592">
          <w:marLeft w:val="0"/>
          <w:marRight w:val="0"/>
          <w:marTop w:val="0"/>
          <w:marBottom w:val="0"/>
          <w:divBdr>
            <w:top w:val="none" w:sz="0" w:space="0" w:color="auto"/>
            <w:left w:val="none" w:sz="0" w:space="0" w:color="auto"/>
            <w:bottom w:val="none" w:sz="0" w:space="0" w:color="auto"/>
            <w:right w:val="none" w:sz="0" w:space="0" w:color="auto"/>
          </w:divBdr>
        </w:div>
      </w:divsChild>
    </w:div>
    <w:div w:id="1930891513">
      <w:bodyDiv w:val="1"/>
      <w:marLeft w:val="0"/>
      <w:marRight w:val="0"/>
      <w:marTop w:val="0"/>
      <w:marBottom w:val="0"/>
      <w:divBdr>
        <w:top w:val="none" w:sz="0" w:space="0" w:color="auto"/>
        <w:left w:val="none" w:sz="0" w:space="0" w:color="auto"/>
        <w:bottom w:val="none" w:sz="0" w:space="0" w:color="auto"/>
        <w:right w:val="none" w:sz="0" w:space="0" w:color="auto"/>
      </w:divBdr>
    </w:div>
    <w:div w:id="1931771697">
      <w:bodyDiv w:val="1"/>
      <w:marLeft w:val="0"/>
      <w:marRight w:val="0"/>
      <w:marTop w:val="0"/>
      <w:marBottom w:val="0"/>
      <w:divBdr>
        <w:top w:val="none" w:sz="0" w:space="0" w:color="auto"/>
        <w:left w:val="none" w:sz="0" w:space="0" w:color="auto"/>
        <w:bottom w:val="none" w:sz="0" w:space="0" w:color="auto"/>
        <w:right w:val="none" w:sz="0" w:space="0" w:color="auto"/>
      </w:divBdr>
      <w:divsChild>
        <w:div w:id="58750499">
          <w:marLeft w:val="0"/>
          <w:marRight w:val="0"/>
          <w:marTop w:val="0"/>
          <w:marBottom w:val="0"/>
          <w:divBdr>
            <w:top w:val="none" w:sz="0" w:space="0" w:color="auto"/>
            <w:left w:val="none" w:sz="0" w:space="0" w:color="auto"/>
            <w:bottom w:val="none" w:sz="0" w:space="0" w:color="auto"/>
            <w:right w:val="none" w:sz="0" w:space="0" w:color="auto"/>
          </w:divBdr>
        </w:div>
        <w:div w:id="133838780">
          <w:marLeft w:val="0"/>
          <w:marRight w:val="0"/>
          <w:marTop w:val="0"/>
          <w:marBottom w:val="0"/>
          <w:divBdr>
            <w:top w:val="none" w:sz="0" w:space="0" w:color="auto"/>
            <w:left w:val="none" w:sz="0" w:space="0" w:color="auto"/>
            <w:bottom w:val="none" w:sz="0" w:space="0" w:color="auto"/>
            <w:right w:val="none" w:sz="0" w:space="0" w:color="auto"/>
          </w:divBdr>
        </w:div>
        <w:div w:id="267156414">
          <w:marLeft w:val="0"/>
          <w:marRight w:val="0"/>
          <w:marTop w:val="0"/>
          <w:marBottom w:val="0"/>
          <w:divBdr>
            <w:top w:val="none" w:sz="0" w:space="0" w:color="auto"/>
            <w:left w:val="none" w:sz="0" w:space="0" w:color="auto"/>
            <w:bottom w:val="none" w:sz="0" w:space="0" w:color="auto"/>
            <w:right w:val="none" w:sz="0" w:space="0" w:color="auto"/>
          </w:divBdr>
        </w:div>
        <w:div w:id="320744676">
          <w:marLeft w:val="0"/>
          <w:marRight w:val="0"/>
          <w:marTop w:val="0"/>
          <w:marBottom w:val="0"/>
          <w:divBdr>
            <w:top w:val="none" w:sz="0" w:space="0" w:color="auto"/>
            <w:left w:val="none" w:sz="0" w:space="0" w:color="auto"/>
            <w:bottom w:val="none" w:sz="0" w:space="0" w:color="auto"/>
            <w:right w:val="none" w:sz="0" w:space="0" w:color="auto"/>
          </w:divBdr>
        </w:div>
        <w:div w:id="691418237">
          <w:marLeft w:val="0"/>
          <w:marRight w:val="0"/>
          <w:marTop w:val="0"/>
          <w:marBottom w:val="0"/>
          <w:divBdr>
            <w:top w:val="none" w:sz="0" w:space="0" w:color="auto"/>
            <w:left w:val="none" w:sz="0" w:space="0" w:color="auto"/>
            <w:bottom w:val="none" w:sz="0" w:space="0" w:color="auto"/>
            <w:right w:val="none" w:sz="0" w:space="0" w:color="auto"/>
          </w:divBdr>
        </w:div>
        <w:div w:id="1055466144">
          <w:marLeft w:val="0"/>
          <w:marRight w:val="0"/>
          <w:marTop w:val="0"/>
          <w:marBottom w:val="0"/>
          <w:divBdr>
            <w:top w:val="none" w:sz="0" w:space="0" w:color="auto"/>
            <w:left w:val="none" w:sz="0" w:space="0" w:color="auto"/>
            <w:bottom w:val="none" w:sz="0" w:space="0" w:color="auto"/>
            <w:right w:val="none" w:sz="0" w:space="0" w:color="auto"/>
          </w:divBdr>
        </w:div>
        <w:div w:id="1160315876">
          <w:marLeft w:val="0"/>
          <w:marRight w:val="0"/>
          <w:marTop w:val="0"/>
          <w:marBottom w:val="0"/>
          <w:divBdr>
            <w:top w:val="none" w:sz="0" w:space="0" w:color="auto"/>
            <w:left w:val="none" w:sz="0" w:space="0" w:color="auto"/>
            <w:bottom w:val="none" w:sz="0" w:space="0" w:color="auto"/>
            <w:right w:val="none" w:sz="0" w:space="0" w:color="auto"/>
          </w:divBdr>
        </w:div>
        <w:div w:id="1171027953">
          <w:marLeft w:val="0"/>
          <w:marRight w:val="0"/>
          <w:marTop w:val="0"/>
          <w:marBottom w:val="0"/>
          <w:divBdr>
            <w:top w:val="none" w:sz="0" w:space="0" w:color="auto"/>
            <w:left w:val="none" w:sz="0" w:space="0" w:color="auto"/>
            <w:bottom w:val="none" w:sz="0" w:space="0" w:color="auto"/>
            <w:right w:val="none" w:sz="0" w:space="0" w:color="auto"/>
          </w:divBdr>
        </w:div>
        <w:div w:id="1207063718">
          <w:marLeft w:val="0"/>
          <w:marRight w:val="0"/>
          <w:marTop w:val="0"/>
          <w:marBottom w:val="0"/>
          <w:divBdr>
            <w:top w:val="none" w:sz="0" w:space="0" w:color="auto"/>
            <w:left w:val="none" w:sz="0" w:space="0" w:color="auto"/>
            <w:bottom w:val="none" w:sz="0" w:space="0" w:color="auto"/>
            <w:right w:val="none" w:sz="0" w:space="0" w:color="auto"/>
          </w:divBdr>
        </w:div>
        <w:div w:id="1406881924">
          <w:marLeft w:val="0"/>
          <w:marRight w:val="0"/>
          <w:marTop w:val="0"/>
          <w:marBottom w:val="0"/>
          <w:divBdr>
            <w:top w:val="none" w:sz="0" w:space="0" w:color="auto"/>
            <w:left w:val="none" w:sz="0" w:space="0" w:color="auto"/>
            <w:bottom w:val="none" w:sz="0" w:space="0" w:color="auto"/>
            <w:right w:val="none" w:sz="0" w:space="0" w:color="auto"/>
          </w:divBdr>
        </w:div>
        <w:div w:id="1596280711">
          <w:marLeft w:val="0"/>
          <w:marRight w:val="0"/>
          <w:marTop w:val="0"/>
          <w:marBottom w:val="0"/>
          <w:divBdr>
            <w:top w:val="none" w:sz="0" w:space="0" w:color="auto"/>
            <w:left w:val="none" w:sz="0" w:space="0" w:color="auto"/>
            <w:bottom w:val="none" w:sz="0" w:space="0" w:color="auto"/>
            <w:right w:val="none" w:sz="0" w:space="0" w:color="auto"/>
          </w:divBdr>
        </w:div>
      </w:divsChild>
    </w:div>
    <w:div w:id="1942687849">
      <w:bodyDiv w:val="1"/>
      <w:marLeft w:val="0"/>
      <w:marRight w:val="0"/>
      <w:marTop w:val="0"/>
      <w:marBottom w:val="0"/>
      <w:divBdr>
        <w:top w:val="none" w:sz="0" w:space="0" w:color="auto"/>
        <w:left w:val="none" w:sz="0" w:space="0" w:color="auto"/>
        <w:bottom w:val="none" w:sz="0" w:space="0" w:color="auto"/>
        <w:right w:val="none" w:sz="0" w:space="0" w:color="auto"/>
      </w:divBdr>
      <w:divsChild>
        <w:div w:id="242380794">
          <w:marLeft w:val="0"/>
          <w:marRight w:val="0"/>
          <w:marTop w:val="0"/>
          <w:marBottom w:val="0"/>
          <w:divBdr>
            <w:top w:val="none" w:sz="0" w:space="0" w:color="auto"/>
            <w:left w:val="none" w:sz="0" w:space="0" w:color="auto"/>
            <w:bottom w:val="none" w:sz="0" w:space="0" w:color="auto"/>
            <w:right w:val="none" w:sz="0" w:space="0" w:color="auto"/>
          </w:divBdr>
        </w:div>
        <w:div w:id="1835536358">
          <w:marLeft w:val="0"/>
          <w:marRight w:val="0"/>
          <w:marTop w:val="0"/>
          <w:marBottom w:val="0"/>
          <w:divBdr>
            <w:top w:val="none" w:sz="0" w:space="0" w:color="auto"/>
            <w:left w:val="none" w:sz="0" w:space="0" w:color="auto"/>
            <w:bottom w:val="none" w:sz="0" w:space="0" w:color="auto"/>
            <w:right w:val="none" w:sz="0" w:space="0" w:color="auto"/>
          </w:divBdr>
        </w:div>
      </w:divsChild>
    </w:div>
    <w:div w:id="1957369878">
      <w:bodyDiv w:val="1"/>
      <w:marLeft w:val="0"/>
      <w:marRight w:val="0"/>
      <w:marTop w:val="0"/>
      <w:marBottom w:val="0"/>
      <w:divBdr>
        <w:top w:val="none" w:sz="0" w:space="0" w:color="auto"/>
        <w:left w:val="none" w:sz="0" w:space="0" w:color="auto"/>
        <w:bottom w:val="none" w:sz="0" w:space="0" w:color="auto"/>
        <w:right w:val="none" w:sz="0" w:space="0" w:color="auto"/>
      </w:divBdr>
      <w:divsChild>
        <w:div w:id="10029440">
          <w:marLeft w:val="0"/>
          <w:marRight w:val="0"/>
          <w:marTop w:val="0"/>
          <w:marBottom w:val="0"/>
          <w:divBdr>
            <w:top w:val="none" w:sz="0" w:space="0" w:color="auto"/>
            <w:left w:val="none" w:sz="0" w:space="0" w:color="auto"/>
            <w:bottom w:val="none" w:sz="0" w:space="0" w:color="auto"/>
            <w:right w:val="none" w:sz="0" w:space="0" w:color="auto"/>
          </w:divBdr>
          <w:divsChild>
            <w:div w:id="840043647">
              <w:marLeft w:val="0"/>
              <w:marRight w:val="0"/>
              <w:marTop w:val="0"/>
              <w:marBottom w:val="0"/>
              <w:divBdr>
                <w:top w:val="none" w:sz="0" w:space="0" w:color="auto"/>
                <w:left w:val="none" w:sz="0" w:space="0" w:color="auto"/>
                <w:bottom w:val="none" w:sz="0" w:space="0" w:color="auto"/>
                <w:right w:val="none" w:sz="0" w:space="0" w:color="auto"/>
              </w:divBdr>
            </w:div>
          </w:divsChild>
        </w:div>
        <w:div w:id="13465944">
          <w:marLeft w:val="0"/>
          <w:marRight w:val="0"/>
          <w:marTop w:val="0"/>
          <w:marBottom w:val="0"/>
          <w:divBdr>
            <w:top w:val="none" w:sz="0" w:space="0" w:color="auto"/>
            <w:left w:val="none" w:sz="0" w:space="0" w:color="auto"/>
            <w:bottom w:val="none" w:sz="0" w:space="0" w:color="auto"/>
            <w:right w:val="none" w:sz="0" w:space="0" w:color="auto"/>
          </w:divBdr>
          <w:divsChild>
            <w:div w:id="256210158">
              <w:marLeft w:val="0"/>
              <w:marRight w:val="0"/>
              <w:marTop w:val="0"/>
              <w:marBottom w:val="0"/>
              <w:divBdr>
                <w:top w:val="none" w:sz="0" w:space="0" w:color="auto"/>
                <w:left w:val="none" w:sz="0" w:space="0" w:color="auto"/>
                <w:bottom w:val="none" w:sz="0" w:space="0" w:color="auto"/>
                <w:right w:val="none" w:sz="0" w:space="0" w:color="auto"/>
              </w:divBdr>
            </w:div>
          </w:divsChild>
        </w:div>
        <w:div w:id="64496238">
          <w:marLeft w:val="0"/>
          <w:marRight w:val="0"/>
          <w:marTop w:val="0"/>
          <w:marBottom w:val="0"/>
          <w:divBdr>
            <w:top w:val="none" w:sz="0" w:space="0" w:color="auto"/>
            <w:left w:val="none" w:sz="0" w:space="0" w:color="auto"/>
            <w:bottom w:val="none" w:sz="0" w:space="0" w:color="auto"/>
            <w:right w:val="none" w:sz="0" w:space="0" w:color="auto"/>
          </w:divBdr>
          <w:divsChild>
            <w:div w:id="1332872035">
              <w:marLeft w:val="0"/>
              <w:marRight w:val="0"/>
              <w:marTop w:val="0"/>
              <w:marBottom w:val="0"/>
              <w:divBdr>
                <w:top w:val="none" w:sz="0" w:space="0" w:color="auto"/>
                <w:left w:val="none" w:sz="0" w:space="0" w:color="auto"/>
                <w:bottom w:val="none" w:sz="0" w:space="0" w:color="auto"/>
                <w:right w:val="none" w:sz="0" w:space="0" w:color="auto"/>
              </w:divBdr>
            </w:div>
          </w:divsChild>
        </w:div>
        <w:div w:id="155612759">
          <w:marLeft w:val="0"/>
          <w:marRight w:val="0"/>
          <w:marTop w:val="0"/>
          <w:marBottom w:val="0"/>
          <w:divBdr>
            <w:top w:val="none" w:sz="0" w:space="0" w:color="auto"/>
            <w:left w:val="none" w:sz="0" w:space="0" w:color="auto"/>
            <w:bottom w:val="none" w:sz="0" w:space="0" w:color="auto"/>
            <w:right w:val="none" w:sz="0" w:space="0" w:color="auto"/>
          </w:divBdr>
          <w:divsChild>
            <w:div w:id="1789158200">
              <w:marLeft w:val="0"/>
              <w:marRight w:val="0"/>
              <w:marTop w:val="0"/>
              <w:marBottom w:val="0"/>
              <w:divBdr>
                <w:top w:val="none" w:sz="0" w:space="0" w:color="auto"/>
                <w:left w:val="none" w:sz="0" w:space="0" w:color="auto"/>
                <w:bottom w:val="none" w:sz="0" w:space="0" w:color="auto"/>
                <w:right w:val="none" w:sz="0" w:space="0" w:color="auto"/>
              </w:divBdr>
            </w:div>
          </w:divsChild>
        </w:div>
        <w:div w:id="238176360">
          <w:marLeft w:val="0"/>
          <w:marRight w:val="0"/>
          <w:marTop w:val="0"/>
          <w:marBottom w:val="0"/>
          <w:divBdr>
            <w:top w:val="none" w:sz="0" w:space="0" w:color="auto"/>
            <w:left w:val="none" w:sz="0" w:space="0" w:color="auto"/>
            <w:bottom w:val="none" w:sz="0" w:space="0" w:color="auto"/>
            <w:right w:val="none" w:sz="0" w:space="0" w:color="auto"/>
          </w:divBdr>
          <w:divsChild>
            <w:div w:id="2071423170">
              <w:marLeft w:val="0"/>
              <w:marRight w:val="0"/>
              <w:marTop w:val="0"/>
              <w:marBottom w:val="0"/>
              <w:divBdr>
                <w:top w:val="none" w:sz="0" w:space="0" w:color="auto"/>
                <w:left w:val="none" w:sz="0" w:space="0" w:color="auto"/>
                <w:bottom w:val="none" w:sz="0" w:space="0" w:color="auto"/>
                <w:right w:val="none" w:sz="0" w:space="0" w:color="auto"/>
              </w:divBdr>
            </w:div>
          </w:divsChild>
        </w:div>
        <w:div w:id="598102176">
          <w:marLeft w:val="0"/>
          <w:marRight w:val="0"/>
          <w:marTop w:val="0"/>
          <w:marBottom w:val="0"/>
          <w:divBdr>
            <w:top w:val="none" w:sz="0" w:space="0" w:color="auto"/>
            <w:left w:val="none" w:sz="0" w:space="0" w:color="auto"/>
            <w:bottom w:val="none" w:sz="0" w:space="0" w:color="auto"/>
            <w:right w:val="none" w:sz="0" w:space="0" w:color="auto"/>
          </w:divBdr>
          <w:divsChild>
            <w:div w:id="1247349475">
              <w:marLeft w:val="0"/>
              <w:marRight w:val="0"/>
              <w:marTop w:val="0"/>
              <w:marBottom w:val="0"/>
              <w:divBdr>
                <w:top w:val="none" w:sz="0" w:space="0" w:color="auto"/>
                <w:left w:val="none" w:sz="0" w:space="0" w:color="auto"/>
                <w:bottom w:val="none" w:sz="0" w:space="0" w:color="auto"/>
                <w:right w:val="none" w:sz="0" w:space="0" w:color="auto"/>
              </w:divBdr>
            </w:div>
          </w:divsChild>
        </w:div>
        <w:div w:id="735394383">
          <w:marLeft w:val="0"/>
          <w:marRight w:val="0"/>
          <w:marTop w:val="0"/>
          <w:marBottom w:val="0"/>
          <w:divBdr>
            <w:top w:val="none" w:sz="0" w:space="0" w:color="auto"/>
            <w:left w:val="none" w:sz="0" w:space="0" w:color="auto"/>
            <w:bottom w:val="none" w:sz="0" w:space="0" w:color="auto"/>
            <w:right w:val="none" w:sz="0" w:space="0" w:color="auto"/>
          </w:divBdr>
          <w:divsChild>
            <w:div w:id="1221792420">
              <w:marLeft w:val="0"/>
              <w:marRight w:val="0"/>
              <w:marTop w:val="0"/>
              <w:marBottom w:val="0"/>
              <w:divBdr>
                <w:top w:val="none" w:sz="0" w:space="0" w:color="auto"/>
                <w:left w:val="none" w:sz="0" w:space="0" w:color="auto"/>
                <w:bottom w:val="none" w:sz="0" w:space="0" w:color="auto"/>
                <w:right w:val="none" w:sz="0" w:space="0" w:color="auto"/>
              </w:divBdr>
            </w:div>
          </w:divsChild>
        </w:div>
        <w:div w:id="978270215">
          <w:marLeft w:val="0"/>
          <w:marRight w:val="0"/>
          <w:marTop w:val="0"/>
          <w:marBottom w:val="0"/>
          <w:divBdr>
            <w:top w:val="none" w:sz="0" w:space="0" w:color="auto"/>
            <w:left w:val="none" w:sz="0" w:space="0" w:color="auto"/>
            <w:bottom w:val="none" w:sz="0" w:space="0" w:color="auto"/>
            <w:right w:val="none" w:sz="0" w:space="0" w:color="auto"/>
          </w:divBdr>
          <w:divsChild>
            <w:div w:id="1754203311">
              <w:marLeft w:val="0"/>
              <w:marRight w:val="0"/>
              <w:marTop w:val="0"/>
              <w:marBottom w:val="0"/>
              <w:divBdr>
                <w:top w:val="none" w:sz="0" w:space="0" w:color="auto"/>
                <w:left w:val="none" w:sz="0" w:space="0" w:color="auto"/>
                <w:bottom w:val="none" w:sz="0" w:space="0" w:color="auto"/>
                <w:right w:val="none" w:sz="0" w:space="0" w:color="auto"/>
              </w:divBdr>
            </w:div>
          </w:divsChild>
        </w:div>
        <w:div w:id="994185653">
          <w:marLeft w:val="0"/>
          <w:marRight w:val="0"/>
          <w:marTop w:val="0"/>
          <w:marBottom w:val="0"/>
          <w:divBdr>
            <w:top w:val="none" w:sz="0" w:space="0" w:color="auto"/>
            <w:left w:val="none" w:sz="0" w:space="0" w:color="auto"/>
            <w:bottom w:val="none" w:sz="0" w:space="0" w:color="auto"/>
            <w:right w:val="none" w:sz="0" w:space="0" w:color="auto"/>
          </w:divBdr>
          <w:divsChild>
            <w:div w:id="1282609094">
              <w:marLeft w:val="0"/>
              <w:marRight w:val="0"/>
              <w:marTop w:val="0"/>
              <w:marBottom w:val="0"/>
              <w:divBdr>
                <w:top w:val="none" w:sz="0" w:space="0" w:color="auto"/>
                <w:left w:val="none" w:sz="0" w:space="0" w:color="auto"/>
                <w:bottom w:val="none" w:sz="0" w:space="0" w:color="auto"/>
                <w:right w:val="none" w:sz="0" w:space="0" w:color="auto"/>
              </w:divBdr>
            </w:div>
          </w:divsChild>
        </w:div>
        <w:div w:id="1046219701">
          <w:marLeft w:val="0"/>
          <w:marRight w:val="0"/>
          <w:marTop w:val="0"/>
          <w:marBottom w:val="0"/>
          <w:divBdr>
            <w:top w:val="none" w:sz="0" w:space="0" w:color="auto"/>
            <w:left w:val="none" w:sz="0" w:space="0" w:color="auto"/>
            <w:bottom w:val="none" w:sz="0" w:space="0" w:color="auto"/>
            <w:right w:val="none" w:sz="0" w:space="0" w:color="auto"/>
          </w:divBdr>
          <w:divsChild>
            <w:div w:id="41902602">
              <w:marLeft w:val="0"/>
              <w:marRight w:val="0"/>
              <w:marTop w:val="0"/>
              <w:marBottom w:val="0"/>
              <w:divBdr>
                <w:top w:val="none" w:sz="0" w:space="0" w:color="auto"/>
                <w:left w:val="none" w:sz="0" w:space="0" w:color="auto"/>
                <w:bottom w:val="none" w:sz="0" w:space="0" w:color="auto"/>
                <w:right w:val="none" w:sz="0" w:space="0" w:color="auto"/>
              </w:divBdr>
            </w:div>
          </w:divsChild>
        </w:div>
        <w:div w:id="1072312256">
          <w:marLeft w:val="0"/>
          <w:marRight w:val="0"/>
          <w:marTop w:val="0"/>
          <w:marBottom w:val="0"/>
          <w:divBdr>
            <w:top w:val="none" w:sz="0" w:space="0" w:color="auto"/>
            <w:left w:val="none" w:sz="0" w:space="0" w:color="auto"/>
            <w:bottom w:val="none" w:sz="0" w:space="0" w:color="auto"/>
            <w:right w:val="none" w:sz="0" w:space="0" w:color="auto"/>
          </w:divBdr>
          <w:divsChild>
            <w:div w:id="1913193043">
              <w:marLeft w:val="0"/>
              <w:marRight w:val="0"/>
              <w:marTop w:val="0"/>
              <w:marBottom w:val="0"/>
              <w:divBdr>
                <w:top w:val="none" w:sz="0" w:space="0" w:color="auto"/>
                <w:left w:val="none" w:sz="0" w:space="0" w:color="auto"/>
                <w:bottom w:val="none" w:sz="0" w:space="0" w:color="auto"/>
                <w:right w:val="none" w:sz="0" w:space="0" w:color="auto"/>
              </w:divBdr>
            </w:div>
          </w:divsChild>
        </w:div>
        <w:div w:id="1150636330">
          <w:marLeft w:val="0"/>
          <w:marRight w:val="0"/>
          <w:marTop w:val="0"/>
          <w:marBottom w:val="0"/>
          <w:divBdr>
            <w:top w:val="none" w:sz="0" w:space="0" w:color="auto"/>
            <w:left w:val="none" w:sz="0" w:space="0" w:color="auto"/>
            <w:bottom w:val="none" w:sz="0" w:space="0" w:color="auto"/>
            <w:right w:val="none" w:sz="0" w:space="0" w:color="auto"/>
          </w:divBdr>
          <w:divsChild>
            <w:div w:id="452595401">
              <w:marLeft w:val="0"/>
              <w:marRight w:val="0"/>
              <w:marTop w:val="0"/>
              <w:marBottom w:val="0"/>
              <w:divBdr>
                <w:top w:val="none" w:sz="0" w:space="0" w:color="auto"/>
                <w:left w:val="none" w:sz="0" w:space="0" w:color="auto"/>
                <w:bottom w:val="none" w:sz="0" w:space="0" w:color="auto"/>
                <w:right w:val="none" w:sz="0" w:space="0" w:color="auto"/>
              </w:divBdr>
            </w:div>
          </w:divsChild>
        </w:div>
        <w:div w:id="1257445152">
          <w:marLeft w:val="0"/>
          <w:marRight w:val="0"/>
          <w:marTop w:val="0"/>
          <w:marBottom w:val="0"/>
          <w:divBdr>
            <w:top w:val="none" w:sz="0" w:space="0" w:color="auto"/>
            <w:left w:val="none" w:sz="0" w:space="0" w:color="auto"/>
            <w:bottom w:val="none" w:sz="0" w:space="0" w:color="auto"/>
            <w:right w:val="none" w:sz="0" w:space="0" w:color="auto"/>
          </w:divBdr>
          <w:divsChild>
            <w:div w:id="594706049">
              <w:marLeft w:val="0"/>
              <w:marRight w:val="0"/>
              <w:marTop w:val="0"/>
              <w:marBottom w:val="0"/>
              <w:divBdr>
                <w:top w:val="none" w:sz="0" w:space="0" w:color="auto"/>
                <w:left w:val="none" w:sz="0" w:space="0" w:color="auto"/>
                <w:bottom w:val="none" w:sz="0" w:space="0" w:color="auto"/>
                <w:right w:val="none" w:sz="0" w:space="0" w:color="auto"/>
              </w:divBdr>
            </w:div>
          </w:divsChild>
        </w:div>
        <w:div w:id="1266646321">
          <w:marLeft w:val="0"/>
          <w:marRight w:val="0"/>
          <w:marTop w:val="0"/>
          <w:marBottom w:val="0"/>
          <w:divBdr>
            <w:top w:val="none" w:sz="0" w:space="0" w:color="auto"/>
            <w:left w:val="none" w:sz="0" w:space="0" w:color="auto"/>
            <w:bottom w:val="none" w:sz="0" w:space="0" w:color="auto"/>
            <w:right w:val="none" w:sz="0" w:space="0" w:color="auto"/>
          </w:divBdr>
          <w:divsChild>
            <w:div w:id="1373850147">
              <w:marLeft w:val="0"/>
              <w:marRight w:val="0"/>
              <w:marTop w:val="0"/>
              <w:marBottom w:val="0"/>
              <w:divBdr>
                <w:top w:val="none" w:sz="0" w:space="0" w:color="auto"/>
                <w:left w:val="none" w:sz="0" w:space="0" w:color="auto"/>
                <w:bottom w:val="none" w:sz="0" w:space="0" w:color="auto"/>
                <w:right w:val="none" w:sz="0" w:space="0" w:color="auto"/>
              </w:divBdr>
            </w:div>
          </w:divsChild>
        </w:div>
        <w:div w:id="1584023837">
          <w:marLeft w:val="0"/>
          <w:marRight w:val="0"/>
          <w:marTop w:val="0"/>
          <w:marBottom w:val="0"/>
          <w:divBdr>
            <w:top w:val="none" w:sz="0" w:space="0" w:color="auto"/>
            <w:left w:val="none" w:sz="0" w:space="0" w:color="auto"/>
            <w:bottom w:val="none" w:sz="0" w:space="0" w:color="auto"/>
            <w:right w:val="none" w:sz="0" w:space="0" w:color="auto"/>
          </w:divBdr>
          <w:divsChild>
            <w:div w:id="1442339712">
              <w:marLeft w:val="0"/>
              <w:marRight w:val="0"/>
              <w:marTop w:val="0"/>
              <w:marBottom w:val="0"/>
              <w:divBdr>
                <w:top w:val="none" w:sz="0" w:space="0" w:color="auto"/>
                <w:left w:val="none" w:sz="0" w:space="0" w:color="auto"/>
                <w:bottom w:val="none" w:sz="0" w:space="0" w:color="auto"/>
                <w:right w:val="none" w:sz="0" w:space="0" w:color="auto"/>
              </w:divBdr>
            </w:div>
          </w:divsChild>
        </w:div>
        <w:div w:id="1697847884">
          <w:marLeft w:val="0"/>
          <w:marRight w:val="0"/>
          <w:marTop w:val="0"/>
          <w:marBottom w:val="0"/>
          <w:divBdr>
            <w:top w:val="none" w:sz="0" w:space="0" w:color="auto"/>
            <w:left w:val="none" w:sz="0" w:space="0" w:color="auto"/>
            <w:bottom w:val="none" w:sz="0" w:space="0" w:color="auto"/>
            <w:right w:val="none" w:sz="0" w:space="0" w:color="auto"/>
          </w:divBdr>
          <w:divsChild>
            <w:div w:id="1821732137">
              <w:marLeft w:val="0"/>
              <w:marRight w:val="0"/>
              <w:marTop w:val="0"/>
              <w:marBottom w:val="0"/>
              <w:divBdr>
                <w:top w:val="none" w:sz="0" w:space="0" w:color="auto"/>
                <w:left w:val="none" w:sz="0" w:space="0" w:color="auto"/>
                <w:bottom w:val="none" w:sz="0" w:space="0" w:color="auto"/>
                <w:right w:val="none" w:sz="0" w:space="0" w:color="auto"/>
              </w:divBdr>
            </w:div>
          </w:divsChild>
        </w:div>
        <w:div w:id="1744326541">
          <w:marLeft w:val="0"/>
          <w:marRight w:val="0"/>
          <w:marTop w:val="0"/>
          <w:marBottom w:val="0"/>
          <w:divBdr>
            <w:top w:val="none" w:sz="0" w:space="0" w:color="auto"/>
            <w:left w:val="none" w:sz="0" w:space="0" w:color="auto"/>
            <w:bottom w:val="none" w:sz="0" w:space="0" w:color="auto"/>
            <w:right w:val="none" w:sz="0" w:space="0" w:color="auto"/>
          </w:divBdr>
          <w:divsChild>
            <w:div w:id="1743526162">
              <w:marLeft w:val="0"/>
              <w:marRight w:val="0"/>
              <w:marTop w:val="0"/>
              <w:marBottom w:val="0"/>
              <w:divBdr>
                <w:top w:val="none" w:sz="0" w:space="0" w:color="auto"/>
                <w:left w:val="none" w:sz="0" w:space="0" w:color="auto"/>
                <w:bottom w:val="none" w:sz="0" w:space="0" w:color="auto"/>
                <w:right w:val="none" w:sz="0" w:space="0" w:color="auto"/>
              </w:divBdr>
            </w:div>
          </w:divsChild>
        </w:div>
        <w:div w:id="1845243872">
          <w:marLeft w:val="0"/>
          <w:marRight w:val="0"/>
          <w:marTop w:val="0"/>
          <w:marBottom w:val="0"/>
          <w:divBdr>
            <w:top w:val="none" w:sz="0" w:space="0" w:color="auto"/>
            <w:left w:val="none" w:sz="0" w:space="0" w:color="auto"/>
            <w:bottom w:val="none" w:sz="0" w:space="0" w:color="auto"/>
            <w:right w:val="none" w:sz="0" w:space="0" w:color="auto"/>
          </w:divBdr>
          <w:divsChild>
            <w:div w:id="1168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379">
      <w:bodyDiv w:val="1"/>
      <w:marLeft w:val="0"/>
      <w:marRight w:val="0"/>
      <w:marTop w:val="0"/>
      <w:marBottom w:val="0"/>
      <w:divBdr>
        <w:top w:val="none" w:sz="0" w:space="0" w:color="auto"/>
        <w:left w:val="none" w:sz="0" w:space="0" w:color="auto"/>
        <w:bottom w:val="none" w:sz="0" w:space="0" w:color="auto"/>
        <w:right w:val="none" w:sz="0" w:space="0" w:color="auto"/>
      </w:divBdr>
      <w:divsChild>
        <w:div w:id="761099956">
          <w:marLeft w:val="0"/>
          <w:marRight w:val="0"/>
          <w:marTop w:val="0"/>
          <w:marBottom w:val="0"/>
          <w:divBdr>
            <w:top w:val="none" w:sz="0" w:space="0" w:color="auto"/>
            <w:left w:val="none" w:sz="0" w:space="0" w:color="auto"/>
            <w:bottom w:val="none" w:sz="0" w:space="0" w:color="auto"/>
            <w:right w:val="none" w:sz="0" w:space="0" w:color="auto"/>
          </w:divBdr>
        </w:div>
        <w:div w:id="960960753">
          <w:marLeft w:val="0"/>
          <w:marRight w:val="0"/>
          <w:marTop w:val="0"/>
          <w:marBottom w:val="0"/>
          <w:divBdr>
            <w:top w:val="none" w:sz="0" w:space="0" w:color="auto"/>
            <w:left w:val="none" w:sz="0" w:space="0" w:color="auto"/>
            <w:bottom w:val="none" w:sz="0" w:space="0" w:color="auto"/>
            <w:right w:val="none" w:sz="0" w:space="0" w:color="auto"/>
          </w:divBdr>
        </w:div>
        <w:div w:id="1396395475">
          <w:marLeft w:val="0"/>
          <w:marRight w:val="0"/>
          <w:marTop w:val="0"/>
          <w:marBottom w:val="0"/>
          <w:divBdr>
            <w:top w:val="none" w:sz="0" w:space="0" w:color="auto"/>
            <w:left w:val="none" w:sz="0" w:space="0" w:color="auto"/>
            <w:bottom w:val="none" w:sz="0" w:space="0" w:color="auto"/>
            <w:right w:val="none" w:sz="0" w:space="0" w:color="auto"/>
          </w:divBdr>
        </w:div>
        <w:div w:id="1406297521">
          <w:marLeft w:val="0"/>
          <w:marRight w:val="0"/>
          <w:marTop w:val="0"/>
          <w:marBottom w:val="0"/>
          <w:divBdr>
            <w:top w:val="none" w:sz="0" w:space="0" w:color="auto"/>
            <w:left w:val="none" w:sz="0" w:space="0" w:color="auto"/>
            <w:bottom w:val="none" w:sz="0" w:space="0" w:color="auto"/>
            <w:right w:val="none" w:sz="0" w:space="0" w:color="auto"/>
          </w:divBdr>
        </w:div>
        <w:div w:id="1652445675">
          <w:marLeft w:val="0"/>
          <w:marRight w:val="0"/>
          <w:marTop w:val="0"/>
          <w:marBottom w:val="0"/>
          <w:divBdr>
            <w:top w:val="none" w:sz="0" w:space="0" w:color="auto"/>
            <w:left w:val="none" w:sz="0" w:space="0" w:color="auto"/>
            <w:bottom w:val="none" w:sz="0" w:space="0" w:color="auto"/>
            <w:right w:val="none" w:sz="0" w:space="0" w:color="auto"/>
          </w:divBdr>
        </w:div>
      </w:divsChild>
    </w:div>
    <w:div w:id="2007320537">
      <w:bodyDiv w:val="1"/>
      <w:marLeft w:val="0"/>
      <w:marRight w:val="0"/>
      <w:marTop w:val="0"/>
      <w:marBottom w:val="0"/>
      <w:divBdr>
        <w:top w:val="none" w:sz="0" w:space="0" w:color="auto"/>
        <w:left w:val="none" w:sz="0" w:space="0" w:color="auto"/>
        <w:bottom w:val="none" w:sz="0" w:space="0" w:color="auto"/>
        <w:right w:val="none" w:sz="0" w:space="0" w:color="auto"/>
      </w:divBdr>
      <w:divsChild>
        <w:div w:id="557277392">
          <w:marLeft w:val="0"/>
          <w:marRight w:val="0"/>
          <w:marTop w:val="0"/>
          <w:marBottom w:val="0"/>
          <w:divBdr>
            <w:top w:val="none" w:sz="0" w:space="0" w:color="auto"/>
            <w:left w:val="none" w:sz="0" w:space="0" w:color="auto"/>
            <w:bottom w:val="none" w:sz="0" w:space="0" w:color="auto"/>
            <w:right w:val="none" w:sz="0" w:space="0" w:color="auto"/>
          </w:divBdr>
        </w:div>
        <w:div w:id="668606132">
          <w:marLeft w:val="0"/>
          <w:marRight w:val="0"/>
          <w:marTop w:val="0"/>
          <w:marBottom w:val="0"/>
          <w:divBdr>
            <w:top w:val="none" w:sz="0" w:space="0" w:color="auto"/>
            <w:left w:val="none" w:sz="0" w:space="0" w:color="auto"/>
            <w:bottom w:val="none" w:sz="0" w:space="0" w:color="auto"/>
            <w:right w:val="none" w:sz="0" w:space="0" w:color="auto"/>
          </w:divBdr>
        </w:div>
      </w:divsChild>
    </w:div>
    <w:div w:id="2047362612">
      <w:bodyDiv w:val="1"/>
      <w:marLeft w:val="0"/>
      <w:marRight w:val="0"/>
      <w:marTop w:val="0"/>
      <w:marBottom w:val="0"/>
      <w:divBdr>
        <w:top w:val="none" w:sz="0" w:space="0" w:color="auto"/>
        <w:left w:val="none" w:sz="0" w:space="0" w:color="auto"/>
        <w:bottom w:val="none" w:sz="0" w:space="0" w:color="auto"/>
        <w:right w:val="none" w:sz="0" w:space="0" w:color="auto"/>
      </w:divBdr>
      <w:divsChild>
        <w:div w:id="736899116">
          <w:marLeft w:val="0"/>
          <w:marRight w:val="0"/>
          <w:marTop w:val="0"/>
          <w:marBottom w:val="0"/>
          <w:divBdr>
            <w:top w:val="none" w:sz="0" w:space="0" w:color="auto"/>
            <w:left w:val="none" w:sz="0" w:space="0" w:color="auto"/>
            <w:bottom w:val="none" w:sz="0" w:space="0" w:color="auto"/>
            <w:right w:val="none" w:sz="0" w:space="0" w:color="auto"/>
          </w:divBdr>
        </w:div>
        <w:div w:id="829980284">
          <w:marLeft w:val="0"/>
          <w:marRight w:val="0"/>
          <w:marTop w:val="0"/>
          <w:marBottom w:val="0"/>
          <w:divBdr>
            <w:top w:val="none" w:sz="0" w:space="0" w:color="auto"/>
            <w:left w:val="none" w:sz="0" w:space="0" w:color="auto"/>
            <w:bottom w:val="none" w:sz="0" w:space="0" w:color="auto"/>
            <w:right w:val="none" w:sz="0" w:space="0" w:color="auto"/>
          </w:divBdr>
        </w:div>
      </w:divsChild>
    </w:div>
    <w:div w:id="2123064289">
      <w:bodyDiv w:val="1"/>
      <w:marLeft w:val="0"/>
      <w:marRight w:val="0"/>
      <w:marTop w:val="0"/>
      <w:marBottom w:val="0"/>
      <w:divBdr>
        <w:top w:val="none" w:sz="0" w:space="0" w:color="auto"/>
        <w:left w:val="none" w:sz="0" w:space="0" w:color="auto"/>
        <w:bottom w:val="none" w:sz="0" w:space="0" w:color="auto"/>
        <w:right w:val="none" w:sz="0" w:space="0" w:color="auto"/>
      </w:divBdr>
    </w:div>
    <w:div w:id="2132748852">
      <w:bodyDiv w:val="1"/>
      <w:marLeft w:val="0"/>
      <w:marRight w:val="0"/>
      <w:marTop w:val="0"/>
      <w:marBottom w:val="0"/>
      <w:divBdr>
        <w:top w:val="none" w:sz="0" w:space="0" w:color="auto"/>
        <w:left w:val="none" w:sz="0" w:space="0" w:color="auto"/>
        <w:bottom w:val="none" w:sz="0" w:space="0" w:color="auto"/>
        <w:right w:val="none" w:sz="0" w:space="0" w:color="auto"/>
      </w:divBdr>
      <w:divsChild>
        <w:div w:id="1387029421">
          <w:marLeft w:val="0"/>
          <w:marRight w:val="0"/>
          <w:marTop w:val="0"/>
          <w:marBottom w:val="0"/>
          <w:divBdr>
            <w:top w:val="none" w:sz="0" w:space="0" w:color="auto"/>
            <w:left w:val="none" w:sz="0" w:space="0" w:color="auto"/>
            <w:bottom w:val="none" w:sz="0" w:space="0" w:color="auto"/>
            <w:right w:val="none" w:sz="0" w:space="0" w:color="auto"/>
          </w:divBdr>
        </w:div>
        <w:div w:id="1757820050">
          <w:marLeft w:val="0"/>
          <w:marRight w:val="0"/>
          <w:marTop w:val="0"/>
          <w:marBottom w:val="0"/>
          <w:divBdr>
            <w:top w:val="none" w:sz="0" w:space="0" w:color="auto"/>
            <w:left w:val="none" w:sz="0" w:space="0" w:color="auto"/>
            <w:bottom w:val="none" w:sz="0" w:space="0" w:color="auto"/>
            <w:right w:val="none" w:sz="0" w:space="0" w:color="auto"/>
          </w:divBdr>
        </w:div>
      </w:divsChild>
    </w:div>
    <w:div w:id="2132820798">
      <w:bodyDiv w:val="1"/>
      <w:marLeft w:val="0"/>
      <w:marRight w:val="0"/>
      <w:marTop w:val="0"/>
      <w:marBottom w:val="0"/>
      <w:divBdr>
        <w:top w:val="none" w:sz="0" w:space="0" w:color="auto"/>
        <w:left w:val="none" w:sz="0" w:space="0" w:color="auto"/>
        <w:bottom w:val="none" w:sz="0" w:space="0" w:color="auto"/>
        <w:right w:val="none" w:sz="0" w:space="0" w:color="auto"/>
      </w:divBdr>
      <w:divsChild>
        <w:div w:id="634027479">
          <w:marLeft w:val="0"/>
          <w:marRight w:val="0"/>
          <w:marTop w:val="0"/>
          <w:marBottom w:val="0"/>
          <w:divBdr>
            <w:top w:val="none" w:sz="0" w:space="0" w:color="auto"/>
            <w:left w:val="none" w:sz="0" w:space="0" w:color="auto"/>
            <w:bottom w:val="none" w:sz="0" w:space="0" w:color="auto"/>
            <w:right w:val="none" w:sz="0" w:space="0" w:color="auto"/>
          </w:divBdr>
        </w:div>
        <w:div w:id="1096629132">
          <w:marLeft w:val="0"/>
          <w:marRight w:val="0"/>
          <w:marTop w:val="0"/>
          <w:marBottom w:val="0"/>
          <w:divBdr>
            <w:top w:val="none" w:sz="0" w:space="0" w:color="auto"/>
            <w:left w:val="none" w:sz="0" w:space="0" w:color="auto"/>
            <w:bottom w:val="none" w:sz="0" w:space="0" w:color="auto"/>
            <w:right w:val="none" w:sz="0" w:space="0" w:color="auto"/>
          </w:divBdr>
        </w:div>
      </w:divsChild>
    </w:div>
    <w:div w:id="2146581320">
      <w:bodyDiv w:val="1"/>
      <w:marLeft w:val="0"/>
      <w:marRight w:val="0"/>
      <w:marTop w:val="0"/>
      <w:marBottom w:val="0"/>
      <w:divBdr>
        <w:top w:val="none" w:sz="0" w:space="0" w:color="auto"/>
        <w:left w:val="none" w:sz="0" w:space="0" w:color="auto"/>
        <w:bottom w:val="none" w:sz="0" w:space="0" w:color="auto"/>
        <w:right w:val="none" w:sz="0" w:space="0" w:color="auto"/>
      </w:divBdr>
      <w:divsChild>
        <w:div w:id="130484125">
          <w:marLeft w:val="0"/>
          <w:marRight w:val="0"/>
          <w:marTop w:val="0"/>
          <w:marBottom w:val="0"/>
          <w:divBdr>
            <w:top w:val="none" w:sz="0" w:space="0" w:color="auto"/>
            <w:left w:val="none" w:sz="0" w:space="0" w:color="auto"/>
            <w:bottom w:val="none" w:sz="0" w:space="0" w:color="auto"/>
            <w:right w:val="none" w:sz="0" w:space="0" w:color="auto"/>
          </w:divBdr>
        </w:div>
        <w:div w:id="404651841">
          <w:marLeft w:val="0"/>
          <w:marRight w:val="0"/>
          <w:marTop w:val="0"/>
          <w:marBottom w:val="0"/>
          <w:divBdr>
            <w:top w:val="none" w:sz="0" w:space="0" w:color="auto"/>
            <w:left w:val="none" w:sz="0" w:space="0" w:color="auto"/>
            <w:bottom w:val="none" w:sz="0" w:space="0" w:color="auto"/>
            <w:right w:val="none" w:sz="0" w:space="0" w:color="auto"/>
          </w:divBdr>
        </w:div>
        <w:div w:id="747576142">
          <w:marLeft w:val="0"/>
          <w:marRight w:val="0"/>
          <w:marTop w:val="0"/>
          <w:marBottom w:val="0"/>
          <w:divBdr>
            <w:top w:val="none" w:sz="0" w:space="0" w:color="auto"/>
            <w:left w:val="none" w:sz="0" w:space="0" w:color="auto"/>
            <w:bottom w:val="none" w:sz="0" w:space="0" w:color="auto"/>
            <w:right w:val="none" w:sz="0" w:space="0" w:color="auto"/>
          </w:divBdr>
        </w:div>
        <w:div w:id="752363687">
          <w:marLeft w:val="0"/>
          <w:marRight w:val="0"/>
          <w:marTop w:val="0"/>
          <w:marBottom w:val="0"/>
          <w:divBdr>
            <w:top w:val="none" w:sz="0" w:space="0" w:color="auto"/>
            <w:left w:val="none" w:sz="0" w:space="0" w:color="auto"/>
            <w:bottom w:val="none" w:sz="0" w:space="0" w:color="auto"/>
            <w:right w:val="none" w:sz="0" w:space="0" w:color="auto"/>
          </w:divBdr>
        </w:div>
        <w:div w:id="880744676">
          <w:marLeft w:val="0"/>
          <w:marRight w:val="0"/>
          <w:marTop w:val="0"/>
          <w:marBottom w:val="0"/>
          <w:divBdr>
            <w:top w:val="none" w:sz="0" w:space="0" w:color="auto"/>
            <w:left w:val="none" w:sz="0" w:space="0" w:color="auto"/>
            <w:bottom w:val="none" w:sz="0" w:space="0" w:color="auto"/>
            <w:right w:val="none" w:sz="0" w:space="0" w:color="auto"/>
          </w:divBdr>
        </w:div>
        <w:div w:id="915700013">
          <w:marLeft w:val="0"/>
          <w:marRight w:val="0"/>
          <w:marTop w:val="0"/>
          <w:marBottom w:val="0"/>
          <w:divBdr>
            <w:top w:val="none" w:sz="0" w:space="0" w:color="auto"/>
            <w:left w:val="none" w:sz="0" w:space="0" w:color="auto"/>
            <w:bottom w:val="none" w:sz="0" w:space="0" w:color="auto"/>
            <w:right w:val="none" w:sz="0" w:space="0" w:color="auto"/>
          </w:divBdr>
        </w:div>
        <w:div w:id="1553081912">
          <w:marLeft w:val="0"/>
          <w:marRight w:val="0"/>
          <w:marTop w:val="0"/>
          <w:marBottom w:val="0"/>
          <w:divBdr>
            <w:top w:val="none" w:sz="0" w:space="0" w:color="auto"/>
            <w:left w:val="none" w:sz="0" w:space="0" w:color="auto"/>
            <w:bottom w:val="none" w:sz="0" w:space="0" w:color="auto"/>
            <w:right w:val="none" w:sz="0" w:space="0" w:color="auto"/>
          </w:divBdr>
        </w:div>
        <w:div w:id="1685593385">
          <w:marLeft w:val="0"/>
          <w:marRight w:val="0"/>
          <w:marTop w:val="0"/>
          <w:marBottom w:val="0"/>
          <w:divBdr>
            <w:top w:val="none" w:sz="0" w:space="0" w:color="auto"/>
            <w:left w:val="none" w:sz="0" w:space="0" w:color="auto"/>
            <w:bottom w:val="none" w:sz="0" w:space="0" w:color="auto"/>
            <w:right w:val="none" w:sz="0" w:space="0" w:color="auto"/>
          </w:divBdr>
        </w:div>
        <w:div w:id="1746878669">
          <w:marLeft w:val="0"/>
          <w:marRight w:val="0"/>
          <w:marTop w:val="0"/>
          <w:marBottom w:val="0"/>
          <w:divBdr>
            <w:top w:val="none" w:sz="0" w:space="0" w:color="auto"/>
            <w:left w:val="none" w:sz="0" w:space="0" w:color="auto"/>
            <w:bottom w:val="none" w:sz="0" w:space="0" w:color="auto"/>
            <w:right w:val="none" w:sz="0" w:space="0" w:color="auto"/>
          </w:divBdr>
        </w:div>
        <w:div w:id="1807356406">
          <w:marLeft w:val="0"/>
          <w:marRight w:val="0"/>
          <w:marTop w:val="0"/>
          <w:marBottom w:val="0"/>
          <w:divBdr>
            <w:top w:val="none" w:sz="0" w:space="0" w:color="auto"/>
            <w:left w:val="none" w:sz="0" w:space="0" w:color="auto"/>
            <w:bottom w:val="none" w:sz="0" w:space="0" w:color="auto"/>
            <w:right w:val="none" w:sz="0" w:space="0" w:color="auto"/>
          </w:divBdr>
        </w:div>
        <w:div w:id="213170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onemedicalgroup.co.uk/" TargetMode="External"/><Relationship Id="rId3" Type="http://schemas.openxmlformats.org/officeDocument/2006/relationships/hyperlink" Target="https://www.england.nhs.uk/commissioning/how-commissioning-is-changing/nhs-provider-selection-regime/independent-patient-choice-and-procurement-panel/panel-members/" TargetMode="External"/><Relationship Id="rId7" Type="http://schemas.openxmlformats.org/officeDocument/2006/relationships/hyperlink" Target="https://www.sussex.ics.nhs.uk/nhs-sussex/"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www.wellsbournehealthcare.org.uk/" TargetMode="External"/><Relationship Id="rId6" Type="http://schemas.openxmlformats.org/officeDocument/2006/relationships/hyperlink" Target="https://www.england.nhs.uk/long-read/the-provider-selection-regime-statutory-guidance/" TargetMode="External"/><Relationship Id="rId5" Type="http://schemas.openxmlformats.org/officeDocument/2006/relationships/hyperlink" Target="https://www.legislation.gov.uk/uksi/2023/1348/contents/made" TargetMode="External"/><Relationship Id="rId4" Type="http://schemas.openxmlformats.org/officeDocument/2006/relationships/hyperlink" Target="https://www.england.nhs.uk/commissioning/how-commissioning-is-changing/nhs-provider-selection-regime/independent-patient-choice-and-procuremen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 xmlns="96410c0b-a514-402d-9462-ba76dadfba38">CMS00</DocumentN>
    <Category xmlns="96410c0b-a514-402d-9462-ba76dadfba38">Case Document</Category>
    <Duplicateversions xmlns="96410c0b-a514-402d-9462-ba76dadfba38" xsi:nil="true"/>
    <lcf76f155ced4ddcb4097134ff3c332f xmlns="96410c0b-a514-402d-9462-ba76dadfba38">
      <Terms xmlns="http://schemas.microsoft.com/office/infopath/2007/PartnerControls"/>
    </lcf76f155ced4ddcb4097134ff3c332f>
    <TaxCatchAll xmlns="47bd0a4b-cdef-49e3-b4c2-dc603af9f461" xsi:nil="true"/>
    <MeetingDate xmlns="96410c0b-a514-402d-9462-ba76dadfba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6" ma:contentTypeDescription="Create a new document." ma:contentTypeScope="" ma:versionID="f305d54e012ac09fbebdd0e928606b8b">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13b26b09df7e3304df9e850f42fa3a7" ns2:_="" ns3:_="">
    <xsd:import namespace="96410c0b-a514-402d-9462-ba76dadfba38"/>
    <xsd:import namespace="47bd0a4b-cdef-49e3-b4c2-dc603af9f461"/>
    <xsd:element name="properties">
      <xsd:complexType>
        <xsd:sequence>
          <xsd:element name="documentManagement">
            <xsd:complexType>
              <xsd:all>
                <xsd:element ref="ns2:Category" minOccurs="0"/>
                <xsd:element ref="ns2:MeetingDate" minOccurs="0"/>
                <xsd:element ref="ns2:DocumentN" minOccurs="0"/>
                <xsd:element ref="ns2:Duplicateversion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Category" ma:index="2"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MeetingDate" ma:index="4" nillable="true" ma:displayName="Meeting Date " ma:format="DateOnly" ma:internalName="MeetingDate">
      <xsd:simpleType>
        <xsd:restriction base="dms:DateTime"/>
      </xsd:simpleType>
    </xsd:element>
    <xsd:element name="DocumentN" ma:index="5" nillable="true" ma:displayName="Document N" ma:format="Dropdown" ma:internalName="DocumentN">
      <xsd:simpleType>
        <xsd:restriction base="dms:Note">
          <xsd:maxLength value="255"/>
        </xsd:restriction>
      </xsd:simpleType>
    </xsd:element>
    <xsd:element name="Duplicateversions" ma:index="6" nillable="true" ma:displayName="Duplicate versions" ma:format="Dropdown" ma:internalName="Duplicateversion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7D4D9-D4EE-4A2A-9370-55F6AE00D4B1}">
  <ds:schemaRefs>
    <ds:schemaRef ds:uri="http://schemas.openxmlformats.org/package/2006/metadata/core-properties"/>
    <ds:schemaRef ds:uri="http://purl.org/dc/terms/"/>
    <ds:schemaRef ds:uri="47bd0a4b-cdef-49e3-b4c2-dc603af9f461"/>
    <ds:schemaRef ds:uri="http://schemas.microsoft.com/office/2006/documentManagement/types"/>
    <ds:schemaRef ds:uri="http://schemas.microsoft.com/office/infopath/2007/PartnerControls"/>
    <ds:schemaRef ds:uri="http://purl.org/dc/dcmitype/"/>
    <ds:schemaRef ds:uri="96410c0b-a514-402d-9462-ba76dadfba3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D6BB0BA-2C4D-4BAB-A3C4-A9F9FA9A03C3}">
  <ds:schemaRefs>
    <ds:schemaRef ds:uri="http://schemas.openxmlformats.org/officeDocument/2006/bibliography"/>
  </ds:schemaRefs>
</ds:datastoreItem>
</file>

<file path=customXml/itemProps3.xml><?xml version="1.0" encoding="utf-8"?>
<ds:datastoreItem xmlns:ds="http://schemas.openxmlformats.org/officeDocument/2006/customXml" ds:itemID="{DBE0697F-C1CF-4315-A394-88C96059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C106A-8FDF-4189-864E-CD98D0A0E7E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35</Pages>
  <Words>13926</Words>
  <Characters>79383</Characters>
  <Application>Microsoft Office Word</Application>
  <DocSecurity>8</DocSecurity>
  <Lines>661</Lines>
  <Paragraphs>186</Paragraphs>
  <ScaleCrop>false</ScaleCrop>
  <Company/>
  <LinksUpToDate>false</LinksUpToDate>
  <CharactersWithSpaces>93123</CharactersWithSpaces>
  <SharedDoc>false</SharedDoc>
  <HLinks>
    <vt:vector size="120" baseType="variant">
      <vt:variant>
        <vt:i4>1048628</vt:i4>
      </vt:variant>
      <vt:variant>
        <vt:i4>68</vt:i4>
      </vt:variant>
      <vt:variant>
        <vt:i4>0</vt:i4>
      </vt:variant>
      <vt:variant>
        <vt:i4>5</vt:i4>
      </vt:variant>
      <vt:variant>
        <vt:lpwstr/>
      </vt:variant>
      <vt:variant>
        <vt:lpwstr>_Toc204164425</vt:lpwstr>
      </vt:variant>
      <vt:variant>
        <vt:i4>1048628</vt:i4>
      </vt:variant>
      <vt:variant>
        <vt:i4>62</vt:i4>
      </vt:variant>
      <vt:variant>
        <vt:i4>0</vt:i4>
      </vt:variant>
      <vt:variant>
        <vt:i4>5</vt:i4>
      </vt:variant>
      <vt:variant>
        <vt:lpwstr/>
      </vt:variant>
      <vt:variant>
        <vt:lpwstr>_Toc204164424</vt:lpwstr>
      </vt:variant>
      <vt:variant>
        <vt:i4>1048628</vt:i4>
      </vt:variant>
      <vt:variant>
        <vt:i4>56</vt:i4>
      </vt:variant>
      <vt:variant>
        <vt:i4>0</vt:i4>
      </vt:variant>
      <vt:variant>
        <vt:i4>5</vt:i4>
      </vt:variant>
      <vt:variant>
        <vt:lpwstr/>
      </vt:variant>
      <vt:variant>
        <vt:lpwstr>_Toc204164423</vt:lpwstr>
      </vt:variant>
      <vt:variant>
        <vt:i4>1048628</vt:i4>
      </vt:variant>
      <vt:variant>
        <vt:i4>50</vt:i4>
      </vt:variant>
      <vt:variant>
        <vt:i4>0</vt:i4>
      </vt:variant>
      <vt:variant>
        <vt:i4>5</vt:i4>
      </vt:variant>
      <vt:variant>
        <vt:lpwstr/>
      </vt:variant>
      <vt:variant>
        <vt:lpwstr>_Toc204164422</vt:lpwstr>
      </vt:variant>
      <vt:variant>
        <vt:i4>1048628</vt:i4>
      </vt:variant>
      <vt:variant>
        <vt:i4>44</vt:i4>
      </vt:variant>
      <vt:variant>
        <vt:i4>0</vt:i4>
      </vt:variant>
      <vt:variant>
        <vt:i4>5</vt:i4>
      </vt:variant>
      <vt:variant>
        <vt:lpwstr/>
      </vt:variant>
      <vt:variant>
        <vt:lpwstr>_Toc204164421</vt:lpwstr>
      </vt:variant>
      <vt:variant>
        <vt:i4>1048628</vt:i4>
      </vt:variant>
      <vt:variant>
        <vt:i4>38</vt:i4>
      </vt:variant>
      <vt:variant>
        <vt:i4>0</vt:i4>
      </vt:variant>
      <vt:variant>
        <vt:i4>5</vt:i4>
      </vt:variant>
      <vt:variant>
        <vt:lpwstr/>
      </vt:variant>
      <vt:variant>
        <vt:lpwstr>_Toc204164420</vt:lpwstr>
      </vt:variant>
      <vt:variant>
        <vt:i4>1245236</vt:i4>
      </vt:variant>
      <vt:variant>
        <vt:i4>32</vt:i4>
      </vt:variant>
      <vt:variant>
        <vt:i4>0</vt:i4>
      </vt:variant>
      <vt:variant>
        <vt:i4>5</vt:i4>
      </vt:variant>
      <vt:variant>
        <vt:lpwstr/>
      </vt:variant>
      <vt:variant>
        <vt:lpwstr>_Toc204164419</vt:lpwstr>
      </vt:variant>
      <vt:variant>
        <vt:i4>1245236</vt:i4>
      </vt:variant>
      <vt:variant>
        <vt:i4>26</vt:i4>
      </vt:variant>
      <vt:variant>
        <vt:i4>0</vt:i4>
      </vt:variant>
      <vt:variant>
        <vt:i4>5</vt:i4>
      </vt:variant>
      <vt:variant>
        <vt:lpwstr/>
      </vt:variant>
      <vt:variant>
        <vt:lpwstr>_Toc204164418</vt:lpwstr>
      </vt:variant>
      <vt:variant>
        <vt:i4>1245236</vt:i4>
      </vt:variant>
      <vt:variant>
        <vt:i4>20</vt:i4>
      </vt:variant>
      <vt:variant>
        <vt:i4>0</vt:i4>
      </vt:variant>
      <vt:variant>
        <vt:i4>5</vt:i4>
      </vt:variant>
      <vt:variant>
        <vt:lpwstr/>
      </vt:variant>
      <vt:variant>
        <vt:lpwstr>_Toc204164417</vt:lpwstr>
      </vt:variant>
      <vt:variant>
        <vt:i4>1245236</vt:i4>
      </vt:variant>
      <vt:variant>
        <vt:i4>14</vt:i4>
      </vt:variant>
      <vt:variant>
        <vt:i4>0</vt:i4>
      </vt:variant>
      <vt:variant>
        <vt:i4>5</vt:i4>
      </vt:variant>
      <vt:variant>
        <vt:lpwstr/>
      </vt:variant>
      <vt:variant>
        <vt:lpwstr>_Toc204164416</vt:lpwstr>
      </vt:variant>
      <vt:variant>
        <vt:i4>1245236</vt:i4>
      </vt:variant>
      <vt:variant>
        <vt:i4>8</vt:i4>
      </vt:variant>
      <vt:variant>
        <vt:i4>0</vt:i4>
      </vt:variant>
      <vt:variant>
        <vt:i4>5</vt:i4>
      </vt:variant>
      <vt:variant>
        <vt:lpwstr/>
      </vt:variant>
      <vt:variant>
        <vt:lpwstr>_Toc204164415</vt:lpwstr>
      </vt:variant>
      <vt:variant>
        <vt:i4>1245236</vt:i4>
      </vt:variant>
      <vt:variant>
        <vt:i4>2</vt:i4>
      </vt:variant>
      <vt:variant>
        <vt:i4>0</vt:i4>
      </vt:variant>
      <vt:variant>
        <vt:i4>5</vt:i4>
      </vt:variant>
      <vt:variant>
        <vt:lpwstr/>
      </vt:variant>
      <vt:variant>
        <vt:lpwstr>_Toc204164414</vt:lpwstr>
      </vt:variant>
      <vt:variant>
        <vt:i4>6619257</vt:i4>
      </vt:variant>
      <vt:variant>
        <vt:i4>21</vt:i4>
      </vt:variant>
      <vt:variant>
        <vt:i4>0</vt:i4>
      </vt:variant>
      <vt:variant>
        <vt:i4>5</vt:i4>
      </vt:variant>
      <vt:variant>
        <vt:lpwstr>https://onemedicalgroup.co.uk/</vt:lpwstr>
      </vt:variant>
      <vt:variant>
        <vt:lpwstr/>
      </vt:variant>
      <vt:variant>
        <vt:i4>5242899</vt:i4>
      </vt:variant>
      <vt:variant>
        <vt:i4>18</vt:i4>
      </vt:variant>
      <vt:variant>
        <vt:i4>0</vt:i4>
      </vt:variant>
      <vt:variant>
        <vt:i4>5</vt:i4>
      </vt:variant>
      <vt:variant>
        <vt:lpwstr>https://www.sussex.ics.nhs.uk/nhs-sussex/</vt:lpwstr>
      </vt:variant>
      <vt:variant>
        <vt:lpwstr/>
      </vt:variant>
      <vt:variant>
        <vt:i4>2818172</vt:i4>
      </vt:variant>
      <vt:variant>
        <vt:i4>15</vt:i4>
      </vt:variant>
      <vt:variant>
        <vt:i4>0</vt:i4>
      </vt:variant>
      <vt:variant>
        <vt:i4>5</vt:i4>
      </vt:variant>
      <vt:variant>
        <vt:lpwstr>https://www.england.nhs.uk/long-read/the-provider-selection-regime-statutory-guidance/</vt:lpwstr>
      </vt:variant>
      <vt:variant>
        <vt:lpwstr/>
      </vt:variant>
      <vt:variant>
        <vt:i4>3670113</vt:i4>
      </vt:variant>
      <vt:variant>
        <vt:i4>12</vt:i4>
      </vt:variant>
      <vt:variant>
        <vt:i4>0</vt:i4>
      </vt:variant>
      <vt:variant>
        <vt:i4>5</vt:i4>
      </vt:variant>
      <vt:variant>
        <vt:lpwstr>https://www.legislation.gov.uk/uksi/2023/1348/contents/made</vt:lpwstr>
      </vt:variant>
      <vt:variant>
        <vt:lpwstr/>
      </vt:variant>
      <vt:variant>
        <vt:i4>7864419</vt:i4>
      </vt:variant>
      <vt:variant>
        <vt:i4>9</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6</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3</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5046344</vt:i4>
      </vt:variant>
      <vt:variant>
        <vt:i4>0</vt:i4>
      </vt:variant>
      <vt:variant>
        <vt:i4>0</vt:i4>
      </vt:variant>
      <vt:variant>
        <vt:i4>5</vt:i4>
      </vt:variant>
      <vt:variant>
        <vt:lpwstr>https://www.wellsbournehealthcare.org.uk/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Bianca (NHS SOUTH, CENTRAL AND WEST COMMISSIONING SUPPORT UNIT)</dc:creator>
  <cp:keywords/>
  <dc:description/>
  <cp:lastModifiedBy>DAVIES, Amy (NHS SOUTH, CENTRAL AND WEST COMMISSIONING SUPPORT UNIT)</cp:lastModifiedBy>
  <cp:revision>4</cp:revision>
  <cp:lastPrinted>2025-07-23T13:17:00Z</cp:lastPrinted>
  <dcterms:created xsi:type="dcterms:W3CDTF">2025-07-23T13:18:00Z</dcterms:created>
  <dcterms:modified xsi:type="dcterms:W3CDTF">2025-07-23T13:25:00Z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