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5BB06" w14:textId="4209A671" w:rsidR="006B05B7" w:rsidRPr="003D4501" w:rsidRDefault="006B05B7" w:rsidP="00C85C43">
      <w:pPr>
        <w:spacing w:line="276" w:lineRule="auto"/>
        <w:rPr>
          <w:rFonts w:ascii="Arial" w:hAnsi="Arial" w:cs="Arial"/>
          <w:b/>
          <w:bCs/>
          <w:sz w:val="28"/>
          <w:szCs w:val="28"/>
        </w:rPr>
      </w:pPr>
      <w:r w:rsidRPr="003D4501">
        <w:rPr>
          <w:rFonts w:ascii="Arial" w:hAnsi="Arial" w:cs="Arial"/>
          <w:b/>
          <w:bCs/>
          <w:sz w:val="28"/>
          <w:szCs w:val="28"/>
        </w:rPr>
        <w:t>Independent Patient Choice and Procurement Panel</w:t>
      </w:r>
    </w:p>
    <w:p w14:paraId="190C9B2A" w14:textId="0DEB4678" w:rsidR="00CD2FA0" w:rsidRPr="003D4501" w:rsidRDefault="000D0378" w:rsidP="00547EDD">
      <w:pPr>
        <w:spacing w:line="276" w:lineRule="auto"/>
        <w:rPr>
          <w:rFonts w:ascii="Arial" w:hAnsi="Arial" w:cs="Arial"/>
          <w:b/>
          <w:bCs/>
          <w:sz w:val="28"/>
          <w:szCs w:val="28"/>
        </w:rPr>
      </w:pPr>
      <w:r w:rsidRPr="003D4501">
        <w:rPr>
          <w:rFonts w:ascii="Arial" w:hAnsi="Arial" w:cs="Arial"/>
          <w:b/>
          <w:bCs/>
          <w:sz w:val="28"/>
          <w:szCs w:val="28"/>
        </w:rPr>
        <w:t>Case Acceptance Decision</w:t>
      </w:r>
      <w:r w:rsidR="00CD2FA0">
        <w:rPr>
          <w:rFonts w:ascii="Arial" w:hAnsi="Arial" w:cs="Arial"/>
          <w:b/>
          <w:bCs/>
          <w:sz w:val="28"/>
          <w:szCs w:val="28"/>
        </w:rPr>
        <w:t>: CR00</w:t>
      </w:r>
      <w:r w:rsidR="00936FAF">
        <w:rPr>
          <w:rFonts w:ascii="Arial" w:hAnsi="Arial" w:cs="Arial"/>
          <w:b/>
          <w:bCs/>
          <w:sz w:val="28"/>
          <w:szCs w:val="28"/>
        </w:rPr>
        <w:t>26-25</w:t>
      </w:r>
    </w:p>
    <w:p w14:paraId="47D1E895" w14:textId="2126CCCB" w:rsidR="00C85C43" w:rsidRPr="00547EDD" w:rsidRDefault="00337333" w:rsidP="00547EDD">
      <w:pPr>
        <w:spacing w:before="240" w:line="276" w:lineRule="auto"/>
        <w:rPr>
          <w:rFonts w:ascii="Arial" w:hAnsi="Arial" w:cs="Arial"/>
          <w:b/>
          <w:bCs/>
        </w:rPr>
      </w:pPr>
      <w:r w:rsidRPr="00547EDD">
        <w:rPr>
          <w:rFonts w:ascii="Arial" w:hAnsi="Arial" w:cs="Arial"/>
          <w:b/>
          <w:bCs/>
        </w:rPr>
        <w:t>Mental Health Support Services</w:t>
      </w:r>
      <w:r w:rsidR="003D4501" w:rsidRPr="00547EDD">
        <w:rPr>
          <w:rFonts w:ascii="Arial" w:hAnsi="Arial" w:cs="Arial"/>
          <w:b/>
          <w:bCs/>
        </w:rPr>
        <w:t xml:space="preserve"> – West Sussex</w:t>
      </w:r>
    </w:p>
    <w:p w14:paraId="5876A71E" w14:textId="5C5671FB" w:rsidR="002C0585" w:rsidRDefault="00190540">
      <w:pPr>
        <w:pStyle w:val="ListParagraph"/>
        <w:numPr>
          <w:ilvl w:val="0"/>
          <w:numId w:val="5"/>
        </w:numPr>
        <w:spacing w:line="276" w:lineRule="auto"/>
        <w:ind w:left="567" w:hanging="567"/>
        <w:contextualSpacing w:val="0"/>
        <w:rPr>
          <w:rFonts w:ascii="Arial" w:hAnsi="Arial" w:cs="Arial"/>
          <w:sz w:val="22"/>
          <w:szCs w:val="22"/>
        </w:rPr>
      </w:pPr>
      <w:r w:rsidRPr="009A1900">
        <w:rPr>
          <w:rFonts w:ascii="Arial" w:hAnsi="Arial" w:cs="Arial"/>
          <w:sz w:val="22"/>
          <w:szCs w:val="22"/>
        </w:rPr>
        <w:t xml:space="preserve">On </w:t>
      </w:r>
      <w:r w:rsidR="006B0C71" w:rsidRPr="009A1900">
        <w:rPr>
          <w:rFonts w:ascii="Arial" w:hAnsi="Arial" w:cs="Arial"/>
          <w:sz w:val="22"/>
          <w:szCs w:val="22"/>
        </w:rPr>
        <w:t>17 July 2025, Capital Project Trust (Capital)</w:t>
      </w:r>
      <w:r w:rsidR="00AB4571" w:rsidRPr="009A1900">
        <w:rPr>
          <w:rFonts w:ascii="Arial" w:hAnsi="Arial" w:cs="Arial"/>
          <w:sz w:val="22"/>
          <w:szCs w:val="22"/>
        </w:rPr>
        <w:t>,</w:t>
      </w:r>
      <w:r w:rsidR="006B0C71" w:rsidRPr="009A1900">
        <w:rPr>
          <w:rFonts w:ascii="Arial" w:hAnsi="Arial" w:cs="Arial"/>
          <w:sz w:val="22"/>
          <w:szCs w:val="22"/>
        </w:rPr>
        <w:t xml:space="preserve"> </w:t>
      </w:r>
      <w:r w:rsidR="00AB4571" w:rsidRPr="009A1900">
        <w:rPr>
          <w:rFonts w:ascii="Arial" w:hAnsi="Arial" w:cs="Arial"/>
          <w:sz w:val="22"/>
          <w:szCs w:val="22"/>
        </w:rPr>
        <w:t xml:space="preserve">a charity that helps improve mental health services </w:t>
      </w:r>
      <w:r w:rsidR="003F1CE4">
        <w:rPr>
          <w:rFonts w:ascii="Arial" w:hAnsi="Arial" w:cs="Arial"/>
          <w:sz w:val="22"/>
          <w:szCs w:val="22"/>
        </w:rPr>
        <w:t xml:space="preserve">from </w:t>
      </w:r>
      <w:r w:rsidR="00AB4571" w:rsidRPr="009A1900">
        <w:rPr>
          <w:rFonts w:ascii="Arial" w:hAnsi="Arial" w:cs="Arial"/>
          <w:sz w:val="22"/>
          <w:szCs w:val="22"/>
        </w:rPr>
        <w:t xml:space="preserve">a lived experience perspective, </w:t>
      </w:r>
      <w:r w:rsidR="006B0C71" w:rsidRPr="009A1900">
        <w:rPr>
          <w:rFonts w:ascii="Arial" w:hAnsi="Arial" w:cs="Arial"/>
          <w:sz w:val="22"/>
          <w:szCs w:val="22"/>
        </w:rPr>
        <w:t xml:space="preserve">asked the Panel to advise on </w:t>
      </w:r>
      <w:r w:rsidR="008D22F3">
        <w:rPr>
          <w:rFonts w:ascii="Arial" w:hAnsi="Arial" w:cs="Arial"/>
          <w:sz w:val="22"/>
          <w:szCs w:val="22"/>
        </w:rPr>
        <w:t xml:space="preserve">NHS </w:t>
      </w:r>
      <w:r w:rsidR="006B0C71" w:rsidRPr="009A1900">
        <w:rPr>
          <w:rFonts w:ascii="Arial" w:hAnsi="Arial" w:cs="Arial"/>
          <w:sz w:val="22"/>
          <w:szCs w:val="22"/>
        </w:rPr>
        <w:t>Sussex Integrated Care Board</w:t>
      </w:r>
      <w:r w:rsidR="001D660D">
        <w:rPr>
          <w:rFonts w:ascii="Arial" w:hAnsi="Arial" w:cs="Arial"/>
          <w:sz w:val="22"/>
          <w:szCs w:val="22"/>
        </w:rPr>
        <w:t>’s</w:t>
      </w:r>
      <w:r w:rsidR="006B0C71" w:rsidRPr="009A1900">
        <w:rPr>
          <w:rFonts w:ascii="Arial" w:hAnsi="Arial" w:cs="Arial"/>
          <w:sz w:val="22"/>
          <w:szCs w:val="22"/>
        </w:rPr>
        <w:t xml:space="preserve"> (Sussex ICB</w:t>
      </w:r>
      <w:r w:rsidR="001D660D">
        <w:rPr>
          <w:rFonts w:ascii="Arial" w:hAnsi="Arial" w:cs="Arial"/>
          <w:sz w:val="22"/>
          <w:szCs w:val="22"/>
        </w:rPr>
        <w:t>’s</w:t>
      </w:r>
      <w:r w:rsidR="00762483" w:rsidRPr="009A1900">
        <w:rPr>
          <w:rFonts w:ascii="Arial" w:hAnsi="Arial" w:cs="Arial"/>
          <w:sz w:val="22"/>
          <w:szCs w:val="22"/>
        </w:rPr>
        <w:t xml:space="preserve">) </w:t>
      </w:r>
      <w:r w:rsidR="001D660D">
        <w:rPr>
          <w:rFonts w:ascii="Arial" w:hAnsi="Arial" w:cs="Arial"/>
          <w:sz w:val="22"/>
          <w:szCs w:val="22"/>
        </w:rPr>
        <w:t xml:space="preserve">selection of a provider </w:t>
      </w:r>
      <w:r w:rsidR="00762483" w:rsidRPr="009A1900">
        <w:rPr>
          <w:rFonts w:ascii="Arial" w:hAnsi="Arial" w:cs="Arial"/>
          <w:sz w:val="22"/>
          <w:szCs w:val="22"/>
        </w:rPr>
        <w:t>for mental health support services in West Sussex.</w:t>
      </w:r>
    </w:p>
    <w:p w14:paraId="61A87068" w14:textId="77777777" w:rsidR="0026232F" w:rsidRDefault="0026232F" w:rsidP="0026232F">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The Panel, when deciding whether to accept a case, assesses whether its eligibility criteria are met and, when the Panel is approaching full capacity, the Panel will also assess any new cases against its prioritisation criteria.</w:t>
      </w:r>
    </w:p>
    <w:p w14:paraId="1EE146C2" w14:textId="5D5348C0" w:rsidR="001F26F0" w:rsidRDefault="001F26F0" w:rsidP="0026232F">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 xml:space="preserve">The Panel has </w:t>
      </w:r>
      <w:r w:rsidR="00C45C7C">
        <w:rPr>
          <w:rFonts w:ascii="Arial" w:hAnsi="Arial" w:cs="Arial"/>
          <w:sz w:val="22"/>
          <w:szCs w:val="22"/>
        </w:rPr>
        <w:t xml:space="preserve">decided </w:t>
      </w:r>
      <w:r>
        <w:rPr>
          <w:rFonts w:ascii="Arial" w:hAnsi="Arial" w:cs="Arial"/>
          <w:sz w:val="22"/>
          <w:szCs w:val="22"/>
        </w:rPr>
        <w:t>that while Capital’s request meets the Panel’s eligibility criteria</w:t>
      </w:r>
      <w:r w:rsidR="00C45C7C">
        <w:rPr>
          <w:rFonts w:ascii="Arial" w:hAnsi="Arial" w:cs="Arial"/>
          <w:sz w:val="22"/>
          <w:szCs w:val="22"/>
        </w:rPr>
        <w:t>, it will not be accepting the case on prioritisation grounds.</w:t>
      </w:r>
    </w:p>
    <w:p w14:paraId="015332B8" w14:textId="13576BFA" w:rsidR="00152F23" w:rsidRDefault="00AB4571" w:rsidP="005F28E2">
      <w:pPr>
        <w:pStyle w:val="ListParagraph"/>
        <w:numPr>
          <w:ilvl w:val="0"/>
          <w:numId w:val="5"/>
        </w:numPr>
        <w:spacing w:line="276" w:lineRule="auto"/>
        <w:ind w:left="567" w:hanging="567"/>
        <w:rPr>
          <w:rFonts w:ascii="Arial" w:hAnsi="Arial" w:cs="Arial"/>
          <w:sz w:val="22"/>
          <w:szCs w:val="22"/>
        </w:rPr>
      </w:pPr>
      <w:r w:rsidRPr="009A1900">
        <w:rPr>
          <w:rFonts w:ascii="Arial" w:hAnsi="Arial" w:cs="Arial"/>
          <w:sz w:val="22"/>
          <w:szCs w:val="22"/>
        </w:rPr>
        <w:t xml:space="preserve">This </w:t>
      </w:r>
      <w:r w:rsidR="008D22F3">
        <w:rPr>
          <w:rFonts w:ascii="Arial" w:hAnsi="Arial" w:cs="Arial"/>
          <w:sz w:val="22"/>
          <w:szCs w:val="22"/>
        </w:rPr>
        <w:t>note</w:t>
      </w:r>
      <w:r w:rsidR="0028537C">
        <w:rPr>
          <w:rFonts w:ascii="Arial" w:hAnsi="Arial" w:cs="Arial"/>
          <w:sz w:val="22"/>
          <w:szCs w:val="22"/>
        </w:rPr>
        <w:t xml:space="preserve">, which provides </w:t>
      </w:r>
      <w:r w:rsidRPr="009A1900">
        <w:rPr>
          <w:rFonts w:ascii="Arial" w:hAnsi="Arial" w:cs="Arial"/>
          <w:sz w:val="22"/>
          <w:szCs w:val="22"/>
        </w:rPr>
        <w:t xml:space="preserve">the Panel’s </w:t>
      </w:r>
      <w:r w:rsidR="002C0585">
        <w:rPr>
          <w:rFonts w:ascii="Arial" w:hAnsi="Arial" w:cs="Arial"/>
          <w:sz w:val="22"/>
          <w:szCs w:val="22"/>
        </w:rPr>
        <w:t xml:space="preserve">reasons for </w:t>
      </w:r>
      <w:r w:rsidR="00AE6C03">
        <w:rPr>
          <w:rFonts w:ascii="Arial" w:hAnsi="Arial" w:cs="Arial"/>
          <w:sz w:val="22"/>
          <w:szCs w:val="22"/>
        </w:rPr>
        <w:t>its decision</w:t>
      </w:r>
      <w:r w:rsidR="0028537C">
        <w:rPr>
          <w:rFonts w:ascii="Arial" w:hAnsi="Arial" w:cs="Arial"/>
          <w:sz w:val="22"/>
          <w:szCs w:val="22"/>
        </w:rPr>
        <w:t xml:space="preserve">, </w:t>
      </w:r>
      <w:r w:rsidR="00692DA4">
        <w:rPr>
          <w:rFonts w:ascii="Arial" w:hAnsi="Arial" w:cs="Arial"/>
          <w:sz w:val="22"/>
          <w:szCs w:val="22"/>
        </w:rPr>
        <w:t xml:space="preserve">is </w:t>
      </w:r>
      <w:r w:rsidR="00152F23">
        <w:rPr>
          <w:rFonts w:ascii="Arial" w:hAnsi="Arial" w:cs="Arial"/>
          <w:sz w:val="22"/>
          <w:szCs w:val="22"/>
        </w:rPr>
        <w:t>set out as follows:</w:t>
      </w:r>
    </w:p>
    <w:p w14:paraId="36E39D4D" w14:textId="55CC7936" w:rsidR="00444ED2" w:rsidRDefault="00B1483C" w:rsidP="005F28E2">
      <w:pPr>
        <w:pStyle w:val="ListParagraph"/>
        <w:numPr>
          <w:ilvl w:val="0"/>
          <w:numId w:val="10"/>
        </w:numPr>
        <w:spacing w:line="276" w:lineRule="auto"/>
        <w:rPr>
          <w:rFonts w:ascii="Arial" w:hAnsi="Arial" w:cs="Arial"/>
          <w:sz w:val="22"/>
          <w:szCs w:val="22"/>
        </w:rPr>
      </w:pPr>
      <w:r>
        <w:rPr>
          <w:rFonts w:ascii="Arial" w:hAnsi="Arial" w:cs="Arial"/>
          <w:sz w:val="22"/>
          <w:szCs w:val="22"/>
        </w:rPr>
        <w:t xml:space="preserve">first, the background to </w:t>
      </w:r>
      <w:r w:rsidR="00152F23">
        <w:rPr>
          <w:rFonts w:ascii="Arial" w:hAnsi="Arial" w:cs="Arial"/>
          <w:sz w:val="22"/>
          <w:szCs w:val="22"/>
        </w:rPr>
        <w:t xml:space="preserve">Capital’s request is </w:t>
      </w:r>
      <w:r w:rsidR="00150F4D">
        <w:rPr>
          <w:rFonts w:ascii="Arial" w:hAnsi="Arial" w:cs="Arial"/>
          <w:sz w:val="22"/>
          <w:szCs w:val="22"/>
        </w:rPr>
        <w:t>described</w:t>
      </w:r>
      <w:r w:rsidR="00152F23">
        <w:rPr>
          <w:rFonts w:ascii="Arial" w:hAnsi="Arial" w:cs="Arial"/>
          <w:sz w:val="22"/>
          <w:szCs w:val="22"/>
        </w:rPr>
        <w:t>;</w:t>
      </w:r>
    </w:p>
    <w:p w14:paraId="78B4696D" w14:textId="357C558E" w:rsidR="00152F23" w:rsidRDefault="00152F23" w:rsidP="005F28E2">
      <w:pPr>
        <w:pStyle w:val="ListParagraph"/>
        <w:numPr>
          <w:ilvl w:val="0"/>
          <w:numId w:val="10"/>
        </w:numPr>
        <w:spacing w:line="276" w:lineRule="auto"/>
        <w:rPr>
          <w:rFonts w:ascii="Arial" w:hAnsi="Arial" w:cs="Arial"/>
          <w:sz w:val="22"/>
          <w:szCs w:val="22"/>
        </w:rPr>
      </w:pPr>
      <w:r>
        <w:rPr>
          <w:rFonts w:ascii="Arial" w:hAnsi="Arial" w:cs="Arial"/>
          <w:sz w:val="22"/>
          <w:szCs w:val="22"/>
        </w:rPr>
        <w:t xml:space="preserve">second, Capital’s </w:t>
      </w:r>
      <w:r w:rsidR="005F28E2">
        <w:rPr>
          <w:rFonts w:ascii="Arial" w:hAnsi="Arial" w:cs="Arial"/>
          <w:sz w:val="22"/>
          <w:szCs w:val="22"/>
        </w:rPr>
        <w:t>case is assessed against the Panel’s eligibility criteria; and</w:t>
      </w:r>
    </w:p>
    <w:p w14:paraId="3AEE6B19" w14:textId="76C36D31" w:rsidR="005F28E2" w:rsidRDefault="005F28E2" w:rsidP="00152F23">
      <w:pPr>
        <w:pStyle w:val="ListParagraph"/>
        <w:numPr>
          <w:ilvl w:val="0"/>
          <w:numId w:val="10"/>
        </w:numPr>
        <w:spacing w:line="276" w:lineRule="auto"/>
        <w:contextualSpacing w:val="0"/>
        <w:rPr>
          <w:rFonts w:ascii="Arial" w:hAnsi="Arial" w:cs="Arial"/>
          <w:sz w:val="22"/>
          <w:szCs w:val="22"/>
        </w:rPr>
      </w:pPr>
      <w:r>
        <w:rPr>
          <w:rFonts w:ascii="Arial" w:hAnsi="Arial" w:cs="Arial"/>
          <w:sz w:val="22"/>
          <w:szCs w:val="22"/>
        </w:rPr>
        <w:t>finally, Capital’s case is assessed against the Panel’s prioritisation criteria.</w:t>
      </w:r>
    </w:p>
    <w:p w14:paraId="6E188518" w14:textId="64B4046C" w:rsidR="002C0585" w:rsidRPr="002C0585" w:rsidRDefault="002C0585" w:rsidP="002C0585">
      <w:pPr>
        <w:keepNext/>
        <w:spacing w:before="240" w:line="276" w:lineRule="auto"/>
        <w:rPr>
          <w:rFonts w:ascii="Arial" w:hAnsi="Arial" w:cs="Arial"/>
          <w:b/>
          <w:bCs/>
        </w:rPr>
      </w:pPr>
      <w:r>
        <w:rPr>
          <w:rFonts w:ascii="Arial" w:hAnsi="Arial" w:cs="Arial"/>
          <w:b/>
          <w:bCs/>
        </w:rPr>
        <w:t>Background</w:t>
      </w:r>
    </w:p>
    <w:p w14:paraId="4620C87C" w14:textId="4ADABAF8" w:rsidR="003556A4" w:rsidRDefault="003E61F4" w:rsidP="001B37DF">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 xml:space="preserve">On 15 November 2024, Sussex ICB </w:t>
      </w:r>
      <w:r w:rsidRPr="0048253E">
        <w:rPr>
          <w:rFonts w:ascii="Arial" w:hAnsi="Arial" w:cs="Arial"/>
          <w:sz w:val="22"/>
          <w:szCs w:val="22"/>
        </w:rPr>
        <w:t xml:space="preserve">published a contract notice inviting proposals </w:t>
      </w:r>
      <w:r w:rsidR="001B37DF">
        <w:rPr>
          <w:rFonts w:ascii="Arial" w:hAnsi="Arial" w:cs="Arial"/>
          <w:sz w:val="22"/>
          <w:szCs w:val="22"/>
        </w:rPr>
        <w:t xml:space="preserve">from interested providers for the supply </w:t>
      </w:r>
      <w:r w:rsidR="00705B35" w:rsidRPr="00865568">
        <w:rPr>
          <w:rFonts w:ascii="Arial" w:hAnsi="Arial" w:cs="Arial"/>
          <w:sz w:val="22"/>
          <w:szCs w:val="22"/>
        </w:rPr>
        <w:t xml:space="preserve">of mental health support services in </w:t>
      </w:r>
      <w:r w:rsidR="00865568" w:rsidRPr="00865568">
        <w:rPr>
          <w:rFonts w:ascii="Arial" w:hAnsi="Arial" w:cs="Arial"/>
          <w:sz w:val="22"/>
          <w:szCs w:val="22"/>
        </w:rPr>
        <w:t xml:space="preserve">Brighton &amp; Hove and West Sussex. </w:t>
      </w:r>
      <w:r w:rsidR="00251385">
        <w:rPr>
          <w:rFonts w:ascii="Arial" w:hAnsi="Arial" w:cs="Arial"/>
          <w:sz w:val="22"/>
          <w:szCs w:val="22"/>
        </w:rPr>
        <w:t>The m</w:t>
      </w:r>
      <w:r w:rsidR="00F96FE6">
        <w:rPr>
          <w:rFonts w:ascii="Arial" w:hAnsi="Arial" w:cs="Arial"/>
          <w:sz w:val="22"/>
          <w:szCs w:val="22"/>
        </w:rPr>
        <w:t xml:space="preserve">ental health support </w:t>
      </w:r>
      <w:r w:rsidR="000642F2">
        <w:rPr>
          <w:rFonts w:ascii="Arial" w:hAnsi="Arial" w:cs="Arial"/>
          <w:sz w:val="22"/>
          <w:szCs w:val="22"/>
        </w:rPr>
        <w:t xml:space="preserve">services </w:t>
      </w:r>
      <w:r w:rsidR="00251385">
        <w:rPr>
          <w:rFonts w:ascii="Arial" w:hAnsi="Arial" w:cs="Arial"/>
          <w:sz w:val="22"/>
          <w:szCs w:val="22"/>
        </w:rPr>
        <w:t xml:space="preserve">being procured through this contract will </w:t>
      </w:r>
      <w:r w:rsidR="000642F2" w:rsidRPr="00344EDF">
        <w:rPr>
          <w:rFonts w:ascii="Arial" w:hAnsi="Arial" w:cs="Arial"/>
          <w:sz w:val="22"/>
          <w:szCs w:val="22"/>
        </w:rPr>
        <w:t>promot</w:t>
      </w:r>
      <w:r w:rsidR="00F96FE6">
        <w:rPr>
          <w:rFonts w:ascii="Arial" w:hAnsi="Arial" w:cs="Arial"/>
          <w:sz w:val="22"/>
          <w:szCs w:val="22"/>
        </w:rPr>
        <w:t>e</w:t>
      </w:r>
      <w:r w:rsidR="000642F2" w:rsidRPr="00344EDF">
        <w:rPr>
          <w:rFonts w:ascii="Arial" w:hAnsi="Arial" w:cs="Arial"/>
          <w:sz w:val="22"/>
          <w:szCs w:val="22"/>
        </w:rPr>
        <w:t xml:space="preserve"> well-being, prevent mental ill health through early intervention and offer opportunities </w:t>
      </w:r>
      <w:r w:rsidR="001B7C96">
        <w:rPr>
          <w:rFonts w:ascii="Arial" w:hAnsi="Arial" w:cs="Arial"/>
          <w:sz w:val="22"/>
          <w:szCs w:val="22"/>
        </w:rPr>
        <w:t xml:space="preserve">for service users </w:t>
      </w:r>
      <w:r w:rsidR="000642F2" w:rsidRPr="00344EDF">
        <w:rPr>
          <w:rFonts w:ascii="Arial" w:hAnsi="Arial" w:cs="Arial"/>
          <w:sz w:val="22"/>
          <w:szCs w:val="22"/>
        </w:rPr>
        <w:t>to pursue meaningful activities and avoid social isolation.</w:t>
      </w:r>
    </w:p>
    <w:p w14:paraId="0C2E8961" w14:textId="44439735" w:rsidR="00286386" w:rsidRDefault="00123218" w:rsidP="001B37DF">
      <w:pPr>
        <w:pStyle w:val="ListParagraph"/>
        <w:numPr>
          <w:ilvl w:val="0"/>
          <w:numId w:val="5"/>
        </w:numPr>
        <w:spacing w:line="276" w:lineRule="auto"/>
        <w:ind w:left="567" w:hanging="567"/>
        <w:contextualSpacing w:val="0"/>
        <w:rPr>
          <w:rFonts w:ascii="Arial" w:hAnsi="Arial" w:cs="Arial"/>
          <w:sz w:val="22"/>
          <w:szCs w:val="22"/>
        </w:rPr>
      </w:pPr>
      <w:r w:rsidRPr="0048253E">
        <w:rPr>
          <w:rFonts w:ascii="Arial" w:hAnsi="Arial" w:cs="Arial"/>
          <w:sz w:val="22"/>
          <w:szCs w:val="22"/>
        </w:rPr>
        <w:t>The procurement was divided into two lots, one for Brighton &amp; Hove and one for West Sussex</w:t>
      </w:r>
      <w:r>
        <w:rPr>
          <w:rFonts w:ascii="Arial" w:hAnsi="Arial" w:cs="Arial"/>
          <w:sz w:val="22"/>
          <w:szCs w:val="22"/>
        </w:rPr>
        <w:t>.</w:t>
      </w:r>
      <w:r w:rsidR="003556A4">
        <w:rPr>
          <w:rFonts w:ascii="Arial" w:hAnsi="Arial" w:cs="Arial"/>
          <w:sz w:val="22"/>
          <w:szCs w:val="22"/>
        </w:rPr>
        <w:t xml:space="preserve"> Capital’s representations concern the provider selection process for the West Sussex contract.</w:t>
      </w:r>
    </w:p>
    <w:p w14:paraId="0420C616" w14:textId="224D4685" w:rsidR="001378B4" w:rsidRDefault="00DF21C2" w:rsidP="001B37DF">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Sussex ICB’s</w:t>
      </w:r>
      <w:r w:rsidR="001378B4">
        <w:rPr>
          <w:rFonts w:ascii="Arial" w:hAnsi="Arial" w:cs="Arial"/>
          <w:sz w:val="22"/>
          <w:szCs w:val="22"/>
        </w:rPr>
        <w:t xml:space="preserve"> provider selection process </w:t>
      </w:r>
      <w:r>
        <w:rPr>
          <w:rFonts w:ascii="Arial" w:hAnsi="Arial" w:cs="Arial"/>
          <w:sz w:val="22"/>
          <w:szCs w:val="22"/>
        </w:rPr>
        <w:t>used</w:t>
      </w:r>
      <w:r w:rsidR="00616850" w:rsidRPr="0048253E">
        <w:rPr>
          <w:rFonts w:ascii="Arial" w:hAnsi="Arial" w:cs="Arial"/>
          <w:sz w:val="22"/>
          <w:szCs w:val="22"/>
        </w:rPr>
        <w:t xml:space="preserve"> the competitive process under the Provider Selection Regime (PSR) regulations. </w:t>
      </w:r>
      <w:r w:rsidR="00123218">
        <w:rPr>
          <w:rFonts w:ascii="Arial" w:hAnsi="Arial" w:cs="Arial"/>
          <w:sz w:val="22"/>
          <w:szCs w:val="22"/>
        </w:rPr>
        <w:t xml:space="preserve">It is </w:t>
      </w:r>
      <w:r w:rsidR="00616850" w:rsidRPr="0048253E">
        <w:rPr>
          <w:rFonts w:ascii="Arial" w:hAnsi="Arial" w:cs="Arial"/>
          <w:sz w:val="22"/>
          <w:szCs w:val="22"/>
        </w:rPr>
        <w:t>a ‘mixed procurement’</w:t>
      </w:r>
      <w:r w:rsidR="00E45149">
        <w:rPr>
          <w:rFonts w:ascii="Arial" w:hAnsi="Arial" w:cs="Arial"/>
          <w:sz w:val="22"/>
          <w:szCs w:val="22"/>
        </w:rPr>
        <w:t xml:space="preserve"> for the purposes of the PSR regulations as the procure</w:t>
      </w:r>
      <w:r w:rsidR="00BA1248">
        <w:rPr>
          <w:rFonts w:ascii="Arial" w:hAnsi="Arial" w:cs="Arial"/>
          <w:sz w:val="22"/>
          <w:szCs w:val="22"/>
        </w:rPr>
        <w:t>ment</w:t>
      </w:r>
      <w:r w:rsidR="000A0FF9">
        <w:rPr>
          <w:rFonts w:ascii="Arial" w:hAnsi="Arial" w:cs="Arial"/>
          <w:sz w:val="22"/>
          <w:szCs w:val="22"/>
        </w:rPr>
        <w:t xml:space="preserve"> include</w:t>
      </w:r>
      <w:r w:rsidR="00BA1248">
        <w:rPr>
          <w:rFonts w:ascii="Arial" w:hAnsi="Arial" w:cs="Arial"/>
          <w:sz w:val="22"/>
          <w:szCs w:val="22"/>
        </w:rPr>
        <w:t>s</w:t>
      </w:r>
      <w:r w:rsidR="000A0FF9">
        <w:rPr>
          <w:rFonts w:ascii="Arial" w:hAnsi="Arial" w:cs="Arial"/>
          <w:sz w:val="22"/>
          <w:szCs w:val="22"/>
        </w:rPr>
        <w:t xml:space="preserve"> a combination of </w:t>
      </w:r>
      <w:r w:rsidR="00616850" w:rsidRPr="0048253E">
        <w:rPr>
          <w:rFonts w:ascii="Arial" w:hAnsi="Arial" w:cs="Arial"/>
          <w:sz w:val="22"/>
          <w:szCs w:val="22"/>
        </w:rPr>
        <w:t>relevant health care services (as defined in the PSR regulations) and non-health care services.</w:t>
      </w:r>
    </w:p>
    <w:p w14:paraId="01F591CD" w14:textId="31E9E938" w:rsidR="00CD604E" w:rsidRDefault="00CD604E" w:rsidP="00CD604E">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 xml:space="preserve">Bids for the </w:t>
      </w:r>
      <w:r w:rsidR="00BA1248">
        <w:rPr>
          <w:rFonts w:ascii="Arial" w:hAnsi="Arial" w:cs="Arial"/>
          <w:sz w:val="22"/>
          <w:szCs w:val="22"/>
        </w:rPr>
        <w:t xml:space="preserve">two </w:t>
      </w:r>
      <w:r>
        <w:rPr>
          <w:rFonts w:ascii="Arial" w:hAnsi="Arial" w:cs="Arial"/>
          <w:sz w:val="22"/>
          <w:szCs w:val="22"/>
        </w:rPr>
        <w:t>new contract</w:t>
      </w:r>
      <w:r w:rsidR="00D7707C">
        <w:rPr>
          <w:rFonts w:ascii="Arial" w:hAnsi="Arial" w:cs="Arial"/>
          <w:sz w:val="22"/>
          <w:szCs w:val="22"/>
        </w:rPr>
        <w:t>s</w:t>
      </w:r>
      <w:r>
        <w:rPr>
          <w:rFonts w:ascii="Arial" w:hAnsi="Arial" w:cs="Arial"/>
          <w:sz w:val="22"/>
          <w:szCs w:val="22"/>
        </w:rPr>
        <w:t xml:space="preserve"> were due by 20 January 2025. Each contract has a five year duration with the option of a two year extension. The estimated value of the West Sussex contract is approximately £35 million (excluding VAT) over </w:t>
      </w:r>
      <w:r w:rsidR="007266D8">
        <w:rPr>
          <w:rFonts w:ascii="Arial" w:hAnsi="Arial" w:cs="Arial"/>
          <w:sz w:val="22"/>
          <w:szCs w:val="22"/>
        </w:rPr>
        <w:t>its</w:t>
      </w:r>
      <w:r>
        <w:rPr>
          <w:rFonts w:ascii="Arial" w:hAnsi="Arial" w:cs="Arial"/>
          <w:sz w:val="22"/>
          <w:szCs w:val="22"/>
        </w:rPr>
        <w:t xml:space="preserve"> maximum seven year duration.</w:t>
      </w:r>
    </w:p>
    <w:p w14:paraId="65A104F4" w14:textId="4956955E" w:rsidR="000C1B4A" w:rsidRPr="001466F3" w:rsidRDefault="007266D8">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Prior to this procurement process</w:t>
      </w:r>
      <w:r w:rsidR="00711265" w:rsidRPr="001466F3">
        <w:rPr>
          <w:rFonts w:ascii="Arial" w:hAnsi="Arial" w:cs="Arial"/>
          <w:sz w:val="22"/>
          <w:szCs w:val="22"/>
        </w:rPr>
        <w:t xml:space="preserve">, Capital has been directly contracted by Sussex ICB for its services. </w:t>
      </w:r>
      <w:r w:rsidR="00B7531F">
        <w:rPr>
          <w:rFonts w:ascii="Arial" w:hAnsi="Arial" w:cs="Arial"/>
          <w:sz w:val="22"/>
          <w:szCs w:val="22"/>
        </w:rPr>
        <w:t>However, t</w:t>
      </w:r>
      <w:r w:rsidR="009E4EC8" w:rsidRPr="001466F3">
        <w:rPr>
          <w:rFonts w:ascii="Arial" w:hAnsi="Arial" w:cs="Arial"/>
          <w:sz w:val="22"/>
          <w:szCs w:val="22"/>
        </w:rPr>
        <w:t>he new contract</w:t>
      </w:r>
      <w:r w:rsidR="00B7531F">
        <w:rPr>
          <w:rFonts w:ascii="Arial" w:hAnsi="Arial" w:cs="Arial"/>
          <w:sz w:val="22"/>
          <w:szCs w:val="22"/>
        </w:rPr>
        <w:t xml:space="preserve">s </w:t>
      </w:r>
      <w:r w:rsidR="009E4EC8" w:rsidRPr="001466F3">
        <w:rPr>
          <w:rFonts w:ascii="Arial" w:hAnsi="Arial" w:cs="Arial"/>
          <w:sz w:val="22"/>
          <w:szCs w:val="22"/>
        </w:rPr>
        <w:t>consolidate several previously separate contracts</w:t>
      </w:r>
      <w:r w:rsidR="00716E18">
        <w:rPr>
          <w:rFonts w:ascii="Arial" w:hAnsi="Arial" w:cs="Arial"/>
          <w:sz w:val="22"/>
          <w:szCs w:val="22"/>
        </w:rPr>
        <w:t>,</w:t>
      </w:r>
      <w:r w:rsidR="007B5571">
        <w:rPr>
          <w:rFonts w:ascii="Arial" w:hAnsi="Arial" w:cs="Arial"/>
          <w:sz w:val="22"/>
          <w:szCs w:val="22"/>
        </w:rPr>
        <w:t xml:space="preserve"> including Capital’s current contract with Sussex ICB</w:t>
      </w:r>
      <w:r w:rsidR="00743B56">
        <w:rPr>
          <w:rFonts w:ascii="Arial" w:hAnsi="Arial" w:cs="Arial"/>
          <w:sz w:val="22"/>
          <w:szCs w:val="22"/>
        </w:rPr>
        <w:t>. L</w:t>
      </w:r>
      <w:r w:rsidR="009E4EC8" w:rsidRPr="001466F3">
        <w:rPr>
          <w:rFonts w:ascii="Arial" w:hAnsi="Arial" w:cs="Arial"/>
          <w:sz w:val="22"/>
          <w:szCs w:val="22"/>
        </w:rPr>
        <w:t>ead provider</w:t>
      </w:r>
      <w:r w:rsidR="00743B56">
        <w:rPr>
          <w:rFonts w:ascii="Arial" w:hAnsi="Arial" w:cs="Arial"/>
          <w:sz w:val="22"/>
          <w:szCs w:val="22"/>
        </w:rPr>
        <w:t>s</w:t>
      </w:r>
      <w:r w:rsidR="009E4EC8" w:rsidRPr="001466F3">
        <w:rPr>
          <w:rFonts w:ascii="Arial" w:hAnsi="Arial" w:cs="Arial"/>
          <w:sz w:val="22"/>
          <w:szCs w:val="22"/>
        </w:rPr>
        <w:t xml:space="preserve"> </w:t>
      </w:r>
      <w:r w:rsidR="00743B56">
        <w:rPr>
          <w:rFonts w:ascii="Arial" w:hAnsi="Arial" w:cs="Arial"/>
          <w:sz w:val="22"/>
          <w:szCs w:val="22"/>
        </w:rPr>
        <w:t xml:space="preserve">will now hold </w:t>
      </w:r>
      <w:r w:rsidR="001B5158">
        <w:rPr>
          <w:rFonts w:ascii="Arial" w:hAnsi="Arial" w:cs="Arial"/>
          <w:sz w:val="22"/>
          <w:szCs w:val="22"/>
        </w:rPr>
        <w:t>the new contracts</w:t>
      </w:r>
      <w:r w:rsidR="00743B56">
        <w:rPr>
          <w:rFonts w:ascii="Arial" w:hAnsi="Arial" w:cs="Arial"/>
          <w:sz w:val="22"/>
          <w:szCs w:val="22"/>
        </w:rPr>
        <w:t xml:space="preserve">, sub-contracting as needed and </w:t>
      </w:r>
      <w:r w:rsidR="00B55BC6">
        <w:rPr>
          <w:rFonts w:ascii="Arial" w:hAnsi="Arial" w:cs="Arial"/>
          <w:sz w:val="22"/>
          <w:szCs w:val="22"/>
        </w:rPr>
        <w:t xml:space="preserve">as </w:t>
      </w:r>
      <w:r w:rsidR="00743B56">
        <w:rPr>
          <w:rFonts w:ascii="Arial" w:hAnsi="Arial" w:cs="Arial"/>
          <w:sz w:val="22"/>
          <w:szCs w:val="22"/>
        </w:rPr>
        <w:t>required</w:t>
      </w:r>
      <w:r w:rsidR="00B55BC6">
        <w:rPr>
          <w:rFonts w:ascii="Arial" w:hAnsi="Arial" w:cs="Arial"/>
          <w:sz w:val="22"/>
          <w:szCs w:val="22"/>
        </w:rPr>
        <w:t>, with other providers</w:t>
      </w:r>
      <w:r w:rsidR="009E4EC8" w:rsidRPr="001466F3">
        <w:rPr>
          <w:rFonts w:ascii="Arial" w:hAnsi="Arial" w:cs="Arial"/>
          <w:sz w:val="22"/>
          <w:szCs w:val="22"/>
        </w:rPr>
        <w:t xml:space="preserve">. </w:t>
      </w:r>
      <w:r w:rsidR="00711265" w:rsidRPr="001466F3">
        <w:rPr>
          <w:rFonts w:ascii="Arial" w:hAnsi="Arial" w:cs="Arial"/>
          <w:sz w:val="22"/>
          <w:szCs w:val="22"/>
        </w:rPr>
        <w:t>Capital did not</w:t>
      </w:r>
      <w:r w:rsidR="001466F3" w:rsidRPr="001466F3">
        <w:rPr>
          <w:rFonts w:ascii="Arial" w:hAnsi="Arial" w:cs="Arial"/>
          <w:sz w:val="22"/>
          <w:szCs w:val="22"/>
        </w:rPr>
        <w:t xml:space="preserve"> </w:t>
      </w:r>
      <w:r w:rsidR="00711265" w:rsidRPr="001466F3">
        <w:rPr>
          <w:rFonts w:ascii="Arial" w:hAnsi="Arial" w:cs="Arial"/>
          <w:sz w:val="22"/>
          <w:szCs w:val="22"/>
        </w:rPr>
        <w:t xml:space="preserve">bid for the new </w:t>
      </w:r>
      <w:r w:rsidR="001B5158">
        <w:rPr>
          <w:rFonts w:ascii="Arial" w:hAnsi="Arial" w:cs="Arial"/>
          <w:sz w:val="22"/>
          <w:szCs w:val="22"/>
        </w:rPr>
        <w:t xml:space="preserve">West Sussex </w:t>
      </w:r>
      <w:r w:rsidR="00711265" w:rsidRPr="001466F3">
        <w:rPr>
          <w:rFonts w:ascii="Arial" w:hAnsi="Arial" w:cs="Arial"/>
          <w:sz w:val="22"/>
          <w:szCs w:val="22"/>
        </w:rPr>
        <w:t xml:space="preserve">contract as </w:t>
      </w:r>
      <w:r w:rsidR="001466F3" w:rsidRPr="001466F3">
        <w:rPr>
          <w:rFonts w:ascii="Arial" w:hAnsi="Arial" w:cs="Arial"/>
          <w:sz w:val="22"/>
          <w:szCs w:val="22"/>
        </w:rPr>
        <w:t xml:space="preserve">it considered that it was too small to take on the </w:t>
      </w:r>
      <w:r w:rsidR="00711265" w:rsidRPr="001466F3">
        <w:rPr>
          <w:rFonts w:ascii="Arial" w:hAnsi="Arial" w:cs="Arial"/>
          <w:sz w:val="22"/>
          <w:szCs w:val="22"/>
        </w:rPr>
        <w:t>lead provider</w:t>
      </w:r>
      <w:r w:rsidR="001466F3" w:rsidRPr="001466F3">
        <w:rPr>
          <w:rFonts w:ascii="Arial" w:hAnsi="Arial" w:cs="Arial"/>
          <w:sz w:val="22"/>
          <w:szCs w:val="22"/>
        </w:rPr>
        <w:t xml:space="preserve"> </w:t>
      </w:r>
      <w:r w:rsidR="00711265" w:rsidRPr="001466F3">
        <w:rPr>
          <w:rFonts w:ascii="Arial" w:hAnsi="Arial" w:cs="Arial"/>
          <w:sz w:val="22"/>
          <w:szCs w:val="22"/>
        </w:rPr>
        <w:t>role, but was named as a sub-contractor by several bidders.</w:t>
      </w:r>
    </w:p>
    <w:p w14:paraId="274C1A98" w14:textId="19AD0514" w:rsidR="000268BF" w:rsidRDefault="00F53431" w:rsidP="000F1DEF">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 xml:space="preserve">On 27 May 2025, Sussex ICB published a contract award notice </w:t>
      </w:r>
      <w:r w:rsidR="000F1DEF">
        <w:rPr>
          <w:rFonts w:ascii="Arial" w:hAnsi="Arial" w:cs="Arial"/>
          <w:sz w:val="22"/>
          <w:szCs w:val="22"/>
        </w:rPr>
        <w:t xml:space="preserve">stating that the successful bidder for the new West Sussex contract was </w:t>
      </w:r>
      <w:r w:rsidR="00CB6B9D">
        <w:rPr>
          <w:rFonts w:ascii="Arial" w:hAnsi="Arial" w:cs="Arial"/>
          <w:sz w:val="22"/>
          <w:szCs w:val="22"/>
        </w:rPr>
        <w:t>BHT Sussex</w:t>
      </w:r>
      <w:r w:rsidR="00426CE1">
        <w:rPr>
          <w:rFonts w:ascii="Arial" w:hAnsi="Arial" w:cs="Arial"/>
          <w:sz w:val="22"/>
          <w:szCs w:val="22"/>
        </w:rPr>
        <w:t>, a housing association and homeless charity.</w:t>
      </w:r>
      <w:r w:rsidR="001B627A">
        <w:rPr>
          <w:rFonts w:ascii="Arial" w:hAnsi="Arial" w:cs="Arial"/>
          <w:sz w:val="22"/>
          <w:szCs w:val="22"/>
        </w:rPr>
        <w:t xml:space="preserve"> BHT Sussex included Capital as one of the subcontractors in its proposal.</w:t>
      </w:r>
    </w:p>
    <w:p w14:paraId="6A932FB1" w14:textId="0C824495" w:rsidR="000F1DEF" w:rsidRDefault="00CC654B" w:rsidP="000F1DEF">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 xml:space="preserve">Notwithstanding its status as a subcontractor </w:t>
      </w:r>
      <w:r w:rsidR="00475F00">
        <w:rPr>
          <w:rFonts w:ascii="Arial" w:hAnsi="Arial" w:cs="Arial"/>
          <w:sz w:val="22"/>
          <w:szCs w:val="22"/>
        </w:rPr>
        <w:t>i</w:t>
      </w:r>
      <w:r>
        <w:rPr>
          <w:rFonts w:ascii="Arial" w:hAnsi="Arial" w:cs="Arial"/>
          <w:sz w:val="22"/>
          <w:szCs w:val="22"/>
        </w:rPr>
        <w:t xml:space="preserve">n the winning proposal, </w:t>
      </w:r>
      <w:r w:rsidR="002C5966">
        <w:rPr>
          <w:rFonts w:ascii="Arial" w:hAnsi="Arial" w:cs="Arial"/>
          <w:sz w:val="22"/>
          <w:szCs w:val="22"/>
        </w:rPr>
        <w:t xml:space="preserve">Capital made representations to Sussex ICB </w:t>
      </w:r>
      <w:r w:rsidR="00C512BE">
        <w:rPr>
          <w:rFonts w:ascii="Arial" w:hAnsi="Arial" w:cs="Arial"/>
          <w:sz w:val="22"/>
          <w:szCs w:val="22"/>
        </w:rPr>
        <w:t>regarding</w:t>
      </w:r>
      <w:r w:rsidR="002C5966">
        <w:rPr>
          <w:rFonts w:ascii="Arial" w:hAnsi="Arial" w:cs="Arial"/>
          <w:sz w:val="22"/>
          <w:szCs w:val="22"/>
        </w:rPr>
        <w:t xml:space="preserve"> </w:t>
      </w:r>
      <w:r w:rsidR="00C512BE">
        <w:rPr>
          <w:rFonts w:ascii="Arial" w:hAnsi="Arial" w:cs="Arial"/>
          <w:sz w:val="22"/>
          <w:szCs w:val="22"/>
        </w:rPr>
        <w:t xml:space="preserve">its </w:t>
      </w:r>
      <w:r w:rsidR="002C5966">
        <w:rPr>
          <w:rFonts w:ascii="Arial" w:hAnsi="Arial" w:cs="Arial"/>
          <w:sz w:val="22"/>
          <w:szCs w:val="22"/>
        </w:rPr>
        <w:t>provider selection process for the West Sussex contract</w:t>
      </w:r>
      <w:r w:rsidR="003C311D">
        <w:rPr>
          <w:rFonts w:ascii="Arial" w:hAnsi="Arial" w:cs="Arial"/>
          <w:sz w:val="22"/>
          <w:szCs w:val="22"/>
        </w:rPr>
        <w:t xml:space="preserve"> on </w:t>
      </w:r>
      <w:r w:rsidR="00E95395">
        <w:rPr>
          <w:rFonts w:ascii="Arial" w:hAnsi="Arial" w:cs="Arial"/>
          <w:sz w:val="22"/>
          <w:szCs w:val="22"/>
        </w:rPr>
        <w:t>6 June 2025</w:t>
      </w:r>
      <w:r w:rsidR="0080582F">
        <w:rPr>
          <w:rFonts w:ascii="Arial" w:hAnsi="Arial" w:cs="Arial"/>
          <w:sz w:val="22"/>
          <w:szCs w:val="22"/>
        </w:rPr>
        <w:t xml:space="preserve">. These </w:t>
      </w:r>
      <w:r w:rsidR="00FC0553">
        <w:rPr>
          <w:rFonts w:ascii="Arial" w:hAnsi="Arial" w:cs="Arial"/>
          <w:sz w:val="22"/>
          <w:szCs w:val="22"/>
        </w:rPr>
        <w:t xml:space="preserve">representations </w:t>
      </w:r>
      <w:r w:rsidR="0080582F">
        <w:rPr>
          <w:rFonts w:ascii="Arial" w:hAnsi="Arial" w:cs="Arial"/>
          <w:sz w:val="22"/>
          <w:szCs w:val="22"/>
        </w:rPr>
        <w:t xml:space="preserve">were considered by Sussex ICB’s internal review panel, and </w:t>
      </w:r>
      <w:r w:rsidR="00FC0553">
        <w:rPr>
          <w:rFonts w:ascii="Arial" w:hAnsi="Arial" w:cs="Arial"/>
          <w:sz w:val="22"/>
          <w:szCs w:val="22"/>
        </w:rPr>
        <w:t>on</w:t>
      </w:r>
      <w:r w:rsidR="003F1CE4">
        <w:rPr>
          <w:rFonts w:ascii="Arial" w:hAnsi="Arial" w:cs="Arial"/>
          <w:sz w:val="22"/>
          <w:szCs w:val="22"/>
        </w:rPr>
        <w:t xml:space="preserve"> 9 July 2025</w:t>
      </w:r>
      <w:r w:rsidR="00FC0553">
        <w:rPr>
          <w:rFonts w:ascii="Arial" w:hAnsi="Arial" w:cs="Arial"/>
          <w:sz w:val="22"/>
          <w:szCs w:val="22"/>
        </w:rPr>
        <w:t xml:space="preserve"> the ICB wrote to Capital confirming its original decision to award the new contract to BHT Sussex.</w:t>
      </w:r>
      <w:r w:rsidR="009A1900">
        <w:rPr>
          <w:rFonts w:ascii="Arial" w:hAnsi="Arial" w:cs="Arial"/>
          <w:sz w:val="22"/>
          <w:szCs w:val="22"/>
        </w:rPr>
        <w:t xml:space="preserve"> </w:t>
      </w:r>
      <w:r w:rsidR="00711590">
        <w:rPr>
          <w:rFonts w:ascii="Arial" w:hAnsi="Arial" w:cs="Arial"/>
          <w:sz w:val="22"/>
          <w:szCs w:val="22"/>
        </w:rPr>
        <w:t>Capital</w:t>
      </w:r>
      <w:r w:rsidR="00D7507F">
        <w:rPr>
          <w:rFonts w:ascii="Arial" w:hAnsi="Arial" w:cs="Arial"/>
          <w:sz w:val="22"/>
          <w:szCs w:val="22"/>
        </w:rPr>
        <w:t xml:space="preserve"> has, in response, asked </w:t>
      </w:r>
      <w:r w:rsidR="00711590">
        <w:rPr>
          <w:rFonts w:ascii="Arial" w:hAnsi="Arial" w:cs="Arial"/>
          <w:sz w:val="22"/>
          <w:szCs w:val="22"/>
        </w:rPr>
        <w:t>the Panel to advise on Sussex ICB’s</w:t>
      </w:r>
      <w:r w:rsidR="00F863DC">
        <w:rPr>
          <w:rFonts w:ascii="Arial" w:hAnsi="Arial" w:cs="Arial"/>
          <w:sz w:val="22"/>
          <w:szCs w:val="22"/>
        </w:rPr>
        <w:t xml:space="preserve"> provider selection</w:t>
      </w:r>
      <w:r w:rsidR="00711590">
        <w:rPr>
          <w:rFonts w:ascii="Arial" w:hAnsi="Arial" w:cs="Arial"/>
          <w:sz w:val="22"/>
          <w:szCs w:val="22"/>
        </w:rPr>
        <w:t xml:space="preserve"> decision.</w:t>
      </w:r>
    </w:p>
    <w:p w14:paraId="4E8CB34F" w14:textId="70A567D0" w:rsidR="00452915" w:rsidRPr="004F66CC" w:rsidRDefault="00452915" w:rsidP="00452915">
      <w:pPr>
        <w:keepNext/>
        <w:spacing w:before="240" w:line="276" w:lineRule="auto"/>
        <w:rPr>
          <w:rFonts w:ascii="Arial" w:hAnsi="Arial" w:cs="Arial"/>
          <w:b/>
          <w:bCs/>
        </w:rPr>
      </w:pPr>
      <w:r w:rsidRPr="004F66CC">
        <w:rPr>
          <w:rFonts w:ascii="Arial" w:hAnsi="Arial" w:cs="Arial"/>
          <w:b/>
          <w:bCs/>
        </w:rPr>
        <w:t>Eligibility</w:t>
      </w:r>
    </w:p>
    <w:p w14:paraId="41E9B8B8" w14:textId="198D9503" w:rsidR="001853D0" w:rsidRDefault="00712CF3" w:rsidP="001C0B71">
      <w:pPr>
        <w:pStyle w:val="ListParagraph"/>
        <w:numPr>
          <w:ilvl w:val="0"/>
          <w:numId w:val="5"/>
        </w:numPr>
        <w:spacing w:after="0" w:line="276" w:lineRule="auto"/>
        <w:ind w:left="567" w:hanging="567"/>
        <w:rPr>
          <w:rFonts w:ascii="Arial" w:hAnsi="Arial" w:cs="Arial"/>
          <w:sz w:val="22"/>
          <w:szCs w:val="22"/>
        </w:rPr>
      </w:pPr>
      <w:r>
        <w:rPr>
          <w:rFonts w:ascii="Arial" w:hAnsi="Arial" w:cs="Arial"/>
          <w:sz w:val="22"/>
          <w:szCs w:val="22"/>
        </w:rPr>
        <w:t xml:space="preserve">The Panel’s </w:t>
      </w:r>
      <w:r w:rsidR="00222356">
        <w:rPr>
          <w:rFonts w:ascii="Arial" w:hAnsi="Arial" w:cs="Arial"/>
          <w:sz w:val="22"/>
          <w:szCs w:val="22"/>
        </w:rPr>
        <w:t>eligibility</w:t>
      </w:r>
      <w:r>
        <w:rPr>
          <w:rFonts w:ascii="Arial" w:hAnsi="Arial" w:cs="Arial"/>
          <w:sz w:val="22"/>
          <w:szCs w:val="22"/>
        </w:rPr>
        <w:t xml:space="preserve"> criteria </w:t>
      </w:r>
      <w:r w:rsidR="0057648C">
        <w:rPr>
          <w:rFonts w:ascii="Arial" w:hAnsi="Arial" w:cs="Arial"/>
          <w:sz w:val="22"/>
          <w:szCs w:val="22"/>
        </w:rPr>
        <w:t xml:space="preserve">set out seven conditions that must be met </w:t>
      </w:r>
      <w:r w:rsidR="00325735">
        <w:rPr>
          <w:rFonts w:ascii="Arial" w:hAnsi="Arial" w:cs="Arial"/>
          <w:sz w:val="22"/>
          <w:szCs w:val="22"/>
        </w:rPr>
        <w:t xml:space="preserve">for a case to be </w:t>
      </w:r>
      <w:r w:rsidR="00941D7F">
        <w:rPr>
          <w:rFonts w:ascii="Arial" w:hAnsi="Arial" w:cs="Arial"/>
          <w:sz w:val="22"/>
          <w:szCs w:val="22"/>
        </w:rPr>
        <w:t xml:space="preserve">eligible for acceptance </w:t>
      </w:r>
      <w:r w:rsidR="00325735">
        <w:rPr>
          <w:rFonts w:ascii="Arial" w:hAnsi="Arial" w:cs="Arial"/>
          <w:sz w:val="22"/>
          <w:szCs w:val="22"/>
        </w:rPr>
        <w:t>by the Panel</w:t>
      </w:r>
      <w:r w:rsidR="00222356">
        <w:rPr>
          <w:rFonts w:ascii="Arial" w:hAnsi="Arial" w:cs="Arial"/>
          <w:sz w:val="22"/>
          <w:szCs w:val="22"/>
        </w:rPr>
        <w:t>.</w:t>
      </w:r>
      <w:r w:rsidR="009D7A04">
        <w:rPr>
          <w:rStyle w:val="FootnoteReference"/>
          <w:rFonts w:ascii="Arial" w:hAnsi="Arial" w:cs="Arial"/>
          <w:sz w:val="22"/>
          <w:szCs w:val="22"/>
        </w:rPr>
        <w:footnoteReference w:id="1"/>
      </w:r>
      <w:r w:rsidR="00222356">
        <w:rPr>
          <w:rFonts w:ascii="Arial" w:hAnsi="Arial" w:cs="Arial"/>
          <w:sz w:val="22"/>
          <w:szCs w:val="22"/>
        </w:rPr>
        <w:t xml:space="preserve"> These are</w:t>
      </w:r>
      <w:r w:rsidR="001C0B71">
        <w:rPr>
          <w:rFonts w:ascii="Arial" w:hAnsi="Arial" w:cs="Arial"/>
          <w:sz w:val="22"/>
          <w:szCs w:val="22"/>
        </w:rPr>
        <w:t xml:space="preserve"> as follows.</w:t>
      </w:r>
    </w:p>
    <w:p w14:paraId="04B996EF" w14:textId="3FB84AAD" w:rsidR="001C0B71" w:rsidRPr="001C0B71" w:rsidRDefault="001C0B71" w:rsidP="0092388A">
      <w:pPr>
        <w:numPr>
          <w:ilvl w:val="0"/>
          <w:numId w:val="11"/>
        </w:numPr>
        <w:spacing w:after="0" w:line="276" w:lineRule="auto"/>
        <w:ind w:left="1560"/>
        <w:rPr>
          <w:rFonts w:ascii="Arial" w:hAnsi="Arial" w:cs="Arial"/>
          <w:sz w:val="22"/>
          <w:szCs w:val="22"/>
        </w:rPr>
      </w:pPr>
      <w:r w:rsidRPr="001C0B71">
        <w:rPr>
          <w:rFonts w:ascii="Arial" w:hAnsi="Arial" w:cs="Arial"/>
          <w:sz w:val="22"/>
          <w:szCs w:val="22"/>
        </w:rPr>
        <w:t xml:space="preserve">The relevant authority intends to make an award under direct award process C, the most suitable provider process, or the competitive process (including a framework agreement or awarding a contract based on a framework agreement following a </w:t>
      </w:r>
      <w:proofErr w:type="gramStart"/>
      <w:r w:rsidRPr="001C0B71">
        <w:rPr>
          <w:rFonts w:ascii="Arial" w:hAnsi="Arial" w:cs="Arial"/>
          <w:sz w:val="22"/>
          <w:szCs w:val="22"/>
        </w:rPr>
        <w:t>mini-competition</w:t>
      </w:r>
      <w:proofErr w:type="gramEnd"/>
      <w:r w:rsidRPr="001C0B71">
        <w:rPr>
          <w:rFonts w:ascii="Arial" w:hAnsi="Arial" w:cs="Arial"/>
          <w:sz w:val="22"/>
          <w:szCs w:val="22"/>
        </w:rPr>
        <w:t>)</w:t>
      </w:r>
      <w:r>
        <w:rPr>
          <w:rFonts w:ascii="Arial" w:hAnsi="Arial" w:cs="Arial"/>
          <w:sz w:val="22"/>
          <w:szCs w:val="22"/>
        </w:rPr>
        <w:t>.</w:t>
      </w:r>
    </w:p>
    <w:p w14:paraId="5EDFFCAE" w14:textId="1C159941" w:rsidR="001C0B71" w:rsidRPr="001C0B71" w:rsidRDefault="001C0B71" w:rsidP="0092388A">
      <w:pPr>
        <w:numPr>
          <w:ilvl w:val="0"/>
          <w:numId w:val="11"/>
        </w:numPr>
        <w:spacing w:after="0" w:line="276" w:lineRule="auto"/>
        <w:ind w:left="1560"/>
        <w:rPr>
          <w:rFonts w:ascii="Arial" w:hAnsi="Arial" w:cs="Arial"/>
          <w:sz w:val="22"/>
          <w:szCs w:val="22"/>
        </w:rPr>
      </w:pPr>
      <w:r w:rsidRPr="001C0B71">
        <w:rPr>
          <w:rFonts w:ascii="Arial" w:hAnsi="Arial" w:cs="Arial"/>
          <w:sz w:val="22"/>
          <w:szCs w:val="22"/>
        </w:rPr>
        <w:t>The request comes from a provider that might otherwise have been a provider of the services to which the contract relates</w:t>
      </w:r>
      <w:r>
        <w:rPr>
          <w:rFonts w:ascii="Arial" w:hAnsi="Arial" w:cs="Arial"/>
          <w:sz w:val="22"/>
          <w:szCs w:val="22"/>
        </w:rPr>
        <w:t>.</w:t>
      </w:r>
    </w:p>
    <w:p w14:paraId="51ED7F58" w14:textId="03A51441" w:rsidR="001C0B71" w:rsidRPr="001C0B71" w:rsidRDefault="001C0B71" w:rsidP="0092388A">
      <w:pPr>
        <w:numPr>
          <w:ilvl w:val="0"/>
          <w:numId w:val="11"/>
        </w:numPr>
        <w:spacing w:after="0" w:line="276" w:lineRule="auto"/>
        <w:ind w:left="1560"/>
        <w:rPr>
          <w:rFonts w:ascii="Arial" w:hAnsi="Arial" w:cs="Arial"/>
          <w:sz w:val="22"/>
          <w:szCs w:val="22"/>
        </w:rPr>
      </w:pPr>
      <w:r w:rsidRPr="001C0B71">
        <w:rPr>
          <w:rFonts w:ascii="Arial" w:hAnsi="Arial" w:cs="Arial"/>
          <w:sz w:val="22"/>
          <w:szCs w:val="22"/>
        </w:rPr>
        <w:t>Following the provider’s representations the relevant authority has conducted a review of its original decision and has decided to enter the contract or conclude the framework agreement as originally intended</w:t>
      </w:r>
      <w:r>
        <w:rPr>
          <w:rFonts w:ascii="Arial" w:hAnsi="Arial" w:cs="Arial"/>
          <w:sz w:val="22"/>
          <w:szCs w:val="22"/>
        </w:rPr>
        <w:t>.</w:t>
      </w:r>
    </w:p>
    <w:p w14:paraId="1F3B2E89" w14:textId="6DA55BFC" w:rsidR="001C0B71" w:rsidRPr="001C0B71" w:rsidRDefault="001C0B71" w:rsidP="0092388A">
      <w:pPr>
        <w:numPr>
          <w:ilvl w:val="0"/>
          <w:numId w:val="11"/>
        </w:numPr>
        <w:spacing w:after="0" w:line="276" w:lineRule="auto"/>
        <w:ind w:left="1560"/>
        <w:rPr>
          <w:rFonts w:ascii="Arial" w:hAnsi="Arial" w:cs="Arial"/>
          <w:sz w:val="22"/>
          <w:szCs w:val="22"/>
        </w:rPr>
      </w:pPr>
      <w:r w:rsidRPr="001C0B71">
        <w:rPr>
          <w:rFonts w:ascii="Arial" w:hAnsi="Arial" w:cs="Arial"/>
          <w:sz w:val="22"/>
          <w:szCs w:val="22"/>
        </w:rPr>
        <w:t>The request has been made in writing (which includes electronically) within 5</w:t>
      </w:r>
      <w:r w:rsidR="00A341BC">
        <w:rPr>
          <w:rFonts w:ascii="Arial" w:hAnsi="Arial" w:cs="Arial"/>
          <w:sz w:val="22"/>
          <w:szCs w:val="22"/>
        </w:rPr>
        <w:t> </w:t>
      </w:r>
      <w:r w:rsidRPr="001C0B71">
        <w:rPr>
          <w:rFonts w:ascii="Arial" w:hAnsi="Arial" w:cs="Arial"/>
          <w:sz w:val="22"/>
          <w:szCs w:val="22"/>
        </w:rPr>
        <w:t>working days of the provider being notified of the decision by the relevant authority</w:t>
      </w:r>
      <w:r>
        <w:rPr>
          <w:rFonts w:ascii="Arial" w:hAnsi="Arial" w:cs="Arial"/>
          <w:sz w:val="22"/>
          <w:szCs w:val="22"/>
        </w:rPr>
        <w:t>.</w:t>
      </w:r>
    </w:p>
    <w:p w14:paraId="3C74EFE6" w14:textId="700A7D44" w:rsidR="001C0B71" w:rsidRPr="001C0B71" w:rsidRDefault="001C0B71" w:rsidP="0092388A">
      <w:pPr>
        <w:numPr>
          <w:ilvl w:val="0"/>
          <w:numId w:val="11"/>
        </w:numPr>
        <w:spacing w:after="0" w:line="276" w:lineRule="auto"/>
        <w:ind w:left="1560"/>
        <w:rPr>
          <w:rFonts w:ascii="Arial" w:hAnsi="Arial" w:cs="Arial"/>
          <w:sz w:val="22"/>
          <w:szCs w:val="22"/>
        </w:rPr>
      </w:pPr>
      <w:r w:rsidRPr="001C0B71">
        <w:rPr>
          <w:rFonts w:ascii="Arial" w:hAnsi="Arial" w:cs="Arial"/>
          <w:sz w:val="22"/>
          <w:szCs w:val="22"/>
        </w:rPr>
        <w:t>The provider has set out why it believes the relevant authority has failed to apply the regime correctly</w:t>
      </w:r>
      <w:r>
        <w:rPr>
          <w:rFonts w:ascii="Arial" w:hAnsi="Arial" w:cs="Arial"/>
          <w:sz w:val="22"/>
          <w:szCs w:val="22"/>
        </w:rPr>
        <w:t>.</w:t>
      </w:r>
    </w:p>
    <w:p w14:paraId="6D2411E2" w14:textId="5D748885" w:rsidR="001C0B71" w:rsidRPr="001C0B71" w:rsidRDefault="001C0B71" w:rsidP="0092388A">
      <w:pPr>
        <w:numPr>
          <w:ilvl w:val="0"/>
          <w:numId w:val="11"/>
        </w:numPr>
        <w:spacing w:after="0" w:line="276" w:lineRule="auto"/>
        <w:ind w:left="1560"/>
        <w:rPr>
          <w:rFonts w:ascii="Arial" w:hAnsi="Arial" w:cs="Arial"/>
          <w:sz w:val="22"/>
          <w:szCs w:val="22"/>
        </w:rPr>
      </w:pPr>
      <w:r w:rsidRPr="001C0B71">
        <w:rPr>
          <w:rFonts w:ascii="Arial" w:hAnsi="Arial" w:cs="Arial"/>
          <w:sz w:val="22"/>
          <w:szCs w:val="22"/>
        </w:rPr>
        <w:t xml:space="preserve">The provider has submitted </w:t>
      </w:r>
      <w:proofErr w:type="gramStart"/>
      <w:r w:rsidRPr="001C0B71">
        <w:rPr>
          <w:rFonts w:ascii="Arial" w:hAnsi="Arial" w:cs="Arial"/>
          <w:sz w:val="22"/>
          <w:szCs w:val="22"/>
        </w:rPr>
        <w:t>all of</w:t>
      </w:r>
      <w:proofErr w:type="gramEnd"/>
      <w:r w:rsidRPr="001C0B71">
        <w:rPr>
          <w:rFonts w:ascii="Arial" w:hAnsi="Arial" w:cs="Arial"/>
          <w:sz w:val="22"/>
          <w:szCs w:val="22"/>
        </w:rPr>
        <w:t xml:space="preserve"> the necessary supporting information for the Panel to carry out its review as requested in the Panel’s pro forma</w:t>
      </w:r>
      <w:r>
        <w:rPr>
          <w:rFonts w:ascii="Arial" w:hAnsi="Arial" w:cs="Arial"/>
          <w:sz w:val="22"/>
          <w:szCs w:val="22"/>
        </w:rPr>
        <w:t>.</w:t>
      </w:r>
    </w:p>
    <w:p w14:paraId="1BCF084F" w14:textId="5AA64908" w:rsidR="001C0B71" w:rsidRPr="001C0B71" w:rsidRDefault="001C0B71" w:rsidP="0092388A">
      <w:pPr>
        <w:numPr>
          <w:ilvl w:val="0"/>
          <w:numId w:val="11"/>
        </w:numPr>
        <w:spacing w:line="276" w:lineRule="auto"/>
        <w:ind w:left="1560"/>
        <w:rPr>
          <w:rFonts w:ascii="Arial" w:hAnsi="Arial" w:cs="Arial"/>
          <w:sz w:val="22"/>
          <w:szCs w:val="22"/>
        </w:rPr>
      </w:pPr>
      <w:r w:rsidRPr="001C0B71">
        <w:rPr>
          <w:rFonts w:ascii="Arial" w:hAnsi="Arial" w:cs="Arial"/>
          <w:sz w:val="22"/>
          <w:szCs w:val="22"/>
        </w:rPr>
        <w:t>The representations are not considered by the Panel to be trivial, vexatious, or an abuse of the Panel’s procedures</w:t>
      </w:r>
      <w:r>
        <w:rPr>
          <w:rFonts w:ascii="Arial" w:hAnsi="Arial" w:cs="Arial"/>
          <w:sz w:val="22"/>
          <w:szCs w:val="22"/>
        </w:rPr>
        <w:t>.</w:t>
      </w:r>
    </w:p>
    <w:p w14:paraId="10632FAF" w14:textId="77777777" w:rsidR="00C553EC" w:rsidRDefault="00A341BC" w:rsidP="00D62684">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 xml:space="preserve">The Panel </w:t>
      </w:r>
      <w:r w:rsidR="00D62684">
        <w:rPr>
          <w:rFonts w:ascii="Arial" w:hAnsi="Arial" w:cs="Arial"/>
          <w:sz w:val="22"/>
          <w:szCs w:val="22"/>
        </w:rPr>
        <w:t xml:space="preserve">concluded that Capital’s request met all seven eligibility criteria. However, in carrying out its assessment </w:t>
      </w:r>
      <w:r w:rsidR="00455114">
        <w:rPr>
          <w:rFonts w:ascii="Arial" w:hAnsi="Arial" w:cs="Arial"/>
          <w:sz w:val="22"/>
          <w:szCs w:val="22"/>
        </w:rPr>
        <w:t>t</w:t>
      </w:r>
      <w:r w:rsidR="00993C0B">
        <w:rPr>
          <w:rFonts w:ascii="Arial" w:hAnsi="Arial" w:cs="Arial"/>
          <w:sz w:val="22"/>
          <w:szCs w:val="22"/>
        </w:rPr>
        <w:t>he Panel</w:t>
      </w:r>
      <w:r w:rsidR="00455114">
        <w:rPr>
          <w:rFonts w:ascii="Arial" w:hAnsi="Arial" w:cs="Arial"/>
          <w:sz w:val="22"/>
          <w:szCs w:val="22"/>
        </w:rPr>
        <w:t xml:space="preserve"> paid particular attention to </w:t>
      </w:r>
      <w:r w:rsidR="00D62684">
        <w:rPr>
          <w:rFonts w:ascii="Arial" w:hAnsi="Arial" w:cs="Arial"/>
          <w:sz w:val="22"/>
          <w:szCs w:val="22"/>
        </w:rPr>
        <w:t>the second criterion</w:t>
      </w:r>
      <w:r w:rsidR="00C553EC">
        <w:rPr>
          <w:rFonts w:ascii="Arial" w:hAnsi="Arial" w:cs="Arial"/>
          <w:sz w:val="22"/>
          <w:szCs w:val="22"/>
        </w:rPr>
        <w:t xml:space="preserve">, namely </w:t>
      </w:r>
      <w:r w:rsidR="00455114">
        <w:rPr>
          <w:rFonts w:ascii="Arial" w:hAnsi="Arial" w:cs="Arial"/>
          <w:sz w:val="22"/>
          <w:szCs w:val="22"/>
        </w:rPr>
        <w:t xml:space="preserve">whether </w:t>
      </w:r>
      <w:r w:rsidR="00C553EC">
        <w:rPr>
          <w:rFonts w:ascii="Arial" w:hAnsi="Arial" w:cs="Arial"/>
          <w:sz w:val="22"/>
          <w:szCs w:val="22"/>
        </w:rPr>
        <w:t xml:space="preserve">Capital’s request </w:t>
      </w:r>
      <w:r w:rsidR="00DE1DA2">
        <w:rPr>
          <w:rFonts w:ascii="Arial" w:hAnsi="Arial" w:cs="Arial"/>
          <w:sz w:val="22"/>
          <w:szCs w:val="22"/>
        </w:rPr>
        <w:t>came “from a provider that might otherwise have been a provider of the services to which the contract relates”.</w:t>
      </w:r>
    </w:p>
    <w:p w14:paraId="2DE76F79" w14:textId="2188F854" w:rsidR="00B22CA6" w:rsidRDefault="00D842AA" w:rsidP="00417CC8">
      <w:pPr>
        <w:pStyle w:val="ListParagraph"/>
        <w:numPr>
          <w:ilvl w:val="0"/>
          <w:numId w:val="5"/>
        </w:numPr>
        <w:spacing w:line="276" w:lineRule="auto"/>
        <w:ind w:left="567" w:hanging="567"/>
        <w:rPr>
          <w:rFonts w:ascii="Arial" w:hAnsi="Arial" w:cs="Arial"/>
          <w:sz w:val="22"/>
          <w:szCs w:val="22"/>
        </w:rPr>
      </w:pPr>
      <w:r>
        <w:rPr>
          <w:rFonts w:ascii="Arial" w:hAnsi="Arial" w:cs="Arial"/>
          <w:sz w:val="22"/>
          <w:szCs w:val="22"/>
        </w:rPr>
        <w:t>This was because i</w:t>
      </w:r>
      <w:r w:rsidR="00B33923">
        <w:rPr>
          <w:rFonts w:ascii="Arial" w:hAnsi="Arial" w:cs="Arial"/>
          <w:sz w:val="22"/>
          <w:szCs w:val="22"/>
        </w:rPr>
        <w:t>t was not immediately clear to the Panel</w:t>
      </w:r>
      <w:r w:rsidR="003314FC">
        <w:rPr>
          <w:rFonts w:ascii="Arial" w:hAnsi="Arial" w:cs="Arial"/>
          <w:sz w:val="22"/>
          <w:szCs w:val="22"/>
        </w:rPr>
        <w:t>:</w:t>
      </w:r>
    </w:p>
    <w:p w14:paraId="5383964D" w14:textId="2FB08271" w:rsidR="004B6BDC" w:rsidRDefault="002168CF" w:rsidP="00417CC8">
      <w:pPr>
        <w:pStyle w:val="ListParagraph"/>
        <w:numPr>
          <w:ilvl w:val="1"/>
          <w:numId w:val="12"/>
        </w:numPr>
        <w:spacing w:line="276" w:lineRule="auto"/>
        <w:ind w:left="1560" w:hanging="567"/>
        <w:rPr>
          <w:rFonts w:ascii="Arial" w:hAnsi="Arial" w:cs="Arial"/>
          <w:sz w:val="22"/>
          <w:szCs w:val="22"/>
        </w:rPr>
      </w:pPr>
      <w:r>
        <w:rPr>
          <w:rFonts w:ascii="Arial" w:hAnsi="Arial" w:cs="Arial"/>
          <w:sz w:val="22"/>
          <w:szCs w:val="22"/>
        </w:rPr>
        <w:t xml:space="preserve">whether </w:t>
      </w:r>
      <w:r w:rsidR="00F92651">
        <w:rPr>
          <w:rFonts w:ascii="Arial" w:hAnsi="Arial" w:cs="Arial"/>
          <w:sz w:val="22"/>
          <w:szCs w:val="22"/>
        </w:rPr>
        <w:t>Capital’s</w:t>
      </w:r>
      <w:r w:rsidR="003314FC">
        <w:rPr>
          <w:rFonts w:ascii="Arial" w:hAnsi="Arial" w:cs="Arial"/>
          <w:sz w:val="22"/>
          <w:szCs w:val="22"/>
        </w:rPr>
        <w:t xml:space="preserve"> services fall within the definition of health care services </w:t>
      </w:r>
      <w:r w:rsidR="00D842AA">
        <w:rPr>
          <w:rFonts w:ascii="Arial" w:hAnsi="Arial" w:cs="Arial"/>
          <w:sz w:val="22"/>
          <w:szCs w:val="22"/>
        </w:rPr>
        <w:t xml:space="preserve">set out in </w:t>
      </w:r>
      <w:r w:rsidR="003314FC">
        <w:rPr>
          <w:rFonts w:ascii="Arial" w:hAnsi="Arial" w:cs="Arial"/>
          <w:sz w:val="22"/>
          <w:szCs w:val="22"/>
        </w:rPr>
        <w:t>the PSR regulations</w:t>
      </w:r>
      <w:r w:rsidR="00F9340F">
        <w:rPr>
          <w:rFonts w:ascii="Arial" w:hAnsi="Arial" w:cs="Arial"/>
          <w:sz w:val="22"/>
          <w:szCs w:val="22"/>
        </w:rPr>
        <w:t xml:space="preserve"> and</w:t>
      </w:r>
      <w:r w:rsidR="004B6BDC">
        <w:rPr>
          <w:rFonts w:ascii="Arial" w:hAnsi="Arial" w:cs="Arial"/>
          <w:sz w:val="22"/>
          <w:szCs w:val="22"/>
        </w:rPr>
        <w:t>, if not,</w:t>
      </w:r>
      <w:r w:rsidR="00F9340F">
        <w:rPr>
          <w:rFonts w:ascii="Arial" w:hAnsi="Arial" w:cs="Arial"/>
          <w:sz w:val="22"/>
          <w:szCs w:val="22"/>
        </w:rPr>
        <w:t xml:space="preserve"> whether this had implications for Capital’s ability to make representations to the Panel</w:t>
      </w:r>
      <w:r w:rsidR="003314FC">
        <w:rPr>
          <w:rFonts w:ascii="Arial" w:hAnsi="Arial" w:cs="Arial"/>
          <w:sz w:val="22"/>
          <w:szCs w:val="22"/>
        </w:rPr>
        <w:t>; and</w:t>
      </w:r>
    </w:p>
    <w:p w14:paraId="46F7EEB0" w14:textId="51BF7B53" w:rsidR="00222356" w:rsidRPr="000743F8" w:rsidRDefault="002168CF">
      <w:pPr>
        <w:pStyle w:val="ListParagraph"/>
        <w:numPr>
          <w:ilvl w:val="1"/>
          <w:numId w:val="12"/>
        </w:numPr>
        <w:spacing w:line="276" w:lineRule="auto"/>
        <w:ind w:left="1560" w:hanging="567"/>
        <w:contextualSpacing w:val="0"/>
        <w:rPr>
          <w:rFonts w:ascii="Arial" w:hAnsi="Arial" w:cs="Arial"/>
          <w:sz w:val="22"/>
          <w:szCs w:val="22"/>
        </w:rPr>
      </w:pPr>
      <w:r>
        <w:rPr>
          <w:rFonts w:ascii="Arial" w:hAnsi="Arial" w:cs="Arial"/>
          <w:sz w:val="22"/>
          <w:szCs w:val="22"/>
        </w:rPr>
        <w:t xml:space="preserve">whether </w:t>
      </w:r>
      <w:r w:rsidR="004B3E4F" w:rsidRPr="000743F8">
        <w:rPr>
          <w:rFonts w:ascii="Arial" w:hAnsi="Arial" w:cs="Arial"/>
          <w:sz w:val="22"/>
          <w:szCs w:val="22"/>
        </w:rPr>
        <w:t xml:space="preserve">Capital </w:t>
      </w:r>
      <w:r w:rsidR="00B22CA6" w:rsidRPr="000743F8">
        <w:rPr>
          <w:rFonts w:ascii="Arial" w:hAnsi="Arial" w:cs="Arial"/>
          <w:sz w:val="22"/>
          <w:szCs w:val="22"/>
        </w:rPr>
        <w:t xml:space="preserve">qualified as a </w:t>
      </w:r>
      <w:r w:rsidR="000743F8" w:rsidRPr="000743F8">
        <w:rPr>
          <w:rFonts w:ascii="Arial" w:hAnsi="Arial" w:cs="Arial"/>
          <w:sz w:val="22"/>
          <w:szCs w:val="22"/>
        </w:rPr>
        <w:t xml:space="preserve">“provider that might otherwise have been a provider of the services to which the contract relates” given Capital’s </w:t>
      </w:r>
      <w:r w:rsidR="004B3E4F" w:rsidRPr="000743F8">
        <w:rPr>
          <w:rFonts w:ascii="Arial" w:hAnsi="Arial" w:cs="Arial"/>
          <w:sz w:val="22"/>
          <w:szCs w:val="22"/>
        </w:rPr>
        <w:t>acknowledge</w:t>
      </w:r>
      <w:r w:rsidR="000743F8">
        <w:rPr>
          <w:rFonts w:ascii="Arial" w:hAnsi="Arial" w:cs="Arial"/>
          <w:sz w:val="22"/>
          <w:szCs w:val="22"/>
        </w:rPr>
        <w:t xml:space="preserve">ment </w:t>
      </w:r>
      <w:r w:rsidR="004B3E4F" w:rsidRPr="000743F8">
        <w:rPr>
          <w:rFonts w:ascii="Arial" w:hAnsi="Arial" w:cs="Arial"/>
          <w:sz w:val="22"/>
          <w:szCs w:val="22"/>
        </w:rPr>
        <w:t>that it was unable to fulfil the lead provider role</w:t>
      </w:r>
      <w:r w:rsidR="00D046A3" w:rsidRPr="000743F8">
        <w:rPr>
          <w:rFonts w:ascii="Arial" w:hAnsi="Arial" w:cs="Arial"/>
          <w:sz w:val="22"/>
          <w:szCs w:val="22"/>
        </w:rPr>
        <w:t>.</w:t>
      </w:r>
    </w:p>
    <w:p w14:paraId="4A19EF5A" w14:textId="705714D3" w:rsidR="004F66CC" w:rsidRPr="004F66CC" w:rsidRDefault="00FA4E99" w:rsidP="004F66CC">
      <w:pPr>
        <w:keepNext/>
        <w:spacing w:before="240" w:line="276" w:lineRule="auto"/>
        <w:rPr>
          <w:rFonts w:ascii="Arial" w:hAnsi="Arial" w:cs="Arial"/>
          <w:i/>
          <w:iCs/>
          <w:sz w:val="22"/>
          <w:szCs w:val="22"/>
        </w:rPr>
      </w:pPr>
      <w:r>
        <w:rPr>
          <w:rFonts w:ascii="Arial" w:hAnsi="Arial" w:cs="Arial"/>
          <w:i/>
          <w:iCs/>
          <w:sz w:val="22"/>
          <w:szCs w:val="22"/>
        </w:rPr>
        <w:t>Capital as a potential supplier of non</w:t>
      </w:r>
      <w:r w:rsidR="005324D4">
        <w:rPr>
          <w:rFonts w:ascii="Arial" w:hAnsi="Arial" w:cs="Arial"/>
          <w:i/>
          <w:iCs/>
          <w:sz w:val="22"/>
          <w:szCs w:val="22"/>
        </w:rPr>
        <w:t>-</w:t>
      </w:r>
      <w:r>
        <w:rPr>
          <w:rFonts w:ascii="Arial" w:hAnsi="Arial" w:cs="Arial"/>
          <w:i/>
          <w:iCs/>
          <w:sz w:val="22"/>
          <w:szCs w:val="22"/>
        </w:rPr>
        <w:t>health care services</w:t>
      </w:r>
    </w:p>
    <w:p w14:paraId="11937E92" w14:textId="05FCB3DA" w:rsidR="0026795D" w:rsidRDefault="008604E7" w:rsidP="0026795D">
      <w:pPr>
        <w:pStyle w:val="ListParagraph"/>
        <w:numPr>
          <w:ilvl w:val="0"/>
          <w:numId w:val="5"/>
        </w:numPr>
        <w:spacing w:after="120" w:line="276" w:lineRule="auto"/>
        <w:ind w:left="567" w:hanging="567"/>
        <w:contextualSpacing w:val="0"/>
        <w:rPr>
          <w:rFonts w:ascii="Arial" w:hAnsi="Arial" w:cs="Arial"/>
          <w:sz w:val="22"/>
          <w:szCs w:val="22"/>
        </w:rPr>
      </w:pPr>
      <w:r w:rsidRPr="00AB047F">
        <w:rPr>
          <w:rFonts w:ascii="Arial" w:hAnsi="Arial" w:cs="Arial"/>
          <w:sz w:val="22"/>
          <w:szCs w:val="22"/>
        </w:rPr>
        <w:t>In terms of Capital</w:t>
      </w:r>
      <w:r w:rsidR="00AB047F" w:rsidRPr="00AB047F">
        <w:rPr>
          <w:rFonts w:ascii="Arial" w:hAnsi="Arial" w:cs="Arial"/>
          <w:sz w:val="22"/>
          <w:szCs w:val="22"/>
        </w:rPr>
        <w:t xml:space="preserve"> potentially </w:t>
      </w:r>
      <w:r w:rsidR="007F2368">
        <w:rPr>
          <w:rFonts w:ascii="Arial" w:hAnsi="Arial" w:cs="Arial"/>
          <w:sz w:val="22"/>
          <w:szCs w:val="22"/>
        </w:rPr>
        <w:t xml:space="preserve">not </w:t>
      </w:r>
      <w:r w:rsidR="00AB047F" w:rsidRPr="00AB047F">
        <w:rPr>
          <w:rFonts w:ascii="Arial" w:hAnsi="Arial" w:cs="Arial"/>
          <w:sz w:val="22"/>
          <w:szCs w:val="22"/>
        </w:rPr>
        <w:t xml:space="preserve">being a supplier of </w:t>
      </w:r>
      <w:r w:rsidR="007F2368">
        <w:rPr>
          <w:rFonts w:ascii="Arial" w:hAnsi="Arial" w:cs="Arial"/>
          <w:sz w:val="22"/>
          <w:szCs w:val="22"/>
        </w:rPr>
        <w:t xml:space="preserve">relevant </w:t>
      </w:r>
      <w:r w:rsidR="00AB047F" w:rsidRPr="00AB047F">
        <w:rPr>
          <w:rFonts w:ascii="Arial" w:hAnsi="Arial" w:cs="Arial"/>
          <w:sz w:val="22"/>
          <w:szCs w:val="22"/>
        </w:rPr>
        <w:t>health care services</w:t>
      </w:r>
      <w:r w:rsidR="007F2368">
        <w:rPr>
          <w:rFonts w:ascii="Arial" w:hAnsi="Arial" w:cs="Arial"/>
          <w:sz w:val="22"/>
          <w:szCs w:val="22"/>
        </w:rPr>
        <w:t xml:space="preserve"> and, if so, the implication</w:t>
      </w:r>
      <w:r w:rsidR="006C2254">
        <w:rPr>
          <w:rFonts w:ascii="Arial" w:hAnsi="Arial" w:cs="Arial"/>
          <w:sz w:val="22"/>
          <w:szCs w:val="22"/>
        </w:rPr>
        <w:t>s for</w:t>
      </w:r>
      <w:r w:rsidR="007F2368">
        <w:rPr>
          <w:rFonts w:ascii="Arial" w:hAnsi="Arial" w:cs="Arial"/>
          <w:sz w:val="22"/>
          <w:szCs w:val="22"/>
        </w:rPr>
        <w:t xml:space="preserve"> its </w:t>
      </w:r>
      <w:r w:rsidR="006C2254">
        <w:rPr>
          <w:rFonts w:ascii="Arial" w:hAnsi="Arial" w:cs="Arial"/>
          <w:sz w:val="22"/>
          <w:szCs w:val="22"/>
        </w:rPr>
        <w:t>eligibility</w:t>
      </w:r>
      <w:r w:rsidR="007F2368">
        <w:rPr>
          <w:rFonts w:ascii="Arial" w:hAnsi="Arial" w:cs="Arial"/>
          <w:sz w:val="22"/>
          <w:szCs w:val="22"/>
        </w:rPr>
        <w:t xml:space="preserve"> to make representations to the Panel</w:t>
      </w:r>
      <w:r w:rsidR="00AB047F" w:rsidRPr="00AB047F">
        <w:rPr>
          <w:rFonts w:ascii="Arial" w:hAnsi="Arial" w:cs="Arial"/>
          <w:sz w:val="22"/>
          <w:szCs w:val="22"/>
        </w:rPr>
        <w:t xml:space="preserve">, </w:t>
      </w:r>
      <w:r w:rsidR="0026795D">
        <w:rPr>
          <w:rFonts w:ascii="Arial" w:hAnsi="Arial" w:cs="Arial"/>
          <w:sz w:val="22"/>
          <w:szCs w:val="22"/>
        </w:rPr>
        <w:t>the relevant provisions of the PSR regulations are as follows:</w:t>
      </w:r>
    </w:p>
    <w:p w14:paraId="31EA2262" w14:textId="41FC92AB" w:rsidR="00EC58F8" w:rsidRPr="00AB047F" w:rsidRDefault="00EC58F8" w:rsidP="0026795D">
      <w:pPr>
        <w:pStyle w:val="ListParagraph"/>
        <w:numPr>
          <w:ilvl w:val="0"/>
          <w:numId w:val="13"/>
        </w:numPr>
        <w:spacing w:after="120" w:line="276" w:lineRule="auto"/>
        <w:contextualSpacing w:val="0"/>
        <w:rPr>
          <w:rFonts w:ascii="Arial" w:hAnsi="Arial" w:cs="Arial"/>
          <w:sz w:val="22"/>
          <w:szCs w:val="22"/>
        </w:rPr>
      </w:pPr>
      <w:r w:rsidRPr="00AB047F">
        <w:rPr>
          <w:rFonts w:ascii="Arial" w:hAnsi="Arial" w:cs="Arial"/>
          <w:sz w:val="22"/>
          <w:szCs w:val="22"/>
        </w:rPr>
        <w:t xml:space="preserve">Regulation 12(3) of the PSR regulations states </w:t>
      </w:r>
      <w:r w:rsidR="005B45F3" w:rsidRPr="00AB047F">
        <w:rPr>
          <w:rFonts w:ascii="Arial" w:hAnsi="Arial" w:cs="Arial"/>
          <w:sz w:val="22"/>
          <w:szCs w:val="22"/>
        </w:rPr>
        <w:t xml:space="preserve">that </w:t>
      </w:r>
      <w:r w:rsidRPr="00EC58F8">
        <w:rPr>
          <w:rFonts w:ascii="Arial" w:hAnsi="Arial" w:cs="Arial"/>
          <w:sz w:val="22"/>
          <w:szCs w:val="22"/>
        </w:rPr>
        <w:t>"any provider of the services to which the contract or framework agreement relates</w:t>
      </w:r>
      <w:r w:rsidR="004E673B" w:rsidRPr="00AB047F">
        <w:rPr>
          <w:rFonts w:ascii="Arial" w:hAnsi="Arial" w:cs="Arial"/>
          <w:sz w:val="22"/>
          <w:szCs w:val="22"/>
        </w:rPr>
        <w:t xml:space="preserve"> </w:t>
      </w:r>
      <w:r w:rsidRPr="00EC58F8">
        <w:rPr>
          <w:rFonts w:ascii="Arial" w:hAnsi="Arial" w:cs="Arial"/>
          <w:sz w:val="22"/>
          <w:szCs w:val="22"/>
        </w:rPr>
        <w:t>… may make written representations" to the Relevant Authority.</w:t>
      </w:r>
    </w:p>
    <w:p w14:paraId="2EDADF78" w14:textId="77777777" w:rsidR="0026795D" w:rsidRDefault="00EC58F8" w:rsidP="0026795D">
      <w:pPr>
        <w:pStyle w:val="ListParagraph"/>
        <w:numPr>
          <w:ilvl w:val="0"/>
          <w:numId w:val="13"/>
        </w:numPr>
        <w:spacing w:after="120" w:line="276" w:lineRule="auto"/>
        <w:contextualSpacing w:val="0"/>
        <w:rPr>
          <w:rFonts w:ascii="Arial" w:hAnsi="Arial" w:cs="Arial"/>
          <w:sz w:val="22"/>
          <w:szCs w:val="22"/>
        </w:rPr>
      </w:pPr>
      <w:r w:rsidRPr="00EC58F8">
        <w:rPr>
          <w:rFonts w:ascii="Arial" w:hAnsi="Arial" w:cs="Arial"/>
          <w:sz w:val="22"/>
          <w:szCs w:val="22"/>
        </w:rPr>
        <w:t xml:space="preserve">Regulation 2 </w:t>
      </w:r>
      <w:r w:rsidR="0026795D">
        <w:rPr>
          <w:rFonts w:ascii="Arial" w:hAnsi="Arial" w:cs="Arial"/>
          <w:sz w:val="22"/>
          <w:szCs w:val="22"/>
        </w:rPr>
        <w:t xml:space="preserve">defines a ‘provider’ </w:t>
      </w:r>
      <w:r w:rsidRPr="00EC58F8">
        <w:rPr>
          <w:rFonts w:ascii="Arial" w:hAnsi="Arial" w:cs="Arial"/>
          <w:sz w:val="22"/>
          <w:szCs w:val="22"/>
        </w:rPr>
        <w:t>as "a person who provides, or offers to provide, relevant health care services for the purposes of the health service in England".</w:t>
      </w:r>
    </w:p>
    <w:p w14:paraId="3B9962E1" w14:textId="658C8BD5" w:rsidR="0026795D" w:rsidRDefault="0026795D" w:rsidP="0026795D">
      <w:pPr>
        <w:pStyle w:val="ListParagraph"/>
        <w:numPr>
          <w:ilvl w:val="0"/>
          <w:numId w:val="13"/>
        </w:numPr>
        <w:spacing w:line="276" w:lineRule="auto"/>
        <w:contextualSpacing w:val="0"/>
        <w:rPr>
          <w:rFonts w:ascii="Arial" w:hAnsi="Arial" w:cs="Arial"/>
          <w:sz w:val="22"/>
          <w:szCs w:val="22"/>
        </w:rPr>
      </w:pPr>
      <w:r>
        <w:rPr>
          <w:rFonts w:ascii="Arial" w:hAnsi="Arial" w:cs="Arial"/>
          <w:sz w:val="22"/>
          <w:szCs w:val="22"/>
        </w:rPr>
        <w:t>Regulation 2 also defines r</w:t>
      </w:r>
      <w:r w:rsidR="00EC58F8" w:rsidRPr="00EC58F8">
        <w:rPr>
          <w:rFonts w:ascii="Arial" w:hAnsi="Arial" w:cs="Arial"/>
          <w:sz w:val="22"/>
          <w:szCs w:val="22"/>
        </w:rPr>
        <w:t>elevant health care services as "health care services which fall within one or more of the CPV codes specified in the table in Schedule 1, to the extent described in that table".</w:t>
      </w:r>
    </w:p>
    <w:p w14:paraId="3F2B3EC7" w14:textId="0F3A5CA1" w:rsidR="00D50420" w:rsidRPr="002F0590" w:rsidRDefault="00E307AD">
      <w:pPr>
        <w:pStyle w:val="ListParagraph"/>
        <w:numPr>
          <w:ilvl w:val="0"/>
          <w:numId w:val="5"/>
        </w:numPr>
        <w:spacing w:line="276" w:lineRule="auto"/>
        <w:ind w:left="567" w:hanging="567"/>
        <w:contextualSpacing w:val="0"/>
        <w:rPr>
          <w:rFonts w:ascii="Arial" w:hAnsi="Arial" w:cs="Arial"/>
          <w:sz w:val="22"/>
          <w:szCs w:val="22"/>
        </w:rPr>
      </w:pPr>
      <w:r w:rsidRPr="002F0590">
        <w:rPr>
          <w:rFonts w:ascii="Arial" w:hAnsi="Arial" w:cs="Arial"/>
          <w:sz w:val="22"/>
          <w:szCs w:val="22"/>
        </w:rPr>
        <w:t>Th</w:t>
      </w:r>
      <w:r w:rsidR="007F2368" w:rsidRPr="002F0590">
        <w:rPr>
          <w:rFonts w:ascii="Arial" w:hAnsi="Arial" w:cs="Arial"/>
          <w:sz w:val="22"/>
          <w:szCs w:val="22"/>
        </w:rPr>
        <w:t xml:space="preserve">ese provisions could </w:t>
      </w:r>
      <w:r w:rsidR="00276026">
        <w:rPr>
          <w:rFonts w:ascii="Arial" w:hAnsi="Arial" w:cs="Arial"/>
          <w:sz w:val="22"/>
          <w:szCs w:val="22"/>
        </w:rPr>
        <w:t xml:space="preserve">potentially </w:t>
      </w:r>
      <w:r w:rsidR="007F2368" w:rsidRPr="002F0590">
        <w:rPr>
          <w:rFonts w:ascii="Arial" w:hAnsi="Arial" w:cs="Arial"/>
          <w:sz w:val="22"/>
          <w:szCs w:val="22"/>
        </w:rPr>
        <w:t xml:space="preserve">be read as </w:t>
      </w:r>
      <w:r w:rsidRPr="002F0590">
        <w:rPr>
          <w:rFonts w:ascii="Arial" w:hAnsi="Arial" w:cs="Arial"/>
          <w:sz w:val="22"/>
          <w:szCs w:val="22"/>
        </w:rPr>
        <w:t>exclud</w:t>
      </w:r>
      <w:r w:rsidR="007F2368" w:rsidRPr="002F0590">
        <w:rPr>
          <w:rFonts w:ascii="Arial" w:hAnsi="Arial" w:cs="Arial"/>
          <w:sz w:val="22"/>
          <w:szCs w:val="22"/>
        </w:rPr>
        <w:t>ing</w:t>
      </w:r>
      <w:r w:rsidRPr="002F0590">
        <w:rPr>
          <w:rFonts w:ascii="Arial" w:hAnsi="Arial" w:cs="Arial"/>
          <w:sz w:val="22"/>
          <w:szCs w:val="22"/>
        </w:rPr>
        <w:t xml:space="preserve"> those </w:t>
      </w:r>
      <w:r w:rsidR="007F2368" w:rsidRPr="002F0590">
        <w:rPr>
          <w:rFonts w:ascii="Arial" w:hAnsi="Arial" w:cs="Arial"/>
          <w:sz w:val="22"/>
          <w:szCs w:val="22"/>
        </w:rPr>
        <w:t xml:space="preserve">providers </w:t>
      </w:r>
      <w:r w:rsidRPr="002F0590">
        <w:rPr>
          <w:rFonts w:ascii="Arial" w:hAnsi="Arial" w:cs="Arial"/>
          <w:sz w:val="22"/>
          <w:szCs w:val="22"/>
        </w:rPr>
        <w:t xml:space="preserve">who do not provide health care services </w:t>
      </w:r>
      <w:r w:rsidR="007F2368" w:rsidRPr="002F0590">
        <w:rPr>
          <w:rFonts w:ascii="Arial" w:hAnsi="Arial" w:cs="Arial"/>
          <w:sz w:val="22"/>
          <w:szCs w:val="22"/>
        </w:rPr>
        <w:t>(</w:t>
      </w:r>
      <w:r w:rsidRPr="002F0590">
        <w:rPr>
          <w:rFonts w:ascii="Arial" w:hAnsi="Arial" w:cs="Arial"/>
          <w:sz w:val="22"/>
          <w:szCs w:val="22"/>
        </w:rPr>
        <w:t>e.g. a subcontractor who only provides a non-health care element of a mixed contract</w:t>
      </w:r>
      <w:r w:rsidR="007F2368" w:rsidRPr="002F0590">
        <w:rPr>
          <w:rFonts w:ascii="Arial" w:hAnsi="Arial" w:cs="Arial"/>
          <w:sz w:val="22"/>
          <w:szCs w:val="22"/>
        </w:rPr>
        <w:t>) from making representations to the Panel</w:t>
      </w:r>
      <w:r w:rsidRPr="002F0590">
        <w:rPr>
          <w:rFonts w:ascii="Arial" w:hAnsi="Arial" w:cs="Arial"/>
          <w:sz w:val="22"/>
          <w:szCs w:val="22"/>
        </w:rPr>
        <w:t>.</w:t>
      </w:r>
      <w:r w:rsidR="002F0590" w:rsidRPr="002F0590">
        <w:rPr>
          <w:rFonts w:ascii="Arial" w:hAnsi="Arial" w:cs="Arial"/>
          <w:sz w:val="22"/>
          <w:szCs w:val="22"/>
        </w:rPr>
        <w:t xml:space="preserve"> </w:t>
      </w:r>
      <w:r w:rsidR="0066530E" w:rsidRPr="00EC58F8">
        <w:rPr>
          <w:rFonts w:ascii="Arial" w:hAnsi="Arial" w:cs="Arial"/>
          <w:sz w:val="22"/>
          <w:szCs w:val="22"/>
        </w:rPr>
        <w:t xml:space="preserve">However, </w:t>
      </w:r>
      <w:r w:rsidR="0066530E" w:rsidRPr="002F0590">
        <w:rPr>
          <w:rFonts w:ascii="Arial" w:hAnsi="Arial" w:cs="Arial"/>
          <w:sz w:val="22"/>
          <w:szCs w:val="22"/>
        </w:rPr>
        <w:t>R</w:t>
      </w:r>
      <w:r w:rsidR="0066530E" w:rsidRPr="00EC58F8">
        <w:rPr>
          <w:rFonts w:ascii="Arial" w:hAnsi="Arial" w:cs="Arial"/>
          <w:sz w:val="22"/>
          <w:szCs w:val="22"/>
        </w:rPr>
        <w:t>egulation 3(5) states that</w:t>
      </w:r>
      <w:r w:rsidR="0066530E" w:rsidRPr="002F0590">
        <w:rPr>
          <w:rFonts w:ascii="Arial" w:hAnsi="Arial" w:cs="Arial"/>
          <w:sz w:val="22"/>
          <w:szCs w:val="22"/>
        </w:rPr>
        <w:t xml:space="preserve"> “</w:t>
      </w:r>
      <w:r w:rsidR="0066530E" w:rsidRPr="00EC58F8">
        <w:rPr>
          <w:rFonts w:ascii="Arial" w:hAnsi="Arial" w:cs="Arial"/>
          <w:sz w:val="22"/>
          <w:szCs w:val="22"/>
        </w:rPr>
        <w:t xml:space="preserve">Where a relevant authority procures relevant health care services as part of a mixed procurement, the term </w:t>
      </w:r>
      <w:r w:rsidR="0066530E" w:rsidRPr="002F0590">
        <w:rPr>
          <w:rFonts w:ascii="Arial" w:hAnsi="Arial" w:cs="Arial"/>
          <w:sz w:val="22"/>
          <w:szCs w:val="22"/>
        </w:rPr>
        <w:t>‘</w:t>
      </w:r>
      <w:r w:rsidR="0066530E" w:rsidRPr="00EC58F8">
        <w:rPr>
          <w:rFonts w:ascii="Arial" w:hAnsi="Arial" w:cs="Arial"/>
          <w:sz w:val="22"/>
          <w:szCs w:val="22"/>
        </w:rPr>
        <w:t>relevant health care services</w:t>
      </w:r>
      <w:r w:rsidR="0066530E" w:rsidRPr="002F0590">
        <w:rPr>
          <w:rFonts w:ascii="Arial" w:hAnsi="Arial" w:cs="Arial"/>
          <w:sz w:val="22"/>
          <w:szCs w:val="22"/>
        </w:rPr>
        <w:t>’</w:t>
      </w:r>
      <w:r w:rsidR="0066530E" w:rsidRPr="00EC58F8">
        <w:rPr>
          <w:rFonts w:ascii="Arial" w:hAnsi="Arial" w:cs="Arial"/>
          <w:sz w:val="22"/>
          <w:szCs w:val="22"/>
        </w:rPr>
        <w:t xml:space="preserve"> in these Regulations, except this regulation, includes any goods or services procured together with those relevant health care services</w:t>
      </w:r>
      <w:r w:rsidR="0066530E" w:rsidRPr="002F0590">
        <w:rPr>
          <w:rFonts w:ascii="Arial" w:hAnsi="Arial" w:cs="Arial"/>
          <w:sz w:val="22"/>
          <w:szCs w:val="22"/>
        </w:rPr>
        <w:t>”</w:t>
      </w:r>
      <w:r w:rsidR="0066530E" w:rsidRPr="00EC58F8">
        <w:rPr>
          <w:rFonts w:ascii="Arial" w:hAnsi="Arial" w:cs="Arial"/>
          <w:sz w:val="22"/>
          <w:szCs w:val="22"/>
        </w:rPr>
        <w:t>.</w:t>
      </w:r>
    </w:p>
    <w:p w14:paraId="19316B1A" w14:textId="2EF2FBD4" w:rsidR="00D25E97" w:rsidRDefault="0066530E" w:rsidP="00452915">
      <w:pPr>
        <w:pStyle w:val="ListParagraph"/>
        <w:numPr>
          <w:ilvl w:val="0"/>
          <w:numId w:val="5"/>
        </w:numPr>
        <w:spacing w:line="276" w:lineRule="auto"/>
        <w:ind w:left="567" w:hanging="567"/>
        <w:contextualSpacing w:val="0"/>
        <w:rPr>
          <w:rFonts w:ascii="Arial" w:hAnsi="Arial" w:cs="Arial"/>
          <w:sz w:val="22"/>
          <w:szCs w:val="22"/>
        </w:rPr>
      </w:pPr>
      <w:r w:rsidRPr="00EC58F8">
        <w:rPr>
          <w:rFonts w:ascii="Arial" w:hAnsi="Arial" w:cs="Arial"/>
          <w:sz w:val="22"/>
          <w:szCs w:val="22"/>
        </w:rPr>
        <w:t>Accordingly, in the context of a mixed contract that comprises some health care services and some other services, the</w:t>
      </w:r>
      <w:r w:rsidR="00D50420">
        <w:rPr>
          <w:rFonts w:ascii="Arial" w:hAnsi="Arial" w:cs="Arial"/>
          <w:sz w:val="22"/>
          <w:szCs w:val="22"/>
        </w:rPr>
        <w:t xml:space="preserve"> Panel’s view</w:t>
      </w:r>
      <w:r w:rsidR="00482359">
        <w:rPr>
          <w:rFonts w:ascii="Arial" w:hAnsi="Arial" w:cs="Arial"/>
          <w:sz w:val="22"/>
          <w:szCs w:val="22"/>
        </w:rPr>
        <w:t>, having taken advice,</w:t>
      </w:r>
      <w:r w:rsidR="00D50420">
        <w:rPr>
          <w:rFonts w:ascii="Arial" w:hAnsi="Arial" w:cs="Arial"/>
          <w:sz w:val="22"/>
          <w:szCs w:val="22"/>
        </w:rPr>
        <w:t xml:space="preserve"> is that the</w:t>
      </w:r>
      <w:r w:rsidRPr="00EC58F8">
        <w:rPr>
          <w:rFonts w:ascii="Arial" w:hAnsi="Arial" w:cs="Arial"/>
          <w:sz w:val="22"/>
          <w:szCs w:val="22"/>
        </w:rPr>
        <w:t xml:space="preserve"> term 'provider' includes </w:t>
      </w:r>
      <w:r w:rsidR="002F0590">
        <w:rPr>
          <w:rFonts w:ascii="Arial" w:hAnsi="Arial" w:cs="Arial"/>
          <w:sz w:val="22"/>
          <w:szCs w:val="22"/>
        </w:rPr>
        <w:t xml:space="preserve">all providers </w:t>
      </w:r>
      <w:r w:rsidR="00DE2D70">
        <w:rPr>
          <w:rFonts w:ascii="Arial" w:hAnsi="Arial" w:cs="Arial"/>
          <w:sz w:val="22"/>
          <w:szCs w:val="22"/>
        </w:rPr>
        <w:t xml:space="preserve">that </w:t>
      </w:r>
      <w:r w:rsidR="002F0590">
        <w:rPr>
          <w:rFonts w:ascii="Arial" w:hAnsi="Arial" w:cs="Arial"/>
          <w:sz w:val="22"/>
          <w:szCs w:val="22"/>
        </w:rPr>
        <w:t xml:space="preserve">supply (or </w:t>
      </w:r>
      <w:r w:rsidRPr="00EC58F8">
        <w:rPr>
          <w:rFonts w:ascii="Arial" w:hAnsi="Arial" w:cs="Arial"/>
          <w:sz w:val="22"/>
          <w:szCs w:val="22"/>
        </w:rPr>
        <w:t xml:space="preserve">offer to </w:t>
      </w:r>
      <w:r w:rsidR="002F0590">
        <w:rPr>
          <w:rFonts w:ascii="Arial" w:hAnsi="Arial" w:cs="Arial"/>
          <w:sz w:val="22"/>
          <w:szCs w:val="22"/>
        </w:rPr>
        <w:t>supply)</w:t>
      </w:r>
      <w:r w:rsidRPr="00EC58F8">
        <w:rPr>
          <w:rFonts w:ascii="Arial" w:hAnsi="Arial" w:cs="Arial"/>
          <w:sz w:val="22"/>
          <w:szCs w:val="22"/>
        </w:rPr>
        <w:t>, the services to which the contract relates</w:t>
      </w:r>
      <w:r w:rsidR="00DE2D70">
        <w:rPr>
          <w:rFonts w:ascii="Arial" w:hAnsi="Arial" w:cs="Arial"/>
          <w:sz w:val="22"/>
          <w:szCs w:val="22"/>
        </w:rPr>
        <w:t xml:space="preserve">. </w:t>
      </w:r>
      <w:r w:rsidR="00D25E97">
        <w:rPr>
          <w:rFonts w:ascii="Arial" w:hAnsi="Arial" w:cs="Arial"/>
          <w:sz w:val="22"/>
          <w:szCs w:val="22"/>
        </w:rPr>
        <w:t xml:space="preserve">That is, even if Capital </w:t>
      </w:r>
      <w:r w:rsidR="00004C31">
        <w:rPr>
          <w:rFonts w:ascii="Arial" w:hAnsi="Arial" w:cs="Arial"/>
          <w:sz w:val="22"/>
          <w:szCs w:val="22"/>
        </w:rPr>
        <w:t>is</w:t>
      </w:r>
      <w:r w:rsidR="009304DE">
        <w:rPr>
          <w:rFonts w:ascii="Arial" w:hAnsi="Arial" w:cs="Arial"/>
          <w:sz w:val="22"/>
          <w:szCs w:val="22"/>
        </w:rPr>
        <w:t xml:space="preserve"> a provider of </w:t>
      </w:r>
      <w:r w:rsidR="00D25E97">
        <w:rPr>
          <w:rFonts w:ascii="Arial" w:hAnsi="Arial" w:cs="Arial"/>
          <w:sz w:val="22"/>
          <w:szCs w:val="22"/>
        </w:rPr>
        <w:t xml:space="preserve">non-health care services, it </w:t>
      </w:r>
      <w:r w:rsidR="00004C31">
        <w:rPr>
          <w:rFonts w:ascii="Arial" w:hAnsi="Arial" w:cs="Arial"/>
          <w:sz w:val="22"/>
          <w:szCs w:val="22"/>
        </w:rPr>
        <w:t>is</w:t>
      </w:r>
      <w:r w:rsidR="00D25E97">
        <w:rPr>
          <w:rFonts w:ascii="Arial" w:hAnsi="Arial" w:cs="Arial"/>
          <w:sz w:val="22"/>
          <w:szCs w:val="22"/>
        </w:rPr>
        <w:t xml:space="preserve"> still eligible to </w:t>
      </w:r>
      <w:r w:rsidR="009304DE">
        <w:rPr>
          <w:rFonts w:ascii="Arial" w:hAnsi="Arial" w:cs="Arial"/>
          <w:sz w:val="22"/>
          <w:szCs w:val="22"/>
        </w:rPr>
        <w:t xml:space="preserve">make representations to the Panel </w:t>
      </w:r>
      <w:r w:rsidR="00F21A7B">
        <w:rPr>
          <w:rFonts w:ascii="Arial" w:hAnsi="Arial" w:cs="Arial"/>
          <w:sz w:val="22"/>
          <w:szCs w:val="22"/>
        </w:rPr>
        <w:t xml:space="preserve">given that </w:t>
      </w:r>
      <w:r w:rsidR="003636D3">
        <w:rPr>
          <w:rFonts w:ascii="Arial" w:hAnsi="Arial" w:cs="Arial"/>
          <w:sz w:val="22"/>
          <w:szCs w:val="22"/>
        </w:rPr>
        <w:t>th</w:t>
      </w:r>
      <w:r w:rsidR="0060719F">
        <w:rPr>
          <w:rFonts w:ascii="Arial" w:hAnsi="Arial" w:cs="Arial"/>
          <w:sz w:val="22"/>
          <w:szCs w:val="22"/>
        </w:rPr>
        <w:t>e</w:t>
      </w:r>
      <w:r w:rsidR="003636D3">
        <w:rPr>
          <w:rFonts w:ascii="Arial" w:hAnsi="Arial" w:cs="Arial"/>
          <w:sz w:val="22"/>
          <w:szCs w:val="22"/>
        </w:rPr>
        <w:t xml:space="preserve"> procurement </w:t>
      </w:r>
      <w:r w:rsidR="0060719F">
        <w:rPr>
          <w:rFonts w:ascii="Arial" w:hAnsi="Arial" w:cs="Arial"/>
          <w:sz w:val="22"/>
          <w:szCs w:val="22"/>
        </w:rPr>
        <w:t xml:space="preserve">in question was carried out under </w:t>
      </w:r>
      <w:r w:rsidR="00161146">
        <w:rPr>
          <w:rFonts w:ascii="Arial" w:hAnsi="Arial" w:cs="Arial"/>
          <w:sz w:val="22"/>
          <w:szCs w:val="22"/>
        </w:rPr>
        <w:t>the Provider Selection Regime.</w:t>
      </w:r>
    </w:p>
    <w:p w14:paraId="057F0D3A" w14:textId="107B4F3A" w:rsidR="00640172" w:rsidRPr="00951D55" w:rsidRDefault="00640172" w:rsidP="00951D55">
      <w:pPr>
        <w:keepNext/>
        <w:spacing w:before="240" w:line="276" w:lineRule="auto"/>
        <w:rPr>
          <w:rFonts w:ascii="Arial" w:hAnsi="Arial" w:cs="Arial"/>
          <w:i/>
          <w:iCs/>
          <w:sz w:val="22"/>
          <w:szCs w:val="22"/>
        </w:rPr>
      </w:pPr>
      <w:r w:rsidRPr="00951D55">
        <w:rPr>
          <w:rFonts w:ascii="Arial" w:hAnsi="Arial" w:cs="Arial"/>
          <w:i/>
          <w:iCs/>
          <w:sz w:val="22"/>
          <w:szCs w:val="22"/>
        </w:rPr>
        <w:t>Capital</w:t>
      </w:r>
      <w:r w:rsidR="00951D55">
        <w:rPr>
          <w:rFonts w:ascii="Arial" w:hAnsi="Arial" w:cs="Arial"/>
          <w:i/>
          <w:iCs/>
          <w:sz w:val="22"/>
          <w:szCs w:val="22"/>
        </w:rPr>
        <w:t>’s role</w:t>
      </w:r>
      <w:r w:rsidRPr="00951D55">
        <w:rPr>
          <w:rFonts w:ascii="Arial" w:hAnsi="Arial" w:cs="Arial"/>
          <w:i/>
          <w:iCs/>
          <w:sz w:val="22"/>
          <w:szCs w:val="22"/>
        </w:rPr>
        <w:t xml:space="preserve"> as a </w:t>
      </w:r>
      <w:r w:rsidR="00951D55" w:rsidRPr="00951D55">
        <w:rPr>
          <w:rFonts w:ascii="Arial" w:hAnsi="Arial" w:cs="Arial"/>
          <w:i/>
          <w:iCs/>
          <w:sz w:val="22"/>
          <w:szCs w:val="22"/>
        </w:rPr>
        <w:t xml:space="preserve">sub-contractor </w:t>
      </w:r>
      <w:r w:rsidR="00951D55">
        <w:rPr>
          <w:rFonts w:ascii="Arial" w:hAnsi="Arial" w:cs="Arial"/>
          <w:i/>
          <w:iCs/>
          <w:sz w:val="22"/>
          <w:szCs w:val="22"/>
        </w:rPr>
        <w:t xml:space="preserve">rather than </w:t>
      </w:r>
      <w:r w:rsidR="00951D55" w:rsidRPr="00951D55">
        <w:rPr>
          <w:rFonts w:ascii="Arial" w:hAnsi="Arial" w:cs="Arial"/>
          <w:i/>
          <w:iCs/>
          <w:sz w:val="22"/>
          <w:szCs w:val="22"/>
        </w:rPr>
        <w:t>a bidder</w:t>
      </w:r>
    </w:p>
    <w:p w14:paraId="31261246" w14:textId="3C023769" w:rsidR="0066530E" w:rsidRDefault="006C2254">
      <w:pPr>
        <w:pStyle w:val="ListParagraph"/>
        <w:numPr>
          <w:ilvl w:val="0"/>
          <w:numId w:val="5"/>
        </w:numPr>
        <w:spacing w:line="276" w:lineRule="auto"/>
        <w:ind w:left="567" w:hanging="567"/>
        <w:contextualSpacing w:val="0"/>
        <w:rPr>
          <w:rFonts w:ascii="Arial" w:hAnsi="Arial" w:cs="Arial"/>
          <w:sz w:val="22"/>
          <w:szCs w:val="22"/>
        </w:rPr>
      </w:pPr>
      <w:r w:rsidRPr="00B26FC6">
        <w:rPr>
          <w:rFonts w:ascii="Arial" w:hAnsi="Arial" w:cs="Arial"/>
          <w:sz w:val="22"/>
          <w:szCs w:val="22"/>
        </w:rPr>
        <w:t xml:space="preserve">In </w:t>
      </w:r>
      <w:r w:rsidR="00620A41" w:rsidRPr="00B26FC6">
        <w:rPr>
          <w:rFonts w:ascii="Arial" w:hAnsi="Arial" w:cs="Arial"/>
          <w:sz w:val="22"/>
          <w:szCs w:val="22"/>
        </w:rPr>
        <w:t>terms of whether Capital</w:t>
      </w:r>
      <w:r w:rsidR="0058599F">
        <w:rPr>
          <w:rFonts w:ascii="Arial" w:hAnsi="Arial" w:cs="Arial"/>
          <w:sz w:val="22"/>
          <w:szCs w:val="22"/>
        </w:rPr>
        <w:t>, as a sub-contractor,</w:t>
      </w:r>
      <w:r w:rsidR="00620A41" w:rsidRPr="00B26FC6">
        <w:rPr>
          <w:rFonts w:ascii="Arial" w:hAnsi="Arial" w:cs="Arial"/>
          <w:sz w:val="22"/>
          <w:szCs w:val="22"/>
        </w:rPr>
        <w:t xml:space="preserve"> qualifies as a “provider that might otherwise have been a provider of the services to which the contract relates”</w:t>
      </w:r>
      <w:r w:rsidR="00B66D8E" w:rsidRPr="00B26FC6">
        <w:rPr>
          <w:rFonts w:ascii="Arial" w:hAnsi="Arial" w:cs="Arial"/>
          <w:sz w:val="22"/>
          <w:szCs w:val="22"/>
        </w:rPr>
        <w:t xml:space="preserve">, </w:t>
      </w:r>
      <w:r w:rsidR="005813F7" w:rsidRPr="00B26FC6">
        <w:rPr>
          <w:rFonts w:ascii="Arial" w:hAnsi="Arial" w:cs="Arial"/>
          <w:sz w:val="22"/>
          <w:szCs w:val="22"/>
        </w:rPr>
        <w:t xml:space="preserve">Regulation 12(3) </w:t>
      </w:r>
      <w:r w:rsidR="00B26FC6" w:rsidRPr="00B26FC6">
        <w:rPr>
          <w:rFonts w:ascii="Arial" w:hAnsi="Arial" w:cs="Arial"/>
          <w:sz w:val="22"/>
          <w:szCs w:val="22"/>
        </w:rPr>
        <w:t xml:space="preserve">of PSR regulations </w:t>
      </w:r>
      <w:r w:rsidR="005813F7" w:rsidRPr="00B26FC6">
        <w:rPr>
          <w:rFonts w:ascii="Arial" w:hAnsi="Arial" w:cs="Arial"/>
          <w:sz w:val="22"/>
          <w:szCs w:val="22"/>
        </w:rPr>
        <w:t xml:space="preserve">states that </w:t>
      </w:r>
      <w:r w:rsidR="005813F7" w:rsidRPr="00EC58F8">
        <w:rPr>
          <w:rFonts w:ascii="Arial" w:hAnsi="Arial" w:cs="Arial"/>
          <w:sz w:val="22"/>
          <w:szCs w:val="22"/>
        </w:rPr>
        <w:t>"any provider of the services to which the contract or framework agreement relates</w:t>
      </w:r>
      <w:r w:rsidR="005813F7" w:rsidRPr="00B26FC6">
        <w:rPr>
          <w:rFonts w:ascii="Arial" w:hAnsi="Arial" w:cs="Arial"/>
          <w:sz w:val="22"/>
          <w:szCs w:val="22"/>
        </w:rPr>
        <w:t xml:space="preserve"> </w:t>
      </w:r>
      <w:r w:rsidR="005813F7" w:rsidRPr="00EC58F8">
        <w:rPr>
          <w:rFonts w:ascii="Arial" w:hAnsi="Arial" w:cs="Arial"/>
          <w:sz w:val="22"/>
          <w:szCs w:val="22"/>
        </w:rPr>
        <w:t>… may make written representations" to the Relevant Authority.</w:t>
      </w:r>
    </w:p>
    <w:p w14:paraId="7A503922" w14:textId="721EE2F6" w:rsidR="0018418B" w:rsidRDefault="00A91DFB">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 xml:space="preserve">That is, the question </w:t>
      </w:r>
      <w:r w:rsidR="0018418B">
        <w:rPr>
          <w:rFonts w:ascii="Arial" w:hAnsi="Arial" w:cs="Arial"/>
          <w:sz w:val="22"/>
          <w:szCs w:val="22"/>
        </w:rPr>
        <w:t xml:space="preserve">is whether Capital </w:t>
      </w:r>
      <w:r w:rsidR="00B1387F">
        <w:rPr>
          <w:rFonts w:ascii="Arial" w:hAnsi="Arial" w:cs="Arial"/>
          <w:sz w:val="22"/>
          <w:szCs w:val="22"/>
        </w:rPr>
        <w:t xml:space="preserve">is a “provider of the services to which the contract … relates”. </w:t>
      </w:r>
      <w:r w:rsidR="002B110E">
        <w:rPr>
          <w:rFonts w:ascii="Arial" w:hAnsi="Arial" w:cs="Arial"/>
          <w:sz w:val="22"/>
          <w:szCs w:val="22"/>
        </w:rPr>
        <w:t>The Panel notes that this does not explicitly require Capital to be a supplier of “all” of the services to which the contract relates</w:t>
      </w:r>
      <w:r w:rsidR="0029499E">
        <w:rPr>
          <w:rFonts w:ascii="Arial" w:hAnsi="Arial" w:cs="Arial"/>
          <w:sz w:val="22"/>
          <w:szCs w:val="22"/>
        </w:rPr>
        <w:t>. As a result, providers which supply only “some” of the services to which the contract relates (i.e. sub-contractors) appear eligible to make representations.</w:t>
      </w:r>
    </w:p>
    <w:p w14:paraId="78064E42" w14:textId="717588FB" w:rsidR="00EC58F8" w:rsidRDefault="00452087" w:rsidP="00452087">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As a result, the Panel’s view</w:t>
      </w:r>
      <w:r w:rsidR="00004751">
        <w:rPr>
          <w:rFonts w:ascii="Arial" w:hAnsi="Arial" w:cs="Arial"/>
          <w:sz w:val="22"/>
          <w:szCs w:val="22"/>
        </w:rPr>
        <w:t>, having taken advice,</w:t>
      </w:r>
      <w:r>
        <w:rPr>
          <w:rFonts w:ascii="Arial" w:hAnsi="Arial" w:cs="Arial"/>
          <w:sz w:val="22"/>
          <w:szCs w:val="22"/>
        </w:rPr>
        <w:t xml:space="preserve"> is that the right to make representations extends to organisations that could only supply some of the services </w:t>
      </w:r>
      <w:r w:rsidR="00AE5401">
        <w:rPr>
          <w:rFonts w:ascii="Arial" w:hAnsi="Arial" w:cs="Arial"/>
          <w:sz w:val="22"/>
          <w:szCs w:val="22"/>
        </w:rPr>
        <w:t>to which the contract relates</w:t>
      </w:r>
      <w:r w:rsidR="00F12F15">
        <w:rPr>
          <w:rFonts w:ascii="Arial" w:hAnsi="Arial" w:cs="Arial"/>
          <w:sz w:val="22"/>
          <w:szCs w:val="22"/>
        </w:rPr>
        <w:t xml:space="preserve">, and given this, Capital meets the requirements of </w:t>
      </w:r>
      <w:r w:rsidR="00504FD7">
        <w:rPr>
          <w:rFonts w:ascii="Arial" w:hAnsi="Arial" w:cs="Arial"/>
          <w:sz w:val="22"/>
          <w:szCs w:val="22"/>
        </w:rPr>
        <w:t xml:space="preserve">the Panel’s eligibility criteria. That is, it is a provider </w:t>
      </w:r>
      <w:r w:rsidR="00504FD7" w:rsidRPr="001C0B71">
        <w:rPr>
          <w:rFonts w:ascii="Arial" w:hAnsi="Arial" w:cs="Arial"/>
          <w:sz w:val="22"/>
          <w:szCs w:val="22"/>
        </w:rPr>
        <w:t>that might otherwise have been a provider of the services to which the contract relates</w:t>
      </w:r>
      <w:r w:rsidR="00504FD7">
        <w:rPr>
          <w:rFonts w:ascii="Arial" w:hAnsi="Arial" w:cs="Arial"/>
          <w:sz w:val="22"/>
          <w:szCs w:val="22"/>
        </w:rPr>
        <w:t>.</w:t>
      </w:r>
    </w:p>
    <w:p w14:paraId="1B4F21E9" w14:textId="3620B08F" w:rsidR="0051035C" w:rsidRPr="00EC58F8" w:rsidRDefault="0051035C" w:rsidP="00452087">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In conclusion, the Panel’s view is that Capital’s request to the Panel meets the Panel’s eligibility criteria</w:t>
      </w:r>
      <w:r w:rsidR="00A4565C">
        <w:rPr>
          <w:rFonts w:ascii="Arial" w:hAnsi="Arial" w:cs="Arial"/>
          <w:sz w:val="22"/>
          <w:szCs w:val="22"/>
        </w:rPr>
        <w:t xml:space="preserve"> for case acceptance.</w:t>
      </w:r>
    </w:p>
    <w:p w14:paraId="11300D4E" w14:textId="03F52F01" w:rsidR="00EC58F8" w:rsidRPr="00EC58F8" w:rsidRDefault="004A09D2" w:rsidP="004A09D2">
      <w:pPr>
        <w:keepNext/>
        <w:spacing w:before="240" w:line="276" w:lineRule="auto"/>
        <w:rPr>
          <w:rFonts w:ascii="Arial" w:hAnsi="Arial" w:cs="Arial"/>
          <w:b/>
          <w:bCs/>
        </w:rPr>
      </w:pPr>
      <w:r>
        <w:rPr>
          <w:rFonts w:ascii="Arial" w:hAnsi="Arial" w:cs="Arial"/>
          <w:b/>
          <w:bCs/>
        </w:rPr>
        <w:t>Prioritisation</w:t>
      </w:r>
    </w:p>
    <w:p w14:paraId="5AE6E8B5" w14:textId="77777777" w:rsidR="00A4565C" w:rsidRDefault="00A4565C" w:rsidP="00A4565C">
      <w:pPr>
        <w:pStyle w:val="ListParagraph"/>
        <w:numPr>
          <w:ilvl w:val="0"/>
          <w:numId w:val="5"/>
        </w:numPr>
        <w:spacing w:after="120" w:line="276" w:lineRule="auto"/>
        <w:ind w:left="567" w:hanging="567"/>
        <w:contextualSpacing w:val="0"/>
        <w:rPr>
          <w:rFonts w:ascii="Arial" w:hAnsi="Arial" w:cs="Arial"/>
          <w:sz w:val="22"/>
          <w:szCs w:val="22"/>
        </w:rPr>
      </w:pPr>
      <w:r>
        <w:rPr>
          <w:rFonts w:ascii="Arial" w:hAnsi="Arial" w:cs="Arial"/>
          <w:sz w:val="22"/>
          <w:szCs w:val="22"/>
        </w:rPr>
        <w:t>In terms of prioritisation, t</w:t>
      </w:r>
      <w:r w:rsidR="00BF66EC">
        <w:rPr>
          <w:rFonts w:ascii="Arial" w:hAnsi="Arial" w:cs="Arial"/>
          <w:sz w:val="22"/>
          <w:szCs w:val="22"/>
        </w:rPr>
        <w:t>he Panel’s case acceptance criteria states that</w:t>
      </w:r>
      <w:r>
        <w:rPr>
          <w:rFonts w:ascii="Arial" w:hAnsi="Arial" w:cs="Arial"/>
          <w:sz w:val="22"/>
          <w:szCs w:val="22"/>
        </w:rPr>
        <w:t>:</w:t>
      </w:r>
    </w:p>
    <w:p w14:paraId="01C1D767" w14:textId="44B691E7" w:rsidR="00BF66EC" w:rsidRPr="00A4565C" w:rsidRDefault="00050ED2" w:rsidP="00A4565C">
      <w:pPr>
        <w:pStyle w:val="ListParagraph"/>
        <w:spacing w:line="276" w:lineRule="auto"/>
        <w:ind w:left="851"/>
        <w:contextualSpacing w:val="0"/>
        <w:rPr>
          <w:rFonts w:ascii="Arial" w:hAnsi="Arial" w:cs="Arial"/>
          <w:sz w:val="21"/>
          <w:szCs w:val="21"/>
        </w:rPr>
      </w:pPr>
      <w:r w:rsidRPr="00A4565C">
        <w:rPr>
          <w:rFonts w:ascii="Arial" w:hAnsi="Arial" w:cs="Arial"/>
          <w:sz w:val="21"/>
          <w:szCs w:val="21"/>
        </w:rPr>
        <w:t>“There will be a particular need for the Panel to apply its prioritisation criteria where the number of requests means that the Panel is close to using its full capacity and the acceptance of further requests may jeopardise its ability to offer advice within an acceptable timeframe. The Panel considers that this is likely to be the case where it has 10 or more cases under review. This guidance on capacity, however, should not be interpreted as a strict limit”.</w:t>
      </w:r>
      <w:r w:rsidR="00AD6DB4">
        <w:rPr>
          <w:rStyle w:val="FootnoteReference"/>
          <w:rFonts w:ascii="Arial" w:hAnsi="Arial" w:cs="Arial"/>
          <w:sz w:val="22"/>
          <w:szCs w:val="22"/>
        </w:rPr>
        <w:footnoteReference w:id="2"/>
      </w:r>
    </w:p>
    <w:p w14:paraId="6133808F" w14:textId="0D18EA56" w:rsidR="003404AE" w:rsidRDefault="00FC74E9">
      <w:pPr>
        <w:pStyle w:val="ListParagraph"/>
        <w:numPr>
          <w:ilvl w:val="0"/>
          <w:numId w:val="5"/>
        </w:numPr>
        <w:spacing w:line="276" w:lineRule="auto"/>
        <w:ind w:left="567" w:hanging="567"/>
        <w:contextualSpacing w:val="0"/>
        <w:rPr>
          <w:rFonts w:ascii="Arial" w:hAnsi="Arial" w:cs="Arial"/>
          <w:sz w:val="22"/>
          <w:szCs w:val="22"/>
        </w:rPr>
      </w:pPr>
      <w:r w:rsidRPr="002B1812">
        <w:rPr>
          <w:rFonts w:ascii="Arial" w:hAnsi="Arial" w:cs="Arial"/>
          <w:sz w:val="22"/>
          <w:szCs w:val="22"/>
        </w:rPr>
        <w:t>Since publi</w:t>
      </w:r>
      <w:r w:rsidR="00C21411">
        <w:rPr>
          <w:rFonts w:ascii="Arial" w:hAnsi="Arial" w:cs="Arial"/>
          <w:sz w:val="22"/>
          <w:szCs w:val="22"/>
        </w:rPr>
        <w:t xml:space="preserve">shing </w:t>
      </w:r>
      <w:r w:rsidRPr="002B1812">
        <w:rPr>
          <w:rFonts w:ascii="Arial" w:hAnsi="Arial" w:cs="Arial"/>
          <w:sz w:val="22"/>
          <w:szCs w:val="22"/>
        </w:rPr>
        <w:t xml:space="preserve">its </w:t>
      </w:r>
      <w:r w:rsidR="00C21411">
        <w:rPr>
          <w:rFonts w:ascii="Arial" w:hAnsi="Arial" w:cs="Arial"/>
          <w:sz w:val="22"/>
          <w:szCs w:val="22"/>
        </w:rPr>
        <w:t>prioritisation</w:t>
      </w:r>
      <w:r w:rsidRPr="002B1812">
        <w:rPr>
          <w:rFonts w:ascii="Arial" w:hAnsi="Arial" w:cs="Arial"/>
          <w:sz w:val="22"/>
          <w:szCs w:val="22"/>
        </w:rPr>
        <w:t xml:space="preserve"> criteria in </w:t>
      </w:r>
      <w:r w:rsidR="004D388C" w:rsidRPr="002B1812">
        <w:rPr>
          <w:rFonts w:ascii="Arial" w:hAnsi="Arial" w:cs="Arial"/>
          <w:sz w:val="22"/>
          <w:szCs w:val="22"/>
        </w:rPr>
        <w:t xml:space="preserve">early 2024, the Panel has gained a </w:t>
      </w:r>
      <w:r w:rsidR="00C21411">
        <w:rPr>
          <w:rFonts w:ascii="Arial" w:hAnsi="Arial" w:cs="Arial"/>
          <w:sz w:val="22"/>
          <w:szCs w:val="22"/>
        </w:rPr>
        <w:t xml:space="preserve">better </w:t>
      </w:r>
      <w:r w:rsidR="004D388C" w:rsidRPr="002B1812">
        <w:rPr>
          <w:rFonts w:ascii="Arial" w:hAnsi="Arial" w:cs="Arial"/>
          <w:sz w:val="22"/>
          <w:szCs w:val="22"/>
        </w:rPr>
        <w:t>understanding of the workload associated with case reviews</w:t>
      </w:r>
      <w:r w:rsidR="003D419E" w:rsidRPr="002B1812">
        <w:rPr>
          <w:rFonts w:ascii="Arial" w:hAnsi="Arial" w:cs="Arial"/>
          <w:sz w:val="22"/>
          <w:szCs w:val="22"/>
        </w:rPr>
        <w:t xml:space="preserve">. </w:t>
      </w:r>
      <w:r w:rsidR="001E43B0">
        <w:rPr>
          <w:rFonts w:ascii="Arial" w:hAnsi="Arial" w:cs="Arial"/>
          <w:sz w:val="22"/>
          <w:szCs w:val="22"/>
        </w:rPr>
        <w:t xml:space="preserve">The Panel’s current </w:t>
      </w:r>
      <w:r w:rsidR="00C94E7D" w:rsidRPr="002B1812">
        <w:rPr>
          <w:rFonts w:ascii="Arial" w:hAnsi="Arial" w:cs="Arial"/>
          <w:sz w:val="22"/>
          <w:szCs w:val="22"/>
        </w:rPr>
        <w:t xml:space="preserve">view </w:t>
      </w:r>
      <w:r w:rsidR="001E43B0">
        <w:rPr>
          <w:rFonts w:ascii="Arial" w:hAnsi="Arial" w:cs="Arial"/>
          <w:sz w:val="22"/>
          <w:szCs w:val="22"/>
        </w:rPr>
        <w:t xml:space="preserve">is </w:t>
      </w:r>
      <w:r w:rsidR="00C94E7D" w:rsidRPr="002B1812">
        <w:rPr>
          <w:rFonts w:ascii="Arial" w:hAnsi="Arial" w:cs="Arial"/>
          <w:sz w:val="22"/>
          <w:szCs w:val="22"/>
        </w:rPr>
        <w:t xml:space="preserve">that it is </w:t>
      </w:r>
      <w:r w:rsidR="00597FA9">
        <w:rPr>
          <w:rFonts w:ascii="Arial" w:hAnsi="Arial" w:cs="Arial"/>
          <w:sz w:val="22"/>
          <w:szCs w:val="22"/>
        </w:rPr>
        <w:t>approaching</w:t>
      </w:r>
      <w:r w:rsidR="00C94E7D" w:rsidRPr="002B1812">
        <w:rPr>
          <w:rFonts w:ascii="Arial" w:hAnsi="Arial" w:cs="Arial"/>
          <w:sz w:val="22"/>
          <w:szCs w:val="22"/>
        </w:rPr>
        <w:t xml:space="preserve"> to full capacity whe</w:t>
      </w:r>
      <w:r w:rsidR="001E43B0">
        <w:rPr>
          <w:rFonts w:ascii="Arial" w:hAnsi="Arial" w:cs="Arial"/>
          <w:sz w:val="22"/>
          <w:szCs w:val="22"/>
        </w:rPr>
        <w:t>n</w:t>
      </w:r>
      <w:r w:rsidR="00C94E7D" w:rsidRPr="002B1812">
        <w:rPr>
          <w:rFonts w:ascii="Arial" w:hAnsi="Arial" w:cs="Arial"/>
          <w:sz w:val="22"/>
          <w:szCs w:val="22"/>
        </w:rPr>
        <w:t xml:space="preserve"> it has four or more cases </w:t>
      </w:r>
      <w:r w:rsidR="003D419E" w:rsidRPr="002B1812">
        <w:rPr>
          <w:rFonts w:ascii="Arial" w:hAnsi="Arial" w:cs="Arial"/>
          <w:sz w:val="22"/>
          <w:szCs w:val="22"/>
        </w:rPr>
        <w:t>under review.</w:t>
      </w:r>
      <w:r w:rsidR="00E24912" w:rsidRPr="002B1812">
        <w:rPr>
          <w:rFonts w:ascii="Arial" w:hAnsi="Arial" w:cs="Arial"/>
          <w:sz w:val="22"/>
          <w:szCs w:val="22"/>
        </w:rPr>
        <w:t xml:space="preserve"> </w:t>
      </w:r>
      <w:r w:rsidR="00B55F3E">
        <w:rPr>
          <w:rFonts w:ascii="Arial" w:hAnsi="Arial" w:cs="Arial"/>
          <w:sz w:val="22"/>
          <w:szCs w:val="22"/>
        </w:rPr>
        <w:t>As t</w:t>
      </w:r>
      <w:r w:rsidR="00DC7C20" w:rsidRPr="002B1812">
        <w:rPr>
          <w:rFonts w:ascii="Arial" w:hAnsi="Arial" w:cs="Arial"/>
          <w:sz w:val="22"/>
          <w:szCs w:val="22"/>
        </w:rPr>
        <w:t xml:space="preserve">he Panel </w:t>
      </w:r>
      <w:r w:rsidR="00E24912" w:rsidRPr="002B1812">
        <w:rPr>
          <w:rFonts w:ascii="Arial" w:hAnsi="Arial" w:cs="Arial"/>
          <w:sz w:val="22"/>
          <w:szCs w:val="22"/>
        </w:rPr>
        <w:t xml:space="preserve">currently </w:t>
      </w:r>
      <w:r w:rsidR="003D419E" w:rsidRPr="002B1812">
        <w:rPr>
          <w:rFonts w:ascii="Arial" w:hAnsi="Arial" w:cs="Arial"/>
          <w:sz w:val="22"/>
          <w:szCs w:val="22"/>
        </w:rPr>
        <w:t xml:space="preserve">has </w:t>
      </w:r>
      <w:r w:rsidR="00A07926">
        <w:rPr>
          <w:rFonts w:ascii="Arial" w:hAnsi="Arial" w:cs="Arial"/>
          <w:sz w:val="22"/>
          <w:szCs w:val="22"/>
        </w:rPr>
        <w:t xml:space="preserve">four </w:t>
      </w:r>
      <w:r w:rsidR="00DC7C20" w:rsidRPr="002B1812">
        <w:rPr>
          <w:rFonts w:ascii="Arial" w:hAnsi="Arial" w:cs="Arial"/>
          <w:sz w:val="22"/>
          <w:szCs w:val="22"/>
        </w:rPr>
        <w:t>cases</w:t>
      </w:r>
      <w:r w:rsidR="003D419E" w:rsidRPr="002B1812">
        <w:rPr>
          <w:rFonts w:ascii="Arial" w:hAnsi="Arial" w:cs="Arial"/>
          <w:sz w:val="22"/>
          <w:szCs w:val="22"/>
        </w:rPr>
        <w:t xml:space="preserve"> under review</w:t>
      </w:r>
      <w:r w:rsidR="00E24912" w:rsidRPr="002B1812">
        <w:rPr>
          <w:rFonts w:ascii="Arial" w:hAnsi="Arial" w:cs="Arial"/>
          <w:sz w:val="22"/>
          <w:szCs w:val="22"/>
        </w:rPr>
        <w:t xml:space="preserve">, </w:t>
      </w:r>
      <w:r w:rsidR="00A07926">
        <w:rPr>
          <w:rFonts w:ascii="Arial" w:hAnsi="Arial" w:cs="Arial"/>
          <w:sz w:val="22"/>
          <w:szCs w:val="22"/>
        </w:rPr>
        <w:t xml:space="preserve">all of which </w:t>
      </w:r>
      <w:r w:rsidR="00031E09" w:rsidRPr="00A66F96">
        <w:rPr>
          <w:rFonts w:ascii="Arial" w:hAnsi="Arial" w:cs="Arial"/>
          <w:sz w:val="22"/>
          <w:szCs w:val="22"/>
        </w:rPr>
        <w:t>are at a</w:t>
      </w:r>
      <w:r w:rsidR="00031E09" w:rsidRPr="002B1812">
        <w:rPr>
          <w:rFonts w:ascii="Arial" w:hAnsi="Arial" w:cs="Arial"/>
          <w:sz w:val="22"/>
          <w:szCs w:val="22"/>
        </w:rPr>
        <w:t>n</w:t>
      </w:r>
      <w:r w:rsidR="00031E09" w:rsidRPr="00A66F96">
        <w:rPr>
          <w:rFonts w:ascii="Arial" w:hAnsi="Arial" w:cs="Arial"/>
          <w:sz w:val="22"/>
          <w:szCs w:val="22"/>
        </w:rPr>
        <w:t xml:space="preserve"> early stage</w:t>
      </w:r>
      <w:r w:rsidR="00B55F3E">
        <w:rPr>
          <w:rFonts w:ascii="Arial" w:hAnsi="Arial" w:cs="Arial"/>
          <w:sz w:val="22"/>
          <w:szCs w:val="22"/>
        </w:rPr>
        <w:t xml:space="preserve">, </w:t>
      </w:r>
      <w:r w:rsidR="003404AE" w:rsidRPr="002B1812">
        <w:rPr>
          <w:rFonts w:ascii="Arial" w:hAnsi="Arial" w:cs="Arial"/>
          <w:sz w:val="22"/>
          <w:szCs w:val="22"/>
        </w:rPr>
        <w:t>the Panel is currently approaching full capacity</w:t>
      </w:r>
      <w:r w:rsidR="002046BE" w:rsidRPr="002B1812">
        <w:rPr>
          <w:rFonts w:ascii="Arial" w:hAnsi="Arial" w:cs="Arial"/>
          <w:sz w:val="22"/>
          <w:szCs w:val="22"/>
        </w:rPr>
        <w:t xml:space="preserve">, and </w:t>
      </w:r>
      <w:r w:rsidR="002B1812" w:rsidRPr="002B1812">
        <w:rPr>
          <w:rFonts w:ascii="Arial" w:hAnsi="Arial" w:cs="Arial"/>
          <w:sz w:val="22"/>
          <w:szCs w:val="22"/>
        </w:rPr>
        <w:t xml:space="preserve">has </w:t>
      </w:r>
      <w:r w:rsidR="00BE4428">
        <w:rPr>
          <w:rFonts w:ascii="Arial" w:hAnsi="Arial" w:cs="Arial"/>
          <w:sz w:val="22"/>
          <w:szCs w:val="22"/>
        </w:rPr>
        <w:t xml:space="preserve">accordingly </w:t>
      </w:r>
      <w:r w:rsidR="002B1812" w:rsidRPr="002B1812">
        <w:rPr>
          <w:rFonts w:ascii="Arial" w:hAnsi="Arial" w:cs="Arial"/>
          <w:sz w:val="22"/>
          <w:szCs w:val="22"/>
        </w:rPr>
        <w:t>consider</w:t>
      </w:r>
      <w:r w:rsidR="00BE4428">
        <w:rPr>
          <w:rFonts w:ascii="Arial" w:hAnsi="Arial" w:cs="Arial"/>
          <w:sz w:val="22"/>
          <w:szCs w:val="22"/>
        </w:rPr>
        <w:t>ed</w:t>
      </w:r>
      <w:r w:rsidR="002B1812" w:rsidRPr="002B1812">
        <w:rPr>
          <w:rFonts w:ascii="Arial" w:hAnsi="Arial" w:cs="Arial"/>
          <w:sz w:val="22"/>
          <w:szCs w:val="22"/>
        </w:rPr>
        <w:t xml:space="preserve"> Capital’s request for a Panel review against its prioritisation criteria.</w:t>
      </w:r>
    </w:p>
    <w:p w14:paraId="007C2694" w14:textId="50413C1C" w:rsidR="002B1812" w:rsidRPr="002B1812" w:rsidRDefault="00226852" w:rsidP="00266165">
      <w:pPr>
        <w:pStyle w:val="ListParagraph"/>
        <w:numPr>
          <w:ilvl w:val="0"/>
          <w:numId w:val="5"/>
        </w:numPr>
        <w:spacing w:after="0" w:line="276" w:lineRule="auto"/>
        <w:ind w:left="567" w:hanging="567"/>
        <w:rPr>
          <w:rFonts w:ascii="Arial" w:hAnsi="Arial" w:cs="Arial"/>
          <w:sz w:val="22"/>
          <w:szCs w:val="22"/>
        </w:rPr>
      </w:pPr>
      <w:r>
        <w:rPr>
          <w:rFonts w:ascii="Arial" w:hAnsi="Arial" w:cs="Arial"/>
          <w:sz w:val="22"/>
          <w:szCs w:val="22"/>
        </w:rPr>
        <w:t xml:space="preserve">The Panel’s </w:t>
      </w:r>
      <w:r w:rsidR="00BE4428">
        <w:rPr>
          <w:rFonts w:ascii="Arial" w:hAnsi="Arial" w:cs="Arial"/>
          <w:sz w:val="22"/>
          <w:szCs w:val="22"/>
        </w:rPr>
        <w:t>case acceptance and prioritisation</w:t>
      </w:r>
      <w:r>
        <w:rPr>
          <w:rFonts w:ascii="Arial" w:hAnsi="Arial" w:cs="Arial"/>
          <w:sz w:val="22"/>
          <w:szCs w:val="22"/>
        </w:rPr>
        <w:t xml:space="preserve"> </w:t>
      </w:r>
      <w:r w:rsidR="00076103">
        <w:rPr>
          <w:rFonts w:ascii="Arial" w:hAnsi="Arial" w:cs="Arial"/>
          <w:sz w:val="22"/>
          <w:szCs w:val="22"/>
        </w:rPr>
        <w:t xml:space="preserve">criteria says that </w:t>
      </w:r>
      <w:r w:rsidR="00266165">
        <w:rPr>
          <w:rFonts w:ascii="Arial" w:hAnsi="Arial" w:cs="Arial"/>
          <w:sz w:val="22"/>
          <w:szCs w:val="22"/>
        </w:rPr>
        <w:t>“</w:t>
      </w:r>
      <w:r w:rsidR="00266165" w:rsidRPr="00266165">
        <w:rPr>
          <w:rFonts w:ascii="Arial" w:hAnsi="Arial" w:cs="Arial"/>
          <w:sz w:val="22"/>
          <w:szCs w:val="22"/>
        </w:rPr>
        <w:t xml:space="preserve">Factors that the Panel will </w:t>
      </w:r>
      <w:proofErr w:type="gramStart"/>
      <w:r w:rsidR="00266165" w:rsidRPr="00266165">
        <w:rPr>
          <w:rFonts w:ascii="Arial" w:hAnsi="Arial" w:cs="Arial"/>
          <w:sz w:val="22"/>
          <w:szCs w:val="22"/>
        </w:rPr>
        <w:t>take into account</w:t>
      </w:r>
      <w:proofErr w:type="gramEnd"/>
      <w:r w:rsidR="00266165" w:rsidRPr="00266165">
        <w:rPr>
          <w:rFonts w:ascii="Arial" w:hAnsi="Arial" w:cs="Arial"/>
          <w:sz w:val="22"/>
          <w:szCs w:val="22"/>
        </w:rPr>
        <w:t xml:space="preserve"> in applying its prioritisation criteria are set out below. This is not, however, intended to be an exhaustive list. It may also be necessary for the Panel to take other factors into account.</w:t>
      </w:r>
    </w:p>
    <w:p w14:paraId="070CDF26" w14:textId="31ABE56F" w:rsidR="00266165" w:rsidRPr="00266165" w:rsidRDefault="00266165" w:rsidP="00266165">
      <w:pPr>
        <w:numPr>
          <w:ilvl w:val="0"/>
          <w:numId w:val="6"/>
        </w:numPr>
        <w:spacing w:line="276" w:lineRule="auto"/>
        <w:ind w:left="1418"/>
        <w:contextualSpacing/>
        <w:rPr>
          <w:rFonts w:ascii="Arial" w:hAnsi="Arial" w:cs="Arial"/>
          <w:sz w:val="22"/>
          <w:szCs w:val="22"/>
        </w:rPr>
      </w:pPr>
      <w:r w:rsidRPr="00266165">
        <w:rPr>
          <w:rFonts w:ascii="Arial" w:hAnsi="Arial" w:cs="Arial"/>
          <w:sz w:val="22"/>
          <w:szCs w:val="22"/>
        </w:rPr>
        <w:t>The potential benefit to patients arising from the Panel’s advice</w:t>
      </w:r>
      <w:r>
        <w:rPr>
          <w:rFonts w:ascii="Arial" w:hAnsi="Arial" w:cs="Arial"/>
          <w:sz w:val="22"/>
          <w:szCs w:val="22"/>
        </w:rPr>
        <w:t>.</w:t>
      </w:r>
    </w:p>
    <w:p w14:paraId="13D973F9" w14:textId="2A8DAD04" w:rsidR="00266165" w:rsidRPr="00266165" w:rsidRDefault="00266165" w:rsidP="00266165">
      <w:pPr>
        <w:numPr>
          <w:ilvl w:val="0"/>
          <w:numId w:val="6"/>
        </w:numPr>
        <w:spacing w:line="276" w:lineRule="auto"/>
        <w:ind w:left="1418"/>
        <w:contextualSpacing/>
        <w:rPr>
          <w:rFonts w:ascii="Arial" w:hAnsi="Arial" w:cs="Arial"/>
          <w:sz w:val="22"/>
          <w:szCs w:val="22"/>
        </w:rPr>
      </w:pPr>
      <w:r w:rsidRPr="00266165">
        <w:rPr>
          <w:rFonts w:ascii="Arial" w:hAnsi="Arial" w:cs="Arial"/>
          <w:sz w:val="22"/>
          <w:szCs w:val="22"/>
        </w:rPr>
        <w:t>The potential for the advice to assist relevant authorities in complying with the PSR regulations in the future</w:t>
      </w:r>
      <w:r>
        <w:rPr>
          <w:rFonts w:ascii="Arial" w:hAnsi="Arial" w:cs="Arial"/>
          <w:sz w:val="22"/>
          <w:szCs w:val="22"/>
        </w:rPr>
        <w:t>.</w:t>
      </w:r>
    </w:p>
    <w:p w14:paraId="1842CFA8" w14:textId="18333631" w:rsidR="00266165" w:rsidRPr="00266165" w:rsidRDefault="00266165" w:rsidP="00266165">
      <w:pPr>
        <w:numPr>
          <w:ilvl w:val="0"/>
          <w:numId w:val="6"/>
        </w:numPr>
        <w:spacing w:line="276" w:lineRule="auto"/>
        <w:ind w:left="1418"/>
        <w:contextualSpacing/>
        <w:rPr>
          <w:rFonts w:ascii="Arial" w:hAnsi="Arial" w:cs="Arial"/>
          <w:sz w:val="22"/>
          <w:szCs w:val="22"/>
        </w:rPr>
      </w:pPr>
      <w:r w:rsidRPr="00266165">
        <w:rPr>
          <w:rFonts w:ascii="Arial" w:hAnsi="Arial" w:cs="Arial"/>
          <w:sz w:val="22"/>
          <w:szCs w:val="22"/>
        </w:rPr>
        <w:t>The potential for the advice to help future interpretation and use of the PSR regulations and guidance</w:t>
      </w:r>
      <w:r>
        <w:rPr>
          <w:rFonts w:ascii="Arial" w:hAnsi="Arial" w:cs="Arial"/>
          <w:sz w:val="22"/>
          <w:szCs w:val="22"/>
        </w:rPr>
        <w:t>.</w:t>
      </w:r>
    </w:p>
    <w:p w14:paraId="56251C59" w14:textId="7FB2B111" w:rsidR="00266165" w:rsidRPr="00266165" w:rsidRDefault="00266165" w:rsidP="00266165">
      <w:pPr>
        <w:numPr>
          <w:ilvl w:val="0"/>
          <w:numId w:val="6"/>
        </w:numPr>
        <w:spacing w:line="276" w:lineRule="auto"/>
        <w:ind w:left="1418"/>
        <w:contextualSpacing/>
        <w:rPr>
          <w:rFonts w:ascii="Arial" w:hAnsi="Arial" w:cs="Arial"/>
          <w:sz w:val="22"/>
          <w:szCs w:val="22"/>
        </w:rPr>
      </w:pPr>
      <w:r w:rsidRPr="00266165">
        <w:rPr>
          <w:rFonts w:ascii="Arial" w:hAnsi="Arial" w:cs="Arial"/>
          <w:sz w:val="22"/>
          <w:szCs w:val="22"/>
        </w:rPr>
        <w:t>The materiality of the relevant authority’s provider selection decision on the provider and/or the relevant authority</w:t>
      </w:r>
      <w:r>
        <w:rPr>
          <w:rFonts w:ascii="Arial" w:hAnsi="Arial" w:cs="Arial"/>
          <w:sz w:val="22"/>
          <w:szCs w:val="22"/>
        </w:rPr>
        <w:t>.</w:t>
      </w:r>
    </w:p>
    <w:p w14:paraId="68BD64A3" w14:textId="2B999A98" w:rsidR="00266165" w:rsidRPr="00266165" w:rsidRDefault="00266165" w:rsidP="00266165">
      <w:pPr>
        <w:numPr>
          <w:ilvl w:val="0"/>
          <w:numId w:val="6"/>
        </w:numPr>
        <w:spacing w:line="276" w:lineRule="auto"/>
        <w:ind w:left="1418"/>
        <w:rPr>
          <w:rFonts w:ascii="Arial" w:hAnsi="Arial" w:cs="Arial"/>
          <w:sz w:val="22"/>
          <w:szCs w:val="22"/>
        </w:rPr>
      </w:pPr>
      <w:r w:rsidRPr="00266165">
        <w:rPr>
          <w:rFonts w:ascii="Arial" w:hAnsi="Arial" w:cs="Arial"/>
          <w:sz w:val="22"/>
          <w:szCs w:val="22"/>
        </w:rPr>
        <w:t>The advice will deliver a benefit that is proportionate to the Panel’s use of resources in formulating its advice</w:t>
      </w:r>
      <w:r>
        <w:rPr>
          <w:rFonts w:ascii="Arial" w:hAnsi="Arial" w:cs="Arial"/>
          <w:sz w:val="22"/>
          <w:szCs w:val="22"/>
        </w:rPr>
        <w:t>.”</w:t>
      </w:r>
      <w:r w:rsidR="00BE4428" w:rsidRPr="00BE4428">
        <w:rPr>
          <w:rStyle w:val="FootnoteReference"/>
          <w:rFonts w:ascii="Arial" w:hAnsi="Arial" w:cs="Arial"/>
          <w:sz w:val="22"/>
          <w:szCs w:val="22"/>
        </w:rPr>
        <w:t xml:space="preserve"> </w:t>
      </w:r>
      <w:r w:rsidR="00BE4428">
        <w:rPr>
          <w:rStyle w:val="FootnoteReference"/>
          <w:rFonts w:ascii="Arial" w:hAnsi="Arial" w:cs="Arial"/>
          <w:sz w:val="22"/>
          <w:szCs w:val="22"/>
        </w:rPr>
        <w:footnoteReference w:id="3"/>
      </w:r>
    </w:p>
    <w:p w14:paraId="4F61A3FE" w14:textId="77777777" w:rsidR="00146E46" w:rsidRDefault="00EB06A5" w:rsidP="00EB06A5">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 xml:space="preserve">The Panel notes that this is a </w:t>
      </w:r>
      <w:r w:rsidR="00A9508B">
        <w:rPr>
          <w:rFonts w:ascii="Arial" w:hAnsi="Arial" w:cs="Arial"/>
          <w:sz w:val="22"/>
          <w:szCs w:val="22"/>
        </w:rPr>
        <w:t xml:space="preserve">relatively </w:t>
      </w:r>
      <w:r>
        <w:rPr>
          <w:rFonts w:ascii="Arial" w:hAnsi="Arial" w:cs="Arial"/>
          <w:sz w:val="22"/>
          <w:szCs w:val="22"/>
        </w:rPr>
        <w:t xml:space="preserve">small service, both under existing arrangements and likely new arrangements, </w:t>
      </w:r>
      <w:r w:rsidR="001C71C3">
        <w:rPr>
          <w:rFonts w:ascii="Arial" w:hAnsi="Arial" w:cs="Arial"/>
          <w:sz w:val="22"/>
          <w:szCs w:val="22"/>
        </w:rPr>
        <w:t xml:space="preserve">which has implications for </w:t>
      </w:r>
      <w:r>
        <w:rPr>
          <w:rFonts w:ascii="Arial" w:hAnsi="Arial" w:cs="Arial"/>
          <w:sz w:val="22"/>
          <w:szCs w:val="22"/>
        </w:rPr>
        <w:t>the potential benefit to patients arising from the Panel’s advice.</w:t>
      </w:r>
    </w:p>
    <w:p w14:paraId="7250A6A9" w14:textId="66CF1E64" w:rsidR="00EB06A5" w:rsidRDefault="00EB06A5" w:rsidP="00EB06A5">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 xml:space="preserve">The Panel also notes that it has </w:t>
      </w:r>
      <w:r w:rsidR="00F6075D">
        <w:rPr>
          <w:rFonts w:ascii="Arial" w:hAnsi="Arial" w:cs="Arial"/>
          <w:sz w:val="22"/>
          <w:szCs w:val="22"/>
        </w:rPr>
        <w:t>previously</w:t>
      </w:r>
      <w:r>
        <w:rPr>
          <w:rFonts w:ascii="Arial" w:hAnsi="Arial" w:cs="Arial"/>
          <w:sz w:val="22"/>
          <w:szCs w:val="22"/>
        </w:rPr>
        <w:t xml:space="preserve"> considered issues associated with provider sustainability that appear relevant to this case </w:t>
      </w:r>
      <w:r w:rsidR="001C4697">
        <w:rPr>
          <w:rFonts w:ascii="Arial" w:hAnsi="Arial" w:cs="Arial"/>
          <w:sz w:val="22"/>
          <w:szCs w:val="22"/>
        </w:rPr>
        <w:t>(see</w:t>
      </w:r>
      <w:r>
        <w:rPr>
          <w:rFonts w:ascii="Arial" w:hAnsi="Arial" w:cs="Arial"/>
          <w:sz w:val="22"/>
          <w:szCs w:val="22"/>
        </w:rPr>
        <w:t xml:space="preserve"> </w:t>
      </w:r>
      <w:hyperlink r:id="rId11" w:history="1">
        <w:r w:rsidRPr="003118B9">
          <w:rPr>
            <w:rStyle w:val="Hyperlink"/>
            <w:rFonts w:ascii="Arial" w:hAnsi="Arial" w:cs="Arial"/>
            <w:sz w:val="22"/>
            <w:szCs w:val="22"/>
          </w:rPr>
          <w:t>Case 0008-24: Review of a proposed contract award for drug and alcohol services in Bath and North East Somerset</w:t>
        </w:r>
      </w:hyperlink>
      <w:r w:rsidR="001C4697">
        <w:rPr>
          <w:rFonts w:ascii="Arial" w:hAnsi="Arial" w:cs="Arial"/>
          <w:sz w:val="22"/>
          <w:szCs w:val="22"/>
        </w:rPr>
        <w:t>)</w:t>
      </w:r>
      <w:r>
        <w:rPr>
          <w:rFonts w:ascii="Arial" w:hAnsi="Arial" w:cs="Arial"/>
          <w:sz w:val="22"/>
          <w:szCs w:val="22"/>
        </w:rPr>
        <w:t>.</w:t>
      </w:r>
      <w:r w:rsidR="0038426F">
        <w:rPr>
          <w:rFonts w:ascii="Arial" w:hAnsi="Arial" w:cs="Arial"/>
          <w:sz w:val="22"/>
          <w:szCs w:val="22"/>
        </w:rPr>
        <w:t xml:space="preserve"> </w:t>
      </w:r>
      <w:r w:rsidR="00326E56">
        <w:rPr>
          <w:rFonts w:ascii="Arial" w:hAnsi="Arial" w:cs="Arial"/>
          <w:sz w:val="22"/>
          <w:szCs w:val="22"/>
        </w:rPr>
        <w:t xml:space="preserve">As a result, this </w:t>
      </w:r>
      <w:r w:rsidR="0038426F">
        <w:rPr>
          <w:rFonts w:ascii="Arial" w:hAnsi="Arial" w:cs="Arial"/>
          <w:sz w:val="22"/>
          <w:szCs w:val="22"/>
        </w:rPr>
        <w:t xml:space="preserve">has implications for the </w:t>
      </w:r>
      <w:r w:rsidR="00675F7D">
        <w:rPr>
          <w:rFonts w:ascii="Arial" w:hAnsi="Arial" w:cs="Arial"/>
          <w:sz w:val="22"/>
          <w:szCs w:val="22"/>
        </w:rPr>
        <w:t xml:space="preserve">extent to which a Panel decision on this case is likely to assist future compliance </w:t>
      </w:r>
      <w:r w:rsidR="00362400">
        <w:rPr>
          <w:rFonts w:ascii="Arial" w:hAnsi="Arial" w:cs="Arial"/>
          <w:sz w:val="22"/>
          <w:szCs w:val="22"/>
        </w:rPr>
        <w:t>and future interpretation of the PSR regulations.</w:t>
      </w:r>
    </w:p>
    <w:p w14:paraId="2E6FF885" w14:textId="7BF48EE8" w:rsidR="00162A81" w:rsidRDefault="003743FE" w:rsidP="00D33C45">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 xml:space="preserve">The Panel </w:t>
      </w:r>
      <w:r w:rsidR="00362400">
        <w:rPr>
          <w:rFonts w:ascii="Arial" w:hAnsi="Arial" w:cs="Arial"/>
          <w:sz w:val="22"/>
          <w:szCs w:val="22"/>
        </w:rPr>
        <w:t xml:space="preserve">further </w:t>
      </w:r>
      <w:r>
        <w:rPr>
          <w:rFonts w:ascii="Arial" w:hAnsi="Arial" w:cs="Arial"/>
          <w:sz w:val="22"/>
          <w:szCs w:val="22"/>
        </w:rPr>
        <w:t xml:space="preserve">notes that </w:t>
      </w:r>
      <w:r w:rsidR="002C7B32" w:rsidRPr="002C7B32">
        <w:rPr>
          <w:rFonts w:ascii="Arial" w:hAnsi="Arial" w:cs="Arial"/>
          <w:sz w:val="22"/>
          <w:szCs w:val="22"/>
        </w:rPr>
        <w:t>Capital is concerned</w:t>
      </w:r>
      <w:r w:rsidR="00790AA7">
        <w:rPr>
          <w:rFonts w:ascii="Arial" w:hAnsi="Arial" w:cs="Arial"/>
          <w:sz w:val="22"/>
          <w:szCs w:val="22"/>
        </w:rPr>
        <w:t xml:space="preserve"> that </w:t>
      </w:r>
      <w:r w:rsidR="00743336">
        <w:rPr>
          <w:rFonts w:ascii="Arial" w:hAnsi="Arial" w:cs="Arial"/>
          <w:sz w:val="22"/>
          <w:szCs w:val="22"/>
        </w:rPr>
        <w:t xml:space="preserve">Sussex ICB’s decision </w:t>
      </w:r>
      <w:r w:rsidR="00743336" w:rsidRPr="00A66F96">
        <w:rPr>
          <w:rFonts w:ascii="Arial" w:hAnsi="Arial" w:cs="Arial"/>
          <w:sz w:val="22"/>
          <w:szCs w:val="22"/>
        </w:rPr>
        <w:t xml:space="preserve">to </w:t>
      </w:r>
      <w:r w:rsidR="00E768FA">
        <w:rPr>
          <w:rFonts w:ascii="Arial" w:hAnsi="Arial" w:cs="Arial"/>
          <w:sz w:val="22"/>
          <w:szCs w:val="22"/>
        </w:rPr>
        <w:t>move</w:t>
      </w:r>
      <w:r w:rsidR="00743336" w:rsidRPr="00A66F96">
        <w:rPr>
          <w:rFonts w:ascii="Arial" w:hAnsi="Arial" w:cs="Arial"/>
          <w:sz w:val="22"/>
          <w:szCs w:val="22"/>
        </w:rPr>
        <w:t xml:space="preserve"> to a lead provider model</w:t>
      </w:r>
      <w:r w:rsidR="002C7B32" w:rsidRPr="002C7B32">
        <w:rPr>
          <w:rFonts w:ascii="Arial" w:hAnsi="Arial" w:cs="Arial"/>
          <w:sz w:val="22"/>
          <w:szCs w:val="22"/>
        </w:rPr>
        <w:t>,</w:t>
      </w:r>
      <w:r w:rsidR="00B71A38">
        <w:rPr>
          <w:rFonts w:ascii="Arial" w:hAnsi="Arial" w:cs="Arial"/>
          <w:sz w:val="22"/>
          <w:szCs w:val="22"/>
        </w:rPr>
        <w:t xml:space="preserve"> combined with </w:t>
      </w:r>
      <w:r w:rsidR="00743336" w:rsidRPr="00A66F96">
        <w:rPr>
          <w:rFonts w:ascii="Arial" w:hAnsi="Arial" w:cs="Arial"/>
          <w:sz w:val="22"/>
          <w:szCs w:val="22"/>
        </w:rPr>
        <w:t>its subsequent selection of BHT</w:t>
      </w:r>
      <w:r w:rsidR="00790AA7">
        <w:rPr>
          <w:rFonts w:ascii="Arial" w:hAnsi="Arial" w:cs="Arial"/>
          <w:sz w:val="22"/>
          <w:szCs w:val="22"/>
        </w:rPr>
        <w:t xml:space="preserve"> Sussex as the successful bidder,</w:t>
      </w:r>
      <w:r w:rsidR="00743336" w:rsidRPr="00A66F96">
        <w:rPr>
          <w:rFonts w:ascii="Arial" w:hAnsi="Arial" w:cs="Arial"/>
          <w:sz w:val="22"/>
          <w:szCs w:val="22"/>
        </w:rPr>
        <w:t xml:space="preserve"> </w:t>
      </w:r>
      <w:r w:rsidR="001B517E">
        <w:rPr>
          <w:rFonts w:ascii="Arial" w:hAnsi="Arial" w:cs="Arial"/>
          <w:sz w:val="22"/>
          <w:szCs w:val="22"/>
        </w:rPr>
        <w:t xml:space="preserve">will cause </w:t>
      </w:r>
      <w:r w:rsidR="002C7B32" w:rsidRPr="002C7B32">
        <w:rPr>
          <w:rFonts w:ascii="Arial" w:hAnsi="Arial" w:cs="Arial"/>
          <w:sz w:val="22"/>
          <w:szCs w:val="22"/>
        </w:rPr>
        <w:t>Capital</w:t>
      </w:r>
      <w:r w:rsidR="001B517E">
        <w:rPr>
          <w:rFonts w:ascii="Arial" w:hAnsi="Arial" w:cs="Arial"/>
          <w:sz w:val="22"/>
          <w:szCs w:val="22"/>
        </w:rPr>
        <w:t xml:space="preserve"> to close unless it can </w:t>
      </w:r>
      <w:r w:rsidR="006E6214">
        <w:rPr>
          <w:rFonts w:ascii="Arial" w:hAnsi="Arial" w:cs="Arial"/>
          <w:sz w:val="22"/>
          <w:szCs w:val="22"/>
        </w:rPr>
        <w:t xml:space="preserve">secure a larger </w:t>
      </w:r>
      <w:r w:rsidR="00252880">
        <w:rPr>
          <w:rFonts w:ascii="Arial" w:hAnsi="Arial" w:cs="Arial"/>
          <w:sz w:val="22"/>
          <w:szCs w:val="22"/>
        </w:rPr>
        <w:t xml:space="preserve">value </w:t>
      </w:r>
      <w:r w:rsidR="006E6214">
        <w:rPr>
          <w:rFonts w:ascii="Arial" w:hAnsi="Arial" w:cs="Arial"/>
          <w:sz w:val="22"/>
          <w:szCs w:val="22"/>
        </w:rPr>
        <w:t xml:space="preserve">sub-contract (or </w:t>
      </w:r>
      <w:r w:rsidR="000541CB">
        <w:rPr>
          <w:rFonts w:ascii="Arial" w:hAnsi="Arial" w:cs="Arial"/>
          <w:sz w:val="22"/>
          <w:szCs w:val="22"/>
        </w:rPr>
        <w:t xml:space="preserve">a </w:t>
      </w:r>
      <w:r w:rsidR="006E6214">
        <w:rPr>
          <w:rFonts w:ascii="Arial" w:hAnsi="Arial" w:cs="Arial"/>
          <w:sz w:val="22"/>
          <w:szCs w:val="22"/>
        </w:rPr>
        <w:t>direct contract</w:t>
      </w:r>
      <w:r w:rsidR="000541CB">
        <w:rPr>
          <w:rFonts w:ascii="Arial" w:hAnsi="Arial" w:cs="Arial"/>
          <w:sz w:val="22"/>
          <w:szCs w:val="22"/>
        </w:rPr>
        <w:t xml:space="preserve"> similar </w:t>
      </w:r>
      <w:r w:rsidR="00252880">
        <w:rPr>
          <w:rFonts w:ascii="Arial" w:hAnsi="Arial" w:cs="Arial"/>
          <w:sz w:val="22"/>
          <w:szCs w:val="22"/>
        </w:rPr>
        <w:t xml:space="preserve">in value </w:t>
      </w:r>
      <w:r w:rsidR="000541CB">
        <w:rPr>
          <w:rFonts w:ascii="Arial" w:hAnsi="Arial" w:cs="Arial"/>
          <w:sz w:val="22"/>
          <w:szCs w:val="22"/>
        </w:rPr>
        <w:t>to its current contract</w:t>
      </w:r>
      <w:r w:rsidR="006E6214">
        <w:rPr>
          <w:rFonts w:ascii="Arial" w:hAnsi="Arial" w:cs="Arial"/>
          <w:sz w:val="22"/>
          <w:szCs w:val="22"/>
        </w:rPr>
        <w:t xml:space="preserve">). </w:t>
      </w:r>
      <w:r w:rsidR="00CD5575">
        <w:rPr>
          <w:rFonts w:ascii="Arial" w:hAnsi="Arial" w:cs="Arial"/>
          <w:sz w:val="22"/>
          <w:szCs w:val="22"/>
        </w:rPr>
        <w:t xml:space="preserve">If </w:t>
      </w:r>
      <w:r w:rsidR="000541CB">
        <w:rPr>
          <w:rFonts w:ascii="Arial" w:hAnsi="Arial" w:cs="Arial"/>
          <w:sz w:val="22"/>
          <w:szCs w:val="22"/>
        </w:rPr>
        <w:t>Capital</w:t>
      </w:r>
      <w:r w:rsidR="005D6DFC">
        <w:rPr>
          <w:rFonts w:ascii="Arial" w:hAnsi="Arial" w:cs="Arial"/>
          <w:sz w:val="22"/>
          <w:szCs w:val="22"/>
        </w:rPr>
        <w:t xml:space="preserve">’s concerns </w:t>
      </w:r>
      <w:r w:rsidR="003B16AE">
        <w:rPr>
          <w:rFonts w:ascii="Arial" w:hAnsi="Arial" w:cs="Arial"/>
          <w:sz w:val="22"/>
          <w:szCs w:val="22"/>
        </w:rPr>
        <w:t xml:space="preserve">about the implications of Sussex ICB’s decisions </w:t>
      </w:r>
      <w:r w:rsidR="005D6DFC">
        <w:rPr>
          <w:rFonts w:ascii="Arial" w:hAnsi="Arial" w:cs="Arial"/>
          <w:sz w:val="22"/>
          <w:szCs w:val="22"/>
        </w:rPr>
        <w:t>are</w:t>
      </w:r>
      <w:r w:rsidR="000541CB">
        <w:rPr>
          <w:rFonts w:ascii="Arial" w:hAnsi="Arial" w:cs="Arial"/>
          <w:sz w:val="22"/>
          <w:szCs w:val="22"/>
        </w:rPr>
        <w:t xml:space="preserve"> </w:t>
      </w:r>
      <w:r w:rsidR="005D6DFC">
        <w:rPr>
          <w:rFonts w:ascii="Arial" w:hAnsi="Arial" w:cs="Arial"/>
          <w:sz w:val="22"/>
          <w:szCs w:val="22"/>
        </w:rPr>
        <w:t>accurate</w:t>
      </w:r>
      <w:r w:rsidR="00CD5575">
        <w:rPr>
          <w:rFonts w:ascii="Arial" w:hAnsi="Arial" w:cs="Arial"/>
          <w:sz w:val="22"/>
          <w:szCs w:val="22"/>
        </w:rPr>
        <w:t xml:space="preserve">, this indicates that Sussex ICB’s decisions </w:t>
      </w:r>
      <w:r w:rsidR="00D33C45">
        <w:rPr>
          <w:rFonts w:ascii="Arial" w:hAnsi="Arial" w:cs="Arial"/>
          <w:sz w:val="22"/>
          <w:szCs w:val="22"/>
        </w:rPr>
        <w:t xml:space="preserve">are highly material for Capital. </w:t>
      </w:r>
      <w:r w:rsidR="001A6A45">
        <w:rPr>
          <w:rFonts w:ascii="Arial" w:hAnsi="Arial" w:cs="Arial"/>
          <w:sz w:val="22"/>
          <w:szCs w:val="22"/>
        </w:rPr>
        <w:t xml:space="preserve">At the same time, </w:t>
      </w:r>
      <w:r w:rsidR="00100F3D">
        <w:rPr>
          <w:rFonts w:ascii="Arial" w:hAnsi="Arial" w:cs="Arial"/>
          <w:sz w:val="22"/>
          <w:szCs w:val="22"/>
        </w:rPr>
        <w:t xml:space="preserve">the Panel notes that </w:t>
      </w:r>
      <w:r w:rsidR="00047966">
        <w:rPr>
          <w:rFonts w:ascii="Arial" w:hAnsi="Arial" w:cs="Arial"/>
          <w:sz w:val="22"/>
          <w:szCs w:val="22"/>
        </w:rPr>
        <w:t xml:space="preserve">the impact on Capital is ameliorated, at </w:t>
      </w:r>
      <w:r w:rsidR="00FA2C23">
        <w:rPr>
          <w:rFonts w:ascii="Arial" w:hAnsi="Arial" w:cs="Arial"/>
          <w:sz w:val="22"/>
          <w:szCs w:val="22"/>
        </w:rPr>
        <w:t xml:space="preserve">least to some extent, </w:t>
      </w:r>
      <w:proofErr w:type="gramStart"/>
      <w:r w:rsidR="00FA2C23">
        <w:rPr>
          <w:rFonts w:ascii="Arial" w:hAnsi="Arial" w:cs="Arial"/>
          <w:sz w:val="22"/>
          <w:szCs w:val="22"/>
        </w:rPr>
        <w:t>as a result of</w:t>
      </w:r>
      <w:proofErr w:type="gramEnd"/>
      <w:r w:rsidR="00FA2C23">
        <w:rPr>
          <w:rFonts w:ascii="Arial" w:hAnsi="Arial" w:cs="Arial"/>
          <w:sz w:val="22"/>
          <w:szCs w:val="22"/>
        </w:rPr>
        <w:t xml:space="preserve"> </w:t>
      </w:r>
      <w:r w:rsidR="007D3369">
        <w:rPr>
          <w:rFonts w:ascii="Arial" w:hAnsi="Arial" w:cs="Arial"/>
          <w:sz w:val="22"/>
          <w:szCs w:val="22"/>
        </w:rPr>
        <w:t xml:space="preserve">Capital </w:t>
      </w:r>
      <w:r w:rsidR="00FA2C23">
        <w:rPr>
          <w:rFonts w:ascii="Arial" w:hAnsi="Arial" w:cs="Arial"/>
          <w:sz w:val="22"/>
          <w:szCs w:val="22"/>
        </w:rPr>
        <w:t>being</w:t>
      </w:r>
      <w:r w:rsidR="007D3369">
        <w:rPr>
          <w:rFonts w:ascii="Arial" w:hAnsi="Arial" w:cs="Arial"/>
          <w:sz w:val="22"/>
          <w:szCs w:val="22"/>
        </w:rPr>
        <w:t xml:space="preserve"> a named subcontractor </w:t>
      </w:r>
      <w:r w:rsidR="000A4A15">
        <w:rPr>
          <w:rFonts w:ascii="Arial" w:hAnsi="Arial" w:cs="Arial"/>
          <w:sz w:val="22"/>
          <w:szCs w:val="22"/>
        </w:rPr>
        <w:t>for</w:t>
      </w:r>
      <w:r w:rsidR="007D3369">
        <w:rPr>
          <w:rFonts w:ascii="Arial" w:hAnsi="Arial" w:cs="Arial"/>
          <w:sz w:val="22"/>
          <w:szCs w:val="22"/>
        </w:rPr>
        <w:t xml:space="preserve"> the successful bidder, </w:t>
      </w:r>
      <w:r w:rsidR="00FA2C23">
        <w:rPr>
          <w:rFonts w:ascii="Arial" w:hAnsi="Arial" w:cs="Arial"/>
          <w:sz w:val="22"/>
          <w:szCs w:val="22"/>
        </w:rPr>
        <w:t>which means it</w:t>
      </w:r>
      <w:r w:rsidR="007D3369">
        <w:rPr>
          <w:rFonts w:ascii="Arial" w:hAnsi="Arial" w:cs="Arial"/>
          <w:sz w:val="22"/>
          <w:szCs w:val="22"/>
        </w:rPr>
        <w:t xml:space="preserve"> </w:t>
      </w:r>
      <w:r w:rsidR="00C77993">
        <w:rPr>
          <w:rFonts w:ascii="Arial" w:hAnsi="Arial" w:cs="Arial"/>
          <w:sz w:val="22"/>
          <w:szCs w:val="22"/>
        </w:rPr>
        <w:t xml:space="preserve">will </w:t>
      </w:r>
      <w:r w:rsidR="00FF1CC3">
        <w:rPr>
          <w:rFonts w:ascii="Arial" w:hAnsi="Arial" w:cs="Arial"/>
          <w:sz w:val="22"/>
          <w:szCs w:val="22"/>
        </w:rPr>
        <w:t>receiv</w:t>
      </w:r>
      <w:r w:rsidR="002D6914">
        <w:rPr>
          <w:rFonts w:ascii="Arial" w:hAnsi="Arial" w:cs="Arial"/>
          <w:sz w:val="22"/>
          <w:szCs w:val="22"/>
        </w:rPr>
        <w:t>e</w:t>
      </w:r>
      <w:r w:rsidR="00FF1CC3">
        <w:rPr>
          <w:rFonts w:ascii="Arial" w:hAnsi="Arial" w:cs="Arial"/>
          <w:sz w:val="22"/>
          <w:szCs w:val="22"/>
        </w:rPr>
        <w:t xml:space="preserve"> at least </w:t>
      </w:r>
      <w:r w:rsidR="00C77993">
        <w:rPr>
          <w:rFonts w:ascii="Arial" w:hAnsi="Arial" w:cs="Arial"/>
          <w:sz w:val="22"/>
          <w:szCs w:val="22"/>
        </w:rPr>
        <w:t xml:space="preserve">some revenue from </w:t>
      </w:r>
      <w:r w:rsidR="000A4A15">
        <w:rPr>
          <w:rFonts w:ascii="Arial" w:hAnsi="Arial" w:cs="Arial"/>
          <w:sz w:val="22"/>
          <w:szCs w:val="22"/>
        </w:rPr>
        <w:t>a</w:t>
      </w:r>
      <w:r w:rsidR="00C77993">
        <w:rPr>
          <w:rFonts w:ascii="Arial" w:hAnsi="Arial" w:cs="Arial"/>
          <w:sz w:val="22"/>
          <w:szCs w:val="22"/>
        </w:rPr>
        <w:t xml:space="preserve"> </w:t>
      </w:r>
      <w:r w:rsidR="002D6914">
        <w:rPr>
          <w:rFonts w:ascii="Arial" w:hAnsi="Arial" w:cs="Arial"/>
          <w:sz w:val="22"/>
          <w:szCs w:val="22"/>
        </w:rPr>
        <w:t>sub-</w:t>
      </w:r>
      <w:r w:rsidR="00C77993">
        <w:rPr>
          <w:rFonts w:ascii="Arial" w:hAnsi="Arial" w:cs="Arial"/>
          <w:sz w:val="22"/>
          <w:szCs w:val="22"/>
        </w:rPr>
        <w:t>contract</w:t>
      </w:r>
      <w:r w:rsidR="002D6914">
        <w:rPr>
          <w:rFonts w:ascii="Arial" w:hAnsi="Arial" w:cs="Arial"/>
          <w:sz w:val="22"/>
          <w:szCs w:val="22"/>
        </w:rPr>
        <w:t xml:space="preserve"> </w:t>
      </w:r>
      <w:r w:rsidR="000A4A15">
        <w:rPr>
          <w:rFonts w:ascii="Arial" w:hAnsi="Arial" w:cs="Arial"/>
          <w:sz w:val="22"/>
          <w:szCs w:val="22"/>
        </w:rPr>
        <w:t xml:space="preserve">with </w:t>
      </w:r>
      <w:r w:rsidR="002D6914">
        <w:rPr>
          <w:rFonts w:ascii="Arial" w:hAnsi="Arial" w:cs="Arial"/>
          <w:sz w:val="22"/>
          <w:szCs w:val="22"/>
        </w:rPr>
        <w:t>BHT Sussex</w:t>
      </w:r>
      <w:r w:rsidR="000A4A15">
        <w:rPr>
          <w:rFonts w:ascii="Arial" w:hAnsi="Arial" w:cs="Arial"/>
          <w:sz w:val="22"/>
          <w:szCs w:val="22"/>
        </w:rPr>
        <w:t xml:space="preserve"> even if this </w:t>
      </w:r>
      <w:r w:rsidR="00012203">
        <w:rPr>
          <w:rFonts w:ascii="Arial" w:hAnsi="Arial" w:cs="Arial"/>
          <w:sz w:val="22"/>
          <w:szCs w:val="22"/>
        </w:rPr>
        <w:t xml:space="preserve">is </w:t>
      </w:r>
      <w:r w:rsidR="00FA2C23">
        <w:rPr>
          <w:rFonts w:ascii="Arial" w:hAnsi="Arial" w:cs="Arial"/>
          <w:sz w:val="22"/>
          <w:szCs w:val="22"/>
        </w:rPr>
        <w:t>less</w:t>
      </w:r>
      <w:r w:rsidR="00012203">
        <w:rPr>
          <w:rFonts w:ascii="Arial" w:hAnsi="Arial" w:cs="Arial"/>
          <w:sz w:val="22"/>
          <w:szCs w:val="22"/>
        </w:rPr>
        <w:t xml:space="preserve"> </w:t>
      </w:r>
      <w:r w:rsidR="00C77993">
        <w:rPr>
          <w:rFonts w:ascii="Arial" w:hAnsi="Arial" w:cs="Arial"/>
          <w:sz w:val="22"/>
          <w:szCs w:val="22"/>
        </w:rPr>
        <w:t xml:space="preserve">than Capital </w:t>
      </w:r>
      <w:r w:rsidR="00FF1CC3">
        <w:rPr>
          <w:rFonts w:ascii="Arial" w:hAnsi="Arial" w:cs="Arial"/>
          <w:sz w:val="22"/>
          <w:szCs w:val="22"/>
        </w:rPr>
        <w:t>would like.</w:t>
      </w:r>
    </w:p>
    <w:p w14:paraId="7891C7B0" w14:textId="08E6455D" w:rsidR="009B3DB3" w:rsidRDefault="009B3DB3" w:rsidP="00DC7C20">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 xml:space="preserve">In summary, </w:t>
      </w:r>
      <w:r w:rsidR="00EA4C89">
        <w:rPr>
          <w:rFonts w:ascii="Arial" w:hAnsi="Arial" w:cs="Arial"/>
          <w:sz w:val="22"/>
          <w:szCs w:val="22"/>
        </w:rPr>
        <w:t>the Panel</w:t>
      </w:r>
      <w:r>
        <w:rPr>
          <w:rFonts w:ascii="Arial" w:hAnsi="Arial" w:cs="Arial"/>
          <w:sz w:val="22"/>
          <w:szCs w:val="22"/>
        </w:rPr>
        <w:t xml:space="preserve"> currently has limited capacity to accept new case</w:t>
      </w:r>
      <w:r w:rsidR="00845340">
        <w:rPr>
          <w:rFonts w:ascii="Arial" w:hAnsi="Arial" w:cs="Arial"/>
          <w:sz w:val="22"/>
          <w:szCs w:val="22"/>
        </w:rPr>
        <w:t>s</w:t>
      </w:r>
      <w:r>
        <w:rPr>
          <w:rFonts w:ascii="Arial" w:hAnsi="Arial" w:cs="Arial"/>
          <w:sz w:val="22"/>
          <w:szCs w:val="22"/>
        </w:rPr>
        <w:t xml:space="preserve"> and</w:t>
      </w:r>
      <w:r w:rsidR="00845340">
        <w:rPr>
          <w:rFonts w:ascii="Arial" w:hAnsi="Arial" w:cs="Arial"/>
          <w:sz w:val="22"/>
          <w:szCs w:val="22"/>
        </w:rPr>
        <w:t xml:space="preserve"> </w:t>
      </w:r>
      <w:r w:rsidR="00FD706C">
        <w:rPr>
          <w:rFonts w:ascii="Arial" w:hAnsi="Arial" w:cs="Arial"/>
          <w:sz w:val="22"/>
          <w:szCs w:val="22"/>
        </w:rPr>
        <w:t>any</w:t>
      </w:r>
      <w:r w:rsidR="00845340">
        <w:rPr>
          <w:rFonts w:ascii="Arial" w:hAnsi="Arial" w:cs="Arial"/>
          <w:sz w:val="22"/>
          <w:szCs w:val="22"/>
        </w:rPr>
        <w:t xml:space="preserve"> new case </w:t>
      </w:r>
      <w:r w:rsidR="00FD706C">
        <w:rPr>
          <w:rFonts w:ascii="Arial" w:hAnsi="Arial" w:cs="Arial"/>
          <w:sz w:val="22"/>
          <w:szCs w:val="22"/>
        </w:rPr>
        <w:t xml:space="preserve">that </w:t>
      </w:r>
      <w:r w:rsidR="00845340">
        <w:rPr>
          <w:rFonts w:ascii="Arial" w:hAnsi="Arial" w:cs="Arial"/>
          <w:sz w:val="22"/>
          <w:szCs w:val="22"/>
        </w:rPr>
        <w:t xml:space="preserve">is accepted </w:t>
      </w:r>
      <w:r w:rsidR="00FD706C">
        <w:rPr>
          <w:rFonts w:ascii="Arial" w:hAnsi="Arial" w:cs="Arial"/>
          <w:sz w:val="22"/>
          <w:szCs w:val="22"/>
        </w:rPr>
        <w:t xml:space="preserve">will constrain </w:t>
      </w:r>
      <w:r w:rsidR="00845340">
        <w:rPr>
          <w:rFonts w:ascii="Arial" w:hAnsi="Arial" w:cs="Arial"/>
          <w:sz w:val="22"/>
          <w:szCs w:val="22"/>
        </w:rPr>
        <w:t xml:space="preserve">the Panel’s ability to accept other cases in the coming weeks. </w:t>
      </w:r>
      <w:r w:rsidR="000553A2">
        <w:rPr>
          <w:rFonts w:ascii="Arial" w:hAnsi="Arial" w:cs="Arial"/>
          <w:sz w:val="22"/>
          <w:szCs w:val="22"/>
        </w:rPr>
        <w:t xml:space="preserve">The potential benefit for patients arising from the Panel’s advice in this case is likely to be relatively small given the </w:t>
      </w:r>
      <w:r w:rsidR="00B96464">
        <w:rPr>
          <w:rFonts w:ascii="Arial" w:hAnsi="Arial" w:cs="Arial"/>
          <w:sz w:val="22"/>
          <w:szCs w:val="22"/>
        </w:rPr>
        <w:t xml:space="preserve">relatively </w:t>
      </w:r>
      <w:r w:rsidR="000553A2">
        <w:rPr>
          <w:rFonts w:ascii="Arial" w:hAnsi="Arial" w:cs="Arial"/>
          <w:sz w:val="22"/>
          <w:szCs w:val="22"/>
        </w:rPr>
        <w:t>small size of the service</w:t>
      </w:r>
      <w:r w:rsidR="00F053F0">
        <w:rPr>
          <w:rFonts w:ascii="Arial" w:hAnsi="Arial" w:cs="Arial"/>
          <w:sz w:val="22"/>
          <w:szCs w:val="22"/>
        </w:rPr>
        <w:t xml:space="preserve">. Further, the case </w:t>
      </w:r>
      <w:r w:rsidR="00B96464">
        <w:rPr>
          <w:rFonts w:ascii="Arial" w:hAnsi="Arial" w:cs="Arial"/>
          <w:sz w:val="22"/>
          <w:szCs w:val="22"/>
        </w:rPr>
        <w:t xml:space="preserve">does not obviously </w:t>
      </w:r>
      <w:r w:rsidR="00F053F0">
        <w:rPr>
          <w:rFonts w:ascii="Arial" w:hAnsi="Arial" w:cs="Arial"/>
          <w:sz w:val="22"/>
          <w:szCs w:val="22"/>
        </w:rPr>
        <w:t>raise issues not previously considered by the Panel.</w:t>
      </w:r>
      <w:r w:rsidR="004C0A5F">
        <w:rPr>
          <w:rFonts w:ascii="Arial" w:hAnsi="Arial" w:cs="Arial"/>
          <w:sz w:val="22"/>
          <w:szCs w:val="22"/>
        </w:rPr>
        <w:t xml:space="preserve"> Finally, while Capital says that Sussex ICB’s decision will potentially cause it to become unviable </w:t>
      </w:r>
      <w:r w:rsidR="006D3E98">
        <w:rPr>
          <w:rFonts w:ascii="Arial" w:hAnsi="Arial" w:cs="Arial"/>
          <w:sz w:val="22"/>
          <w:szCs w:val="22"/>
        </w:rPr>
        <w:t xml:space="preserve">as a service provider, the Panel notes that </w:t>
      </w:r>
      <w:r w:rsidR="002423D6">
        <w:rPr>
          <w:rFonts w:ascii="Arial" w:hAnsi="Arial" w:cs="Arial"/>
          <w:sz w:val="22"/>
          <w:szCs w:val="22"/>
        </w:rPr>
        <w:t>any potential</w:t>
      </w:r>
      <w:r w:rsidR="005A3161">
        <w:rPr>
          <w:rFonts w:ascii="Arial" w:hAnsi="Arial" w:cs="Arial"/>
          <w:sz w:val="22"/>
          <w:szCs w:val="22"/>
        </w:rPr>
        <w:t>ly</w:t>
      </w:r>
      <w:r w:rsidR="002423D6">
        <w:rPr>
          <w:rFonts w:ascii="Arial" w:hAnsi="Arial" w:cs="Arial"/>
          <w:sz w:val="22"/>
          <w:szCs w:val="22"/>
        </w:rPr>
        <w:t xml:space="preserve"> detrimental</w:t>
      </w:r>
      <w:r w:rsidR="006D3E98">
        <w:rPr>
          <w:rFonts w:ascii="Arial" w:hAnsi="Arial" w:cs="Arial"/>
          <w:sz w:val="22"/>
          <w:szCs w:val="22"/>
        </w:rPr>
        <w:t xml:space="preserve"> </w:t>
      </w:r>
      <w:r w:rsidR="00C40093">
        <w:rPr>
          <w:rFonts w:ascii="Arial" w:hAnsi="Arial" w:cs="Arial"/>
          <w:sz w:val="22"/>
          <w:szCs w:val="22"/>
        </w:rPr>
        <w:t>effect</w:t>
      </w:r>
      <w:r w:rsidR="006D3E98">
        <w:rPr>
          <w:rFonts w:ascii="Arial" w:hAnsi="Arial" w:cs="Arial"/>
          <w:sz w:val="22"/>
          <w:szCs w:val="22"/>
        </w:rPr>
        <w:t xml:space="preserve"> </w:t>
      </w:r>
      <w:r w:rsidR="009E27AB">
        <w:rPr>
          <w:rFonts w:ascii="Arial" w:hAnsi="Arial" w:cs="Arial"/>
          <w:sz w:val="22"/>
          <w:szCs w:val="22"/>
        </w:rPr>
        <w:t xml:space="preserve">on Capital </w:t>
      </w:r>
      <w:proofErr w:type="gramStart"/>
      <w:r w:rsidR="009E27AB">
        <w:rPr>
          <w:rFonts w:ascii="Arial" w:hAnsi="Arial" w:cs="Arial"/>
          <w:sz w:val="22"/>
          <w:szCs w:val="22"/>
        </w:rPr>
        <w:t xml:space="preserve">as a result </w:t>
      </w:r>
      <w:r w:rsidR="006D3E98">
        <w:rPr>
          <w:rFonts w:ascii="Arial" w:hAnsi="Arial" w:cs="Arial"/>
          <w:sz w:val="22"/>
          <w:szCs w:val="22"/>
        </w:rPr>
        <w:t>of</w:t>
      </w:r>
      <w:proofErr w:type="gramEnd"/>
      <w:r w:rsidR="006D3E98">
        <w:rPr>
          <w:rFonts w:ascii="Arial" w:hAnsi="Arial" w:cs="Arial"/>
          <w:sz w:val="22"/>
          <w:szCs w:val="22"/>
        </w:rPr>
        <w:t xml:space="preserve"> Sussex ICB’s decisions is, at least in part, ameliorated </w:t>
      </w:r>
      <w:r w:rsidR="009E27AB">
        <w:rPr>
          <w:rFonts w:ascii="Arial" w:hAnsi="Arial" w:cs="Arial"/>
          <w:sz w:val="22"/>
          <w:szCs w:val="22"/>
        </w:rPr>
        <w:t xml:space="preserve">by </w:t>
      </w:r>
      <w:r w:rsidR="005952EC">
        <w:rPr>
          <w:rFonts w:ascii="Arial" w:hAnsi="Arial" w:cs="Arial"/>
          <w:sz w:val="22"/>
          <w:szCs w:val="22"/>
        </w:rPr>
        <w:t>Capital’s status as a sub-contractor to the successful bidder.</w:t>
      </w:r>
    </w:p>
    <w:p w14:paraId="223F0CF8" w14:textId="7056C237" w:rsidR="000F76DE" w:rsidRDefault="005952EC" w:rsidP="00DC7C20">
      <w:pPr>
        <w:pStyle w:val="ListParagraph"/>
        <w:numPr>
          <w:ilvl w:val="0"/>
          <w:numId w:val="5"/>
        </w:numPr>
        <w:spacing w:line="276" w:lineRule="auto"/>
        <w:ind w:left="567" w:hanging="567"/>
        <w:contextualSpacing w:val="0"/>
        <w:rPr>
          <w:rFonts w:ascii="Arial" w:hAnsi="Arial" w:cs="Arial"/>
          <w:sz w:val="22"/>
          <w:szCs w:val="22"/>
        </w:rPr>
      </w:pPr>
      <w:r>
        <w:rPr>
          <w:rFonts w:ascii="Arial" w:hAnsi="Arial" w:cs="Arial"/>
          <w:sz w:val="22"/>
          <w:szCs w:val="22"/>
        </w:rPr>
        <w:t xml:space="preserve">Taking </w:t>
      </w:r>
      <w:proofErr w:type="gramStart"/>
      <w:r>
        <w:rPr>
          <w:rFonts w:ascii="Arial" w:hAnsi="Arial" w:cs="Arial"/>
          <w:sz w:val="22"/>
          <w:szCs w:val="22"/>
        </w:rPr>
        <w:t>all of</w:t>
      </w:r>
      <w:proofErr w:type="gramEnd"/>
      <w:r>
        <w:rPr>
          <w:rFonts w:ascii="Arial" w:hAnsi="Arial" w:cs="Arial"/>
          <w:sz w:val="22"/>
          <w:szCs w:val="22"/>
        </w:rPr>
        <w:t xml:space="preserve"> these factors </w:t>
      </w:r>
      <w:r w:rsidR="00827D88">
        <w:rPr>
          <w:rFonts w:ascii="Arial" w:hAnsi="Arial" w:cs="Arial"/>
          <w:sz w:val="22"/>
          <w:szCs w:val="22"/>
        </w:rPr>
        <w:t xml:space="preserve">from the Panel’s prioritisation criteria </w:t>
      </w:r>
      <w:r>
        <w:rPr>
          <w:rFonts w:ascii="Arial" w:hAnsi="Arial" w:cs="Arial"/>
          <w:sz w:val="22"/>
          <w:szCs w:val="22"/>
        </w:rPr>
        <w:t>into account, the Panel</w:t>
      </w:r>
      <w:r w:rsidR="00EA4C89">
        <w:rPr>
          <w:rFonts w:ascii="Arial" w:hAnsi="Arial" w:cs="Arial"/>
          <w:sz w:val="22"/>
          <w:szCs w:val="22"/>
        </w:rPr>
        <w:t xml:space="preserve"> </w:t>
      </w:r>
      <w:r w:rsidR="007A7051">
        <w:rPr>
          <w:rFonts w:ascii="Arial" w:hAnsi="Arial" w:cs="Arial"/>
          <w:sz w:val="22"/>
          <w:szCs w:val="22"/>
        </w:rPr>
        <w:t>ha</w:t>
      </w:r>
      <w:r w:rsidR="00EA4C89">
        <w:rPr>
          <w:rFonts w:ascii="Arial" w:hAnsi="Arial" w:cs="Arial"/>
          <w:sz w:val="22"/>
          <w:szCs w:val="22"/>
        </w:rPr>
        <w:t xml:space="preserve">s decided not </w:t>
      </w:r>
      <w:r w:rsidR="00EA4C89" w:rsidRPr="00A66F96">
        <w:rPr>
          <w:rFonts w:ascii="Arial" w:hAnsi="Arial" w:cs="Arial"/>
          <w:sz w:val="22"/>
          <w:szCs w:val="22"/>
        </w:rPr>
        <w:t xml:space="preserve">to accept </w:t>
      </w:r>
      <w:r w:rsidR="007A7051">
        <w:rPr>
          <w:rFonts w:ascii="Arial" w:hAnsi="Arial" w:cs="Arial"/>
          <w:sz w:val="22"/>
          <w:szCs w:val="22"/>
        </w:rPr>
        <w:t xml:space="preserve">Capital’s request that it advise on Sussex ICB’s selection of a provider </w:t>
      </w:r>
      <w:r w:rsidR="007A7051" w:rsidRPr="009A1900">
        <w:rPr>
          <w:rFonts w:ascii="Arial" w:hAnsi="Arial" w:cs="Arial"/>
          <w:sz w:val="22"/>
          <w:szCs w:val="22"/>
        </w:rPr>
        <w:t>for mental health support services in West Sussex.</w:t>
      </w:r>
    </w:p>
    <w:p w14:paraId="69C98E04" w14:textId="666010AC" w:rsidR="00A66F96" w:rsidRDefault="00A66F96" w:rsidP="00A66F96">
      <w:pPr>
        <w:spacing w:line="276" w:lineRule="auto"/>
        <w:rPr>
          <w:rFonts w:ascii="Arial" w:hAnsi="Arial" w:cs="Arial"/>
          <w:sz w:val="22"/>
          <w:szCs w:val="22"/>
        </w:rPr>
      </w:pPr>
    </w:p>
    <w:p w14:paraId="735CD7F5" w14:textId="77777777" w:rsidR="00361ECD" w:rsidRDefault="00361ECD" w:rsidP="00A66F96">
      <w:pPr>
        <w:spacing w:line="276" w:lineRule="auto"/>
        <w:rPr>
          <w:rFonts w:ascii="Arial" w:hAnsi="Arial" w:cs="Arial"/>
          <w:sz w:val="22"/>
          <w:szCs w:val="22"/>
        </w:rPr>
      </w:pPr>
    </w:p>
    <w:p w14:paraId="6213EDD9" w14:textId="77777777" w:rsidR="00361ECD" w:rsidRDefault="00361ECD" w:rsidP="00A66F96">
      <w:pPr>
        <w:spacing w:line="276" w:lineRule="auto"/>
        <w:rPr>
          <w:rFonts w:ascii="Arial" w:hAnsi="Arial" w:cs="Arial"/>
          <w:sz w:val="22"/>
          <w:szCs w:val="22"/>
        </w:rPr>
      </w:pPr>
    </w:p>
    <w:p w14:paraId="55093F62" w14:textId="3F689F89" w:rsidR="00444ED2" w:rsidRDefault="009E27AB" w:rsidP="00C85C43">
      <w:pPr>
        <w:spacing w:line="276" w:lineRule="auto"/>
        <w:rPr>
          <w:rFonts w:ascii="Arial" w:hAnsi="Arial" w:cs="Arial"/>
          <w:sz w:val="22"/>
          <w:szCs w:val="22"/>
        </w:rPr>
      </w:pPr>
      <w:r>
        <w:rPr>
          <w:rFonts w:ascii="Arial" w:hAnsi="Arial" w:cs="Arial"/>
          <w:sz w:val="22"/>
          <w:szCs w:val="22"/>
        </w:rPr>
        <w:t>25</w:t>
      </w:r>
      <w:r w:rsidR="00361ECD">
        <w:rPr>
          <w:rFonts w:ascii="Arial" w:hAnsi="Arial" w:cs="Arial"/>
          <w:sz w:val="22"/>
          <w:szCs w:val="22"/>
        </w:rPr>
        <w:t xml:space="preserve"> July 2025</w:t>
      </w:r>
    </w:p>
    <w:p w14:paraId="7290582A" w14:textId="77777777" w:rsidR="00444ED2" w:rsidRPr="00C85C43" w:rsidRDefault="00444ED2" w:rsidP="00C85C43">
      <w:pPr>
        <w:spacing w:line="276" w:lineRule="auto"/>
        <w:rPr>
          <w:rFonts w:ascii="Arial" w:hAnsi="Arial" w:cs="Arial"/>
          <w:sz w:val="22"/>
          <w:szCs w:val="22"/>
        </w:rPr>
      </w:pPr>
    </w:p>
    <w:sectPr w:rsidR="00444ED2" w:rsidRPr="00C85C43" w:rsidSect="004A09D2">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99785" w14:textId="77777777" w:rsidR="00AF3F19" w:rsidRDefault="00AF3F19" w:rsidP="004A09D2">
      <w:pPr>
        <w:spacing w:after="0" w:line="240" w:lineRule="auto"/>
      </w:pPr>
      <w:r>
        <w:separator/>
      </w:r>
    </w:p>
  </w:endnote>
  <w:endnote w:type="continuationSeparator" w:id="0">
    <w:p w14:paraId="0FFC8DD1" w14:textId="77777777" w:rsidR="00AF3F19" w:rsidRDefault="00AF3F19" w:rsidP="004A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684331"/>
      <w:docPartObj>
        <w:docPartGallery w:val="Page Numbers (Bottom of Page)"/>
        <w:docPartUnique/>
      </w:docPartObj>
    </w:sdtPr>
    <w:sdtEndPr>
      <w:rPr>
        <w:noProof/>
      </w:rPr>
    </w:sdtEndPr>
    <w:sdtContent>
      <w:p w14:paraId="2B97B91E" w14:textId="790F0F75" w:rsidR="004A09D2" w:rsidRDefault="004A09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8EF752" w14:textId="77777777" w:rsidR="004A09D2" w:rsidRDefault="004A0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F0D0D" w14:textId="77777777" w:rsidR="00AF3F19" w:rsidRDefault="00AF3F19" w:rsidP="004A09D2">
      <w:pPr>
        <w:spacing w:after="0" w:line="240" w:lineRule="auto"/>
      </w:pPr>
      <w:r>
        <w:separator/>
      </w:r>
    </w:p>
  </w:footnote>
  <w:footnote w:type="continuationSeparator" w:id="0">
    <w:p w14:paraId="63071466" w14:textId="77777777" w:rsidR="00AF3F19" w:rsidRDefault="00AF3F19" w:rsidP="004A09D2">
      <w:pPr>
        <w:spacing w:after="0" w:line="240" w:lineRule="auto"/>
      </w:pPr>
      <w:r>
        <w:continuationSeparator/>
      </w:r>
    </w:p>
  </w:footnote>
  <w:footnote w:id="1">
    <w:p w14:paraId="67B63305" w14:textId="74D0895A" w:rsidR="009D7A04" w:rsidRPr="008E390A" w:rsidRDefault="009D7A04">
      <w:pPr>
        <w:pStyle w:val="FootnoteText"/>
        <w:rPr>
          <w:rFonts w:ascii="Arial" w:hAnsi="Arial" w:cs="Arial"/>
          <w:sz w:val="16"/>
          <w:szCs w:val="16"/>
        </w:rPr>
      </w:pPr>
      <w:r w:rsidRPr="008E390A">
        <w:rPr>
          <w:rStyle w:val="FootnoteReference"/>
          <w:rFonts w:ascii="Arial" w:hAnsi="Arial" w:cs="Arial"/>
          <w:sz w:val="16"/>
          <w:szCs w:val="16"/>
        </w:rPr>
        <w:footnoteRef/>
      </w:r>
      <w:r w:rsidRPr="008E390A">
        <w:rPr>
          <w:rFonts w:ascii="Arial" w:hAnsi="Arial" w:cs="Arial"/>
          <w:sz w:val="16"/>
          <w:szCs w:val="16"/>
        </w:rPr>
        <w:t xml:space="preserve"> The Panel’s case acceptance and prioritisation criteria can be found at </w:t>
      </w:r>
      <w:hyperlink r:id="rId1" w:history="1">
        <w:r w:rsidR="008E390A" w:rsidRPr="008E390A">
          <w:rPr>
            <w:rStyle w:val="Hyperlink"/>
            <w:rFonts w:ascii="Arial" w:hAnsi="Arial" w:cs="Arial"/>
            <w:sz w:val="16"/>
            <w:szCs w:val="16"/>
          </w:rPr>
          <w:t>https://www.england.nhs.uk/publication/acceptance-and-prioritisation-criteria-independent-procurement-and-choice-panel/</w:t>
        </w:r>
      </w:hyperlink>
      <w:r w:rsidR="008E390A" w:rsidRPr="008E390A">
        <w:rPr>
          <w:rFonts w:ascii="Arial" w:hAnsi="Arial" w:cs="Arial"/>
          <w:sz w:val="16"/>
          <w:szCs w:val="16"/>
        </w:rPr>
        <w:t>.</w:t>
      </w:r>
    </w:p>
  </w:footnote>
  <w:footnote w:id="2">
    <w:p w14:paraId="0F739646" w14:textId="2B082210" w:rsidR="00AD6DB4" w:rsidRPr="008E390A" w:rsidRDefault="00AD6DB4" w:rsidP="00AD6DB4">
      <w:pPr>
        <w:pStyle w:val="FootnoteText"/>
        <w:rPr>
          <w:rFonts w:ascii="Arial" w:hAnsi="Arial" w:cs="Arial"/>
          <w:sz w:val="16"/>
          <w:szCs w:val="16"/>
        </w:rPr>
      </w:pPr>
      <w:r w:rsidRPr="008E390A">
        <w:rPr>
          <w:rStyle w:val="FootnoteReference"/>
          <w:rFonts w:ascii="Arial" w:hAnsi="Arial" w:cs="Arial"/>
          <w:sz w:val="16"/>
          <w:szCs w:val="16"/>
        </w:rPr>
        <w:footnoteRef/>
      </w:r>
      <w:r w:rsidRPr="008E390A">
        <w:rPr>
          <w:rFonts w:ascii="Arial" w:hAnsi="Arial" w:cs="Arial"/>
          <w:sz w:val="16"/>
          <w:szCs w:val="16"/>
        </w:rPr>
        <w:t xml:space="preserve"> The Panel’s prioritisation criteria can be found at </w:t>
      </w:r>
      <w:hyperlink r:id="rId2" w:history="1">
        <w:r w:rsidRPr="008E390A">
          <w:rPr>
            <w:rStyle w:val="Hyperlink"/>
            <w:rFonts w:ascii="Arial" w:hAnsi="Arial" w:cs="Arial"/>
            <w:sz w:val="16"/>
            <w:szCs w:val="16"/>
          </w:rPr>
          <w:t>https://www.england.nhs.uk/publication/acceptance-and-prioritisation-criteria-independent-procurement-and-choice-panel/</w:t>
        </w:r>
      </w:hyperlink>
      <w:r w:rsidRPr="008E390A">
        <w:rPr>
          <w:rFonts w:ascii="Arial" w:hAnsi="Arial" w:cs="Arial"/>
          <w:sz w:val="16"/>
          <w:szCs w:val="16"/>
        </w:rPr>
        <w:t>.</w:t>
      </w:r>
    </w:p>
  </w:footnote>
  <w:footnote w:id="3">
    <w:p w14:paraId="641C4540" w14:textId="250CBA4F" w:rsidR="00BE4428" w:rsidRPr="008E390A" w:rsidRDefault="00BE4428" w:rsidP="00BE4428">
      <w:pPr>
        <w:pStyle w:val="FootnoteText"/>
        <w:rPr>
          <w:rFonts w:ascii="Arial" w:hAnsi="Arial" w:cs="Arial"/>
          <w:sz w:val="16"/>
          <w:szCs w:val="16"/>
        </w:rPr>
      </w:pPr>
      <w:r w:rsidRPr="008E390A">
        <w:rPr>
          <w:rStyle w:val="FootnoteReference"/>
          <w:rFonts w:ascii="Arial" w:hAnsi="Arial" w:cs="Arial"/>
          <w:sz w:val="16"/>
          <w:szCs w:val="16"/>
        </w:rPr>
        <w:footnoteRef/>
      </w:r>
      <w:r w:rsidRPr="008E390A">
        <w:rPr>
          <w:rFonts w:ascii="Arial" w:hAnsi="Arial" w:cs="Arial"/>
          <w:sz w:val="16"/>
          <w:szCs w:val="16"/>
        </w:rPr>
        <w:t xml:space="preserve"> </w:t>
      </w:r>
      <w:r>
        <w:rPr>
          <w:rFonts w:ascii="Arial" w:hAnsi="Arial" w:cs="Arial"/>
          <w:sz w:val="16"/>
          <w:szCs w:val="16"/>
        </w:rPr>
        <w:t>See</w:t>
      </w:r>
      <w:r w:rsidR="006C4521">
        <w:rPr>
          <w:rFonts w:ascii="Arial" w:hAnsi="Arial" w:cs="Arial"/>
          <w:sz w:val="16"/>
          <w:szCs w:val="16"/>
        </w:rPr>
        <w:t xml:space="preserve"> Independent Patient Choice and Procurement Panel, </w:t>
      </w:r>
      <w:r w:rsidR="009B0373" w:rsidRPr="009B0373">
        <w:rPr>
          <w:rFonts w:ascii="Arial" w:hAnsi="Arial" w:cs="Arial"/>
          <w:i/>
          <w:iCs/>
          <w:sz w:val="16"/>
          <w:szCs w:val="16"/>
        </w:rPr>
        <w:t>Acceptance and Prioritisation Criteria</w:t>
      </w:r>
      <w:r w:rsidR="009B0373">
        <w:rPr>
          <w:rFonts w:ascii="Arial" w:hAnsi="Arial" w:cs="Arial"/>
          <w:sz w:val="16"/>
          <w:szCs w:val="16"/>
        </w:rPr>
        <w:t>, available at</w:t>
      </w:r>
      <w:r w:rsidRPr="008E390A">
        <w:rPr>
          <w:rFonts w:ascii="Arial" w:hAnsi="Arial" w:cs="Arial"/>
          <w:sz w:val="16"/>
          <w:szCs w:val="16"/>
        </w:rPr>
        <w:t xml:space="preserve"> </w:t>
      </w:r>
      <w:hyperlink r:id="rId3" w:history="1">
        <w:r w:rsidRPr="008E390A">
          <w:rPr>
            <w:rStyle w:val="Hyperlink"/>
            <w:rFonts w:ascii="Arial" w:hAnsi="Arial" w:cs="Arial"/>
            <w:sz w:val="16"/>
            <w:szCs w:val="16"/>
          </w:rPr>
          <w:t>https://www.england.nhs.uk/publication/acceptance-and-prioritisation-criteria-independent-procurement-and-choice-panel/</w:t>
        </w:r>
      </w:hyperlink>
      <w:r w:rsidRPr="008E390A">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315"/>
    <w:multiLevelType w:val="hybridMultilevel"/>
    <w:tmpl w:val="B4C0AC72"/>
    <w:lvl w:ilvl="0" w:tplc="2F1CD568">
      <w:start w:val="5"/>
      <w:numFmt w:val="bullet"/>
      <w:lvlText w:val=""/>
      <w:lvlJc w:val="left"/>
      <w:pPr>
        <w:ind w:left="720" w:hanging="360"/>
      </w:pPr>
      <w:rPr>
        <w:rFonts w:ascii="Symbol" w:eastAsia="Calibri" w:hAnsi="Symbol" w:cs="Aptos"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23F64"/>
    <w:multiLevelType w:val="hybridMultilevel"/>
    <w:tmpl w:val="5A6AE8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5872E84"/>
    <w:multiLevelType w:val="hybridMultilevel"/>
    <w:tmpl w:val="8A2A0260"/>
    <w:lvl w:ilvl="0" w:tplc="08090019">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91C294D"/>
    <w:multiLevelType w:val="hybridMultilevel"/>
    <w:tmpl w:val="4DFADED4"/>
    <w:lvl w:ilvl="0" w:tplc="0809001B">
      <w:start w:val="1"/>
      <w:numFmt w:val="lowerRoman"/>
      <w:lvlText w:val="%1."/>
      <w:lvlJc w:val="righ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09385056"/>
    <w:multiLevelType w:val="hybridMultilevel"/>
    <w:tmpl w:val="7E20300E"/>
    <w:lvl w:ilvl="0" w:tplc="04DE237A">
      <w:start w:val="5"/>
      <w:numFmt w:val="bullet"/>
      <w:lvlText w:val=""/>
      <w:lvlJc w:val="left"/>
      <w:pPr>
        <w:ind w:left="720" w:hanging="360"/>
      </w:pPr>
      <w:rPr>
        <w:rFonts w:ascii="Symbol" w:eastAsia="Calibri" w:hAnsi="Symbol" w:cs="Apto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54023B"/>
    <w:multiLevelType w:val="hybridMultilevel"/>
    <w:tmpl w:val="8732E8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9683F30"/>
    <w:multiLevelType w:val="hybridMultilevel"/>
    <w:tmpl w:val="8974A3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C91539D"/>
    <w:multiLevelType w:val="hybridMultilevel"/>
    <w:tmpl w:val="0950C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2B14944"/>
    <w:multiLevelType w:val="hybridMultilevel"/>
    <w:tmpl w:val="4C6A17D8"/>
    <w:lvl w:ilvl="0" w:tplc="0809000F">
      <w:start w:val="1"/>
      <w:numFmt w:val="decimal"/>
      <w:lvlText w:val="%1."/>
      <w:lvlJc w:val="left"/>
      <w:pPr>
        <w:ind w:left="720" w:hanging="360"/>
      </w:pPr>
    </w:lvl>
    <w:lvl w:ilvl="1" w:tplc="3A2037A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73423"/>
    <w:multiLevelType w:val="multilevel"/>
    <w:tmpl w:val="D474F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192561"/>
    <w:multiLevelType w:val="hybridMultilevel"/>
    <w:tmpl w:val="85D01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C854245"/>
    <w:multiLevelType w:val="multilevel"/>
    <w:tmpl w:val="24EA7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45195822">
    <w:abstractNumId w:val="9"/>
  </w:num>
  <w:num w:numId="2" w16cid:durableId="1400178743">
    <w:abstractNumId w:val="11"/>
  </w:num>
  <w:num w:numId="3" w16cid:durableId="143402276">
    <w:abstractNumId w:val="7"/>
  </w:num>
  <w:num w:numId="4" w16cid:durableId="1486822943">
    <w:abstractNumId w:val="7"/>
  </w:num>
  <w:num w:numId="5" w16cid:durableId="928776720">
    <w:abstractNumId w:val="8"/>
  </w:num>
  <w:num w:numId="6" w16cid:durableId="565602984">
    <w:abstractNumId w:val="4"/>
  </w:num>
  <w:num w:numId="7" w16cid:durableId="1708796548">
    <w:abstractNumId w:val="0"/>
  </w:num>
  <w:num w:numId="8" w16cid:durableId="315569845">
    <w:abstractNumId w:val="10"/>
  </w:num>
  <w:num w:numId="9" w16cid:durableId="1875654444">
    <w:abstractNumId w:val="0"/>
  </w:num>
  <w:num w:numId="10" w16cid:durableId="2047636757">
    <w:abstractNumId w:val="1"/>
  </w:num>
  <w:num w:numId="11" w16cid:durableId="467212863">
    <w:abstractNumId w:val="3"/>
  </w:num>
  <w:num w:numId="12" w16cid:durableId="2110617914">
    <w:abstractNumId w:val="2"/>
  </w:num>
  <w:num w:numId="13" w16cid:durableId="394009168">
    <w:abstractNumId w:val="6"/>
  </w:num>
  <w:num w:numId="14" w16cid:durableId="808743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43"/>
    <w:rsid w:val="00004751"/>
    <w:rsid w:val="00004C31"/>
    <w:rsid w:val="00012203"/>
    <w:rsid w:val="00022897"/>
    <w:rsid w:val="00024BDF"/>
    <w:rsid w:val="000268BF"/>
    <w:rsid w:val="00031E09"/>
    <w:rsid w:val="00047966"/>
    <w:rsid w:val="00050ED2"/>
    <w:rsid w:val="000541CB"/>
    <w:rsid w:val="000553A2"/>
    <w:rsid w:val="000642F2"/>
    <w:rsid w:val="000743F8"/>
    <w:rsid w:val="000753E8"/>
    <w:rsid w:val="00076103"/>
    <w:rsid w:val="00083EEF"/>
    <w:rsid w:val="0008661C"/>
    <w:rsid w:val="000958E7"/>
    <w:rsid w:val="000A0FF9"/>
    <w:rsid w:val="000A1204"/>
    <w:rsid w:val="000A3A28"/>
    <w:rsid w:val="000A4A15"/>
    <w:rsid w:val="000A4C25"/>
    <w:rsid w:val="000C1B4A"/>
    <w:rsid w:val="000C71A9"/>
    <w:rsid w:val="000D0378"/>
    <w:rsid w:val="000F1DEF"/>
    <w:rsid w:val="000F76DE"/>
    <w:rsid w:val="00100F3D"/>
    <w:rsid w:val="0011115D"/>
    <w:rsid w:val="00116806"/>
    <w:rsid w:val="00123218"/>
    <w:rsid w:val="00130246"/>
    <w:rsid w:val="001358CB"/>
    <w:rsid w:val="001378B4"/>
    <w:rsid w:val="0014201B"/>
    <w:rsid w:val="001466F3"/>
    <w:rsid w:val="00146E46"/>
    <w:rsid w:val="00150F4D"/>
    <w:rsid w:val="00152CAE"/>
    <w:rsid w:val="00152F23"/>
    <w:rsid w:val="00161146"/>
    <w:rsid w:val="00162A81"/>
    <w:rsid w:val="0018418B"/>
    <w:rsid w:val="001853D0"/>
    <w:rsid w:val="001874F1"/>
    <w:rsid w:val="00190540"/>
    <w:rsid w:val="001A33FC"/>
    <w:rsid w:val="001A6A45"/>
    <w:rsid w:val="001B0BA8"/>
    <w:rsid w:val="001B37DF"/>
    <w:rsid w:val="001B5158"/>
    <w:rsid w:val="001B517E"/>
    <w:rsid w:val="001B627A"/>
    <w:rsid w:val="001B7C96"/>
    <w:rsid w:val="001C0B71"/>
    <w:rsid w:val="001C4697"/>
    <w:rsid w:val="001C71C3"/>
    <w:rsid w:val="001D660D"/>
    <w:rsid w:val="001E43B0"/>
    <w:rsid w:val="001E7DED"/>
    <w:rsid w:val="001F2202"/>
    <w:rsid w:val="001F26F0"/>
    <w:rsid w:val="001F4D85"/>
    <w:rsid w:val="002046BE"/>
    <w:rsid w:val="002168CF"/>
    <w:rsid w:val="00222356"/>
    <w:rsid w:val="00226852"/>
    <w:rsid w:val="00233FDE"/>
    <w:rsid w:val="00240ABB"/>
    <w:rsid w:val="002423D6"/>
    <w:rsid w:val="002463C7"/>
    <w:rsid w:val="00251385"/>
    <w:rsid w:val="00252880"/>
    <w:rsid w:val="0026232F"/>
    <w:rsid w:val="00266165"/>
    <w:rsid w:val="0026795D"/>
    <w:rsid w:val="00276026"/>
    <w:rsid w:val="00280EC8"/>
    <w:rsid w:val="00284009"/>
    <w:rsid w:val="00284370"/>
    <w:rsid w:val="0028537C"/>
    <w:rsid w:val="00286386"/>
    <w:rsid w:val="002872EB"/>
    <w:rsid w:val="00293775"/>
    <w:rsid w:val="0029472E"/>
    <w:rsid w:val="0029499E"/>
    <w:rsid w:val="002B1039"/>
    <w:rsid w:val="002B110E"/>
    <w:rsid w:val="002B1812"/>
    <w:rsid w:val="002B576C"/>
    <w:rsid w:val="002C0585"/>
    <w:rsid w:val="002C239B"/>
    <w:rsid w:val="002C5966"/>
    <w:rsid w:val="002C7B32"/>
    <w:rsid w:val="002D6914"/>
    <w:rsid w:val="002F0590"/>
    <w:rsid w:val="003118B9"/>
    <w:rsid w:val="00315F4C"/>
    <w:rsid w:val="00325735"/>
    <w:rsid w:val="00326555"/>
    <w:rsid w:val="00326E56"/>
    <w:rsid w:val="003314FC"/>
    <w:rsid w:val="00337333"/>
    <w:rsid w:val="003404AE"/>
    <w:rsid w:val="00344520"/>
    <w:rsid w:val="00344EDF"/>
    <w:rsid w:val="003538A0"/>
    <w:rsid w:val="003556A4"/>
    <w:rsid w:val="00361ECD"/>
    <w:rsid w:val="00362400"/>
    <w:rsid w:val="003636D3"/>
    <w:rsid w:val="003740C0"/>
    <w:rsid w:val="003743FE"/>
    <w:rsid w:val="0038426F"/>
    <w:rsid w:val="0039033F"/>
    <w:rsid w:val="003B16AE"/>
    <w:rsid w:val="003B6F02"/>
    <w:rsid w:val="003C311D"/>
    <w:rsid w:val="003D419E"/>
    <w:rsid w:val="003D4501"/>
    <w:rsid w:val="003E2AE5"/>
    <w:rsid w:val="003E61F4"/>
    <w:rsid w:val="003E7322"/>
    <w:rsid w:val="003F1CE4"/>
    <w:rsid w:val="003F35F0"/>
    <w:rsid w:val="00404DC8"/>
    <w:rsid w:val="0041247F"/>
    <w:rsid w:val="00414B86"/>
    <w:rsid w:val="00417CC8"/>
    <w:rsid w:val="00426CE1"/>
    <w:rsid w:val="00441B9A"/>
    <w:rsid w:val="0044254F"/>
    <w:rsid w:val="00444ED2"/>
    <w:rsid w:val="004455B7"/>
    <w:rsid w:val="00450D0A"/>
    <w:rsid w:val="00452087"/>
    <w:rsid w:val="00452915"/>
    <w:rsid w:val="00455114"/>
    <w:rsid w:val="00461875"/>
    <w:rsid w:val="00473750"/>
    <w:rsid w:val="00475F00"/>
    <w:rsid w:val="00482359"/>
    <w:rsid w:val="0048253E"/>
    <w:rsid w:val="00483A11"/>
    <w:rsid w:val="004850F6"/>
    <w:rsid w:val="004A09D2"/>
    <w:rsid w:val="004A48E1"/>
    <w:rsid w:val="004A6C47"/>
    <w:rsid w:val="004B3E4F"/>
    <w:rsid w:val="004B6BDC"/>
    <w:rsid w:val="004C0A5F"/>
    <w:rsid w:val="004C26D5"/>
    <w:rsid w:val="004C4817"/>
    <w:rsid w:val="004D2325"/>
    <w:rsid w:val="004D388C"/>
    <w:rsid w:val="004D4966"/>
    <w:rsid w:val="004E673B"/>
    <w:rsid w:val="004F1052"/>
    <w:rsid w:val="004F66CC"/>
    <w:rsid w:val="00504FD7"/>
    <w:rsid w:val="005061CC"/>
    <w:rsid w:val="0051035C"/>
    <w:rsid w:val="00515CEE"/>
    <w:rsid w:val="00530372"/>
    <w:rsid w:val="005324D4"/>
    <w:rsid w:val="00547EDD"/>
    <w:rsid w:val="0057648C"/>
    <w:rsid w:val="005813F7"/>
    <w:rsid w:val="0058599F"/>
    <w:rsid w:val="00586C46"/>
    <w:rsid w:val="005952EC"/>
    <w:rsid w:val="00597FA9"/>
    <w:rsid w:val="005A3161"/>
    <w:rsid w:val="005B2C6B"/>
    <w:rsid w:val="005B45F3"/>
    <w:rsid w:val="005D4F4F"/>
    <w:rsid w:val="005D6CEB"/>
    <w:rsid w:val="005D6DFC"/>
    <w:rsid w:val="005E27AF"/>
    <w:rsid w:val="005E366D"/>
    <w:rsid w:val="005F28E2"/>
    <w:rsid w:val="006008A4"/>
    <w:rsid w:val="0060516E"/>
    <w:rsid w:val="0060719F"/>
    <w:rsid w:val="00616850"/>
    <w:rsid w:val="00620A41"/>
    <w:rsid w:val="00640046"/>
    <w:rsid w:val="00640172"/>
    <w:rsid w:val="00655A2D"/>
    <w:rsid w:val="00655EA8"/>
    <w:rsid w:val="006568BE"/>
    <w:rsid w:val="00656A48"/>
    <w:rsid w:val="0066530E"/>
    <w:rsid w:val="00667BA7"/>
    <w:rsid w:val="006739D2"/>
    <w:rsid w:val="00675F7D"/>
    <w:rsid w:val="00682468"/>
    <w:rsid w:val="00692DA4"/>
    <w:rsid w:val="006A0356"/>
    <w:rsid w:val="006B05B7"/>
    <w:rsid w:val="006B0C71"/>
    <w:rsid w:val="006B5B21"/>
    <w:rsid w:val="006C2254"/>
    <w:rsid w:val="006C2883"/>
    <w:rsid w:val="006C4521"/>
    <w:rsid w:val="006C4D7E"/>
    <w:rsid w:val="006D1602"/>
    <w:rsid w:val="006D3E98"/>
    <w:rsid w:val="006E42BA"/>
    <w:rsid w:val="006E6214"/>
    <w:rsid w:val="006F2970"/>
    <w:rsid w:val="00705B35"/>
    <w:rsid w:val="00707B37"/>
    <w:rsid w:val="00711265"/>
    <w:rsid w:val="00711590"/>
    <w:rsid w:val="00712CF3"/>
    <w:rsid w:val="007141F1"/>
    <w:rsid w:val="00716E18"/>
    <w:rsid w:val="007266D8"/>
    <w:rsid w:val="007333B2"/>
    <w:rsid w:val="007430F7"/>
    <w:rsid w:val="00743336"/>
    <w:rsid w:val="00743B56"/>
    <w:rsid w:val="00744189"/>
    <w:rsid w:val="0074626D"/>
    <w:rsid w:val="00751D5F"/>
    <w:rsid w:val="007523E7"/>
    <w:rsid w:val="00762483"/>
    <w:rsid w:val="00763C36"/>
    <w:rsid w:val="0076710C"/>
    <w:rsid w:val="00772984"/>
    <w:rsid w:val="00787E6D"/>
    <w:rsid w:val="00790AA7"/>
    <w:rsid w:val="007962CD"/>
    <w:rsid w:val="007A7051"/>
    <w:rsid w:val="007B5571"/>
    <w:rsid w:val="007C4CD7"/>
    <w:rsid w:val="007D1893"/>
    <w:rsid w:val="007D2EBB"/>
    <w:rsid w:val="007D3369"/>
    <w:rsid w:val="007E26FD"/>
    <w:rsid w:val="007F2368"/>
    <w:rsid w:val="0080582F"/>
    <w:rsid w:val="00826BAD"/>
    <w:rsid w:val="00827D88"/>
    <w:rsid w:val="008349D3"/>
    <w:rsid w:val="00836D97"/>
    <w:rsid w:val="00840A0A"/>
    <w:rsid w:val="008415D2"/>
    <w:rsid w:val="008424A2"/>
    <w:rsid w:val="008439A6"/>
    <w:rsid w:val="00845340"/>
    <w:rsid w:val="00855F21"/>
    <w:rsid w:val="008604E7"/>
    <w:rsid w:val="00862EB8"/>
    <w:rsid w:val="0086307B"/>
    <w:rsid w:val="00865568"/>
    <w:rsid w:val="00872BE9"/>
    <w:rsid w:val="008817A1"/>
    <w:rsid w:val="00886F05"/>
    <w:rsid w:val="008B64A1"/>
    <w:rsid w:val="008B66A0"/>
    <w:rsid w:val="008B7716"/>
    <w:rsid w:val="008D22F3"/>
    <w:rsid w:val="008D291C"/>
    <w:rsid w:val="008E390A"/>
    <w:rsid w:val="00911E42"/>
    <w:rsid w:val="009226E8"/>
    <w:rsid w:val="0092388A"/>
    <w:rsid w:val="00924E6E"/>
    <w:rsid w:val="00925901"/>
    <w:rsid w:val="009304DE"/>
    <w:rsid w:val="00936FAF"/>
    <w:rsid w:val="00941D7F"/>
    <w:rsid w:val="00946F33"/>
    <w:rsid w:val="00947406"/>
    <w:rsid w:val="00951D55"/>
    <w:rsid w:val="00957C5F"/>
    <w:rsid w:val="00962124"/>
    <w:rsid w:val="0098430A"/>
    <w:rsid w:val="00990BCD"/>
    <w:rsid w:val="00992AA3"/>
    <w:rsid w:val="00993C0B"/>
    <w:rsid w:val="009A1900"/>
    <w:rsid w:val="009B0373"/>
    <w:rsid w:val="009B3DB3"/>
    <w:rsid w:val="009C1A36"/>
    <w:rsid w:val="009C7E98"/>
    <w:rsid w:val="009D08BE"/>
    <w:rsid w:val="009D09A0"/>
    <w:rsid w:val="009D0C66"/>
    <w:rsid w:val="009D7A04"/>
    <w:rsid w:val="009E0E56"/>
    <w:rsid w:val="009E27AB"/>
    <w:rsid w:val="009E3FBC"/>
    <w:rsid w:val="009E46ED"/>
    <w:rsid w:val="009E4EC8"/>
    <w:rsid w:val="009F6182"/>
    <w:rsid w:val="00A05714"/>
    <w:rsid w:val="00A07926"/>
    <w:rsid w:val="00A103BF"/>
    <w:rsid w:val="00A341BC"/>
    <w:rsid w:val="00A37115"/>
    <w:rsid w:val="00A4565C"/>
    <w:rsid w:val="00A46DBE"/>
    <w:rsid w:val="00A5568F"/>
    <w:rsid w:val="00A63CEF"/>
    <w:rsid w:val="00A66062"/>
    <w:rsid w:val="00A66F96"/>
    <w:rsid w:val="00A91DFB"/>
    <w:rsid w:val="00A9508B"/>
    <w:rsid w:val="00AA347E"/>
    <w:rsid w:val="00AA7A7C"/>
    <w:rsid w:val="00AB047F"/>
    <w:rsid w:val="00AB2504"/>
    <w:rsid w:val="00AB4571"/>
    <w:rsid w:val="00AB7F7F"/>
    <w:rsid w:val="00AC35F6"/>
    <w:rsid w:val="00AC72FC"/>
    <w:rsid w:val="00AD6BEA"/>
    <w:rsid w:val="00AD6DB4"/>
    <w:rsid w:val="00AE5401"/>
    <w:rsid w:val="00AE6C03"/>
    <w:rsid w:val="00AF3F19"/>
    <w:rsid w:val="00AF43A6"/>
    <w:rsid w:val="00AF57C0"/>
    <w:rsid w:val="00B02279"/>
    <w:rsid w:val="00B1387F"/>
    <w:rsid w:val="00B1483C"/>
    <w:rsid w:val="00B218D5"/>
    <w:rsid w:val="00B22CA6"/>
    <w:rsid w:val="00B26FC6"/>
    <w:rsid w:val="00B3303A"/>
    <w:rsid w:val="00B33923"/>
    <w:rsid w:val="00B4241B"/>
    <w:rsid w:val="00B47E7F"/>
    <w:rsid w:val="00B556B2"/>
    <w:rsid w:val="00B55BC6"/>
    <w:rsid w:val="00B55F3E"/>
    <w:rsid w:val="00B5677F"/>
    <w:rsid w:val="00B64EF8"/>
    <w:rsid w:val="00B66D8E"/>
    <w:rsid w:val="00B71A38"/>
    <w:rsid w:val="00B7531F"/>
    <w:rsid w:val="00B7793B"/>
    <w:rsid w:val="00B96464"/>
    <w:rsid w:val="00BA1248"/>
    <w:rsid w:val="00BA1B40"/>
    <w:rsid w:val="00BB776B"/>
    <w:rsid w:val="00BD1ACA"/>
    <w:rsid w:val="00BE4428"/>
    <w:rsid w:val="00BF5FFF"/>
    <w:rsid w:val="00BF66EC"/>
    <w:rsid w:val="00C00F12"/>
    <w:rsid w:val="00C21411"/>
    <w:rsid w:val="00C250B7"/>
    <w:rsid w:val="00C269C8"/>
    <w:rsid w:val="00C35F13"/>
    <w:rsid w:val="00C40093"/>
    <w:rsid w:val="00C45C7C"/>
    <w:rsid w:val="00C512BE"/>
    <w:rsid w:val="00C553EC"/>
    <w:rsid w:val="00C6710C"/>
    <w:rsid w:val="00C701E7"/>
    <w:rsid w:val="00C73002"/>
    <w:rsid w:val="00C74052"/>
    <w:rsid w:val="00C77993"/>
    <w:rsid w:val="00C85C43"/>
    <w:rsid w:val="00C87340"/>
    <w:rsid w:val="00C94E7D"/>
    <w:rsid w:val="00CB6B9D"/>
    <w:rsid w:val="00CC654B"/>
    <w:rsid w:val="00CD2FA0"/>
    <w:rsid w:val="00CD5575"/>
    <w:rsid w:val="00CD604E"/>
    <w:rsid w:val="00CF2D74"/>
    <w:rsid w:val="00CF4820"/>
    <w:rsid w:val="00D046A3"/>
    <w:rsid w:val="00D14594"/>
    <w:rsid w:val="00D155BE"/>
    <w:rsid w:val="00D170D3"/>
    <w:rsid w:val="00D25E97"/>
    <w:rsid w:val="00D33C45"/>
    <w:rsid w:val="00D50420"/>
    <w:rsid w:val="00D62684"/>
    <w:rsid w:val="00D7507F"/>
    <w:rsid w:val="00D75B54"/>
    <w:rsid w:val="00D7707C"/>
    <w:rsid w:val="00D842AA"/>
    <w:rsid w:val="00D90AD0"/>
    <w:rsid w:val="00DA5E43"/>
    <w:rsid w:val="00DA68D3"/>
    <w:rsid w:val="00DB10B1"/>
    <w:rsid w:val="00DC7C20"/>
    <w:rsid w:val="00DD0B17"/>
    <w:rsid w:val="00DE1DA2"/>
    <w:rsid w:val="00DE2D70"/>
    <w:rsid w:val="00DE61CE"/>
    <w:rsid w:val="00DE6B2C"/>
    <w:rsid w:val="00DF0D8B"/>
    <w:rsid w:val="00DF21C2"/>
    <w:rsid w:val="00DF7FF6"/>
    <w:rsid w:val="00E0480A"/>
    <w:rsid w:val="00E24912"/>
    <w:rsid w:val="00E307AD"/>
    <w:rsid w:val="00E3547D"/>
    <w:rsid w:val="00E45149"/>
    <w:rsid w:val="00E624F9"/>
    <w:rsid w:val="00E70573"/>
    <w:rsid w:val="00E768FA"/>
    <w:rsid w:val="00E871A9"/>
    <w:rsid w:val="00E94009"/>
    <w:rsid w:val="00E95395"/>
    <w:rsid w:val="00E97E83"/>
    <w:rsid w:val="00EA4C89"/>
    <w:rsid w:val="00EB06A5"/>
    <w:rsid w:val="00EB23A0"/>
    <w:rsid w:val="00EC2D45"/>
    <w:rsid w:val="00EC58F8"/>
    <w:rsid w:val="00EC767F"/>
    <w:rsid w:val="00ED68E9"/>
    <w:rsid w:val="00F013F7"/>
    <w:rsid w:val="00F053F0"/>
    <w:rsid w:val="00F12F15"/>
    <w:rsid w:val="00F13F79"/>
    <w:rsid w:val="00F17151"/>
    <w:rsid w:val="00F21A7B"/>
    <w:rsid w:val="00F33CD2"/>
    <w:rsid w:val="00F366D0"/>
    <w:rsid w:val="00F53431"/>
    <w:rsid w:val="00F6075D"/>
    <w:rsid w:val="00F8107C"/>
    <w:rsid w:val="00F863DC"/>
    <w:rsid w:val="00F92651"/>
    <w:rsid w:val="00F9340F"/>
    <w:rsid w:val="00F96FE6"/>
    <w:rsid w:val="00FA1A15"/>
    <w:rsid w:val="00FA2C23"/>
    <w:rsid w:val="00FA494D"/>
    <w:rsid w:val="00FA4E99"/>
    <w:rsid w:val="00FC0553"/>
    <w:rsid w:val="00FC1821"/>
    <w:rsid w:val="00FC6B6A"/>
    <w:rsid w:val="00FC74E9"/>
    <w:rsid w:val="00FD706C"/>
    <w:rsid w:val="00FF1CC3"/>
    <w:rsid w:val="00FF7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7609"/>
  <w15:chartTrackingRefBased/>
  <w15:docId w15:val="{769BA473-DA11-48DB-B0B6-BFBE6785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C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C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C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C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C43"/>
    <w:rPr>
      <w:rFonts w:eastAsiaTheme="majorEastAsia" w:cstheme="majorBidi"/>
      <w:color w:val="272727" w:themeColor="text1" w:themeTint="D8"/>
    </w:rPr>
  </w:style>
  <w:style w:type="paragraph" w:styleId="Title">
    <w:name w:val="Title"/>
    <w:basedOn w:val="Normal"/>
    <w:next w:val="Normal"/>
    <w:link w:val="TitleChar"/>
    <w:uiPriority w:val="10"/>
    <w:qFormat/>
    <w:rsid w:val="00C85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C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C43"/>
    <w:pPr>
      <w:spacing w:before="160"/>
      <w:jc w:val="center"/>
    </w:pPr>
    <w:rPr>
      <w:i/>
      <w:iCs/>
      <w:color w:val="404040" w:themeColor="text1" w:themeTint="BF"/>
    </w:rPr>
  </w:style>
  <w:style w:type="character" w:customStyle="1" w:styleId="QuoteChar">
    <w:name w:val="Quote Char"/>
    <w:basedOn w:val="DefaultParagraphFont"/>
    <w:link w:val="Quote"/>
    <w:uiPriority w:val="29"/>
    <w:rsid w:val="00C85C43"/>
    <w:rPr>
      <w:i/>
      <w:iCs/>
      <w:color w:val="404040" w:themeColor="text1" w:themeTint="BF"/>
    </w:rPr>
  </w:style>
  <w:style w:type="paragraph" w:styleId="ListParagraph">
    <w:name w:val="List Paragraph"/>
    <w:basedOn w:val="Normal"/>
    <w:uiPriority w:val="34"/>
    <w:qFormat/>
    <w:rsid w:val="00C85C43"/>
    <w:pPr>
      <w:ind w:left="720"/>
      <w:contextualSpacing/>
    </w:pPr>
  </w:style>
  <w:style w:type="character" w:styleId="IntenseEmphasis">
    <w:name w:val="Intense Emphasis"/>
    <w:basedOn w:val="DefaultParagraphFont"/>
    <w:uiPriority w:val="21"/>
    <w:qFormat/>
    <w:rsid w:val="00C85C43"/>
    <w:rPr>
      <w:i/>
      <w:iCs/>
      <w:color w:val="0F4761" w:themeColor="accent1" w:themeShade="BF"/>
    </w:rPr>
  </w:style>
  <w:style w:type="paragraph" w:styleId="IntenseQuote">
    <w:name w:val="Intense Quote"/>
    <w:basedOn w:val="Normal"/>
    <w:next w:val="Normal"/>
    <w:link w:val="IntenseQuoteChar"/>
    <w:uiPriority w:val="30"/>
    <w:qFormat/>
    <w:rsid w:val="00C85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C43"/>
    <w:rPr>
      <w:i/>
      <w:iCs/>
      <w:color w:val="0F4761" w:themeColor="accent1" w:themeShade="BF"/>
    </w:rPr>
  </w:style>
  <w:style w:type="character" w:styleId="IntenseReference">
    <w:name w:val="Intense Reference"/>
    <w:basedOn w:val="DefaultParagraphFont"/>
    <w:uiPriority w:val="32"/>
    <w:qFormat/>
    <w:rsid w:val="00C85C43"/>
    <w:rPr>
      <w:b/>
      <w:bCs/>
      <w:smallCaps/>
      <w:color w:val="0F4761" w:themeColor="accent1" w:themeShade="BF"/>
      <w:spacing w:val="5"/>
    </w:rPr>
  </w:style>
  <w:style w:type="character" w:styleId="Hyperlink">
    <w:name w:val="Hyperlink"/>
    <w:basedOn w:val="DefaultParagraphFont"/>
    <w:uiPriority w:val="99"/>
    <w:unhideWhenUsed/>
    <w:rsid w:val="00EC58F8"/>
    <w:rPr>
      <w:color w:val="467886" w:themeColor="hyperlink"/>
      <w:u w:val="single"/>
    </w:rPr>
  </w:style>
  <w:style w:type="character" w:styleId="UnresolvedMention">
    <w:name w:val="Unresolved Mention"/>
    <w:basedOn w:val="DefaultParagraphFont"/>
    <w:uiPriority w:val="99"/>
    <w:semiHidden/>
    <w:unhideWhenUsed/>
    <w:rsid w:val="00EC58F8"/>
    <w:rPr>
      <w:color w:val="605E5C"/>
      <w:shd w:val="clear" w:color="auto" w:fill="E1DFDD"/>
    </w:rPr>
  </w:style>
  <w:style w:type="paragraph" w:styleId="Header">
    <w:name w:val="header"/>
    <w:basedOn w:val="Normal"/>
    <w:link w:val="HeaderChar"/>
    <w:uiPriority w:val="99"/>
    <w:unhideWhenUsed/>
    <w:rsid w:val="004A0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9D2"/>
  </w:style>
  <w:style w:type="paragraph" w:styleId="Footer">
    <w:name w:val="footer"/>
    <w:basedOn w:val="Normal"/>
    <w:link w:val="FooterChar"/>
    <w:uiPriority w:val="99"/>
    <w:unhideWhenUsed/>
    <w:rsid w:val="004A0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9D2"/>
  </w:style>
  <w:style w:type="paragraph" w:styleId="FootnoteText">
    <w:name w:val="footnote text"/>
    <w:basedOn w:val="Normal"/>
    <w:link w:val="FootnoteTextChar"/>
    <w:uiPriority w:val="99"/>
    <w:semiHidden/>
    <w:unhideWhenUsed/>
    <w:rsid w:val="009D7A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7A04"/>
    <w:rPr>
      <w:sz w:val="20"/>
      <w:szCs w:val="20"/>
    </w:rPr>
  </w:style>
  <w:style w:type="character" w:styleId="FootnoteReference">
    <w:name w:val="footnote reference"/>
    <w:basedOn w:val="DefaultParagraphFont"/>
    <w:uiPriority w:val="99"/>
    <w:semiHidden/>
    <w:unhideWhenUsed/>
    <w:rsid w:val="009D7A04"/>
    <w:rPr>
      <w:vertAlign w:val="superscript"/>
    </w:rPr>
  </w:style>
  <w:style w:type="character" w:styleId="CommentReference">
    <w:name w:val="annotation reference"/>
    <w:basedOn w:val="DefaultParagraphFont"/>
    <w:uiPriority w:val="99"/>
    <w:semiHidden/>
    <w:unhideWhenUsed/>
    <w:rsid w:val="00B556B2"/>
    <w:rPr>
      <w:sz w:val="16"/>
      <w:szCs w:val="16"/>
    </w:rPr>
  </w:style>
  <w:style w:type="paragraph" w:styleId="CommentText">
    <w:name w:val="annotation text"/>
    <w:basedOn w:val="Normal"/>
    <w:link w:val="CommentTextChar"/>
    <w:uiPriority w:val="99"/>
    <w:unhideWhenUsed/>
    <w:rsid w:val="00B556B2"/>
    <w:pPr>
      <w:spacing w:line="240" w:lineRule="auto"/>
    </w:pPr>
    <w:rPr>
      <w:sz w:val="20"/>
      <w:szCs w:val="20"/>
    </w:rPr>
  </w:style>
  <w:style w:type="character" w:customStyle="1" w:styleId="CommentTextChar">
    <w:name w:val="Comment Text Char"/>
    <w:basedOn w:val="DefaultParagraphFont"/>
    <w:link w:val="CommentText"/>
    <w:uiPriority w:val="99"/>
    <w:rsid w:val="00B556B2"/>
    <w:rPr>
      <w:sz w:val="20"/>
      <w:szCs w:val="20"/>
    </w:rPr>
  </w:style>
  <w:style w:type="paragraph" w:styleId="CommentSubject">
    <w:name w:val="annotation subject"/>
    <w:basedOn w:val="CommentText"/>
    <w:next w:val="CommentText"/>
    <w:link w:val="CommentSubjectChar"/>
    <w:uiPriority w:val="99"/>
    <w:semiHidden/>
    <w:unhideWhenUsed/>
    <w:rsid w:val="00B556B2"/>
    <w:rPr>
      <w:b/>
      <w:bCs/>
    </w:rPr>
  </w:style>
  <w:style w:type="character" w:customStyle="1" w:styleId="CommentSubjectChar">
    <w:name w:val="Comment Subject Char"/>
    <w:basedOn w:val="CommentTextChar"/>
    <w:link w:val="CommentSubject"/>
    <w:uiPriority w:val="99"/>
    <w:semiHidden/>
    <w:rsid w:val="00B556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77707">
      <w:bodyDiv w:val="1"/>
      <w:marLeft w:val="0"/>
      <w:marRight w:val="0"/>
      <w:marTop w:val="0"/>
      <w:marBottom w:val="0"/>
      <w:divBdr>
        <w:top w:val="none" w:sz="0" w:space="0" w:color="auto"/>
        <w:left w:val="none" w:sz="0" w:space="0" w:color="auto"/>
        <w:bottom w:val="none" w:sz="0" w:space="0" w:color="auto"/>
        <w:right w:val="none" w:sz="0" w:space="0" w:color="auto"/>
      </w:divBdr>
    </w:div>
    <w:div w:id="513305255">
      <w:bodyDiv w:val="1"/>
      <w:marLeft w:val="0"/>
      <w:marRight w:val="0"/>
      <w:marTop w:val="0"/>
      <w:marBottom w:val="0"/>
      <w:divBdr>
        <w:top w:val="none" w:sz="0" w:space="0" w:color="auto"/>
        <w:left w:val="none" w:sz="0" w:space="0" w:color="auto"/>
        <w:bottom w:val="none" w:sz="0" w:space="0" w:color="auto"/>
        <w:right w:val="none" w:sz="0" w:space="0" w:color="auto"/>
      </w:divBdr>
    </w:div>
    <w:div w:id="1091389736">
      <w:bodyDiv w:val="1"/>
      <w:marLeft w:val="0"/>
      <w:marRight w:val="0"/>
      <w:marTop w:val="0"/>
      <w:marBottom w:val="0"/>
      <w:divBdr>
        <w:top w:val="none" w:sz="0" w:space="0" w:color="auto"/>
        <w:left w:val="none" w:sz="0" w:space="0" w:color="auto"/>
        <w:bottom w:val="none" w:sz="0" w:space="0" w:color="auto"/>
        <w:right w:val="none" w:sz="0" w:space="0" w:color="auto"/>
      </w:divBdr>
    </w:div>
    <w:div w:id="1241717557">
      <w:bodyDiv w:val="1"/>
      <w:marLeft w:val="0"/>
      <w:marRight w:val="0"/>
      <w:marTop w:val="0"/>
      <w:marBottom w:val="0"/>
      <w:divBdr>
        <w:top w:val="none" w:sz="0" w:space="0" w:color="auto"/>
        <w:left w:val="none" w:sz="0" w:space="0" w:color="auto"/>
        <w:bottom w:val="none" w:sz="0" w:space="0" w:color="auto"/>
        <w:right w:val="none" w:sz="0" w:space="0" w:color="auto"/>
      </w:divBdr>
    </w:div>
    <w:div w:id="1804927814">
      <w:bodyDiv w:val="1"/>
      <w:marLeft w:val="0"/>
      <w:marRight w:val="0"/>
      <w:marTop w:val="0"/>
      <w:marBottom w:val="0"/>
      <w:divBdr>
        <w:top w:val="none" w:sz="0" w:space="0" w:color="auto"/>
        <w:left w:val="none" w:sz="0" w:space="0" w:color="auto"/>
        <w:bottom w:val="none" w:sz="0" w:space="0" w:color="auto"/>
        <w:right w:val="none" w:sz="0" w:space="0" w:color="auto"/>
      </w:divBdr>
    </w:div>
    <w:div w:id="2008315572">
      <w:bodyDiv w:val="1"/>
      <w:marLeft w:val="0"/>
      <w:marRight w:val="0"/>
      <w:marTop w:val="0"/>
      <w:marBottom w:val="0"/>
      <w:divBdr>
        <w:top w:val="none" w:sz="0" w:space="0" w:color="auto"/>
        <w:left w:val="none" w:sz="0" w:space="0" w:color="auto"/>
        <w:bottom w:val="none" w:sz="0" w:space="0" w:color="auto"/>
        <w:right w:val="none" w:sz="0" w:space="0" w:color="auto"/>
      </w:divBdr>
    </w:div>
    <w:div w:id="20327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ublication/panel-review-drug-and-alcohol-services-in-bath-and-north-east-somers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publication/acceptance-and-prioritisation-criteria-independent-procurement-and-choice-panel/" TargetMode="External"/><Relationship Id="rId2" Type="http://schemas.openxmlformats.org/officeDocument/2006/relationships/hyperlink" Target="https://www.england.nhs.uk/publication/acceptance-and-prioritisation-criteria-independent-procurement-and-choice-panel/" TargetMode="External"/><Relationship Id="rId1" Type="http://schemas.openxmlformats.org/officeDocument/2006/relationships/hyperlink" Target="https://www.england.nhs.uk/publication/acceptance-and-prioritisation-criteria-independent-procurement-and-choice-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4B43881409A4B9BCB39EE28F08756" ma:contentTypeVersion="26" ma:contentTypeDescription="Create a new document." ma:contentTypeScope="" ma:versionID="f305d54e012ac09fbebdd0e928606b8b">
  <xsd:schema xmlns:xsd="http://www.w3.org/2001/XMLSchema" xmlns:xs="http://www.w3.org/2001/XMLSchema" xmlns:p="http://schemas.microsoft.com/office/2006/metadata/properties" xmlns:ns2="96410c0b-a514-402d-9462-ba76dadfba38" xmlns:ns3="47bd0a4b-cdef-49e3-b4c2-dc603af9f461" targetNamespace="http://schemas.microsoft.com/office/2006/metadata/properties" ma:root="true" ma:fieldsID="513b26b09df7e3304df9e850f42fa3a7" ns2:_="" ns3:_="">
    <xsd:import namespace="96410c0b-a514-402d-9462-ba76dadfba38"/>
    <xsd:import namespace="47bd0a4b-cdef-49e3-b4c2-dc603af9f461"/>
    <xsd:element name="properties">
      <xsd:complexType>
        <xsd:sequence>
          <xsd:element name="documentManagement">
            <xsd:complexType>
              <xsd:all>
                <xsd:element ref="ns2:Category" minOccurs="0"/>
                <xsd:element ref="ns2:MeetingDate" minOccurs="0"/>
                <xsd:element ref="ns2:DocumentN" minOccurs="0"/>
                <xsd:element ref="ns2:Duplicateversion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0c0b-a514-402d-9462-ba76dadfba38" elementFormDefault="qualified">
    <xsd:import namespace="http://schemas.microsoft.com/office/2006/documentManagement/types"/>
    <xsd:import namespace="http://schemas.microsoft.com/office/infopath/2007/PartnerControls"/>
    <xsd:element name="Category" ma:index="2" nillable="true" ma:displayName="Category " ma:format="Dropdown" ma:internalName="Category">
      <xsd:simpleType>
        <xsd:restriction base="dms:Choice">
          <xsd:enumeration value="Case Document"/>
          <xsd:enumeration value="Evidence Document"/>
          <xsd:enumeration value="E-correspondence"/>
          <xsd:enumeration value="Letter"/>
        </xsd:restriction>
      </xsd:simpleType>
    </xsd:element>
    <xsd:element name="MeetingDate" ma:index="4" nillable="true" ma:displayName="Meeting Date " ma:format="DateOnly" ma:internalName="MeetingDate">
      <xsd:simpleType>
        <xsd:restriction base="dms:DateTime"/>
      </xsd:simpleType>
    </xsd:element>
    <xsd:element name="DocumentN" ma:index="5" nillable="true" ma:displayName="Document N" ma:format="Dropdown" ma:internalName="DocumentN">
      <xsd:simpleType>
        <xsd:restriction base="dms:Note">
          <xsd:maxLength value="255"/>
        </xsd:restriction>
      </xsd:simpleType>
    </xsd:element>
    <xsd:element name="Duplicateversions" ma:index="6" nillable="true" ma:displayName="Duplicate versions" ma:format="Dropdown" ma:internalName="Duplicateversion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d0a4b-cdef-49e3-b4c2-dc603af9f4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ef46ec-daea-48c6-8848-a1cfc81ca0b7}" ma:internalName="TaxCatchAll" ma:showField="CatchAllData" ma:web="47bd0a4b-cdef-49e3-b4c2-dc603af9f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N xmlns="96410c0b-a514-402d-9462-ba76dadfba38">CMS03</DocumentN>
    <Category xmlns="96410c0b-a514-402d-9462-ba76dadfba38">Case Document</Category>
    <Duplicateversions xmlns="96410c0b-a514-402d-9462-ba76dadfba38" xsi:nil="true"/>
    <lcf76f155ced4ddcb4097134ff3c332f xmlns="96410c0b-a514-402d-9462-ba76dadfba38">
      <Terms xmlns="http://schemas.microsoft.com/office/infopath/2007/PartnerControls"/>
    </lcf76f155ced4ddcb4097134ff3c332f>
    <TaxCatchAll xmlns="47bd0a4b-cdef-49e3-b4c2-dc603af9f461" xsi:nil="true"/>
    <MeetingDate xmlns="96410c0b-a514-402d-9462-ba76dadfba38" xsi:nil="true"/>
  </documentManagement>
</p:properties>
</file>

<file path=customXml/itemProps1.xml><?xml version="1.0" encoding="utf-8"?>
<ds:datastoreItem xmlns:ds="http://schemas.openxmlformats.org/officeDocument/2006/customXml" ds:itemID="{3A076451-EB76-46E1-9C61-40A7A36AF894}">
  <ds:schemaRefs>
    <ds:schemaRef ds:uri="http://schemas.openxmlformats.org/officeDocument/2006/bibliography"/>
  </ds:schemaRefs>
</ds:datastoreItem>
</file>

<file path=customXml/itemProps2.xml><?xml version="1.0" encoding="utf-8"?>
<ds:datastoreItem xmlns:ds="http://schemas.openxmlformats.org/officeDocument/2006/customXml" ds:itemID="{9962FA55-754D-4AAF-A6A3-E72248D04B8C}">
  <ds:schemaRefs>
    <ds:schemaRef ds:uri="http://schemas.microsoft.com/sharepoint/v3/contenttype/forms"/>
  </ds:schemaRefs>
</ds:datastoreItem>
</file>

<file path=customXml/itemProps3.xml><?xml version="1.0" encoding="utf-8"?>
<ds:datastoreItem xmlns:ds="http://schemas.openxmlformats.org/officeDocument/2006/customXml" ds:itemID="{FEA3EDA3-1B0D-4A5F-88D6-42612AAA2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0c0b-a514-402d-9462-ba76dadfba38"/>
    <ds:schemaRef ds:uri="47bd0a4b-cdef-49e3-b4c2-dc603af9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E78A7-AE89-42AC-8D08-E0BBEB816B43}">
  <ds:schemaRefs>
    <ds:schemaRef ds:uri="http://schemas.microsoft.com/office/2006/metadata/properties"/>
    <ds:schemaRef ds:uri="http://schemas.microsoft.com/office/infopath/2007/PartnerControls"/>
    <ds:schemaRef ds:uri="96410c0b-a514-402d-9462-ba76dadfba38"/>
    <ds:schemaRef ds:uri="47bd0a4b-cdef-49e3-b4c2-dc603af9f461"/>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1</Pages>
  <Words>2014</Words>
  <Characters>11483</Characters>
  <Application>Microsoft Office Word</Application>
  <DocSecurity>4</DocSecurity>
  <Lines>95</Lines>
  <Paragraphs>26</Paragraphs>
  <ScaleCrop>false</ScaleCrop>
  <Company/>
  <LinksUpToDate>false</LinksUpToDate>
  <CharactersWithSpaces>13471</CharactersWithSpaces>
  <SharedDoc>false</SharedDoc>
  <HLinks>
    <vt:vector size="24" baseType="variant">
      <vt:variant>
        <vt:i4>2162731</vt:i4>
      </vt:variant>
      <vt:variant>
        <vt:i4>0</vt:i4>
      </vt:variant>
      <vt:variant>
        <vt:i4>0</vt:i4>
      </vt:variant>
      <vt:variant>
        <vt:i4>5</vt:i4>
      </vt:variant>
      <vt:variant>
        <vt:lpwstr>https://www.england.nhs.uk/publication/panel-review-drug-and-alcohol-services-in-bath-and-north-east-somerset/</vt:lpwstr>
      </vt:variant>
      <vt:variant>
        <vt:lpwstr/>
      </vt:variant>
      <vt:variant>
        <vt:i4>2424866</vt:i4>
      </vt:variant>
      <vt:variant>
        <vt:i4>6</vt:i4>
      </vt:variant>
      <vt:variant>
        <vt:i4>0</vt:i4>
      </vt:variant>
      <vt:variant>
        <vt:i4>5</vt:i4>
      </vt:variant>
      <vt:variant>
        <vt:lpwstr>https://www.england.nhs.uk/publication/acceptance-and-prioritisation-criteria-independent-procurement-and-choice-panel/</vt:lpwstr>
      </vt:variant>
      <vt:variant>
        <vt:lpwstr/>
      </vt:variant>
      <vt:variant>
        <vt:i4>2424866</vt:i4>
      </vt:variant>
      <vt:variant>
        <vt:i4>3</vt:i4>
      </vt:variant>
      <vt:variant>
        <vt:i4>0</vt:i4>
      </vt:variant>
      <vt:variant>
        <vt:i4>5</vt:i4>
      </vt:variant>
      <vt:variant>
        <vt:lpwstr>https://www.england.nhs.uk/publication/acceptance-and-prioritisation-criteria-independent-procurement-and-choice-panel/</vt:lpwstr>
      </vt:variant>
      <vt:variant>
        <vt:lpwstr/>
      </vt:variant>
      <vt:variant>
        <vt:i4>2424866</vt:i4>
      </vt:variant>
      <vt:variant>
        <vt:i4>0</vt:i4>
      </vt:variant>
      <vt:variant>
        <vt:i4>0</vt:i4>
      </vt:variant>
      <vt:variant>
        <vt:i4>5</vt:i4>
      </vt:variant>
      <vt:variant>
        <vt:lpwstr>https://www.england.nhs.uk/publication/acceptance-and-prioritisation-criteria-independent-procurement-and-choice-panel/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Andrew (NHS ENGLAND)</dc:creator>
  <cp:keywords/>
  <dc:description/>
  <cp:lastModifiedBy>GRIFFITHS, Tom (NHS SOUTH, CENTRAL AND WEST COMMISSIONING SUPPORT UNIT)</cp:lastModifiedBy>
  <cp:revision>41</cp:revision>
  <dcterms:created xsi:type="dcterms:W3CDTF">2025-07-24T15:03:00Z</dcterms:created>
  <dcterms:modified xsi:type="dcterms:W3CDTF">2025-07-25T13:16:00Z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0x01010053B4B43881409A4B9BCB39EE28F08756</vt:lpwstr>
  </property>
  <property fmtid="{D5CDD505-2E9C-101B-9397-08002B2CF9AE}" pid="3" name="MediaServiceImageTags">
    <vt:lpwstr/>
  </property>
</Properties>
</file>