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476E" w14:textId="77777777" w:rsidR="00681CDB" w:rsidRPr="003D4501" w:rsidRDefault="00681CDB" w:rsidP="00681CDB">
      <w:pPr>
        <w:spacing w:line="276" w:lineRule="auto"/>
        <w:rPr>
          <w:rFonts w:ascii="Arial" w:hAnsi="Arial" w:cs="Arial"/>
          <w:b/>
          <w:bCs/>
          <w:sz w:val="28"/>
          <w:szCs w:val="28"/>
        </w:rPr>
      </w:pPr>
      <w:r w:rsidRPr="003D4501">
        <w:rPr>
          <w:rFonts w:ascii="Arial" w:hAnsi="Arial" w:cs="Arial"/>
          <w:b/>
          <w:bCs/>
          <w:sz w:val="28"/>
          <w:szCs w:val="28"/>
        </w:rPr>
        <w:t>Independent Patient Choice and Procurement Panel</w:t>
      </w:r>
    </w:p>
    <w:p w14:paraId="01F4FD70" w14:textId="77777777" w:rsidR="00681CDB" w:rsidRPr="003D4501" w:rsidRDefault="00681CDB" w:rsidP="00681CDB">
      <w:pPr>
        <w:spacing w:line="276" w:lineRule="auto"/>
        <w:rPr>
          <w:rFonts w:ascii="Arial" w:hAnsi="Arial" w:cs="Arial"/>
          <w:b/>
          <w:bCs/>
          <w:sz w:val="28"/>
          <w:szCs w:val="28"/>
        </w:rPr>
      </w:pPr>
      <w:r w:rsidRPr="003D4501">
        <w:rPr>
          <w:rFonts w:ascii="Arial" w:hAnsi="Arial" w:cs="Arial"/>
          <w:b/>
          <w:bCs/>
          <w:sz w:val="28"/>
          <w:szCs w:val="28"/>
        </w:rPr>
        <w:t>Case Acceptance Decision</w:t>
      </w:r>
    </w:p>
    <w:p w14:paraId="2EAB6730" w14:textId="1B567226" w:rsidR="00681CDB" w:rsidRPr="00547EDD" w:rsidRDefault="0090509E" w:rsidP="00681CDB">
      <w:pPr>
        <w:spacing w:before="240" w:line="276" w:lineRule="auto"/>
        <w:rPr>
          <w:rFonts w:ascii="Arial" w:hAnsi="Arial" w:cs="Arial"/>
          <w:b/>
          <w:bCs/>
        </w:rPr>
      </w:pPr>
      <w:r>
        <w:rPr>
          <w:rFonts w:ascii="Arial" w:hAnsi="Arial" w:cs="Arial"/>
          <w:b/>
          <w:bCs/>
        </w:rPr>
        <w:t xml:space="preserve">Intermediate Minor Oral Surgery </w:t>
      </w:r>
      <w:r w:rsidR="00681CDB" w:rsidRPr="00547EDD">
        <w:rPr>
          <w:rFonts w:ascii="Arial" w:hAnsi="Arial" w:cs="Arial"/>
          <w:b/>
          <w:bCs/>
        </w:rPr>
        <w:t>Services</w:t>
      </w:r>
      <w:r>
        <w:rPr>
          <w:rFonts w:ascii="Arial" w:hAnsi="Arial" w:cs="Arial"/>
          <w:b/>
          <w:bCs/>
        </w:rPr>
        <w:t>, Yorkshire and Humber</w:t>
      </w:r>
    </w:p>
    <w:p w14:paraId="00A26A72" w14:textId="622C2B12" w:rsidR="00681CDB" w:rsidRDefault="00681CDB" w:rsidP="00681CDB">
      <w:pPr>
        <w:pStyle w:val="ListParagraph"/>
        <w:numPr>
          <w:ilvl w:val="0"/>
          <w:numId w:val="1"/>
        </w:numPr>
        <w:spacing w:line="276" w:lineRule="auto"/>
        <w:ind w:left="567" w:hanging="567"/>
        <w:contextualSpacing w:val="0"/>
        <w:rPr>
          <w:rFonts w:ascii="Arial" w:hAnsi="Arial" w:cs="Arial"/>
          <w:sz w:val="22"/>
          <w:szCs w:val="22"/>
        </w:rPr>
      </w:pPr>
      <w:r w:rsidRPr="009A1900">
        <w:rPr>
          <w:rFonts w:ascii="Arial" w:hAnsi="Arial" w:cs="Arial"/>
          <w:sz w:val="22"/>
          <w:szCs w:val="22"/>
        </w:rPr>
        <w:t xml:space="preserve">On </w:t>
      </w:r>
      <w:r>
        <w:rPr>
          <w:rFonts w:ascii="Arial" w:hAnsi="Arial" w:cs="Arial"/>
          <w:sz w:val="22"/>
          <w:szCs w:val="22"/>
        </w:rPr>
        <w:t>23</w:t>
      </w:r>
      <w:r w:rsidRPr="009A1900">
        <w:rPr>
          <w:rFonts w:ascii="Arial" w:hAnsi="Arial" w:cs="Arial"/>
          <w:sz w:val="22"/>
          <w:szCs w:val="22"/>
        </w:rPr>
        <w:t xml:space="preserve"> July 2025, </w:t>
      </w:r>
      <w:r>
        <w:rPr>
          <w:rFonts w:ascii="Arial" w:hAnsi="Arial" w:cs="Arial"/>
          <w:sz w:val="22"/>
          <w:szCs w:val="22"/>
        </w:rPr>
        <w:t xml:space="preserve">Barkhill Dental Practice Limited </w:t>
      </w:r>
      <w:r w:rsidRPr="009A1900">
        <w:rPr>
          <w:rFonts w:ascii="Arial" w:hAnsi="Arial" w:cs="Arial"/>
          <w:sz w:val="22"/>
          <w:szCs w:val="22"/>
        </w:rPr>
        <w:t>(</w:t>
      </w:r>
      <w:r>
        <w:rPr>
          <w:rFonts w:ascii="Arial" w:hAnsi="Arial" w:cs="Arial"/>
          <w:sz w:val="22"/>
          <w:szCs w:val="22"/>
        </w:rPr>
        <w:t>Barkhill</w:t>
      </w:r>
      <w:r w:rsidRPr="009A1900">
        <w:rPr>
          <w:rFonts w:ascii="Arial" w:hAnsi="Arial" w:cs="Arial"/>
          <w:sz w:val="22"/>
          <w:szCs w:val="22"/>
        </w:rPr>
        <w:t xml:space="preserve">), a </w:t>
      </w:r>
      <w:r>
        <w:rPr>
          <w:rFonts w:ascii="Arial" w:hAnsi="Arial" w:cs="Arial"/>
          <w:sz w:val="22"/>
          <w:szCs w:val="22"/>
        </w:rPr>
        <w:t xml:space="preserve">dental practice based in </w:t>
      </w:r>
      <w:r w:rsidR="0090509E">
        <w:rPr>
          <w:rFonts w:ascii="Arial" w:hAnsi="Arial" w:cs="Arial"/>
          <w:sz w:val="22"/>
          <w:szCs w:val="22"/>
        </w:rPr>
        <w:t>Bradford</w:t>
      </w:r>
      <w:r w:rsidRPr="009A1900">
        <w:rPr>
          <w:rFonts w:ascii="Arial" w:hAnsi="Arial" w:cs="Arial"/>
          <w:sz w:val="22"/>
          <w:szCs w:val="22"/>
        </w:rPr>
        <w:t xml:space="preserve">, asked the Panel to advise on </w:t>
      </w:r>
      <w:r>
        <w:rPr>
          <w:rFonts w:ascii="Arial" w:hAnsi="Arial" w:cs="Arial"/>
          <w:sz w:val="22"/>
          <w:szCs w:val="22"/>
        </w:rPr>
        <w:t>NHS Humber and North Yorkshire</w:t>
      </w:r>
      <w:r w:rsidRPr="009A1900">
        <w:rPr>
          <w:rFonts w:ascii="Arial" w:hAnsi="Arial" w:cs="Arial"/>
          <w:sz w:val="22"/>
          <w:szCs w:val="22"/>
        </w:rPr>
        <w:t xml:space="preserve"> Integrated Care Board</w:t>
      </w:r>
      <w:r>
        <w:rPr>
          <w:rFonts w:ascii="Arial" w:hAnsi="Arial" w:cs="Arial"/>
          <w:sz w:val="22"/>
          <w:szCs w:val="22"/>
        </w:rPr>
        <w:t>’s</w:t>
      </w:r>
      <w:r w:rsidRPr="009A1900">
        <w:rPr>
          <w:rFonts w:ascii="Arial" w:hAnsi="Arial" w:cs="Arial"/>
          <w:sz w:val="22"/>
          <w:szCs w:val="22"/>
        </w:rPr>
        <w:t xml:space="preserve"> (</w:t>
      </w:r>
      <w:r w:rsidR="0090509E">
        <w:rPr>
          <w:rFonts w:ascii="Arial" w:hAnsi="Arial" w:cs="Arial"/>
          <w:sz w:val="22"/>
          <w:szCs w:val="22"/>
        </w:rPr>
        <w:t>HNY</w:t>
      </w:r>
      <w:r w:rsidRPr="009A1900">
        <w:rPr>
          <w:rFonts w:ascii="Arial" w:hAnsi="Arial" w:cs="Arial"/>
          <w:sz w:val="22"/>
          <w:szCs w:val="22"/>
        </w:rPr>
        <w:t xml:space="preserve"> ICB</w:t>
      </w:r>
      <w:r>
        <w:rPr>
          <w:rFonts w:ascii="Arial" w:hAnsi="Arial" w:cs="Arial"/>
          <w:sz w:val="22"/>
          <w:szCs w:val="22"/>
        </w:rPr>
        <w:t>’s</w:t>
      </w:r>
      <w:r w:rsidRPr="009A1900">
        <w:rPr>
          <w:rFonts w:ascii="Arial" w:hAnsi="Arial" w:cs="Arial"/>
          <w:sz w:val="22"/>
          <w:szCs w:val="22"/>
        </w:rPr>
        <w:t xml:space="preserve">) </w:t>
      </w:r>
      <w:r>
        <w:rPr>
          <w:rFonts w:ascii="Arial" w:hAnsi="Arial" w:cs="Arial"/>
          <w:sz w:val="22"/>
          <w:szCs w:val="22"/>
        </w:rPr>
        <w:t xml:space="preserve">selection of a provider </w:t>
      </w:r>
      <w:r w:rsidRPr="009A1900">
        <w:rPr>
          <w:rFonts w:ascii="Arial" w:hAnsi="Arial" w:cs="Arial"/>
          <w:sz w:val="22"/>
          <w:szCs w:val="22"/>
        </w:rPr>
        <w:t xml:space="preserve">for </w:t>
      </w:r>
      <w:r>
        <w:rPr>
          <w:rFonts w:ascii="Arial" w:hAnsi="Arial" w:cs="Arial"/>
          <w:sz w:val="22"/>
          <w:szCs w:val="22"/>
        </w:rPr>
        <w:t xml:space="preserve">intermediate oral surgery </w:t>
      </w:r>
      <w:r w:rsidR="0090509E">
        <w:rPr>
          <w:rFonts w:ascii="Arial" w:hAnsi="Arial" w:cs="Arial"/>
          <w:sz w:val="22"/>
          <w:szCs w:val="22"/>
        </w:rPr>
        <w:t xml:space="preserve">(IMOS) </w:t>
      </w:r>
      <w:r>
        <w:rPr>
          <w:rFonts w:ascii="Arial" w:hAnsi="Arial" w:cs="Arial"/>
          <w:sz w:val="22"/>
          <w:szCs w:val="22"/>
        </w:rPr>
        <w:t xml:space="preserve">services in </w:t>
      </w:r>
      <w:r w:rsidR="0090509E">
        <w:rPr>
          <w:rFonts w:ascii="Arial" w:hAnsi="Arial" w:cs="Arial"/>
          <w:sz w:val="22"/>
          <w:szCs w:val="22"/>
        </w:rPr>
        <w:t>Bradford</w:t>
      </w:r>
      <w:r>
        <w:rPr>
          <w:rFonts w:ascii="Arial" w:hAnsi="Arial" w:cs="Arial"/>
          <w:sz w:val="22"/>
          <w:szCs w:val="22"/>
        </w:rPr>
        <w:t xml:space="preserve"> and </w:t>
      </w:r>
      <w:r w:rsidR="0090509E">
        <w:rPr>
          <w:rFonts w:ascii="Arial" w:hAnsi="Arial" w:cs="Arial"/>
          <w:sz w:val="22"/>
          <w:szCs w:val="22"/>
        </w:rPr>
        <w:t>Bradford North</w:t>
      </w:r>
      <w:r w:rsidRPr="009A1900">
        <w:rPr>
          <w:rFonts w:ascii="Arial" w:hAnsi="Arial" w:cs="Arial"/>
          <w:sz w:val="22"/>
          <w:szCs w:val="22"/>
        </w:rPr>
        <w:t>.</w:t>
      </w:r>
    </w:p>
    <w:p w14:paraId="71DA3EE6" w14:textId="77777777" w:rsidR="00681CDB" w:rsidRDefault="00681CDB" w:rsidP="00681CDB">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The Panel, when deciding whether to accept a case, assesses whether its eligibility criteria are met and, when the Panel is approaching full capacity, the Panel will also assess any new cases against its prioritisation criteria.</w:t>
      </w:r>
    </w:p>
    <w:p w14:paraId="5CABF331" w14:textId="2665DE6F" w:rsidR="00681CDB" w:rsidRDefault="00681CDB" w:rsidP="00681CDB">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 xml:space="preserve">The Panel has decided that while </w:t>
      </w:r>
      <w:r w:rsidR="0090509E">
        <w:rPr>
          <w:rFonts w:ascii="Arial" w:hAnsi="Arial" w:cs="Arial"/>
          <w:sz w:val="22"/>
          <w:szCs w:val="22"/>
        </w:rPr>
        <w:t>Barkhill</w:t>
      </w:r>
      <w:r>
        <w:rPr>
          <w:rFonts w:ascii="Arial" w:hAnsi="Arial" w:cs="Arial"/>
          <w:sz w:val="22"/>
          <w:szCs w:val="22"/>
        </w:rPr>
        <w:t>’s request meets the Panel’s eligibility criteria, it will not be accepting the case on prioritisation grounds.</w:t>
      </w:r>
    </w:p>
    <w:p w14:paraId="4B9D8AEC" w14:textId="77777777" w:rsidR="00681CDB" w:rsidRDefault="00681CDB" w:rsidP="00681CDB">
      <w:pPr>
        <w:pStyle w:val="ListParagraph"/>
        <w:numPr>
          <w:ilvl w:val="0"/>
          <w:numId w:val="1"/>
        </w:numPr>
        <w:spacing w:line="276" w:lineRule="auto"/>
        <w:ind w:left="567" w:hanging="567"/>
        <w:rPr>
          <w:rFonts w:ascii="Arial" w:hAnsi="Arial" w:cs="Arial"/>
          <w:sz w:val="22"/>
          <w:szCs w:val="22"/>
        </w:rPr>
      </w:pPr>
      <w:r w:rsidRPr="009A1900">
        <w:rPr>
          <w:rFonts w:ascii="Arial" w:hAnsi="Arial" w:cs="Arial"/>
          <w:sz w:val="22"/>
          <w:szCs w:val="22"/>
        </w:rPr>
        <w:t xml:space="preserve">This </w:t>
      </w:r>
      <w:r>
        <w:rPr>
          <w:rFonts w:ascii="Arial" w:hAnsi="Arial" w:cs="Arial"/>
          <w:sz w:val="22"/>
          <w:szCs w:val="22"/>
        </w:rPr>
        <w:t xml:space="preserve">note, which provides </w:t>
      </w:r>
      <w:r w:rsidRPr="009A1900">
        <w:rPr>
          <w:rFonts w:ascii="Arial" w:hAnsi="Arial" w:cs="Arial"/>
          <w:sz w:val="22"/>
          <w:szCs w:val="22"/>
        </w:rPr>
        <w:t xml:space="preserve">the Panel’s </w:t>
      </w:r>
      <w:r>
        <w:rPr>
          <w:rFonts w:ascii="Arial" w:hAnsi="Arial" w:cs="Arial"/>
          <w:sz w:val="22"/>
          <w:szCs w:val="22"/>
        </w:rPr>
        <w:t>reasons for its decision, is set out as follows:</w:t>
      </w:r>
    </w:p>
    <w:p w14:paraId="75E75DB1" w14:textId="310B10BE" w:rsidR="00681CDB" w:rsidRDefault="00681CDB" w:rsidP="00681CDB">
      <w:pPr>
        <w:pStyle w:val="ListParagraph"/>
        <w:numPr>
          <w:ilvl w:val="0"/>
          <w:numId w:val="2"/>
        </w:numPr>
        <w:spacing w:line="276" w:lineRule="auto"/>
        <w:rPr>
          <w:rFonts w:ascii="Arial" w:hAnsi="Arial" w:cs="Arial"/>
          <w:sz w:val="22"/>
          <w:szCs w:val="22"/>
        </w:rPr>
      </w:pPr>
      <w:r>
        <w:rPr>
          <w:rFonts w:ascii="Arial" w:hAnsi="Arial" w:cs="Arial"/>
          <w:sz w:val="22"/>
          <w:szCs w:val="22"/>
        </w:rPr>
        <w:t>first, the background to Barkhill’s request is described;</w:t>
      </w:r>
    </w:p>
    <w:p w14:paraId="480246F6" w14:textId="120EE04E" w:rsidR="00681CDB" w:rsidRDefault="00681CDB" w:rsidP="00681CDB">
      <w:pPr>
        <w:pStyle w:val="ListParagraph"/>
        <w:numPr>
          <w:ilvl w:val="0"/>
          <w:numId w:val="2"/>
        </w:numPr>
        <w:spacing w:line="276" w:lineRule="auto"/>
        <w:rPr>
          <w:rFonts w:ascii="Arial" w:hAnsi="Arial" w:cs="Arial"/>
          <w:sz w:val="22"/>
          <w:szCs w:val="22"/>
        </w:rPr>
      </w:pPr>
      <w:r>
        <w:rPr>
          <w:rFonts w:ascii="Arial" w:hAnsi="Arial" w:cs="Arial"/>
          <w:sz w:val="22"/>
          <w:szCs w:val="22"/>
        </w:rPr>
        <w:t>second, Barkhill’s case is assessed against the Panel’s eligibility criteria; and</w:t>
      </w:r>
    </w:p>
    <w:p w14:paraId="1A69285B" w14:textId="38B175A5" w:rsidR="00681CDB" w:rsidRDefault="00681CDB" w:rsidP="00681CDB">
      <w:pPr>
        <w:pStyle w:val="ListParagraph"/>
        <w:numPr>
          <w:ilvl w:val="0"/>
          <w:numId w:val="2"/>
        </w:numPr>
        <w:spacing w:line="276" w:lineRule="auto"/>
        <w:contextualSpacing w:val="0"/>
        <w:rPr>
          <w:rFonts w:ascii="Arial" w:hAnsi="Arial" w:cs="Arial"/>
          <w:sz w:val="22"/>
          <w:szCs w:val="22"/>
        </w:rPr>
      </w:pPr>
      <w:r>
        <w:rPr>
          <w:rFonts w:ascii="Arial" w:hAnsi="Arial" w:cs="Arial"/>
          <w:sz w:val="22"/>
          <w:szCs w:val="22"/>
        </w:rPr>
        <w:t>finally, Barkhill’s case is assessed against the Panel’s prioritisation criteria.</w:t>
      </w:r>
    </w:p>
    <w:p w14:paraId="4F3DEE7E" w14:textId="77777777" w:rsidR="00681CDB" w:rsidRPr="002C0585" w:rsidRDefault="00681CDB" w:rsidP="00681CDB">
      <w:pPr>
        <w:keepNext/>
        <w:spacing w:before="240" w:line="276" w:lineRule="auto"/>
        <w:rPr>
          <w:rFonts w:ascii="Arial" w:hAnsi="Arial" w:cs="Arial"/>
          <w:b/>
          <w:bCs/>
        </w:rPr>
      </w:pPr>
      <w:r>
        <w:rPr>
          <w:rFonts w:ascii="Arial" w:hAnsi="Arial" w:cs="Arial"/>
          <w:b/>
          <w:bCs/>
        </w:rPr>
        <w:t>Background</w:t>
      </w:r>
    </w:p>
    <w:p w14:paraId="33E6F597" w14:textId="77777777" w:rsidR="00214E0A" w:rsidRDefault="0090509E" w:rsidP="00B96C02">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Barkhill’s</w:t>
      </w:r>
      <w:r w:rsidR="00214E0A">
        <w:rPr>
          <w:rFonts w:ascii="Arial" w:hAnsi="Arial" w:cs="Arial"/>
          <w:sz w:val="22"/>
          <w:szCs w:val="22"/>
        </w:rPr>
        <w:t xml:space="preserve"> current</w:t>
      </w:r>
      <w:r>
        <w:rPr>
          <w:rFonts w:ascii="Arial" w:hAnsi="Arial" w:cs="Arial"/>
          <w:sz w:val="22"/>
          <w:szCs w:val="22"/>
        </w:rPr>
        <w:t xml:space="preserve"> representations to the Panel follow an earlier review by the Panel, </w:t>
      </w:r>
      <w:r w:rsidR="00214E0A">
        <w:rPr>
          <w:rFonts w:ascii="Arial" w:hAnsi="Arial" w:cs="Arial"/>
          <w:sz w:val="22"/>
          <w:szCs w:val="22"/>
        </w:rPr>
        <w:t xml:space="preserve">which considered </w:t>
      </w:r>
      <w:r>
        <w:rPr>
          <w:rFonts w:ascii="Arial" w:hAnsi="Arial" w:cs="Arial"/>
          <w:sz w:val="22"/>
          <w:szCs w:val="22"/>
        </w:rPr>
        <w:t>Barkhill</w:t>
      </w:r>
      <w:r w:rsidR="00214E0A">
        <w:rPr>
          <w:rFonts w:ascii="Arial" w:hAnsi="Arial" w:cs="Arial"/>
          <w:sz w:val="22"/>
          <w:szCs w:val="22"/>
        </w:rPr>
        <w:t xml:space="preserve">’s </w:t>
      </w:r>
      <w:r>
        <w:rPr>
          <w:rFonts w:ascii="Arial" w:hAnsi="Arial" w:cs="Arial"/>
          <w:sz w:val="22"/>
          <w:szCs w:val="22"/>
        </w:rPr>
        <w:t xml:space="preserve">concerns about HNY ICB’s provider selection process for IMOS services in Bradford and Bradford </w:t>
      </w:r>
      <w:r w:rsidRPr="0090509E">
        <w:rPr>
          <w:rFonts w:ascii="Arial" w:hAnsi="Arial" w:cs="Arial"/>
          <w:sz w:val="22"/>
          <w:szCs w:val="22"/>
        </w:rPr>
        <w:t>North.</w:t>
      </w:r>
      <w:r w:rsidR="00214E0A">
        <w:rPr>
          <w:rStyle w:val="FootnoteReference"/>
          <w:rFonts w:ascii="Arial" w:hAnsi="Arial" w:cs="Arial"/>
          <w:sz w:val="22"/>
          <w:szCs w:val="22"/>
        </w:rPr>
        <w:footnoteReference w:id="1"/>
      </w:r>
    </w:p>
    <w:p w14:paraId="69882A92" w14:textId="6EA2BA0D" w:rsidR="0090509E" w:rsidRPr="00214E0A" w:rsidRDefault="00214E0A" w:rsidP="00214E0A">
      <w:pPr>
        <w:pStyle w:val="ListParagraph"/>
        <w:numPr>
          <w:ilvl w:val="0"/>
          <w:numId w:val="1"/>
        </w:numPr>
        <w:spacing w:line="276" w:lineRule="auto"/>
        <w:ind w:left="567" w:hanging="567"/>
        <w:rPr>
          <w:rFonts w:ascii="Arial" w:hAnsi="Arial" w:cs="Arial"/>
          <w:sz w:val="22"/>
          <w:szCs w:val="22"/>
        </w:rPr>
      </w:pPr>
      <w:r w:rsidRPr="00214E0A">
        <w:rPr>
          <w:rFonts w:ascii="Arial" w:hAnsi="Arial" w:cs="Arial"/>
          <w:sz w:val="22"/>
          <w:szCs w:val="22"/>
        </w:rPr>
        <w:t>In that earlier review, t</w:t>
      </w:r>
      <w:r w:rsidR="0090509E" w:rsidRPr="00214E0A">
        <w:rPr>
          <w:rFonts w:ascii="Arial" w:hAnsi="Arial" w:cs="Arial"/>
          <w:sz w:val="22"/>
          <w:szCs w:val="22"/>
        </w:rPr>
        <w:t>he Panel found that HNY ICB breached the PSR regulations, including in relation to Barkhill’s request for information during its representations to the ICB.</w:t>
      </w:r>
      <w:r w:rsidRPr="00214E0A">
        <w:rPr>
          <w:rFonts w:ascii="Arial" w:hAnsi="Arial" w:cs="Arial"/>
          <w:sz w:val="22"/>
          <w:szCs w:val="22"/>
        </w:rPr>
        <w:t xml:space="preserve"> In particular</w:t>
      </w:r>
      <w:r w:rsidR="0090509E" w:rsidRPr="00214E0A">
        <w:rPr>
          <w:rFonts w:ascii="Arial" w:hAnsi="Arial" w:cs="Arial"/>
          <w:sz w:val="22"/>
          <w:szCs w:val="22"/>
        </w:rPr>
        <w:t>, the Panel found that HNY ICB breached Regulation 12(4) by failing to provide Barkhill, in response to its request during the representations review process, with its records on:</w:t>
      </w:r>
    </w:p>
    <w:p w14:paraId="27D60738" w14:textId="77777777" w:rsidR="0090509E" w:rsidRPr="0090509E" w:rsidRDefault="0090509E" w:rsidP="0090509E">
      <w:pPr>
        <w:pStyle w:val="ListParagraph"/>
        <w:numPr>
          <w:ilvl w:val="0"/>
          <w:numId w:val="6"/>
        </w:numPr>
        <w:spacing w:after="120" w:line="276" w:lineRule="auto"/>
        <w:ind w:left="1434" w:hanging="357"/>
        <w:rPr>
          <w:rFonts w:ascii="Arial" w:hAnsi="Arial" w:cs="Arial"/>
          <w:sz w:val="22"/>
          <w:szCs w:val="22"/>
        </w:rPr>
      </w:pPr>
      <w:r w:rsidRPr="0090509E">
        <w:rPr>
          <w:rFonts w:ascii="Arial" w:hAnsi="Arial" w:cs="Arial"/>
          <w:sz w:val="22"/>
          <w:szCs w:val="22"/>
        </w:rPr>
        <w:t xml:space="preserve">its decision making process, including the way in which key criteria were </w:t>
      </w:r>
      <w:proofErr w:type="gramStart"/>
      <w:r w:rsidRPr="0090509E">
        <w:rPr>
          <w:rFonts w:ascii="Arial" w:hAnsi="Arial" w:cs="Arial"/>
          <w:sz w:val="22"/>
          <w:szCs w:val="22"/>
        </w:rPr>
        <w:t>taken into account</w:t>
      </w:r>
      <w:proofErr w:type="gramEnd"/>
      <w:r w:rsidRPr="0090509E">
        <w:rPr>
          <w:rFonts w:ascii="Arial" w:hAnsi="Arial" w:cs="Arial"/>
          <w:sz w:val="22"/>
          <w:szCs w:val="22"/>
        </w:rPr>
        <w:t>;</w:t>
      </w:r>
    </w:p>
    <w:p w14:paraId="58DFC390" w14:textId="77777777" w:rsidR="0090509E" w:rsidRPr="0090509E" w:rsidRDefault="0090509E" w:rsidP="0090509E">
      <w:pPr>
        <w:pStyle w:val="ListParagraph"/>
        <w:numPr>
          <w:ilvl w:val="0"/>
          <w:numId w:val="6"/>
        </w:numPr>
        <w:spacing w:after="120" w:line="276" w:lineRule="auto"/>
        <w:ind w:left="1434" w:hanging="357"/>
        <w:rPr>
          <w:rFonts w:ascii="Arial" w:hAnsi="Arial" w:cs="Arial"/>
          <w:sz w:val="22"/>
          <w:szCs w:val="22"/>
        </w:rPr>
      </w:pPr>
      <w:r w:rsidRPr="0090509E">
        <w:rPr>
          <w:rFonts w:ascii="Arial" w:hAnsi="Arial" w:cs="Arial"/>
          <w:sz w:val="22"/>
          <w:szCs w:val="22"/>
        </w:rPr>
        <w:t>how the basic selection criteria were assessed and contract award criteria were evaluated;</w:t>
      </w:r>
    </w:p>
    <w:p w14:paraId="1B5E4B73" w14:textId="3E52D105" w:rsidR="0090509E" w:rsidRPr="0090509E" w:rsidRDefault="0090509E" w:rsidP="0090509E">
      <w:pPr>
        <w:pStyle w:val="ListParagraph"/>
        <w:numPr>
          <w:ilvl w:val="0"/>
          <w:numId w:val="6"/>
        </w:numPr>
        <w:spacing w:after="120" w:line="276" w:lineRule="auto"/>
        <w:ind w:left="1434" w:hanging="357"/>
        <w:rPr>
          <w:rFonts w:ascii="Arial" w:hAnsi="Arial" w:cs="Arial"/>
          <w:sz w:val="22"/>
          <w:szCs w:val="22"/>
        </w:rPr>
      </w:pPr>
      <w:r w:rsidRPr="0090509E">
        <w:rPr>
          <w:rFonts w:ascii="Arial" w:hAnsi="Arial" w:cs="Arial"/>
          <w:sz w:val="22"/>
          <w:szCs w:val="22"/>
        </w:rPr>
        <w:t xml:space="preserve">the reasons for the decision to award the contract for Lots 11 and 12 to </w:t>
      </w:r>
      <w:r w:rsidR="0062056C">
        <w:rPr>
          <w:rFonts w:ascii="Arial" w:hAnsi="Arial" w:cs="Arial"/>
          <w:sz w:val="22"/>
          <w:szCs w:val="22"/>
        </w:rPr>
        <w:t>the winning bidder</w:t>
      </w:r>
      <w:r w:rsidRPr="0090509E">
        <w:rPr>
          <w:rFonts w:ascii="Arial" w:hAnsi="Arial" w:cs="Arial"/>
          <w:sz w:val="22"/>
          <w:szCs w:val="22"/>
        </w:rPr>
        <w:t>; and</w:t>
      </w:r>
    </w:p>
    <w:p w14:paraId="0B812FFB" w14:textId="77777777" w:rsidR="0090509E" w:rsidRPr="0090509E" w:rsidRDefault="0090509E" w:rsidP="0090509E">
      <w:pPr>
        <w:pStyle w:val="ListParagraph"/>
        <w:numPr>
          <w:ilvl w:val="0"/>
          <w:numId w:val="6"/>
        </w:numPr>
        <w:spacing w:line="276" w:lineRule="auto"/>
        <w:ind w:left="1434" w:hanging="357"/>
        <w:contextualSpacing w:val="0"/>
        <w:rPr>
          <w:rFonts w:ascii="Arial" w:hAnsi="Arial" w:cs="Arial"/>
          <w:sz w:val="22"/>
          <w:szCs w:val="22"/>
        </w:rPr>
      </w:pPr>
      <w:r w:rsidRPr="0090509E">
        <w:rPr>
          <w:rFonts w:ascii="Arial" w:hAnsi="Arial" w:cs="Arial"/>
          <w:sz w:val="22"/>
          <w:szCs w:val="22"/>
        </w:rPr>
        <w:t>evaluators’ identities.</w:t>
      </w:r>
    </w:p>
    <w:p w14:paraId="43EA4E80" w14:textId="12290B9A" w:rsidR="0090509E" w:rsidRDefault="0090509E" w:rsidP="0090509E">
      <w:pPr>
        <w:pStyle w:val="ListParagraph"/>
        <w:numPr>
          <w:ilvl w:val="0"/>
          <w:numId w:val="1"/>
        </w:numPr>
        <w:spacing w:line="276" w:lineRule="auto"/>
        <w:ind w:left="567" w:hanging="567"/>
        <w:contextualSpacing w:val="0"/>
        <w:rPr>
          <w:rFonts w:ascii="Arial" w:hAnsi="Arial" w:cs="Arial"/>
          <w:sz w:val="22"/>
          <w:szCs w:val="22"/>
        </w:rPr>
      </w:pPr>
      <w:r w:rsidRPr="00B96C02">
        <w:rPr>
          <w:rFonts w:ascii="Arial" w:hAnsi="Arial" w:cs="Arial"/>
          <w:sz w:val="22"/>
          <w:szCs w:val="22"/>
        </w:rPr>
        <w:t>As a result, the Panel advised HNY ICB to return to an earlier step in the provider selection process, namely Step 8(a) of the Competitive Process (as per Regulation 11(13))</w:t>
      </w:r>
      <w:r w:rsidR="00B96C02" w:rsidRPr="00B96C02">
        <w:rPr>
          <w:rFonts w:ascii="Arial" w:hAnsi="Arial" w:cs="Arial"/>
          <w:sz w:val="22"/>
          <w:szCs w:val="22"/>
        </w:rPr>
        <w:t>.</w:t>
      </w:r>
      <w:r w:rsidR="00B96C02">
        <w:rPr>
          <w:rStyle w:val="FootnoteReference"/>
          <w:rFonts w:ascii="Arial" w:hAnsi="Arial" w:cs="Arial"/>
          <w:sz w:val="22"/>
          <w:szCs w:val="22"/>
        </w:rPr>
        <w:footnoteReference w:id="2"/>
      </w:r>
      <w:r w:rsidR="00B96C02" w:rsidRPr="00B96C02">
        <w:rPr>
          <w:rFonts w:ascii="Arial" w:hAnsi="Arial" w:cs="Arial"/>
          <w:sz w:val="22"/>
          <w:szCs w:val="22"/>
        </w:rPr>
        <w:t xml:space="preserve"> </w:t>
      </w:r>
      <w:r w:rsidR="00214E0A">
        <w:rPr>
          <w:rFonts w:ascii="Arial" w:hAnsi="Arial" w:cs="Arial"/>
          <w:sz w:val="22"/>
          <w:szCs w:val="22"/>
        </w:rPr>
        <w:t>T</w:t>
      </w:r>
      <w:r w:rsidRPr="00B96C02">
        <w:rPr>
          <w:rFonts w:ascii="Arial" w:hAnsi="Arial" w:cs="Arial"/>
          <w:sz w:val="22"/>
          <w:szCs w:val="22"/>
        </w:rPr>
        <w:t>he Panel advised HNY ICB</w:t>
      </w:r>
      <w:r w:rsidR="00214E0A">
        <w:rPr>
          <w:rFonts w:ascii="Arial" w:hAnsi="Arial" w:cs="Arial"/>
          <w:sz w:val="22"/>
          <w:szCs w:val="22"/>
        </w:rPr>
        <w:t>, i</w:t>
      </w:r>
      <w:r w:rsidR="00214E0A" w:rsidRPr="00B96C02">
        <w:rPr>
          <w:rFonts w:ascii="Arial" w:hAnsi="Arial" w:cs="Arial"/>
          <w:sz w:val="22"/>
          <w:szCs w:val="22"/>
        </w:rPr>
        <w:t>n returning to this step,</w:t>
      </w:r>
      <w:r w:rsidR="00214E0A">
        <w:rPr>
          <w:rFonts w:ascii="Arial" w:hAnsi="Arial" w:cs="Arial"/>
          <w:sz w:val="22"/>
          <w:szCs w:val="22"/>
        </w:rPr>
        <w:t xml:space="preserve"> </w:t>
      </w:r>
      <w:r w:rsidRPr="00B96C02">
        <w:rPr>
          <w:rFonts w:ascii="Arial" w:hAnsi="Arial" w:cs="Arial"/>
          <w:sz w:val="22"/>
          <w:szCs w:val="22"/>
        </w:rPr>
        <w:t xml:space="preserve">to provide Barkhill with the information that it requested (subject to the proper application of any measures in accordance with Regulation 12(5)), allow Barkhill an opportunity to “explain or clarify </w:t>
      </w:r>
      <w:r w:rsidRPr="00B96C02">
        <w:rPr>
          <w:rFonts w:ascii="Arial" w:hAnsi="Arial" w:cs="Arial"/>
          <w:sz w:val="22"/>
          <w:szCs w:val="22"/>
        </w:rPr>
        <w:lastRenderedPageBreak/>
        <w:t xml:space="preserve">the representations made” (i.e. make any further representations arising from this information), and then continue to follow the representations review process as laid out in the Regulations and Statutory Guidance, </w:t>
      </w:r>
      <w:proofErr w:type="gramStart"/>
      <w:r w:rsidRPr="00B96C02">
        <w:rPr>
          <w:rFonts w:ascii="Arial" w:hAnsi="Arial" w:cs="Arial"/>
          <w:sz w:val="22"/>
          <w:szCs w:val="22"/>
        </w:rPr>
        <w:t>in light of</w:t>
      </w:r>
      <w:proofErr w:type="gramEnd"/>
      <w:r w:rsidRPr="00B96C02">
        <w:rPr>
          <w:rFonts w:ascii="Arial" w:hAnsi="Arial" w:cs="Arial"/>
          <w:sz w:val="22"/>
          <w:szCs w:val="22"/>
        </w:rPr>
        <w:t xml:space="preserve"> any further representations by Barkhill.</w:t>
      </w:r>
    </w:p>
    <w:p w14:paraId="6F80C0D4" w14:textId="4EC4863E" w:rsidR="00214E0A" w:rsidRPr="00214E0A" w:rsidRDefault="00214E0A" w:rsidP="0090509E">
      <w:pPr>
        <w:pStyle w:val="ListParagraph"/>
        <w:numPr>
          <w:ilvl w:val="0"/>
          <w:numId w:val="1"/>
        </w:numPr>
        <w:spacing w:line="276" w:lineRule="auto"/>
        <w:ind w:left="567" w:hanging="567"/>
        <w:contextualSpacing w:val="0"/>
        <w:rPr>
          <w:rFonts w:ascii="Arial" w:hAnsi="Arial" w:cs="Arial"/>
          <w:sz w:val="22"/>
          <w:szCs w:val="22"/>
        </w:rPr>
      </w:pPr>
      <w:r w:rsidRPr="00214E0A">
        <w:rPr>
          <w:rFonts w:ascii="Arial" w:hAnsi="Arial" w:cs="Arial"/>
          <w:sz w:val="22"/>
          <w:szCs w:val="22"/>
        </w:rPr>
        <w:t>Barkhill, having received the records disclosed by HNY ICB, made further representations to the ICB on 13 and 27 June 2025. HNY ICB’s review panel considered these representations and the ICB wrote to Barkhill on 18 July 2025 communicating its further decision to award the IMOS services contracts in Bradford and Bradford North as originally intended. Barkhill has now asked the Panel for its advice (as set out in paragraph 1).</w:t>
      </w:r>
    </w:p>
    <w:p w14:paraId="6F526AF3" w14:textId="77777777" w:rsidR="00681CDB" w:rsidRPr="004F66CC" w:rsidRDefault="00681CDB" w:rsidP="00681CDB">
      <w:pPr>
        <w:keepNext/>
        <w:spacing w:before="240" w:line="276" w:lineRule="auto"/>
        <w:rPr>
          <w:rFonts w:ascii="Arial" w:hAnsi="Arial" w:cs="Arial"/>
          <w:b/>
          <w:bCs/>
        </w:rPr>
      </w:pPr>
      <w:r w:rsidRPr="004F66CC">
        <w:rPr>
          <w:rFonts w:ascii="Arial" w:hAnsi="Arial" w:cs="Arial"/>
          <w:b/>
          <w:bCs/>
        </w:rPr>
        <w:t>Eligibility</w:t>
      </w:r>
    </w:p>
    <w:p w14:paraId="47DDE583" w14:textId="77777777" w:rsidR="00681CDB" w:rsidRDefault="00681CDB" w:rsidP="00681CDB">
      <w:pPr>
        <w:pStyle w:val="ListParagraph"/>
        <w:numPr>
          <w:ilvl w:val="0"/>
          <w:numId w:val="1"/>
        </w:numPr>
        <w:spacing w:after="0" w:line="276" w:lineRule="auto"/>
        <w:ind w:left="567" w:hanging="567"/>
        <w:rPr>
          <w:rFonts w:ascii="Arial" w:hAnsi="Arial" w:cs="Arial"/>
          <w:sz w:val="22"/>
          <w:szCs w:val="22"/>
        </w:rPr>
      </w:pPr>
      <w:r>
        <w:rPr>
          <w:rFonts w:ascii="Arial" w:hAnsi="Arial" w:cs="Arial"/>
          <w:sz w:val="22"/>
          <w:szCs w:val="22"/>
        </w:rPr>
        <w:t>The Panel’s eligibility criteria set out seven conditions that must be met for a case to be eligible for acceptance by the Panel.</w:t>
      </w:r>
      <w:r>
        <w:rPr>
          <w:rStyle w:val="FootnoteReference"/>
          <w:rFonts w:ascii="Arial" w:hAnsi="Arial" w:cs="Arial"/>
          <w:sz w:val="22"/>
          <w:szCs w:val="22"/>
        </w:rPr>
        <w:footnoteReference w:id="3"/>
      </w:r>
      <w:r>
        <w:rPr>
          <w:rFonts w:ascii="Arial" w:hAnsi="Arial" w:cs="Arial"/>
          <w:sz w:val="22"/>
          <w:szCs w:val="22"/>
        </w:rPr>
        <w:t xml:space="preserve"> These are as follows.</w:t>
      </w:r>
    </w:p>
    <w:p w14:paraId="26BAA889" w14:textId="77777777" w:rsidR="00681CDB" w:rsidRPr="001C0B71" w:rsidRDefault="00681CDB" w:rsidP="00681CDB">
      <w:pPr>
        <w:numPr>
          <w:ilvl w:val="0"/>
          <w:numId w:val="3"/>
        </w:numPr>
        <w:spacing w:after="0" w:line="276" w:lineRule="auto"/>
        <w:ind w:left="1560"/>
        <w:rPr>
          <w:rFonts w:ascii="Arial" w:hAnsi="Arial" w:cs="Arial"/>
          <w:sz w:val="22"/>
          <w:szCs w:val="22"/>
        </w:rPr>
      </w:pPr>
      <w:r w:rsidRPr="001C0B71">
        <w:rPr>
          <w:rFonts w:ascii="Arial" w:hAnsi="Arial" w:cs="Arial"/>
          <w:sz w:val="22"/>
          <w:szCs w:val="22"/>
        </w:rPr>
        <w:t xml:space="preserve">The relevant authority intends to make an award under direct award process C, the most suitable provider process, or the competitive process (including a framework agreement or awarding a contract based on a framework agreement following a </w:t>
      </w:r>
      <w:proofErr w:type="gramStart"/>
      <w:r w:rsidRPr="001C0B71">
        <w:rPr>
          <w:rFonts w:ascii="Arial" w:hAnsi="Arial" w:cs="Arial"/>
          <w:sz w:val="22"/>
          <w:szCs w:val="22"/>
        </w:rPr>
        <w:t>mini-competition</w:t>
      </w:r>
      <w:proofErr w:type="gramEnd"/>
      <w:r w:rsidRPr="001C0B71">
        <w:rPr>
          <w:rFonts w:ascii="Arial" w:hAnsi="Arial" w:cs="Arial"/>
          <w:sz w:val="22"/>
          <w:szCs w:val="22"/>
        </w:rPr>
        <w:t>)</w:t>
      </w:r>
      <w:r>
        <w:rPr>
          <w:rFonts w:ascii="Arial" w:hAnsi="Arial" w:cs="Arial"/>
          <w:sz w:val="22"/>
          <w:szCs w:val="22"/>
        </w:rPr>
        <w:t>.</w:t>
      </w:r>
    </w:p>
    <w:p w14:paraId="61E0505B" w14:textId="77777777" w:rsidR="00681CDB" w:rsidRPr="001C0B71" w:rsidRDefault="00681CDB" w:rsidP="00681CDB">
      <w:pPr>
        <w:numPr>
          <w:ilvl w:val="0"/>
          <w:numId w:val="3"/>
        </w:numPr>
        <w:spacing w:after="0" w:line="276" w:lineRule="auto"/>
        <w:ind w:left="1560"/>
        <w:rPr>
          <w:rFonts w:ascii="Arial" w:hAnsi="Arial" w:cs="Arial"/>
          <w:sz w:val="22"/>
          <w:szCs w:val="22"/>
        </w:rPr>
      </w:pPr>
      <w:r w:rsidRPr="001C0B71">
        <w:rPr>
          <w:rFonts w:ascii="Arial" w:hAnsi="Arial" w:cs="Arial"/>
          <w:sz w:val="22"/>
          <w:szCs w:val="22"/>
        </w:rPr>
        <w:t>The request comes from a provider that might otherwise have been a provider of the services to which the contract relates</w:t>
      </w:r>
      <w:r>
        <w:rPr>
          <w:rFonts w:ascii="Arial" w:hAnsi="Arial" w:cs="Arial"/>
          <w:sz w:val="22"/>
          <w:szCs w:val="22"/>
        </w:rPr>
        <w:t>.</w:t>
      </w:r>
    </w:p>
    <w:p w14:paraId="7577A2EC" w14:textId="77777777" w:rsidR="00681CDB" w:rsidRPr="001C0B71" w:rsidRDefault="00681CDB" w:rsidP="00681CDB">
      <w:pPr>
        <w:numPr>
          <w:ilvl w:val="0"/>
          <w:numId w:val="3"/>
        </w:numPr>
        <w:spacing w:after="0" w:line="276" w:lineRule="auto"/>
        <w:ind w:left="1560"/>
        <w:rPr>
          <w:rFonts w:ascii="Arial" w:hAnsi="Arial" w:cs="Arial"/>
          <w:sz w:val="22"/>
          <w:szCs w:val="22"/>
        </w:rPr>
      </w:pPr>
      <w:r w:rsidRPr="001C0B71">
        <w:rPr>
          <w:rFonts w:ascii="Arial" w:hAnsi="Arial" w:cs="Arial"/>
          <w:sz w:val="22"/>
          <w:szCs w:val="22"/>
        </w:rPr>
        <w:t>Following the provider’s representations the relevant authority has conducted a review of its original decision and has decided to enter the contract or conclude the framework agreement as originally intended</w:t>
      </w:r>
      <w:r>
        <w:rPr>
          <w:rFonts w:ascii="Arial" w:hAnsi="Arial" w:cs="Arial"/>
          <w:sz w:val="22"/>
          <w:szCs w:val="22"/>
        </w:rPr>
        <w:t>.</w:t>
      </w:r>
    </w:p>
    <w:p w14:paraId="09B23F35" w14:textId="77777777" w:rsidR="00681CDB" w:rsidRPr="001C0B71" w:rsidRDefault="00681CDB" w:rsidP="00681CDB">
      <w:pPr>
        <w:numPr>
          <w:ilvl w:val="0"/>
          <w:numId w:val="3"/>
        </w:numPr>
        <w:spacing w:after="0" w:line="276" w:lineRule="auto"/>
        <w:ind w:left="1560"/>
        <w:rPr>
          <w:rFonts w:ascii="Arial" w:hAnsi="Arial" w:cs="Arial"/>
          <w:sz w:val="22"/>
          <w:szCs w:val="22"/>
        </w:rPr>
      </w:pPr>
      <w:r w:rsidRPr="001C0B71">
        <w:rPr>
          <w:rFonts w:ascii="Arial" w:hAnsi="Arial" w:cs="Arial"/>
          <w:sz w:val="22"/>
          <w:szCs w:val="22"/>
        </w:rPr>
        <w:t>The request has been made in writing (which includes electronically) within 5</w:t>
      </w:r>
      <w:r>
        <w:rPr>
          <w:rFonts w:ascii="Arial" w:hAnsi="Arial" w:cs="Arial"/>
          <w:sz w:val="22"/>
          <w:szCs w:val="22"/>
        </w:rPr>
        <w:t> </w:t>
      </w:r>
      <w:r w:rsidRPr="001C0B71">
        <w:rPr>
          <w:rFonts w:ascii="Arial" w:hAnsi="Arial" w:cs="Arial"/>
          <w:sz w:val="22"/>
          <w:szCs w:val="22"/>
        </w:rPr>
        <w:t>working days of the provider being notified of the decision by the relevant authority</w:t>
      </w:r>
      <w:r>
        <w:rPr>
          <w:rFonts w:ascii="Arial" w:hAnsi="Arial" w:cs="Arial"/>
          <w:sz w:val="22"/>
          <w:szCs w:val="22"/>
        </w:rPr>
        <w:t>.</w:t>
      </w:r>
    </w:p>
    <w:p w14:paraId="162F9751" w14:textId="77777777" w:rsidR="00681CDB" w:rsidRPr="001C0B71" w:rsidRDefault="00681CDB" w:rsidP="00681CDB">
      <w:pPr>
        <w:numPr>
          <w:ilvl w:val="0"/>
          <w:numId w:val="3"/>
        </w:numPr>
        <w:spacing w:after="0" w:line="276" w:lineRule="auto"/>
        <w:ind w:left="1560"/>
        <w:rPr>
          <w:rFonts w:ascii="Arial" w:hAnsi="Arial" w:cs="Arial"/>
          <w:sz w:val="22"/>
          <w:szCs w:val="22"/>
        </w:rPr>
      </w:pPr>
      <w:r w:rsidRPr="001C0B71">
        <w:rPr>
          <w:rFonts w:ascii="Arial" w:hAnsi="Arial" w:cs="Arial"/>
          <w:sz w:val="22"/>
          <w:szCs w:val="22"/>
        </w:rPr>
        <w:t>The provider has set out why it believes the relevant authority has failed to apply the regime correctly</w:t>
      </w:r>
      <w:r>
        <w:rPr>
          <w:rFonts w:ascii="Arial" w:hAnsi="Arial" w:cs="Arial"/>
          <w:sz w:val="22"/>
          <w:szCs w:val="22"/>
        </w:rPr>
        <w:t>.</w:t>
      </w:r>
    </w:p>
    <w:p w14:paraId="3ACCC7B5" w14:textId="77777777" w:rsidR="00681CDB" w:rsidRPr="001C0B71" w:rsidRDefault="00681CDB" w:rsidP="00681CDB">
      <w:pPr>
        <w:numPr>
          <w:ilvl w:val="0"/>
          <w:numId w:val="3"/>
        </w:numPr>
        <w:spacing w:after="0" w:line="276" w:lineRule="auto"/>
        <w:ind w:left="1560"/>
        <w:rPr>
          <w:rFonts w:ascii="Arial" w:hAnsi="Arial" w:cs="Arial"/>
          <w:sz w:val="22"/>
          <w:szCs w:val="22"/>
        </w:rPr>
      </w:pPr>
      <w:r w:rsidRPr="001C0B71">
        <w:rPr>
          <w:rFonts w:ascii="Arial" w:hAnsi="Arial" w:cs="Arial"/>
          <w:sz w:val="22"/>
          <w:szCs w:val="22"/>
        </w:rPr>
        <w:t xml:space="preserve">The provider has submitted </w:t>
      </w:r>
      <w:proofErr w:type="gramStart"/>
      <w:r w:rsidRPr="001C0B71">
        <w:rPr>
          <w:rFonts w:ascii="Arial" w:hAnsi="Arial" w:cs="Arial"/>
          <w:sz w:val="22"/>
          <w:szCs w:val="22"/>
        </w:rPr>
        <w:t>all of</w:t>
      </w:r>
      <w:proofErr w:type="gramEnd"/>
      <w:r w:rsidRPr="001C0B71">
        <w:rPr>
          <w:rFonts w:ascii="Arial" w:hAnsi="Arial" w:cs="Arial"/>
          <w:sz w:val="22"/>
          <w:szCs w:val="22"/>
        </w:rPr>
        <w:t xml:space="preserve"> the necessary supporting information for the Panel to carry out its review as requested in the Panel’s pro forma</w:t>
      </w:r>
      <w:r>
        <w:rPr>
          <w:rFonts w:ascii="Arial" w:hAnsi="Arial" w:cs="Arial"/>
          <w:sz w:val="22"/>
          <w:szCs w:val="22"/>
        </w:rPr>
        <w:t>.</w:t>
      </w:r>
    </w:p>
    <w:p w14:paraId="5D1636F4" w14:textId="77777777" w:rsidR="00681CDB" w:rsidRPr="001C0B71" w:rsidRDefault="00681CDB" w:rsidP="00681CDB">
      <w:pPr>
        <w:numPr>
          <w:ilvl w:val="0"/>
          <w:numId w:val="3"/>
        </w:numPr>
        <w:spacing w:line="276" w:lineRule="auto"/>
        <w:ind w:left="1560"/>
        <w:rPr>
          <w:rFonts w:ascii="Arial" w:hAnsi="Arial" w:cs="Arial"/>
          <w:sz w:val="22"/>
          <w:szCs w:val="22"/>
        </w:rPr>
      </w:pPr>
      <w:r w:rsidRPr="001C0B71">
        <w:rPr>
          <w:rFonts w:ascii="Arial" w:hAnsi="Arial" w:cs="Arial"/>
          <w:sz w:val="22"/>
          <w:szCs w:val="22"/>
        </w:rPr>
        <w:t>The representations are not considered by the Panel to be trivial, vexatious, or an abuse of the Panel’s procedures</w:t>
      </w:r>
      <w:r>
        <w:rPr>
          <w:rFonts w:ascii="Arial" w:hAnsi="Arial" w:cs="Arial"/>
          <w:sz w:val="22"/>
          <w:szCs w:val="22"/>
        </w:rPr>
        <w:t>.</w:t>
      </w:r>
    </w:p>
    <w:p w14:paraId="3847246E" w14:textId="23DD6C30" w:rsidR="00681CDB" w:rsidRDefault="00681CDB" w:rsidP="00681CDB">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 xml:space="preserve">The Panel </w:t>
      </w:r>
      <w:r w:rsidR="00214E0A">
        <w:rPr>
          <w:rFonts w:ascii="Arial" w:hAnsi="Arial" w:cs="Arial"/>
          <w:sz w:val="22"/>
          <w:szCs w:val="22"/>
        </w:rPr>
        <w:t>is satisfied</w:t>
      </w:r>
      <w:r>
        <w:rPr>
          <w:rFonts w:ascii="Arial" w:hAnsi="Arial" w:cs="Arial"/>
          <w:sz w:val="22"/>
          <w:szCs w:val="22"/>
        </w:rPr>
        <w:t xml:space="preserve"> that </w:t>
      </w:r>
      <w:r w:rsidR="00214E0A">
        <w:rPr>
          <w:rFonts w:ascii="Arial" w:hAnsi="Arial" w:cs="Arial"/>
          <w:sz w:val="22"/>
          <w:szCs w:val="22"/>
        </w:rPr>
        <w:t>Barkhill</w:t>
      </w:r>
      <w:r>
        <w:rPr>
          <w:rFonts w:ascii="Arial" w:hAnsi="Arial" w:cs="Arial"/>
          <w:sz w:val="22"/>
          <w:szCs w:val="22"/>
        </w:rPr>
        <w:t>’s request m</w:t>
      </w:r>
      <w:r w:rsidR="00214E0A">
        <w:rPr>
          <w:rFonts w:ascii="Arial" w:hAnsi="Arial" w:cs="Arial"/>
          <w:sz w:val="22"/>
          <w:szCs w:val="22"/>
        </w:rPr>
        <w:t>e</w:t>
      </w:r>
      <w:r>
        <w:rPr>
          <w:rFonts w:ascii="Arial" w:hAnsi="Arial" w:cs="Arial"/>
          <w:sz w:val="22"/>
          <w:szCs w:val="22"/>
        </w:rPr>
        <w:t>et</w:t>
      </w:r>
      <w:r w:rsidR="00214E0A">
        <w:rPr>
          <w:rFonts w:ascii="Arial" w:hAnsi="Arial" w:cs="Arial"/>
          <w:sz w:val="22"/>
          <w:szCs w:val="22"/>
        </w:rPr>
        <w:t>s</w:t>
      </w:r>
      <w:r>
        <w:rPr>
          <w:rFonts w:ascii="Arial" w:hAnsi="Arial" w:cs="Arial"/>
          <w:sz w:val="22"/>
          <w:szCs w:val="22"/>
        </w:rPr>
        <w:t xml:space="preserve"> all seven eligibility criteria.</w:t>
      </w:r>
    </w:p>
    <w:p w14:paraId="0AAAC2EF" w14:textId="77777777" w:rsidR="00681CDB" w:rsidRPr="00EC58F8" w:rsidRDefault="00681CDB" w:rsidP="00681CDB">
      <w:pPr>
        <w:keepNext/>
        <w:spacing w:before="240" w:line="276" w:lineRule="auto"/>
        <w:rPr>
          <w:rFonts w:ascii="Arial" w:hAnsi="Arial" w:cs="Arial"/>
          <w:b/>
          <w:bCs/>
        </w:rPr>
      </w:pPr>
      <w:r>
        <w:rPr>
          <w:rFonts w:ascii="Arial" w:hAnsi="Arial" w:cs="Arial"/>
          <w:b/>
          <w:bCs/>
        </w:rPr>
        <w:t>Prioritisation</w:t>
      </w:r>
    </w:p>
    <w:p w14:paraId="5404F11D" w14:textId="77777777" w:rsidR="00681CDB" w:rsidRDefault="00681CDB" w:rsidP="00681CDB">
      <w:pPr>
        <w:pStyle w:val="ListParagraph"/>
        <w:numPr>
          <w:ilvl w:val="0"/>
          <w:numId w:val="1"/>
        </w:numPr>
        <w:spacing w:after="120" w:line="276" w:lineRule="auto"/>
        <w:ind w:left="567" w:hanging="567"/>
        <w:contextualSpacing w:val="0"/>
        <w:rPr>
          <w:rFonts w:ascii="Arial" w:hAnsi="Arial" w:cs="Arial"/>
          <w:sz w:val="22"/>
          <w:szCs w:val="22"/>
        </w:rPr>
      </w:pPr>
      <w:r>
        <w:rPr>
          <w:rFonts w:ascii="Arial" w:hAnsi="Arial" w:cs="Arial"/>
          <w:sz w:val="22"/>
          <w:szCs w:val="22"/>
        </w:rPr>
        <w:t>In terms of prioritisation, the Panel’s case acceptance criteria states that:</w:t>
      </w:r>
    </w:p>
    <w:p w14:paraId="5CA2B868" w14:textId="77777777" w:rsidR="00681CDB" w:rsidRPr="00A4565C" w:rsidRDefault="00681CDB" w:rsidP="00681CDB">
      <w:pPr>
        <w:pStyle w:val="ListParagraph"/>
        <w:spacing w:line="276" w:lineRule="auto"/>
        <w:ind w:left="851"/>
        <w:contextualSpacing w:val="0"/>
        <w:rPr>
          <w:rFonts w:ascii="Arial" w:hAnsi="Arial" w:cs="Arial"/>
          <w:sz w:val="21"/>
          <w:szCs w:val="21"/>
        </w:rPr>
      </w:pPr>
      <w:r w:rsidRPr="00A4565C">
        <w:rPr>
          <w:rFonts w:ascii="Arial" w:hAnsi="Arial" w:cs="Arial"/>
          <w:sz w:val="21"/>
          <w:szCs w:val="21"/>
        </w:rPr>
        <w:t xml:space="preserve">“There will be a particular need for the Panel to apply its prioritisation criteria where the number of requests means that the Panel is close to using its full capacity and the acceptance of further requests may jeopardise its ability to offer advice within an acceptable timeframe. The Panel considers that this is likely to be the case where it has </w:t>
      </w:r>
      <w:r w:rsidRPr="00A4565C">
        <w:rPr>
          <w:rFonts w:ascii="Arial" w:hAnsi="Arial" w:cs="Arial"/>
          <w:sz w:val="21"/>
          <w:szCs w:val="21"/>
        </w:rPr>
        <w:lastRenderedPageBreak/>
        <w:t>10 or more cases under review. This guidance on capacity, however, should not be interpreted as a strict limit”.</w:t>
      </w:r>
      <w:r>
        <w:rPr>
          <w:rStyle w:val="FootnoteReference"/>
          <w:rFonts w:ascii="Arial" w:hAnsi="Arial" w:cs="Arial"/>
          <w:sz w:val="22"/>
          <w:szCs w:val="22"/>
        </w:rPr>
        <w:footnoteReference w:id="4"/>
      </w:r>
    </w:p>
    <w:p w14:paraId="0A178BFD" w14:textId="77777777" w:rsidR="00214E0A" w:rsidRDefault="00681CDB" w:rsidP="00681CDB">
      <w:pPr>
        <w:pStyle w:val="ListParagraph"/>
        <w:numPr>
          <w:ilvl w:val="0"/>
          <w:numId w:val="1"/>
        </w:numPr>
        <w:spacing w:line="276" w:lineRule="auto"/>
        <w:ind w:left="567" w:hanging="567"/>
        <w:contextualSpacing w:val="0"/>
        <w:rPr>
          <w:rFonts w:ascii="Arial" w:hAnsi="Arial" w:cs="Arial"/>
          <w:sz w:val="22"/>
          <w:szCs w:val="22"/>
        </w:rPr>
      </w:pPr>
      <w:r w:rsidRPr="002B1812">
        <w:rPr>
          <w:rFonts w:ascii="Arial" w:hAnsi="Arial" w:cs="Arial"/>
          <w:sz w:val="22"/>
          <w:szCs w:val="22"/>
        </w:rPr>
        <w:t>Since publi</w:t>
      </w:r>
      <w:r>
        <w:rPr>
          <w:rFonts w:ascii="Arial" w:hAnsi="Arial" w:cs="Arial"/>
          <w:sz w:val="22"/>
          <w:szCs w:val="22"/>
        </w:rPr>
        <w:t xml:space="preserve">shing </w:t>
      </w:r>
      <w:r w:rsidRPr="002B1812">
        <w:rPr>
          <w:rFonts w:ascii="Arial" w:hAnsi="Arial" w:cs="Arial"/>
          <w:sz w:val="22"/>
          <w:szCs w:val="22"/>
        </w:rPr>
        <w:t xml:space="preserve">its </w:t>
      </w:r>
      <w:r>
        <w:rPr>
          <w:rFonts w:ascii="Arial" w:hAnsi="Arial" w:cs="Arial"/>
          <w:sz w:val="22"/>
          <w:szCs w:val="22"/>
        </w:rPr>
        <w:t>prioritisation</w:t>
      </w:r>
      <w:r w:rsidRPr="002B1812">
        <w:rPr>
          <w:rFonts w:ascii="Arial" w:hAnsi="Arial" w:cs="Arial"/>
          <w:sz w:val="22"/>
          <w:szCs w:val="22"/>
        </w:rPr>
        <w:t xml:space="preserve"> criteria in early 2024, the Panel has gained a </w:t>
      </w:r>
      <w:r>
        <w:rPr>
          <w:rFonts w:ascii="Arial" w:hAnsi="Arial" w:cs="Arial"/>
          <w:sz w:val="22"/>
          <w:szCs w:val="22"/>
        </w:rPr>
        <w:t xml:space="preserve">better </w:t>
      </w:r>
      <w:r w:rsidRPr="002B1812">
        <w:rPr>
          <w:rFonts w:ascii="Arial" w:hAnsi="Arial" w:cs="Arial"/>
          <w:sz w:val="22"/>
          <w:szCs w:val="22"/>
        </w:rPr>
        <w:t xml:space="preserve">understanding of the workload associated with case reviews. </w:t>
      </w:r>
      <w:r>
        <w:rPr>
          <w:rFonts w:ascii="Arial" w:hAnsi="Arial" w:cs="Arial"/>
          <w:sz w:val="22"/>
          <w:szCs w:val="22"/>
        </w:rPr>
        <w:t xml:space="preserve">The Panel’s current </w:t>
      </w:r>
      <w:r w:rsidRPr="002B1812">
        <w:rPr>
          <w:rFonts w:ascii="Arial" w:hAnsi="Arial" w:cs="Arial"/>
          <w:sz w:val="22"/>
          <w:szCs w:val="22"/>
        </w:rPr>
        <w:t xml:space="preserve">view </w:t>
      </w:r>
      <w:r>
        <w:rPr>
          <w:rFonts w:ascii="Arial" w:hAnsi="Arial" w:cs="Arial"/>
          <w:sz w:val="22"/>
          <w:szCs w:val="22"/>
        </w:rPr>
        <w:t xml:space="preserve">is </w:t>
      </w:r>
      <w:r w:rsidRPr="002B1812">
        <w:rPr>
          <w:rFonts w:ascii="Arial" w:hAnsi="Arial" w:cs="Arial"/>
          <w:sz w:val="22"/>
          <w:szCs w:val="22"/>
        </w:rPr>
        <w:t xml:space="preserve">that it is </w:t>
      </w:r>
      <w:r>
        <w:rPr>
          <w:rFonts w:ascii="Arial" w:hAnsi="Arial" w:cs="Arial"/>
          <w:sz w:val="22"/>
          <w:szCs w:val="22"/>
        </w:rPr>
        <w:t>approaching</w:t>
      </w:r>
      <w:r w:rsidRPr="002B1812">
        <w:rPr>
          <w:rFonts w:ascii="Arial" w:hAnsi="Arial" w:cs="Arial"/>
          <w:sz w:val="22"/>
          <w:szCs w:val="22"/>
        </w:rPr>
        <w:t xml:space="preserve"> full capacity whe</w:t>
      </w:r>
      <w:r>
        <w:rPr>
          <w:rFonts w:ascii="Arial" w:hAnsi="Arial" w:cs="Arial"/>
          <w:sz w:val="22"/>
          <w:szCs w:val="22"/>
        </w:rPr>
        <w:t>n</w:t>
      </w:r>
      <w:r w:rsidRPr="002B1812">
        <w:rPr>
          <w:rFonts w:ascii="Arial" w:hAnsi="Arial" w:cs="Arial"/>
          <w:sz w:val="22"/>
          <w:szCs w:val="22"/>
        </w:rPr>
        <w:t xml:space="preserve"> it has four or more cases under review.</w:t>
      </w:r>
    </w:p>
    <w:p w14:paraId="69894392" w14:textId="36319A81" w:rsidR="00681CDB" w:rsidRDefault="00681CDB" w:rsidP="00681CDB">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As t</w:t>
      </w:r>
      <w:r w:rsidRPr="002B1812">
        <w:rPr>
          <w:rFonts w:ascii="Arial" w:hAnsi="Arial" w:cs="Arial"/>
          <w:sz w:val="22"/>
          <w:szCs w:val="22"/>
        </w:rPr>
        <w:t xml:space="preserve">he Panel </w:t>
      </w:r>
      <w:r w:rsidR="00595B61">
        <w:rPr>
          <w:rFonts w:ascii="Arial" w:hAnsi="Arial" w:cs="Arial"/>
          <w:sz w:val="22"/>
          <w:szCs w:val="22"/>
        </w:rPr>
        <w:t>now</w:t>
      </w:r>
      <w:r w:rsidRPr="002B1812">
        <w:rPr>
          <w:rFonts w:ascii="Arial" w:hAnsi="Arial" w:cs="Arial"/>
          <w:sz w:val="22"/>
          <w:szCs w:val="22"/>
        </w:rPr>
        <w:t xml:space="preserve"> has </w:t>
      </w:r>
      <w:r>
        <w:rPr>
          <w:rFonts w:ascii="Arial" w:hAnsi="Arial" w:cs="Arial"/>
          <w:sz w:val="22"/>
          <w:szCs w:val="22"/>
        </w:rPr>
        <w:t xml:space="preserve">four </w:t>
      </w:r>
      <w:r w:rsidRPr="002B1812">
        <w:rPr>
          <w:rFonts w:ascii="Arial" w:hAnsi="Arial" w:cs="Arial"/>
          <w:sz w:val="22"/>
          <w:szCs w:val="22"/>
        </w:rPr>
        <w:t xml:space="preserve">cases under review, </w:t>
      </w:r>
      <w:r>
        <w:rPr>
          <w:rFonts w:ascii="Arial" w:hAnsi="Arial" w:cs="Arial"/>
          <w:sz w:val="22"/>
          <w:szCs w:val="22"/>
        </w:rPr>
        <w:t xml:space="preserve">all of which </w:t>
      </w:r>
      <w:r w:rsidRPr="00A66F96">
        <w:rPr>
          <w:rFonts w:ascii="Arial" w:hAnsi="Arial" w:cs="Arial"/>
          <w:sz w:val="22"/>
          <w:szCs w:val="22"/>
        </w:rPr>
        <w:t>are at a</w:t>
      </w:r>
      <w:r w:rsidRPr="002B1812">
        <w:rPr>
          <w:rFonts w:ascii="Arial" w:hAnsi="Arial" w:cs="Arial"/>
          <w:sz w:val="22"/>
          <w:szCs w:val="22"/>
        </w:rPr>
        <w:t>n</w:t>
      </w:r>
      <w:r w:rsidRPr="00A66F96">
        <w:rPr>
          <w:rFonts w:ascii="Arial" w:hAnsi="Arial" w:cs="Arial"/>
          <w:sz w:val="22"/>
          <w:szCs w:val="22"/>
        </w:rPr>
        <w:t xml:space="preserve"> early stage</w:t>
      </w:r>
      <w:r>
        <w:rPr>
          <w:rFonts w:ascii="Arial" w:hAnsi="Arial" w:cs="Arial"/>
          <w:sz w:val="22"/>
          <w:szCs w:val="22"/>
        </w:rPr>
        <w:t xml:space="preserve">, </w:t>
      </w:r>
      <w:r w:rsidRPr="002B1812">
        <w:rPr>
          <w:rFonts w:ascii="Arial" w:hAnsi="Arial" w:cs="Arial"/>
          <w:sz w:val="22"/>
          <w:szCs w:val="22"/>
        </w:rPr>
        <w:t xml:space="preserve">the Panel is approaching full capacity, and has </w:t>
      </w:r>
      <w:r>
        <w:rPr>
          <w:rFonts w:ascii="Arial" w:hAnsi="Arial" w:cs="Arial"/>
          <w:sz w:val="22"/>
          <w:szCs w:val="22"/>
        </w:rPr>
        <w:t xml:space="preserve">accordingly </w:t>
      </w:r>
      <w:r w:rsidRPr="002B1812">
        <w:rPr>
          <w:rFonts w:ascii="Arial" w:hAnsi="Arial" w:cs="Arial"/>
          <w:sz w:val="22"/>
          <w:szCs w:val="22"/>
        </w:rPr>
        <w:t>consider</w:t>
      </w:r>
      <w:r>
        <w:rPr>
          <w:rFonts w:ascii="Arial" w:hAnsi="Arial" w:cs="Arial"/>
          <w:sz w:val="22"/>
          <w:szCs w:val="22"/>
        </w:rPr>
        <w:t>ed</w:t>
      </w:r>
      <w:r w:rsidRPr="002B1812">
        <w:rPr>
          <w:rFonts w:ascii="Arial" w:hAnsi="Arial" w:cs="Arial"/>
          <w:sz w:val="22"/>
          <w:szCs w:val="22"/>
        </w:rPr>
        <w:t xml:space="preserve"> </w:t>
      </w:r>
      <w:r w:rsidR="00B10913">
        <w:rPr>
          <w:rFonts w:ascii="Arial" w:hAnsi="Arial" w:cs="Arial"/>
          <w:sz w:val="22"/>
          <w:szCs w:val="22"/>
        </w:rPr>
        <w:t>Barkhill’s</w:t>
      </w:r>
      <w:r w:rsidRPr="002B1812">
        <w:rPr>
          <w:rFonts w:ascii="Arial" w:hAnsi="Arial" w:cs="Arial"/>
          <w:sz w:val="22"/>
          <w:szCs w:val="22"/>
        </w:rPr>
        <w:t xml:space="preserve"> request against its prioritisation criteria.</w:t>
      </w:r>
    </w:p>
    <w:p w14:paraId="51F2376B" w14:textId="77777777" w:rsidR="00681CDB" w:rsidRPr="002B1812" w:rsidRDefault="00681CDB" w:rsidP="00681CDB">
      <w:pPr>
        <w:pStyle w:val="ListParagraph"/>
        <w:numPr>
          <w:ilvl w:val="0"/>
          <w:numId w:val="1"/>
        </w:numPr>
        <w:spacing w:after="0" w:line="276" w:lineRule="auto"/>
        <w:ind w:left="567" w:hanging="567"/>
        <w:rPr>
          <w:rFonts w:ascii="Arial" w:hAnsi="Arial" w:cs="Arial"/>
          <w:sz w:val="22"/>
          <w:szCs w:val="22"/>
        </w:rPr>
      </w:pPr>
      <w:r>
        <w:rPr>
          <w:rFonts w:ascii="Arial" w:hAnsi="Arial" w:cs="Arial"/>
          <w:sz w:val="22"/>
          <w:szCs w:val="22"/>
        </w:rPr>
        <w:t>The Panel’s case acceptance and prioritisation criteria says that “</w:t>
      </w:r>
      <w:r w:rsidRPr="00266165">
        <w:rPr>
          <w:rFonts w:ascii="Arial" w:hAnsi="Arial" w:cs="Arial"/>
          <w:sz w:val="22"/>
          <w:szCs w:val="22"/>
        </w:rPr>
        <w:t xml:space="preserve">Factors that the Panel will </w:t>
      </w:r>
      <w:proofErr w:type="gramStart"/>
      <w:r w:rsidRPr="00266165">
        <w:rPr>
          <w:rFonts w:ascii="Arial" w:hAnsi="Arial" w:cs="Arial"/>
          <w:sz w:val="22"/>
          <w:szCs w:val="22"/>
        </w:rPr>
        <w:t>take into account</w:t>
      </w:r>
      <w:proofErr w:type="gramEnd"/>
      <w:r w:rsidRPr="00266165">
        <w:rPr>
          <w:rFonts w:ascii="Arial" w:hAnsi="Arial" w:cs="Arial"/>
          <w:sz w:val="22"/>
          <w:szCs w:val="22"/>
        </w:rPr>
        <w:t xml:space="preserve"> in applying its prioritisation criteria are set out below. This is not, however, intended to be an exhaustive list. It may also be necessary for the Panel to take other factors into account.</w:t>
      </w:r>
    </w:p>
    <w:p w14:paraId="5444D59E" w14:textId="77777777" w:rsidR="00681CDB" w:rsidRPr="00266165" w:rsidRDefault="00681CDB" w:rsidP="00681CDB">
      <w:pPr>
        <w:numPr>
          <w:ilvl w:val="0"/>
          <w:numId w:val="4"/>
        </w:numPr>
        <w:spacing w:line="276" w:lineRule="auto"/>
        <w:ind w:left="1418"/>
        <w:contextualSpacing/>
        <w:rPr>
          <w:rFonts w:ascii="Arial" w:hAnsi="Arial" w:cs="Arial"/>
          <w:sz w:val="22"/>
          <w:szCs w:val="22"/>
        </w:rPr>
      </w:pPr>
      <w:r w:rsidRPr="00266165">
        <w:rPr>
          <w:rFonts w:ascii="Arial" w:hAnsi="Arial" w:cs="Arial"/>
          <w:sz w:val="22"/>
          <w:szCs w:val="22"/>
        </w:rPr>
        <w:t>The potential benefit to patients arising from the Panel’s advice</w:t>
      </w:r>
      <w:r>
        <w:rPr>
          <w:rFonts w:ascii="Arial" w:hAnsi="Arial" w:cs="Arial"/>
          <w:sz w:val="22"/>
          <w:szCs w:val="22"/>
        </w:rPr>
        <w:t>.</w:t>
      </w:r>
    </w:p>
    <w:p w14:paraId="6FC3EEC1" w14:textId="77777777" w:rsidR="00681CDB" w:rsidRPr="00266165" w:rsidRDefault="00681CDB" w:rsidP="00681CDB">
      <w:pPr>
        <w:numPr>
          <w:ilvl w:val="0"/>
          <w:numId w:val="4"/>
        </w:numPr>
        <w:spacing w:line="276" w:lineRule="auto"/>
        <w:ind w:left="1418"/>
        <w:contextualSpacing/>
        <w:rPr>
          <w:rFonts w:ascii="Arial" w:hAnsi="Arial" w:cs="Arial"/>
          <w:sz w:val="22"/>
          <w:szCs w:val="22"/>
        </w:rPr>
      </w:pPr>
      <w:r w:rsidRPr="00266165">
        <w:rPr>
          <w:rFonts w:ascii="Arial" w:hAnsi="Arial" w:cs="Arial"/>
          <w:sz w:val="22"/>
          <w:szCs w:val="22"/>
        </w:rPr>
        <w:t>The potential for the advice to assist relevant authorities in complying with the PSR regulations in the future</w:t>
      </w:r>
      <w:r>
        <w:rPr>
          <w:rFonts w:ascii="Arial" w:hAnsi="Arial" w:cs="Arial"/>
          <w:sz w:val="22"/>
          <w:szCs w:val="22"/>
        </w:rPr>
        <w:t>.</w:t>
      </w:r>
    </w:p>
    <w:p w14:paraId="4AAB5295" w14:textId="77777777" w:rsidR="00681CDB" w:rsidRPr="00266165" w:rsidRDefault="00681CDB" w:rsidP="00681CDB">
      <w:pPr>
        <w:numPr>
          <w:ilvl w:val="0"/>
          <w:numId w:val="4"/>
        </w:numPr>
        <w:spacing w:line="276" w:lineRule="auto"/>
        <w:ind w:left="1418"/>
        <w:contextualSpacing/>
        <w:rPr>
          <w:rFonts w:ascii="Arial" w:hAnsi="Arial" w:cs="Arial"/>
          <w:sz w:val="22"/>
          <w:szCs w:val="22"/>
        </w:rPr>
      </w:pPr>
      <w:r w:rsidRPr="00266165">
        <w:rPr>
          <w:rFonts w:ascii="Arial" w:hAnsi="Arial" w:cs="Arial"/>
          <w:sz w:val="22"/>
          <w:szCs w:val="22"/>
        </w:rPr>
        <w:t>The potential for the advice to help future interpretation and use of the PSR regulations and guidance</w:t>
      </w:r>
      <w:r>
        <w:rPr>
          <w:rFonts w:ascii="Arial" w:hAnsi="Arial" w:cs="Arial"/>
          <w:sz w:val="22"/>
          <w:szCs w:val="22"/>
        </w:rPr>
        <w:t>.</w:t>
      </w:r>
    </w:p>
    <w:p w14:paraId="298BEA55" w14:textId="77777777" w:rsidR="00681CDB" w:rsidRPr="00266165" w:rsidRDefault="00681CDB" w:rsidP="00681CDB">
      <w:pPr>
        <w:numPr>
          <w:ilvl w:val="0"/>
          <w:numId w:val="4"/>
        </w:numPr>
        <w:spacing w:line="276" w:lineRule="auto"/>
        <w:ind w:left="1418"/>
        <w:contextualSpacing/>
        <w:rPr>
          <w:rFonts w:ascii="Arial" w:hAnsi="Arial" w:cs="Arial"/>
          <w:sz w:val="22"/>
          <w:szCs w:val="22"/>
        </w:rPr>
      </w:pPr>
      <w:r w:rsidRPr="00266165">
        <w:rPr>
          <w:rFonts w:ascii="Arial" w:hAnsi="Arial" w:cs="Arial"/>
          <w:sz w:val="22"/>
          <w:szCs w:val="22"/>
        </w:rPr>
        <w:t>The materiality of the relevant authority’s provider selection decision on the provider and/or the relevant authority</w:t>
      </w:r>
      <w:r>
        <w:rPr>
          <w:rFonts w:ascii="Arial" w:hAnsi="Arial" w:cs="Arial"/>
          <w:sz w:val="22"/>
          <w:szCs w:val="22"/>
        </w:rPr>
        <w:t>.</w:t>
      </w:r>
    </w:p>
    <w:p w14:paraId="77A98E4D" w14:textId="77777777" w:rsidR="00681CDB" w:rsidRPr="00266165" w:rsidRDefault="00681CDB" w:rsidP="00681CDB">
      <w:pPr>
        <w:numPr>
          <w:ilvl w:val="0"/>
          <w:numId w:val="4"/>
        </w:numPr>
        <w:spacing w:line="276" w:lineRule="auto"/>
        <w:ind w:left="1418"/>
        <w:rPr>
          <w:rFonts w:ascii="Arial" w:hAnsi="Arial" w:cs="Arial"/>
          <w:sz w:val="22"/>
          <w:szCs w:val="22"/>
        </w:rPr>
      </w:pPr>
      <w:r w:rsidRPr="00266165">
        <w:rPr>
          <w:rFonts w:ascii="Arial" w:hAnsi="Arial" w:cs="Arial"/>
          <w:sz w:val="22"/>
          <w:szCs w:val="22"/>
        </w:rPr>
        <w:t>The advice will deliver a benefit that is proportionate to the Panel’s use of resources in formulating its advice</w:t>
      </w:r>
      <w:r>
        <w:rPr>
          <w:rFonts w:ascii="Arial" w:hAnsi="Arial" w:cs="Arial"/>
          <w:sz w:val="22"/>
          <w:szCs w:val="22"/>
        </w:rPr>
        <w:t>.”</w:t>
      </w:r>
      <w:r w:rsidRPr="00BE4428">
        <w:rPr>
          <w:rStyle w:val="FootnoteReference"/>
          <w:rFonts w:ascii="Arial" w:hAnsi="Arial" w:cs="Arial"/>
          <w:sz w:val="22"/>
          <w:szCs w:val="22"/>
        </w:rPr>
        <w:t xml:space="preserve"> </w:t>
      </w:r>
      <w:r>
        <w:rPr>
          <w:rStyle w:val="FootnoteReference"/>
          <w:rFonts w:ascii="Arial" w:hAnsi="Arial" w:cs="Arial"/>
          <w:sz w:val="22"/>
          <w:szCs w:val="22"/>
        </w:rPr>
        <w:footnoteReference w:id="5"/>
      </w:r>
    </w:p>
    <w:p w14:paraId="243DBEAD" w14:textId="77777777" w:rsidR="00B25B39" w:rsidRDefault="00C62053" w:rsidP="0071270E">
      <w:pPr>
        <w:pStyle w:val="ListParagraph"/>
        <w:numPr>
          <w:ilvl w:val="0"/>
          <w:numId w:val="1"/>
        </w:numPr>
        <w:spacing w:line="276" w:lineRule="auto"/>
        <w:ind w:left="567" w:hanging="567"/>
        <w:contextualSpacing w:val="0"/>
        <w:rPr>
          <w:rFonts w:ascii="Arial" w:hAnsi="Arial" w:cs="Arial"/>
          <w:sz w:val="22"/>
          <w:szCs w:val="22"/>
        </w:rPr>
      </w:pPr>
      <w:r w:rsidRPr="00C62053">
        <w:rPr>
          <w:rFonts w:ascii="Arial" w:hAnsi="Arial" w:cs="Arial"/>
          <w:sz w:val="22"/>
          <w:szCs w:val="22"/>
        </w:rPr>
        <w:t>In terms of the potential benefit to patients, the Panel notes that the financial value of the two contracts is approximately £8.5 million over their maximum seven year duration. While this is a significant amount of money, it is also at the smaller end of the spectrum in terms of the Panel’s recent cases and therefore likely to impact a smaller number of patients.</w:t>
      </w:r>
    </w:p>
    <w:p w14:paraId="6F89FD51" w14:textId="50292EAE" w:rsidR="004F676C" w:rsidRPr="00FE2C6E" w:rsidRDefault="004F676C" w:rsidP="00FE2C6E">
      <w:pPr>
        <w:pStyle w:val="ListParagraph"/>
        <w:numPr>
          <w:ilvl w:val="0"/>
          <w:numId w:val="1"/>
        </w:numPr>
        <w:spacing w:line="276" w:lineRule="auto"/>
        <w:ind w:left="567" w:hanging="567"/>
        <w:rPr>
          <w:rFonts w:ascii="Arial" w:hAnsi="Arial" w:cs="Arial"/>
          <w:sz w:val="22"/>
          <w:szCs w:val="22"/>
        </w:rPr>
      </w:pPr>
      <w:r w:rsidRPr="00FE2C6E">
        <w:rPr>
          <w:rFonts w:ascii="Arial" w:hAnsi="Arial" w:cs="Arial"/>
          <w:sz w:val="22"/>
          <w:szCs w:val="22"/>
        </w:rPr>
        <w:t xml:space="preserve">In terms of the potential for the advice to assist relevant authorities in complying with the PSR regulations in the future, the Panel notes that </w:t>
      </w:r>
      <w:proofErr w:type="spellStart"/>
      <w:r w:rsidRPr="00FE2C6E">
        <w:rPr>
          <w:rFonts w:ascii="Arial" w:hAnsi="Arial" w:cs="Arial"/>
          <w:sz w:val="22"/>
          <w:szCs w:val="22"/>
        </w:rPr>
        <w:t>Barkhill’s</w:t>
      </w:r>
      <w:proofErr w:type="spellEnd"/>
      <w:r w:rsidRPr="00FE2C6E">
        <w:rPr>
          <w:rFonts w:ascii="Arial" w:hAnsi="Arial" w:cs="Arial"/>
          <w:sz w:val="22"/>
          <w:szCs w:val="22"/>
        </w:rPr>
        <w:t xml:space="preserve"> representations relate to concerns that HNY ICB:</w:t>
      </w:r>
    </w:p>
    <w:p w14:paraId="1BC81087" w14:textId="56F0AA3E" w:rsidR="006A5482" w:rsidRDefault="006A5482" w:rsidP="00FE2C6E">
      <w:pPr>
        <w:pStyle w:val="ListParagraph"/>
        <w:numPr>
          <w:ilvl w:val="0"/>
          <w:numId w:val="8"/>
        </w:numPr>
        <w:spacing w:line="276" w:lineRule="auto"/>
        <w:rPr>
          <w:rFonts w:ascii="Arial" w:hAnsi="Arial" w:cs="Arial"/>
          <w:sz w:val="22"/>
          <w:szCs w:val="22"/>
        </w:rPr>
      </w:pPr>
      <w:r>
        <w:rPr>
          <w:rFonts w:ascii="Arial" w:hAnsi="Arial" w:cs="Arial"/>
          <w:sz w:val="22"/>
          <w:szCs w:val="22"/>
        </w:rPr>
        <w:t>failed to properly apply the approach to evaluating bids described in the tender documentation; and</w:t>
      </w:r>
    </w:p>
    <w:p w14:paraId="652EC782" w14:textId="3A8A21DA" w:rsidR="006A5482" w:rsidRDefault="006A5482" w:rsidP="00FE2C6E">
      <w:pPr>
        <w:pStyle w:val="ListParagraph"/>
        <w:numPr>
          <w:ilvl w:val="0"/>
          <w:numId w:val="8"/>
        </w:numPr>
        <w:spacing w:line="276" w:lineRule="auto"/>
        <w:contextualSpacing w:val="0"/>
        <w:rPr>
          <w:rFonts w:ascii="Arial" w:hAnsi="Arial" w:cs="Arial"/>
          <w:sz w:val="22"/>
          <w:szCs w:val="22"/>
        </w:rPr>
      </w:pPr>
      <w:r>
        <w:rPr>
          <w:rFonts w:ascii="Arial" w:hAnsi="Arial" w:cs="Arial"/>
          <w:sz w:val="22"/>
          <w:szCs w:val="22"/>
        </w:rPr>
        <w:t>failed to record and provide adequate reasons for the grades awarded to Barkhill.</w:t>
      </w:r>
    </w:p>
    <w:p w14:paraId="396CF72E" w14:textId="3F473156" w:rsidR="004F676C" w:rsidRPr="00207BEB" w:rsidRDefault="004F676C" w:rsidP="00364FF0">
      <w:pPr>
        <w:pStyle w:val="ListParagraph"/>
        <w:numPr>
          <w:ilvl w:val="0"/>
          <w:numId w:val="1"/>
        </w:numPr>
        <w:spacing w:line="276" w:lineRule="auto"/>
        <w:ind w:left="567" w:hanging="567"/>
        <w:contextualSpacing w:val="0"/>
        <w:rPr>
          <w:rFonts w:ascii="Arial" w:hAnsi="Arial" w:cs="Arial"/>
          <w:sz w:val="22"/>
          <w:szCs w:val="22"/>
        </w:rPr>
      </w:pPr>
      <w:r w:rsidRPr="00207BEB">
        <w:rPr>
          <w:rFonts w:ascii="Arial" w:hAnsi="Arial" w:cs="Arial"/>
          <w:sz w:val="22"/>
          <w:szCs w:val="22"/>
        </w:rPr>
        <w:t>The Panel notes that it considered the appropriate approach to (1) evaluating bids and (2) recording and providing reasons, in detail in its previous report on this matter (</w:t>
      </w:r>
      <w:r w:rsidR="00880866" w:rsidRPr="00207BEB">
        <w:rPr>
          <w:rFonts w:ascii="Arial" w:hAnsi="Arial" w:cs="Arial"/>
          <w:sz w:val="22"/>
          <w:szCs w:val="22"/>
        </w:rPr>
        <w:t xml:space="preserve">see </w:t>
      </w:r>
      <w:hyperlink r:id="rId11">
        <w:r w:rsidR="00214E09" w:rsidRPr="01E0A1CF">
          <w:rPr>
            <w:rStyle w:val="Hyperlink"/>
            <w:rFonts w:ascii="Arial" w:hAnsi="Arial" w:cs="Arial"/>
            <w:sz w:val="22"/>
            <w:szCs w:val="22"/>
          </w:rPr>
          <w:t>Case CR0013-24 and CR0014-24: Review of a proposed contract award for IMOS services in Yorkshire and Humber</w:t>
        </w:r>
      </w:hyperlink>
      <w:r w:rsidRPr="00207BEB">
        <w:rPr>
          <w:rFonts w:ascii="Arial" w:hAnsi="Arial" w:cs="Arial"/>
          <w:sz w:val="22"/>
          <w:szCs w:val="22"/>
        </w:rPr>
        <w:t>).</w:t>
      </w:r>
      <w:r w:rsidR="00207BEB" w:rsidRPr="00207BEB">
        <w:rPr>
          <w:rFonts w:ascii="Arial" w:hAnsi="Arial" w:cs="Arial"/>
          <w:sz w:val="22"/>
          <w:szCs w:val="22"/>
        </w:rPr>
        <w:t xml:space="preserve"> </w:t>
      </w:r>
      <w:r w:rsidRPr="00207BEB">
        <w:rPr>
          <w:rFonts w:ascii="Arial" w:hAnsi="Arial" w:cs="Arial"/>
          <w:sz w:val="22"/>
          <w:szCs w:val="22"/>
        </w:rPr>
        <w:t xml:space="preserve">As a result, the Panel's view is that consideration of further representations as to how the ICB applied that approach in this </w:t>
      </w:r>
      <w:proofErr w:type="gramStart"/>
      <w:r w:rsidRPr="00207BEB">
        <w:rPr>
          <w:rFonts w:ascii="Arial" w:hAnsi="Arial" w:cs="Arial"/>
          <w:sz w:val="22"/>
          <w:szCs w:val="22"/>
        </w:rPr>
        <w:t>particular case</w:t>
      </w:r>
      <w:proofErr w:type="gramEnd"/>
      <w:r w:rsidRPr="00207BEB">
        <w:rPr>
          <w:rFonts w:ascii="Arial" w:hAnsi="Arial" w:cs="Arial"/>
          <w:sz w:val="22"/>
          <w:szCs w:val="22"/>
        </w:rPr>
        <w:t xml:space="preserve">, is unlikely to provide significant additional assistance to relevant authorities in </w:t>
      </w:r>
      <w:r w:rsidRPr="00207BEB">
        <w:rPr>
          <w:rFonts w:ascii="Arial" w:hAnsi="Arial" w:cs="Arial"/>
          <w:sz w:val="22"/>
          <w:szCs w:val="22"/>
        </w:rPr>
        <w:lastRenderedPageBreak/>
        <w:t>complying with the PSR regulations. For the same reason, it also appears to have limited potential for advice to help future interpretation and use of the PSR regulations.</w:t>
      </w:r>
    </w:p>
    <w:p w14:paraId="3354DC4A" w14:textId="2BB4F387" w:rsidR="006A5482" w:rsidRDefault="0016158D" w:rsidP="006A5482">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 xml:space="preserve">In terms of the materiality of the </w:t>
      </w:r>
      <w:r w:rsidR="009E173B">
        <w:rPr>
          <w:rFonts w:ascii="Arial" w:hAnsi="Arial" w:cs="Arial"/>
          <w:sz w:val="22"/>
          <w:szCs w:val="22"/>
        </w:rPr>
        <w:t xml:space="preserve">provider selection decision </w:t>
      </w:r>
      <w:r w:rsidR="006A5482" w:rsidRPr="009E173B">
        <w:rPr>
          <w:rFonts w:ascii="Arial" w:hAnsi="Arial" w:cs="Arial"/>
          <w:sz w:val="22"/>
          <w:szCs w:val="22"/>
        </w:rPr>
        <w:t>on Barkhill</w:t>
      </w:r>
      <w:r w:rsidR="009E173B">
        <w:rPr>
          <w:rFonts w:ascii="Arial" w:hAnsi="Arial" w:cs="Arial"/>
          <w:sz w:val="22"/>
          <w:szCs w:val="22"/>
        </w:rPr>
        <w:t>, Barkhill says that the loss of its current contract</w:t>
      </w:r>
      <w:r w:rsidR="007B23C4">
        <w:rPr>
          <w:rFonts w:ascii="Arial" w:hAnsi="Arial" w:cs="Arial"/>
          <w:sz w:val="22"/>
          <w:szCs w:val="22"/>
        </w:rPr>
        <w:t xml:space="preserve"> will account for a large share of revenues at its existing practice.</w:t>
      </w:r>
    </w:p>
    <w:p w14:paraId="1129A6DE" w14:textId="5403DC07" w:rsidR="001E1FBA" w:rsidRDefault="001E1FBA" w:rsidP="006A5482">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 xml:space="preserve">In terms of whether the Panel’s advice will deliver a benefit proportionate to the Panel’s use of resources in formulating its advice, </w:t>
      </w:r>
      <w:r w:rsidR="000C5C95" w:rsidRPr="000C5C95">
        <w:rPr>
          <w:rFonts w:ascii="Arial" w:hAnsi="Arial" w:cs="Arial"/>
          <w:sz w:val="22"/>
          <w:szCs w:val="22"/>
        </w:rPr>
        <w:t>whilst</w:t>
      </w:r>
      <w:r w:rsidR="000258C5">
        <w:rPr>
          <w:rFonts w:ascii="Arial" w:hAnsi="Arial" w:cs="Arial"/>
          <w:sz w:val="22"/>
          <w:szCs w:val="22"/>
        </w:rPr>
        <w:t xml:space="preserve"> the marginal </w:t>
      </w:r>
      <w:r w:rsidR="000C5C95" w:rsidRPr="000C5C95">
        <w:rPr>
          <w:rFonts w:ascii="Arial" w:hAnsi="Arial" w:cs="Arial"/>
          <w:sz w:val="22"/>
          <w:szCs w:val="22"/>
        </w:rPr>
        <w:t xml:space="preserve">costs to the Panel </w:t>
      </w:r>
      <w:r w:rsidR="000258C5">
        <w:rPr>
          <w:rFonts w:ascii="Arial" w:hAnsi="Arial" w:cs="Arial"/>
          <w:sz w:val="22"/>
          <w:szCs w:val="22"/>
        </w:rPr>
        <w:t>of any additional case</w:t>
      </w:r>
      <w:r w:rsidR="000C5C95" w:rsidRPr="000C5C95">
        <w:rPr>
          <w:rFonts w:ascii="Arial" w:hAnsi="Arial" w:cs="Arial"/>
          <w:sz w:val="22"/>
          <w:szCs w:val="22"/>
        </w:rPr>
        <w:t xml:space="preserve"> are </w:t>
      </w:r>
      <w:r w:rsidR="000258C5">
        <w:rPr>
          <w:rFonts w:ascii="Arial" w:hAnsi="Arial" w:cs="Arial"/>
          <w:sz w:val="22"/>
          <w:szCs w:val="22"/>
        </w:rPr>
        <w:t>relatively small</w:t>
      </w:r>
      <w:r w:rsidR="000C5C95" w:rsidRPr="000C5C95">
        <w:rPr>
          <w:rFonts w:ascii="Arial" w:hAnsi="Arial" w:cs="Arial"/>
          <w:sz w:val="22"/>
          <w:szCs w:val="22"/>
        </w:rPr>
        <w:t>, these exist within the confines of the Panel’s finite physical resources and therefore there is a case capacity limit.</w:t>
      </w:r>
      <w:r w:rsidR="000258C5">
        <w:rPr>
          <w:rFonts w:ascii="Arial" w:hAnsi="Arial" w:cs="Arial"/>
          <w:sz w:val="22"/>
          <w:szCs w:val="22"/>
        </w:rPr>
        <w:t xml:space="preserve"> </w:t>
      </w:r>
      <w:r w:rsidR="00ED1A80">
        <w:rPr>
          <w:rFonts w:ascii="Arial" w:hAnsi="Arial" w:cs="Arial"/>
          <w:sz w:val="22"/>
          <w:szCs w:val="22"/>
        </w:rPr>
        <w:t xml:space="preserve">As a result, considerations about </w:t>
      </w:r>
      <w:r w:rsidR="000C5C95" w:rsidRPr="000C5C95">
        <w:rPr>
          <w:rFonts w:ascii="Arial" w:hAnsi="Arial" w:cs="Arial"/>
          <w:sz w:val="22"/>
          <w:szCs w:val="22"/>
        </w:rPr>
        <w:t>the Panel’s financial</w:t>
      </w:r>
      <w:r w:rsidR="00ED1A80">
        <w:rPr>
          <w:rFonts w:ascii="Arial" w:hAnsi="Arial" w:cs="Arial"/>
          <w:sz w:val="22"/>
          <w:szCs w:val="22"/>
        </w:rPr>
        <w:t xml:space="preserve"> resources are not expected to </w:t>
      </w:r>
      <w:r w:rsidR="00EE05C6">
        <w:rPr>
          <w:rFonts w:ascii="Arial" w:hAnsi="Arial" w:cs="Arial"/>
          <w:sz w:val="22"/>
          <w:szCs w:val="22"/>
        </w:rPr>
        <w:t xml:space="preserve">play a significant role </w:t>
      </w:r>
      <w:r w:rsidR="000C5C95" w:rsidRPr="000C5C95">
        <w:rPr>
          <w:rFonts w:ascii="Arial" w:hAnsi="Arial" w:cs="Arial"/>
          <w:sz w:val="22"/>
          <w:szCs w:val="22"/>
        </w:rPr>
        <w:t>(</w:t>
      </w:r>
      <w:r w:rsidR="00EE05C6">
        <w:rPr>
          <w:rFonts w:ascii="Arial" w:hAnsi="Arial" w:cs="Arial"/>
          <w:sz w:val="22"/>
          <w:szCs w:val="22"/>
        </w:rPr>
        <w:t>in most cases</w:t>
      </w:r>
      <w:r w:rsidR="000C5C95" w:rsidRPr="000C5C95">
        <w:rPr>
          <w:rFonts w:ascii="Arial" w:hAnsi="Arial" w:cs="Arial"/>
          <w:sz w:val="22"/>
          <w:szCs w:val="22"/>
        </w:rPr>
        <w:t>)</w:t>
      </w:r>
      <w:r w:rsidR="00EE05C6">
        <w:rPr>
          <w:rFonts w:ascii="Arial" w:hAnsi="Arial" w:cs="Arial"/>
          <w:sz w:val="22"/>
          <w:szCs w:val="22"/>
        </w:rPr>
        <w:t xml:space="preserve"> </w:t>
      </w:r>
      <w:r w:rsidR="000A3FA2">
        <w:rPr>
          <w:rFonts w:ascii="Arial" w:hAnsi="Arial" w:cs="Arial"/>
          <w:sz w:val="22"/>
          <w:szCs w:val="22"/>
        </w:rPr>
        <w:t xml:space="preserve">where </w:t>
      </w:r>
      <w:r w:rsidR="00EE05C6">
        <w:rPr>
          <w:rFonts w:ascii="Arial" w:hAnsi="Arial" w:cs="Arial"/>
          <w:sz w:val="22"/>
          <w:szCs w:val="22"/>
        </w:rPr>
        <w:t>the Panel</w:t>
      </w:r>
      <w:r w:rsidR="000A3FA2">
        <w:rPr>
          <w:rFonts w:ascii="Arial" w:hAnsi="Arial" w:cs="Arial"/>
          <w:sz w:val="22"/>
          <w:szCs w:val="22"/>
        </w:rPr>
        <w:t xml:space="preserve"> is considering the</w:t>
      </w:r>
      <w:r w:rsidR="00EE05C6">
        <w:rPr>
          <w:rFonts w:ascii="Arial" w:hAnsi="Arial" w:cs="Arial"/>
          <w:sz w:val="22"/>
          <w:szCs w:val="22"/>
        </w:rPr>
        <w:t xml:space="preserve"> prioritisation </w:t>
      </w:r>
      <w:r w:rsidR="000A3FA2">
        <w:rPr>
          <w:rFonts w:ascii="Arial" w:hAnsi="Arial" w:cs="Arial"/>
          <w:sz w:val="22"/>
          <w:szCs w:val="22"/>
        </w:rPr>
        <w:t>of a request for advice</w:t>
      </w:r>
      <w:r w:rsidR="000C5C95" w:rsidRPr="000C5C95">
        <w:rPr>
          <w:rFonts w:ascii="Arial" w:hAnsi="Arial" w:cs="Arial"/>
          <w:sz w:val="22"/>
          <w:szCs w:val="22"/>
        </w:rPr>
        <w:t xml:space="preserve">, but the Panel’s available human resource is </w:t>
      </w:r>
      <w:proofErr w:type="gramStart"/>
      <w:r w:rsidR="000C5C95" w:rsidRPr="000C5C95">
        <w:rPr>
          <w:rFonts w:ascii="Arial" w:hAnsi="Arial" w:cs="Arial"/>
          <w:sz w:val="22"/>
          <w:szCs w:val="22"/>
        </w:rPr>
        <w:t>taken into account</w:t>
      </w:r>
      <w:proofErr w:type="gramEnd"/>
      <w:r w:rsidR="000A3FA2">
        <w:rPr>
          <w:rFonts w:ascii="Arial" w:hAnsi="Arial" w:cs="Arial"/>
          <w:sz w:val="22"/>
          <w:szCs w:val="22"/>
        </w:rPr>
        <w:t>.</w:t>
      </w:r>
    </w:p>
    <w:p w14:paraId="62192AF7" w14:textId="54183D1C" w:rsidR="00F86969" w:rsidRDefault="00681CDB" w:rsidP="00681CDB">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In summary, the Panel currently has limited capacity to accept new cases and any new case that is accepted will constrain the Panel’s ability to accept other cases in the coming weeks. The potential benefit for patients arising from the Panel’s advice</w:t>
      </w:r>
      <w:r w:rsidR="00055DDB">
        <w:rPr>
          <w:rFonts w:ascii="Arial" w:hAnsi="Arial" w:cs="Arial"/>
          <w:sz w:val="22"/>
          <w:szCs w:val="22"/>
        </w:rPr>
        <w:t xml:space="preserve"> in this case</w:t>
      </w:r>
      <w:r>
        <w:rPr>
          <w:rFonts w:ascii="Arial" w:hAnsi="Arial" w:cs="Arial"/>
          <w:sz w:val="22"/>
          <w:szCs w:val="22"/>
        </w:rPr>
        <w:t xml:space="preserve"> </w:t>
      </w:r>
      <w:r w:rsidR="00F86969">
        <w:rPr>
          <w:rFonts w:ascii="Arial" w:hAnsi="Arial" w:cs="Arial"/>
          <w:sz w:val="22"/>
          <w:szCs w:val="22"/>
        </w:rPr>
        <w:t xml:space="preserve">is not insignificant, </w:t>
      </w:r>
      <w:r w:rsidR="009749B8">
        <w:rPr>
          <w:rFonts w:ascii="Arial" w:hAnsi="Arial" w:cs="Arial"/>
          <w:sz w:val="22"/>
          <w:szCs w:val="22"/>
        </w:rPr>
        <w:t xml:space="preserve">in terms of the likely number of patients impacted, </w:t>
      </w:r>
      <w:r w:rsidR="00F86969">
        <w:rPr>
          <w:rFonts w:ascii="Arial" w:hAnsi="Arial" w:cs="Arial"/>
          <w:sz w:val="22"/>
          <w:szCs w:val="22"/>
        </w:rPr>
        <w:t xml:space="preserve">but is at the smaller end of the spectrum in terms of the Panel’s recent cases. </w:t>
      </w:r>
      <w:r w:rsidR="002547D6">
        <w:rPr>
          <w:rFonts w:ascii="Arial" w:hAnsi="Arial" w:cs="Arial"/>
          <w:sz w:val="22"/>
          <w:szCs w:val="22"/>
        </w:rPr>
        <w:t xml:space="preserve">Further, </w:t>
      </w:r>
      <w:r w:rsidR="00BF76F6">
        <w:rPr>
          <w:rFonts w:ascii="Arial" w:hAnsi="Arial" w:cs="Arial"/>
          <w:sz w:val="22"/>
          <w:szCs w:val="22"/>
        </w:rPr>
        <w:t>the Pane</w:t>
      </w:r>
      <w:r w:rsidR="004A733A">
        <w:rPr>
          <w:rFonts w:ascii="Arial" w:hAnsi="Arial" w:cs="Arial"/>
          <w:sz w:val="22"/>
          <w:szCs w:val="22"/>
        </w:rPr>
        <w:t xml:space="preserve">l </w:t>
      </w:r>
      <w:r w:rsidR="00B01A48">
        <w:rPr>
          <w:rFonts w:ascii="Arial" w:hAnsi="Arial" w:cs="Arial"/>
          <w:sz w:val="22"/>
          <w:szCs w:val="22"/>
        </w:rPr>
        <w:t>has already</w:t>
      </w:r>
      <w:r w:rsidR="00A85E16">
        <w:rPr>
          <w:rFonts w:ascii="Arial" w:hAnsi="Arial" w:cs="Arial"/>
          <w:sz w:val="22"/>
          <w:szCs w:val="22"/>
        </w:rPr>
        <w:t xml:space="preserve"> </w:t>
      </w:r>
      <w:r w:rsidR="008771C7" w:rsidRPr="008771C7">
        <w:rPr>
          <w:rFonts w:ascii="Arial" w:hAnsi="Arial" w:cs="Arial"/>
          <w:sz w:val="22"/>
          <w:szCs w:val="22"/>
        </w:rPr>
        <w:t>considered the appropriate approach to (1) evaluating bids and (2) recording and providing reasons</w:t>
      </w:r>
      <w:r w:rsidR="009E0182">
        <w:rPr>
          <w:rFonts w:ascii="Arial" w:hAnsi="Arial" w:cs="Arial"/>
          <w:sz w:val="22"/>
          <w:szCs w:val="22"/>
        </w:rPr>
        <w:t>,</w:t>
      </w:r>
      <w:r w:rsidR="008771C7" w:rsidRPr="008771C7">
        <w:rPr>
          <w:rFonts w:ascii="Arial" w:hAnsi="Arial" w:cs="Arial"/>
          <w:sz w:val="22"/>
          <w:szCs w:val="22"/>
        </w:rPr>
        <w:t xml:space="preserve"> in detail in its previous report on this matter</w:t>
      </w:r>
      <w:r w:rsidR="008475CB">
        <w:rPr>
          <w:rFonts w:ascii="Arial" w:hAnsi="Arial" w:cs="Arial"/>
          <w:sz w:val="22"/>
          <w:szCs w:val="22"/>
        </w:rPr>
        <w:t xml:space="preserve">, meaning that </w:t>
      </w:r>
      <w:r w:rsidR="007523AC">
        <w:rPr>
          <w:rFonts w:ascii="Arial" w:hAnsi="Arial" w:cs="Arial"/>
          <w:sz w:val="22"/>
          <w:szCs w:val="22"/>
        </w:rPr>
        <w:t>consideration of further representations is</w:t>
      </w:r>
      <w:r w:rsidR="005058C9" w:rsidRPr="005058C9">
        <w:rPr>
          <w:rFonts w:ascii="Arial" w:hAnsi="Arial" w:cs="Arial"/>
          <w:sz w:val="22"/>
          <w:szCs w:val="22"/>
        </w:rPr>
        <w:t xml:space="preserve"> </w:t>
      </w:r>
      <w:r w:rsidR="005058C9" w:rsidRPr="005058C9">
        <w:rPr>
          <w:rFonts w:ascii="Arial" w:hAnsi="Arial" w:cs="Arial"/>
          <w:sz w:val="22"/>
          <w:szCs w:val="22"/>
        </w:rPr>
        <w:t>unlikely to provide significant additional assistance to relevant authorities</w:t>
      </w:r>
      <w:r w:rsidR="007523AC" w:rsidRPr="007523AC">
        <w:rPr>
          <w:rFonts w:ascii="Arial" w:hAnsi="Arial" w:cs="Arial"/>
          <w:sz w:val="22"/>
          <w:szCs w:val="22"/>
        </w:rPr>
        <w:t xml:space="preserve"> </w:t>
      </w:r>
      <w:r w:rsidR="007523AC">
        <w:rPr>
          <w:rFonts w:ascii="Arial" w:hAnsi="Arial" w:cs="Arial"/>
          <w:sz w:val="22"/>
          <w:szCs w:val="22"/>
        </w:rPr>
        <w:t xml:space="preserve">in </w:t>
      </w:r>
      <w:r w:rsidR="007523AC" w:rsidRPr="007523AC">
        <w:rPr>
          <w:rFonts w:ascii="Arial" w:hAnsi="Arial" w:cs="Arial"/>
          <w:sz w:val="22"/>
          <w:szCs w:val="22"/>
        </w:rPr>
        <w:t>complying with the PSR regulations</w:t>
      </w:r>
      <w:r w:rsidR="007523AC">
        <w:rPr>
          <w:rFonts w:ascii="Arial" w:hAnsi="Arial" w:cs="Arial"/>
          <w:sz w:val="22"/>
          <w:szCs w:val="22"/>
        </w:rPr>
        <w:t>,</w:t>
      </w:r>
      <w:r w:rsidR="007523AC" w:rsidRPr="007523AC">
        <w:rPr>
          <w:rFonts w:ascii="Arial" w:hAnsi="Arial" w:cs="Arial"/>
          <w:sz w:val="22"/>
          <w:szCs w:val="22"/>
        </w:rPr>
        <w:t xml:space="preserve"> </w:t>
      </w:r>
      <w:r w:rsidR="007523AC">
        <w:rPr>
          <w:rFonts w:ascii="Arial" w:hAnsi="Arial" w:cs="Arial"/>
          <w:sz w:val="22"/>
          <w:szCs w:val="22"/>
        </w:rPr>
        <w:t xml:space="preserve">or for further </w:t>
      </w:r>
      <w:r w:rsidR="007523AC" w:rsidRPr="007523AC">
        <w:rPr>
          <w:rFonts w:ascii="Arial" w:hAnsi="Arial" w:cs="Arial"/>
          <w:sz w:val="22"/>
          <w:szCs w:val="22"/>
        </w:rPr>
        <w:t>advice to help future interpretation and use of the PSR regulations.</w:t>
      </w:r>
      <w:r w:rsidR="008475CB">
        <w:rPr>
          <w:rFonts w:ascii="Arial" w:hAnsi="Arial" w:cs="Arial"/>
          <w:sz w:val="22"/>
          <w:szCs w:val="22"/>
        </w:rPr>
        <w:t xml:space="preserve"> </w:t>
      </w:r>
      <w:r w:rsidR="002547D6">
        <w:rPr>
          <w:rFonts w:ascii="Arial" w:hAnsi="Arial" w:cs="Arial"/>
          <w:sz w:val="22"/>
          <w:szCs w:val="22"/>
        </w:rPr>
        <w:t xml:space="preserve">Finally, </w:t>
      </w:r>
      <w:r w:rsidR="006638BC">
        <w:rPr>
          <w:rFonts w:ascii="Arial" w:hAnsi="Arial" w:cs="Arial"/>
          <w:sz w:val="22"/>
          <w:szCs w:val="22"/>
        </w:rPr>
        <w:t xml:space="preserve">the Panel understands that </w:t>
      </w:r>
      <w:r w:rsidR="00880F38">
        <w:rPr>
          <w:rFonts w:ascii="Arial" w:hAnsi="Arial" w:cs="Arial"/>
          <w:sz w:val="22"/>
          <w:szCs w:val="22"/>
        </w:rPr>
        <w:t xml:space="preserve">HNY ICB’s provider selection decision is likely to have a material impact on Barkhill given the </w:t>
      </w:r>
      <w:r w:rsidR="00E96ED2">
        <w:rPr>
          <w:rFonts w:ascii="Arial" w:hAnsi="Arial" w:cs="Arial"/>
          <w:sz w:val="22"/>
          <w:szCs w:val="22"/>
        </w:rPr>
        <w:t xml:space="preserve">share of existing revenues that is accounted for by its current </w:t>
      </w:r>
      <w:r w:rsidR="00880F38">
        <w:rPr>
          <w:rFonts w:ascii="Arial" w:hAnsi="Arial" w:cs="Arial"/>
          <w:sz w:val="22"/>
          <w:szCs w:val="22"/>
        </w:rPr>
        <w:t>contract</w:t>
      </w:r>
      <w:r w:rsidR="00E96ED2">
        <w:rPr>
          <w:rFonts w:ascii="Arial" w:hAnsi="Arial" w:cs="Arial"/>
          <w:sz w:val="22"/>
          <w:szCs w:val="22"/>
        </w:rPr>
        <w:t>.</w:t>
      </w:r>
    </w:p>
    <w:p w14:paraId="6A5B738E" w14:textId="175BFDEF" w:rsidR="00681CDB" w:rsidRDefault="00E96ED2" w:rsidP="00515F06">
      <w:pPr>
        <w:pStyle w:val="ListParagraph"/>
        <w:numPr>
          <w:ilvl w:val="0"/>
          <w:numId w:val="1"/>
        </w:numPr>
        <w:spacing w:line="276" w:lineRule="auto"/>
        <w:ind w:left="567" w:hanging="567"/>
        <w:contextualSpacing w:val="0"/>
        <w:rPr>
          <w:rFonts w:ascii="Arial" w:hAnsi="Arial" w:cs="Arial"/>
          <w:sz w:val="22"/>
          <w:szCs w:val="22"/>
        </w:rPr>
      </w:pPr>
      <w:r>
        <w:rPr>
          <w:rFonts w:ascii="Arial" w:hAnsi="Arial" w:cs="Arial"/>
          <w:sz w:val="22"/>
          <w:szCs w:val="22"/>
        </w:rPr>
        <w:t xml:space="preserve">The Panel appreciates that not </w:t>
      </w:r>
      <w:proofErr w:type="gramStart"/>
      <w:r>
        <w:rPr>
          <w:rFonts w:ascii="Arial" w:hAnsi="Arial" w:cs="Arial"/>
          <w:sz w:val="22"/>
          <w:szCs w:val="22"/>
        </w:rPr>
        <w:t>all of</w:t>
      </w:r>
      <w:proofErr w:type="gramEnd"/>
      <w:r>
        <w:rPr>
          <w:rFonts w:ascii="Arial" w:hAnsi="Arial" w:cs="Arial"/>
          <w:sz w:val="22"/>
          <w:szCs w:val="22"/>
        </w:rPr>
        <w:t xml:space="preserve"> these prioritisation factors </w:t>
      </w:r>
      <w:r w:rsidR="00515F06">
        <w:rPr>
          <w:rFonts w:ascii="Arial" w:hAnsi="Arial" w:cs="Arial"/>
          <w:sz w:val="22"/>
          <w:szCs w:val="22"/>
        </w:rPr>
        <w:t>point in the same direction. However, on balance, given th</w:t>
      </w:r>
      <w:r w:rsidR="0078574E">
        <w:rPr>
          <w:rFonts w:ascii="Arial" w:hAnsi="Arial" w:cs="Arial"/>
          <w:sz w:val="22"/>
          <w:szCs w:val="22"/>
        </w:rPr>
        <w:t>at the Panel is currently approaching full capacity</w:t>
      </w:r>
      <w:r w:rsidR="00515F06">
        <w:rPr>
          <w:rFonts w:ascii="Arial" w:hAnsi="Arial" w:cs="Arial"/>
          <w:sz w:val="22"/>
          <w:szCs w:val="22"/>
        </w:rPr>
        <w:t xml:space="preserve">, the </w:t>
      </w:r>
      <w:r w:rsidR="00CA50F6">
        <w:rPr>
          <w:rFonts w:ascii="Arial" w:hAnsi="Arial" w:cs="Arial"/>
          <w:sz w:val="22"/>
          <w:szCs w:val="22"/>
        </w:rPr>
        <w:t>likely</w:t>
      </w:r>
      <w:r w:rsidR="00515F06">
        <w:rPr>
          <w:rFonts w:ascii="Arial" w:hAnsi="Arial" w:cs="Arial"/>
          <w:sz w:val="22"/>
          <w:szCs w:val="22"/>
        </w:rPr>
        <w:t xml:space="preserve"> number of patients affected by the provider selection decision, and the Panel’s previous consideration of the issues raised by Barkhill, </w:t>
      </w:r>
      <w:r w:rsidR="00681CDB">
        <w:rPr>
          <w:rFonts w:ascii="Arial" w:hAnsi="Arial" w:cs="Arial"/>
          <w:sz w:val="22"/>
          <w:szCs w:val="22"/>
        </w:rPr>
        <w:t xml:space="preserve">the Panel has decided not </w:t>
      </w:r>
      <w:r w:rsidR="00681CDB" w:rsidRPr="00A66F96">
        <w:rPr>
          <w:rFonts w:ascii="Arial" w:hAnsi="Arial" w:cs="Arial"/>
          <w:sz w:val="22"/>
          <w:szCs w:val="22"/>
        </w:rPr>
        <w:t xml:space="preserve">to accept </w:t>
      </w:r>
      <w:r w:rsidR="008B4FF6">
        <w:rPr>
          <w:rFonts w:ascii="Arial" w:hAnsi="Arial" w:cs="Arial"/>
          <w:sz w:val="22"/>
          <w:szCs w:val="22"/>
        </w:rPr>
        <w:t>Barkhill’s</w:t>
      </w:r>
      <w:r w:rsidR="00681CDB">
        <w:rPr>
          <w:rFonts w:ascii="Arial" w:hAnsi="Arial" w:cs="Arial"/>
          <w:sz w:val="22"/>
          <w:szCs w:val="22"/>
        </w:rPr>
        <w:t xml:space="preserve"> request that it advise on</w:t>
      </w:r>
      <w:r w:rsidR="008B4FF6">
        <w:rPr>
          <w:rFonts w:ascii="Arial" w:hAnsi="Arial" w:cs="Arial"/>
          <w:sz w:val="22"/>
          <w:szCs w:val="22"/>
        </w:rPr>
        <w:t xml:space="preserve"> HNY ICB’s selection of a provider for IMOS services in Bradford and Bradford North</w:t>
      </w:r>
      <w:r w:rsidR="00681CDB" w:rsidRPr="009A1900">
        <w:rPr>
          <w:rFonts w:ascii="Arial" w:hAnsi="Arial" w:cs="Arial"/>
          <w:sz w:val="22"/>
          <w:szCs w:val="22"/>
        </w:rPr>
        <w:t>.</w:t>
      </w:r>
    </w:p>
    <w:p w14:paraId="583BCF96" w14:textId="77777777" w:rsidR="008B4FF6" w:rsidRDefault="008B4FF6" w:rsidP="008B4FF6">
      <w:pPr>
        <w:spacing w:line="276" w:lineRule="auto"/>
        <w:rPr>
          <w:rFonts w:ascii="Arial" w:hAnsi="Arial" w:cs="Arial"/>
          <w:sz w:val="22"/>
          <w:szCs w:val="22"/>
        </w:rPr>
      </w:pPr>
    </w:p>
    <w:p w14:paraId="578443AC" w14:textId="77777777" w:rsidR="008B4FF6" w:rsidRDefault="008B4FF6" w:rsidP="008B4FF6">
      <w:pPr>
        <w:spacing w:line="276" w:lineRule="auto"/>
        <w:rPr>
          <w:rFonts w:ascii="Arial" w:hAnsi="Arial" w:cs="Arial"/>
          <w:sz w:val="22"/>
          <w:szCs w:val="22"/>
        </w:rPr>
      </w:pPr>
    </w:p>
    <w:p w14:paraId="0BFA8ACB" w14:textId="77777777" w:rsidR="008B4FF6" w:rsidRDefault="008B4FF6" w:rsidP="008B4FF6">
      <w:pPr>
        <w:spacing w:line="276" w:lineRule="auto"/>
        <w:rPr>
          <w:rFonts w:ascii="Arial" w:hAnsi="Arial" w:cs="Arial"/>
          <w:sz w:val="22"/>
          <w:szCs w:val="22"/>
        </w:rPr>
      </w:pPr>
    </w:p>
    <w:p w14:paraId="72C1FA00" w14:textId="3F7EC9B4" w:rsidR="008B4FF6" w:rsidRPr="008B4FF6" w:rsidRDefault="008B4FF6" w:rsidP="008B4FF6">
      <w:pPr>
        <w:spacing w:line="276" w:lineRule="auto"/>
        <w:rPr>
          <w:rFonts w:ascii="Arial" w:hAnsi="Arial" w:cs="Arial"/>
          <w:sz w:val="22"/>
          <w:szCs w:val="22"/>
        </w:rPr>
      </w:pPr>
      <w:r>
        <w:rPr>
          <w:rFonts w:ascii="Arial" w:hAnsi="Arial" w:cs="Arial"/>
          <w:sz w:val="22"/>
          <w:szCs w:val="22"/>
        </w:rPr>
        <w:t>2</w:t>
      </w:r>
      <w:r w:rsidR="00815074">
        <w:rPr>
          <w:rFonts w:ascii="Arial" w:hAnsi="Arial" w:cs="Arial"/>
          <w:sz w:val="22"/>
          <w:szCs w:val="22"/>
        </w:rPr>
        <w:t>9</w:t>
      </w:r>
      <w:r>
        <w:rPr>
          <w:rFonts w:ascii="Arial" w:hAnsi="Arial" w:cs="Arial"/>
          <w:sz w:val="22"/>
          <w:szCs w:val="22"/>
        </w:rPr>
        <w:t xml:space="preserve"> July 2025</w:t>
      </w:r>
    </w:p>
    <w:p w14:paraId="4DF6A4D2" w14:textId="77777777" w:rsidR="00681CDB" w:rsidRPr="008B4FF6" w:rsidRDefault="00681CDB" w:rsidP="008B4FF6">
      <w:pPr>
        <w:spacing w:line="276" w:lineRule="auto"/>
        <w:rPr>
          <w:rFonts w:ascii="Arial" w:hAnsi="Arial" w:cs="Arial"/>
          <w:sz w:val="22"/>
          <w:szCs w:val="22"/>
        </w:rPr>
      </w:pPr>
    </w:p>
    <w:sectPr w:rsidR="00681CDB" w:rsidRPr="008B4FF6" w:rsidSect="003C2FB5">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AD1C" w14:textId="77777777" w:rsidR="00791F87" w:rsidRDefault="00791F87" w:rsidP="00681CDB">
      <w:pPr>
        <w:spacing w:after="0" w:line="240" w:lineRule="auto"/>
      </w:pPr>
      <w:r>
        <w:separator/>
      </w:r>
    </w:p>
  </w:endnote>
  <w:endnote w:type="continuationSeparator" w:id="0">
    <w:p w14:paraId="1CFDBC6B" w14:textId="77777777" w:rsidR="00791F87" w:rsidRDefault="00791F87" w:rsidP="0068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035900"/>
      <w:docPartObj>
        <w:docPartGallery w:val="Page Numbers (Bottom of Page)"/>
        <w:docPartUnique/>
      </w:docPartObj>
    </w:sdtPr>
    <w:sdtEndPr>
      <w:rPr>
        <w:noProof/>
      </w:rPr>
    </w:sdtEndPr>
    <w:sdtContent>
      <w:p w14:paraId="286993E2" w14:textId="7C95859B" w:rsidR="003C2FB5" w:rsidRDefault="003C2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2EFAC" w14:textId="77777777" w:rsidR="003C2FB5" w:rsidRDefault="003C2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DE58" w14:textId="77777777" w:rsidR="00791F87" w:rsidRDefault="00791F87" w:rsidP="00681CDB">
      <w:pPr>
        <w:spacing w:after="0" w:line="240" w:lineRule="auto"/>
      </w:pPr>
      <w:r>
        <w:separator/>
      </w:r>
    </w:p>
  </w:footnote>
  <w:footnote w:type="continuationSeparator" w:id="0">
    <w:p w14:paraId="61348C03" w14:textId="77777777" w:rsidR="00791F87" w:rsidRDefault="00791F87" w:rsidP="00681CDB">
      <w:pPr>
        <w:spacing w:after="0" w:line="240" w:lineRule="auto"/>
      </w:pPr>
      <w:r>
        <w:continuationSeparator/>
      </w:r>
    </w:p>
  </w:footnote>
  <w:footnote w:id="1">
    <w:p w14:paraId="7A60EA58" w14:textId="115639E5" w:rsidR="00214E0A" w:rsidRPr="00214E0A" w:rsidRDefault="00214E0A" w:rsidP="00214E0A">
      <w:pPr>
        <w:pStyle w:val="FootnoteText"/>
        <w:rPr>
          <w:rFonts w:ascii="Arial" w:hAnsi="Arial" w:cs="Arial"/>
          <w:sz w:val="16"/>
          <w:szCs w:val="16"/>
        </w:rPr>
      </w:pPr>
      <w:r w:rsidRPr="00214E0A">
        <w:rPr>
          <w:rStyle w:val="FootnoteReference"/>
          <w:rFonts w:ascii="Arial" w:hAnsi="Arial" w:cs="Arial"/>
          <w:sz w:val="16"/>
          <w:szCs w:val="16"/>
        </w:rPr>
        <w:footnoteRef/>
      </w:r>
      <w:r w:rsidRPr="00214E0A">
        <w:rPr>
          <w:rFonts w:ascii="Arial" w:hAnsi="Arial" w:cs="Arial"/>
          <w:sz w:val="16"/>
          <w:szCs w:val="16"/>
        </w:rPr>
        <w:t xml:space="preserve"> The Panel’s </w:t>
      </w:r>
      <w:r>
        <w:rPr>
          <w:rFonts w:ascii="Arial" w:hAnsi="Arial" w:cs="Arial"/>
          <w:sz w:val="16"/>
          <w:szCs w:val="16"/>
        </w:rPr>
        <w:t xml:space="preserve">review </w:t>
      </w:r>
      <w:r w:rsidRPr="00214E0A">
        <w:rPr>
          <w:rFonts w:ascii="Arial" w:hAnsi="Arial" w:cs="Arial"/>
          <w:sz w:val="16"/>
          <w:szCs w:val="16"/>
        </w:rPr>
        <w:t xml:space="preserve">is available at </w:t>
      </w:r>
      <w:hyperlink r:id="rId1" w:history="1">
        <w:r w:rsidRPr="00214E0A">
          <w:rPr>
            <w:rStyle w:val="Hyperlink"/>
            <w:rFonts w:ascii="Arial" w:hAnsi="Arial" w:cs="Arial"/>
            <w:sz w:val="16"/>
            <w:szCs w:val="16"/>
          </w:rPr>
          <w:t>https://www.england.nhs.uk/publication/independent-patient-choice-and-procurement-panel-review-of-a-proposed-contract-award-intermediate-minor-oral-surgery-services-for-yorkshire-and-the-humber/</w:t>
        </w:r>
      </w:hyperlink>
      <w:r w:rsidRPr="00214E0A">
        <w:rPr>
          <w:rFonts w:ascii="Arial" w:hAnsi="Arial" w:cs="Arial"/>
          <w:sz w:val="16"/>
          <w:szCs w:val="16"/>
        </w:rPr>
        <w:t>.</w:t>
      </w:r>
    </w:p>
  </w:footnote>
  <w:footnote w:id="2">
    <w:p w14:paraId="5E8DA783" w14:textId="36EE2C66" w:rsidR="00B96C02" w:rsidRPr="00B96C02" w:rsidRDefault="00B96C02">
      <w:pPr>
        <w:pStyle w:val="FootnoteText"/>
        <w:rPr>
          <w:rFonts w:ascii="Arial" w:hAnsi="Arial" w:cs="Arial"/>
          <w:sz w:val="16"/>
          <w:szCs w:val="16"/>
        </w:rPr>
      </w:pPr>
      <w:r w:rsidRPr="00B96C02">
        <w:rPr>
          <w:rStyle w:val="FootnoteReference"/>
          <w:rFonts w:ascii="Arial" w:hAnsi="Arial" w:cs="Arial"/>
          <w:sz w:val="16"/>
          <w:szCs w:val="16"/>
        </w:rPr>
        <w:footnoteRef/>
      </w:r>
      <w:r w:rsidRPr="00B96C02">
        <w:rPr>
          <w:rFonts w:ascii="Arial" w:hAnsi="Arial" w:cs="Arial"/>
          <w:sz w:val="16"/>
          <w:szCs w:val="16"/>
        </w:rPr>
        <w:t xml:space="preserve"> This requires that the relevant authority “carries out the requirements specified in regulation 12(4) where written representations are made in accordance with regulation 12(3)”.</w:t>
      </w:r>
    </w:p>
  </w:footnote>
  <w:footnote w:id="3">
    <w:p w14:paraId="1C4D581F" w14:textId="77777777" w:rsidR="00681CDB" w:rsidRPr="008E390A" w:rsidRDefault="00681CDB" w:rsidP="00681CDB">
      <w:pPr>
        <w:pStyle w:val="FootnoteText"/>
        <w:rPr>
          <w:rFonts w:ascii="Arial" w:hAnsi="Arial" w:cs="Arial"/>
          <w:sz w:val="16"/>
          <w:szCs w:val="16"/>
        </w:rPr>
      </w:pPr>
      <w:r w:rsidRPr="008E390A">
        <w:rPr>
          <w:rStyle w:val="FootnoteReference"/>
          <w:rFonts w:ascii="Arial" w:hAnsi="Arial" w:cs="Arial"/>
          <w:sz w:val="16"/>
          <w:szCs w:val="16"/>
        </w:rPr>
        <w:footnoteRef/>
      </w:r>
      <w:r w:rsidRPr="008E390A">
        <w:rPr>
          <w:rFonts w:ascii="Arial" w:hAnsi="Arial" w:cs="Arial"/>
          <w:sz w:val="16"/>
          <w:szCs w:val="16"/>
        </w:rPr>
        <w:t xml:space="preserve"> The Panel’s case acceptance and prioritisation criteria can be found at </w:t>
      </w:r>
      <w:hyperlink r:id="rId2" w:history="1">
        <w:r w:rsidRPr="008E390A">
          <w:rPr>
            <w:rStyle w:val="Hyperlink"/>
            <w:rFonts w:ascii="Arial" w:hAnsi="Arial" w:cs="Arial"/>
            <w:sz w:val="16"/>
            <w:szCs w:val="16"/>
          </w:rPr>
          <w:t>https://www.england.nhs.uk/publication/acceptance-and-prioritisation-criteria-independent-procurement-and-choice-panel/</w:t>
        </w:r>
      </w:hyperlink>
      <w:r w:rsidRPr="008E390A">
        <w:rPr>
          <w:rFonts w:ascii="Arial" w:hAnsi="Arial" w:cs="Arial"/>
          <w:sz w:val="16"/>
          <w:szCs w:val="16"/>
        </w:rPr>
        <w:t>.</w:t>
      </w:r>
    </w:p>
  </w:footnote>
  <w:footnote w:id="4">
    <w:p w14:paraId="692B0A66" w14:textId="77777777" w:rsidR="00681CDB" w:rsidRPr="008E390A" w:rsidRDefault="00681CDB" w:rsidP="00681CDB">
      <w:pPr>
        <w:pStyle w:val="FootnoteText"/>
        <w:rPr>
          <w:rFonts w:ascii="Arial" w:hAnsi="Arial" w:cs="Arial"/>
          <w:sz w:val="16"/>
          <w:szCs w:val="16"/>
        </w:rPr>
      </w:pPr>
      <w:r w:rsidRPr="008E390A">
        <w:rPr>
          <w:rStyle w:val="FootnoteReference"/>
          <w:rFonts w:ascii="Arial" w:hAnsi="Arial" w:cs="Arial"/>
          <w:sz w:val="16"/>
          <w:szCs w:val="16"/>
        </w:rPr>
        <w:footnoteRef/>
      </w:r>
      <w:r w:rsidRPr="008E390A">
        <w:rPr>
          <w:rFonts w:ascii="Arial" w:hAnsi="Arial" w:cs="Arial"/>
          <w:sz w:val="16"/>
          <w:szCs w:val="16"/>
        </w:rPr>
        <w:t xml:space="preserve"> The Panel’s prioritisation criteria can be found at </w:t>
      </w:r>
      <w:hyperlink r:id="rId3" w:history="1">
        <w:r w:rsidRPr="008E390A">
          <w:rPr>
            <w:rStyle w:val="Hyperlink"/>
            <w:rFonts w:ascii="Arial" w:hAnsi="Arial" w:cs="Arial"/>
            <w:sz w:val="16"/>
            <w:szCs w:val="16"/>
          </w:rPr>
          <w:t>https://www.england.nhs.uk/publication/acceptance-and-prioritisation-criteria-independent-procurement-and-choice-panel/</w:t>
        </w:r>
      </w:hyperlink>
      <w:r w:rsidRPr="008E390A">
        <w:rPr>
          <w:rFonts w:ascii="Arial" w:hAnsi="Arial" w:cs="Arial"/>
          <w:sz w:val="16"/>
          <w:szCs w:val="16"/>
        </w:rPr>
        <w:t>.</w:t>
      </w:r>
    </w:p>
  </w:footnote>
  <w:footnote w:id="5">
    <w:p w14:paraId="333ACD5D" w14:textId="77777777" w:rsidR="00681CDB" w:rsidRPr="008E390A" w:rsidRDefault="00681CDB" w:rsidP="00681CDB">
      <w:pPr>
        <w:pStyle w:val="FootnoteText"/>
        <w:rPr>
          <w:rFonts w:ascii="Arial" w:hAnsi="Arial" w:cs="Arial"/>
          <w:sz w:val="16"/>
          <w:szCs w:val="16"/>
        </w:rPr>
      </w:pPr>
      <w:r w:rsidRPr="008E390A">
        <w:rPr>
          <w:rStyle w:val="FootnoteReference"/>
          <w:rFonts w:ascii="Arial" w:hAnsi="Arial" w:cs="Arial"/>
          <w:sz w:val="16"/>
          <w:szCs w:val="16"/>
        </w:rPr>
        <w:footnoteRef/>
      </w:r>
      <w:r w:rsidRPr="008E390A">
        <w:rPr>
          <w:rFonts w:ascii="Arial" w:hAnsi="Arial" w:cs="Arial"/>
          <w:sz w:val="16"/>
          <w:szCs w:val="16"/>
        </w:rPr>
        <w:t xml:space="preserve"> </w:t>
      </w:r>
      <w:r>
        <w:rPr>
          <w:rFonts w:ascii="Arial" w:hAnsi="Arial" w:cs="Arial"/>
          <w:sz w:val="16"/>
          <w:szCs w:val="16"/>
        </w:rPr>
        <w:t xml:space="preserve">See Independent Patient Choice and Procurement Panel, </w:t>
      </w:r>
      <w:r w:rsidRPr="009B0373">
        <w:rPr>
          <w:rFonts w:ascii="Arial" w:hAnsi="Arial" w:cs="Arial"/>
          <w:i/>
          <w:iCs/>
          <w:sz w:val="16"/>
          <w:szCs w:val="16"/>
        </w:rPr>
        <w:t>Acceptance and Prioritisation Criteria</w:t>
      </w:r>
      <w:r>
        <w:rPr>
          <w:rFonts w:ascii="Arial" w:hAnsi="Arial" w:cs="Arial"/>
          <w:sz w:val="16"/>
          <w:szCs w:val="16"/>
        </w:rPr>
        <w:t>, available at</w:t>
      </w:r>
      <w:r w:rsidRPr="008E390A">
        <w:rPr>
          <w:rFonts w:ascii="Arial" w:hAnsi="Arial" w:cs="Arial"/>
          <w:sz w:val="16"/>
          <w:szCs w:val="16"/>
        </w:rPr>
        <w:t xml:space="preserve"> </w:t>
      </w:r>
      <w:hyperlink r:id="rId4" w:history="1">
        <w:r w:rsidRPr="008E390A">
          <w:rPr>
            <w:rStyle w:val="Hyperlink"/>
            <w:rFonts w:ascii="Arial" w:hAnsi="Arial" w:cs="Arial"/>
            <w:sz w:val="16"/>
            <w:szCs w:val="16"/>
          </w:rPr>
          <w:t>https://www.england.nhs.uk/publication/acceptance-and-prioritisation-criteria-independent-procurement-and-choice-panel/</w:t>
        </w:r>
      </w:hyperlink>
      <w:r w:rsidRPr="008E390A">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F64"/>
    <w:multiLevelType w:val="hybridMultilevel"/>
    <w:tmpl w:val="5A6AE8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1C294D"/>
    <w:multiLevelType w:val="hybridMultilevel"/>
    <w:tmpl w:val="4DFADED4"/>
    <w:lvl w:ilvl="0" w:tplc="0809001B">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9385056"/>
    <w:multiLevelType w:val="hybridMultilevel"/>
    <w:tmpl w:val="7E20300E"/>
    <w:lvl w:ilvl="0" w:tplc="04DE237A">
      <w:start w:val="5"/>
      <w:numFmt w:val="bullet"/>
      <w:lvlText w:val=""/>
      <w:lvlJc w:val="left"/>
      <w:pPr>
        <w:ind w:left="720" w:hanging="360"/>
      </w:pPr>
      <w:rPr>
        <w:rFonts w:ascii="Symbol" w:eastAsia="Calibri" w:hAnsi="Symbol" w:cs="Apto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B71E71"/>
    <w:multiLevelType w:val="hybridMultilevel"/>
    <w:tmpl w:val="CCC8BE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D566FE"/>
    <w:multiLevelType w:val="hybridMultilevel"/>
    <w:tmpl w:val="5EAC670A"/>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416AE23A">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D24E2"/>
    <w:multiLevelType w:val="hybridMultilevel"/>
    <w:tmpl w:val="6AEEA3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2B14944"/>
    <w:multiLevelType w:val="hybridMultilevel"/>
    <w:tmpl w:val="4C6A17D8"/>
    <w:lvl w:ilvl="0" w:tplc="0809000F">
      <w:start w:val="1"/>
      <w:numFmt w:val="decimal"/>
      <w:lvlText w:val="%1."/>
      <w:lvlJc w:val="left"/>
      <w:pPr>
        <w:ind w:left="720" w:hanging="360"/>
      </w:pPr>
    </w:lvl>
    <w:lvl w:ilvl="1" w:tplc="3A2037A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CF707D"/>
    <w:multiLevelType w:val="hybridMultilevel"/>
    <w:tmpl w:val="793EB1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28776720">
    <w:abstractNumId w:val="6"/>
  </w:num>
  <w:num w:numId="2" w16cid:durableId="2047636757">
    <w:abstractNumId w:val="0"/>
  </w:num>
  <w:num w:numId="3" w16cid:durableId="467212863">
    <w:abstractNumId w:val="1"/>
  </w:num>
  <w:num w:numId="4" w16cid:durableId="565602984">
    <w:abstractNumId w:val="2"/>
  </w:num>
  <w:num w:numId="5" w16cid:durableId="1711148116">
    <w:abstractNumId w:val="4"/>
  </w:num>
  <w:num w:numId="6" w16cid:durableId="1615021711">
    <w:abstractNumId w:val="3"/>
  </w:num>
  <w:num w:numId="7" w16cid:durableId="1113666592">
    <w:abstractNumId w:val="7"/>
  </w:num>
  <w:num w:numId="8" w16cid:durableId="1785609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DB"/>
    <w:rsid w:val="00014553"/>
    <w:rsid w:val="000258C5"/>
    <w:rsid w:val="0004706A"/>
    <w:rsid w:val="00055DDB"/>
    <w:rsid w:val="0008004E"/>
    <w:rsid w:val="00082984"/>
    <w:rsid w:val="000950B9"/>
    <w:rsid w:val="000A3FA2"/>
    <w:rsid w:val="000B2627"/>
    <w:rsid w:val="000C5C95"/>
    <w:rsid w:val="00142E68"/>
    <w:rsid w:val="001454AE"/>
    <w:rsid w:val="0016158D"/>
    <w:rsid w:val="00173EC9"/>
    <w:rsid w:val="00194C7E"/>
    <w:rsid w:val="001B14EB"/>
    <w:rsid w:val="001D465B"/>
    <w:rsid w:val="001E1FBA"/>
    <w:rsid w:val="00200A87"/>
    <w:rsid w:val="00207BEB"/>
    <w:rsid w:val="00214E09"/>
    <w:rsid w:val="00214E0A"/>
    <w:rsid w:val="002547D6"/>
    <w:rsid w:val="0039610D"/>
    <w:rsid w:val="003C2FB5"/>
    <w:rsid w:val="003D489B"/>
    <w:rsid w:val="003D5C24"/>
    <w:rsid w:val="003E7322"/>
    <w:rsid w:val="00427DE5"/>
    <w:rsid w:val="00474CCF"/>
    <w:rsid w:val="00494463"/>
    <w:rsid w:val="004A733A"/>
    <w:rsid w:val="004F676C"/>
    <w:rsid w:val="005058C9"/>
    <w:rsid w:val="00515F06"/>
    <w:rsid w:val="005422EF"/>
    <w:rsid w:val="00577F34"/>
    <w:rsid w:val="005875BB"/>
    <w:rsid w:val="00595B61"/>
    <w:rsid w:val="005A6CE0"/>
    <w:rsid w:val="0062056C"/>
    <w:rsid w:val="0063562A"/>
    <w:rsid w:val="006638BC"/>
    <w:rsid w:val="00681BB1"/>
    <w:rsid w:val="00681CDB"/>
    <w:rsid w:val="00683278"/>
    <w:rsid w:val="006A5482"/>
    <w:rsid w:val="006C1004"/>
    <w:rsid w:val="006E7BC6"/>
    <w:rsid w:val="007051DB"/>
    <w:rsid w:val="0071270E"/>
    <w:rsid w:val="00750DE1"/>
    <w:rsid w:val="007523AC"/>
    <w:rsid w:val="0078574E"/>
    <w:rsid w:val="00791F87"/>
    <w:rsid w:val="007A6A1D"/>
    <w:rsid w:val="007B23C4"/>
    <w:rsid w:val="007D6B39"/>
    <w:rsid w:val="007F2495"/>
    <w:rsid w:val="00815074"/>
    <w:rsid w:val="008475CB"/>
    <w:rsid w:val="008618CF"/>
    <w:rsid w:val="00862B54"/>
    <w:rsid w:val="008771C7"/>
    <w:rsid w:val="00880866"/>
    <w:rsid w:val="00880F38"/>
    <w:rsid w:val="00890543"/>
    <w:rsid w:val="00891EB2"/>
    <w:rsid w:val="008B4FF6"/>
    <w:rsid w:val="0090509E"/>
    <w:rsid w:val="00924234"/>
    <w:rsid w:val="00924FE4"/>
    <w:rsid w:val="0094406B"/>
    <w:rsid w:val="009749B8"/>
    <w:rsid w:val="009E0182"/>
    <w:rsid w:val="009E1590"/>
    <w:rsid w:val="009E173B"/>
    <w:rsid w:val="009E3FA5"/>
    <w:rsid w:val="00A31778"/>
    <w:rsid w:val="00A732F5"/>
    <w:rsid w:val="00A85E16"/>
    <w:rsid w:val="00AC7B0C"/>
    <w:rsid w:val="00AD089C"/>
    <w:rsid w:val="00B01A48"/>
    <w:rsid w:val="00B10913"/>
    <w:rsid w:val="00B25B39"/>
    <w:rsid w:val="00B35023"/>
    <w:rsid w:val="00B71AF6"/>
    <w:rsid w:val="00B86689"/>
    <w:rsid w:val="00B96C02"/>
    <w:rsid w:val="00B973DA"/>
    <w:rsid w:val="00BB5A7E"/>
    <w:rsid w:val="00BB73F4"/>
    <w:rsid w:val="00BC137E"/>
    <w:rsid w:val="00BD4339"/>
    <w:rsid w:val="00BF76F6"/>
    <w:rsid w:val="00C40948"/>
    <w:rsid w:val="00C46A00"/>
    <w:rsid w:val="00C62053"/>
    <w:rsid w:val="00C8202C"/>
    <w:rsid w:val="00C910EB"/>
    <w:rsid w:val="00CA50F6"/>
    <w:rsid w:val="00CC3ACA"/>
    <w:rsid w:val="00CD2D77"/>
    <w:rsid w:val="00D069D7"/>
    <w:rsid w:val="00D7460F"/>
    <w:rsid w:val="00D9125C"/>
    <w:rsid w:val="00D935F9"/>
    <w:rsid w:val="00DA5670"/>
    <w:rsid w:val="00E1710F"/>
    <w:rsid w:val="00E361DD"/>
    <w:rsid w:val="00E77305"/>
    <w:rsid w:val="00E96ED2"/>
    <w:rsid w:val="00EA0356"/>
    <w:rsid w:val="00ED1A80"/>
    <w:rsid w:val="00EE05C6"/>
    <w:rsid w:val="00F006D8"/>
    <w:rsid w:val="00F249E3"/>
    <w:rsid w:val="00F67006"/>
    <w:rsid w:val="00F84BEB"/>
    <w:rsid w:val="00F86969"/>
    <w:rsid w:val="00FB5BCD"/>
    <w:rsid w:val="00FD4729"/>
    <w:rsid w:val="00FE2C6E"/>
    <w:rsid w:val="00FE7BB0"/>
    <w:rsid w:val="00FF2BF4"/>
    <w:rsid w:val="01E0A1CF"/>
    <w:rsid w:val="4A27B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B3BD"/>
  <w15:chartTrackingRefBased/>
  <w15:docId w15:val="{BF82E4D0-99F4-4A31-8626-C6BD972C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DB"/>
  </w:style>
  <w:style w:type="paragraph" w:styleId="Heading1">
    <w:name w:val="heading 1"/>
    <w:basedOn w:val="Normal"/>
    <w:next w:val="Normal"/>
    <w:link w:val="Heading1Char"/>
    <w:uiPriority w:val="9"/>
    <w:qFormat/>
    <w:rsid w:val="00681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CDB"/>
    <w:rPr>
      <w:rFonts w:eastAsiaTheme="majorEastAsia" w:cstheme="majorBidi"/>
      <w:color w:val="272727" w:themeColor="text1" w:themeTint="D8"/>
    </w:rPr>
  </w:style>
  <w:style w:type="paragraph" w:styleId="Title">
    <w:name w:val="Title"/>
    <w:basedOn w:val="Normal"/>
    <w:next w:val="Normal"/>
    <w:link w:val="TitleChar"/>
    <w:uiPriority w:val="10"/>
    <w:qFormat/>
    <w:rsid w:val="00681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CDB"/>
    <w:pPr>
      <w:spacing w:before="160"/>
      <w:jc w:val="center"/>
    </w:pPr>
    <w:rPr>
      <w:i/>
      <w:iCs/>
      <w:color w:val="404040" w:themeColor="text1" w:themeTint="BF"/>
    </w:rPr>
  </w:style>
  <w:style w:type="character" w:customStyle="1" w:styleId="QuoteChar">
    <w:name w:val="Quote Char"/>
    <w:basedOn w:val="DefaultParagraphFont"/>
    <w:link w:val="Quote"/>
    <w:uiPriority w:val="29"/>
    <w:rsid w:val="00681CDB"/>
    <w:rPr>
      <w:i/>
      <w:iCs/>
      <w:color w:val="404040" w:themeColor="text1" w:themeTint="BF"/>
    </w:rPr>
  </w:style>
  <w:style w:type="paragraph" w:styleId="ListParagraph">
    <w:name w:val="List Paragraph"/>
    <w:basedOn w:val="Normal"/>
    <w:uiPriority w:val="34"/>
    <w:qFormat/>
    <w:rsid w:val="00681CDB"/>
    <w:pPr>
      <w:ind w:left="720"/>
      <w:contextualSpacing/>
    </w:pPr>
  </w:style>
  <w:style w:type="character" w:styleId="IntenseEmphasis">
    <w:name w:val="Intense Emphasis"/>
    <w:basedOn w:val="DefaultParagraphFont"/>
    <w:uiPriority w:val="21"/>
    <w:qFormat/>
    <w:rsid w:val="00681CDB"/>
    <w:rPr>
      <w:i/>
      <w:iCs/>
      <w:color w:val="0F4761" w:themeColor="accent1" w:themeShade="BF"/>
    </w:rPr>
  </w:style>
  <w:style w:type="paragraph" w:styleId="IntenseQuote">
    <w:name w:val="Intense Quote"/>
    <w:basedOn w:val="Normal"/>
    <w:next w:val="Normal"/>
    <w:link w:val="IntenseQuoteChar"/>
    <w:uiPriority w:val="30"/>
    <w:qFormat/>
    <w:rsid w:val="0068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CDB"/>
    <w:rPr>
      <w:i/>
      <w:iCs/>
      <w:color w:val="0F4761" w:themeColor="accent1" w:themeShade="BF"/>
    </w:rPr>
  </w:style>
  <w:style w:type="character" w:styleId="IntenseReference">
    <w:name w:val="Intense Reference"/>
    <w:basedOn w:val="DefaultParagraphFont"/>
    <w:uiPriority w:val="32"/>
    <w:qFormat/>
    <w:rsid w:val="00681CDB"/>
    <w:rPr>
      <w:b/>
      <w:bCs/>
      <w:smallCaps/>
      <w:color w:val="0F4761" w:themeColor="accent1" w:themeShade="BF"/>
      <w:spacing w:val="5"/>
    </w:rPr>
  </w:style>
  <w:style w:type="character" w:styleId="Hyperlink">
    <w:name w:val="Hyperlink"/>
    <w:basedOn w:val="DefaultParagraphFont"/>
    <w:uiPriority w:val="99"/>
    <w:unhideWhenUsed/>
    <w:rsid w:val="00681CDB"/>
    <w:rPr>
      <w:color w:val="467886" w:themeColor="hyperlink"/>
      <w:u w:val="single"/>
    </w:rPr>
  </w:style>
  <w:style w:type="paragraph" w:styleId="FootnoteText">
    <w:name w:val="footnote text"/>
    <w:basedOn w:val="Normal"/>
    <w:link w:val="FootnoteTextChar"/>
    <w:uiPriority w:val="99"/>
    <w:semiHidden/>
    <w:unhideWhenUsed/>
    <w:rsid w:val="00681C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CDB"/>
    <w:rPr>
      <w:sz w:val="20"/>
      <w:szCs w:val="20"/>
    </w:rPr>
  </w:style>
  <w:style w:type="character" w:styleId="FootnoteReference">
    <w:name w:val="footnote reference"/>
    <w:basedOn w:val="DefaultParagraphFont"/>
    <w:uiPriority w:val="99"/>
    <w:semiHidden/>
    <w:unhideWhenUsed/>
    <w:rsid w:val="00681CDB"/>
    <w:rPr>
      <w:vertAlign w:val="superscript"/>
    </w:rPr>
  </w:style>
  <w:style w:type="character" w:styleId="CommentReference">
    <w:name w:val="annotation reference"/>
    <w:basedOn w:val="DefaultParagraphFont"/>
    <w:uiPriority w:val="99"/>
    <w:semiHidden/>
    <w:unhideWhenUsed/>
    <w:rsid w:val="00681CDB"/>
    <w:rPr>
      <w:sz w:val="16"/>
      <w:szCs w:val="16"/>
    </w:rPr>
  </w:style>
  <w:style w:type="paragraph" w:styleId="CommentText">
    <w:name w:val="annotation text"/>
    <w:basedOn w:val="Normal"/>
    <w:link w:val="CommentTextChar"/>
    <w:uiPriority w:val="99"/>
    <w:unhideWhenUsed/>
    <w:rsid w:val="00681CDB"/>
    <w:pPr>
      <w:spacing w:line="240" w:lineRule="auto"/>
    </w:pPr>
    <w:rPr>
      <w:sz w:val="20"/>
      <w:szCs w:val="20"/>
    </w:rPr>
  </w:style>
  <w:style w:type="character" w:customStyle="1" w:styleId="CommentTextChar">
    <w:name w:val="Comment Text Char"/>
    <w:basedOn w:val="DefaultParagraphFont"/>
    <w:link w:val="CommentText"/>
    <w:uiPriority w:val="99"/>
    <w:rsid w:val="00681CDB"/>
    <w:rPr>
      <w:sz w:val="20"/>
      <w:szCs w:val="20"/>
    </w:rPr>
  </w:style>
  <w:style w:type="character" w:styleId="UnresolvedMention">
    <w:name w:val="Unresolved Mention"/>
    <w:basedOn w:val="DefaultParagraphFont"/>
    <w:uiPriority w:val="99"/>
    <w:semiHidden/>
    <w:unhideWhenUsed/>
    <w:rsid w:val="00214E0A"/>
    <w:rPr>
      <w:color w:val="605E5C"/>
      <w:shd w:val="clear" w:color="auto" w:fill="E1DFDD"/>
    </w:rPr>
  </w:style>
  <w:style w:type="paragraph" w:styleId="Header">
    <w:name w:val="header"/>
    <w:basedOn w:val="Normal"/>
    <w:link w:val="HeaderChar"/>
    <w:uiPriority w:val="99"/>
    <w:unhideWhenUsed/>
    <w:rsid w:val="003C2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FB5"/>
  </w:style>
  <w:style w:type="paragraph" w:styleId="Footer">
    <w:name w:val="footer"/>
    <w:basedOn w:val="Normal"/>
    <w:link w:val="FooterChar"/>
    <w:uiPriority w:val="99"/>
    <w:unhideWhenUsed/>
    <w:rsid w:val="003C2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FB5"/>
  </w:style>
  <w:style w:type="paragraph" w:styleId="CommentSubject">
    <w:name w:val="annotation subject"/>
    <w:basedOn w:val="CommentText"/>
    <w:next w:val="CommentText"/>
    <w:link w:val="CommentSubjectChar"/>
    <w:uiPriority w:val="99"/>
    <w:semiHidden/>
    <w:unhideWhenUsed/>
    <w:rsid w:val="00683278"/>
    <w:rPr>
      <w:b/>
      <w:bCs/>
    </w:rPr>
  </w:style>
  <w:style w:type="character" w:customStyle="1" w:styleId="CommentSubjectChar">
    <w:name w:val="Comment Subject Char"/>
    <w:basedOn w:val="CommentTextChar"/>
    <w:link w:val="CommentSubject"/>
    <w:uiPriority w:val="99"/>
    <w:semiHidden/>
    <w:rsid w:val="00683278"/>
    <w:rPr>
      <w:b/>
      <w:bCs/>
      <w:sz w:val="20"/>
      <w:szCs w:val="20"/>
    </w:rPr>
  </w:style>
  <w:style w:type="paragraph" w:customStyle="1" w:styleId="pf0">
    <w:name w:val="pf0"/>
    <w:basedOn w:val="Normal"/>
    <w:rsid w:val="00862B5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862B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independent-patient-choice-and-procurement-panel-review-of-a-proposed-contract-award-intermediate-minor-oral-surgery-services-for-yorkshire-and-the-humb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acceptance-and-prioritisation-criteria-independent-procurement-and-choice-panel/" TargetMode="External"/><Relationship Id="rId2" Type="http://schemas.openxmlformats.org/officeDocument/2006/relationships/hyperlink" Target="https://www.england.nhs.uk/publication/acceptance-and-prioritisation-criteria-independent-procurement-and-choice-panel/" TargetMode="External"/><Relationship Id="rId1" Type="http://schemas.openxmlformats.org/officeDocument/2006/relationships/hyperlink" Target="https://www.england.nhs.uk/publication/independent-patient-choice-and-procurement-panel-review-of-a-proposed-contract-award-intermediate-minor-oral-surgery-services-for-yorkshire-and-the-humber/" TargetMode="External"/><Relationship Id="rId4" Type="http://schemas.openxmlformats.org/officeDocument/2006/relationships/hyperlink" Target="https://www.england.nhs.uk/publication/acceptance-and-prioritisation-criteria-independent-procurement-and-choice-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N xmlns="96410c0b-a514-402d-9462-ba76dadfba38">CMS02</DocumentN>
    <Category xmlns="96410c0b-a514-402d-9462-ba76dadfba38">Case Document</Category>
    <Duplicateversions xmlns="96410c0b-a514-402d-9462-ba76dadfba38" xsi:nil="true"/>
    <lcf76f155ced4ddcb4097134ff3c332f xmlns="96410c0b-a514-402d-9462-ba76dadfba38">
      <Terms xmlns="http://schemas.microsoft.com/office/infopath/2007/PartnerControls"/>
    </lcf76f155ced4ddcb4097134ff3c332f>
    <TaxCatchAll xmlns="47bd0a4b-cdef-49e3-b4c2-dc603af9f461" xsi:nil="true"/>
    <MeetingDate xmlns="96410c0b-a514-402d-9462-ba76dadfba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6" ma:contentTypeDescription="Create a new document." ma:contentTypeScope="" ma:versionID="f305d54e012ac09fbebdd0e928606b8b">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13b26b09df7e3304df9e850f42fa3a7" ns2:_="" ns3:_="">
    <xsd:import namespace="96410c0b-a514-402d-9462-ba76dadfba38"/>
    <xsd:import namespace="47bd0a4b-cdef-49e3-b4c2-dc603af9f461"/>
    <xsd:element name="properties">
      <xsd:complexType>
        <xsd:sequence>
          <xsd:element name="documentManagement">
            <xsd:complexType>
              <xsd:all>
                <xsd:element ref="ns2:Category" minOccurs="0"/>
                <xsd:element ref="ns2:MeetingDate" minOccurs="0"/>
                <xsd:element ref="ns2:DocumentN" minOccurs="0"/>
                <xsd:element ref="ns2:Duplicateversion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Category" ma:index="2"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MeetingDate" ma:index="4" nillable="true" ma:displayName="Meeting Date " ma:format="DateOnly" ma:internalName="MeetingDate">
      <xsd:simpleType>
        <xsd:restriction base="dms:DateTime"/>
      </xsd:simpleType>
    </xsd:element>
    <xsd:element name="DocumentN" ma:index="5" nillable="true" ma:displayName="Document N" ma:format="Dropdown" ma:internalName="DocumentN">
      <xsd:simpleType>
        <xsd:restriction base="dms:Note">
          <xsd:maxLength value="255"/>
        </xsd:restriction>
      </xsd:simpleType>
    </xsd:element>
    <xsd:element name="Duplicateversions" ma:index="6" nillable="true" ma:displayName="Duplicate versions" ma:format="Dropdown" ma:internalName="Duplicateversion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DEA84-9CF1-4C04-94A1-41CA75AE5787}">
  <ds:schemaRefs>
    <ds:schemaRef ds:uri="http://schemas.openxmlformats.org/officeDocument/2006/bibliography"/>
  </ds:schemaRefs>
</ds:datastoreItem>
</file>

<file path=customXml/itemProps2.xml><?xml version="1.0" encoding="utf-8"?>
<ds:datastoreItem xmlns:ds="http://schemas.openxmlformats.org/officeDocument/2006/customXml" ds:itemID="{49F74169-51BB-492B-8A59-BC576A53B571}">
  <ds:schemaRefs>
    <ds:schemaRef ds:uri="http://schemas.microsoft.com/sharepoint/v3/contenttype/forms"/>
  </ds:schemaRefs>
</ds:datastoreItem>
</file>

<file path=customXml/itemProps3.xml><?xml version="1.0" encoding="utf-8"?>
<ds:datastoreItem xmlns:ds="http://schemas.openxmlformats.org/officeDocument/2006/customXml" ds:itemID="{87D72D4C-24B8-4A0F-AE85-2F6818E328FD}">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customXml/itemProps4.xml><?xml version="1.0" encoding="utf-8"?>
<ds:datastoreItem xmlns:ds="http://schemas.openxmlformats.org/officeDocument/2006/customXml" ds:itemID="{A6D91CBE-627C-4F48-ADF5-A93A0A291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(NHS ENGLAND)</dc:creator>
  <cp:keywords/>
  <dc:description/>
  <cp:lastModifiedBy>GRIFFITHS, Tom (NHS SOUTH, CENTRAL AND WEST COMMISSIONING SUPPORT UNIT)</cp:lastModifiedBy>
  <cp:revision>98</cp:revision>
  <cp:lastPrinted>2025-07-29T15:08:00Z</cp:lastPrinted>
  <dcterms:created xsi:type="dcterms:W3CDTF">2025-07-25T08:38:00Z</dcterms:created>
  <dcterms:modified xsi:type="dcterms:W3CDTF">2025-07-29T15:18:00Z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