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5E30" w14:textId="1E3DA7E3" w:rsidR="006301F2" w:rsidRPr="006301F2" w:rsidRDefault="00215C35" w:rsidP="006301F2">
      <w:pPr>
        <w:pStyle w:val="Heading1"/>
        <w:jc w:val="center"/>
      </w:pPr>
      <w:r w:rsidRPr="009E0664">
        <w:t xml:space="preserve">Notification of a Hub </w:t>
      </w:r>
      <w:r w:rsidR="00EA1BE3" w:rsidRPr="009E0664">
        <w:t>and</w:t>
      </w:r>
      <w:r w:rsidRPr="009E0664">
        <w:t xml:space="preserve"> Spoke </w:t>
      </w:r>
      <w:r w:rsidR="009E0664">
        <w:t>a</w:t>
      </w:r>
      <w:r w:rsidRPr="009E0664">
        <w:t xml:space="preserve">rrangement </w:t>
      </w:r>
      <w:r w:rsidR="009E0664">
        <w:t>f</w:t>
      </w:r>
      <w:r w:rsidRPr="009E0664">
        <w:t>orm</w:t>
      </w:r>
    </w:p>
    <w:p w14:paraId="0ABB7642" w14:textId="18D612E9" w:rsidR="00215C35" w:rsidRPr="00215C35" w:rsidRDefault="00215C35" w:rsidP="006301F2">
      <w:pPr>
        <w:rPr>
          <w:rFonts w:eastAsia="Arial" w:cs="Arial"/>
          <w:color w:val="auto"/>
        </w:rPr>
      </w:pPr>
      <w:r w:rsidRPr="006301F2">
        <w:rPr>
          <w:rFonts w:asciiTheme="minorBidi" w:hAnsiTheme="minorBidi" w:cstheme="minorBidi"/>
          <w:color w:val="auto"/>
        </w:rPr>
        <w:t>This form must be submitted at least 28 days prior to the start of the Hub and Spoke arrangement taking effect.</w:t>
      </w:r>
      <w:r w:rsidR="007C2327" w:rsidRPr="006301F2">
        <w:rPr>
          <w:rFonts w:asciiTheme="minorBidi" w:hAnsiTheme="minorBidi" w:cstheme="minorBidi"/>
          <w:color w:val="auto"/>
        </w:rPr>
        <w:t xml:space="preserve"> </w:t>
      </w:r>
      <w:r w:rsidRPr="006301F2">
        <w:rPr>
          <w:rFonts w:asciiTheme="minorBidi" w:hAnsiTheme="minorBidi" w:cstheme="minorBidi"/>
          <w:color w:val="auto"/>
        </w:rPr>
        <w:t xml:space="preserve">It must be submitted by email by the Spoke Pharmacy to their </w:t>
      </w:r>
      <w:r w:rsidR="007C2327" w:rsidRPr="006301F2">
        <w:rPr>
          <w:rFonts w:asciiTheme="minorBidi" w:hAnsiTheme="minorBidi" w:cstheme="minorBidi"/>
          <w:color w:val="auto"/>
        </w:rPr>
        <w:t>i</w:t>
      </w:r>
      <w:r w:rsidRPr="006301F2">
        <w:rPr>
          <w:rFonts w:asciiTheme="minorBidi" w:hAnsiTheme="minorBidi" w:cstheme="minorBidi"/>
          <w:color w:val="auto"/>
        </w:rPr>
        <w:t xml:space="preserve">ntegrated </w:t>
      </w:r>
      <w:r w:rsidR="007C2327" w:rsidRPr="006301F2">
        <w:rPr>
          <w:rFonts w:asciiTheme="minorBidi" w:hAnsiTheme="minorBidi" w:cstheme="minorBidi"/>
          <w:color w:val="auto"/>
        </w:rPr>
        <w:t>c</w:t>
      </w:r>
      <w:r w:rsidRPr="006301F2">
        <w:rPr>
          <w:rFonts w:asciiTheme="minorBidi" w:hAnsiTheme="minorBidi" w:cstheme="minorBidi"/>
          <w:color w:val="auto"/>
        </w:rPr>
        <w:t xml:space="preserve">are </w:t>
      </w:r>
      <w:r w:rsidR="007C2327" w:rsidRPr="006301F2">
        <w:rPr>
          <w:rFonts w:asciiTheme="minorBidi" w:hAnsiTheme="minorBidi" w:cstheme="minorBidi"/>
          <w:color w:val="auto"/>
        </w:rPr>
        <w:t>b</w:t>
      </w:r>
      <w:r w:rsidRPr="006301F2">
        <w:rPr>
          <w:rFonts w:asciiTheme="minorBidi" w:hAnsiTheme="minorBidi" w:cstheme="minorBidi"/>
          <w:color w:val="auto"/>
        </w:rPr>
        <w:t xml:space="preserve">oard (ICB) </w:t>
      </w:r>
      <w:r w:rsidRPr="006301F2">
        <w:rPr>
          <w:rFonts w:asciiTheme="minorBidi" w:eastAsia="Arial" w:hAnsiTheme="minorBidi" w:cstheme="minorBidi"/>
          <w:color w:val="auto"/>
        </w:rPr>
        <w:t xml:space="preserve">pharmacy contract team as detailed on the </w:t>
      </w:r>
      <w:bookmarkStart w:id="0" w:name="_Hlk204578829"/>
      <w:r w:rsidR="006301F2">
        <w:rPr>
          <w:rFonts w:asciiTheme="minorBidi" w:eastAsia="Arial" w:hAnsiTheme="minorBidi" w:cstheme="minorBidi"/>
          <w:color w:val="auto"/>
        </w:rPr>
        <w:fldChar w:fldCharType="begin"/>
      </w:r>
      <w:r w:rsidR="006301F2">
        <w:rPr>
          <w:rFonts w:asciiTheme="minorBidi" w:eastAsia="Arial" w:hAnsiTheme="minorBidi" w:cstheme="minorBidi"/>
          <w:color w:val="auto"/>
        </w:rPr>
        <w:instrText>HYPERLINK "https://www.england.nhs.uk/primary-care/pharmacy/pharmacy-contract-teams/"</w:instrText>
      </w:r>
      <w:r w:rsidR="006301F2">
        <w:rPr>
          <w:rFonts w:asciiTheme="minorBidi" w:eastAsia="Arial" w:hAnsiTheme="minorBidi" w:cstheme="minorBidi"/>
          <w:color w:val="auto"/>
        </w:rPr>
      </w:r>
      <w:r w:rsidR="006301F2">
        <w:rPr>
          <w:rFonts w:asciiTheme="minorBidi" w:eastAsia="Arial" w:hAnsiTheme="minorBidi" w:cstheme="minorBidi"/>
          <w:color w:val="auto"/>
        </w:rPr>
        <w:fldChar w:fldCharType="separate"/>
      </w:r>
      <w:r w:rsidRPr="006301F2">
        <w:rPr>
          <w:rStyle w:val="Hyperlink"/>
          <w:rFonts w:eastAsia="Arial" w:cstheme="minorBidi"/>
        </w:rPr>
        <w:t>pharmacy contract teams web page</w:t>
      </w:r>
      <w:bookmarkEnd w:id="0"/>
      <w:r w:rsidR="006301F2">
        <w:rPr>
          <w:rFonts w:asciiTheme="minorBidi" w:eastAsia="Arial" w:hAnsiTheme="minorBidi" w:cstheme="minorBidi"/>
          <w:color w:val="auto"/>
        </w:rPr>
        <w:fldChar w:fldCharType="end"/>
      </w:r>
      <w:r w:rsidR="0072432D" w:rsidRPr="006301F2">
        <w:rPr>
          <w:rFonts w:asciiTheme="minorBidi" w:eastAsia="Arial" w:hAnsiTheme="minorBidi" w:cstheme="minorBidi"/>
          <w:color w:val="auto"/>
        </w:rPr>
        <w:t xml:space="preserve"> and must only be used where the</w:t>
      </w:r>
      <w:r w:rsidR="00F5723E" w:rsidRPr="006301F2">
        <w:rPr>
          <w:rFonts w:asciiTheme="minorBidi" w:eastAsia="Arial" w:hAnsiTheme="minorBidi" w:cstheme="minorBidi"/>
          <w:color w:val="auto"/>
        </w:rPr>
        <w:t xml:space="preserve"> </w:t>
      </w:r>
      <w:r w:rsidR="00936EBF" w:rsidRPr="006301F2">
        <w:rPr>
          <w:rFonts w:asciiTheme="minorBidi" w:eastAsia="Arial" w:hAnsiTheme="minorBidi" w:cstheme="minorBidi"/>
          <w:color w:val="auto"/>
        </w:rPr>
        <w:t>MYS</w:t>
      </w:r>
      <w:r w:rsidR="00D96F35" w:rsidRPr="006301F2">
        <w:rPr>
          <w:rFonts w:asciiTheme="minorBidi" w:eastAsia="Arial" w:hAnsiTheme="minorBidi" w:cstheme="minorBidi"/>
          <w:color w:val="auto"/>
        </w:rPr>
        <w:t xml:space="preserve"> system is not available for this </w:t>
      </w:r>
      <w:r w:rsidR="001943A5" w:rsidRPr="006301F2">
        <w:rPr>
          <w:rFonts w:asciiTheme="minorBidi" w:eastAsia="Arial" w:hAnsiTheme="minorBidi" w:cstheme="minorBidi"/>
          <w:color w:val="auto"/>
        </w:rPr>
        <w:t>notification.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5C35" w:rsidRPr="00215C35" w14:paraId="7D5D8923" w14:textId="77777777" w:rsidTr="000875BA">
        <w:tc>
          <w:tcPr>
            <w:tcW w:w="9016" w:type="dxa"/>
            <w:gridSpan w:val="2"/>
          </w:tcPr>
          <w:p w14:paraId="480B8797" w14:textId="5547258F" w:rsidR="00215C35" w:rsidRPr="00215C35" w:rsidRDefault="00215C35" w:rsidP="00215C35">
            <w:pPr>
              <w:jc w:val="center"/>
              <w:rPr>
                <w:b/>
                <w:bCs/>
                <w:color w:val="auto"/>
              </w:rPr>
            </w:pPr>
            <w:r w:rsidRPr="00215C35">
              <w:rPr>
                <w:b/>
                <w:bCs/>
                <w:color w:val="auto"/>
              </w:rPr>
              <w:t>SPOKE NHS CONTRACTOR</w:t>
            </w:r>
          </w:p>
        </w:tc>
      </w:tr>
      <w:tr w:rsidR="00215C35" w:rsidRPr="00215C35" w14:paraId="7AE05167" w14:textId="77777777">
        <w:tc>
          <w:tcPr>
            <w:tcW w:w="4508" w:type="dxa"/>
          </w:tcPr>
          <w:p w14:paraId="08630964" w14:textId="2BF4B095" w:rsidR="00215C35" w:rsidRPr="00215C35" w:rsidRDefault="00215C35">
            <w:pPr>
              <w:rPr>
                <w:color w:val="auto"/>
              </w:rPr>
            </w:pPr>
            <w:r w:rsidRPr="00215C35">
              <w:rPr>
                <w:color w:val="auto"/>
              </w:rPr>
              <w:t>Name</w:t>
            </w:r>
          </w:p>
        </w:tc>
        <w:tc>
          <w:tcPr>
            <w:tcW w:w="4508" w:type="dxa"/>
          </w:tcPr>
          <w:p w14:paraId="5A6BF69A" w14:textId="77777777" w:rsidR="00215C35" w:rsidRPr="00215C35" w:rsidRDefault="00215C35">
            <w:pPr>
              <w:rPr>
                <w:color w:val="auto"/>
              </w:rPr>
            </w:pPr>
          </w:p>
        </w:tc>
      </w:tr>
      <w:tr w:rsidR="00215C35" w:rsidRPr="00215C35" w14:paraId="51CD1D9A" w14:textId="77777777">
        <w:tc>
          <w:tcPr>
            <w:tcW w:w="4508" w:type="dxa"/>
          </w:tcPr>
          <w:p w14:paraId="0A9FC5FF" w14:textId="52CAFA9F" w:rsidR="00215C35" w:rsidRPr="00215C35" w:rsidRDefault="00215C35">
            <w:pPr>
              <w:rPr>
                <w:color w:val="auto"/>
              </w:rPr>
            </w:pPr>
            <w:r w:rsidRPr="00215C35">
              <w:rPr>
                <w:color w:val="auto"/>
              </w:rPr>
              <w:t>Trading name (if applicable)</w:t>
            </w:r>
          </w:p>
        </w:tc>
        <w:tc>
          <w:tcPr>
            <w:tcW w:w="4508" w:type="dxa"/>
          </w:tcPr>
          <w:p w14:paraId="2E7B7891" w14:textId="77777777" w:rsidR="00215C35" w:rsidRPr="00215C35" w:rsidRDefault="00215C35">
            <w:pPr>
              <w:rPr>
                <w:color w:val="auto"/>
              </w:rPr>
            </w:pPr>
          </w:p>
        </w:tc>
      </w:tr>
      <w:tr w:rsidR="00215C35" w:rsidRPr="00215C35" w14:paraId="0A6FE1D5" w14:textId="77777777">
        <w:tc>
          <w:tcPr>
            <w:tcW w:w="4508" w:type="dxa"/>
          </w:tcPr>
          <w:p w14:paraId="44F58F5C" w14:textId="222C0A6E" w:rsidR="00215C35" w:rsidRPr="00215C35" w:rsidRDefault="00215C35">
            <w:pPr>
              <w:rPr>
                <w:color w:val="auto"/>
              </w:rPr>
            </w:pPr>
            <w:r w:rsidRPr="00215C35">
              <w:rPr>
                <w:color w:val="auto"/>
              </w:rPr>
              <w:t>ODS code</w:t>
            </w:r>
          </w:p>
        </w:tc>
        <w:tc>
          <w:tcPr>
            <w:tcW w:w="4508" w:type="dxa"/>
          </w:tcPr>
          <w:p w14:paraId="1B89A446" w14:textId="77777777" w:rsidR="00215C35" w:rsidRPr="00215C35" w:rsidRDefault="00215C35">
            <w:pPr>
              <w:rPr>
                <w:color w:val="auto"/>
              </w:rPr>
            </w:pPr>
          </w:p>
        </w:tc>
      </w:tr>
    </w:tbl>
    <w:p w14:paraId="280AFCAF" w14:textId="77777777" w:rsidR="006614E3" w:rsidRPr="00215C35" w:rsidRDefault="006614E3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5C35" w:rsidRPr="00215C35" w14:paraId="0ABE7FAF" w14:textId="77777777" w:rsidTr="004974ED">
        <w:tc>
          <w:tcPr>
            <w:tcW w:w="9016" w:type="dxa"/>
            <w:gridSpan w:val="2"/>
          </w:tcPr>
          <w:p w14:paraId="069B3149" w14:textId="4C9189F6" w:rsidR="00215C35" w:rsidRPr="00215C35" w:rsidRDefault="00215C35" w:rsidP="00215C35">
            <w:pPr>
              <w:jc w:val="center"/>
              <w:rPr>
                <w:b/>
                <w:bCs/>
                <w:color w:val="auto"/>
              </w:rPr>
            </w:pPr>
            <w:r w:rsidRPr="00215C35">
              <w:rPr>
                <w:b/>
                <w:bCs/>
                <w:color w:val="auto"/>
              </w:rPr>
              <w:t xml:space="preserve">HUB </w:t>
            </w:r>
            <w:proofErr w:type="gramStart"/>
            <w:r w:rsidRPr="00215C35">
              <w:rPr>
                <w:b/>
                <w:bCs/>
                <w:color w:val="auto"/>
              </w:rPr>
              <w:t>SUB CONTRACTOR</w:t>
            </w:r>
            <w:proofErr w:type="gramEnd"/>
          </w:p>
        </w:tc>
      </w:tr>
      <w:tr w:rsidR="00215C35" w:rsidRPr="00215C35" w14:paraId="70C71052" w14:textId="77777777">
        <w:tc>
          <w:tcPr>
            <w:tcW w:w="4508" w:type="dxa"/>
          </w:tcPr>
          <w:p w14:paraId="49351EF6" w14:textId="06604506" w:rsidR="00215C35" w:rsidRPr="00215C35" w:rsidRDefault="00215C35">
            <w:pPr>
              <w:rPr>
                <w:color w:val="auto"/>
              </w:rPr>
            </w:pPr>
            <w:r w:rsidRPr="00215C35">
              <w:rPr>
                <w:color w:val="auto"/>
              </w:rPr>
              <w:t>Name</w:t>
            </w:r>
          </w:p>
        </w:tc>
        <w:tc>
          <w:tcPr>
            <w:tcW w:w="4508" w:type="dxa"/>
          </w:tcPr>
          <w:p w14:paraId="15F19AA9" w14:textId="77777777" w:rsidR="00215C35" w:rsidRPr="00215C35" w:rsidRDefault="00215C35">
            <w:pPr>
              <w:rPr>
                <w:color w:val="auto"/>
              </w:rPr>
            </w:pPr>
          </w:p>
        </w:tc>
      </w:tr>
      <w:tr w:rsidR="00215C35" w:rsidRPr="00215C35" w14:paraId="189C3F4B" w14:textId="77777777">
        <w:tc>
          <w:tcPr>
            <w:tcW w:w="4508" w:type="dxa"/>
          </w:tcPr>
          <w:p w14:paraId="1FCA0C35" w14:textId="5E79EED0" w:rsidR="00215C35" w:rsidRPr="00215C35" w:rsidRDefault="00215C35">
            <w:pPr>
              <w:rPr>
                <w:color w:val="auto"/>
              </w:rPr>
            </w:pPr>
            <w:r w:rsidRPr="00215C35">
              <w:rPr>
                <w:color w:val="auto"/>
              </w:rPr>
              <w:t>Trading name (if applicable)</w:t>
            </w:r>
          </w:p>
        </w:tc>
        <w:tc>
          <w:tcPr>
            <w:tcW w:w="4508" w:type="dxa"/>
          </w:tcPr>
          <w:p w14:paraId="25430ED1" w14:textId="77777777" w:rsidR="00215C35" w:rsidRPr="00215C35" w:rsidRDefault="00215C35">
            <w:pPr>
              <w:rPr>
                <w:color w:val="auto"/>
              </w:rPr>
            </w:pPr>
          </w:p>
        </w:tc>
      </w:tr>
      <w:tr w:rsidR="00215C35" w:rsidRPr="00215C35" w14:paraId="5C514DBC" w14:textId="77777777">
        <w:tc>
          <w:tcPr>
            <w:tcW w:w="4508" w:type="dxa"/>
          </w:tcPr>
          <w:p w14:paraId="3D34F225" w14:textId="7B736E43" w:rsidR="00215C35" w:rsidRPr="00215C35" w:rsidRDefault="00E01C12">
            <w:pPr>
              <w:rPr>
                <w:color w:val="auto"/>
              </w:rPr>
            </w:pPr>
            <w:r>
              <w:rPr>
                <w:color w:val="auto"/>
              </w:rPr>
              <w:t>GPhC Premises Number</w:t>
            </w:r>
          </w:p>
        </w:tc>
        <w:tc>
          <w:tcPr>
            <w:tcW w:w="4508" w:type="dxa"/>
          </w:tcPr>
          <w:p w14:paraId="333A3D60" w14:textId="77777777" w:rsidR="00215C35" w:rsidRPr="00215C35" w:rsidRDefault="00215C35">
            <w:pPr>
              <w:rPr>
                <w:color w:val="auto"/>
              </w:rPr>
            </w:pPr>
          </w:p>
        </w:tc>
      </w:tr>
      <w:tr w:rsidR="00215C35" w:rsidRPr="00215C35" w14:paraId="05ABEF4B" w14:textId="77777777">
        <w:tc>
          <w:tcPr>
            <w:tcW w:w="4508" w:type="dxa"/>
          </w:tcPr>
          <w:p w14:paraId="3620188A" w14:textId="36B856BF" w:rsidR="00215C35" w:rsidRPr="00215C35" w:rsidRDefault="00E01C12">
            <w:pPr>
              <w:rPr>
                <w:color w:val="auto"/>
              </w:rPr>
            </w:pPr>
            <w:r w:rsidRPr="00E01C12">
              <w:rPr>
                <w:color w:val="auto"/>
              </w:rPr>
              <w:t xml:space="preserve">Address of the site(s) </w:t>
            </w:r>
            <w:proofErr w:type="gramStart"/>
            <w:r w:rsidRPr="00E01C12">
              <w:rPr>
                <w:color w:val="auto"/>
              </w:rPr>
              <w:t>where</w:t>
            </w:r>
            <w:proofErr w:type="gramEnd"/>
            <w:r w:rsidRPr="00E01C12">
              <w:rPr>
                <w:color w:val="auto"/>
              </w:rPr>
              <w:t xml:space="preserve"> dispensing activity, assembly or part-assembly will take place</w:t>
            </w:r>
          </w:p>
        </w:tc>
        <w:tc>
          <w:tcPr>
            <w:tcW w:w="4508" w:type="dxa"/>
          </w:tcPr>
          <w:p w14:paraId="5300B762" w14:textId="77777777" w:rsidR="00215C35" w:rsidRDefault="00215C35">
            <w:pPr>
              <w:rPr>
                <w:color w:val="auto"/>
              </w:rPr>
            </w:pPr>
          </w:p>
          <w:p w14:paraId="449B262F" w14:textId="77777777" w:rsidR="006614E3" w:rsidRDefault="006614E3">
            <w:pPr>
              <w:rPr>
                <w:color w:val="auto"/>
              </w:rPr>
            </w:pPr>
          </w:p>
          <w:p w14:paraId="085A278D" w14:textId="77777777" w:rsidR="006614E3" w:rsidRPr="00215C35" w:rsidRDefault="006614E3">
            <w:pPr>
              <w:rPr>
                <w:color w:val="auto"/>
              </w:rPr>
            </w:pPr>
          </w:p>
        </w:tc>
      </w:tr>
      <w:tr w:rsidR="00215C35" w:rsidRPr="00215C35" w14:paraId="248D75B1" w14:textId="77777777">
        <w:tc>
          <w:tcPr>
            <w:tcW w:w="4508" w:type="dxa"/>
          </w:tcPr>
          <w:p w14:paraId="3007C406" w14:textId="730F0D3E" w:rsidR="00215C35" w:rsidRPr="00215C35" w:rsidRDefault="00E01C12">
            <w:pPr>
              <w:rPr>
                <w:color w:val="auto"/>
              </w:rPr>
            </w:pPr>
            <w:r>
              <w:rPr>
                <w:color w:val="auto"/>
              </w:rPr>
              <w:t>ODS code (only applicable where the Hub is also an NHS Pharmacy Contractor)</w:t>
            </w:r>
          </w:p>
        </w:tc>
        <w:tc>
          <w:tcPr>
            <w:tcW w:w="4508" w:type="dxa"/>
          </w:tcPr>
          <w:p w14:paraId="34F7E15D" w14:textId="77777777" w:rsidR="00215C35" w:rsidRPr="00215C35" w:rsidRDefault="00215C35">
            <w:pPr>
              <w:rPr>
                <w:color w:val="auto"/>
              </w:rPr>
            </w:pPr>
          </w:p>
        </w:tc>
      </w:tr>
    </w:tbl>
    <w:p w14:paraId="212DA231" w14:textId="77777777" w:rsidR="00E01C12" w:rsidRDefault="00E01C12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1670" w14:paraId="5984B63E" w14:textId="77777777">
        <w:tc>
          <w:tcPr>
            <w:tcW w:w="4508" w:type="dxa"/>
          </w:tcPr>
          <w:p w14:paraId="6538CE54" w14:textId="7F7C2E08" w:rsidR="00F31670" w:rsidRDefault="00DA7C57">
            <w:pPr>
              <w:rPr>
                <w:color w:val="auto"/>
              </w:rPr>
            </w:pPr>
            <w:r>
              <w:rPr>
                <w:color w:val="auto"/>
              </w:rPr>
              <w:t>Earliest d</w:t>
            </w:r>
            <w:r w:rsidR="00F31670">
              <w:rPr>
                <w:color w:val="auto"/>
              </w:rPr>
              <w:t>ate the Hub and Spoke arrangement will commence</w:t>
            </w:r>
            <w:r w:rsidR="0036624B">
              <w:rPr>
                <w:color w:val="auto"/>
              </w:rPr>
              <w:t xml:space="preserve"> (must be at least 28 days after this form is </w:t>
            </w:r>
            <w:r w:rsidR="0036624B" w:rsidRPr="006F0271">
              <w:rPr>
                <w:color w:val="auto"/>
              </w:rPr>
              <w:t>submitted</w:t>
            </w:r>
            <w:r w:rsidR="006F0271" w:rsidRPr="006F0271">
              <w:rPr>
                <w:rFonts w:eastAsia="Arial"/>
                <w:color w:val="auto"/>
              </w:rPr>
              <w:t xml:space="preserve"> </w:t>
            </w:r>
            <w:r w:rsidR="006F0271" w:rsidRPr="006F0271">
              <w:rPr>
                <w:rStyle w:val="normaltextrun"/>
                <w:rFonts w:eastAsia="Arial"/>
                <w:color w:val="auto"/>
              </w:rPr>
              <w:t xml:space="preserve">unless the ICB </w:t>
            </w:r>
            <w:r w:rsidR="006F0271" w:rsidRPr="006F0271">
              <w:rPr>
                <w:rStyle w:val="normaltextrun"/>
                <w:rFonts w:eastAsia="Arial" w:cs="Arial"/>
                <w:color w:val="auto"/>
              </w:rPr>
              <w:t>agree an earlier date before</w:t>
            </w:r>
            <w:r w:rsidR="006F0271" w:rsidRPr="006F0271">
              <w:rPr>
                <w:rStyle w:val="normaltextrun"/>
                <w:rFonts w:eastAsia="Arial"/>
                <w:color w:val="auto"/>
              </w:rPr>
              <w:t xml:space="preserve"> the </w:t>
            </w:r>
            <w:r w:rsidR="006F0271" w:rsidRPr="006F0271">
              <w:rPr>
                <w:rStyle w:val="normaltextrun"/>
                <w:rFonts w:eastAsia="Arial" w:cs="Arial"/>
                <w:color w:val="auto"/>
              </w:rPr>
              <w:t>arrangements commence</w:t>
            </w:r>
            <w:r w:rsidR="0036624B" w:rsidRPr="006F0271">
              <w:rPr>
                <w:color w:val="auto"/>
              </w:rPr>
              <w:t>)</w:t>
            </w:r>
          </w:p>
        </w:tc>
        <w:tc>
          <w:tcPr>
            <w:tcW w:w="4508" w:type="dxa"/>
          </w:tcPr>
          <w:p w14:paraId="4F506021" w14:textId="77777777" w:rsidR="00F31670" w:rsidRDefault="00F31670">
            <w:pPr>
              <w:rPr>
                <w:color w:val="auto"/>
              </w:rPr>
            </w:pPr>
          </w:p>
        </w:tc>
      </w:tr>
    </w:tbl>
    <w:p w14:paraId="0AF0529C" w14:textId="77777777" w:rsidR="00E01C12" w:rsidRDefault="00E01C12">
      <w:pPr>
        <w:rPr>
          <w:color w:val="auto"/>
        </w:rPr>
      </w:pPr>
    </w:p>
    <w:p w14:paraId="02E1AF2C" w14:textId="3E90A09D" w:rsidR="00E01C12" w:rsidRPr="006301F2" w:rsidRDefault="00F71DBA" w:rsidP="006301F2">
      <w:pPr>
        <w:pStyle w:val="Heading1"/>
        <w:jc w:val="center"/>
      </w:pPr>
      <w:r w:rsidRPr="006301F2">
        <w:lastRenderedPageBreak/>
        <w:t>Declaration by the Spoke Pharmacy</w:t>
      </w:r>
    </w:p>
    <w:p w14:paraId="416380EA" w14:textId="77777777" w:rsidR="006301F2" w:rsidRDefault="006301F2" w:rsidP="00E01C12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</w:rPr>
      </w:pPr>
    </w:p>
    <w:p w14:paraId="162972CF" w14:textId="17B978FF" w:rsidR="00E01C12" w:rsidRDefault="00F71DBA" w:rsidP="00E01C12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I/We declare that</w:t>
      </w:r>
      <w:r w:rsidR="00E01C12" w:rsidRPr="0086614B">
        <w:rPr>
          <w:rStyle w:val="eop"/>
          <w:rFonts w:ascii="Arial" w:eastAsia="Arial" w:hAnsi="Arial" w:cs="Arial"/>
        </w:rPr>
        <w:t xml:space="preserve"> </w:t>
      </w:r>
      <w:r w:rsidR="00E01C12">
        <w:rPr>
          <w:rStyle w:val="eop"/>
          <w:rFonts w:ascii="Arial" w:eastAsia="Arial" w:hAnsi="Arial" w:cs="Arial"/>
        </w:rPr>
        <w:t>core dispensing functions</w:t>
      </w:r>
      <w:r w:rsidR="00E01C12" w:rsidRPr="009B0E7C">
        <w:rPr>
          <w:rStyle w:val="eop"/>
          <w:rFonts w:eastAsia="Arial"/>
          <w:sz w:val="16"/>
          <w:szCs w:val="16"/>
          <w:vertAlign w:val="superscript"/>
        </w:rPr>
        <w:footnoteReference w:id="1"/>
      </w:r>
      <w:r w:rsidR="00E01C12" w:rsidRPr="007C3428">
        <w:rPr>
          <w:rStyle w:val="eop"/>
          <w:rFonts w:ascii="Arial" w:eastAsia="Arial" w:hAnsi="Arial" w:cs="Arial"/>
          <w:sz w:val="16"/>
          <w:szCs w:val="16"/>
        </w:rPr>
        <w:t xml:space="preserve"> </w:t>
      </w:r>
      <w:r w:rsidR="00E01C12">
        <w:rPr>
          <w:rStyle w:val="eop"/>
          <w:rFonts w:ascii="Arial" w:eastAsia="Arial" w:hAnsi="Arial" w:cs="Arial"/>
        </w:rPr>
        <w:t xml:space="preserve">are to be subcontracted </w:t>
      </w:r>
      <w:r w:rsidR="0006438A">
        <w:rPr>
          <w:rStyle w:val="eop"/>
          <w:rFonts w:ascii="Arial" w:eastAsia="Arial" w:hAnsi="Arial" w:cs="Arial"/>
        </w:rPr>
        <w:t xml:space="preserve">to the Hub detailed above </w:t>
      </w:r>
      <w:r w:rsidR="00E01C12">
        <w:rPr>
          <w:rStyle w:val="eop"/>
          <w:rFonts w:ascii="Arial" w:eastAsia="Arial" w:hAnsi="Arial" w:cs="Arial"/>
        </w:rPr>
        <w:t xml:space="preserve">under </w:t>
      </w:r>
      <w:r w:rsidR="00E01C12" w:rsidRPr="00A83B10">
        <w:rPr>
          <w:rStyle w:val="eop"/>
          <w:rFonts w:ascii="Arial" w:eastAsia="Arial" w:hAnsi="Arial" w:cs="Arial"/>
        </w:rPr>
        <w:t>written</w:t>
      </w:r>
      <w:r w:rsidR="00E01C12">
        <w:rPr>
          <w:rStyle w:val="eop"/>
          <w:rFonts w:ascii="Arial" w:eastAsia="Arial" w:hAnsi="Arial" w:cs="Arial"/>
        </w:rPr>
        <w:t xml:space="preserve"> hub and spoke arrangements that </w:t>
      </w:r>
      <w:r w:rsidR="00E01C12" w:rsidRPr="0086614B">
        <w:rPr>
          <w:rStyle w:val="eop"/>
          <w:rFonts w:ascii="Arial" w:eastAsia="Arial" w:hAnsi="Arial" w:cs="Arial"/>
        </w:rPr>
        <w:t>include:</w:t>
      </w:r>
    </w:p>
    <w:p w14:paraId="4F26272C" w14:textId="144EB04B" w:rsidR="00E01C12" w:rsidRDefault="00E01C12" w:rsidP="0018387B">
      <w:pPr>
        <w:pStyle w:val="ListParagraph"/>
        <w:numPr>
          <w:ilvl w:val="0"/>
          <w:numId w:val="1"/>
        </w:numPr>
        <w:spacing w:after="0" w:line="240" w:lineRule="auto"/>
        <w:textboxTightWrap w:val="none"/>
        <w:rPr>
          <w:rStyle w:val="eop"/>
          <w:rFonts w:eastAsia="Arial" w:cs="Arial"/>
          <w:color w:val="auto"/>
          <w:lang w:eastAsia="en-GB"/>
        </w:rPr>
      </w:pPr>
      <w:r>
        <w:rPr>
          <w:rStyle w:val="eop"/>
          <w:rFonts w:eastAsia="Arial" w:cs="Arial"/>
          <w:color w:val="auto"/>
          <w:lang w:eastAsia="en-GB"/>
        </w:rPr>
        <w:t>A comprehensive statement of the responsibilities of the Spoke and the Hub for the core dispensing activities</w:t>
      </w:r>
    </w:p>
    <w:p w14:paraId="05B990C4" w14:textId="7EA6C8F6" w:rsidR="00E01C12" w:rsidRPr="00D24433" w:rsidRDefault="00E01C12" w:rsidP="0018387B">
      <w:pPr>
        <w:pStyle w:val="ListParagraph"/>
        <w:numPr>
          <w:ilvl w:val="0"/>
          <w:numId w:val="1"/>
        </w:numPr>
        <w:spacing w:after="0" w:line="240" w:lineRule="auto"/>
        <w:textboxTightWrap w:val="none"/>
        <w:rPr>
          <w:rStyle w:val="eop"/>
          <w:rFonts w:eastAsia="Arial" w:cs="Arial"/>
          <w:color w:val="auto"/>
          <w:lang w:eastAsia="en-GB"/>
        </w:rPr>
      </w:pPr>
      <w:r>
        <w:rPr>
          <w:rStyle w:val="eop"/>
          <w:rFonts w:eastAsia="Arial" w:cs="Arial"/>
          <w:color w:val="auto"/>
          <w:lang w:eastAsia="en-GB"/>
        </w:rPr>
        <w:t>Provision for the Hub to assemble or part-assemble patients’ prescribed medicines that will be dispensed/supplied at or from the Spoke.</w:t>
      </w:r>
      <w:r w:rsidRPr="00A83B10">
        <w:rPr>
          <w:rStyle w:val="eop"/>
          <w:rFonts w:eastAsia="Arial" w:cs="Arial"/>
          <w:color w:val="auto"/>
          <w:lang w:eastAsia="en-GB"/>
        </w:rPr>
        <w:t xml:space="preserve"> The </w:t>
      </w:r>
      <w:r w:rsidRPr="00D24433">
        <w:rPr>
          <w:rStyle w:val="eop"/>
          <w:rFonts w:eastAsia="Arial" w:cs="Arial"/>
          <w:color w:val="auto"/>
          <w:lang w:eastAsia="en-GB"/>
        </w:rPr>
        <w:t xml:space="preserve">arrangements </w:t>
      </w:r>
      <w:r w:rsidR="0018387B" w:rsidRPr="0018387B">
        <w:rPr>
          <w:rStyle w:val="eop"/>
          <w:rFonts w:eastAsia="Arial" w:cs="Arial"/>
          <w:b/>
          <w:bCs/>
          <w:color w:val="auto"/>
          <w:lang w:eastAsia="en-GB"/>
        </w:rPr>
        <w:t>do not</w:t>
      </w:r>
      <w:r w:rsidRPr="0018387B">
        <w:rPr>
          <w:rStyle w:val="eop"/>
          <w:rFonts w:eastAsia="Arial" w:cs="Arial"/>
          <w:b/>
          <w:bCs/>
          <w:color w:val="auto"/>
          <w:lang w:eastAsia="en-GB"/>
        </w:rPr>
        <w:t xml:space="preserve"> </w:t>
      </w:r>
      <w:r w:rsidRPr="00D24433">
        <w:rPr>
          <w:rStyle w:val="eop"/>
          <w:rFonts w:eastAsia="Arial" w:cs="Arial"/>
          <w:color w:val="auto"/>
          <w:lang w:eastAsia="en-GB"/>
        </w:rPr>
        <w:t>allow the Hub to fulfil the order directly to the patient</w:t>
      </w:r>
    </w:p>
    <w:p w14:paraId="3AF35125" w14:textId="35C3FD84" w:rsidR="00E01C12" w:rsidRPr="00C41F40" w:rsidRDefault="00E01C12" w:rsidP="0018387B">
      <w:pPr>
        <w:pStyle w:val="ListParagraph"/>
        <w:numPr>
          <w:ilvl w:val="0"/>
          <w:numId w:val="1"/>
        </w:numPr>
        <w:spacing w:after="0" w:line="240" w:lineRule="auto"/>
        <w:textboxTightWrap w:val="none"/>
        <w:rPr>
          <w:rStyle w:val="eop"/>
          <w:rFonts w:eastAsia="Arial" w:cs="Arial"/>
          <w:color w:val="auto"/>
          <w:lang w:eastAsia="en-GB"/>
        </w:rPr>
      </w:pPr>
      <w:r w:rsidRPr="0086614B">
        <w:rPr>
          <w:rStyle w:val="eop"/>
          <w:rFonts w:eastAsia="Arial" w:cs="Arial"/>
          <w:color w:val="auto"/>
          <w:lang w:eastAsia="en-GB"/>
        </w:rPr>
        <w:t>A data sharing agreement between the parties</w:t>
      </w:r>
      <w:r>
        <w:rPr>
          <w:rStyle w:val="eop"/>
          <w:rFonts w:eastAsia="Arial" w:cs="Arial"/>
          <w:color w:val="auto"/>
          <w:lang w:eastAsia="en-GB"/>
        </w:rPr>
        <w:t xml:space="preserve">, setting out the </w:t>
      </w:r>
      <w:r w:rsidRPr="00D24433">
        <w:rPr>
          <w:rStyle w:val="eop"/>
          <w:rFonts w:eastAsia="Arial" w:cs="Arial"/>
          <w:color w:val="auto"/>
          <w:lang w:eastAsia="en-GB"/>
        </w:rPr>
        <w:t xml:space="preserve">prescription data that will be shared between Spoke and Hub (and that the data must be in accordance with the relevant NHS England </w:t>
      </w:r>
      <w:r>
        <w:rPr>
          <w:rStyle w:val="eop"/>
          <w:rFonts w:eastAsia="Arial" w:cs="Arial"/>
          <w:color w:val="auto"/>
          <w:lang w:eastAsia="en-GB"/>
        </w:rPr>
        <w:t xml:space="preserve">information </w:t>
      </w:r>
      <w:r w:rsidRPr="00D24433">
        <w:rPr>
          <w:rStyle w:val="eop"/>
          <w:rFonts w:eastAsia="Arial" w:cs="Arial"/>
          <w:color w:val="auto"/>
          <w:lang w:eastAsia="en-GB"/>
        </w:rPr>
        <w:t>standard once it is published</w:t>
      </w:r>
      <w:r>
        <w:rPr>
          <w:rStyle w:val="eop"/>
          <w:rFonts w:eastAsia="Arial" w:cs="Arial"/>
          <w:color w:val="auto"/>
          <w:lang w:eastAsia="en-GB"/>
        </w:rPr>
        <w:t>)</w:t>
      </w:r>
    </w:p>
    <w:p w14:paraId="237CDD26" w14:textId="77777777" w:rsidR="00E01C12" w:rsidRPr="0086614B" w:rsidRDefault="00E01C12" w:rsidP="0018387B">
      <w:pPr>
        <w:pStyle w:val="ListParagraph"/>
        <w:numPr>
          <w:ilvl w:val="0"/>
          <w:numId w:val="1"/>
        </w:numPr>
        <w:spacing w:after="0" w:line="240" w:lineRule="auto"/>
        <w:textboxTightWrap w:val="none"/>
        <w:rPr>
          <w:rStyle w:val="eop"/>
          <w:rFonts w:eastAsia="Arial" w:cs="Arial"/>
          <w:color w:val="auto"/>
          <w:lang w:eastAsia="en-GB"/>
        </w:rPr>
      </w:pPr>
      <w:r w:rsidRPr="0086614B">
        <w:rPr>
          <w:rStyle w:val="eop"/>
          <w:rFonts w:eastAsia="Arial" w:cs="Arial"/>
          <w:color w:val="auto"/>
          <w:lang w:eastAsia="en-GB"/>
        </w:rPr>
        <w:t xml:space="preserve">A clear exit clause so that the </w:t>
      </w:r>
      <w:r>
        <w:rPr>
          <w:rStyle w:val="eop"/>
          <w:rFonts w:eastAsia="Arial" w:cs="Arial"/>
          <w:color w:val="auto"/>
          <w:lang w:eastAsia="en-GB"/>
        </w:rPr>
        <w:t xml:space="preserve">Spoke </w:t>
      </w:r>
      <w:r w:rsidRPr="0086614B">
        <w:rPr>
          <w:rStyle w:val="eop"/>
          <w:rFonts w:eastAsia="Arial" w:cs="Arial"/>
          <w:color w:val="auto"/>
          <w:lang w:eastAsia="en-GB"/>
        </w:rPr>
        <w:t xml:space="preserve">can </w:t>
      </w:r>
      <w:r>
        <w:rPr>
          <w:rStyle w:val="eop"/>
          <w:rFonts w:eastAsia="Arial" w:cs="Arial"/>
          <w:color w:val="auto"/>
          <w:lang w:eastAsia="en-GB"/>
        </w:rPr>
        <w:t xml:space="preserve">discontinue </w:t>
      </w:r>
      <w:r w:rsidRPr="0086614B">
        <w:rPr>
          <w:rStyle w:val="eop"/>
          <w:rFonts w:eastAsia="Arial" w:cs="Arial"/>
          <w:color w:val="auto"/>
          <w:lang w:eastAsia="en-GB"/>
        </w:rPr>
        <w:t xml:space="preserve">the </w:t>
      </w:r>
      <w:r>
        <w:rPr>
          <w:rStyle w:val="eop"/>
          <w:rFonts w:eastAsia="Arial" w:cs="Arial"/>
          <w:color w:val="auto"/>
          <w:lang w:eastAsia="en-GB"/>
        </w:rPr>
        <w:t>Hub and Spoke arrangements (</w:t>
      </w:r>
      <w:r w:rsidRPr="0086614B">
        <w:rPr>
          <w:rStyle w:val="eop"/>
          <w:rFonts w:eastAsia="Arial" w:cs="Arial"/>
          <w:color w:val="auto"/>
          <w:lang w:eastAsia="en-GB"/>
        </w:rPr>
        <w:t>sub-contracting</w:t>
      </w:r>
      <w:r>
        <w:rPr>
          <w:rStyle w:val="eop"/>
          <w:rFonts w:eastAsia="Arial" w:cs="Arial"/>
          <w:color w:val="auto"/>
          <w:lang w:eastAsia="en-GB"/>
        </w:rPr>
        <w:t xml:space="preserve"> agreement) at the request of the ICB (in addition to </w:t>
      </w:r>
      <w:r w:rsidRPr="001E0DFE">
        <w:rPr>
          <w:rFonts w:eastAsia="Arial" w:cs="Arial"/>
          <w:color w:val="auto"/>
          <w:lang w:eastAsia="en-GB"/>
        </w:rPr>
        <w:t xml:space="preserve">any patient safety or commercial grounds </w:t>
      </w:r>
      <w:r>
        <w:rPr>
          <w:rFonts w:eastAsia="Arial" w:cs="Arial"/>
          <w:color w:val="auto"/>
          <w:lang w:eastAsia="en-GB"/>
        </w:rPr>
        <w:t>either the Spoke or the Hub may have</w:t>
      </w:r>
      <w:r w:rsidRPr="001E0DFE">
        <w:rPr>
          <w:rFonts w:eastAsia="Arial" w:cs="Arial"/>
          <w:color w:val="auto"/>
          <w:lang w:eastAsia="en-GB"/>
        </w:rPr>
        <w:t xml:space="preserve"> for discontinuing the </w:t>
      </w:r>
      <w:r>
        <w:rPr>
          <w:rFonts w:eastAsia="Arial" w:cs="Arial"/>
          <w:color w:val="auto"/>
          <w:lang w:eastAsia="en-GB"/>
        </w:rPr>
        <w:t>arrangements</w:t>
      </w:r>
      <w:r w:rsidRPr="001E0DFE">
        <w:rPr>
          <w:rFonts w:eastAsia="Arial" w:cs="Arial"/>
          <w:color w:val="auto"/>
          <w:lang w:eastAsia="en-GB"/>
        </w:rPr>
        <w:t xml:space="preserve">) </w:t>
      </w:r>
    </w:p>
    <w:p w14:paraId="083CB314" w14:textId="77777777" w:rsidR="00E01C12" w:rsidRPr="0086614B" w:rsidRDefault="00E01C12" w:rsidP="0018387B">
      <w:pPr>
        <w:pStyle w:val="ListParagraph"/>
        <w:numPr>
          <w:ilvl w:val="0"/>
          <w:numId w:val="1"/>
        </w:numPr>
        <w:spacing w:after="0" w:line="240" w:lineRule="auto"/>
        <w:textboxTightWrap w:val="none"/>
        <w:rPr>
          <w:rStyle w:val="eop"/>
          <w:rFonts w:eastAsia="Arial" w:cs="Arial"/>
          <w:color w:val="auto"/>
          <w:lang w:eastAsia="en-GB"/>
        </w:rPr>
      </w:pPr>
      <w:r w:rsidRPr="0086614B">
        <w:rPr>
          <w:rStyle w:val="eop"/>
          <w:rFonts w:eastAsia="Arial" w:cs="Arial"/>
          <w:color w:val="auto"/>
          <w:lang w:eastAsia="en-GB"/>
        </w:rPr>
        <w:t xml:space="preserve">Provision that the </w:t>
      </w:r>
      <w:r>
        <w:rPr>
          <w:rStyle w:val="eop"/>
          <w:rFonts w:eastAsia="Arial" w:cs="Arial"/>
          <w:color w:val="auto"/>
          <w:lang w:eastAsia="en-GB"/>
        </w:rPr>
        <w:t>Hub may not further sub-contract any of the core dispensing functions that they perform on behalf of the Spoke</w:t>
      </w:r>
    </w:p>
    <w:p w14:paraId="1BAEC98E" w14:textId="77777777" w:rsidR="00E01C12" w:rsidRPr="008C214B" w:rsidRDefault="00E01C12" w:rsidP="0018387B">
      <w:pPr>
        <w:pStyle w:val="ListParagraph"/>
        <w:numPr>
          <w:ilvl w:val="0"/>
          <w:numId w:val="1"/>
        </w:numPr>
        <w:spacing w:after="0" w:line="240" w:lineRule="auto"/>
        <w:textboxTightWrap w:val="none"/>
        <w:rPr>
          <w:rStyle w:val="eop"/>
          <w:rFonts w:eastAsia="Arial" w:cs="Arial"/>
          <w:color w:val="auto"/>
          <w:lang w:eastAsia="en-GB"/>
        </w:rPr>
      </w:pPr>
      <w:r w:rsidRPr="00E01C12">
        <w:rPr>
          <w:rFonts w:eastAsia="Arial"/>
          <w:color w:val="auto"/>
        </w:rPr>
        <w:t>C</w:t>
      </w:r>
      <w:r w:rsidRPr="008C214B">
        <w:rPr>
          <w:rStyle w:val="eop"/>
          <w:rFonts w:eastAsia="Arial" w:cs="Arial"/>
          <w:color w:val="auto"/>
          <w:lang w:eastAsia="en-GB"/>
        </w:rPr>
        <w:t xml:space="preserve">onfirmation that the </w:t>
      </w:r>
      <w:r>
        <w:rPr>
          <w:rStyle w:val="eop"/>
          <w:rFonts w:eastAsia="Arial" w:cs="Arial"/>
          <w:color w:val="auto"/>
          <w:lang w:eastAsia="en-GB"/>
        </w:rPr>
        <w:t xml:space="preserve">Spoke </w:t>
      </w:r>
      <w:r w:rsidRPr="008C214B">
        <w:rPr>
          <w:rStyle w:val="eop"/>
          <w:rFonts w:eastAsia="Arial" w:cs="Arial"/>
          <w:color w:val="auto"/>
          <w:lang w:eastAsia="en-GB"/>
        </w:rPr>
        <w:t>has a business continuity plan</w:t>
      </w:r>
      <w:r>
        <w:rPr>
          <w:rStyle w:val="eop"/>
          <w:rFonts w:eastAsia="Arial" w:cs="Arial"/>
          <w:color w:val="auto"/>
          <w:lang w:eastAsia="en-GB"/>
        </w:rPr>
        <w:t xml:space="preserve"> which contains provisions</w:t>
      </w:r>
      <w:r w:rsidRPr="008C214B">
        <w:rPr>
          <w:rStyle w:val="eop"/>
          <w:rFonts w:eastAsia="Arial" w:cs="Arial"/>
          <w:color w:val="auto"/>
          <w:lang w:eastAsia="en-GB"/>
        </w:rPr>
        <w:t xml:space="preserve"> specific to these </w:t>
      </w:r>
      <w:r>
        <w:rPr>
          <w:rStyle w:val="eop"/>
          <w:rFonts w:eastAsia="Arial" w:cs="Arial"/>
          <w:color w:val="auto"/>
          <w:lang w:eastAsia="en-GB"/>
        </w:rPr>
        <w:t xml:space="preserve">Hub and Spoke </w:t>
      </w:r>
      <w:r w:rsidRPr="008C214B">
        <w:rPr>
          <w:rStyle w:val="eop"/>
          <w:rFonts w:eastAsia="Arial" w:cs="Arial"/>
          <w:color w:val="auto"/>
          <w:lang w:eastAsia="en-GB"/>
        </w:rPr>
        <w:t xml:space="preserve">arrangements that will seek to enable them to continue provision to </w:t>
      </w:r>
      <w:r>
        <w:rPr>
          <w:rStyle w:val="eop"/>
          <w:rFonts w:eastAsia="Arial" w:cs="Arial"/>
          <w:color w:val="auto"/>
          <w:lang w:eastAsia="en-GB"/>
        </w:rPr>
        <w:t>patients/resume</w:t>
      </w:r>
      <w:r w:rsidRPr="008C214B">
        <w:rPr>
          <w:rStyle w:val="eop"/>
          <w:rFonts w:eastAsia="Arial" w:cs="Arial"/>
          <w:color w:val="auto"/>
          <w:lang w:eastAsia="en-GB"/>
        </w:rPr>
        <w:t xml:space="preserve"> provision to patients as required following any temporary or permanent discontinuation or </w:t>
      </w:r>
      <w:r>
        <w:rPr>
          <w:rStyle w:val="eop"/>
          <w:rFonts w:eastAsia="Arial" w:cs="Arial"/>
          <w:color w:val="auto"/>
          <w:lang w:eastAsia="en-GB"/>
        </w:rPr>
        <w:t xml:space="preserve">disruption </w:t>
      </w:r>
      <w:r w:rsidRPr="008C214B">
        <w:rPr>
          <w:rStyle w:val="eop"/>
          <w:rFonts w:eastAsia="Arial" w:cs="Arial"/>
          <w:color w:val="auto"/>
          <w:lang w:eastAsia="en-GB"/>
        </w:rPr>
        <w:t xml:space="preserve">of the service provision by </w:t>
      </w:r>
      <w:r>
        <w:rPr>
          <w:rStyle w:val="eop"/>
          <w:rFonts w:eastAsia="Arial" w:cs="Arial"/>
          <w:color w:val="auto"/>
          <w:lang w:eastAsia="en-GB"/>
        </w:rPr>
        <w:t>Hub</w:t>
      </w:r>
    </w:p>
    <w:p w14:paraId="1B770469" w14:textId="77777777" w:rsidR="00E01C12" w:rsidRPr="00FD3E2F" w:rsidRDefault="00E01C12" w:rsidP="0018387B">
      <w:pPr>
        <w:pStyle w:val="ListParagraph"/>
        <w:numPr>
          <w:ilvl w:val="0"/>
          <w:numId w:val="1"/>
        </w:numPr>
        <w:spacing w:after="0" w:line="240" w:lineRule="auto"/>
        <w:textboxTightWrap w:val="none"/>
        <w:rPr>
          <w:rStyle w:val="eop"/>
          <w:rFonts w:eastAsia="Arial"/>
          <w:color w:val="auto"/>
        </w:rPr>
      </w:pPr>
      <w:r w:rsidRPr="00FD3E2F">
        <w:rPr>
          <w:rStyle w:val="eop"/>
          <w:rFonts w:eastAsia="Arial"/>
          <w:color w:val="auto"/>
        </w:rPr>
        <w:t>A requirement for the Hub to cooperate in any investigations by the Spoke, commissioner or regulatory body in relation to any issue or incident arising from the sub-contracted functions</w:t>
      </w:r>
    </w:p>
    <w:p w14:paraId="1E5CA9A4" w14:textId="77777777" w:rsidR="00BB26B4" w:rsidRDefault="00BB26B4" w:rsidP="00BB26B4">
      <w:pPr>
        <w:pStyle w:val="paragraph"/>
        <w:spacing w:before="0" w:beforeAutospacing="0" w:after="0" w:afterAutospacing="0"/>
        <w:ind w:left="720"/>
        <w:rPr>
          <w:rStyle w:val="eop"/>
          <w:rFonts w:ascii="Arial" w:eastAsia="Arial" w:hAnsi="Arial" w:cs="Arial"/>
        </w:rPr>
      </w:pPr>
    </w:p>
    <w:p w14:paraId="3FF0EFFC" w14:textId="78446C9E" w:rsidR="00E01C12" w:rsidRDefault="00BB26B4" w:rsidP="00BB26B4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I/We confirm</w:t>
      </w:r>
      <w:r w:rsidR="00E01C12">
        <w:rPr>
          <w:rStyle w:val="eop"/>
          <w:rFonts w:ascii="Arial" w:eastAsia="Arial" w:hAnsi="Arial" w:cs="Arial"/>
        </w:rPr>
        <w:t xml:space="preserve"> that </w:t>
      </w:r>
      <w:r w:rsidR="006C62FE">
        <w:rPr>
          <w:rStyle w:val="eop"/>
          <w:rFonts w:ascii="Arial" w:eastAsia="Arial" w:hAnsi="Arial" w:cs="Arial"/>
        </w:rPr>
        <w:t>I/we h</w:t>
      </w:r>
      <w:r w:rsidR="00E01C12">
        <w:rPr>
          <w:rStyle w:val="eop"/>
          <w:rFonts w:ascii="Arial" w:eastAsia="Arial" w:hAnsi="Arial" w:cs="Arial"/>
        </w:rPr>
        <w:t>a</w:t>
      </w:r>
      <w:r w:rsidR="006C62FE">
        <w:rPr>
          <w:rStyle w:val="eop"/>
          <w:rFonts w:ascii="Arial" w:eastAsia="Arial" w:hAnsi="Arial" w:cs="Arial"/>
        </w:rPr>
        <w:t>ve</w:t>
      </w:r>
      <w:r w:rsidR="00E01C12">
        <w:rPr>
          <w:rStyle w:val="eop"/>
          <w:rFonts w:ascii="Arial" w:eastAsia="Arial" w:hAnsi="Arial" w:cs="Arial"/>
        </w:rPr>
        <w:t xml:space="preserve"> undertaken due diligence in relation to</w:t>
      </w:r>
      <w:r w:rsidR="006C62FE">
        <w:rPr>
          <w:rStyle w:val="eop"/>
          <w:rFonts w:ascii="Arial" w:eastAsia="Arial" w:hAnsi="Arial" w:cs="Arial"/>
        </w:rPr>
        <w:t xml:space="preserve"> the</w:t>
      </w:r>
      <w:r w:rsidR="00E01C12">
        <w:rPr>
          <w:rStyle w:val="eop"/>
          <w:rFonts w:ascii="Arial" w:eastAsia="Arial" w:hAnsi="Arial" w:cs="Arial"/>
        </w:rPr>
        <w:t xml:space="preserve"> intention to sub-contract to the Hub (</w:t>
      </w:r>
      <w:r w:rsidR="001B7A47">
        <w:rPr>
          <w:rStyle w:val="eop"/>
          <w:rFonts w:ascii="Arial" w:eastAsia="Arial" w:hAnsi="Arial" w:cs="Arial"/>
        </w:rPr>
        <w:t>including that we have confirmed that the Hub:</w:t>
      </w:r>
      <w:r w:rsidR="00E01C12">
        <w:rPr>
          <w:rStyle w:val="eop"/>
          <w:rFonts w:ascii="Arial" w:eastAsia="Arial" w:hAnsi="Arial" w:cs="Arial"/>
        </w:rPr>
        <w:t xml:space="preserve"> has suitably qualified and trained staff in place; has appropriate indemnity cover in place; </w:t>
      </w:r>
      <w:r w:rsidR="00B81351">
        <w:rPr>
          <w:rStyle w:val="eop"/>
          <w:rFonts w:ascii="Arial" w:eastAsia="Arial" w:hAnsi="Arial" w:cs="Arial"/>
        </w:rPr>
        <w:t xml:space="preserve">has </w:t>
      </w:r>
      <w:r w:rsidR="00E01C12">
        <w:rPr>
          <w:rStyle w:val="eop"/>
          <w:rFonts w:ascii="Arial" w:eastAsia="Arial" w:hAnsi="Arial" w:cs="Arial"/>
        </w:rPr>
        <w:t>a business continuity plan in place to reflect the Hub and Spoke arrangements being entered into etc)</w:t>
      </w:r>
    </w:p>
    <w:p w14:paraId="1A4928AD" w14:textId="77777777" w:rsidR="00FD23AE" w:rsidRDefault="00FD23AE" w:rsidP="00BB26B4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</w:rPr>
      </w:pPr>
    </w:p>
    <w:p w14:paraId="311C125C" w14:textId="77777777" w:rsidR="00FD23AE" w:rsidRDefault="00FD23AE" w:rsidP="00BB26B4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23AE" w14:paraId="7C58131C" w14:textId="77777777">
        <w:tc>
          <w:tcPr>
            <w:tcW w:w="4508" w:type="dxa"/>
          </w:tcPr>
          <w:p w14:paraId="77D5BBA6" w14:textId="04CF1643" w:rsidR="00FD23AE" w:rsidRDefault="00FD23AE" w:rsidP="00FD23AE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Arial" w:eastAsia="Arial" w:hAnsi="Arial" w:cs="Arial"/>
              </w:rPr>
            </w:pPr>
            <w:r>
              <w:rPr>
                <w:rStyle w:val="eop"/>
                <w:rFonts w:ascii="Arial" w:eastAsia="Arial" w:hAnsi="Arial" w:cs="Arial"/>
              </w:rPr>
              <w:t>Form</w:t>
            </w:r>
            <w:r w:rsidR="00986049">
              <w:rPr>
                <w:rStyle w:val="eop"/>
                <w:rFonts w:ascii="Arial" w:eastAsia="Arial" w:hAnsi="Arial" w:cs="Arial"/>
              </w:rPr>
              <w:t xml:space="preserve"> and declaration</w:t>
            </w:r>
            <w:r>
              <w:rPr>
                <w:rStyle w:val="eop"/>
                <w:rFonts w:ascii="Arial" w:eastAsia="Arial" w:hAnsi="Arial" w:cs="Arial"/>
              </w:rPr>
              <w:t xml:space="preserve"> completed by</w:t>
            </w:r>
            <w:r w:rsidR="009032B0">
              <w:rPr>
                <w:rStyle w:val="eop"/>
                <w:rFonts w:ascii="Arial" w:eastAsia="Arial" w:hAnsi="Arial" w:cs="Arial"/>
              </w:rPr>
              <w:t xml:space="preserve">: </w:t>
            </w:r>
          </w:p>
        </w:tc>
        <w:tc>
          <w:tcPr>
            <w:tcW w:w="4508" w:type="dxa"/>
          </w:tcPr>
          <w:p w14:paraId="5D8CC46B" w14:textId="1795B60D" w:rsidR="00FD23AE" w:rsidRDefault="009032B0" w:rsidP="009032B0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Arial" w:eastAsia="Arial" w:hAnsi="Arial" w:cs="Arial"/>
              </w:rPr>
            </w:pPr>
            <w:r>
              <w:rPr>
                <w:rStyle w:val="eop"/>
                <w:rFonts w:ascii="Arial" w:eastAsia="Arial" w:hAnsi="Arial" w:cs="Arial"/>
              </w:rPr>
              <w:t>Date form completed</w:t>
            </w:r>
            <w:r w:rsidR="00986049">
              <w:rPr>
                <w:rStyle w:val="eop"/>
                <w:rFonts w:ascii="Arial" w:eastAsia="Arial" w:hAnsi="Arial" w:cs="Arial"/>
              </w:rPr>
              <w:t>:</w:t>
            </w:r>
          </w:p>
        </w:tc>
      </w:tr>
      <w:tr w:rsidR="00FD23AE" w14:paraId="375C932A" w14:textId="77777777">
        <w:tc>
          <w:tcPr>
            <w:tcW w:w="4508" w:type="dxa"/>
          </w:tcPr>
          <w:p w14:paraId="6EE3BEF7" w14:textId="77777777" w:rsidR="00FD23AE" w:rsidRDefault="00FD23AE" w:rsidP="00BB26B4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  <w:p w14:paraId="5FAFFE76" w14:textId="77777777" w:rsidR="009032B0" w:rsidRDefault="009032B0" w:rsidP="00BB26B4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  <w:p w14:paraId="573DC83B" w14:textId="77777777" w:rsidR="009032B0" w:rsidRDefault="009032B0" w:rsidP="00BB26B4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  <w:p w14:paraId="011A8511" w14:textId="77777777" w:rsidR="009032B0" w:rsidRDefault="009032B0" w:rsidP="00BB26B4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  <w:p w14:paraId="59E21BFF" w14:textId="3930672F" w:rsidR="009032B0" w:rsidRPr="009032B0" w:rsidRDefault="009032B0" w:rsidP="00BB26B4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16"/>
                <w:szCs w:val="16"/>
              </w:rPr>
            </w:pPr>
            <w:r>
              <w:rPr>
                <w:rStyle w:val="eop"/>
                <w:rFonts w:ascii="Arial" w:eastAsia="Arial" w:hAnsi="Arial" w:cs="Arial"/>
                <w:sz w:val="16"/>
                <w:szCs w:val="16"/>
              </w:rPr>
              <w:t>Please also include here an email/telephone number where the ICB can contact you should there be any query on the content of this form.</w:t>
            </w:r>
          </w:p>
        </w:tc>
        <w:tc>
          <w:tcPr>
            <w:tcW w:w="4508" w:type="dxa"/>
          </w:tcPr>
          <w:p w14:paraId="5258E52B" w14:textId="77777777" w:rsidR="00FD23AE" w:rsidRDefault="00FD23AE" w:rsidP="00BB26B4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</w:tc>
      </w:tr>
    </w:tbl>
    <w:p w14:paraId="3F04796C" w14:textId="77777777" w:rsidR="00E01C12" w:rsidRPr="00215C35" w:rsidRDefault="00E01C12">
      <w:pPr>
        <w:rPr>
          <w:color w:val="auto"/>
        </w:rPr>
      </w:pPr>
    </w:p>
    <w:sectPr w:rsidR="00E01C12" w:rsidRPr="00215C35" w:rsidSect="006301F2">
      <w:pgSz w:w="11906" w:h="16838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7B1D" w14:textId="77777777" w:rsidR="00260A1F" w:rsidRDefault="00260A1F" w:rsidP="00E01C12">
      <w:pPr>
        <w:spacing w:after="0" w:line="240" w:lineRule="auto"/>
      </w:pPr>
      <w:r>
        <w:separator/>
      </w:r>
    </w:p>
  </w:endnote>
  <w:endnote w:type="continuationSeparator" w:id="0">
    <w:p w14:paraId="7207274A" w14:textId="77777777" w:rsidR="00260A1F" w:rsidRDefault="00260A1F" w:rsidP="00E0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F17C" w14:textId="77777777" w:rsidR="00260A1F" w:rsidRDefault="00260A1F" w:rsidP="00E01C12">
      <w:pPr>
        <w:spacing w:after="0" w:line="240" w:lineRule="auto"/>
      </w:pPr>
      <w:r>
        <w:separator/>
      </w:r>
    </w:p>
  </w:footnote>
  <w:footnote w:type="continuationSeparator" w:id="0">
    <w:p w14:paraId="1D1C2035" w14:textId="77777777" w:rsidR="00260A1F" w:rsidRDefault="00260A1F" w:rsidP="00E01C12">
      <w:pPr>
        <w:spacing w:after="0" w:line="240" w:lineRule="auto"/>
      </w:pPr>
      <w:r>
        <w:continuationSeparator/>
      </w:r>
    </w:p>
  </w:footnote>
  <w:footnote w:id="1">
    <w:p w14:paraId="6406E7AC" w14:textId="77777777" w:rsidR="00E01C12" w:rsidRPr="008257C6" w:rsidRDefault="00E01C12" w:rsidP="006301F2">
      <w:pPr>
        <w:pStyle w:val="FootnoteText"/>
        <w:rPr>
          <w:lang w:val="en-US"/>
        </w:rPr>
      </w:pPr>
      <w:r w:rsidRPr="009032B0">
        <w:rPr>
          <w:rStyle w:val="FootnoteReference"/>
          <w:color w:val="auto"/>
        </w:rPr>
        <w:footnoteRef/>
      </w:r>
      <w:r w:rsidRPr="009032B0">
        <w:rPr>
          <w:color w:val="auto"/>
        </w:rPr>
        <w:t xml:space="preserve"> “core dispensing functions” means the assembly or part-assembly of any prescription item (including bagging and the application of dispensing labels) with a view to the supply of that prescription item in accordance with a prescription, a serious shortage protocol (SSP), a listed prescription item voucher (LPIV), a pandemic treatment protocol (PTP) or a patient treatment protocol group direction (PTPGD).”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53A12"/>
    <w:multiLevelType w:val="hybridMultilevel"/>
    <w:tmpl w:val="1B32927C"/>
    <w:lvl w:ilvl="0" w:tplc="5706E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61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35"/>
    <w:rsid w:val="0006438A"/>
    <w:rsid w:val="0018387B"/>
    <w:rsid w:val="001943A5"/>
    <w:rsid w:val="001B7A47"/>
    <w:rsid w:val="00215C35"/>
    <w:rsid w:val="00260A1F"/>
    <w:rsid w:val="0036624B"/>
    <w:rsid w:val="003E365D"/>
    <w:rsid w:val="00423A28"/>
    <w:rsid w:val="005707A2"/>
    <w:rsid w:val="005E298B"/>
    <w:rsid w:val="006301F2"/>
    <w:rsid w:val="006614E3"/>
    <w:rsid w:val="006C62FE"/>
    <w:rsid w:val="006F0271"/>
    <w:rsid w:val="006F689C"/>
    <w:rsid w:val="0072432D"/>
    <w:rsid w:val="007C2327"/>
    <w:rsid w:val="009032B0"/>
    <w:rsid w:val="00936EBF"/>
    <w:rsid w:val="009778F6"/>
    <w:rsid w:val="00986049"/>
    <w:rsid w:val="009E0664"/>
    <w:rsid w:val="00A03027"/>
    <w:rsid w:val="00B81351"/>
    <w:rsid w:val="00B91A2B"/>
    <w:rsid w:val="00BB26B4"/>
    <w:rsid w:val="00CD2623"/>
    <w:rsid w:val="00D807D8"/>
    <w:rsid w:val="00D96F35"/>
    <w:rsid w:val="00DA7C57"/>
    <w:rsid w:val="00E01C12"/>
    <w:rsid w:val="00EA1BE3"/>
    <w:rsid w:val="00F31670"/>
    <w:rsid w:val="00F5723E"/>
    <w:rsid w:val="00F71DBA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EA3B"/>
  <w15:chartTrackingRefBased/>
  <w15:docId w15:val="{4EB16649-19A1-4A1F-B6C7-20258E42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15C35"/>
    <w:pPr>
      <w:spacing w:after="240" w:line="264" w:lineRule="auto"/>
      <w:textboxTightWrap w:val="lastLineOnly"/>
    </w:pPr>
    <w:rPr>
      <w:rFonts w:ascii="Arial" w:eastAsia="Times New Roman" w:hAnsi="Arial" w:cs="Times New Roman"/>
      <w:color w:val="4EA72E" w:themeColor="accent6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1F2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1F2"/>
    <w:rPr>
      <w:rFonts w:ascii="Arial" w:eastAsiaTheme="majorEastAsia" w:hAnsi="Arial" w:cstheme="majorBidi"/>
      <w:color w:val="000000" w:themeColor="text1"/>
      <w:kern w:val="0"/>
      <w:sz w:val="36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C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15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C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6301F2"/>
    <w:rPr>
      <w:rFonts w:asciiTheme="minorBidi" w:hAnsiTheme="minorBidi"/>
      <w:color w:val="4C94D8" w:themeColor="text2" w:themeTint="80"/>
      <w:u w:val="single"/>
    </w:rPr>
  </w:style>
  <w:style w:type="table" w:styleId="TableGrid">
    <w:name w:val="Table Grid"/>
    <w:basedOn w:val="TableNormal"/>
    <w:uiPriority w:val="39"/>
    <w:rsid w:val="0021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E01C12"/>
    <w:rPr>
      <w:rFonts w:ascii="Arial" w:eastAsia="Times New Roman" w:hAnsi="Arial" w:cs="Times New Roman"/>
      <w:color w:val="4EA72E" w:themeColor="accent6"/>
      <w:kern w:val="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01C12"/>
    <w:rPr>
      <w:vertAlign w:val="superscript"/>
    </w:rPr>
  </w:style>
  <w:style w:type="paragraph" w:customStyle="1" w:styleId="paragraph">
    <w:name w:val="paragraph"/>
    <w:basedOn w:val="Normal"/>
    <w:rsid w:val="00E01C12"/>
    <w:pPr>
      <w:spacing w:before="100" w:beforeAutospacing="1" w:after="100" w:afterAutospacing="1" w:line="240" w:lineRule="auto"/>
      <w:textboxTightWrap w:val="none"/>
    </w:pPr>
    <w:rPr>
      <w:rFonts w:ascii="Times New Roman" w:hAnsi="Times New Roman"/>
      <w:color w:val="auto"/>
      <w:lang w:eastAsia="en-GB"/>
    </w:rPr>
  </w:style>
  <w:style w:type="character" w:customStyle="1" w:styleId="eop">
    <w:name w:val="eop"/>
    <w:basedOn w:val="DefaultParagraphFont"/>
    <w:rsid w:val="00E01C12"/>
  </w:style>
  <w:style w:type="paragraph" w:styleId="FootnoteText">
    <w:name w:val="footnote text"/>
    <w:basedOn w:val="Normal"/>
    <w:link w:val="FootnoteTextChar"/>
    <w:uiPriority w:val="99"/>
    <w:semiHidden/>
    <w:unhideWhenUsed/>
    <w:rsid w:val="00E01C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C12"/>
    <w:rPr>
      <w:rFonts w:ascii="Arial" w:eastAsia="Times New Roman" w:hAnsi="Arial" w:cs="Times New Roman"/>
      <w:color w:val="4EA72E" w:themeColor="accent6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6F0271"/>
  </w:style>
  <w:style w:type="character" w:styleId="UnresolvedMention">
    <w:name w:val="Unresolved Mention"/>
    <w:basedOn w:val="DefaultParagraphFont"/>
    <w:uiPriority w:val="99"/>
    <w:semiHidden/>
    <w:unhideWhenUsed/>
    <w:rsid w:val="006301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0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F2"/>
    <w:rPr>
      <w:rFonts w:ascii="Arial" w:eastAsia="Times New Roman" w:hAnsi="Arial" w:cs="Times New Roman"/>
      <w:color w:val="4EA72E" w:themeColor="accent6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0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F2"/>
    <w:rPr>
      <w:rFonts w:ascii="Arial" w:eastAsia="Times New Roman" w:hAnsi="Arial" w:cs="Times New Roman"/>
      <w:color w:val="4EA72E" w:themeColor="accent6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HORSFALL, Jane (NHS ENGLAND)</dc:creator>
  <cp:keywords/>
  <dc:description/>
  <cp:lastModifiedBy>BOSHELL, Joanne (NHS ENGLAND)</cp:lastModifiedBy>
  <cp:revision>28</cp:revision>
  <dcterms:created xsi:type="dcterms:W3CDTF">2025-08-21T15:01:00Z</dcterms:created>
  <dcterms:modified xsi:type="dcterms:W3CDTF">2025-09-29T13:31:00Z</dcterms:modified>
</cp:coreProperties>
</file>