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43F9C" w14:textId="4FA48E90" w:rsidR="00073523" w:rsidRPr="00C2528A" w:rsidRDefault="00BA1284" w:rsidP="00C2528A">
      <w:pPr>
        <w:pStyle w:val="Title"/>
      </w:pPr>
      <w:r w:rsidRPr="00C2528A">
        <w:t>I</w:t>
      </w:r>
      <w:bookmarkStart w:id="0" w:name="_Ref206756673"/>
      <w:bookmarkEnd w:id="0"/>
      <w:r w:rsidRPr="00C2528A">
        <w:t>ndependent Patient Choice and Procurement Panel</w:t>
      </w:r>
    </w:p>
    <w:p w14:paraId="099EC198" w14:textId="0B653141" w:rsidR="00BA1284" w:rsidRPr="00E56C34" w:rsidRDefault="00BA1284" w:rsidP="00E56C34">
      <w:pPr>
        <w:pStyle w:val="Subtitle"/>
      </w:pPr>
      <w:r w:rsidRPr="00E56C34">
        <w:t xml:space="preserve">Review of a </w:t>
      </w:r>
      <w:r w:rsidR="008864AD" w:rsidRPr="00E56C34">
        <w:t>proposed contract award</w:t>
      </w:r>
    </w:p>
    <w:p w14:paraId="14D3A4FB" w14:textId="77777777" w:rsidR="00C2528A" w:rsidRDefault="00C2528A" w:rsidP="00812B38">
      <w:pPr>
        <w:pStyle w:val="Subtitle"/>
        <w:rPr>
          <w:highlight w:val="yellow"/>
        </w:rPr>
      </w:pPr>
    </w:p>
    <w:p w14:paraId="3D241E8A" w14:textId="2B69B2B9" w:rsidR="008864AD" w:rsidRPr="00B53993" w:rsidRDefault="00C41D72" w:rsidP="00812B38">
      <w:pPr>
        <w:pStyle w:val="Subtitle"/>
      </w:pPr>
      <w:r>
        <w:t xml:space="preserve">Talking Therapies and Psychological Therapies for Severe Mental Health Problems </w:t>
      </w:r>
      <w:r w:rsidR="00754215">
        <w:t>for</w:t>
      </w:r>
      <w:r>
        <w:t xml:space="preserve"> Mid and South Essex</w:t>
      </w:r>
    </w:p>
    <w:p w14:paraId="6D39B052" w14:textId="77777777" w:rsidR="00DC6D78" w:rsidRDefault="00DC6D78"/>
    <w:p w14:paraId="477EAD69" w14:textId="77777777" w:rsidR="0025106C" w:rsidRDefault="0025106C" w:rsidP="00812B38">
      <w:pPr>
        <w:pStyle w:val="Subtitle"/>
        <w:rPr>
          <w:sz w:val="28"/>
          <w:szCs w:val="24"/>
        </w:rPr>
      </w:pPr>
    </w:p>
    <w:p w14:paraId="70E108B0" w14:textId="77777777" w:rsidR="0025106C" w:rsidRDefault="0025106C" w:rsidP="00812B38">
      <w:pPr>
        <w:pStyle w:val="Subtitle"/>
        <w:rPr>
          <w:sz w:val="28"/>
          <w:szCs w:val="24"/>
        </w:rPr>
      </w:pPr>
    </w:p>
    <w:p w14:paraId="083AECAA" w14:textId="77777777" w:rsidR="0025106C" w:rsidRDefault="0025106C" w:rsidP="00812B38">
      <w:pPr>
        <w:pStyle w:val="Subtitle"/>
        <w:rPr>
          <w:sz w:val="28"/>
          <w:szCs w:val="24"/>
        </w:rPr>
      </w:pPr>
    </w:p>
    <w:p w14:paraId="4FA54F58" w14:textId="5318031A" w:rsidR="00D6101B" w:rsidRPr="00812B38" w:rsidRDefault="00D6101B" w:rsidP="00812B38">
      <w:pPr>
        <w:pStyle w:val="Subtitle"/>
        <w:rPr>
          <w:sz w:val="28"/>
          <w:szCs w:val="24"/>
        </w:rPr>
      </w:pPr>
      <w:r w:rsidRPr="00812B38">
        <w:rPr>
          <w:sz w:val="28"/>
          <w:szCs w:val="24"/>
        </w:rPr>
        <w:t>Case Reference</w:t>
      </w:r>
      <w:r w:rsidRPr="00754215">
        <w:rPr>
          <w:sz w:val="28"/>
          <w:szCs w:val="24"/>
        </w:rPr>
        <w:t>: CR00</w:t>
      </w:r>
      <w:r w:rsidR="00C41D72" w:rsidRPr="00754215">
        <w:rPr>
          <w:sz w:val="28"/>
          <w:szCs w:val="24"/>
        </w:rPr>
        <w:t>21-25 and CR0022-25</w:t>
      </w:r>
    </w:p>
    <w:p w14:paraId="2FD38E52" w14:textId="5035349F" w:rsidR="00D6101B" w:rsidRPr="00812B38" w:rsidRDefault="003854CA" w:rsidP="00812B38">
      <w:pPr>
        <w:pStyle w:val="Subtitle"/>
        <w:rPr>
          <w:sz w:val="28"/>
          <w:szCs w:val="24"/>
        </w:rPr>
      </w:pPr>
      <w:r>
        <w:rPr>
          <w:sz w:val="28"/>
          <w:szCs w:val="24"/>
        </w:rPr>
        <w:t>2</w:t>
      </w:r>
      <w:r w:rsidR="00A86008">
        <w:rPr>
          <w:sz w:val="28"/>
          <w:szCs w:val="24"/>
        </w:rPr>
        <w:t>4</w:t>
      </w:r>
      <w:r w:rsidR="00754215">
        <w:rPr>
          <w:sz w:val="28"/>
          <w:szCs w:val="24"/>
        </w:rPr>
        <w:t xml:space="preserve"> </w:t>
      </w:r>
      <w:r w:rsidR="00C7579E">
        <w:rPr>
          <w:sz w:val="28"/>
          <w:szCs w:val="24"/>
        </w:rPr>
        <w:t>September</w:t>
      </w:r>
      <w:r w:rsidR="00C41D72">
        <w:rPr>
          <w:sz w:val="28"/>
          <w:szCs w:val="24"/>
        </w:rPr>
        <w:t xml:space="preserve"> 2025</w:t>
      </w:r>
    </w:p>
    <w:p w14:paraId="6AF81D4D" w14:textId="4B890C22" w:rsidR="0005616B" w:rsidRDefault="0005616B">
      <w:pPr>
        <w:rPr>
          <w:b/>
          <w:bCs/>
          <w:color w:val="0070C0"/>
          <w:sz w:val="28"/>
          <w:szCs w:val="28"/>
        </w:rPr>
      </w:pPr>
      <w:r>
        <w:rPr>
          <w:b/>
          <w:bCs/>
          <w:color w:val="0070C0"/>
          <w:sz w:val="28"/>
          <w:szCs w:val="28"/>
        </w:rPr>
        <w:br w:type="page"/>
      </w:r>
    </w:p>
    <w:sdt>
      <w:sdtPr>
        <w:rPr>
          <w:rFonts w:cs="Arial"/>
          <w:b/>
          <w:bCs/>
          <w:sz w:val="28"/>
          <w:szCs w:val="28"/>
        </w:rPr>
        <w:id w:val="-119384216"/>
        <w:docPartObj>
          <w:docPartGallery w:val="Table of Contents"/>
          <w:docPartUnique/>
        </w:docPartObj>
      </w:sdtPr>
      <w:sdtEndPr>
        <w:rPr>
          <w:rFonts w:cstheme="minorBidi"/>
          <w:sz w:val="22"/>
          <w:szCs w:val="22"/>
        </w:rPr>
      </w:sdtEndPr>
      <w:sdtContent>
        <w:p w14:paraId="5566C04A" w14:textId="4E1AFD3B" w:rsidR="00B42AE6" w:rsidRPr="00971C84" w:rsidRDefault="00B42AE6" w:rsidP="00971C84">
          <w:pPr>
            <w:rPr>
              <w:rFonts w:cs="Arial"/>
              <w:b/>
              <w:bCs/>
              <w:sz w:val="28"/>
              <w:szCs w:val="28"/>
            </w:rPr>
          </w:pPr>
          <w:r w:rsidRPr="00971C84">
            <w:rPr>
              <w:rFonts w:cs="Arial"/>
              <w:b/>
              <w:bCs/>
              <w:sz w:val="28"/>
              <w:szCs w:val="28"/>
            </w:rPr>
            <w:t>Contents</w:t>
          </w:r>
        </w:p>
        <w:p w14:paraId="61C93F89" w14:textId="67AFC706" w:rsidR="000E08AC" w:rsidRDefault="00B42AE6">
          <w:pPr>
            <w:pStyle w:val="TOC1"/>
            <w:tabs>
              <w:tab w:val="left" w:pos="440"/>
              <w:tab w:val="right" w:leader="dot" w:pos="9016"/>
            </w:tabs>
            <w:rPr>
              <w:rFonts w:asciiTheme="minorHAnsi" w:eastAsiaTheme="minorEastAsia" w:hAnsiTheme="minorHAnsi"/>
              <w:noProof/>
              <w:sz w:val="24"/>
              <w:szCs w:val="24"/>
              <w:lang w:eastAsia="en-GB"/>
            </w:rPr>
          </w:pPr>
          <w:r>
            <w:fldChar w:fldCharType="begin"/>
          </w:r>
          <w:r>
            <w:instrText xml:space="preserve"> TOC \o "1-3" \h \z \u </w:instrText>
          </w:r>
          <w:r>
            <w:fldChar w:fldCharType="separate"/>
          </w:r>
          <w:hyperlink w:anchor="_Toc209611763" w:history="1">
            <w:r w:rsidR="000E08AC" w:rsidRPr="00311D84">
              <w:rPr>
                <w:rStyle w:val="Hyperlink"/>
                <w:noProof/>
              </w:rPr>
              <w:t>1</w:t>
            </w:r>
            <w:r w:rsidR="000E08AC">
              <w:rPr>
                <w:rFonts w:asciiTheme="minorHAnsi" w:eastAsiaTheme="minorEastAsia" w:hAnsiTheme="minorHAnsi"/>
                <w:noProof/>
                <w:sz w:val="24"/>
                <w:szCs w:val="24"/>
                <w:lang w:eastAsia="en-GB"/>
              </w:rPr>
              <w:tab/>
            </w:r>
            <w:r w:rsidR="000E08AC" w:rsidRPr="00311D84">
              <w:rPr>
                <w:rStyle w:val="Hyperlink"/>
                <w:noProof/>
              </w:rPr>
              <w:t>Executive Summary</w:t>
            </w:r>
            <w:r w:rsidR="000E08AC">
              <w:rPr>
                <w:noProof/>
                <w:webHidden/>
              </w:rPr>
              <w:tab/>
            </w:r>
            <w:r w:rsidR="000E08AC">
              <w:rPr>
                <w:noProof/>
                <w:webHidden/>
              </w:rPr>
              <w:fldChar w:fldCharType="begin"/>
            </w:r>
            <w:r w:rsidR="000E08AC">
              <w:rPr>
                <w:noProof/>
                <w:webHidden/>
              </w:rPr>
              <w:instrText xml:space="preserve"> PAGEREF _Toc209611763 \h </w:instrText>
            </w:r>
            <w:r w:rsidR="000E08AC">
              <w:rPr>
                <w:noProof/>
                <w:webHidden/>
              </w:rPr>
            </w:r>
            <w:r w:rsidR="000E08AC">
              <w:rPr>
                <w:noProof/>
                <w:webHidden/>
              </w:rPr>
              <w:fldChar w:fldCharType="separate"/>
            </w:r>
            <w:r w:rsidR="00D80BDB">
              <w:rPr>
                <w:noProof/>
                <w:webHidden/>
              </w:rPr>
              <w:t>3</w:t>
            </w:r>
            <w:r w:rsidR="000E08AC">
              <w:rPr>
                <w:noProof/>
                <w:webHidden/>
              </w:rPr>
              <w:fldChar w:fldCharType="end"/>
            </w:r>
          </w:hyperlink>
        </w:p>
        <w:p w14:paraId="00975BEA" w14:textId="3485EAE7" w:rsidR="000E08AC" w:rsidRDefault="000E08AC">
          <w:pPr>
            <w:pStyle w:val="TOC1"/>
            <w:tabs>
              <w:tab w:val="left" w:pos="440"/>
              <w:tab w:val="right" w:leader="dot" w:pos="9016"/>
            </w:tabs>
            <w:rPr>
              <w:rFonts w:asciiTheme="minorHAnsi" w:eastAsiaTheme="minorEastAsia" w:hAnsiTheme="minorHAnsi"/>
              <w:noProof/>
              <w:sz w:val="24"/>
              <w:szCs w:val="24"/>
              <w:lang w:eastAsia="en-GB"/>
            </w:rPr>
          </w:pPr>
          <w:hyperlink w:anchor="_Toc209611764" w:history="1">
            <w:r w:rsidRPr="00311D84">
              <w:rPr>
                <w:rStyle w:val="Hyperlink"/>
                <w:noProof/>
              </w:rPr>
              <w:t>2</w:t>
            </w:r>
            <w:r>
              <w:rPr>
                <w:rFonts w:asciiTheme="minorHAnsi" w:eastAsiaTheme="minorEastAsia" w:hAnsiTheme="minorHAnsi"/>
                <w:noProof/>
                <w:sz w:val="24"/>
                <w:szCs w:val="24"/>
                <w:lang w:eastAsia="en-GB"/>
              </w:rPr>
              <w:tab/>
            </w:r>
            <w:r w:rsidRPr="00311D84">
              <w:rPr>
                <w:rStyle w:val="Hyperlink"/>
                <w:noProof/>
              </w:rPr>
              <w:t>Introduction</w:t>
            </w:r>
            <w:r>
              <w:rPr>
                <w:noProof/>
                <w:webHidden/>
              </w:rPr>
              <w:tab/>
            </w:r>
            <w:r>
              <w:rPr>
                <w:noProof/>
                <w:webHidden/>
              </w:rPr>
              <w:fldChar w:fldCharType="begin"/>
            </w:r>
            <w:r>
              <w:rPr>
                <w:noProof/>
                <w:webHidden/>
              </w:rPr>
              <w:instrText xml:space="preserve"> PAGEREF _Toc209611764 \h </w:instrText>
            </w:r>
            <w:r>
              <w:rPr>
                <w:noProof/>
                <w:webHidden/>
              </w:rPr>
            </w:r>
            <w:r>
              <w:rPr>
                <w:noProof/>
                <w:webHidden/>
              </w:rPr>
              <w:fldChar w:fldCharType="separate"/>
            </w:r>
            <w:r w:rsidR="00D80BDB">
              <w:rPr>
                <w:noProof/>
                <w:webHidden/>
              </w:rPr>
              <w:t>6</w:t>
            </w:r>
            <w:r>
              <w:rPr>
                <w:noProof/>
                <w:webHidden/>
              </w:rPr>
              <w:fldChar w:fldCharType="end"/>
            </w:r>
          </w:hyperlink>
        </w:p>
        <w:p w14:paraId="49ADDE20" w14:textId="35A8B3CA" w:rsidR="000E08AC" w:rsidRDefault="000E08AC">
          <w:pPr>
            <w:pStyle w:val="TOC1"/>
            <w:tabs>
              <w:tab w:val="left" w:pos="440"/>
              <w:tab w:val="right" w:leader="dot" w:pos="9016"/>
            </w:tabs>
            <w:rPr>
              <w:rFonts w:asciiTheme="minorHAnsi" w:eastAsiaTheme="minorEastAsia" w:hAnsiTheme="minorHAnsi"/>
              <w:noProof/>
              <w:sz w:val="24"/>
              <w:szCs w:val="24"/>
              <w:lang w:eastAsia="en-GB"/>
            </w:rPr>
          </w:pPr>
          <w:hyperlink w:anchor="_Toc209611765" w:history="1">
            <w:r w:rsidRPr="00311D84">
              <w:rPr>
                <w:rStyle w:val="Hyperlink"/>
                <w:noProof/>
              </w:rPr>
              <w:t>3</w:t>
            </w:r>
            <w:r>
              <w:rPr>
                <w:rFonts w:asciiTheme="minorHAnsi" w:eastAsiaTheme="minorEastAsia" w:hAnsiTheme="minorHAnsi"/>
                <w:noProof/>
                <w:sz w:val="24"/>
                <w:szCs w:val="24"/>
                <w:lang w:eastAsia="en-GB"/>
              </w:rPr>
              <w:tab/>
            </w:r>
            <w:r w:rsidRPr="00311D84">
              <w:rPr>
                <w:rStyle w:val="Hyperlink"/>
                <w:noProof/>
              </w:rPr>
              <w:t>Role of the Panel</w:t>
            </w:r>
            <w:r>
              <w:rPr>
                <w:noProof/>
                <w:webHidden/>
              </w:rPr>
              <w:tab/>
            </w:r>
            <w:r>
              <w:rPr>
                <w:noProof/>
                <w:webHidden/>
              </w:rPr>
              <w:fldChar w:fldCharType="begin"/>
            </w:r>
            <w:r>
              <w:rPr>
                <w:noProof/>
                <w:webHidden/>
              </w:rPr>
              <w:instrText xml:space="preserve"> PAGEREF _Toc209611765 \h </w:instrText>
            </w:r>
            <w:r>
              <w:rPr>
                <w:noProof/>
                <w:webHidden/>
              </w:rPr>
            </w:r>
            <w:r>
              <w:rPr>
                <w:noProof/>
                <w:webHidden/>
              </w:rPr>
              <w:fldChar w:fldCharType="separate"/>
            </w:r>
            <w:r w:rsidR="00D80BDB">
              <w:rPr>
                <w:noProof/>
                <w:webHidden/>
              </w:rPr>
              <w:t>7</w:t>
            </w:r>
            <w:r>
              <w:rPr>
                <w:noProof/>
                <w:webHidden/>
              </w:rPr>
              <w:fldChar w:fldCharType="end"/>
            </w:r>
          </w:hyperlink>
        </w:p>
        <w:p w14:paraId="2E2F3B5B" w14:textId="1BA1A29F" w:rsidR="000E08AC" w:rsidRDefault="000E08AC">
          <w:pPr>
            <w:pStyle w:val="TOC1"/>
            <w:tabs>
              <w:tab w:val="left" w:pos="440"/>
              <w:tab w:val="right" w:leader="dot" w:pos="9016"/>
            </w:tabs>
            <w:rPr>
              <w:rFonts w:asciiTheme="minorHAnsi" w:eastAsiaTheme="minorEastAsia" w:hAnsiTheme="minorHAnsi"/>
              <w:noProof/>
              <w:sz w:val="24"/>
              <w:szCs w:val="24"/>
              <w:lang w:eastAsia="en-GB"/>
            </w:rPr>
          </w:pPr>
          <w:hyperlink w:anchor="_Toc209611766" w:history="1">
            <w:r w:rsidRPr="00311D84">
              <w:rPr>
                <w:rStyle w:val="Hyperlink"/>
                <w:noProof/>
              </w:rPr>
              <w:t>4</w:t>
            </w:r>
            <w:r>
              <w:rPr>
                <w:rFonts w:asciiTheme="minorHAnsi" w:eastAsiaTheme="minorEastAsia" w:hAnsiTheme="minorHAnsi"/>
                <w:noProof/>
                <w:sz w:val="24"/>
                <w:szCs w:val="24"/>
                <w:lang w:eastAsia="en-GB"/>
              </w:rPr>
              <w:tab/>
            </w:r>
            <w:r w:rsidRPr="00311D84">
              <w:rPr>
                <w:rStyle w:val="Hyperlink"/>
                <w:noProof/>
              </w:rPr>
              <w:t>Background to this review</w:t>
            </w:r>
            <w:r>
              <w:rPr>
                <w:noProof/>
                <w:webHidden/>
              </w:rPr>
              <w:tab/>
            </w:r>
            <w:r>
              <w:rPr>
                <w:noProof/>
                <w:webHidden/>
              </w:rPr>
              <w:fldChar w:fldCharType="begin"/>
            </w:r>
            <w:r>
              <w:rPr>
                <w:noProof/>
                <w:webHidden/>
              </w:rPr>
              <w:instrText xml:space="preserve"> PAGEREF _Toc209611766 \h </w:instrText>
            </w:r>
            <w:r>
              <w:rPr>
                <w:noProof/>
                <w:webHidden/>
              </w:rPr>
            </w:r>
            <w:r>
              <w:rPr>
                <w:noProof/>
                <w:webHidden/>
              </w:rPr>
              <w:fldChar w:fldCharType="separate"/>
            </w:r>
            <w:r w:rsidR="00D80BDB">
              <w:rPr>
                <w:noProof/>
                <w:webHidden/>
              </w:rPr>
              <w:t>7</w:t>
            </w:r>
            <w:r>
              <w:rPr>
                <w:noProof/>
                <w:webHidden/>
              </w:rPr>
              <w:fldChar w:fldCharType="end"/>
            </w:r>
          </w:hyperlink>
        </w:p>
        <w:p w14:paraId="6504ED2B" w14:textId="4B064EE1" w:rsidR="000E08AC" w:rsidRDefault="000E08AC">
          <w:pPr>
            <w:pStyle w:val="TOC2"/>
            <w:tabs>
              <w:tab w:val="left" w:pos="960"/>
              <w:tab w:val="right" w:leader="dot" w:pos="9016"/>
            </w:tabs>
            <w:rPr>
              <w:rFonts w:asciiTheme="minorHAnsi" w:eastAsiaTheme="minorEastAsia" w:hAnsiTheme="minorHAnsi"/>
              <w:noProof/>
              <w:sz w:val="24"/>
              <w:szCs w:val="24"/>
              <w:lang w:eastAsia="en-GB"/>
            </w:rPr>
          </w:pPr>
          <w:hyperlink w:anchor="_Toc209611767" w:history="1">
            <w:r w:rsidRPr="00311D84">
              <w:rPr>
                <w:rStyle w:val="Hyperlink"/>
                <w:noProof/>
              </w:rPr>
              <w:t>4.1</w:t>
            </w:r>
            <w:r>
              <w:rPr>
                <w:rFonts w:asciiTheme="minorHAnsi" w:eastAsiaTheme="minorEastAsia" w:hAnsiTheme="minorHAnsi"/>
                <w:noProof/>
                <w:sz w:val="24"/>
                <w:szCs w:val="24"/>
                <w:lang w:eastAsia="en-GB"/>
              </w:rPr>
              <w:tab/>
            </w:r>
            <w:r w:rsidRPr="00311D84">
              <w:rPr>
                <w:rStyle w:val="Hyperlink"/>
                <w:noProof/>
              </w:rPr>
              <w:t>Transitioning existing services to a new contract</w:t>
            </w:r>
            <w:r>
              <w:rPr>
                <w:noProof/>
                <w:webHidden/>
              </w:rPr>
              <w:tab/>
            </w:r>
            <w:r>
              <w:rPr>
                <w:noProof/>
                <w:webHidden/>
              </w:rPr>
              <w:fldChar w:fldCharType="begin"/>
            </w:r>
            <w:r>
              <w:rPr>
                <w:noProof/>
                <w:webHidden/>
              </w:rPr>
              <w:instrText xml:space="preserve"> PAGEREF _Toc209611767 \h </w:instrText>
            </w:r>
            <w:r>
              <w:rPr>
                <w:noProof/>
                <w:webHidden/>
              </w:rPr>
            </w:r>
            <w:r>
              <w:rPr>
                <w:noProof/>
                <w:webHidden/>
              </w:rPr>
              <w:fldChar w:fldCharType="separate"/>
            </w:r>
            <w:r w:rsidR="00D80BDB">
              <w:rPr>
                <w:noProof/>
                <w:webHidden/>
              </w:rPr>
              <w:t>8</w:t>
            </w:r>
            <w:r>
              <w:rPr>
                <w:noProof/>
                <w:webHidden/>
              </w:rPr>
              <w:fldChar w:fldCharType="end"/>
            </w:r>
          </w:hyperlink>
        </w:p>
        <w:p w14:paraId="090B8608" w14:textId="26D4E22A" w:rsidR="000E08AC" w:rsidRDefault="000E08AC">
          <w:pPr>
            <w:pStyle w:val="TOC2"/>
            <w:tabs>
              <w:tab w:val="left" w:pos="960"/>
              <w:tab w:val="right" w:leader="dot" w:pos="9016"/>
            </w:tabs>
            <w:rPr>
              <w:rFonts w:asciiTheme="minorHAnsi" w:eastAsiaTheme="minorEastAsia" w:hAnsiTheme="minorHAnsi"/>
              <w:noProof/>
              <w:sz w:val="24"/>
              <w:szCs w:val="24"/>
              <w:lang w:eastAsia="en-GB"/>
            </w:rPr>
          </w:pPr>
          <w:hyperlink w:anchor="_Toc209611768" w:history="1">
            <w:r w:rsidRPr="00311D84">
              <w:rPr>
                <w:rStyle w:val="Hyperlink"/>
                <w:noProof/>
              </w:rPr>
              <w:t>4.2</w:t>
            </w:r>
            <w:r>
              <w:rPr>
                <w:rFonts w:asciiTheme="minorHAnsi" w:eastAsiaTheme="minorEastAsia" w:hAnsiTheme="minorHAnsi"/>
                <w:noProof/>
                <w:sz w:val="24"/>
                <w:szCs w:val="24"/>
                <w:lang w:eastAsia="en-GB"/>
              </w:rPr>
              <w:tab/>
            </w:r>
            <w:r w:rsidRPr="00311D84">
              <w:rPr>
                <w:rStyle w:val="Hyperlink"/>
                <w:noProof/>
              </w:rPr>
              <w:t>Attempt to arrange a new contract via the Most Suitable Provider process</w:t>
            </w:r>
            <w:r>
              <w:rPr>
                <w:noProof/>
                <w:webHidden/>
              </w:rPr>
              <w:tab/>
            </w:r>
            <w:r>
              <w:rPr>
                <w:noProof/>
                <w:webHidden/>
              </w:rPr>
              <w:fldChar w:fldCharType="begin"/>
            </w:r>
            <w:r>
              <w:rPr>
                <w:noProof/>
                <w:webHidden/>
              </w:rPr>
              <w:instrText xml:space="preserve"> PAGEREF _Toc209611768 \h </w:instrText>
            </w:r>
            <w:r>
              <w:rPr>
                <w:noProof/>
                <w:webHidden/>
              </w:rPr>
            </w:r>
            <w:r>
              <w:rPr>
                <w:noProof/>
                <w:webHidden/>
              </w:rPr>
              <w:fldChar w:fldCharType="separate"/>
            </w:r>
            <w:r w:rsidR="00D80BDB">
              <w:rPr>
                <w:noProof/>
                <w:webHidden/>
              </w:rPr>
              <w:t>8</w:t>
            </w:r>
            <w:r>
              <w:rPr>
                <w:noProof/>
                <w:webHidden/>
              </w:rPr>
              <w:fldChar w:fldCharType="end"/>
            </w:r>
          </w:hyperlink>
        </w:p>
        <w:p w14:paraId="1A219A9B" w14:textId="09696E79" w:rsidR="000E08AC" w:rsidRDefault="000E08AC">
          <w:pPr>
            <w:pStyle w:val="TOC2"/>
            <w:tabs>
              <w:tab w:val="left" w:pos="960"/>
              <w:tab w:val="right" w:leader="dot" w:pos="9016"/>
            </w:tabs>
            <w:rPr>
              <w:rFonts w:asciiTheme="minorHAnsi" w:eastAsiaTheme="minorEastAsia" w:hAnsiTheme="minorHAnsi"/>
              <w:noProof/>
              <w:sz w:val="24"/>
              <w:szCs w:val="24"/>
              <w:lang w:eastAsia="en-GB"/>
            </w:rPr>
          </w:pPr>
          <w:hyperlink w:anchor="_Toc209611769" w:history="1">
            <w:r w:rsidRPr="00311D84">
              <w:rPr>
                <w:rStyle w:val="Hyperlink"/>
                <w:noProof/>
              </w:rPr>
              <w:t>4.3</w:t>
            </w:r>
            <w:r>
              <w:rPr>
                <w:rFonts w:asciiTheme="minorHAnsi" w:eastAsiaTheme="minorEastAsia" w:hAnsiTheme="minorHAnsi"/>
                <w:noProof/>
                <w:sz w:val="24"/>
                <w:szCs w:val="24"/>
                <w:lang w:eastAsia="en-GB"/>
              </w:rPr>
              <w:tab/>
            </w:r>
            <w:r w:rsidRPr="00311D84">
              <w:rPr>
                <w:rStyle w:val="Hyperlink"/>
                <w:noProof/>
              </w:rPr>
              <w:t>Conduct of the competitive tender for the new contract</w:t>
            </w:r>
            <w:r>
              <w:rPr>
                <w:noProof/>
                <w:webHidden/>
              </w:rPr>
              <w:tab/>
            </w:r>
            <w:r>
              <w:rPr>
                <w:noProof/>
                <w:webHidden/>
              </w:rPr>
              <w:fldChar w:fldCharType="begin"/>
            </w:r>
            <w:r>
              <w:rPr>
                <w:noProof/>
                <w:webHidden/>
              </w:rPr>
              <w:instrText xml:space="preserve"> PAGEREF _Toc209611769 \h </w:instrText>
            </w:r>
            <w:r>
              <w:rPr>
                <w:noProof/>
                <w:webHidden/>
              </w:rPr>
            </w:r>
            <w:r>
              <w:rPr>
                <w:noProof/>
                <w:webHidden/>
              </w:rPr>
              <w:fldChar w:fldCharType="separate"/>
            </w:r>
            <w:r w:rsidR="00D80BDB">
              <w:rPr>
                <w:noProof/>
                <w:webHidden/>
              </w:rPr>
              <w:t>9</w:t>
            </w:r>
            <w:r>
              <w:rPr>
                <w:noProof/>
                <w:webHidden/>
              </w:rPr>
              <w:fldChar w:fldCharType="end"/>
            </w:r>
          </w:hyperlink>
        </w:p>
        <w:p w14:paraId="1634DA8B" w14:textId="5387C308" w:rsidR="000E08AC" w:rsidRDefault="000E08AC">
          <w:pPr>
            <w:pStyle w:val="TOC1"/>
            <w:tabs>
              <w:tab w:val="left" w:pos="440"/>
              <w:tab w:val="right" w:leader="dot" w:pos="9016"/>
            </w:tabs>
            <w:rPr>
              <w:rFonts w:asciiTheme="minorHAnsi" w:eastAsiaTheme="minorEastAsia" w:hAnsiTheme="minorHAnsi"/>
              <w:noProof/>
              <w:sz w:val="24"/>
              <w:szCs w:val="24"/>
              <w:lang w:eastAsia="en-GB"/>
            </w:rPr>
          </w:pPr>
          <w:hyperlink w:anchor="_Toc209611770" w:history="1">
            <w:r w:rsidRPr="00311D84">
              <w:rPr>
                <w:rStyle w:val="Hyperlink"/>
                <w:noProof/>
              </w:rPr>
              <w:t>5</w:t>
            </w:r>
            <w:r>
              <w:rPr>
                <w:rFonts w:asciiTheme="minorHAnsi" w:eastAsiaTheme="minorEastAsia" w:hAnsiTheme="minorHAnsi"/>
                <w:noProof/>
                <w:sz w:val="24"/>
                <w:szCs w:val="24"/>
                <w:lang w:eastAsia="en-GB"/>
              </w:rPr>
              <w:tab/>
            </w:r>
            <w:r w:rsidRPr="00311D84">
              <w:rPr>
                <w:rStyle w:val="Hyperlink"/>
                <w:noProof/>
              </w:rPr>
              <w:t>Representations by MPFT and EPUT</w:t>
            </w:r>
            <w:r>
              <w:rPr>
                <w:noProof/>
                <w:webHidden/>
              </w:rPr>
              <w:tab/>
            </w:r>
            <w:r>
              <w:rPr>
                <w:noProof/>
                <w:webHidden/>
              </w:rPr>
              <w:fldChar w:fldCharType="begin"/>
            </w:r>
            <w:r>
              <w:rPr>
                <w:noProof/>
                <w:webHidden/>
              </w:rPr>
              <w:instrText xml:space="preserve"> PAGEREF _Toc209611770 \h </w:instrText>
            </w:r>
            <w:r>
              <w:rPr>
                <w:noProof/>
                <w:webHidden/>
              </w:rPr>
            </w:r>
            <w:r>
              <w:rPr>
                <w:noProof/>
                <w:webHidden/>
              </w:rPr>
              <w:fldChar w:fldCharType="separate"/>
            </w:r>
            <w:r w:rsidR="00D80BDB">
              <w:rPr>
                <w:noProof/>
                <w:webHidden/>
              </w:rPr>
              <w:t>11</w:t>
            </w:r>
            <w:r>
              <w:rPr>
                <w:noProof/>
                <w:webHidden/>
              </w:rPr>
              <w:fldChar w:fldCharType="end"/>
            </w:r>
          </w:hyperlink>
        </w:p>
        <w:p w14:paraId="04B0BCC0" w14:textId="546113A0" w:rsidR="000E08AC" w:rsidRDefault="000E08AC">
          <w:pPr>
            <w:pStyle w:val="TOC2"/>
            <w:tabs>
              <w:tab w:val="left" w:pos="960"/>
              <w:tab w:val="right" w:leader="dot" w:pos="9016"/>
            </w:tabs>
            <w:rPr>
              <w:rFonts w:asciiTheme="minorHAnsi" w:eastAsiaTheme="minorEastAsia" w:hAnsiTheme="minorHAnsi"/>
              <w:noProof/>
              <w:sz w:val="24"/>
              <w:szCs w:val="24"/>
              <w:lang w:eastAsia="en-GB"/>
            </w:rPr>
          </w:pPr>
          <w:hyperlink w:anchor="_Toc209611771" w:history="1">
            <w:r w:rsidRPr="00311D84">
              <w:rPr>
                <w:rStyle w:val="Hyperlink"/>
                <w:noProof/>
              </w:rPr>
              <w:t>5.1</w:t>
            </w:r>
            <w:r>
              <w:rPr>
                <w:rFonts w:asciiTheme="minorHAnsi" w:eastAsiaTheme="minorEastAsia" w:hAnsiTheme="minorHAnsi"/>
                <w:noProof/>
                <w:sz w:val="24"/>
                <w:szCs w:val="24"/>
                <w:lang w:eastAsia="en-GB"/>
              </w:rPr>
              <w:tab/>
            </w:r>
            <w:r w:rsidRPr="00311D84">
              <w:rPr>
                <w:rStyle w:val="Hyperlink"/>
                <w:noProof/>
              </w:rPr>
              <w:t>Representations by MPFT</w:t>
            </w:r>
            <w:r>
              <w:rPr>
                <w:noProof/>
                <w:webHidden/>
              </w:rPr>
              <w:tab/>
            </w:r>
            <w:r>
              <w:rPr>
                <w:noProof/>
                <w:webHidden/>
              </w:rPr>
              <w:fldChar w:fldCharType="begin"/>
            </w:r>
            <w:r>
              <w:rPr>
                <w:noProof/>
                <w:webHidden/>
              </w:rPr>
              <w:instrText xml:space="preserve"> PAGEREF _Toc209611771 \h </w:instrText>
            </w:r>
            <w:r>
              <w:rPr>
                <w:noProof/>
                <w:webHidden/>
              </w:rPr>
            </w:r>
            <w:r>
              <w:rPr>
                <w:noProof/>
                <w:webHidden/>
              </w:rPr>
              <w:fldChar w:fldCharType="separate"/>
            </w:r>
            <w:r w:rsidR="00D80BDB">
              <w:rPr>
                <w:noProof/>
                <w:webHidden/>
              </w:rPr>
              <w:t>11</w:t>
            </w:r>
            <w:r>
              <w:rPr>
                <w:noProof/>
                <w:webHidden/>
              </w:rPr>
              <w:fldChar w:fldCharType="end"/>
            </w:r>
          </w:hyperlink>
        </w:p>
        <w:p w14:paraId="0B45B259" w14:textId="073A665F" w:rsidR="000E08AC" w:rsidRDefault="000E08AC">
          <w:pPr>
            <w:pStyle w:val="TOC2"/>
            <w:tabs>
              <w:tab w:val="left" w:pos="960"/>
              <w:tab w:val="right" w:leader="dot" w:pos="9016"/>
            </w:tabs>
            <w:rPr>
              <w:rFonts w:asciiTheme="minorHAnsi" w:eastAsiaTheme="minorEastAsia" w:hAnsiTheme="minorHAnsi"/>
              <w:noProof/>
              <w:sz w:val="24"/>
              <w:szCs w:val="24"/>
              <w:lang w:eastAsia="en-GB"/>
            </w:rPr>
          </w:pPr>
          <w:hyperlink w:anchor="_Toc209611772" w:history="1">
            <w:r w:rsidRPr="00311D84">
              <w:rPr>
                <w:rStyle w:val="Hyperlink"/>
                <w:noProof/>
              </w:rPr>
              <w:t>5.2</w:t>
            </w:r>
            <w:r>
              <w:rPr>
                <w:rFonts w:asciiTheme="minorHAnsi" w:eastAsiaTheme="minorEastAsia" w:hAnsiTheme="minorHAnsi"/>
                <w:noProof/>
                <w:sz w:val="24"/>
                <w:szCs w:val="24"/>
                <w:lang w:eastAsia="en-GB"/>
              </w:rPr>
              <w:tab/>
            </w:r>
            <w:r w:rsidRPr="00311D84">
              <w:rPr>
                <w:rStyle w:val="Hyperlink"/>
                <w:noProof/>
              </w:rPr>
              <w:t>Representations by EPUT</w:t>
            </w:r>
            <w:r>
              <w:rPr>
                <w:noProof/>
                <w:webHidden/>
              </w:rPr>
              <w:tab/>
            </w:r>
            <w:r>
              <w:rPr>
                <w:noProof/>
                <w:webHidden/>
              </w:rPr>
              <w:fldChar w:fldCharType="begin"/>
            </w:r>
            <w:r>
              <w:rPr>
                <w:noProof/>
                <w:webHidden/>
              </w:rPr>
              <w:instrText xml:space="preserve"> PAGEREF _Toc209611772 \h </w:instrText>
            </w:r>
            <w:r>
              <w:rPr>
                <w:noProof/>
                <w:webHidden/>
              </w:rPr>
            </w:r>
            <w:r>
              <w:rPr>
                <w:noProof/>
                <w:webHidden/>
              </w:rPr>
              <w:fldChar w:fldCharType="separate"/>
            </w:r>
            <w:r w:rsidR="00D80BDB">
              <w:rPr>
                <w:noProof/>
                <w:webHidden/>
              </w:rPr>
              <w:t>12</w:t>
            </w:r>
            <w:r>
              <w:rPr>
                <w:noProof/>
                <w:webHidden/>
              </w:rPr>
              <w:fldChar w:fldCharType="end"/>
            </w:r>
          </w:hyperlink>
        </w:p>
        <w:p w14:paraId="0BD7B456" w14:textId="585B5C0C" w:rsidR="000E08AC" w:rsidRDefault="000E08AC">
          <w:pPr>
            <w:pStyle w:val="TOC1"/>
            <w:tabs>
              <w:tab w:val="left" w:pos="440"/>
              <w:tab w:val="right" w:leader="dot" w:pos="9016"/>
            </w:tabs>
            <w:rPr>
              <w:rFonts w:asciiTheme="minorHAnsi" w:eastAsiaTheme="minorEastAsia" w:hAnsiTheme="minorHAnsi"/>
              <w:noProof/>
              <w:sz w:val="24"/>
              <w:szCs w:val="24"/>
              <w:lang w:eastAsia="en-GB"/>
            </w:rPr>
          </w:pPr>
          <w:hyperlink w:anchor="_Toc209611773" w:history="1">
            <w:r w:rsidRPr="00311D84">
              <w:rPr>
                <w:rStyle w:val="Hyperlink"/>
                <w:noProof/>
              </w:rPr>
              <w:t>6</w:t>
            </w:r>
            <w:r>
              <w:rPr>
                <w:rFonts w:asciiTheme="minorHAnsi" w:eastAsiaTheme="minorEastAsia" w:hAnsiTheme="minorHAnsi"/>
                <w:noProof/>
                <w:sz w:val="24"/>
                <w:szCs w:val="24"/>
                <w:lang w:eastAsia="en-GB"/>
              </w:rPr>
              <w:tab/>
            </w:r>
            <w:r w:rsidRPr="00311D84">
              <w:rPr>
                <w:rStyle w:val="Hyperlink"/>
                <w:noProof/>
              </w:rPr>
              <w:t>PSR regulations relevant to this review</w:t>
            </w:r>
            <w:r>
              <w:rPr>
                <w:noProof/>
                <w:webHidden/>
              </w:rPr>
              <w:tab/>
            </w:r>
            <w:r>
              <w:rPr>
                <w:noProof/>
                <w:webHidden/>
              </w:rPr>
              <w:fldChar w:fldCharType="begin"/>
            </w:r>
            <w:r>
              <w:rPr>
                <w:noProof/>
                <w:webHidden/>
              </w:rPr>
              <w:instrText xml:space="preserve"> PAGEREF _Toc209611773 \h </w:instrText>
            </w:r>
            <w:r>
              <w:rPr>
                <w:noProof/>
                <w:webHidden/>
              </w:rPr>
            </w:r>
            <w:r>
              <w:rPr>
                <w:noProof/>
                <w:webHidden/>
              </w:rPr>
              <w:fldChar w:fldCharType="separate"/>
            </w:r>
            <w:r w:rsidR="00D80BDB">
              <w:rPr>
                <w:noProof/>
                <w:webHidden/>
              </w:rPr>
              <w:t>14</w:t>
            </w:r>
            <w:r>
              <w:rPr>
                <w:noProof/>
                <w:webHidden/>
              </w:rPr>
              <w:fldChar w:fldCharType="end"/>
            </w:r>
          </w:hyperlink>
        </w:p>
        <w:p w14:paraId="6D2DFCF7" w14:textId="121C86ED" w:rsidR="000E08AC" w:rsidRDefault="000E08AC">
          <w:pPr>
            <w:pStyle w:val="TOC1"/>
            <w:tabs>
              <w:tab w:val="left" w:pos="440"/>
              <w:tab w:val="right" w:leader="dot" w:pos="9016"/>
            </w:tabs>
            <w:rPr>
              <w:rFonts w:asciiTheme="minorHAnsi" w:eastAsiaTheme="minorEastAsia" w:hAnsiTheme="minorHAnsi"/>
              <w:noProof/>
              <w:sz w:val="24"/>
              <w:szCs w:val="24"/>
              <w:lang w:eastAsia="en-GB"/>
            </w:rPr>
          </w:pPr>
          <w:hyperlink w:anchor="_Toc209611774" w:history="1">
            <w:r w:rsidRPr="00311D84">
              <w:rPr>
                <w:rStyle w:val="Hyperlink"/>
                <w:noProof/>
              </w:rPr>
              <w:t>7</w:t>
            </w:r>
            <w:r>
              <w:rPr>
                <w:rFonts w:asciiTheme="minorHAnsi" w:eastAsiaTheme="minorEastAsia" w:hAnsiTheme="minorHAnsi"/>
                <w:noProof/>
                <w:sz w:val="24"/>
                <w:szCs w:val="24"/>
                <w:lang w:eastAsia="en-GB"/>
              </w:rPr>
              <w:tab/>
            </w:r>
            <w:r w:rsidRPr="00311D84">
              <w:rPr>
                <w:rStyle w:val="Hyperlink"/>
                <w:noProof/>
              </w:rPr>
              <w:t>Panel Assessment</w:t>
            </w:r>
            <w:r>
              <w:rPr>
                <w:noProof/>
                <w:webHidden/>
              </w:rPr>
              <w:tab/>
            </w:r>
            <w:r>
              <w:rPr>
                <w:noProof/>
                <w:webHidden/>
              </w:rPr>
              <w:fldChar w:fldCharType="begin"/>
            </w:r>
            <w:r>
              <w:rPr>
                <w:noProof/>
                <w:webHidden/>
              </w:rPr>
              <w:instrText xml:space="preserve"> PAGEREF _Toc209611774 \h </w:instrText>
            </w:r>
            <w:r>
              <w:rPr>
                <w:noProof/>
                <w:webHidden/>
              </w:rPr>
            </w:r>
            <w:r>
              <w:rPr>
                <w:noProof/>
                <w:webHidden/>
              </w:rPr>
              <w:fldChar w:fldCharType="separate"/>
            </w:r>
            <w:r w:rsidR="00D80BDB">
              <w:rPr>
                <w:noProof/>
                <w:webHidden/>
              </w:rPr>
              <w:t>15</w:t>
            </w:r>
            <w:r>
              <w:rPr>
                <w:noProof/>
                <w:webHidden/>
              </w:rPr>
              <w:fldChar w:fldCharType="end"/>
            </w:r>
          </w:hyperlink>
        </w:p>
        <w:p w14:paraId="184E72A3" w14:textId="6871240D" w:rsidR="000E08AC" w:rsidRDefault="000E08AC">
          <w:pPr>
            <w:pStyle w:val="TOC2"/>
            <w:tabs>
              <w:tab w:val="left" w:pos="960"/>
              <w:tab w:val="right" w:leader="dot" w:pos="9016"/>
            </w:tabs>
            <w:rPr>
              <w:rFonts w:asciiTheme="minorHAnsi" w:eastAsiaTheme="minorEastAsia" w:hAnsiTheme="minorHAnsi"/>
              <w:noProof/>
              <w:sz w:val="24"/>
              <w:szCs w:val="24"/>
              <w:lang w:eastAsia="en-GB"/>
            </w:rPr>
          </w:pPr>
          <w:hyperlink w:anchor="_Toc209611775" w:history="1">
            <w:r w:rsidRPr="00311D84">
              <w:rPr>
                <w:rStyle w:val="Hyperlink"/>
                <w:noProof/>
              </w:rPr>
              <w:t>7.1</w:t>
            </w:r>
            <w:r>
              <w:rPr>
                <w:rFonts w:asciiTheme="minorHAnsi" w:eastAsiaTheme="minorEastAsia" w:hAnsiTheme="minorHAnsi"/>
                <w:noProof/>
                <w:sz w:val="24"/>
                <w:szCs w:val="24"/>
                <w:lang w:eastAsia="en-GB"/>
              </w:rPr>
              <w:tab/>
            </w:r>
            <w:r w:rsidRPr="00311D84">
              <w:rPr>
                <w:rStyle w:val="Hyperlink"/>
                <w:noProof/>
              </w:rPr>
              <w:t>Sharing the Equality Impact Assessment with bidders</w:t>
            </w:r>
            <w:r>
              <w:rPr>
                <w:noProof/>
                <w:webHidden/>
              </w:rPr>
              <w:tab/>
            </w:r>
            <w:r>
              <w:rPr>
                <w:noProof/>
                <w:webHidden/>
              </w:rPr>
              <w:fldChar w:fldCharType="begin"/>
            </w:r>
            <w:r>
              <w:rPr>
                <w:noProof/>
                <w:webHidden/>
              </w:rPr>
              <w:instrText xml:space="preserve"> PAGEREF _Toc209611775 \h </w:instrText>
            </w:r>
            <w:r>
              <w:rPr>
                <w:noProof/>
                <w:webHidden/>
              </w:rPr>
            </w:r>
            <w:r>
              <w:rPr>
                <w:noProof/>
                <w:webHidden/>
              </w:rPr>
              <w:fldChar w:fldCharType="separate"/>
            </w:r>
            <w:r w:rsidR="00D80BDB">
              <w:rPr>
                <w:noProof/>
                <w:webHidden/>
              </w:rPr>
              <w:t>16</w:t>
            </w:r>
            <w:r>
              <w:rPr>
                <w:noProof/>
                <w:webHidden/>
              </w:rPr>
              <w:fldChar w:fldCharType="end"/>
            </w:r>
          </w:hyperlink>
        </w:p>
        <w:p w14:paraId="1490A811" w14:textId="0889AB17" w:rsidR="000E08AC" w:rsidRDefault="000E08AC">
          <w:pPr>
            <w:pStyle w:val="TOC2"/>
            <w:tabs>
              <w:tab w:val="left" w:pos="960"/>
              <w:tab w:val="right" w:leader="dot" w:pos="9016"/>
            </w:tabs>
            <w:rPr>
              <w:rFonts w:asciiTheme="minorHAnsi" w:eastAsiaTheme="minorEastAsia" w:hAnsiTheme="minorHAnsi"/>
              <w:noProof/>
              <w:sz w:val="24"/>
              <w:szCs w:val="24"/>
              <w:lang w:eastAsia="en-GB"/>
            </w:rPr>
          </w:pPr>
          <w:hyperlink w:anchor="_Toc209611776" w:history="1">
            <w:r w:rsidRPr="00311D84">
              <w:rPr>
                <w:rStyle w:val="Hyperlink"/>
                <w:noProof/>
              </w:rPr>
              <w:t>7.2</w:t>
            </w:r>
            <w:r>
              <w:rPr>
                <w:rFonts w:asciiTheme="minorHAnsi" w:eastAsiaTheme="minorEastAsia" w:hAnsiTheme="minorHAnsi"/>
                <w:noProof/>
                <w:sz w:val="24"/>
                <w:szCs w:val="24"/>
                <w:lang w:eastAsia="en-GB"/>
              </w:rPr>
              <w:tab/>
            </w:r>
            <w:r w:rsidRPr="00311D84">
              <w:rPr>
                <w:rStyle w:val="Hyperlink"/>
                <w:noProof/>
              </w:rPr>
              <w:t>Indicative staffing costs and requirements for bidders’ presentation of cost-related information</w:t>
            </w:r>
            <w:r>
              <w:rPr>
                <w:noProof/>
                <w:webHidden/>
              </w:rPr>
              <w:tab/>
            </w:r>
            <w:r>
              <w:rPr>
                <w:noProof/>
                <w:webHidden/>
              </w:rPr>
              <w:fldChar w:fldCharType="begin"/>
            </w:r>
            <w:r>
              <w:rPr>
                <w:noProof/>
                <w:webHidden/>
              </w:rPr>
              <w:instrText xml:space="preserve"> PAGEREF _Toc209611776 \h </w:instrText>
            </w:r>
            <w:r>
              <w:rPr>
                <w:noProof/>
                <w:webHidden/>
              </w:rPr>
            </w:r>
            <w:r>
              <w:rPr>
                <w:noProof/>
                <w:webHidden/>
              </w:rPr>
              <w:fldChar w:fldCharType="separate"/>
            </w:r>
            <w:r w:rsidR="00D80BDB">
              <w:rPr>
                <w:noProof/>
                <w:webHidden/>
              </w:rPr>
              <w:t>17</w:t>
            </w:r>
            <w:r>
              <w:rPr>
                <w:noProof/>
                <w:webHidden/>
              </w:rPr>
              <w:fldChar w:fldCharType="end"/>
            </w:r>
          </w:hyperlink>
        </w:p>
        <w:p w14:paraId="0C8C4748" w14:textId="3FD34897" w:rsidR="000E08AC" w:rsidRDefault="000E08AC">
          <w:pPr>
            <w:pStyle w:val="TOC2"/>
            <w:tabs>
              <w:tab w:val="left" w:pos="960"/>
              <w:tab w:val="right" w:leader="dot" w:pos="9016"/>
            </w:tabs>
            <w:rPr>
              <w:rFonts w:asciiTheme="minorHAnsi" w:eastAsiaTheme="minorEastAsia" w:hAnsiTheme="minorHAnsi"/>
              <w:noProof/>
              <w:sz w:val="24"/>
              <w:szCs w:val="24"/>
              <w:lang w:eastAsia="en-GB"/>
            </w:rPr>
          </w:pPr>
          <w:hyperlink w:anchor="_Toc209611777" w:history="1">
            <w:r w:rsidRPr="00311D84">
              <w:rPr>
                <w:rStyle w:val="Hyperlink"/>
                <w:noProof/>
              </w:rPr>
              <w:t>7.3</w:t>
            </w:r>
            <w:r>
              <w:rPr>
                <w:rFonts w:asciiTheme="minorHAnsi" w:eastAsiaTheme="minorEastAsia" w:hAnsiTheme="minorHAnsi"/>
                <w:noProof/>
                <w:sz w:val="24"/>
                <w:szCs w:val="24"/>
                <w:lang w:eastAsia="en-GB"/>
              </w:rPr>
              <w:tab/>
            </w:r>
            <w:r w:rsidRPr="00311D84">
              <w:rPr>
                <w:rStyle w:val="Hyperlink"/>
                <w:noProof/>
              </w:rPr>
              <w:t>Responses to bidders’ clarification questions</w:t>
            </w:r>
            <w:r>
              <w:rPr>
                <w:noProof/>
                <w:webHidden/>
              </w:rPr>
              <w:tab/>
            </w:r>
            <w:r>
              <w:rPr>
                <w:noProof/>
                <w:webHidden/>
              </w:rPr>
              <w:fldChar w:fldCharType="begin"/>
            </w:r>
            <w:r>
              <w:rPr>
                <w:noProof/>
                <w:webHidden/>
              </w:rPr>
              <w:instrText xml:space="preserve"> PAGEREF _Toc209611777 \h </w:instrText>
            </w:r>
            <w:r>
              <w:rPr>
                <w:noProof/>
                <w:webHidden/>
              </w:rPr>
            </w:r>
            <w:r>
              <w:rPr>
                <w:noProof/>
                <w:webHidden/>
              </w:rPr>
              <w:fldChar w:fldCharType="separate"/>
            </w:r>
            <w:r w:rsidR="00D80BDB">
              <w:rPr>
                <w:noProof/>
                <w:webHidden/>
              </w:rPr>
              <w:t>27</w:t>
            </w:r>
            <w:r>
              <w:rPr>
                <w:noProof/>
                <w:webHidden/>
              </w:rPr>
              <w:fldChar w:fldCharType="end"/>
            </w:r>
          </w:hyperlink>
        </w:p>
        <w:p w14:paraId="7C9743FC" w14:textId="098BF6DC" w:rsidR="000E08AC" w:rsidRDefault="000E08AC">
          <w:pPr>
            <w:pStyle w:val="TOC2"/>
            <w:tabs>
              <w:tab w:val="left" w:pos="960"/>
              <w:tab w:val="right" w:leader="dot" w:pos="9016"/>
            </w:tabs>
            <w:rPr>
              <w:rFonts w:asciiTheme="minorHAnsi" w:eastAsiaTheme="minorEastAsia" w:hAnsiTheme="minorHAnsi"/>
              <w:noProof/>
              <w:sz w:val="24"/>
              <w:szCs w:val="24"/>
              <w:lang w:eastAsia="en-GB"/>
            </w:rPr>
          </w:pPr>
          <w:hyperlink w:anchor="_Toc209611778" w:history="1">
            <w:r w:rsidRPr="00311D84">
              <w:rPr>
                <w:rStyle w:val="Hyperlink"/>
                <w:noProof/>
              </w:rPr>
              <w:t>7.4</w:t>
            </w:r>
            <w:r>
              <w:rPr>
                <w:rFonts w:asciiTheme="minorHAnsi" w:eastAsiaTheme="minorEastAsia" w:hAnsiTheme="minorHAnsi"/>
                <w:noProof/>
                <w:sz w:val="24"/>
                <w:szCs w:val="24"/>
                <w:lang w:eastAsia="en-GB"/>
              </w:rPr>
              <w:tab/>
            </w:r>
            <w:r w:rsidRPr="00311D84">
              <w:rPr>
                <w:rStyle w:val="Hyperlink"/>
                <w:noProof/>
              </w:rPr>
              <w:t>Evaluation and scoring of EPUT’s proposal</w:t>
            </w:r>
            <w:r>
              <w:rPr>
                <w:noProof/>
                <w:webHidden/>
              </w:rPr>
              <w:tab/>
            </w:r>
            <w:r>
              <w:rPr>
                <w:noProof/>
                <w:webHidden/>
              </w:rPr>
              <w:fldChar w:fldCharType="begin"/>
            </w:r>
            <w:r>
              <w:rPr>
                <w:noProof/>
                <w:webHidden/>
              </w:rPr>
              <w:instrText xml:space="preserve"> PAGEREF _Toc209611778 \h </w:instrText>
            </w:r>
            <w:r>
              <w:rPr>
                <w:noProof/>
                <w:webHidden/>
              </w:rPr>
            </w:r>
            <w:r>
              <w:rPr>
                <w:noProof/>
                <w:webHidden/>
              </w:rPr>
              <w:fldChar w:fldCharType="separate"/>
            </w:r>
            <w:r w:rsidR="00D80BDB">
              <w:rPr>
                <w:noProof/>
                <w:webHidden/>
              </w:rPr>
              <w:t>32</w:t>
            </w:r>
            <w:r>
              <w:rPr>
                <w:noProof/>
                <w:webHidden/>
              </w:rPr>
              <w:fldChar w:fldCharType="end"/>
            </w:r>
          </w:hyperlink>
        </w:p>
        <w:p w14:paraId="5218088A" w14:textId="218B893A" w:rsidR="000E08AC" w:rsidRDefault="000E08AC">
          <w:pPr>
            <w:pStyle w:val="TOC2"/>
            <w:tabs>
              <w:tab w:val="left" w:pos="960"/>
              <w:tab w:val="right" w:leader="dot" w:pos="9016"/>
            </w:tabs>
            <w:rPr>
              <w:rFonts w:asciiTheme="minorHAnsi" w:eastAsiaTheme="minorEastAsia" w:hAnsiTheme="minorHAnsi"/>
              <w:noProof/>
              <w:sz w:val="24"/>
              <w:szCs w:val="24"/>
              <w:lang w:eastAsia="en-GB"/>
            </w:rPr>
          </w:pPr>
          <w:hyperlink w:anchor="_Toc209611779" w:history="1">
            <w:r w:rsidRPr="00311D84">
              <w:rPr>
                <w:rStyle w:val="Hyperlink"/>
                <w:noProof/>
              </w:rPr>
              <w:t>7.5</w:t>
            </w:r>
            <w:r>
              <w:rPr>
                <w:rFonts w:asciiTheme="minorHAnsi" w:eastAsiaTheme="minorEastAsia" w:hAnsiTheme="minorHAnsi"/>
                <w:noProof/>
                <w:sz w:val="24"/>
                <w:szCs w:val="24"/>
                <w:lang w:eastAsia="en-GB"/>
              </w:rPr>
              <w:tab/>
            </w:r>
            <w:r w:rsidRPr="00311D84">
              <w:rPr>
                <w:rStyle w:val="Hyperlink"/>
                <w:noProof/>
              </w:rPr>
              <w:t>Representations review process</w:t>
            </w:r>
            <w:r>
              <w:rPr>
                <w:noProof/>
                <w:webHidden/>
              </w:rPr>
              <w:tab/>
            </w:r>
            <w:r>
              <w:rPr>
                <w:noProof/>
                <w:webHidden/>
              </w:rPr>
              <w:fldChar w:fldCharType="begin"/>
            </w:r>
            <w:r>
              <w:rPr>
                <w:noProof/>
                <w:webHidden/>
              </w:rPr>
              <w:instrText xml:space="preserve"> PAGEREF _Toc209611779 \h </w:instrText>
            </w:r>
            <w:r>
              <w:rPr>
                <w:noProof/>
                <w:webHidden/>
              </w:rPr>
            </w:r>
            <w:r>
              <w:rPr>
                <w:noProof/>
                <w:webHidden/>
              </w:rPr>
              <w:fldChar w:fldCharType="separate"/>
            </w:r>
            <w:r w:rsidR="00D80BDB">
              <w:rPr>
                <w:noProof/>
                <w:webHidden/>
              </w:rPr>
              <w:t>47</w:t>
            </w:r>
            <w:r>
              <w:rPr>
                <w:noProof/>
                <w:webHidden/>
              </w:rPr>
              <w:fldChar w:fldCharType="end"/>
            </w:r>
          </w:hyperlink>
        </w:p>
        <w:p w14:paraId="7F0C88D8" w14:textId="32279DE0" w:rsidR="000E08AC" w:rsidRDefault="000E08AC">
          <w:pPr>
            <w:pStyle w:val="TOC1"/>
            <w:tabs>
              <w:tab w:val="left" w:pos="440"/>
              <w:tab w:val="right" w:leader="dot" w:pos="9016"/>
            </w:tabs>
            <w:rPr>
              <w:rFonts w:asciiTheme="minorHAnsi" w:eastAsiaTheme="minorEastAsia" w:hAnsiTheme="minorHAnsi"/>
              <w:noProof/>
              <w:sz w:val="24"/>
              <w:szCs w:val="24"/>
              <w:lang w:eastAsia="en-GB"/>
            </w:rPr>
          </w:pPr>
          <w:hyperlink w:anchor="_Toc209611780" w:history="1">
            <w:r w:rsidRPr="00311D84">
              <w:rPr>
                <w:rStyle w:val="Hyperlink"/>
                <w:noProof/>
              </w:rPr>
              <w:t>8</w:t>
            </w:r>
            <w:r>
              <w:rPr>
                <w:rFonts w:asciiTheme="minorHAnsi" w:eastAsiaTheme="minorEastAsia" w:hAnsiTheme="minorHAnsi"/>
                <w:noProof/>
                <w:sz w:val="24"/>
                <w:szCs w:val="24"/>
                <w:lang w:eastAsia="en-GB"/>
              </w:rPr>
              <w:tab/>
            </w:r>
            <w:r w:rsidRPr="00311D84">
              <w:rPr>
                <w:rStyle w:val="Hyperlink"/>
                <w:noProof/>
              </w:rPr>
              <w:t>Panel Advice</w:t>
            </w:r>
            <w:r>
              <w:rPr>
                <w:noProof/>
                <w:webHidden/>
              </w:rPr>
              <w:tab/>
            </w:r>
            <w:r>
              <w:rPr>
                <w:noProof/>
                <w:webHidden/>
              </w:rPr>
              <w:fldChar w:fldCharType="begin"/>
            </w:r>
            <w:r>
              <w:rPr>
                <w:noProof/>
                <w:webHidden/>
              </w:rPr>
              <w:instrText xml:space="preserve"> PAGEREF _Toc209611780 \h </w:instrText>
            </w:r>
            <w:r>
              <w:rPr>
                <w:noProof/>
                <w:webHidden/>
              </w:rPr>
            </w:r>
            <w:r>
              <w:rPr>
                <w:noProof/>
                <w:webHidden/>
              </w:rPr>
              <w:fldChar w:fldCharType="separate"/>
            </w:r>
            <w:r w:rsidR="00D80BDB">
              <w:rPr>
                <w:noProof/>
                <w:webHidden/>
              </w:rPr>
              <w:t>51</w:t>
            </w:r>
            <w:r>
              <w:rPr>
                <w:noProof/>
                <w:webHidden/>
              </w:rPr>
              <w:fldChar w:fldCharType="end"/>
            </w:r>
          </w:hyperlink>
        </w:p>
        <w:p w14:paraId="1EEACA32" w14:textId="1FE315A9" w:rsidR="000E08AC" w:rsidRDefault="000E08AC">
          <w:pPr>
            <w:pStyle w:val="TOC1"/>
            <w:tabs>
              <w:tab w:val="right" w:leader="dot" w:pos="9016"/>
            </w:tabs>
            <w:rPr>
              <w:rFonts w:asciiTheme="minorHAnsi" w:eastAsiaTheme="minorEastAsia" w:hAnsiTheme="minorHAnsi"/>
              <w:noProof/>
              <w:sz w:val="24"/>
              <w:szCs w:val="24"/>
              <w:lang w:eastAsia="en-GB"/>
            </w:rPr>
          </w:pPr>
          <w:hyperlink w:anchor="_Toc209611781" w:history="1">
            <w:r w:rsidRPr="00311D84">
              <w:rPr>
                <w:rStyle w:val="Hyperlink"/>
                <w:noProof/>
              </w:rPr>
              <w:t>Appendix 1: Clarification questions about costs</w:t>
            </w:r>
            <w:r>
              <w:rPr>
                <w:noProof/>
                <w:webHidden/>
              </w:rPr>
              <w:tab/>
            </w:r>
            <w:r>
              <w:rPr>
                <w:noProof/>
                <w:webHidden/>
              </w:rPr>
              <w:fldChar w:fldCharType="begin"/>
            </w:r>
            <w:r>
              <w:rPr>
                <w:noProof/>
                <w:webHidden/>
              </w:rPr>
              <w:instrText xml:space="preserve"> PAGEREF _Toc209611781 \h </w:instrText>
            </w:r>
            <w:r>
              <w:rPr>
                <w:noProof/>
                <w:webHidden/>
              </w:rPr>
            </w:r>
            <w:r>
              <w:rPr>
                <w:noProof/>
                <w:webHidden/>
              </w:rPr>
              <w:fldChar w:fldCharType="separate"/>
            </w:r>
            <w:r w:rsidR="00D80BDB">
              <w:rPr>
                <w:noProof/>
                <w:webHidden/>
              </w:rPr>
              <w:t>54</w:t>
            </w:r>
            <w:r>
              <w:rPr>
                <w:noProof/>
                <w:webHidden/>
              </w:rPr>
              <w:fldChar w:fldCharType="end"/>
            </w:r>
          </w:hyperlink>
        </w:p>
        <w:p w14:paraId="305BA03B" w14:textId="7809739B" w:rsidR="000E08AC" w:rsidRDefault="000E08AC">
          <w:pPr>
            <w:pStyle w:val="TOC1"/>
            <w:tabs>
              <w:tab w:val="right" w:leader="dot" w:pos="9016"/>
            </w:tabs>
            <w:rPr>
              <w:rFonts w:asciiTheme="minorHAnsi" w:eastAsiaTheme="minorEastAsia" w:hAnsiTheme="minorHAnsi"/>
              <w:noProof/>
              <w:sz w:val="24"/>
              <w:szCs w:val="24"/>
              <w:lang w:eastAsia="en-GB"/>
            </w:rPr>
          </w:pPr>
          <w:hyperlink w:anchor="_Toc209611782" w:history="1">
            <w:r w:rsidRPr="00311D84">
              <w:rPr>
                <w:rStyle w:val="Hyperlink"/>
                <w:noProof/>
              </w:rPr>
              <w:t>Appendix 2: Other clarification questions and responses</w:t>
            </w:r>
            <w:r>
              <w:rPr>
                <w:noProof/>
                <w:webHidden/>
              </w:rPr>
              <w:tab/>
            </w:r>
            <w:r>
              <w:rPr>
                <w:noProof/>
                <w:webHidden/>
              </w:rPr>
              <w:fldChar w:fldCharType="begin"/>
            </w:r>
            <w:r>
              <w:rPr>
                <w:noProof/>
                <w:webHidden/>
              </w:rPr>
              <w:instrText xml:space="preserve"> PAGEREF _Toc209611782 \h </w:instrText>
            </w:r>
            <w:r>
              <w:rPr>
                <w:noProof/>
                <w:webHidden/>
              </w:rPr>
            </w:r>
            <w:r>
              <w:rPr>
                <w:noProof/>
                <w:webHidden/>
              </w:rPr>
              <w:fldChar w:fldCharType="separate"/>
            </w:r>
            <w:r w:rsidR="00D80BDB">
              <w:rPr>
                <w:noProof/>
                <w:webHidden/>
              </w:rPr>
              <w:t>56</w:t>
            </w:r>
            <w:r>
              <w:rPr>
                <w:noProof/>
                <w:webHidden/>
              </w:rPr>
              <w:fldChar w:fldCharType="end"/>
            </w:r>
          </w:hyperlink>
        </w:p>
        <w:p w14:paraId="61EBC374" w14:textId="461EB686" w:rsidR="00B42AE6" w:rsidRDefault="00B42AE6">
          <w:r>
            <w:rPr>
              <w:b/>
              <w:bCs/>
            </w:rPr>
            <w:fldChar w:fldCharType="end"/>
          </w:r>
        </w:p>
      </w:sdtContent>
    </w:sdt>
    <w:p w14:paraId="63A34340" w14:textId="4CC36FC1" w:rsidR="00E56C34" w:rsidRPr="008267DE" w:rsidRDefault="00E56C34">
      <w:r w:rsidRPr="008267DE">
        <w:br w:type="page"/>
      </w:r>
    </w:p>
    <w:p w14:paraId="00A30C5E" w14:textId="254F45D0" w:rsidR="0005616B" w:rsidRDefault="004B492C" w:rsidP="0025106C">
      <w:pPr>
        <w:pStyle w:val="Heading1"/>
      </w:pPr>
      <w:bookmarkStart w:id="1" w:name="_Toc209611763"/>
      <w:r w:rsidRPr="006B6C56">
        <w:lastRenderedPageBreak/>
        <w:t>Executive Summary</w:t>
      </w:r>
      <w:bookmarkEnd w:id="1"/>
    </w:p>
    <w:p w14:paraId="6AAF50C3" w14:textId="292DED79" w:rsidR="001B3CE2" w:rsidRDefault="001B3CE2">
      <w:pPr>
        <w:pStyle w:val="ListParagraph"/>
        <w:numPr>
          <w:ilvl w:val="0"/>
          <w:numId w:val="1"/>
        </w:numPr>
        <w:spacing w:line="276" w:lineRule="auto"/>
        <w:contextualSpacing w:val="0"/>
      </w:pPr>
      <w:r>
        <w:t xml:space="preserve">On 24 June 2025, the Panel was asked by Midlands Partnership University NHS Foundation Trust (MPFT) to advise on the selection of a provider by </w:t>
      </w:r>
      <w:r w:rsidRPr="00493F04">
        <w:t>NHS Mid and South Essex Integrated Care Board (</w:t>
      </w:r>
      <w:r>
        <w:t>MSE</w:t>
      </w:r>
      <w:r w:rsidRPr="00493F04">
        <w:t xml:space="preserve"> ICB) </w:t>
      </w:r>
      <w:r>
        <w:t xml:space="preserve">for its </w:t>
      </w:r>
      <w:r w:rsidRPr="00875ADA">
        <w:t>Talking Therapies and Psychological Therapies for Severe Mental Health Problems</w:t>
      </w:r>
      <w:r>
        <w:t xml:space="preserve"> (mental health core services) in Mid and South Essex. On 27 June 2025, the Panel was asked by Essex Partnership University NHS Foundation Trust (EPUT)</w:t>
      </w:r>
      <w:r w:rsidRPr="00CD2CFC">
        <w:rPr>
          <w:vertAlign w:val="superscript"/>
        </w:rPr>
        <w:t xml:space="preserve"> </w:t>
      </w:r>
      <w:r>
        <w:t>to advise on the same provider selection process.</w:t>
      </w:r>
      <w:r w:rsidR="00CD2CFC">
        <w:t xml:space="preserve"> </w:t>
      </w:r>
      <w:r>
        <w:t>The Panel, in accordance with its case acceptance criteria, accepted MPFT’s request on 27 June and EPUT’s request on 1 July 2025.</w:t>
      </w:r>
    </w:p>
    <w:p w14:paraId="2252AD7C" w14:textId="7C610466" w:rsidR="001B3CE2" w:rsidRDefault="001B3CE2" w:rsidP="001B3CE2">
      <w:pPr>
        <w:pStyle w:val="ListParagraph"/>
        <w:numPr>
          <w:ilvl w:val="0"/>
          <w:numId w:val="1"/>
        </w:numPr>
        <w:spacing w:line="276" w:lineRule="auto"/>
        <w:contextualSpacing w:val="0"/>
      </w:pPr>
      <w:r>
        <w:t>Mental health core services in Mid and South Essex encompass talking therapies and psychological therapies. Talking therapies are for people suffering from anxiety and depression</w:t>
      </w:r>
      <w:r w:rsidRPr="006B6C21">
        <w:rPr>
          <w:vertAlign w:val="superscript"/>
        </w:rPr>
        <w:t xml:space="preserve"> </w:t>
      </w:r>
      <w:r>
        <w:t xml:space="preserve">while </w:t>
      </w:r>
      <w:r w:rsidR="001113BA">
        <w:t xml:space="preserve">the </w:t>
      </w:r>
      <w:r>
        <w:t xml:space="preserve">psychological therapies </w:t>
      </w:r>
      <w:r w:rsidR="001113BA">
        <w:t xml:space="preserve">in this service </w:t>
      </w:r>
      <w:r>
        <w:t>are for people with severe mental health problems.</w:t>
      </w:r>
    </w:p>
    <w:p w14:paraId="7E33FB89" w14:textId="0CE33523" w:rsidR="001B3CE2" w:rsidRDefault="001B3CE2" w:rsidP="001B3CE2">
      <w:pPr>
        <w:pStyle w:val="ListParagraph"/>
        <w:numPr>
          <w:ilvl w:val="0"/>
          <w:numId w:val="1"/>
        </w:numPr>
        <w:spacing w:line="276" w:lineRule="auto"/>
        <w:contextualSpacing w:val="0"/>
      </w:pPr>
      <w:r>
        <w:t xml:space="preserve">There are currently four providers of mental health core services in the MSE ICB area, namely MPFT, EPUT, Hertfordshire Partnership NHS Foundation Trust and Vita Health Solutions Limited (Vita Health). </w:t>
      </w:r>
      <w:r w:rsidR="00B10ABE">
        <w:t xml:space="preserve">The </w:t>
      </w:r>
      <w:r w:rsidR="00565AB8">
        <w:t xml:space="preserve">service specification and financial envelope </w:t>
      </w:r>
      <w:r w:rsidR="00B10ABE">
        <w:t xml:space="preserve">differs across providers, </w:t>
      </w:r>
      <w:r w:rsidR="00565AB8">
        <w:t xml:space="preserve">and </w:t>
      </w:r>
      <w:r w:rsidR="00B10ABE">
        <w:t xml:space="preserve">each </w:t>
      </w:r>
      <w:r>
        <w:t xml:space="preserve">serves a separate geographic area, aligning to the former Clinical Commissioning Group (CCG) </w:t>
      </w:r>
      <w:r w:rsidR="00B83835">
        <w:t>areas in the ICB</w:t>
      </w:r>
      <w:r>
        <w:t>.</w:t>
      </w:r>
      <w:r w:rsidR="00764ADC" w:rsidRPr="00764ADC">
        <w:t xml:space="preserve"> </w:t>
      </w:r>
      <w:r w:rsidR="00823F63">
        <w:t>T</w:t>
      </w:r>
      <w:r w:rsidR="00764ADC">
        <w:t xml:space="preserve">he average cost per patient </w:t>
      </w:r>
      <w:r w:rsidR="00FD52B7">
        <w:t xml:space="preserve">in the highest cost service </w:t>
      </w:r>
      <w:r w:rsidR="00764ADC">
        <w:t xml:space="preserve">is more than </w:t>
      </w:r>
      <w:r w:rsidR="00FD52B7">
        <w:t>double th</w:t>
      </w:r>
      <w:r w:rsidR="00C35C46">
        <w:t xml:space="preserve">e average cost per patient in </w:t>
      </w:r>
      <w:r w:rsidR="00764ADC">
        <w:t>the lowest cost service.</w:t>
      </w:r>
    </w:p>
    <w:p w14:paraId="2B45A045" w14:textId="2D7872C2" w:rsidR="001B3CE2" w:rsidRDefault="001B3CE2" w:rsidP="001B3CE2">
      <w:pPr>
        <w:pStyle w:val="ListParagraph"/>
        <w:numPr>
          <w:ilvl w:val="0"/>
          <w:numId w:val="1"/>
        </w:numPr>
        <w:spacing w:line="276" w:lineRule="auto"/>
        <w:contextualSpacing w:val="0"/>
      </w:pPr>
      <w:r>
        <w:t>MSE ICB, in moving to a single contract for mental health core services</w:t>
      </w:r>
      <w:r w:rsidR="00D7714F">
        <w:t>,</w:t>
      </w:r>
      <w:r>
        <w:t xml:space="preserve"> is adopting a single service specification and a revised financial envelope. According to MSE ICB, this will “ensure a consistent and equitable service offer to improve patient experience and address inequalities” and achieve “better value for money and efficiencies from estates, digital infrastructures and workforce”.</w:t>
      </w:r>
    </w:p>
    <w:p w14:paraId="29224751" w14:textId="4C40982F" w:rsidR="001B3CE2" w:rsidRDefault="001B3CE2" w:rsidP="001B3CE2">
      <w:pPr>
        <w:pStyle w:val="ListParagraph"/>
        <w:numPr>
          <w:ilvl w:val="0"/>
          <w:numId w:val="1"/>
        </w:numPr>
        <w:spacing w:line="276" w:lineRule="auto"/>
        <w:contextualSpacing w:val="0"/>
      </w:pPr>
      <w:r>
        <w:t xml:space="preserve">To deliver the new contract successfully, the new provider will need to carry out a major transformation programme. This will include taking on staff from the current providers (via TUPE transfer), implementing the new ICB-wide service specification, integrating clinical records from the four current providers into a single patient records system, and putting in place service locations across the ICB area, which may include taking over premises used by the current providers. </w:t>
      </w:r>
      <w:r w:rsidR="00BD230C">
        <w:t>T</w:t>
      </w:r>
      <w:r>
        <w:t>he new provider may also need to carry out a redundancy programme given that the financial envelope for the new contract is smaller than that for the four existing contracts.</w:t>
      </w:r>
    </w:p>
    <w:p w14:paraId="05FB591C" w14:textId="4C3354F7" w:rsidR="001B3CE2" w:rsidRDefault="001B3CE2">
      <w:pPr>
        <w:pStyle w:val="ListParagraph"/>
        <w:numPr>
          <w:ilvl w:val="0"/>
          <w:numId w:val="1"/>
        </w:numPr>
        <w:spacing w:line="276" w:lineRule="auto"/>
        <w:contextualSpacing w:val="0"/>
      </w:pPr>
      <w:r>
        <w:t>MSE ICB published a PIN on 11 February 2025, inviting “</w:t>
      </w:r>
      <w:r w:rsidRPr="00D879B8">
        <w:t>suitably qualified providers to attend a virtual Market Engagement event which will inform the market of the Authority’s intention to undertake a competitive procurement process</w:t>
      </w:r>
      <w:r>
        <w:t xml:space="preserve"> [for mental health core services]”.</w:t>
      </w:r>
      <w:r w:rsidR="006B1375">
        <w:t xml:space="preserve"> This was followed by </w:t>
      </w:r>
      <w:r w:rsidR="00DD7A93">
        <w:t>a</w:t>
      </w:r>
      <w:r w:rsidR="006B1375">
        <w:t xml:space="preserve"> notice inviting proposals on 4 March 2025.</w:t>
      </w:r>
      <w:r w:rsidR="00BF5E45">
        <w:t xml:space="preserve"> </w:t>
      </w:r>
      <w:r>
        <w:t>The new contract has a three year term with the option of a two year extension, and was due to commence on 1 August 2025. The estimated total contract value, including the extension, is approximately £92.5m (excluding VAT).</w:t>
      </w:r>
    </w:p>
    <w:p w14:paraId="16963136" w14:textId="6E0AE531" w:rsidR="001B3CE2" w:rsidRDefault="001B3CE2" w:rsidP="001B3CE2">
      <w:pPr>
        <w:pStyle w:val="ListParagraph"/>
        <w:numPr>
          <w:ilvl w:val="0"/>
          <w:numId w:val="1"/>
        </w:numPr>
        <w:spacing w:line="276" w:lineRule="auto"/>
        <w:contextualSpacing w:val="0"/>
      </w:pPr>
      <w:r>
        <w:t xml:space="preserve">Bidders were initially given 19 working days to submit proposals (i.e. until 28 March 2025). On 10 March, the deadline was extended by two working days (i.e. until 1 April 2025), and then on 26 March, as a result of the large number of clarification questions </w:t>
      </w:r>
      <w:r w:rsidR="000E0021">
        <w:lastRenderedPageBreak/>
        <w:t xml:space="preserve">(CQs) </w:t>
      </w:r>
      <w:r>
        <w:t>asked by bidders, the deadline was extended by another two working days (i.e. until 3 April 2025).</w:t>
      </w:r>
    </w:p>
    <w:p w14:paraId="1AEA9446" w14:textId="4AE42A64" w:rsidR="001B3CE2" w:rsidRDefault="001B3CE2" w:rsidP="001B3CE2">
      <w:pPr>
        <w:pStyle w:val="ListParagraph"/>
        <w:numPr>
          <w:ilvl w:val="0"/>
          <w:numId w:val="1"/>
        </w:numPr>
        <w:spacing w:line="276" w:lineRule="auto"/>
        <w:contextualSpacing w:val="0"/>
      </w:pPr>
      <w:r>
        <w:t>The Panel notes that, even with these extensions, the timescale for a provider selection process of this scale and complexity was tight. MSE ICB told the Panel that it believed that the duration of the tender process was reasonable, noting that the accelerated process under the open procedure in the former Public Contracts Regulations (PCR) allowed for a minimum of 15 working days.</w:t>
      </w:r>
    </w:p>
    <w:p w14:paraId="43C7DE12" w14:textId="0717FEF5" w:rsidR="00720E4F" w:rsidRDefault="00720E4F" w:rsidP="00720E4F">
      <w:pPr>
        <w:pStyle w:val="ListParagraph"/>
        <w:numPr>
          <w:ilvl w:val="0"/>
          <w:numId w:val="1"/>
        </w:numPr>
        <w:spacing w:line="276" w:lineRule="auto"/>
        <w:contextualSpacing w:val="0"/>
      </w:pPr>
      <w:r>
        <w:t xml:space="preserve">On 11 March 2025, a week into the tender process, </w:t>
      </w:r>
      <w:r w:rsidR="00A00FC8">
        <w:t xml:space="preserve">MSE ICB was </w:t>
      </w:r>
      <w:r>
        <w:t xml:space="preserve">asked, by way of a </w:t>
      </w:r>
      <w:r w:rsidR="00A00FC8">
        <w:t xml:space="preserve">bidder </w:t>
      </w:r>
      <w:r w:rsidR="00B241BF">
        <w:t>CQ</w:t>
      </w:r>
      <w:r>
        <w:t xml:space="preserve">, to confirm that the annual cost of staff </w:t>
      </w:r>
      <w:r w:rsidR="00B85E35">
        <w:t>who</w:t>
      </w:r>
      <w:r>
        <w:t xml:space="preserve"> could be expected to transfer to the successful bidder under TUPE rules</w:t>
      </w:r>
      <w:r w:rsidDel="005C2FF7">
        <w:t xml:space="preserve"> </w:t>
      </w:r>
      <w:r>
        <w:t>exceeded the contract’s annual financial envelope. MSE ICB responded</w:t>
      </w:r>
      <w:r w:rsidR="00546B9C">
        <w:t xml:space="preserve"> on 17 March</w:t>
      </w:r>
      <w:r>
        <w:t>, saying that having reviewed the TUPE information, its calculation indicated that this was not the case.</w:t>
      </w:r>
      <w:r w:rsidR="004F0397" w:rsidRPr="004F0397">
        <w:t xml:space="preserve"> </w:t>
      </w:r>
      <w:r w:rsidR="004F0397">
        <w:t>Although MSE ICB did not realise this at the time, its response, unfortunately, was not correct.</w:t>
      </w:r>
    </w:p>
    <w:p w14:paraId="000AB3F7" w14:textId="5F3D3742" w:rsidR="00720E4F" w:rsidRDefault="00720E4F">
      <w:pPr>
        <w:pStyle w:val="ListParagraph"/>
        <w:numPr>
          <w:ilvl w:val="0"/>
          <w:numId w:val="1"/>
        </w:numPr>
        <w:spacing w:line="276" w:lineRule="auto"/>
        <w:contextualSpacing w:val="0"/>
      </w:pPr>
      <w:r>
        <w:t>Bidders, having carried out their own analysis of the TUPE data supplied by MSE ICB, did not take MSE ICB’s response at face value. With bidders pressing the point that indicative staffing costs exceeded the contract’s budget, MSE ICB re-visit</w:t>
      </w:r>
      <w:r w:rsidR="00583E24">
        <w:t>ed</w:t>
      </w:r>
      <w:r>
        <w:t xml:space="preserve"> its analysis of the TUPE data. On 27 March</w:t>
      </w:r>
      <w:r w:rsidR="00597420">
        <w:t xml:space="preserve"> 2025</w:t>
      </w:r>
      <w:r>
        <w:t>, the ICB’s finance team reported internally that</w:t>
      </w:r>
      <w:r w:rsidR="009160A9">
        <w:t xml:space="preserve"> by</w:t>
      </w:r>
      <w:r>
        <w:t xml:space="preserve"> including pay-related costs (such as pension costs), which had previously been excluded from the ICB’s analysis, the total cost of staff identified as eligible for TUPE exceeded the budget envelope for year 1 by approximately £2.2 million.</w:t>
      </w:r>
    </w:p>
    <w:p w14:paraId="35A6AC00" w14:textId="77EF0475" w:rsidR="00720E4F" w:rsidRPr="004353F1" w:rsidRDefault="00720E4F" w:rsidP="00720E4F">
      <w:pPr>
        <w:pStyle w:val="ListParagraph"/>
        <w:numPr>
          <w:ilvl w:val="0"/>
          <w:numId w:val="1"/>
        </w:numPr>
        <w:spacing w:line="276" w:lineRule="auto"/>
        <w:contextualSpacing w:val="0"/>
      </w:pPr>
      <w:r>
        <w:t xml:space="preserve">Given the results of this analysis, the matter was escalated to MSE ICB executives for further consideration. These executives decided to continue the procurement with an unchanged financial envelope. The view was taken that “the market would respond via the competitive tender exercise to </w:t>
      </w:r>
      <w:r w:rsidRPr="0088712F">
        <w:rPr>
          <w:rFonts w:cs="Arial"/>
          <w:bCs/>
          <w:lang w:eastAsia="en-GB"/>
        </w:rPr>
        <w:t>evidence innovation, investment and if the opportunity was commercially attractive/attainable”.</w:t>
      </w:r>
    </w:p>
    <w:p w14:paraId="55E18FB1" w14:textId="3FA803AC" w:rsidR="00720E4F" w:rsidRDefault="001447AD">
      <w:pPr>
        <w:pStyle w:val="ListParagraph"/>
        <w:numPr>
          <w:ilvl w:val="0"/>
          <w:numId w:val="1"/>
        </w:numPr>
        <w:spacing w:after="120" w:line="276" w:lineRule="auto"/>
        <w:contextualSpacing w:val="0"/>
      </w:pPr>
      <w:r>
        <w:rPr>
          <w:rFonts w:cs="Arial"/>
          <w:bCs/>
          <w:lang w:eastAsia="en-GB"/>
        </w:rPr>
        <w:t xml:space="preserve">MSE ICB also issued </w:t>
      </w:r>
      <w:r w:rsidR="00A86E7C">
        <w:rPr>
          <w:rFonts w:cs="Arial"/>
          <w:bCs/>
          <w:lang w:eastAsia="en-GB"/>
        </w:rPr>
        <w:t>a</w:t>
      </w:r>
      <w:r>
        <w:rPr>
          <w:rFonts w:cs="Arial"/>
          <w:bCs/>
          <w:lang w:eastAsia="en-GB"/>
        </w:rPr>
        <w:t xml:space="preserve"> statement o</w:t>
      </w:r>
      <w:r w:rsidR="00720E4F" w:rsidRPr="00F8642B">
        <w:rPr>
          <w:rFonts w:cs="Arial"/>
          <w:bCs/>
          <w:lang w:eastAsia="en-GB"/>
        </w:rPr>
        <w:t>n 1 April</w:t>
      </w:r>
      <w:r w:rsidR="00597420">
        <w:rPr>
          <w:rFonts w:cs="Arial"/>
          <w:bCs/>
          <w:lang w:eastAsia="en-GB"/>
        </w:rPr>
        <w:t xml:space="preserve"> 2025</w:t>
      </w:r>
      <w:r w:rsidR="00720E4F" w:rsidRPr="00F8642B">
        <w:rPr>
          <w:rFonts w:cs="Arial"/>
          <w:bCs/>
          <w:lang w:eastAsia="en-GB"/>
        </w:rPr>
        <w:t>, two days before the deadline for proposals</w:t>
      </w:r>
      <w:r w:rsidR="00A86E7C">
        <w:rPr>
          <w:rFonts w:cs="Arial"/>
          <w:bCs/>
          <w:lang w:eastAsia="en-GB"/>
        </w:rPr>
        <w:t>, responding to bidders’ queries</w:t>
      </w:r>
      <w:r w:rsidR="003B51AC">
        <w:rPr>
          <w:rFonts w:cs="Arial"/>
          <w:bCs/>
          <w:lang w:eastAsia="en-GB"/>
        </w:rPr>
        <w:t xml:space="preserve"> </w:t>
      </w:r>
      <w:r w:rsidR="003B51AC" w:rsidRPr="003B51AC">
        <w:rPr>
          <w:rFonts w:cs="Arial"/>
          <w:bCs/>
          <w:lang w:eastAsia="en-GB"/>
        </w:rPr>
        <w:t xml:space="preserve">that their financial proposals must not exceed the financial envelope. However, it </w:t>
      </w:r>
      <w:r w:rsidR="009119A7">
        <w:rPr>
          <w:rFonts w:cs="Arial"/>
          <w:bCs/>
          <w:lang w:eastAsia="en-GB"/>
        </w:rPr>
        <w:t>provid</w:t>
      </w:r>
      <w:r w:rsidR="002D4E94">
        <w:rPr>
          <w:rFonts w:cs="Arial"/>
          <w:bCs/>
          <w:lang w:eastAsia="en-GB"/>
        </w:rPr>
        <w:t>ed</w:t>
      </w:r>
      <w:r w:rsidR="009119A7">
        <w:rPr>
          <w:rFonts w:cs="Arial"/>
          <w:bCs/>
          <w:lang w:eastAsia="en-GB"/>
        </w:rPr>
        <w:t xml:space="preserve"> bidders with an opportunity to </w:t>
      </w:r>
      <w:r w:rsidR="000B0E99">
        <w:rPr>
          <w:rFonts w:cs="Arial"/>
          <w:bCs/>
          <w:lang w:eastAsia="en-GB"/>
        </w:rPr>
        <w:t xml:space="preserve">exclude certain costs from their financial proposal, as set out in the Commercial Offer Template, where bidders proposed to </w:t>
      </w:r>
      <w:r w:rsidR="00611E1C">
        <w:rPr>
          <w:rFonts w:cs="Arial"/>
          <w:bCs/>
          <w:lang w:eastAsia="en-GB"/>
        </w:rPr>
        <w:t>finance these costs using their own resources (i.e. external to contractual payments to the provider by the ICB).</w:t>
      </w:r>
    </w:p>
    <w:p w14:paraId="344708FD" w14:textId="11A1DCA6" w:rsidR="001B3CE2" w:rsidRDefault="001B3CE2" w:rsidP="001B3CE2">
      <w:pPr>
        <w:pStyle w:val="ListParagraph"/>
        <w:numPr>
          <w:ilvl w:val="0"/>
          <w:numId w:val="1"/>
        </w:numPr>
        <w:spacing w:line="276" w:lineRule="auto"/>
        <w:contextualSpacing w:val="0"/>
      </w:pPr>
      <w:r>
        <w:t xml:space="preserve">EPUT and Vita Health both submitted proposals. </w:t>
      </w:r>
      <w:r w:rsidRPr="00EC34B9">
        <w:t xml:space="preserve">MPFT </w:t>
      </w:r>
      <w:r>
        <w:t xml:space="preserve">engaged in the provider selection process, but </w:t>
      </w:r>
      <w:r w:rsidRPr="00EC34B9">
        <w:t xml:space="preserve">did not submit a </w:t>
      </w:r>
      <w:r>
        <w:t>proposal</w:t>
      </w:r>
      <w:r w:rsidRPr="00EC34B9">
        <w:t xml:space="preserve">. MPFT </w:t>
      </w:r>
      <w:r>
        <w:t xml:space="preserve">told the Panel </w:t>
      </w:r>
      <w:r w:rsidRPr="00EC34B9">
        <w:t xml:space="preserve">that it was unable to submit “a fully costed and considered proposal that had achieved the required organisation sign-off” by the </w:t>
      </w:r>
      <w:r>
        <w:t xml:space="preserve">3 April </w:t>
      </w:r>
      <w:r w:rsidR="00597420">
        <w:t xml:space="preserve">2025 </w:t>
      </w:r>
      <w:r w:rsidRPr="00EC34B9">
        <w:t>deadline</w:t>
      </w:r>
      <w:r>
        <w:t>.</w:t>
      </w:r>
    </w:p>
    <w:p w14:paraId="2430974C" w14:textId="54227AB8" w:rsidR="001B3CE2" w:rsidRDefault="001B3CE2" w:rsidP="001B3CE2">
      <w:pPr>
        <w:pStyle w:val="ListParagraph"/>
        <w:numPr>
          <w:ilvl w:val="0"/>
          <w:numId w:val="1"/>
        </w:numPr>
        <w:spacing w:line="276" w:lineRule="auto"/>
        <w:contextualSpacing w:val="0"/>
      </w:pPr>
      <w:r>
        <w:t>On 7 May 2025, MSE ICB published a contract award notice announcing Vita Health as</w:t>
      </w:r>
      <w:r w:rsidRPr="00FF4BB1">
        <w:t xml:space="preserve"> </w:t>
      </w:r>
      <w:r>
        <w:t>the successful bidder.</w:t>
      </w:r>
    </w:p>
    <w:p w14:paraId="7728F9BA" w14:textId="77777777" w:rsidR="001B3CE2" w:rsidRPr="000E7EC9" w:rsidRDefault="001B3CE2" w:rsidP="001B3CE2">
      <w:pPr>
        <w:pStyle w:val="ListParagraph"/>
        <w:numPr>
          <w:ilvl w:val="0"/>
          <w:numId w:val="1"/>
        </w:numPr>
        <w:spacing w:line="276" w:lineRule="auto"/>
        <w:contextualSpacing w:val="0"/>
      </w:pPr>
      <w:r>
        <w:t xml:space="preserve">On 16 May 2025, prior to the end of the standstill period, MPFT made representations to MSE ICB about the provider selection process. EPUT made representations to MSE ICB on 20 May (also before the end of the standstill period), and requested further information from MSE ICB. On 20 June, MSE ICB communicated to both providers its further decision to proceed with the contract award to Vita Health, and at the same </w:t>
      </w:r>
      <w:r>
        <w:lastRenderedPageBreak/>
        <w:t>time shared several documents with MPFT and EPUT in response to their requests for information.</w:t>
      </w:r>
    </w:p>
    <w:p w14:paraId="744CBD15" w14:textId="3462D359" w:rsidR="006F65C6" w:rsidRDefault="005B324A" w:rsidP="00A00A92">
      <w:pPr>
        <w:pStyle w:val="ListParagraph"/>
        <w:numPr>
          <w:ilvl w:val="0"/>
          <w:numId w:val="1"/>
        </w:numPr>
        <w:spacing w:line="276" w:lineRule="auto"/>
        <w:contextualSpacing w:val="0"/>
      </w:pPr>
      <w:r>
        <w:t>T</w:t>
      </w:r>
      <w:r w:rsidR="006F65C6">
        <w:t>he Panel</w:t>
      </w:r>
      <w:r w:rsidR="0060095D">
        <w:t>, in reviewing MPFT’s and EPUT’s representations,</w:t>
      </w:r>
      <w:r>
        <w:t xml:space="preserve"> has found </w:t>
      </w:r>
      <w:r w:rsidR="006F65C6">
        <w:t>that MSE ICB</w:t>
      </w:r>
      <w:r w:rsidR="007B2562">
        <w:t>’s</w:t>
      </w:r>
      <w:r w:rsidR="006F65C6">
        <w:t xml:space="preserve"> </w:t>
      </w:r>
      <w:r w:rsidR="00A2081D">
        <w:t xml:space="preserve">provider selection process for its mental health core services contract </w:t>
      </w:r>
      <w:r w:rsidR="006F65C6">
        <w:t>breached the PSR regulations in several respects:</w:t>
      </w:r>
    </w:p>
    <w:p w14:paraId="3EFEB282" w14:textId="12DE556D" w:rsidR="006F65C6" w:rsidRDefault="006F65C6" w:rsidP="006F65C6">
      <w:pPr>
        <w:pStyle w:val="ListParagraph"/>
        <w:numPr>
          <w:ilvl w:val="0"/>
          <w:numId w:val="9"/>
        </w:numPr>
        <w:spacing w:line="276" w:lineRule="auto"/>
        <w:ind w:left="1077" w:hanging="357"/>
        <w:contextualSpacing w:val="0"/>
      </w:pPr>
      <w:r>
        <w:t xml:space="preserve">First, the Panel finds that MSE ICB, in denying itself the opportunity to evaluate key aspects of </w:t>
      </w:r>
      <w:r w:rsidR="00A71674">
        <w:t xml:space="preserve">bidders’ </w:t>
      </w:r>
      <w:r>
        <w:t>proposals</w:t>
      </w:r>
      <w:r w:rsidR="00A71674">
        <w:t xml:space="preserve"> on a level playing field</w:t>
      </w:r>
      <w:r>
        <w:t>, breached the PSR regulations, and in particular, its obligations to act fairly, transparently and proportionately.</w:t>
      </w:r>
    </w:p>
    <w:p w14:paraId="4C130403" w14:textId="02AAF867" w:rsidR="006F65C6" w:rsidRDefault="006F65C6" w:rsidP="006F65C6">
      <w:pPr>
        <w:pStyle w:val="ListParagraph"/>
        <w:numPr>
          <w:ilvl w:val="0"/>
          <w:numId w:val="9"/>
        </w:numPr>
        <w:spacing w:line="276" w:lineRule="auto"/>
        <w:ind w:left="1077" w:hanging="357"/>
        <w:contextualSpacing w:val="0"/>
      </w:pPr>
      <w:r>
        <w:t>Second, the Panel finds that MSE ICB, in inviting bidders to make proposals to use resources external to the contract to assist in financing the cost of service provision, while not asking for any information that would allow it to reach an informed view on the potential effects on the sustainability of other services, breached the PSR regulations, and in particular Regulation 11(2) by not sufficiently tak</w:t>
      </w:r>
      <w:r w:rsidR="00126CB0">
        <w:t>ing</w:t>
      </w:r>
      <w:r>
        <w:t xml:space="preserve"> into account the requirement under Regulation 5(c)(iii) to ensure that services are provided in a sustainable way</w:t>
      </w:r>
      <w:r w:rsidRPr="00A06A32">
        <w:t xml:space="preserve"> </w:t>
      </w:r>
      <w:r>
        <w:t>when determining the contract award criteria.</w:t>
      </w:r>
    </w:p>
    <w:p w14:paraId="108DB851" w14:textId="61F27D64" w:rsidR="006F65C6" w:rsidRDefault="006F65C6" w:rsidP="006F65C6">
      <w:pPr>
        <w:pStyle w:val="ListParagraph"/>
        <w:numPr>
          <w:ilvl w:val="0"/>
          <w:numId w:val="9"/>
        </w:numPr>
        <w:spacing w:line="276" w:lineRule="auto"/>
        <w:ind w:left="1077" w:hanging="357"/>
        <w:contextualSpacing w:val="0"/>
      </w:pPr>
      <w:r>
        <w:t>Third, the Panel finds that MSE ICB, in changing its approach as to how bidders could present information on costs in their proposals</w:t>
      </w:r>
      <w:r w:rsidR="00D434EF">
        <w:t>,</w:t>
      </w:r>
      <w:r>
        <w:t xml:space="preserve"> and not allowing bidders a reasonable period of time to take account of MSE ICB’s new approach, breached the PSR regulations, and in particular its obligations to act fairly and proportionately.</w:t>
      </w:r>
    </w:p>
    <w:p w14:paraId="27E4AB02" w14:textId="1C1E7B2C" w:rsidR="006F65C6" w:rsidRDefault="006F65C6" w:rsidP="006F65C6">
      <w:pPr>
        <w:pStyle w:val="ListParagraph"/>
        <w:numPr>
          <w:ilvl w:val="0"/>
          <w:numId w:val="9"/>
        </w:numPr>
        <w:spacing w:line="276" w:lineRule="auto"/>
        <w:ind w:left="1077" w:hanging="357"/>
        <w:contextualSpacing w:val="0"/>
      </w:pPr>
      <w:r>
        <w:t xml:space="preserve">Fourth, the Panel finds that MSE ICB, in responding to several bidders’ </w:t>
      </w:r>
      <w:r w:rsidR="00911BD0">
        <w:t>CQs</w:t>
      </w:r>
      <w:r>
        <w:t xml:space="preserve"> in a way that was incomplete, lacked timeliness or was misleading, breached the PSR regulations, and in particular its obligations to act transparently, fairly and proportionately.</w:t>
      </w:r>
    </w:p>
    <w:p w14:paraId="0A812C51" w14:textId="06C6C39C" w:rsidR="006F65C6" w:rsidRDefault="006F65C6" w:rsidP="006F65C6">
      <w:pPr>
        <w:pStyle w:val="ListParagraph"/>
        <w:numPr>
          <w:ilvl w:val="0"/>
          <w:numId w:val="9"/>
        </w:numPr>
        <w:spacing w:line="276" w:lineRule="auto"/>
        <w:ind w:left="1077" w:hanging="357"/>
        <w:contextualSpacing w:val="0"/>
      </w:pPr>
      <w:r>
        <w:t xml:space="preserve">Fifth, the Panel finds that MSE ICB, in adversely assessing EPUT’s response to Question 2.3.1 (Service Model) with respect to the possibility of DWP funding of employment advisers not continuing, </w:t>
      </w:r>
      <w:r w:rsidRPr="002E1BF4">
        <w:t xml:space="preserve">when such a possibility was not suggested by MSE ICB in either the tender documentation or in its response to </w:t>
      </w:r>
      <w:r>
        <w:t xml:space="preserve">the relevant </w:t>
      </w:r>
      <w:r w:rsidR="00911BD0">
        <w:t>CQ</w:t>
      </w:r>
      <w:r>
        <w:t>, breached the PSR regulations and in particular its obligation to act fairly.</w:t>
      </w:r>
    </w:p>
    <w:p w14:paraId="188DE8EF" w14:textId="225345B2" w:rsidR="006F65C6" w:rsidRDefault="006F65C6" w:rsidP="006F65C6">
      <w:pPr>
        <w:pStyle w:val="ListParagraph"/>
        <w:numPr>
          <w:ilvl w:val="0"/>
          <w:numId w:val="9"/>
        </w:numPr>
        <w:spacing w:line="276" w:lineRule="auto"/>
        <w:ind w:left="1077" w:hanging="357"/>
        <w:contextualSpacing w:val="0"/>
      </w:pPr>
      <w:r>
        <w:t xml:space="preserve">Finally, the Panel finds that MSE ICB, in </w:t>
      </w:r>
      <w:r w:rsidR="00A748B8">
        <w:t xml:space="preserve">failing to provide relevant documents in response to MPFT’s request for information, and in </w:t>
      </w:r>
      <w:r>
        <w:t xml:space="preserve">responding to MPFT’s and EPUT’s requests for information </w:t>
      </w:r>
      <w:r w:rsidR="00792735">
        <w:t xml:space="preserve">at the same time as responding to their </w:t>
      </w:r>
      <w:r>
        <w:t>representations, breached its obligation to ensure that a provider which makes representations “is afforded such further opportunity to explain or clarify the representations made as the relevant authority considers appropriate” (Regulation 12(4)(a)) and to “provide promptly any information requested by an aggrieved provider where the relevant authority has a duty to record that information under regulation 24” (Regulation 12(4)(b)).</w:t>
      </w:r>
    </w:p>
    <w:p w14:paraId="172DD392" w14:textId="77777777" w:rsidR="00444433" w:rsidRPr="00AF4B36" w:rsidRDefault="00C52B3C" w:rsidP="006F65C6">
      <w:pPr>
        <w:pStyle w:val="ListParagraph"/>
        <w:numPr>
          <w:ilvl w:val="0"/>
          <w:numId w:val="1"/>
        </w:numPr>
        <w:spacing w:line="276" w:lineRule="auto"/>
      </w:pPr>
      <w:r w:rsidRPr="00AF4B36">
        <w:t>Given these conclusions, three options are open to the Panel. The Panel may advise that:</w:t>
      </w:r>
    </w:p>
    <w:p w14:paraId="541A4B19" w14:textId="33AD838D" w:rsidR="006F65C6" w:rsidRPr="00AF4B36" w:rsidRDefault="007D2F06" w:rsidP="006F65C6">
      <w:pPr>
        <w:pStyle w:val="ListParagraph"/>
        <w:numPr>
          <w:ilvl w:val="0"/>
          <w:numId w:val="10"/>
        </w:numPr>
        <w:spacing w:line="276" w:lineRule="auto"/>
      </w:pPr>
      <w:r>
        <w:lastRenderedPageBreak/>
        <w:t>t</w:t>
      </w:r>
      <w:r w:rsidR="006F65C6" w:rsidRPr="00AF4B36">
        <w:t xml:space="preserve">he breaches had no material effect on </w:t>
      </w:r>
      <w:r w:rsidR="006F65C6">
        <w:t>MSE ICB</w:t>
      </w:r>
      <w:r w:rsidR="006F65C6" w:rsidRPr="00AF4B36">
        <w:t>’s selection of a provider and it should proceed with awarding the contract as originally intended;</w:t>
      </w:r>
    </w:p>
    <w:p w14:paraId="0FBFEDBA" w14:textId="77777777" w:rsidR="006F65C6" w:rsidRPr="00AF4B36" w:rsidRDefault="006F65C6" w:rsidP="006F65C6">
      <w:pPr>
        <w:pStyle w:val="ListParagraph"/>
        <w:numPr>
          <w:ilvl w:val="0"/>
          <w:numId w:val="10"/>
        </w:numPr>
        <w:spacing w:line="276" w:lineRule="auto"/>
      </w:pPr>
      <w:r>
        <w:t>MSE ICB</w:t>
      </w:r>
      <w:r w:rsidRPr="00AF4B36">
        <w:t xml:space="preserve"> should return to an earlier step in the provider selection process to rectify the issues identified by the Panel; or</w:t>
      </w:r>
    </w:p>
    <w:p w14:paraId="510FC4C6" w14:textId="77777777" w:rsidR="006F65C6" w:rsidRPr="00AF4B36" w:rsidRDefault="006F65C6" w:rsidP="006F65C6">
      <w:pPr>
        <w:pStyle w:val="ListParagraph"/>
        <w:numPr>
          <w:ilvl w:val="0"/>
          <w:numId w:val="10"/>
        </w:numPr>
        <w:spacing w:line="276" w:lineRule="auto"/>
        <w:contextualSpacing w:val="0"/>
      </w:pPr>
      <w:r>
        <w:t>MSE ICB</w:t>
      </w:r>
      <w:r w:rsidRPr="00AF4B36">
        <w:t xml:space="preserve"> should abandon the current provider selection process.</w:t>
      </w:r>
    </w:p>
    <w:p w14:paraId="64FCAF5A" w14:textId="2B2CA74E" w:rsidR="006F65C6" w:rsidRDefault="006F65C6" w:rsidP="006F65C6">
      <w:pPr>
        <w:pStyle w:val="ListParagraph"/>
        <w:numPr>
          <w:ilvl w:val="0"/>
          <w:numId w:val="1"/>
        </w:numPr>
        <w:spacing w:line="276" w:lineRule="auto"/>
        <w:contextualSpacing w:val="0"/>
      </w:pPr>
      <w:r w:rsidRPr="00934ACE">
        <w:t xml:space="preserve">The Panel’s view is that the breaches identified have had a material effect on </w:t>
      </w:r>
      <w:r>
        <w:t>MSE ICB</w:t>
      </w:r>
      <w:r w:rsidRPr="00934ACE">
        <w:t>’s provider</w:t>
      </w:r>
      <w:r>
        <w:t xml:space="preserve"> </w:t>
      </w:r>
      <w:r w:rsidRPr="00934ACE">
        <w:t>selection</w:t>
      </w:r>
      <w:r w:rsidR="00250AAD">
        <w:t xml:space="preserve"> process </w:t>
      </w:r>
      <w:r>
        <w:t>for the mental health core services contract</w:t>
      </w:r>
      <w:r w:rsidRPr="00934ACE">
        <w:t>.</w:t>
      </w:r>
    </w:p>
    <w:p w14:paraId="4CDFFE37" w14:textId="1907E85C" w:rsidR="006F65C6" w:rsidRDefault="006F65C6" w:rsidP="00CA256E">
      <w:pPr>
        <w:pStyle w:val="ListParagraph"/>
        <w:numPr>
          <w:ilvl w:val="0"/>
          <w:numId w:val="1"/>
        </w:numPr>
        <w:spacing w:line="276" w:lineRule="auto"/>
        <w:contextualSpacing w:val="0"/>
      </w:pPr>
      <w:r>
        <w:t xml:space="preserve">The </w:t>
      </w:r>
      <w:r w:rsidR="00CA256E" w:rsidRPr="00CA256E">
        <w:t xml:space="preserve">Panel’s advice to MSE ICB is that it returns to an earlier step in the provider selection process, namely the publication of a new contract notice and issuance of tender documentation suitably revised to address the issues identified by the Panel in this review. The Panel notes, however, the provision in the statutory guidance that “Relevant authorities should not use the option to return to an earlier step as an opportunity to modify the selection parameters (that is, to modify the key criteria or change the service specifications)”. If MSE ICB is unable to return to an earlier step in the process without modifying its selection parameters, the Panel’s advice, in line with the statutory guidance, is that MSE ICB “should abandon the provider selection process (in accordance with the Regulations) and start a new one. </w:t>
      </w:r>
    </w:p>
    <w:p w14:paraId="7AA49AA2" w14:textId="7D97CA60" w:rsidR="00AF703F" w:rsidRDefault="009E2DF7" w:rsidP="0025106C">
      <w:pPr>
        <w:pStyle w:val="Heading1"/>
      </w:pPr>
      <w:bookmarkStart w:id="2" w:name="_Toc209611764"/>
      <w:r>
        <w:t>Introduction</w:t>
      </w:r>
      <w:bookmarkEnd w:id="2"/>
    </w:p>
    <w:p w14:paraId="2DDB60E3" w14:textId="17F705A9" w:rsidR="004724B3" w:rsidRDefault="00C52B3C" w:rsidP="00BA6D1D">
      <w:pPr>
        <w:pStyle w:val="ListParagraph"/>
        <w:numPr>
          <w:ilvl w:val="0"/>
          <w:numId w:val="1"/>
        </w:numPr>
        <w:spacing w:line="276" w:lineRule="auto"/>
        <w:contextualSpacing w:val="0"/>
      </w:pPr>
      <w:r>
        <w:t xml:space="preserve">On </w:t>
      </w:r>
      <w:r w:rsidR="004A4C6D">
        <w:t>24 June</w:t>
      </w:r>
      <w:r w:rsidR="00B53D63">
        <w:t xml:space="preserve"> 2025</w:t>
      </w:r>
      <w:r w:rsidR="008F72BD">
        <w:t xml:space="preserve">, the Panel </w:t>
      </w:r>
      <w:r w:rsidR="00E37A24">
        <w:t>was asked by Midlands Partnership</w:t>
      </w:r>
      <w:r w:rsidR="00493F04">
        <w:t xml:space="preserve"> University</w:t>
      </w:r>
      <w:r w:rsidR="00E37A24">
        <w:t xml:space="preserve"> </w:t>
      </w:r>
      <w:r w:rsidR="00B81182">
        <w:t xml:space="preserve">NHS </w:t>
      </w:r>
      <w:r w:rsidR="00E37A24">
        <w:t>Foundation Trust (MPFT)</w:t>
      </w:r>
      <w:r w:rsidR="00E37A24" w:rsidRPr="003F0E4D">
        <w:rPr>
          <w:vertAlign w:val="superscript"/>
        </w:rPr>
        <w:footnoteReference w:id="1"/>
      </w:r>
      <w:r w:rsidR="00E37A24">
        <w:t xml:space="preserve"> </w:t>
      </w:r>
      <w:r w:rsidR="008F72BD">
        <w:t xml:space="preserve">to advise on </w:t>
      </w:r>
      <w:r w:rsidR="0033618B">
        <w:t>the</w:t>
      </w:r>
      <w:r w:rsidR="008F72BD">
        <w:t xml:space="preserve"> selection of a provider </w:t>
      </w:r>
      <w:r w:rsidR="0033618B">
        <w:t xml:space="preserve">by </w:t>
      </w:r>
      <w:r w:rsidR="00493F04" w:rsidRPr="00493F04">
        <w:t>NHS Mid and South Essex Integrated Care Board (</w:t>
      </w:r>
      <w:r w:rsidR="00493F04">
        <w:t>MSE</w:t>
      </w:r>
      <w:r w:rsidR="00493F04" w:rsidRPr="00493F04">
        <w:t xml:space="preserve"> ICB)</w:t>
      </w:r>
      <w:r w:rsidR="002A53D8" w:rsidRPr="00BD450F">
        <w:rPr>
          <w:vertAlign w:val="superscript"/>
        </w:rPr>
        <w:footnoteReference w:id="2"/>
      </w:r>
      <w:r w:rsidR="00493F04" w:rsidRPr="00493F04">
        <w:t xml:space="preserve"> </w:t>
      </w:r>
      <w:r w:rsidR="008F72BD">
        <w:t xml:space="preserve">for its </w:t>
      </w:r>
      <w:r w:rsidR="00875ADA" w:rsidRPr="00875ADA">
        <w:t>Talking Therapies and Psychological Therapies for Severe Mental Health Problems</w:t>
      </w:r>
      <w:r w:rsidR="00875ADA">
        <w:t xml:space="preserve"> </w:t>
      </w:r>
      <w:r w:rsidR="00516F10">
        <w:t>(</w:t>
      </w:r>
      <w:r w:rsidR="00A16DD1">
        <w:t>m</w:t>
      </w:r>
      <w:r w:rsidR="00516F10">
        <w:t xml:space="preserve">ental </w:t>
      </w:r>
      <w:r w:rsidR="00A16DD1">
        <w:t>h</w:t>
      </w:r>
      <w:r w:rsidR="00516F10">
        <w:t xml:space="preserve">ealth </w:t>
      </w:r>
      <w:r w:rsidR="00A16DD1">
        <w:t>c</w:t>
      </w:r>
      <w:r w:rsidR="00516F10">
        <w:t xml:space="preserve">ore </w:t>
      </w:r>
      <w:r w:rsidR="00A16DD1">
        <w:t>s</w:t>
      </w:r>
      <w:r w:rsidR="00516F10">
        <w:t>ervices)</w:t>
      </w:r>
      <w:r w:rsidR="00875ADA">
        <w:t xml:space="preserve"> in Mid and South Essex</w:t>
      </w:r>
      <w:r w:rsidR="008F72BD">
        <w:t>.</w:t>
      </w:r>
      <w:r w:rsidR="002104B7">
        <w:t xml:space="preserve"> On 27 June 2025, the Panel was asked by Essex Partnership </w:t>
      </w:r>
      <w:r w:rsidR="00B81182">
        <w:t xml:space="preserve">University NHS </w:t>
      </w:r>
      <w:r w:rsidR="002104B7">
        <w:t>Foundation Trust (EPUT)</w:t>
      </w:r>
      <w:r w:rsidR="00B81182" w:rsidRPr="003F0E4D">
        <w:rPr>
          <w:vertAlign w:val="superscript"/>
        </w:rPr>
        <w:footnoteReference w:id="3"/>
      </w:r>
      <w:r w:rsidR="002104B7" w:rsidRPr="003F0E4D">
        <w:rPr>
          <w:vertAlign w:val="superscript"/>
        </w:rPr>
        <w:t xml:space="preserve"> </w:t>
      </w:r>
      <w:r w:rsidR="002104B7">
        <w:t>to advise on the same provider selection process.</w:t>
      </w:r>
    </w:p>
    <w:p w14:paraId="4FF9EE89" w14:textId="4EF3A67D" w:rsidR="005C2C79" w:rsidRDefault="008F72BD" w:rsidP="00BC66C7">
      <w:pPr>
        <w:pStyle w:val="ListParagraph"/>
        <w:numPr>
          <w:ilvl w:val="0"/>
          <w:numId w:val="1"/>
        </w:numPr>
        <w:spacing w:line="276" w:lineRule="auto"/>
        <w:contextualSpacing w:val="0"/>
      </w:pPr>
      <w:r>
        <w:t>The Panel</w:t>
      </w:r>
      <w:r w:rsidR="008857C9">
        <w:t>,</w:t>
      </w:r>
      <w:r>
        <w:t xml:space="preserve"> </w:t>
      </w:r>
      <w:r w:rsidR="00D6072E">
        <w:t>in accordance with its case acceptance criteria</w:t>
      </w:r>
      <w:r w:rsidR="008857C9">
        <w:t>,</w:t>
      </w:r>
      <w:r w:rsidR="00D6072E">
        <w:t xml:space="preserve"> </w:t>
      </w:r>
      <w:r>
        <w:t xml:space="preserve">accepted </w:t>
      </w:r>
      <w:r w:rsidR="00A2359D">
        <w:t>MPFT</w:t>
      </w:r>
      <w:r w:rsidR="00812837">
        <w:t xml:space="preserve">’s request on </w:t>
      </w:r>
      <w:r w:rsidR="00A2359D">
        <w:t xml:space="preserve">27 June </w:t>
      </w:r>
      <w:r w:rsidR="00390397">
        <w:t>and EPUT’s request on 1 July 2025</w:t>
      </w:r>
      <w:r w:rsidR="00812837">
        <w:t>. The</w:t>
      </w:r>
      <w:r w:rsidR="008857C9">
        <w:t xml:space="preserve"> Panel’s case acceptance</w:t>
      </w:r>
      <w:r w:rsidR="00812837">
        <w:t xml:space="preserve"> criteria set out both eligibility requirements and the </w:t>
      </w:r>
      <w:r w:rsidR="002B6260">
        <w:t>prioritisation</w:t>
      </w:r>
      <w:r w:rsidR="00812837">
        <w:t xml:space="preserve"> criteria </w:t>
      </w:r>
      <w:r w:rsidR="002B6260">
        <w:t>the Panel will apply when it is approaching full caseload capacity.</w:t>
      </w:r>
      <w:r w:rsidR="004724B3" w:rsidRPr="003F0E4D">
        <w:rPr>
          <w:vertAlign w:val="superscript"/>
        </w:rPr>
        <w:footnoteReference w:id="4"/>
      </w:r>
      <w:r w:rsidR="002B6260" w:rsidRPr="003F0E4D">
        <w:rPr>
          <w:vertAlign w:val="superscript"/>
        </w:rPr>
        <w:t xml:space="preserve"> </w:t>
      </w:r>
      <w:r w:rsidR="00390397">
        <w:t>Both prov</w:t>
      </w:r>
      <w:r w:rsidR="00390397" w:rsidRPr="00B57884">
        <w:t>iders</w:t>
      </w:r>
      <w:r w:rsidR="00B57884" w:rsidRPr="00B57884">
        <w:t>’</w:t>
      </w:r>
      <w:r w:rsidR="002B6260" w:rsidRPr="00B57884">
        <w:t xml:space="preserve"> request</w:t>
      </w:r>
      <w:r w:rsidR="004B37B4">
        <w:t>s</w:t>
      </w:r>
      <w:r w:rsidR="002B6260" w:rsidRPr="00B57884">
        <w:t xml:space="preserve"> met the eligibility requirements, and as the Panel was not approaching full capacity, there was no need to apply the prioritisation criteria</w:t>
      </w:r>
      <w:r w:rsidR="005C2C79" w:rsidRPr="00B57884">
        <w:t>.</w:t>
      </w:r>
    </w:p>
    <w:p w14:paraId="6B1A486F" w14:textId="405CF9EB" w:rsidR="002B6260" w:rsidRDefault="00716EEB" w:rsidP="00BC66C7">
      <w:pPr>
        <w:pStyle w:val="ListParagraph"/>
        <w:numPr>
          <w:ilvl w:val="0"/>
          <w:numId w:val="1"/>
        </w:numPr>
        <w:spacing w:after="0" w:line="276" w:lineRule="auto"/>
        <w:contextualSpacing w:val="0"/>
      </w:pPr>
      <w:r>
        <w:t>The Panel’s Chair appointed three members to a Case Panel</w:t>
      </w:r>
      <w:r w:rsidR="007F7092">
        <w:t xml:space="preserve"> for th</w:t>
      </w:r>
      <w:r w:rsidR="00D30AFF">
        <w:t>e</w:t>
      </w:r>
      <w:r w:rsidR="007F7092">
        <w:t xml:space="preserve"> review</w:t>
      </w:r>
      <w:r w:rsidR="00D30AFF">
        <w:t xml:space="preserve"> of both cases</w:t>
      </w:r>
      <w:r w:rsidR="007F7092">
        <w:t xml:space="preserve"> (in line with the Panel’s procedures). The Case Panel consisted of:</w:t>
      </w:r>
    </w:p>
    <w:p w14:paraId="3C0A0165" w14:textId="4CC580DF" w:rsidR="007F7092" w:rsidRDefault="007F7092" w:rsidP="00BC66C7">
      <w:pPr>
        <w:pStyle w:val="ListParagraph"/>
        <w:numPr>
          <w:ilvl w:val="0"/>
          <w:numId w:val="5"/>
        </w:numPr>
        <w:ind w:left="1077" w:hanging="357"/>
      </w:pPr>
      <w:r>
        <w:t>Andrew Taylor, Panel Chair;</w:t>
      </w:r>
    </w:p>
    <w:p w14:paraId="2AF7F4B8" w14:textId="0A936AE2" w:rsidR="00955666" w:rsidRDefault="00B57884" w:rsidP="00BC66C7">
      <w:pPr>
        <w:pStyle w:val="ListParagraph"/>
        <w:numPr>
          <w:ilvl w:val="0"/>
          <w:numId w:val="5"/>
        </w:numPr>
        <w:ind w:left="1077" w:hanging="357"/>
      </w:pPr>
      <w:r>
        <w:t>Albert</w:t>
      </w:r>
      <w:r w:rsidR="00EC64AA">
        <w:t xml:space="preserve"> Sanchez-Graells</w:t>
      </w:r>
      <w:r w:rsidR="00955666">
        <w:t>, Case Panel Member; and</w:t>
      </w:r>
    </w:p>
    <w:p w14:paraId="16B21427" w14:textId="617062E8" w:rsidR="00955666" w:rsidRDefault="00EC64AA" w:rsidP="00BC66C7">
      <w:pPr>
        <w:pStyle w:val="ListParagraph"/>
        <w:numPr>
          <w:ilvl w:val="0"/>
          <w:numId w:val="5"/>
        </w:numPr>
        <w:ind w:left="1077" w:hanging="357"/>
        <w:contextualSpacing w:val="0"/>
      </w:pPr>
      <w:r>
        <w:lastRenderedPageBreak/>
        <w:t>Alison Tonge</w:t>
      </w:r>
      <w:r w:rsidR="00955666">
        <w:t>, Case Panel Member.</w:t>
      </w:r>
      <w:r w:rsidR="004A0C4C">
        <w:rPr>
          <w:rStyle w:val="FootnoteReference"/>
        </w:rPr>
        <w:footnoteReference w:id="5"/>
      </w:r>
    </w:p>
    <w:p w14:paraId="6DBF7A0F" w14:textId="25E622FD" w:rsidR="00CD4CF5" w:rsidRDefault="00955666" w:rsidP="00BC66C7">
      <w:pPr>
        <w:pStyle w:val="ListParagraph"/>
        <w:numPr>
          <w:ilvl w:val="0"/>
          <w:numId w:val="1"/>
        </w:numPr>
        <w:spacing w:line="276" w:lineRule="auto"/>
        <w:contextualSpacing w:val="0"/>
      </w:pPr>
      <w:r>
        <w:t>The Case Panel’s review has been carried out in accordance with the Panel’s Standard Operating Procedures (“procedures”)</w:t>
      </w:r>
      <w:r w:rsidR="00444D28">
        <w:t>.</w:t>
      </w:r>
      <w:r w:rsidR="00CD4CF5" w:rsidRPr="003F0E4D">
        <w:rPr>
          <w:vertAlign w:val="superscript"/>
        </w:rPr>
        <w:footnoteReference w:id="6"/>
      </w:r>
    </w:p>
    <w:p w14:paraId="26F6E11E" w14:textId="6418B7B7" w:rsidR="007F7092" w:rsidRDefault="00444D28" w:rsidP="00BC66C7">
      <w:pPr>
        <w:pStyle w:val="ListParagraph"/>
        <w:numPr>
          <w:ilvl w:val="0"/>
          <w:numId w:val="1"/>
        </w:numPr>
        <w:spacing w:after="0" w:line="276" w:lineRule="auto"/>
        <w:contextualSpacing w:val="0"/>
      </w:pPr>
      <w:r>
        <w:t xml:space="preserve">This report provides the Panel’s assessment </w:t>
      </w:r>
      <w:r w:rsidR="00AB7D10">
        <w:t xml:space="preserve">of </w:t>
      </w:r>
      <w:r w:rsidR="00B07BA3">
        <w:t>MPFT’s and EPUT’s</w:t>
      </w:r>
      <w:r w:rsidR="00AB7D10">
        <w:t xml:space="preserve"> representations </w:t>
      </w:r>
      <w:r>
        <w:t xml:space="preserve">and </w:t>
      </w:r>
      <w:r w:rsidR="00AB7D10">
        <w:t xml:space="preserve">its </w:t>
      </w:r>
      <w:r>
        <w:t>advice to</w:t>
      </w:r>
      <w:r w:rsidR="00EC64AA">
        <w:t xml:space="preserve"> MSE ICB</w:t>
      </w:r>
      <w:r w:rsidR="00AB7D10">
        <w:t xml:space="preserve">. The report </w:t>
      </w:r>
      <w:r>
        <w:t>is set out as follows:</w:t>
      </w:r>
    </w:p>
    <w:p w14:paraId="36D37C21" w14:textId="66780FE5" w:rsidR="0092692C" w:rsidRDefault="0092692C" w:rsidP="00BC66C7">
      <w:pPr>
        <w:pStyle w:val="ListParagraph"/>
        <w:numPr>
          <w:ilvl w:val="0"/>
          <w:numId w:val="6"/>
        </w:numPr>
        <w:ind w:left="1077" w:hanging="357"/>
      </w:pPr>
      <w:r>
        <w:t>Section 3 briefly describes the role of the Panel;</w:t>
      </w:r>
    </w:p>
    <w:p w14:paraId="497E0A4E" w14:textId="7CB0BD0E" w:rsidR="0092692C" w:rsidRDefault="0092692C" w:rsidP="00BC66C7">
      <w:pPr>
        <w:pStyle w:val="ListParagraph"/>
        <w:numPr>
          <w:ilvl w:val="0"/>
          <w:numId w:val="6"/>
        </w:numPr>
        <w:ind w:left="1077" w:hanging="357"/>
      </w:pPr>
      <w:r>
        <w:t xml:space="preserve">Section 4 sets out the background to the Panel’s review, including the events leading up to, and including, the </w:t>
      </w:r>
      <w:r w:rsidR="002D4062">
        <w:t>provider selection process</w:t>
      </w:r>
      <w:r w:rsidR="00C94378">
        <w:t>;</w:t>
      </w:r>
    </w:p>
    <w:p w14:paraId="08A32742" w14:textId="35F37AAF" w:rsidR="00C94378" w:rsidRDefault="00C94378" w:rsidP="00BC66C7">
      <w:pPr>
        <w:pStyle w:val="ListParagraph"/>
        <w:numPr>
          <w:ilvl w:val="0"/>
          <w:numId w:val="6"/>
        </w:numPr>
        <w:ind w:left="1077" w:hanging="357"/>
      </w:pPr>
      <w:r>
        <w:t xml:space="preserve">Section 5 sets out the concerns raised by </w:t>
      </w:r>
      <w:r w:rsidR="00EC64AA">
        <w:t>MPFT</w:t>
      </w:r>
      <w:r w:rsidR="00436134">
        <w:t xml:space="preserve"> and EPUT</w:t>
      </w:r>
      <w:r>
        <w:t>;</w:t>
      </w:r>
    </w:p>
    <w:p w14:paraId="1D54F60D" w14:textId="2351BD0C" w:rsidR="00CA3AB6" w:rsidRDefault="00CA3AB6" w:rsidP="00BC66C7">
      <w:pPr>
        <w:pStyle w:val="ListParagraph"/>
        <w:numPr>
          <w:ilvl w:val="0"/>
          <w:numId w:val="6"/>
        </w:numPr>
      </w:pPr>
      <w:r>
        <w:t xml:space="preserve">Section 6 identifies the PSR regulations relevant to </w:t>
      </w:r>
      <w:r w:rsidR="002D4062">
        <w:t>MPFT’s</w:t>
      </w:r>
      <w:r>
        <w:t xml:space="preserve"> </w:t>
      </w:r>
      <w:r w:rsidR="00436134">
        <w:t xml:space="preserve">and EPUT’s </w:t>
      </w:r>
      <w:r>
        <w:t>representations;</w:t>
      </w:r>
    </w:p>
    <w:p w14:paraId="0F6F2AD0" w14:textId="1AA2875E" w:rsidR="00CA3AB6" w:rsidRDefault="00CA3AB6" w:rsidP="00BC66C7">
      <w:pPr>
        <w:pStyle w:val="ListParagraph"/>
        <w:numPr>
          <w:ilvl w:val="0"/>
          <w:numId w:val="6"/>
        </w:numPr>
      </w:pPr>
      <w:r>
        <w:t>Section 7 sets out the Panel’s assessment of the issues raised by</w:t>
      </w:r>
      <w:r w:rsidR="002D4062">
        <w:t xml:space="preserve"> MPFT</w:t>
      </w:r>
      <w:r w:rsidR="00436134">
        <w:t xml:space="preserve"> and EPUT</w:t>
      </w:r>
      <w:r>
        <w:t>;</w:t>
      </w:r>
    </w:p>
    <w:p w14:paraId="0F291F4A" w14:textId="54FCD395" w:rsidR="00C94378" w:rsidRDefault="00C94378" w:rsidP="00BC66C7">
      <w:pPr>
        <w:pStyle w:val="ListParagraph"/>
        <w:numPr>
          <w:ilvl w:val="0"/>
          <w:numId w:val="6"/>
        </w:numPr>
        <w:ind w:left="1077" w:hanging="357"/>
        <w:contextualSpacing w:val="0"/>
      </w:pPr>
      <w:r>
        <w:t xml:space="preserve">Section 8 sets out the Panel’s advice to </w:t>
      </w:r>
      <w:r w:rsidR="002D4062">
        <w:t>MSE ICB</w:t>
      </w:r>
      <w:r>
        <w:t>.</w:t>
      </w:r>
    </w:p>
    <w:p w14:paraId="4B7770C8" w14:textId="2E9C93DB" w:rsidR="00444D28" w:rsidRPr="008B410D" w:rsidRDefault="0092692C" w:rsidP="00BC66C7">
      <w:pPr>
        <w:pStyle w:val="ListParagraph"/>
        <w:numPr>
          <w:ilvl w:val="0"/>
          <w:numId w:val="1"/>
        </w:numPr>
        <w:spacing w:line="276" w:lineRule="auto"/>
        <w:contextualSpacing w:val="0"/>
      </w:pPr>
      <w:r>
        <w:t xml:space="preserve">The Panel thanks </w:t>
      </w:r>
      <w:r w:rsidR="002D4062">
        <w:t>MSE ICB, MPFT and EPUT</w:t>
      </w:r>
      <w:r>
        <w:t xml:space="preserve"> for their assistance and cooperation during this review.</w:t>
      </w:r>
    </w:p>
    <w:p w14:paraId="1FC86429" w14:textId="5C2EEC94" w:rsidR="00485DA5" w:rsidRDefault="00485DA5" w:rsidP="00485DA5">
      <w:pPr>
        <w:pStyle w:val="Heading1"/>
      </w:pPr>
      <w:bookmarkStart w:id="3" w:name="_Toc209611765"/>
      <w:r>
        <w:t>Role of the Panel</w:t>
      </w:r>
      <w:bookmarkEnd w:id="3"/>
    </w:p>
    <w:p w14:paraId="3999A5A7" w14:textId="55E064C3" w:rsidR="00DA200D" w:rsidRDefault="00BF4715" w:rsidP="00BC66C7">
      <w:pPr>
        <w:pStyle w:val="ListParagraph"/>
        <w:numPr>
          <w:ilvl w:val="0"/>
          <w:numId w:val="1"/>
        </w:numPr>
        <w:spacing w:line="276" w:lineRule="auto"/>
        <w:contextualSpacing w:val="0"/>
      </w:pPr>
      <w:r>
        <w:t xml:space="preserve">The PSR regulations, issued under the Health and Care Act 2022, put into effect the Provider Selection Regime for NHS and local authority commissioning of health care services. The </w:t>
      </w:r>
      <w:r w:rsidR="00CF47A0">
        <w:t>Provider Selection Regime cam</w:t>
      </w:r>
      <w:r w:rsidR="00335D06">
        <w:t>e</w:t>
      </w:r>
      <w:r w:rsidR="00CF47A0">
        <w:t xml:space="preserve"> into force with the adoption of the </w:t>
      </w:r>
      <w:r>
        <w:t xml:space="preserve">PSR regulations </w:t>
      </w:r>
      <w:r w:rsidR="00CF47A0">
        <w:t xml:space="preserve">on </w:t>
      </w:r>
      <w:r w:rsidR="00907E91">
        <w:t>1 January 2024 and</w:t>
      </w:r>
      <w:r w:rsidR="00CF47A0">
        <w:t xml:space="preserve"> gives relevant authorities (i.e. commissioners) greater flexibility in selecting providers of health care services</w:t>
      </w:r>
      <w:r>
        <w:t>.</w:t>
      </w:r>
      <w:r w:rsidR="008F2F8C" w:rsidRPr="003F0E4D">
        <w:rPr>
          <w:vertAlign w:val="superscript"/>
        </w:rPr>
        <w:footnoteReference w:id="7"/>
      </w:r>
    </w:p>
    <w:p w14:paraId="22550EC9" w14:textId="6C3458D6" w:rsidR="009C30B9" w:rsidRDefault="009C30B9" w:rsidP="00BC66C7">
      <w:pPr>
        <w:pStyle w:val="ListParagraph"/>
        <w:numPr>
          <w:ilvl w:val="0"/>
          <w:numId w:val="1"/>
        </w:numPr>
        <w:spacing w:line="276" w:lineRule="auto"/>
        <w:contextualSpacing w:val="0"/>
      </w:pPr>
      <w:r>
        <w:t>The Panel’s role is to act as an independent review body where a provider has concerns about a commissioner’s provider selection decision. Panel reviews only take place following a commissioner’s review of its original decision.</w:t>
      </w:r>
    </w:p>
    <w:p w14:paraId="51B6322F" w14:textId="0C13EA53" w:rsidR="009C30B9" w:rsidRPr="008B410D" w:rsidRDefault="009C30B9" w:rsidP="00BC66C7">
      <w:pPr>
        <w:pStyle w:val="ListParagraph"/>
        <w:numPr>
          <w:ilvl w:val="0"/>
          <w:numId w:val="1"/>
        </w:numPr>
        <w:spacing w:line="276" w:lineRule="auto"/>
        <w:contextualSpacing w:val="0"/>
      </w:pPr>
      <w:r>
        <w:t>For each review, the Panel’s assessment and advice is supplied to the commissioner and the potential provider that has requested the Panel’s review. It is also published on the Panel’s webpages. The commissioner is then responsible for reviewing its decision in light of the Panel’s advice.</w:t>
      </w:r>
    </w:p>
    <w:p w14:paraId="45E9213A" w14:textId="16E23B7E" w:rsidR="00485DA5" w:rsidRDefault="00485DA5" w:rsidP="00DA200D">
      <w:pPr>
        <w:pStyle w:val="Heading1"/>
      </w:pPr>
      <w:bookmarkStart w:id="4" w:name="_Toc209611766"/>
      <w:r>
        <w:t>Background to this review</w:t>
      </w:r>
      <w:bookmarkEnd w:id="4"/>
    </w:p>
    <w:p w14:paraId="0D26F370" w14:textId="4398924D" w:rsidR="00C651BF" w:rsidRDefault="00C651BF" w:rsidP="006B6C21">
      <w:pPr>
        <w:pStyle w:val="ListParagraph"/>
        <w:numPr>
          <w:ilvl w:val="0"/>
          <w:numId w:val="1"/>
        </w:numPr>
        <w:spacing w:line="276" w:lineRule="auto"/>
        <w:contextualSpacing w:val="0"/>
      </w:pPr>
      <w:r>
        <w:t>Mental health core services in Mid and South Essex encompass talking therapies and psychological therapies</w:t>
      </w:r>
      <w:r w:rsidR="002E6375">
        <w:t xml:space="preserve"> for severe mental health problems</w:t>
      </w:r>
      <w:r>
        <w:t>. Talking therapies are for people suffering from anxiety and depression</w:t>
      </w:r>
      <w:r w:rsidRPr="006B6C21">
        <w:rPr>
          <w:vertAlign w:val="superscript"/>
        </w:rPr>
        <w:footnoteReference w:id="8"/>
      </w:r>
      <w:r w:rsidRPr="006B6C21">
        <w:rPr>
          <w:vertAlign w:val="superscript"/>
        </w:rPr>
        <w:t xml:space="preserve"> </w:t>
      </w:r>
      <w:r w:rsidR="00947C03" w:rsidRPr="006B6C21">
        <w:t xml:space="preserve"> </w:t>
      </w:r>
      <w:r>
        <w:t xml:space="preserve">while </w:t>
      </w:r>
      <w:r w:rsidR="008C5DC1">
        <w:t xml:space="preserve">the </w:t>
      </w:r>
      <w:r>
        <w:t xml:space="preserve">psychological therapies </w:t>
      </w:r>
      <w:r w:rsidR="008C5DC1">
        <w:t xml:space="preserve">in this </w:t>
      </w:r>
      <w:r w:rsidR="008C5DC1">
        <w:lastRenderedPageBreak/>
        <w:t xml:space="preserve">service </w:t>
      </w:r>
      <w:r>
        <w:t>are for people with severe mental health problems.</w:t>
      </w:r>
      <w:r w:rsidRPr="006B6C21">
        <w:rPr>
          <w:vertAlign w:val="superscript"/>
        </w:rPr>
        <w:footnoteReference w:id="9"/>
      </w:r>
      <w:r w:rsidRPr="006B6C21">
        <w:rPr>
          <w:vertAlign w:val="superscript"/>
        </w:rPr>
        <w:t xml:space="preserve"> </w:t>
      </w:r>
      <w:r>
        <w:t xml:space="preserve">Across Mid and South Essex, </w:t>
      </w:r>
      <w:r w:rsidR="00FA1B26">
        <w:t>MSE ICB expect</w:t>
      </w:r>
      <w:r w:rsidR="00E66AC6">
        <w:t>s</w:t>
      </w:r>
      <w:r w:rsidR="00FA1B26">
        <w:t xml:space="preserve"> </w:t>
      </w:r>
      <w:r>
        <w:t xml:space="preserve">around </w:t>
      </w:r>
      <w:r w:rsidR="008E369A">
        <w:t>9</w:t>
      </w:r>
      <w:r>
        <w:t xml:space="preserve">5% of </w:t>
      </w:r>
      <w:r w:rsidR="00FA1B26">
        <w:t>referrals for</w:t>
      </w:r>
      <w:r>
        <w:t xml:space="preserve"> mental health core services </w:t>
      </w:r>
      <w:r w:rsidR="00436DC6">
        <w:t xml:space="preserve">to be for </w:t>
      </w:r>
      <w:r>
        <w:t xml:space="preserve">talking therapies and the remaining 5% </w:t>
      </w:r>
      <w:r w:rsidR="00436DC6">
        <w:t xml:space="preserve">for </w:t>
      </w:r>
      <w:r>
        <w:t>psychological therapies</w:t>
      </w:r>
      <w:r w:rsidR="00AD1957">
        <w:t xml:space="preserve"> for severe mental health problems</w:t>
      </w:r>
      <w:r>
        <w:t>.</w:t>
      </w:r>
      <w:r w:rsidR="008E369A">
        <w:rPr>
          <w:rStyle w:val="FootnoteReference"/>
        </w:rPr>
        <w:footnoteReference w:id="10"/>
      </w:r>
    </w:p>
    <w:p w14:paraId="39D93749" w14:textId="68D0644B" w:rsidR="00703F84" w:rsidRDefault="00703F84" w:rsidP="00BC66C7">
      <w:pPr>
        <w:pStyle w:val="ListParagraph"/>
        <w:numPr>
          <w:ilvl w:val="0"/>
          <w:numId w:val="1"/>
        </w:numPr>
        <w:spacing w:line="276" w:lineRule="auto"/>
        <w:contextualSpacing w:val="0"/>
      </w:pPr>
      <w:r>
        <w:t xml:space="preserve">This section sets out the background to </w:t>
      </w:r>
      <w:r w:rsidR="00D536ED">
        <w:t xml:space="preserve">the </w:t>
      </w:r>
      <w:r w:rsidR="00C651BF">
        <w:t xml:space="preserve">current </w:t>
      </w:r>
      <w:r w:rsidR="00D536ED">
        <w:t xml:space="preserve">competitive tender for mental health core services, </w:t>
      </w:r>
      <w:r w:rsidR="009D210B">
        <w:t xml:space="preserve">which is the subject of this review by the Panel. </w:t>
      </w:r>
      <w:r w:rsidR="00C651BF">
        <w:t xml:space="preserve">It sets out </w:t>
      </w:r>
      <w:r w:rsidR="00D536ED">
        <w:t xml:space="preserve">the </w:t>
      </w:r>
      <w:r w:rsidR="00573CD7">
        <w:t xml:space="preserve">planned </w:t>
      </w:r>
      <w:r w:rsidR="00D536ED">
        <w:t xml:space="preserve">transition from </w:t>
      </w:r>
      <w:r w:rsidR="00573CD7">
        <w:t>four geographically separate providers to a single provider (Section 4.1)</w:t>
      </w:r>
      <w:r w:rsidR="005261C4">
        <w:t>, MSE ICB’s attempt</w:t>
      </w:r>
      <w:r w:rsidR="001629C5">
        <w:t>, prior to the competitive tender,</w:t>
      </w:r>
      <w:r w:rsidR="005261C4">
        <w:t xml:space="preserve"> to enter into a new contract via the Most Suitable Provider Process under the PSR regulations (Section</w:t>
      </w:r>
      <w:r w:rsidR="001629C5">
        <w:t> </w:t>
      </w:r>
      <w:r w:rsidR="005261C4">
        <w:t xml:space="preserve">4.2), and </w:t>
      </w:r>
      <w:r w:rsidR="00F71255">
        <w:t>the conduct of the competitive tender (Section 4.3).</w:t>
      </w:r>
    </w:p>
    <w:p w14:paraId="57723475" w14:textId="2A9253C2" w:rsidR="00D112E9" w:rsidRPr="00BD450F" w:rsidRDefault="005F0169" w:rsidP="00D112E9">
      <w:pPr>
        <w:pStyle w:val="Heading2"/>
        <w:spacing w:before="240" w:after="160"/>
        <w:ind w:left="578" w:hanging="578"/>
      </w:pPr>
      <w:bookmarkStart w:id="5" w:name="_Toc209611767"/>
      <w:r>
        <w:t>Transitioning e</w:t>
      </w:r>
      <w:r w:rsidR="00D112E9">
        <w:t xml:space="preserve">xisting services to </w:t>
      </w:r>
      <w:r w:rsidR="00BF0FC2">
        <w:t>a</w:t>
      </w:r>
      <w:r w:rsidR="00D112E9">
        <w:t xml:space="preserve"> new contract</w:t>
      </w:r>
      <w:bookmarkEnd w:id="5"/>
    </w:p>
    <w:p w14:paraId="1D58AD5D" w14:textId="2FE57B04" w:rsidR="00D65C76" w:rsidRDefault="00C35C46">
      <w:pPr>
        <w:pStyle w:val="ListParagraph"/>
        <w:numPr>
          <w:ilvl w:val="0"/>
          <w:numId w:val="1"/>
        </w:numPr>
        <w:spacing w:line="276" w:lineRule="auto"/>
        <w:contextualSpacing w:val="0"/>
      </w:pPr>
      <w:r>
        <w:t>There are currently four providers of mental health core services in the MSE ICB area, namely MPFT, EPUT, Hertfordshire Partnership NHS Foundation Trust and Vita Health Solutions Limited (Vita Health).</w:t>
      </w:r>
      <w:r w:rsidR="001D4A5A" w:rsidRPr="000E7EC9">
        <w:rPr>
          <w:vertAlign w:val="superscript"/>
        </w:rPr>
        <w:footnoteReference w:id="11"/>
      </w:r>
      <w:r>
        <w:t xml:space="preserve"> The service specification and financial envelope differs across providers, and each serves a separate geographic area, aligning to the former Clinical Commissioning Group (CCG) areas in the ICB.</w:t>
      </w:r>
      <w:r w:rsidRPr="00764ADC">
        <w:t xml:space="preserve"> </w:t>
      </w:r>
      <w:r>
        <w:t>The average cost per patient in the highest cost service is more than double the average cost per patient in the lowest cost service.</w:t>
      </w:r>
      <w:r w:rsidR="00F02042">
        <w:rPr>
          <w:rStyle w:val="FootnoteReference"/>
        </w:rPr>
        <w:footnoteReference w:id="12"/>
      </w:r>
    </w:p>
    <w:p w14:paraId="57065425" w14:textId="760CF779" w:rsidR="00126401" w:rsidRDefault="009E3490" w:rsidP="00FF7FA9">
      <w:pPr>
        <w:pStyle w:val="ListParagraph"/>
        <w:numPr>
          <w:ilvl w:val="0"/>
          <w:numId w:val="1"/>
        </w:numPr>
        <w:spacing w:line="276" w:lineRule="auto"/>
        <w:contextualSpacing w:val="0"/>
      </w:pPr>
      <w:r>
        <w:t xml:space="preserve">MSE ICB, in moving to a single contract for mental health core services </w:t>
      </w:r>
      <w:r w:rsidR="00E33450">
        <w:t xml:space="preserve">is </w:t>
      </w:r>
      <w:r w:rsidR="000F4FA7">
        <w:t xml:space="preserve">adopting </w:t>
      </w:r>
      <w:r w:rsidR="00981475">
        <w:t xml:space="preserve">a single service specification and a </w:t>
      </w:r>
      <w:r w:rsidR="00C25A23">
        <w:t xml:space="preserve">revised </w:t>
      </w:r>
      <w:r w:rsidR="00981475">
        <w:t>financial envelope</w:t>
      </w:r>
      <w:r w:rsidR="00CA3B1F">
        <w:t xml:space="preserve">. </w:t>
      </w:r>
      <w:r w:rsidR="006129E7">
        <w:t xml:space="preserve">According to MSE ICB, this will </w:t>
      </w:r>
      <w:r w:rsidR="008D51CC">
        <w:t xml:space="preserve">“ensure a consistent and equitable service offer to improve patient experience and address inequalities” and </w:t>
      </w:r>
      <w:r w:rsidR="00E84875">
        <w:t>achieve “better value for money and efficiencies from estates, digital infrastructures and workforce”</w:t>
      </w:r>
      <w:r w:rsidR="00C01B38">
        <w:t>.</w:t>
      </w:r>
      <w:r w:rsidR="00127E5A" w:rsidRPr="00FF7FA9">
        <w:rPr>
          <w:vertAlign w:val="superscript"/>
        </w:rPr>
        <w:footnoteReference w:id="13"/>
      </w:r>
    </w:p>
    <w:p w14:paraId="365AC7FC" w14:textId="51596DA9" w:rsidR="00D20EF5" w:rsidRDefault="00DF1AF1" w:rsidP="00FF7FA9">
      <w:pPr>
        <w:pStyle w:val="ListParagraph"/>
        <w:numPr>
          <w:ilvl w:val="0"/>
          <w:numId w:val="1"/>
        </w:numPr>
        <w:spacing w:line="276" w:lineRule="auto"/>
        <w:contextualSpacing w:val="0"/>
      </w:pPr>
      <w:bookmarkStart w:id="6" w:name="_Ref206765644"/>
      <w:r>
        <w:t>To deliver the new contract</w:t>
      </w:r>
      <w:r w:rsidR="004944F7">
        <w:t xml:space="preserve"> successfully</w:t>
      </w:r>
      <w:r>
        <w:t xml:space="preserve">, the </w:t>
      </w:r>
      <w:r w:rsidR="004944F7">
        <w:t xml:space="preserve">new provider </w:t>
      </w:r>
      <w:r w:rsidR="00680345">
        <w:t xml:space="preserve">will </w:t>
      </w:r>
      <w:r w:rsidR="006D212D">
        <w:t>need to carry out a major trans</w:t>
      </w:r>
      <w:r w:rsidR="003B53BE">
        <w:t xml:space="preserve">formation </w:t>
      </w:r>
      <w:r w:rsidR="00F1244E">
        <w:t>programme</w:t>
      </w:r>
      <w:r w:rsidR="00977669">
        <w:t xml:space="preserve">. </w:t>
      </w:r>
      <w:r w:rsidR="00DF76C3">
        <w:t xml:space="preserve">This </w:t>
      </w:r>
      <w:r w:rsidR="00F1244E">
        <w:t xml:space="preserve">will </w:t>
      </w:r>
      <w:r w:rsidR="00DF76C3">
        <w:t xml:space="preserve">include </w:t>
      </w:r>
      <w:r w:rsidR="00C753C6">
        <w:t xml:space="preserve">taking on staff from the </w:t>
      </w:r>
      <w:r w:rsidR="002968BD">
        <w:t>current</w:t>
      </w:r>
      <w:r w:rsidR="00C753C6">
        <w:t xml:space="preserve"> providers </w:t>
      </w:r>
      <w:r w:rsidR="002968BD">
        <w:t xml:space="preserve">(via </w:t>
      </w:r>
      <w:r w:rsidR="00C753C6">
        <w:t xml:space="preserve">TUPE </w:t>
      </w:r>
      <w:r w:rsidR="002968BD">
        <w:t>transfer)</w:t>
      </w:r>
      <w:r w:rsidR="00C753C6">
        <w:t xml:space="preserve">, </w:t>
      </w:r>
      <w:r w:rsidR="009D4C67">
        <w:t>implement</w:t>
      </w:r>
      <w:r w:rsidR="008E4946">
        <w:t>ing</w:t>
      </w:r>
      <w:r w:rsidR="009D4C67">
        <w:t xml:space="preserve"> the new </w:t>
      </w:r>
      <w:r w:rsidR="00905F84">
        <w:t xml:space="preserve">ICB-wide </w:t>
      </w:r>
      <w:r w:rsidR="009D4C67">
        <w:t xml:space="preserve">service </w:t>
      </w:r>
      <w:r w:rsidR="006E25DF">
        <w:t>specification, integrat</w:t>
      </w:r>
      <w:r w:rsidR="00DC0870">
        <w:t xml:space="preserve">ing </w:t>
      </w:r>
      <w:r w:rsidR="008B66DD">
        <w:t xml:space="preserve">clinical records </w:t>
      </w:r>
      <w:r w:rsidR="00567E71">
        <w:t xml:space="preserve">from the </w:t>
      </w:r>
      <w:r w:rsidR="002E77F0">
        <w:t xml:space="preserve">four </w:t>
      </w:r>
      <w:r w:rsidR="00905F84">
        <w:t>current</w:t>
      </w:r>
      <w:r w:rsidR="00AE1831">
        <w:t xml:space="preserve"> </w:t>
      </w:r>
      <w:r w:rsidR="00567E71">
        <w:t xml:space="preserve">providers </w:t>
      </w:r>
      <w:r w:rsidR="00095C49">
        <w:t>into a single patient records system</w:t>
      </w:r>
      <w:r w:rsidR="00AE1831">
        <w:t>,</w:t>
      </w:r>
      <w:r w:rsidR="006632FF">
        <w:t xml:space="preserve"> and</w:t>
      </w:r>
      <w:r w:rsidR="00095C49">
        <w:t xml:space="preserve"> </w:t>
      </w:r>
      <w:r w:rsidR="001766F1">
        <w:t>put</w:t>
      </w:r>
      <w:r w:rsidR="00AE1831">
        <w:t>ting</w:t>
      </w:r>
      <w:r w:rsidR="001766F1">
        <w:t xml:space="preserve"> in place </w:t>
      </w:r>
      <w:r w:rsidR="0050683E">
        <w:t>service locations</w:t>
      </w:r>
      <w:r w:rsidR="00AE1831">
        <w:t xml:space="preserve"> across the ICB area</w:t>
      </w:r>
      <w:r w:rsidR="006632FF">
        <w:t xml:space="preserve">, </w:t>
      </w:r>
      <w:r w:rsidR="00240E92">
        <w:t xml:space="preserve">which may include </w:t>
      </w:r>
      <w:r w:rsidR="006632FF">
        <w:t xml:space="preserve">taking over </w:t>
      </w:r>
      <w:r w:rsidR="00234273">
        <w:t xml:space="preserve">premises used by </w:t>
      </w:r>
      <w:r w:rsidR="002968BD">
        <w:t xml:space="preserve">the current </w:t>
      </w:r>
      <w:r w:rsidR="00234273">
        <w:t>providers.</w:t>
      </w:r>
      <w:r w:rsidR="00575C4D">
        <w:t xml:space="preserve"> </w:t>
      </w:r>
      <w:r w:rsidR="00BD230C">
        <w:t>T</w:t>
      </w:r>
      <w:r w:rsidR="00575C4D">
        <w:t xml:space="preserve">he new provider </w:t>
      </w:r>
      <w:r w:rsidR="005C13C3">
        <w:t>may</w:t>
      </w:r>
      <w:r w:rsidR="00575C4D">
        <w:t xml:space="preserve"> also need to carry out a redundancy programme</w:t>
      </w:r>
      <w:r w:rsidR="00CF5955">
        <w:t xml:space="preserve"> given that </w:t>
      </w:r>
      <w:r w:rsidR="004F4952">
        <w:t xml:space="preserve">the financial envelope for the new contract </w:t>
      </w:r>
      <w:r w:rsidR="00FE3DA6">
        <w:t>is</w:t>
      </w:r>
      <w:r w:rsidR="004F4952">
        <w:t xml:space="preserve"> </w:t>
      </w:r>
      <w:r w:rsidR="00CF6DB9">
        <w:t>smaller</w:t>
      </w:r>
      <w:r w:rsidR="004F4952">
        <w:t xml:space="preserve"> than </w:t>
      </w:r>
      <w:r w:rsidR="00C822B4">
        <w:t xml:space="preserve">that </w:t>
      </w:r>
      <w:r w:rsidR="00CF6DB9">
        <w:t>for the four existing cont</w:t>
      </w:r>
      <w:r w:rsidR="00C822B4">
        <w:t>r</w:t>
      </w:r>
      <w:r w:rsidR="00CF6DB9">
        <w:t>acts.</w:t>
      </w:r>
    </w:p>
    <w:p w14:paraId="210DC176" w14:textId="1E7B1206" w:rsidR="00D112E9" w:rsidRDefault="00A51E6A" w:rsidP="00A51E6A">
      <w:pPr>
        <w:pStyle w:val="Heading2"/>
        <w:spacing w:before="240" w:after="160"/>
        <w:ind w:left="578" w:hanging="578"/>
      </w:pPr>
      <w:bookmarkStart w:id="7" w:name="_Toc208243608"/>
      <w:bookmarkStart w:id="8" w:name="_Toc209611768"/>
      <w:bookmarkEnd w:id="6"/>
      <w:bookmarkEnd w:id="7"/>
      <w:r>
        <w:t xml:space="preserve">Attempt to </w:t>
      </w:r>
      <w:r w:rsidR="00EB680A">
        <w:t>arrange</w:t>
      </w:r>
      <w:r w:rsidR="006330AA">
        <w:t xml:space="preserve"> </w:t>
      </w:r>
      <w:r>
        <w:t>a new contract via the Most Suitable Provider process</w:t>
      </w:r>
      <w:bookmarkEnd w:id="8"/>
    </w:p>
    <w:p w14:paraId="2875403A" w14:textId="04441E64" w:rsidR="003A6519" w:rsidRDefault="00A715B2">
      <w:pPr>
        <w:pStyle w:val="ListParagraph"/>
        <w:numPr>
          <w:ilvl w:val="0"/>
          <w:numId w:val="1"/>
        </w:numPr>
        <w:spacing w:line="276" w:lineRule="auto"/>
        <w:contextualSpacing w:val="0"/>
      </w:pPr>
      <w:r>
        <w:t>Prior to the competitive tender</w:t>
      </w:r>
      <w:r w:rsidR="00DA0AF6">
        <w:t xml:space="preserve"> for the new contract</w:t>
      </w:r>
      <w:r>
        <w:t xml:space="preserve">, </w:t>
      </w:r>
      <w:r w:rsidR="005215DA">
        <w:t xml:space="preserve">MSE ICB sought to </w:t>
      </w:r>
      <w:r w:rsidR="002238B9">
        <w:t xml:space="preserve">put in place a </w:t>
      </w:r>
      <w:r w:rsidR="00D9772B">
        <w:t xml:space="preserve">single </w:t>
      </w:r>
      <w:r w:rsidR="003A6519">
        <w:t>new</w:t>
      </w:r>
      <w:r w:rsidR="005215DA">
        <w:t xml:space="preserve"> contract </w:t>
      </w:r>
      <w:r w:rsidR="009701C0">
        <w:t xml:space="preserve">with </w:t>
      </w:r>
      <w:r w:rsidR="002238B9">
        <w:t>all</w:t>
      </w:r>
      <w:r w:rsidR="009701C0">
        <w:t xml:space="preserve"> four </w:t>
      </w:r>
      <w:r w:rsidR="00AF0314">
        <w:t>current</w:t>
      </w:r>
      <w:r w:rsidR="009701C0">
        <w:t xml:space="preserve"> providers </w:t>
      </w:r>
      <w:r w:rsidR="005215DA">
        <w:t xml:space="preserve">using the Most Suitable Provider (MSP) process under the PSR regulations. </w:t>
      </w:r>
      <w:r w:rsidR="0043492E">
        <w:t xml:space="preserve">MSE ICB </w:t>
      </w:r>
      <w:r w:rsidR="00FB6645">
        <w:t xml:space="preserve">and the current providers </w:t>
      </w:r>
      <w:r w:rsidR="0043492E">
        <w:t>commenced discussions</w:t>
      </w:r>
      <w:r w:rsidR="00FB6645">
        <w:t xml:space="preserve"> about </w:t>
      </w:r>
      <w:r w:rsidR="00882B07">
        <w:t xml:space="preserve">awarding </w:t>
      </w:r>
      <w:r w:rsidR="00FB6645">
        <w:t>a new contract</w:t>
      </w:r>
      <w:r w:rsidR="0043492E">
        <w:t xml:space="preserve"> </w:t>
      </w:r>
      <w:r w:rsidR="00882B07">
        <w:t xml:space="preserve">via the MSP process </w:t>
      </w:r>
      <w:r w:rsidR="0043492E">
        <w:t xml:space="preserve">in </w:t>
      </w:r>
      <w:r w:rsidR="0043492E">
        <w:lastRenderedPageBreak/>
        <w:t>January 2024</w:t>
      </w:r>
      <w:r w:rsidR="00DB73A6">
        <w:t>. T</w:t>
      </w:r>
      <w:r w:rsidR="0043492E">
        <w:t>he four providers agree</w:t>
      </w:r>
      <w:r w:rsidR="00EB272E">
        <w:t>d</w:t>
      </w:r>
      <w:r w:rsidR="0043492E">
        <w:t xml:space="preserve"> that EPUT would be the lead provider for the new contract.</w:t>
      </w:r>
      <w:r w:rsidR="007F01E4" w:rsidRPr="00605ED8" w:rsidDel="007F01E4">
        <w:rPr>
          <w:rStyle w:val="FootnoteReference"/>
        </w:rPr>
        <w:t xml:space="preserve"> </w:t>
      </w:r>
    </w:p>
    <w:p w14:paraId="75E2B1D3" w14:textId="0753FB38" w:rsidR="00CA0362" w:rsidRDefault="009F5EC5" w:rsidP="00EA367E">
      <w:pPr>
        <w:pStyle w:val="ListParagraph"/>
        <w:numPr>
          <w:ilvl w:val="0"/>
          <w:numId w:val="1"/>
        </w:numPr>
        <w:spacing w:line="276" w:lineRule="auto"/>
        <w:contextualSpacing w:val="0"/>
      </w:pPr>
      <w:r>
        <w:t>O</w:t>
      </w:r>
      <w:r w:rsidR="004116FA">
        <w:t>n 14 June 2024</w:t>
      </w:r>
      <w:r>
        <w:t>,</w:t>
      </w:r>
      <w:r w:rsidR="004116FA">
        <w:t xml:space="preserve"> MSE ICB published a </w:t>
      </w:r>
      <w:r w:rsidR="00242119">
        <w:t>Prior Information Notice (PIN)</w:t>
      </w:r>
      <w:r w:rsidR="00A6335F">
        <w:t xml:space="preserve"> on Find a Tender Service (FTS)</w:t>
      </w:r>
      <w:r w:rsidR="00242119">
        <w:t xml:space="preserve">, informing the market of </w:t>
      </w:r>
      <w:r w:rsidR="004116FA">
        <w:t>its</w:t>
      </w:r>
      <w:r w:rsidR="00242119">
        <w:t xml:space="preserve"> intention</w:t>
      </w:r>
      <w:r w:rsidR="004116FA">
        <w:t xml:space="preserve"> to use the MSP process</w:t>
      </w:r>
      <w:r w:rsidR="003A207F">
        <w:t>.</w:t>
      </w:r>
      <w:r w:rsidR="00190034">
        <w:t xml:space="preserve"> </w:t>
      </w:r>
      <w:r w:rsidR="005C7A33">
        <w:t>Expression of interest documentation was issued to the provider</w:t>
      </w:r>
      <w:r w:rsidR="008D0736">
        <w:t>s</w:t>
      </w:r>
      <w:r w:rsidR="00B00011">
        <w:t xml:space="preserve"> </w:t>
      </w:r>
      <w:r w:rsidR="005C7A33">
        <w:t>in July 2024</w:t>
      </w:r>
      <w:r w:rsidR="00C904B5">
        <w:t xml:space="preserve">, and the providers were invited </w:t>
      </w:r>
      <w:r w:rsidR="00F22B92">
        <w:t>to submit an outline solution</w:t>
      </w:r>
      <w:r w:rsidR="0088249E" w:rsidRPr="0088249E">
        <w:t xml:space="preserve"> </w:t>
      </w:r>
      <w:r w:rsidR="0088249E">
        <w:t>in August 2024</w:t>
      </w:r>
      <w:r w:rsidR="002C416D">
        <w:t>.</w:t>
      </w:r>
    </w:p>
    <w:p w14:paraId="2BCFD0E1" w14:textId="5A24D3D5" w:rsidR="003D424C" w:rsidRDefault="00AE0B1F">
      <w:pPr>
        <w:pStyle w:val="ListParagraph"/>
        <w:numPr>
          <w:ilvl w:val="0"/>
          <w:numId w:val="1"/>
        </w:numPr>
        <w:spacing w:line="276" w:lineRule="auto"/>
        <w:contextualSpacing w:val="0"/>
      </w:pPr>
      <w:r>
        <w:t>S</w:t>
      </w:r>
      <w:r w:rsidR="00564F10">
        <w:t>tructured dialogue sessions</w:t>
      </w:r>
      <w:r w:rsidR="004C4427">
        <w:t xml:space="preserve"> </w:t>
      </w:r>
      <w:r w:rsidR="00C85E70">
        <w:t>took place</w:t>
      </w:r>
      <w:r w:rsidR="00564F10">
        <w:t xml:space="preserve"> in September</w:t>
      </w:r>
      <w:r w:rsidR="004E6169">
        <w:t xml:space="preserve"> 2024</w:t>
      </w:r>
      <w:r w:rsidR="003D1AD9">
        <w:t>. The following month</w:t>
      </w:r>
      <w:r w:rsidR="00C85E70">
        <w:t xml:space="preserve">, </w:t>
      </w:r>
      <w:r w:rsidR="00C50376">
        <w:t>October</w:t>
      </w:r>
      <w:r w:rsidR="004E6169">
        <w:t xml:space="preserve"> 2024</w:t>
      </w:r>
      <w:r w:rsidR="003D1AD9">
        <w:t>,</w:t>
      </w:r>
      <w:r w:rsidR="00C50376">
        <w:t xml:space="preserve"> the provider</w:t>
      </w:r>
      <w:r w:rsidR="004C4427">
        <w:t>s</w:t>
      </w:r>
      <w:r w:rsidR="00C50376">
        <w:t xml:space="preserve"> </w:t>
      </w:r>
      <w:r w:rsidR="00E177F4">
        <w:t xml:space="preserve">wrote </w:t>
      </w:r>
      <w:r w:rsidR="00C50376">
        <w:t>to MSE ICB</w:t>
      </w:r>
      <w:r w:rsidR="00E177F4">
        <w:t xml:space="preserve"> outlining concerns </w:t>
      </w:r>
      <w:r w:rsidR="009D4968">
        <w:t>about the financial envelope for the new contract, the risk of redundancies</w:t>
      </w:r>
      <w:r w:rsidR="00112C83">
        <w:t>,</w:t>
      </w:r>
      <w:r w:rsidR="009D4968">
        <w:t xml:space="preserve"> and the risk of limited service provision.</w:t>
      </w:r>
      <w:r w:rsidR="00093B96">
        <w:t xml:space="preserve"> In response, </w:t>
      </w:r>
      <w:r w:rsidR="00C85E70">
        <w:t>MSE</w:t>
      </w:r>
      <w:r w:rsidR="00093B96">
        <w:t xml:space="preserve"> ICB increased the </w:t>
      </w:r>
      <w:r w:rsidR="002D68C3">
        <w:t>proposed contract value from £84</w:t>
      </w:r>
      <w:r w:rsidR="00C254DD">
        <w:t> </w:t>
      </w:r>
      <w:r w:rsidR="002D68C3">
        <w:t>million to £86 million</w:t>
      </w:r>
      <w:r w:rsidR="00AD218C">
        <w:t>.</w:t>
      </w:r>
      <w:r w:rsidR="00A96519">
        <w:t xml:space="preserve"> </w:t>
      </w:r>
      <w:r w:rsidR="00AD218C">
        <w:t xml:space="preserve">Evaluation and moderation of the providers’ proposal </w:t>
      </w:r>
      <w:r w:rsidR="007D4F8B">
        <w:t>commenced on 17</w:t>
      </w:r>
      <w:r w:rsidR="00630F78">
        <w:t> </w:t>
      </w:r>
      <w:r w:rsidR="007D4F8B">
        <w:t>October 2024 and continued until 15</w:t>
      </w:r>
      <w:r w:rsidR="006706F0">
        <w:t> </w:t>
      </w:r>
      <w:r w:rsidR="007D4F8B">
        <w:t>November 2024.</w:t>
      </w:r>
      <w:r w:rsidR="003D424C">
        <w:t xml:space="preserve"> </w:t>
      </w:r>
      <w:r w:rsidR="00F264F2">
        <w:t xml:space="preserve">Following a satisfactory evaluation of the outline solution, </w:t>
      </w:r>
      <w:r w:rsidR="004E6169">
        <w:t xml:space="preserve">MSE ICB </w:t>
      </w:r>
      <w:r w:rsidR="00B00011">
        <w:t>invit</w:t>
      </w:r>
      <w:r w:rsidR="00C904B5">
        <w:t>ed the providers</w:t>
      </w:r>
      <w:r w:rsidR="005703A1" w:rsidRPr="005703A1">
        <w:t xml:space="preserve"> </w:t>
      </w:r>
      <w:r w:rsidR="005703A1">
        <w:t>to submit a detailed solution</w:t>
      </w:r>
      <w:r w:rsidR="0002608D">
        <w:t>.</w:t>
      </w:r>
    </w:p>
    <w:p w14:paraId="0C4D0178" w14:textId="31230148" w:rsidR="00242119" w:rsidRDefault="007B27C3" w:rsidP="00FF7FA9">
      <w:pPr>
        <w:pStyle w:val="ListParagraph"/>
        <w:numPr>
          <w:ilvl w:val="0"/>
          <w:numId w:val="1"/>
        </w:numPr>
        <w:spacing w:line="276" w:lineRule="auto"/>
        <w:contextualSpacing w:val="0"/>
      </w:pPr>
      <w:r>
        <w:t xml:space="preserve">On reviewing the detailed solution, </w:t>
      </w:r>
      <w:r w:rsidR="00782A82">
        <w:t xml:space="preserve">MSE ICB </w:t>
      </w:r>
      <w:r w:rsidR="00D36CBA">
        <w:t>concluded</w:t>
      </w:r>
      <w:r w:rsidR="00782A82">
        <w:t xml:space="preserve"> that </w:t>
      </w:r>
      <w:r w:rsidR="00AF6C5C">
        <w:t xml:space="preserve">the </w:t>
      </w:r>
      <w:r w:rsidR="00273F6F">
        <w:t>serious risks</w:t>
      </w:r>
      <w:r w:rsidR="00AF6C5C">
        <w:t xml:space="preserve"> which ha</w:t>
      </w:r>
      <w:r w:rsidR="004B480C">
        <w:t>d previously been identified</w:t>
      </w:r>
      <w:r w:rsidR="00273F6F">
        <w:t>, including to clinical safety</w:t>
      </w:r>
      <w:r w:rsidR="004B480C">
        <w:t>, remained</w:t>
      </w:r>
      <w:r w:rsidR="00273F6F">
        <w:t>.</w:t>
      </w:r>
      <w:r w:rsidR="00B655EA">
        <w:t xml:space="preserve"> </w:t>
      </w:r>
      <w:r w:rsidR="00DD7D35">
        <w:t xml:space="preserve">As a result, </w:t>
      </w:r>
      <w:r w:rsidR="00B655EA">
        <w:t xml:space="preserve">MSE ICB </w:t>
      </w:r>
      <w:r w:rsidR="00301F16">
        <w:t>commenced internal discussions</w:t>
      </w:r>
      <w:r>
        <w:t xml:space="preserve"> in December 2024</w:t>
      </w:r>
      <w:r w:rsidR="00301F16">
        <w:t xml:space="preserve"> on alternatives to the MSP process</w:t>
      </w:r>
      <w:r w:rsidR="00DD7D35">
        <w:t xml:space="preserve">. </w:t>
      </w:r>
      <w:r w:rsidR="007F0190">
        <w:t xml:space="preserve">On 22 January 2025, the </w:t>
      </w:r>
      <w:r w:rsidR="004B480C">
        <w:t xml:space="preserve">four </w:t>
      </w:r>
      <w:r w:rsidR="008958F4">
        <w:t xml:space="preserve">providers withdrew from the MSP process, following which </w:t>
      </w:r>
      <w:r w:rsidR="006F4792">
        <w:t xml:space="preserve">MSE ICB decided to abandon the MSP process and </w:t>
      </w:r>
      <w:r w:rsidR="00DD7D35">
        <w:t xml:space="preserve">carry out </w:t>
      </w:r>
      <w:r w:rsidR="006F4792">
        <w:t>a competitive procurement.</w:t>
      </w:r>
      <w:r w:rsidR="00336F8C" w:rsidRPr="000E7EC9">
        <w:rPr>
          <w:vertAlign w:val="superscript"/>
        </w:rPr>
        <w:footnoteReference w:id="14"/>
      </w:r>
    </w:p>
    <w:p w14:paraId="021FA1CB" w14:textId="3DDB0E9E" w:rsidR="00A51E6A" w:rsidRDefault="005E6448" w:rsidP="00A51E6A">
      <w:pPr>
        <w:pStyle w:val="Heading2"/>
        <w:spacing w:before="240" w:after="160"/>
        <w:ind w:left="578" w:hanging="578"/>
      </w:pPr>
      <w:bookmarkStart w:id="9" w:name="_Toc209611769"/>
      <w:r>
        <w:t>Conduct of t</w:t>
      </w:r>
      <w:r w:rsidR="00A51E6A">
        <w:t>he competitive tender for the new contract</w:t>
      </w:r>
      <w:bookmarkEnd w:id="9"/>
    </w:p>
    <w:p w14:paraId="43D1E282" w14:textId="6CEADD6D" w:rsidR="001047CC" w:rsidRDefault="006443D5" w:rsidP="00EA367E">
      <w:pPr>
        <w:pStyle w:val="ListParagraph"/>
        <w:numPr>
          <w:ilvl w:val="0"/>
          <w:numId w:val="1"/>
        </w:numPr>
        <w:spacing w:line="276" w:lineRule="auto"/>
        <w:contextualSpacing w:val="0"/>
      </w:pPr>
      <w:r>
        <w:t>MSE ICB published a</w:t>
      </w:r>
      <w:r w:rsidR="004C7856">
        <w:t xml:space="preserve"> new PIN o</w:t>
      </w:r>
      <w:r w:rsidR="00242119">
        <w:t>n 11 February 2025</w:t>
      </w:r>
      <w:r w:rsidR="00D879B8">
        <w:t>, inviting “</w:t>
      </w:r>
      <w:r w:rsidR="00D879B8" w:rsidRPr="00D879B8">
        <w:t>suitably qualified providers to attend a virtual Market Engagement event which will inform the market of the Authority’s intention to undertake a competitive procurement process</w:t>
      </w:r>
      <w:r w:rsidR="00D879B8">
        <w:t xml:space="preserve"> [for mental health core services]”</w:t>
      </w:r>
      <w:r w:rsidR="00DC7C29">
        <w:t>.</w:t>
      </w:r>
      <w:r w:rsidR="00907C64">
        <w:rPr>
          <w:rStyle w:val="FootnoteReference"/>
        </w:rPr>
        <w:footnoteReference w:id="15"/>
      </w:r>
      <w:r w:rsidR="00DC7C29">
        <w:t xml:space="preserve"> T</w:t>
      </w:r>
      <w:r w:rsidR="00C911C7">
        <w:t>wenty</w:t>
      </w:r>
      <w:r w:rsidR="00DC7C29">
        <w:t xml:space="preserve"> </w:t>
      </w:r>
      <w:r w:rsidR="00C911C7">
        <w:t>four</w:t>
      </w:r>
      <w:r w:rsidR="00D233CD">
        <w:t xml:space="preserve"> expressions of</w:t>
      </w:r>
      <w:r w:rsidR="00C911C7">
        <w:t xml:space="preserve"> </w:t>
      </w:r>
      <w:r w:rsidR="00242119">
        <w:t>interest</w:t>
      </w:r>
      <w:r w:rsidR="00D233CD">
        <w:t xml:space="preserve"> were received from potential </w:t>
      </w:r>
      <w:r w:rsidR="00242119">
        <w:t>providers</w:t>
      </w:r>
      <w:r w:rsidR="001047CC">
        <w:t>.</w:t>
      </w:r>
      <w:r w:rsidR="00586A74">
        <w:rPr>
          <w:rStyle w:val="FootnoteReference"/>
        </w:rPr>
        <w:footnoteReference w:id="16"/>
      </w:r>
    </w:p>
    <w:p w14:paraId="18141F2D" w14:textId="4E3978DA" w:rsidR="003F4765" w:rsidRDefault="001047CC">
      <w:pPr>
        <w:pStyle w:val="ListParagraph"/>
        <w:numPr>
          <w:ilvl w:val="0"/>
          <w:numId w:val="1"/>
        </w:numPr>
        <w:spacing w:line="276" w:lineRule="auto"/>
        <w:contextualSpacing w:val="0"/>
      </w:pPr>
      <w:r>
        <w:t>A</w:t>
      </w:r>
      <w:r w:rsidR="00242119">
        <w:t xml:space="preserve"> virtual market engagement event </w:t>
      </w:r>
      <w:r w:rsidR="003A2A95">
        <w:t xml:space="preserve">was held </w:t>
      </w:r>
      <w:r w:rsidR="00242119">
        <w:t>on 24 February 2025</w:t>
      </w:r>
      <w:r w:rsidR="00226155">
        <w:t xml:space="preserve"> where</w:t>
      </w:r>
      <w:r w:rsidR="00CB6F99">
        <w:t xml:space="preserve"> </w:t>
      </w:r>
      <w:r w:rsidR="00A6335F">
        <w:t>MSE</w:t>
      </w:r>
      <w:r w:rsidR="00242119">
        <w:t xml:space="preserve"> ICB shared the “maximum financial envelope, activity data, potential TUPE from four (4) incumbent Providers and the overview of the new service</w:t>
      </w:r>
      <w:r w:rsidR="0099589A">
        <w:t>’</w:t>
      </w:r>
      <w:r w:rsidR="00242119">
        <w:t>s aims and expectations”</w:t>
      </w:r>
      <w:r w:rsidR="00226155">
        <w:t xml:space="preserve">. Interested </w:t>
      </w:r>
      <w:r w:rsidR="00242119">
        <w:t xml:space="preserve">providers </w:t>
      </w:r>
      <w:r w:rsidR="00226155">
        <w:t xml:space="preserve">were invited </w:t>
      </w:r>
      <w:r w:rsidR="00242119">
        <w:t xml:space="preserve">to submit clarification questions </w:t>
      </w:r>
      <w:r w:rsidR="006824FB">
        <w:t xml:space="preserve">to which it responded </w:t>
      </w:r>
      <w:r w:rsidR="00226155">
        <w:t>after</w:t>
      </w:r>
      <w:r w:rsidR="006824FB">
        <w:t xml:space="preserve"> the event.</w:t>
      </w:r>
      <w:r w:rsidR="00DC6471" w:rsidRPr="000E7EC9">
        <w:rPr>
          <w:vertAlign w:val="superscript"/>
        </w:rPr>
        <w:footnoteReference w:id="17"/>
      </w:r>
      <w:r w:rsidR="003F4765">
        <w:t xml:space="preserve"> </w:t>
      </w:r>
      <w:r w:rsidR="00242119">
        <w:t xml:space="preserve">On 4 March 2025, </w:t>
      </w:r>
      <w:r w:rsidR="009B76E3">
        <w:t>MSE</w:t>
      </w:r>
      <w:r w:rsidR="00242119">
        <w:t xml:space="preserve"> ICB published a </w:t>
      </w:r>
      <w:r w:rsidR="003A2A95">
        <w:t>n</w:t>
      </w:r>
      <w:r w:rsidR="00242119">
        <w:t>otice</w:t>
      </w:r>
      <w:r w:rsidR="00931BD8">
        <w:t xml:space="preserve"> </w:t>
      </w:r>
      <w:r w:rsidR="009156F0">
        <w:t>inviting proposals</w:t>
      </w:r>
      <w:r w:rsidR="00242119">
        <w:t>.</w:t>
      </w:r>
    </w:p>
    <w:p w14:paraId="2AB7BCB0" w14:textId="6549CB9A" w:rsidR="00242119" w:rsidRDefault="00242119">
      <w:pPr>
        <w:pStyle w:val="ListParagraph"/>
        <w:numPr>
          <w:ilvl w:val="0"/>
          <w:numId w:val="1"/>
        </w:numPr>
        <w:spacing w:line="276" w:lineRule="auto"/>
        <w:contextualSpacing w:val="0"/>
      </w:pPr>
      <w:r>
        <w:t xml:space="preserve">The </w:t>
      </w:r>
      <w:r w:rsidR="0082745B">
        <w:t>new</w:t>
      </w:r>
      <w:r w:rsidR="00671251">
        <w:t xml:space="preserve"> </w:t>
      </w:r>
      <w:r>
        <w:t>contract</w:t>
      </w:r>
      <w:r w:rsidR="00233920">
        <w:t xml:space="preserve"> </w:t>
      </w:r>
      <w:r w:rsidR="002F53E0">
        <w:t>has</w:t>
      </w:r>
      <w:r w:rsidR="00FA50B4">
        <w:t xml:space="preserve"> a three year term with the option of a two year extension, and was due </w:t>
      </w:r>
      <w:r>
        <w:t>to commence on 1</w:t>
      </w:r>
      <w:r w:rsidR="00671251">
        <w:t> </w:t>
      </w:r>
      <w:r>
        <w:t>August 2025</w:t>
      </w:r>
      <w:r w:rsidR="00FA50B4">
        <w:t xml:space="preserve">. The </w:t>
      </w:r>
      <w:r>
        <w:t>estimated total contract value</w:t>
      </w:r>
      <w:r w:rsidR="004C4CDD">
        <w:t>, including the extension, is</w:t>
      </w:r>
      <w:r>
        <w:t xml:space="preserve"> approximately £92.5m (excluding VAT).</w:t>
      </w:r>
      <w:r w:rsidR="002B7743" w:rsidRPr="000E7EC9">
        <w:rPr>
          <w:vertAlign w:val="superscript"/>
        </w:rPr>
        <w:footnoteReference w:id="18"/>
      </w:r>
    </w:p>
    <w:p w14:paraId="117698AC" w14:textId="03AA8F5A" w:rsidR="003D7F4D" w:rsidRDefault="00A943EC" w:rsidP="007A27E4">
      <w:pPr>
        <w:pStyle w:val="ListParagraph"/>
        <w:numPr>
          <w:ilvl w:val="0"/>
          <w:numId w:val="1"/>
        </w:numPr>
        <w:spacing w:line="276" w:lineRule="auto"/>
        <w:contextualSpacing w:val="0"/>
      </w:pPr>
      <w:r>
        <w:t xml:space="preserve">Bidders </w:t>
      </w:r>
      <w:r w:rsidR="00C11F06">
        <w:t xml:space="preserve">were </w:t>
      </w:r>
      <w:r w:rsidR="00795734">
        <w:t xml:space="preserve">initially </w:t>
      </w:r>
      <w:r w:rsidR="005B619E">
        <w:t xml:space="preserve">given </w:t>
      </w:r>
      <w:r w:rsidR="006424F6">
        <w:t>1</w:t>
      </w:r>
      <w:r w:rsidR="00EF14B9">
        <w:t>9</w:t>
      </w:r>
      <w:r w:rsidR="007C4051">
        <w:t xml:space="preserve"> working days to submit</w:t>
      </w:r>
      <w:r w:rsidR="00D7316D">
        <w:t xml:space="preserve"> proposals (i.e. until </w:t>
      </w:r>
      <w:r w:rsidR="00010C5E">
        <w:t>28 March</w:t>
      </w:r>
      <w:r w:rsidR="00D7316D">
        <w:t xml:space="preserve"> 2025)</w:t>
      </w:r>
      <w:r w:rsidR="00010C5E">
        <w:t xml:space="preserve">. </w:t>
      </w:r>
      <w:r w:rsidR="00A81B87">
        <w:t>On 10 March, t</w:t>
      </w:r>
      <w:r w:rsidR="00455773">
        <w:t xml:space="preserve">he </w:t>
      </w:r>
      <w:r w:rsidR="00D7316D">
        <w:t xml:space="preserve">deadline </w:t>
      </w:r>
      <w:r w:rsidR="00010C5E">
        <w:t xml:space="preserve">was </w:t>
      </w:r>
      <w:r w:rsidR="00D7316D">
        <w:t xml:space="preserve">extended </w:t>
      </w:r>
      <w:r w:rsidR="00A81B87">
        <w:t xml:space="preserve">by two working days </w:t>
      </w:r>
      <w:r w:rsidR="00FE670D">
        <w:t xml:space="preserve">(i.e. </w:t>
      </w:r>
      <w:r w:rsidR="00010C5E">
        <w:t xml:space="preserve">until 1 April </w:t>
      </w:r>
      <w:r w:rsidR="00A81B87">
        <w:t>2025</w:t>
      </w:r>
      <w:r w:rsidR="00FE670D">
        <w:t>)</w:t>
      </w:r>
      <w:r w:rsidR="00A81B87">
        <w:t xml:space="preserve">, and then on 26 March, </w:t>
      </w:r>
      <w:r w:rsidR="00DE773A">
        <w:t>as a result of</w:t>
      </w:r>
      <w:r w:rsidR="00AA6FFB">
        <w:t xml:space="preserve"> the large number of </w:t>
      </w:r>
      <w:r w:rsidR="00FE647A">
        <w:t>CQs</w:t>
      </w:r>
      <w:r w:rsidR="00AA6FFB">
        <w:t xml:space="preserve"> </w:t>
      </w:r>
      <w:r w:rsidR="00501F62">
        <w:t xml:space="preserve">asked by </w:t>
      </w:r>
      <w:r w:rsidR="00AA6FFB">
        <w:lastRenderedPageBreak/>
        <w:t xml:space="preserve">bidders, </w:t>
      </w:r>
      <w:r w:rsidR="00A81B87">
        <w:t xml:space="preserve">the deadline was extended by another </w:t>
      </w:r>
      <w:r w:rsidR="00D7316D">
        <w:t>two working days (i.e. until 3 April 2025)</w:t>
      </w:r>
      <w:r w:rsidR="00FE670D">
        <w:t>.</w:t>
      </w:r>
    </w:p>
    <w:p w14:paraId="28D71C97" w14:textId="0A14EA3B" w:rsidR="00D65E73" w:rsidRDefault="00FE670D" w:rsidP="007A27E4">
      <w:pPr>
        <w:pStyle w:val="ListParagraph"/>
        <w:numPr>
          <w:ilvl w:val="0"/>
          <w:numId w:val="1"/>
        </w:numPr>
        <w:spacing w:line="276" w:lineRule="auto"/>
        <w:contextualSpacing w:val="0"/>
      </w:pPr>
      <w:r>
        <w:t>T</w:t>
      </w:r>
      <w:r w:rsidR="00343FC4">
        <w:t xml:space="preserve">he Panel notes </w:t>
      </w:r>
      <w:r>
        <w:t xml:space="preserve">that, even with these extensions, </w:t>
      </w:r>
      <w:r w:rsidR="003E07D2">
        <w:t xml:space="preserve">the </w:t>
      </w:r>
      <w:r w:rsidR="00886B66">
        <w:t>timescale for a provider selection process</w:t>
      </w:r>
      <w:r w:rsidR="00E47B01">
        <w:t xml:space="preserve"> of this scale and complexity</w:t>
      </w:r>
      <w:r w:rsidR="003E07D2">
        <w:t xml:space="preserve"> was tight</w:t>
      </w:r>
      <w:r w:rsidR="00D7316D">
        <w:t xml:space="preserve">. </w:t>
      </w:r>
      <w:r w:rsidR="0070718A">
        <w:t xml:space="preserve">MSE ICB </w:t>
      </w:r>
      <w:r w:rsidR="00684C77">
        <w:t xml:space="preserve">told the Panel </w:t>
      </w:r>
      <w:r w:rsidR="0070718A">
        <w:t xml:space="preserve">that </w:t>
      </w:r>
      <w:r w:rsidR="001601DB">
        <w:t xml:space="preserve">it believed that </w:t>
      </w:r>
      <w:r w:rsidR="0056317E">
        <w:t xml:space="preserve">the </w:t>
      </w:r>
      <w:r w:rsidR="00684C77">
        <w:t xml:space="preserve">duration of the tender process </w:t>
      </w:r>
      <w:r w:rsidR="001601DB">
        <w:t xml:space="preserve">was reasonable, </w:t>
      </w:r>
      <w:r w:rsidR="00684C77">
        <w:t xml:space="preserve">noting </w:t>
      </w:r>
      <w:r w:rsidR="00CD695F">
        <w:t xml:space="preserve">that the accelerated process under the open procedure in </w:t>
      </w:r>
      <w:r w:rsidR="00292D22">
        <w:t xml:space="preserve">the former Public Contracts Regulations (PCR) </w:t>
      </w:r>
      <w:r w:rsidR="005A18C8">
        <w:t>allowed for a minimum of 15 working days.</w:t>
      </w:r>
      <w:r w:rsidR="00EE2A83" w:rsidRPr="007A27E4">
        <w:rPr>
          <w:vertAlign w:val="superscript"/>
        </w:rPr>
        <w:footnoteReference w:id="19"/>
      </w:r>
    </w:p>
    <w:p w14:paraId="22B311A3" w14:textId="5C37E636" w:rsidR="000E1590" w:rsidRDefault="007B2ADD" w:rsidP="00BC66C7">
      <w:pPr>
        <w:pStyle w:val="ListParagraph"/>
        <w:numPr>
          <w:ilvl w:val="0"/>
          <w:numId w:val="1"/>
        </w:numPr>
        <w:spacing w:line="276" w:lineRule="auto"/>
        <w:contextualSpacing w:val="0"/>
      </w:pPr>
      <w:bookmarkStart w:id="10" w:name="_Ref208332843"/>
      <w:r>
        <w:t>EPUT</w:t>
      </w:r>
      <w:r w:rsidR="00C3487F">
        <w:t xml:space="preserve"> and Vita</w:t>
      </w:r>
      <w:r w:rsidR="00EB7C81">
        <w:t xml:space="preserve"> Health</w:t>
      </w:r>
      <w:r w:rsidR="00554BE8">
        <w:t xml:space="preserve"> both submitted </w:t>
      </w:r>
      <w:r w:rsidR="000C4755">
        <w:t>proposals</w:t>
      </w:r>
      <w:r w:rsidR="00EC34B9">
        <w:t xml:space="preserve">. </w:t>
      </w:r>
      <w:r w:rsidR="00EC34B9" w:rsidRPr="00EC34B9">
        <w:t xml:space="preserve">MPFT </w:t>
      </w:r>
      <w:r w:rsidR="00FF4BB1">
        <w:t xml:space="preserve">engaged in the provider selection process, but </w:t>
      </w:r>
      <w:r w:rsidR="00EC34B9" w:rsidRPr="00EC34B9">
        <w:t xml:space="preserve">did not submit a </w:t>
      </w:r>
      <w:r w:rsidR="000C4755">
        <w:t>proposal</w:t>
      </w:r>
      <w:r w:rsidR="00EC34B9" w:rsidRPr="00EC34B9">
        <w:t xml:space="preserve">. MPFT </w:t>
      </w:r>
      <w:r w:rsidR="002C21CC">
        <w:t xml:space="preserve">told the Panel </w:t>
      </w:r>
      <w:r w:rsidR="00EC34B9" w:rsidRPr="00EC34B9">
        <w:t xml:space="preserve">that it was unable to submit “a fully costed and considered proposal that had achieved the required organisation sign-off” by the </w:t>
      </w:r>
      <w:r w:rsidR="00C00713">
        <w:t xml:space="preserve">3 April </w:t>
      </w:r>
      <w:r w:rsidR="00E92E72">
        <w:t xml:space="preserve">2025 </w:t>
      </w:r>
      <w:r w:rsidR="00EC34B9" w:rsidRPr="00EC34B9">
        <w:t>deadline</w:t>
      </w:r>
      <w:r w:rsidR="00FF4BB1">
        <w:t>.</w:t>
      </w:r>
      <w:r w:rsidR="00DE140D" w:rsidRPr="000E7EC9">
        <w:rPr>
          <w:vertAlign w:val="superscript"/>
        </w:rPr>
        <w:footnoteReference w:id="20"/>
      </w:r>
      <w:bookmarkEnd w:id="10"/>
    </w:p>
    <w:p w14:paraId="76FF5F45" w14:textId="4525AFDA" w:rsidR="006149FA" w:rsidRDefault="00FF4BB1" w:rsidP="00BC66C7">
      <w:pPr>
        <w:pStyle w:val="ListParagraph"/>
        <w:numPr>
          <w:ilvl w:val="0"/>
          <w:numId w:val="1"/>
        </w:numPr>
        <w:spacing w:line="276" w:lineRule="auto"/>
        <w:contextualSpacing w:val="0"/>
      </w:pPr>
      <w:r>
        <w:t>O</w:t>
      </w:r>
      <w:r w:rsidR="008C08FE">
        <w:t>n</w:t>
      </w:r>
      <w:r w:rsidR="00242119">
        <w:t xml:space="preserve"> 7</w:t>
      </w:r>
      <w:r w:rsidR="00E056B1">
        <w:t> </w:t>
      </w:r>
      <w:r w:rsidR="00242119">
        <w:t xml:space="preserve">May 2025, </w:t>
      </w:r>
      <w:r w:rsidR="008C08FE">
        <w:t>MSE</w:t>
      </w:r>
      <w:r w:rsidR="00242119">
        <w:t xml:space="preserve"> ICB published a </w:t>
      </w:r>
      <w:r w:rsidR="008C08FE">
        <w:t>c</w:t>
      </w:r>
      <w:r w:rsidR="00242119">
        <w:t xml:space="preserve">ontract </w:t>
      </w:r>
      <w:r w:rsidR="008C08FE">
        <w:t>a</w:t>
      </w:r>
      <w:r w:rsidR="00242119">
        <w:t xml:space="preserve">ward </w:t>
      </w:r>
      <w:r w:rsidR="008C08FE">
        <w:t>n</w:t>
      </w:r>
      <w:r w:rsidR="00242119">
        <w:t xml:space="preserve">otice announcing Vita Health </w:t>
      </w:r>
      <w:r>
        <w:t>as</w:t>
      </w:r>
      <w:r w:rsidRPr="00FF4BB1">
        <w:t xml:space="preserve"> </w:t>
      </w:r>
      <w:r>
        <w:t>the successful bidder</w:t>
      </w:r>
      <w:r w:rsidR="00242119">
        <w:t>.</w:t>
      </w:r>
    </w:p>
    <w:p w14:paraId="36466089" w14:textId="782941D0" w:rsidR="000947C9" w:rsidRPr="000E7EC9" w:rsidRDefault="006149FA" w:rsidP="00CF0354">
      <w:pPr>
        <w:pStyle w:val="ListParagraph"/>
        <w:numPr>
          <w:ilvl w:val="0"/>
          <w:numId w:val="1"/>
        </w:numPr>
        <w:spacing w:line="276" w:lineRule="auto"/>
        <w:contextualSpacing w:val="0"/>
      </w:pPr>
      <w:r>
        <w:t xml:space="preserve">On 16 May 2025, </w:t>
      </w:r>
      <w:r w:rsidR="007D6088">
        <w:t xml:space="preserve">prior to the end of the standstill period, </w:t>
      </w:r>
      <w:r w:rsidR="00242119">
        <w:t xml:space="preserve">MPFT made representations to </w:t>
      </w:r>
      <w:r>
        <w:t>MSE</w:t>
      </w:r>
      <w:r w:rsidR="00242119">
        <w:t xml:space="preserve"> ICB</w:t>
      </w:r>
      <w:r w:rsidR="00CE18F5">
        <w:t xml:space="preserve"> about the provider selection process</w:t>
      </w:r>
      <w:r w:rsidR="00F45CB1">
        <w:t xml:space="preserve">. </w:t>
      </w:r>
      <w:r w:rsidR="00034339">
        <w:t xml:space="preserve">EPUT made </w:t>
      </w:r>
      <w:r w:rsidR="00F45CB1">
        <w:t xml:space="preserve">representations </w:t>
      </w:r>
      <w:r w:rsidR="00034339">
        <w:t xml:space="preserve">to MSE ICB </w:t>
      </w:r>
      <w:r w:rsidR="00CE4C0C">
        <w:t>on 20 May</w:t>
      </w:r>
      <w:r w:rsidR="007D6088">
        <w:t xml:space="preserve"> (also before the end of the standstill period)</w:t>
      </w:r>
      <w:r w:rsidR="00981817">
        <w:t xml:space="preserve">, and requested further </w:t>
      </w:r>
      <w:r w:rsidR="009A46F9">
        <w:t>information from MSE ICB</w:t>
      </w:r>
      <w:r w:rsidR="00493F2F">
        <w:t>.</w:t>
      </w:r>
      <w:r w:rsidR="00286474">
        <w:t xml:space="preserve"> </w:t>
      </w:r>
      <w:r w:rsidR="00780D09">
        <w:t>On</w:t>
      </w:r>
      <w:r w:rsidR="00242119">
        <w:t xml:space="preserve"> 20 June</w:t>
      </w:r>
      <w:r w:rsidR="00780D09">
        <w:t>, MSE ICB</w:t>
      </w:r>
      <w:r w:rsidR="00242119">
        <w:t xml:space="preserve"> communicated to </w:t>
      </w:r>
      <w:r w:rsidR="00780D09">
        <w:t xml:space="preserve">both providers </w:t>
      </w:r>
      <w:r w:rsidR="00242119">
        <w:t xml:space="preserve">its further decision to proceed with the contract award </w:t>
      </w:r>
      <w:r w:rsidR="000C06B1">
        <w:t>to Vita Health</w:t>
      </w:r>
      <w:r w:rsidR="00736C2B">
        <w:t xml:space="preserve">, and at the same time </w:t>
      </w:r>
      <w:r w:rsidR="00242119">
        <w:t xml:space="preserve">shared several documents </w:t>
      </w:r>
      <w:r w:rsidR="00736C2B">
        <w:t xml:space="preserve">with MPFT and EPUT </w:t>
      </w:r>
      <w:r w:rsidR="00242119">
        <w:t>in response to</w:t>
      </w:r>
      <w:r w:rsidR="00D87FA4">
        <w:t xml:space="preserve"> </w:t>
      </w:r>
      <w:r w:rsidR="00736C2B">
        <w:t xml:space="preserve">their </w:t>
      </w:r>
      <w:r w:rsidR="00242119">
        <w:t>request</w:t>
      </w:r>
      <w:r w:rsidR="00D87FA4">
        <w:t>s</w:t>
      </w:r>
      <w:r w:rsidR="00242119">
        <w:t xml:space="preserve"> for information.</w:t>
      </w:r>
    </w:p>
    <w:p w14:paraId="1B2A26E0" w14:textId="249A3120" w:rsidR="00F02E9E" w:rsidRDefault="00F02E9E" w:rsidP="00BC66C7">
      <w:pPr>
        <w:pStyle w:val="ListParagraph"/>
        <w:numPr>
          <w:ilvl w:val="0"/>
          <w:numId w:val="1"/>
        </w:numPr>
        <w:spacing w:line="276" w:lineRule="auto"/>
        <w:contextualSpacing w:val="0"/>
      </w:pPr>
      <w:r>
        <w:t>On 24 June 2025, MPFT asked the Panel to advise on MSE</w:t>
      </w:r>
      <w:r w:rsidRPr="00493F04">
        <w:t xml:space="preserve"> ICB</w:t>
      </w:r>
      <w:r>
        <w:t xml:space="preserve">’s </w:t>
      </w:r>
      <w:r w:rsidR="00C505E2">
        <w:t xml:space="preserve">provider selection decision, and on 27 June, EPUT requested the same. Both requests were received by the Panel prior to the end of the standstill period. </w:t>
      </w:r>
      <w:r w:rsidR="00742EE5">
        <w:t xml:space="preserve">The Panel accepted MPFT’s request on 27 June and EPUT’s request on 1 July. </w:t>
      </w:r>
      <w:r w:rsidR="00742EE5" w:rsidRPr="00742EE5">
        <w:t xml:space="preserve">On being made aware of this, </w:t>
      </w:r>
      <w:r w:rsidR="00742EE5">
        <w:t>MSE</w:t>
      </w:r>
      <w:r w:rsidR="00742EE5" w:rsidRPr="00742EE5">
        <w:t xml:space="preserve"> ICB confirmed that it would hold the standstill period open for the duration of the Panel’s review.</w:t>
      </w:r>
    </w:p>
    <w:p w14:paraId="5DA4E720" w14:textId="768517F2" w:rsidR="001A0B4C" w:rsidRDefault="00F8532A" w:rsidP="007F01E4">
      <w:pPr>
        <w:pStyle w:val="ListParagraph"/>
        <w:numPr>
          <w:ilvl w:val="0"/>
          <w:numId w:val="1"/>
        </w:numPr>
        <w:spacing w:line="276" w:lineRule="auto"/>
      </w:pPr>
      <w:r>
        <w:t xml:space="preserve">MSE ICB </w:t>
      </w:r>
      <w:r w:rsidR="00355998">
        <w:t>has told the Panel (for contextual purposes) that</w:t>
      </w:r>
      <w:r w:rsidR="00111772">
        <w:t xml:space="preserve"> </w:t>
      </w:r>
      <w:r w:rsidR="008C6FA8">
        <w:t>it</w:t>
      </w:r>
      <w:r w:rsidR="00111772" w:rsidRPr="00111772">
        <w:t xml:space="preserve"> </w:t>
      </w:r>
      <w:r w:rsidR="006B4EFD">
        <w:t xml:space="preserve">has subsequently </w:t>
      </w:r>
      <w:r w:rsidR="00111772" w:rsidRPr="00111772">
        <w:t xml:space="preserve">implemented </w:t>
      </w:r>
      <w:r w:rsidR="006B4EFD">
        <w:t xml:space="preserve">two rounds of </w:t>
      </w:r>
      <w:r w:rsidR="00AA6F7B">
        <w:t>u</w:t>
      </w:r>
      <w:r w:rsidR="00111772" w:rsidRPr="00111772">
        <w:t>rgent</w:t>
      </w:r>
      <w:r w:rsidR="00BB344F">
        <w:t xml:space="preserve"> </w:t>
      </w:r>
      <w:r w:rsidR="00AA6F7B">
        <w:t>contract a</w:t>
      </w:r>
      <w:r w:rsidR="00111772" w:rsidRPr="00111772">
        <w:t>ward</w:t>
      </w:r>
      <w:r w:rsidR="00AA6F7B">
        <w:t>s</w:t>
      </w:r>
      <w:r w:rsidR="00111772" w:rsidRPr="00111772">
        <w:t xml:space="preserve"> </w:t>
      </w:r>
      <w:r w:rsidR="006B4EFD">
        <w:t>with the incumbent providers</w:t>
      </w:r>
      <w:r w:rsidR="001C36F2">
        <w:t xml:space="preserve">, </w:t>
      </w:r>
      <w:r w:rsidR="009E1015">
        <w:t xml:space="preserve">articulated as </w:t>
      </w:r>
      <w:r w:rsidR="001C36F2">
        <w:t xml:space="preserve">i) </w:t>
      </w:r>
      <w:r w:rsidR="00B44BB7">
        <w:t>“</w:t>
      </w:r>
      <w:r w:rsidR="00B44BB7" w:rsidRPr="00B44BB7">
        <w:t>four (4) separate contracts amongst the four (4) separate Providers from</w:t>
      </w:r>
      <w:r w:rsidR="00B44BB7">
        <w:t xml:space="preserve"> </w:t>
      </w:r>
      <w:r w:rsidR="006C6A3E" w:rsidRPr="006C6A3E">
        <w:t>01st April 2025 - 31st July 2025 to cover the period whilst the Competitive Process for Mental Health Core Services was underway</w:t>
      </w:r>
      <w:r w:rsidR="006C6A3E">
        <w:t>”</w:t>
      </w:r>
      <w:r w:rsidR="00B44BB7">
        <w:rPr>
          <w:rStyle w:val="FootnoteReference"/>
        </w:rPr>
        <w:footnoteReference w:id="21"/>
      </w:r>
      <w:r w:rsidR="001C36F2">
        <w:t xml:space="preserve">, and ii) </w:t>
      </w:r>
      <w:r w:rsidR="009E1015">
        <w:t>“</w:t>
      </w:r>
      <w:r w:rsidR="00111772" w:rsidRPr="00111772">
        <w:t>The ICB has now implemented new Urgent Award contracts, which have been negotiated by each Provider and the ICB, with the single service specification and maximum financial budget (allocation of the total budget based on cost per population), in accordance with MSE ICB’s commissioning and Governance processes, to ensure safe, consistent and equitable service provision to the patient population in MSE whilst the Competitive Process for this Mental Health Core Services is under review.</w:t>
      </w:r>
      <w:r w:rsidR="00577389" w:rsidRPr="00577389">
        <w:t>”</w:t>
      </w:r>
      <w:r w:rsidR="00B44BB7">
        <w:rPr>
          <w:rStyle w:val="FootnoteReference"/>
        </w:rPr>
        <w:footnoteReference w:id="22"/>
      </w:r>
    </w:p>
    <w:p w14:paraId="7C82D25B" w14:textId="4439D2C9" w:rsidR="00DA200D" w:rsidRDefault="00DA200D" w:rsidP="00DA200D">
      <w:pPr>
        <w:pStyle w:val="Heading1"/>
      </w:pPr>
      <w:bookmarkStart w:id="11" w:name="_Toc209611770"/>
      <w:r>
        <w:lastRenderedPageBreak/>
        <w:t xml:space="preserve">Representations by </w:t>
      </w:r>
      <w:r w:rsidR="001F4997">
        <w:t>MPFT</w:t>
      </w:r>
      <w:r w:rsidR="007D05EF">
        <w:t xml:space="preserve"> and EPUT</w:t>
      </w:r>
      <w:bookmarkEnd w:id="11"/>
    </w:p>
    <w:p w14:paraId="4729E4B3" w14:textId="32D9A8B7" w:rsidR="007D05EF" w:rsidRDefault="00732C80" w:rsidP="00BA6D1D">
      <w:pPr>
        <w:pStyle w:val="ListParagraph"/>
        <w:numPr>
          <w:ilvl w:val="0"/>
          <w:numId w:val="1"/>
        </w:numPr>
        <w:spacing w:line="276" w:lineRule="auto"/>
        <w:contextualSpacing w:val="0"/>
      </w:pPr>
      <w:r>
        <w:t xml:space="preserve">This section sets out MPFT’s and EPUT’s concerns about </w:t>
      </w:r>
      <w:r w:rsidR="009E64E8">
        <w:t>MSE ICB’s</w:t>
      </w:r>
      <w:r>
        <w:t xml:space="preserve"> </w:t>
      </w:r>
      <w:r w:rsidR="009E64E8">
        <w:t>provider selection process for mental health core services in Mid and South Essex, as summarised in their representations to the Panel.</w:t>
      </w:r>
    </w:p>
    <w:p w14:paraId="482BF5BB" w14:textId="54BDFB8F" w:rsidR="007D05EF" w:rsidRPr="00BB02CE" w:rsidRDefault="0002744D" w:rsidP="00BB02CE">
      <w:pPr>
        <w:pStyle w:val="Heading2"/>
        <w:spacing w:before="240" w:after="160"/>
        <w:ind w:left="578" w:hanging="578"/>
      </w:pPr>
      <w:bookmarkStart w:id="12" w:name="_Toc209611771"/>
      <w:r w:rsidRPr="00BB02CE">
        <w:t>Representations by MPFT</w:t>
      </w:r>
      <w:bookmarkEnd w:id="12"/>
    </w:p>
    <w:p w14:paraId="6351C71F" w14:textId="2D3793C0" w:rsidR="00DA200D" w:rsidRDefault="00F0778E" w:rsidP="00BC66C7">
      <w:pPr>
        <w:pStyle w:val="ListParagraph"/>
        <w:numPr>
          <w:ilvl w:val="0"/>
          <w:numId w:val="1"/>
        </w:numPr>
        <w:spacing w:after="120" w:line="276" w:lineRule="auto"/>
        <w:contextualSpacing w:val="0"/>
      </w:pPr>
      <w:bookmarkStart w:id="13" w:name="_Ref204603238"/>
      <w:r>
        <w:t>MPFT</w:t>
      </w:r>
      <w:r w:rsidR="005E362F">
        <w:t xml:space="preserve">’s concerns about the provider selection process, as summarised in its representations to the Panel, </w:t>
      </w:r>
      <w:r w:rsidR="007B2C34">
        <w:t>are</w:t>
      </w:r>
      <w:r w:rsidR="005E362F">
        <w:t xml:space="preserve"> as follows:</w:t>
      </w:r>
      <w:bookmarkEnd w:id="13"/>
    </w:p>
    <w:p w14:paraId="1FF14B06" w14:textId="77777777" w:rsidR="001C3723" w:rsidRPr="00D3426A" w:rsidRDefault="009D514E" w:rsidP="008F2C08">
      <w:pPr>
        <w:ind w:left="851"/>
        <w:rPr>
          <w:sz w:val="21"/>
          <w:szCs w:val="21"/>
        </w:rPr>
      </w:pPr>
      <w:r w:rsidRPr="00D3426A">
        <w:rPr>
          <w:sz w:val="21"/>
          <w:szCs w:val="21"/>
        </w:rPr>
        <w:t>“</w:t>
      </w:r>
      <w:r w:rsidR="008F2C08" w:rsidRPr="00D3426A">
        <w:rPr>
          <w:sz w:val="21"/>
          <w:szCs w:val="21"/>
        </w:rPr>
        <w:t xml:space="preserve">Representation 1 - The ICB’s failure to provide the Equality Impact Assessment (“EQIA”), has undermined our ability (and possibly that of other bidders) to satisfy the needs of local people in the development of the service and for MPFT to submit a fully informed and compliant bid. The ICB has therefore failed to secure the needs of the people who use the services. The ICB has responded to the representations to say that it will not be disclosing the EQIA to the Trust. The ICB considers that all of the information detailed within the EQIA is set out within the Services </w:t>
      </w:r>
      <w:r w:rsidR="001C3723" w:rsidRPr="00D3426A">
        <w:rPr>
          <w:sz w:val="21"/>
          <w:szCs w:val="21"/>
        </w:rPr>
        <w:t>S</w:t>
      </w:r>
      <w:r w:rsidR="008F2C08" w:rsidRPr="00D3426A">
        <w:rPr>
          <w:sz w:val="21"/>
          <w:szCs w:val="21"/>
        </w:rPr>
        <w:t>pecification. The Trust maintains its position that failure to disclose the EQIA prevented the Trust from submitting a fully informed and compliant bid and the ICB therefore failed to secure the needs of the people using the services.</w:t>
      </w:r>
    </w:p>
    <w:p w14:paraId="2CE4D92C" w14:textId="2269ADD8" w:rsidR="008F2C08" w:rsidRPr="00D3426A" w:rsidRDefault="008F2C08" w:rsidP="008F2C08">
      <w:pPr>
        <w:ind w:left="851"/>
        <w:rPr>
          <w:sz w:val="21"/>
          <w:szCs w:val="21"/>
        </w:rPr>
      </w:pPr>
      <w:r w:rsidRPr="00D3426A">
        <w:rPr>
          <w:sz w:val="21"/>
          <w:szCs w:val="21"/>
        </w:rPr>
        <w:t>The Panel should note that the ICB previously disclosed the EQIA documents under a previous failed procurement (which was set out in the ICB’s independent review report). The Trust therefore considers the resolution of this Representation to be outstanding.</w:t>
      </w:r>
    </w:p>
    <w:p w14:paraId="2A683F52" w14:textId="649718E9" w:rsidR="008F2C08" w:rsidRPr="00D3426A" w:rsidRDefault="008F2C08" w:rsidP="008F2C08">
      <w:pPr>
        <w:ind w:left="851"/>
        <w:rPr>
          <w:sz w:val="21"/>
          <w:szCs w:val="21"/>
        </w:rPr>
      </w:pPr>
      <w:r w:rsidRPr="00D3426A">
        <w:rPr>
          <w:sz w:val="21"/>
          <w:szCs w:val="21"/>
        </w:rPr>
        <w:t xml:space="preserve">Representation 2 – The change in the ICB’s response to a similar Clarification Question received late in the process by providers was a material change that did not provide a reasonable timeframe for MPFT to amend its bid to take into consideration the material changes or achieve organisational sign-off before the submission date/time. The ICB has responded to the representations to say that they do not consider the changes made to have been material and that they feel the receipt of two other </w:t>
      </w:r>
      <w:r w:rsidR="00BE4E86" w:rsidRPr="00D3426A">
        <w:rPr>
          <w:sz w:val="21"/>
          <w:szCs w:val="21"/>
        </w:rPr>
        <w:t>bidders’</w:t>
      </w:r>
      <w:r w:rsidRPr="00D3426A">
        <w:rPr>
          <w:sz w:val="21"/>
          <w:szCs w:val="21"/>
        </w:rPr>
        <w:t xml:space="preserve"> tender submissions indicates that our representations are unfounded. The ICB also stated that they did not </w:t>
      </w:r>
      <w:r w:rsidR="00BE4E86" w:rsidRPr="00D3426A">
        <w:rPr>
          <w:sz w:val="21"/>
          <w:szCs w:val="21"/>
        </w:rPr>
        <w:t>amend</w:t>
      </w:r>
      <w:r w:rsidRPr="00D3426A">
        <w:rPr>
          <w:sz w:val="21"/>
          <w:szCs w:val="21"/>
        </w:rPr>
        <w:t xml:space="preserve"> the </w:t>
      </w:r>
      <w:r w:rsidR="00BE4E86" w:rsidRPr="00D3426A">
        <w:rPr>
          <w:sz w:val="21"/>
          <w:szCs w:val="21"/>
        </w:rPr>
        <w:t>methodology</w:t>
      </w:r>
      <w:r w:rsidRPr="00D3426A">
        <w:rPr>
          <w:sz w:val="21"/>
          <w:szCs w:val="21"/>
        </w:rPr>
        <w:t xml:space="preserve"> in which it would assess and evaluate the bid submissions </w:t>
      </w:r>
      <w:r w:rsidR="00BE4E86" w:rsidRPr="00D3426A">
        <w:rPr>
          <w:sz w:val="21"/>
          <w:szCs w:val="21"/>
        </w:rPr>
        <w:t>received</w:t>
      </w:r>
      <w:r w:rsidRPr="00D3426A">
        <w:rPr>
          <w:sz w:val="21"/>
          <w:szCs w:val="21"/>
        </w:rPr>
        <w:t xml:space="preserve">. The Trust maintains its position that by the ICB responding differently to two different clarifications asked at different points in the process that this has resulted in a significant change (specifically that a bidder can absorb their transformational costs outside of the funding envelope, where previously stated this </w:t>
      </w:r>
      <w:r w:rsidR="00BE4E86" w:rsidRPr="00D3426A">
        <w:rPr>
          <w:sz w:val="21"/>
          <w:szCs w:val="21"/>
        </w:rPr>
        <w:t>wasn’t</w:t>
      </w:r>
      <w:r w:rsidRPr="00D3426A">
        <w:rPr>
          <w:sz w:val="21"/>
          <w:szCs w:val="21"/>
        </w:rPr>
        <w:t xml:space="preserve"> the case and that all costs should be detailed within the Financial Management Template) that could not be reasonably addressed by the Trust in the remaining timescales </w:t>
      </w:r>
      <w:r w:rsidR="00F06C29" w:rsidRPr="00D3426A">
        <w:rPr>
          <w:sz w:val="21"/>
          <w:szCs w:val="21"/>
        </w:rPr>
        <w:t>p</w:t>
      </w:r>
      <w:r w:rsidRPr="00D3426A">
        <w:rPr>
          <w:sz w:val="21"/>
          <w:szCs w:val="21"/>
        </w:rPr>
        <w:t>rovided. This prevented the Trust from submitting a fully costed and considered proposal that had achieved the required organisational sign-off. The Trust also maintains that the representation was not that the ICB had changed their</w:t>
      </w:r>
      <w:r w:rsidR="00F06C29" w:rsidRPr="00D3426A">
        <w:rPr>
          <w:sz w:val="21"/>
          <w:szCs w:val="21"/>
        </w:rPr>
        <w:t xml:space="preserve"> </w:t>
      </w:r>
      <w:r w:rsidRPr="00D3426A">
        <w:rPr>
          <w:sz w:val="21"/>
          <w:szCs w:val="21"/>
        </w:rPr>
        <w:t>assessment and evaluation of submitted bids but that the material detail contained within the submissions has changed based on the newly issued clarification response at the end of the process, which was a change from the previous response provided to all bidders.</w:t>
      </w:r>
    </w:p>
    <w:p w14:paraId="0B1C93B7" w14:textId="3A650847" w:rsidR="008F2C08" w:rsidRPr="00D3426A" w:rsidRDefault="008F2C08" w:rsidP="008F2C08">
      <w:pPr>
        <w:ind w:left="851"/>
        <w:rPr>
          <w:sz w:val="21"/>
          <w:szCs w:val="21"/>
        </w:rPr>
      </w:pPr>
      <w:r w:rsidRPr="00D3426A">
        <w:rPr>
          <w:sz w:val="21"/>
          <w:szCs w:val="21"/>
        </w:rPr>
        <w:t xml:space="preserve">Representation 3 – Throughout the process, responses provided by the ICB to Clarification Questions were incomplete or not accurate, resulting in delaying MPFT (and potentially other bidders’) ability to prepare an appropriate costed &amp; considered tender submission. The ICB have responded saying their panel found no merit in this </w:t>
      </w:r>
      <w:r w:rsidR="00F06C29" w:rsidRPr="00D3426A">
        <w:rPr>
          <w:sz w:val="21"/>
          <w:szCs w:val="21"/>
        </w:rPr>
        <w:t>representation</w:t>
      </w:r>
      <w:r w:rsidRPr="00D3426A">
        <w:rPr>
          <w:sz w:val="21"/>
          <w:szCs w:val="21"/>
        </w:rPr>
        <w:t xml:space="preserve"> and rejected the concerns raised. The ICB has also detailed in their response that it would have been helpful for the Trust to have included an example where it believed that the Authority</w:t>
      </w:r>
      <w:r w:rsidR="002F25C4">
        <w:rPr>
          <w:sz w:val="21"/>
          <w:szCs w:val="21"/>
        </w:rPr>
        <w:t xml:space="preserve"> [MSE ICB]</w:t>
      </w:r>
      <w:r w:rsidRPr="00D3426A">
        <w:rPr>
          <w:sz w:val="21"/>
          <w:szCs w:val="21"/>
        </w:rPr>
        <w:t xml:space="preserve"> did not respond fully to a Clarification </w:t>
      </w:r>
      <w:r w:rsidRPr="00D3426A">
        <w:rPr>
          <w:sz w:val="21"/>
          <w:szCs w:val="21"/>
        </w:rPr>
        <w:lastRenderedPageBreak/>
        <w:t>Question. The Trust maintains its position that this has been the case and provided examples within our challenge letter. Additionally it should be noted that the ICBs Panel has detailed that it would have been helpful for the Trust to provide examples, however no clarifications were asked by the panel despite this being an option.</w:t>
      </w:r>
    </w:p>
    <w:p w14:paraId="2F8220CE" w14:textId="409B58CF" w:rsidR="009D514E" w:rsidRDefault="008F2C08" w:rsidP="008F2C08">
      <w:pPr>
        <w:ind w:left="851"/>
        <w:rPr>
          <w:sz w:val="21"/>
          <w:szCs w:val="21"/>
        </w:rPr>
      </w:pPr>
      <w:r w:rsidRPr="00D3426A">
        <w:rPr>
          <w:sz w:val="21"/>
          <w:szCs w:val="21"/>
        </w:rPr>
        <w:t>Documents – the ICB has only part disclosed to the Trust some of the documents requested by the Trust in the Representation letter. The Trust considered the document requests to be reasonable and in accordance with Regulation 24. The Trust therefore considers the resolution of this Representation to be outstanding</w:t>
      </w:r>
      <w:r w:rsidR="00D3426A" w:rsidRPr="00D3426A">
        <w:rPr>
          <w:sz w:val="21"/>
          <w:szCs w:val="21"/>
        </w:rPr>
        <w:t>.</w:t>
      </w:r>
      <w:r w:rsidR="00236F9E" w:rsidRPr="00D3426A">
        <w:rPr>
          <w:sz w:val="21"/>
          <w:szCs w:val="21"/>
        </w:rPr>
        <w:t>”</w:t>
      </w:r>
    </w:p>
    <w:p w14:paraId="0DC39AEC" w14:textId="684379FA" w:rsidR="003D684B" w:rsidRPr="003D684B" w:rsidRDefault="003D684B" w:rsidP="003D684B">
      <w:pPr>
        <w:pStyle w:val="Heading2"/>
        <w:spacing w:before="240" w:after="160"/>
        <w:ind w:left="578" w:hanging="578"/>
      </w:pPr>
      <w:bookmarkStart w:id="14" w:name="_Toc209611772"/>
      <w:r>
        <w:t>Representations by EPUT</w:t>
      </w:r>
      <w:bookmarkEnd w:id="14"/>
    </w:p>
    <w:p w14:paraId="4C4D8A92" w14:textId="77777777" w:rsidR="00732C80" w:rsidRDefault="00732C80" w:rsidP="00BA6D1D">
      <w:pPr>
        <w:pStyle w:val="ListParagraph"/>
        <w:numPr>
          <w:ilvl w:val="0"/>
          <w:numId w:val="1"/>
        </w:numPr>
        <w:spacing w:line="276" w:lineRule="auto"/>
        <w:contextualSpacing w:val="0"/>
      </w:pPr>
      <w:bookmarkStart w:id="15" w:name="_Ref204603816"/>
      <w:r>
        <w:t>EPUT’s concerns about the provider selection process, as summarised in its representations to the Panel, are as follows:</w:t>
      </w:r>
      <w:bookmarkEnd w:id="15"/>
    </w:p>
    <w:p w14:paraId="55C9EA37" w14:textId="489ACFBE" w:rsidR="00732C80" w:rsidRPr="00AE183D" w:rsidRDefault="00732C80" w:rsidP="00E37121">
      <w:pPr>
        <w:spacing w:after="120"/>
        <w:ind w:left="851"/>
        <w:rPr>
          <w:sz w:val="21"/>
          <w:szCs w:val="21"/>
        </w:rPr>
      </w:pPr>
      <w:r w:rsidRPr="00AE183D">
        <w:rPr>
          <w:sz w:val="21"/>
          <w:szCs w:val="21"/>
        </w:rPr>
        <w:t>“</w:t>
      </w:r>
      <w:r w:rsidRPr="00AE183D">
        <w:rPr>
          <w:sz w:val="21"/>
          <w:szCs w:val="21"/>
          <w:u w:val="single"/>
        </w:rPr>
        <w:t>Late and incomplete responses to clarification questions</w:t>
      </w:r>
    </w:p>
    <w:p w14:paraId="3E2B1E64" w14:textId="77777777" w:rsidR="00732C80" w:rsidRPr="00AE183D" w:rsidRDefault="00732C80" w:rsidP="00E37121">
      <w:pPr>
        <w:spacing w:after="120"/>
        <w:ind w:left="851"/>
        <w:rPr>
          <w:sz w:val="21"/>
          <w:szCs w:val="21"/>
        </w:rPr>
      </w:pPr>
      <w:r w:rsidRPr="00AE183D">
        <w:rPr>
          <w:sz w:val="21"/>
          <w:szCs w:val="21"/>
        </w:rPr>
        <w:t>We remain of the view that the ICB has provided late or incomplete responses to clarification questions during the procurement, in breach of its duty to act fairly and transparently under regulation 4 of the PSR.</w:t>
      </w:r>
    </w:p>
    <w:p w14:paraId="1739B713" w14:textId="77777777" w:rsidR="00732C80" w:rsidRPr="00AE183D" w:rsidRDefault="00732C80" w:rsidP="00E37121">
      <w:pPr>
        <w:spacing w:after="120"/>
        <w:ind w:left="851"/>
        <w:rPr>
          <w:sz w:val="21"/>
          <w:szCs w:val="21"/>
        </w:rPr>
      </w:pPr>
      <w:r w:rsidRPr="00AE183D">
        <w:rPr>
          <w:sz w:val="21"/>
          <w:szCs w:val="21"/>
        </w:rPr>
        <w:t>We have checked the tendering portal which indicates that there are a number of clarifications which were raised and were not responded to.</w:t>
      </w:r>
    </w:p>
    <w:p w14:paraId="1C311817" w14:textId="77777777" w:rsidR="00732C80" w:rsidRPr="00AE183D" w:rsidRDefault="00732C80" w:rsidP="00E37121">
      <w:pPr>
        <w:spacing w:after="120"/>
        <w:ind w:left="851"/>
        <w:rPr>
          <w:sz w:val="21"/>
          <w:szCs w:val="21"/>
        </w:rPr>
      </w:pPr>
      <w:r w:rsidRPr="00AE183D">
        <w:rPr>
          <w:sz w:val="21"/>
          <w:szCs w:val="21"/>
        </w:rPr>
        <w:t>We do not feel that the relevant authority has engaged with our concerns regarding this point, instead simply setting out an account of the clarification logs issues and, further, dismissed this representation on the basis that it felt it was “</w:t>
      </w:r>
      <w:r w:rsidRPr="00AE183D">
        <w:rPr>
          <w:i/>
          <w:iCs/>
          <w:sz w:val="21"/>
          <w:szCs w:val="21"/>
        </w:rPr>
        <w:t>further unsubstantiated as no actual example(s) was provided. A broad, general statement was made as to late responses and incomplete responses.</w:t>
      </w:r>
      <w:r w:rsidRPr="00AE183D">
        <w:rPr>
          <w:sz w:val="21"/>
          <w:szCs w:val="21"/>
        </w:rPr>
        <w:t>” If the relevant authority thought examples were required, we believe that it should have afforded us a further opportunity to clarify or explain this representation in accordance with regulation 12(4)(a) of the PSR.</w:t>
      </w:r>
    </w:p>
    <w:p w14:paraId="2275E913" w14:textId="76209751" w:rsidR="00732C80" w:rsidRPr="00AE183D" w:rsidRDefault="00732C80" w:rsidP="00E37121">
      <w:pPr>
        <w:spacing w:after="120"/>
        <w:ind w:left="851"/>
        <w:rPr>
          <w:sz w:val="21"/>
          <w:szCs w:val="21"/>
        </w:rPr>
      </w:pPr>
      <w:r w:rsidRPr="00AE183D">
        <w:rPr>
          <w:sz w:val="21"/>
          <w:szCs w:val="21"/>
          <w:u w:val="single"/>
        </w:rPr>
        <w:t>Evaluation of question 2.3.1 (Service Model)</w:t>
      </w:r>
    </w:p>
    <w:p w14:paraId="207B32A7" w14:textId="77777777" w:rsidR="00732C80" w:rsidRPr="00AE183D" w:rsidRDefault="00732C80" w:rsidP="00E37121">
      <w:pPr>
        <w:spacing w:after="120"/>
        <w:ind w:left="851"/>
        <w:rPr>
          <w:sz w:val="21"/>
          <w:szCs w:val="21"/>
        </w:rPr>
      </w:pPr>
      <w:r w:rsidRPr="00AE183D">
        <w:rPr>
          <w:sz w:val="21"/>
          <w:szCs w:val="21"/>
        </w:rPr>
        <w:t>The relevant authority’s internal panel’s findings on this representation repeatedly refer to the relevant authority making various assertions, and we do not see any evidence that in considering our representation, the relevant authority’s internal panel has properly addressed itself to the question of whether the evaluators have failed to correctly apply the evaluation criteria when evaluating our response to question 2.3.1 and/or evaluated the responses inconsistently.</w:t>
      </w:r>
    </w:p>
    <w:p w14:paraId="315305B6" w14:textId="77777777" w:rsidR="00732C80" w:rsidRPr="00AE183D" w:rsidRDefault="00732C80" w:rsidP="00E37121">
      <w:pPr>
        <w:spacing w:after="120"/>
        <w:ind w:left="851"/>
        <w:rPr>
          <w:sz w:val="21"/>
          <w:szCs w:val="21"/>
        </w:rPr>
      </w:pPr>
      <w:r w:rsidRPr="00AE183D">
        <w:rPr>
          <w:sz w:val="21"/>
          <w:szCs w:val="21"/>
        </w:rPr>
        <w:t>In light of the moderation minutes provided by the relevant authority after conclusion of its review, we have additional concerns. We note that Evaluator 3 moved from a 4 to a 3 on the basis that our response ‘lacked relevant evidence and detail’. Question 2.3.1 asked bidders to set out their model and provide descriptions of how aspects would be delivered in a limited word count, without any request for ‘evidence’. We consider that the relevant authority has not followed its own process (notwithstanding its assertions regarding the moderation process reported by its internal panel) and we believe that the absence of 1 of the 4 evaluators might have altered the discussion taking place at the moderation meeting.</w:t>
      </w:r>
    </w:p>
    <w:p w14:paraId="590EF72D" w14:textId="77777777" w:rsidR="00732C80" w:rsidRPr="00AE183D" w:rsidRDefault="00732C80" w:rsidP="00E37121">
      <w:pPr>
        <w:spacing w:after="120"/>
        <w:ind w:left="851"/>
        <w:rPr>
          <w:sz w:val="21"/>
          <w:szCs w:val="21"/>
        </w:rPr>
      </w:pPr>
      <w:r w:rsidRPr="00AE183D">
        <w:rPr>
          <w:sz w:val="21"/>
          <w:szCs w:val="21"/>
        </w:rPr>
        <w:t>We believe that the likelihood of the evaluators not applying the evaluation criteria correctly is likely to have been exacerbated by the standard scoring matrix in Table D in Doc 1 – Competitive Process Overview which, in our view, is not sufficiently clear and could lead to evaluators subjectively deciding whether a bid is ‘Good’, ‘Average’ or ‘Poor’.</w:t>
      </w:r>
    </w:p>
    <w:p w14:paraId="2E2D4DF1" w14:textId="77777777" w:rsidR="00732C80" w:rsidRPr="00AE183D" w:rsidRDefault="00732C80" w:rsidP="00E37121">
      <w:pPr>
        <w:spacing w:after="120"/>
        <w:ind w:left="851"/>
        <w:rPr>
          <w:sz w:val="21"/>
          <w:szCs w:val="21"/>
        </w:rPr>
      </w:pPr>
      <w:r w:rsidRPr="00AE183D">
        <w:rPr>
          <w:sz w:val="21"/>
          <w:szCs w:val="21"/>
        </w:rPr>
        <w:lastRenderedPageBreak/>
        <w:t>We also consider that the complicated calculation of ‘raw’ weightings and ‘total’ weightings as described in Table C in Doc 1 – Competitive Process Overview (where the individually listed example percentages in the table for 2.3.1, 2.4.1 and 2.5.1 do not add up to the example subtotal ‘raw’ and total weighting figures stated in that table) could have led to issues in calculating scores.</w:t>
      </w:r>
    </w:p>
    <w:p w14:paraId="1B13F32A" w14:textId="77777777" w:rsidR="00732C80" w:rsidRPr="00AE183D" w:rsidRDefault="00732C80" w:rsidP="00E37121">
      <w:pPr>
        <w:spacing w:after="120"/>
        <w:ind w:left="851"/>
        <w:rPr>
          <w:sz w:val="21"/>
          <w:szCs w:val="21"/>
        </w:rPr>
      </w:pPr>
      <w:r w:rsidRPr="00AE183D">
        <w:rPr>
          <w:sz w:val="21"/>
          <w:szCs w:val="21"/>
        </w:rPr>
        <w:t>We remain of the view that the evaluators have not correctly applied the published evaluation criteria when assessing our response and/or have evaluated the responses from EPUT and Vita inconsistently and believe that the relevant authority has breached of regulation 4 and regulation 11(5) of the PSR.</w:t>
      </w:r>
    </w:p>
    <w:p w14:paraId="67645936" w14:textId="5B5A02D3" w:rsidR="00732C80" w:rsidRPr="00AE183D" w:rsidRDefault="00732C80" w:rsidP="00E37121">
      <w:pPr>
        <w:spacing w:after="120"/>
        <w:ind w:left="851"/>
        <w:rPr>
          <w:sz w:val="21"/>
          <w:szCs w:val="21"/>
        </w:rPr>
      </w:pPr>
      <w:r w:rsidRPr="00AE183D">
        <w:rPr>
          <w:sz w:val="21"/>
          <w:szCs w:val="21"/>
          <w:u w:val="single"/>
        </w:rPr>
        <w:t>Mobilisation period</w:t>
      </w:r>
    </w:p>
    <w:p w14:paraId="0FBF6D59" w14:textId="77777777" w:rsidR="00732C80" w:rsidRPr="00AE183D" w:rsidRDefault="00732C80" w:rsidP="00E37121">
      <w:pPr>
        <w:spacing w:after="120"/>
        <w:ind w:left="851"/>
        <w:rPr>
          <w:sz w:val="21"/>
          <w:szCs w:val="21"/>
        </w:rPr>
      </w:pPr>
      <w:r w:rsidRPr="00AE183D">
        <w:rPr>
          <w:sz w:val="21"/>
          <w:szCs w:val="21"/>
        </w:rPr>
        <w:t>From the documents provided by the relevant authority, we note that one of three evaluators did not attend the moderation meeting and, for the same reasons as set out above, we consider that this resulted in the moderation carried out not being sufficiently robust and not complying the relevant authority’s process as described by its internal review panel. We further note that Evaluator 4 did not attend the moderation meeting but their individual score was moved during this meeting. In our view this indicates that a robust moderation process has not been carried out.</w:t>
      </w:r>
    </w:p>
    <w:p w14:paraId="3DD2A50E" w14:textId="77777777" w:rsidR="00732C80" w:rsidRPr="00AE183D" w:rsidRDefault="00732C80" w:rsidP="00E37121">
      <w:pPr>
        <w:spacing w:after="120"/>
        <w:ind w:left="851"/>
        <w:rPr>
          <w:sz w:val="21"/>
          <w:szCs w:val="21"/>
        </w:rPr>
      </w:pPr>
      <w:r w:rsidRPr="00AE183D">
        <w:rPr>
          <w:sz w:val="21"/>
          <w:szCs w:val="21"/>
        </w:rPr>
        <w:t>The relevant authority has not responded to our question regarding the mobilisation period.</w:t>
      </w:r>
    </w:p>
    <w:p w14:paraId="5512ECFE" w14:textId="77777777" w:rsidR="00732C80" w:rsidRPr="00AE183D" w:rsidRDefault="00732C80" w:rsidP="00E37121">
      <w:pPr>
        <w:spacing w:after="120"/>
        <w:ind w:left="851"/>
        <w:rPr>
          <w:sz w:val="21"/>
          <w:szCs w:val="21"/>
        </w:rPr>
      </w:pPr>
      <w:r w:rsidRPr="00AE183D">
        <w:rPr>
          <w:sz w:val="21"/>
          <w:szCs w:val="21"/>
        </w:rPr>
        <w:t>We note that the relevant authority’s internal review panel notes that the relevant authority asserted that all requirements listed in the question were evaluated wholly, not by each bullet point alone. However, the format of the moderation meeting minutes indicates that responses were evaluated by bullet point.</w:t>
      </w:r>
    </w:p>
    <w:p w14:paraId="521A9D1F" w14:textId="77777777" w:rsidR="00732C80" w:rsidRPr="00AE183D" w:rsidRDefault="00732C80" w:rsidP="00E37121">
      <w:pPr>
        <w:spacing w:after="120"/>
        <w:ind w:left="851"/>
        <w:rPr>
          <w:sz w:val="21"/>
          <w:szCs w:val="21"/>
        </w:rPr>
      </w:pPr>
      <w:r w:rsidRPr="00AE183D">
        <w:rPr>
          <w:sz w:val="21"/>
          <w:szCs w:val="21"/>
        </w:rPr>
        <w:t>We consider that this is exacerbated by the lack of clarity in the published evaluation methodology. We therefore consider that the evaluators have not correctly applied the published evaluation criteria when assessing our response and believe that the relevant authority has breached of regulation 4 and regulation 11(5) of the PSR.</w:t>
      </w:r>
    </w:p>
    <w:p w14:paraId="620A87B9" w14:textId="272B30FF" w:rsidR="00732C80" w:rsidRPr="00AE183D" w:rsidRDefault="00732C80" w:rsidP="00E37121">
      <w:pPr>
        <w:spacing w:after="120"/>
        <w:ind w:left="851"/>
        <w:rPr>
          <w:sz w:val="21"/>
          <w:szCs w:val="21"/>
        </w:rPr>
      </w:pPr>
      <w:r w:rsidRPr="00AE183D">
        <w:rPr>
          <w:sz w:val="21"/>
          <w:szCs w:val="21"/>
          <w:u w:val="single"/>
        </w:rPr>
        <w:t>Evaluation of question 2.16.1 ((Commercial) Value for Money and Financial Sustainability)</w:t>
      </w:r>
    </w:p>
    <w:p w14:paraId="4905BFC3" w14:textId="77777777" w:rsidR="00732C80" w:rsidRPr="00AE183D" w:rsidRDefault="00732C80" w:rsidP="00E37121">
      <w:pPr>
        <w:spacing w:after="120"/>
        <w:ind w:left="851"/>
        <w:rPr>
          <w:sz w:val="21"/>
          <w:szCs w:val="21"/>
        </w:rPr>
      </w:pPr>
      <w:r w:rsidRPr="00AE183D">
        <w:rPr>
          <w:sz w:val="21"/>
          <w:szCs w:val="21"/>
        </w:rPr>
        <w:t>As with the previous representation, the relevant authority’s internal panel’s findings on this representation repeatedly refer to the relevant authority making various assertions, and we do not see any evidence that in considering our representation, the relevant authority’s internal panel has properly addressed itself to the question of whether the evaluators have failed to correctly apply the evaluation criteria when evaluating our response to question 2.16.1 and/or evaluated the responses from us and Vita inconsistently.</w:t>
      </w:r>
    </w:p>
    <w:p w14:paraId="7C9A89D5" w14:textId="77777777" w:rsidR="00732C80" w:rsidRPr="00AE183D" w:rsidRDefault="00732C80" w:rsidP="00E37121">
      <w:pPr>
        <w:spacing w:after="120"/>
        <w:ind w:left="851"/>
        <w:rPr>
          <w:sz w:val="21"/>
          <w:szCs w:val="21"/>
        </w:rPr>
      </w:pPr>
      <w:r w:rsidRPr="00AE183D">
        <w:rPr>
          <w:sz w:val="21"/>
          <w:szCs w:val="21"/>
        </w:rPr>
        <w:t>Having considered the moderation meeting minutes for this question disclosed by the relevant authority, we note (from the red text in the moderation meeting minutes) that Evaluator 8 reduced their score on the basis that we had not provided examples or our existing KPIs/productivity/capacity/activity in our response, despite this not being expressly required in the question. Evaluator 8 also criticised our response on the basis that, as an incumbent provider, we should have evidenced some of their existing works/initiatives/performance measures despite, again, this not being expressly required by the question.</w:t>
      </w:r>
    </w:p>
    <w:p w14:paraId="4FA6A318" w14:textId="77777777" w:rsidR="00732C80" w:rsidRPr="00AE183D" w:rsidRDefault="00732C80" w:rsidP="00E37121">
      <w:pPr>
        <w:spacing w:after="120"/>
        <w:ind w:left="851"/>
        <w:rPr>
          <w:sz w:val="21"/>
          <w:szCs w:val="21"/>
        </w:rPr>
      </w:pPr>
      <w:r w:rsidRPr="00AE183D">
        <w:rPr>
          <w:sz w:val="21"/>
          <w:szCs w:val="21"/>
        </w:rPr>
        <w:t>We consider that the evaluators have failed to correctly apply the evaluation criteria when evaluating our response to question 2.16.1 and/or that the evaluators have evaluated the responses from us and Vita inconsistently. We consider that the relevant authority has breached regulation 4 and regulation 11(5) of the PSR.</w:t>
      </w:r>
    </w:p>
    <w:p w14:paraId="46CBAD27" w14:textId="6CF0E2B7" w:rsidR="00732C80" w:rsidRPr="00AE183D" w:rsidRDefault="00732C80" w:rsidP="00E37121">
      <w:pPr>
        <w:spacing w:after="120"/>
        <w:ind w:left="851"/>
        <w:rPr>
          <w:sz w:val="21"/>
          <w:szCs w:val="21"/>
        </w:rPr>
      </w:pPr>
      <w:r w:rsidRPr="00AE183D">
        <w:rPr>
          <w:sz w:val="21"/>
          <w:szCs w:val="21"/>
          <w:u w:val="single"/>
        </w:rPr>
        <w:lastRenderedPageBreak/>
        <w:t>Evaluation of question 2.4.1 (Service Delivery)</w:t>
      </w:r>
    </w:p>
    <w:p w14:paraId="0EBE9E6B" w14:textId="77777777" w:rsidR="00732C80" w:rsidRPr="00AE183D" w:rsidRDefault="00732C80" w:rsidP="00E37121">
      <w:pPr>
        <w:spacing w:after="120"/>
        <w:ind w:left="851"/>
        <w:rPr>
          <w:sz w:val="21"/>
          <w:szCs w:val="21"/>
        </w:rPr>
      </w:pPr>
      <w:r w:rsidRPr="00AE183D">
        <w:rPr>
          <w:sz w:val="21"/>
          <w:szCs w:val="21"/>
        </w:rPr>
        <w:t>As with the previous representation, the relevant authority’s internal panel’s findings on this representation repeatedly refer to the relevant authority making various assertions, and we do not see any evidence that, in considering our representations, the relevant authority’s internal panel has properly addressed itself to the question of whether the evaluators have failed to correctly apply the evaluation criteria when evaluating our response to question 2.4.1 and/or evaluated the responses from us and Vita inconsistently.</w:t>
      </w:r>
    </w:p>
    <w:p w14:paraId="41D01BE7" w14:textId="77777777" w:rsidR="00732C80" w:rsidRPr="00AE183D" w:rsidRDefault="00732C80" w:rsidP="00E37121">
      <w:pPr>
        <w:spacing w:after="120"/>
        <w:ind w:left="851"/>
        <w:rPr>
          <w:sz w:val="21"/>
          <w:szCs w:val="21"/>
        </w:rPr>
      </w:pPr>
      <w:r w:rsidRPr="00AE183D">
        <w:rPr>
          <w:sz w:val="21"/>
          <w:szCs w:val="21"/>
        </w:rPr>
        <w:t>We consider that the evaluators have failed to correctly apply the evaluation criteria when evaluating EPUT’s response to question 2.4.1 and/or evaluated the responses from EPUT and Vita inconsistently. We consider that the relevant authority has breached regulation 4 and regulation 11(5) of the PSR.</w:t>
      </w:r>
    </w:p>
    <w:p w14:paraId="67CB4D20" w14:textId="77777777" w:rsidR="00732C80" w:rsidRPr="00AE183D" w:rsidRDefault="00732C80" w:rsidP="00E37121">
      <w:pPr>
        <w:spacing w:after="120"/>
        <w:ind w:left="851"/>
        <w:rPr>
          <w:sz w:val="21"/>
          <w:szCs w:val="21"/>
        </w:rPr>
      </w:pPr>
      <w:r w:rsidRPr="00AE183D">
        <w:rPr>
          <w:sz w:val="21"/>
          <w:szCs w:val="21"/>
        </w:rPr>
        <w:t>We also ask the Panel to consider the following issues relating to the way the relevant authority has dealt with our representations:</w:t>
      </w:r>
    </w:p>
    <w:p w14:paraId="7D5AA727" w14:textId="77777777" w:rsidR="00732C80" w:rsidRDefault="00732C80" w:rsidP="00E37121">
      <w:pPr>
        <w:pStyle w:val="ListParagraph"/>
        <w:numPr>
          <w:ilvl w:val="0"/>
          <w:numId w:val="11"/>
        </w:numPr>
        <w:spacing w:after="120"/>
        <w:ind w:left="1570" w:hanging="357"/>
        <w:contextualSpacing w:val="0"/>
        <w:rPr>
          <w:sz w:val="21"/>
          <w:szCs w:val="21"/>
        </w:rPr>
      </w:pPr>
      <w:r w:rsidRPr="00A73D6C">
        <w:rPr>
          <w:sz w:val="21"/>
          <w:szCs w:val="21"/>
        </w:rPr>
        <w:t>In our representation letter of 20 May 2025, we requested information and documents from the relevant authority. The relevant authority sought clarification from us regarding those requests on 28 May 2025 and we responded on 3 June 2025 to confirm that we were requesting provision of documents. However, we only received the relevant authority’s response to our request for provision of information and documents on 20 June 2025 (including a copy of its regulation 24 records), as part of the notice from the relevant authority of its further decision following its review. We consider that this was a breach of the relevant authority’s duty, under regulation 12(4)(b) of the PSR to provide promptly information requested by us where the relevant authority had a duty to record the information under regulation 24.</w:t>
      </w:r>
    </w:p>
    <w:p w14:paraId="19CB7DE7" w14:textId="77777777" w:rsidR="00732C80" w:rsidRPr="00A73D6C" w:rsidRDefault="00732C80" w:rsidP="00BC66C7">
      <w:pPr>
        <w:pStyle w:val="ListParagraph"/>
        <w:numPr>
          <w:ilvl w:val="0"/>
          <w:numId w:val="11"/>
        </w:numPr>
        <w:ind w:left="1570" w:hanging="357"/>
        <w:contextualSpacing w:val="0"/>
        <w:rPr>
          <w:sz w:val="21"/>
          <w:szCs w:val="21"/>
        </w:rPr>
      </w:pPr>
      <w:r w:rsidRPr="00A73D6C">
        <w:rPr>
          <w:sz w:val="21"/>
          <w:szCs w:val="21"/>
        </w:rPr>
        <w:t>The tone of the relevant authority’s internal review panel’s findings leads us to the view that the review has not been conducted as an impartial review of our genuinely held concerns regarding the procurement of a service which, ultimately, is important to service users who cannot raise the concerns themselves. We find the tone of the independent review panel’s reported findings to be aggressive and contentious in places.”</w:t>
      </w:r>
    </w:p>
    <w:p w14:paraId="7904AE47" w14:textId="476EF393" w:rsidR="00DA200D" w:rsidRDefault="00DA200D" w:rsidP="00DA200D">
      <w:pPr>
        <w:pStyle w:val="Heading1"/>
      </w:pPr>
      <w:bookmarkStart w:id="16" w:name="_Toc209611773"/>
      <w:r>
        <w:t>PSR regulations relevant to this review</w:t>
      </w:r>
      <w:bookmarkEnd w:id="16"/>
    </w:p>
    <w:p w14:paraId="2C8EEAAE" w14:textId="3D2C39F6" w:rsidR="00DA200D" w:rsidRDefault="00236F9E" w:rsidP="00BA6D1D">
      <w:pPr>
        <w:pStyle w:val="ListParagraph"/>
        <w:numPr>
          <w:ilvl w:val="0"/>
          <w:numId w:val="1"/>
        </w:numPr>
        <w:spacing w:line="276" w:lineRule="auto"/>
        <w:contextualSpacing w:val="0"/>
      </w:pPr>
      <w:r>
        <w:t xml:space="preserve">In its representations to the Panel, </w:t>
      </w:r>
      <w:r w:rsidR="00A14488">
        <w:t>MPFT</w:t>
      </w:r>
      <w:r>
        <w:t xml:space="preserve"> suggested that </w:t>
      </w:r>
      <w:r w:rsidR="00A14488">
        <w:t>MSE ICB</w:t>
      </w:r>
      <w:r>
        <w:t xml:space="preserve"> breached the PSR regulations in relation to </w:t>
      </w:r>
      <w:r w:rsidR="00A14488">
        <w:t>the general requirements on commissioners</w:t>
      </w:r>
      <w:r w:rsidR="002D4F47">
        <w:t xml:space="preserve"> (as set out in Regulation</w:t>
      </w:r>
      <w:r w:rsidR="00A14488">
        <w:t xml:space="preserve"> 4</w:t>
      </w:r>
      <w:r w:rsidR="00247071">
        <w:t>)</w:t>
      </w:r>
      <w:r w:rsidR="00A14488">
        <w:t xml:space="preserve">, </w:t>
      </w:r>
      <w:r w:rsidR="00850084">
        <w:t xml:space="preserve">the application of basic and key criteria (as set out in Regulation 5), and the </w:t>
      </w:r>
      <w:r w:rsidR="00502319">
        <w:t>record</w:t>
      </w:r>
      <w:r w:rsidR="00850084">
        <w:t>keep</w:t>
      </w:r>
      <w:r w:rsidR="00502319">
        <w:t xml:space="preserve">ing obligations </w:t>
      </w:r>
      <w:r w:rsidR="00850084">
        <w:t>set out in Regulation 24.</w:t>
      </w:r>
    </w:p>
    <w:p w14:paraId="7A82510A" w14:textId="7E299E65" w:rsidR="00950BA0" w:rsidRDefault="00950BA0" w:rsidP="00BA6D1D">
      <w:pPr>
        <w:pStyle w:val="ListParagraph"/>
        <w:numPr>
          <w:ilvl w:val="0"/>
          <w:numId w:val="1"/>
        </w:numPr>
        <w:spacing w:line="276" w:lineRule="auto"/>
        <w:contextualSpacing w:val="0"/>
      </w:pPr>
      <w:r>
        <w:t xml:space="preserve">EPUT’s representations additionally suggested that MSE ICB breached the PSR regulations in relation to the processes to be followed (as set out in Regulation 6), the steps that commissioners must follow when using the competitive </w:t>
      </w:r>
      <w:r w:rsidRPr="00676D55">
        <w:t>process (as set out in Regulation</w:t>
      </w:r>
      <w:r>
        <w:t xml:space="preserve"> 11</w:t>
      </w:r>
      <w:r w:rsidRPr="0088110E">
        <w:t>),</w:t>
      </w:r>
      <w:r w:rsidR="00731B2C">
        <w:t xml:space="preserve"> and</w:t>
      </w:r>
      <w:r w:rsidRPr="0088110E">
        <w:t xml:space="preserve"> the requirements in relation to responding to representations (as set out in Regulation 12)</w:t>
      </w:r>
      <w:r>
        <w:t>.</w:t>
      </w:r>
    </w:p>
    <w:p w14:paraId="0D8F02B1" w14:textId="6EEBCD7E" w:rsidR="00247071" w:rsidRDefault="00247071" w:rsidP="00BC66C7">
      <w:pPr>
        <w:pStyle w:val="ListParagraph"/>
        <w:numPr>
          <w:ilvl w:val="0"/>
          <w:numId w:val="1"/>
        </w:numPr>
        <w:spacing w:after="120" w:line="276" w:lineRule="auto"/>
        <w:contextualSpacing w:val="0"/>
      </w:pPr>
      <w:r>
        <w:t>Th</w:t>
      </w:r>
      <w:r w:rsidR="00F10B64">
        <w:t xml:space="preserve">e relevant </w:t>
      </w:r>
      <w:r>
        <w:t>parts of the</w:t>
      </w:r>
      <w:r w:rsidR="00F10B64">
        <w:t>se</w:t>
      </w:r>
      <w:r>
        <w:t xml:space="preserve"> PSR regulations are set out below:</w:t>
      </w:r>
    </w:p>
    <w:p w14:paraId="13D79861" w14:textId="77777777" w:rsidR="000B718E" w:rsidRPr="007B026E" w:rsidRDefault="000B718E" w:rsidP="00BC66C7">
      <w:pPr>
        <w:pStyle w:val="ListParagraph"/>
        <w:numPr>
          <w:ilvl w:val="0"/>
          <w:numId w:val="12"/>
        </w:numPr>
        <w:spacing w:after="120" w:line="276" w:lineRule="auto"/>
        <w:ind w:left="1077" w:hanging="357"/>
        <w:contextualSpacing w:val="0"/>
        <w:rPr>
          <w:sz w:val="21"/>
          <w:szCs w:val="21"/>
        </w:rPr>
      </w:pPr>
      <w:r w:rsidRPr="007B026E">
        <w:rPr>
          <w:sz w:val="21"/>
          <w:szCs w:val="21"/>
        </w:rPr>
        <w:t xml:space="preserve">Regulation 4 sets out the general requirements on relevant authorities (i.e. commissioners) when selecting a provider of health care services. This states that relevant authorities “must act – (a) with a view to (i) securing the needs of the people </w:t>
      </w:r>
      <w:r w:rsidRPr="007B026E">
        <w:rPr>
          <w:sz w:val="21"/>
          <w:szCs w:val="21"/>
        </w:rPr>
        <w:lastRenderedPageBreak/>
        <w:t>who use the services; (ii) improving the quality of the services, and; (iii) improving the efficiency in the provision of the services; and (b) transparently, fairly and proportionately”.</w:t>
      </w:r>
    </w:p>
    <w:p w14:paraId="50FD6BDF" w14:textId="77777777" w:rsidR="000B718E" w:rsidRPr="007B026E" w:rsidRDefault="000B718E" w:rsidP="00BC66C7">
      <w:pPr>
        <w:pStyle w:val="ListParagraph"/>
        <w:numPr>
          <w:ilvl w:val="0"/>
          <w:numId w:val="12"/>
        </w:numPr>
        <w:spacing w:after="120" w:line="276" w:lineRule="auto"/>
        <w:ind w:left="1077" w:hanging="357"/>
        <w:contextualSpacing w:val="0"/>
        <w:rPr>
          <w:sz w:val="21"/>
          <w:szCs w:val="21"/>
        </w:rPr>
      </w:pPr>
      <w:r w:rsidRPr="007B026E">
        <w:rPr>
          <w:sz w:val="21"/>
          <w:szCs w:val="21"/>
        </w:rPr>
        <w:t>Regulation 5 sets out the key criteria which a commissioner must consider when procuring relevant health care services. The five key criteria are: (a) quality and innovation; (b) value; (c) integration, collaboration and service sustainability; (d) improving access, reducing health inequalities and facilitating choice; and (e) social value.</w:t>
      </w:r>
    </w:p>
    <w:p w14:paraId="496CBF75" w14:textId="4A5B5684" w:rsidR="008A4244" w:rsidRPr="007B026E" w:rsidRDefault="008A4244" w:rsidP="00BC66C7">
      <w:pPr>
        <w:pStyle w:val="ListParagraph"/>
        <w:numPr>
          <w:ilvl w:val="0"/>
          <w:numId w:val="12"/>
        </w:numPr>
        <w:spacing w:after="120"/>
        <w:contextualSpacing w:val="0"/>
        <w:rPr>
          <w:sz w:val="21"/>
          <w:szCs w:val="21"/>
        </w:rPr>
      </w:pPr>
      <w:r w:rsidRPr="007B026E">
        <w:rPr>
          <w:sz w:val="21"/>
          <w:szCs w:val="21"/>
        </w:rPr>
        <w:t>Regulation 6 sets out the appropriate process a relevant authority must follow when procuring a relevant health care service to which the PSR regulations apply. This states that “(7) Where (a) the relevant authority is not required to follow Direct Award Process A or Direct Award Process B, and (b) neither paragraph (5) nor (6) applies</w:t>
      </w:r>
      <w:r w:rsidR="001276F8">
        <w:rPr>
          <w:sz w:val="21"/>
          <w:szCs w:val="21"/>
        </w:rPr>
        <w:t>,</w:t>
      </w:r>
      <w:r w:rsidRPr="007B026E">
        <w:rPr>
          <w:rStyle w:val="FootnoteReference"/>
          <w:sz w:val="21"/>
          <w:szCs w:val="21"/>
        </w:rPr>
        <w:footnoteReference w:id="23"/>
      </w:r>
      <w:r w:rsidRPr="007B026E">
        <w:rPr>
          <w:sz w:val="21"/>
          <w:szCs w:val="21"/>
        </w:rPr>
        <w:t xml:space="preserve"> the relevant authority must follow the Competitive Process.”</w:t>
      </w:r>
    </w:p>
    <w:p w14:paraId="6BF9BDC6" w14:textId="77777777" w:rsidR="008A4244" w:rsidRPr="007B026E" w:rsidRDefault="008A4244" w:rsidP="00BC66C7">
      <w:pPr>
        <w:pStyle w:val="ListParagraph"/>
        <w:numPr>
          <w:ilvl w:val="0"/>
          <w:numId w:val="12"/>
        </w:numPr>
        <w:spacing w:after="120"/>
        <w:contextualSpacing w:val="0"/>
        <w:rPr>
          <w:sz w:val="21"/>
          <w:szCs w:val="21"/>
        </w:rPr>
      </w:pPr>
      <w:r w:rsidRPr="007B026E">
        <w:rPr>
          <w:sz w:val="21"/>
          <w:szCs w:val="21"/>
        </w:rPr>
        <w:t xml:space="preserve">Regulation 11 sets out the obligations that apply to commissioners when following the competitive process. It states that “(1) Where the relevant authority follows the Competitive Process, the process is that the relevant authority follows the steps set out in this regulation ... (5) Step 3 is that the relevant authority assesses any offers received in accordance with the contract or framework award criteria ...” </w:t>
      </w:r>
    </w:p>
    <w:p w14:paraId="66F23FB3" w14:textId="77777777" w:rsidR="008A4244" w:rsidRPr="007B026E" w:rsidRDefault="008A4244" w:rsidP="00BC66C7">
      <w:pPr>
        <w:pStyle w:val="ListParagraph"/>
        <w:numPr>
          <w:ilvl w:val="0"/>
          <w:numId w:val="12"/>
        </w:numPr>
        <w:spacing w:after="120" w:line="276" w:lineRule="auto"/>
        <w:contextualSpacing w:val="0"/>
        <w:rPr>
          <w:sz w:val="21"/>
          <w:szCs w:val="21"/>
        </w:rPr>
      </w:pPr>
      <w:r w:rsidRPr="007B026E">
        <w:rPr>
          <w:sz w:val="21"/>
          <w:szCs w:val="21"/>
        </w:rPr>
        <w:t>Regulation 12 sets out the requirements on commissioners in relation to the standstill period after a contract award decision. It states that “(4) Where the relevant authority receives representations [during the standstill period], it must … (b) provide promptly any information requested by an aggrieved provider where the relevant authority has a duty to record that information under regulation 24 (information requirements) …”</w:t>
      </w:r>
    </w:p>
    <w:p w14:paraId="57D4F248" w14:textId="12E51157" w:rsidR="00AA101D" w:rsidRPr="007B026E" w:rsidRDefault="00FB102C" w:rsidP="00E37121">
      <w:pPr>
        <w:pStyle w:val="ListParagraph"/>
        <w:numPr>
          <w:ilvl w:val="0"/>
          <w:numId w:val="12"/>
        </w:numPr>
        <w:spacing w:line="276" w:lineRule="auto"/>
        <w:ind w:left="1077" w:hanging="357"/>
        <w:contextualSpacing w:val="0"/>
        <w:rPr>
          <w:sz w:val="21"/>
          <w:szCs w:val="21"/>
        </w:rPr>
      </w:pPr>
      <w:r w:rsidRPr="007B026E">
        <w:rPr>
          <w:sz w:val="21"/>
          <w:szCs w:val="21"/>
        </w:rPr>
        <w:t xml:space="preserve">Regulation 24 sets out the information that must be recorded by commissioners. This </w:t>
      </w:r>
      <w:r w:rsidRPr="00141863">
        <w:rPr>
          <w:sz w:val="21"/>
          <w:szCs w:val="21"/>
        </w:rPr>
        <w:t>includes “… (d) the decision-making process followed, including the identity of individuals making decisions … (f) where the competitive process was followed, a description of the way in which the key criteria were taken into account, the basic selection criteria were assessed and contract or framework award criteria were evaluated when making a decision; (g) the reasons for decisions made under these Regulations</w:t>
      </w:r>
      <w:r w:rsidR="0084624F" w:rsidRPr="00141863">
        <w:rPr>
          <w:sz w:val="21"/>
          <w:szCs w:val="21"/>
        </w:rPr>
        <w:t xml:space="preserve"> </w:t>
      </w:r>
      <w:r w:rsidRPr="00141863">
        <w:rPr>
          <w:sz w:val="21"/>
          <w:szCs w:val="21"/>
        </w:rPr>
        <w:t>…”.</w:t>
      </w:r>
    </w:p>
    <w:p w14:paraId="173BBE07" w14:textId="42DACC45" w:rsidR="00247071" w:rsidRPr="008B410D" w:rsidRDefault="00247071" w:rsidP="00BC66C7">
      <w:pPr>
        <w:pStyle w:val="ListParagraph"/>
        <w:numPr>
          <w:ilvl w:val="0"/>
          <w:numId w:val="1"/>
        </w:numPr>
        <w:spacing w:after="120" w:line="276" w:lineRule="auto"/>
        <w:contextualSpacing w:val="0"/>
      </w:pPr>
      <w:r>
        <w:t xml:space="preserve">The Provider Selection Regime </w:t>
      </w:r>
      <w:r w:rsidR="00800E55">
        <w:t>Statutory Guidance “sits along the Regulations to support organisations to understand and interpret the PSR regulations”.</w:t>
      </w:r>
      <w:r w:rsidR="001A2DB4">
        <w:rPr>
          <w:rStyle w:val="FootnoteReference"/>
        </w:rPr>
        <w:footnoteReference w:id="24"/>
      </w:r>
      <w:r w:rsidR="00800E55">
        <w:t xml:space="preserve"> Reference is made to relevant provisions of the Statutory Guidance in the Panel’s assessment of the issues in Section 7</w:t>
      </w:r>
      <w:r w:rsidR="001A2DB4">
        <w:t>.</w:t>
      </w:r>
      <w:r w:rsidR="001A2DB4">
        <w:rPr>
          <w:rStyle w:val="FootnoteReference"/>
        </w:rPr>
        <w:footnoteReference w:id="25"/>
      </w:r>
    </w:p>
    <w:p w14:paraId="42FD0098" w14:textId="1C5B2080" w:rsidR="00DA200D" w:rsidRDefault="00DA200D" w:rsidP="00DA200D">
      <w:pPr>
        <w:pStyle w:val="Heading1"/>
      </w:pPr>
      <w:bookmarkStart w:id="17" w:name="_Toc209611774"/>
      <w:r>
        <w:t>Panel Assessment</w:t>
      </w:r>
      <w:bookmarkEnd w:id="17"/>
    </w:p>
    <w:p w14:paraId="02BABFC7" w14:textId="03265CB5" w:rsidR="00DA200D" w:rsidRDefault="00020FEE" w:rsidP="00BA6D1D">
      <w:pPr>
        <w:pStyle w:val="ListParagraph"/>
        <w:numPr>
          <w:ilvl w:val="0"/>
          <w:numId w:val="1"/>
        </w:numPr>
        <w:spacing w:line="276" w:lineRule="auto"/>
      </w:pPr>
      <w:r>
        <w:t xml:space="preserve">This section </w:t>
      </w:r>
      <w:r w:rsidR="00A93CEB">
        <w:t xml:space="preserve">sets out the Panel’s assessment of </w:t>
      </w:r>
      <w:r w:rsidR="00071862">
        <w:t>MPFT</w:t>
      </w:r>
      <w:r w:rsidR="00AD2ED6">
        <w:t>’s</w:t>
      </w:r>
      <w:r w:rsidR="00071862">
        <w:t xml:space="preserve"> and EPUT</w:t>
      </w:r>
      <w:r w:rsidR="00A93CEB">
        <w:t xml:space="preserve">’s representations on </w:t>
      </w:r>
      <w:r w:rsidR="00071862">
        <w:t>MSE ICB</w:t>
      </w:r>
      <w:r w:rsidR="00047ECE">
        <w:t xml:space="preserve">’s compliance </w:t>
      </w:r>
      <w:r w:rsidR="00A93CEB">
        <w:t xml:space="preserve">with the PSR regulations </w:t>
      </w:r>
      <w:r w:rsidR="00BF5CE0">
        <w:t>when</w:t>
      </w:r>
      <w:r w:rsidR="00A93CEB">
        <w:t>:</w:t>
      </w:r>
    </w:p>
    <w:p w14:paraId="3AF8D225" w14:textId="1205DA1F" w:rsidR="00A93CEB" w:rsidRDefault="00FE012B" w:rsidP="00BA6D1D">
      <w:pPr>
        <w:pStyle w:val="ListParagraph"/>
        <w:numPr>
          <w:ilvl w:val="0"/>
          <w:numId w:val="7"/>
        </w:numPr>
        <w:spacing w:line="276" w:lineRule="auto"/>
        <w:ind w:left="1077" w:hanging="357"/>
      </w:pPr>
      <w:r>
        <w:t>f</w:t>
      </w:r>
      <w:r w:rsidR="00A93CEB">
        <w:t xml:space="preserve">irst, </w:t>
      </w:r>
      <w:r w:rsidR="00FD5267">
        <w:t>deciding not</w:t>
      </w:r>
      <w:r w:rsidR="00644D69">
        <w:t xml:space="preserve"> to </w:t>
      </w:r>
      <w:r w:rsidR="00F01D7F">
        <w:t>shar</w:t>
      </w:r>
      <w:r w:rsidR="00644D69">
        <w:t>e</w:t>
      </w:r>
      <w:r w:rsidR="00752536">
        <w:t xml:space="preserve"> </w:t>
      </w:r>
      <w:r w:rsidR="00FB22F2">
        <w:t>the</w:t>
      </w:r>
      <w:r w:rsidR="00E657B0">
        <w:t xml:space="preserve"> </w:t>
      </w:r>
      <w:r w:rsidR="00C13B16">
        <w:t>Equality Impact Assessment (</w:t>
      </w:r>
      <w:r w:rsidR="00FB22F2">
        <w:t>EQIA</w:t>
      </w:r>
      <w:r w:rsidR="00C13B16">
        <w:t>)</w:t>
      </w:r>
      <w:r w:rsidR="00FB22F2">
        <w:t xml:space="preserve"> </w:t>
      </w:r>
      <w:r w:rsidR="00A66F8A">
        <w:t>with</w:t>
      </w:r>
      <w:r w:rsidR="00FB22F2">
        <w:t xml:space="preserve"> bidders</w:t>
      </w:r>
      <w:r w:rsidR="00A93CEB">
        <w:t xml:space="preserve"> (Section 7.1);</w:t>
      </w:r>
    </w:p>
    <w:p w14:paraId="164F5AEF" w14:textId="1A80CEEA" w:rsidR="00595EE9" w:rsidRDefault="00595EE9" w:rsidP="00595EE9">
      <w:pPr>
        <w:pStyle w:val="ListParagraph"/>
        <w:numPr>
          <w:ilvl w:val="0"/>
          <w:numId w:val="7"/>
        </w:numPr>
        <w:spacing w:line="276" w:lineRule="auto"/>
        <w:ind w:left="1077" w:hanging="357"/>
      </w:pPr>
      <w:r>
        <w:lastRenderedPageBreak/>
        <w:t xml:space="preserve">second, </w:t>
      </w:r>
      <w:r w:rsidR="00940A6D">
        <w:t xml:space="preserve">specifying </w:t>
      </w:r>
      <w:r w:rsidR="008B1B62">
        <w:t xml:space="preserve">the content of, and </w:t>
      </w:r>
      <w:r w:rsidR="00196F0F">
        <w:t>evaluati</w:t>
      </w:r>
      <w:r w:rsidR="0028465E">
        <w:t>ng</w:t>
      </w:r>
      <w:r w:rsidR="008B1B62">
        <w:t>,</w:t>
      </w:r>
      <w:r w:rsidR="0028465E">
        <w:t xml:space="preserve"> </w:t>
      </w:r>
      <w:r w:rsidR="008D000D">
        <w:t xml:space="preserve">bidders’ </w:t>
      </w:r>
      <w:r w:rsidR="00196F0F">
        <w:t xml:space="preserve">financial </w:t>
      </w:r>
      <w:r w:rsidR="003321AC">
        <w:t xml:space="preserve">proposals </w:t>
      </w:r>
      <w:r>
        <w:t>(Section</w:t>
      </w:r>
      <w:r w:rsidR="003321AC">
        <w:t> </w:t>
      </w:r>
      <w:r>
        <w:t>7.2);</w:t>
      </w:r>
    </w:p>
    <w:p w14:paraId="290E46BD" w14:textId="192F6431" w:rsidR="00A93CEB" w:rsidRDefault="00595EE9" w:rsidP="00BA6D1D">
      <w:pPr>
        <w:pStyle w:val="ListParagraph"/>
        <w:numPr>
          <w:ilvl w:val="0"/>
          <w:numId w:val="7"/>
        </w:numPr>
        <w:spacing w:line="276" w:lineRule="auto"/>
        <w:ind w:left="1077" w:hanging="357"/>
      </w:pPr>
      <w:r>
        <w:t>third</w:t>
      </w:r>
      <w:r w:rsidR="00A93CEB">
        <w:t xml:space="preserve">, </w:t>
      </w:r>
      <w:r w:rsidR="00A66F8A">
        <w:t>respon</w:t>
      </w:r>
      <w:r w:rsidR="0028465E">
        <w:t>ding</w:t>
      </w:r>
      <w:r w:rsidR="00A66F8A">
        <w:t xml:space="preserve"> to bidders’ </w:t>
      </w:r>
      <w:r w:rsidR="002E348B">
        <w:t>CQs</w:t>
      </w:r>
      <w:r w:rsidR="00A93CEB">
        <w:t xml:space="preserve"> (Section 7.</w:t>
      </w:r>
      <w:r>
        <w:t>3</w:t>
      </w:r>
      <w:r w:rsidR="00A93CEB">
        <w:t>);</w:t>
      </w:r>
    </w:p>
    <w:p w14:paraId="1508888C" w14:textId="276FF360" w:rsidR="00F65C40" w:rsidRDefault="00236B42" w:rsidP="00BA6D1D">
      <w:pPr>
        <w:pStyle w:val="ListParagraph"/>
        <w:numPr>
          <w:ilvl w:val="0"/>
          <w:numId w:val="7"/>
        </w:numPr>
        <w:spacing w:line="276" w:lineRule="auto"/>
        <w:ind w:left="1077" w:hanging="357"/>
      </w:pPr>
      <w:r>
        <w:t>fourth</w:t>
      </w:r>
      <w:r w:rsidR="001D76F2">
        <w:t>, evaluatin</w:t>
      </w:r>
      <w:r w:rsidR="00BF5CE0">
        <w:t>g</w:t>
      </w:r>
      <w:r w:rsidR="001D76F2">
        <w:t xml:space="preserve"> </w:t>
      </w:r>
      <w:r w:rsidR="00F2121B">
        <w:t xml:space="preserve">and scoring of </w:t>
      </w:r>
      <w:r w:rsidR="00434DC2">
        <w:t>EPUT’s</w:t>
      </w:r>
      <w:r w:rsidR="00F2121B">
        <w:t xml:space="preserve"> proposal (Section 7.4)</w:t>
      </w:r>
      <w:r>
        <w:t>;</w:t>
      </w:r>
      <w:r w:rsidR="00BC7AD3">
        <w:t xml:space="preserve"> and</w:t>
      </w:r>
    </w:p>
    <w:p w14:paraId="1E64F30C" w14:textId="1B6E5E32" w:rsidR="00EC52DA" w:rsidRPr="00713C41" w:rsidRDefault="00690E2C" w:rsidP="00BA6D1D">
      <w:pPr>
        <w:pStyle w:val="ListParagraph"/>
        <w:numPr>
          <w:ilvl w:val="0"/>
          <w:numId w:val="7"/>
        </w:numPr>
        <w:spacing w:line="276" w:lineRule="auto"/>
        <w:ind w:left="1077" w:hanging="357"/>
        <w:contextualSpacing w:val="0"/>
      </w:pPr>
      <w:r>
        <w:t>f</w:t>
      </w:r>
      <w:r w:rsidR="00EC52DA">
        <w:t xml:space="preserve">inally, </w:t>
      </w:r>
      <w:r w:rsidR="00BF5CE0">
        <w:t>review</w:t>
      </w:r>
      <w:r w:rsidR="004353F1">
        <w:t xml:space="preserve">ing </w:t>
      </w:r>
      <w:r w:rsidR="002254CF">
        <w:t xml:space="preserve">unsuccessful bidders’ </w:t>
      </w:r>
      <w:r w:rsidR="00D67664">
        <w:t xml:space="preserve">representations </w:t>
      </w:r>
      <w:r w:rsidR="00EC52DA" w:rsidRPr="00713C41">
        <w:t>(Section</w:t>
      </w:r>
      <w:r w:rsidR="002254CF">
        <w:t> </w:t>
      </w:r>
      <w:r w:rsidR="00EC52DA" w:rsidRPr="00713C41">
        <w:t>7.</w:t>
      </w:r>
      <w:r w:rsidR="00236B42">
        <w:t>5</w:t>
      </w:r>
      <w:r w:rsidR="00EC52DA" w:rsidRPr="00713C41">
        <w:t>).</w:t>
      </w:r>
    </w:p>
    <w:p w14:paraId="016200CB" w14:textId="6E357F07" w:rsidR="00306A7C" w:rsidRPr="003F65DC" w:rsidRDefault="00795F12" w:rsidP="00071862">
      <w:pPr>
        <w:pStyle w:val="Heading2"/>
        <w:spacing w:before="240" w:after="160"/>
        <w:ind w:left="578" w:hanging="578"/>
      </w:pPr>
      <w:bookmarkStart w:id="18" w:name="_Toc209611775"/>
      <w:r>
        <w:t>Sharing the E</w:t>
      </w:r>
      <w:r w:rsidR="00C13B16">
        <w:t xml:space="preserve">quality Impact Assessment </w:t>
      </w:r>
      <w:r>
        <w:t>with bidders</w:t>
      </w:r>
      <w:bookmarkEnd w:id="18"/>
    </w:p>
    <w:p w14:paraId="40DFA0FA" w14:textId="5B7AC0B6" w:rsidR="00262D04" w:rsidRPr="0015633D" w:rsidRDefault="00CD53C0" w:rsidP="00BA6D1D">
      <w:pPr>
        <w:pStyle w:val="ListParagraph"/>
        <w:numPr>
          <w:ilvl w:val="0"/>
          <w:numId w:val="1"/>
        </w:numPr>
        <w:spacing w:line="276" w:lineRule="auto"/>
        <w:contextualSpacing w:val="0"/>
      </w:pPr>
      <w:bookmarkStart w:id="19" w:name="_Hlk199240393"/>
      <w:r w:rsidRPr="0015633D">
        <w:t xml:space="preserve">This section sets out the Panel’s assessment of MPFT’s concerns about </w:t>
      </w:r>
      <w:r w:rsidR="0015633D" w:rsidRPr="0015633D">
        <w:t xml:space="preserve">MSE ICB’s refusal to share </w:t>
      </w:r>
      <w:r w:rsidR="004353F1" w:rsidRPr="0015633D">
        <w:t xml:space="preserve">with bidders </w:t>
      </w:r>
      <w:r w:rsidR="004353F1">
        <w:t>its</w:t>
      </w:r>
      <w:r w:rsidR="0015633D" w:rsidRPr="0015633D">
        <w:t xml:space="preserve"> </w:t>
      </w:r>
      <w:r w:rsidR="00347877">
        <w:t>Equality Impact Assessment (</w:t>
      </w:r>
      <w:r w:rsidR="0015633D" w:rsidRPr="0015633D">
        <w:t>EQIA</w:t>
      </w:r>
      <w:r w:rsidR="00347877">
        <w:t>)</w:t>
      </w:r>
      <w:r w:rsidR="0015633D" w:rsidRPr="0015633D">
        <w:t>.</w:t>
      </w:r>
    </w:p>
    <w:p w14:paraId="36D5296E" w14:textId="7D02B6A6" w:rsidR="0015633D" w:rsidRDefault="0015633D" w:rsidP="009C3153">
      <w:pPr>
        <w:pStyle w:val="ListParagraph"/>
        <w:numPr>
          <w:ilvl w:val="0"/>
          <w:numId w:val="1"/>
        </w:numPr>
        <w:spacing w:after="120" w:line="276" w:lineRule="auto"/>
        <w:contextualSpacing w:val="0"/>
      </w:pPr>
      <w:r w:rsidRPr="0015633D">
        <w:t>MPFT, in its representations to the Panel, said</w:t>
      </w:r>
      <w:r w:rsidR="007E6D2B">
        <w:t xml:space="preserve"> that </w:t>
      </w:r>
      <w:r w:rsidR="00347877">
        <w:t>MSE ICB’s</w:t>
      </w:r>
      <w:r w:rsidR="007E6D2B">
        <w:t xml:space="preserve"> refusal to share the </w:t>
      </w:r>
      <w:r w:rsidR="00347877">
        <w:t xml:space="preserve">EQIA with bidders </w:t>
      </w:r>
      <w:r w:rsidR="00CA64A2">
        <w:t>undermined its ability to submit a fully informed and compliant bid. More specifically, it said</w:t>
      </w:r>
      <w:r w:rsidR="000B1DC6">
        <w:t>:</w:t>
      </w:r>
    </w:p>
    <w:p w14:paraId="5CCEECE1" w14:textId="44D7A5FA" w:rsidR="00612FDB" w:rsidRPr="00D3426A" w:rsidRDefault="00612FDB" w:rsidP="00612FDB">
      <w:pPr>
        <w:spacing w:after="120"/>
        <w:ind w:left="851"/>
        <w:rPr>
          <w:sz w:val="21"/>
          <w:szCs w:val="21"/>
        </w:rPr>
      </w:pPr>
      <w:r>
        <w:rPr>
          <w:sz w:val="21"/>
          <w:szCs w:val="21"/>
        </w:rPr>
        <w:t>“</w:t>
      </w:r>
      <w:r w:rsidR="00CA64A2">
        <w:rPr>
          <w:sz w:val="21"/>
          <w:szCs w:val="21"/>
        </w:rPr>
        <w:t>MSE</w:t>
      </w:r>
      <w:r w:rsidRPr="00D3426A">
        <w:rPr>
          <w:sz w:val="21"/>
          <w:szCs w:val="21"/>
        </w:rPr>
        <w:t xml:space="preserve"> ICB’s failure to provide the Equality Impact Assessment (EQIA) has undermined our ability (and possibly that of other bidders) to satisfy the needs of local people in the development of the service and for MPFT to submit a fully informed and compliant bid. </w:t>
      </w:r>
      <w:r w:rsidR="00CA64A2">
        <w:rPr>
          <w:sz w:val="21"/>
          <w:szCs w:val="21"/>
        </w:rPr>
        <w:t>MSE</w:t>
      </w:r>
      <w:r w:rsidRPr="00D3426A">
        <w:rPr>
          <w:sz w:val="21"/>
          <w:szCs w:val="21"/>
        </w:rPr>
        <w:t xml:space="preserve"> ICB has therefore failed to secure the needs of the people who use the services. </w:t>
      </w:r>
      <w:r w:rsidR="00CA64A2">
        <w:rPr>
          <w:sz w:val="21"/>
          <w:szCs w:val="21"/>
        </w:rPr>
        <w:t>MSE</w:t>
      </w:r>
      <w:r w:rsidRPr="00D3426A">
        <w:rPr>
          <w:sz w:val="21"/>
          <w:szCs w:val="21"/>
        </w:rPr>
        <w:t xml:space="preserve"> ICB has responded to the representations to say that it will not be disclosing the EQIA to the Trust. </w:t>
      </w:r>
      <w:r w:rsidR="00CA64A2">
        <w:rPr>
          <w:sz w:val="21"/>
          <w:szCs w:val="21"/>
        </w:rPr>
        <w:t>MSE</w:t>
      </w:r>
      <w:r w:rsidRPr="00D3426A">
        <w:rPr>
          <w:sz w:val="21"/>
          <w:szCs w:val="21"/>
        </w:rPr>
        <w:t xml:space="preserve"> ICB considers that all of the information detailed within the EQIA is set out within the Services Specification. </w:t>
      </w:r>
      <w:r w:rsidR="00CA64A2">
        <w:rPr>
          <w:sz w:val="21"/>
          <w:szCs w:val="21"/>
        </w:rPr>
        <w:t>MPFT</w:t>
      </w:r>
      <w:r w:rsidRPr="00D3426A">
        <w:rPr>
          <w:sz w:val="21"/>
          <w:szCs w:val="21"/>
        </w:rPr>
        <w:t xml:space="preserve"> maintains its position that failure to disclose the EQIA prevented the Trust from submitting a fully informed and compliant bid and </w:t>
      </w:r>
      <w:r w:rsidR="00CA64A2">
        <w:rPr>
          <w:sz w:val="21"/>
          <w:szCs w:val="21"/>
        </w:rPr>
        <w:t>MSE</w:t>
      </w:r>
      <w:r w:rsidRPr="00D3426A">
        <w:rPr>
          <w:sz w:val="21"/>
          <w:szCs w:val="21"/>
        </w:rPr>
        <w:t xml:space="preserve"> ICB therefore failed to secure the needs of the people using the services.</w:t>
      </w:r>
    </w:p>
    <w:p w14:paraId="09625081" w14:textId="29CFA91D" w:rsidR="00612FDB" w:rsidRPr="00D3426A" w:rsidRDefault="00612FDB" w:rsidP="00612FDB">
      <w:pPr>
        <w:ind w:left="851"/>
        <w:rPr>
          <w:sz w:val="21"/>
          <w:szCs w:val="21"/>
        </w:rPr>
      </w:pPr>
      <w:r>
        <w:rPr>
          <w:sz w:val="21"/>
          <w:szCs w:val="21"/>
        </w:rPr>
        <w:t>“</w:t>
      </w:r>
      <w:r w:rsidRPr="00D3426A">
        <w:rPr>
          <w:sz w:val="21"/>
          <w:szCs w:val="21"/>
        </w:rPr>
        <w:t xml:space="preserve">The Panel should note that </w:t>
      </w:r>
      <w:r w:rsidR="00CA64A2">
        <w:rPr>
          <w:sz w:val="21"/>
          <w:szCs w:val="21"/>
        </w:rPr>
        <w:t>MSE</w:t>
      </w:r>
      <w:r w:rsidRPr="00D3426A">
        <w:rPr>
          <w:sz w:val="21"/>
          <w:szCs w:val="21"/>
        </w:rPr>
        <w:t xml:space="preserve"> ICB previously disclosed the EQIA documents under a previous failed procurement (which was set out in the ICB’s independent review report). </w:t>
      </w:r>
      <w:r w:rsidR="00CA64A2">
        <w:rPr>
          <w:sz w:val="21"/>
          <w:szCs w:val="21"/>
        </w:rPr>
        <w:t>MPFT</w:t>
      </w:r>
      <w:r w:rsidRPr="00D3426A">
        <w:rPr>
          <w:sz w:val="21"/>
          <w:szCs w:val="21"/>
        </w:rPr>
        <w:t xml:space="preserve"> therefore considers the resolution of this Representation to be outstanding</w:t>
      </w:r>
      <w:r>
        <w:rPr>
          <w:sz w:val="21"/>
          <w:szCs w:val="21"/>
        </w:rPr>
        <w:t xml:space="preserve">” (see paragraph </w:t>
      </w:r>
      <w:r>
        <w:rPr>
          <w:sz w:val="21"/>
          <w:szCs w:val="21"/>
        </w:rPr>
        <w:fldChar w:fldCharType="begin"/>
      </w:r>
      <w:r>
        <w:rPr>
          <w:sz w:val="21"/>
          <w:szCs w:val="21"/>
        </w:rPr>
        <w:instrText xml:space="preserve"> REF _Ref204603238 \r \h </w:instrText>
      </w:r>
      <w:r>
        <w:rPr>
          <w:sz w:val="21"/>
          <w:szCs w:val="21"/>
        </w:rPr>
      </w:r>
      <w:r>
        <w:rPr>
          <w:sz w:val="21"/>
          <w:szCs w:val="21"/>
        </w:rPr>
        <w:fldChar w:fldCharType="separate"/>
      </w:r>
      <w:r w:rsidR="00437D90">
        <w:rPr>
          <w:sz w:val="21"/>
          <w:szCs w:val="21"/>
        </w:rPr>
        <w:t>49</w:t>
      </w:r>
      <w:r>
        <w:rPr>
          <w:sz w:val="21"/>
          <w:szCs w:val="21"/>
        </w:rPr>
        <w:fldChar w:fldCharType="end"/>
      </w:r>
      <w:r>
        <w:rPr>
          <w:sz w:val="21"/>
          <w:szCs w:val="21"/>
        </w:rPr>
        <w:t>).</w:t>
      </w:r>
      <w:r w:rsidR="00BC5B19">
        <w:rPr>
          <w:rStyle w:val="FootnoteReference"/>
          <w:rFonts w:cs="Arial"/>
          <w:sz w:val="21"/>
          <w:szCs w:val="21"/>
        </w:rPr>
        <w:footnoteReference w:id="26"/>
      </w:r>
    </w:p>
    <w:p w14:paraId="451F80CB" w14:textId="0C0F2DC7" w:rsidR="00E05460" w:rsidRDefault="00E35B11" w:rsidP="00BA6D1D">
      <w:pPr>
        <w:pStyle w:val="ListParagraph"/>
        <w:numPr>
          <w:ilvl w:val="0"/>
          <w:numId w:val="1"/>
        </w:numPr>
        <w:spacing w:after="120" w:line="276" w:lineRule="auto"/>
        <w:contextualSpacing w:val="0"/>
      </w:pPr>
      <w:r w:rsidRPr="003614C4">
        <w:t xml:space="preserve">MSE ICB, in responding to </w:t>
      </w:r>
      <w:r w:rsidR="003614C4" w:rsidRPr="003614C4">
        <w:t xml:space="preserve">MPFT’s representations </w:t>
      </w:r>
      <w:r w:rsidR="0061753F">
        <w:t xml:space="preserve">immediately </w:t>
      </w:r>
      <w:r w:rsidR="004C72EB">
        <w:t>following the provider selection process</w:t>
      </w:r>
      <w:r w:rsidR="003A34B0">
        <w:t>, reported the findings of its internal review panel, which</w:t>
      </w:r>
      <w:r w:rsidR="009B56CB">
        <w:t xml:space="preserve"> (in part)</w:t>
      </w:r>
      <w:r w:rsidR="003614C4" w:rsidRPr="003614C4">
        <w:t xml:space="preserve"> said:</w:t>
      </w:r>
    </w:p>
    <w:p w14:paraId="5D36F39F" w14:textId="3266EC0E" w:rsidR="00580D56" w:rsidRPr="001D653B" w:rsidRDefault="00580D56" w:rsidP="006A0111">
      <w:pPr>
        <w:spacing w:after="120"/>
        <w:ind w:left="851"/>
        <w:rPr>
          <w:rFonts w:cs="Arial"/>
          <w:sz w:val="21"/>
          <w:szCs w:val="21"/>
        </w:rPr>
      </w:pPr>
      <w:r w:rsidRPr="001D653B">
        <w:rPr>
          <w:rFonts w:cs="Arial"/>
          <w:sz w:val="21"/>
          <w:szCs w:val="21"/>
        </w:rPr>
        <w:t>“</w:t>
      </w:r>
      <w:r w:rsidR="003A34B0">
        <w:rPr>
          <w:rFonts w:cs="Arial"/>
          <w:sz w:val="21"/>
          <w:szCs w:val="21"/>
        </w:rPr>
        <w:t>MSE ICB</w:t>
      </w:r>
      <w:r w:rsidRPr="001D653B">
        <w:rPr>
          <w:rFonts w:cs="Arial"/>
          <w:sz w:val="21"/>
          <w:szCs w:val="21"/>
        </w:rPr>
        <w:t xml:space="preserve"> asserted that the key findings, considerations, and outcomes of the EQIA were fully reflected within the published Service Specification, which was made available to all Bidders as part of the procurement documentation suite from the outset of the publication of this Competitive Tender Process. </w:t>
      </w:r>
      <w:r w:rsidR="003A34B0">
        <w:rPr>
          <w:rFonts w:cs="Arial"/>
          <w:sz w:val="21"/>
          <w:szCs w:val="21"/>
        </w:rPr>
        <w:t>MSE ICB</w:t>
      </w:r>
      <w:r w:rsidR="003A34B0" w:rsidRPr="001D653B">
        <w:rPr>
          <w:rFonts w:cs="Arial"/>
          <w:sz w:val="21"/>
          <w:szCs w:val="21"/>
        </w:rPr>
        <w:t xml:space="preserve"> </w:t>
      </w:r>
      <w:r w:rsidRPr="001D653B">
        <w:rPr>
          <w:rFonts w:cs="Arial"/>
          <w:sz w:val="21"/>
          <w:szCs w:val="21"/>
        </w:rPr>
        <w:t xml:space="preserve">did not share privileged, internal governance documents with Bidders. </w:t>
      </w:r>
      <w:r w:rsidR="003A34B0">
        <w:rPr>
          <w:rFonts w:cs="Arial"/>
          <w:sz w:val="21"/>
          <w:szCs w:val="21"/>
        </w:rPr>
        <w:t>MSE ICB</w:t>
      </w:r>
      <w:r w:rsidR="003A34B0" w:rsidRPr="001D653B">
        <w:rPr>
          <w:rFonts w:cs="Arial"/>
          <w:sz w:val="21"/>
          <w:szCs w:val="21"/>
        </w:rPr>
        <w:t xml:space="preserve"> </w:t>
      </w:r>
      <w:r w:rsidRPr="001D653B">
        <w:rPr>
          <w:rFonts w:cs="Arial"/>
          <w:sz w:val="21"/>
          <w:szCs w:val="21"/>
        </w:rPr>
        <w:t xml:space="preserve">notes that this Competitive Process was not conducted in the same way as the previous non-competitive, MSP process, in which MPFT had been a key delivery partner as part of the ‘Provider Collaborative’ and had previously been given access to the </w:t>
      </w:r>
      <w:r w:rsidR="005B4600">
        <w:rPr>
          <w:rFonts w:cs="Arial"/>
          <w:sz w:val="21"/>
          <w:szCs w:val="21"/>
        </w:rPr>
        <w:t>MSE ICB’s</w:t>
      </w:r>
      <w:r w:rsidR="005B4600" w:rsidRPr="001D653B">
        <w:rPr>
          <w:rFonts w:cs="Arial"/>
          <w:sz w:val="21"/>
          <w:szCs w:val="21"/>
        </w:rPr>
        <w:t xml:space="preserve"> </w:t>
      </w:r>
      <w:r w:rsidRPr="001D653B">
        <w:rPr>
          <w:rFonts w:cs="Arial"/>
          <w:sz w:val="21"/>
          <w:szCs w:val="21"/>
        </w:rPr>
        <w:t>internal governance documentation.</w:t>
      </w:r>
    </w:p>
    <w:p w14:paraId="2A0D228F" w14:textId="02213DA1" w:rsidR="006A0111" w:rsidRPr="00707000" w:rsidRDefault="00580D56" w:rsidP="00D32228">
      <w:pPr>
        <w:ind w:left="851"/>
        <w:rPr>
          <w:rFonts w:cs="Arial"/>
          <w:sz w:val="21"/>
          <w:szCs w:val="21"/>
        </w:rPr>
      </w:pPr>
      <w:r w:rsidRPr="001D653B">
        <w:rPr>
          <w:rFonts w:cs="Arial"/>
          <w:sz w:val="21"/>
          <w:szCs w:val="21"/>
        </w:rPr>
        <w:t xml:space="preserve">“The EQIA documents and assessments were primarily for internal decision making within </w:t>
      </w:r>
      <w:r w:rsidR="005B4600">
        <w:rPr>
          <w:rFonts w:cs="Arial"/>
          <w:sz w:val="21"/>
          <w:szCs w:val="21"/>
        </w:rPr>
        <w:t>MSE ICB</w:t>
      </w:r>
      <w:r w:rsidRPr="001D653B">
        <w:rPr>
          <w:rFonts w:cs="Arial"/>
          <w:sz w:val="21"/>
          <w:szCs w:val="21"/>
        </w:rPr>
        <w:t xml:space="preserve">. </w:t>
      </w:r>
      <w:r w:rsidR="005B4600">
        <w:rPr>
          <w:rFonts w:cs="Arial"/>
          <w:sz w:val="21"/>
          <w:szCs w:val="21"/>
        </w:rPr>
        <w:t>MSE ICB</w:t>
      </w:r>
      <w:r w:rsidR="005B4600" w:rsidRPr="001D653B">
        <w:rPr>
          <w:rFonts w:cs="Arial"/>
          <w:sz w:val="21"/>
          <w:szCs w:val="21"/>
        </w:rPr>
        <w:t xml:space="preserve"> </w:t>
      </w:r>
      <w:r w:rsidRPr="001D653B">
        <w:rPr>
          <w:rFonts w:cs="Arial"/>
          <w:sz w:val="21"/>
          <w:szCs w:val="21"/>
        </w:rPr>
        <w:t>did not find it necessary to share the EQIA document with Bidders because the Service Specification captured all relevant and pertinent information for the requirements of this service and the Service Specification had been shared alongside all other relevant procurement documentation in the first instance.</w:t>
      </w:r>
      <w:r w:rsidR="006A0111" w:rsidRPr="00707000">
        <w:rPr>
          <w:rFonts w:cs="Arial"/>
          <w:sz w:val="21"/>
          <w:szCs w:val="21"/>
        </w:rPr>
        <w:t>”</w:t>
      </w:r>
    </w:p>
    <w:p w14:paraId="678BCFE6" w14:textId="58B282B4" w:rsidR="00E05460" w:rsidRPr="00F46EB8" w:rsidRDefault="00D32228" w:rsidP="00BA6D1D">
      <w:pPr>
        <w:pStyle w:val="ListParagraph"/>
        <w:numPr>
          <w:ilvl w:val="0"/>
          <w:numId w:val="1"/>
        </w:numPr>
        <w:spacing w:line="276" w:lineRule="auto"/>
        <w:contextualSpacing w:val="0"/>
      </w:pPr>
      <w:r w:rsidRPr="00F46EB8">
        <w:lastRenderedPageBreak/>
        <w:t xml:space="preserve">The Panel notes that there is no specific requirement in the PSR regulations to share </w:t>
      </w:r>
      <w:r w:rsidR="00F46EB8" w:rsidRPr="00F46EB8">
        <w:t>an EQIA with bidders</w:t>
      </w:r>
      <w:r w:rsidR="001315B7">
        <w:t xml:space="preserve"> and, having reviewed the EQIA, the Panel </w:t>
      </w:r>
      <w:r w:rsidR="00E40334">
        <w:t>does not believe that it contains any information that</w:t>
      </w:r>
      <w:r w:rsidR="00CB79BE">
        <w:t xml:space="preserve"> went beyond the service specification in terms of potentially informing bidders’ proposals.</w:t>
      </w:r>
    </w:p>
    <w:p w14:paraId="2A5450DB" w14:textId="6DF1C902" w:rsidR="00E05460" w:rsidRPr="001E60B6" w:rsidRDefault="00387BEE" w:rsidP="00BA6D1D">
      <w:pPr>
        <w:pStyle w:val="ListParagraph"/>
        <w:numPr>
          <w:ilvl w:val="0"/>
          <w:numId w:val="1"/>
        </w:numPr>
        <w:spacing w:line="276" w:lineRule="auto"/>
        <w:contextualSpacing w:val="0"/>
      </w:pPr>
      <w:r w:rsidRPr="001E60B6">
        <w:t>As a result, t</w:t>
      </w:r>
      <w:r w:rsidR="00E05460" w:rsidRPr="001E60B6">
        <w:t>he Panel finds that</w:t>
      </w:r>
      <w:r w:rsidRPr="001E60B6">
        <w:t xml:space="preserve"> MSE ICB, in deciding not to share the EQIA with bidders, did not breach the PSR regulations, and in particular its obligation</w:t>
      </w:r>
      <w:r w:rsidR="001E60B6" w:rsidRPr="001E60B6">
        <w:t>s under Regulation 4 to act transparently and fairly.</w:t>
      </w:r>
    </w:p>
    <w:p w14:paraId="40B150DC" w14:textId="759EFE05" w:rsidR="00933949" w:rsidRDefault="00D502DF" w:rsidP="00933949">
      <w:pPr>
        <w:pStyle w:val="Heading2"/>
        <w:spacing w:before="240" w:after="160"/>
        <w:ind w:left="578" w:hanging="578"/>
      </w:pPr>
      <w:bookmarkStart w:id="20" w:name="_Toc209611776"/>
      <w:bookmarkEnd w:id="19"/>
      <w:r>
        <w:t xml:space="preserve">Indicative </w:t>
      </w:r>
      <w:r w:rsidR="00C4644F">
        <w:t xml:space="preserve">staffing </w:t>
      </w:r>
      <w:r>
        <w:t>cost</w:t>
      </w:r>
      <w:r w:rsidR="00C4644F">
        <w:t>s</w:t>
      </w:r>
      <w:r>
        <w:t xml:space="preserve"> and </w:t>
      </w:r>
      <w:r w:rsidR="00A64008">
        <w:t xml:space="preserve">requirements </w:t>
      </w:r>
      <w:r w:rsidR="00B86D6B">
        <w:t xml:space="preserve">for </w:t>
      </w:r>
      <w:r w:rsidR="00043C5D">
        <w:t xml:space="preserve">bidders’ </w:t>
      </w:r>
      <w:r w:rsidR="00B86D6B">
        <w:t>present</w:t>
      </w:r>
      <w:r w:rsidR="00043C5D">
        <w:t xml:space="preserve">ation of </w:t>
      </w:r>
      <w:r w:rsidR="00B86D6B">
        <w:t>cost-related information</w:t>
      </w:r>
      <w:bookmarkEnd w:id="20"/>
    </w:p>
    <w:p w14:paraId="7C5EDD04" w14:textId="11C9EFB8" w:rsidR="00647E6D" w:rsidRDefault="00A63147" w:rsidP="00186D9F">
      <w:pPr>
        <w:pStyle w:val="ListParagraph"/>
        <w:numPr>
          <w:ilvl w:val="0"/>
          <w:numId w:val="1"/>
        </w:numPr>
        <w:spacing w:line="276" w:lineRule="auto"/>
      </w:pPr>
      <w:r>
        <w:t xml:space="preserve">This section sets out the Panel’s assessment of </w:t>
      </w:r>
      <w:r w:rsidR="009B0EAB">
        <w:t>MPFT</w:t>
      </w:r>
      <w:r w:rsidR="008D0CF7">
        <w:t>’s</w:t>
      </w:r>
      <w:r w:rsidR="009B0EAB">
        <w:t xml:space="preserve"> and EPUT</w:t>
      </w:r>
      <w:r w:rsidR="008D0CF7">
        <w:t>’s</w:t>
      </w:r>
      <w:r w:rsidR="00224A7C">
        <w:t xml:space="preserve"> </w:t>
      </w:r>
      <w:r w:rsidR="009B0EAB">
        <w:t xml:space="preserve">concerns </w:t>
      </w:r>
      <w:r w:rsidR="00C3062C">
        <w:t xml:space="preserve">about </w:t>
      </w:r>
      <w:r w:rsidR="009B0EAB">
        <w:t>MSE ICB</w:t>
      </w:r>
      <w:r w:rsidR="008102D0">
        <w:t xml:space="preserve">’s </w:t>
      </w:r>
      <w:r w:rsidR="006A7247">
        <w:t xml:space="preserve">provision of information on </w:t>
      </w:r>
      <w:r w:rsidR="00C70093">
        <w:t>indicative</w:t>
      </w:r>
      <w:r w:rsidR="007643D7">
        <w:t xml:space="preserve"> staffing costs for bidders, and its </w:t>
      </w:r>
      <w:r w:rsidR="00D601F1">
        <w:t>requirement</w:t>
      </w:r>
      <w:r w:rsidR="007643D7">
        <w:t>s</w:t>
      </w:r>
      <w:r w:rsidR="00D601F1">
        <w:t xml:space="preserve"> as </w:t>
      </w:r>
      <w:r w:rsidR="006B653D">
        <w:t xml:space="preserve">to </w:t>
      </w:r>
      <w:r w:rsidR="006A7247">
        <w:t xml:space="preserve">how </w:t>
      </w:r>
      <w:r w:rsidR="007643D7">
        <w:t xml:space="preserve">information </w:t>
      </w:r>
      <w:r w:rsidR="005D3857">
        <w:t xml:space="preserve">on </w:t>
      </w:r>
      <w:r w:rsidR="007643D7">
        <w:t xml:space="preserve">service delivery </w:t>
      </w:r>
      <w:r w:rsidR="00802BF1">
        <w:t xml:space="preserve">costs </w:t>
      </w:r>
      <w:r w:rsidR="005D3857">
        <w:t xml:space="preserve">should be presented </w:t>
      </w:r>
      <w:r w:rsidR="00224A7C">
        <w:t xml:space="preserve">in </w:t>
      </w:r>
      <w:r w:rsidR="00C70093">
        <w:t>bidders’</w:t>
      </w:r>
      <w:r w:rsidR="00224A7C">
        <w:t xml:space="preserve"> </w:t>
      </w:r>
      <w:r w:rsidR="002B1BEE">
        <w:t xml:space="preserve">financial </w:t>
      </w:r>
      <w:r w:rsidR="00E312D2">
        <w:t>proposals</w:t>
      </w:r>
      <w:r w:rsidR="00533308">
        <w:t>:</w:t>
      </w:r>
    </w:p>
    <w:p w14:paraId="0C35BA87" w14:textId="59F59452" w:rsidR="00276119" w:rsidRDefault="00DB7A61" w:rsidP="006C38A9">
      <w:pPr>
        <w:pStyle w:val="ListParagraph"/>
        <w:numPr>
          <w:ilvl w:val="0"/>
          <w:numId w:val="24"/>
        </w:numPr>
        <w:spacing w:line="276" w:lineRule="auto"/>
      </w:pPr>
      <w:r>
        <w:t>S</w:t>
      </w:r>
      <w:r w:rsidR="00472B14">
        <w:t xml:space="preserve">ection </w:t>
      </w:r>
      <w:r>
        <w:t xml:space="preserve">7.2.1 sets out </w:t>
      </w:r>
      <w:r w:rsidR="00276119">
        <w:t>MPFT’s and EPUT’s concerns;</w:t>
      </w:r>
    </w:p>
    <w:p w14:paraId="1F551F59" w14:textId="0CFF9481" w:rsidR="00B35D15" w:rsidRDefault="00DB7A61" w:rsidP="006C38A9">
      <w:pPr>
        <w:pStyle w:val="ListParagraph"/>
        <w:numPr>
          <w:ilvl w:val="0"/>
          <w:numId w:val="24"/>
        </w:numPr>
        <w:spacing w:line="276" w:lineRule="auto"/>
      </w:pPr>
      <w:r>
        <w:t>S</w:t>
      </w:r>
      <w:r w:rsidR="00472B14">
        <w:t xml:space="preserve">ection </w:t>
      </w:r>
      <w:r>
        <w:t>7.2.</w:t>
      </w:r>
      <w:r w:rsidR="00684A6A">
        <w:t>2</w:t>
      </w:r>
      <w:r>
        <w:t xml:space="preserve"> </w:t>
      </w:r>
      <w:r w:rsidR="00684A6A">
        <w:t xml:space="preserve">describes the </w:t>
      </w:r>
      <w:r w:rsidR="00D74E0F">
        <w:t>background to</w:t>
      </w:r>
      <w:r w:rsidR="00684A6A">
        <w:t xml:space="preserve"> MPFT’s and EPUT’s concerns</w:t>
      </w:r>
      <w:r w:rsidR="008073BF">
        <w:t>;</w:t>
      </w:r>
      <w:r w:rsidR="00276119">
        <w:t xml:space="preserve"> </w:t>
      </w:r>
      <w:r w:rsidR="00186D9F">
        <w:t>and</w:t>
      </w:r>
    </w:p>
    <w:p w14:paraId="6C130F7B" w14:textId="0B59EF0F" w:rsidR="00186D9F" w:rsidRDefault="00BE7143" w:rsidP="006C38A9">
      <w:pPr>
        <w:pStyle w:val="ListParagraph"/>
        <w:numPr>
          <w:ilvl w:val="0"/>
          <w:numId w:val="24"/>
        </w:numPr>
        <w:spacing w:line="276" w:lineRule="auto"/>
        <w:contextualSpacing w:val="0"/>
      </w:pPr>
      <w:r>
        <w:t xml:space="preserve">Section 7.2.3 sets out </w:t>
      </w:r>
      <w:r w:rsidR="00186D9F">
        <w:t>the Panel’s assessment.</w:t>
      </w:r>
    </w:p>
    <w:p w14:paraId="64195271" w14:textId="1434DC2F" w:rsidR="00B8305C" w:rsidRPr="007C423B" w:rsidRDefault="00212B05" w:rsidP="00B8305C">
      <w:pPr>
        <w:keepNext/>
        <w:spacing w:before="240" w:line="276" w:lineRule="auto"/>
        <w:rPr>
          <w:b/>
          <w:bCs/>
        </w:rPr>
      </w:pPr>
      <w:r w:rsidRPr="009145C7">
        <w:rPr>
          <w:b/>
          <w:bCs/>
        </w:rPr>
        <w:t xml:space="preserve">7.2.1 </w:t>
      </w:r>
      <w:r w:rsidR="00D63942">
        <w:rPr>
          <w:b/>
          <w:bCs/>
        </w:rPr>
        <w:t>MPFT’s and EP</w:t>
      </w:r>
      <w:r w:rsidR="00FE41BC">
        <w:rPr>
          <w:b/>
          <w:bCs/>
        </w:rPr>
        <w:t>U</w:t>
      </w:r>
      <w:r w:rsidR="00D63942">
        <w:rPr>
          <w:b/>
          <w:bCs/>
        </w:rPr>
        <w:t>T’s c</w:t>
      </w:r>
      <w:r w:rsidR="00B8305C">
        <w:rPr>
          <w:b/>
          <w:bCs/>
        </w:rPr>
        <w:t xml:space="preserve">oncerns about MSE ICB’s </w:t>
      </w:r>
      <w:r w:rsidR="00D63942">
        <w:rPr>
          <w:b/>
          <w:bCs/>
        </w:rPr>
        <w:t xml:space="preserve">advice to bidders </w:t>
      </w:r>
      <w:r w:rsidR="00B8305C">
        <w:rPr>
          <w:b/>
          <w:bCs/>
        </w:rPr>
        <w:t xml:space="preserve">on </w:t>
      </w:r>
      <w:r w:rsidR="00917004">
        <w:rPr>
          <w:b/>
          <w:bCs/>
        </w:rPr>
        <w:t>costs</w:t>
      </w:r>
    </w:p>
    <w:p w14:paraId="3A7CB475" w14:textId="69838486" w:rsidR="00B8305C" w:rsidRDefault="00B8305C" w:rsidP="004353F1">
      <w:pPr>
        <w:pStyle w:val="ListParagraph"/>
        <w:numPr>
          <w:ilvl w:val="0"/>
          <w:numId w:val="1"/>
        </w:numPr>
        <w:spacing w:line="276" w:lineRule="auto"/>
      </w:pPr>
      <w:r>
        <w:t xml:space="preserve">MPFT and EPUT both </w:t>
      </w:r>
      <w:r w:rsidR="002A77F3">
        <w:t xml:space="preserve">made representations to the Panel </w:t>
      </w:r>
      <w:r w:rsidR="00FE0194">
        <w:t xml:space="preserve">regarding the guidance given to bidders about </w:t>
      </w:r>
      <w:r w:rsidR="00054F9E">
        <w:t xml:space="preserve">how the </w:t>
      </w:r>
      <w:r w:rsidR="00FE0194">
        <w:t xml:space="preserve">costs </w:t>
      </w:r>
      <w:r w:rsidR="0049795F">
        <w:t xml:space="preserve">of delivering the mental health core services contract </w:t>
      </w:r>
      <w:r w:rsidR="00FE0194">
        <w:t xml:space="preserve">should be presented </w:t>
      </w:r>
      <w:r>
        <w:t xml:space="preserve">in </w:t>
      </w:r>
      <w:r w:rsidR="00F5038B" w:rsidDel="00736F66">
        <w:t xml:space="preserve">their </w:t>
      </w:r>
      <w:r>
        <w:t>proposals. Their view is that:</w:t>
      </w:r>
    </w:p>
    <w:p w14:paraId="5D23CC8F" w14:textId="5169E8F7" w:rsidR="00B8305C" w:rsidRDefault="00B8305C" w:rsidP="004353F1">
      <w:pPr>
        <w:pStyle w:val="ListParagraph"/>
        <w:numPr>
          <w:ilvl w:val="0"/>
          <w:numId w:val="28"/>
        </w:numPr>
        <w:tabs>
          <w:tab w:val="clear" w:pos="720"/>
        </w:tabs>
        <w:spacing w:line="276" w:lineRule="auto"/>
        <w:ind w:left="1276"/>
      </w:pPr>
      <w:r>
        <w:t xml:space="preserve">before 1 April, bidders were obliged to include all expected costs in the </w:t>
      </w:r>
      <w:r w:rsidR="00080C48">
        <w:t>Commercial Offer Template (or Financial Management Template, FMT)</w:t>
      </w:r>
      <w:r>
        <w:t>; and</w:t>
      </w:r>
    </w:p>
    <w:p w14:paraId="416B84E8" w14:textId="2808FD06" w:rsidR="00B8305C" w:rsidRDefault="00B8305C" w:rsidP="00B8305C">
      <w:pPr>
        <w:pStyle w:val="ListParagraph"/>
        <w:numPr>
          <w:ilvl w:val="0"/>
          <w:numId w:val="28"/>
        </w:numPr>
        <w:tabs>
          <w:tab w:val="clear" w:pos="720"/>
        </w:tabs>
        <w:spacing w:line="276" w:lineRule="auto"/>
        <w:ind w:left="1276"/>
        <w:contextualSpacing w:val="0"/>
      </w:pPr>
      <w:r>
        <w:t xml:space="preserve">after 1 April, bidders had the option of excluding costs from the FMT, where these costs were being </w:t>
      </w:r>
      <w:r w:rsidR="00FE5112">
        <w:t>funded</w:t>
      </w:r>
      <w:r w:rsidR="00B54B5E">
        <w:t xml:space="preserve"> </w:t>
      </w:r>
      <w:r>
        <w:t>by the bidder,</w:t>
      </w:r>
      <w:r w:rsidR="00A30B78">
        <w:rPr>
          <w:rStyle w:val="FootnoteReference"/>
        </w:rPr>
        <w:footnoteReference w:id="27"/>
      </w:r>
      <w:r>
        <w:t xml:space="preserve"> and to </w:t>
      </w:r>
      <w:r w:rsidR="005C4DF1">
        <w:t xml:space="preserve">describe </w:t>
      </w:r>
      <w:r>
        <w:t>these excluded costs in their response to Question 2.16.1.</w:t>
      </w:r>
    </w:p>
    <w:p w14:paraId="54D694E4" w14:textId="2214CC17" w:rsidR="00B8305C" w:rsidRDefault="00B8305C" w:rsidP="00F77667">
      <w:pPr>
        <w:pStyle w:val="ListParagraph"/>
        <w:numPr>
          <w:ilvl w:val="0"/>
          <w:numId w:val="1"/>
        </w:numPr>
        <w:spacing w:line="276" w:lineRule="auto"/>
        <w:contextualSpacing w:val="0"/>
      </w:pPr>
      <w:r>
        <w:t xml:space="preserve">MPFT told the Panel that before 1 April </w:t>
      </w:r>
      <w:r w:rsidR="006C40D3">
        <w:t>2025</w:t>
      </w:r>
      <w:r>
        <w:t xml:space="preserve"> it had decided not to bid. However, MSE ICB’s new approach to </w:t>
      </w:r>
      <w:r w:rsidR="002C1BD8">
        <w:t xml:space="preserve">how </w:t>
      </w:r>
      <w:r>
        <w:t xml:space="preserve">bidders </w:t>
      </w:r>
      <w:r w:rsidR="002C1BD8">
        <w:t xml:space="preserve">could </w:t>
      </w:r>
      <w:r w:rsidR="001A3F0D">
        <w:t>present</w:t>
      </w:r>
      <w:r w:rsidR="002C1BD8">
        <w:t xml:space="preserve"> costs </w:t>
      </w:r>
      <w:r w:rsidR="00D96634">
        <w:t>in their proposals</w:t>
      </w:r>
      <w:r>
        <w:t xml:space="preserve">, which potentially allowed </w:t>
      </w:r>
      <w:r w:rsidR="00D96634">
        <w:t>MPFT</w:t>
      </w:r>
      <w:r>
        <w:t xml:space="preserve"> to </w:t>
      </w:r>
      <w:r w:rsidR="00361FC8">
        <w:t xml:space="preserve">fund some of the costs of delivering </w:t>
      </w:r>
      <w:r>
        <w:t>the contract, meant that it may have been able to formulate a viable proposal. But, with the 3 April deadline for proposals, it had insufficient time to assess whether it could formulate a viable proposal, put such a proposal together, and obtain internal sign-off.</w:t>
      </w:r>
      <w:r w:rsidRPr="006B2B5F">
        <w:rPr>
          <w:vertAlign w:val="superscript"/>
        </w:rPr>
        <w:footnoteReference w:id="28"/>
      </w:r>
      <w:r>
        <w:t xml:space="preserve"> EPUT also told the Panel that it had insufficient time to take into account in its proposal the information given to bidders on 1 April.</w:t>
      </w:r>
      <w:r w:rsidRPr="006B2B5F">
        <w:rPr>
          <w:vertAlign w:val="superscript"/>
        </w:rPr>
        <w:footnoteReference w:id="29"/>
      </w:r>
    </w:p>
    <w:p w14:paraId="471ADC26" w14:textId="77777777" w:rsidR="00B8305C" w:rsidRDefault="00B8305C" w:rsidP="00B8305C">
      <w:pPr>
        <w:pStyle w:val="ListParagraph"/>
        <w:numPr>
          <w:ilvl w:val="0"/>
          <w:numId w:val="1"/>
        </w:numPr>
        <w:spacing w:after="120" w:line="276" w:lineRule="auto"/>
        <w:contextualSpacing w:val="0"/>
      </w:pPr>
      <w:r w:rsidRPr="0015633D">
        <w:t>MPFT</w:t>
      </w:r>
      <w:r>
        <w:t>’s concerns are set out in further detail below</w:t>
      </w:r>
      <w:r w:rsidRPr="0015633D">
        <w:t>:</w:t>
      </w:r>
    </w:p>
    <w:p w14:paraId="6C7C782A" w14:textId="77777777" w:rsidR="00B8305C" w:rsidRDefault="00B8305C" w:rsidP="00B8305C">
      <w:pPr>
        <w:pStyle w:val="ListParagraph"/>
        <w:numPr>
          <w:ilvl w:val="0"/>
          <w:numId w:val="0"/>
        </w:numPr>
        <w:spacing w:after="120"/>
        <w:ind w:left="851"/>
        <w:contextualSpacing w:val="0"/>
        <w:rPr>
          <w:sz w:val="21"/>
          <w:szCs w:val="21"/>
        </w:rPr>
      </w:pPr>
      <w:r>
        <w:rPr>
          <w:sz w:val="21"/>
          <w:szCs w:val="21"/>
        </w:rPr>
        <w:t>“</w:t>
      </w:r>
      <w:r w:rsidRPr="00D3426A">
        <w:rPr>
          <w:sz w:val="21"/>
          <w:szCs w:val="21"/>
        </w:rPr>
        <w:t xml:space="preserve">The change in </w:t>
      </w:r>
      <w:r>
        <w:rPr>
          <w:sz w:val="21"/>
          <w:szCs w:val="21"/>
        </w:rPr>
        <w:t>MSE</w:t>
      </w:r>
      <w:r w:rsidRPr="00D3426A">
        <w:rPr>
          <w:sz w:val="21"/>
          <w:szCs w:val="21"/>
        </w:rPr>
        <w:t xml:space="preserve"> ICB’s response to a similar Clarification Question received late in the process by providers was a material change that did not provide a reasonable timeframe for MPFT to amend its bid to take into consideration the material changes or achieve organisational sign-off before the submission date/time. </w:t>
      </w:r>
      <w:r>
        <w:rPr>
          <w:sz w:val="21"/>
          <w:szCs w:val="21"/>
        </w:rPr>
        <w:t>MSE</w:t>
      </w:r>
      <w:r w:rsidRPr="00D3426A">
        <w:rPr>
          <w:sz w:val="21"/>
          <w:szCs w:val="21"/>
        </w:rPr>
        <w:t xml:space="preserve"> ICB has responded to the representations to say that they do not consider the changes made to </w:t>
      </w:r>
      <w:r w:rsidRPr="00D3426A">
        <w:rPr>
          <w:sz w:val="21"/>
          <w:szCs w:val="21"/>
        </w:rPr>
        <w:lastRenderedPageBreak/>
        <w:t xml:space="preserve">have been material and that they feel the receipt of two other bidders’ tender submissions indicates that our representations are unfounded. </w:t>
      </w:r>
      <w:r>
        <w:rPr>
          <w:sz w:val="21"/>
          <w:szCs w:val="21"/>
        </w:rPr>
        <w:t>MSE</w:t>
      </w:r>
      <w:r w:rsidRPr="00D3426A">
        <w:rPr>
          <w:sz w:val="21"/>
          <w:szCs w:val="21"/>
        </w:rPr>
        <w:t xml:space="preserve"> ICB also stated that they did not amend the methodology in which it would assess and evaluate the bid submissions received.</w:t>
      </w:r>
    </w:p>
    <w:p w14:paraId="7E1AE5B4" w14:textId="3F2F485F" w:rsidR="00B8305C" w:rsidRDefault="00B8305C" w:rsidP="00B8305C">
      <w:pPr>
        <w:pStyle w:val="ListParagraph"/>
        <w:numPr>
          <w:ilvl w:val="0"/>
          <w:numId w:val="0"/>
        </w:numPr>
        <w:ind w:left="851"/>
        <w:contextualSpacing w:val="0"/>
      </w:pPr>
      <w:r>
        <w:rPr>
          <w:sz w:val="21"/>
          <w:szCs w:val="21"/>
        </w:rPr>
        <w:t>“MPFT</w:t>
      </w:r>
      <w:r w:rsidRPr="00D3426A">
        <w:rPr>
          <w:sz w:val="21"/>
          <w:szCs w:val="21"/>
        </w:rPr>
        <w:t xml:space="preserve"> maintains its position that by </w:t>
      </w:r>
      <w:r>
        <w:rPr>
          <w:sz w:val="21"/>
          <w:szCs w:val="21"/>
        </w:rPr>
        <w:t>MSE</w:t>
      </w:r>
      <w:r w:rsidRPr="00D3426A">
        <w:rPr>
          <w:sz w:val="21"/>
          <w:szCs w:val="21"/>
        </w:rPr>
        <w:t xml:space="preserve"> ICB responding differently to two different clarifications asked at different points in the process that this has resulted in a significant change (specifically that a bidder can absorb their transformational costs outside of the funding envelope, where previously stated this wasn’t the case and that all costs should be detailed within the Financial Management Template) that could not be reasonably addressed by </w:t>
      </w:r>
      <w:r>
        <w:rPr>
          <w:sz w:val="21"/>
          <w:szCs w:val="21"/>
        </w:rPr>
        <w:t>MPFT</w:t>
      </w:r>
      <w:r w:rsidRPr="00D3426A">
        <w:rPr>
          <w:sz w:val="21"/>
          <w:szCs w:val="21"/>
        </w:rPr>
        <w:t xml:space="preserve"> in the remaining timescales provided. This prevented </w:t>
      </w:r>
      <w:r>
        <w:rPr>
          <w:sz w:val="21"/>
          <w:szCs w:val="21"/>
        </w:rPr>
        <w:t>MPFT</w:t>
      </w:r>
      <w:r w:rsidRPr="00D3426A">
        <w:rPr>
          <w:sz w:val="21"/>
          <w:szCs w:val="21"/>
        </w:rPr>
        <w:t xml:space="preserve"> from submitting a fully costed and considered proposal that had achieved the required organisational sign-off. </w:t>
      </w:r>
      <w:r>
        <w:rPr>
          <w:sz w:val="21"/>
          <w:szCs w:val="21"/>
        </w:rPr>
        <w:t>MPFT</w:t>
      </w:r>
      <w:r w:rsidRPr="00D3426A">
        <w:rPr>
          <w:sz w:val="21"/>
          <w:szCs w:val="21"/>
        </w:rPr>
        <w:t xml:space="preserve"> also maintains that the representation was not that </w:t>
      </w:r>
      <w:r>
        <w:rPr>
          <w:sz w:val="21"/>
          <w:szCs w:val="21"/>
        </w:rPr>
        <w:t>MSE</w:t>
      </w:r>
      <w:r w:rsidRPr="00D3426A">
        <w:rPr>
          <w:sz w:val="21"/>
          <w:szCs w:val="21"/>
        </w:rPr>
        <w:t xml:space="preserve"> ICB had changed their assessment and evaluation of submitted bids but that the material detail contained within the submissions has changed based on the newly issued clarification response at the end of the process, which was a change from the previous response provided to all bidders</w:t>
      </w:r>
      <w:r>
        <w:rPr>
          <w:sz w:val="21"/>
          <w:szCs w:val="21"/>
        </w:rPr>
        <w:t>” (see paragraph </w:t>
      </w:r>
      <w:r>
        <w:rPr>
          <w:sz w:val="21"/>
          <w:szCs w:val="21"/>
        </w:rPr>
        <w:fldChar w:fldCharType="begin"/>
      </w:r>
      <w:r>
        <w:rPr>
          <w:sz w:val="21"/>
          <w:szCs w:val="21"/>
        </w:rPr>
        <w:instrText xml:space="preserve"> REF _Ref204603238 \r \h </w:instrText>
      </w:r>
      <w:r>
        <w:rPr>
          <w:sz w:val="21"/>
          <w:szCs w:val="21"/>
        </w:rPr>
      </w:r>
      <w:r>
        <w:rPr>
          <w:sz w:val="21"/>
          <w:szCs w:val="21"/>
        </w:rPr>
        <w:fldChar w:fldCharType="separate"/>
      </w:r>
      <w:r w:rsidR="00437D90">
        <w:rPr>
          <w:sz w:val="21"/>
          <w:szCs w:val="21"/>
        </w:rPr>
        <w:t>49</w:t>
      </w:r>
      <w:r>
        <w:rPr>
          <w:sz w:val="21"/>
          <w:szCs w:val="21"/>
        </w:rPr>
        <w:fldChar w:fldCharType="end"/>
      </w:r>
      <w:r>
        <w:rPr>
          <w:sz w:val="21"/>
          <w:szCs w:val="21"/>
        </w:rPr>
        <w:t>)</w:t>
      </w:r>
      <w:r w:rsidRPr="00D3426A">
        <w:rPr>
          <w:sz w:val="21"/>
          <w:szCs w:val="21"/>
        </w:rPr>
        <w:t>.</w:t>
      </w:r>
    </w:p>
    <w:p w14:paraId="68EB33BB" w14:textId="426F77CC" w:rsidR="00B8305C" w:rsidRDefault="00B8305C" w:rsidP="00B8305C">
      <w:pPr>
        <w:pStyle w:val="ListParagraph"/>
        <w:numPr>
          <w:ilvl w:val="0"/>
          <w:numId w:val="1"/>
        </w:numPr>
        <w:spacing w:after="120" w:line="276" w:lineRule="auto"/>
        <w:contextualSpacing w:val="0"/>
      </w:pPr>
      <w:bookmarkStart w:id="21" w:name="_Ref209524892"/>
      <w:r w:rsidRPr="003614C4">
        <w:t xml:space="preserve">MSE ICB, in responding to MPFT’s representations </w:t>
      </w:r>
      <w:r>
        <w:t xml:space="preserve">following the provider selection process, reported the findings of its internal review panel. This noted MSE ICB’s position that its response to the CQs on 1 April did not represent a material change to how bidders could present </w:t>
      </w:r>
      <w:r w:rsidR="00E16D6F">
        <w:t>information on</w:t>
      </w:r>
      <w:r w:rsidR="001A3F0D" w:rsidDel="00736F66">
        <w:t xml:space="preserve"> costs</w:t>
      </w:r>
      <w:r w:rsidR="00E16D6F">
        <w:t xml:space="preserve"> in their proposals</w:t>
      </w:r>
      <w:r>
        <w:t>, and therefore there was no question of bidders needing further time to prepare their submissions. More specifically, MSE ICB’s response said:</w:t>
      </w:r>
      <w:bookmarkEnd w:id="21"/>
    </w:p>
    <w:p w14:paraId="222C8B31" w14:textId="77777777" w:rsidR="00B8305C" w:rsidRDefault="00B8305C" w:rsidP="00B8305C">
      <w:pPr>
        <w:spacing w:after="120"/>
        <w:ind w:left="851"/>
        <w:rPr>
          <w:rFonts w:cs="Arial"/>
          <w:sz w:val="21"/>
          <w:szCs w:val="21"/>
        </w:rPr>
      </w:pPr>
      <w:r w:rsidRPr="00823125">
        <w:rPr>
          <w:rFonts w:cs="Arial"/>
          <w:sz w:val="21"/>
          <w:szCs w:val="21"/>
        </w:rPr>
        <w:t>“</w:t>
      </w:r>
      <w:r>
        <w:rPr>
          <w:rFonts w:cs="Arial"/>
          <w:sz w:val="21"/>
          <w:szCs w:val="21"/>
        </w:rPr>
        <w:t>MSE ICB</w:t>
      </w:r>
      <w:r w:rsidRPr="00823125">
        <w:rPr>
          <w:rFonts w:cs="Arial"/>
          <w:sz w:val="21"/>
          <w:szCs w:val="21"/>
        </w:rPr>
        <w:t xml:space="preserve"> reaffirms </w:t>
      </w:r>
      <w:r>
        <w:rPr>
          <w:rFonts w:cs="Arial"/>
          <w:sz w:val="21"/>
          <w:szCs w:val="21"/>
        </w:rPr>
        <w:t xml:space="preserve">[to the internal review panel] </w:t>
      </w:r>
      <w:r w:rsidRPr="00823125">
        <w:rPr>
          <w:rFonts w:cs="Arial"/>
          <w:sz w:val="21"/>
          <w:szCs w:val="21"/>
        </w:rPr>
        <w:t>that it did not make a material change to the tender process nor to the evaluation criteria that was published in the first instance when the tender opportunity and procurement documentation was issued via the e-procurement portal to the open market</w:t>
      </w:r>
    </w:p>
    <w:p w14:paraId="21E48CC0" w14:textId="77777777" w:rsidR="00B8305C" w:rsidRPr="00A75D76" w:rsidRDefault="00B8305C" w:rsidP="00B8305C">
      <w:pPr>
        <w:spacing w:after="120"/>
        <w:ind w:left="851"/>
        <w:rPr>
          <w:rFonts w:cs="Arial"/>
          <w:sz w:val="21"/>
          <w:szCs w:val="21"/>
        </w:rPr>
      </w:pPr>
      <w:r>
        <w:rPr>
          <w:rFonts w:cs="Arial"/>
          <w:sz w:val="21"/>
          <w:szCs w:val="21"/>
        </w:rPr>
        <w:t>“MSE ICB</w:t>
      </w:r>
      <w:r w:rsidRPr="00A75D76">
        <w:rPr>
          <w:rFonts w:cs="Arial"/>
          <w:sz w:val="21"/>
          <w:szCs w:val="21"/>
        </w:rPr>
        <w:t xml:space="preserve"> did not enact an extension following the Clarification Question response, as a material change had not been made in which Bidders’ may have reasonably required further time to consider their bid submissions</w:t>
      </w:r>
    </w:p>
    <w:p w14:paraId="57F87332" w14:textId="77777777" w:rsidR="00B8305C" w:rsidRDefault="00B8305C" w:rsidP="00B8305C">
      <w:pPr>
        <w:spacing w:after="120"/>
        <w:ind w:left="851"/>
        <w:rPr>
          <w:rFonts w:cs="Arial"/>
          <w:sz w:val="21"/>
          <w:szCs w:val="21"/>
        </w:rPr>
      </w:pPr>
      <w:r>
        <w:rPr>
          <w:rFonts w:cs="Arial"/>
          <w:sz w:val="21"/>
          <w:szCs w:val="21"/>
        </w:rPr>
        <w:t>“MSE ICB</w:t>
      </w:r>
      <w:r w:rsidRPr="003C4CCC">
        <w:rPr>
          <w:rFonts w:cs="Arial"/>
          <w:sz w:val="21"/>
          <w:szCs w:val="21"/>
        </w:rPr>
        <w:t xml:space="preserve"> asserts having asked Bidders within Technical Question 2.16 for a detailed financial plan, demonstrating a cost effective and sustainable TT &amp; PT SMHP service, that it was appropriate for </w:t>
      </w:r>
      <w:r>
        <w:rPr>
          <w:rFonts w:cs="Arial"/>
          <w:sz w:val="21"/>
          <w:szCs w:val="21"/>
        </w:rPr>
        <w:t xml:space="preserve">MSE ICB </w:t>
      </w:r>
      <w:r w:rsidRPr="003C4CCC">
        <w:rPr>
          <w:rFonts w:cs="Arial"/>
          <w:sz w:val="21"/>
          <w:szCs w:val="21"/>
        </w:rPr>
        <w:t xml:space="preserve">to have understood that Bidders would utilise this element of question 2.16 to evidence any investment into the service. This </w:t>
      </w:r>
      <w:r>
        <w:rPr>
          <w:rFonts w:cs="Arial"/>
          <w:sz w:val="21"/>
          <w:szCs w:val="21"/>
        </w:rPr>
        <w:t>w</w:t>
      </w:r>
      <w:r w:rsidRPr="003C4CCC">
        <w:rPr>
          <w:rFonts w:cs="Arial"/>
          <w:sz w:val="21"/>
          <w:szCs w:val="21"/>
        </w:rPr>
        <w:t>ould have included, but not be limited to, the financial considerations made by Bidders of the service, mobilisation, Year 1 of contract, Year 2 of contract, Year 3 of contract, and TUPE costs</w:t>
      </w:r>
    </w:p>
    <w:p w14:paraId="71683002" w14:textId="77777777" w:rsidR="00B8305C" w:rsidRDefault="00B8305C" w:rsidP="00B8305C">
      <w:pPr>
        <w:spacing w:after="120"/>
        <w:ind w:left="851"/>
        <w:rPr>
          <w:rFonts w:cs="Arial"/>
          <w:sz w:val="21"/>
          <w:szCs w:val="21"/>
        </w:rPr>
      </w:pPr>
      <w:r>
        <w:rPr>
          <w:rFonts w:cs="Arial"/>
          <w:sz w:val="21"/>
          <w:szCs w:val="21"/>
        </w:rPr>
        <w:t>“</w:t>
      </w:r>
      <w:r w:rsidRPr="003544E5">
        <w:rPr>
          <w:sz w:val="21"/>
          <w:szCs w:val="21"/>
        </w:rPr>
        <w:t>MSE ICB did not amend the methodology in which it would assess and evaluate the bid submissions received</w:t>
      </w:r>
    </w:p>
    <w:p w14:paraId="4506BDAE" w14:textId="77777777" w:rsidR="00B8305C" w:rsidRDefault="00B8305C" w:rsidP="00B8305C">
      <w:pPr>
        <w:ind w:left="851"/>
        <w:rPr>
          <w:rFonts w:cs="Arial"/>
          <w:sz w:val="21"/>
          <w:szCs w:val="21"/>
        </w:rPr>
      </w:pPr>
      <w:r w:rsidRPr="00823125">
        <w:rPr>
          <w:rFonts w:cs="Arial"/>
          <w:sz w:val="21"/>
          <w:szCs w:val="21"/>
        </w:rPr>
        <w:t xml:space="preserve">“The </w:t>
      </w:r>
      <w:r>
        <w:rPr>
          <w:rFonts w:cs="Arial"/>
          <w:sz w:val="21"/>
          <w:szCs w:val="21"/>
        </w:rPr>
        <w:t>[internal review] p</w:t>
      </w:r>
      <w:r w:rsidRPr="00823125">
        <w:rPr>
          <w:rFonts w:cs="Arial"/>
          <w:sz w:val="21"/>
          <w:szCs w:val="21"/>
        </w:rPr>
        <w:t xml:space="preserve">anel found that the clarification response provided by the </w:t>
      </w:r>
      <w:r>
        <w:rPr>
          <w:rFonts w:cs="Arial"/>
          <w:sz w:val="21"/>
          <w:szCs w:val="21"/>
        </w:rPr>
        <w:t>MSE ICB</w:t>
      </w:r>
      <w:r w:rsidRPr="00823125">
        <w:rPr>
          <w:rFonts w:cs="Arial"/>
          <w:sz w:val="21"/>
          <w:szCs w:val="21"/>
        </w:rPr>
        <w:t xml:space="preserve"> to Bidders supported the </w:t>
      </w:r>
      <w:r>
        <w:rPr>
          <w:rFonts w:cs="Arial"/>
          <w:sz w:val="21"/>
          <w:szCs w:val="21"/>
        </w:rPr>
        <w:t>MSE ICB</w:t>
      </w:r>
      <w:r w:rsidRPr="00823125">
        <w:rPr>
          <w:rFonts w:cs="Arial"/>
          <w:sz w:val="21"/>
          <w:szCs w:val="21"/>
        </w:rPr>
        <w:t xml:space="preserve"> of acting in accordance with Regulation 4, to treat all Bidders the same in a fair and transparent manner, by explicitly allowing for information to be provided in question 2.16 for information only, that would not prejudice a Bidder’s written response to question 2.16 or the evaluation criteria and methodology in which the Bidder’s written responses would be assessed and evaluated</w:t>
      </w:r>
      <w:r>
        <w:rPr>
          <w:rFonts w:cs="Arial"/>
          <w:sz w:val="21"/>
          <w:szCs w:val="21"/>
        </w:rPr>
        <w:t>.</w:t>
      </w:r>
      <w:r w:rsidRPr="00823125">
        <w:rPr>
          <w:rFonts w:cs="Arial"/>
          <w:sz w:val="21"/>
          <w:szCs w:val="21"/>
        </w:rPr>
        <w:t>”</w:t>
      </w:r>
      <w:r>
        <w:rPr>
          <w:rStyle w:val="FootnoteReference"/>
          <w:rFonts w:cs="Arial"/>
          <w:sz w:val="21"/>
          <w:szCs w:val="21"/>
        </w:rPr>
        <w:footnoteReference w:id="30"/>
      </w:r>
    </w:p>
    <w:p w14:paraId="2EA786EA" w14:textId="77777777" w:rsidR="00B8305C" w:rsidRPr="00A25388" w:rsidRDefault="00B8305C" w:rsidP="00B8305C">
      <w:pPr>
        <w:pStyle w:val="ListParagraph"/>
        <w:numPr>
          <w:ilvl w:val="0"/>
          <w:numId w:val="1"/>
        </w:numPr>
        <w:spacing w:line="276" w:lineRule="auto"/>
        <w:contextualSpacing w:val="0"/>
      </w:pPr>
      <w:r w:rsidRPr="00A25388">
        <w:lastRenderedPageBreak/>
        <w:t>EPUT, in its representations to MSE ICB, said: “The delays to responding and late information, particularly relating to transformation cost absorption and investment impacted on the Trust’s ability to prepare and submit its tender."</w:t>
      </w:r>
      <w:r w:rsidRPr="00A25388">
        <w:rPr>
          <w:rStyle w:val="FootnoteReference"/>
        </w:rPr>
        <w:footnoteReference w:id="31"/>
      </w:r>
      <w:r>
        <w:t xml:space="preserve"> EPUT reiterated these concerns in its representations to the Panel.</w:t>
      </w:r>
      <w:r>
        <w:rPr>
          <w:rStyle w:val="FootnoteReference"/>
        </w:rPr>
        <w:footnoteReference w:id="32"/>
      </w:r>
    </w:p>
    <w:p w14:paraId="2AB16BA9" w14:textId="064ADCA2" w:rsidR="00212B05" w:rsidRDefault="00212B05" w:rsidP="000B1660">
      <w:pPr>
        <w:keepNext/>
        <w:spacing w:before="240" w:line="276" w:lineRule="auto"/>
        <w:rPr>
          <w:b/>
          <w:bCs/>
        </w:rPr>
      </w:pPr>
      <w:r w:rsidRPr="009145C7">
        <w:rPr>
          <w:b/>
          <w:bCs/>
        </w:rPr>
        <w:t>7.2.</w:t>
      </w:r>
      <w:r w:rsidR="00B06AA4">
        <w:rPr>
          <w:b/>
          <w:bCs/>
        </w:rPr>
        <w:t>2</w:t>
      </w:r>
      <w:r w:rsidRPr="009145C7">
        <w:rPr>
          <w:b/>
          <w:bCs/>
        </w:rPr>
        <w:t xml:space="preserve"> </w:t>
      </w:r>
      <w:r w:rsidR="00D74E0F">
        <w:rPr>
          <w:b/>
          <w:bCs/>
        </w:rPr>
        <w:t xml:space="preserve">Background to MPFT’s and EPUT’s concerns </w:t>
      </w:r>
      <w:r w:rsidR="008F6E4D">
        <w:rPr>
          <w:b/>
          <w:bCs/>
        </w:rPr>
        <w:t xml:space="preserve">about the </w:t>
      </w:r>
      <w:r w:rsidR="00A9251B">
        <w:rPr>
          <w:b/>
          <w:bCs/>
        </w:rPr>
        <w:t>presentation</w:t>
      </w:r>
      <w:r w:rsidR="008F6E4D">
        <w:rPr>
          <w:b/>
          <w:bCs/>
        </w:rPr>
        <w:t xml:space="preserve"> of costs in bidders’</w:t>
      </w:r>
      <w:r w:rsidR="00736F66">
        <w:rPr>
          <w:b/>
          <w:bCs/>
        </w:rPr>
        <w:t xml:space="preserve"> proposals</w:t>
      </w:r>
    </w:p>
    <w:p w14:paraId="6A2A37FD" w14:textId="043299C2" w:rsidR="00AF7149" w:rsidRDefault="0058073E" w:rsidP="004353F1">
      <w:pPr>
        <w:pStyle w:val="ListParagraph"/>
        <w:numPr>
          <w:ilvl w:val="0"/>
          <w:numId w:val="1"/>
        </w:numPr>
      </w:pPr>
      <w:r>
        <w:t>The relevant background to MPFT’s</w:t>
      </w:r>
      <w:r w:rsidR="00665FEF">
        <w:t xml:space="preserve"> and </w:t>
      </w:r>
      <w:r>
        <w:t>EPUT’s concerns about</w:t>
      </w:r>
      <w:r w:rsidR="00F5038B" w:rsidDel="00665FEF">
        <w:t xml:space="preserve"> the presentation of </w:t>
      </w:r>
      <w:r w:rsidR="00A9251B">
        <w:t xml:space="preserve">costs in bidders’ proposals has </w:t>
      </w:r>
      <w:r w:rsidR="009F55F8">
        <w:t>two</w:t>
      </w:r>
      <w:r w:rsidR="00A9251B">
        <w:t xml:space="preserve"> parts:</w:t>
      </w:r>
    </w:p>
    <w:p w14:paraId="517FC333" w14:textId="163D80E4" w:rsidR="009F55F8" w:rsidRDefault="009F55F8" w:rsidP="004353F1">
      <w:pPr>
        <w:pStyle w:val="ListParagraph"/>
        <w:numPr>
          <w:ilvl w:val="0"/>
          <w:numId w:val="52"/>
        </w:numPr>
      </w:pPr>
      <w:r>
        <w:t>first, the guidance pr</w:t>
      </w:r>
      <w:r w:rsidR="00632155">
        <w:t>ovided to bidders in the tender documentation on how costs should be presented in their proposals</w:t>
      </w:r>
      <w:r w:rsidR="008D06F4">
        <w:t xml:space="preserve"> (see paragraphs </w:t>
      </w:r>
      <w:r w:rsidR="00A2640D">
        <w:fldChar w:fldCharType="begin"/>
      </w:r>
      <w:r w:rsidR="00A2640D">
        <w:instrText xml:space="preserve"> REF _Ref208408391 \r \h </w:instrText>
      </w:r>
      <w:r w:rsidR="00A2640D">
        <w:fldChar w:fldCharType="separate"/>
      </w:r>
      <w:r w:rsidR="00437D90">
        <w:t>68</w:t>
      </w:r>
      <w:r w:rsidR="00A2640D">
        <w:fldChar w:fldCharType="end"/>
      </w:r>
      <w:r w:rsidR="00A2640D">
        <w:t xml:space="preserve"> to </w:t>
      </w:r>
      <w:r w:rsidR="00A2640D">
        <w:fldChar w:fldCharType="begin"/>
      </w:r>
      <w:r w:rsidR="00A2640D">
        <w:instrText xml:space="preserve"> REF _Ref208408394 \r \h </w:instrText>
      </w:r>
      <w:r w:rsidR="00A2640D">
        <w:fldChar w:fldCharType="separate"/>
      </w:r>
      <w:r w:rsidR="00437D90">
        <w:t>71</w:t>
      </w:r>
      <w:r w:rsidR="00A2640D">
        <w:fldChar w:fldCharType="end"/>
      </w:r>
      <w:r w:rsidR="0059376E">
        <w:t>)</w:t>
      </w:r>
      <w:r w:rsidR="00632155">
        <w:t>; and</w:t>
      </w:r>
    </w:p>
    <w:p w14:paraId="67951B67" w14:textId="7EC26DCC" w:rsidR="00632155" w:rsidRDefault="00632155" w:rsidP="004353F1">
      <w:pPr>
        <w:pStyle w:val="ListParagraph"/>
        <w:numPr>
          <w:ilvl w:val="0"/>
          <w:numId w:val="52"/>
        </w:numPr>
        <w:contextualSpacing w:val="0"/>
      </w:pPr>
      <w:r>
        <w:t xml:space="preserve">second, </w:t>
      </w:r>
      <w:r w:rsidR="00786BAB">
        <w:t>developments in</w:t>
      </w:r>
      <w:r w:rsidR="00C84CE3">
        <w:t xml:space="preserve"> </w:t>
      </w:r>
      <w:r w:rsidR="00786BAB">
        <w:t xml:space="preserve">bidders’ and MSE ICB’s understanding of service costs during the </w:t>
      </w:r>
      <w:r w:rsidR="001B1E48">
        <w:t>provider selection process, and</w:t>
      </w:r>
      <w:r w:rsidR="005D0F4F">
        <w:t xml:space="preserve"> how this was reflected in the guidance given to bidders </w:t>
      </w:r>
      <w:r w:rsidR="008D06F4">
        <w:t>on how costs should be presented in their proposals</w:t>
      </w:r>
      <w:r w:rsidR="0059376E">
        <w:t xml:space="preserve"> (see paragraphs </w:t>
      </w:r>
      <w:r w:rsidR="00A2640D">
        <w:fldChar w:fldCharType="begin"/>
      </w:r>
      <w:r w:rsidR="00A2640D">
        <w:instrText xml:space="preserve"> REF _Ref208408425 \r \h </w:instrText>
      </w:r>
      <w:r w:rsidR="00A2640D">
        <w:fldChar w:fldCharType="separate"/>
      </w:r>
      <w:r w:rsidR="00437D90">
        <w:t>72</w:t>
      </w:r>
      <w:r w:rsidR="00A2640D">
        <w:fldChar w:fldCharType="end"/>
      </w:r>
      <w:r w:rsidR="00A2640D">
        <w:t xml:space="preserve"> to </w:t>
      </w:r>
      <w:r w:rsidR="00A2640D">
        <w:fldChar w:fldCharType="begin"/>
      </w:r>
      <w:r w:rsidR="00A2640D">
        <w:instrText xml:space="preserve"> REF _Ref208408432 \r \h </w:instrText>
      </w:r>
      <w:r w:rsidR="00A2640D">
        <w:fldChar w:fldCharType="separate"/>
      </w:r>
      <w:r w:rsidR="00437D90">
        <w:t>83</w:t>
      </w:r>
      <w:r w:rsidR="00A2640D">
        <w:fldChar w:fldCharType="end"/>
      </w:r>
      <w:r w:rsidR="0059376E">
        <w:t>)</w:t>
      </w:r>
      <w:r w:rsidR="008D06F4">
        <w:t>.</w:t>
      </w:r>
    </w:p>
    <w:p w14:paraId="6EB4AAC6" w14:textId="68D26351" w:rsidR="002036AC" w:rsidRPr="009145C7" w:rsidRDefault="00F70EF8" w:rsidP="002036AC">
      <w:pPr>
        <w:keepNext/>
        <w:spacing w:before="240" w:line="276" w:lineRule="auto"/>
        <w:rPr>
          <w:b/>
          <w:bCs/>
        </w:rPr>
      </w:pPr>
      <w:r>
        <w:rPr>
          <w:b/>
          <w:bCs/>
        </w:rPr>
        <w:t xml:space="preserve">Guidance </w:t>
      </w:r>
      <w:r w:rsidR="007B7546">
        <w:rPr>
          <w:b/>
          <w:bCs/>
        </w:rPr>
        <w:t xml:space="preserve">for bidders </w:t>
      </w:r>
      <w:r w:rsidR="00E70A1C">
        <w:rPr>
          <w:b/>
          <w:bCs/>
        </w:rPr>
        <w:t>in tender documentation</w:t>
      </w:r>
    </w:p>
    <w:p w14:paraId="57938EB2" w14:textId="52E0CE81" w:rsidR="00A35E80" w:rsidRDefault="00A35E80" w:rsidP="00244D24">
      <w:pPr>
        <w:pStyle w:val="ListParagraph"/>
        <w:numPr>
          <w:ilvl w:val="0"/>
          <w:numId w:val="1"/>
        </w:numPr>
        <w:spacing w:line="276" w:lineRule="auto"/>
        <w:contextualSpacing w:val="0"/>
      </w:pPr>
      <w:bookmarkStart w:id="22" w:name="_Ref208408391"/>
      <w:bookmarkStart w:id="23" w:name="_Ref206777831"/>
      <w:r>
        <w:t xml:space="preserve">Bidders were told in the tender documentation </w:t>
      </w:r>
      <w:r w:rsidR="00522B36">
        <w:t xml:space="preserve">that the </w:t>
      </w:r>
      <w:r w:rsidR="009446DE">
        <w:t xml:space="preserve">maximum value (or financial envelope) for the new contract was £55.9 million over the first three years, and that any </w:t>
      </w:r>
      <w:r w:rsidR="009236C5">
        <w:t>bids in excess of this figure would be rejected. Bidders were also told that their total price “must cover all costs associated with the provision” of the service</w:t>
      </w:r>
      <w:r w:rsidR="00046EB1">
        <w:t xml:space="preserve">, and that they “must ensure that they clearly communicate any anticipated set up and mobilisation costs” in the </w:t>
      </w:r>
      <w:r w:rsidR="00CD6318">
        <w:t>FMT.</w:t>
      </w:r>
      <w:bookmarkEnd w:id="22"/>
    </w:p>
    <w:bookmarkEnd w:id="23"/>
    <w:p w14:paraId="325765CB" w14:textId="1DE1D8EC" w:rsidR="00E707BE" w:rsidRPr="0003530B" w:rsidRDefault="00F07470" w:rsidP="00F87AA1">
      <w:pPr>
        <w:pStyle w:val="ListParagraph"/>
        <w:numPr>
          <w:ilvl w:val="0"/>
          <w:numId w:val="1"/>
        </w:numPr>
        <w:spacing w:after="120" w:line="276" w:lineRule="auto"/>
        <w:contextualSpacing w:val="0"/>
      </w:pPr>
      <w:r>
        <w:t xml:space="preserve">More specifically, the </w:t>
      </w:r>
      <w:r w:rsidR="00CD6318">
        <w:t>tender documentation</w:t>
      </w:r>
      <w:r w:rsidR="00857612">
        <w:t xml:space="preserve"> </w:t>
      </w:r>
      <w:r w:rsidR="00BC6A22">
        <w:t>said</w:t>
      </w:r>
      <w:r w:rsidR="00E707BE" w:rsidRPr="0003530B">
        <w:t>:</w:t>
      </w:r>
    </w:p>
    <w:p w14:paraId="5DE8E281" w14:textId="3BD21BEF" w:rsidR="00E707BE" w:rsidRPr="0003530B" w:rsidRDefault="00E707BE" w:rsidP="00F87AA1">
      <w:pPr>
        <w:spacing w:after="120" w:line="276" w:lineRule="auto"/>
        <w:ind w:left="851"/>
        <w:rPr>
          <w:sz w:val="21"/>
          <w:szCs w:val="21"/>
        </w:rPr>
      </w:pPr>
      <w:r w:rsidRPr="0003530B">
        <w:rPr>
          <w:sz w:val="21"/>
          <w:szCs w:val="21"/>
        </w:rPr>
        <w:t xml:space="preserve">“The maximum total contract value over the 5-year period is £92,503,175 pound sterling (inclusive of uplift assumptions) as detailed in Find a Tender Service notice. Bidder’s may vary their commercial offer in line with Doc 6. Commercial Offer Template, so long as they do not breach </w:t>
      </w:r>
      <w:r w:rsidR="00764DC5">
        <w:rPr>
          <w:sz w:val="21"/>
          <w:szCs w:val="21"/>
        </w:rPr>
        <w:t xml:space="preserve">the </w:t>
      </w:r>
      <w:r w:rsidRPr="0003530B">
        <w:rPr>
          <w:sz w:val="21"/>
          <w:szCs w:val="21"/>
        </w:rPr>
        <w:t>maximum financial envelope of £55,879,469 pound sterling for the 3-year contract</w:t>
      </w:r>
      <w:r w:rsidR="00F87AA1">
        <w:rPr>
          <w:sz w:val="21"/>
          <w:szCs w:val="21"/>
        </w:rPr>
        <w:t>.</w:t>
      </w:r>
    </w:p>
    <w:p w14:paraId="4A464CD3" w14:textId="1E1D6586" w:rsidR="00E707BE" w:rsidRPr="0097777C" w:rsidRDefault="00E707BE" w:rsidP="00F87AA1">
      <w:pPr>
        <w:spacing w:after="120" w:line="276" w:lineRule="auto"/>
        <w:ind w:left="851"/>
        <w:rPr>
          <w:sz w:val="21"/>
          <w:szCs w:val="21"/>
        </w:rPr>
      </w:pPr>
      <w:r>
        <w:rPr>
          <w:sz w:val="21"/>
          <w:szCs w:val="21"/>
        </w:rPr>
        <w:t>“</w:t>
      </w:r>
      <w:r w:rsidRPr="0097777C">
        <w:rPr>
          <w:sz w:val="21"/>
          <w:szCs w:val="21"/>
        </w:rPr>
        <w:t>All bidders must complete Doc 6. Commercial Offer Template (Doc 6. MHCoreServices</w:t>
      </w:r>
      <w:r w:rsidR="00555FB7">
        <w:rPr>
          <w:sz w:val="21"/>
          <w:szCs w:val="21"/>
        </w:rPr>
        <w:t xml:space="preserve"> </w:t>
      </w:r>
      <w:r w:rsidRPr="0097777C">
        <w:rPr>
          <w:sz w:val="21"/>
          <w:szCs w:val="21"/>
        </w:rPr>
        <w:t>- Commercial Offer template v2 100325) in full to ensure a compliant bid. Failure to do so will mean your Tender Response is rejected as non-compliant and you will be excluded from the procurement.</w:t>
      </w:r>
    </w:p>
    <w:p w14:paraId="05FE0BF4" w14:textId="00B4501F" w:rsidR="00E707BE" w:rsidRDefault="00E707BE" w:rsidP="00F87AA1">
      <w:pPr>
        <w:spacing w:line="276" w:lineRule="auto"/>
        <w:ind w:left="851"/>
        <w:rPr>
          <w:highlight w:val="yellow"/>
        </w:rPr>
      </w:pPr>
      <w:r>
        <w:rPr>
          <w:sz w:val="21"/>
          <w:szCs w:val="21"/>
        </w:rPr>
        <w:t>“</w:t>
      </w:r>
      <w:r w:rsidRPr="005D234F">
        <w:rPr>
          <w:sz w:val="21"/>
          <w:szCs w:val="21"/>
        </w:rPr>
        <w:t>Price scoring will be undertaken on Bidder</w:t>
      </w:r>
      <w:r w:rsidR="0029448F">
        <w:rPr>
          <w:sz w:val="21"/>
          <w:szCs w:val="21"/>
        </w:rPr>
        <w:t>’</w:t>
      </w:r>
      <w:r w:rsidRPr="005D234F">
        <w:rPr>
          <w:sz w:val="21"/>
          <w:szCs w:val="21"/>
        </w:rPr>
        <w:t>s Price for the first 3 years of the contract only. Commissioners will accept total bids up to £55,879,469 pound sterling over the three-year contract term. This figure acts as a total affordability envelope for this procurement for the purposes of bidding. Any bids received in excess of such affordability envelope will be rejected as non-compliant. In such instances you will be excluded from the procurement and will not be awarded a contract.”</w:t>
      </w:r>
      <w:r w:rsidR="00F3799C">
        <w:rPr>
          <w:rStyle w:val="FootnoteReference"/>
          <w:sz w:val="21"/>
          <w:szCs w:val="21"/>
        </w:rPr>
        <w:footnoteReference w:id="33"/>
      </w:r>
    </w:p>
    <w:p w14:paraId="7E1D462F" w14:textId="031C071C" w:rsidR="00E707BE" w:rsidRDefault="00E707BE" w:rsidP="00DA6707">
      <w:pPr>
        <w:pStyle w:val="ListParagraph"/>
        <w:numPr>
          <w:ilvl w:val="0"/>
          <w:numId w:val="1"/>
        </w:numPr>
        <w:spacing w:after="120" w:line="276" w:lineRule="auto"/>
        <w:contextualSpacing w:val="0"/>
      </w:pPr>
      <w:bookmarkStart w:id="24" w:name="_Ref205907162"/>
      <w:r>
        <w:t xml:space="preserve">The </w:t>
      </w:r>
      <w:r w:rsidR="00867F9B">
        <w:t>FMT</w:t>
      </w:r>
      <w:r w:rsidR="005035BC">
        <w:t>’s</w:t>
      </w:r>
      <w:r w:rsidR="00867F9B">
        <w:t xml:space="preserve"> </w:t>
      </w:r>
      <w:r w:rsidR="00A31145">
        <w:t>instructions</w:t>
      </w:r>
      <w:r w:rsidR="005035BC">
        <w:t xml:space="preserve"> for bidders</w:t>
      </w:r>
      <w:r w:rsidR="00A31145">
        <w:t xml:space="preserve"> </w:t>
      </w:r>
      <w:r w:rsidR="00867F9B">
        <w:t xml:space="preserve">(in </w:t>
      </w:r>
      <w:r w:rsidR="005035BC">
        <w:t>the</w:t>
      </w:r>
      <w:r w:rsidR="00867F9B">
        <w:t xml:space="preserve"> “Instructions for Use” worksheet) said</w:t>
      </w:r>
      <w:r>
        <w:t>:</w:t>
      </w:r>
      <w:bookmarkEnd w:id="24"/>
    </w:p>
    <w:p w14:paraId="441A8245" w14:textId="1D1EA37A" w:rsidR="00E707BE" w:rsidRPr="00DA6707" w:rsidRDefault="00E707BE" w:rsidP="00DA6707">
      <w:pPr>
        <w:pStyle w:val="ListParagraph"/>
        <w:numPr>
          <w:ilvl w:val="0"/>
          <w:numId w:val="0"/>
        </w:numPr>
        <w:spacing w:after="120"/>
        <w:ind w:left="851"/>
        <w:contextualSpacing w:val="0"/>
        <w:rPr>
          <w:sz w:val="21"/>
          <w:szCs w:val="21"/>
        </w:rPr>
      </w:pPr>
      <w:r w:rsidRPr="00DA6707">
        <w:rPr>
          <w:sz w:val="21"/>
          <w:szCs w:val="21"/>
        </w:rPr>
        <w:t xml:space="preserve">“The Bidders Total Price shall encompass all elements of service provision outlined in the Service Specification and other ITT documents, including workforce, and must cover </w:t>
      </w:r>
      <w:r w:rsidRPr="00DA6707">
        <w:rPr>
          <w:sz w:val="21"/>
          <w:szCs w:val="21"/>
        </w:rPr>
        <w:lastRenderedPageBreak/>
        <w:t>all costs associated with the provision of such services in line with the quality requirements and the expectation of achievement of all performance indicators</w:t>
      </w:r>
      <w:r w:rsidR="0035275C">
        <w:rPr>
          <w:sz w:val="21"/>
          <w:szCs w:val="21"/>
        </w:rPr>
        <w:t xml:space="preserve"> …</w:t>
      </w:r>
    </w:p>
    <w:p w14:paraId="48045B05" w14:textId="1624AB52" w:rsidR="00E707BE" w:rsidRDefault="00E707BE" w:rsidP="0028351A">
      <w:pPr>
        <w:pStyle w:val="ListParagraph"/>
        <w:numPr>
          <w:ilvl w:val="0"/>
          <w:numId w:val="0"/>
        </w:numPr>
        <w:spacing w:after="120"/>
        <w:ind w:left="851"/>
        <w:contextualSpacing w:val="0"/>
        <w:rPr>
          <w:sz w:val="21"/>
          <w:szCs w:val="21"/>
        </w:rPr>
      </w:pPr>
      <w:r w:rsidRPr="00DA6707">
        <w:rPr>
          <w:sz w:val="21"/>
          <w:szCs w:val="21"/>
        </w:rPr>
        <w:t>“Bidders must ensure that they clearly communicate any anticipated set up and mobilisation costs in the Financial Summary tab</w:t>
      </w:r>
      <w:r w:rsidR="003854AD">
        <w:rPr>
          <w:sz w:val="21"/>
          <w:szCs w:val="21"/>
        </w:rPr>
        <w:t xml:space="preserve"> … [highlighted in red text]</w:t>
      </w:r>
    </w:p>
    <w:p w14:paraId="4C2C34BD" w14:textId="5F31ABB2" w:rsidR="002036AC" w:rsidRDefault="0028351A" w:rsidP="002036AC">
      <w:pPr>
        <w:pStyle w:val="ListParagraph"/>
        <w:numPr>
          <w:ilvl w:val="0"/>
          <w:numId w:val="0"/>
        </w:numPr>
        <w:ind w:left="851"/>
        <w:contextualSpacing w:val="0"/>
        <w:rPr>
          <w:sz w:val="21"/>
          <w:szCs w:val="21"/>
        </w:rPr>
      </w:pPr>
      <w:r>
        <w:t>“</w:t>
      </w:r>
      <w:r w:rsidRPr="0028351A">
        <w:rPr>
          <w:sz w:val="21"/>
          <w:szCs w:val="21"/>
        </w:rPr>
        <w:t>Overheads and Corporate costs: Organisational set-up/mobilisation costs should be included in the relevant year. These costs would be assumed to be non-recurrent and therefore not present across the life of the contract. Where costs span multiple years, in particular if they are for different items, then a supporting analysis should be provided detailing the different costs and the split of each cost by year. Costs should be split as accurately as possible across the life of the contract …</w:t>
      </w:r>
      <w:r>
        <w:rPr>
          <w:sz w:val="21"/>
          <w:szCs w:val="21"/>
        </w:rPr>
        <w:t>”</w:t>
      </w:r>
      <w:r w:rsidRPr="00DA6707">
        <w:rPr>
          <w:rStyle w:val="FootnoteReference"/>
          <w:sz w:val="21"/>
          <w:szCs w:val="21"/>
        </w:rPr>
        <w:footnoteReference w:id="34"/>
      </w:r>
    </w:p>
    <w:p w14:paraId="6CF0DA2E" w14:textId="41431473" w:rsidR="00192CAE" w:rsidRPr="004353F1" w:rsidRDefault="004F6F17" w:rsidP="004353F1">
      <w:pPr>
        <w:pStyle w:val="ListParagraph"/>
        <w:numPr>
          <w:ilvl w:val="0"/>
          <w:numId w:val="1"/>
        </w:numPr>
        <w:spacing w:after="120" w:line="276" w:lineRule="auto"/>
        <w:contextualSpacing w:val="0"/>
      </w:pPr>
      <w:bookmarkStart w:id="25" w:name="_Ref208408394"/>
      <w:r>
        <w:t xml:space="preserve">To assist bidders in formulating their proposals, MSE ICB </w:t>
      </w:r>
      <w:r w:rsidR="004E0667">
        <w:t xml:space="preserve">provided indicative </w:t>
      </w:r>
      <w:r w:rsidR="000746BD">
        <w:t>TUPE</w:t>
      </w:r>
      <w:r w:rsidR="001F555D">
        <w:t xml:space="preserve"> data</w:t>
      </w:r>
      <w:r w:rsidR="006F4C7F">
        <w:t xml:space="preserve">, collected from the four existing providers, </w:t>
      </w:r>
      <w:r w:rsidR="00E12C81">
        <w:t>which set out the likely annual cost of staff that could be expected to transfer to the successful bidder under TUPE rules</w:t>
      </w:r>
      <w:r w:rsidR="00F36FC5">
        <w:t>.</w:t>
      </w:r>
      <w:bookmarkEnd w:id="25"/>
    </w:p>
    <w:p w14:paraId="0A595EFD" w14:textId="662FE110" w:rsidR="00D50C5E" w:rsidRPr="00D50C5E" w:rsidRDefault="007B5ACC" w:rsidP="00D50C5E">
      <w:pPr>
        <w:keepNext/>
        <w:spacing w:before="240" w:line="276" w:lineRule="auto"/>
        <w:rPr>
          <w:b/>
          <w:bCs/>
        </w:rPr>
      </w:pPr>
      <w:r>
        <w:rPr>
          <w:b/>
          <w:bCs/>
        </w:rPr>
        <w:t>Developments during the provider selection process</w:t>
      </w:r>
    </w:p>
    <w:p w14:paraId="51336E66" w14:textId="1CB3ABE7" w:rsidR="00077645" w:rsidRDefault="00907E78">
      <w:pPr>
        <w:pStyle w:val="ListParagraph"/>
        <w:numPr>
          <w:ilvl w:val="0"/>
          <w:numId w:val="1"/>
        </w:numPr>
        <w:spacing w:line="276" w:lineRule="auto"/>
        <w:contextualSpacing w:val="0"/>
      </w:pPr>
      <w:bookmarkStart w:id="26" w:name="_Ref208408425"/>
      <w:r>
        <w:t xml:space="preserve">On 11 March 2025, a week into the tender process, </w:t>
      </w:r>
      <w:r w:rsidR="008457B2">
        <w:t>MSE ICB</w:t>
      </w:r>
      <w:r w:rsidR="00A00FC8">
        <w:t xml:space="preserve"> was </w:t>
      </w:r>
      <w:r>
        <w:t>asked</w:t>
      </w:r>
      <w:r w:rsidR="008457B2">
        <w:t>, by way of</w:t>
      </w:r>
      <w:r>
        <w:t xml:space="preserve"> a </w:t>
      </w:r>
      <w:r w:rsidR="00A00FC8">
        <w:t>bidder</w:t>
      </w:r>
      <w:r>
        <w:t xml:space="preserve"> </w:t>
      </w:r>
      <w:r w:rsidR="00D266AE">
        <w:t>CQ</w:t>
      </w:r>
      <w:r>
        <w:t xml:space="preserve"> (CQ43)</w:t>
      </w:r>
      <w:r w:rsidR="008457B2">
        <w:t xml:space="preserve">, to confirm that </w:t>
      </w:r>
      <w:r w:rsidR="00FD3CF4">
        <w:t>the annual cost of staff that could be expected to transfer to the successful bidder under TUPE rules</w:t>
      </w:r>
      <w:r w:rsidR="00FD3CF4" w:rsidDel="005C2FF7">
        <w:t xml:space="preserve"> </w:t>
      </w:r>
      <w:r w:rsidR="007547BE">
        <w:t>exceeded the contract’s annual financial envelope.</w:t>
      </w:r>
      <w:r w:rsidR="003D2B56">
        <w:t xml:space="preserve"> On 17 March 2025, MSE ICB responded, saying that </w:t>
      </w:r>
      <w:r w:rsidR="0044304B">
        <w:t>having reviewed the TUPE information, its calculation indicated that this was not the case.</w:t>
      </w:r>
      <w:bookmarkStart w:id="27" w:name="_Ref206776722"/>
      <w:r w:rsidR="004F0397" w:rsidRPr="004F0397">
        <w:t xml:space="preserve"> </w:t>
      </w:r>
      <w:r w:rsidR="004F0397">
        <w:t>Although MSE ICB did not realise this at the time, its response to CQ43, unfortunately, was not correct.</w:t>
      </w:r>
    </w:p>
    <w:bookmarkEnd w:id="26"/>
    <w:p w14:paraId="6563DB3B" w14:textId="519C5E0D" w:rsidR="00AD31DE" w:rsidRDefault="00FB785E">
      <w:pPr>
        <w:pStyle w:val="ListParagraph"/>
        <w:numPr>
          <w:ilvl w:val="0"/>
          <w:numId w:val="1"/>
        </w:numPr>
        <w:spacing w:line="276" w:lineRule="auto"/>
        <w:contextualSpacing w:val="0"/>
      </w:pPr>
      <w:r>
        <w:t>Bidders</w:t>
      </w:r>
      <w:r w:rsidR="00402D1A">
        <w:t>,</w:t>
      </w:r>
      <w:r w:rsidR="002E3B39">
        <w:t xml:space="preserve"> </w:t>
      </w:r>
      <w:r w:rsidR="00402D1A">
        <w:t xml:space="preserve">having carried out their own analysis of the TUPE data supplied by MSE ICB, </w:t>
      </w:r>
      <w:r w:rsidR="002E3B39">
        <w:t>d</w:t>
      </w:r>
      <w:r w:rsidR="009B059B">
        <w:t xml:space="preserve">id not </w:t>
      </w:r>
      <w:r w:rsidR="002E3B39">
        <w:t xml:space="preserve">take MSE ICB’s response </w:t>
      </w:r>
      <w:r w:rsidR="009B059B">
        <w:t xml:space="preserve">to CQ43 </w:t>
      </w:r>
      <w:r w:rsidR="002E3B39">
        <w:t xml:space="preserve">at face </w:t>
      </w:r>
      <w:r w:rsidR="00402D1A">
        <w:t>value</w:t>
      </w:r>
      <w:r w:rsidR="00463B31">
        <w:t xml:space="preserve">. </w:t>
      </w:r>
      <w:r w:rsidR="00563F24">
        <w:t xml:space="preserve">A </w:t>
      </w:r>
      <w:r w:rsidR="008E27AC">
        <w:t xml:space="preserve">bidder set out its analysis of the TUPE data in a </w:t>
      </w:r>
      <w:r w:rsidR="00563F24">
        <w:t>CQ on 20 March (CQ</w:t>
      </w:r>
      <w:r w:rsidR="007D540B">
        <w:t>64)</w:t>
      </w:r>
      <w:r w:rsidR="00146077">
        <w:t xml:space="preserve">, saying that </w:t>
      </w:r>
      <w:r w:rsidR="00BA6760">
        <w:t xml:space="preserve">annual staffing costs, including </w:t>
      </w:r>
      <w:r w:rsidR="00146077">
        <w:t>pension and other pay-related costs</w:t>
      </w:r>
      <w:r w:rsidR="00BA6760">
        <w:t>, exceed</w:t>
      </w:r>
      <w:r w:rsidR="004627AA">
        <w:t>ed</w:t>
      </w:r>
      <w:r w:rsidR="00BA6760">
        <w:t xml:space="preserve"> the contract’s annual financial envelope</w:t>
      </w:r>
      <w:r w:rsidR="008A3866">
        <w:t>,</w:t>
      </w:r>
      <w:r w:rsidR="00BA6760">
        <w:t xml:space="preserve"> and ask</w:t>
      </w:r>
      <w:r w:rsidR="008A3866">
        <w:t xml:space="preserve">ed </w:t>
      </w:r>
      <w:r w:rsidR="007D540B">
        <w:t>MSE ICB to share the calculations underlying its response to CQ43</w:t>
      </w:r>
      <w:r w:rsidR="002203D8">
        <w:t>.</w:t>
      </w:r>
    </w:p>
    <w:p w14:paraId="22085A1D" w14:textId="5688647F" w:rsidR="00CF5516" w:rsidRDefault="00153D53" w:rsidP="00B3474B">
      <w:pPr>
        <w:pStyle w:val="ListParagraph"/>
        <w:numPr>
          <w:ilvl w:val="0"/>
          <w:numId w:val="1"/>
        </w:numPr>
        <w:spacing w:line="276" w:lineRule="auto"/>
        <w:contextualSpacing w:val="0"/>
      </w:pPr>
      <w:r>
        <w:t>With</w:t>
      </w:r>
      <w:r w:rsidR="00915A31">
        <w:t xml:space="preserve"> </w:t>
      </w:r>
      <w:r w:rsidR="00D2691D">
        <w:t xml:space="preserve">indicative staffing </w:t>
      </w:r>
      <w:r w:rsidR="00CC3E1D">
        <w:t>cost</w:t>
      </w:r>
      <w:r w:rsidR="00D2691D">
        <w:t>s</w:t>
      </w:r>
      <w:r w:rsidR="00CC3E1D">
        <w:t xml:space="preserve"> </w:t>
      </w:r>
      <w:r w:rsidR="000F63C5">
        <w:t xml:space="preserve">exceeding </w:t>
      </w:r>
      <w:r w:rsidR="002C21D6">
        <w:t xml:space="preserve">the </w:t>
      </w:r>
      <w:r w:rsidR="007F7A0C">
        <w:t xml:space="preserve">contract’s annual budget, bidders </w:t>
      </w:r>
      <w:r w:rsidR="00002473">
        <w:t xml:space="preserve">had to formulate a proposal that </w:t>
      </w:r>
      <w:r w:rsidR="00757944">
        <w:t xml:space="preserve">involved a reduction in </w:t>
      </w:r>
      <w:r w:rsidR="00002473">
        <w:t xml:space="preserve">staffing costs so that </w:t>
      </w:r>
      <w:r w:rsidR="00DA78F4">
        <w:t>the costs of their</w:t>
      </w:r>
      <w:r w:rsidR="00757944">
        <w:t xml:space="preserve"> </w:t>
      </w:r>
      <w:r w:rsidR="00176206">
        <w:t>proposals</w:t>
      </w:r>
      <w:r w:rsidR="00757944">
        <w:t xml:space="preserve"> </w:t>
      </w:r>
      <w:r w:rsidR="00176206">
        <w:t xml:space="preserve">would remain </w:t>
      </w:r>
      <w:r w:rsidR="00757944">
        <w:t xml:space="preserve">within the </w:t>
      </w:r>
      <w:r w:rsidR="00176206">
        <w:t xml:space="preserve">fixed </w:t>
      </w:r>
      <w:r w:rsidR="00757944">
        <w:t>financial envelope.</w:t>
      </w:r>
      <w:r w:rsidR="004331AE">
        <w:t xml:space="preserve"> Bidders unable to redeploy staff to other services would need to carry out a redundancy programme</w:t>
      </w:r>
      <w:r w:rsidR="00B3474B">
        <w:t xml:space="preserve">. However, the costs of any redundancy programme also needed to be included in bidders’ proposals given </w:t>
      </w:r>
      <w:r w:rsidR="007E18ED">
        <w:t xml:space="preserve">MSE ICB’s instruction that </w:t>
      </w:r>
      <w:r w:rsidR="000302B1">
        <w:t>the total price “must cover all costs associated with the provision” of the service</w:t>
      </w:r>
      <w:r w:rsidR="00BE1DD1">
        <w:t xml:space="preserve">, including “any anticipated </w:t>
      </w:r>
      <w:r w:rsidR="0031204F">
        <w:t xml:space="preserve">set up and mobilisation costs” </w:t>
      </w:r>
      <w:r w:rsidR="000302B1">
        <w:t xml:space="preserve">(see paragraph </w:t>
      </w:r>
      <w:r w:rsidR="0031204F">
        <w:fldChar w:fldCharType="begin"/>
      </w:r>
      <w:r w:rsidR="0031204F">
        <w:instrText xml:space="preserve"> REF _Ref205907162 \r \h </w:instrText>
      </w:r>
      <w:r w:rsidR="0031204F">
        <w:fldChar w:fldCharType="separate"/>
      </w:r>
      <w:r w:rsidR="00416711">
        <w:t>70</w:t>
      </w:r>
      <w:r w:rsidR="0031204F">
        <w:fldChar w:fldCharType="end"/>
      </w:r>
      <w:r w:rsidR="000302B1">
        <w:t>).</w:t>
      </w:r>
    </w:p>
    <w:p w14:paraId="60F175BF" w14:textId="5B5F1F8F" w:rsidR="00851F8C" w:rsidRDefault="00914E22">
      <w:pPr>
        <w:pStyle w:val="ListParagraph"/>
        <w:numPr>
          <w:ilvl w:val="0"/>
          <w:numId w:val="1"/>
        </w:numPr>
        <w:spacing w:line="276" w:lineRule="auto"/>
        <w:contextualSpacing w:val="0"/>
      </w:pPr>
      <w:r>
        <w:t>Given th</w:t>
      </w:r>
      <w:r w:rsidR="009B7FAE">
        <w:t xml:space="preserve">e difficulty that at least some bidders were experiencing in budgeting for redundancies </w:t>
      </w:r>
      <w:r w:rsidR="00851F8C">
        <w:t>while remaining within the financial envelope</w:t>
      </w:r>
      <w:r w:rsidR="003D7533">
        <w:t xml:space="preserve">, </w:t>
      </w:r>
      <w:r w:rsidR="00851F8C">
        <w:t>one</w:t>
      </w:r>
      <w:r w:rsidR="003D7533">
        <w:t xml:space="preserve"> bidder </w:t>
      </w:r>
      <w:r w:rsidR="00CF3421">
        <w:t>asked MSE ICB (in CQ63</w:t>
      </w:r>
      <w:r w:rsidR="00A94B03">
        <w:t xml:space="preserve"> on 20 March</w:t>
      </w:r>
      <w:r w:rsidR="00C7125C">
        <w:t xml:space="preserve"> 2025</w:t>
      </w:r>
      <w:r w:rsidR="00CF3421">
        <w:t>) to confirm that all costs, including transformation costs</w:t>
      </w:r>
      <w:r w:rsidR="009E2FD9">
        <w:t xml:space="preserve"> (i.e. </w:t>
      </w:r>
      <w:r w:rsidR="009A4BCD">
        <w:t>including redundancy costs)</w:t>
      </w:r>
      <w:r w:rsidR="00A70D18">
        <w:t xml:space="preserve">, </w:t>
      </w:r>
      <w:r w:rsidR="0093115E">
        <w:t>needed to be shown in the FMT.</w:t>
      </w:r>
      <w:r w:rsidR="00851F8C">
        <w:t xml:space="preserve"> </w:t>
      </w:r>
      <w:r w:rsidR="000C48A1">
        <w:t xml:space="preserve">MSE ICB </w:t>
      </w:r>
      <w:r w:rsidR="000C48A1">
        <w:lastRenderedPageBreak/>
        <w:t>responded to CQ63 on 26 March, repeating the tender documentation’s instructions that all costs needed to be included in the FMT.</w:t>
      </w:r>
    </w:p>
    <w:p w14:paraId="788BAA3A" w14:textId="0D9AF8A0" w:rsidR="00E76652" w:rsidRDefault="00851F8C">
      <w:pPr>
        <w:pStyle w:val="ListParagraph"/>
        <w:numPr>
          <w:ilvl w:val="0"/>
          <w:numId w:val="1"/>
        </w:numPr>
        <w:spacing w:line="276" w:lineRule="auto"/>
        <w:contextualSpacing w:val="0"/>
      </w:pPr>
      <w:r>
        <w:t xml:space="preserve">MSE ICB </w:t>
      </w:r>
      <w:r w:rsidR="004E00BC">
        <w:t xml:space="preserve">also responded to CQ64 on 26 March, but did not directly </w:t>
      </w:r>
      <w:r w:rsidR="00926CA1">
        <w:t>respond to</w:t>
      </w:r>
      <w:r w:rsidR="004E00BC">
        <w:t xml:space="preserve"> </w:t>
      </w:r>
      <w:r w:rsidR="00926CA1">
        <w:t>the bidder</w:t>
      </w:r>
      <w:r w:rsidR="00D51AF5">
        <w:t>’</w:t>
      </w:r>
      <w:r w:rsidR="00926CA1">
        <w:t>s point about annual staffing costs exceeding the contract’s annual budget.</w:t>
      </w:r>
      <w:r w:rsidR="00C5485E">
        <w:t xml:space="preserve"> (This was similarly the case for CQ65 where a bidder had also asked about staffing costs exceeding the contract’s annual budget.)</w:t>
      </w:r>
    </w:p>
    <w:p w14:paraId="6675EA46" w14:textId="27ED9AA6" w:rsidR="00FE3DA3" w:rsidRDefault="00233483" w:rsidP="009E2013">
      <w:pPr>
        <w:pStyle w:val="ListParagraph"/>
        <w:numPr>
          <w:ilvl w:val="0"/>
          <w:numId w:val="1"/>
        </w:numPr>
        <w:spacing w:line="276" w:lineRule="auto"/>
        <w:contextualSpacing w:val="0"/>
      </w:pPr>
      <w:r>
        <w:t>With bidders</w:t>
      </w:r>
      <w:r w:rsidR="009E2013">
        <w:t xml:space="preserve"> pressing the point that indicative staffing costs exceeded the contract’s budget, </w:t>
      </w:r>
      <w:r w:rsidR="00A4220E">
        <w:t xml:space="preserve">MSE ICB </w:t>
      </w:r>
      <w:r w:rsidR="005F4AA4">
        <w:t xml:space="preserve">decided to </w:t>
      </w:r>
      <w:r w:rsidR="00A4220E">
        <w:t xml:space="preserve">re-visit its analysis of </w:t>
      </w:r>
      <w:r w:rsidR="00327D9E">
        <w:t xml:space="preserve">the TUPE data. </w:t>
      </w:r>
      <w:bookmarkEnd w:id="27"/>
      <w:r w:rsidR="009A5770">
        <w:t xml:space="preserve">On </w:t>
      </w:r>
      <w:r w:rsidR="00C52278">
        <w:t>27 March</w:t>
      </w:r>
      <w:r w:rsidR="00C31F71">
        <w:t xml:space="preserve"> 2025</w:t>
      </w:r>
      <w:r w:rsidR="00812A23">
        <w:t>,</w:t>
      </w:r>
      <w:r w:rsidR="00C52278">
        <w:t xml:space="preserve"> </w:t>
      </w:r>
      <w:r w:rsidR="00D30AAE">
        <w:t xml:space="preserve">the ICB’s </w:t>
      </w:r>
      <w:r w:rsidR="00F22A71">
        <w:t xml:space="preserve">finance team </w:t>
      </w:r>
      <w:r w:rsidR="00D30AAE">
        <w:t xml:space="preserve">reported </w:t>
      </w:r>
      <w:r w:rsidR="00B00E1F">
        <w:t xml:space="preserve">internally </w:t>
      </w:r>
      <w:r w:rsidR="00D30AAE">
        <w:t>that</w:t>
      </w:r>
      <w:r w:rsidR="005F4AA4">
        <w:t xml:space="preserve"> </w:t>
      </w:r>
      <w:r w:rsidR="00947EFB">
        <w:t xml:space="preserve">including </w:t>
      </w:r>
      <w:r w:rsidR="00630EFE">
        <w:t xml:space="preserve">various </w:t>
      </w:r>
      <w:r w:rsidR="00756079">
        <w:t>pay</w:t>
      </w:r>
      <w:r w:rsidR="00D510E7">
        <w:t>-related costs</w:t>
      </w:r>
      <w:r w:rsidR="00630EFE">
        <w:t xml:space="preserve"> </w:t>
      </w:r>
      <w:r w:rsidR="00FE3DA3">
        <w:t>(</w:t>
      </w:r>
      <w:r w:rsidR="00630EFE">
        <w:t xml:space="preserve">such as </w:t>
      </w:r>
      <w:r w:rsidR="00666C9B">
        <w:t>pension costs</w:t>
      </w:r>
      <w:r w:rsidR="00FE3DA3">
        <w:t>), which had previously been excluded from the ICB’s analysis,</w:t>
      </w:r>
      <w:r w:rsidR="00C60642">
        <w:t xml:space="preserve"> </w:t>
      </w:r>
      <w:r w:rsidR="00BF7B0B">
        <w:t xml:space="preserve">the total cost </w:t>
      </w:r>
      <w:r w:rsidR="00FC4700">
        <w:t>of staff identified as eligible for TUPE</w:t>
      </w:r>
      <w:r w:rsidR="00331CDE">
        <w:t xml:space="preserve"> exceeded the budget envelope</w:t>
      </w:r>
      <w:r w:rsidR="004A09A8">
        <w:t xml:space="preserve"> for year 1 by approximately £2.2</w:t>
      </w:r>
      <w:r w:rsidR="00FE3DA3">
        <w:t> </w:t>
      </w:r>
      <w:r w:rsidR="004A09A8">
        <w:t>million.</w:t>
      </w:r>
      <w:r w:rsidR="0028171D">
        <w:rPr>
          <w:rStyle w:val="FootnoteReference"/>
        </w:rPr>
        <w:footnoteReference w:id="35"/>
      </w:r>
      <w:r w:rsidR="00D358E6">
        <w:rPr>
          <w:rStyle w:val="FootnoteReference"/>
        </w:rPr>
        <w:footnoteReference w:id="36"/>
      </w:r>
    </w:p>
    <w:p w14:paraId="065CC787" w14:textId="6016E716" w:rsidR="00845534" w:rsidRPr="004353F1" w:rsidRDefault="00845534" w:rsidP="005E5CD1">
      <w:pPr>
        <w:pStyle w:val="ListParagraph"/>
        <w:numPr>
          <w:ilvl w:val="0"/>
          <w:numId w:val="1"/>
        </w:numPr>
        <w:spacing w:line="276" w:lineRule="auto"/>
        <w:contextualSpacing w:val="0"/>
      </w:pPr>
      <w:bookmarkStart w:id="28" w:name="_Ref208478405"/>
      <w:r>
        <w:t>Given th</w:t>
      </w:r>
      <w:r w:rsidR="007F5A26">
        <w:t>e results of th</w:t>
      </w:r>
      <w:r>
        <w:t>is</w:t>
      </w:r>
      <w:r w:rsidR="001B11E3">
        <w:t xml:space="preserve"> analysis</w:t>
      </w:r>
      <w:r w:rsidR="000A505D">
        <w:t xml:space="preserve">, the matter was </w:t>
      </w:r>
      <w:r w:rsidR="002254B5">
        <w:t xml:space="preserve">escalated to </w:t>
      </w:r>
      <w:r w:rsidR="006A1FD7">
        <w:t>MSE ICB executive</w:t>
      </w:r>
      <w:r w:rsidR="00E87A32">
        <w:t>s</w:t>
      </w:r>
      <w:r w:rsidR="00130F33">
        <w:t xml:space="preserve"> for further consideration</w:t>
      </w:r>
      <w:r w:rsidR="00E87A32">
        <w:t xml:space="preserve">. These executives </w:t>
      </w:r>
      <w:r w:rsidR="00B735D2">
        <w:t xml:space="preserve">decided </w:t>
      </w:r>
      <w:r w:rsidR="002254B5">
        <w:t xml:space="preserve">to </w:t>
      </w:r>
      <w:r w:rsidR="00497682">
        <w:t xml:space="preserve">continue </w:t>
      </w:r>
      <w:r w:rsidR="0044262F">
        <w:t xml:space="preserve">the procurement with </w:t>
      </w:r>
      <w:r w:rsidR="008561DB">
        <w:t>an unchanged financial envelope</w:t>
      </w:r>
      <w:r w:rsidR="004B16D2">
        <w:t>. T</w:t>
      </w:r>
      <w:r w:rsidR="00AD25FE">
        <w:t xml:space="preserve">he view </w:t>
      </w:r>
      <w:r w:rsidR="004B16D2">
        <w:t xml:space="preserve">was </w:t>
      </w:r>
      <w:r w:rsidR="00AD25FE">
        <w:t xml:space="preserve">taken </w:t>
      </w:r>
      <w:r w:rsidR="00E6243F">
        <w:t xml:space="preserve">that </w:t>
      </w:r>
      <w:r w:rsidR="00B648B1">
        <w:t xml:space="preserve">“the market </w:t>
      </w:r>
      <w:r w:rsidR="007C3523">
        <w:t xml:space="preserve">would respond via the competitive tender exercise to </w:t>
      </w:r>
      <w:r w:rsidR="009B5375" w:rsidRPr="0088712F">
        <w:rPr>
          <w:rFonts w:cs="Arial"/>
          <w:bCs/>
          <w:lang w:eastAsia="en-GB"/>
        </w:rPr>
        <w:t>evidence innovation, investment and if the opportunity was commercially attractive/attainable</w:t>
      </w:r>
      <w:r w:rsidR="00213095">
        <w:rPr>
          <w:rFonts w:cs="Arial"/>
          <w:bCs/>
          <w:lang w:eastAsia="en-GB"/>
        </w:rPr>
        <w:t>. The decision to proceed was made [on] 27 March 2025. Executive and Board agreement was noted</w:t>
      </w:r>
      <w:r w:rsidR="009B5375" w:rsidRPr="0088712F">
        <w:rPr>
          <w:rFonts w:cs="Arial"/>
          <w:bCs/>
          <w:lang w:eastAsia="en-GB"/>
        </w:rPr>
        <w:t>”.</w:t>
      </w:r>
      <w:r w:rsidR="00563F24">
        <w:rPr>
          <w:rStyle w:val="FootnoteReference"/>
        </w:rPr>
        <w:footnoteReference w:id="37"/>
      </w:r>
      <w:bookmarkEnd w:id="28"/>
    </w:p>
    <w:p w14:paraId="5BF3B740" w14:textId="677200B0" w:rsidR="00106414" w:rsidRDefault="00233361" w:rsidP="009D39BF">
      <w:pPr>
        <w:pStyle w:val="ListParagraph"/>
        <w:numPr>
          <w:ilvl w:val="0"/>
          <w:numId w:val="1"/>
        </w:numPr>
        <w:spacing w:line="276" w:lineRule="auto"/>
        <w:contextualSpacing w:val="0"/>
      </w:pPr>
      <w:r w:rsidRPr="00757666">
        <w:rPr>
          <w:rFonts w:cs="Arial"/>
          <w:bCs/>
          <w:lang w:eastAsia="en-GB"/>
        </w:rPr>
        <w:t>On 1 April</w:t>
      </w:r>
      <w:r w:rsidR="00640EDF">
        <w:rPr>
          <w:rFonts w:cs="Arial"/>
          <w:bCs/>
          <w:lang w:eastAsia="en-GB"/>
        </w:rPr>
        <w:t xml:space="preserve"> 2025</w:t>
      </w:r>
      <w:r w:rsidRPr="00757666">
        <w:rPr>
          <w:rFonts w:cs="Arial"/>
          <w:bCs/>
          <w:lang w:eastAsia="en-GB"/>
        </w:rPr>
        <w:t xml:space="preserve">, </w:t>
      </w:r>
      <w:r w:rsidR="00D404B6" w:rsidRPr="00757666">
        <w:rPr>
          <w:rFonts w:cs="Arial"/>
          <w:bCs/>
          <w:lang w:eastAsia="en-GB"/>
        </w:rPr>
        <w:t xml:space="preserve">two days before the deadline for proposals, </w:t>
      </w:r>
      <w:r w:rsidR="0083224A" w:rsidRPr="00757666">
        <w:rPr>
          <w:rFonts w:cs="Arial"/>
          <w:bCs/>
          <w:lang w:eastAsia="en-GB"/>
        </w:rPr>
        <w:t xml:space="preserve">MSE ICB told bidders, in responding to several other CQs about costs, </w:t>
      </w:r>
      <w:r w:rsidR="001722E7" w:rsidRPr="00757666">
        <w:rPr>
          <w:rFonts w:cs="Arial"/>
          <w:bCs/>
          <w:lang w:eastAsia="en-GB"/>
        </w:rPr>
        <w:t>that their financial proposals must not exceed the financial envelope of £55.9 million</w:t>
      </w:r>
      <w:r w:rsidR="00525EE1">
        <w:rPr>
          <w:rFonts w:cs="Arial"/>
          <w:bCs/>
          <w:lang w:eastAsia="en-GB"/>
        </w:rPr>
        <w:t xml:space="preserve"> for the contract’s first three years</w:t>
      </w:r>
      <w:r w:rsidR="001722E7" w:rsidRPr="00757666">
        <w:rPr>
          <w:rFonts w:cs="Arial"/>
          <w:bCs/>
          <w:lang w:eastAsia="en-GB"/>
        </w:rPr>
        <w:t xml:space="preserve">. </w:t>
      </w:r>
      <w:r w:rsidR="00757666" w:rsidRPr="00757666">
        <w:rPr>
          <w:rFonts w:cs="Arial"/>
          <w:bCs/>
          <w:lang w:eastAsia="en-GB"/>
        </w:rPr>
        <w:t xml:space="preserve">However, </w:t>
      </w:r>
      <w:bookmarkStart w:id="29" w:name="_Ref206770367"/>
      <w:r w:rsidR="00F848AA" w:rsidRPr="0D617D84">
        <w:rPr>
          <w:rFonts w:cs="Arial"/>
          <w:lang w:eastAsia="en-GB"/>
        </w:rPr>
        <w:t>i</w:t>
      </w:r>
      <w:r w:rsidR="781E453C" w:rsidRPr="0D617D84">
        <w:rPr>
          <w:rFonts w:cs="Arial"/>
          <w:lang w:eastAsia="en-GB"/>
        </w:rPr>
        <w:t>t</w:t>
      </w:r>
      <w:r w:rsidR="00F848AA">
        <w:rPr>
          <w:rFonts w:cs="Arial"/>
          <w:bCs/>
          <w:lang w:eastAsia="en-GB"/>
        </w:rPr>
        <w:t xml:space="preserve"> further said that </w:t>
      </w:r>
      <w:r w:rsidR="00F116CC">
        <w:t xml:space="preserve">any costs </w:t>
      </w:r>
      <w:r w:rsidR="007768D9">
        <w:t xml:space="preserve">that a bidder proposed to absorb (or fund) </w:t>
      </w:r>
      <w:r w:rsidR="00F116CC">
        <w:t xml:space="preserve">could be </w:t>
      </w:r>
      <w:r w:rsidR="003833B5">
        <w:t xml:space="preserve">excluded from the FMT and </w:t>
      </w:r>
      <w:r w:rsidR="00AB0120">
        <w:t xml:space="preserve">described </w:t>
      </w:r>
      <w:r w:rsidR="00F116CC">
        <w:t xml:space="preserve">in </w:t>
      </w:r>
      <w:r w:rsidR="003833B5">
        <w:t>the bidder’s</w:t>
      </w:r>
      <w:r w:rsidR="00570001">
        <w:t xml:space="preserve"> </w:t>
      </w:r>
      <w:r w:rsidR="00F116CC">
        <w:t>response to Question 2.16</w:t>
      </w:r>
      <w:r w:rsidR="00396483">
        <w:t>.1</w:t>
      </w:r>
      <w:r w:rsidR="00F116CC">
        <w:t xml:space="preserve"> (Value for Money &amp; Financial Sustainability)</w:t>
      </w:r>
      <w:r w:rsidR="00F46714">
        <w:t xml:space="preserve"> and that this</w:t>
      </w:r>
      <w:r w:rsidR="008551AD">
        <w:t xml:space="preserve"> would be “for information only”</w:t>
      </w:r>
      <w:r w:rsidR="008B2B0B">
        <w:t>.</w:t>
      </w:r>
      <w:bookmarkStart w:id="30" w:name="_Ref207093902"/>
      <w:bookmarkStart w:id="31" w:name="_Ref205894305"/>
      <w:bookmarkStart w:id="32" w:name="_Ref205991370"/>
      <w:bookmarkEnd w:id="29"/>
      <w:r w:rsidR="00525EE1" w:rsidRPr="00525EE1">
        <w:t xml:space="preserve"> </w:t>
      </w:r>
      <w:r w:rsidR="00525EE1">
        <w:t>(</w:t>
      </w:r>
      <w:r w:rsidR="00525EE1" w:rsidRPr="00525EE1">
        <w:t>The seven CQs on costs asked during the provider selection process, and MSE ICB’s responses, are set out in full at Appendix 1.</w:t>
      </w:r>
      <w:r w:rsidR="00525EE1">
        <w:rPr>
          <w:rStyle w:val="CommentReference"/>
          <w:sz w:val="22"/>
          <w:szCs w:val="22"/>
        </w:rPr>
        <w:t>)</w:t>
      </w:r>
    </w:p>
    <w:p w14:paraId="174C486E" w14:textId="3820C35E" w:rsidR="003C16CB" w:rsidRDefault="00E66FC4" w:rsidP="00733A02">
      <w:pPr>
        <w:pStyle w:val="ListParagraph"/>
        <w:numPr>
          <w:ilvl w:val="0"/>
          <w:numId w:val="1"/>
        </w:numPr>
        <w:spacing w:after="120" w:line="276" w:lineRule="auto"/>
        <w:contextualSpacing w:val="0"/>
      </w:pPr>
      <w:r>
        <w:t xml:space="preserve">MSE ICB also issued a statement </w:t>
      </w:r>
      <w:r w:rsidR="002E6402">
        <w:t>saying</w:t>
      </w:r>
      <w:r w:rsidR="003C16CB">
        <w:t>:</w:t>
      </w:r>
      <w:bookmarkEnd w:id="30"/>
    </w:p>
    <w:p w14:paraId="6D77D086" w14:textId="519E7EA4" w:rsidR="00933949" w:rsidRDefault="003C16CB" w:rsidP="004353F1">
      <w:pPr>
        <w:pStyle w:val="ListParagraph"/>
        <w:numPr>
          <w:ilvl w:val="0"/>
          <w:numId w:val="0"/>
        </w:numPr>
        <w:spacing w:line="276" w:lineRule="auto"/>
        <w:ind w:left="851"/>
        <w:contextualSpacing w:val="0"/>
      </w:pPr>
      <w:r w:rsidRPr="00EA367E">
        <w:rPr>
          <w:sz w:val="21"/>
          <w:szCs w:val="21"/>
        </w:rPr>
        <w:t>“Bidders have queried where to indicate any investment into the service, noting that the inclusion of investment</w:t>
      </w:r>
      <w:bookmarkStart w:id="33" w:name="_Ref208917600"/>
      <w:r w:rsidR="00B34FEA">
        <w:rPr>
          <w:rStyle w:val="FootnoteReference"/>
          <w:sz w:val="21"/>
          <w:szCs w:val="21"/>
        </w:rPr>
        <w:footnoteReference w:id="38"/>
      </w:r>
      <w:bookmarkEnd w:id="33"/>
      <w:r w:rsidRPr="00EA367E">
        <w:rPr>
          <w:sz w:val="21"/>
          <w:szCs w:val="21"/>
        </w:rPr>
        <w:t xml:space="preserve"> would breach the financial envelope in the Commercial Offer Template assessment. Please do not include investments that would exceed the financial envelope in the Commercial Offer Template (FMT). If you would like to indicate investment into the service without indicating costs that would breach the financial envelope, please utilise the attachment function within the technical question 2.16 Value for Money &amp; Financial Sustainability – Please ma</w:t>
      </w:r>
      <w:r w:rsidR="00535DD8">
        <w:rPr>
          <w:sz w:val="21"/>
          <w:szCs w:val="21"/>
        </w:rPr>
        <w:t>k</w:t>
      </w:r>
      <w:r w:rsidRPr="00EA367E">
        <w:rPr>
          <w:sz w:val="21"/>
          <w:szCs w:val="21"/>
        </w:rPr>
        <w:t>e it clear in the quality written response or supporting attachments that the costs will be absorbed by your organisation”.</w:t>
      </w:r>
      <w:r>
        <w:rPr>
          <w:rStyle w:val="FootnoteReference"/>
          <w:sz w:val="21"/>
          <w:szCs w:val="21"/>
        </w:rPr>
        <w:footnoteReference w:id="39"/>
      </w:r>
      <w:bookmarkEnd w:id="31"/>
      <w:bookmarkEnd w:id="32"/>
    </w:p>
    <w:p w14:paraId="5FB85541" w14:textId="76F914FF" w:rsidR="00216304" w:rsidRPr="00B76804" w:rsidRDefault="00216304" w:rsidP="00955187">
      <w:pPr>
        <w:pStyle w:val="ListParagraph"/>
        <w:numPr>
          <w:ilvl w:val="0"/>
          <w:numId w:val="1"/>
        </w:numPr>
        <w:spacing w:after="120" w:line="276" w:lineRule="auto"/>
        <w:contextualSpacing w:val="0"/>
      </w:pPr>
      <w:bookmarkStart w:id="34" w:name="_Ref206777681"/>
      <w:bookmarkStart w:id="35" w:name="_Ref205908539"/>
      <w:r w:rsidRPr="00C6449C">
        <w:t>Question 2.16</w:t>
      </w:r>
      <w:r w:rsidR="00B33C4B">
        <w:t>.1</w:t>
      </w:r>
      <w:r w:rsidRPr="00C6449C">
        <w:t xml:space="preserve"> </w:t>
      </w:r>
      <w:r>
        <w:t>asked bidders to</w:t>
      </w:r>
      <w:r w:rsidRPr="00B76804">
        <w:t>:</w:t>
      </w:r>
      <w:bookmarkEnd w:id="34"/>
    </w:p>
    <w:p w14:paraId="3DAB7C6D" w14:textId="77777777" w:rsidR="00216304" w:rsidRPr="000E4110" w:rsidRDefault="00216304" w:rsidP="00955187">
      <w:pPr>
        <w:pStyle w:val="ListParagraph"/>
        <w:numPr>
          <w:ilvl w:val="0"/>
          <w:numId w:val="0"/>
        </w:numPr>
        <w:spacing w:line="276" w:lineRule="auto"/>
        <w:ind w:left="851"/>
        <w:rPr>
          <w:sz w:val="21"/>
          <w:szCs w:val="21"/>
        </w:rPr>
      </w:pPr>
      <w:r w:rsidRPr="000E4110">
        <w:rPr>
          <w:sz w:val="21"/>
          <w:szCs w:val="21"/>
        </w:rPr>
        <w:lastRenderedPageBreak/>
        <w:t>“Provide a detailed financial plan, demonstrating how you will deliver cost-effective and sustainable Talking Therapies and PTSMHP services.</w:t>
      </w:r>
    </w:p>
    <w:p w14:paraId="76D124F5" w14:textId="77777777" w:rsidR="00216304" w:rsidRPr="00942091" w:rsidRDefault="00216304" w:rsidP="0078663E">
      <w:pPr>
        <w:pStyle w:val="ListParagraph"/>
        <w:numPr>
          <w:ilvl w:val="2"/>
          <w:numId w:val="17"/>
        </w:numPr>
        <w:tabs>
          <w:tab w:val="clear" w:pos="2160"/>
        </w:tabs>
        <w:spacing w:line="276" w:lineRule="auto"/>
        <w:ind w:left="1560"/>
        <w:rPr>
          <w:sz w:val="21"/>
          <w:szCs w:val="21"/>
        </w:rPr>
      </w:pPr>
      <w:r w:rsidRPr="00942091">
        <w:rPr>
          <w:sz w:val="21"/>
          <w:szCs w:val="21"/>
        </w:rPr>
        <w:t>How will you ensure efficient use of resources while maintaining high service quality?</w:t>
      </w:r>
    </w:p>
    <w:p w14:paraId="5083B028" w14:textId="77777777" w:rsidR="00216304" w:rsidRPr="00942091" w:rsidRDefault="00216304" w:rsidP="0078663E">
      <w:pPr>
        <w:pStyle w:val="ListParagraph"/>
        <w:numPr>
          <w:ilvl w:val="2"/>
          <w:numId w:val="17"/>
        </w:numPr>
        <w:tabs>
          <w:tab w:val="clear" w:pos="2160"/>
        </w:tabs>
        <w:spacing w:line="276" w:lineRule="auto"/>
        <w:ind w:left="1560"/>
        <w:rPr>
          <w:sz w:val="21"/>
          <w:szCs w:val="21"/>
        </w:rPr>
      </w:pPr>
      <w:r w:rsidRPr="00942091">
        <w:rPr>
          <w:sz w:val="21"/>
          <w:szCs w:val="21"/>
        </w:rPr>
        <w:t>Describe your approach to managing waiting lists and service demand within the allocated budget.</w:t>
      </w:r>
    </w:p>
    <w:p w14:paraId="6709D0C3" w14:textId="08B2FD0F" w:rsidR="00216304" w:rsidRPr="00942091" w:rsidRDefault="00216304" w:rsidP="003F722E">
      <w:pPr>
        <w:pStyle w:val="ListParagraph"/>
        <w:numPr>
          <w:ilvl w:val="2"/>
          <w:numId w:val="17"/>
        </w:numPr>
        <w:tabs>
          <w:tab w:val="clear" w:pos="2160"/>
        </w:tabs>
        <w:spacing w:line="276" w:lineRule="auto"/>
        <w:ind w:left="1560"/>
        <w:contextualSpacing w:val="0"/>
        <w:rPr>
          <w:sz w:val="21"/>
          <w:szCs w:val="21"/>
        </w:rPr>
      </w:pPr>
      <w:r w:rsidRPr="0005289D">
        <w:rPr>
          <w:sz w:val="21"/>
          <w:szCs w:val="21"/>
        </w:rPr>
        <w:t>How will you optimise productivity and efficiency without compromising patient outcomes?”</w:t>
      </w:r>
    </w:p>
    <w:p w14:paraId="4A24D843" w14:textId="78C27F0A" w:rsidR="00193D99" w:rsidRDefault="00F77BEE" w:rsidP="00CB1FBD">
      <w:pPr>
        <w:pStyle w:val="ListParagraph"/>
        <w:numPr>
          <w:ilvl w:val="0"/>
          <w:numId w:val="1"/>
        </w:numPr>
        <w:spacing w:after="120" w:line="276" w:lineRule="auto"/>
        <w:contextualSpacing w:val="0"/>
      </w:pPr>
      <w:r>
        <w:t>Bidders were</w:t>
      </w:r>
      <w:r w:rsidR="00E31296">
        <w:t xml:space="preserve"> told </w:t>
      </w:r>
      <w:r w:rsidR="005907C8">
        <w:t>in the tender documentation</w:t>
      </w:r>
      <w:r w:rsidR="00E31296">
        <w:t xml:space="preserve"> that they could </w:t>
      </w:r>
      <w:r w:rsidR="005B2023">
        <w:t xml:space="preserve">submit </w:t>
      </w:r>
      <w:r w:rsidR="00216304">
        <w:t>“additional attachments to support the written response</w:t>
      </w:r>
      <w:r w:rsidR="0033365C">
        <w:t xml:space="preserve">” and that these </w:t>
      </w:r>
      <w:r w:rsidR="00E31296">
        <w:t xml:space="preserve">attachments </w:t>
      </w:r>
      <w:r w:rsidR="0033365C">
        <w:t xml:space="preserve">would </w:t>
      </w:r>
      <w:r w:rsidR="00216304">
        <w:t xml:space="preserve">not </w:t>
      </w:r>
      <w:r w:rsidR="00E7689D">
        <w:t xml:space="preserve">be included in </w:t>
      </w:r>
      <w:r w:rsidR="00216304">
        <w:t xml:space="preserve">the word </w:t>
      </w:r>
      <w:r w:rsidR="005907C8">
        <w:t>limit for the question</w:t>
      </w:r>
      <w:r w:rsidR="00216304">
        <w:t>.</w:t>
      </w:r>
      <w:r w:rsidR="00216304">
        <w:rPr>
          <w:rStyle w:val="FootnoteReference"/>
        </w:rPr>
        <w:footnoteReference w:id="40"/>
      </w:r>
      <w:r w:rsidR="005907C8">
        <w:t xml:space="preserve"> </w:t>
      </w:r>
      <w:bookmarkStart w:id="36" w:name="_Ref206777683"/>
      <w:r w:rsidR="002B7DCB">
        <w:t>The Panel notes</w:t>
      </w:r>
      <w:r w:rsidR="005907C8">
        <w:t>, however,</w:t>
      </w:r>
      <w:r w:rsidR="002B7DCB">
        <w:t xml:space="preserve"> that Question</w:t>
      </w:r>
      <w:r w:rsidR="005907C8">
        <w:t> </w:t>
      </w:r>
      <w:r w:rsidR="002B7DCB">
        <w:t>2.16.1 does not ask bidders for estimates of</w:t>
      </w:r>
      <w:r w:rsidR="00BB6428">
        <w:t>, or information on,</w:t>
      </w:r>
      <w:r w:rsidR="002B7DCB">
        <w:t xml:space="preserve"> costs</w:t>
      </w:r>
      <w:r w:rsidR="008C5E9F">
        <w:t xml:space="preserve"> that bidders proposed to fund through resources external to the contract</w:t>
      </w:r>
      <w:r w:rsidR="002B7DCB">
        <w:t>.</w:t>
      </w:r>
      <w:bookmarkEnd w:id="36"/>
    </w:p>
    <w:p w14:paraId="28488B3F" w14:textId="57223BDC" w:rsidR="000C0224" w:rsidRDefault="007B0B03" w:rsidP="009D39BF">
      <w:pPr>
        <w:pStyle w:val="ListParagraph"/>
        <w:numPr>
          <w:ilvl w:val="0"/>
          <w:numId w:val="1"/>
        </w:numPr>
        <w:spacing w:line="276" w:lineRule="auto"/>
        <w:contextualSpacing w:val="0"/>
      </w:pPr>
      <w:bookmarkStart w:id="37" w:name="_Ref208408432"/>
      <w:r>
        <w:t xml:space="preserve">On </w:t>
      </w:r>
      <w:r w:rsidR="004E1D42">
        <w:t xml:space="preserve">the </w:t>
      </w:r>
      <w:r>
        <w:t>3 April</w:t>
      </w:r>
      <w:r w:rsidR="004E1D42">
        <w:t xml:space="preserve"> </w:t>
      </w:r>
      <w:r w:rsidR="00E835FA">
        <w:t xml:space="preserve">2025 </w:t>
      </w:r>
      <w:r>
        <w:t>deadline, proposals were submitted by EPUT and Vita Health</w:t>
      </w:r>
      <w:r w:rsidR="00673932">
        <w:t xml:space="preserve">, but not by MPFT. </w:t>
      </w:r>
      <w:r w:rsidR="001343CE">
        <w:t xml:space="preserve">MPFT told the Panel that it was </w:t>
      </w:r>
      <w:r w:rsidR="001343CE" w:rsidRPr="00EC34B9">
        <w:t>unable to submit “a fully costed and considered proposal that had achieved the required organisation sign-off” by the deadline</w:t>
      </w:r>
      <w:r w:rsidR="001343CE">
        <w:t xml:space="preserve"> (see paragraph </w:t>
      </w:r>
      <w:r w:rsidR="004E1D42">
        <w:fldChar w:fldCharType="begin"/>
      </w:r>
      <w:r w:rsidR="004E1D42">
        <w:instrText xml:space="preserve"> REF _Ref208332843 \r \h </w:instrText>
      </w:r>
      <w:r w:rsidR="004E1D42">
        <w:fldChar w:fldCharType="separate"/>
      </w:r>
      <w:r w:rsidR="00437D90">
        <w:t>43</w:t>
      </w:r>
      <w:r w:rsidR="004E1D42">
        <w:fldChar w:fldCharType="end"/>
      </w:r>
      <w:r w:rsidR="004E1D42">
        <w:t>).</w:t>
      </w:r>
      <w:bookmarkEnd w:id="37"/>
    </w:p>
    <w:bookmarkEnd w:id="35"/>
    <w:p w14:paraId="3706B4F0" w14:textId="58186095" w:rsidR="000B1660" w:rsidRPr="000B1660" w:rsidRDefault="000B1660" w:rsidP="000B1660">
      <w:pPr>
        <w:keepNext/>
        <w:spacing w:before="240" w:line="276" w:lineRule="auto"/>
        <w:rPr>
          <w:b/>
          <w:bCs/>
        </w:rPr>
      </w:pPr>
      <w:r>
        <w:rPr>
          <w:b/>
          <w:bCs/>
        </w:rPr>
        <w:t>7.2.3</w:t>
      </w:r>
      <w:r w:rsidR="005A31F2">
        <w:rPr>
          <w:b/>
          <w:bCs/>
        </w:rPr>
        <w:t xml:space="preserve"> Panel’s assessment of </w:t>
      </w:r>
      <w:r w:rsidR="004A3870">
        <w:rPr>
          <w:b/>
          <w:bCs/>
        </w:rPr>
        <w:t>concerns about MSE ICB’s advice to bidders on costs</w:t>
      </w:r>
    </w:p>
    <w:p w14:paraId="6A1A9620" w14:textId="094E86F2" w:rsidR="00CA6427" w:rsidRDefault="00CA6427" w:rsidP="00CA6427">
      <w:pPr>
        <w:pStyle w:val="ListParagraph"/>
        <w:numPr>
          <w:ilvl w:val="0"/>
          <w:numId w:val="1"/>
        </w:numPr>
        <w:spacing w:line="276" w:lineRule="auto"/>
      </w:pPr>
      <w:r>
        <w:t xml:space="preserve">The Panel, in reviewing MPFT’s and EPUT’s </w:t>
      </w:r>
      <w:r w:rsidRPr="0003530B">
        <w:t xml:space="preserve">concerns </w:t>
      </w:r>
      <w:r>
        <w:t xml:space="preserve">about </w:t>
      </w:r>
      <w:r w:rsidR="00AC163E">
        <w:t xml:space="preserve">MSE ICB’s </w:t>
      </w:r>
      <w:r w:rsidR="007D50F6">
        <w:t xml:space="preserve">requirements as to how </w:t>
      </w:r>
      <w:r>
        <w:t xml:space="preserve">information </w:t>
      </w:r>
      <w:r w:rsidR="007D50F6">
        <w:t>on service delivery costs should be presented in bidders’ financial proposals</w:t>
      </w:r>
      <w:r>
        <w:t>, has assessed whether MSE ICB breached the PSR regulations</w:t>
      </w:r>
      <w:r w:rsidR="00866527">
        <w:t xml:space="preserve"> in</w:t>
      </w:r>
      <w:r w:rsidR="00AE4F2A">
        <w:t xml:space="preserve"> relation to</w:t>
      </w:r>
      <w:r>
        <w:t>:</w:t>
      </w:r>
    </w:p>
    <w:p w14:paraId="18FE366C" w14:textId="185AFDE5" w:rsidR="00CA6427" w:rsidRDefault="00CA6427" w:rsidP="00CA6427">
      <w:pPr>
        <w:pStyle w:val="ListParagraph"/>
        <w:numPr>
          <w:ilvl w:val="0"/>
          <w:numId w:val="48"/>
        </w:numPr>
        <w:spacing w:line="276" w:lineRule="auto"/>
      </w:pPr>
      <w:r>
        <w:t xml:space="preserve">first, </w:t>
      </w:r>
      <w:r w:rsidR="00CE1EF6">
        <w:t xml:space="preserve">the </w:t>
      </w:r>
      <w:r w:rsidR="00AF6B67">
        <w:t xml:space="preserve">information </w:t>
      </w:r>
      <w:r w:rsidR="009C336C">
        <w:t xml:space="preserve">requested from </w:t>
      </w:r>
      <w:r w:rsidR="00CE1EF6">
        <w:t xml:space="preserve">bidders </w:t>
      </w:r>
      <w:r w:rsidR="00AF6B67">
        <w:t xml:space="preserve">and </w:t>
      </w:r>
      <w:r w:rsidR="003442DA">
        <w:t xml:space="preserve">its </w:t>
      </w:r>
      <w:r w:rsidR="00752B3E">
        <w:t xml:space="preserve">approach to evaluating proposals given the </w:t>
      </w:r>
      <w:r w:rsidR="004B6042">
        <w:t xml:space="preserve">picture that emerged during the tender regarding </w:t>
      </w:r>
      <w:r w:rsidR="001D2A64">
        <w:t xml:space="preserve">likely staffing costs </w:t>
      </w:r>
      <w:r w:rsidR="00DE6A9B">
        <w:t xml:space="preserve">relative to </w:t>
      </w:r>
      <w:r w:rsidR="001D2A64">
        <w:t>the contract’s value</w:t>
      </w:r>
      <w:r>
        <w:t>;</w:t>
      </w:r>
      <w:r w:rsidR="001977CA">
        <w:t xml:space="preserve"> and</w:t>
      </w:r>
    </w:p>
    <w:p w14:paraId="59ECE6A5" w14:textId="6B72A53C" w:rsidR="00CA6427" w:rsidRDefault="00CA6427" w:rsidP="004353F1">
      <w:pPr>
        <w:pStyle w:val="ListParagraph"/>
        <w:numPr>
          <w:ilvl w:val="0"/>
          <w:numId w:val="48"/>
        </w:numPr>
        <w:spacing w:line="276" w:lineRule="auto"/>
      </w:pPr>
      <w:r>
        <w:t xml:space="preserve">second, </w:t>
      </w:r>
      <w:r w:rsidR="00963FD1">
        <w:t xml:space="preserve">the </w:t>
      </w:r>
      <w:r w:rsidR="001D2A64">
        <w:t xml:space="preserve">specific </w:t>
      </w:r>
      <w:r w:rsidR="00963FD1">
        <w:t>changes to the tender process on 1 April</w:t>
      </w:r>
      <w:r w:rsidR="0044123E">
        <w:t xml:space="preserve"> 2025</w:t>
      </w:r>
      <w:r w:rsidR="00963FD1">
        <w:t xml:space="preserve">, which allowed bidders </w:t>
      </w:r>
      <w:r>
        <w:t>to exclude from the FMT those costs that bidders proposed to absorb.</w:t>
      </w:r>
    </w:p>
    <w:p w14:paraId="115A900C" w14:textId="64FC98EF" w:rsidR="00CA6427" w:rsidRPr="004353F1" w:rsidRDefault="00185595" w:rsidP="004353F1">
      <w:pPr>
        <w:keepNext/>
        <w:spacing w:before="240" w:line="276" w:lineRule="auto"/>
        <w:rPr>
          <w:b/>
          <w:bCs/>
        </w:rPr>
      </w:pPr>
      <w:r>
        <w:rPr>
          <w:b/>
          <w:bCs/>
        </w:rPr>
        <w:t xml:space="preserve">Information requested </w:t>
      </w:r>
      <w:r w:rsidR="009309D3">
        <w:rPr>
          <w:b/>
          <w:bCs/>
        </w:rPr>
        <w:t xml:space="preserve">from bidders </w:t>
      </w:r>
      <w:r>
        <w:rPr>
          <w:b/>
          <w:bCs/>
        </w:rPr>
        <w:t>and MSE ICB’s approach to evaluati</w:t>
      </w:r>
      <w:r w:rsidR="00E37A3B">
        <w:rPr>
          <w:b/>
          <w:bCs/>
        </w:rPr>
        <w:t>ng proposals</w:t>
      </w:r>
    </w:p>
    <w:p w14:paraId="75349496" w14:textId="0C33EE36" w:rsidR="00E44E86" w:rsidRDefault="00E44E86" w:rsidP="009D39BF">
      <w:pPr>
        <w:pStyle w:val="ListParagraph"/>
        <w:numPr>
          <w:ilvl w:val="0"/>
          <w:numId w:val="1"/>
        </w:numPr>
        <w:spacing w:line="276" w:lineRule="auto"/>
        <w:contextualSpacing w:val="0"/>
      </w:pPr>
      <w:bookmarkStart w:id="38" w:name="_Ref208479936"/>
      <w:r>
        <w:t xml:space="preserve">MSE ICB’s understanding of the risks facing bidders in taking on the new contract changed </w:t>
      </w:r>
      <w:r w:rsidR="004E532D">
        <w:t xml:space="preserve">significantly during the course of the provider selection process. </w:t>
      </w:r>
      <w:r w:rsidR="000A186A">
        <w:t>At the outset</w:t>
      </w:r>
      <w:r w:rsidR="00C454D8">
        <w:t xml:space="preserve"> of the process, on 4 March</w:t>
      </w:r>
      <w:r w:rsidR="0044123E">
        <w:t xml:space="preserve"> 2025</w:t>
      </w:r>
      <w:r w:rsidR="000A186A">
        <w:t xml:space="preserve">, MSE ICB believed that </w:t>
      </w:r>
      <w:r w:rsidR="000C4A86">
        <w:t>the contract’s budget was sufficient to cover the cost of staff likely to transfer to bidders under TUPE rules</w:t>
      </w:r>
      <w:r w:rsidR="00C454D8">
        <w:t>. However, on 27</w:t>
      </w:r>
      <w:r w:rsidR="009359AA">
        <w:t> </w:t>
      </w:r>
      <w:r w:rsidR="00C454D8">
        <w:t>March</w:t>
      </w:r>
      <w:r w:rsidR="009359AA">
        <w:t>, MSE ICB realised that the contract’s budget was not sufficient to cover the cost of staff likely to transfer to bidders under TUPE rules</w:t>
      </w:r>
      <w:r w:rsidR="00E256DD">
        <w:t xml:space="preserve">, and </w:t>
      </w:r>
      <w:r w:rsidR="00505136">
        <w:t xml:space="preserve">providers would need to make up </w:t>
      </w:r>
      <w:r w:rsidR="00E256DD">
        <w:t xml:space="preserve">this shortfall by </w:t>
      </w:r>
      <w:r w:rsidR="0003735B">
        <w:t xml:space="preserve">delivering larger </w:t>
      </w:r>
      <w:r w:rsidR="00E256DD">
        <w:t>efficiencies</w:t>
      </w:r>
      <w:r w:rsidR="009D0550">
        <w:t>, redeploying staff</w:t>
      </w:r>
      <w:r w:rsidR="00E256DD">
        <w:t xml:space="preserve"> </w:t>
      </w:r>
      <w:r w:rsidR="007F303E">
        <w:t>to other vacant posts</w:t>
      </w:r>
      <w:r w:rsidR="00E256DD">
        <w:t xml:space="preserve"> or</w:t>
      </w:r>
      <w:r w:rsidR="00590F71">
        <w:t xml:space="preserve"> contributing their own </w:t>
      </w:r>
      <w:r w:rsidR="00E256DD">
        <w:t xml:space="preserve">funding </w:t>
      </w:r>
      <w:r w:rsidR="00504E6F">
        <w:t>to the service</w:t>
      </w:r>
      <w:r w:rsidR="00E256DD">
        <w:t>.</w:t>
      </w:r>
      <w:bookmarkEnd w:id="38"/>
    </w:p>
    <w:p w14:paraId="7813409B" w14:textId="7E6D5BCD" w:rsidR="00FA4F41" w:rsidRDefault="00CD04A5" w:rsidP="00CD04A5">
      <w:pPr>
        <w:pStyle w:val="ListParagraph"/>
        <w:numPr>
          <w:ilvl w:val="0"/>
          <w:numId w:val="1"/>
        </w:numPr>
        <w:spacing w:line="276" w:lineRule="auto"/>
        <w:contextualSpacing w:val="0"/>
      </w:pPr>
      <w:r>
        <w:t xml:space="preserve">In response to this changed picture, MSE ICB </w:t>
      </w:r>
      <w:r w:rsidR="00B62EA8">
        <w:t xml:space="preserve">chose to </w:t>
      </w:r>
      <w:r w:rsidR="00D35E30">
        <w:t>press ahead</w:t>
      </w:r>
      <w:r>
        <w:t xml:space="preserve"> with the procurement process</w:t>
      </w:r>
      <w:r w:rsidR="00D35E30">
        <w:t xml:space="preserve">, </w:t>
      </w:r>
      <w:r w:rsidR="00F62CCA">
        <w:t xml:space="preserve">deciding </w:t>
      </w:r>
      <w:r w:rsidR="00B62EA8">
        <w:t xml:space="preserve">that </w:t>
      </w:r>
      <w:r w:rsidR="00FA4F41">
        <w:t xml:space="preserve">it would see whether “the market would respond via the competitive tender exercise to </w:t>
      </w:r>
      <w:r w:rsidR="00FA4F41" w:rsidRPr="0088712F">
        <w:rPr>
          <w:rFonts w:cs="Arial"/>
          <w:bCs/>
          <w:lang w:eastAsia="en-GB"/>
        </w:rPr>
        <w:t>evidence innovation, investment and if the opportunity was commercially attractive/attainable</w:t>
      </w:r>
      <w:r w:rsidR="00E47ECA">
        <w:rPr>
          <w:rFonts w:cs="Arial"/>
          <w:bCs/>
          <w:lang w:eastAsia="en-GB"/>
        </w:rPr>
        <w:t xml:space="preserve">” (see paragraph </w:t>
      </w:r>
      <w:r w:rsidR="000F0A64">
        <w:rPr>
          <w:rFonts w:cs="Arial"/>
          <w:bCs/>
          <w:lang w:eastAsia="en-GB"/>
        </w:rPr>
        <w:fldChar w:fldCharType="begin"/>
      </w:r>
      <w:r w:rsidR="000F0A64">
        <w:rPr>
          <w:rFonts w:cs="Arial"/>
          <w:bCs/>
          <w:lang w:eastAsia="en-GB"/>
        </w:rPr>
        <w:instrText xml:space="preserve"> REF _Ref208478405 \r \h </w:instrText>
      </w:r>
      <w:r w:rsidR="000F0A64">
        <w:rPr>
          <w:rFonts w:cs="Arial"/>
          <w:bCs/>
          <w:lang w:eastAsia="en-GB"/>
        </w:rPr>
      </w:r>
      <w:r w:rsidR="000F0A64">
        <w:rPr>
          <w:rFonts w:cs="Arial"/>
          <w:bCs/>
          <w:lang w:eastAsia="en-GB"/>
        </w:rPr>
        <w:fldChar w:fldCharType="separate"/>
      </w:r>
      <w:r w:rsidR="00437D90">
        <w:rPr>
          <w:rFonts w:cs="Arial"/>
          <w:bCs/>
          <w:lang w:eastAsia="en-GB"/>
        </w:rPr>
        <w:t>78</w:t>
      </w:r>
      <w:r w:rsidR="000F0A64">
        <w:rPr>
          <w:rFonts w:cs="Arial"/>
          <w:bCs/>
          <w:lang w:eastAsia="en-GB"/>
        </w:rPr>
        <w:fldChar w:fldCharType="end"/>
      </w:r>
      <w:r w:rsidR="00E47ECA">
        <w:rPr>
          <w:rFonts w:cs="Arial"/>
          <w:bCs/>
          <w:lang w:eastAsia="en-GB"/>
        </w:rPr>
        <w:t>)</w:t>
      </w:r>
      <w:r w:rsidR="00FA4F41">
        <w:rPr>
          <w:rFonts w:cs="Arial"/>
          <w:bCs/>
          <w:lang w:eastAsia="en-GB"/>
        </w:rPr>
        <w:t>.</w:t>
      </w:r>
    </w:p>
    <w:p w14:paraId="423E9C90" w14:textId="401CBC3F" w:rsidR="00C731EF" w:rsidRDefault="005724E5" w:rsidP="00852747">
      <w:pPr>
        <w:pStyle w:val="ListParagraph"/>
        <w:numPr>
          <w:ilvl w:val="0"/>
          <w:numId w:val="1"/>
        </w:numPr>
        <w:spacing w:line="276" w:lineRule="auto"/>
        <w:contextualSpacing w:val="0"/>
      </w:pPr>
      <w:r>
        <w:lastRenderedPageBreak/>
        <w:t xml:space="preserve">MSE ICB did not, however, </w:t>
      </w:r>
      <w:r w:rsidR="007C6692">
        <w:t>requ</w:t>
      </w:r>
      <w:r w:rsidR="00A50654">
        <w:t>ire</w:t>
      </w:r>
      <w:r w:rsidR="007C6692">
        <w:t xml:space="preserve"> any additional</w:t>
      </w:r>
      <w:r w:rsidR="002410B4">
        <w:t xml:space="preserve"> information from bidders or </w:t>
      </w:r>
      <w:r w:rsidR="007C6692">
        <w:t xml:space="preserve">alter </w:t>
      </w:r>
      <w:r>
        <w:t xml:space="preserve">its approach </w:t>
      </w:r>
      <w:r w:rsidR="002410B4">
        <w:t>to evaluating proposals in the light of</w:t>
      </w:r>
      <w:r w:rsidR="00E849D6">
        <w:t>:</w:t>
      </w:r>
      <w:r w:rsidR="00E96857">
        <w:t xml:space="preserve"> (i) </w:t>
      </w:r>
      <w:r w:rsidR="002410B4">
        <w:t>th</w:t>
      </w:r>
      <w:r w:rsidR="00E96857">
        <w:t>e</w:t>
      </w:r>
      <w:r w:rsidR="002410B4">
        <w:t xml:space="preserve"> changing picture about the risks that bidders were being asked to take on</w:t>
      </w:r>
      <w:r w:rsidR="00E849D6">
        <w:t>;</w:t>
      </w:r>
      <w:r w:rsidR="00E96857">
        <w:t xml:space="preserve"> </w:t>
      </w:r>
      <w:r w:rsidR="007C6692">
        <w:t>and</w:t>
      </w:r>
      <w:r w:rsidR="00E96857">
        <w:t xml:space="preserve"> (ii) </w:t>
      </w:r>
      <w:r w:rsidR="009A58AF">
        <w:t xml:space="preserve">its </w:t>
      </w:r>
      <w:r w:rsidR="009A2A86">
        <w:t xml:space="preserve">interest in </w:t>
      </w:r>
      <w:r w:rsidR="002309FB">
        <w:t>see</w:t>
      </w:r>
      <w:r w:rsidR="009A2A86">
        <w:t>ing</w:t>
      </w:r>
      <w:r w:rsidR="002309FB">
        <w:t xml:space="preserve"> whether bidders would </w:t>
      </w:r>
      <w:r w:rsidR="00E849D6">
        <w:t xml:space="preserve">propose their own investment in the service or </w:t>
      </w:r>
      <w:r w:rsidR="003C4166">
        <w:t>evidence innovation (to drive necessary efficiencies)</w:t>
      </w:r>
      <w:r w:rsidR="00F85358">
        <w:t>.</w:t>
      </w:r>
    </w:p>
    <w:p w14:paraId="4CED1FB8" w14:textId="5F07376D" w:rsidR="007644C5" w:rsidRDefault="00955E52" w:rsidP="00F512E8">
      <w:pPr>
        <w:pStyle w:val="ListParagraph"/>
        <w:numPr>
          <w:ilvl w:val="0"/>
          <w:numId w:val="1"/>
        </w:numPr>
        <w:spacing w:line="276" w:lineRule="auto"/>
        <w:contextualSpacing w:val="0"/>
      </w:pPr>
      <w:r>
        <w:t>B</w:t>
      </w:r>
      <w:r w:rsidR="000948AD">
        <w:t xml:space="preserve">idders </w:t>
      </w:r>
      <w:r w:rsidR="00A50654">
        <w:t>did</w:t>
      </w:r>
      <w:r w:rsidR="000948AD">
        <w:t xml:space="preserve"> not </w:t>
      </w:r>
      <w:r w:rsidR="00A50654">
        <w:t>have</w:t>
      </w:r>
      <w:r w:rsidR="00B251DB">
        <w:t xml:space="preserve"> to</w:t>
      </w:r>
      <w:r>
        <w:t>, for example</w:t>
      </w:r>
      <w:r w:rsidR="006E16CA">
        <w:t xml:space="preserve">, set out plans for </w:t>
      </w:r>
      <w:r w:rsidR="008112F2">
        <w:t xml:space="preserve">delivering </w:t>
      </w:r>
      <w:r w:rsidR="00852747">
        <w:t xml:space="preserve">any </w:t>
      </w:r>
      <w:r w:rsidR="006E16CA">
        <w:t xml:space="preserve">efficiencies </w:t>
      </w:r>
      <w:r w:rsidR="00852747">
        <w:t xml:space="preserve">necessary </w:t>
      </w:r>
      <w:r w:rsidR="00033F4C">
        <w:t xml:space="preserve">for their financial proposal to fall </w:t>
      </w:r>
      <w:r w:rsidR="008112F2">
        <w:t>within the financial envelope</w:t>
      </w:r>
      <w:r w:rsidR="006B0A65">
        <w:t xml:space="preserve">. </w:t>
      </w:r>
      <w:r w:rsidR="00033F4C">
        <w:t>Further, al</w:t>
      </w:r>
      <w:r w:rsidR="006B0A65">
        <w:t>though bidders were</w:t>
      </w:r>
      <w:r w:rsidR="00033F4C">
        <w:t xml:space="preserve"> given the opportunity </w:t>
      </w:r>
      <w:r w:rsidR="006B0A65">
        <w:t xml:space="preserve">to supply information </w:t>
      </w:r>
      <w:r w:rsidR="00BC233F">
        <w:t xml:space="preserve">about </w:t>
      </w:r>
      <w:r w:rsidR="006B0A65">
        <w:t>costs they proposed to absorb (</w:t>
      </w:r>
      <w:r w:rsidR="00BC233F">
        <w:t xml:space="preserve">in </w:t>
      </w:r>
      <w:r w:rsidR="006B0A65">
        <w:t xml:space="preserve">their response to Question 2.16.1), this </w:t>
      </w:r>
      <w:r w:rsidR="00BC233F">
        <w:t xml:space="preserve">information </w:t>
      </w:r>
      <w:r w:rsidR="006B0A65">
        <w:t xml:space="preserve">was </w:t>
      </w:r>
      <w:r w:rsidR="0007341D">
        <w:t>not required and would be included</w:t>
      </w:r>
      <w:r w:rsidR="006B0A65">
        <w:t xml:space="preserve"> on a “for information only” basis</w:t>
      </w:r>
      <w:r w:rsidR="00BC233F">
        <w:t xml:space="preserve"> (i.e. it </w:t>
      </w:r>
      <w:r w:rsidR="006B0A65">
        <w:t>would not be evaluated</w:t>
      </w:r>
      <w:r w:rsidR="00BC233F">
        <w:t>)</w:t>
      </w:r>
      <w:r w:rsidR="006B0A65">
        <w:t>.</w:t>
      </w:r>
    </w:p>
    <w:p w14:paraId="06A5D7EB" w14:textId="3F69CB85" w:rsidR="00647E52" w:rsidRDefault="00B947BC" w:rsidP="004353F1">
      <w:pPr>
        <w:pStyle w:val="ListParagraph"/>
        <w:numPr>
          <w:ilvl w:val="0"/>
          <w:numId w:val="1"/>
        </w:numPr>
        <w:spacing w:after="120" w:line="276" w:lineRule="auto"/>
        <w:contextualSpacing w:val="0"/>
      </w:pPr>
      <w:r>
        <w:t>This approach allowed bidders to</w:t>
      </w:r>
      <w:r w:rsidR="00236993">
        <w:t xml:space="preserve"> potentially claim that</w:t>
      </w:r>
      <w:r w:rsidR="008D280B">
        <w:t>:</w:t>
      </w:r>
    </w:p>
    <w:p w14:paraId="7ED4B19B" w14:textId="02B15089" w:rsidR="00647E52" w:rsidRDefault="00236993" w:rsidP="004353F1">
      <w:pPr>
        <w:pStyle w:val="ListParagraph"/>
        <w:numPr>
          <w:ilvl w:val="2"/>
          <w:numId w:val="1"/>
        </w:numPr>
        <w:spacing w:after="120" w:line="276" w:lineRule="auto"/>
        <w:ind w:left="1418" w:hanging="437"/>
        <w:contextualSpacing w:val="0"/>
      </w:pPr>
      <w:r>
        <w:t xml:space="preserve">substantial </w:t>
      </w:r>
      <w:r w:rsidR="008D280B">
        <w:t xml:space="preserve">efficiencies </w:t>
      </w:r>
      <w:r>
        <w:t xml:space="preserve">would be made </w:t>
      </w:r>
      <w:r w:rsidR="008D280B">
        <w:t>in delivering services</w:t>
      </w:r>
      <w:r>
        <w:t>, so as to remain within the financial envelope,</w:t>
      </w:r>
      <w:r w:rsidR="00073F35">
        <w:t xml:space="preserve"> without having these </w:t>
      </w:r>
      <w:r w:rsidR="009F1BF1">
        <w:t xml:space="preserve">efficiency </w:t>
      </w:r>
      <w:r w:rsidR="00073F35">
        <w:t>claims tested and evaluated by MSE ICB;</w:t>
      </w:r>
      <w:r w:rsidR="004967BC">
        <w:t xml:space="preserve"> and/or</w:t>
      </w:r>
    </w:p>
    <w:p w14:paraId="1B5F560A" w14:textId="2A7062B5" w:rsidR="00F90384" w:rsidRDefault="002A12E2" w:rsidP="00647E52">
      <w:pPr>
        <w:pStyle w:val="ListParagraph"/>
        <w:numPr>
          <w:ilvl w:val="2"/>
          <w:numId w:val="1"/>
        </w:numPr>
        <w:spacing w:line="276" w:lineRule="auto"/>
        <w:ind w:left="1418" w:hanging="437"/>
        <w:contextualSpacing w:val="0"/>
      </w:pPr>
      <w:r>
        <w:t>outside funding would be supplied</w:t>
      </w:r>
      <w:r w:rsidR="00236993">
        <w:t xml:space="preserve">, so as to allow costs to be excluded from the FMT </w:t>
      </w:r>
      <w:r w:rsidR="00F90384">
        <w:t xml:space="preserve">and </w:t>
      </w:r>
      <w:r w:rsidR="00452E44">
        <w:t xml:space="preserve">to allow </w:t>
      </w:r>
      <w:r w:rsidR="00F90384">
        <w:t>the bidder to remain within the financial envelope,</w:t>
      </w:r>
      <w:r>
        <w:t xml:space="preserve"> </w:t>
      </w:r>
      <w:r w:rsidR="009F1BF1">
        <w:t xml:space="preserve">without having the availability and certainty of this funding </w:t>
      </w:r>
      <w:r w:rsidR="00647E52">
        <w:t>assessed by MSE ICB</w:t>
      </w:r>
      <w:r w:rsidR="00365470">
        <w:t>.</w:t>
      </w:r>
    </w:p>
    <w:p w14:paraId="14E6BF6A" w14:textId="475A75A1" w:rsidR="00A0756D" w:rsidRDefault="00AB6D47" w:rsidP="00416CAD">
      <w:pPr>
        <w:pStyle w:val="ListParagraph"/>
        <w:numPr>
          <w:ilvl w:val="0"/>
          <w:numId w:val="1"/>
        </w:numPr>
        <w:spacing w:line="276" w:lineRule="auto"/>
        <w:contextualSpacing w:val="0"/>
      </w:pPr>
      <w:r>
        <w:t xml:space="preserve">This, in turn, </w:t>
      </w:r>
      <w:r w:rsidR="00EB159F">
        <w:t xml:space="preserve">meant that </w:t>
      </w:r>
      <w:r w:rsidR="00015F32">
        <w:t xml:space="preserve">MSE ICB denied itself the opportunity to </w:t>
      </w:r>
      <w:r w:rsidR="00C805FF">
        <w:t xml:space="preserve">equitably </w:t>
      </w:r>
      <w:r w:rsidR="00AE3FF4">
        <w:t>evaluate key aspects of bidders’ proposals that were critical to them being able to deliver the service within the fixed budget set by MSE ICB.</w:t>
      </w:r>
      <w:r w:rsidR="00A0756D">
        <w:t xml:space="preserve"> </w:t>
      </w:r>
      <w:r w:rsidR="00945C09">
        <w:t xml:space="preserve">This had consequences not only for the integrity of the provider selection process, but also </w:t>
      </w:r>
      <w:r w:rsidR="00F96050">
        <w:t xml:space="preserve">in terms of the risk </w:t>
      </w:r>
      <w:r w:rsidR="008C4EB8">
        <w:t>for MSE ICB and service users</w:t>
      </w:r>
      <w:r w:rsidR="00A0756D">
        <w:t xml:space="preserve"> of </w:t>
      </w:r>
      <w:r w:rsidR="008C4EB8">
        <w:t xml:space="preserve">a bidder </w:t>
      </w:r>
      <w:r w:rsidR="00F260F9">
        <w:t xml:space="preserve">being selected, </w:t>
      </w:r>
      <w:r w:rsidR="007026AE">
        <w:t xml:space="preserve">whose </w:t>
      </w:r>
      <w:r w:rsidR="00F260F9">
        <w:t xml:space="preserve">proposal </w:t>
      </w:r>
      <w:r w:rsidR="007026AE">
        <w:t xml:space="preserve">was aided by </w:t>
      </w:r>
      <w:r w:rsidR="00126F38">
        <w:t xml:space="preserve">claims </w:t>
      </w:r>
      <w:r w:rsidR="00F260F9">
        <w:t xml:space="preserve">that were not evaluated, and </w:t>
      </w:r>
      <w:r w:rsidR="00126F38">
        <w:t xml:space="preserve">subsequently </w:t>
      </w:r>
      <w:r w:rsidR="00F260F9">
        <w:t xml:space="preserve">not </w:t>
      </w:r>
      <w:r w:rsidR="00126F38">
        <w:t>deliver</w:t>
      </w:r>
      <w:r w:rsidR="00A7167A">
        <w:t>ing</w:t>
      </w:r>
      <w:r w:rsidR="007026AE">
        <w:t xml:space="preserve"> on </w:t>
      </w:r>
      <w:r w:rsidR="00F260F9">
        <w:t>these</w:t>
      </w:r>
      <w:r w:rsidR="007026AE">
        <w:t xml:space="preserve"> promises</w:t>
      </w:r>
      <w:r w:rsidR="00126F38">
        <w:t>.</w:t>
      </w:r>
    </w:p>
    <w:p w14:paraId="6492437C" w14:textId="5D86BBFD" w:rsidR="000F54D8" w:rsidRDefault="000F54D8" w:rsidP="009D39BF">
      <w:pPr>
        <w:pStyle w:val="ListParagraph"/>
        <w:numPr>
          <w:ilvl w:val="0"/>
          <w:numId w:val="1"/>
        </w:numPr>
        <w:spacing w:line="276" w:lineRule="auto"/>
        <w:contextualSpacing w:val="0"/>
      </w:pPr>
      <w:r>
        <w:t xml:space="preserve">Having reviewed bidders’ proposals, the Panel cannot be confident that </w:t>
      </w:r>
      <w:r w:rsidR="00352A2A">
        <w:t xml:space="preserve">unevaluated </w:t>
      </w:r>
      <w:r>
        <w:t xml:space="preserve">claims </w:t>
      </w:r>
      <w:r w:rsidR="00126F38">
        <w:t xml:space="preserve">about efficiencies, outside funding </w:t>
      </w:r>
      <w:r w:rsidR="003C1EE2">
        <w:t xml:space="preserve">and related matters </w:t>
      </w:r>
      <w:r>
        <w:t>were not made by bidders</w:t>
      </w:r>
      <w:r w:rsidR="00352A2A">
        <w:t>.</w:t>
      </w:r>
    </w:p>
    <w:p w14:paraId="4B5B8CBA" w14:textId="333DE41E" w:rsidR="001F5F09" w:rsidRDefault="008258C6" w:rsidP="004353F1">
      <w:pPr>
        <w:pStyle w:val="ListParagraph"/>
        <w:numPr>
          <w:ilvl w:val="0"/>
          <w:numId w:val="1"/>
        </w:numPr>
        <w:spacing w:line="276" w:lineRule="auto"/>
      </w:pPr>
      <w:r>
        <w:t>The Panel has carefully considered whether these circumstances are sufficient to amount to a breach of the PSR regulations</w:t>
      </w:r>
      <w:r w:rsidR="00003EA7">
        <w:t xml:space="preserve"> (as opposed to be</w:t>
      </w:r>
      <w:r w:rsidR="00B15130">
        <w:t>ing an example of potentially poor practice that may not in itself breach the PSR regulations).</w:t>
      </w:r>
      <w:r w:rsidR="00B86040">
        <w:t xml:space="preserve"> In doing so, the Panel has had particular regard to </w:t>
      </w:r>
      <w:r w:rsidR="008229AB">
        <w:t>Regulation 4</w:t>
      </w:r>
      <w:r w:rsidR="00E36D66">
        <w:t>,</w:t>
      </w:r>
      <w:r w:rsidR="008229AB">
        <w:t xml:space="preserve"> </w:t>
      </w:r>
      <w:r w:rsidR="00E36D66">
        <w:t>which</w:t>
      </w:r>
      <w:r w:rsidR="008229AB">
        <w:t xml:space="preserve"> requires that a relevant authority must act</w:t>
      </w:r>
      <w:r w:rsidR="001F5F09">
        <w:t>:</w:t>
      </w:r>
    </w:p>
    <w:p w14:paraId="39D38EA0" w14:textId="2DB55C6A" w:rsidR="001F5F09" w:rsidRDefault="001F5F09" w:rsidP="004353F1">
      <w:pPr>
        <w:pStyle w:val="ListParagraph"/>
        <w:numPr>
          <w:ilvl w:val="4"/>
          <w:numId w:val="28"/>
        </w:numPr>
        <w:spacing w:line="276" w:lineRule="auto"/>
        <w:ind w:left="1276"/>
      </w:pPr>
      <w:r>
        <w:t>with a view to (i) securing the needs of the people who use the services, (ii) improving the quality of the services, and (iii) improving efficiency in the provision of the services;</w:t>
      </w:r>
    </w:p>
    <w:p w14:paraId="0D950968" w14:textId="3BC65E59" w:rsidR="00467219" w:rsidRDefault="00467219" w:rsidP="004353F1">
      <w:pPr>
        <w:pStyle w:val="ListParagraph"/>
        <w:numPr>
          <w:ilvl w:val="4"/>
          <w:numId w:val="28"/>
        </w:numPr>
        <w:spacing w:line="276" w:lineRule="auto"/>
        <w:ind w:left="1276"/>
        <w:contextualSpacing w:val="0"/>
      </w:pPr>
      <w:r>
        <w:t>transparently, fairly and proportionately.</w:t>
      </w:r>
    </w:p>
    <w:p w14:paraId="6EA50CC3" w14:textId="60CBC460" w:rsidR="006973C5" w:rsidRDefault="00C3452C" w:rsidP="00C3452C">
      <w:pPr>
        <w:pStyle w:val="ListParagraph"/>
        <w:numPr>
          <w:ilvl w:val="0"/>
          <w:numId w:val="1"/>
        </w:numPr>
        <w:spacing w:line="276" w:lineRule="auto"/>
        <w:contextualSpacing w:val="0"/>
      </w:pPr>
      <w:r>
        <w:t xml:space="preserve">The Panel’s view is that </w:t>
      </w:r>
      <w:r w:rsidR="00A22270">
        <w:t>the circumstances of this case</w:t>
      </w:r>
      <w:r w:rsidR="002A2070">
        <w:t xml:space="preserve"> resulted in</w:t>
      </w:r>
      <w:r w:rsidR="00D421AA">
        <w:t xml:space="preserve"> </w:t>
      </w:r>
      <w:r w:rsidR="006973C5">
        <w:t xml:space="preserve">MSE ICB </w:t>
      </w:r>
      <w:r w:rsidR="002A2070">
        <w:t xml:space="preserve">denying </w:t>
      </w:r>
      <w:r w:rsidR="006973C5">
        <w:t>itself the opportunity to evaluate key aspects of bidders’ proposals</w:t>
      </w:r>
      <w:r w:rsidR="007261DF">
        <w:t xml:space="preserve"> on a level playing field</w:t>
      </w:r>
      <w:r w:rsidR="00326375">
        <w:t xml:space="preserve">, and in particular </w:t>
      </w:r>
      <w:r w:rsidR="00326375" w:rsidRPr="00326375">
        <w:t xml:space="preserve">the ability of bidders to </w:t>
      </w:r>
      <w:r w:rsidR="008363D2">
        <w:t>effect</w:t>
      </w:r>
      <w:r w:rsidR="00326375" w:rsidRPr="00326375">
        <w:t xml:space="preserve"> the necessary transition to the new service they would provide</w:t>
      </w:r>
      <w:r w:rsidR="008363D2">
        <w:t>,</w:t>
      </w:r>
      <w:r w:rsidR="00326375" w:rsidRPr="00326375">
        <w:t xml:space="preserve"> in accordance with the proposed bid price within the maximum financial envelope</w:t>
      </w:r>
      <w:r w:rsidR="008363D2">
        <w:t>.</w:t>
      </w:r>
    </w:p>
    <w:p w14:paraId="50C86AEE" w14:textId="2E26C5CE" w:rsidR="00FE2E91" w:rsidRDefault="00FE2E91" w:rsidP="00C3452C">
      <w:pPr>
        <w:pStyle w:val="ListParagraph"/>
        <w:numPr>
          <w:ilvl w:val="0"/>
          <w:numId w:val="1"/>
        </w:numPr>
        <w:spacing w:line="276" w:lineRule="auto"/>
        <w:contextualSpacing w:val="0"/>
      </w:pPr>
      <w:bookmarkStart w:id="39" w:name="_Ref208479944"/>
      <w:r>
        <w:lastRenderedPageBreak/>
        <w:t xml:space="preserve">As a result, the Panel finds </w:t>
      </w:r>
      <w:r w:rsidR="001E7A61">
        <w:t xml:space="preserve">that MSE ICB, </w:t>
      </w:r>
      <w:r w:rsidR="004761A1">
        <w:t xml:space="preserve">in denying itself the opportunity to evaluate key aspects of </w:t>
      </w:r>
      <w:r w:rsidR="00E76899">
        <w:t xml:space="preserve">bidders’ </w:t>
      </w:r>
      <w:r w:rsidR="004761A1">
        <w:t>proposals</w:t>
      </w:r>
      <w:r w:rsidR="00E76899">
        <w:t xml:space="preserve"> on a level playing field</w:t>
      </w:r>
      <w:r w:rsidR="004761A1">
        <w:t>, breached the PSR regulations, and in particular, its obligations to act fairly, transparently and proportionately.</w:t>
      </w:r>
      <w:bookmarkEnd w:id="39"/>
    </w:p>
    <w:p w14:paraId="20740A7E" w14:textId="72860828" w:rsidR="00641667" w:rsidRPr="00641667" w:rsidRDefault="00F87709" w:rsidP="00641667">
      <w:pPr>
        <w:keepNext/>
        <w:spacing w:before="240" w:line="276" w:lineRule="auto"/>
        <w:rPr>
          <w:b/>
          <w:bCs/>
        </w:rPr>
      </w:pPr>
      <w:r>
        <w:rPr>
          <w:b/>
          <w:bCs/>
        </w:rPr>
        <w:t xml:space="preserve">Changes to the tender process on </w:t>
      </w:r>
      <w:r w:rsidR="00D30A46">
        <w:rPr>
          <w:b/>
          <w:bCs/>
        </w:rPr>
        <w:t xml:space="preserve">1 April </w:t>
      </w:r>
      <w:r w:rsidR="009D356F">
        <w:rPr>
          <w:b/>
          <w:bCs/>
        </w:rPr>
        <w:t xml:space="preserve">2025 </w:t>
      </w:r>
      <w:r w:rsidR="004E406E">
        <w:rPr>
          <w:b/>
          <w:bCs/>
        </w:rPr>
        <w:t>allowing bidders to exclude self-financed costs from the FMT</w:t>
      </w:r>
    </w:p>
    <w:p w14:paraId="5F02AE85" w14:textId="78C3280C" w:rsidR="00B7029C" w:rsidRDefault="004A71DB" w:rsidP="004353F1">
      <w:pPr>
        <w:pStyle w:val="ListParagraph"/>
        <w:numPr>
          <w:ilvl w:val="0"/>
          <w:numId w:val="1"/>
        </w:numPr>
        <w:spacing w:line="276" w:lineRule="auto"/>
      </w:pPr>
      <w:r>
        <w:t>T</w:t>
      </w:r>
      <w:r w:rsidR="00D46FC6">
        <w:t xml:space="preserve">he Panel has also considered the narrower issue of whether </w:t>
      </w:r>
      <w:r w:rsidR="00492019">
        <w:t xml:space="preserve">MSE ICB’s decision to allow bidders to </w:t>
      </w:r>
      <w:r w:rsidR="007308D7">
        <w:t xml:space="preserve">exclude from the FMT </w:t>
      </w:r>
      <w:r w:rsidR="00357F05">
        <w:t xml:space="preserve">those costs </w:t>
      </w:r>
      <w:r w:rsidR="00307B64">
        <w:t xml:space="preserve">they </w:t>
      </w:r>
      <w:r w:rsidR="00357F05">
        <w:t xml:space="preserve">planned to fund from </w:t>
      </w:r>
      <w:r w:rsidR="00307B64">
        <w:t xml:space="preserve">their </w:t>
      </w:r>
      <w:r w:rsidR="00357F05">
        <w:t xml:space="preserve">own resources outside the contract </w:t>
      </w:r>
      <w:r w:rsidR="007308D7">
        <w:t>was in breach of the PSR regulations.</w:t>
      </w:r>
      <w:r w:rsidR="00726462">
        <w:t xml:space="preserve"> Two potential breaches arise</w:t>
      </w:r>
      <w:r w:rsidR="00B7029C">
        <w:t>:</w:t>
      </w:r>
    </w:p>
    <w:p w14:paraId="614831A3" w14:textId="7B246FCD" w:rsidR="00B7029C" w:rsidRDefault="00B7029C" w:rsidP="004353F1">
      <w:pPr>
        <w:pStyle w:val="ListParagraph"/>
        <w:numPr>
          <w:ilvl w:val="1"/>
          <w:numId w:val="25"/>
        </w:numPr>
        <w:spacing w:after="120" w:line="276" w:lineRule="auto"/>
        <w:ind w:left="1281" w:hanging="357"/>
      </w:pPr>
      <w:r>
        <w:t>f</w:t>
      </w:r>
      <w:r w:rsidR="008A7A3F">
        <w:t xml:space="preserve">irst, whether allowing bidders to </w:t>
      </w:r>
      <w:r w:rsidR="00F2509C">
        <w:t xml:space="preserve">use external resources to </w:t>
      </w:r>
      <w:r w:rsidR="008A7A3F">
        <w:t xml:space="preserve">finance </w:t>
      </w:r>
      <w:r w:rsidR="00F2509C">
        <w:t xml:space="preserve">the </w:t>
      </w:r>
      <w:r w:rsidR="008A7A3F">
        <w:t xml:space="preserve">costs </w:t>
      </w:r>
      <w:r w:rsidR="005E6757">
        <w:t>of service provision breache</w:t>
      </w:r>
      <w:r w:rsidR="00A4086B">
        <w:t>d</w:t>
      </w:r>
      <w:r w:rsidR="005E6757">
        <w:t xml:space="preserve"> the PSR regulations</w:t>
      </w:r>
      <w:r>
        <w:t>;</w:t>
      </w:r>
      <w:r w:rsidR="005E6757">
        <w:t xml:space="preserve"> and</w:t>
      </w:r>
    </w:p>
    <w:p w14:paraId="1DEB46F1" w14:textId="1B7960BD" w:rsidR="007B4A63" w:rsidRDefault="005E6757" w:rsidP="004353F1">
      <w:pPr>
        <w:pStyle w:val="ListParagraph"/>
        <w:numPr>
          <w:ilvl w:val="1"/>
          <w:numId w:val="25"/>
        </w:numPr>
        <w:spacing w:line="276" w:lineRule="auto"/>
        <w:ind w:left="1281" w:hanging="357"/>
        <w:contextualSpacing w:val="0"/>
      </w:pPr>
      <w:r>
        <w:t xml:space="preserve">second, whether </w:t>
      </w:r>
      <w:r w:rsidR="000E74FD">
        <w:t xml:space="preserve">bidders were allowed sufficient time to </w:t>
      </w:r>
      <w:r w:rsidR="006D76FD">
        <w:t>modify their proposals given the guidance issued by MSE ICB on 1 April.</w:t>
      </w:r>
    </w:p>
    <w:p w14:paraId="4EEAC17E" w14:textId="73C038D9" w:rsidR="002A1E99" w:rsidRPr="004353F1" w:rsidRDefault="002A1E99" w:rsidP="004353F1">
      <w:pPr>
        <w:keepNext/>
        <w:spacing w:before="240" w:line="276" w:lineRule="auto"/>
        <w:rPr>
          <w:i/>
          <w:iCs/>
        </w:rPr>
      </w:pPr>
      <w:r w:rsidRPr="004353F1">
        <w:rPr>
          <w:i/>
          <w:iCs/>
        </w:rPr>
        <w:t xml:space="preserve">Bidders’ </w:t>
      </w:r>
      <w:r w:rsidR="00AB015A">
        <w:rPr>
          <w:i/>
          <w:iCs/>
        </w:rPr>
        <w:t>use</w:t>
      </w:r>
      <w:r w:rsidR="00203988" w:rsidRPr="004353F1">
        <w:rPr>
          <w:i/>
          <w:iCs/>
        </w:rPr>
        <w:t xml:space="preserve"> of </w:t>
      </w:r>
      <w:r w:rsidR="00AB015A">
        <w:rPr>
          <w:i/>
          <w:iCs/>
        </w:rPr>
        <w:t xml:space="preserve">external resources to </w:t>
      </w:r>
      <w:r w:rsidR="00203988" w:rsidRPr="004353F1">
        <w:rPr>
          <w:i/>
          <w:iCs/>
        </w:rPr>
        <w:t>financ</w:t>
      </w:r>
      <w:r w:rsidR="00AB015A">
        <w:rPr>
          <w:i/>
          <w:iCs/>
        </w:rPr>
        <w:t>e</w:t>
      </w:r>
      <w:r w:rsidR="00203988" w:rsidRPr="004353F1">
        <w:rPr>
          <w:i/>
          <w:iCs/>
        </w:rPr>
        <w:t xml:space="preserve"> the costs of service provision</w:t>
      </w:r>
    </w:p>
    <w:p w14:paraId="0FB6221B" w14:textId="04F97782" w:rsidR="005E5598" w:rsidRDefault="00F269BE" w:rsidP="00566437">
      <w:pPr>
        <w:pStyle w:val="ListParagraph"/>
        <w:numPr>
          <w:ilvl w:val="0"/>
          <w:numId w:val="1"/>
        </w:numPr>
        <w:spacing w:line="276" w:lineRule="auto"/>
        <w:contextualSpacing w:val="0"/>
      </w:pPr>
      <w:r>
        <w:t xml:space="preserve">The Panel’s view is that allowing bidders to </w:t>
      </w:r>
      <w:r w:rsidR="004C5C44">
        <w:t>decide</w:t>
      </w:r>
      <w:r>
        <w:t xml:space="preserve"> to </w:t>
      </w:r>
      <w:r w:rsidR="004C5C44">
        <w:t>use external resources, beyond contractual payments, to assist in financing the</w:t>
      </w:r>
      <w:r>
        <w:t xml:space="preserve"> costs </w:t>
      </w:r>
      <w:r w:rsidR="00BC58AC">
        <w:t xml:space="preserve">of service provision </w:t>
      </w:r>
      <w:r w:rsidR="00CE7021">
        <w:t>is not</w:t>
      </w:r>
      <w:r>
        <w:t xml:space="preserve">, in principle, </w:t>
      </w:r>
      <w:r w:rsidR="00CE7021">
        <w:t xml:space="preserve">a breach of the PSR regulations. </w:t>
      </w:r>
      <w:r w:rsidR="00DC196F">
        <w:t xml:space="preserve">However, the Panel is also of the view that where </w:t>
      </w:r>
      <w:r w:rsidR="007219E0">
        <w:t xml:space="preserve">a bidder </w:t>
      </w:r>
      <w:r w:rsidR="00AD723E">
        <w:t>makes such a proposal</w:t>
      </w:r>
      <w:r w:rsidR="00DC196F">
        <w:t xml:space="preserve">, </w:t>
      </w:r>
      <w:r w:rsidR="005E5598">
        <w:t xml:space="preserve">a </w:t>
      </w:r>
      <w:r w:rsidR="00DC196F">
        <w:t xml:space="preserve">commissioner should satisfy </w:t>
      </w:r>
      <w:r w:rsidR="005E5598">
        <w:t>itself</w:t>
      </w:r>
      <w:r w:rsidR="00DC196F">
        <w:t xml:space="preserve"> that: (a) </w:t>
      </w:r>
      <w:r w:rsidR="00C142DB">
        <w:t xml:space="preserve">the provider </w:t>
      </w:r>
      <w:r w:rsidR="00BE60BC">
        <w:t>will be likely to be</w:t>
      </w:r>
      <w:r w:rsidR="00C142DB">
        <w:t xml:space="preserve"> able to meet </w:t>
      </w:r>
      <w:r w:rsidR="00D15447">
        <w:t xml:space="preserve">its </w:t>
      </w:r>
      <w:r w:rsidR="00C142DB">
        <w:t xml:space="preserve">commitment; and (b) </w:t>
      </w:r>
      <w:r w:rsidR="007C7ECE">
        <w:t xml:space="preserve">the bidder’s proposed use of resources beyond contractual payments to finance the </w:t>
      </w:r>
      <w:r w:rsidR="00FF3931">
        <w:t>costs of service provision</w:t>
      </w:r>
      <w:r w:rsidR="0041029D">
        <w:t xml:space="preserve"> is consistent with the PSR statutory guidance on service sustainability.</w:t>
      </w:r>
    </w:p>
    <w:p w14:paraId="60A2AF4A" w14:textId="4BE21E84" w:rsidR="002800C8" w:rsidRDefault="00DD624C" w:rsidP="00F512E8">
      <w:pPr>
        <w:pStyle w:val="ListParagraph"/>
        <w:numPr>
          <w:ilvl w:val="0"/>
          <w:numId w:val="1"/>
        </w:numPr>
        <w:spacing w:line="276" w:lineRule="auto"/>
        <w:contextualSpacing w:val="0"/>
      </w:pPr>
      <w:r>
        <w:t>In relation to p</w:t>
      </w:r>
      <w:r w:rsidR="002800C8">
        <w:t>oint (a)</w:t>
      </w:r>
      <w:r>
        <w:t xml:space="preserve">, </w:t>
      </w:r>
      <w:r w:rsidR="003333B2">
        <w:t xml:space="preserve">the Panel has found that MSE ICB did not </w:t>
      </w:r>
      <w:r w:rsidR="009C4C13">
        <w:t xml:space="preserve">place itself in a position to </w:t>
      </w:r>
      <w:r w:rsidR="00605FE0">
        <w:t>evaluate any information that was provided in relation to bidders’ self-financing of costs</w:t>
      </w:r>
      <w:r w:rsidR="00E82739">
        <w:t xml:space="preserve"> (see paragraphs </w:t>
      </w:r>
      <w:r w:rsidR="006A19CA">
        <w:fldChar w:fldCharType="begin"/>
      </w:r>
      <w:r w:rsidR="006A19CA">
        <w:instrText xml:space="preserve"> REF _Ref208479936 \r \h </w:instrText>
      </w:r>
      <w:r w:rsidR="006A19CA">
        <w:fldChar w:fldCharType="separate"/>
      </w:r>
      <w:r w:rsidR="00437D90">
        <w:t>85</w:t>
      </w:r>
      <w:r w:rsidR="006A19CA">
        <w:fldChar w:fldCharType="end"/>
      </w:r>
      <w:r w:rsidR="006A19CA">
        <w:t xml:space="preserve"> to </w:t>
      </w:r>
      <w:r w:rsidR="006A19CA">
        <w:fldChar w:fldCharType="begin"/>
      </w:r>
      <w:r w:rsidR="006A19CA">
        <w:instrText xml:space="preserve"> REF _Ref208479944 \r \h </w:instrText>
      </w:r>
      <w:r w:rsidR="006A19CA">
        <w:fldChar w:fldCharType="separate"/>
      </w:r>
      <w:r w:rsidR="00437D90">
        <w:t>94</w:t>
      </w:r>
      <w:r w:rsidR="006A19CA">
        <w:fldChar w:fldCharType="end"/>
      </w:r>
      <w:r w:rsidR="00E82739">
        <w:t>)</w:t>
      </w:r>
      <w:r w:rsidR="006B2461">
        <w:t>.</w:t>
      </w:r>
    </w:p>
    <w:p w14:paraId="03C46563" w14:textId="2123E2C1" w:rsidR="00566437" w:rsidRDefault="00EB7E0C" w:rsidP="00EB7E0C">
      <w:pPr>
        <w:pStyle w:val="ListParagraph"/>
        <w:numPr>
          <w:ilvl w:val="0"/>
          <w:numId w:val="1"/>
        </w:numPr>
        <w:spacing w:line="276" w:lineRule="auto"/>
        <w:contextualSpacing w:val="0"/>
      </w:pPr>
      <w:r>
        <w:t>In relation to point (b), t</w:t>
      </w:r>
      <w:r w:rsidR="00566437">
        <w:t>he PSR statutory guidance says that “Relevant authorities must consider whether and how the decisions they make about which providers should provide services might impact on the stability and sustainability of the NHS locally ... Relevant authorities are expected to avoid destabilising providers through their decision-making. If the proposals are likely to have a negative impact on the stability, viability or quality of other good quality services immediately or over time, relevant authorities are advised to consider whether this is justified by the wider benefits of the proposal”.</w:t>
      </w:r>
      <w:r w:rsidR="00566437">
        <w:rPr>
          <w:rStyle w:val="FootnoteReference"/>
        </w:rPr>
        <w:footnoteReference w:id="41"/>
      </w:r>
    </w:p>
    <w:p w14:paraId="3F43F742" w14:textId="1C604724" w:rsidR="002E6ABA" w:rsidRDefault="00B9163D" w:rsidP="00EB7E0C">
      <w:pPr>
        <w:pStyle w:val="ListParagraph"/>
        <w:numPr>
          <w:ilvl w:val="0"/>
          <w:numId w:val="1"/>
        </w:numPr>
        <w:spacing w:line="276" w:lineRule="auto"/>
        <w:contextualSpacing w:val="0"/>
      </w:pPr>
      <w:r>
        <w:t xml:space="preserve">Any </w:t>
      </w:r>
      <w:r w:rsidR="00F03EFE">
        <w:t xml:space="preserve">proposal by a bidder to make </w:t>
      </w:r>
      <w:r>
        <w:t xml:space="preserve">significant </w:t>
      </w:r>
      <w:r w:rsidR="00F03EFE">
        <w:t>use of resources</w:t>
      </w:r>
      <w:r w:rsidR="002E7B63">
        <w:t xml:space="preserve"> external to the contract</w:t>
      </w:r>
      <w:r w:rsidR="00F03EFE">
        <w:t xml:space="preserve"> to assist in </w:t>
      </w:r>
      <w:r>
        <w:t xml:space="preserve">financing </w:t>
      </w:r>
      <w:r w:rsidR="003A18F5">
        <w:t xml:space="preserve">the costs of service provision has the potential to impact on other </w:t>
      </w:r>
      <w:r w:rsidR="00EC1377">
        <w:t xml:space="preserve">healthcare </w:t>
      </w:r>
      <w:r w:rsidR="003A18F5">
        <w:t>services supplied by that bidder</w:t>
      </w:r>
      <w:r w:rsidR="00D826E5">
        <w:t xml:space="preserve">. (Whether this will be the case in practice will depend on various factors, including </w:t>
      </w:r>
      <w:r w:rsidR="00510642">
        <w:t xml:space="preserve">the source of the relevant resources that the bidder proposes using.) </w:t>
      </w:r>
      <w:r w:rsidR="002005C1">
        <w:t>The Panel’s view is that</w:t>
      </w:r>
      <w:r w:rsidR="002E6ABA">
        <w:t>,</w:t>
      </w:r>
      <w:r w:rsidR="002005C1">
        <w:t xml:space="preserve"> where such proposals are made by a bidder, a commissioner should take sufficient steps to satisfy itself that </w:t>
      </w:r>
      <w:r w:rsidR="002E6ABA">
        <w:t>this is compliant with the PSR statutory guidance</w:t>
      </w:r>
      <w:r w:rsidR="00365231">
        <w:t>,</w:t>
      </w:r>
      <w:r w:rsidR="002E6ABA">
        <w:t xml:space="preserve"> </w:t>
      </w:r>
      <w:r w:rsidR="00CF15CE">
        <w:t>as set out in the previous paragraph.</w:t>
      </w:r>
      <w:r w:rsidR="009128DF" w:rsidRPr="009128DF">
        <w:t xml:space="preserve"> </w:t>
      </w:r>
      <w:r w:rsidR="009128DF">
        <w:t xml:space="preserve">The Panel </w:t>
      </w:r>
      <w:r w:rsidR="009128DF">
        <w:lastRenderedPageBreak/>
        <w:t>notes that MSE ICB, in requesting information from bidders, did not ask for any information that would allow it to reach an informed view on this issue.</w:t>
      </w:r>
    </w:p>
    <w:p w14:paraId="4DF86B2A" w14:textId="64BEB176" w:rsidR="00EF60E3" w:rsidRDefault="008C4E55" w:rsidP="00EB7E0C">
      <w:pPr>
        <w:pStyle w:val="ListParagraph"/>
        <w:numPr>
          <w:ilvl w:val="0"/>
          <w:numId w:val="1"/>
        </w:numPr>
        <w:spacing w:line="276" w:lineRule="auto"/>
        <w:contextualSpacing w:val="0"/>
      </w:pPr>
      <w:r>
        <w:t>As a result, the Panel finds that MSE ICB</w:t>
      </w:r>
      <w:r w:rsidR="000F3045">
        <w:t>, in inviting bidders to make proposals to use resources external to the contract to assist in financing the costs of service provision</w:t>
      </w:r>
      <w:r w:rsidR="00824BAC">
        <w:t>,</w:t>
      </w:r>
      <w:r w:rsidR="000F3045">
        <w:t xml:space="preserve"> while not asking for any information that would allow it to reach an informed view on the potential effects on the sustainability of other services,</w:t>
      </w:r>
      <w:r w:rsidR="00D95944">
        <w:t xml:space="preserve"> breached the PSR regulations, and in particular Regulation 11(2) </w:t>
      </w:r>
      <w:r w:rsidR="000F3045">
        <w:t>by</w:t>
      </w:r>
      <w:r w:rsidR="00584071">
        <w:t xml:space="preserve"> not </w:t>
      </w:r>
      <w:r w:rsidR="00E15ECF">
        <w:t>sufficiently tak</w:t>
      </w:r>
      <w:r w:rsidR="003918C8">
        <w:t>ing</w:t>
      </w:r>
      <w:r w:rsidR="00E15ECF">
        <w:t xml:space="preserve"> into account the requirement </w:t>
      </w:r>
      <w:r w:rsidR="00216BBE">
        <w:t>under Regulation 5(c)(iii) to ensure that services are provided in a sustainable way</w:t>
      </w:r>
      <w:r w:rsidR="000F3045" w:rsidRPr="00A06A32">
        <w:t xml:space="preserve"> </w:t>
      </w:r>
      <w:r w:rsidR="000F3045">
        <w:t>when determining the contract award criteria</w:t>
      </w:r>
      <w:r w:rsidR="00216BBE">
        <w:t>.</w:t>
      </w:r>
    </w:p>
    <w:p w14:paraId="0F1B10B9" w14:textId="29F26A12" w:rsidR="00216BBE" w:rsidRPr="004353F1" w:rsidRDefault="001A2B03" w:rsidP="004353F1">
      <w:pPr>
        <w:keepNext/>
        <w:spacing w:before="240" w:line="276" w:lineRule="auto"/>
        <w:rPr>
          <w:i/>
          <w:iCs/>
        </w:rPr>
      </w:pPr>
      <w:r>
        <w:rPr>
          <w:i/>
          <w:iCs/>
        </w:rPr>
        <w:t>Whether bidders had sufficient time to modify their proposals</w:t>
      </w:r>
    </w:p>
    <w:p w14:paraId="2300F057" w14:textId="47DC86DF" w:rsidR="004948EC" w:rsidRDefault="004948EC" w:rsidP="004948EC">
      <w:pPr>
        <w:pStyle w:val="ListParagraph"/>
        <w:numPr>
          <w:ilvl w:val="0"/>
          <w:numId w:val="1"/>
        </w:numPr>
        <w:spacing w:line="276" w:lineRule="auto"/>
        <w:contextualSpacing w:val="0"/>
      </w:pPr>
      <w:r>
        <w:t xml:space="preserve">MPFT and EPUT both raised concerns with the Panel about the limited amount of time between MSE ICB’s response to the CQs, communicating its new approach at 4.34pm on 1 April 2025, and the proposal deadline of 5.30pm on 3 April 2025. </w:t>
      </w:r>
      <w:r w:rsidRPr="00F64806">
        <w:t xml:space="preserve">MPFT said </w:t>
      </w:r>
      <w:r>
        <w:t xml:space="preserve">that there was not enough </w:t>
      </w:r>
      <w:r w:rsidRPr="00F64806">
        <w:t xml:space="preserve">time </w:t>
      </w:r>
      <w:r>
        <w:t xml:space="preserve">for it </w:t>
      </w:r>
      <w:r w:rsidRPr="00F64806">
        <w:t xml:space="preserve">to </w:t>
      </w:r>
      <w:r>
        <w:t xml:space="preserve">work out </w:t>
      </w:r>
      <w:r w:rsidRPr="00F64806">
        <w:t xml:space="preserve">whether a revised </w:t>
      </w:r>
      <w:r>
        <w:t>proposal</w:t>
      </w:r>
      <w:r w:rsidRPr="00F64806">
        <w:t xml:space="preserve"> would be viable</w:t>
      </w:r>
      <w:r>
        <w:t xml:space="preserve">, and then, if this was the case, put the revised proposal together </w:t>
      </w:r>
      <w:r w:rsidRPr="00F64806">
        <w:t>and have it approved internally.</w:t>
      </w:r>
      <w:r>
        <w:rPr>
          <w:rStyle w:val="FootnoteReference"/>
        </w:rPr>
        <w:footnoteReference w:id="42"/>
      </w:r>
      <w:r>
        <w:t xml:space="preserve"> EPUT said that it lacked time to take the new approach into account in its proposal.</w:t>
      </w:r>
      <w:r>
        <w:rPr>
          <w:rStyle w:val="FootnoteReference"/>
        </w:rPr>
        <w:footnoteReference w:id="43"/>
      </w:r>
    </w:p>
    <w:p w14:paraId="1145E42A" w14:textId="77777777" w:rsidR="00BB7A4A" w:rsidRDefault="004948EC" w:rsidP="005E5CD1">
      <w:pPr>
        <w:pStyle w:val="ListParagraph"/>
        <w:numPr>
          <w:ilvl w:val="0"/>
          <w:numId w:val="1"/>
        </w:numPr>
        <w:spacing w:line="276" w:lineRule="auto"/>
        <w:contextualSpacing w:val="0"/>
      </w:pPr>
      <w:r>
        <w:t>The Panel notes that neither MPFT nor EPUT requested an extension to the deadline that would have allowed additional time to submit their proposals.</w:t>
      </w:r>
    </w:p>
    <w:p w14:paraId="1DC64D5D" w14:textId="34D7A5B4" w:rsidR="00BB7A4A" w:rsidRDefault="004948EC" w:rsidP="00BB7A4A">
      <w:pPr>
        <w:pStyle w:val="ListParagraph"/>
        <w:numPr>
          <w:ilvl w:val="0"/>
          <w:numId w:val="1"/>
        </w:numPr>
        <w:spacing w:after="120" w:line="276" w:lineRule="auto"/>
        <w:contextualSpacing w:val="0"/>
      </w:pPr>
      <w:r>
        <w:t xml:space="preserve">The Panel </w:t>
      </w:r>
      <w:r w:rsidR="00BB7A4A">
        <w:t>also</w:t>
      </w:r>
      <w:r w:rsidR="00751944">
        <w:t xml:space="preserve"> </w:t>
      </w:r>
      <w:r>
        <w:t xml:space="preserve">notes </w:t>
      </w:r>
      <w:r w:rsidRPr="00206E9F">
        <w:t>MSE ICB</w:t>
      </w:r>
      <w:r>
        <w:t>’s view that it</w:t>
      </w:r>
      <w:r w:rsidRPr="00206E9F">
        <w:t xml:space="preserve"> </w:t>
      </w:r>
      <w:r>
        <w:t>“</w:t>
      </w:r>
      <w:r w:rsidRPr="00206E9F">
        <w:t>did not enact an extension following the Clarification Question response, as a material change had not been made in which Bidders’ may have reasonably required further time to consider their bid submissions”</w:t>
      </w:r>
      <w:r w:rsidR="00AC5767">
        <w:t xml:space="preserve"> (see paragraph </w:t>
      </w:r>
      <w:r w:rsidR="00AC5767">
        <w:fldChar w:fldCharType="begin"/>
      </w:r>
      <w:r w:rsidR="00AC5767">
        <w:instrText xml:space="preserve"> REF _Ref209524892 \r \h </w:instrText>
      </w:r>
      <w:r w:rsidR="00AC5767">
        <w:fldChar w:fldCharType="separate"/>
      </w:r>
      <w:r w:rsidR="00437D90">
        <w:t>65</w:t>
      </w:r>
      <w:r w:rsidR="00AC5767">
        <w:fldChar w:fldCharType="end"/>
      </w:r>
      <w:r w:rsidR="00AC5767">
        <w:t>)</w:t>
      </w:r>
      <w:r>
        <w:t>.</w:t>
      </w:r>
      <w:r w:rsidR="005225FD">
        <w:t xml:space="preserve"> </w:t>
      </w:r>
      <w:r w:rsidR="00BB7A4A">
        <w:t xml:space="preserve">The Panel does not agree with MSE ICB that </w:t>
      </w:r>
      <w:r w:rsidR="00802D24">
        <w:t xml:space="preserve">its 1 April </w:t>
      </w:r>
      <w:r w:rsidR="007170F4">
        <w:t xml:space="preserve">2025 </w:t>
      </w:r>
      <w:r w:rsidR="00802D24">
        <w:t>response to CQs did not represent a new approach compared to the instructions set out in the tender documentation. In particular:</w:t>
      </w:r>
    </w:p>
    <w:p w14:paraId="50FB4A73" w14:textId="2D770ED3" w:rsidR="00A614D5" w:rsidRDefault="00A614D5" w:rsidP="006C38A9">
      <w:pPr>
        <w:pStyle w:val="ListParagraph"/>
        <w:numPr>
          <w:ilvl w:val="1"/>
          <w:numId w:val="25"/>
        </w:numPr>
        <w:spacing w:after="120" w:line="276" w:lineRule="auto"/>
        <w:ind w:left="1281" w:hanging="357"/>
        <w:contextualSpacing w:val="0"/>
      </w:pPr>
      <w:r>
        <w:t>the tender documentation was clear that: (i) the bidder’s total price “must cover all costs associated with the provision of such services”; and (ii) “bidders must ensure that they clearly communicate any anticipated set up and mobilisation costs in the Financial Summary tab” of the FMT (see paragraph </w:t>
      </w:r>
      <w:r>
        <w:fldChar w:fldCharType="begin"/>
      </w:r>
      <w:r>
        <w:instrText xml:space="preserve"> REF _Ref205907162 \r \h </w:instrText>
      </w:r>
      <w:r>
        <w:fldChar w:fldCharType="separate"/>
      </w:r>
      <w:r w:rsidR="00437D90">
        <w:t>70</w:t>
      </w:r>
      <w:r>
        <w:fldChar w:fldCharType="end"/>
      </w:r>
      <w:r>
        <w:t>)</w:t>
      </w:r>
      <w:r w:rsidR="00EB29CC">
        <w:t>; and</w:t>
      </w:r>
    </w:p>
    <w:p w14:paraId="5363F0F2" w14:textId="5E60BBD9" w:rsidR="00EB29CC" w:rsidRDefault="00B55F0C" w:rsidP="006C38A9">
      <w:pPr>
        <w:pStyle w:val="ListParagraph"/>
        <w:numPr>
          <w:ilvl w:val="1"/>
          <w:numId w:val="25"/>
        </w:numPr>
        <w:spacing w:line="276" w:lineRule="auto"/>
        <w:ind w:left="1281" w:hanging="357"/>
        <w:contextualSpacing w:val="0"/>
      </w:pPr>
      <w:r>
        <w:t xml:space="preserve">MSE ICB’s 1 April response to the CQs on transformation costs allowed bidders to exclude transformation costs from their FMT </w:t>
      </w:r>
      <w:r w:rsidR="00762795">
        <w:t xml:space="preserve">(where these costs would be absorbed by the provider) </w:t>
      </w:r>
      <w:r>
        <w:t xml:space="preserve">and to </w:t>
      </w:r>
      <w:r w:rsidR="00762795">
        <w:t>set out</w:t>
      </w:r>
      <w:r>
        <w:t xml:space="preserve"> these costs</w:t>
      </w:r>
      <w:r w:rsidR="002D3F01">
        <w:t>, for information only,</w:t>
      </w:r>
      <w:r>
        <w:t xml:space="preserve"> in their response to Question 2.16.1 (Value for Money &amp; Financial Sustainability).</w:t>
      </w:r>
    </w:p>
    <w:p w14:paraId="3C1F6595" w14:textId="77777777" w:rsidR="009A275F" w:rsidRDefault="009A275F" w:rsidP="000E127C">
      <w:pPr>
        <w:pStyle w:val="ListParagraph"/>
        <w:numPr>
          <w:ilvl w:val="0"/>
          <w:numId w:val="1"/>
        </w:numPr>
        <w:spacing w:line="276" w:lineRule="auto"/>
        <w:contextualSpacing w:val="0"/>
      </w:pPr>
      <w:r>
        <w:t xml:space="preserve">The Panel’s view is that these two approaches are not the same. The instructions in the tender documentation mandate the inclusion of all costs in the FMT, the 1 April response to the CQs allows </w:t>
      </w:r>
      <w:r w:rsidR="00BE40FD">
        <w:t xml:space="preserve">certain </w:t>
      </w:r>
      <w:r>
        <w:t>transformation costs to be excluded from the FMT</w:t>
      </w:r>
      <w:r w:rsidR="00BE40FD">
        <w:t xml:space="preserve"> (where the bidder</w:t>
      </w:r>
      <w:r w:rsidR="00B93F17">
        <w:t xml:space="preserve"> planned to absorb these costs)</w:t>
      </w:r>
      <w:r>
        <w:t>.</w:t>
      </w:r>
    </w:p>
    <w:p w14:paraId="787106F1" w14:textId="5D8C2FD3" w:rsidR="000E127C" w:rsidRDefault="000E127C" w:rsidP="000E127C">
      <w:pPr>
        <w:pStyle w:val="ListParagraph"/>
        <w:numPr>
          <w:ilvl w:val="0"/>
          <w:numId w:val="1"/>
        </w:numPr>
        <w:spacing w:line="276" w:lineRule="auto"/>
        <w:contextualSpacing w:val="0"/>
      </w:pPr>
      <w:r>
        <w:t xml:space="preserve">MSE ICB explained to its internal review panel the reasons why it considered that the 1 April response to the CQs did not represent a new approach compared to the </w:t>
      </w:r>
      <w:r>
        <w:lastRenderedPageBreak/>
        <w:t>instructions set out in the tender documentation. The Panel has reviewed each of the points made by MSE ICB</w:t>
      </w:r>
      <w:r w:rsidR="00013CBF">
        <w:t xml:space="preserve">, and sets out in the table below the reasons why it considers </w:t>
      </w:r>
      <w:r w:rsidR="000F49DC">
        <w:t xml:space="preserve">MSE ICB’s explanation </w:t>
      </w:r>
      <w:r w:rsidR="002F0059">
        <w:t xml:space="preserve">to be </w:t>
      </w:r>
      <w:r w:rsidR="000F49DC">
        <w:t>deficient.</w:t>
      </w:r>
    </w:p>
    <w:p w14:paraId="4671E090" w14:textId="16D04D51" w:rsidR="00DE250D" w:rsidRDefault="000738F2" w:rsidP="00C9346E">
      <w:pPr>
        <w:pStyle w:val="ListParagraph"/>
        <w:numPr>
          <w:ilvl w:val="0"/>
          <w:numId w:val="1"/>
        </w:numPr>
        <w:spacing w:line="276" w:lineRule="auto"/>
        <w:contextualSpacing w:val="0"/>
      </w:pPr>
      <w:r>
        <w:t>In summary, t</w:t>
      </w:r>
      <w:r w:rsidR="00C9346E">
        <w:t>he Panel’s view is that two days is not sufficient time for a bidder to be able to make major changes to its proposal and achieve internal organisational approval for these changes</w:t>
      </w:r>
      <w:r w:rsidR="00DE250D">
        <w:t>,</w:t>
      </w:r>
      <w:r w:rsidR="00DE250D" w:rsidRPr="00DE250D">
        <w:t xml:space="preserve"> </w:t>
      </w:r>
      <w:r w:rsidR="00DE250D">
        <w:t>and that it was not fair or proportionate of MSE ICB not to extend the deadline for proposals after setting out its new approach.</w:t>
      </w:r>
    </w:p>
    <w:p w14:paraId="34DC21AD" w14:textId="546A9159" w:rsidR="00C9346E" w:rsidRDefault="00C9346E">
      <w:pPr>
        <w:pStyle w:val="ListParagraph"/>
        <w:numPr>
          <w:ilvl w:val="0"/>
          <w:numId w:val="1"/>
        </w:numPr>
        <w:spacing w:line="276" w:lineRule="auto"/>
        <w:contextualSpacing w:val="0"/>
      </w:pPr>
      <w:r>
        <w:t>As a result, the Panel</w:t>
      </w:r>
      <w:r w:rsidR="00DE250D">
        <w:t xml:space="preserve"> finds that, MSE ICB</w:t>
      </w:r>
      <w:r w:rsidR="006B0652">
        <w:t xml:space="preserve">, in changing its approach </w:t>
      </w:r>
      <w:r w:rsidR="00C920EA">
        <w:t xml:space="preserve">as </w:t>
      </w:r>
      <w:r w:rsidR="006B0652">
        <w:t xml:space="preserve">to how bidders </w:t>
      </w:r>
      <w:r w:rsidR="00C920EA">
        <w:t xml:space="preserve">could present information on </w:t>
      </w:r>
      <w:r w:rsidR="000768E0">
        <w:t xml:space="preserve">costs in their proposals </w:t>
      </w:r>
      <w:r w:rsidR="002126C9">
        <w:t xml:space="preserve">and </w:t>
      </w:r>
      <w:r w:rsidR="000768E0">
        <w:t>not allow</w:t>
      </w:r>
      <w:r w:rsidR="002126C9">
        <w:t>ing</w:t>
      </w:r>
      <w:r w:rsidR="000768E0">
        <w:t xml:space="preserve"> bidders a reasonable period of time to take account of MSE ICB’s new approach</w:t>
      </w:r>
      <w:r w:rsidR="002126C9">
        <w:t>, breached the PSR regulations, and in particular its obligations to act fairly and proportionately.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8"/>
        <w:gridCol w:w="4508"/>
      </w:tblGrid>
      <w:tr w:rsidR="003C5B49" w:rsidRPr="00313F9D" w14:paraId="3D9FC975" w14:textId="77777777" w:rsidTr="008E2D52">
        <w:tc>
          <w:tcPr>
            <w:tcW w:w="4508" w:type="dxa"/>
            <w:shd w:val="clear" w:color="auto" w:fill="D9D9D9" w:themeFill="background1" w:themeFillShade="D9"/>
          </w:tcPr>
          <w:p w14:paraId="7FF01D01" w14:textId="5103FFA5" w:rsidR="003C5B49" w:rsidRPr="00313F9D" w:rsidRDefault="004F33DA" w:rsidP="00DD3C9E">
            <w:pPr>
              <w:spacing w:before="60" w:after="60"/>
              <w:jc w:val="center"/>
              <w:rPr>
                <w:b/>
                <w:bCs/>
                <w:sz w:val="18"/>
                <w:szCs w:val="18"/>
              </w:rPr>
            </w:pPr>
            <w:r>
              <w:rPr>
                <w:b/>
                <w:bCs/>
                <w:sz w:val="18"/>
                <w:szCs w:val="18"/>
              </w:rPr>
              <w:t>MSE ICB’s reasons why it had not made a material change</w:t>
            </w:r>
            <w:r w:rsidR="00DD3C9E">
              <w:rPr>
                <w:b/>
                <w:bCs/>
                <w:sz w:val="18"/>
                <w:szCs w:val="18"/>
              </w:rPr>
              <w:t xml:space="preserve"> to the tender process</w:t>
            </w:r>
          </w:p>
        </w:tc>
        <w:tc>
          <w:tcPr>
            <w:tcW w:w="4508" w:type="dxa"/>
            <w:shd w:val="clear" w:color="auto" w:fill="D9D9D9" w:themeFill="background1" w:themeFillShade="D9"/>
          </w:tcPr>
          <w:p w14:paraId="3995A9CC" w14:textId="51ED15E1" w:rsidR="003C5B49" w:rsidRPr="00313F9D" w:rsidRDefault="00DD3C9E" w:rsidP="00DD3C9E">
            <w:pPr>
              <w:spacing w:before="60" w:after="60"/>
              <w:jc w:val="center"/>
              <w:rPr>
                <w:b/>
                <w:bCs/>
                <w:sz w:val="18"/>
                <w:szCs w:val="18"/>
              </w:rPr>
            </w:pPr>
            <w:r>
              <w:rPr>
                <w:b/>
                <w:bCs/>
                <w:sz w:val="18"/>
                <w:szCs w:val="18"/>
              </w:rPr>
              <w:t>Panel’s view</w:t>
            </w:r>
          </w:p>
        </w:tc>
      </w:tr>
      <w:tr w:rsidR="003C5B49" w:rsidRPr="00F33051" w14:paraId="3803D412" w14:textId="77777777" w:rsidTr="00F33051">
        <w:tc>
          <w:tcPr>
            <w:tcW w:w="4508" w:type="dxa"/>
          </w:tcPr>
          <w:p w14:paraId="360058E2" w14:textId="235A778B" w:rsidR="003C5B49" w:rsidRPr="00F33051" w:rsidRDefault="00AC2190" w:rsidP="00F33051">
            <w:pPr>
              <w:spacing w:before="60" w:after="60"/>
              <w:rPr>
                <w:sz w:val="18"/>
                <w:szCs w:val="18"/>
              </w:rPr>
            </w:pPr>
            <w:r>
              <w:rPr>
                <w:sz w:val="18"/>
                <w:szCs w:val="18"/>
              </w:rPr>
              <w:t xml:space="preserve">(i) </w:t>
            </w:r>
            <w:r w:rsidR="00313F9D">
              <w:rPr>
                <w:sz w:val="18"/>
                <w:szCs w:val="18"/>
              </w:rPr>
              <w:t>T</w:t>
            </w:r>
            <w:r w:rsidR="00F33051" w:rsidRPr="00F33051">
              <w:rPr>
                <w:sz w:val="18"/>
                <w:szCs w:val="18"/>
              </w:rPr>
              <w:t>he ICB “did not make a material change … to the evaluation criteria that was published”</w:t>
            </w:r>
          </w:p>
        </w:tc>
        <w:tc>
          <w:tcPr>
            <w:tcW w:w="4508" w:type="dxa"/>
          </w:tcPr>
          <w:p w14:paraId="465EA59A" w14:textId="0A0E53E3" w:rsidR="003C5B49" w:rsidRPr="00F33051" w:rsidRDefault="00DD3C9E" w:rsidP="00F33051">
            <w:pPr>
              <w:spacing w:before="60" w:after="60"/>
              <w:rPr>
                <w:sz w:val="18"/>
                <w:szCs w:val="18"/>
              </w:rPr>
            </w:pPr>
            <w:r>
              <w:rPr>
                <w:sz w:val="18"/>
                <w:szCs w:val="18"/>
              </w:rPr>
              <w:t>The Panel agrees</w:t>
            </w:r>
            <w:r w:rsidR="00C428FC">
              <w:rPr>
                <w:sz w:val="18"/>
                <w:szCs w:val="18"/>
              </w:rPr>
              <w:t xml:space="preserve"> that MSE ICB did not make a material change to the evaluation criteria, but does not consider this to </w:t>
            </w:r>
            <w:r w:rsidR="00C428FC" w:rsidRPr="00AC2190">
              <w:rPr>
                <w:sz w:val="18"/>
                <w:szCs w:val="18"/>
              </w:rPr>
              <w:t>be relevant to MPFT’s and EPUT’s concern that MSE ICB changed how bidders were able to present costs in their proposals</w:t>
            </w:r>
            <w:r w:rsidR="00830A72">
              <w:rPr>
                <w:sz w:val="18"/>
                <w:szCs w:val="18"/>
              </w:rPr>
              <w:t>.</w:t>
            </w:r>
          </w:p>
        </w:tc>
      </w:tr>
      <w:tr w:rsidR="003C5B49" w:rsidRPr="00F33051" w14:paraId="2857D088" w14:textId="77777777" w:rsidTr="00F33051">
        <w:tc>
          <w:tcPr>
            <w:tcW w:w="4508" w:type="dxa"/>
          </w:tcPr>
          <w:p w14:paraId="05EB8930" w14:textId="2C1D5E32" w:rsidR="003C5B49" w:rsidRPr="00F33051" w:rsidRDefault="00AC2190" w:rsidP="00F33051">
            <w:pPr>
              <w:spacing w:before="60" w:after="60"/>
              <w:rPr>
                <w:sz w:val="18"/>
                <w:szCs w:val="18"/>
              </w:rPr>
            </w:pPr>
            <w:r>
              <w:rPr>
                <w:sz w:val="18"/>
                <w:szCs w:val="18"/>
              </w:rPr>
              <w:t xml:space="preserve">(ii) </w:t>
            </w:r>
            <w:r w:rsidR="00F33051" w:rsidRPr="00F33051">
              <w:rPr>
                <w:sz w:val="18"/>
                <w:szCs w:val="18"/>
              </w:rPr>
              <w:t>“it was appropriate for the ICB to have understood that bidders would utilise this element of Question 2.16.1 [i.e. ‘a detailed financial plan, demonstrating a cost effective and sustainable … service’] to evidence any investment into the service”</w:t>
            </w:r>
          </w:p>
        </w:tc>
        <w:tc>
          <w:tcPr>
            <w:tcW w:w="4508" w:type="dxa"/>
          </w:tcPr>
          <w:p w14:paraId="32561EAE" w14:textId="7F8330F7" w:rsidR="00A71353" w:rsidRPr="00A71353" w:rsidRDefault="00A71353" w:rsidP="00A71353">
            <w:pPr>
              <w:spacing w:before="60" w:after="60"/>
              <w:rPr>
                <w:sz w:val="18"/>
                <w:szCs w:val="18"/>
              </w:rPr>
            </w:pPr>
            <w:r w:rsidRPr="00A71353">
              <w:rPr>
                <w:sz w:val="18"/>
                <w:szCs w:val="18"/>
              </w:rPr>
              <w:t>The Panel does not agree that it was appropriate for MSE ICB to have understood that bidders would use Question 2.16.1 to evidence any “investment” into the service. This is because:</w:t>
            </w:r>
          </w:p>
          <w:p w14:paraId="2CE3BAC6" w14:textId="26D92572" w:rsidR="00A71353" w:rsidRPr="00A71353" w:rsidRDefault="00A71353" w:rsidP="00A71353">
            <w:pPr>
              <w:pStyle w:val="ListParagraph"/>
              <w:numPr>
                <w:ilvl w:val="2"/>
                <w:numId w:val="29"/>
              </w:numPr>
              <w:tabs>
                <w:tab w:val="clear" w:pos="2160"/>
              </w:tabs>
              <w:spacing w:before="60" w:after="60"/>
              <w:ind w:left="482" w:hanging="357"/>
              <w:contextualSpacing w:val="0"/>
              <w:rPr>
                <w:sz w:val="18"/>
                <w:szCs w:val="18"/>
              </w:rPr>
            </w:pPr>
            <w:r w:rsidRPr="00A71353">
              <w:rPr>
                <w:sz w:val="18"/>
                <w:szCs w:val="18"/>
              </w:rPr>
              <w:t xml:space="preserve">Question 2.16.1 does not ask bidders to provide details of any such “investment” (see paragraphs </w:t>
            </w:r>
            <w:r w:rsidRPr="00A71353">
              <w:rPr>
                <w:sz w:val="18"/>
                <w:szCs w:val="18"/>
              </w:rPr>
              <w:fldChar w:fldCharType="begin"/>
            </w:r>
            <w:r w:rsidRPr="00A71353">
              <w:rPr>
                <w:sz w:val="18"/>
                <w:szCs w:val="18"/>
              </w:rPr>
              <w:instrText xml:space="preserve"> REF _Ref206777681 \r \h  \* MERGEFORMAT </w:instrText>
            </w:r>
            <w:r w:rsidRPr="00A71353">
              <w:rPr>
                <w:sz w:val="18"/>
                <w:szCs w:val="18"/>
              </w:rPr>
            </w:r>
            <w:r w:rsidRPr="00A71353">
              <w:rPr>
                <w:sz w:val="18"/>
                <w:szCs w:val="18"/>
              </w:rPr>
              <w:fldChar w:fldCharType="separate"/>
            </w:r>
            <w:r w:rsidR="00437D90">
              <w:rPr>
                <w:sz w:val="18"/>
                <w:szCs w:val="18"/>
              </w:rPr>
              <w:t>81</w:t>
            </w:r>
            <w:r w:rsidRPr="00A71353">
              <w:rPr>
                <w:sz w:val="18"/>
                <w:szCs w:val="18"/>
              </w:rPr>
              <w:fldChar w:fldCharType="end"/>
            </w:r>
            <w:r w:rsidRPr="00A71353">
              <w:rPr>
                <w:sz w:val="18"/>
                <w:szCs w:val="18"/>
              </w:rPr>
              <w:t xml:space="preserve"> and </w:t>
            </w:r>
            <w:r w:rsidRPr="00A71353">
              <w:rPr>
                <w:sz w:val="18"/>
                <w:szCs w:val="18"/>
              </w:rPr>
              <w:fldChar w:fldCharType="begin"/>
            </w:r>
            <w:r w:rsidRPr="00A71353">
              <w:rPr>
                <w:sz w:val="18"/>
                <w:szCs w:val="18"/>
              </w:rPr>
              <w:instrText xml:space="preserve"> REF _Ref206777683 \r \h  \* MERGEFORMAT </w:instrText>
            </w:r>
            <w:r w:rsidRPr="00A71353">
              <w:rPr>
                <w:sz w:val="18"/>
                <w:szCs w:val="18"/>
              </w:rPr>
            </w:r>
            <w:r w:rsidRPr="00A71353">
              <w:rPr>
                <w:sz w:val="18"/>
                <w:szCs w:val="18"/>
              </w:rPr>
              <w:fldChar w:fldCharType="separate"/>
            </w:r>
            <w:r w:rsidR="00437D90">
              <w:rPr>
                <w:sz w:val="18"/>
                <w:szCs w:val="18"/>
              </w:rPr>
              <w:t>82</w:t>
            </w:r>
            <w:r w:rsidRPr="00A71353">
              <w:rPr>
                <w:sz w:val="18"/>
                <w:szCs w:val="18"/>
              </w:rPr>
              <w:fldChar w:fldCharType="end"/>
            </w:r>
            <w:r w:rsidRPr="00A71353">
              <w:rPr>
                <w:sz w:val="18"/>
                <w:szCs w:val="18"/>
              </w:rPr>
              <w:t>);</w:t>
            </w:r>
          </w:p>
          <w:p w14:paraId="3781154C" w14:textId="4F56F0C8" w:rsidR="00A71353" w:rsidRPr="00A71353" w:rsidRDefault="00A71353" w:rsidP="00A71353">
            <w:pPr>
              <w:pStyle w:val="ListParagraph"/>
              <w:numPr>
                <w:ilvl w:val="2"/>
                <w:numId w:val="29"/>
              </w:numPr>
              <w:tabs>
                <w:tab w:val="clear" w:pos="2160"/>
              </w:tabs>
              <w:spacing w:before="60" w:after="60"/>
              <w:ind w:left="482" w:hanging="357"/>
              <w:contextualSpacing w:val="0"/>
              <w:rPr>
                <w:sz w:val="18"/>
                <w:szCs w:val="18"/>
              </w:rPr>
            </w:pPr>
            <w:r w:rsidRPr="00A71353">
              <w:rPr>
                <w:sz w:val="18"/>
                <w:szCs w:val="18"/>
              </w:rPr>
              <w:t xml:space="preserve">MSE ICB instructed bidders to show all </w:t>
            </w:r>
            <w:r w:rsidR="002B3CA5">
              <w:rPr>
                <w:sz w:val="18"/>
                <w:szCs w:val="18"/>
              </w:rPr>
              <w:t xml:space="preserve">of </w:t>
            </w:r>
            <w:r w:rsidRPr="00A71353">
              <w:rPr>
                <w:sz w:val="18"/>
                <w:szCs w:val="18"/>
              </w:rPr>
              <w:t xml:space="preserve">their costs in the FMT, and any “investment” is predicated on certain costs not being shown in the FMT (see paragraph </w:t>
            </w:r>
            <w:r w:rsidRPr="00A71353">
              <w:rPr>
                <w:sz w:val="18"/>
                <w:szCs w:val="18"/>
              </w:rPr>
              <w:fldChar w:fldCharType="begin"/>
            </w:r>
            <w:r w:rsidRPr="00A71353">
              <w:rPr>
                <w:sz w:val="18"/>
                <w:szCs w:val="18"/>
              </w:rPr>
              <w:instrText xml:space="preserve"> REF _Ref206777831 \r \h  \* MERGEFORMAT </w:instrText>
            </w:r>
            <w:r w:rsidRPr="00A71353">
              <w:rPr>
                <w:sz w:val="18"/>
                <w:szCs w:val="18"/>
              </w:rPr>
            </w:r>
            <w:r w:rsidRPr="00A71353">
              <w:rPr>
                <w:sz w:val="18"/>
                <w:szCs w:val="18"/>
              </w:rPr>
              <w:fldChar w:fldCharType="separate"/>
            </w:r>
            <w:r w:rsidR="00437D90">
              <w:rPr>
                <w:sz w:val="18"/>
                <w:szCs w:val="18"/>
              </w:rPr>
              <w:t>68</w:t>
            </w:r>
            <w:r w:rsidRPr="00A71353">
              <w:rPr>
                <w:sz w:val="18"/>
                <w:szCs w:val="18"/>
              </w:rPr>
              <w:fldChar w:fldCharType="end"/>
            </w:r>
            <w:r w:rsidRPr="00A71353">
              <w:rPr>
                <w:sz w:val="18"/>
                <w:szCs w:val="18"/>
              </w:rPr>
              <w:t>); and</w:t>
            </w:r>
          </w:p>
          <w:p w14:paraId="37FAB754" w14:textId="5E38A039" w:rsidR="003C5B49" w:rsidRPr="000A0652" w:rsidRDefault="00A71353" w:rsidP="00A71353">
            <w:pPr>
              <w:pStyle w:val="ListParagraph"/>
              <w:numPr>
                <w:ilvl w:val="2"/>
                <w:numId w:val="29"/>
              </w:numPr>
              <w:tabs>
                <w:tab w:val="clear" w:pos="2160"/>
              </w:tabs>
              <w:spacing w:before="60" w:after="60"/>
              <w:ind w:left="482" w:hanging="357"/>
              <w:contextualSpacing w:val="0"/>
              <w:rPr>
                <w:sz w:val="18"/>
                <w:szCs w:val="18"/>
              </w:rPr>
            </w:pPr>
            <w:r w:rsidRPr="000A0652">
              <w:rPr>
                <w:sz w:val="18"/>
                <w:szCs w:val="18"/>
              </w:rPr>
              <w:t xml:space="preserve">the FMT instructs bidders to show all of their anticipated set up and mobilisation costs in the FMT (see paragraph </w:t>
            </w:r>
            <w:r w:rsidRPr="000A0652">
              <w:rPr>
                <w:sz w:val="18"/>
                <w:szCs w:val="18"/>
                <w:highlight w:val="yellow"/>
              </w:rPr>
              <w:fldChar w:fldCharType="begin"/>
            </w:r>
            <w:r w:rsidRPr="000A0652">
              <w:rPr>
                <w:sz w:val="18"/>
                <w:szCs w:val="18"/>
              </w:rPr>
              <w:instrText xml:space="preserve"> REF _Ref205907162 \r \h </w:instrText>
            </w:r>
            <w:r w:rsidRPr="000A0652">
              <w:rPr>
                <w:sz w:val="18"/>
                <w:szCs w:val="18"/>
                <w:highlight w:val="yellow"/>
              </w:rPr>
              <w:instrText xml:space="preserve"> \* MERGEFORMAT </w:instrText>
            </w:r>
            <w:r w:rsidRPr="000A0652">
              <w:rPr>
                <w:sz w:val="18"/>
                <w:szCs w:val="18"/>
                <w:highlight w:val="yellow"/>
              </w:rPr>
            </w:r>
            <w:r w:rsidRPr="000A0652">
              <w:rPr>
                <w:sz w:val="18"/>
                <w:szCs w:val="18"/>
                <w:highlight w:val="yellow"/>
              </w:rPr>
              <w:fldChar w:fldCharType="separate"/>
            </w:r>
            <w:r w:rsidR="00437D90">
              <w:rPr>
                <w:sz w:val="18"/>
                <w:szCs w:val="18"/>
              </w:rPr>
              <w:t>70</w:t>
            </w:r>
            <w:r w:rsidRPr="000A0652">
              <w:rPr>
                <w:sz w:val="18"/>
                <w:szCs w:val="18"/>
                <w:highlight w:val="yellow"/>
              </w:rPr>
              <w:fldChar w:fldCharType="end"/>
            </w:r>
            <w:r w:rsidRPr="000A0652">
              <w:rPr>
                <w:sz w:val="18"/>
                <w:szCs w:val="18"/>
              </w:rPr>
              <w:t>), which would include any transformation costs.</w:t>
            </w:r>
          </w:p>
        </w:tc>
      </w:tr>
      <w:tr w:rsidR="003C5B49" w:rsidRPr="00F33051" w14:paraId="730CC3C9" w14:textId="77777777" w:rsidTr="00F33051">
        <w:tc>
          <w:tcPr>
            <w:tcW w:w="4508" w:type="dxa"/>
          </w:tcPr>
          <w:p w14:paraId="4BE7C207" w14:textId="191D97EF" w:rsidR="003C5B49" w:rsidRPr="00F33051" w:rsidRDefault="00AC2190" w:rsidP="00F33051">
            <w:pPr>
              <w:spacing w:before="60" w:after="60"/>
              <w:rPr>
                <w:sz w:val="18"/>
                <w:szCs w:val="18"/>
              </w:rPr>
            </w:pPr>
            <w:r>
              <w:rPr>
                <w:sz w:val="18"/>
                <w:szCs w:val="18"/>
              </w:rPr>
              <w:t xml:space="preserve">(iii) </w:t>
            </w:r>
            <w:r w:rsidR="00F33051" w:rsidRPr="00F33051">
              <w:rPr>
                <w:sz w:val="18"/>
                <w:szCs w:val="18"/>
              </w:rPr>
              <w:t>the ICB “addressed and responded to each Clarification Question … in good faith and with the relevant information”</w:t>
            </w:r>
          </w:p>
        </w:tc>
        <w:tc>
          <w:tcPr>
            <w:tcW w:w="4508" w:type="dxa"/>
          </w:tcPr>
          <w:p w14:paraId="150B7178" w14:textId="0E67F67B" w:rsidR="003C5B49" w:rsidRPr="00F33051" w:rsidRDefault="000548BD" w:rsidP="00F33051">
            <w:pPr>
              <w:spacing w:before="60" w:after="60"/>
              <w:rPr>
                <w:sz w:val="18"/>
                <w:szCs w:val="18"/>
              </w:rPr>
            </w:pPr>
            <w:r w:rsidRPr="00830A72">
              <w:rPr>
                <w:sz w:val="18"/>
                <w:szCs w:val="18"/>
              </w:rPr>
              <w:t xml:space="preserve">The Panel’s view </w:t>
            </w:r>
            <w:r w:rsidR="00830A72" w:rsidRPr="00830A72">
              <w:rPr>
                <w:sz w:val="18"/>
                <w:szCs w:val="18"/>
              </w:rPr>
              <w:t xml:space="preserve">is </w:t>
            </w:r>
            <w:r w:rsidRPr="00830A72">
              <w:rPr>
                <w:sz w:val="18"/>
                <w:szCs w:val="18"/>
              </w:rPr>
              <w:t>that MSE ICB’s assertion that it “addressed and responded to each Clarification Question … in good faith and with the relevant information” is not relevant to MPFT’s and EPUT’s concern that MSE ICB changed how bidders were able to present costs in their proposals.</w:t>
            </w:r>
          </w:p>
        </w:tc>
      </w:tr>
      <w:tr w:rsidR="003C5B49" w:rsidRPr="00F33051" w14:paraId="36E81CB5" w14:textId="77777777" w:rsidTr="00F33051">
        <w:tc>
          <w:tcPr>
            <w:tcW w:w="4508" w:type="dxa"/>
          </w:tcPr>
          <w:p w14:paraId="4BBFE2E4" w14:textId="643CDBA9" w:rsidR="003C5B49" w:rsidRPr="00F33051" w:rsidRDefault="00AC2190" w:rsidP="00F33051">
            <w:pPr>
              <w:spacing w:before="60" w:after="60"/>
              <w:rPr>
                <w:sz w:val="18"/>
                <w:szCs w:val="18"/>
              </w:rPr>
            </w:pPr>
            <w:r>
              <w:rPr>
                <w:sz w:val="18"/>
                <w:szCs w:val="18"/>
              </w:rPr>
              <w:t xml:space="preserve">(iv) </w:t>
            </w:r>
            <w:r w:rsidR="00F33051" w:rsidRPr="00F33051">
              <w:rPr>
                <w:sz w:val="18"/>
                <w:szCs w:val="18"/>
              </w:rPr>
              <w:t>the ICB “did not amend the methodology in which it would assess and evaluate the bid submissions received”</w:t>
            </w:r>
          </w:p>
        </w:tc>
        <w:tc>
          <w:tcPr>
            <w:tcW w:w="4508" w:type="dxa"/>
          </w:tcPr>
          <w:p w14:paraId="1B701BD3" w14:textId="57373078" w:rsidR="003C5B49" w:rsidRPr="000A0652" w:rsidRDefault="000A0652" w:rsidP="00F33051">
            <w:pPr>
              <w:spacing w:before="60" w:after="60"/>
              <w:rPr>
                <w:sz w:val="18"/>
                <w:szCs w:val="18"/>
              </w:rPr>
            </w:pPr>
            <w:r w:rsidRPr="000A0652">
              <w:rPr>
                <w:sz w:val="18"/>
                <w:szCs w:val="18"/>
              </w:rPr>
              <w:t xml:space="preserve">The Panel partly agrees that MSE ICB “did not amend the methodology in which it would assess and evaluate the bid submissions received”. The evaluation methodology remained unchanged in the sense that the scoring matrix, the way in which evaluators conducted their review, and the moderation process were not amended. However, MSE ICB’s </w:t>
            </w:r>
            <w:r w:rsidR="00EE5BB0">
              <w:rPr>
                <w:sz w:val="18"/>
                <w:szCs w:val="18"/>
              </w:rPr>
              <w:t>basis</w:t>
            </w:r>
            <w:r w:rsidRPr="000A0652">
              <w:rPr>
                <w:sz w:val="18"/>
                <w:szCs w:val="18"/>
              </w:rPr>
              <w:t xml:space="preserve"> for evaluating bidders’ costs was amended by virtue of it allowing transformation costs that would be financed by the bidder to be excluded from the FMT.</w:t>
            </w:r>
          </w:p>
        </w:tc>
      </w:tr>
      <w:tr w:rsidR="003C5B49" w:rsidRPr="00F33051" w14:paraId="5A342D48" w14:textId="77777777" w:rsidTr="00F33051">
        <w:tc>
          <w:tcPr>
            <w:tcW w:w="4508" w:type="dxa"/>
          </w:tcPr>
          <w:p w14:paraId="01A2284B" w14:textId="52DB31FA" w:rsidR="003C5B49" w:rsidRPr="00F33051" w:rsidRDefault="00AC2190" w:rsidP="00F33051">
            <w:pPr>
              <w:spacing w:before="60" w:after="60"/>
              <w:rPr>
                <w:sz w:val="18"/>
                <w:szCs w:val="18"/>
              </w:rPr>
            </w:pPr>
            <w:r>
              <w:rPr>
                <w:sz w:val="18"/>
                <w:szCs w:val="18"/>
              </w:rPr>
              <w:t xml:space="preserve">(v) </w:t>
            </w:r>
            <w:r w:rsidR="00F33051" w:rsidRPr="00F33051">
              <w:rPr>
                <w:sz w:val="18"/>
                <w:szCs w:val="18"/>
              </w:rPr>
              <w:t>“the financial envelope … was not amended nor altered during the procurement process”</w:t>
            </w:r>
          </w:p>
        </w:tc>
        <w:tc>
          <w:tcPr>
            <w:tcW w:w="4508" w:type="dxa"/>
          </w:tcPr>
          <w:p w14:paraId="44F0853C" w14:textId="6C664768" w:rsidR="003C5B49" w:rsidRPr="00F33051" w:rsidRDefault="00830A72" w:rsidP="00F33051">
            <w:pPr>
              <w:spacing w:before="60" w:after="60"/>
              <w:rPr>
                <w:sz w:val="18"/>
                <w:szCs w:val="18"/>
              </w:rPr>
            </w:pPr>
            <w:r>
              <w:rPr>
                <w:sz w:val="18"/>
                <w:szCs w:val="18"/>
              </w:rPr>
              <w:t xml:space="preserve">The Panel agrees that MSE ICB did not change the financial envelope, but does not consider this to </w:t>
            </w:r>
            <w:r w:rsidRPr="00AC2190">
              <w:rPr>
                <w:sz w:val="18"/>
                <w:szCs w:val="18"/>
              </w:rPr>
              <w:t>be relevant to MPFT’s and EPUT’s concern that MSE ICB changed how bidders were able to present costs in their proposals</w:t>
            </w:r>
            <w:r>
              <w:rPr>
                <w:sz w:val="18"/>
                <w:szCs w:val="18"/>
              </w:rPr>
              <w:t>.</w:t>
            </w:r>
          </w:p>
        </w:tc>
      </w:tr>
      <w:tr w:rsidR="00F33051" w:rsidRPr="00F33051" w14:paraId="7A3AAF08" w14:textId="77777777" w:rsidTr="00F33051">
        <w:tc>
          <w:tcPr>
            <w:tcW w:w="4508" w:type="dxa"/>
          </w:tcPr>
          <w:p w14:paraId="326E2148" w14:textId="48803474" w:rsidR="00F33051" w:rsidRPr="00F33051" w:rsidRDefault="00AC2190" w:rsidP="00F33051">
            <w:pPr>
              <w:spacing w:before="60" w:after="60"/>
              <w:rPr>
                <w:sz w:val="18"/>
                <w:szCs w:val="18"/>
              </w:rPr>
            </w:pPr>
            <w:r>
              <w:rPr>
                <w:sz w:val="18"/>
                <w:szCs w:val="18"/>
              </w:rPr>
              <w:lastRenderedPageBreak/>
              <w:t xml:space="preserve">(vi) </w:t>
            </w:r>
            <w:r w:rsidR="00F33051" w:rsidRPr="00F33051">
              <w:rPr>
                <w:sz w:val="18"/>
                <w:szCs w:val="18"/>
              </w:rPr>
              <w:t>“all bidders had access to the same information as part of the tender exercise and it was clear that all bidders were to invest TUPE costs into the services in Year 1 or their bid submissions would have exceeded the maximum financial envelope and would therefore have been non-compliant”</w:t>
            </w:r>
          </w:p>
        </w:tc>
        <w:tc>
          <w:tcPr>
            <w:tcW w:w="4508" w:type="dxa"/>
          </w:tcPr>
          <w:p w14:paraId="6AF84E84" w14:textId="77777777" w:rsidR="00F33051" w:rsidRDefault="00011CB0" w:rsidP="00F33051">
            <w:pPr>
              <w:spacing w:before="60" w:after="60"/>
              <w:rPr>
                <w:sz w:val="18"/>
                <w:szCs w:val="18"/>
              </w:rPr>
            </w:pPr>
            <w:r>
              <w:rPr>
                <w:sz w:val="18"/>
                <w:szCs w:val="18"/>
              </w:rPr>
              <w:t xml:space="preserve">The Panel agrees that all bidders had access to the same information as part of the tender exercise, but does not consider this to </w:t>
            </w:r>
            <w:r w:rsidRPr="00AC2190">
              <w:rPr>
                <w:sz w:val="18"/>
                <w:szCs w:val="18"/>
              </w:rPr>
              <w:t>be relevant to MPFT’s and EPUT’s concern that MSE ICB changed how bidders were able to present costs in their proposals</w:t>
            </w:r>
            <w:r>
              <w:rPr>
                <w:sz w:val="18"/>
                <w:szCs w:val="18"/>
              </w:rPr>
              <w:t>.</w:t>
            </w:r>
          </w:p>
          <w:p w14:paraId="0BD35735" w14:textId="26A37F84" w:rsidR="00AF5FA7" w:rsidRPr="00AF5FA7" w:rsidRDefault="00AF5FA7" w:rsidP="00AF5FA7">
            <w:pPr>
              <w:spacing w:before="60" w:after="60"/>
              <w:rPr>
                <w:sz w:val="18"/>
                <w:szCs w:val="18"/>
              </w:rPr>
            </w:pPr>
            <w:r w:rsidRPr="00AF5FA7">
              <w:rPr>
                <w:sz w:val="18"/>
                <w:szCs w:val="18"/>
              </w:rPr>
              <w:t>The Panel does not agree that “it was clear that all bidders were to invest TUPE costs into the services in Year 1 or their bid submissions would have exceeded the maximum financial envelope and would therefore have been non-compliant”. On the contrary:</w:t>
            </w:r>
          </w:p>
          <w:p w14:paraId="45C54C64" w14:textId="77777777" w:rsidR="00AF5FA7" w:rsidRPr="00AF5FA7" w:rsidRDefault="00AF5FA7" w:rsidP="00AF5FA7">
            <w:pPr>
              <w:pStyle w:val="ListParagraph"/>
              <w:numPr>
                <w:ilvl w:val="2"/>
                <w:numId w:val="29"/>
              </w:numPr>
              <w:tabs>
                <w:tab w:val="clear" w:pos="2160"/>
              </w:tabs>
              <w:spacing w:before="60" w:after="60"/>
              <w:ind w:left="482" w:hanging="357"/>
              <w:contextualSpacing w:val="0"/>
              <w:rPr>
                <w:sz w:val="18"/>
                <w:szCs w:val="18"/>
              </w:rPr>
            </w:pPr>
            <w:r w:rsidRPr="00AF5FA7">
              <w:rPr>
                <w:sz w:val="18"/>
                <w:szCs w:val="18"/>
              </w:rPr>
              <w:t>there is no mention of any such requirement in the tender documentation;</w:t>
            </w:r>
          </w:p>
          <w:p w14:paraId="3D1084C0" w14:textId="490F6C9D" w:rsidR="00AF5FA7" w:rsidRPr="00AF5FA7" w:rsidRDefault="00AF5FA7" w:rsidP="00AF5FA7">
            <w:pPr>
              <w:pStyle w:val="ListParagraph"/>
              <w:numPr>
                <w:ilvl w:val="2"/>
                <w:numId w:val="29"/>
              </w:numPr>
              <w:tabs>
                <w:tab w:val="clear" w:pos="2160"/>
              </w:tabs>
              <w:spacing w:before="60" w:after="60"/>
              <w:ind w:left="482" w:hanging="357"/>
              <w:contextualSpacing w:val="0"/>
              <w:rPr>
                <w:sz w:val="18"/>
                <w:szCs w:val="18"/>
              </w:rPr>
            </w:pPr>
            <w:r w:rsidRPr="00AF5FA7">
              <w:rPr>
                <w:sz w:val="18"/>
                <w:szCs w:val="18"/>
              </w:rPr>
              <w:t xml:space="preserve">MSE ICB implied that no such investment was necessary when responding to CQ43 (saying that the financial envelope was sufficient to cover the cost of staff likely to transfer under TUPE rules) and did not correct its response to CQ43 when it released updated TUPE information that contradicted its answer to this CQ (see paragraph </w:t>
            </w:r>
            <w:r w:rsidRPr="00AF5FA7">
              <w:rPr>
                <w:sz w:val="18"/>
                <w:szCs w:val="18"/>
              </w:rPr>
              <w:fldChar w:fldCharType="begin"/>
            </w:r>
            <w:r w:rsidRPr="00AF5FA7">
              <w:rPr>
                <w:sz w:val="18"/>
                <w:szCs w:val="18"/>
              </w:rPr>
              <w:instrText xml:space="preserve"> REF _Ref206776722 \r \h  \* MERGEFORMAT </w:instrText>
            </w:r>
            <w:r w:rsidRPr="00AF5FA7">
              <w:rPr>
                <w:sz w:val="18"/>
                <w:szCs w:val="18"/>
              </w:rPr>
            </w:r>
            <w:r w:rsidRPr="00AF5FA7">
              <w:rPr>
                <w:sz w:val="18"/>
                <w:szCs w:val="18"/>
              </w:rPr>
              <w:fldChar w:fldCharType="separate"/>
            </w:r>
            <w:r w:rsidR="00437D90">
              <w:rPr>
                <w:sz w:val="18"/>
                <w:szCs w:val="18"/>
              </w:rPr>
              <w:t>72</w:t>
            </w:r>
            <w:r w:rsidRPr="00AF5FA7">
              <w:rPr>
                <w:sz w:val="18"/>
                <w:szCs w:val="18"/>
              </w:rPr>
              <w:fldChar w:fldCharType="end"/>
            </w:r>
            <w:r w:rsidRPr="00AF5FA7">
              <w:rPr>
                <w:sz w:val="18"/>
                <w:szCs w:val="18"/>
              </w:rPr>
              <w:t>); and</w:t>
            </w:r>
          </w:p>
          <w:p w14:paraId="45FF9D19" w14:textId="3DC18D38" w:rsidR="00AF5FA7" w:rsidRPr="00F33051" w:rsidRDefault="00AF5FA7" w:rsidP="00AF5FA7">
            <w:pPr>
              <w:pStyle w:val="ListParagraph"/>
              <w:numPr>
                <w:ilvl w:val="2"/>
                <w:numId w:val="29"/>
              </w:numPr>
              <w:tabs>
                <w:tab w:val="clear" w:pos="2160"/>
              </w:tabs>
              <w:spacing w:before="60" w:after="60"/>
              <w:ind w:left="482" w:hanging="357"/>
              <w:contextualSpacing w:val="0"/>
              <w:rPr>
                <w:sz w:val="18"/>
                <w:szCs w:val="18"/>
              </w:rPr>
            </w:pPr>
            <w:r w:rsidRPr="00AF5FA7">
              <w:rPr>
                <w:sz w:val="18"/>
                <w:szCs w:val="18"/>
              </w:rPr>
              <w:t>MSE ICB only explicitly acknowledged that “investment” by bidders might be needed for the first time on 1 April.</w:t>
            </w:r>
          </w:p>
        </w:tc>
      </w:tr>
      <w:tr w:rsidR="00F33051" w:rsidRPr="00F33051" w14:paraId="6E991070" w14:textId="77777777" w:rsidTr="00F33051">
        <w:tc>
          <w:tcPr>
            <w:tcW w:w="4508" w:type="dxa"/>
          </w:tcPr>
          <w:p w14:paraId="1571EF68" w14:textId="2ABBEBB8" w:rsidR="00F33051" w:rsidRPr="00F33051" w:rsidRDefault="00AC2190" w:rsidP="00F33051">
            <w:pPr>
              <w:spacing w:before="60" w:after="60"/>
              <w:rPr>
                <w:sz w:val="18"/>
                <w:szCs w:val="18"/>
              </w:rPr>
            </w:pPr>
            <w:r>
              <w:rPr>
                <w:sz w:val="18"/>
                <w:szCs w:val="18"/>
              </w:rPr>
              <w:t xml:space="preserve">(vii) </w:t>
            </w:r>
            <w:r w:rsidR="00F33051" w:rsidRPr="00F33051">
              <w:rPr>
                <w:sz w:val="18"/>
                <w:szCs w:val="18"/>
              </w:rPr>
              <w:t>the ICB “received two compliant bid submissions … [and] cannot therefore reasonably consider that [these submissions] could reasonably be discredited or dismissed because MPFT believed itself unable to submit a compliant and legally binding tender”</w:t>
            </w:r>
          </w:p>
        </w:tc>
        <w:tc>
          <w:tcPr>
            <w:tcW w:w="4508" w:type="dxa"/>
          </w:tcPr>
          <w:p w14:paraId="4EFA2CE4" w14:textId="5F49AB57" w:rsidR="00F33051" w:rsidRPr="00F33051" w:rsidRDefault="00F711FD" w:rsidP="00F33051">
            <w:pPr>
              <w:spacing w:before="60" w:after="60"/>
              <w:rPr>
                <w:sz w:val="18"/>
                <w:szCs w:val="18"/>
              </w:rPr>
            </w:pPr>
            <w:r w:rsidRPr="00F711FD">
              <w:rPr>
                <w:sz w:val="18"/>
                <w:szCs w:val="18"/>
              </w:rPr>
              <w:t>The Panel notes that MSE ICB’s point that it “received two compliant bid submissions … [and] cannot therefore reasonably consider that [these submissions] could reasonably be discredited or dismissed because MPFT believed itself unable to submit a compliant and legally binding tender” does not address the issue of whether MSE ICB changed its approach to how bidders could present their transformation costs.</w:t>
            </w:r>
          </w:p>
        </w:tc>
      </w:tr>
    </w:tbl>
    <w:p w14:paraId="1764906C" w14:textId="1A05B48D" w:rsidR="00807F68" w:rsidRPr="00623616" w:rsidRDefault="00623616" w:rsidP="00623616">
      <w:pPr>
        <w:spacing w:before="60" w:after="360" w:line="240" w:lineRule="auto"/>
        <w:rPr>
          <w:sz w:val="16"/>
          <w:szCs w:val="16"/>
        </w:rPr>
      </w:pPr>
      <w:r w:rsidRPr="00623616">
        <w:rPr>
          <w:sz w:val="16"/>
          <w:szCs w:val="16"/>
        </w:rPr>
        <w:t>Source: MSE ICB, Representations report to MPFT, 20 June 2025.</w:t>
      </w:r>
    </w:p>
    <w:p w14:paraId="40A8A525" w14:textId="4D350ABE" w:rsidR="00595EE9" w:rsidRDefault="006F5151" w:rsidP="00595EE9">
      <w:pPr>
        <w:pStyle w:val="Heading2"/>
        <w:spacing w:before="240" w:after="160"/>
        <w:ind w:left="578" w:hanging="578"/>
      </w:pPr>
      <w:bookmarkStart w:id="40" w:name="_Toc209611777"/>
      <w:r>
        <w:t>R</w:t>
      </w:r>
      <w:r w:rsidR="00595EE9">
        <w:t xml:space="preserve">esponses to bidders’ </w:t>
      </w:r>
      <w:r w:rsidR="00C569FA">
        <w:t>clarification questions</w:t>
      </w:r>
      <w:bookmarkEnd w:id="40"/>
    </w:p>
    <w:p w14:paraId="20D455D5" w14:textId="2040985B" w:rsidR="00595EE9" w:rsidRDefault="00595EE9" w:rsidP="00595EE9">
      <w:pPr>
        <w:pStyle w:val="ListParagraph"/>
        <w:numPr>
          <w:ilvl w:val="0"/>
          <w:numId w:val="1"/>
        </w:numPr>
        <w:spacing w:line="276" w:lineRule="auto"/>
        <w:contextualSpacing w:val="0"/>
      </w:pPr>
      <w:r w:rsidRPr="0015633D">
        <w:t xml:space="preserve">This section sets out the Panel’s assessment of MPFT’s </w:t>
      </w:r>
      <w:r>
        <w:t xml:space="preserve">and EPUT’s </w:t>
      </w:r>
      <w:r w:rsidRPr="0015633D">
        <w:t xml:space="preserve">concerns about </w:t>
      </w:r>
      <w:r w:rsidR="00DE717A">
        <w:t>the completeness</w:t>
      </w:r>
      <w:r w:rsidR="00174FA5">
        <w:t>, accuracy</w:t>
      </w:r>
      <w:r w:rsidR="00DE717A">
        <w:t xml:space="preserve"> and timeliness of </w:t>
      </w:r>
      <w:r>
        <w:t>response</w:t>
      </w:r>
      <w:r w:rsidR="00BC5329">
        <w:t>s</w:t>
      </w:r>
      <w:r>
        <w:t xml:space="preserve"> to CQs during the provider selection process</w:t>
      </w:r>
      <w:r w:rsidRPr="0015633D">
        <w:t>.</w:t>
      </w:r>
    </w:p>
    <w:p w14:paraId="0F08A2F3" w14:textId="291D76DE" w:rsidR="00B12265" w:rsidRPr="00B12265" w:rsidRDefault="00B12265" w:rsidP="00B12265">
      <w:pPr>
        <w:keepNext/>
        <w:spacing w:before="240" w:line="276" w:lineRule="auto"/>
        <w:rPr>
          <w:b/>
          <w:bCs/>
        </w:rPr>
      </w:pPr>
      <w:r>
        <w:rPr>
          <w:b/>
          <w:bCs/>
        </w:rPr>
        <w:t xml:space="preserve">7.3.1 Background to </w:t>
      </w:r>
      <w:r w:rsidR="00B92EEA">
        <w:rPr>
          <w:b/>
          <w:bCs/>
        </w:rPr>
        <w:t xml:space="preserve">MPFT’s and EPUT’s representations </w:t>
      </w:r>
      <w:r w:rsidR="00A404E6">
        <w:rPr>
          <w:b/>
          <w:bCs/>
        </w:rPr>
        <w:t>on the CQs</w:t>
      </w:r>
    </w:p>
    <w:p w14:paraId="3F93869B" w14:textId="1823BF79" w:rsidR="00B85F4E" w:rsidRDefault="00BC5329" w:rsidP="006D0DB4">
      <w:pPr>
        <w:pStyle w:val="ListParagraph"/>
        <w:numPr>
          <w:ilvl w:val="0"/>
          <w:numId w:val="1"/>
        </w:numPr>
        <w:spacing w:after="120" w:line="276" w:lineRule="auto"/>
        <w:contextualSpacing w:val="0"/>
      </w:pPr>
      <w:r>
        <w:t xml:space="preserve">Instructions for bidders in relation to CQs in </w:t>
      </w:r>
      <w:r w:rsidR="00B85F4E">
        <w:t xml:space="preserve">the tender documentation </w:t>
      </w:r>
      <w:r>
        <w:t>were as follows</w:t>
      </w:r>
      <w:r w:rsidR="00B85F4E">
        <w:t>:</w:t>
      </w:r>
    </w:p>
    <w:p w14:paraId="199FCEAA" w14:textId="1B2D4F86" w:rsidR="00B85F4E" w:rsidRPr="00CB710A" w:rsidRDefault="00B85F4E" w:rsidP="006D0DB4">
      <w:pPr>
        <w:spacing w:after="120"/>
        <w:ind w:left="851"/>
        <w:rPr>
          <w:sz w:val="21"/>
          <w:szCs w:val="21"/>
        </w:rPr>
      </w:pPr>
      <w:r w:rsidRPr="00CB710A">
        <w:rPr>
          <w:sz w:val="21"/>
          <w:szCs w:val="21"/>
        </w:rPr>
        <w:t xml:space="preserve">“The Bidder may submit questions to </w:t>
      </w:r>
      <w:r w:rsidR="00B40755">
        <w:rPr>
          <w:sz w:val="21"/>
          <w:szCs w:val="21"/>
        </w:rPr>
        <w:t xml:space="preserve">MSE ICB </w:t>
      </w:r>
      <w:r w:rsidRPr="00CB710A">
        <w:rPr>
          <w:sz w:val="21"/>
          <w:szCs w:val="21"/>
        </w:rPr>
        <w:t xml:space="preserve">where they require clarification on the information contained in the ITT. For avoidance of doubt, this is not an </w:t>
      </w:r>
      <w:r w:rsidRPr="00CB710A">
        <w:rPr>
          <w:rFonts w:cs="Arial"/>
          <w:sz w:val="21"/>
          <w:szCs w:val="21"/>
        </w:rPr>
        <w:t>opportunity</w:t>
      </w:r>
      <w:r w:rsidRPr="00CB710A">
        <w:rPr>
          <w:sz w:val="21"/>
          <w:szCs w:val="21"/>
        </w:rPr>
        <w:t xml:space="preserve"> to seek additional information to that already provided in the ITT and/or on the Portal.</w:t>
      </w:r>
    </w:p>
    <w:p w14:paraId="22C807E2" w14:textId="3355257C" w:rsidR="00B85F4E" w:rsidRPr="00712B44" w:rsidRDefault="00B85F4E" w:rsidP="006D0DB4">
      <w:pPr>
        <w:spacing w:after="120"/>
        <w:ind w:left="851"/>
        <w:rPr>
          <w:sz w:val="21"/>
          <w:szCs w:val="21"/>
        </w:rPr>
      </w:pPr>
      <w:r>
        <w:rPr>
          <w:sz w:val="21"/>
          <w:szCs w:val="21"/>
        </w:rPr>
        <w:t>“</w:t>
      </w:r>
      <w:r w:rsidRPr="00712B44">
        <w:rPr>
          <w:sz w:val="21"/>
          <w:szCs w:val="21"/>
        </w:rPr>
        <w:t xml:space="preserve">All clarification requests should be submitted via the Portal by the Clarification Deadline, as set out in the Procurement Overview. </w:t>
      </w:r>
      <w:r w:rsidR="00B56F79">
        <w:rPr>
          <w:sz w:val="21"/>
          <w:szCs w:val="21"/>
        </w:rPr>
        <w:t xml:space="preserve">MSE ICB </w:t>
      </w:r>
      <w:r w:rsidRPr="00712B44">
        <w:rPr>
          <w:sz w:val="21"/>
          <w:szCs w:val="21"/>
        </w:rPr>
        <w:t xml:space="preserve">is under no obligation </w:t>
      </w:r>
      <w:r w:rsidRPr="00CB710A">
        <w:rPr>
          <w:rFonts w:cs="Arial"/>
          <w:sz w:val="21"/>
          <w:szCs w:val="21"/>
        </w:rPr>
        <w:t>to</w:t>
      </w:r>
      <w:r w:rsidRPr="00712B44">
        <w:rPr>
          <w:sz w:val="21"/>
          <w:szCs w:val="21"/>
        </w:rPr>
        <w:t xml:space="preserve"> respond to clarification requests received after the Clarification Deadline. The Bidder should submit clarification questions via the Portal messaging facility only. Questions received by any other method will not receive a response. </w:t>
      </w:r>
    </w:p>
    <w:p w14:paraId="6EE31E73" w14:textId="77777777" w:rsidR="00B85F4E" w:rsidRPr="00712B44" w:rsidRDefault="00B85F4E" w:rsidP="006D0DB4">
      <w:pPr>
        <w:spacing w:after="120"/>
        <w:ind w:left="851"/>
        <w:rPr>
          <w:sz w:val="21"/>
          <w:szCs w:val="21"/>
        </w:rPr>
      </w:pPr>
      <w:r>
        <w:rPr>
          <w:sz w:val="21"/>
          <w:szCs w:val="21"/>
        </w:rPr>
        <w:t>“</w:t>
      </w:r>
      <w:r w:rsidRPr="00712B44">
        <w:rPr>
          <w:sz w:val="21"/>
          <w:szCs w:val="21"/>
        </w:rPr>
        <w:t xml:space="preserve">Any clarification requests should clearly reference the appropriate paragraph in the ITT </w:t>
      </w:r>
      <w:r w:rsidRPr="00CB710A">
        <w:rPr>
          <w:rFonts w:cs="Arial"/>
          <w:sz w:val="21"/>
          <w:szCs w:val="21"/>
        </w:rPr>
        <w:t>documentation</w:t>
      </w:r>
      <w:r w:rsidRPr="00712B44">
        <w:rPr>
          <w:sz w:val="21"/>
          <w:szCs w:val="21"/>
        </w:rPr>
        <w:t xml:space="preserve"> and, to the extent possible, should be aggregated rather than sent individually. </w:t>
      </w:r>
    </w:p>
    <w:p w14:paraId="1A140835" w14:textId="320EE9AA" w:rsidR="00B85F4E" w:rsidRPr="00712B44" w:rsidRDefault="00B85F4E" w:rsidP="006D0DB4">
      <w:pPr>
        <w:ind w:left="851"/>
        <w:rPr>
          <w:sz w:val="21"/>
          <w:szCs w:val="21"/>
        </w:rPr>
      </w:pPr>
      <w:r>
        <w:rPr>
          <w:sz w:val="21"/>
          <w:szCs w:val="21"/>
        </w:rPr>
        <w:lastRenderedPageBreak/>
        <w:t>“</w:t>
      </w:r>
      <w:r w:rsidRPr="00712B44">
        <w:rPr>
          <w:sz w:val="21"/>
          <w:szCs w:val="21"/>
        </w:rPr>
        <w:t xml:space="preserve">Unless otherwise indicated in the Procurement Overview, </w:t>
      </w:r>
      <w:r w:rsidR="00EB1B7F">
        <w:rPr>
          <w:sz w:val="21"/>
          <w:szCs w:val="21"/>
        </w:rPr>
        <w:t xml:space="preserve">MSE ICB </w:t>
      </w:r>
      <w:r w:rsidRPr="00712B44">
        <w:rPr>
          <w:sz w:val="21"/>
          <w:szCs w:val="21"/>
        </w:rPr>
        <w:t xml:space="preserve">will seek to answer questions within 5 working days following the day of receipt. The Bidder is urged to review the ITT immediately upon receipt and identify and submit any questions as soon as possible and in any event no later than the deadline specified within </w:t>
      </w:r>
      <w:r w:rsidRPr="00CB710A">
        <w:rPr>
          <w:rFonts w:cs="Arial"/>
          <w:sz w:val="21"/>
          <w:szCs w:val="21"/>
        </w:rPr>
        <w:t>the</w:t>
      </w:r>
      <w:r w:rsidRPr="00712B44">
        <w:rPr>
          <w:sz w:val="21"/>
          <w:szCs w:val="21"/>
        </w:rPr>
        <w:t xml:space="preserve"> Procurement Overview. Any questions received after this time, or via any other method than the Portal messaging facility, may not be answered.”</w:t>
      </w:r>
      <w:r>
        <w:rPr>
          <w:rStyle w:val="FootnoteReference"/>
          <w:sz w:val="21"/>
          <w:szCs w:val="21"/>
        </w:rPr>
        <w:footnoteReference w:id="44"/>
      </w:r>
    </w:p>
    <w:p w14:paraId="0CED9A9C" w14:textId="4E63FCA0" w:rsidR="00595EE9" w:rsidRDefault="00B85F4E" w:rsidP="008C3D75">
      <w:pPr>
        <w:pStyle w:val="ListParagraph"/>
        <w:numPr>
          <w:ilvl w:val="0"/>
          <w:numId w:val="1"/>
        </w:numPr>
        <w:spacing w:after="0" w:line="276" w:lineRule="auto"/>
        <w:contextualSpacing w:val="0"/>
      </w:pPr>
      <w:r>
        <w:t xml:space="preserve">MSE ICB responded to </w:t>
      </w:r>
      <w:r w:rsidR="007E7F3E">
        <w:t>90</w:t>
      </w:r>
      <w:r w:rsidR="0068040F">
        <w:t xml:space="preserve"> CQs during the provider selection process. Answers to CQs were included in a CQ log</w:t>
      </w:r>
      <w:r w:rsidR="00B16F85">
        <w:rPr>
          <w:rStyle w:val="FootnoteReference"/>
        </w:rPr>
        <w:footnoteReference w:id="45"/>
      </w:r>
      <w:r w:rsidR="00595EE9" w:rsidRPr="00127C25">
        <w:t xml:space="preserve"> </w:t>
      </w:r>
      <w:r w:rsidR="00AF6431">
        <w:t>that</w:t>
      </w:r>
      <w:r w:rsidR="008C3D75">
        <w:t xml:space="preserve"> was updated as follows</w:t>
      </w:r>
      <w:r w:rsidR="00595EE9">
        <w:t>:</w:t>
      </w:r>
    </w:p>
    <w:p w14:paraId="1250F810" w14:textId="50D94CBE" w:rsidR="00595EE9" w:rsidRPr="00BB10FA" w:rsidRDefault="00595EE9" w:rsidP="0078663E">
      <w:pPr>
        <w:pStyle w:val="ListParagraph"/>
        <w:numPr>
          <w:ilvl w:val="0"/>
          <w:numId w:val="19"/>
        </w:numPr>
        <w:spacing w:after="120" w:line="276" w:lineRule="auto"/>
        <w:ind w:left="1418" w:hanging="357"/>
      </w:pPr>
      <w:r w:rsidRPr="00BB10FA">
        <w:t>CQ log 1: 10 March 2025</w:t>
      </w:r>
      <w:r w:rsidR="00702266" w:rsidRPr="00BB10FA">
        <w:t>;</w:t>
      </w:r>
    </w:p>
    <w:p w14:paraId="474949CA" w14:textId="3B62051E" w:rsidR="00595EE9" w:rsidRPr="00BB10FA" w:rsidRDefault="00595EE9" w:rsidP="0078663E">
      <w:pPr>
        <w:pStyle w:val="ListParagraph"/>
        <w:numPr>
          <w:ilvl w:val="0"/>
          <w:numId w:val="19"/>
        </w:numPr>
        <w:spacing w:after="120" w:line="276" w:lineRule="auto"/>
        <w:ind w:left="1418" w:hanging="357"/>
      </w:pPr>
      <w:r w:rsidRPr="00BB10FA">
        <w:t>CQ log 2: 17 March 2025</w:t>
      </w:r>
      <w:r w:rsidR="00702266" w:rsidRPr="00BB10FA">
        <w:t>;</w:t>
      </w:r>
    </w:p>
    <w:p w14:paraId="61A0AB43" w14:textId="3A6B1F8C" w:rsidR="00595EE9" w:rsidRPr="00BB10FA" w:rsidRDefault="00595EE9" w:rsidP="0078663E">
      <w:pPr>
        <w:pStyle w:val="ListParagraph"/>
        <w:numPr>
          <w:ilvl w:val="0"/>
          <w:numId w:val="19"/>
        </w:numPr>
        <w:spacing w:after="120" w:line="276" w:lineRule="auto"/>
        <w:ind w:left="1418" w:hanging="357"/>
      </w:pPr>
      <w:r w:rsidRPr="00BB10FA">
        <w:t>CQ log 3: 26 March 2025</w:t>
      </w:r>
      <w:r w:rsidR="00702266" w:rsidRPr="00BB10FA">
        <w:t>;</w:t>
      </w:r>
    </w:p>
    <w:p w14:paraId="6BD72438" w14:textId="6CA52E6D" w:rsidR="00595EE9" w:rsidRPr="00BB10FA" w:rsidRDefault="00595EE9" w:rsidP="0078663E">
      <w:pPr>
        <w:pStyle w:val="ListParagraph"/>
        <w:numPr>
          <w:ilvl w:val="0"/>
          <w:numId w:val="19"/>
        </w:numPr>
        <w:spacing w:after="120" w:line="276" w:lineRule="auto"/>
        <w:ind w:left="1418" w:hanging="357"/>
      </w:pPr>
      <w:r w:rsidRPr="00BB10FA">
        <w:t>CQ log 4: 1 April 2025</w:t>
      </w:r>
      <w:r w:rsidR="00702266" w:rsidRPr="00BB10FA">
        <w:t>; and</w:t>
      </w:r>
    </w:p>
    <w:p w14:paraId="3795745A" w14:textId="423CA4E4" w:rsidR="00595EE9" w:rsidRPr="00BB10FA" w:rsidRDefault="00595EE9" w:rsidP="0078663E">
      <w:pPr>
        <w:pStyle w:val="ListParagraph"/>
        <w:numPr>
          <w:ilvl w:val="0"/>
          <w:numId w:val="19"/>
        </w:numPr>
        <w:spacing w:line="276" w:lineRule="auto"/>
        <w:ind w:left="1418" w:hanging="357"/>
        <w:contextualSpacing w:val="0"/>
      </w:pPr>
      <w:r w:rsidRPr="00BB10FA">
        <w:t>CQ log 5: 1 April 2025</w:t>
      </w:r>
      <w:r w:rsidR="00702266" w:rsidRPr="00BB10FA">
        <w:t>.</w:t>
      </w:r>
      <w:r w:rsidR="00BB5420" w:rsidRPr="00BB10FA">
        <w:rPr>
          <w:rStyle w:val="FootnoteReference"/>
        </w:rPr>
        <w:footnoteReference w:id="46"/>
      </w:r>
    </w:p>
    <w:p w14:paraId="1E8E6895" w14:textId="75CBE7FB" w:rsidR="00595EE9" w:rsidRDefault="00595EE9" w:rsidP="004A3F07">
      <w:pPr>
        <w:pStyle w:val="ListParagraph"/>
        <w:numPr>
          <w:ilvl w:val="0"/>
          <w:numId w:val="1"/>
        </w:numPr>
        <w:spacing w:after="120"/>
        <w:contextualSpacing w:val="0"/>
      </w:pPr>
      <w:r w:rsidRPr="0015633D">
        <w:t>MPFT</w:t>
      </w:r>
      <w:r w:rsidR="002B5DFC" w:rsidRPr="002B5DFC">
        <w:t xml:space="preserve"> </w:t>
      </w:r>
      <w:r w:rsidR="002B5DFC">
        <w:t>expressed concerns</w:t>
      </w:r>
      <w:r w:rsidRPr="0015633D">
        <w:t xml:space="preserve">, </w:t>
      </w:r>
      <w:r w:rsidR="00C77079">
        <w:t>i</w:t>
      </w:r>
      <w:r w:rsidRPr="0015633D">
        <w:t xml:space="preserve">n its representations to the Panel, </w:t>
      </w:r>
      <w:r w:rsidR="00C77079">
        <w:t>about the completeness</w:t>
      </w:r>
      <w:r w:rsidR="002B5DFC">
        <w:t xml:space="preserve">, </w:t>
      </w:r>
      <w:r w:rsidR="00034086">
        <w:t>accuracy</w:t>
      </w:r>
      <w:r w:rsidR="00C77079">
        <w:t xml:space="preserve"> </w:t>
      </w:r>
      <w:r w:rsidR="002B5DFC">
        <w:t xml:space="preserve">and timeliness </w:t>
      </w:r>
      <w:r w:rsidR="00C77079">
        <w:t xml:space="preserve">of responses to CQs. It </w:t>
      </w:r>
      <w:r w:rsidRPr="0015633D">
        <w:t>said:</w:t>
      </w:r>
    </w:p>
    <w:p w14:paraId="584EE016" w14:textId="340C7190" w:rsidR="00595EE9" w:rsidRDefault="00595EE9" w:rsidP="004A3F07">
      <w:pPr>
        <w:pStyle w:val="ListParagraph"/>
        <w:numPr>
          <w:ilvl w:val="0"/>
          <w:numId w:val="0"/>
        </w:numPr>
        <w:ind w:left="851"/>
        <w:contextualSpacing w:val="0"/>
      </w:pPr>
      <w:r>
        <w:rPr>
          <w:sz w:val="21"/>
          <w:szCs w:val="21"/>
        </w:rPr>
        <w:t>“</w:t>
      </w:r>
      <w:r w:rsidRPr="00D3426A">
        <w:rPr>
          <w:sz w:val="21"/>
          <w:szCs w:val="21"/>
        </w:rPr>
        <w:t xml:space="preserve">Throughout the process, responses provided by the ICB to Clarification Questions were incomplete or not accurate, resulting in delaying MPFT (and potentially other bidders’) ability to prepare an appropriate costed &amp; considered tender submission. The ICB have responded saying their panel found no merit in this representation and rejected the concerns raised. The ICB has also detailed in their response that it would have been helpful for the Trust to have included an example where it believed that </w:t>
      </w:r>
      <w:r>
        <w:rPr>
          <w:sz w:val="21"/>
          <w:szCs w:val="21"/>
        </w:rPr>
        <w:t xml:space="preserve">MSE ICB </w:t>
      </w:r>
      <w:r w:rsidRPr="00D3426A">
        <w:rPr>
          <w:sz w:val="21"/>
          <w:szCs w:val="21"/>
        </w:rPr>
        <w:t>did not respond fully to a Clarification Question. The Trust maintains its position that this has been the case and provided examples within our challenge letter. Additionally it should be noted that the ICB</w:t>
      </w:r>
      <w:r>
        <w:rPr>
          <w:sz w:val="21"/>
          <w:szCs w:val="21"/>
        </w:rPr>
        <w:t>’</w:t>
      </w:r>
      <w:r w:rsidRPr="00D3426A">
        <w:rPr>
          <w:sz w:val="21"/>
          <w:szCs w:val="21"/>
        </w:rPr>
        <w:t xml:space="preserve">s </w:t>
      </w:r>
      <w:r>
        <w:rPr>
          <w:sz w:val="21"/>
          <w:szCs w:val="21"/>
        </w:rPr>
        <w:t>p</w:t>
      </w:r>
      <w:r w:rsidRPr="00D3426A">
        <w:rPr>
          <w:sz w:val="21"/>
          <w:szCs w:val="21"/>
        </w:rPr>
        <w:t>anel has detailed that it would have been helpful for the Trust to provide examples, however no clarifications were asked by the panel despite this being an option</w:t>
      </w:r>
      <w:r>
        <w:rPr>
          <w:sz w:val="21"/>
          <w:szCs w:val="21"/>
        </w:rPr>
        <w:t xml:space="preserve">” (see paragraph </w:t>
      </w:r>
      <w:r>
        <w:rPr>
          <w:sz w:val="21"/>
          <w:szCs w:val="21"/>
        </w:rPr>
        <w:fldChar w:fldCharType="begin"/>
      </w:r>
      <w:r>
        <w:rPr>
          <w:sz w:val="21"/>
          <w:szCs w:val="21"/>
        </w:rPr>
        <w:instrText xml:space="preserve"> REF _Ref204603238 \r \h </w:instrText>
      </w:r>
      <w:r>
        <w:rPr>
          <w:sz w:val="21"/>
          <w:szCs w:val="21"/>
        </w:rPr>
      </w:r>
      <w:r>
        <w:rPr>
          <w:sz w:val="21"/>
          <w:szCs w:val="21"/>
        </w:rPr>
        <w:fldChar w:fldCharType="separate"/>
      </w:r>
      <w:r w:rsidR="00437D90">
        <w:rPr>
          <w:sz w:val="21"/>
          <w:szCs w:val="21"/>
        </w:rPr>
        <w:t>49</w:t>
      </w:r>
      <w:r>
        <w:rPr>
          <w:sz w:val="21"/>
          <w:szCs w:val="21"/>
        </w:rPr>
        <w:fldChar w:fldCharType="end"/>
      </w:r>
      <w:r>
        <w:rPr>
          <w:sz w:val="21"/>
          <w:szCs w:val="21"/>
        </w:rPr>
        <w:t>).</w:t>
      </w:r>
    </w:p>
    <w:p w14:paraId="2347885E" w14:textId="77777777" w:rsidR="006B39D9" w:rsidRDefault="006B39D9" w:rsidP="006B39D9">
      <w:pPr>
        <w:pStyle w:val="ListParagraph"/>
        <w:numPr>
          <w:ilvl w:val="0"/>
          <w:numId w:val="1"/>
        </w:numPr>
        <w:spacing w:after="120"/>
        <w:contextualSpacing w:val="0"/>
      </w:pPr>
      <w:r>
        <w:t>EPUT</w:t>
      </w:r>
      <w:r w:rsidRPr="0015633D">
        <w:t xml:space="preserve">, in its representations to the Panel, </w:t>
      </w:r>
      <w:r>
        <w:t xml:space="preserve">also expressed concerns about the completeness and timeliness of responses to the CQs. It </w:t>
      </w:r>
      <w:r w:rsidRPr="0015633D">
        <w:t>said:</w:t>
      </w:r>
    </w:p>
    <w:p w14:paraId="0A474F99" w14:textId="77777777" w:rsidR="006B39D9" w:rsidRPr="00612FDB" w:rsidRDefault="006B39D9" w:rsidP="006B39D9">
      <w:pPr>
        <w:pStyle w:val="ListParagraph"/>
        <w:numPr>
          <w:ilvl w:val="0"/>
          <w:numId w:val="0"/>
        </w:numPr>
        <w:spacing w:after="120"/>
        <w:ind w:left="851"/>
        <w:contextualSpacing w:val="0"/>
        <w:rPr>
          <w:sz w:val="21"/>
          <w:szCs w:val="21"/>
        </w:rPr>
      </w:pPr>
      <w:r w:rsidRPr="00612FDB">
        <w:rPr>
          <w:sz w:val="21"/>
          <w:szCs w:val="21"/>
        </w:rPr>
        <w:t xml:space="preserve">“We remain of the view that </w:t>
      </w:r>
      <w:r>
        <w:rPr>
          <w:sz w:val="21"/>
          <w:szCs w:val="21"/>
        </w:rPr>
        <w:t>MSE</w:t>
      </w:r>
      <w:r w:rsidRPr="00612FDB">
        <w:rPr>
          <w:sz w:val="21"/>
          <w:szCs w:val="21"/>
        </w:rPr>
        <w:t xml:space="preserve"> ICB has provided late or incomplete responses to clarification questions during the procurement, in breach of its duty to act fairly and transparently under regulation 4 of the PSR. We have checked the tendering portal which indicates that there are a number of clarifications which were raised and were not responded to.</w:t>
      </w:r>
    </w:p>
    <w:p w14:paraId="6CC56510" w14:textId="6C3A79F2" w:rsidR="006B39D9" w:rsidRPr="00612FDB" w:rsidRDefault="006B39D9" w:rsidP="006B39D9">
      <w:pPr>
        <w:pStyle w:val="ListParagraph"/>
        <w:numPr>
          <w:ilvl w:val="0"/>
          <w:numId w:val="0"/>
        </w:numPr>
        <w:ind w:left="851"/>
        <w:contextualSpacing w:val="0"/>
        <w:rPr>
          <w:sz w:val="21"/>
          <w:szCs w:val="21"/>
        </w:rPr>
      </w:pPr>
      <w:r w:rsidRPr="00612FDB">
        <w:rPr>
          <w:sz w:val="21"/>
          <w:szCs w:val="21"/>
        </w:rPr>
        <w:t xml:space="preserve">“We do not feel that the relevant authority has engaged with our concerns regarding this point, instead simply setting out an account of the clarification logs issues and, further, dismissed this representation on </w:t>
      </w:r>
      <w:r w:rsidRPr="007C35DD">
        <w:rPr>
          <w:sz w:val="21"/>
          <w:szCs w:val="21"/>
        </w:rPr>
        <w:t xml:space="preserve">the basis that it felt it was </w:t>
      </w:r>
      <w:r>
        <w:rPr>
          <w:sz w:val="21"/>
          <w:szCs w:val="21"/>
        </w:rPr>
        <w:t>‘</w:t>
      </w:r>
      <w:r w:rsidRPr="007C35DD">
        <w:rPr>
          <w:sz w:val="21"/>
          <w:szCs w:val="21"/>
        </w:rPr>
        <w:t>further unsubstantiated as no actual example(s) was provided. A broad, general statement was made as to late responses and incomplete responses.</w:t>
      </w:r>
      <w:r>
        <w:rPr>
          <w:sz w:val="21"/>
          <w:szCs w:val="21"/>
        </w:rPr>
        <w:t>’</w:t>
      </w:r>
      <w:r w:rsidRPr="007C35DD">
        <w:rPr>
          <w:sz w:val="21"/>
          <w:szCs w:val="21"/>
        </w:rPr>
        <w:t xml:space="preserve"> If the</w:t>
      </w:r>
      <w:r w:rsidRPr="00612FDB">
        <w:rPr>
          <w:sz w:val="21"/>
          <w:szCs w:val="21"/>
        </w:rPr>
        <w:t xml:space="preserve"> relevant authority thought examples were required, we believe that it should have afforded us a further opportunity to clarify or explain this representation in accordance with regulation 12(4)(a) of the PSR”</w:t>
      </w:r>
      <w:r>
        <w:rPr>
          <w:sz w:val="21"/>
          <w:szCs w:val="21"/>
        </w:rPr>
        <w:t xml:space="preserve"> (see paragraph </w:t>
      </w:r>
      <w:r>
        <w:rPr>
          <w:sz w:val="21"/>
          <w:szCs w:val="21"/>
        </w:rPr>
        <w:fldChar w:fldCharType="begin"/>
      </w:r>
      <w:r>
        <w:rPr>
          <w:sz w:val="21"/>
          <w:szCs w:val="21"/>
        </w:rPr>
        <w:instrText xml:space="preserve"> REF _Ref204603816 \r \h </w:instrText>
      </w:r>
      <w:r>
        <w:rPr>
          <w:sz w:val="21"/>
          <w:szCs w:val="21"/>
        </w:rPr>
      </w:r>
      <w:r>
        <w:rPr>
          <w:sz w:val="21"/>
          <w:szCs w:val="21"/>
        </w:rPr>
        <w:fldChar w:fldCharType="separate"/>
      </w:r>
      <w:r w:rsidR="00437D90">
        <w:rPr>
          <w:sz w:val="21"/>
          <w:szCs w:val="21"/>
        </w:rPr>
        <w:t>50</w:t>
      </w:r>
      <w:r>
        <w:rPr>
          <w:sz w:val="21"/>
          <w:szCs w:val="21"/>
        </w:rPr>
        <w:fldChar w:fldCharType="end"/>
      </w:r>
      <w:r>
        <w:rPr>
          <w:sz w:val="21"/>
          <w:szCs w:val="21"/>
        </w:rPr>
        <w:t>).</w:t>
      </w:r>
    </w:p>
    <w:p w14:paraId="64F7A287" w14:textId="4B5B979E" w:rsidR="00595EE9" w:rsidRDefault="00595EE9" w:rsidP="00163314">
      <w:pPr>
        <w:pStyle w:val="ListParagraph"/>
        <w:numPr>
          <w:ilvl w:val="0"/>
          <w:numId w:val="1"/>
        </w:numPr>
        <w:spacing w:after="120"/>
        <w:contextualSpacing w:val="0"/>
      </w:pPr>
      <w:r w:rsidRPr="003614C4">
        <w:t>MSE ICB</w:t>
      </w:r>
      <w:r w:rsidR="0055145B">
        <w:t xml:space="preserve"> responded to </w:t>
      </w:r>
      <w:r w:rsidR="00C10DDE">
        <w:t xml:space="preserve">MPFT’s and EPUT’s </w:t>
      </w:r>
      <w:r w:rsidR="0055145B">
        <w:t>concerns</w:t>
      </w:r>
      <w:r w:rsidR="004A4FB7">
        <w:t xml:space="preserve"> </w:t>
      </w:r>
      <w:r w:rsidR="00DD18C3">
        <w:t xml:space="preserve">about </w:t>
      </w:r>
      <w:r w:rsidR="004A4FB7">
        <w:t xml:space="preserve">its responses to CQs </w:t>
      </w:r>
      <w:r w:rsidR="00DD18C3">
        <w:t xml:space="preserve">in </w:t>
      </w:r>
      <w:r w:rsidR="004A4FB7">
        <w:t xml:space="preserve">its </w:t>
      </w:r>
      <w:r w:rsidR="007058FD">
        <w:t>review of the providers’ representations. In relation to MPFT’s concerns</w:t>
      </w:r>
      <w:r w:rsidR="0055145B">
        <w:t xml:space="preserve">, </w:t>
      </w:r>
      <w:r w:rsidR="003A39C1">
        <w:t xml:space="preserve">MSE ICB </w:t>
      </w:r>
      <w:r w:rsidR="003A39C1">
        <w:lastRenderedPageBreak/>
        <w:t xml:space="preserve">said that </w:t>
      </w:r>
      <w:r w:rsidR="00163314">
        <w:t>all CQs were fully addressed in good faith and transparently, and reported back to MPFT the findings of its internal review panel, which said</w:t>
      </w:r>
      <w:r w:rsidRPr="003614C4">
        <w:t>:</w:t>
      </w:r>
    </w:p>
    <w:p w14:paraId="0B22FC86" w14:textId="77777777" w:rsidR="00595EE9" w:rsidRPr="00823125" w:rsidRDefault="00595EE9" w:rsidP="00595EE9">
      <w:pPr>
        <w:spacing w:after="120"/>
        <w:ind w:left="851"/>
        <w:rPr>
          <w:rFonts w:cs="Arial"/>
          <w:sz w:val="21"/>
          <w:szCs w:val="21"/>
        </w:rPr>
      </w:pPr>
      <w:r w:rsidRPr="00480CBF">
        <w:rPr>
          <w:rFonts w:cs="Arial"/>
          <w:sz w:val="21"/>
          <w:szCs w:val="21"/>
        </w:rPr>
        <w:t>“MSE ICB addressed and responded to each Clarification Question received for this Mental Health Core Services Competitive Process in good faith and with the relevant information, to aid Bidders in being able to submit a compliant bid response in the first instance …</w:t>
      </w:r>
    </w:p>
    <w:p w14:paraId="583E4E3C" w14:textId="77777777" w:rsidR="00595EE9" w:rsidRDefault="00595EE9" w:rsidP="00595EE9">
      <w:pPr>
        <w:spacing w:after="120"/>
        <w:ind w:left="851"/>
        <w:rPr>
          <w:rFonts w:cs="Arial"/>
          <w:sz w:val="21"/>
          <w:szCs w:val="21"/>
        </w:rPr>
      </w:pPr>
      <w:r w:rsidRPr="009B0B7E">
        <w:rPr>
          <w:rFonts w:cs="Arial"/>
          <w:sz w:val="21"/>
          <w:szCs w:val="21"/>
        </w:rPr>
        <w:t>“</w:t>
      </w:r>
      <w:r>
        <w:rPr>
          <w:rFonts w:cs="Arial"/>
          <w:sz w:val="21"/>
          <w:szCs w:val="21"/>
        </w:rPr>
        <w:t>MSE ICB</w:t>
      </w:r>
      <w:r w:rsidRPr="009B0B7E">
        <w:rPr>
          <w:rFonts w:cs="Arial"/>
          <w:sz w:val="21"/>
          <w:szCs w:val="21"/>
        </w:rPr>
        <w:t xml:space="preserve"> addressed eighty-nine (89) Clarification Questions and published responses to all, including a query received after the official deadline for Clarification Questions and provided a response on the same day (01/04/25) via Clarification Log 5, totalling ninety (90) Clarification Question responses. </w:t>
      </w:r>
      <w:r>
        <w:rPr>
          <w:rFonts w:cs="Arial"/>
          <w:sz w:val="21"/>
          <w:szCs w:val="21"/>
        </w:rPr>
        <w:t>MSE ICB</w:t>
      </w:r>
      <w:r w:rsidRPr="009B0B7E">
        <w:rPr>
          <w:rFonts w:cs="Arial"/>
          <w:sz w:val="21"/>
          <w:szCs w:val="21"/>
        </w:rPr>
        <w:t xml:space="preserve"> received 37 Clarification Questions from MPFT, 41.6% of the total questions received across all Bidders, many of which were multi-part questions, submitted frequently, and submitted close to the bid submission deadlines.</w:t>
      </w:r>
    </w:p>
    <w:p w14:paraId="798F605C" w14:textId="7251B944" w:rsidR="00595EE9" w:rsidRDefault="00595EE9" w:rsidP="008A1FBC">
      <w:pPr>
        <w:ind w:left="851"/>
      </w:pPr>
      <w:r>
        <w:rPr>
          <w:rFonts w:cs="Arial"/>
          <w:sz w:val="21"/>
          <w:szCs w:val="21"/>
        </w:rPr>
        <w:t>“</w:t>
      </w:r>
      <w:r w:rsidRPr="00D34344">
        <w:rPr>
          <w:rFonts w:cs="Arial"/>
          <w:sz w:val="21"/>
          <w:szCs w:val="21"/>
        </w:rPr>
        <w:t xml:space="preserve">The assertion that Clarification Questions were not responded to completely is countered by the sheer quantity of questions submitted by MPFT, in which multi-questions were submitted in one Clarification Question that covered a range of themes, which made it very difficult for </w:t>
      </w:r>
      <w:r w:rsidR="00C770F7">
        <w:rPr>
          <w:rFonts w:cs="Arial"/>
          <w:sz w:val="21"/>
          <w:szCs w:val="21"/>
        </w:rPr>
        <w:t>MSE ICB</w:t>
      </w:r>
      <w:r w:rsidRPr="00D34344">
        <w:rPr>
          <w:rFonts w:cs="Arial"/>
          <w:sz w:val="21"/>
          <w:szCs w:val="21"/>
        </w:rPr>
        <w:t xml:space="preserve"> to review and ensure accurate responses to these questions. Nevertheless, all Clarification Questions received by </w:t>
      </w:r>
      <w:r>
        <w:rPr>
          <w:rFonts w:cs="Arial"/>
          <w:sz w:val="21"/>
          <w:szCs w:val="21"/>
        </w:rPr>
        <w:t xml:space="preserve">MSE ICB </w:t>
      </w:r>
      <w:r w:rsidRPr="00D34344">
        <w:rPr>
          <w:rFonts w:cs="Arial"/>
          <w:sz w:val="21"/>
          <w:szCs w:val="21"/>
        </w:rPr>
        <w:t>were fully addressed in good faith and transparently</w:t>
      </w:r>
      <w:r w:rsidR="008A1FBC">
        <w:rPr>
          <w:rFonts w:cs="Arial"/>
          <w:sz w:val="21"/>
          <w:szCs w:val="21"/>
        </w:rPr>
        <w:t xml:space="preserve"> …”</w:t>
      </w:r>
      <w:r>
        <w:rPr>
          <w:rStyle w:val="FootnoteReference"/>
          <w:rFonts w:cs="Arial"/>
          <w:sz w:val="21"/>
          <w:szCs w:val="21"/>
        </w:rPr>
        <w:footnoteReference w:id="47"/>
      </w:r>
    </w:p>
    <w:p w14:paraId="252F0FC4" w14:textId="79B62DAE" w:rsidR="00595EE9" w:rsidRDefault="00B15E27" w:rsidP="007B2D86">
      <w:pPr>
        <w:pStyle w:val="ListParagraph"/>
        <w:numPr>
          <w:ilvl w:val="0"/>
          <w:numId w:val="1"/>
        </w:numPr>
        <w:spacing w:after="120" w:line="276" w:lineRule="auto"/>
        <w:contextualSpacing w:val="0"/>
      </w:pPr>
      <w:r>
        <w:t xml:space="preserve">In relation to EPUT’s concerns, </w:t>
      </w:r>
      <w:r w:rsidR="00595EE9" w:rsidRPr="003614C4">
        <w:t>MSE ICB</w:t>
      </w:r>
      <w:r>
        <w:t xml:space="preserve"> responded in similar terms</w:t>
      </w:r>
      <w:r w:rsidR="008B5313">
        <w:t xml:space="preserve">, reporting </w:t>
      </w:r>
      <w:r w:rsidR="00595EE9">
        <w:t xml:space="preserve">the findings of its internal review panel, </w:t>
      </w:r>
      <w:r w:rsidR="008B5313">
        <w:t xml:space="preserve">and </w:t>
      </w:r>
      <w:r w:rsidR="00007EE7">
        <w:t xml:space="preserve">saying that it answered all questions </w:t>
      </w:r>
      <w:r w:rsidR="008976BD">
        <w:t>in good faith and transparently</w:t>
      </w:r>
      <w:r w:rsidR="008B5313">
        <w:t xml:space="preserve">. It also said </w:t>
      </w:r>
      <w:r w:rsidR="008C69CE">
        <w:t>that all questions were answered within ten working days or within five working days where MSE ICB ha</w:t>
      </w:r>
      <w:r w:rsidR="007B2D86">
        <w:t xml:space="preserve">d the requested information. More specifically, it </w:t>
      </w:r>
      <w:r w:rsidR="00595EE9" w:rsidRPr="003614C4">
        <w:t>said:</w:t>
      </w:r>
    </w:p>
    <w:p w14:paraId="197C878E" w14:textId="77777777" w:rsidR="00595EE9" w:rsidRDefault="00595EE9" w:rsidP="007B2D86">
      <w:pPr>
        <w:spacing w:after="120"/>
        <w:ind w:left="851"/>
        <w:rPr>
          <w:rFonts w:cs="Arial"/>
          <w:sz w:val="21"/>
          <w:szCs w:val="21"/>
          <w:lang w:val="en-US"/>
        </w:rPr>
      </w:pPr>
      <w:r w:rsidRPr="007C069A">
        <w:rPr>
          <w:rFonts w:cs="Arial"/>
          <w:sz w:val="21"/>
          <w:szCs w:val="21"/>
        </w:rPr>
        <w:t>“</w:t>
      </w:r>
      <w:r>
        <w:rPr>
          <w:rFonts w:cs="Arial"/>
          <w:sz w:val="21"/>
          <w:szCs w:val="21"/>
          <w:lang w:val="en-US"/>
        </w:rPr>
        <w:t>MSE ICB</w:t>
      </w:r>
      <w:r w:rsidRPr="007C069A">
        <w:rPr>
          <w:rFonts w:cs="Arial"/>
          <w:sz w:val="21"/>
          <w:szCs w:val="21"/>
          <w:lang w:val="en-US"/>
        </w:rPr>
        <w:t xml:space="preserve"> found that it would have been useful for EPUT to have included an example where it believed that </w:t>
      </w:r>
      <w:r>
        <w:rPr>
          <w:rFonts w:cs="Arial"/>
          <w:sz w:val="21"/>
          <w:szCs w:val="21"/>
          <w:lang w:val="en-US"/>
        </w:rPr>
        <w:t>MSE ICB</w:t>
      </w:r>
      <w:r w:rsidRPr="007C069A">
        <w:rPr>
          <w:rFonts w:cs="Arial"/>
          <w:sz w:val="21"/>
          <w:szCs w:val="21"/>
          <w:lang w:val="en-US"/>
        </w:rPr>
        <w:t xml:space="preserve"> did not respond to Clarification Questions in a ‘timely manner’ or where </w:t>
      </w:r>
      <w:r>
        <w:rPr>
          <w:rFonts w:cs="Arial"/>
          <w:sz w:val="21"/>
          <w:szCs w:val="21"/>
          <w:lang w:val="en-US"/>
        </w:rPr>
        <w:t>MSE ICB</w:t>
      </w:r>
      <w:r w:rsidRPr="007C069A">
        <w:rPr>
          <w:rFonts w:cs="Arial"/>
          <w:sz w:val="21"/>
          <w:szCs w:val="21"/>
          <w:lang w:val="en-US"/>
        </w:rPr>
        <w:t xml:space="preserve"> did not respond ‘fully’ to a Clarification Question during the Clarification Question period. </w:t>
      </w:r>
      <w:r>
        <w:rPr>
          <w:rFonts w:cs="Arial"/>
          <w:sz w:val="21"/>
          <w:szCs w:val="21"/>
          <w:lang w:val="en-US"/>
        </w:rPr>
        <w:t>MSE ICB</w:t>
      </w:r>
      <w:r w:rsidRPr="007C069A">
        <w:rPr>
          <w:rFonts w:cs="Arial"/>
          <w:sz w:val="21"/>
          <w:szCs w:val="21"/>
          <w:lang w:val="en-US"/>
        </w:rPr>
        <w:t xml:space="preserve"> addressed eighty-nine (89) Clarification Questions and published responses to all, including a query received after the official deadline for Clarification Questions and provided a response on the same day (01/04/25) via Clarification Log 5, totaling ninety (90) Clarification Question responses. </w:t>
      </w:r>
      <w:r>
        <w:rPr>
          <w:rFonts w:cs="Arial"/>
          <w:sz w:val="21"/>
          <w:szCs w:val="21"/>
          <w:lang w:val="en-US"/>
        </w:rPr>
        <w:t>MSE ICB</w:t>
      </w:r>
      <w:r w:rsidRPr="007C069A">
        <w:rPr>
          <w:rFonts w:cs="Arial"/>
          <w:sz w:val="21"/>
          <w:szCs w:val="21"/>
          <w:lang w:val="en-US"/>
        </w:rPr>
        <w:t xml:space="preserve"> received 36 questions from EPUT, 40.4% of the total questions received across all Bidders, many of which were multi-part questions, submitted frequently, and submitted close to the bid submission deadlines.</w:t>
      </w:r>
    </w:p>
    <w:p w14:paraId="596912A6" w14:textId="77777777" w:rsidR="00595EE9" w:rsidRPr="001F703B" w:rsidRDefault="00595EE9" w:rsidP="00595EE9">
      <w:pPr>
        <w:spacing w:after="0"/>
        <w:ind w:left="851"/>
        <w:rPr>
          <w:rFonts w:cs="Arial"/>
          <w:sz w:val="21"/>
          <w:szCs w:val="21"/>
        </w:rPr>
      </w:pPr>
      <w:r w:rsidRPr="00347341">
        <w:rPr>
          <w:rFonts w:cs="Arial"/>
          <w:sz w:val="21"/>
          <w:szCs w:val="21"/>
          <w:lang w:val="en-US"/>
        </w:rPr>
        <w:t>“</w:t>
      </w:r>
      <w:r w:rsidRPr="001F703B">
        <w:rPr>
          <w:rFonts w:cs="Arial"/>
          <w:sz w:val="21"/>
          <w:szCs w:val="21"/>
          <w:lang w:val="en-US"/>
        </w:rPr>
        <w:t xml:space="preserve">The assertion that Clarification Questions were not responded to completely is countered by the sheer quantity of questions submitted by EPUT, in a scatter-gun like approach, which made it very difficult for </w:t>
      </w:r>
      <w:r>
        <w:rPr>
          <w:rFonts w:cs="Arial"/>
          <w:sz w:val="21"/>
          <w:szCs w:val="21"/>
          <w:lang w:val="en-US"/>
        </w:rPr>
        <w:t>MSE ICB</w:t>
      </w:r>
      <w:r w:rsidRPr="007C069A">
        <w:rPr>
          <w:rFonts w:cs="Arial"/>
          <w:sz w:val="21"/>
          <w:szCs w:val="21"/>
          <w:lang w:val="en-US"/>
        </w:rPr>
        <w:t xml:space="preserve"> </w:t>
      </w:r>
      <w:r w:rsidRPr="001F703B">
        <w:rPr>
          <w:rFonts w:cs="Arial"/>
          <w:sz w:val="21"/>
          <w:szCs w:val="21"/>
          <w:lang w:val="en-US"/>
        </w:rPr>
        <w:t xml:space="preserve">to review and ensure accurate responses to these questions, frustrating the Clarification Question process. Nevertheless, all Clarification Questions received by </w:t>
      </w:r>
      <w:r>
        <w:rPr>
          <w:rFonts w:cs="Arial"/>
          <w:sz w:val="21"/>
          <w:szCs w:val="21"/>
          <w:lang w:val="en-US"/>
        </w:rPr>
        <w:t>MSE ICB</w:t>
      </w:r>
      <w:r w:rsidRPr="007C069A">
        <w:rPr>
          <w:rFonts w:cs="Arial"/>
          <w:sz w:val="21"/>
          <w:szCs w:val="21"/>
          <w:lang w:val="en-US"/>
        </w:rPr>
        <w:t xml:space="preserve"> </w:t>
      </w:r>
      <w:r w:rsidRPr="001F703B">
        <w:rPr>
          <w:rFonts w:cs="Arial"/>
          <w:sz w:val="21"/>
          <w:szCs w:val="21"/>
          <w:lang w:val="en-US"/>
        </w:rPr>
        <w:t>were fully addressed in good faith and transparently, and submitted in 2 versions of CQ logs:</w:t>
      </w:r>
    </w:p>
    <w:p w14:paraId="2EFD4FC2" w14:textId="77777777" w:rsidR="00595EE9" w:rsidRPr="001F703B" w:rsidRDefault="00595EE9" w:rsidP="0078663E">
      <w:pPr>
        <w:numPr>
          <w:ilvl w:val="0"/>
          <w:numId w:val="13"/>
        </w:numPr>
        <w:spacing w:after="0"/>
        <w:ind w:left="1418"/>
        <w:rPr>
          <w:rFonts w:cs="Arial"/>
          <w:sz w:val="21"/>
          <w:szCs w:val="21"/>
        </w:rPr>
      </w:pPr>
      <w:r w:rsidRPr="001F703B">
        <w:rPr>
          <w:rFonts w:cs="Arial"/>
          <w:sz w:val="21"/>
          <w:szCs w:val="21"/>
          <w:lang w:val="en-US"/>
        </w:rPr>
        <w:t>A redacted version that made explicit call to TUPE data.</w:t>
      </w:r>
    </w:p>
    <w:p w14:paraId="46E99D11" w14:textId="77777777" w:rsidR="00595EE9" w:rsidRPr="001F703B" w:rsidRDefault="00595EE9" w:rsidP="0078663E">
      <w:pPr>
        <w:numPr>
          <w:ilvl w:val="0"/>
          <w:numId w:val="13"/>
        </w:numPr>
        <w:spacing w:after="120"/>
        <w:ind w:left="1418"/>
        <w:rPr>
          <w:rFonts w:cs="Arial"/>
          <w:sz w:val="21"/>
          <w:szCs w:val="21"/>
        </w:rPr>
      </w:pPr>
      <w:r w:rsidRPr="001F703B">
        <w:rPr>
          <w:rFonts w:cs="Arial"/>
          <w:sz w:val="21"/>
          <w:szCs w:val="21"/>
          <w:lang w:val="en-US"/>
        </w:rPr>
        <w:t>One full log that was sent to Bidders that had completed the Doc 8. TUPE Confidentiality agreement document, including TUPE data associated.</w:t>
      </w:r>
    </w:p>
    <w:p w14:paraId="0B3B7BFB" w14:textId="77777777" w:rsidR="00595EE9" w:rsidRDefault="00595EE9" w:rsidP="007B2D86">
      <w:pPr>
        <w:tabs>
          <w:tab w:val="num" w:pos="720"/>
        </w:tabs>
        <w:spacing w:after="120"/>
        <w:ind w:left="851"/>
        <w:rPr>
          <w:rFonts w:cs="Arial"/>
          <w:sz w:val="21"/>
          <w:szCs w:val="21"/>
        </w:rPr>
      </w:pPr>
      <w:r>
        <w:rPr>
          <w:rFonts w:cs="Arial"/>
          <w:sz w:val="21"/>
          <w:szCs w:val="21"/>
          <w:lang w:val="en-US"/>
        </w:rPr>
        <w:t>“MSE ICB</w:t>
      </w:r>
      <w:r w:rsidRPr="007C069A">
        <w:rPr>
          <w:rFonts w:cs="Arial"/>
          <w:sz w:val="21"/>
          <w:szCs w:val="21"/>
          <w:lang w:val="en-US"/>
        </w:rPr>
        <w:t xml:space="preserve"> </w:t>
      </w:r>
      <w:r w:rsidRPr="001F703B">
        <w:rPr>
          <w:rFonts w:cs="Arial"/>
          <w:sz w:val="21"/>
          <w:szCs w:val="21"/>
          <w:lang w:val="en-US"/>
        </w:rPr>
        <w:t xml:space="preserve">recognised the high volume and close timing of the Clarification Questions received, and extended the procurement deadline by 2 full days, which was a proportionate and reasonable measure to take by </w:t>
      </w:r>
      <w:r>
        <w:rPr>
          <w:rFonts w:cs="Arial"/>
          <w:sz w:val="21"/>
          <w:szCs w:val="21"/>
          <w:lang w:val="en-US"/>
        </w:rPr>
        <w:t>MSE ICB</w:t>
      </w:r>
      <w:r w:rsidRPr="007C069A">
        <w:rPr>
          <w:rFonts w:cs="Arial"/>
          <w:sz w:val="21"/>
          <w:szCs w:val="21"/>
          <w:lang w:val="en-US"/>
        </w:rPr>
        <w:t xml:space="preserve"> </w:t>
      </w:r>
      <w:r w:rsidRPr="001F703B">
        <w:rPr>
          <w:rFonts w:cs="Arial"/>
          <w:sz w:val="21"/>
          <w:szCs w:val="21"/>
          <w:lang w:val="en-US"/>
        </w:rPr>
        <w:t>given that no material changes to the procurement requirements had been introduced.</w:t>
      </w:r>
    </w:p>
    <w:p w14:paraId="041007C1" w14:textId="58ED855B" w:rsidR="00595EE9" w:rsidRDefault="00595EE9" w:rsidP="007B2D86">
      <w:pPr>
        <w:ind w:left="851"/>
      </w:pPr>
      <w:r>
        <w:rPr>
          <w:rFonts w:cs="Arial"/>
          <w:sz w:val="21"/>
          <w:szCs w:val="21"/>
        </w:rPr>
        <w:lastRenderedPageBreak/>
        <w:t>“</w:t>
      </w:r>
      <w:r>
        <w:rPr>
          <w:rFonts w:cs="Arial"/>
          <w:sz w:val="21"/>
          <w:szCs w:val="21"/>
          <w:lang w:val="en-US"/>
        </w:rPr>
        <w:t>MSE ICB</w:t>
      </w:r>
      <w:r w:rsidRPr="007C069A">
        <w:rPr>
          <w:rFonts w:cs="Arial"/>
          <w:sz w:val="21"/>
          <w:szCs w:val="21"/>
          <w:lang w:val="en-US"/>
        </w:rPr>
        <w:t xml:space="preserve"> </w:t>
      </w:r>
      <w:r w:rsidRPr="00237F33">
        <w:rPr>
          <w:rFonts w:cs="Arial"/>
          <w:sz w:val="21"/>
          <w:szCs w:val="21"/>
          <w:lang w:val="en-US"/>
        </w:rPr>
        <w:t xml:space="preserve">met its published timescales for response to Clarification Questions </w:t>
      </w:r>
      <w:r w:rsidR="0083437D">
        <w:rPr>
          <w:rFonts w:cs="Arial"/>
          <w:sz w:val="21"/>
          <w:szCs w:val="21"/>
          <w:lang w:val="en-US"/>
        </w:rPr>
        <w:t>‘</w:t>
      </w:r>
      <w:r w:rsidRPr="00237F33">
        <w:rPr>
          <w:rFonts w:cs="Arial"/>
          <w:sz w:val="21"/>
          <w:szCs w:val="21"/>
          <w:lang w:val="en-US"/>
        </w:rPr>
        <w:t>within 5 working days</w:t>
      </w:r>
      <w:r w:rsidR="0083437D">
        <w:rPr>
          <w:rFonts w:cs="Arial"/>
          <w:sz w:val="21"/>
          <w:szCs w:val="21"/>
          <w:lang w:val="en-US"/>
        </w:rPr>
        <w:t>’</w:t>
      </w:r>
      <w:r w:rsidRPr="00237F33">
        <w:rPr>
          <w:rFonts w:cs="Arial"/>
          <w:sz w:val="21"/>
          <w:szCs w:val="21"/>
          <w:lang w:val="en-US"/>
        </w:rPr>
        <w:t xml:space="preserve"> where the information was available to </w:t>
      </w:r>
      <w:r>
        <w:rPr>
          <w:rFonts w:cs="Arial"/>
          <w:sz w:val="21"/>
          <w:szCs w:val="21"/>
          <w:lang w:val="en-US"/>
        </w:rPr>
        <w:t>MSE ICB</w:t>
      </w:r>
      <w:r w:rsidRPr="00237F33">
        <w:rPr>
          <w:rFonts w:cs="Arial"/>
          <w:sz w:val="21"/>
          <w:szCs w:val="21"/>
          <w:lang w:val="en-US"/>
        </w:rPr>
        <w:t xml:space="preserve">. Where Clarification Questions pertained to TUPE data, </w:t>
      </w:r>
      <w:r>
        <w:rPr>
          <w:rFonts w:cs="Arial"/>
          <w:sz w:val="21"/>
          <w:szCs w:val="21"/>
          <w:lang w:val="en-US"/>
        </w:rPr>
        <w:t>MSE ICB</w:t>
      </w:r>
      <w:r w:rsidRPr="007C069A">
        <w:rPr>
          <w:rFonts w:cs="Arial"/>
          <w:sz w:val="21"/>
          <w:szCs w:val="21"/>
          <w:lang w:val="en-US"/>
        </w:rPr>
        <w:t xml:space="preserve"> </w:t>
      </w:r>
      <w:r w:rsidRPr="00237F33">
        <w:rPr>
          <w:rFonts w:cs="Arial"/>
          <w:sz w:val="21"/>
          <w:szCs w:val="21"/>
          <w:lang w:val="en-US"/>
        </w:rPr>
        <w:t xml:space="preserve">was required to engage with the incumbent Providers and await further clarification before it was able to publish accurate responses. The longest period being 10 working days. This was not the fault of </w:t>
      </w:r>
      <w:r>
        <w:rPr>
          <w:rFonts w:cs="Arial"/>
          <w:sz w:val="21"/>
          <w:szCs w:val="21"/>
          <w:lang w:val="en-US"/>
        </w:rPr>
        <w:t>MSE ICB</w:t>
      </w:r>
      <w:r w:rsidRPr="007C069A">
        <w:rPr>
          <w:rFonts w:cs="Arial"/>
          <w:sz w:val="21"/>
          <w:szCs w:val="21"/>
          <w:lang w:val="en-US"/>
        </w:rPr>
        <w:t xml:space="preserve"> </w:t>
      </w:r>
      <w:r w:rsidRPr="00237F33">
        <w:rPr>
          <w:rFonts w:cs="Arial"/>
          <w:sz w:val="21"/>
          <w:szCs w:val="21"/>
          <w:lang w:val="en-US"/>
        </w:rPr>
        <w:t>as it acted in good faith and required 3</w:t>
      </w:r>
      <w:r w:rsidRPr="004B167D">
        <w:rPr>
          <w:rFonts w:cs="Arial"/>
          <w:sz w:val="21"/>
          <w:szCs w:val="21"/>
          <w:vertAlign w:val="superscript"/>
          <w:lang w:val="en-US"/>
        </w:rPr>
        <w:t>rd</w:t>
      </w:r>
      <w:r>
        <w:rPr>
          <w:rFonts w:cs="Arial"/>
          <w:sz w:val="21"/>
          <w:szCs w:val="21"/>
          <w:lang w:val="en-US"/>
        </w:rPr>
        <w:t xml:space="preserve"> </w:t>
      </w:r>
      <w:r w:rsidRPr="00237F33">
        <w:rPr>
          <w:rFonts w:cs="Arial"/>
          <w:sz w:val="21"/>
          <w:szCs w:val="21"/>
          <w:lang w:val="en-US"/>
        </w:rPr>
        <w:t>Party intelligence from the incumbent Providers pertaining to their TUPE data</w:t>
      </w:r>
      <w:r>
        <w:rPr>
          <w:rFonts w:cs="Arial"/>
          <w:sz w:val="21"/>
          <w:szCs w:val="21"/>
          <w:lang w:val="en-US"/>
        </w:rPr>
        <w:t>.”</w:t>
      </w:r>
      <w:r>
        <w:rPr>
          <w:rStyle w:val="FootnoteReference"/>
          <w:rFonts w:cs="Arial"/>
          <w:sz w:val="21"/>
          <w:szCs w:val="21"/>
          <w:lang w:val="en-US"/>
        </w:rPr>
        <w:footnoteReference w:id="48"/>
      </w:r>
    </w:p>
    <w:p w14:paraId="5A0900C1" w14:textId="104C4352" w:rsidR="005F7F18" w:rsidRDefault="00A95369" w:rsidP="000B1CAB">
      <w:pPr>
        <w:pStyle w:val="ListParagraph"/>
        <w:numPr>
          <w:ilvl w:val="0"/>
          <w:numId w:val="1"/>
        </w:numPr>
        <w:spacing w:line="276" w:lineRule="auto"/>
        <w:contextualSpacing w:val="0"/>
      </w:pPr>
      <w:r>
        <w:t xml:space="preserve">The Panel asked MPFT and EPUT to identify those </w:t>
      </w:r>
      <w:r w:rsidR="00116F8C">
        <w:t>CQs</w:t>
      </w:r>
      <w:r>
        <w:t xml:space="preserve"> </w:t>
      </w:r>
      <w:r w:rsidR="00116F8C">
        <w:t>where they had concerns about the completeness, accuracy or timeliness of the response.</w:t>
      </w:r>
      <w:r w:rsidR="000246A6">
        <w:t xml:space="preserve"> MPFT </w:t>
      </w:r>
      <w:r w:rsidR="001A2A12">
        <w:t>signposted the panel to</w:t>
      </w:r>
      <w:r w:rsidR="000246A6">
        <w:t xml:space="preserve"> five CQs </w:t>
      </w:r>
      <w:r w:rsidR="001A2A12">
        <w:t xml:space="preserve">referenced in their representations, </w:t>
      </w:r>
      <w:r w:rsidR="000246A6">
        <w:t>and EPUT provided the Panel with a list of fifteen CQs.</w:t>
      </w:r>
      <w:r w:rsidR="00B360D9">
        <w:rPr>
          <w:rStyle w:val="FootnoteReference"/>
        </w:rPr>
        <w:footnoteReference w:id="49"/>
      </w:r>
      <w:r w:rsidR="000B1CAB">
        <w:t xml:space="preserve"> </w:t>
      </w:r>
      <w:r w:rsidR="00E65CA5">
        <w:t xml:space="preserve">Several of these CQs have already been discussed in relation to </w:t>
      </w:r>
      <w:r w:rsidR="007B68BB">
        <w:t>transformation costs</w:t>
      </w:r>
      <w:r w:rsidR="00D36D55">
        <w:t xml:space="preserve">, where the Panel has found </w:t>
      </w:r>
      <w:r w:rsidR="00447F75">
        <w:t xml:space="preserve">that </w:t>
      </w:r>
      <w:r w:rsidR="008A1EA2">
        <w:t>MSE ICB’s response to these CQs gave rise to a breach of the PSR regulations</w:t>
      </w:r>
      <w:r w:rsidR="00FA6CA0">
        <w:t xml:space="preserve"> </w:t>
      </w:r>
      <w:r w:rsidR="003C2D27">
        <w:t>(see Section 7.2)</w:t>
      </w:r>
      <w:r w:rsidR="008A1EA2">
        <w:t>. C</w:t>
      </w:r>
      <w:r w:rsidR="00376574">
        <w:t xml:space="preserve">oncerns about </w:t>
      </w:r>
      <w:r w:rsidR="008A1EA2">
        <w:t xml:space="preserve">MSE ICB’s response to </w:t>
      </w:r>
      <w:r w:rsidR="00376574">
        <w:t xml:space="preserve">other CQs in relation to </w:t>
      </w:r>
      <w:r w:rsidR="00D70DB0">
        <w:t>DWP funded Employment Advisers</w:t>
      </w:r>
      <w:r w:rsidR="008A1EA2">
        <w:t>, which gives rise to a further breach of the PSR regulations,</w:t>
      </w:r>
      <w:r w:rsidR="00D70DB0">
        <w:t xml:space="preserve"> are discussed in Section 7.4.2</w:t>
      </w:r>
      <w:r w:rsidR="007B68BB">
        <w:t>.</w:t>
      </w:r>
    </w:p>
    <w:p w14:paraId="13313205" w14:textId="42487B58" w:rsidR="005E0EA4" w:rsidRDefault="00F10D96" w:rsidP="000B1CAB">
      <w:pPr>
        <w:pStyle w:val="ListParagraph"/>
        <w:numPr>
          <w:ilvl w:val="0"/>
          <w:numId w:val="1"/>
        </w:numPr>
        <w:spacing w:line="276" w:lineRule="auto"/>
      </w:pPr>
      <w:r>
        <w:t>The</w:t>
      </w:r>
      <w:r w:rsidR="007B68BB">
        <w:t xml:space="preserve"> remaining CQs</w:t>
      </w:r>
      <w:r w:rsidR="000B1CAB">
        <w:t xml:space="preserve"> </w:t>
      </w:r>
      <w:r w:rsidR="006A6BA0">
        <w:t xml:space="preserve">about which concerns were raised </w:t>
      </w:r>
      <w:r w:rsidR="00386DEA">
        <w:t>f</w:t>
      </w:r>
      <w:r w:rsidR="005F7F18">
        <w:t>a</w:t>
      </w:r>
      <w:r w:rsidR="00386DEA">
        <w:t>ll</w:t>
      </w:r>
      <w:r w:rsidR="004D66B2">
        <w:t xml:space="preserve"> into </w:t>
      </w:r>
      <w:r w:rsidR="00B36D2E">
        <w:t xml:space="preserve">five </w:t>
      </w:r>
      <w:r w:rsidR="004D66B2">
        <w:t>categories</w:t>
      </w:r>
      <w:r w:rsidR="000B1CAB">
        <w:t>, namely</w:t>
      </w:r>
      <w:r w:rsidR="004D66B2">
        <w:t>:</w:t>
      </w:r>
    </w:p>
    <w:p w14:paraId="39B05AF4" w14:textId="3B1E3ED7" w:rsidR="004D66B2" w:rsidRDefault="00F73DF2" w:rsidP="006C38A9">
      <w:pPr>
        <w:pStyle w:val="ListParagraph"/>
        <w:numPr>
          <w:ilvl w:val="0"/>
          <w:numId w:val="22"/>
        </w:numPr>
        <w:spacing w:line="276" w:lineRule="auto"/>
      </w:pPr>
      <w:r>
        <w:t>activity targets;</w:t>
      </w:r>
    </w:p>
    <w:p w14:paraId="3C98A13E" w14:textId="77777777" w:rsidR="005B7F50" w:rsidRDefault="0028301E" w:rsidP="006C38A9">
      <w:pPr>
        <w:pStyle w:val="ListParagraph"/>
        <w:numPr>
          <w:ilvl w:val="0"/>
          <w:numId w:val="22"/>
        </w:numPr>
        <w:spacing w:line="276" w:lineRule="auto"/>
      </w:pPr>
      <w:r>
        <w:t>estates</w:t>
      </w:r>
      <w:r w:rsidR="005B7F50">
        <w:t>;</w:t>
      </w:r>
    </w:p>
    <w:p w14:paraId="1BAB3926" w14:textId="466E96A6" w:rsidR="00F73DF2" w:rsidRDefault="00A96B5C" w:rsidP="006C38A9">
      <w:pPr>
        <w:pStyle w:val="ListParagraph"/>
        <w:numPr>
          <w:ilvl w:val="0"/>
          <w:numId w:val="22"/>
        </w:numPr>
        <w:spacing w:line="276" w:lineRule="auto"/>
      </w:pPr>
      <w:r>
        <w:t>patient record systems</w:t>
      </w:r>
      <w:r w:rsidR="00B2675D">
        <w:t>;</w:t>
      </w:r>
    </w:p>
    <w:p w14:paraId="250ADBDE" w14:textId="49C82F34" w:rsidR="00B2675D" w:rsidRDefault="00B2675D" w:rsidP="006C38A9">
      <w:pPr>
        <w:pStyle w:val="ListParagraph"/>
        <w:numPr>
          <w:ilvl w:val="0"/>
          <w:numId w:val="22"/>
        </w:numPr>
        <w:spacing w:line="276" w:lineRule="auto"/>
      </w:pPr>
      <w:r>
        <w:t>staffing and TUPE; and</w:t>
      </w:r>
    </w:p>
    <w:p w14:paraId="459F55BC" w14:textId="3AE5D61E" w:rsidR="00A404E6" w:rsidRPr="00A404E6" w:rsidRDefault="006A5ACB" w:rsidP="006C38A9">
      <w:pPr>
        <w:pStyle w:val="ListParagraph"/>
        <w:numPr>
          <w:ilvl w:val="0"/>
          <w:numId w:val="22"/>
        </w:numPr>
        <w:spacing w:line="276" w:lineRule="auto"/>
        <w:contextualSpacing w:val="0"/>
      </w:pPr>
      <w:r>
        <w:t xml:space="preserve">systems migration and </w:t>
      </w:r>
      <w:r w:rsidR="007F0052">
        <w:t>mobilisation</w:t>
      </w:r>
      <w:r w:rsidR="00387533">
        <w:t>.</w:t>
      </w:r>
    </w:p>
    <w:p w14:paraId="6E61D865" w14:textId="401D6B94" w:rsidR="00A404E6" w:rsidRPr="00A404E6" w:rsidRDefault="00A404E6" w:rsidP="00A404E6">
      <w:pPr>
        <w:keepNext/>
        <w:spacing w:before="240" w:line="276" w:lineRule="auto"/>
        <w:rPr>
          <w:b/>
          <w:bCs/>
        </w:rPr>
      </w:pPr>
      <w:r w:rsidRPr="00A404E6">
        <w:rPr>
          <w:b/>
          <w:bCs/>
        </w:rPr>
        <w:t>7.3.</w:t>
      </w:r>
      <w:r>
        <w:rPr>
          <w:b/>
          <w:bCs/>
        </w:rPr>
        <w:t>2</w:t>
      </w:r>
      <w:r w:rsidRPr="00A404E6">
        <w:rPr>
          <w:b/>
          <w:bCs/>
        </w:rPr>
        <w:t xml:space="preserve"> </w:t>
      </w:r>
      <w:r w:rsidR="00B73527">
        <w:rPr>
          <w:b/>
          <w:bCs/>
        </w:rPr>
        <w:t xml:space="preserve">Panel’s assessment of </w:t>
      </w:r>
      <w:r w:rsidRPr="00A404E6">
        <w:rPr>
          <w:b/>
          <w:bCs/>
        </w:rPr>
        <w:t>MPFT’s and EPUT’s representations on the CQs</w:t>
      </w:r>
    </w:p>
    <w:p w14:paraId="49348970" w14:textId="1CD8DA3B" w:rsidR="00DB2612" w:rsidRDefault="00521386" w:rsidP="000F49DD">
      <w:pPr>
        <w:pStyle w:val="ListParagraph"/>
        <w:numPr>
          <w:ilvl w:val="0"/>
          <w:numId w:val="1"/>
        </w:numPr>
        <w:spacing w:line="276" w:lineRule="auto"/>
      </w:pPr>
      <w:r>
        <w:t>In</w:t>
      </w:r>
      <w:r w:rsidR="006C1D8F">
        <w:t xml:space="preserve"> assessing the </w:t>
      </w:r>
      <w:r w:rsidR="00DB2612">
        <w:t>timeliness</w:t>
      </w:r>
      <w:r w:rsidR="006C1D8F">
        <w:t xml:space="preserve"> of CQ response</w:t>
      </w:r>
      <w:r>
        <w:t>s</w:t>
      </w:r>
      <w:r w:rsidR="00DB2612">
        <w:t>, the Panel</w:t>
      </w:r>
      <w:r w:rsidR="006C1D8F">
        <w:t xml:space="preserve"> has taken several factors into account</w:t>
      </w:r>
      <w:r w:rsidR="00CE4390">
        <w:t>, including:</w:t>
      </w:r>
    </w:p>
    <w:p w14:paraId="3BBAF15A" w14:textId="72BCBFC8" w:rsidR="00CE4390" w:rsidRDefault="00CE4390" w:rsidP="006C38A9">
      <w:pPr>
        <w:pStyle w:val="ListParagraph"/>
        <w:numPr>
          <w:ilvl w:val="0"/>
          <w:numId w:val="23"/>
        </w:numPr>
        <w:spacing w:line="276" w:lineRule="auto"/>
      </w:pPr>
      <w:r>
        <w:t>the amount of time taken to respond to the CQ</w:t>
      </w:r>
      <w:r w:rsidR="00EC75A2">
        <w:t xml:space="preserve"> relative to the duration of the </w:t>
      </w:r>
      <w:r w:rsidR="00B71B47">
        <w:t xml:space="preserve">provider selection process </w:t>
      </w:r>
      <w:r w:rsidR="00EC75A2">
        <w:t>(</w:t>
      </w:r>
      <w:r w:rsidR="004D1D67">
        <w:t>which was</w:t>
      </w:r>
      <w:r w:rsidR="007D3A84">
        <w:t xml:space="preserve">, following </w:t>
      </w:r>
      <w:r w:rsidR="0033743C">
        <w:t>two extensions</w:t>
      </w:r>
      <w:r w:rsidR="007D3A84">
        <w:t>,</w:t>
      </w:r>
      <w:r w:rsidR="00EC75A2">
        <w:t xml:space="preserve"> </w:t>
      </w:r>
      <w:r w:rsidR="00B71B47">
        <w:t>2</w:t>
      </w:r>
      <w:r w:rsidR="004C399D">
        <w:t>3</w:t>
      </w:r>
      <w:r w:rsidR="008D5161">
        <w:t> </w:t>
      </w:r>
      <w:r w:rsidR="00B71B47">
        <w:t>working days</w:t>
      </w:r>
      <w:r w:rsidR="00EC75A2">
        <w:t>)</w:t>
      </w:r>
      <w:r w:rsidR="00B71B47">
        <w:t>;</w:t>
      </w:r>
    </w:p>
    <w:p w14:paraId="58F61741" w14:textId="15FF4167" w:rsidR="00B71B47" w:rsidRDefault="00214E51" w:rsidP="006C38A9">
      <w:pPr>
        <w:pStyle w:val="ListParagraph"/>
        <w:numPr>
          <w:ilvl w:val="0"/>
          <w:numId w:val="23"/>
        </w:numPr>
        <w:spacing w:line="276" w:lineRule="auto"/>
      </w:pPr>
      <w:r>
        <w:t xml:space="preserve">whether </w:t>
      </w:r>
      <w:r w:rsidR="00B94E85">
        <w:t>the CQ</w:t>
      </w:r>
      <w:r>
        <w:t xml:space="preserve"> </w:t>
      </w:r>
      <w:r w:rsidR="00B60F43">
        <w:t xml:space="preserve">response was </w:t>
      </w:r>
      <w:r>
        <w:t xml:space="preserve">substantive </w:t>
      </w:r>
      <w:r w:rsidR="006D50E4">
        <w:t xml:space="preserve">or </w:t>
      </w:r>
      <w:r w:rsidR="00B30A55">
        <w:t xml:space="preserve">limited </w:t>
      </w:r>
      <w:r w:rsidR="006D50E4">
        <w:t xml:space="preserve">(e.g. </w:t>
      </w:r>
      <w:r w:rsidR="00015133">
        <w:t xml:space="preserve">a response saying that </w:t>
      </w:r>
      <w:r w:rsidR="00B94E85">
        <w:t xml:space="preserve">the ICB </w:t>
      </w:r>
      <w:r w:rsidR="00015133">
        <w:t xml:space="preserve">is </w:t>
      </w:r>
      <w:r w:rsidR="00B94E85">
        <w:t xml:space="preserve">unable to provide the requested information), </w:t>
      </w:r>
      <w:r>
        <w:t xml:space="preserve">with an expectation that </w:t>
      </w:r>
      <w:r w:rsidR="00B60F43">
        <w:t xml:space="preserve">a </w:t>
      </w:r>
      <w:r>
        <w:t xml:space="preserve">substantive response </w:t>
      </w:r>
      <w:r w:rsidR="005B1357">
        <w:t xml:space="preserve">should </w:t>
      </w:r>
      <w:r w:rsidR="006D50E4">
        <w:t xml:space="preserve">take longer than </w:t>
      </w:r>
      <w:r w:rsidR="00B60F43">
        <w:t xml:space="preserve">a limited </w:t>
      </w:r>
      <w:r w:rsidR="00B94E85">
        <w:t>response;</w:t>
      </w:r>
      <w:r w:rsidR="005B1357">
        <w:t xml:space="preserve"> and</w:t>
      </w:r>
    </w:p>
    <w:p w14:paraId="5B2BCE6E" w14:textId="29D73EE9" w:rsidR="00B94E85" w:rsidRDefault="000F49DD" w:rsidP="006C38A9">
      <w:pPr>
        <w:pStyle w:val="ListParagraph"/>
        <w:numPr>
          <w:ilvl w:val="0"/>
          <w:numId w:val="23"/>
        </w:numPr>
        <w:spacing w:line="276" w:lineRule="auto"/>
        <w:contextualSpacing w:val="0"/>
      </w:pPr>
      <w:r>
        <w:t>the proximity of the CQ response to the deadline for proposals.</w:t>
      </w:r>
    </w:p>
    <w:p w14:paraId="53801B73" w14:textId="4B4C0953" w:rsidR="005F5A3A" w:rsidRDefault="00631255" w:rsidP="00FD0485">
      <w:pPr>
        <w:pStyle w:val="ListParagraph"/>
        <w:numPr>
          <w:ilvl w:val="0"/>
          <w:numId w:val="1"/>
        </w:numPr>
        <w:spacing w:line="276" w:lineRule="auto"/>
        <w:contextualSpacing w:val="0"/>
      </w:pPr>
      <w:r>
        <w:t xml:space="preserve">The Panel notes that </w:t>
      </w:r>
      <w:r w:rsidR="005F5A3A">
        <w:t>MSE ICB</w:t>
      </w:r>
      <w:r w:rsidR="00DB4C9C">
        <w:t>,</w:t>
      </w:r>
      <w:r w:rsidR="005F5A3A">
        <w:t xml:space="preserve"> </w:t>
      </w:r>
      <w:r w:rsidR="004742D5">
        <w:t>in responding to the earlier representations by MPFT and EPUT</w:t>
      </w:r>
      <w:r w:rsidR="00DB4C9C">
        <w:t>,</w:t>
      </w:r>
      <w:r w:rsidR="004742D5">
        <w:t xml:space="preserve"> </w:t>
      </w:r>
      <w:r w:rsidR="00CB3839">
        <w:t xml:space="preserve">said </w:t>
      </w:r>
      <w:r w:rsidR="004742D5">
        <w:t xml:space="preserve">that </w:t>
      </w:r>
      <w:r w:rsidR="004F1851">
        <w:t>its ability to respond was constrained by the large number of CQs</w:t>
      </w:r>
      <w:r w:rsidR="008126E3">
        <w:t xml:space="preserve"> and </w:t>
      </w:r>
      <w:r w:rsidR="00DA6664">
        <w:t xml:space="preserve">the follow-up requirements </w:t>
      </w:r>
      <w:r w:rsidR="008126E3">
        <w:t xml:space="preserve">necessitated by these CQs, </w:t>
      </w:r>
      <w:r w:rsidR="004F1851">
        <w:t xml:space="preserve">highlighting that </w:t>
      </w:r>
      <w:r w:rsidR="002B5626">
        <w:t xml:space="preserve">MPFT and EPUT were responsible for </w:t>
      </w:r>
      <w:r w:rsidR="004F1851">
        <w:t>many of the CQs.</w:t>
      </w:r>
      <w:r w:rsidR="005735AE">
        <w:t xml:space="preserve"> The Panel </w:t>
      </w:r>
      <w:r w:rsidR="005478FA">
        <w:t xml:space="preserve">does not consider </w:t>
      </w:r>
      <w:r w:rsidR="006C4478">
        <w:t xml:space="preserve">the source of the CQs to be </w:t>
      </w:r>
      <w:r w:rsidR="005478FA">
        <w:t xml:space="preserve">relevant to </w:t>
      </w:r>
      <w:r w:rsidR="006C4478">
        <w:t>whether MSE ICB’s response to the CQs was adequate</w:t>
      </w:r>
      <w:r w:rsidR="00B138B2">
        <w:t>.</w:t>
      </w:r>
    </w:p>
    <w:p w14:paraId="44203075" w14:textId="323D1AE3" w:rsidR="00A311A0" w:rsidRDefault="00A311A0" w:rsidP="00FD0485">
      <w:pPr>
        <w:pStyle w:val="ListParagraph"/>
        <w:numPr>
          <w:ilvl w:val="0"/>
          <w:numId w:val="1"/>
        </w:numPr>
        <w:spacing w:line="276" w:lineRule="auto"/>
        <w:contextualSpacing w:val="0"/>
      </w:pPr>
      <w:r>
        <w:t xml:space="preserve">The following summarises the Panel’s assessment of MSE ICB’s response to </w:t>
      </w:r>
      <w:r w:rsidR="00727148">
        <w:t xml:space="preserve">the CQs identified by MPFT and EPUT in the five categories identified at paragraph </w:t>
      </w:r>
      <w:r w:rsidR="00F6308E">
        <w:t>11</w:t>
      </w:r>
      <w:r w:rsidR="003E2640">
        <w:t>6</w:t>
      </w:r>
      <w:r w:rsidR="00727148">
        <w:t xml:space="preserve">. The full assessment is at Appendix </w:t>
      </w:r>
      <w:r w:rsidR="00181D1E">
        <w:t>2</w:t>
      </w:r>
      <w:r w:rsidR="00727148">
        <w:t xml:space="preserve"> to this report.</w:t>
      </w:r>
    </w:p>
    <w:p w14:paraId="2E126A10" w14:textId="7F64789B" w:rsidR="00DD03DD" w:rsidRPr="009776C7" w:rsidRDefault="005B7F50" w:rsidP="00727148">
      <w:pPr>
        <w:pStyle w:val="ListParagraph"/>
        <w:numPr>
          <w:ilvl w:val="0"/>
          <w:numId w:val="34"/>
        </w:numPr>
        <w:tabs>
          <w:tab w:val="clear" w:pos="720"/>
        </w:tabs>
        <w:spacing w:line="276" w:lineRule="auto"/>
        <w:ind w:left="1276" w:hanging="502"/>
        <w:contextualSpacing w:val="0"/>
      </w:pPr>
      <w:r>
        <w:lastRenderedPageBreak/>
        <w:t>In relation to activity targets CQs,</w:t>
      </w:r>
      <w:r w:rsidR="00D55DD7">
        <w:t xml:space="preserve"> </w:t>
      </w:r>
      <w:r w:rsidR="00270EAE">
        <w:t xml:space="preserve">MPFT and EPUT identified </w:t>
      </w:r>
      <w:r w:rsidR="003A2B27">
        <w:t>t</w:t>
      </w:r>
      <w:r w:rsidR="00D55DD7" w:rsidRPr="00D55DD7">
        <w:t xml:space="preserve">hree CQs </w:t>
      </w:r>
      <w:r w:rsidR="00270EAE">
        <w:t>of concern</w:t>
      </w:r>
      <w:r w:rsidR="003A2B27">
        <w:t xml:space="preserve"> (CQs 6, </w:t>
      </w:r>
      <w:r w:rsidR="00270EAE">
        <w:t>36 and 86)</w:t>
      </w:r>
      <w:r w:rsidR="00D55DD7" w:rsidRPr="00D55DD7">
        <w:t xml:space="preserve">. </w:t>
      </w:r>
      <w:r w:rsidR="003A2B27">
        <w:t xml:space="preserve">The </w:t>
      </w:r>
      <w:r w:rsidR="00D55DD7" w:rsidRPr="00D55DD7">
        <w:t xml:space="preserve">Panel's view is that these questions were not fully answered by MSE ICB, with incomplete and/or partial data being provided in response to bidders' questions. </w:t>
      </w:r>
      <w:r w:rsidR="003A2B27">
        <w:t>The</w:t>
      </w:r>
      <w:r w:rsidR="004E6193">
        <w:t xml:space="preserve"> Panel notes that MSE</w:t>
      </w:r>
      <w:r w:rsidR="003A2B27">
        <w:t xml:space="preserve"> </w:t>
      </w:r>
      <w:r w:rsidR="00D55DD7" w:rsidRPr="00D55DD7">
        <w:t xml:space="preserve">ICB took </w:t>
      </w:r>
      <w:r w:rsidR="00D55DD7" w:rsidRPr="009776C7">
        <w:t>12</w:t>
      </w:r>
      <w:r w:rsidR="00E675F6" w:rsidRPr="009776C7">
        <w:t> </w:t>
      </w:r>
      <w:r w:rsidR="00D55DD7" w:rsidRPr="009776C7">
        <w:t>working days to answer one of the</w:t>
      </w:r>
      <w:r w:rsidR="004E6193" w:rsidRPr="009776C7">
        <w:t>se</w:t>
      </w:r>
      <w:r w:rsidR="00D55DD7" w:rsidRPr="009776C7">
        <w:t xml:space="preserve"> questions</w:t>
      </w:r>
      <w:r w:rsidR="00793AEC">
        <w:t>,</w:t>
      </w:r>
      <w:r w:rsidR="00D55DD7" w:rsidRPr="009776C7">
        <w:t xml:space="preserve"> which</w:t>
      </w:r>
      <w:r w:rsidR="004E6193" w:rsidRPr="009776C7">
        <w:t xml:space="preserve"> the Panel does not regard as timely</w:t>
      </w:r>
      <w:r w:rsidR="00D55DD7" w:rsidRPr="009776C7">
        <w:t xml:space="preserve"> in the context of a 2</w:t>
      </w:r>
      <w:r w:rsidR="00B229E0">
        <w:t>3</w:t>
      </w:r>
      <w:r w:rsidR="00FA06E0" w:rsidRPr="009776C7">
        <w:t> </w:t>
      </w:r>
      <w:r w:rsidR="00D55DD7" w:rsidRPr="009776C7">
        <w:t xml:space="preserve">working day </w:t>
      </w:r>
      <w:r w:rsidR="004E6193" w:rsidRPr="009776C7">
        <w:t>provider selection</w:t>
      </w:r>
      <w:r w:rsidR="00D55DD7" w:rsidRPr="009776C7">
        <w:t xml:space="preserve"> process</w:t>
      </w:r>
      <w:r w:rsidR="004E6193" w:rsidRPr="009776C7">
        <w:t>.</w:t>
      </w:r>
      <w:r w:rsidR="009776C7" w:rsidRPr="009776C7">
        <w:t xml:space="preserve"> </w:t>
      </w:r>
      <w:r w:rsidR="009776C7" w:rsidRPr="004353F1">
        <w:rPr>
          <w:rFonts w:eastAsia="Times New Roman" w:cs="Arial"/>
          <w:kern w:val="0"/>
          <w:lang w:eastAsia="en-GB"/>
          <w14:ligatures w14:val="none"/>
        </w:rPr>
        <w:t>Moreover, the answer provided after 12 working days largely replicated an earlier answer to the same question, albeit with slightly different figures.</w:t>
      </w:r>
    </w:p>
    <w:p w14:paraId="5988653A" w14:textId="09A8D7D9" w:rsidR="005B7F50" w:rsidRPr="00D84A7F" w:rsidRDefault="005B7F50" w:rsidP="00727148">
      <w:pPr>
        <w:pStyle w:val="ListParagraph"/>
        <w:numPr>
          <w:ilvl w:val="0"/>
          <w:numId w:val="34"/>
        </w:numPr>
        <w:tabs>
          <w:tab w:val="clear" w:pos="720"/>
        </w:tabs>
        <w:spacing w:line="276" w:lineRule="auto"/>
        <w:ind w:left="1276" w:hanging="502"/>
        <w:contextualSpacing w:val="0"/>
      </w:pPr>
      <w:r>
        <w:t>In relation to estates CQs,</w:t>
      </w:r>
      <w:r w:rsidR="00FB1520">
        <w:t xml:space="preserve"> EPUT identified t</w:t>
      </w:r>
      <w:r w:rsidR="00FB1520" w:rsidRPr="00D55DD7">
        <w:t xml:space="preserve">hree CQs </w:t>
      </w:r>
      <w:r w:rsidR="00FB1520">
        <w:t xml:space="preserve">of concern (CQs </w:t>
      </w:r>
      <w:r w:rsidR="002B4776">
        <w:t>2, 45 and 80</w:t>
      </w:r>
      <w:r w:rsidR="00FB1520">
        <w:t>)</w:t>
      </w:r>
      <w:r w:rsidR="00FB1520" w:rsidRPr="00D55DD7">
        <w:t>.</w:t>
      </w:r>
      <w:r w:rsidR="002B4776">
        <w:t xml:space="preserve"> These questions asked </w:t>
      </w:r>
      <w:r w:rsidR="002B4776" w:rsidRPr="002B4776">
        <w:t>about the successful bidder</w:t>
      </w:r>
      <w:r w:rsidR="00C6527C">
        <w:t>’</w:t>
      </w:r>
      <w:r w:rsidR="002B4776" w:rsidRPr="002B4776">
        <w:t xml:space="preserve">s ability to access existing premises used by incumbent providers to deliver core mental health services. MSE ICB </w:t>
      </w:r>
      <w:r w:rsidR="00DB6334">
        <w:t>in its response to CQ</w:t>
      </w:r>
      <w:r w:rsidR="00F80B41">
        <w:t xml:space="preserve">s </w:t>
      </w:r>
      <w:r w:rsidR="00DB6334">
        <w:t xml:space="preserve">2 </w:t>
      </w:r>
      <w:r w:rsidR="00F80B41">
        <w:t xml:space="preserve">and 45 </w:t>
      </w:r>
      <w:r w:rsidR="002B4776" w:rsidRPr="002B4776">
        <w:t xml:space="preserve">indicated that it anticipated that some of the </w:t>
      </w:r>
      <w:r w:rsidR="00F80B41">
        <w:t xml:space="preserve">incumbent providers’ </w:t>
      </w:r>
      <w:r w:rsidR="002B4776" w:rsidRPr="002B4776">
        <w:t xml:space="preserve">estates may transfer to the new provider and promised further details. In response to </w:t>
      </w:r>
      <w:r w:rsidR="00F80B41">
        <w:t>CQ80</w:t>
      </w:r>
      <w:r w:rsidR="002B4776" w:rsidRPr="002B4776">
        <w:t xml:space="preserve">, however, bidders were told </w:t>
      </w:r>
      <w:r w:rsidR="00F80B41">
        <w:t xml:space="preserve">that they needed </w:t>
      </w:r>
      <w:r w:rsidR="002B4776" w:rsidRPr="002B4776">
        <w:t xml:space="preserve">to seek clarification from </w:t>
      </w:r>
      <w:r w:rsidR="002B4776" w:rsidRPr="00D84A7F">
        <w:t xml:space="preserve">incumbent providers. </w:t>
      </w:r>
      <w:r w:rsidR="009776C7" w:rsidRPr="004353F1">
        <w:rPr>
          <w:rFonts w:eastAsia="Times New Roman" w:cs="Arial"/>
          <w:kern w:val="0"/>
          <w:lang w:eastAsia="en-GB"/>
          <w14:ligatures w14:val="none"/>
        </w:rPr>
        <w:t>The Panel's view is that MSE ICB could and should have advised bidders earlier that it could not answer this question. However, the response was given on 1 April, two days before proposals were due, meaning that there was insufficient time for bidders to make inquiries.</w:t>
      </w:r>
    </w:p>
    <w:p w14:paraId="0EBC6E23" w14:textId="0B666786" w:rsidR="005B7F50" w:rsidRDefault="005B7F50" w:rsidP="00727148">
      <w:pPr>
        <w:pStyle w:val="ListParagraph"/>
        <w:numPr>
          <w:ilvl w:val="0"/>
          <w:numId w:val="34"/>
        </w:numPr>
        <w:tabs>
          <w:tab w:val="clear" w:pos="720"/>
        </w:tabs>
        <w:spacing w:line="276" w:lineRule="auto"/>
        <w:ind w:left="1276" w:hanging="502"/>
        <w:contextualSpacing w:val="0"/>
      </w:pPr>
      <w:r>
        <w:t>In relation to patient record systems CQs,</w:t>
      </w:r>
      <w:r w:rsidR="005A5105">
        <w:t xml:space="preserve"> EPUT </w:t>
      </w:r>
      <w:r w:rsidR="00D6211D">
        <w:t xml:space="preserve">identified two CQs of concern (CQs 41 and 46). These questions asked about </w:t>
      </w:r>
      <w:r w:rsidR="00C535AE">
        <w:t xml:space="preserve">costs of </w:t>
      </w:r>
      <w:r w:rsidR="006E655E">
        <w:t>electronic patient record (</w:t>
      </w:r>
      <w:r w:rsidR="00C535AE">
        <w:t>EPR</w:t>
      </w:r>
      <w:r w:rsidR="006E655E">
        <w:t>)</w:t>
      </w:r>
      <w:r w:rsidR="00C535AE">
        <w:t xml:space="preserve"> systems used by </w:t>
      </w:r>
      <w:r w:rsidR="00206423">
        <w:t xml:space="preserve">incumbent providers and other contractual terms and conditions. </w:t>
      </w:r>
      <w:r w:rsidR="00E97F39" w:rsidRPr="00E97F39">
        <w:t>MSE ICB did not provide the requested information</w:t>
      </w:r>
      <w:r w:rsidR="00E97F39">
        <w:t xml:space="preserve">. The Panel’s view is that </w:t>
      </w:r>
      <w:r w:rsidR="00E97F39" w:rsidRPr="00E97F39">
        <w:t xml:space="preserve">this was </w:t>
      </w:r>
      <w:r w:rsidR="005858A7">
        <w:t xml:space="preserve">a </w:t>
      </w:r>
      <w:r w:rsidR="00E97F39" w:rsidRPr="00E97F39">
        <w:t xml:space="preserve">reasonable </w:t>
      </w:r>
      <w:r w:rsidR="005858A7">
        <w:t xml:space="preserve">response </w:t>
      </w:r>
      <w:r w:rsidR="00E97F39" w:rsidRPr="00E97F39">
        <w:t xml:space="preserve">given that </w:t>
      </w:r>
      <w:r w:rsidR="005858A7">
        <w:t xml:space="preserve">the information is </w:t>
      </w:r>
      <w:r w:rsidR="00E97F39" w:rsidRPr="00E97F39">
        <w:t xml:space="preserve">likely </w:t>
      </w:r>
      <w:r w:rsidR="005858A7">
        <w:t xml:space="preserve">to have </w:t>
      </w:r>
      <w:r w:rsidR="00E97F39" w:rsidRPr="00E97F39">
        <w:t xml:space="preserve">been commercially confidential to </w:t>
      </w:r>
      <w:r w:rsidR="005858A7">
        <w:t xml:space="preserve">the incumbent providers and/or </w:t>
      </w:r>
      <w:r w:rsidR="00E97F39" w:rsidRPr="00E97F39">
        <w:t>the EPR supplier</w:t>
      </w:r>
      <w:r w:rsidR="005858A7">
        <w:t>s</w:t>
      </w:r>
      <w:r w:rsidR="00E97F39" w:rsidRPr="00E97F39">
        <w:t>. MSE ICB</w:t>
      </w:r>
      <w:r w:rsidR="00833054">
        <w:t>, however,</w:t>
      </w:r>
      <w:r w:rsidR="00E97F39" w:rsidRPr="00E97F39">
        <w:t xml:space="preserve"> took 10</w:t>
      </w:r>
      <w:r w:rsidR="00A07127">
        <w:t> </w:t>
      </w:r>
      <w:r w:rsidR="00E97F39" w:rsidRPr="00E97F39">
        <w:t>working days to say that it did not have the requested information and would not be providing it. Th</w:t>
      </w:r>
      <w:r w:rsidR="00833054">
        <w:t>e Panel’s view is that</w:t>
      </w:r>
      <w:r w:rsidR="00A07127">
        <w:t xml:space="preserve">, </w:t>
      </w:r>
      <w:r w:rsidR="00E97F39" w:rsidRPr="00E97F39">
        <w:t>in the context of a 2</w:t>
      </w:r>
      <w:r w:rsidR="00C3615C">
        <w:t>3</w:t>
      </w:r>
      <w:r w:rsidR="00E97F39" w:rsidRPr="00E97F39">
        <w:t xml:space="preserve"> working day </w:t>
      </w:r>
      <w:r w:rsidR="00A07127">
        <w:t>provider selection</w:t>
      </w:r>
      <w:r w:rsidR="00E97F39" w:rsidRPr="00E97F39">
        <w:t xml:space="preserve"> process</w:t>
      </w:r>
      <w:r w:rsidR="00A07127">
        <w:t>, this was not a timely response.</w:t>
      </w:r>
    </w:p>
    <w:p w14:paraId="2C78C74E" w14:textId="569A89F0" w:rsidR="0069475B" w:rsidRPr="0069475B" w:rsidRDefault="005B7F50" w:rsidP="00727148">
      <w:pPr>
        <w:pStyle w:val="ListParagraph"/>
        <w:numPr>
          <w:ilvl w:val="0"/>
          <w:numId w:val="34"/>
        </w:numPr>
        <w:tabs>
          <w:tab w:val="clear" w:pos="720"/>
        </w:tabs>
        <w:spacing w:line="276" w:lineRule="auto"/>
        <w:ind w:left="1276" w:hanging="502"/>
        <w:contextualSpacing w:val="0"/>
      </w:pPr>
      <w:r>
        <w:t>In relation to staffing and TUPE CQs,</w:t>
      </w:r>
      <w:r w:rsidR="00CF3F65">
        <w:t xml:space="preserve"> EPUT identified four CQs of concern (CQs</w:t>
      </w:r>
      <w:r w:rsidR="0026208C">
        <w:t> </w:t>
      </w:r>
      <w:r w:rsidR="0068133A">
        <w:t xml:space="preserve">38, 48, 52 and 71). </w:t>
      </w:r>
      <w:r w:rsidR="001B0668">
        <w:t xml:space="preserve">These questions asked </w:t>
      </w:r>
      <w:r w:rsidR="00223EAC">
        <w:t xml:space="preserve">about whether certain staff were included in the TUPE list, their alignment to </w:t>
      </w:r>
      <w:r w:rsidR="00C436CD">
        <w:t>the talking therapies and psychological therapies services, the number of trainees</w:t>
      </w:r>
      <w:r w:rsidR="00F93801">
        <w:t xml:space="preserve">, and staff on fixed term contracts. </w:t>
      </w:r>
      <w:r w:rsidR="00096603" w:rsidRPr="00096603">
        <w:t xml:space="preserve">The Panel appreciates that TUPE information supplied to bidders in procurement processes will </w:t>
      </w:r>
      <w:r w:rsidR="00F93801">
        <w:t xml:space="preserve">necessarily </w:t>
      </w:r>
      <w:r w:rsidR="00096603" w:rsidRPr="00096603">
        <w:t xml:space="preserve">be indicative and </w:t>
      </w:r>
      <w:r w:rsidR="00951155">
        <w:t xml:space="preserve">that providers will always need to manage a degree of </w:t>
      </w:r>
      <w:r w:rsidR="00951155" w:rsidRPr="0069475B">
        <w:t>uncertainty</w:t>
      </w:r>
      <w:r w:rsidR="00096603" w:rsidRPr="0069475B">
        <w:t xml:space="preserve">. </w:t>
      </w:r>
      <w:r w:rsidR="0069475B" w:rsidRPr="004353F1">
        <w:rPr>
          <w:rFonts w:eastAsia="Times New Roman" w:cs="Arial"/>
          <w:kern w:val="0"/>
          <w:lang w:eastAsia="en-GB"/>
          <w14:ligatures w14:val="none"/>
        </w:rPr>
        <w:t xml:space="preserve">Notwithstanding this, the Panel's view is that MSE ICB did not directly answer the questions that were asked, and was not sufficiently clear about the information that it was, or was not, in a position to provide. MSE ICB took 9 working days to answer one question. </w:t>
      </w:r>
      <w:r w:rsidR="00425B51">
        <w:t>T</w:t>
      </w:r>
      <w:r w:rsidR="00425B51" w:rsidRPr="00E97F39">
        <w:t>h</w:t>
      </w:r>
      <w:r w:rsidR="00425B51">
        <w:t xml:space="preserve">e Panel’s view is that, </w:t>
      </w:r>
      <w:r w:rsidR="00425B51" w:rsidRPr="00E97F39">
        <w:t>in the context of a 2</w:t>
      </w:r>
      <w:r w:rsidR="00006E76">
        <w:t>3</w:t>
      </w:r>
      <w:r w:rsidR="00425B51">
        <w:t> </w:t>
      </w:r>
      <w:r w:rsidR="00425B51" w:rsidRPr="00E97F39">
        <w:t xml:space="preserve">working day </w:t>
      </w:r>
      <w:r w:rsidR="00425B51">
        <w:t>provider selection</w:t>
      </w:r>
      <w:r w:rsidR="00425B51" w:rsidRPr="00E97F39">
        <w:t xml:space="preserve"> process</w:t>
      </w:r>
      <w:r w:rsidR="00425B51">
        <w:t xml:space="preserve">, this was not a timely response. </w:t>
      </w:r>
      <w:r w:rsidR="0069475B" w:rsidRPr="004353F1">
        <w:rPr>
          <w:rFonts w:eastAsia="Times New Roman" w:cs="Arial"/>
          <w:kern w:val="0"/>
          <w:lang w:eastAsia="en-GB"/>
          <w14:ligatures w14:val="none"/>
        </w:rPr>
        <w:t>Further, in at least one instance the answer was misleading in that it referred to a commissioner split of the funding envelope as the basis for splitting the staff list into service components.</w:t>
      </w:r>
    </w:p>
    <w:p w14:paraId="58F9EC61" w14:textId="5BB98464" w:rsidR="005B7F50" w:rsidRPr="002F52CF" w:rsidRDefault="005B7F50" w:rsidP="00727148">
      <w:pPr>
        <w:pStyle w:val="ListParagraph"/>
        <w:numPr>
          <w:ilvl w:val="0"/>
          <w:numId w:val="34"/>
        </w:numPr>
        <w:tabs>
          <w:tab w:val="clear" w:pos="720"/>
        </w:tabs>
        <w:spacing w:line="276" w:lineRule="auto"/>
        <w:ind w:left="1276" w:hanging="502"/>
        <w:contextualSpacing w:val="0"/>
      </w:pPr>
      <w:r>
        <w:lastRenderedPageBreak/>
        <w:t xml:space="preserve">In relation to systems migration </w:t>
      </w:r>
      <w:r w:rsidR="006A5ACB">
        <w:t xml:space="preserve">and mobilisation </w:t>
      </w:r>
      <w:r>
        <w:t xml:space="preserve">CQs, </w:t>
      </w:r>
      <w:r w:rsidR="004F6D4D">
        <w:t xml:space="preserve">EPUT identified two CQs of concern (CQs 73 and 87). These questions asked about </w:t>
      </w:r>
      <w:r w:rsidR="004A3D1E">
        <w:t xml:space="preserve">scenarios </w:t>
      </w:r>
      <w:r w:rsidR="00C35139">
        <w:t>where</w:t>
      </w:r>
      <w:r w:rsidR="004A3D1E">
        <w:t xml:space="preserve"> system migration t</w:t>
      </w:r>
      <w:r w:rsidR="00C35139">
        <w:t xml:space="preserve">akes longer than the mobilisation period identified in the tender documentation. </w:t>
      </w:r>
      <w:r w:rsidR="00F92BE3">
        <w:t xml:space="preserve">This issue is </w:t>
      </w:r>
      <w:r w:rsidR="00F92BE3" w:rsidRPr="002F52CF">
        <w:t xml:space="preserve">addressed in </w:t>
      </w:r>
      <w:r w:rsidR="00F92BE3" w:rsidRPr="004353F1">
        <w:t>Section 7.4.</w:t>
      </w:r>
      <w:r w:rsidR="002F52CF" w:rsidRPr="004353F1">
        <w:t>4</w:t>
      </w:r>
      <w:r w:rsidR="003F1F21" w:rsidRPr="002F52CF">
        <w:t>.</w:t>
      </w:r>
    </w:p>
    <w:p w14:paraId="1376D303" w14:textId="4470B04B" w:rsidR="00BB5415" w:rsidRDefault="008C3C9C">
      <w:pPr>
        <w:pStyle w:val="ListParagraph"/>
        <w:numPr>
          <w:ilvl w:val="0"/>
          <w:numId w:val="1"/>
        </w:numPr>
        <w:spacing w:line="276" w:lineRule="auto"/>
        <w:contextualSpacing w:val="0"/>
      </w:pPr>
      <w:r>
        <w:t>In summary, the Panel</w:t>
      </w:r>
      <w:r w:rsidR="00232757">
        <w:t xml:space="preserve">’s view is that </w:t>
      </w:r>
      <w:r w:rsidR="009C099B">
        <w:t xml:space="preserve">MSE ICB failed to answer </w:t>
      </w:r>
      <w:r w:rsidR="00E75EDC">
        <w:t xml:space="preserve">several </w:t>
      </w:r>
      <w:r w:rsidR="009C099B">
        <w:t>CQs in a way that was either complete or timely</w:t>
      </w:r>
      <w:r w:rsidR="00E75EDC">
        <w:t xml:space="preserve"> and in </w:t>
      </w:r>
      <w:r w:rsidR="005D07EF">
        <w:t xml:space="preserve">at least one </w:t>
      </w:r>
      <w:r w:rsidR="00E75EDC">
        <w:t>case was misleading for bidders</w:t>
      </w:r>
      <w:r w:rsidR="009C099B">
        <w:t>.</w:t>
      </w:r>
      <w:r w:rsidR="00490F81">
        <w:t xml:space="preserve"> </w:t>
      </w:r>
      <w:r w:rsidR="003C654C">
        <w:t xml:space="preserve">The Panel recognises that the bidders for the contract were experienced </w:t>
      </w:r>
      <w:r w:rsidR="008B77EA">
        <w:t xml:space="preserve">providers of the service that was being contracted, and to some extent were able to use that experience to inform their own estimates in the absence of information </w:t>
      </w:r>
      <w:r w:rsidR="00BB5415">
        <w:t xml:space="preserve">from MSE ICB. The Panel, however, considers that the answers supplied by MSE ICB were sufficiently incomplete, late and, in some cases, misleading, for the ICB to have breached </w:t>
      </w:r>
      <w:r w:rsidR="005D1AB7">
        <w:t>the PSR regulations</w:t>
      </w:r>
      <w:r w:rsidR="009C7D7C">
        <w:t>.</w:t>
      </w:r>
    </w:p>
    <w:p w14:paraId="77817309" w14:textId="56930F8F" w:rsidR="008C3C9C" w:rsidRDefault="003F1F21" w:rsidP="006E13D7">
      <w:pPr>
        <w:pStyle w:val="ListParagraph"/>
        <w:numPr>
          <w:ilvl w:val="0"/>
          <w:numId w:val="1"/>
        </w:numPr>
        <w:spacing w:line="276" w:lineRule="auto"/>
        <w:contextualSpacing w:val="0"/>
      </w:pPr>
      <w:r>
        <w:t xml:space="preserve">As a result, the Panel finds that MSE ICB, in responding to </w:t>
      </w:r>
      <w:r w:rsidR="00D272F4">
        <w:t xml:space="preserve">several </w:t>
      </w:r>
      <w:r w:rsidR="00FB1978">
        <w:t xml:space="preserve">bidders’ </w:t>
      </w:r>
      <w:r w:rsidR="00286272">
        <w:t>CQs</w:t>
      </w:r>
      <w:r w:rsidR="00DC6611">
        <w:t xml:space="preserve"> in a way that was </w:t>
      </w:r>
      <w:r w:rsidR="00D272F4">
        <w:t>in</w:t>
      </w:r>
      <w:r w:rsidR="00DC6611">
        <w:t xml:space="preserve">complete, </w:t>
      </w:r>
      <w:r w:rsidR="00D272F4">
        <w:t xml:space="preserve">lacked </w:t>
      </w:r>
      <w:r w:rsidR="00DC6611">
        <w:t>timel</w:t>
      </w:r>
      <w:r w:rsidR="00D272F4">
        <w:t xml:space="preserve">iness </w:t>
      </w:r>
      <w:r w:rsidR="00DC6611">
        <w:t xml:space="preserve">or </w:t>
      </w:r>
      <w:r w:rsidR="00D272F4">
        <w:t>was misleading</w:t>
      </w:r>
      <w:r w:rsidR="00FB1978">
        <w:t xml:space="preserve">, </w:t>
      </w:r>
      <w:r w:rsidR="00AD4198">
        <w:t>breach</w:t>
      </w:r>
      <w:r w:rsidR="009C7D7C">
        <w:t>ed</w:t>
      </w:r>
      <w:r w:rsidR="00AD4198">
        <w:t xml:space="preserve"> the PSR regulations, and in particular its obligations to act transparently, fairly and proportionately</w:t>
      </w:r>
      <w:r w:rsidR="0026208C">
        <w:t>.</w:t>
      </w:r>
    </w:p>
    <w:p w14:paraId="200D5C49" w14:textId="76642EDC" w:rsidR="009D52AA" w:rsidRDefault="00F9250F" w:rsidP="00713C41">
      <w:pPr>
        <w:pStyle w:val="Heading2"/>
        <w:spacing w:before="240" w:after="160"/>
        <w:ind w:left="578" w:hanging="578"/>
      </w:pPr>
      <w:bookmarkStart w:id="41" w:name="_Toc209611778"/>
      <w:r>
        <w:t>E</w:t>
      </w:r>
      <w:r w:rsidR="009D52AA">
        <w:t>valuation and scoring</w:t>
      </w:r>
      <w:r>
        <w:t xml:space="preserve"> of </w:t>
      </w:r>
      <w:r w:rsidR="00957321">
        <w:t xml:space="preserve">EPUT’s </w:t>
      </w:r>
      <w:r w:rsidR="00286ABF">
        <w:t>proposal</w:t>
      </w:r>
      <w:bookmarkEnd w:id="41"/>
    </w:p>
    <w:p w14:paraId="7BE714A7" w14:textId="23750042" w:rsidR="000F7D6E" w:rsidRDefault="00B86119" w:rsidP="000D03F4">
      <w:pPr>
        <w:pStyle w:val="ListParagraph"/>
        <w:numPr>
          <w:ilvl w:val="0"/>
          <w:numId w:val="1"/>
        </w:numPr>
        <w:spacing w:line="276" w:lineRule="auto"/>
        <w:contextualSpacing w:val="0"/>
      </w:pPr>
      <w:r w:rsidRPr="008B05AE">
        <w:t>This section sets out</w:t>
      </w:r>
      <w:r w:rsidR="00C61983" w:rsidRPr="008B05AE">
        <w:t xml:space="preserve"> the Panel’s assessment</w:t>
      </w:r>
      <w:r w:rsidR="002E70D5" w:rsidRPr="008B05AE">
        <w:t xml:space="preserve"> of </w:t>
      </w:r>
      <w:r w:rsidR="003E3F23">
        <w:t xml:space="preserve">EPUT’s </w:t>
      </w:r>
      <w:r w:rsidR="00D026EC">
        <w:t xml:space="preserve">concerns </w:t>
      </w:r>
      <w:r w:rsidR="003E3F23">
        <w:t xml:space="preserve">about </w:t>
      </w:r>
      <w:r w:rsidR="002E70D5" w:rsidRPr="008B05AE">
        <w:t xml:space="preserve">MSE ICB’s evaluation and scoring of </w:t>
      </w:r>
      <w:r w:rsidR="001023F8">
        <w:t>EPUT’s</w:t>
      </w:r>
      <w:r w:rsidR="006B229D">
        <w:t xml:space="preserve"> responses to</w:t>
      </w:r>
      <w:r w:rsidR="000D03F4">
        <w:t xml:space="preserve"> </w:t>
      </w:r>
      <w:r w:rsidR="001023F8">
        <w:t>three</w:t>
      </w:r>
      <w:r w:rsidR="000D03F4">
        <w:t xml:space="preserve"> questions, namely Question 2.3.1 (Service Model), </w:t>
      </w:r>
      <w:r w:rsidR="000D03F4" w:rsidRPr="008B05AE">
        <w:t>Question 2.4.1 (Service Delivery)</w:t>
      </w:r>
      <w:r w:rsidR="00203C9E">
        <w:t xml:space="preserve"> and</w:t>
      </w:r>
      <w:r w:rsidR="000D03F4">
        <w:t xml:space="preserve"> </w:t>
      </w:r>
      <w:r w:rsidR="000D03F4" w:rsidRPr="008B05AE">
        <w:t>Question 2.8.1 (Mobilisation &amp; Implementation)</w:t>
      </w:r>
      <w:r w:rsidR="00203C9E">
        <w:t>.</w:t>
      </w:r>
      <w:r w:rsidR="00203C9E">
        <w:rPr>
          <w:rStyle w:val="FootnoteReference"/>
        </w:rPr>
        <w:footnoteReference w:id="50"/>
      </w:r>
    </w:p>
    <w:p w14:paraId="40A2C7E5" w14:textId="159C9591" w:rsidR="00D53B60" w:rsidRPr="009332C8" w:rsidRDefault="001F3F38" w:rsidP="00D53B60">
      <w:pPr>
        <w:pStyle w:val="ListParagraph"/>
        <w:numPr>
          <w:ilvl w:val="0"/>
          <w:numId w:val="1"/>
        </w:numPr>
        <w:spacing w:line="276" w:lineRule="auto"/>
        <w:contextualSpacing w:val="0"/>
      </w:pPr>
      <w:r w:rsidRPr="00C12235">
        <w:t xml:space="preserve">The Panel, in assessing EPUT’s concerns, </w:t>
      </w:r>
      <w:r w:rsidR="007E6240">
        <w:t xml:space="preserve">has taken </w:t>
      </w:r>
      <w:r w:rsidR="00C7209D">
        <w:t xml:space="preserve">a </w:t>
      </w:r>
      <w:r w:rsidR="00042AB3">
        <w:t>two-part</w:t>
      </w:r>
      <w:r w:rsidR="00C7209D">
        <w:t xml:space="preserve"> approach. First, </w:t>
      </w:r>
      <w:r w:rsidR="0023244D">
        <w:t xml:space="preserve">in Section 7.4.1, </w:t>
      </w:r>
      <w:r w:rsidR="00C7209D">
        <w:t xml:space="preserve">the Panel </w:t>
      </w:r>
      <w:r w:rsidR="007E6240">
        <w:t>reviews</w:t>
      </w:r>
      <w:r w:rsidR="00C7209D">
        <w:t xml:space="preserve"> MSE ICB’s overall approach to evaluation and scoring</w:t>
      </w:r>
      <w:r w:rsidR="005A1CA6">
        <w:t xml:space="preserve">, including its approach to evaluator training, the guidance offered to evaluators and the evaluation and scoring process. Second, </w:t>
      </w:r>
      <w:r w:rsidR="0023244D">
        <w:t>in Sections 7.4.2 to 7.4.</w:t>
      </w:r>
      <w:r w:rsidR="005F1ABF">
        <w:t>4</w:t>
      </w:r>
      <w:r w:rsidR="0023244D">
        <w:t xml:space="preserve">, </w:t>
      </w:r>
      <w:r w:rsidR="005A1CA6">
        <w:t xml:space="preserve">the Panel </w:t>
      </w:r>
      <w:r w:rsidR="00803913">
        <w:t>review</w:t>
      </w:r>
      <w:r w:rsidR="007E6240">
        <w:t>s</w:t>
      </w:r>
      <w:r w:rsidR="00803913">
        <w:t xml:space="preserve"> the evaluation and scoring of the </w:t>
      </w:r>
      <w:r w:rsidR="00982D6B">
        <w:t>three</w:t>
      </w:r>
      <w:r w:rsidR="00D83AF7">
        <w:t xml:space="preserve"> </w:t>
      </w:r>
      <w:r w:rsidR="00803913">
        <w:t>questions where specific concerns were raised by EPUT</w:t>
      </w:r>
      <w:r w:rsidR="0022791B">
        <w:t>.</w:t>
      </w:r>
    </w:p>
    <w:p w14:paraId="6FCF0E64" w14:textId="7C18B71A" w:rsidR="00D53B60" w:rsidRPr="009332C8" w:rsidRDefault="009332C8" w:rsidP="009332C8">
      <w:pPr>
        <w:keepNext/>
        <w:spacing w:before="240" w:line="276" w:lineRule="auto"/>
        <w:rPr>
          <w:b/>
          <w:bCs/>
        </w:rPr>
      </w:pPr>
      <w:r>
        <w:rPr>
          <w:b/>
          <w:bCs/>
        </w:rPr>
        <w:t xml:space="preserve">7.4.1 </w:t>
      </w:r>
      <w:r w:rsidR="00783D10">
        <w:rPr>
          <w:b/>
          <w:bCs/>
        </w:rPr>
        <w:t>MSE ICB’s overall approach to evaluation and scoring</w:t>
      </w:r>
    </w:p>
    <w:p w14:paraId="6AF7F976" w14:textId="1281CC87" w:rsidR="001F3F38" w:rsidRDefault="00D16202" w:rsidP="00C53087">
      <w:pPr>
        <w:pStyle w:val="ListParagraph"/>
        <w:numPr>
          <w:ilvl w:val="0"/>
          <w:numId w:val="1"/>
        </w:numPr>
        <w:spacing w:after="120" w:line="276" w:lineRule="auto"/>
        <w:contextualSpacing w:val="0"/>
      </w:pPr>
      <w:r w:rsidRPr="008A3CEF">
        <w:t>MSE ICB</w:t>
      </w:r>
      <w:r>
        <w:t>, in responding to EPUT’s representations</w:t>
      </w:r>
      <w:r w:rsidR="002E311D">
        <w:t xml:space="preserve"> to the ICB</w:t>
      </w:r>
      <w:r>
        <w:t xml:space="preserve"> about </w:t>
      </w:r>
      <w:r w:rsidR="001F3F38" w:rsidRPr="008A3CEF">
        <w:t xml:space="preserve">the evaluation and moderation process, </w:t>
      </w:r>
      <w:r w:rsidR="00B23450">
        <w:t xml:space="preserve">described the </w:t>
      </w:r>
      <w:r w:rsidR="007504E2">
        <w:t>briefing</w:t>
      </w:r>
      <w:r w:rsidR="00773643">
        <w:t xml:space="preserve"> and training</w:t>
      </w:r>
      <w:r w:rsidR="007504E2">
        <w:t xml:space="preserve"> sessions for evaluators and the moderation process</w:t>
      </w:r>
      <w:r w:rsidR="00773643">
        <w:t xml:space="preserve">. It </w:t>
      </w:r>
      <w:r w:rsidR="001F3F38">
        <w:t>said:</w:t>
      </w:r>
    </w:p>
    <w:p w14:paraId="462A2245" w14:textId="4D53784A" w:rsidR="001F3F38" w:rsidRDefault="001F3F38" w:rsidP="00C53087">
      <w:pPr>
        <w:pStyle w:val="ListParagraph"/>
        <w:numPr>
          <w:ilvl w:val="0"/>
          <w:numId w:val="0"/>
        </w:numPr>
        <w:spacing w:after="120"/>
        <w:ind w:left="851"/>
        <w:contextualSpacing w:val="0"/>
        <w:rPr>
          <w:rFonts w:cs="Arial"/>
          <w:sz w:val="21"/>
          <w:szCs w:val="21"/>
        </w:rPr>
      </w:pPr>
      <w:r w:rsidRPr="0087493D">
        <w:rPr>
          <w:rFonts w:cs="Arial"/>
          <w:sz w:val="21"/>
          <w:szCs w:val="21"/>
        </w:rPr>
        <w:t>“The evaluation process was conducted in strict accordance with procurement principles and best practice. The bid submissions were scored by experienced, appropriately appointed Subject-Matter Experts (numbering 19 Subject Matter Experts across many disciplines and professional expertise) with multiple evaluators scoring each tender question response. The evaluators were assigned over the seven scored Technical Questions (Key Criteria) that formed 90% weighting of this tender exercise.</w:t>
      </w:r>
    </w:p>
    <w:p w14:paraId="59719B63" w14:textId="37A14F37" w:rsidR="001F3F38" w:rsidRDefault="001F3F38" w:rsidP="00C53087">
      <w:pPr>
        <w:pStyle w:val="ListParagraph"/>
        <w:numPr>
          <w:ilvl w:val="0"/>
          <w:numId w:val="0"/>
        </w:numPr>
        <w:spacing w:after="120"/>
        <w:ind w:left="851"/>
        <w:contextualSpacing w:val="0"/>
        <w:rPr>
          <w:rFonts w:cs="Arial"/>
          <w:sz w:val="21"/>
          <w:szCs w:val="21"/>
        </w:rPr>
      </w:pPr>
      <w:r w:rsidRPr="0087493D">
        <w:rPr>
          <w:rFonts w:cs="Arial"/>
          <w:sz w:val="21"/>
          <w:szCs w:val="21"/>
          <w:lang w:val="en-US"/>
        </w:rPr>
        <w:t>“Attain</w:t>
      </w:r>
      <w:r>
        <w:rPr>
          <w:rStyle w:val="FootnoteReference"/>
          <w:rFonts w:cs="Arial"/>
          <w:sz w:val="21"/>
          <w:szCs w:val="21"/>
          <w:lang w:val="en-US"/>
        </w:rPr>
        <w:footnoteReference w:id="51"/>
      </w:r>
      <w:r w:rsidRPr="0087493D">
        <w:rPr>
          <w:rFonts w:cs="Arial"/>
          <w:sz w:val="21"/>
          <w:szCs w:val="21"/>
          <w:lang w:val="en-US"/>
        </w:rPr>
        <w:t xml:space="preserve"> facilitated the five (5) evaluation briefing sessions that were attended by every evaluator on the evaluation panel for this Mental Health Core Services procurement. The briefing sessions outline the roles/responsibilities of an evaluation panel, Procurement Principles including transparency, non-discrimination, equal treatment and </w:t>
      </w:r>
      <w:r w:rsidRPr="0087493D">
        <w:rPr>
          <w:rFonts w:cs="Arial"/>
          <w:sz w:val="21"/>
          <w:szCs w:val="21"/>
          <w:lang w:val="en-US"/>
        </w:rPr>
        <w:lastRenderedPageBreak/>
        <w:t>proportionality. The importance of evaluating each bid on its own merit, including the proper application of the scope of the requirement (the technical question, the service specification and the scoring criteria). The evaluators understood and conducted their evaluations of the tender responses in silo, without speaking with or conferring with colleagues or other members of</w:t>
      </w:r>
      <w:r w:rsidR="006D67E1">
        <w:rPr>
          <w:rFonts w:cs="Arial"/>
          <w:sz w:val="21"/>
          <w:szCs w:val="21"/>
        </w:rPr>
        <w:t xml:space="preserve"> </w:t>
      </w:r>
      <w:r w:rsidRPr="0087493D">
        <w:rPr>
          <w:rFonts w:cs="Arial"/>
          <w:sz w:val="21"/>
          <w:szCs w:val="21"/>
        </w:rPr>
        <w:t>t</w:t>
      </w:r>
      <w:r w:rsidRPr="0087493D">
        <w:rPr>
          <w:rFonts w:cs="Arial"/>
          <w:sz w:val="21"/>
          <w:szCs w:val="21"/>
          <w:lang w:val="en-US"/>
        </w:rPr>
        <w:t>he evaluation panel. The evaluators conducted their independent evaluations in str</w:t>
      </w:r>
      <w:r w:rsidR="00F93C0E">
        <w:rPr>
          <w:rFonts w:cs="Arial"/>
          <w:sz w:val="21"/>
          <w:szCs w:val="21"/>
          <w:lang w:val="en-US"/>
        </w:rPr>
        <w:t>i</w:t>
      </w:r>
      <w:r w:rsidRPr="0087493D">
        <w:rPr>
          <w:rFonts w:cs="Arial"/>
          <w:sz w:val="21"/>
          <w:szCs w:val="21"/>
          <w:lang w:val="en-US"/>
        </w:rPr>
        <w:t>ct accordance of the scoring criteria that was published in the procurement documentation in the first instance for this Mental Health Core Services.</w:t>
      </w:r>
    </w:p>
    <w:p w14:paraId="76631B80" w14:textId="77777777" w:rsidR="001F3F38" w:rsidRDefault="001F3F38" w:rsidP="00C53087">
      <w:pPr>
        <w:pStyle w:val="ListParagraph"/>
        <w:numPr>
          <w:ilvl w:val="0"/>
          <w:numId w:val="0"/>
        </w:numPr>
        <w:ind w:left="851"/>
        <w:contextualSpacing w:val="0"/>
      </w:pPr>
      <w:r w:rsidRPr="0087493D">
        <w:rPr>
          <w:rFonts w:cs="Arial"/>
          <w:sz w:val="21"/>
          <w:szCs w:val="21"/>
          <w:lang w:val="en-US"/>
        </w:rPr>
        <w:t>“A moderation process, facilitated by an independent body, was carried out with only the specific evaluators of a specific technical question being invited to discuss the findings of the evaluation of the tender responses, to discuss where the response had met the requirements of the question and where (if any) the response had not met the requirements of the question, in strict accordance with the published scoring criteria. The moderation sessions concluded in the Subject Matter Experts evaluating a specific question response agreeing upon a consensus score for each technical question response submitted by each Bidder.”</w:t>
      </w:r>
      <w:r>
        <w:rPr>
          <w:rStyle w:val="FootnoteReference"/>
          <w:rFonts w:cs="Arial"/>
          <w:sz w:val="21"/>
          <w:szCs w:val="21"/>
          <w:lang w:val="en-US"/>
        </w:rPr>
        <w:footnoteReference w:id="52"/>
      </w:r>
    </w:p>
    <w:p w14:paraId="5322E4FA" w14:textId="2A391878" w:rsidR="001F3F38" w:rsidRDefault="001F3F38" w:rsidP="000F7D6E">
      <w:pPr>
        <w:pStyle w:val="ListParagraph"/>
        <w:numPr>
          <w:ilvl w:val="0"/>
          <w:numId w:val="1"/>
        </w:numPr>
        <w:spacing w:line="276" w:lineRule="auto"/>
        <w:contextualSpacing w:val="0"/>
      </w:pPr>
      <w:r>
        <w:t>MSE ICB</w:t>
      </w:r>
      <w:r w:rsidR="00E503C3">
        <w:t xml:space="preserve"> </w:t>
      </w:r>
      <w:r w:rsidRPr="008A3CEF">
        <w:t>elaborated on th</w:t>
      </w:r>
      <w:r w:rsidR="00990864">
        <w:t>ese points</w:t>
      </w:r>
      <w:r w:rsidR="00E503C3">
        <w:t xml:space="preserve"> during the Panel review</w:t>
      </w:r>
      <w:r w:rsidR="00990864">
        <w:t xml:space="preserve">, saying </w:t>
      </w:r>
      <w:r>
        <w:t>that “E</w:t>
      </w:r>
      <w:r w:rsidRPr="00565280">
        <w:t>valuators accessed the bid materials via the e-procurement portal, with access being given to evaluators only for the questions that had been assigned for them to evaluate. No one evaluator saw the entire bid submission for quality, technical and commercial envelopes during the evaluation process, in order to prevent any actual or perceived bias towards their evaluations of their assigned questions/responses within the tender submissions</w:t>
      </w:r>
      <w:r>
        <w:t>”</w:t>
      </w:r>
      <w:r w:rsidR="00990864">
        <w:t>.</w:t>
      </w:r>
      <w:r>
        <w:rPr>
          <w:rStyle w:val="FootnoteReference"/>
        </w:rPr>
        <w:footnoteReference w:id="53"/>
      </w:r>
    </w:p>
    <w:p w14:paraId="088F47EC" w14:textId="19092A3F" w:rsidR="00F85E7E" w:rsidRDefault="001F3F38" w:rsidP="000F7D6E">
      <w:pPr>
        <w:pStyle w:val="ListParagraph"/>
        <w:numPr>
          <w:ilvl w:val="0"/>
          <w:numId w:val="1"/>
        </w:numPr>
        <w:spacing w:line="276" w:lineRule="auto"/>
        <w:contextualSpacing w:val="0"/>
      </w:pPr>
      <w:r w:rsidRPr="006E5DF5">
        <w:t xml:space="preserve">MSE ICB </w:t>
      </w:r>
      <w:r w:rsidR="00C4557F">
        <w:t xml:space="preserve">also </w:t>
      </w:r>
      <w:r w:rsidRPr="006E5DF5">
        <w:t xml:space="preserve">told the Panel that </w:t>
      </w:r>
      <w:r>
        <w:t>o</w:t>
      </w:r>
      <w:r w:rsidRPr="006E5DF5">
        <w:t xml:space="preserve">nce the evaluators had completed their individual evaluation </w:t>
      </w:r>
      <w:r>
        <w:t xml:space="preserve">of assigned questions, </w:t>
      </w:r>
      <w:r w:rsidRPr="006E5DF5">
        <w:t>moderation sessions were scheduled</w:t>
      </w:r>
      <w:r>
        <w:t xml:space="preserve"> </w:t>
      </w:r>
      <w:r w:rsidRPr="006E5DF5">
        <w:t>at which the evaluators had a discussion that resulted in an “outline consensus narrative and outline consensus score”.</w:t>
      </w:r>
      <w:r w:rsidRPr="006E5DF5">
        <w:rPr>
          <w:rStyle w:val="FootnoteReference"/>
        </w:rPr>
        <w:footnoteReference w:id="54"/>
      </w:r>
    </w:p>
    <w:p w14:paraId="7CB71ED0" w14:textId="2D1FFC9B" w:rsidR="001F3F38" w:rsidRPr="006E5DF5" w:rsidRDefault="001F3F38" w:rsidP="000F7D6E">
      <w:pPr>
        <w:pStyle w:val="ListParagraph"/>
        <w:numPr>
          <w:ilvl w:val="0"/>
          <w:numId w:val="1"/>
        </w:numPr>
        <w:spacing w:line="276" w:lineRule="auto"/>
        <w:contextualSpacing w:val="0"/>
      </w:pPr>
      <w:r>
        <w:t>The Panel notes that M</w:t>
      </w:r>
      <w:r w:rsidR="003B7618">
        <w:t>S</w:t>
      </w:r>
      <w:r>
        <w:t>E ICB’s records for each moderation session include</w:t>
      </w:r>
      <w:r w:rsidR="00F85E7E">
        <w:t>:</w:t>
      </w:r>
      <w:r>
        <w:t xml:space="preserve"> (i) a PowerPoint presentation that covers some elements of the evaluator training (including the scoring matrix and </w:t>
      </w:r>
      <w:r w:rsidR="00902E91">
        <w:t>c</w:t>
      </w:r>
      <w:r>
        <w:t xml:space="preserve">onflict of </w:t>
      </w:r>
      <w:r w:rsidR="00902E91">
        <w:t>i</w:t>
      </w:r>
      <w:r>
        <w:t xml:space="preserve">nterest management) and the question being evaluated; (ii) a record of individual evaluators’ feedback and both individual and moderated scores for each bidders; and (iii) moderation meeting notes that include a justification for </w:t>
      </w:r>
      <w:r w:rsidR="00C928AC">
        <w:t xml:space="preserve">the movement of </w:t>
      </w:r>
      <w:r>
        <w:t>individual evaluator score</w:t>
      </w:r>
      <w:r w:rsidR="00C928AC">
        <w:t>s where these initially differed from the consensus score</w:t>
      </w:r>
      <w:r>
        <w:t>.</w:t>
      </w:r>
    </w:p>
    <w:p w14:paraId="35C5C3ED" w14:textId="77A18677" w:rsidR="00B86119" w:rsidRPr="0080773F" w:rsidRDefault="001F3F38" w:rsidP="000F7D6E">
      <w:pPr>
        <w:pStyle w:val="ListParagraph"/>
        <w:numPr>
          <w:ilvl w:val="0"/>
          <w:numId w:val="1"/>
        </w:numPr>
        <w:spacing w:line="276" w:lineRule="auto"/>
        <w:contextualSpacing w:val="0"/>
      </w:pPr>
      <w:r w:rsidRPr="008A3CEF">
        <w:t xml:space="preserve">MSE ICB </w:t>
      </w:r>
      <w:r>
        <w:t xml:space="preserve">also told the Panel </w:t>
      </w:r>
      <w:r w:rsidRPr="008A3CEF">
        <w:t>that following the moderation sessions “evaluators confirmed the moderated narrative via email that was used verbatim in the outcome letters provided to the Bidders</w:t>
      </w:r>
      <w:r>
        <w:t>” and that “</w:t>
      </w:r>
      <w:r w:rsidR="00FA6726">
        <w:t>a</w:t>
      </w:r>
      <w:r w:rsidRPr="008A3CEF">
        <w:t>t no time during evaluation or moderation did a single evaluator have sight of the entire bid submissions, nor did any evaluator have sight of how the entire bid had been assessed or scored until the end of the evaluation and moderation process”</w:t>
      </w:r>
      <w:r w:rsidR="0035335B">
        <w:t>.</w:t>
      </w:r>
      <w:r>
        <w:rPr>
          <w:rStyle w:val="FootnoteReference"/>
        </w:rPr>
        <w:footnoteReference w:id="55"/>
      </w:r>
    </w:p>
    <w:p w14:paraId="05B4430A" w14:textId="56791A11" w:rsidR="00342515" w:rsidRPr="008A3CEF" w:rsidRDefault="00AE1A72">
      <w:pPr>
        <w:pStyle w:val="ListParagraph"/>
        <w:numPr>
          <w:ilvl w:val="0"/>
          <w:numId w:val="1"/>
        </w:numPr>
        <w:spacing w:line="276" w:lineRule="auto"/>
        <w:contextualSpacing w:val="0"/>
      </w:pPr>
      <w:r>
        <w:t xml:space="preserve">The Panel, having reviewed </w:t>
      </w:r>
      <w:r w:rsidR="00C3423A" w:rsidRPr="00A6596D">
        <w:t xml:space="preserve">evaluator training </w:t>
      </w:r>
      <w:r>
        <w:t xml:space="preserve">materials </w:t>
      </w:r>
      <w:r w:rsidR="00C3423A" w:rsidRPr="00A6596D">
        <w:t xml:space="preserve">and </w:t>
      </w:r>
      <w:r w:rsidR="00C3423A">
        <w:t xml:space="preserve">the </w:t>
      </w:r>
      <w:r w:rsidR="00C3423A" w:rsidRPr="00A6596D">
        <w:t xml:space="preserve">guidance </w:t>
      </w:r>
      <w:r w:rsidR="00C3423A">
        <w:t>given to evaluators</w:t>
      </w:r>
      <w:r>
        <w:t xml:space="preserve"> by MSE ICB</w:t>
      </w:r>
      <w:r w:rsidR="00C3423A">
        <w:t xml:space="preserve">, </w:t>
      </w:r>
      <w:r>
        <w:t>note</w:t>
      </w:r>
      <w:r w:rsidR="00CE5CAF">
        <w:t>s</w:t>
      </w:r>
      <w:r>
        <w:t xml:space="preserve"> </w:t>
      </w:r>
      <w:r w:rsidR="00C3423A" w:rsidRPr="00A6596D">
        <w:t>that this addressed various areas relevant to ensuring a robust evaluation</w:t>
      </w:r>
      <w:r w:rsidR="002A666F">
        <w:t xml:space="preserve">. This included </w:t>
      </w:r>
      <w:r w:rsidR="00C3423A" w:rsidRPr="00A6596D">
        <w:t xml:space="preserve">information on the scoring matrix and methodology, </w:t>
      </w:r>
      <w:r w:rsidR="00C3423A" w:rsidRPr="00A6596D">
        <w:lastRenderedPageBreak/>
        <w:t xml:space="preserve">clarity on roles and responsibilities in the evaluation and moderation process, and guidance on how to evaluate bidders’ responses using the scoring matrix. Examples of best practice in respect of individual evaluator feedback and moderation minutes were also covered in the evaluator </w:t>
      </w:r>
      <w:r w:rsidR="00C3423A" w:rsidRPr="008A3CEF">
        <w:t>training material.</w:t>
      </w:r>
      <w:r w:rsidR="005D1D7C">
        <w:t xml:space="preserve"> </w:t>
      </w:r>
      <w:r w:rsidR="00342515">
        <w:t xml:space="preserve">The </w:t>
      </w:r>
      <w:r w:rsidR="00E77B0F">
        <w:t xml:space="preserve">Panel did not identify anything in these materials to suggest </w:t>
      </w:r>
      <w:r w:rsidR="005D1D7C">
        <w:t>systemic</w:t>
      </w:r>
      <w:r w:rsidR="00E77B0F">
        <w:t xml:space="preserve"> flaw</w:t>
      </w:r>
      <w:r w:rsidR="005D1D7C">
        <w:t>s in the evaluation and scoring process conducted by MSE ICB.</w:t>
      </w:r>
      <w:r w:rsidR="005506AF">
        <w:rPr>
          <w:rStyle w:val="FootnoteReference"/>
        </w:rPr>
        <w:footnoteReference w:id="56"/>
      </w:r>
    </w:p>
    <w:p w14:paraId="749B1CE9" w14:textId="3FDC4DFB" w:rsidR="00713C41" w:rsidRPr="00E377ED" w:rsidRDefault="00E377ED" w:rsidP="00E377ED">
      <w:pPr>
        <w:keepNext/>
        <w:spacing w:before="240" w:line="276" w:lineRule="auto"/>
        <w:rPr>
          <w:b/>
          <w:bCs/>
        </w:rPr>
      </w:pPr>
      <w:r>
        <w:rPr>
          <w:b/>
          <w:bCs/>
        </w:rPr>
        <w:t xml:space="preserve">7.4.2 </w:t>
      </w:r>
      <w:r w:rsidR="00D85327">
        <w:rPr>
          <w:b/>
          <w:bCs/>
        </w:rPr>
        <w:t xml:space="preserve">Evaluation of </w:t>
      </w:r>
      <w:r w:rsidR="00795F12" w:rsidRPr="00E377ED">
        <w:rPr>
          <w:b/>
          <w:bCs/>
        </w:rPr>
        <w:t>Question 2.3.1 (Service Model)</w:t>
      </w:r>
    </w:p>
    <w:p w14:paraId="0A35C1F7" w14:textId="5D10CD5A" w:rsidR="0080773F" w:rsidRPr="0080773F" w:rsidRDefault="0080773F" w:rsidP="00BC66C7">
      <w:pPr>
        <w:pStyle w:val="ListParagraph"/>
        <w:numPr>
          <w:ilvl w:val="0"/>
          <w:numId w:val="1"/>
        </w:numPr>
        <w:contextualSpacing w:val="0"/>
      </w:pPr>
      <w:r w:rsidRPr="0080773F">
        <w:t xml:space="preserve">This section sets out the Panel’s assessment of EPUT’s concerns about </w:t>
      </w:r>
      <w:r w:rsidR="008B52AB">
        <w:t xml:space="preserve">the </w:t>
      </w:r>
      <w:r w:rsidRPr="0080773F">
        <w:t>evaluation of its response to Question 2.3.1 (Service Model).</w:t>
      </w:r>
    </w:p>
    <w:p w14:paraId="2E11A97B" w14:textId="77777777" w:rsidR="00EC4368" w:rsidRPr="00B85BAE" w:rsidRDefault="00EC4368" w:rsidP="00EC4368">
      <w:pPr>
        <w:pStyle w:val="ListParagraph"/>
        <w:numPr>
          <w:ilvl w:val="0"/>
          <w:numId w:val="1"/>
        </w:numPr>
        <w:spacing w:after="120"/>
        <w:contextualSpacing w:val="0"/>
      </w:pPr>
      <w:bookmarkStart w:id="42" w:name="_Ref205882644"/>
      <w:bookmarkStart w:id="43" w:name="_Ref205818312"/>
      <w:r w:rsidRPr="00B85BAE">
        <w:t>By way of background, Question 2.3.1 (Service Model) was as follows:</w:t>
      </w:r>
      <w:bookmarkEnd w:id="42"/>
    </w:p>
    <w:p w14:paraId="769FAE6B" w14:textId="48E67EC8" w:rsidR="00EC4368" w:rsidRPr="00B85BAE" w:rsidRDefault="00EC4368" w:rsidP="00EC4368">
      <w:pPr>
        <w:spacing w:after="120"/>
        <w:ind w:left="851"/>
        <w:rPr>
          <w:sz w:val="21"/>
          <w:szCs w:val="21"/>
        </w:rPr>
      </w:pPr>
      <w:r w:rsidRPr="00B85BAE">
        <w:rPr>
          <w:sz w:val="21"/>
          <w:szCs w:val="21"/>
        </w:rPr>
        <w:t xml:space="preserve">“Please set out your model to deliver a NICE-compliant and clinically safe Talking Therapy and PTSMHP </w:t>
      </w:r>
      <w:r w:rsidR="00CA138A">
        <w:rPr>
          <w:sz w:val="21"/>
          <w:szCs w:val="21"/>
        </w:rPr>
        <w:t xml:space="preserve">[Psychological Therapies for Severe Mental Health Problems] </w:t>
      </w:r>
      <w:r w:rsidRPr="00B85BAE">
        <w:rPr>
          <w:sz w:val="21"/>
          <w:szCs w:val="21"/>
        </w:rPr>
        <w:t>service across MSE, within the maximum financial envelope as outlined in Doc 6. Commercial Offer Template.</w:t>
      </w:r>
    </w:p>
    <w:p w14:paraId="66F33DCC" w14:textId="77777777" w:rsidR="00EC4368" w:rsidRPr="00B85BAE" w:rsidRDefault="00EC4368" w:rsidP="00EC4368">
      <w:pPr>
        <w:spacing w:after="0"/>
        <w:ind w:left="851"/>
        <w:rPr>
          <w:sz w:val="21"/>
          <w:szCs w:val="21"/>
        </w:rPr>
      </w:pPr>
      <w:r>
        <w:rPr>
          <w:sz w:val="21"/>
          <w:szCs w:val="21"/>
        </w:rPr>
        <w:t>“</w:t>
      </w:r>
      <w:r w:rsidRPr="00B85BAE">
        <w:rPr>
          <w:sz w:val="21"/>
          <w:szCs w:val="21"/>
        </w:rPr>
        <w:t>The following must be included in the response:</w:t>
      </w:r>
    </w:p>
    <w:p w14:paraId="1C96AFED" w14:textId="77777777" w:rsidR="00EC4368" w:rsidRPr="00B85BAE" w:rsidRDefault="00EC4368" w:rsidP="0078663E">
      <w:pPr>
        <w:pStyle w:val="ListParagraph"/>
        <w:numPr>
          <w:ilvl w:val="1"/>
          <w:numId w:val="15"/>
        </w:numPr>
        <w:rPr>
          <w:sz w:val="21"/>
          <w:szCs w:val="21"/>
        </w:rPr>
      </w:pPr>
      <w:r w:rsidRPr="00B85BAE">
        <w:rPr>
          <w:sz w:val="21"/>
          <w:szCs w:val="21"/>
        </w:rPr>
        <w:t>How you will approach caseload management to ensure efficiency and effectiveness of the service, including the use of tools and technologies</w:t>
      </w:r>
      <w:r>
        <w:rPr>
          <w:sz w:val="21"/>
          <w:szCs w:val="21"/>
        </w:rPr>
        <w:t>.</w:t>
      </w:r>
    </w:p>
    <w:p w14:paraId="5BE7D164" w14:textId="77777777" w:rsidR="00EC4368" w:rsidRPr="00B85BAE" w:rsidRDefault="00EC4368" w:rsidP="0078663E">
      <w:pPr>
        <w:pStyle w:val="ListParagraph"/>
        <w:numPr>
          <w:ilvl w:val="1"/>
          <w:numId w:val="15"/>
        </w:numPr>
        <w:rPr>
          <w:sz w:val="21"/>
          <w:szCs w:val="21"/>
        </w:rPr>
      </w:pPr>
      <w:r w:rsidRPr="00B85BAE">
        <w:rPr>
          <w:sz w:val="21"/>
          <w:szCs w:val="21"/>
        </w:rPr>
        <w:t>The workforce structure across the ICB Area with specificity noting the alliance subsidiarity (place-based/neighbourhood/are­as) – i</w:t>
      </w:r>
      <w:r>
        <w:rPr>
          <w:sz w:val="21"/>
          <w:szCs w:val="21"/>
        </w:rPr>
        <w:t>.</w:t>
      </w:r>
      <w:r w:rsidRPr="00B85BAE">
        <w:rPr>
          <w:sz w:val="21"/>
          <w:szCs w:val="21"/>
        </w:rPr>
        <w:t>e. Mid Essex, South East Essex, Thurrock, Basildon &amp; Brentwood, PCN and INT footprints evidencing flexibility of the proposed workforce. Please include an organisation chart with adequate detail as an Appendix.</w:t>
      </w:r>
    </w:p>
    <w:p w14:paraId="6758CF4E" w14:textId="77777777" w:rsidR="00EC4368" w:rsidRPr="00B85BAE" w:rsidRDefault="00EC4368" w:rsidP="0078663E">
      <w:pPr>
        <w:pStyle w:val="ListParagraph"/>
        <w:numPr>
          <w:ilvl w:val="1"/>
          <w:numId w:val="15"/>
        </w:numPr>
        <w:rPr>
          <w:sz w:val="21"/>
          <w:szCs w:val="21"/>
        </w:rPr>
      </w:pPr>
      <w:r w:rsidRPr="00B85BAE">
        <w:rPr>
          <w:sz w:val="21"/>
          <w:szCs w:val="21"/>
        </w:rPr>
        <w:t>Your approach to service expansion, i.e</w:t>
      </w:r>
      <w:r>
        <w:rPr>
          <w:sz w:val="21"/>
          <w:szCs w:val="21"/>
        </w:rPr>
        <w:t>.</w:t>
      </w:r>
      <w:r w:rsidRPr="00B85BAE">
        <w:rPr>
          <w:sz w:val="21"/>
          <w:szCs w:val="21"/>
        </w:rPr>
        <w:t xml:space="preserve"> an increase in access targets for those unemployed at the point of referral</w:t>
      </w:r>
      <w:r>
        <w:rPr>
          <w:sz w:val="21"/>
          <w:szCs w:val="21"/>
        </w:rPr>
        <w:t>.</w:t>
      </w:r>
    </w:p>
    <w:p w14:paraId="5515C557" w14:textId="77777777" w:rsidR="00EC4368" w:rsidRPr="00B85BAE" w:rsidRDefault="00EC4368" w:rsidP="0078663E">
      <w:pPr>
        <w:pStyle w:val="ListParagraph"/>
        <w:numPr>
          <w:ilvl w:val="1"/>
          <w:numId w:val="15"/>
        </w:numPr>
        <w:rPr>
          <w:sz w:val="21"/>
          <w:szCs w:val="21"/>
        </w:rPr>
      </w:pPr>
      <w:r w:rsidRPr="00B85BAE">
        <w:rPr>
          <w:sz w:val="21"/>
          <w:szCs w:val="21"/>
        </w:rPr>
        <w:t>Please describe how you will deliver equitable, effective Services in line with the service specification for NHS Talking Therapies and Psychological Therapies for SMHP. How does your approach align with NHS England’s Talking Therapies for Anxiety and Depression and PTSMHP guidance?</w:t>
      </w:r>
    </w:p>
    <w:p w14:paraId="3F408AEC" w14:textId="77777777" w:rsidR="00EC4368" w:rsidRPr="00B85BAE" w:rsidRDefault="00EC4368" w:rsidP="0078663E">
      <w:pPr>
        <w:pStyle w:val="ListParagraph"/>
        <w:numPr>
          <w:ilvl w:val="1"/>
          <w:numId w:val="15"/>
        </w:numPr>
        <w:ind w:left="1434" w:hanging="357"/>
        <w:contextualSpacing w:val="0"/>
        <w:rPr>
          <w:sz w:val="21"/>
          <w:szCs w:val="21"/>
        </w:rPr>
      </w:pPr>
      <w:r w:rsidRPr="00B85BAE">
        <w:rPr>
          <w:sz w:val="21"/>
          <w:szCs w:val="21"/>
        </w:rPr>
        <w:t>How will you ensure timely access to Talking Therapies and PTSMHP, including meeting the referral-to-treatment (RTT) targets?</w:t>
      </w:r>
      <w:r>
        <w:rPr>
          <w:sz w:val="21"/>
          <w:szCs w:val="21"/>
        </w:rPr>
        <w:t>”</w:t>
      </w:r>
    </w:p>
    <w:p w14:paraId="2A1E644A" w14:textId="076E2D57" w:rsidR="00EC4368" w:rsidRDefault="006422A0" w:rsidP="00EC4368">
      <w:pPr>
        <w:pStyle w:val="ListParagraph"/>
        <w:numPr>
          <w:ilvl w:val="0"/>
          <w:numId w:val="1"/>
        </w:numPr>
        <w:contextualSpacing w:val="0"/>
      </w:pPr>
      <w:r>
        <w:t xml:space="preserve">Bidders were asked to respond </w:t>
      </w:r>
      <w:r w:rsidR="000124C0">
        <w:t>within a 2,000 word limit</w:t>
      </w:r>
      <w:r w:rsidR="00E526B8">
        <w:t>, but</w:t>
      </w:r>
      <w:r w:rsidR="00EC4368">
        <w:t xml:space="preserve"> MSE ICB told bidders that “additional attachments to support the written response are permitted and will not count towards the word count”.</w:t>
      </w:r>
      <w:r w:rsidR="00EC4368">
        <w:rPr>
          <w:rStyle w:val="FootnoteReference"/>
        </w:rPr>
        <w:footnoteReference w:id="57"/>
      </w:r>
      <w:r w:rsidR="007719B3">
        <w:t xml:space="preserve"> </w:t>
      </w:r>
      <w:r w:rsidR="007719B3" w:rsidRPr="007719B3">
        <w:t>(The Panel notes that this, in effect, meant that bidders were not subject to any word limit in their response to this question.</w:t>
      </w:r>
      <w:r w:rsidR="007719B3">
        <w:t xml:space="preserve"> This also applies to Questions 2.4.1 and 2.8.1, which are discussed later in this report</w:t>
      </w:r>
      <w:r w:rsidR="007719B3" w:rsidRPr="007719B3">
        <w:t xml:space="preserve">)   </w:t>
      </w:r>
    </w:p>
    <w:p w14:paraId="6AFA3B94" w14:textId="4780D37F" w:rsidR="00EC4368" w:rsidRDefault="00EC4368" w:rsidP="00EC4368">
      <w:pPr>
        <w:pStyle w:val="ListParagraph"/>
        <w:numPr>
          <w:ilvl w:val="0"/>
          <w:numId w:val="1"/>
        </w:numPr>
        <w:contextualSpacing w:val="0"/>
      </w:pPr>
      <w:bookmarkStart w:id="44" w:name="_Ref205806512"/>
      <w:r w:rsidRPr="00F02B2C">
        <w:t>Scoring of responses was on a 0-5 scale as set out in the table below:</w:t>
      </w:r>
      <w:bookmarkEnd w:id="44"/>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17"/>
        <w:gridCol w:w="7699"/>
      </w:tblGrid>
      <w:tr w:rsidR="00596BF8" w:rsidRPr="00F9154E" w14:paraId="30DDE27A" w14:textId="77777777">
        <w:tc>
          <w:tcPr>
            <w:tcW w:w="705" w:type="pct"/>
            <w:shd w:val="clear" w:color="auto" w:fill="D9D9D9" w:themeFill="background1" w:themeFillShade="D9"/>
          </w:tcPr>
          <w:p w14:paraId="1CCC8EA9" w14:textId="77777777" w:rsidR="00596BF8" w:rsidRPr="00F9154E" w:rsidRDefault="00596BF8" w:rsidP="009A7DFE">
            <w:pPr>
              <w:pStyle w:val="ListParagraph"/>
              <w:keepNext/>
              <w:numPr>
                <w:ilvl w:val="0"/>
                <w:numId w:val="0"/>
              </w:numPr>
              <w:spacing w:before="60" w:after="60"/>
              <w:contextualSpacing w:val="0"/>
              <w:jc w:val="center"/>
              <w:rPr>
                <w:b/>
                <w:bCs/>
                <w:sz w:val="18"/>
                <w:szCs w:val="18"/>
              </w:rPr>
            </w:pPr>
            <w:r w:rsidRPr="00F9154E">
              <w:rPr>
                <w:b/>
                <w:bCs/>
                <w:sz w:val="18"/>
                <w:szCs w:val="18"/>
              </w:rPr>
              <w:t>Score</w:t>
            </w:r>
          </w:p>
        </w:tc>
        <w:tc>
          <w:tcPr>
            <w:tcW w:w="4295" w:type="pct"/>
            <w:shd w:val="clear" w:color="auto" w:fill="D9D9D9" w:themeFill="background1" w:themeFillShade="D9"/>
          </w:tcPr>
          <w:p w14:paraId="6E89A077" w14:textId="77777777" w:rsidR="00596BF8" w:rsidRPr="00F9154E" w:rsidRDefault="00596BF8" w:rsidP="009A7DFE">
            <w:pPr>
              <w:pStyle w:val="ListParagraph"/>
              <w:keepNext/>
              <w:numPr>
                <w:ilvl w:val="0"/>
                <w:numId w:val="0"/>
              </w:numPr>
              <w:spacing w:before="60" w:after="60"/>
              <w:contextualSpacing w:val="0"/>
              <w:jc w:val="center"/>
              <w:rPr>
                <w:b/>
                <w:bCs/>
                <w:sz w:val="18"/>
                <w:szCs w:val="18"/>
              </w:rPr>
            </w:pPr>
            <w:r w:rsidRPr="00F9154E">
              <w:rPr>
                <w:b/>
                <w:bCs/>
                <w:sz w:val="18"/>
                <w:szCs w:val="18"/>
              </w:rPr>
              <w:t>Interpretation</w:t>
            </w:r>
          </w:p>
        </w:tc>
      </w:tr>
      <w:tr w:rsidR="00596BF8" w:rsidRPr="00F9154E" w14:paraId="5F8D4D6E" w14:textId="77777777">
        <w:tc>
          <w:tcPr>
            <w:tcW w:w="5000" w:type="pct"/>
            <w:gridSpan w:val="2"/>
          </w:tcPr>
          <w:p w14:paraId="4B4635DD" w14:textId="77777777" w:rsidR="00596BF8" w:rsidRPr="00F9154E" w:rsidRDefault="00596BF8">
            <w:pPr>
              <w:pStyle w:val="ListParagraph"/>
              <w:numPr>
                <w:ilvl w:val="0"/>
                <w:numId w:val="0"/>
              </w:numPr>
              <w:spacing w:before="60" w:after="60"/>
              <w:contextualSpacing w:val="0"/>
              <w:rPr>
                <w:sz w:val="18"/>
                <w:szCs w:val="18"/>
              </w:rPr>
            </w:pPr>
            <w:r w:rsidRPr="00F9154E">
              <w:rPr>
                <w:sz w:val="18"/>
                <w:szCs w:val="18"/>
              </w:rPr>
              <w:t>The Bidder has demonstrated within their response to this question that:</w:t>
            </w:r>
          </w:p>
        </w:tc>
      </w:tr>
      <w:tr w:rsidR="00596BF8" w:rsidRPr="00F9154E" w14:paraId="210E2B47" w14:textId="77777777">
        <w:tc>
          <w:tcPr>
            <w:tcW w:w="705" w:type="pct"/>
            <w:vAlign w:val="center"/>
          </w:tcPr>
          <w:p w14:paraId="4AE04F40" w14:textId="77777777" w:rsidR="00596BF8" w:rsidRDefault="00596BF8">
            <w:pPr>
              <w:pStyle w:val="ListParagraph"/>
              <w:numPr>
                <w:ilvl w:val="0"/>
                <w:numId w:val="0"/>
              </w:numPr>
              <w:spacing w:before="60" w:after="60"/>
              <w:contextualSpacing w:val="0"/>
              <w:jc w:val="center"/>
              <w:rPr>
                <w:sz w:val="18"/>
                <w:szCs w:val="18"/>
              </w:rPr>
            </w:pPr>
            <w:r>
              <w:rPr>
                <w:sz w:val="18"/>
                <w:szCs w:val="18"/>
              </w:rPr>
              <w:t>5</w:t>
            </w:r>
          </w:p>
          <w:p w14:paraId="1A4D1F5F" w14:textId="77777777" w:rsidR="00596BF8" w:rsidRPr="00F9154E" w:rsidRDefault="00596BF8">
            <w:pPr>
              <w:pStyle w:val="ListParagraph"/>
              <w:numPr>
                <w:ilvl w:val="0"/>
                <w:numId w:val="0"/>
              </w:numPr>
              <w:spacing w:before="60" w:after="60"/>
              <w:contextualSpacing w:val="0"/>
              <w:jc w:val="center"/>
              <w:rPr>
                <w:sz w:val="18"/>
                <w:szCs w:val="18"/>
              </w:rPr>
            </w:pPr>
            <w:r>
              <w:rPr>
                <w:sz w:val="18"/>
                <w:szCs w:val="18"/>
              </w:rPr>
              <w:t>Excellent</w:t>
            </w:r>
          </w:p>
        </w:tc>
        <w:tc>
          <w:tcPr>
            <w:tcW w:w="4295" w:type="pct"/>
          </w:tcPr>
          <w:p w14:paraId="1BB9402D" w14:textId="77777777" w:rsidR="00596BF8" w:rsidRDefault="00596BF8">
            <w:pPr>
              <w:pStyle w:val="ListParagraph"/>
              <w:numPr>
                <w:ilvl w:val="0"/>
                <w:numId w:val="0"/>
              </w:numPr>
              <w:spacing w:before="60" w:after="60"/>
              <w:contextualSpacing w:val="0"/>
              <w:rPr>
                <w:sz w:val="18"/>
                <w:szCs w:val="18"/>
              </w:rPr>
            </w:pPr>
            <w:r w:rsidRPr="006B5B42">
              <w:rPr>
                <w:sz w:val="18"/>
                <w:szCs w:val="18"/>
              </w:rPr>
              <w:t>The response fully addresses and meets all of the Requirement</w:t>
            </w:r>
            <w:r>
              <w:rPr>
                <w:rStyle w:val="FootnoteReference"/>
                <w:sz w:val="18"/>
                <w:szCs w:val="18"/>
              </w:rPr>
              <w:footnoteReference w:id="58"/>
            </w:r>
            <w:r w:rsidRPr="006B5B42">
              <w:rPr>
                <w:sz w:val="18"/>
                <w:szCs w:val="18"/>
              </w:rPr>
              <w:t xml:space="preserve"> in a clear and detailed way and provides all of the relevant evidence requested (where evidence was requested by the question).</w:t>
            </w:r>
          </w:p>
          <w:p w14:paraId="2CDFCED2" w14:textId="77777777" w:rsidR="00596BF8" w:rsidRPr="00F9154E" w:rsidRDefault="00596BF8">
            <w:pPr>
              <w:pStyle w:val="ListParagraph"/>
              <w:numPr>
                <w:ilvl w:val="0"/>
                <w:numId w:val="0"/>
              </w:numPr>
              <w:spacing w:before="60" w:after="60"/>
              <w:contextualSpacing w:val="0"/>
              <w:rPr>
                <w:sz w:val="18"/>
                <w:szCs w:val="18"/>
              </w:rPr>
            </w:pPr>
            <w:r w:rsidRPr="006B5B42">
              <w:rPr>
                <w:sz w:val="18"/>
                <w:szCs w:val="18"/>
              </w:rPr>
              <w:lastRenderedPageBreak/>
              <w:t>Therefore, the bidder’s response is excellent. There is no ambiguity as to whether the bidder can meet and deliver the Requirement.</w:t>
            </w:r>
          </w:p>
        </w:tc>
      </w:tr>
      <w:tr w:rsidR="00596BF8" w:rsidRPr="00F9154E" w14:paraId="652451A0" w14:textId="77777777">
        <w:tc>
          <w:tcPr>
            <w:tcW w:w="705" w:type="pct"/>
            <w:vAlign w:val="center"/>
          </w:tcPr>
          <w:p w14:paraId="379F063B" w14:textId="77777777" w:rsidR="00596BF8" w:rsidRDefault="00596BF8">
            <w:pPr>
              <w:pStyle w:val="ListParagraph"/>
              <w:numPr>
                <w:ilvl w:val="0"/>
                <w:numId w:val="0"/>
              </w:numPr>
              <w:spacing w:before="60" w:after="60"/>
              <w:contextualSpacing w:val="0"/>
              <w:jc w:val="center"/>
              <w:rPr>
                <w:sz w:val="18"/>
                <w:szCs w:val="18"/>
              </w:rPr>
            </w:pPr>
            <w:r>
              <w:rPr>
                <w:sz w:val="18"/>
                <w:szCs w:val="18"/>
              </w:rPr>
              <w:lastRenderedPageBreak/>
              <w:t>4</w:t>
            </w:r>
          </w:p>
          <w:p w14:paraId="6ABECB31" w14:textId="77777777" w:rsidR="00596BF8" w:rsidRPr="00F9154E" w:rsidRDefault="00596BF8">
            <w:pPr>
              <w:pStyle w:val="ListParagraph"/>
              <w:numPr>
                <w:ilvl w:val="0"/>
                <w:numId w:val="0"/>
              </w:numPr>
              <w:spacing w:before="60" w:after="60"/>
              <w:contextualSpacing w:val="0"/>
              <w:jc w:val="center"/>
              <w:rPr>
                <w:sz w:val="18"/>
                <w:szCs w:val="18"/>
              </w:rPr>
            </w:pPr>
            <w:r>
              <w:rPr>
                <w:sz w:val="18"/>
                <w:szCs w:val="18"/>
              </w:rPr>
              <w:t>Good</w:t>
            </w:r>
          </w:p>
        </w:tc>
        <w:tc>
          <w:tcPr>
            <w:tcW w:w="4295" w:type="pct"/>
          </w:tcPr>
          <w:p w14:paraId="3485F4C3" w14:textId="710CF0E4" w:rsidR="00596BF8" w:rsidRDefault="00596BF8">
            <w:pPr>
              <w:pStyle w:val="ListParagraph"/>
              <w:numPr>
                <w:ilvl w:val="0"/>
                <w:numId w:val="0"/>
              </w:numPr>
              <w:spacing w:before="60" w:after="60"/>
              <w:contextualSpacing w:val="0"/>
              <w:rPr>
                <w:sz w:val="18"/>
                <w:szCs w:val="18"/>
              </w:rPr>
            </w:pPr>
            <w:r>
              <w:rPr>
                <w:sz w:val="18"/>
                <w:szCs w:val="18"/>
              </w:rPr>
              <w:t>T</w:t>
            </w:r>
            <w:r w:rsidRPr="006B5B42">
              <w:rPr>
                <w:sz w:val="18"/>
                <w:szCs w:val="18"/>
              </w:rPr>
              <w:t>he response addresses and meets all of the Requirement in a clear and detailed way. The response provides all of the relevant evidence requested (where evidence was requested by the question), but the response and/or evidence provided omits some minor detail required by the question.</w:t>
            </w:r>
          </w:p>
          <w:p w14:paraId="120BAE24" w14:textId="77777777" w:rsidR="00596BF8" w:rsidRPr="00F9154E" w:rsidRDefault="00596BF8">
            <w:pPr>
              <w:pStyle w:val="ListParagraph"/>
              <w:numPr>
                <w:ilvl w:val="0"/>
                <w:numId w:val="0"/>
              </w:numPr>
              <w:spacing w:before="60" w:after="60"/>
              <w:contextualSpacing w:val="0"/>
              <w:rPr>
                <w:sz w:val="18"/>
                <w:szCs w:val="18"/>
              </w:rPr>
            </w:pPr>
            <w:r w:rsidRPr="006B5B42">
              <w:rPr>
                <w:sz w:val="18"/>
                <w:szCs w:val="18"/>
              </w:rPr>
              <w:t>Therefore, the bidder’s response is good. There is very little ambiguity as to whether the bidder can meet and deliver the Requirement.</w:t>
            </w:r>
          </w:p>
        </w:tc>
      </w:tr>
      <w:tr w:rsidR="00596BF8" w:rsidRPr="00F9154E" w14:paraId="348DADA1" w14:textId="77777777">
        <w:tc>
          <w:tcPr>
            <w:tcW w:w="705" w:type="pct"/>
            <w:vAlign w:val="center"/>
          </w:tcPr>
          <w:p w14:paraId="3D5C49F5" w14:textId="77777777" w:rsidR="00596BF8" w:rsidRDefault="00596BF8">
            <w:pPr>
              <w:pStyle w:val="ListParagraph"/>
              <w:numPr>
                <w:ilvl w:val="0"/>
                <w:numId w:val="0"/>
              </w:numPr>
              <w:spacing w:before="60" w:after="60"/>
              <w:contextualSpacing w:val="0"/>
              <w:jc w:val="center"/>
              <w:rPr>
                <w:sz w:val="18"/>
                <w:szCs w:val="18"/>
              </w:rPr>
            </w:pPr>
            <w:r>
              <w:rPr>
                <w:sz w:val="18"/>
                <w:szCs w:val="18"/>
              </w:rPr>
              <w:t>3</w:t>
            </w:r>
          </w:p>
          <w:p w14:paraId="188E05E3" w14:textId="77777777" w:rsidR="00596BF8" w:rsidRPr="00F9154E" w:rsidRDefault="00596BF8">
            <w:pPr>
              <w:pStyle w:val="ListParagraph"/>
              <w:numPr>
                <w:ilvl w:val="0"/>
                <w:numId w:val="0"/>
              </w:numPr>
              <w:spacing w:before="60" w:after="60"/>
              <w:contextualSpacing w:val="0"/>
              <w:jc w:val="center"/>
              <w:rPr>
                <w:sz w:val="18"/>
                <w:szCs w:val="18"/>
              </w:rPr>
            </w:pPr>
            <w:r>
              <w:rPr>
                <w:sz w:val="18"/>
                <w:szCs w:val="18"/>
              </w:rPr>
              <w:t>Adequate</w:t>
            </w:r>
          </w:p>
        </w:tc>
        <w:tc>
          <w:tcPr>
            <w:tcW w:w="4295" w:type="pct"/>
          </w:tcPr>
          <w:p w14:paraId="1B848CB1" w14:textId="77777777" w:rsidR="00596BF8" w:rsidRDefault="00596BF8">
            <w:pPr>
              <w:pStyle w:val="ListParagraph"/>
              <w:numPr>
                <w:ilvl w:val="0"/>
                <w:numId w:val="0"/>
              </w:numPr>
              <w:spacing w:before="60" w:after="60"/>
              <w:contextualSpacing w:val="0"/>
              <w:rPr>
                <w:sz w:val="18"/>
                <w:szCs w:val="18"/>
              </w:rPr>
            </w:pPr>
            <w:r>
              <w:rPr>
                <w:sz w:val="18"/>
                <w:szCs w:val="18"/>
              </w:rPr>
              <w:t>T</w:t>
            </w:r>
            <w:r w:rsidRPr="006B5B42">
              <w:rPr>
                <w:sz w:val="18"/>
                <w:szCs w:val="18"/>
              </w:rPr>
              <w:t>he response addresses and meets all of the Requirement. However, the response lacks detail in how all of the Requirement will be met and does not provide all of the relevant evidence requested (where evidence was requested by the question).</w:t>
            </w:r>
          </w:p>
          <w:p w14:paraId="471610C2" w14:textId="77777777" w:rsidR="00596BF8" w:rsidRPr="00F9154E" w:rsidRDefault="00596BF8">
            <w:pPr>
              <w:pStyle w:val="ListParagraph"/>
              <w:numPr>
                <w:ilvl w:val="0"/>
                <w:numId w:val="0"/>
              </w:numPr>
              <w:spacing w:before="60" w:after="60"/>
              <w:contextualSpacing w:val="0"/>
              <w:rPr>
                <w:sz w:val="18"/>
                <w:szCs w:val="18"/>
              </w:rPr>
            </w:pPr>
            <w:r w:rsidRPr="006B5B42">
              <w:rPr>
                <w:sz w:val="18"/>
                <w:szCs w:val="18"/>
              </w:rPr>
              <w:t>Therefore, the bidder’s response is adequate. There is limited ambiguity as to whether the bidder can meet and deliver the Requirement.</w:t>
            </w:r>
          </w:p>
        </w:tc>
      </w:tr>
      <w:tr w:rsidR="00596BF8" w:rsidRPr="00F9154E" w14:paraId="3CA18E55" w14:textId="77777777">
        <w:tc>
          <w:tcPr>
            <w:tcW w:w="705" w:type="pct"/>
            <w:vAlign w:val="center"/>
          </w:tcPr>
          <w:p w14:paraId="3A4ADA72" w14:textId="77777777" w:rsidR="00596BF8" w:rsidRDefault="00596BF8">
            <w:pPr>
              <w:pStyle w:val="ListParagraph"/>
              <w:numPr>
                <w:ilvl w:val="0"/>
                <w:numId w:val="0"/>
              </w:numPr>
              <w:spacing w:before="60" w:after="60"/>
              <w:contextualSpacing w:val="0"/>
              <w:jc w:val="center"/>
              <w:rPr>
                <w:sz w:val="18"/>
                <w:szCs w:val="18"/>
              </w:rPr>
            </w:pPr>
            <w:r>
              <w:rPr>
                <w:sz w:val="18"/>
                <w:szCs w:val="18"/>
              </w:rPr>
              <w:t>2</w:t>
            </w:r>
          </w:p>
          <w:p w14:paraId="64AB22E6" w14:textId="77777777" w:rsidR="00596BF8" w:rsidRPr="00F9154E" w:rsidRDefault="00596BF8">
            <w:pPr>
              <w:pStyle w:val="ListParagraph"/>
              <w:numPr>
                <w:ilvl w:val="0"/>
                <w:numId w:val="0"/>
              </w:numPr>
              <w:spacing w:before="60" w:after="60"/>
              <w:contextualSpacing w:val="0"/>
              <w:jc w:val="center"/>
              <w:rPr>
                <w:sz w:val="18"/>
                <w:szCs w:val="18"/>
              </w:rPr>
            </w:pPr>
            <w:r>
              <w:rPr>
                <w:sz w:val="18"/>
                <w:szCs w:val="18"/>
              </w:rPr>
              <w:t>Poor</w:t>
            </w:r>
          </w:p>
        </w:tc>
        <w:tc>
          <w:tcPr>
            <w:tcW w:w="4295" w:type="pct"/>
          </w:tcPr>
          <w:p w14:paraId="1466C971" w14:textId="24FFB517" w:rsidR="00596BF8" w:rsidRDefault="00596BF8">
            <w:pPr>
              <w:pStyle w:val="ListParagraph"/>
              <w:numPr>
                <w:ilvl w:val="0"/>
                <w:numId w:val="0"/>
              </w:numPr>
              <w:spacing w:before="60" w:after="60"/>
              <w:contextualSpacing w:val="0"/>
              <w:rPr>
                <w:sz w:val="18"/>
                <w:szCs w:val="18"/>
              </w:rPr>
            </w:pPr>
            <w:r w:rsidRPr="006B5B42">
              <w:rPr>
                <w:sz w:val="18"/>
                <w:szCs w:val="18"/>
              </w:rPr>
              <w:t>The response fails in some areas to address and meet the Requirement. The response and/or relevant evidence (where evidence was requested by the question) provided omits some detail required by the question.</w:t>
            </w:r>
          </w:p>
          <w:p w14:paraId="464ABF81" w14:textId="77777777" w:rsidR="00596BF8" w:rsidRPr="00F9154E" w:rsidRDefault="00596BF8">
            <w:pPr>
              <w:pStyle w:val="ListParagraph"/>
              <w:numPr>
                <w:ilvl w:val="0"/>
                <w:numId w:val="0"/>
              </w:numPr>
              <w:spacing w:before="60" w:after="60"/>
              <w:contextualSpacing w:val="0"/>
              <w:rPr>
                <w:sz w:val="18"/>
                <w:szCs w:val="18"/>
              </w:rPr>
            </w:pPr>
            <w:r w:rsidRPr="006B5B42">
              <w:rPr>
                <w:sz w:val="18"/>
                <w:szCs w:val="18"/>
              </w:rPr>
              <w:t>Therefore, the bidder’s response is poor. There is ambiguity as to whether the bidder can meet and deliver the Requirement.</w:t>
            </w:r>
          </w:p>
        </w:tc>
      </w:tr>
      <w:tr w:rsidR="00596BF8" w:rsidRPr="00F9154E" w14:paraId="284E45DB" w14:textId="77777777">
        <w:tc>
          <w:tcPr>
            <w:tcW w:w="705" w:type="pct"/>
            <w:vAlign w:val="center"/>
          </w:tcPr>
          <w:p w14:paraId="1CDE1DE2" w14:textId="77777777" w:rsidR="00596BF8" w:rsidRDefault="00596BF8">
            <w:pPr>
              <w:pStyle w:val="ListParagraph"/>
              <w:numPr>
                <w:ilvl w:val="0"/>
                <w:numId w:val="0"/>
              </w:numPr>
              <w:spacing w:before="60" w:after="60"/>
              <w:contextualSpacing w:val="0"/>
              <w:jc w:val="center"/>
              <w:rPr>
                <w:sz w:val="18"/>
                <w:szCs w:val="18"/>
              </w:rPr>
            </w:pPr>
            <w:r>
              <w:rPr>
                <w:sz w:val="18"/>
                <w:szCs w:val="18"/>
              </w:rPr>
              <w:t>1</w:t>
            </w:r>
          </w:p>
          <w:p w14:paraId="102D3A20" w14:textId="77777777" w:rsidR="00596BF8" w:rsidRPr="00F9154E" w:rsidRDefault="00596BF8">
            <w:pPr>
              <w:pStyle w:val="ListParagraph"/>
              <w:numPr>
                <w:ilvl w:val="0"/>
                <w:numId w:val="0"/>
              </w:numPr>
              <w:spacing w:before="60" w:after="60"/>
              <w:contextualSpacing w:val="0"/>
              <w:jc w:val="center"/>
              <w:rPr>
                <w:sz w:val="18"/>
                <w:szCs w:val="18"/>
              </w:rPr>
            </w:pPr>
            <w:r>
              <w:rPr>
                <w:sz w:val="18"/>
                <w:szCs w:val="18"/>
              </w:rPr>
              <w:t>Unacceptable</w:t>
            </w:r>
          </w:p>
        </w:tc>
        <w:tc>
          <w:tcPr>
            <w:tcW w:w="4295" w:type="pct"/>
          </w:tcPr>
          <w:p w14:paraId="321B9AFE" w14:textId="5348F10D" w:rsidR="00596BF8" w:rsidRDefault="00596BF8">
            <w:pPr>
              <w:pStyle w:val="ListParagraph"/>
              <w:numPr>
                <w:ilvl w:val="0"/>
                <w:numId w:val="0"/>
              </w:numPr>
              <w:spacing w:before="60" w:after="60"/>
              <w:contextualSpacing w:val="0"/>
              <w:rPr>
                <w:sz w:val="18"/>
                <w:szCs w:val="18"/>
              </w:rPr>
            </w:pPr>
            <w:r w:rsidRPr="007A71D9">
              <w:rPr>
                <w:sz w:val="18"/>
                <w:szCs w:val="18"/>
              </w:rPr>
              <w:t>The response fails to address and meet the majority of the Requirement. The response and/or relevant evidence provided (where evidence was requested by the question) omits significant detail required by the question.</w:t>
            </w:r>
          </w:p>
          <w:p w14:paraId="6815D30B" w14:textId="77777777" w:rsidR="00596BF8" w:rsidRPr="00F9154E" w:rsidRDefault="00596BF8">
            <w:pPr>
              <w:pStyle w:val="ListParagraph"/>
              <w:numPr>
                <w:ilvl w:val="0"/>
                <w:numId w:val="0"/>
              </w:numPr>
              <w:spacing w:before="60" w:after="60"/>
              <w:contextualSpacing w:val="0"/>
              <w:rPr>
                <w:sz w:val="18"/>
                <w:szCs w:val="18"/>
              </w:rPr>
            </w:pPr>
            <w:r w:rsidRPr="007A71D9">
              <w:rPr>
                <w:sz w:val="18"/>
                <w:szCs w:val="18"/>
              </w:rPr>
              <w:t>Therefore, the bidder’s response is unacceptable. There is significant ambiguity as to whether the bidder can meet and deliver the Requirement.</w:t>
            </w:r>
          </w:p>
        </w:tc>
      </w:tr>
      <w:tr w:rsidR="00596BF8" w:rsidRPr="00F9154E" w14:paraId="079E682D" w14:textId="77777777">
        <w:tc>
          <w:tcPr>
            <w:tcW w:w="705" w:type="pct"/>
            <w:vAlign w:val="center"/>
          </w:tcPr>
          <w:p w14:paraId="5DDABBDF" w14:textId="77777777" w:rsidR="00596BF8" w:rsidRDefault="00596BF8">
            <w:pPr>
              <w:pStyle w:val="ListParagraph"/>
              <w:numPr>
                <w:ilvl w:val="0"/>
                <w:numId w:val="0"/>
              </w:numPr>
              <w:spacing w:before="60" w:after="60"/>
              <w:contextualSpacing w:val="0"/>
              <w:jc w:val="center"/>
              <w:rPr>
                <w:sz w:val="18"/>
                <w:szCs w:val="18"/>
              </w:rPr>
            </w:pPr>
            <w:r>
              <w:rPr>
                <w:sz w:val="18"/>
                <w:szCs w:val="18"/>
              </w:rPr>
              <w:t>0</w:t>
            </w:r>
          </w:p>
          <w:p w14:paraId="2B6647A2" w14:textId="77777777" w:rsidR="00596BF8" w:rsidRDefault="00596BF8">
            <w:pPr>
              <w:pStyle w:val="ListParagraph"/>
              <w:numPr>
                <w:ilvl w:val="0"/>
                <w:numId w:val="0"/>
              </w:numPr>
              <w:spacing w:before="60" w:after="60"/>
              <w:contextualSpacing w:val="0"/>
              <w:jc w:val="center"/>
              <w:rPr>
                <w:sz w:val="18"/>
                <w:szCs w:val="18"/>
              </w:rPr>
            </w:pPr>
            <w:r>
              <w:rPr>
                <w:sz w:val="18"/>
                <w:szCs w:val="18"/>
              </w:rPr>
              <w:t>No response</w:t>
            </w:r>
          </w:p>
        </w:tc>
        <w:tc>
          <w:tcPr>
            <w:tcW w:w="4295" w:type="pct"/>
          </w:tcPr>
          <w:p w14:paraId="0DD6E1BA" w14:textId="77777777" w:rsidR="00596BF8" w:rsidRPr="00F9154E" w:rsidRDefault="00596BF8">
            <w:pPr>
              <w:spacing w:before="60" w:after="60"/>
              <w:rPr>
                <w:sz w:val="18"/>
                <w:szCs w:val="18"/>
              </w:rPr>
            </w:pPr>
            <w:r w:rsidRPr="007A71D9">
              <w:rPr>
                <w:sz w:val="18"/>
                <w:szCs w:val="18"/>
              </w:rPr>
              <w:t>The bidder has provided no response, or the response that has been provided does not address and meet any aspect of the Requirement.</w:t>
            </w:r>
          </w:p>
        </w:tc>
      </w:tr>
    </w:tbl>
    <w:p w14:paraId="630F4463" w14:textId="77777777" w:rsidR="00EC4368" w:rsidRPr="00F02B2C" w:rsidRDefault="00EC4368" w:rsidP="00596BF8">
      <w:pPr>
        <w:spacing w:before="60" w:after="360" w:line="240" w:lineRule="auto"/>
      </w:pPr>
      <w:r w:rsidRPr="00F50583">
        <w:rPr>
          <w:sz w:val="16"/>
          <w:szCs w:val="16"/>
        </w:rPr>
        <w:t>Source: MSE ICB</w:t>
      </w:r>
      <w:r w:rsidRPr="00FA1A03">
        <w:rPr>
          <w:i/>
          <w:iCs/>
          <w:sz w:val="16"/>
          <w:szCs w:val="16"/>
        </w:rPr>
        <w:t>, Competitive Process Overview Mental Health Core Services</w:t>
      </w:r>
      <w:r w:rsidRPr="00F50583">
        <w:rPr>
          <w:sz w:val="16"/>
          <w:szCs w:val="16"/>
        </w:rPr>
        <w:t>, 3 March 2025</w:t>
      </w:r>
      <w:r>
        <w:t>.</w:t>
      </w:r>
    </w:p>
    <w:p w14:paraId="5BBF7316" w14:textId="734F28AF" w:rsidR="00EC4368" w:rsidRDefault="00EC4368" w:rsidP="00EC4368">
      <w:pPr>
        <w:pStyle w:val="ListParagraph"/>
        <w:numPr>
          <w:ilvl w:val="0"/>
          <w:numId w:val="1"/>
        </w:numPr>
        <w:contextualSpacing w:val="0"/>
      </w:pPr>
      <w:r w:rsidRPr="004F1C97">
        <w:t xml:space="preserve">EPUT was awarded a score of </w:t>
      </w:r>
      <w:r>
        <w:t xml:space="preserve">3 (Adequate) </w:t>
      </w:r>
      <w:r w:rsidRPr="004F1C97">
        <w:t>for its response</w:t>
      </w:r>
      <w:r w:rsidR="00DC5777">
        <w:t xml:space="preserve">, while </w:t>
      </w:r>
      <w:r w:rsidR="00596BF8">
        <w:t xml:space="preserve">Vita </w:t>
      </w:r>
      <w:r w:rsidR="001F6016">
        <w:t xml:space="preserve">Health </w:t>
      </w:r>
      <w:r w:rsidR="00596BF8">
        <w:t>was awarded a score of 4 (Good).</w:t>
      </w:r>
    </w:p>
    <w:p w14:paraId="57C490E3" w14:textId="3BF0699E" w:rsidR="00B04D7D" w:rsidRDefault="00B04D7D" w:rsidP="00BC66C7">
      <w:pPr>
        <w:pStyle w:val="ListParagraph"/>
        <w:numPr>
          <w:ilvl w:val="0"/>
          <w:numId w:val="1"/>
        </w:numPr>
        <w:spacing w:after="120"/>
        <w:contextualSpacing w:val="0"/>
      </w:pPr>
      <w:bookmarkStart w:id="45" w:name="_Ref206752464"/>
      <w:r>
        <w:t>EPUT, in its initial representations to MSE ICB, said that:</w:t>
      </w:r>
      <w:bookmarkEnd w:id="43"/>
      <w:bookmarkEnd w:id="45"/>
    </w:p>
    <w:p w14:paraId="64E97ECE" w14:textId="0D2D5EEE" w:rsidR="000C388D" w:rsidRPr="000D47B8" w:rsidRDefault="000C388D" w:rsidP="000C388D">
      <w:pPr>
        <w:spacing w:after="120"/>
        <w:ind w:left="851"/>
        <w:rPr>
          <w:sz w:val="21"/>
          <w:szCs w:val="21"/>
        </w:rPr>
      </w:pPr>
      <w:r>
        <w:rPr>
          <w:sz w:val="21"/>
          <w:szCs w:val="21"/>
        </w:rPr>
        <w:t>“</w:t>
      </w:r>
      <w:r w:rsidRPr="000C388D">
        <w:rPr>
          <w:sz w:val="21"/>
          <w:szCs w:val="21"/>
        </w:rPr>
        <w:t xml:space="preserve">Question 2.3.1 required bidders to outline their ‘approach to service expansion i.e. an increase in access for those unemployed at the point of referral’. This aligned to the delivery of DWP funded Employment Advisory services, as identified in the response to </w:t>
      </w:r>
      <w:r w:rsidRPr="000D47B8">
        <w:rPr>
          <w:sz w:val="21"/>
          <w:szCs w:val="21"/>
        </w:rPr>
        <w:t>question 10 in the Clarification Log.</w:t>
      </w:r>
    </w:p>
    <w:p w14:paraId="6CB288B7" w14:textId="209F7A33" w:rsidR="000C388D" w:rsidRPr="000C388D" w:rsidRDefault="000C388D" w:rsidP="000C388D">
      <w:pPr>
        <w:spacing w:after="120"/>
        <w:ind w:left="851"/>
        <w:rPr>
          <w:sz w:val="21"/>
          <w:szCs w:val="21"/>
        </w:rPr>
      </w:pPr>
      <w:r w:rsidRPr="000D47B8">
        <w:rPr>
          <w:sz w:val="21"/>
          <w:szCs w:val="21"/>
        </w:rPr>
        <w:t xml:space="preserve">“Further clarification questions were raised to clarify employment advisor posts which were included in TUPE information and whether they were funded through the MSE NHS TT and PT-SMHP contract or through DWP, IPS or other funding streams. It was repeatedly clarified that Employment Advisors were non-recurrently funded by DWP. In response to Clarification Question 51 commissioners </w:t>
      </w:r>
      <w:r w:rsidRPr="000C388D">
        <w:rPr>
          <w:sz w:val="21"/>
          <w:szCs w:val="21"/>
        </w:rPr>
        <w:t>did not provide a written response but did upload revised TUPE data which now excluded employment advisors.</w:t>
      </w:r>
    </w:p>
    <w:p w14:paraId="126E290F" w14:textId="0AC74018" w:rsidR="000C388D" w:rsidRPr="000C388D" w:rsidRDefault="000C388D" w:rsidP="000C388D">
      <w:pPr>
        <w:spacing w:after="120"/>
        <w:ind w:left="851"/>
        <w:rPr>
          <w:sz w:val="21"/>
          <w:szCs w:val="21"/>
        </w:rPr>
      </w:pPr>
      <w:r w:rsidRPr="000C388D">
        <w:rPr>
          <w:sz w:val="21"/>
          <w:szCs w:val="21"/>
        </w:rPr>
        <w:t>“EPUT achieved a score of 3 (Adequate) for question 2.3.1, with one of the reasons for the score awarded being that</w:t>
      </w:r>
      <w:r>
        <w:rPr>
          <w:sz w:val="21"/>
          <w:szCs w:val="21"/>
        </w:rPr>
        <w:t xml:space="preserve"> </w:t>
      </w:r>
      <w:r w:rsidRPr="000C388D">
        <w:rPr>
          <w:sz w:val="21"/>
          <w:szCs w:val="21"/>
        </w:rPr>
        <w:t>‘The evaluation panel noted that this role was described within the response as being within the DWP funding provision and it was unclear to the panel how the Bidder would meet the TT-Manual requirements without the provision of funding from DWP.’</w:t>
      </w:r>
    </w:p>
    <w:p w14:paraId="365E7CB6" w14:textId="30BB14A6" w:rsidR="00B04D7D" w:rsidRPr="002F442A" w:rsidRDefault="000C388D" w:rsidP="0087153D">
      <w:pPr>
        <w:ind w:left="851"/>
        <w:rPr>
          <w:sz w:val="21"/>
          <w:szCs w:val="21"/>
        </w:rPr>
      </w:pPr>
      <w:r w:rsidRPr="000C388D">
        <w:rPr>
          <w:sz w:val="21"/>
          <w:szCs w:val="21"/>
        </w:rPr>
        <w:t xml:space="preserve">“In EPUT’s view, this </w:t>
      </w:r>
      <w:r w:rsidRPr="002F442A">
        <w:rPr>
          <w:sz w:val="21"/>
          <w:szCs w:val="21"/>
        </w:rPr>
        <w:t>reason contradicts the commissioner’s response to the clarification questions and, further, there was no requirement for bidders to set out how they would meet the TT-Manual requirements without the provision of funding from DWP.</w:t>
      </w:r>
      <w:r w:rsidR="00924A02" w:rsidRPr="002F442A">
        <w:rPr>
          <w:sz w:val="21"/>
          <w:szCs w:val="21"/>
        </w:rPr>
        <w:t>”</w:t>
      </w:r>
      <w:r w:rsidR="00BB12D2">
        <w:rPr>
          <w:rStyle w:val="FootnoteReference"/>
          <w:sz w:val="21"/>
          <w:szCs w:val="21"/>
        </w:rPr>
        <w:footnoteReference w:id="59"/>
      </w:r>
    </w:p>
    <w:p w14:paraId="127DCF71" w14:textId="14273293" w:rsidR="007A040F" w:rsidRDefault="007A040F" w:rsidP="0087153D">
      <w:pPr>
        <w:pStyle w:val="ListParagraph"/>
        <w:numPr>
          <w:ilvl w:val="0"/>
          <w:numId w:val="1"/>
        </w:numPr>
        <w:spacing w:after="120"/>
        <w:contextualSpacing w:val="0"/>
      </w:pPr>
      <w:bookmarkStart w:id="46" w:name="_Ref205813418"/>
      <w:r w:rsidRPr="003614C4">
        <w:lastRenderedPageBreak/>
        <w:t xml:space="preserve">MSE ICB, in responding to </w:t>
      </w:r>
      <w:r>
        <w:t>EPUT</w:t>
      </w:r>
      <w:r w:rsidRPr="003614C4">
        <w:t>’s representations</w:t>
      </w:r>
      <w:r>
        <w:t>, reported the findings of its internal review panel, which</w:t>
      </w:r>
      <w:r w:rsidRPr="003614C4">
        <w:t xml:space="preserve"> </w:t>
      </w:r>
      <w:r w:rsidR="00E735B6" w:rsidRPr="0061407C">
        <w:t>included</w:t>
      </w:r>
      <w:bookmarkEnd w:id="46"/>
      <w:r w:rsidR="00814DB0">
        <w:t xml:space="preserve"> the following:</w:t>
      </w:r>
    </w:p>
    <w:p w14:paraId="684953D6" w14:textId="2AC0C937" w:rsidR="006E41D4" w:rsidRPr="006E41D4" w:rsidRDefault="006E41D4" w:rsidP="0087153D">
      <w:pPr>
        <w:spacing w:after="120"/>
        <w:ind w:left="851"/>
        <w:rPr>
          <w:rFonts w:cs="Arial"/>
          <w:sz w:val="21"/>
          <w:szCs w:val="21"/>
          <w:lang w:val="en-US"/>
        </w:rPr>
      </w:pPr>
      <w:r>
        <w:rPr>
          <w:rFonts w:cs="Arial"/>
          <w:sz w:val="21"/>
          <w:szCs w:val="21"/>
          <w:lang w:val="en-US"/>
        </w:rPr>
        <w:t>“MSE ICB</w:t>
      </w:r>
      <w:r w:rsidRPr="006E41D4">
        <w:rPr>
          <w:rFonts w:cs="Arial"/>
          <w:sz w:val="21"/>
          <w:szCs w:val="21"/>
          <w:lang w:val="en-US"/>
        </w:rPr>
        <w:t xml:space="preserve"> asserts that the concerns raised by EPUT (Point 7.1) in this section fail to recognise the entirety of the feedback for both EPUT and the winning tenderers responses to each question, which need to be looked at holistically to understand the overall score awarded</w:t>
      </w:r>
      <w:r w:rsidR="0062718B">
        <w:rPr>
          <w:rFonts w:cs="Arial"/>
          <w:sz w:val="21"/>
          <w:szCs w:val="21"/>
          <w:lang w:val="en-US"/>
        </w:rPr>
        <w:t xml:space="preserve"> …</w:t>
      </w:r>
    </w:p>
    <w:p w14:paraId="0B0BC873" w14:textId="4D56EF8A" w:rsidR="006E41D4" w:rsidRPr="006E41D4" w:rsidRDefault="006E41D4" w:rsidP="0087153D">
      <w:pPr>
        <w:spacing w:after="120"/>
        <w:ind w:left="851"/>
        <w:rPr>
          <w:rFonts w:cs="Arial"/>
          <w:sz w:val="21"/>
          <w:szCs w:val="21"/>
          <w:lang w:val="en-US"/>
        </w:rPr>
      </w:pPr>
      <w:r>
        <w:rPr>
          <w:rFonts w:cs="Arial"/>
          <w:sz w:val="21"/>
          <w:szCs w:val="21"/>
          <w:lang w:val="en-US"/>
        </w:rPr>
        <w:t>“MSE ICB</w:t>
      </w:r>
      <w:r w:rsidRPr="006E41D4">
        <w:rPr>
          <w:rFonts w:cs="Arial"/>
          <w:sz w:val="21"/>
          <w:szCs w:val="21"/>
          <w:lang w:val="en-US"/>
        </w:rPr>
        <w:t xml:space="preserve"> asserts that orphaning one or two elements from the whole evaluation and moderation assessment and final narrative as published transparently in detailed 37</w:t>
      </w:r>
      <w:r w:rsidR="006C10AD">
        <w:rPr>
          <w:rFonts w:cs="Arial"/>
          <w:sz w:val="21"/>
          <w:szCs w:val="21"/>
          <w:lang w:val="en-US"/>
        </w:rPr>
        <w:t> </w:t>
      </w:r>
      <w:r w:rsidRPr="006E41D4">
        <w:rPr>
          <w:rFonts w:cs="Arial"/>
          <w:sz w:val="21"/>
          <w:szCs w:val="21"/>
          <w:lang w:val="en-US"/>
        </w:rPr>
        <w:t xml:space="preserve">Page Document (Outcome Letter) issued to EPUT by </w:t>
      </w:r>
      <w:r>
        <w:rPr>
          <w:rFonts w:cs="Arial"/>
          <w:sz w:val="21"/>
          <w:szCs w:val="21"/>
          <w:lang w:val="en-US"/>
        </w:rPr>
        <w:t>MSE ICB</w:t>
      </w:r>
      <w:r w:rsidRPr="006E41D4">
        <w:rPr>
          <w:rFonts w:cs="Arial"/>
          <w:sz w:val="21"/>
          <w:szCs w:val="21"/>
          <w:lang w:val="en-US"/>
        </w:rPr>
        <w:t xml:space="preserve"> only serves to skew the evaluation methodology</w:t>
      </w:r>
      <w:r w:rsidR="0062718B">
        <w:rPr>
          <w:rFonts w:cs="Arial"/>
          <w:sz w:val="21"/>
          <w:szCs w:val="21"/>
          <w:lang w:val="en-US"/>
        </w:rPr>
        <w:t xml:space="preserve"> …</w:t>
      </w:r>
    </w:p>
    <w:p w14:paraId="5F80FAC0" w14:textId="58CE3AD1" w:rsidR="006E41D4" w:rsidRDefault="006E41D4" w:rsidP="0087153D">
      <w:pPr>
        <w:spacing w:after="120"/>
        <w:ind w:left="851"/>
        <w:rPr>
          <w:rFonts w:cs="Arial"/>
          <w:sz w:val="21"/>
          <w:szCs w:val="21"/>
          <w:lang w:val="en-US"/>
        </w:rPr>
      </w:pPr>
      <w:r>
        <w:rPr>
          <w:rFonts w:cs="Arial"/>
          <w:sz w:val="21"/>
          <w:szCs w:val="21"/>
          <w:lang w:val="en-US"/>
        </w:rPr>
        <w:t>“</w:t>
      </w:r>
      <w:r w:rsidR="0061407C">
        <w:rPr>
          <w:rFonts w:cs="Arial"/>
          <w:sz w:val="21"/>
          <w:szCs w:val="21"/>
          <w:lang w:val="en-US"/>
        </w:rPr>
        <w:t>MSE ICB</w:t>
      </w:r>
      <w:r w:rsidRPr="006E41D4">
        <w:rPr>
          <w:rFonts w:cs="Arial"/>
          <w:sz w:val="21"/>
          <w:szCs w:val="21"/>
          <w:lang w:val="en-US"/>
        </w:rPr>
        <w:t xml:space="preserve"> asserts that the bid response for 2.3.1 was evaluated wholly, not by each bullet point alone</w:t>
      </w:r>
      <w:r w:rsidR="0062718B">
        <w:rPr>
          <w:rFonts w:cs="Arial"/>
          <w:sz w:val="21"/>
          <w:szCs w:val="21"/>
          <w:lang w:val="en-US"/>
        </w:rPr>
        <w:t xml:space="preserve"> …</w:t>
      </w:r>
    </w:p>
    <w:p w14:paraId="7453A830" w14:textId="7494EC88" w:rsidR="007A040F" w:rsidRPr="006E41D4" w:rsidRDefault="007D1CF7" w:rsidP="0087153D">
      <w:pPr>
        <w:ind w:left="851"/>
        <w:rPr>
          <w:rFonts w:cs="Arial"/>
          <w:sz w:val="21"/>
          <w:szCs w:val="21"/>
        </w:rPr>
      </w:pPr>
      <w:r w:rsidRPr="3EDD2DEC">
        <w:rPr>
          <w:rFonts w:cs="Arial"/>
          <w:sz w:val="21"/>
          <w:szCs w:val="21"/>
        </w:rPr>
        <w:t>“</w:t>
      </w:r>
      <w:r w:rsidR="00074479" w:rsidRPr="3EDD2DEC">
        <w:rPr>
          <w:rFonts w:cs="Arial"/>
          <w:sz w:val="21"/>
          <w:szCs w:val="21"/>
        </w:rPr>
        <w:t>MSE ICB’s internal review</w:t>
      </w:r>
      <w:r w:rsidR="001F3440" w:rsidRPr="3EDD2DEC">
        <w:rPr>
          <w:rFonts w:cs="Arial"/>
          <w:sz w:val="21"/>
          <w:szCs w:val="21"/>
        </w:rPr>
        <w:t xml:space="preserve"> p</w:t>
      </w:r>
      <w:r w:rsidRPr="3EDD2DEC">
        <w:rPr>
          <w:rFonts w:cs="Arial"/>
          <w:sz w:val="21"/>
          <w:szCs w:val="21"/>
        </w:rPr>
        <w:t>anel found that in broad terms, the assertions made by EPUT were opinions as to the moderation narrative and score that EPUT considers it and/or winning tenderer ought to have been awarded by MSE ICB’s evaluation panel of Subject Matter Experts. In the absence of manifest error and/or a breach of one or more of the procurement principles (such as transparency or equal treatment), the</w:t>
      </w:r>
      <w:r w:rsidR="00F92479" w:rsidRPr="3EDD2DEC">
        <w:rPr>
          <w:rFonts w:cs="Arial"/>
          <w:sz w:val="21"/>
          <w:szCs w:val="21"/>
        </w:rPr>
        <w:t xml:space="preserve"> [internal review]</w:t>
      </w:r>
      <w:r w:rsidRPr="3EDD2DEC">
        <w:rPr>
          <w:rFonts w:cs="Arial"/>
          <w:sz w:val="21"/>
          <w:szCs w:val="21"/>
        </w:rPr>
        <w:t xml:space="preserve"> </w:t>
      </w:r>
      <w:r w:rsidR="00742254">
        <w:rPr>
          <w:rFonts w:cs="Arial"/>
          <w:sz w:val="21"/>
          <w:szCs w:val="21"/>
        </w:rPr>
        <w:t>p</w:t>
      </w:r>
      <w:r w:rsidRPr="3EDD2DEC">
        <w:rPr>
          <w:rFonts w:cs="Arial"/>
          <w:sz w:val="21"/>
          <w:szCs w:val="21"/>
        </w:rPr>
        <w:t>anel found that it would not intervene with matters of judgment which are the preserve of MSE ICB</w:t>
      </w:r>
      <w:r w:rsidR="000026CF" w:rsidRPr="3EDD2DEC">
        <w:rPr>
          <w:rFonts w:cs="Arial"/>
          <w:sz w:val="21"/>
          <w:szCs w:val="21"/>
        </w:rPr>
        <w:t>.”</w:t>
      </w:r>
      <w:r w:rsidR="00385C96" w:rsidRPr="3EDD2DEC">
        <w:rPr>
          <w:rStyle w:val="FootnoteReference"/>
          <w:rFonts w:cs="Arial"/>
          <w:sz w:val="21"/>
          <w:szCs w:val="21"/>
        </w:rPr>
        <w:footnoteReference w:id="60"/>
      </w:r>
    </w:p>
    <w:p w14:paraId="6C6ADC41" w14:textId="77777777" w:rsidR="00AC61DF" w:rsidRDefault="00AC61DF" w:rsidP="003B0072">
      <w:pPr>
        <w:pStyle w:val="ListParagraph"/>
        <w:numPr>
          <w:ilvl w:val="0"/>
          <w:numId w:val="1"/>
        </w:numPr>
        <w:spacing w:after="120"/>
        <w:contextualSpacing w:val="0"/>
      </w:pPr>
      <w:bookmarkStart w:id="47" w:name="_Ref206683815"/>
      <w:r w:rsidRPr="0080773F">
        <w:t>EPUT, in its representations to the Panel, said:</w:t>
      </w:r>
      <w:bookmarkEnd w:id="47"/>
    </w:p>
    <w:p w14:paraId="5A90A851" w14:textId="53922C63" w:rsidR="00AC61DF" w:rsidRPr="00D536AB" w:rsidRDefault="00AC61DF" w:rsidP="003B0072">
      <w:pPr>
        <w:spacing w:after="120"/>
        <w:ind w:left="851"/>
        <w:rPr>
          <w:sz w:val="21"/>
          <w:szCs w:val="21"/>
        </w:rPr>
      </w:pPr>
      <w:r>
        <w:rPr>
          <w:sz w:val="21"/>
          <w:szCs w:val="21"/>
        </w:rPr>
        <w:t>“MSE</w:t>
      </w:r>
      <w:r w:rsidRPr="00AE183D">
        <w:rPr>
          <w:sz w:val="21"/>
          <w:szCs w:val="21"/>
        </w:rPr>
        <w:t xml:space="preserve"> </w:t>
      </w:r>
      <w:r>
        <w:rPr>
          <w:sz w:val="21"/>
          <w:szCs w:val="21"/>
        </w:rPr>
        <w:t>ICB’s</w:t>
      </w:r>
      <w:r w:rsidRPr="00AE183D">
        <w:rPr>
          <w:sz w:val="21"/>
          <w:szCs w:val="21"/>
        </w:rPr>
        <w:t xml:space="preserve"> internal </w:t>
      </w:r>
      <w:r w:rsidR="00DF530F">
        <w:rPr>
          <w:sz w:val="21"/>
          <w:szCs w:val="21"/>
        </w:rPr>
        <w:t xml:space="preserve">review </w:t>
      </w:r>
      <w:r w:rsidRPr="00AE183D">
        <w:rPr>
          <w:sz w:val="21"/>
          <w:szCs w:val="21"/>
        </w:rPr>
        <w:t xml:space="preserve">panel’s findings on this representation repeatedly refer to the </w:t>
      </w:r>
      <w:r>
        <w:rPr>
          <w:sz w:val="21"/>
          <w:szCs w:val="21"/>
        </w:rPr>
        <w:t>ICB</w:t>
      </w:r>
      <w:r w:rsidRPr="00AE183D">
        <w:rPr>
          <w:sz w:val="21"/>
          <w:szCs w:val="21"/>
        </w:rPr>
        <w:t xml:space="preserve"> making various assertions, and </w:t>
      </w:r>
      <w:r w:rsidRPr="00D536AB">
        <w:rPr>
          <w:sz w:val="21"/>
          <w:szCs w:val="21"/>
        </w:rPr>
        <w:t xml:space="preserve">we do not see any evidence that in considering our representation the internal </w:t>
      </w:r>
      <w:r w:rsidR="00DF530F">
        <w:rPr>
          <w:sz w:val="21"/>
          <w:szCs w:val="21"/>
        </w:rPr>
        <w:t xml:space="preserve">review </w:t>
      </w:r>
      <w:r w:rsidRPr="00D536AB">
        <w:rPr>
          <w:sz w:val="21"/>
          <w:szCs w:val="21"/>
        </w:rPr>
        <w:t>panel has properly addressed itself to the question of whether the evaluators have failed to correctly apply the evaluation criteria when evaluating our response to question 2.3.1 and/or evaluated the responses inconsistently.</w:t>
      </w:r>
    </w:p>
    <w:p w14:paraId="7A960B41" w14:textId="234B5822" w:rsidR="00AC61DF" w:rsidRPr="002E27B3" w:rsidRDefault="00AC61DF" w:rsidP="003B0072">
      <w:pPr>
        <w:spacing w:after="120"/>
        <w:ind w:left="851"/>
        <w:rPr>
          <w:sz w:val="21"/>
          <w:szCs w:val="21"/>
        </w:rPr>
      </w:pPr>
      <w:r>
        <w:rPr>
          <w:sz w:val="21"/>
          <w:szCs w:val="21"/>
        </w:rPr>
        <w:t>“</w:t>
      </w:r>
      <w:r w:rsidRPr="00AE183D">
        <w:rPr>
          <w:sz w:val="21"/>
          <w:szCs w:val="21"/>
        </w:rPr>
        <w:t xml:space="preserve">In light of the moderation minutes provided by </w:t>
      </w:r>
      <w:r>
        <w:rPr>
          <w:sz w:val="21"/>
          <w:szCs w:val="21"/>
        </w:rPr>
        <w:t xml:space="preserve">MSE ICB </w:t>
      </w:r>
      <w:r w:rsidRPr="00AE183D">
        <w:rPr>
          <w:sz w:val="21"/>
          <w:szCs w:val="21"/>
        </w:rPr>
        <w:t xml:space="preserve">after conclusion of its review, we have additional concerns. We note that Evaluator 3 moved from a 4 to a 3 on the basis that our response ‘lacked relevant evidence and detail’. Question 2.3.1 asked bidders to set out their model and provide descriptions of how aspects would be delivered in a limited word count, without any request for ‘evidence’. We consider that </w:t>
      </w:r>
      <w:r>
        <w:rPr>
          <w:sz w:val="21"/>
          <w:szCs w:val="21"/>
        </w:rPr>
        <w:t>MSE ICB</w:t>
      </w:r>
      <w:r w:rsidRPr="00AE183D">
        <w:rPr>
          <w:sz w:val="21"/>
          <w:szCs w:val="21"/>
        </w:rPr>
        <w:t xml:space="preserve"> has not followed its own process (notwithstanding its assertions regarding the moderation process reported by its internal </w:t>
      </w:r>
      <w:r w:rsidR="00546D32">
        <w:rPr>
          <w:sz w:val="21"/>
          <w:szCs w:val="21"/>
        </w:rPr>
        <w:t xml:space="preserve">review </w:t>
      </w:r>
      <w:r w:rsidRPr="00AE183D">
        <w:rPr>
          <w:sz w:val="21"/>
          <w:szCs w:val="21"/>
        </w:rPr>
        <w:t xml:space="preserve">panel) and we believe that the </w:t>
      </w:r>
      <w:r w:rsidRPr="002E27B3">
        <w:rPr>
          <w:sz w:val="21"/>
          <w:szCs w:val="21"/>
        </w:rPr>
        <w:t>absence of 1 of the 4 evaluators might have altered the discussion taking place at the moderation meeting.</w:t>
      </w:r>
    </w:p>
    <w:p w14:paraId="693AC907" w14:textId="77777777" w:rsidR="00AC61DF" w:rsidRPr="002E27B3" w:rsidRDefault="00AC61DF" w:rsidP="003B0072">
      <w:pPr>
        <w:spacing w:after="120"/>
        <w:ind w:left="851"/>
        <w:rPr>
          <w:sz w:val="21"/>
          <w:szCs w:val="21"/>
        </w:rPr>
      </w:pPr>
      <w:r w:rsidRPr="002E27B3">
        <w:rPr>
          <w:sz w:val="21"/>
          <w:szCs w:val="21"/>
        </w:rPr>
        <w:t>“We believe that the likelihood of the evaluators not applying the evaluation criteria correctly is likely to have been exacerbated by the standard scoring matrix in Table D in Doc 1 – Competitive Process Overview which, in our view, is not sufficiently clear and could lead to evaluators subjectively deciding whether a bid is ‘Good’, ‘Average’ or ‘Poor’.</w:t>
      </w:r>
    </w:p>
    <w:p w14:paraId="0F3EFAAC" w14:textId="77777777" w:rsidR="00AC61DF" w:rsidRPr="002E27B3" w:rsidRDefault="00AC61DF" w:rsidP="003B0072">
      <w:pPr>
        <w:spacing w:after="120"/>
        <w:ind w:left="851"/>
        <w:rPr>
          <w:sz w:val="21"/>
          <w:szCs w:val="21"/>
        </w:rPr>
      </w:pPr>
      <w:r w:rsidRPr="002E27B3">
        <w:rPr>
          <w:sz w:val="21"/>
          <w:szCs w:val="21"/>
        </w:rPr>
        <w:t>“We also consider that the complicated calculation of ‘raw’ weightings and ‘total’ weightings as described in Table C in Doc 1 – Competitive Process Overview (where the individually listed example percentages in the table for 2.3.1, 2.4.1 and 2.5.1 do not add up to the example subtotal ‘raw’ and total weighting figures stated in that table) could have led to issues in calculating scores.</w:t>
      </w:r>
    </w:p>
    <w:p w14:paraId="7E2345E3" w14:textId="355BE788" w:rsidR="00AC61DF" w:rsidRPr="00AE183D" w:rsidRDefault="00AC61DF" w:rsidP="00AC61DF">
      <w:pPr>
        <w:ind w:left="851"/>
        <w:rPr>
          <w:sz w:val="21"/>
          <w:szCs w:val="21"/>
        </w:rPr>
      </w:pPr>
      <w:r w:rsidRPr="002E27B3">
        <w:rPr>
          <w:sz w:val="21"/>
          <w:szCs w:val="21"/>
        </w:rPr>
        <w:lastRenderedPageBreak/>
        <w:t xml:space="preserve">“We remain of the view that the evaluators have not correctly applied the published evaluation criteria when assessing our response and/or have evaluated the responses from EPUT and Vita inconsistently and believe that </w:t>
      </w:r>
      <w:r w:rsidR="00174080">
        <w:rPr>
          <w:sz w:val="21"/>
          <w:szCs w:val="21"/>
        </w:rPr>
        <w:t>MSE ICB</w:t>
      </w:r>
      <w:r w:rsidRPr="002E27B3">
        <w:rPr>
          <w:sz w:val="21"/>
          <w:szCs w:val="21"/>
        </w:rPr>
        <w:t xml:space="preserve"> </w:t>
      </w:r>
      <w:r w:rsidRPr="00AE183D">
        <w:rPr>
          <w:sz w:val="21"/>
          <w:szCs w:val="21"/>
        </w:rPr>
        <w:t>has breached regulation 4 and regulation 11(5) of the PSR</w:t>
      </w:r>
      <w:r>
        <w:rPr>
          <w:sz w:val="21"/>
          <w:szCs w:val="21"/>
        </w:rPr>
        <w:t xml:space="preserve">” (see paragraph </w:t>
      </w:r>
      <w:r>
        <w:rPr>
          <w:sz w:val="21"/>
          <w:szCs w:val="21"/>
        </w:rPr>
        <w:fldChar w:fldCharType="begin"/>
      </w:r>
      <w:r>
        <w:rPr>
          <w:sz w:val="21"/>
          <w:szCs w:val="21"/>
        </w:rPr>
        <w:instrText xml:space="preserve"> REF _Ref204603816 \r \h </w:instrText>
      </w:r>
      <w:r>
        <w:rPr>
          <w:sz w:val="21"/>
          <w:szCs w:val="21"/>
        </w:rPr>
      </w:r>
      <w:r>
        <w:rPr>
          <w:sz w:val="21"/>
          <w:szCs w:val="21"/>
        </w:rPr>
        <w:fldChar w:fldCharType="separate"/>
      </w:r>
      <w:r w:rsidR="00437D90">
        <w:rPr>
          <w:sz w:val="21"/>
          <w:szCs w:val="21"/>
        </w:rPr>
        <w:t>50</w:t>
      </w:r>
      <w:r>
        <w:rPr>
          <w:sz w:val="21"/>
          <w:szCs w:val="21"/>
        </w:rPr>
        <w:fldChar w:fldCharType="end"/>
      </w:r>
      <w:r>
        <w:rPr>
          <w:sz w:val="21"/>
          <w:szCs w:val="21"/>
        </w:rPr>
        <w:t>)</w:t>
      </w:r>
      <w:r w:rsidRPr="00AE183D">
        <w:rPr>
          <w:sz w:val="21"/>
          <w:szCs w:val="21"/>
        </w:rPr>
        <w:t>.</w:t>
      </w:r>
    </w:p>
    <w:p w14:paraId="6BD08A00" w14:textId="77777777" w:rsidR="00351963" w:rsidRDefault="00286B04" w:rsidP="00205FD6">
      <w:pPr>
        <w:pStyle w:val="ListParagraph"/>
        <w:numPr>
          <w:ilvl w:val="0"/>
          <w:numId w:val="1"/>
        </w:numPr>
        <w:spacing w:after="0" w:line="276" w:lineRule="auto"/>
        <w:contextualSpacing w:val="0"/>
      </w:pPr>
      <w:bookmarkStart w:id="48" w:name="_Ref206770504"/>
      <w:r w:rsidRPr="00463ACA">
        <w:t xml:space="preserve">The </w:t>
      </w:r>
      <w:bookmarkStart w:id="49" w:name="_Ref205207874"/>
      <w:r w:rsidR="0080773F" w:rsidRPr="0080773F">
        <w:t>Panel</w:t>
      </w:r>
      <w:bookmarkEnd w:id="49"/>
      <w:r w:rsidR="00D32DE5" w:rsidRPr="00463ACA">
        <w:t xml:space="preserve"> </w:t>
      </w:r>
      <w:r w:rsidR="00AB0046">
        <w:t xml:space="preserve">in assessing EPUT’s concerns about the evaluation and scoring of its response to </w:t>
      </w:r>
      <w:r w:rsidR="0086415C" w:rsidRPr="00463ACA">
        <w:t>Question 2.3.1</w:t>
      </w:r>
      <w:r w:rsidR="00351963">
        <w:t xml:space="preserve"> considered the following issues:</w:t>
      </w:r>
      <w:bookmarkEnd w:id="48"/>
    </w:p>
    <w:p w14:paraId="4380F39B" w14:textId="1FDEA2ED" w:rsidR="00351963" w:rsidRDefault="00753A45" w:rsidP="006C38A9">
      <w:pPr>
        <w:pStyle w:val="ListParagraph"/>
        <w:numPr>
          <w:ilvl w:val="0"/>
          <w:numId w:val="21"/>
        </w:numPr>
        <w:spacing w:after="0" w:line="276" w:lineRule="auto"/>
        <w:contextualSpacing w:val="0"/>
      </w:pPr>
      <w:r>
        <w:t xml:space="preserve">clarity of the </w:t>
      </w:r>
      <w:r w:rsidR="00F00572" w:rsidRPr="00463ACA">
        <w:t>scoring matrix</w:t>
      </w:r>
      <w:r w:rsidR="00C671BC">
        <w:t>;</w:t>
      </w:r>
    </w:p>
    <w:p w14:paraId="783A879A" w14:textId="7EB91F98" w:rsidR="00351963" w:rsidRDefault="009F6649" w:rsidP="006C38A9">
      <w:pPr>
        <w:pStyle w:val="ListParagraph"/>
        <w:numPr>
          <w:ilvl w:val="0"/>
          <w:numId w:val="21"/>
        </w:numPr>
        <w:spacing w:after="0" w:line="276" w:lineRule="auto"/>
        <w:contextualSpacing w:val="0"/>
      </w:pPr>
      <w:r>
        <w:t xml:space="preserve">whether </w:t>
      </w:r>
      <w:r w:rsidR="00F00572" w:rsidRPr="00463ACA">
        <w:t>evaluators</w:t>
      </w:r>
      <w:r w:rsidR="000351CC" w:rsidRPr="00463ACA">
        <w:t xml:space="preserve"> </w:t>
      </w:r>
      <w:r w:rsidR="00E363D1" w:rsidRPr="00463ACA">
        <w:t>incorrect</w:t>
      </w:r>
      <w:r w:rsidR="000351CC" w:rsidRPr="00463ACA">
        <w:t>ly</w:t>
      </w:r>
      <w:r w:rsidR="0060094B" w:rsidRPr="00463ACA">
        <w:t xml:space="preserve"> and/</w:t>
      </w:r>
      <w:r w:rsidR="00E363D1" w:rsidRPr="00463ACA">
        <w:t xml:space="preserve">or </w:t>
      </w:r>
      <w:r w:rsidR="00C40F25" w:rsidRPr="00463ACA">
        <w:t>inconsistent</w:t>
      </w:r>
      <w:r w:rsidR="000351CC" w:rsidRPr="00463ACA">
        <w:t xml:space="preserve">ly applied the </w:t>
      </w:r>
      <w:r w:rsidR="00E363D1" w:rsidRPr="00463ACA">
        <w:t>scoring</w:t>
      </w:r>
      <w:r w:rsidR="00D97C40" w:rsidRPr="00463ACA">
        <w:t xml:space="preserve"> </w:t>
      </w:r>
      <w:r w:rsidR="0060094B" w:rsidRPr="00463ACA">
        <w:t>criteria</w:t>
      </w:r>
      <w:r w:rsidR="00F00572" w:rsidRPr="00463ACA">
        <w:t xml:space="preserve"> </w:t>
      </w:r>
      <w:r w:rsidR="005B6D33" w:rsidRPr="00A975C5">
        <w:t>given</w:t>
      </w:r>
      <w:r w:rsidR="0060094B" w:rsidRPr="00A975C5">
        <w:t xml:space="preserve"> </w:t>
      </w:r>
      <w:r w:rsidR="004365E2" w:rsidRPr="005B6D33">
        <w:t>MSE ICB</w:t>
      </w:r>
      <w:r w:rsidR="00FE6C9B" w:rsidRPr="005B6D33">
        <w:t xml:space="preserve">’s responses to </w:t>
      </w:r>
      <w:r w:rsidR="00927DF9" w:rsidRPr="005B6D33">
        <w:t>CQs</w:t>
      </w:r>
      <w:r w:rsidR="00125ABE" w:rsidRPr="005B6D33">
        <w:t>;</w:t>
      </w:r>
    </w:p>
    <w:p w14:paraId="6BF4D60F" w14:textId="3955F833" w:rsidR="00351963" w:rsidRDefault="00125ABE" w:rsidP="006C38A9">
      <w:pPr>
        <w:pStyle w:val="ListParagraph"/>
        <w:numPr>
          <w:ilvl w:val="0"/>
          <w:numId w:val="21"/>
        </w:numPr>
        <w:spacing w:after="0" w:line="276" w:lineRule="auto"/>
        <w:contextualSpacing w:val="0"/>
      </w:pPr>
      <w:r w:rsidRPr="00463ACA">
        <w:t xml:space="preserve">the </w:t>
      </w:r>
      <w:r w:rsidR="00856479" w:rsidRPr="00463ACA">
        <w:t xml:space="preserve">absence of </w:t>
      </w:r>
      <w:r w:rsidRPr="00463ACA">
        <w:t xml:space="preserve">an </w:t>
      </w:r>
      <w:r w:rsidR="00856479" w:rsidRPr="00463ACA">
        <w:t>evaluator during moderation</w:t>
      </w:r>
      <w:r w:rsidRPr="00463ACA">
        <w:t>; and</w:t>
      </w:r>
    </w:p>
    <w:p w14:paraId="754586A6" w14:textId="774D0726" w:rsidR="004D5127" w:rsidRPr="00463ACA" w:rsidRDefault="006D6269" w:rsidP="006C38A9">
      <w:pPr>
        <w:pStyle w:val="ListParagraph"/>
        <w:numPr>
          <w:ilvl w:val="0"/>
          <w:numId w:val="21"/>
        </w:numPr>
        <w:spacing w:line="276" w:lineRule="auto"/>
        <w:ind w:left="1349" w:hanging="357"/>
        <w:contextualSpacing w:val="0"/>
      </w:pPr>
      <w:r w:rsidRPr="00463ACA">
        <w:t>issues</w:t>
      </w:r>
      <w:r w:rsidR="00463ACA" w:rsidRPr="00463ACA">
        <w:t xml:space="preserve"> </w:t>
      </w:r>
      <w:r w:rsidRPr="00463ACA">
        <w:t xml:space="preserve">in </w:t>
      </w:r>
      <w:r w:rsidR="00463ACA" w:rsidRPr="00463ACA">
        <w:t xml:space="preserve">calculating </w:t>
      </w:r>
      <w:r w:rsidRPr="00463ACA">
        <w:t>scores</w:t>
      </w:r>
      <w:r w:rsidR="00C40F25" w:rsidRPr="00463ACA">
        <w:t>.</w:t>
      </w:r>
    </w:p>
    <w:p w14:paraId="27D47871" w14:textId="1A239706" w:rsidR="002D1ECE" w:rsidRPr="002D1ECE" w:rsidRDefault="00C45F74" w:rsidP="00F00B4B">
      <w:pPr>
        <w:keepNext/>
        <w:spacing w:before="240"/>
        <w:rPr>
          <w:b/>
          <w:bCs/>
        </w:rPr>
      </w:pPr>
      <w:r>
        <w:rPr>
          <w:b/>
          <w:bCs/>
        </w:rPr>
        <w:t>Clarity of t</w:t>
      </w:r>
      <w:r w:rsidR="002D1ECE" w:rsidRPr="002D1ECE">
        <w:rPr>
          <w:b/>
          <w:bCs/>
        </w:rPr>
        <w:t>he scoring matrix</w:t>
      </w:r>
    </w:p>
    <w:p w14:paraId="4C4C7438" w14:textId="01603BD0" w:rsidR="00C5549C" w:rsidRDefault="00185303">
      <w:pPr>
        <w:pStyle w:val="ListParagraph"/>
        <w:numPr>
          <w:ilvl w:val="0"/>
          <w:numId w:val="1"/>
        </w:numPr>
        <w:spacing w:line="276" w:lineRule="auto"/>
        <w:contextualSpacing w:val="0"/>
      </w:pPr>
      <w:bookmarkStart w:id="50" w:name="_Ref205217394"/>
      <w:r w:rsidRPr="00C5549C">
        <w:t>EPUT</w:t>
      </w:r>
      <w:r w:rsidR="003A4805" w:rsidRPr="00C5549C">
        <w:t xml:space="preserve"> told the Panel that the scoring matrix </w:t>
      </w:r>
      <w:r w:rsidR="00620895" w:rsidRPr="00C5549C">
        <w:t>(as set out in the table at paragraph</w:t>
      </w:r>
      <w:r w:rsidR="00513644">
        <w:t xml:space="preserve"> </w:t>
      </w:r>
      <w:r w:rsidR="00620895" w:rsidRPr="00513644">
        <w:fldChar w:fldCharType="begin"/>
      </w:r>
      <w:r w:rsidR="00620895" w:rsidRPr="00513644">
        <w:instrText xml:space="preserve"> REF _Ref205806512 \r \h  \* MERGEFORMAT </w:instrText>
      </w:r>
      <w:r w:rsidR="00620895" w:rsidRPr="00513644">
        <w:fldChar w:fldCharType="separate"/>
      </w:r>
      <w:r w:rsidR="00437D90">
        <w:t>133</w:t>
      </w:r>
      <w:r w:rsidR="00620895" w:rsidRPr="00513644">
        <w:fldChar w:fldCharType="end"/>
      </w:r>
      <w:r w:rsidR="00620895" w:rsidRPr="00C5549C">
        <w:t xml:space="preserve">) </w:t>
      </w:r>
      <w:r w:rsidR="003A4805" w:rsidRPr="00C5549C">
        <w:t>was not</w:t>
      </w:r>
      <w:r w:rsidR="00620895" w:rsidRPr="00C5549C">
        <w:t xml:space="preserve"> </w:t>
      </w:r>
      <w:r w:rsidR="003A4805" w:rsidRPr="00C5549C">
        <w:t>sufficient</w:t>
      </w:r>
      <w:r w:rsidR="00620895" w:rsidRPr="00C5549C">
        <w:t>ly</w:t>
      </w:r>
      <w:r w:rsidR="003A4805" w:rsidRPr="00C5549C">
        <w:t xml:space="preserve"> clear and could lead to evaluators subjectively deciding whether a bid is </w:t>
      </w:r>
      <w:r w:rsidR="00620895" w:rsidRPr="00C5549C">
        <w:t>‘Good’, ‘Average’ or ‘Poor’</w:t>
      </w:r>
      <w:r w:rsidR="00C5549C" w:rsidRPr="00C5549C">
        <w:t xml:space="preserve"> (see paragraph </w:t>
      </w:r>
      <w:r w:rsidR="00C5549C" w:rsidRPr="00C5549C">
        <w:fldChar w:fldCharType="begin"/>
      </w:r>
      <w:r w:rsidR="00C5549C" w:rsidRPr="00C5549C">
        <w:instrText xml:space="preserve"> REF _Ref206683815 \r \h  \* MERGEFORMAT </w:instrText>
      </w:r>
      <w:r w:rsidR="00C5549C" w:rsidRPr="00C5549C">
        <w:fldChar w:fldCharType="separate"/>
      </w:r>
      <w:r w:rsidR="00437D90">
        <w:t>137</w:t>
      </w:r>
      <w:r w:rsidR="00C5549C" w:rsidRPr="00C5549C">
        <w:fldChar w:fldCharType="end"/>
      </w:r>
      <w:r w:rsidR="00C5549C" w:rsidRPr="00C5549C">
        <w:t>)</w:t>
      </w:r>
      <w:r w:rsidR="00620895" w:rsidRPr="00C5549C">
        <w:t>.</w:t>
      </w:r>
      <w:r w:rsidR="00F017DF">
        <w:t xml:space="preserve"> </w:t>
      </w:r>
      <w:r w:rsidR="00F02405">
        <w:t xml:space="preserve">The Panel notes that </w:t>
      </w:r>
      <w:r w:rsidR="000246CD">
        <w:t xml:space="preserve">EPUT did not raise any </w:t>
      </w:r>
      <w:r w:rsidR="009461A7">
        <w:t xml:space="preserve">concerns about the scoring matrix </w:t>
      </w:r>
      <w:r w:rsidR="00483EF5">
        <w:t xml:space="preserve">before </w:t>
      </w:r>
      <w:r w:rsidR="000246CD">
        <w:t xml:space="preserve">submitting its </w:t>
      </w:r>
      <w:r w:rsidR="00483EF5">
        <w:t>proposal</w:t>
      </w:r>
      <w:r w:rsidR="009461A7">
        <w:t>.</w:t>
      </w:r>
    </w:p>
    <w:p w14:paraId="62FC5977" w14:textId="6F76D433" w:rsidR="00FC3C1B" w:rsidRDefault="00E71307" w:rsidP="00A355DC">
      <w:pPr>
        <w:pStyle w:val="ListParagraph"/>
        <w:numPr>
          <w:ilvl w:val="0"/>
          <w:numId w:val="1"/>
        </w:numPr>
        <w:spacing w:line="276" w:lineRule="auto"/>
        <w:contextualSpacing w:val="0"/>
      </w:pPr>
      <w:r>
        <w:t xml:space="preserve">The Panel’s view is that the scoring matrix </w:t>
      </w:r>
      <w:r w:rsidR="00983FDF">
        <w:t xml:space="preserve">overall </w:t>
      </w:r>
      <w:r>
        <w:t>sets out a reasonable scoring methodology</w:t>
      </w:r>
      <w:r w:rsidR="005975C2">
        <w:t xml:space="preserve"> </w:t>
      </w:r>
      <w:r w:rsidR="00F13D41">
        <w:t xml:space="preserve">but has </w:t>
      </w:r>
      <w:r w:rsidR="00983FDF">
        <w:t xml:space="preserve">reservations about the clarity of the boundary between </w:t>
      </w:r>
      <w:r w:rsidR="000B4793">
        <w:t xml:space="preserve">answers that are scored as Adequate (score of 3) and answers that are scored as Good (score of 4). In particular, </w:t>
      </w:r>
      <w:r w:rsidR="009C42FD">
        <w:t xml:space="preserve">an answer that is </w:t>
      </w:r>
      <w:r w:rsidR="00ED7BB2">
        <w:t>scored</w:t>
      </w:r>
      <w:r w:rsidR="009C42FD">
        <w:t xml:space="preserve"> as Good </w:t>
      </w:r>
      <w:r w:rsidR="0050068D">
        <w:t xml:space="preserve">“provides all of the relevant evidence … but the response and/or evidence provided omits some </w:t>
      </w:r>
      <w:r w:rsidR="00ED7BB2">
        <w:t>minor detail required by the question”, while an answer that is scored as Adequate “</w:t>
      </w:r>
      <w:r w:rsidR="000D4288">
        <w:t>lacks detail in how all of the requirement will be met and does not provide all of the relevant evidence”</w:t>
      </w:r>
      <w:r w:rsidR="00F13D41">
        <w:t xml:space="preserve">. These two definitions </w:t>
      </w:r>
      <w:r w:rsidR="00C21140">
        <w:t xml:space="preserve">require evaluators to make finely based judgements on whether the detail omitted from an answer is </w:t>
      </w:r>
      <w:r w:rsidR="00FB0645">
        <w:t>“minor” or more significant.</w:t>
      </w:r>
    </w:p>
    <w:p w14:paraId="076A643E" w14:textId="285AB07F" w:rsidR="00D971EA" w:rsidRDefault="00125F2E" w:rsidP="00416080">
      <w:pPr>
        <w:pStyle w:val="ListParagraph"/>
        <w:numPr>
          <w:ilvl w:val="0"/>
          <w:numId w:val="1"/>
        </w:numPr>
        <w:spacing w:line="276" w:lineRule="auto"/>
        <w:contextualSpacing w:val="0"/>
      </w:pPr>
      <w:r>
        <w:t xml:space="preserve">Where such finely based judgements are required, there is a </w:t>
      </w:r>
      <w:r w:rsidR="005D214D">
        <w:t xml:space="preserve">greater </w:t>
      </w:r>
      <w:r>
        <w:t xml:space="preserve">risk </w:t>
      </w:r>
      <w:r w:rsidR="004A4197">
        <w:t>of inconsistent scoring</w:t>
      </w:r>
      <w:r w:rsidR="005D214D">
        <w:t xml:space="preserve"> </w:t>
      </w:r>
      <w:r w:rsidR="00703FD1">
        <w:t xml:space="preserve">of </w:t>
      </w:r>
      <w:r w:rsidR="005D214D">
        <w:t>responses to the same question</w:t>
      </w:r>
      <w:r w:rsidR="00147D95">
        <w:t>.</w:t>
      </w:r>
      <w:r w:rsidR="00E3524B">
        <w:t xml:space="preserve"> </w:t>
      </w:r>
      <w:r w:rsidR="003268BD">
        <w:t xml:space="preserve">The Panel </w:t>
      </w:r>
      <w:r w:rsidR="009D50F9">
        <w:t>notes</w:t>
      </w:r>
      <w:r w:rsidR="009F159D">
        <w:t>, however,</w:t>
      </w:r>
      <w:r w:rsidR="009D50F9">
        <w:t xml:space="preserve"> that </w:t>
      </w:r>
      <w:r w:rsidR="009F159D">
        <w:t xml:space="preserve">even if </w:t>
      </w:r>
      <w:r w:rsidR="003268BD">
        <w:t>all of EPUT’s scores of 3 were awarded a 4</w:t>
      </w:r>
      <w:r w:rsidR="0013520E">
        <w:t>, EPUT</w:t>
      </w:r>
      <w:r w:rsidR="009F159D">
        <w:t xml:space="preserve">’s </w:t>
      </w:r>
      <w:r w:rsidR="0013520E">
        <w:t xml:space="preserve">total score </w:t>
      </w:r>
      <w:r w:rsidR="009F159D">
        <w:t>would have been</w:t>
      </w:r>
      <w:r w:rsidR="0013520E">
        <w:t xml:space="preserve"> </w:t>
      </w:r>
      <w:r w:rsidR="00A21D76">
        <w:t>81.91</w:t>
      </w:r>
      <w:r w:rsidR="00416080">
        <w:t xml:space="preserve">, which would </w:t>
      </w:r>
      <w:r w:rsidR="00A21D76">
        <w:t xml:space="preserve">still </w:t>
      </w:r>
      <w:r w:rsidR="003647BA">
        <w:t xml:space="preserve">have </w:t>
      </w:r>
      <w:r w:rsidR="00A21D76">
        <w:t xml:space="preserve">been lower than Vita Health’s score of </w:t>
      </w:r>
      <w:r w:rsidR="001A2342">
        <w:t>87.94.</w:t>
      </w:r>
      <w:r w:rsidR="004D53BA">
        <w:t xml:space="preserve"> </w:t>
      </w:r>
      <w:r w:rsidR="00BC48E0">
        <w:t>Given this</w:t>
      </w:r>
      <w:r w:rsidR="004D53BA">
        <w:t xml:space="preserve">, the Panel’s view is that </w:t>
      </w:r>
      <w:r w:rsidR="00BC48E0">
        <w:t>the scoring matrix used by MSE ICB</w:t>
      </w:r>
      <w:r w:rsidR="0071697D">
        <w:t xml:space="preserve">, and any potential lack of clarity in the boundary between </w:t>
      </w:r>
      <w:r w:rsidR="009B6ECA">
        <w:t>the scores of 3 and 4</w:t>
      </w:r>
      <w:r w:rsidR="00BC48E0">
        <w:t xml:space="preserve"> did not </w:t>
      </w:r>
      <w:r w:rsidR="009B6ECA">
        <w:t>give rise to a material disadvantage to EPUT.</w:t>
      </w:r>
    </w:p>
    <w:bookmarkEnd w:id="50"/>
    <w:p w14:paraId="5A92E70A" w14:textId="79209207" w:rsidR="00E53C15" w:rsidRPr="001E46E0" w:rsidRDefault="00D36B1B" w:rsidP="001E46E0">
      <w:pPr>
        <w:keepNext/>
        <w:spacing w:before="240"/>
        <w:rPr>
          <w:b/>
          <w:bCs/>
        </w:rPr>
      </w:pPr>
      <w:r>
        <w:rPr>
          <w:b/>
          <w:bCs/>
        </w:rPr>
        <w:t>Scoring rationale and response to related CQs</w:t>
      </w:r>
    </w:p>
    <w:p w14:paraId="3AE76E3F" w14:textId="6C954F60" w:rsidR="004E46A8" w:rsidRDefault="003D1B9A" w:rsidP="004E46A8">
      <w:pPr>
        <w:pStyle w:val="ListParagraph"/>
        <w:numPr>
          <w:ilvl w:val="0"/>
          <w:numId w:val="1"/>
        </w:numPr>
        <w:spacing w:line="276" w:lineRule="auto"/>
        <w:contextualSpacing w:val="0"/>
      </w:pPr>
      <w:r>
        <w:t>EPUT</w:t>
      </w:r>
      <w:r w:rsidR="000A1929">
        <w:t xml:space="preserve">, in its </w:t>
      </w:r>
      <w:r w:rsidR="000A1929" w:rsidRPr="00A11208">
        <w:t xml:space="preserve">representations to </w:t>
      </w:r>
      <w:r w:rsidR="00EF727B" w:rsidRPr="00A11208">
        <w:t>MSE ICB</w:t>
      </w:r>
      <w:r w:rsidR="000A1929" w:rsidRPr="00A11208">
        <w:t>,</w:t>
      </w:r>
      <w:r w:rsidRPr="00A11208">
        <w:t xml:space="preserve"> </w:t>
      </w:r>
      <w:r w:rsidR="007859ED" w:rsidRPr="00A11208">
        <w:t>said that</w:t>
      </w:r>
      <w:r w:rsidR="007859ED">
        <w:t xml:space="preserve"> MSE ICB’s </w:t>
      </w:r>
      <w:r w:rsidR="00040EEC">
        <w:t xml:space="preserve">reason for the </w:t>
      </w:r>
      <w:r w:rsidR="0045644E">
        <w:t xml:space="preserve">score </w:t>
      </w:r>
      <w:r w:rsidR="00040EEC">
        <w:t xml:space="preserve">awarded </w:t>
      </w:r>
      <w:r w:rsidR="0045644E">
        <w:t>to</w:t>
      </w:r>
      <w:r w:rsidR="00376CC7">
        <w:t xml:space="preserve"> </w:t>
      </w:r>
      <w:r w:rsidR="00040EEC">
        <w:t xml:space="preserve">EPUT’s response to Question 2.3.1 </w:t>
      </w:r>
      <w:r w:rsidR="0033137C" w:rsidRPr="0033137C">
        <w:t>“</w:t>
      </w:r>
      <w:r w:rsidR="00040EEC" w:rsidRPr="0033137C">
        <w:t xml:space="preserve">contradicts the commissioner’s response to the clarification </w:t>
      </w:r>
      <w:r w:rsidR="00040EEC" w:rsidRPr="00DA637B">
        <w:t>questions</w:t>
      </w:r>
      <w:r w:rsidR="0033137C" w:rsidRPr="00DA637B">
        <w:t>”</w:t>
      </w:r>
      <w:r w:rsidR="007B62E4" w:rsidRPr="00DA637B">
        <w:t xml:space="preserve"> (see paragraph </w:t>
      </w:r>
      <w:r w:rsidR="00DA637B" w:rsidRPr="00DA637B">
        <w:fldChar w:fldCharType="begin"/>
      </w:r>
      <w:r w:rsidR="00DA637B" w:rsidRPr="00DA637B">
        <w:instrText xml:space="preserve"> REF _Ref206752464 \r \h  \* MERGEFORMAT </w:instrText>
      </w:r>
      <w:r w:rsidR="00DA637B" w:rsidRPr="00DA637B">
        <w:fldChar w:fldCharType="separate"/>
      </w:r>
      <w:r w:rsidR="00437D90">
        <w:t>135</w:t>
      </w:r>
      <w:r w:rsidR="00DA637B" w:rsidRPr="00DA637B">
        <w:fldChar w:fldCharType="end"/>
      </w:r>
      <w:r w:rsidR="007B62E4" w:rsidRPr="00DA637B">
        <w:t>).</w:t>
      </w:r>
      <w:r w:rsidR="005B17A5">
        <w:t xml:space="preserve"> These concerns were carried forward in EPUT’s representations to the Panel (see paragraph </w:t>
      </w:r>
      <w:r w:rsidR="005B17A5">
        <w:fldChar w:fldCharType="begin"/>
      </w:r>
      <w:r w:rsidR="005B17A5">
        <w:instrText xml:space="preserve"> REF _Ref206683815 \r \h </w:instrText>
      </w:r>
      <w:r w:rsidR="005B17A5">
        <w:fldChar w:fldCharType="separate"/>
      </w:r>
      <w:r w:rsidR="00437D90">
        <w:t>137</w:t>
      </w:r>
      <w:r w:rsidR="005B17A5">
        <w:fldChar w:fldCharType="end"/>
      </w:r>
      <w:r w:rsidR="005B17A5">
        <w:t>).</w:t>
      </w:r>
    </w:p>
    <w:p w14:paraId="1D0BE6CF" w14:textId="71F8125F" w:rsidR="0080507B" w:rsidRDefault="00F46D49">
      <w:pPr>
        <w:pStyle w:val="ListParagraph"/>
        <w:numPr>
          <w:ilvl w:val="0"/>
          <w:numId w:val="1"/>
        </w:numPr>
        <w:spacing w:line="276" w:lineRule="auto"/>
        <w:contextualSpacing w:val="0"/>
      </w:pPr>
      <w:r>
        <w:t xml:space="preserve">The part of </w:t>
      </w:r>
      <w:r w:rsidR="007B62E4">
        <w:t xml:space="preserve">Question 2.3.1 </w:t>
      </w:r>
      <w:r w:rsidR="00293B0C">
        <w:t xml:space="preserve">relevant to EPUT’s concerns stated: </w:t>
      </w:r>
      <w:r w:rsidR="00BA5C58" w:rsidRPr="00B0224B">
        <w:t>“</w:t>
      </w:r>
      <w:r w:rsidR="00B0224B" w:rsidRPr="00B0224B">
        <w:t>The following must be included in the response … Your approach to service expansion, i.e. an increase in access targets for those unemployed at the point of referral”</w:t>
      </w:r>
      <w:r w:rsidR="00774873">
        <w:t xml:space="preserve"> (see </w:t>
      </w:r>
      <w:r w:rsidR="00293B0C">
        <w:t xml:space="preserve">question in full at paragraph </w:t>
      </w:r>
      <w:r w:rsidR="007A05DF">
        <w:fldChar w:fldCharType="begin"/>
      </w:r>
      <w:r w:rsidR="007A05DF">
        <w:instrText xml:space="preserve"> REF _Ref205882644 \r \h </w:instrText>
      </w:r>
      <w:r w:rsidR="007A05DF">
        <w:fldChar w:fldCharType="separate"/>
      </w:r>
      <w:r w:rsidR="00437D90">
        <w:t>131</w:t>
      </w:r>
      <w:r w:rsidR="007A05DF">
        <w:fldChar w:fldCharType="end"/>
      </w:r>
      <w:r w:rsidR="00293B0C">
        <w:t>)</w:t>
      </w:r>
      <w:r w:rsidR="00774873">
        <w:t>.</w:t>
      </w:r>
      <w:r w:rsidR="00293B0C">
        <w:t xml:space="preserve"> </w:t>
      </w:r>
      <w:r w:rsidR="000D1D25">
        <w:t>EPUT told the Panel that this part of the question aligned to DWP-funded employment advisory services</w:t>
      </w:r>
      <w:r w:rsidR="008A10AC">
        <w:t xml:space="preserve">, as </w:t>
      </w:r>
      <w:r w:rsidR="00293B0C">
        <w:t xml:space="preserve">per </w:t>
      </w:r>
      <w:r w:rsidR="008A10AC">
        <w:t>MSE ICB’s response to CQ10.</w:t>
      </w:r>
    </w:p>
    <w:p w14:paraId="4100660D" w14:textId="381A7111" w:rsidR="00C73625" w:rsidRDefault="00C73625" w:rsidP="004E46A8">
      <w:pPr>
        <w:pStyle w:val="ListParagraph"/>
        <w:numPr>
          <w:ilvl w:val="0"/>
          <w:numId w:val="1"/>
        </w:numPr>
        <w:spacing w:line="276" w:lineRule="auto"/>
        <w:contextualSpacing w:val="0"/>
      </w:pPr>
      <w:r w:rsidRPr="00C73625">
        <w:lastRenderedPageBreak/>
        <w:t>CQ10 asked “Will the Employment Adviser initiative, currently funded by the DWP, continue? The specification mentions employment advisers, will their funding remain through the DWP, or will has it been incorporated into the contract value?”. MSE ICB’s response was “Employment Advisors is non-recurrent funding and is a pass through from DWP via an MOU arrangement”.</w:t>
      </w:r>
      <w:r w:rsidR="00E91AFD">
        <w:t xml:space="preserve"> (</w:t>
      </w:r>
      <w:r w:rsidR="004032D5">
        <w:t>For completeness, the table below includes all CQs and responses relevant to this issue.)</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06"/>
        <w:gridCol w:w="1237"/>
        <w:gridCol w:w="1077"/>
        <w:gridCol w:w="3098"/>
        <w:gridCol w:w="3098"/>
      </w:tblGrid>
      <w:tr w:rsidR="003057DA" w:rsidRPr="000C64FD" w14:paraId="34D2A452" w14:textId="77777777">
        <w:tc>
          <w:tcPr>
            <w:tcW w:w="281" w:type="pct"/>
            <w:shd w:val="clear" w:color="auto" w:fill="D9D9D9" w:themeFill="background1" w:themeFillShade="D9"/>
          </w:tcPr>
          <w:p w14:paraId="6556FFFC" w14:textId="77777777" w:rsidR="003057DA" w:rsidRPr="000C64FD" w:rsidRDefault="003057DA">
            <w:pPr>
              <w:pStyle w:val="ListParagraph"/>
              <w:numPr>
                <w:ilvl w:val="0"/>
                <w:numId w:val="0"/>
              </w:numPr>
              <w:contextualSpacing w:val="0"/>
              <w:rPr>
                <w:b/>
                <w:bCs/>
                <w:sz w:val="18"/>
                <w:szCs w:val="18"/>
              </w:rPr>
            </w:pPr>
            <w:r w:rsidRPr="000C64FD">
              <w:rPr>
                <w:b/>
                <w:bCs/>
                <w:sz w:val="18"/>
                <w:szCs w:val="18"/>
              </w:rPr>
              <w:t>No.</w:t>
            </w:r>
          </w:p>
        </w:tc>
        <w:tc>
          <w:tcPr>
            <w:tcW w:w="686" w:type="pct"/>
            <w:shd w:val="clear" w:color="auto" w:fill="D9D9D9" w:themeFill="background1" w:themeFillShade="D9"/>
          </w:tcPr>
          <w:p w14:paraId="55A7415C" w14:textId="77777777" w:rsidR="003057DA" w:rsidRPr="000C64FD" w:rsidRDefault="003057DA">
            <w:pPr>
              <w:pStyle w:val="ListParagraph"/>
              <w:numPr>
                <w:ilvl w:val="0"/>
                <w:numId w:val="0"/>
              </w:numPr>
              <w:contextualSpacing w:val="0"/>
              <w:jc w:val="center"/>
              <w:rPr>
                <w:sz w:val="18"/>
                <w:szCs w:val="18"/>
              </w:rPr>
            </w:pPr>
            <w:r>
              <w:rPr>
                <w:b/>
                <w:bCs/>
                <w:sz w:val="18"/>
                <w:szCs w:val="18"/>
              </w:rPr>
              <w:t>Submission d</w:t>
            </w:r>
            <w:r w:rsidRPr="000C64FD">
              <w:rPr>
                <w:b/>
                <w:bCs/>
                <w:sz w:val="18"/>
                <w:szCs w:val="18"/>
              </w:rPr>
              <w:t>ate</w:t>
            </w:r>
          </w:p>
        </w:tc>
        <w:tc>
          <w:tcPr>
            <w:tcW w:w="597" w:type="pct"/>
            <w:shd w:val="clear" w:color="auto" w:fill="D9D9D9" w:themeFill="background1" w:themeFillShade="D9"/>
            <w:vAlign w:val="center"/>
          </w:tcPr>
          <w:p w14:paraId="0C8345F5" w14:textId="77777777" w:rsidR="003057DA" w:rsidRPr="000C64FD" w:rsidRDefault="003057DA">
            <w:pPr>
              <w:pStyle w:val="ListParagraph"/>
              <w:numPr>
                <w:ilvl w:val="0"/>
                <w:numId w:val="0"/>
              </w:numPr>
              <w:contextualSpacing w:val="0"/>
              <w:jc w:val="center"/>
              <w:rPr>
                <w:b/>
                <w:bCs/>
                <w:sz w:val="18"/>
                <w:szCs w:val="18"/>
              </w:rPr>
            </w:pPr>
            <w:r>
              <w:rPr>
                <w:b/>
                <w:bCs/>
                <w:sz w:val="18"/>
                <w:szCs w:val="18"/>
              </w:rPr>
              <w:t>Response date</w:t>
            </w:r>
          </w:p>
        </w:tc>
        <w:tc>
          <w:tcPr>
            <w:tcW w:w="1718" w:type="pct"/>
            <w:shd w:val="clear" w:color="auto" w:fill="D9D9D9" w:themeFill="background1" w:themeFillShade="D9"/>
          </w:tcPr>
          <w:p w14:paraId="231F922F" w14:textId="77777777" w:rsidR="003057DA" w:rsidRPr="000C64FD" w:rsidRDefault="003057DA">
            <w:pPr>
              <w:pStyle w:val="ListParagraph"/>
              <w:numPr>
                <w:ilvl w:val="0"/>
                <w:numId w:val="0"/>
              </w:numPr>
              <w:contextualSpacing w:val="0"/>
              <w:rPr>
                <w:sz w:val="18"/>
                <w:szCs w:val="18"/>
              </w:rPr>
            </w:pPr>
            <w:r w:rsidRPr="000C64FD">
              <w:rPr>
                <w:b/>
                <w:bCs/>
                <w:sz w:val="18"/>
                <w:szCs w:val="18"/>
              </w:rPr>
              <w:t>Question</w:t>
            </w:r>
          </w:p>
        </w:tc>
        <w:tc>
          <w:tcPr>
            <w:tcW w:w="1718" w:type="pct"/>
            <w:shd w:val="clear" w:color="auto" w:fill="D9D9D9" w:themeFill="background1" w:themeFillShade="D9"/>
          </w:tcPr>
          <w:p w14:paraId="0D37E82C" w14:textId="77777777" w:rsidR="003057DA" w:rsidRPr="000C64FD" w:rsidRDefault="003057DA">
            <w:pPr>
              <w:pStyle w:val="ListParagraph"/>
              <w:numPr>
                <w:ilvl w:val="0"/>
                <w:numId w:val="0"/>
              </w:numPr>
              <w:contextualSpacing w:val="0"/>
              <w:rPr>
                <w:sz w:val="18"/>
                <w:szCs w:val="18"/>
              </w:rPr>
            </w:pPr>
            <w:r w:rsidRPr="000C64FD">
              <w:rPr>
                <w:b/>
                <w:bCs/>
                <w:sz w:val="18"/>
                <w:szCs w:val="18"/>
              </w:rPr>
              <w:t>Response</w:t>
            </w:r>
          </w:p>
        </w:tc>
      </w:tr>
      <w:tr w:rsidR="003057DA" w:rsidRPr="000C64FD" w14:paraId="3DBE3186" w14:textId="77777777">
        <w:tc>
          <w:tcPr>
            <w:tcW w:w="281" w:type="pct"/>
          </w:tcPr>
          <w:p w14:paraId="0FF6AA72" w14:textId="77777777" w:rsidR="003057DA" w:rsidRDefault="003057DA">
            <w:pPr>
              <w:pStyle w:val="ListParagraph"/>
              <w:numPr>
                <w:ilvl w:val="0"/>
                <w:numId w:val="0"/>
              </w:numPr>
              <w:spacing w:before="60" w:after="60"/>
              <w:contextualSpacing w:val="0"/>
              <w:rPr>
                <w:sz w:val="18"/>
                <w:szCs w:val="18"/>
              </w:rPr>
            </w:pPr>
            <w:r w:rsidRPr="000C64FD">
              <w:rPr>
                <w:sz w:val="18"/>
                <w:szCs w:val="18"/>
              </w:rPr>
              <w:t>10</w:t>
            </w:r>
          </w:p>
        </w:tc>
        <w:tc>
          <w:tcPr>
            <w:tcW w:w="686" w:type="pct"/>
          </w:tcPr>
          <w:p w14:paraId="04F583ED" w14:textId="77777777" w:rsidR="003057DA" w:rsidRPr="000C64FD" w:rsidRDefault="003057DA">
            <w:pPr>
              <w:pStyle w:val="ListParagraph"/>
              <w:numPr>
                <w:ilvl w:val="0"/>
                <w:numId w:val="0"/>
              </w:numPr>
              <w:spacing w:before="60" w:after="60"/>
              <w:contextualSpacing w:val="0"/>
              <w:jc w:val="center"/>
              <w:rPr>
                <w:sz w:val="18"/>
                <w:szCs w:val="18"/>
              </w:rPr>
            </w:pPr>
            <w:r>
              <w:rPr>
                <w:sz w:val="18"/>
                <w:szCs w:val="18"/>
              </w:rPr>
              <w:t>5 Mar</w:t>
            </w:r>
          </w:p>
        </w:tc>
        <w:tc>
          <w:tcPr>
            <w:tcW w:w="597" w:type="pct"/>
          </w:tcPr>
          <w:p w14:paraId="59D2CA87" w14:textId="77777777" w:rsidR="003057DA" w:rsidRPr="00B00839" w:rsidRDefault="003057DA">
            <w:pPr>
              <w:pStyle w:val="ListParagraph"/>
              <w:numPr>
                <w:ilvl w:val="0"/>
                <w:numId w:val="0"/>
              </w:numPr>
              <w:spacing w:before="60" w:after="60"/>
              <w:contextualSpacing w:val="0"/>
              <w:jc w:val="center"/>
              <w:rPr>
                <w:sz w:val="18"/>
                <w:szCs w:val="18"/>
              </w:rPr>
            </w:pPr>
            <w:r>
              <w:rPr>
                <w:sz w:val="18"/>
                <w:szCs w:val="18"/>
              </w:rPr>
              <w:t>10 Mar</w:t>
            </w:r>
          </w:p>
        </w:tc>
        <w:tc>
          <w:tcPr>
            <w:tcW w:w="1718" w:type="pct"/>
          </w:tcPr>
          <w:p w14:paraId="06B07610" w14:textId="77777777" w:rsidR="003057DA" w:rsidRPr="000C64FD" w:rsidRDefault="003057DA">
            <w:pPr>
              <w:pStyle w:val="ListParagraph"/>
              <w:numPr>
                <w:ilvl w:val="0"/>
                <w:numId w:val="0"/>
              </w:numPr>
              <w:spacing w:before="60" w:after="60"/>
              <w:contextualSpacing w:val="0"/>
              <w:rPr>
                <w:sz w:val="18"/>
                <w:szCs w:val="18"/>
              </w:rPr>
            </w:pPr>
            <w:r w:rsidRPr="00B00839">
              <w:rPr>
                <w:sz w:val="18"/>
                <w:szCs w:val="18"/>
              </w:rPr>
              <w:t>Will the Employment Adviser initiative, currently funded by the DWP, continue? The specification mentions employment advisers, will their funding remain through the DWP, or will has it been incorporated into the contract value?</w:t>
            </w:r>
          </w:p>
        </w:tc>
        <w:tc>
          <w:tcPr>
            <w:tcW w:w="1718" w:type="pct"/>
          </w:tcPr>
          <w:p w14:paraId="3AADEF32" w14:textId="77777777" w:rsidR="003057DA" w:rsidRPr="000C64FD" w:rsidRDefault="003057DA">
            <w:pPr>
              <w:pStyle w:val="ListParagraph"/>
              <w:numPr>
                <w:ilvl w:val="0"/>
                <w:numId w:val="0"/>
              </w:numPr>
              <w:spacing w:before="60" w:after="60"/>
              <w:contextualSpacing w:val="0"/>
              <w:rPr>
                <w:sz w:val="18"/>
                <w:szCs w:val="18"/>
              </w:rPr>
            </w:pPr>
            <w:r w:rsidRPr="00B00839">
              <w:rPr>
                <w:sz w:val="18"/>
                <w:szCs w:val="18"/>
              </w:rPr>
              <w:t>Employment Advisors is non-recurrent funding and is a pass through from DWP via an MOU arrangement.</w:t>
            </w:r>
          </w:p>
        </w:tc>
      </w:tr>
      <w:tr w:rsidR="003057DA" w:rsidRPr="000C64FD" w14:paraId="10D7C078" w14:textId="77777777">
        <w:tc>
          <w:tcPr>
            <w:tcW w:w="281" w:type="pct"/>
          </w:tcPr>
          <w:p w14:paraId="447EABC9" w14:textId="77777777" w:rsidR="003057DA" w:rsidRDefault="003057DA">
            <w:pPr>
              <w:pStyle w:val="ListParagraph"/>
              <w:numPr>
                <w:ilvl w:val="0"/>
                <w:numId w:val="0"/>
              </w:numPr>
              <w:spacing w:before="60" w:after="60"/>
              <w:contextualSpacing w:val="0"/>
              <w:rPr>
                <w:sz w:val="18"/>
                <w:szCs w:val="18"/>
              </w:rPr>
            </w:pPr>
            <w:r>
              <w:rPr>
                <w:sz w:val="18"/>
                <w:szCs w:val="18"/>
              </w:rPr>
              <w:t>18</w:t>
            </w:r>
          </w:p>
        </w:tc>
        <w:tc>
          <w:tcPr>
            <w:tcW w:w="686" w:type="pct"/>
          </w:tcPr>
          <w:p w14:paraId="4A910A25" w14:textId="77777777" w:rsidR="003057DA" w:rsidRDefault="003057DA">
            <w:pPr>
              <w:pStyle w:val="ListParagraph"/>
              <w:numPr>
                <w:ilvl w:val="0"/>
                <w:numId w:val="0"/>
              </w:numPr>
              <w:spacing w:before="60" w:after="60"/>
              <w:contextualSpacing w:val="0"/>
              <w:jc w:val="center"/>
              <w:rPr>
                <w:sz w:val="18"/>
                <w:szCs w:val="18"/>
              </w:rPr>
            </w:pPr>
            <w:r>
              <w:rPr>
                <w:sz w:val="18"/>
                <w:szCs w:val="18"/>
              </w:rPr>
              <w:t>6 Mar</w:t>
            </w:r>
          </w:p>
        </w:tc>
        <w:tc>
          <w:tcPr>
            <w:tcW w:w="597" w:type="pct"/>
          </w:tcPr>
          <w:p w14:paraId="393F1C43" w14:textId="77777777" w:rsidR="003057DA" w:rsidRPr="009025A2" w:rsidRDefault="003057DA">
            <w:pPr>
              <w:spacing w:before="60" w:after="60"/>
              <w:jc w:val="center"/>
              <w:rPr>
                <w:sz w:val="18"/>
                <w:szCs w:val="18"/>
              </w:rPr>
            </w:pPr>
            <w:r>
              <w:rPr>
                <w:sz w:val="18"/>
                <w:szCs w:val="18"/>
              </w:rPr>
              <w:t>17 Mar</w:t>
            </w:r>
          </w:p>
        </w:tc>
        <w:tc>
          <w:tcPr>
            <w:tcW w:w="1718" w:type="pct"/>
          </w:tcPr>
          <w:p w14:paraId="452C029E" w14:textId="77777777" w:rsidR="003057DA" w:rsidRDefault="003057DA">
            <w:pPr>
              <w:spacing w:before="60" w:after="60"/>
              <w:rPr>
                <w:sz w:val="18"/>
                <w:szCs w:val="18"/>
              </w:rPr>
            </w:pPr>
            <w:r w:rsidRPr="009025A2">
              <w:rPr>
                <w:sz w:val="18"/>
                <w:szCs w:val="18"/>
              </w:rPr>
              <w:t>Theme: TUPE data and employee pay/pension</w:t>
            </w:r>
            <w:r>
              <w:rPr>
                <w:sz w:val="18"/>
                <w:szCs w:val="18"/>
              </w:rPr>
              <w:t xml:space="preserve"> …</w:t>
            </w:r>
          </w:p>
          <w:p w14:paraId="446D3DCA" w14:textId="77777777" w:rsidR="003057DA" w:rsidRPr="00553782" w:rsidRDefault="003057DA">
            <w:pPr>
              <w:spacing w:before="60" w:after="60"/>
              <w:rPr>
                <w:sz w:val="18"/>
                <w:szCs w:val="18"/>
              </w:rPr>
            </w:pPr>
            <w:r w:rsidRPr="00C525B7">
              <w:rPr>
                <w:sz w:val="18"/>
                <w:szCs w:val="18"/>
              </w:rPr>
              <w:t>We note that several Employment Advisor related posts have been included in the TUPE information. Please can commissioners confirm that these posts are wholly funded through the MSE Talking Therapies / PTS contracts or whether these are funded through DWP/Essex IPS/Other funding streams</w:t>
            </w:r>
            <w:r>
              <w:rPr>
                <w:sz w:val="18"/>
                <w:szCs w:val="18"/>
              </w:rPr>
              <w:t xml:space="preserve"> …</w:t>
            </w:r>
          </w:p>
        </w:tc>
        <w:tc>
          <w:tcPr>
            <w:tcW w:w="1718" w:type="pct"/>
          </w:tcPr>
          <w:p w14:paraId="2DE858C8" w14:textId="77777777" w:rsidR="003057DA" w:rsidRDefault="003057DA">
            <w:pPr>
              <w:spacing w:before="60" w:after="60"/>
              <w:rPr>
                <w:sz w:val="18"/>
                <w:szCs w:val="18"/>
              </w:rPr>
            </w:pPr>
            <w:r w:rsidRPr="00A44770">
              <w:rPr>
                <w:sz w:val="18"/>
                <w:szCs w:val="18"/>
              </w:rPr>
              <w:t xml:space="preserve">The ICB has issued new TUPE data for HPFT, MPFT Inclusion and Vita Health Group (please see Doc 9b. </w:t>
            </w:r>
            <w:r w:rsidRPr="00EA367E">
              <w:rPr>
                <w:sz w:val="18"/>
                <w:szCs w:val="18"/>
                <w:lang w:val="it-IT"/>
              </w:rPr>
              <w:t xml:space="preserve">TUPE Data HPFT v2, Doc 9c TUPE Data Vita v2, Doc 9d. </w:t>
            </w:r>
            <w:r w:rsidRPr="00A44770">
              <w:rPr>
                <w:sz w:val="18"/>
                <w:szCs w:val="18"/>
              </w:rPr>
              <w:t>TUPE Data MPFT Inclusion v2)</w:t>
            </w:r>
            <w:r>
              <w:rPr>
                <w:sz w:val="18"/>
                <w:szCs w:val="18"/>
              </w:rPr>
              <w:t xml:space="preserve"> …</w:t>
            </w:r>
          </w:p>
          <w:p w14:paraId="45A2C7CC" w14:textId="77777777" w:rsidR="003057DA" w:rsidRPr="009A3BAF" w:rsidRDefault="003057DA">
            <w:pPr>
              <w:spacing w:before="60" w:after="60"/>
              <w:rPr>
                <w:sz w:val="18"/>
                <w:szCs w:val="18"/>
              </w:rPr>
            </w:pPr>
            <w:r w:rsidRPr="00A44770">
              <w:rPr>
                <w:sz w:val="18"/>
                <w:szCs w:val="18"/>
              </w:rPr>
              <w:t>Employment advisor roles – non-recurrent pass-through funding from DWP</w:t>
            </w:r>
            <w:r>
              <w:rPr>
                <w:sz w:val="18"/>
                <w:szCs w:val="18"/>
              </w:rPr>
              <w:t xml:space="preserve"> …</w:t>
            </w:r>
          </w:p>
        </w:tc>
      </w:tr>
      <w:tr w:rsidR="003057DA" w:rsidRPr="000C64FD" w14:paraId="3650E47E" w14:textId="77777777">
        <w:tc>
          <w:tcPr>
            <w:tcW w:w="281" w:type="pct"/>
          </w:tcPr>
          <w:p w14:paraId="3FFF6986" w14:textId="77777777" w:rsidR="003057DA" w:rsidRDefault="003057DA">
            <w:pPr>
              <w:pStyle w:val="ListParagraph"/>
              <w:numPr>
                <w:ilvl w:val="0"/>
                <w:numId w:val="0"/>
              </w:numPr>
              <w:spacing w:before="60" w:after="60"/>
              <w:contextualSpacing w:val="0"/>
              <w:rPr>
                <w:sz w:val="18"/>
                <w:szCs w:val="18"/>
              </w:rPr>
            </w:pPr>
            <w:r>
              <w:rPr>
                <w:sz w:val="18"/>
                <w:szCs w:val="18"/>
              </w:rPr>
              <w:t>38</w:t>
            </w:r>
          </w:p>
        </w:tc>
        <w:tc>
          <w:tcPr>
            <w:tcW w:w="686" w:type="pct"/>
          </w:tcPr>
          <w:p w14:paraId="448020C8" w14:textId="77777777" w:rsidR="003057DA" w:rsidRDefault="003057DA">
            <w:pPr>
              <w:pStyle w:val="ListParagraph"/>
              <w:numPr>
                <w:ilvl w:val="0"/>
                <w:numId w:val="0"/>
              </w:numPr>
              <w:spacing w:before="60" w:after="60"/>
              <w:contextualSpacing w:val="0"/>
              <w:jc w:val="center"/>
              <w:rPr>
                <w:sz w:val="18"/>
                <w:szCs w:val="18"/>
              </w:rPr>
            </w:pPr>
            <w:r>
              <w:rPr>
                <w:sz w:val="18"/>
                <w:szCs w:val="18"/>
              </w:rPr>
              <w:t>11 Mar</w:t>
            </w:r>
          </w:p>
        </w:tc>
        <w:tc>
          <w:tcPr>
            <w:tcW w:w="597" w:type="pct"/>
          </w:tcPr>
          <w:p w14:paraId="0276701A" w14:textId="77777777" w:rsidR="003057DA" w:rsidRPr="00553782" w:rsidRDefault="003057DA">
            <w:pPr>
              <w:spacing w:before="60" w:after="60"/>
              <w:jc w:val="center"/>
              <w:rPr>
                <w:sz w:val="18"/>
                <w:szCs w:val="18"/>
              </w:rPr>
            </w:pPr>
            <w:r>
              <w:rPr>
                <w:sz w:val="18"/>
                <w:szCs w:val="18"/>
              </w:rPr>
              <w:t>17 Mar</w:t>
            </w:r>
          </w:p>
        </w:tc>
        <w:tc>
          <w:tcPr>
            <w:tcW w:w="1718" w:type="pct"/>
          </w:tcPr>
          <w:p w14:paraId="14B747F3" w14:textId="77777777" w:rsidR="003057DA" w:rsidRPr="00553782" w:rsidRDefault="003057DA">
            <w:pPr>
              <w:spacing w:before="60" w:after="60"/>
              <w:rPr>
                <w:sz w:val="18"/>
                <w:szCs w:val="18"/>
              </w:rPr>
            </w:pPr>
            <w:r w:rsidRPr="00553782">
              <w:rPr>
                <w:sz w:val="18"/>
                <w:szCs w:val="18"/>
              </w:rPr>
              <w:t>Theme: TUPE Data query</w:t>
            </w:r>
          </w:p>
          <w:p w14:paraId="564FF917" w14:textId="77777777" w:rsidR="003057DA" w:rsidRPr="00553782" w:rsidRDefault="003057DA">
            <w:pPr>
              <w:spacing w:before="60" w:after="60"/>
              <w:rPr>
                <w:sz w:val="18"/>
                <w:szCs w:val="18"/>
              </w:rPr>
            </w:pPr>
            <w:r w:rsidRPr="00553782">
              <w:rPr>
                <w:sz w:val="18"/>
                <w:szCs w:val="18"/>
              </w:rPr>
              <w:t>Within the TUPE lists various Employment Advisors are included. Our understanding was that Employment Advisors are excluded. Please will you confirm whether</w:t>
            </w:r>
          </w:p>
          <w:p w14:paraId="5513C098" w14:textId="77777777" w:rsidR="003057DA" w:rsidRPr="00553782" w:rsidRDefault="003057DA">
            <w:pPr>
              <w:spacing w:before="60" w:after="60"/>
              <w:rPr>
                <w:sz w:val="18"/>
                <w:szCs w:val="18"/>
              </w:rPr>
            </w:pPr>
            <w:r w:rsidRPr="00553782">
              <w:rPr>
                <w:sz w:val="18"/>
                <w:szCs w:val="18"/>
              </w:rPr>
              <w:t xml:space="preserve">a) employment advisors are included </w:t>
            </w:r>
          </w:p>
          <w:p w14:paraId="71D06DDE" w14:textId="77777777" w:rsidR="003057DA" w:rsidRPr="00553782" w:rsidRDefault="003057DA">
            <w:pPr>
              <w:spacing w:before="60" w:after="60"/>
              <w:rPr>
                <w:sz w:val="18"/>
                <w:szCs w:val="18"/>
              </w:rPr>
            </w:pPr>
            <w:r w:rsidRPr="00553782">
              <w:rPr>
                <w:sz w:val="18"/>
                <w:szCs w:val="18"/>
              </w:rPr>
              <w:t xml:space="preserve">b) that those included are from within the core (ICB) funding and that </w:t>
            </w:r>
          </w:p>
          <w:p w14:paraId="6413D801" w14:textId="77777777" w:rsidR="003057DA" w:rsidRPr="00B00839" w:rsidRDefault="003057DA">
            <w:pPr>
              <w:pStyle w:val="ListParagraph"/>
              <w:numPr>
                <w:ilvl w:val="0"/>
                <w:numId w:val="0"/>
              </w:numPr>
              <w:spacing w:before="60" w:after="60"/>
              <w:contextualSpacing w:val="0"/>
              <w:rPr>
                <w:sz w:val="18"/>
                <w:szCs w:val="18"/>
              </w:rPr>
            </w:pPr>
            <w:r w:rsidRPr="00553782">
              <w:rPr>
                <w:sz w:val="18"/>
                <w:szCs w:val="18"/>
              </w:rPr>
              <w:t>c) no DWP funded posts are included</w:t>
            </w:r>
          </w:p>
        </w:tc>
        <w:tc>
          <w:tcPr>
            <w:tcW w:w="1718" w:type="pct"/>
          </w:tcPr>
          <w:p w14:paraId="68529007" w14:textId="77777777" w:rsidR="003057DA" w:rsidRPr="009A3BAF" w:rsidRDefault="003057DA">
            <w:pPr>
              <w:spacing w:before="60" w:after="60"/>
              <w:rPr>
                <w:sz w:val="18"/>
                <w:szCs w:val="18"/>
              </w:rPr>
            </w:pPr>
            <w:r w:rsidRPr="009A3BAF">
              <w:rPr>
                <w:sz w:val="18"/>
                <w:szCs w:val="18"/>
              </w:rPr>
              <w:t>Please see revised TUPE Data:</w:t>
            </w:r>
          </w:p>
          <w:p w14:paraId="426C4B70" w14:textId="77777777" w:rsidR="003057DA" w:rsidRPr="00EA367E" w:rsidRDefault="003057DA">
            <w:pPr>
              <w:spacing w:before="60" w:after="60"/>
              <w:rPr>
                <w:sz w:val="18"/>
                <w:szCs w:val="18"/>
                <w:lang w:val="it-IT"/>
              </w:rPr>
            </w:pPr>
            <w:r w:rsidRPr="00EA367E">
              <w:rPr>
                <w:sz w:val="18"/>
                <w:szCs w:val="18"/>
                <w:lang w:val="it-IT"/>
              </w:rPr>
              <w:t>Doc 9b. TUPE Data HPFT v2</w:t>
            </w:r>
          </w:p>
          <w:p w14:paraId="4F96DAEF" w14:textId="77777777" w:rsidR="003057DA" w:rsidRPr="00EA367E" w:rsidRDefault="003057DA">
            <w:pPr>
              <w:spacing w:before="60" w:after="60"/>
              <w:rPr>
                <w:sz w:val="18"/>
                <w:szCs w:val="18"/>
                <w:lang w:val="it-IT"/>
              </w:rPr>
            </w:pPr>
            <w:r w:rsidRPr="00EA367E">
              <w:rPr>
                <w:sz w:val="18"/>
                <w:szCs w:val="18"/>
                <w:lang w:val="it-IT"/>
              </w:rPr>
              <w:t>Doc 9c. TUPE Data Vita v2</w:t>
            </w:r>
          </w:p>
          <w:p w14:paraId="6959D518" w14:textId="77777777" w:rsidR="003057DA" w:rsidRPr="00B00839" w:rsidRDefault="003057DA">
            <w:pPr>
              <w:spacing w:before="60" w:after="60"/>
              <w:rPr>
                <w:sz w:val="18"/>
                <w:szCs w:val="18"/>
              </w:rPr>
            </w:pPr>
            <w:r w:rsidRPr="009A3BAF">
              <w:rPr>
                <w:sz w:val="18"/>
                <w:szCs w:val="18"/>
              </w:rPr>
              <w:t>Doc 9d. TUPE Data MPFT Inclusion v2</w:t>
            </w:r>
          </w:p>
        </w:tc>
      </w:tr>
      <w:tr w:rsidR="003057DA" w:rsidRPr="000C64FD" w14:paraId="4DD760E0" w14:textId="77777777">
        <w:tc>
          <w:tcPr>
            <w:tcW w:w="281" w:type="pct"/>
          </w:tcPr>
          <w:p w14:paraId="585A8964" w14:textId="77777777" w:rsidR="003057DA" w:rsidRDefault="003057DA">
            <w:pPr>
              <w:pStyle w:val="ListParagraph"/>
              <w:numPr>
                <w:ilvl w:val="0"/>
                <w:numId w:val="0"/>
              </w:numPr>
              <w:spacing w:before="60" w:after="60"/>
              <w:contextualSpacing w:val="0"/>
              <w:rPr>
                <w:sz w:val="18"/>
                <w:szCs w:val="18"/>
              </w:rPr>
            </w:pPr>
            <w:r w:rsidRPr="000C64FD">
              <w:rPr>
                <w:sz w:val="18"/>
                <w:szCs w:val="18"/>
              </w:rPr>
              <w:t>51</w:t>
            </w:r>
          </w:p>
        </w:tc>
        <w:tc>
          <w:tcPr>
            <w:tcW w:w="686" w:type="pct"/>
          </w:tcPr>
          <w:p w14:paraId="2455B671" w14:textId="77777777" w:rsidR="003057DA" w:rsidRPr="000C64FD" w:rsidRDefault="003057DA">
            <w:pPr>
              <w:pStyle w:val="ListParagraph"/>
              <w:numPr>
                <w:ilvl w:val="0"/>
                <w:numId w:val="0"/>
              </w:numPr>
              <w:spacing w:before="60" w:after="60"/>
              <w:contextualSpacing w:val="0"/>
              <w:jc w:val="center"/>
              <w:rPr>
                <w:sz w:val="18"/>
                <w:szCs w:val="18"/>
              </w:rPr>
            </w:pPr>
            <w:r>
              <w:rPr>
                <w:sz w:val="18"/>
                <w:szCs w:val="18"/>
              </w:rPr>
              <w:t>17 Mar</w:t>
            </w:r>
          </w:p>
        </w:tc>
        <w:tc>
          <w:tcPr>
            <w:tcW w:w="597" w:type="pct"/>
          </w:tcPr>
          <w:p w14:paraId="0744E339" w14:textId="77777777" w:rsidR="003057DA" w:rsidRPr="004A6D9B" w:rsidRDefault="003057DA">
            <w:pPr>
              <w:pStyle w:val="ListParagraph"/>
              <w:numPr>
                <w:ilvl w:val="0"/>
                <w:numId w:val="0"/>
              </w:numPr>
              <w:spacing w:before="60" w:after="60"/>
              <w:contextualSpacing w:val="0"/>
              <w:jc w:val="center"/>
              <w:rPr>
                <w:sz w:val="18"/>
                <w:szCs w:val="18"/>
              </w:rPr>
            </w:pPr>
            <w:r>
              <w:rPr>
                <w:sz w:val="18"/>
                <w:szCs w:val="18"/>
              </w:rPr>
              <w:t>26 Mar</w:t>
            </w:r>
          </w:p>
        </w:tc>
        <w:tc>
          <w:tcPr>
            <w:tcW w:w="1718" w:type="pct"/>
          </w:tcPr>
          <w:p w14:paraId="78CDB0D5" w14:textId="77777777" w:rsidR="003057DA" w:rsidRDefault="003057DA">
            <w:pPr>
              <w:pStyle w:val="ListParagraph"/>
              <w:numPr>
                <w:ilvl w:val="0"/>
                <w:numId w:val="0"/>
              </w:numPr>
              <w:spacing w:before="60" w:after="60"/>
              <w:contextualSpacing w:val="0"/>
              <w:rPr>
                <w:sz w:val="18"/>
                <w:szCs w:val="18"/>
              </w:rPr>
            </w:pPr>
            <w:r w:rsidRPr="004A6D9B">
              <w:rPr>
                <w:sz w:val="18"/>
                <w:szCs w:val="18"/>
              </w:rPr>
              <w:t>Clarification Question - Sub-Contracts</w:t>
            </w:r>
          </w:p>
          <w:p w14:paraId="0605E540" w14:textId="77777777" w:rsidR="003057DA" w:rsidRPr="000C64FD" w:rsidRDefault="003057DA">
            <w:pPr>
              <w:pStyle w:val="ListParagraph"/>
              <w:numPr>
                <w:ilvl w:val="0"/>
                <w:numId w:val="0"/>
              </w:numPr>
              <w:spacing w:before="60" w:after="60"/>
              <w:contextualSpacing w:val="0"/>
              <w:rPr>
                <w:sz w:val="18"/>
                <w:szCs w:val="18"/>
              </w:rPr>
            </w:pPr>
            <w:r w:rsidRPr="004A6D9B">
              <w:rPr>
                <w:sz w:val="18"/>
                <w:szCs w:val="18"/>
              </w:rPr>
              <w:t>Regarding existing sub-contracts that providers may hold—such as the Employment Advisor element, which is sub-contracted and therefore not subject to TUPE—can you confirm whether these sub-contracts are expected to transfer alongside the main service, given that they form part of the overall Talking Therapies provision?</w:t>
            </w:r>
          </w:p>
        </w:tc>
        <w:tc>
          <w:tcPr>
            <w:tcW w:w="1718" w:type="pct"/>
          </w:tcPr>
          <w:p w14:paraId="2B38841F" w14:textId="77777777" w:rsidR="003057DA" w:rsidRDefault="003057DA">
            <w:pPr>
              <w:pStyle w:val="ListParagraph"/>
              <w:numPr>
                <w:ilvl w:val="0"/>
                <w:numId w:val="0"/>
              </w:numPr>
              <w:spacing w:before="60" w:after="60"/>
              <w:contextualSpacing w:val="0"/>
              <w:rPr>
                <w:sz w:val="18"/>
                <w:szCs w:val="18"/>
              </w:rPr>
            </w:pPr>
            <w:r w:rsidRPr="003E6F65">
              <w:rPr>
                <w:sz w:val="18"/>
                <w:szCs w:val="18"/>
              </w:rPr>
              <w:t>Please see Clarification Question 18</w:t>
            </w:r>
            <w:r>
              <w:rPr>
                <w:sz w:val="18"/>
                <w:szCs w:val="18"/>
              </w:rPr>
              <w:t xml:space="preserve"> [referring to TUPE data]</w:t>
            </w:r>
            <w:r w:rsidRPr="003E6F65">
              <w:rPr>
                <w:sz w:val="18"/>
                <w:szCs w:val="18"/>
              </w:rPr>
              <w:t>.</w:t>
            </w:r>
          </w:p>
          <w:p w14:paraId="323151C2" w14:textId="77777777" w:rsidR="003057DA" w:rsidRDefault="003057DA">
            <w:pPr>
              <w:pStyle w:val="ListParagraph"/>
              <w:numPr>
                <w:ilvl w:val="0"/>
                <w:numId w:val="0"/>
              </w:numPr>
              <w:spacing w:before="60" w:after="60"/>
              <w:contextualSpacing w:val="0"/>
              <w:rPr>
                <w:sz w:val="18"/>
                <w:szCs w:val="18"/>
              </w:rPr>
            </w:pPr>
            <w:r w:rsidRPr="003E6F65">
              <w:rPr>
                <w:sz w:val="18"/>
                <w:szCs w:val="18"/>
              </w:rPr>
              <w:t>Employment advisor roles are pass</w:t>
            </w:r>
            <w:r>
              <w:rPr>
                <w:sz w:val="18"/>
                <w:szCs w:val="18"/>
              </w:rPr>
              <w:t xml:space="preserve"> </w:t>
            </w:r>
            <w:r w:rsidRPr="003E6F65">
              <w:rPr>
                <w:sz w:val="18"/>
                <w:szCs w:val="18"/>
              </w:rPr>
              <w:t>through funding from DWP.</w:t>
            </w:r>
          </w:p>
          <w:p w14:paraId="291A57AB" w14:textId="77777777" w:rsidR="003057DA" w:rsidRDefault="003057DA">
            <w:pPr>
              <w:pStyle w:val="ListParagraph"/>
              <w:numPr>
                <w:ilvl w:val="0"/>
                <w:numId w:val="0"/>
              </w:numPr>
              <w:spacing w:before="60" w:after="60"/>
              <w:contextualSpacing w:val="0"/>
              <w:rPr>
                <w:sz w:val="18"/>
                <w:szCs w:val="18"/>
              </w:rPr>
            </w:pPr>
            <w:r w:rsidRPr="003E6F65">
              <w:rPr>
                <w:sz w:val="18"/>
                <w:szCs w:val="18"/>
              </w:rPr>
              <w:t>TUPE Data in relation to this tender from Providers is presented by the ICB in good faith, however, TUPE data has been identified by Providers in the first instance.</w:t>
            </w:r>
          </w:p>
          <w:p w14:paraId="72A20CF1" w14:textId="77777777" w:rsidR="003057DA" w:rsidRPr="000C64FD" w:rsidRDefault="003057DA">
            <w:pPr>
              <w:pStyle w:val="ListParagraph"/>
              <w:numPr>
                <w:ilvl w:val="0"/>
                <w:numId w:val="0"/>
              </w:numPr>
              <w:spacing w:before="60" w:after="60"/>
              <w:contextualSpacing w:val="0"/>
              <w:rPr>
                <w:sz w:val="18"/>
                <w:szCs w:val="18"/>
              </w:rPr>
            </w:pPr>
            <w:r w:rsidRPr="003E6F65">
              <w:rPr>
                <w:sz w:val="18"/>
                <w:szCs w:val="18"/>
              </w:rPr>
              <w:t>The updated TUPE Data now does not include Employment Advisors. The funding for these roles is from DWP and not the ICB.</w:t>
            </w:r>
          </w:p>
        </w:tc>
      </w:tr>
    </w:tbl>
    <w:p w14:paraId="5AAC5DCC" w14:textId="77777777" w:rsidR="003057DA" w:rsidRPr="00EA367E" w:rsidRDefault="003057DA" w:rsidP="003057DA">
      <w:pPr>
        <w:spacing w:before="60" w:after="360" w:line="240" w:lineRule="auto"/>
        <w:rPr>
          <w:sz w:val="16"/>
          <w:szCs w:val="16"/>
          <w:lang w:val="fr-FR"/>
        </w:rPr>
      </w:pPr>
      <w:r w:rsidRPr="00EA367E">
        <w:rPr>
          <w:sz w:val="16"/>
          <w:szCs w:val="16"/>
          <w:lang w:val="fr-FR"/>
        </w:rPr>
        <w:t xml:space="preserve">Source: MSE ICB, Clarification Questions Log version 5, 1 April 2025. </w:t>
      </w:r>
    </w:p>
    <w:p w14:paraId="01CA9BB1" w14:textId="35EF4819" w:rsidR="0085354B" w:rsidRPr="00363FE6" w:rsidRDefault="00E3033E" w:rsidP="00363FE6">
      <w:pPr>
        <w:pStyle w:val="ListParagraph"/>
        <w:numPr>
          <w:ilvl w:val="0"/>
          <w:numId w:val="1"/>
        </w:numPr>
        <w:spacing w:after="120"/>
        <w:contextualSpacing w:val="0"/>
      </w:pPr>
      <w:r w:rsidRPr="00363FE6">
        <w:t>EPUT</w:t>
      </w:r>
      <w:r w:rsidR="004032D5">
        <w:t>, in its proposal, includ</w:t>
      </w:r>
      <w:r w:rsidR="00D92D50">
        <w:t>ed</w:t>
      </w:r>
      <w:r w:rsidR="004032D5">
        <w:t xml:space="preserve"> the following in its</w:t>
      </w:r>
      <w:r w:rsidR="00E9550F">
        <w:t xml:space="preserve"> </w:t>
      </w:r>
      <w:r w:rsidRPr="00363FE6">
        <w:t>response to Question 2.3.1</w:t>
      </w:r>
      <w:r w:rsidR="0085354B" w:rsidRPr="00363FE6">
        <w:t>:</w:t>
      </w:r>
    </w:p>
    <w:p w14:paraId="54C37EA9" w14:textId="77777777" w:rsidR="0085354B" w:rsidRPr="004E1255" w:rsidRDefault="0085354B" w:rsidP="0085354B">
      <w:pPr>
        <w:pStyle w:val="ListParagraph"/>
        <w:numPr>
          <w:ilvl w:val="0"/>
          <w:numId w:val="0"/>
        </w:numPr>
        <w:ind w:left="851"/>
        <w:contextualSpacing w:val="0"/>
        <w:rPr>
          <w:sz w:val="21"/>
          <w:szCs w:val="21"/>
        </w:rPr>
      </w:pPr>
      <w:r w:rsidRPr="00363FE6">
        <w:rPr>
          <w:sz w:val="21"/>
          <w:szCs w:val="21"/>
        </w:rPr>
        <w:lastRenderedPageBreak/>
        <w:t>“Assuming investment will continue from the Department of Work &amp; Pensions (DWP) EPUT will provide employment advisory support to all patients that access the service and this will be offered at the point of referral through to treatment, to ensure that this offer is aligned to treatment interventions.”</w:t>
      </w:r>
    </w:p>
    <w:p w14:paraId="6ADEFD6D" w14:textId="152E7C50" w:rsidR="0085354B" w:rsidRPr="004354B8" w:rsidRDefault="0085354B" w:rsidP="00363FE6">
      <w:pPr>
        <w:pStyle w:val="ListParagraph"/>
        <w:numPr>
          <w:ilvl w:val="0"/>
          <w:numId w:val="1"/>
        </w:numPr>
        <w:spacing w:after="120"/>
        <w:contextualSpacing w:val="0"/>
      </w:pPr>
      <w:r w:rsidRPr="004354B8">
        <w:t>MSE ICB</w:t>
      </w:r>
      <w:r w:rsidR="004032D5">
        <w:t xml:space="preserve">, in its tender outcome letter to EPUT, included the following </w:t>
      </w:r>
      <w:r w:rsidRPr="004354B8">
        <w:t xml:space="preserve">feedback </w:t>
      </w:r>
      <w:r w:rsidR="004032D5">
        <w:t>in relation to t</w:t>
      </w:r>
      <w:r w:rsidR="00577B02">
        <w:t>he relevant part of Questions 2.3.1</w:t>
      </w:r>
      <w:r w:rsidRPr="004354B8">
        <w:t>:</w:t>
      </w:r>
    </w:p>
    <w:p w14:paraId="07AD1BE3" w14:textId="77777777" w:rsidR="0085354B" w:rsidRPr="006F12E4" w:rsidRDefault="0085354B" w:rsidP="00AC5E3F">
      <w:pPr>
        <w:pStyle w:val="ListParagraph"/>
        <w:numPr>
          <w:ilvl w:val="0"/>
          <w:numId w:val="0"/>
        </w:numPr>
        <w:spacing w:line="276" w:lineRule="auto"/>
        <w:ind w:left="851"/>
        <w:contextualSpacing w:val="0"/>
        <w:rPr>
          <w:sz w:val="21"/>
          <w:szCs w:val="21"/>
        </w:rPr>
      </w:pPr>
      <w:r w:rsidRPr="006F12E4">
        <w:rPr>
          <w:sz w:val="21"/>
          <w:szCs w:val="21"/>
        </w:rPr>
        <w:t>“The response was found to have outlined a high-level approach to expansion of access for unemployed individuals. This approach was found to have been in alignment with DWP funding assumptions. It was noted that this approach would be integrated within the care pathway from the point of referral. The evaluation panel noted that this role was described within the response as being within the DWP funding provision and it was unclear to the panel how the Bidder would meet the TT-Manual requirements without the provision of funding from DWP. Further detail may have further benefited the response.”</w:t>
      </w:r>
      <w:r>
        <w:rPr>
          <w:rStyle w:val="FootnoteReference"/>
          <w:sz w:val="21"/>
          <w:szCs w:val="21"/>
        </w:rPr>
        <w:footnoteReference w:id="61"/>
      </w:r>
    </w:p>
    <w:p w14:paraId="426C745D" w14:textId="0DCE8E9D" w:rsidR="00B171AC" w:rsidRDefault="00B87160" w:rsidP="00AC5E3F">
      <w:pPr>
        <w:pStyle w:val="ListParagraph"/>
        <w:numPr>
          <w:ilvl w:val="0"/>
          <w:numId w:val="1"/>
        </w:numPr>
        <w:spacing w:line="276" w:lineRule="auto"/>
        <w:contextualSpacing w:val="0"/>
      </w:pPr>
      <w:r>
        <w:t xml:space="preserve">EPUT, in its </w:t>
      </w:r>
      <w:r w:rsidRPr="00197104">
        <w:t xml:space="preserve">representations to </w:t>
      </w:r>
      <w:r w:rsidR="00E66827" w:rsidRPr="00197104">
        <w:t>MSE ICB</w:t>
      </w:r>
      <w:r w:rsidRPr="00197104">
        <w:t>, said</w:t>
      </w:r>
      <w:r>
        <w:t xml:space="preserve"> that this feedback contradicted </w:t>
      </w:r>
      <w:r w:rsidR="00B32E60">
        <w:t xml:space="preserve">MSE ICB’s response to the CQs because </w:t>
      </w:r>
      <w:r w:rsidR="0082485A">
        <w:t>“</w:t>
      </w:r>
      <w:r w:rsidR="0082485A" w:rsidRPr="0033137C">
        <w:t>there was no requirement for bidders to set out how they would meet the TT-Manual requirements without the provision of funding from DWP</w:t>
      </w:r>
      <w:r w:rsidR="0082485A">
        <w:t xml:space="preserve">” (see paragraph </w:t>
      </w:r>
      <w:r w:rsidR="00AA1142">
        <w:fldChar w:fldCharType="begin"/>
      </w:r>
      <w:r w:rsidR="00AA1142">
        <w:instrText xml:space="preserve"> REF _Ref206752464 \r \h </w:instrText>
      </w:r>
      <w:r w:rsidR="00AA1142">
        <w:fldChar w:fldCharType="separate"/>
      </w:r>
      <w:r w:rsidR="00437D90">
        <w:t>135</w:t>
      </w:r>
      <w:r w:rsidR="00AA1142">
        <w:fldChar w:fldCharType="end"/>
      </w:r>
      <w:r w:rsidR="0082485A">
        <w:t>).</w:t>
      </w:r>
    </w:p>
    <w:p w14:paraId="51964863" w14:textId="05F0D564" w:rsidR="00E70D65" w:rsidRDefault="00E70D65" w:rsidP="00AC5E3F">
      <w:pPr>
        <w:pStyle w:val="ListParagraph"/>
        <w:numPr>
          <w:ilvl w:val="0"/>
          <w:numId w:val="1"/>
        </w:numPr>
        <w:spacing w:line="276" w:lineRule="auto"/>
        <w:contextualSpacing w:val="0"/>
      </w:pPr>
      <w:r>
        <w:t xml:space="preserve">The Panel notes that </w:t>
      </w:r>
      <w:r w:rsidR="00315A22">
        <w:t xml:space="preserve">the </w:t>
      </w:r>
      <w:r w:rsidR="009B7869" w:rsidRPr="009B7869">
        <w:t xml:space="preserve">nationally published NHS Talking Therapies Manual </w:t>
      </w:r>
      <w:r w:rsidR="00FE05B6">
        <w:t>(</w:t>
      </w:r>
      <w:r w:rsidR="00315A22">
        <w:t>NHSTT Manual</w:t>
      </w:r>
      <w:r w:rsidR="00FE05B6">
        <w:t>)</w:t>
      </w:r>
      <w:r w:rsidR="00315A22">
        <w:t xml:space="preserve"> </w:t>
      </w:r>
      <w:r w:rsidR="00F407EA">
        <w:t xml:space="preserve">reflects an expectation that </w:t>
      </w:r>
      <w:r w:rsidR="00F407EA" w:rsidRPr="001F49B0">
        <w:t>employment advice should be delivered as a core part of the service, with employment advisors working alongside NHSTT therapists.</w:t>
      </w:r>
      <w:r w:rsidR="00F407EA">
        <w:t xml:space="preserve"> For example, the Manual s</w:t>
      </w:r>
      <w:r w:rsidR="0003389C">
        <w:t>ays, “</w:t>
      </w:r>
      <w:r w:rsidR="0003389C" w:rsidRPr="0003389C">
        <w:t>We now expect about 15% of people who complete NHS Talking Therapies treatment to take up combined treatment and employment support … There is employment advice in the NHS Talking Therapies service model and there is scope to adapt aspects of service delivery at a local level</w:t>
      </w:r>
      <w:r w:rsidR="0003389C">
        <w:t>”.</w:t>
      </w:r>
      <w:r w:rsidR="00830260">
        <w:rPr>
          <w:rStyle w:val="FootnoteReference"/>
        </w:rPr>
        <w:footnoteReference w:id="62"/>
      </w:r>
    </w:p>
    <w:p w14:paraId="00A8C762" w14:textId="27534EF8" w:rsidR="00620FBE" w:rsidRDefault="00195414" w:rsidP="00AC5E3F">
      <w:pPr>
        <w:pStyle w:val="ListParagraph"/>
        <w:numPr>
          <w:ilvl w:val="0"/>
          <w:numId w:val="1"/>
        </w:numPr>
        <w:spacing w:line="276" w:lineRule="auto"/>
        <w:contextualSpacing w:val="0"/>
      </w:pPr>
      <w:r>
        <w:t xml:space="preserve">However, the Panel also notes that </w:t>
      </w:r>
      <w:r w:rsidR="00620FBE">
        <w:t xml:space="preserve">MSE ICB’s service specification says that </w:t>
      </w:r>
      <w:r w:rsidR="00830260" w:rsidRPr="00830260">
        <w:t xml:space="preserve">the "provider should adhere to" the NHSTT Manual, which “describes the NHSTT model in detail” and “provides key operational guidance that all NHSTT services should follow”. It further says, “As part of the model of NHSTT provision, the service will incorporate Employment Advisors and Senior Employment Advisors (as per the NHSTT Manual) and associated funding released to Mid and South Essex ICB for this purpose. The employment </w:t>
      </w:r>
      <w:r w:rsidR="002B30A5">
        <w:t>a</w:t>
      </w:r>
      <w:r w:rsidR="00830260" w:rsidRPr="00830260">
        <w:t>dvice offer within the service will follow the model and reporting set out in the national specification.”</w:t>
      </w:r>
      <w:r w:rsidR="00830260" w:rsidRPr="00830260">
        <w:rPr>
          <w:rStyle w:val="FootnoteReference"/>
        </w:rPr>
        <w:footnoteReference w:id="63"/>
      </w:r>
    </w:p>
    <w:p w14:paraId="2C431B1A" w14:textId="632A2442" w:rsidR="005E51D0" w:rsidRDefault="00AE003F" w:rsidP="00AC5E3F">
      <w:pPr>
        <w:pStyle w:val="ListParagraph"/>
        <w:numPr>
          <w:ilvl w:val="0"/>
          <w:numId w:val="1"/>
        </w:numPr>
        <w:spacing w:line="276" w:lineRule="auto"/>
        <w:contextualSpacing w:val="0"/>
      </w:pPr>
      <w:r>
        <w:t>The Panel’s view is that, g</w:t>
      </w:r>
      <w:r w:rsidR="007A60E9">
        <w:t>iven the service specification</w:t>
      </w:r>
      <w:r w:rsidR="004A77F2">
        <w:t xml:space="preserve"> says that “the service will incorporate Employment Advisors and </w:t>
      </w:r>
      <w:r w:rsidR="004A77F2" w:rsidRPr="00830260">
        <w:t>Senior Employment Advisors (as per the NHSTT Manual) and associated funding released to Mid and South Essex ICB for this purpose</w:t>
      </w:r>
      <w:r w:rsidR="004A77F2">
        <w:t xml:space="preserve">”, it </w:t>
      </w:r>
      <w:r w:rsidR="006C6C09">
        <w:t>was</w:t>
      </w:r>
      <w:r w:rsidR="00463D13">
        <w:t xml:space="preserve"> </w:t>
      </w:r>
      <w:r w:rsidR="00F60FA6">
        <w:t xml:space="preserve">unreasonable for MSE ICB to </w:t>
      </w:r>
      <w:r w:rsidR="00F30FD8">
        <w:t xml:space="preserve">criticise </w:t>
      </w:r>
      <w:r w:rsidR="00F60FA6">
        <w:t xml:space="preserve">EPUT’s response </w:t>
      </w:r>
      <w:r>
        <w:t xml:space="preserve">based </w:t>
      </w:r>
      <w:r w:rsidR="00F60FA6">
        <w:t xml:space="preserve">on </w:t>
      </w:r>
      <w:r>
        <w:t xml:space="preserve">it not </w:t>
      </w:r>
      <w:r w:rsidR="006C6C09">
        <w:t xml:space="preserve">taking account of the possibility </w:t>
      </w:r>
      <w:r w:rsidR="00F60FA6">
        <w:t xml:space="preserve">of this funding not continuing. This is particularly the case when CQ10 specifically asked whether this funding would continue, and MSE ICB in its response did not </w:t>
      </w:r>
      <w:r w:rsidR="00DB6453">
        <w:t>suggest that there was a risk of it not continuing.</w:t>
      </w:r>
    </w:p>
    <w:p w14:paraId="0E351158" w14:textId="4B430AFE" w:rsidR="004771FC" w:rsidRDefault="00231849" w:rsidP="00F84928">
      <w:pPr>
        <w:pStyle w:val="ListParagraph"/>
        <w:numPr>
          <w:ilvl w:val="0"/>
          <w:numId w:val="1"/>
        </w:numPr>
        <w:spacing w:line="276" w:lineRule="auto"/>
        <w:contextualSpacing w:val="0"/>
      </w:pPr>
      <w:r>
        <w:t xml:space="preserve">The Panel further notes that EPUT’s concerns about the evaluation and scoring of its response to Question 2.3.1 relate to only one </w:t>
      </w:r>
      <w:r w:rsidR="00842ACD">
        <w:t xml:space="preserve">out of five parts to this </w:t>
      </w:r>
      <w:r>
        <w:t>qu</w:t>
      </w:r>
      <w:r w:rsidR="00842ACD">
        <w:t xml:space="preserve">estion. </w:t>
      </w:r>
      <w:r w:rsidR="00800ACA">
        <w:lastRenderedPageBreak/>
        <w:t xml:space="preserve">However, the Panel cannot be confident that </w:t>
      </w:r>
      <w:r w:rsidR="0076788C">
        <w:t xml:space="preserve">if </w:t>
      </w:r>
      <w:r w:rsidR="00800ACA">
        <w:t>MSE ICB</w:t>
      </w:r>
      <w:r w:rsidR="0076788C">
        <w:t xml:space="preserve"> had </w:t>
      </w:r>
      <w:r w:rsidR="007230B9">
        <w:t xml:space="preserve">disregarded this point </w:t>
      </w:r>
      <w:r w:rsidR="0076788C">
        <w:t xml:space="preserve">it might </w:t>
      </w:r>
      <w:r w:rsidR="005D07EF">
        <w:t xml:space="preserve">not </w:t>
      </w:r>
      <w:r w:rsidR="0076788C">
        <w:t xml:space="preserve">have awarded EPUT </w:t>
      </w:r>
      <w:r w:rsidR="004771FC">
        <w:t>a higher score.</w:t>
      </w:r>
    </w:p>
    <w:p w14:paraId="36F6885F" w14:textId="4B9AC742" w:rsidR="00B96D8A" w:rsidRDefault="00DE7D83" w:rsidP="00F00B4B">
      <w:pPr>
        <w:keepNext/>
        <w:spacing w:before="240"/>
      </w:pPr>
      <w:r>
        <w:rPr>
          <w:b/>
          <w:bCs/>
        </w:rPr>
        <w:t>A</w:t>
      </w:r>
      <w:r w:rsidR="00B96D8A" w:rsidRPr="00842A21">
        <w:rPr>
          <w:b/>
          <w:bCs/>
        </w:rPr>
        <w:t>bsence of an evaluator during moderation</w:t>
      </w:r>
    </w:p>
    <w:p w14:paraId="4826CFF0" w14:textId="20142153" w:rsidR="000217C6" w:rsidRDefault="00B77882" w:rsidP="00A8601F">
      <w:pPr>
        <w:pStyle w:val="ListParagraph"/>
        <w:numPr>
          <w:ilvl w:val="0"/>
          <w:numId w:val="1"/>
        </w:numPr>
        <w:spacing w:line="276" w:lineRule="auto"/>
        <w:contextualSpacing w:val="0"/>
      </w:pPr>
      <w:bookmarkStart w:id="51" w:name="_Ref207110645"/>
      <w:r w:rsidRPr="00EE5025">
        <w:t>EPUT told the Panel “that the absence of 1 of the 4 evaluators might have altered the discussion taking place at the moderation meeting” (see paragraph</w:t>
      </w:r>
      <w:r w:rsidR="006B2E2A">
        <w:t xml:space="preserve"> </w:t>
      </w:r>
      <w:r w:rsidR="0020228D">
        <w:fldChar w:fldCharType="begin"/>
      </w:r>
      <w:r w:rsidR="0020228D">
        <w:instrText xml:space="preserve"> REF _Ref206683815 \r \h </w:instrText>
      </w:r>
      <w:r w:rsidR="0020228D">
        <w:fldChar w:fldCharType="separate"/>
      </w:r>
      <w:r w:rsidR="00437D90">
        <w:t>137</w:t>
      </w:r>
      <w:r w:rsidR="0020228D">
        <w:fldChar w:fldCharType="end"/>
      </w:r>
      <w:r w:rsidRPr="00EE5025">
        <w:t>).</w:t>
      </w:r>
      <w:bookmarkEnd w:id="51"/>
    </w:p>
    <w:p w14:paraId="5FAE69E8" w14:textId="4E1A0557" w:rsidR="00B77882" w:rsidRPr="00EE5025" w:rsidRDefault="009C09DE" w:rsidP="00A8601F">
      <w:pPr>
        <w:pStyle w:val="ListParagraph"/>
        <w:numPr>
          <w:ilvl w:val="0"/>
          <w:numId w:val="1"/>
        </w:numPr>
        <w:spacing w:line="276" w:lineRule="auto"/>
        <w:contextualSpacing w:val="0"/>
      </w:pPr>
      <w:r>
        <w:t>MSE ICB</w:t>
      </w:r>
      <w:r w:rsidR="00AC70C8">
        <w:t>, in response,</w:t>
      </w:r>
      <w:r>
        <w:t xml:space="preserve"> told the </w:t>
      </w:r>
      <w:r w:rsidRPr="00307E0C">
        <w:t>Pane</w:t>
      </w:r>
      <w:r>
        <w:t xml:space="preserve">l that </w:t>
      </w:r>
      <w:r w:rsidR="00CF2F7C">
        <w:t xml:space="preserve">the </w:t>
      </w:r>
      <w:r>
        <w:t xml:space="preserve">evaluator’s absence from the moderation meeting was managed through the procurement lead presenting the evaluator’s feedback. </w:t>
      </w:r>
      <w:r w:rsidR="00883475">
        <w:t>T</w:t>
      </w:r>
      <w:r>
        <w:t>he notes for the m</w:t>
      </w:r>
      <w:r w:rsidR="00B77882" w:rsidRPr="00EE5025">
        <w:t>oderation meeting</w:t>
      </w:r>
      <w:r w:rsidR="00883475">
        <w:t xml:space="preserve"> </w:t>
      </w:r>
      <w:r w:rsidR="00462FE3">
        <w:t xml:space="preserve">say that apologies for the meeting were </w:t>
      </w:r>
      <w:r w:rsidR="00862155" w:rsidRPr="003A602A">
        <w:t>received from</w:t>
      </w:r>
      <w:r w:rsidR="00862155">
        <w:t xml:space="preserve"> Evaluator 4, explaining that the evaluator</w:t>
      </w:r>
      <w:r w:rsidR="00B77882" w:rsidRPr="00EE5025">
        <w:t xml:space="preserve"> “met with [Procurement </w:t>
      </w:r>
      <w:r w:rsidR="00B70EDD">
        <w:t>lead</w:t>
      </w:r>
      <w:r w:rsidR="00B77882" w:rsidRPr="00EE5025">
        <w:t xml:space="preserve">] before moderation session to discuss and permission received for [Procurement </w:t>
      </w:r>
      <w:r w:rsidR="00B70EDD">
        <w:t>lead</w:t>
      </w:r>
      <w:r w:rsidR="00B77882" w:rsidRPr="00EE5025">
        <w:t>] to present Evaluator 4 feedback to the [evaluation] panel on Evaluator 4 behalf”.</w:t>
      </w:r>
      <w:r w:rsidR="00B77882" w:rsidRPr="00EE5025">
        <w:rPr>
          <w:rStyle w:val="FootnoteReference"/>
        </w:rPr>
        <w:footnoteReference w:id="64"/>
      </w:r>
    </w:p>
    <w:p w14:paraId="53A80C27" w14:textId="50468901" w:rsidR="0020637B" w:rsidRDefault="001D235E">
      <w:pPr>
        <w:pStyle w:val="ListParagraph"/>
        <w:numPr>
          <w:ilvl w:val="0"/>
          <w:numId w:val="1"/>
        </w:numPr>
        <w:spacing w:after="120" w:line="276" w:lineRule="auto"/>
        <w:contextualSpacing w:val="0"/>
      </w:pPr>
      <w:r>
        <w:t>MSE ICB</w:t>
      </w:r>
      <w:r w:rsidR="0059156F">
        <w:t xml:space="preserve"> </w:t>
      </w:r>
      <w:r w:rsidR="008D527A">
        <w:t xml:space="preserve">further </w:t>
      </w:r>
      <w:r w:rsidR="0059156F">
        <w:t xml:space="preserve">told </w:t>
      </w:r>
      <w:r w:rsidR="00DB3EE9">
        <w:t xml:space="preserve">the </w:t>
      </w:r>
      <w:r w:rsidR="00DB3EE9" w:rsidRPr="00307E0C">
        <w:t>Pane</w:t>
      </w:r>
      <w:r w:rsidR="0059156F">
        <w:t>l that</w:t>
      </w:r>
      <w:r w:rsidR="0072708E">
        <w:t xml:space="preserve"> at the meeting a consensus narrative and score were reached at the moderation meeting but this was not finalised until </w:t>
      </w:r>
      <w:r w:rsidR="009E64D5">
        <w:t xml:space="preserve">Evaluator 4 </w:t>
      </w:r>
      <w:r w:rsidR="00D00A98">
        <w:t>confirmed that they were comfortable with the</w:t>
      </w:r>
      <w:r w:rsidR="00250444">
        <w:t>se outcomes</w:t>
      </w:r>
      <w:r w:rsidR="00B46CA4">
        <w:t xml:space="preserve">, and that if </w:t>
      </w:r>
      <w:r w:rsidR="00C32006">
        <w:t>Ev</w:t>
      </w:r>
      <w:r w:rsidR="00B46CA4">
        <w:t xml:space="preserve">aluator </w:t>
      </w:r>
      <w:r w:rsidR="00C32006">
        <w:t xml:space="preserve">4 </w:t>
      </w:r>
      <w:r w:rsidR="00B46CA4">
        <w:t xml:space="preserve">had not been comfortable with these outcomes then </w:t>
      </w:r>
      <w:r w:rsidR="007D38E0">
        <w:t>a further moderation meeting would have been scheduled</w:t>
      </w:r>
      <w:r w:rsidR="004B3277">
        <w:t>.</w:t>
      </w:r>
      <w:r w:rsidR="004B3277">
        <w:rPr>
          <w:rStyle w:val="FootnoteReference"/>
        </w:rPr>
        <w:footnoteReference w:id="65"/>
      </w:r>
      <w:r w:rsidR="00905FB8">
        <w:t xml:space="preserve"> </w:t>
      </w:r>
      <w:bookmarkStart w:id="52" w:name="_Ref205820752"/>
      <w:r w:rsidR="0020637B">
        <w:t xml:space="preserve">The Panel </w:t>
      </w:r>
      <w:r w:rsidR="0049261A">
        <w:t>notes that</w:t>
      </w:r>
      <w:r w:rsidR="00D0248B">
        <w:t xml:space="preserve">, prior to the moderation meeting, </w:t>
      </w:r>
      <w:r w:rsidR="0020637B" w:rsidRPr="007016DC">
        <w:t>Evaluator 4 individually awarded EPUT a score of 3 (Adequate)</w:t>
      </w:r>
      <w:r w:rsidR="0020637B">
        <w:t xml:space="preserve">, which </w:t>
      </w:r>
      <w:r w:rsidR="00D0248B">
        <w:t>was</w:t>
      </w:r>
      <w:r w:rsidR="0020637B" w:rsidRPr="007016DC">
        <w:t xml:space="preserve"> consistent with the moderated score</w:t>
      </w:r>
      <w:r w:rsidR="0020637B">
        <w:t>.</w:t>
      </w:r>
    </w:p>
    <w:p w14:paraId="47F824D6" w14:textId="3CF91823" w:rsidR="00561A91" w:rsidRPr="00404336" w:rsidRDefault="00DD4374" w:rsidP="00992B1D">
      <w:pPr>
        <w:pStyle w:val="ListParagraph"/>
        <w:numPr>
          <w:ilvl w:val="0"/>
          <w:numId w:val="1"/>
        </w:numPr>
        <w:spacing w:line="276" w:lineRule="auto"/>
        <w:contextualSpacing w:val="0"/>
      </w:pPr>
      <w:r w:rsidRPr="00FD0CAA">
        <w:t>The Panel</w:t>
      </w:r>
      <w:r w:rsidR="00905FB8">
        <w:t xml:space="preserve"> </w:t>
      </w:r>
      <w:r w:rsidR="00A72EDA">
        <w:t xml:space="preserve">notes that </w:t>
      </w:r>
      <w:r w:rsidR="0024476A">
        <w:t xml:space="preserve">an evaluator’s absence from a moderation meeting </w:t>
      </w:r>
      <w:r w:rsidR="000B3A94">
        <w:t xml:space="preserve">is </w:t>
      </w:r>
      <w:r w:rsidRPr="00FD0CAA">
        <w:t xml:space="preserve">occasionally </w:t>
      </w:r>
      <w:r w:rsidR="000B3A94">
        <w:t>un</w:t>
      </w:r>
      <w:r w:rsidRPr="00FD0CAA">
        <w:t>avoidable</w:t>
      </w:r>
      <w:r w:rsidR="00594778">
        <w:t>, and that MSE ICB mitigate</w:t>
      </w:r>
      <w:r w:rsidR="00D4001F">
        <w:t>d</w:t>
      </w:r>
      <w:r w:rsidR="00B22033">
        <w:t xml:space="preserve"> the effects of</w:t>
      </w:r>
      <w:r w:rsidR="00594778">
        <w:t xml:space="preserve"> the evaluator’s absence by</w:t>
      </w:r>
      <w:r w:rsidR="00D4001F">
        <w:t>: (i)</w:t>
      </w:r>
      <w:r w:rsidR="00594778">
        <w:t xml:space="preserve"> ensuring their </w:t>
      </w:r>
      <w:r w:rsidR="00932C9E">
        <w:t>individual scoring and rationale</w:t>
      </w:r>
      <w:r w:rsidR="00594778">
        <w:t xml:space="preserve"> was shared with the </w:t>
      </w:r>
      <w:r w:rsidR="00561A91">
        <w:t xml:space="preserve">remaining </w:t>
      </w:r>
      <w:r w:rsidR="000A177D">
        <w:t>evaluators</w:t>
      </w:r>
      <w:r w:rsidR="00D4001F">
        <w:t xml:space="preserve">; (ii) ensuring the </w:t>
      </w:r>
      <w:r w:rsidR="00642610">
        <w:t xml:space="preserve">absent </w:t>
      </w:r>
      <w:r w:rsidR="00D4001F">
        <w:t xml:space="preserve">evaluator </w:t>
      </w:r>
      <w:r w:rsidR="003411CF">
        <w:t xml:space="preserve">was </w:t>
      </w:r>
      <w:r w:rsidR="00642610">
        <w:t>happy with the evaluation meeting outcome; and (iii) providing for the possibility of a further moderation meeting if the absent evaluator had not been happy with the evaluation meeting outcome.</w:t>
      </w:r>
      <w:r w:rsidR="00C53170" w:rsidRPr="00C53170">
        <w:t xml:space="preserve"> </w:t>
      </w:r>
      <w:r w:rsidR="00C53170">
        <w:t>Moreover</w:t>
      </w:r>
      <w:r w:rsidR="00C53170" w:rsidRPr="00BA2FEF">
        <w:t xml:space="preserve">, the Panel </w:t>
      </w:r>
      <w:r w:rsidR="00C53170">
        <w:t xml:space="preserve">notes that </w:t>
      </w:r>
      <w:r w:rsidR="00C53170" w:rsidRPr="00BA2FEF">
        <w:t xml:space="preserve">EPUT </w:t>
      </w:r>
      <w:r w:rsidR="00C53170">
        <w:t xml:space="preserve">does not appear to have been </w:t>
      </w:r>
      <w:r w:rsidR="00C53170" w:rsidRPr="00BA2FEF">
        <w:t xml:space="preserve">disadvantaged by </w:t>
      </w:r>
      <w:r w:rsidR="00C53170">
        <w:t>the evaluator’s absence</w:t>
      </w:r>
      <w:r w:rsidR="00C53170" w:rsidRPr="00BA2FEF">
        <w:t xml:space="preserve">, given their individual score was consistent with the </w:t>
      </w:r>
      <w:r w:rsidR="00C53170" w:rsidRPr="00404336">
        <w:t>consensus score.</w:t>
      </w:r>
    </w:p>
    <w:p w14:paraId="75F00F4C" w14:textId="5EBA7C4A" w:rsidR="00AE466B" w:rsidRPr="00404336" w:rsidRDefault="00974B7F" w:rsidP="00992B1D">
      <w:pPr>
        <w:pStyle w:val="ListParagraph"/>
        <w:numPr>
          <w:ilvl w:val="0"/>
          <w:numId w:val="1"/>
        </w:numPr>
        <w:spacing w:line="276" w:lineRule="auto"/>
        <w:contextualSpacing w:val="0"/>
      </w:pPr>
      <w:bookmarkStart w:id="53" w:name="_Ref206757710"/>
      <w:r w:rsidRPr="00404336">
        <w:t xml:space="preserve">The Panel </w:t>
      </w:r>
      <w:r w:rsidR="003C2F13" w:rsidRPr="00404336">
        <w:t>notes</w:t>
      </w:r>
      <w:r w:rsidR="00530C4A" w:rsidRPr="00404336">
        <w:t xml:space="preserve"> </w:t>
      </w:r>
      <w:r w:rsidR="008D2499" w:rsidRPr="00404336">
        <w:t xml:space="preserve">that </w:t>
      </w:r>
      <w:r w:rsidR="004C3352" w:rsidRPr="00404336">
        <w:t xml:space="preserve">whilst MSE ICB </w:t>
      </w:r>
      <w:r w:rsidR="008D2F95" w:rsidRPr="00404336">
        <w:t>mitigated the effects of the evaluator’s absence</w:t>
      </w:r>
      <w:r w:rsidR="006E50B4" w:rsidRPr="00404336">
        <w:t xml:space="preserve">, its </w:t>
      </w:r>
      <w:r w:rsidR="00E07F63" w:rsidRPr="00404336">
        <w:t>records could have provided further detail in relation to</w:t>
      </w:r>
      <w:r w:rsidR="000269F3" w:rsidRPr="00404336">
        <w:t xml:space="preserve"> </w:t>
      </w:r>
      <w:r w:rsidR="006E50B4" w:rsidRPr="00404336">
        <w:t>this point</w:t>
      </w:r>
      <w:r w:rsidR="00E07F63" w:rsidRPr="00404336">
        <w:t>, such as the date</w:t>
      </w:r>
      <w:r w:rsidR="00927AE9">
        <w:t xml:space="preserve"> and </w:t>
      </w:r>
      <w:r w:rsidR="00E07F63" w:rsidRPr="00404336">
        <w:t>method in which Evaluator 4 confirmed their agreement with the outline consensus score</w:t>
      </w:r>
      <w:r w:rsidR="004055D5" w:rsidRPr="00404336">
        <w:t>.</w:t>
      </w:r>
      <w:bookmarkEnd w:id="53"/>
    </w:p>
    <w:p w14:paraId="6E7C1A6A" w14:textId="285A07B2" w:rsidR="003C11AF" w:rsidRPr="000B7416" w:rsidRDefault="00C53170" w:rsidP="000B7416">
      <w:pPr>
        <w:pStyle w:val="ListParagraph"/>
        <w:numPr>
          <w:ilvl w:val="0"/>
          <w:numId w:val="1"/>
        </w:numPr>
        <w:spacing w:line="276" w:lineRule="auto"/>
        <w:contextualSpacing w:val="0"/>
      </w:pPr>
      <w:bookmarkStart w:id="54" w:name="_Ref207110673"/>
      <w:bookmarkEnd w:id="52"/>
      <w:r>
        <w:t>As a result, the Pa</w:t>
      </w:r>
      <w:r w:rsidR="0044791C">
        <w:t>nel</w:t>
      </w:r>
      <w:r w:rsidR="00FE02FB">
        <w:t xml:space="preserve"> finds </w:t>
      </w:r>
      <w:r w:rsidR="0044791C">
        <w:t xml:space="preserve">that </w:t>
      </w:r>
      <w:r w:rsidR="00126619">
        <w:t xml:space="preserve">the </w:t>
      </w:r>
      <w:r w:rsidR="00435A91">
        <w:t xml:space="preserve">evaluator’s absence from the moderation meeting for Question 2.3.1 did not give rise to a breach of the PSR regulations, and in </w:t>
      </w:r>
      <w:r w:rsidR="00435A91" w:rsidRPr="000B7416">
        <w:t>particular the obligation on MSE ICB to act fairly.</w:t>
      </w:r>
      <w:r w:rsidR="00D16E81" w:rsidRPr="000B7416">
        <w:t xml:space="preserve"> However, </w:t>
      </w:r>
      <w:r w:rsidR="005F1F94" w:rsidRPr="000B7416">
        <w:t>the Panel</w:t>
      </w:r>
      <w:r w:rsidR="00551560" w:rsidRPr="000B7416">
        <w:t xml:space="preserve"> consider</w:t>
      </w:r>
      <w:r w:rsidR="000B7416" w:rsidRPr="000B7416">
        <w:t>s</w:t>
      </w:r>
      <w:r w:rsidR="00551560" w:rsidRPr="000B7416">
        <w:t xml:space="preserve"> that </w:t>
      </w:r>
      <w:r w:rsidR="006F4F51" w:rsidRPr="000B7416">
        <w:t>MSE ICB</w:t>
      </w:r>
      <w:r w:rsidR="0085427C" w:rsidRPr="000B7416">
        <w:t>’s</w:t>
      </w:r>
      <w:r w:rsidR="00D16E81" w:rsidRPr="000B7416">
        <w:t xml:space="preserve"> recordkeeping</w:t>
      </w:r>
      <w:r w:rsidR="0085427C" w:rsidRPr="000B7416">
        <w:t xml:space="preserve"> could </w:t>
      </w:r>
      <w:r w:rsidR="00253A14" w:rsidRPr="000B7416">
        <w:t xml:space="preserve">have been </w:t>
      </w:r>
      <w:r w:rsidR="004C3352" w:rsidRPr="000B7416">
        <w:t>more detailed</w:t>
      </w:r>
      <w:r w:rsidR="005C00E9" w:rsidRPr="000B7416">
        <w:t xml:space="preserve"> </w:t>
      </w:r>
      <w:r w:rsidR="0043007B" w:rsidRPr="000B7416">
        <w:t>on this matter</w:t>
      </w:r>
      <w:r w:rsidR="00253A14" w:rsidRPr="000B7416">
        <w:t>.</w:t>
      </w:r>
      <w:bookmarkEnd w:id="54"/>
    </w:p>
    <w:p w14:paraId="72D4BF58" w14:textId="04E006EB" w:rsidR="00B96D8A" w:rsidRPr="00B96D8A" w:rsidRDefault="00B96D8A" w:rsidP="00404336">
      <w:pPr>
        <w:keepNext/>
        <w:spacing w:before="240"/>
        <w:rPr>
          <w:b/>
          <w:bCs/>
        </w:rPr>
      </w:pPr>
      <w:r>
        <w:rPr>
          <w:b/>
          <w:bCs/>
        </w:rPr>
        <w:t>I</w:t>
      </w:r>
      <w:r w:rsidRPr="00B96D8A">
        <w:rPr>
          <w:b/>
          <w:bCs/>
        </w:rPr>
        <w:t>ssues in calculating scores</w:t>
      </w:r>
    </w:p>
    <w:p w14:paraId="2BD444CC" w14:textId="7DE99B2F" w:rsidR="00EA1000" w:rsidRPr="00693C69" w:rsidRDefault="00EA1000" w:rsidP="00992B1D">
      <w:pPr>
        <w:pStyle w:val="ListParagraph"/>
        <w:numPr>
          <w:ilvl w:val="0"/>
          <w:numId w:val="1"/>
        </w:numPr>
        <w:spacing w:after="120" w:line="276" w:lineRule="auto"/>
        <w:contextualSpacing w:val="0"/>
      </w:pPr>
      <w:r w:rsidRPr="00E455DC">
        <w:t>EPUT told the Panel that</w:t>
      </w:r>
      <w:r w:rsidR="00180696" w:rsidRPr="00E455DC">
        <w:t xml:space="preserve"> </w:t>
      </w:r>
      <w:r w:rsidR="007D3E10" w:rsidRPr="00E455DC">
        <w:t xml:space="preserve">“the complicated calculation of ‘raw’ weightings and ‘total’ weightings as described in Table C in Doc 1 – Competitive Process Overview (where the individually listed example percentages in the table for 2.3.1, 2.4.1 and 2.5.1 do not </w:t>
      </w:r>
      <w:r w:rsidR="007D3E10" w:rsidRPr="00E455DC">
        <w:lastRenderedPageBreak/>
        <w:t xml:space="preserve">add up to the example subtotal ‘raw’ and total weighting figures stated in that table) </w:t>
      </w:r>
      <w:r w:rsidR="007D3E10" w:rsidRPr="00693C69">
        <w:t>could have led to issues in calculating scores”</w:t>
      </w:r>
      <w:r w:rsidR="001A4E1F" w:rsidRPr="00693C69">
        <w:t xml:space="preserve"> (</w:t>
      </w:r>
      <w:r w:rsidR="001C1165" w:rsidRPr="00693C69">
        <w:t>s</w:t>
      </w:r>
      <w:r w:rsidR="001A4E1F" w:rsidRPr="00693C69">
        <w:t>ee paragraph</w:t>
      </w:r>
      <w:r w:rsidR="001C1165" w:rsidRPr="00693C69">
        <w:t xml:space="preserve"> </w:t>
      </w:r>
      <w:r w:rsidR="00E455DC" w:rsidRPr="00693C69">
        <w:fldChar w:fldCharType="begin"/>
      </w:r>
      <w:r w:rsidR="00E455DC" w:rsidRPr="00693C69">
        <w:instrText xml:space="preserve"> REF _Ref206683815 \r \h  \* MERGEFORMAT </w:instrText>
      </w:r>
      <w:r w:rsidR="00E455DC" w:rsidRPr="00693C69">
        <w:fldChar w:fldCharType="separate"/>
      </w:r>
      <w:r w:rsidR="00437D90">
        <w:t>137</w:t>
      </w:r>
      <w:r w:rsidR="00E455DC" w:rsidRPr="00693C69">
        <w:fldChar w:fldCharType="end"/>
      </w:r>
      <w:r w:rsidR="001C1165" w:rsidRPr="00693C69">
        <w:t>).</w:t>
      </w:r>
    </w:p>
    <w:p w14:paraId="131E01CC" w14:textId="2951C404" w:rsidR="005F6558" w:rsidRPr="00693C69" w:rsidRDefault="00297221" w:rsidP="002F0A2E">
      <w:pPr>
        <w:pStyle w:val="ListParagraph"/>
        <w:numPr>
          <w:ilvl w:val="0"/>
          <w:numId w:val="1"/>
        </w:numPr>
        <w:spacing w:after="120" w:line="276" w:lineRule="auto"/>
        <w:contextualSpacing w:val="0"/>
      </w:pPr>
      <w:r w:rsidRPr="00693C69">
        <w:t xml:space="preserve">In assessing EPUT’s concern about </w:t>
      </w:r>
      <w:r w:rsidR="00693C69">
        <w:t xml:space="preserve">the </w:t>
      </w:r>
      <w:r w:rsidRPr="00693C69">
        <w:t>calculat</w:t>
      </w:r>
      <w:r w:rsidR="00693C69">
        <w:t xml:space="preserve">ion of </w:t>
      </w:r>
      <w:r w:rsidRPr="00693C69">
        <w:t xml:space="preserve">scores, the Panel reviewed </w:t>
      </w:r>
      <w:r w:rsidR="00D95B19" w:rsidRPr="00693C69">
        <w:t>the table</w:t>
      </w:r>
      <w:r w:rsidR="006850A8" w:rsidRPr="00693C69">
        <w:t xml:space="preserve"> </w:t>
      </w:r>
      <w:r w:rsidR="00193FBF" w:rsidRPr="00693C69">
        <w:t xml:space="preserve">in MSE ICB’s tender documentation </w:t>
      </w:r>
      <w:r w:rsidR="00193FBF">
        <w:t xml:space="preserve">to which EPUT </w:t>
      </w:r>
      <w:r w:rsidR="00D95B19" w:rsidRPr="00693C69">
        <w:t>referred</w:t>
      </w:r>
      <w:r w:rsidR="008F3B6F" w:rsidRPr="00693C69">
        <w:t xml:space="preserve">. Within this table, MSE ICB </w:t>
      </w:r>
      <w:r w:rsidR="00232E35" w:rsidRPr="00693C69">
        <w:t>set out</w:t>
      </w:r>
      <w:r w:rsidR="008F3B6F" w:rsidRPr="00693C69">
        <w:t xml:space="preserve"> </w:t>
      </w:r>
      <w:r w:rsidR="009A10B8" w:rsidRPr="00693C69">
        <w:t xml:space="preserve">the </w:t>
      </w:r>
      <w:r w:rsidR="00162087" w:rsidRPr="00693C69">
        <w:t>weighted</w:t>
      </w:r>
      <w:r w:rsidR="00255869" w:rsidRPr="00693C69">
        <w:t xml:space="preserve"> </w:t>
      </w:r>
      <w:r w:rsidR="00566CDD" w:rsidRPr="00693C69">
        <w:t>score</w:t>
      </w:r>
      <w:r w:rsidR="00CD05E8" w:rsidRPr="00693C69">
        <w:t>s</w:t>
      </w:r>
      <w:r w:rsidR="00122829" w:rsidRPr="00693C69">
        <w:t xml:space="preserve"> for each </w:t>
      </w:r>
      <w:r w:rsidR="00C8370C" w:rsidRPr="00693C69">
        <w:t xml:space="preserve">question </w:t>
      </w:r>
      <w:r w:rsidR="00400B58" w:rsidRPr="00693C69">
        <w:t>(or sub-criteria)</w:t>
      </w:r>
      <w:r w:rsidR="00292286" w:rsidRPr="00693C69">
        <w:t xml:space="preserve"> and totals per</w:t>
      </w:r>
      <w:r w:rsidR="002E57A9" w:rsidRPr="00693C69">
        <w:t xml:space="preserve"> key criteria</w:t>
      </w:r>
      <w:r w:rsidR="00B20F91" w:rsidRPr="00693C69">
        <w:t xml:space="preserve">. By way of example, for key criteria “Quality and Innovation” (which </w:t>
      </w:r>
      <w:r w:rsidR="00E63FA8" w:rsidRPr="00693C69">
        <w:t xml:space="preserve">had </w:t>
      </w:r>
      <w:r w:rsidR="00372A30" w:rsidRPr="00693C69">
        <w:t>three</w:t>
      </w:r>
      <w:r w:rsidR="00124A2D" w:rsidRPr="00693C69">
        <w:t xml:space="preserve"> sub-criteria taking form of </w:t>
      </w:r>
      <w:r w:rsidR="00E93C8D" w:rsidRPr="00693C69">
        <w:t>questions</w:t>
      </w:r>
      <w:r w:rsidR="00372A30" w:rsidRPr="00693C69">
        <w:t xml:space="preserve"> 2.3.1, 2.4.1 and 2.5.1)</w:t>
      </w:r>
      <w:r w:rsidR="00E47B07" w:rsidRPr="00693C69">
        <w:t xml:space="preserve"> it stated</w:t>
      </w:r>
      <w:r w:rsidR="00203DA2" w:rsidRPr="00693C69">
        <w:t>:</w:t>
      </w:r>
      <w:r w:rsidR="00693C69" w:rsidRPr="00693C69">
        <w:t xml:space="preserve"> </w:t>
      </w:r>
      <w:r w:rsidR="005F6558" w:rsidRPr="00693C69">
        <w:t>“Quality and Innovation' questions 2.3.1 - 2.5.1 have a combined 'raw' weighting of 42% out of 100 and a total weighting of 38% out of 90”</w:t>
      </w:r>
      <w:r w:rsidR="00693C69" w:rsidRPr="00693C69">
        <w:t>.</w:t>
      </w:r>
      <w:r w:rsidR="00743A34">
        <w:rPr>
          <w:rStyle w:val="FootnoteReference"/>
        </w:rPr>
        <w:footnoteReference w:id="66"/>
      </w:r>
    </w:p>
    <w:p w14:paraId="50592682" w14:textId="42427A5A" w:rsidR="00911EDD" w:rsidRPr="00D907A6" w:rsidRDefault="001563BF" w:rsidP="00414AD4">
      <w:pPr>
        <w:pStyle w:val="ListParagraph"/>
        <w:numPr>
          <w:ilvl w:val="0"/>
          <w:numId w:val="1"/>
        </w:numPr>
        <w:spacing w:after="120" w:line="276" w:lineRule="auto"/>
        <w:contextualSpacing w:val="0"/>
      </w:pPr>
      <w:bookmarkStart w:id="55" w:name="_Ref207291533"/>
      <w:r w:rsidRPr="00D907A6">
        <w:t xml:space="preserve">The Panel notes that </w:t>
      </w:r>
      <w:r w:rsidR="00886ED3" w:rsidRPr="00D907A6">
        <w:t>whil</w:t>
      </w:r>
      <w:r w:rsidR="00D65779">
        <w:t>e</w:t>
      </w:r>
      <w:r w:rsidR="00886ED3" w:rsidRPr="00D907A6">
        <w:t xml:space="preserve"> </w:t>
      </w:r>
      <w:r w:rsidR="003E5AD2" w:rsidRPr="00D907A6">
        <w:t xml:space="preserve">the </w:t>
      </w:r>
      <w:r w:rsidR="0036476B" w:rsidRPr="00D907A6">
        <w:t>w</w:t>
      </w:r>
      <w:r w:rsidR="00F27DFC" w:rsidRPr="00D907A6">
        <w:t xml:space="preserve">eighted </w:t>
      </w:r>
      <w:r w:rsidR="0036476B" w:rsidRPr="00D907A6">
        <w:t>s</w:t>
      </w:r>
      <w:r w:rsidR="00F27DFC" w:rsidRPr="00D907A6">
        <w:t>core</w:t>
      </w:r>
      <w:r w:rsidR="0036476B" w:rsidRPr="00D907A6">
        <w:t>s</w:t>
      </w:r>
      <w:r w:rsidR="003E5AD2" w:rsidRPr="00D907A6">
        <w:t xml:space="preserve"> </w:t>
      </w:r>
      <w:r w:rsidR="007D55AF" w:rsidRPr="00D907A6">
        <w:t>“</w:t>
      </w:r>
      <w:r w:rsidR="00886049" w:rsidRPr="00D907A6">
        <w:t>out of 100%</w:t>
      </w:r>
      <w:r w:rsidR="007D55AF" w:rsidRPr="00D907A6">
        <w:t xml:space="preserve">” </w:t>
      </w:r>
      <w:r w:rsidR="003E5AD2" w:rsidRPr="00D907A6">
        <w:t xml:space="preserve">of the three questions </w:t>
      </w:r>
      <w:r w:rsidR="005A3E34" w:rsidRPr="00D907A6">
        <w:t>in this example</w:t>
      </w:r>
      <w:r w:rsidR="003E5AD2" w:rsidRPr="00D907A6">
        <w:t xml:space="preserve"> add up to 42%, </w:t>
      </w:r>
      <w:r w:rsidR="00296E2D" w:rsidRPr="00D907A6">
        <w:t xml:space="preserve">the </w:t>
      </w:r>
      <w:r w:rsidR="00B20A3D" w:rsidRPr="00D907A6">
        <w:t>weighted scores “</w:t>
      </w:r>
      <w:r w:rsidR="004C0945" w:rsidRPr="00D907A6">
        <w:t>out of 90</w:t>
      </w:r>
      <w:r w:rsidR="00B20A3D" w:rsidRPr="00D907A6">
        <w:t>%” add up to 37.8%</w:t>
      </w:r>
      <w:r w:rsidR="0078096B" w:rsidRPr="00D907A6">
        <w:t xml:space="preserve">. </w:t>
      </w:r>
      <w:r w:rsidR="00D551D8" w:rsidRPr="00D907A6">
        <w:t>Similarly</w:t>
      </w:r>
      <w:r w:rsidR="00653F44" w:rsidRPr="00D907A6">
        <w:t xml:space="preserve">, </w:t>
      </w:r>
      <w:r w:rsidR="00165AFC" w:rsidRPr="00D907A6">
        <w:t xml:space="preserve">for two other key criteria </w:t>
      </w:r>
      <w:r w:rsidR="00EB2DE2" w:rsidRPr="00D907A6">
        <w:t xml:space="preserve">there are </w:t>
      </w:r>
      <w:r w:rsidR="00440D7E" w:rsidRPr="00D907A6">
        <w:t xml:space="preserve">decimal </w:t>
      </w:r>
      <w:r w:rsidR="008F7FFD" w:rsidRPr="00D907A6">
        <w:t xml:space="preserve">point </w:t>
      </w:r>
      <w:r w:rsidR="00E54BC5" w:rsidRPr="00D907A6">
        <w:t xml:space="preserve">variances </w:t>
      </w:r>
      <w:r w:rsidR="002A44F1" w:rsidRPr="00D907A6">
        <w:t>between the</w:t>
      </w:r>
      <w:r w:rsidR="00E54BC5" w:rsidRPr="00D907A6">
        <w:t xml:space="preserve"> </w:t>
      </w:r>
      <w:r w:rsidR="00751F30" w:rsidRPr="00D907A6">
        <w:t xml:space="preserve">stated </w:t>
      </w:r>
      <w:r w:rsidR="000D4E69" w:rsidRPr="00D907A6">
        <w:t>“total weighting</w:t>
      </w:r>
      <w:r w:rsidR="00F83B04" w:rsidRPr="00D907A6">
        <w:t xml:space="preserve"> of …</w:t>
      </w:r>
      <w:r w:rsidR="00CB5161" w:rsidRPr="00D907A6">
        <w:t xml:space="preserve"> out of 90</w:t>
      </w:r>
      <w:r w:rsidR="00F83B04" w:rsidRPr="00D907A6">
        <w:t>”</w:t>
      </w:r>
      <w:r w:rsidR="008A5810" w:rsidRPr="00D907A6">
        <w:t xml:space="preserve"> and the actual</w:t>
      </w:r>
      <w:r w:rsidR="00055785" w:rsidRPr="00D907A6">
        <w:t xml:space="preserve"> </w:t>
      </w:r>
      <w:r w:rsidR="00741A6E" w:rsidRPr="00D907A6">
        <w:t xml:space="preserve">weighted scores “out of 90%”. </w:t>
      </w:r>
      <w:r w:rsidR="00E81AAF">
        <w:t>The Panel does not consider these rounding issues to be significant.</w:t>
      </w:r>
      <w:bookmarkEnd w:id="55"/>
    </w:p>
    <w:p w14:paraId="521BDE1E" w14:textId="606E6F0F" w:rsidR="00AC4774" w:rsidRPr="00F71909" w:rsidRDefault="006A0CEE" w:rsidP="00D062D4">
      <w:pPr>
        <w:pStyle w:val="ListParagraph"/>
        <w:numPr>
          <w:ilvl w:val="0"/>
          <w:numId w:val="1"/>
        </w:numPr>
        <w:spacing w:after="120" w:line="276" w:lineRule="auto"/>
        <w:contextualSpacing w:val="0"/>
      </w:pPr>
      <w:r w:rsidRPr="00F71909">
        <w:t xml:space="preserve">The Panel considered whether the </w:t>
      </w:r>
      <w:r w:rsidR="00262EE2" w:rsidRPr="00F71909">
        <w:t xml:space="preserve">errors identified </w:t>
      </w:r>
      <w:r w:rsidR="00393E74" w:rsidRPr="00F71909">
        <w:t>in paragraph</w:t>
      </w:r>
      <w:r w:rsidR="00262EE2" w:rsidRPr="00F71909">
        <w:t xml:space="preserve"> </w:t>
      </w:r>
      <w:r w:rsidR="00F71909" w:rsidRPr="00F71909">
        <w:fldChar w:fldCharType="begin"/>
      </w:r>
      <w:r w:rsidR="00F71909" w:rsidRPr="00F71909">
        <w:instrText xml:space="preserve"> REF _Ref207291533 \r \h </w:instrText>
      </w:r>
      <w:r w:rsidR="00F71909">
        <w:instrText xml:space="preserve"> \* MERGEFORMAT </w:instrText>
      </w:r>
      <w:r w:rsidR="00F71909" w:rsidRPr="00F71909">
        <w:fldChar w:fldCharType="separate"/>
      </w:r>
      <w:r w:rsidR="005E1237">
        <w:t>160</w:t>
      </w:r>
      <w:r w:rsidR="00F71909" w:rsidRPr="00F71909">
        <w:fldChar w:fldCharType="end"/>
      </w:r>
      <w:r w:rsidR="00F71909" w:rsidRPr="00F71909">
        <w:t xml:space="preserve"> </w:t>
      </w:r>
      <w:r w:rsidR="00862606" w:rsidRPr="00F71909">
        <w:t xml:space="preserve">had any bearing on </w:t>
      </w:r>
      <w:r w:rsidR="00D62EAF" w:rsidRPr="00F71909">
        <w:t xml:space="preserve">how MSE ICB </w:t>
      </w:r>
      <w:r w:rsidR="0031246C" w:rsidRPr="00F71909">
        <w:t xml:space="preserve">would </w:t>
      </w:r>
      <w:r w:rsidR="00324A37" w:rsidRPr="00F71909">
        <w:t>calculate weighted</w:t>
      </w:r>
      <w:r w:rsidR="00862606" w:rsidRPr="00F71909">
        <w:t xml:space="preserve"> </w:t>
      </w:r>
      <w:r w:rsidR="002948E0" w:rsidRPr="00F71909">
        <w:t>scores.</w:t>
      </w:r>
      <w:r w:rsidR="00C4321A" w:rsidRPr="00F71909">
        <w:t xml:space="preserve"> </w:t>
      </w:r>
      <w:r w:rsidR="00DD70CD" w:rsidRPr="00F71909">
        <w:t>The Panel notes that MSE ICB’s tender documentation</w:t>
      </w:r>
      <w:r w:rsidR="00F907E1" w:rsidRPr="00F71909">
        <w:t xml:space="preserve"> </w:t>
      </w:r>
      <w:r w:rsidR="00992B1D" w:rsidRPr="00F71909">
        <w:t>said</w:t>
      </w:r>
      <w:r w:rsidR="00F907E1" w:rsidRPr="00F71909">
        <w:t>:</w:t>
      </w:r>
    </w:p>
    <w:p w14:paraId="2488BB04" w14:textId="16E5F968" w:rsidR="008D6091" w:rsidRDefault="008D6091" w:rsidP="008D6091">
      <w:pPr>
        <w:ind w:left="851"/>
        <w:rPr>
          <w:sz w:val="21"/>
          <w:szCs w:val="21"/>
        </w:rPr>
      </w:pPr>
      <w:r w:rsidRPr="008D6091">
        <w:rPr>
          <w:sz w:val="21"/>
          <w:szCs w:val="21"/>
        </w:rPr>
        <w:t>“The score awarded for each question will be multiplied by the weighting to arrive at both a ‘raw’ score (out of 100) and the equivalent ‘weighted’ score for that question. The weighted scores will then be added together to give a total weighted technical score. The Technical response that is awarded the highest numbers of marks will achieve the highest percentage Technical score.”</w:t>
      </w:r>
      <w:r>
        <w:rPr>
          <w:rStyle w:val="FootnoteReference"/>
          <w:sz w:val="21"/>
          <w:szCs w:val="21"/>
        </w:rPr>
        <w:footnoteReference w:id="67"/>
      </w:r>
      <w:r w:rsidRPr="008D6091">
        <w:rPr>
          <w:sz w:val="21"/>
          <w:szCs w:val="21"/>
        </w:rPr>
        <w:t xml:space="preserve"> </w:t>
      </w:r>
    </w:p>
    <w:p w14:paraId="4A33EC31" w14:textId="044EED57" w:rsidR="006F1E3D" w:rsidRPr="00D77EAD" w:rsidRDefault="00A95B8E" w:rsidP="006A3B00">
      <w:pPr>
        <w:pStyle w:val="ListParagraph"/>
        <w:numPr>
          <w:ilvl w:val="0"/>
          <w:numId w:val="1"/>
        </w:numPr>
        <w:spacing w:line="276" w:lineRule="auto"/>
        <w:contextualSpacing w:val="0"/>
      </w:pPr>
      <w:r>
        <w:t>Notwithstanding th</w:t>
      </w:r>
      <w:r w:rsidR="00A94112">
        <w:t>e</w:t>
      </w:r>
      <w:r>
        <w:t xml:space="preserve"> </w:t>
      </w:r>
      <w:r w:rsidR="00194802">
        <w:t xml:space="preserve">rounding issues </w:t>
      </w:r>
      <w:r w:rsidR="000C0ECF">
        <w:t xml:space="preserve">with the </w:t>
      </w:r>
      <w:r w:rsidR="00232E35">
        <w:t xml:space="preserve">key criteria </w:t>
      </w:r>
      <w:r w:rsidR="000C0ECF">
        <w:t>total</w:t>
      </w:r>
      <w:r w:rsidR="00FE0502">
        <w:t xml:space="preserve"> weight</w:t>
      </w:r>
      <w:r w:rsidR="00734ECE">
        <w:t xml:space="preserve">ings </w:t>
      </w:r>
      <w:r w:rsidR="00A9548D">
        <w:t>set out in</w:t>
      </w:r>
      <w:r w:rsidR="00093B8D">
        <w:t xml:space="preserve"> the tender documentation</w:t>
      </w:r>
      <w:r w:rsidR="00FF6FF2">
        <w:t xml:space="preserve">, </w:t>
      </w:r>
      <w:r w:rsidR="00E16BB5">
        <w:t xml:space="preserve">the Panel </w:t>
      </w:r>
      <w:r w:rsidR="00F83221">
        <w:t xml:space="preserve">did not identify any </w:t>
      </w:r>
      <w:r w:rsidR="00195CE4">
        <w:t>error</w:t>
      </w:r>
      <w:r w:rsidR="003B3BC5">
        <w:t>s</w:t>
      </w:r>
      <w:r w:rsidR="00195CE4">
        <w:t xml:space="preserve"> in MSE ICB’s </w:t>
      </w:r>
      <w:r w:rsidR="00E16BB5">
        <w:t xml:space="preserve">final </w:t>
      </w:r>
      <w:r w:rsidR="00195CE4">
        <w:t xml:space="preserve">calculations of EPUT’s or Vita’s </w:t>
      </w:r>
      <w:r w:rsidR="00E80B9A">
        <w:t>weighted scores.</w:t>
      </w:r>
    </w:p>
    <w:p w14:paraId="5255F468" w14:textId="0A28196C" w:rsidR="00FE02FB" w:rsidRDefault="00FE02FB" w:rsidP="006A3B00">
      <w:pPr>
        <w:pStyle w:val="ListParagraph"/>
        <w:numPr>
          <w:ilvl w:val="0"/>
          <w:numId w:val="1"/>
        </w:numPr>
        <w:spacing w:line="276" w:lineRule="auto"/>
        <w:contextualSpacing w:val="0"/>
      </w:pPr>
      <w:r>
        <w:t xml:space="preserve">As a result, the Panel finds that </w:t>
      </w:r>
      <w:r w:rsidR="00924DB4">
        <w:t>MSE</w:t>
      </w:r>
      <w:r w:rsidR="0048670A">
        <w:t xml:space="preserve"> ICB did not erroneously calculate the</w:t>
      </w:r>
      <w:r w:rsidR="00924DB4">
        <w:t xml:space="preserve"> final </w:t>
      </w:r>
      <w:r w:rsidR="0048670A">
        <w:t xml:space="preserve">weighted scores for </w:t>
      </w:r>
      <w:r w:rsidR="00924DB4">
        <w:t xml:space="preserve">EPUT and Vita Health </w:t>
      </w:r>
      <w:r>
        <w:t>for Question 2.3.1</w:t>
      </w:r>
      <w:r w:rsidR="00D14ED1">
        <w:t>, and as a result</w:t>
      </w:r>
      <w:r>
        <w:t xml:space="preserve"> </w:t>
      </w:r>
      <w:r w:rsidR="00335270">
        <w:t xml:space="preserve">this issue </w:t>
      </w:r>
      <w:r>
        <w:t>did not give rise to a breach of the PSR regulations, and in particular the obligation on MSE ICB to act fairly.</w:t>
      </w:r>
    </w:p>
    <w:p w14:paraId="6351F671" w14:textId="0358AC78" w:rsidR="00C45997" w:rsidRPr="00C45997" w:rsidRDefault="00C45997" w:rsidP="00C45997">
      <w:pPr>
        <w:keepNext/>
        <w:spacing w:before="240"/>
        <w:rPr>
          <w:b/>
          <w:bCs/>
        </w:rPr>
      </w:pPr>
      <w:r>
        <w:rPr>
          <w:b/>
          <w:bCs/>
        </w:rPr>
        <w:t>Panel conclusions on evaluation of Question 2.3.1 (</w:t>
      </w:r>
      <w:r w:rsidR="001D5C0D">
        <w:rPr>
          <w:b/>
          <w:bCs/>
        </w:rPr>
        <w:t>Service Model)</w:t>
      </w:r>
    </w:p>
    <w:p w14:paraId="0D7EF41C" w14:textId="7A360506" w:rsidR="00C46C41" w:rsidRDefault="002E1BF4">
      <w:pPr>
        <w:pStyle w:val="ListParagraph"/>
        <w:numPr>
          <w:ilvl w:val="0"/>
          <w:numId w:val="1"/>
        </w:numPr>
        <w:spacing w:line="276" w:lineRule="auto"/>
        <w:contextualSpacing w:val="0"/>
      </w:pPr>
      <w:r w:rsidRPr="002E1BF4">
        <w:t>In summary, the Panel’s view is that MSE ICB’s evaluation and scoring of EPUT’s response to Question 2.3.1 (Service Model) was flawed</w:t>
      </w:r>
      <w:r w:rsidR="00A37BBC">
        <w:t xml:space="preserve"> as a result of </w:t>
      </w:r>
      <w:r w:rsidRPr="002E1BF4">
        <w:t xml:space="preserve">it </w:t>
      </w:r>
      <w:r w:rsidR="00363BE2">
        <w:t xml:space="preserve">adversely </w:t>
      </w:r>
      <w:r w:rsidR="00A37BBC">
        <w:t>assessing</w:t>
      </w:r>
      <w:r w:rsidRPr="002E1BF4">
        <w:t xml:space="preserve"> EPUT’s response for not taking account of the possibility of DWP funding for employment advisers not continuing, when such a possibility was not suggested by MSE ICB in either the tender documentation or in its response to CQ10.</w:t>
      </w:r>
    </w:p>
    <w:p w14:paraId="7BB4E404" w14:textId="1A54CCAD" w:rsidR="008742A0" w:rsidRDefault="008742A0">
      <w:pPr>
        <w:pStyle w:val="ListParagraph"/>
        <w:numPr>
          <w:ilvl w:val="0"/>
          <w:numId w:val="1"/>
        </w:numPr>
        <w:spacing w:line="276" w:lineRule="auto"/>
        <w:contextualSpacing w:val="0"/>
      </w:pPr>
      <w:r>
        <w:t xml:space="preserve">The Panel does not, however, </w:t>
      </w:r>
      <w:r w:rsidR="00B059AC">
        <w:t>view</w:t>
      </w:r>
      <w:r>
        <w:t xml:space="preserve"> MSE ICB’s evaluation and scoring of EPUT’s response to Question 2.3.1 (Service Model) </w:t>
      </w:r>
      <w:r w:rsidR="00B059AC">
        <w:t>to be</w:t>
      </w:r>
      <w:r>
        <w:t xml:space="preserve"> flawed as a result of </w:t>
      </w:r>
      <w:r w:rsidR="00BE1C38">
        <w:t>a lack of clarity in the scoring matrix, the absence of a</w:t>
      </w:r>
      <w:r w:rsidR="00B154BB">
        <w:t xml:space="preserve">n </w:t>
      </w:r>
      <w:r w:rsidR="00524F9F">
        <w:t>evaluator</w:t>
      </w:r>
      <w:r w:rsidR="00BE1C38">
        <w:t xml:space="preserve"> during the </w:t>
      </w:r>
      <w:r w:rsidR="00524F9F">
        <w:t>moderation</w:t>
      </w:r>
      <w:r w:rsidR="00BE1C38">
        <w:t xml:space="preserve"> meeting</w:t>
      </w:r>
      <w:r w:rsidR="00524F9F">
        <w:t xml:space="preserve">, or </w:t>
      </w:r>
      <w:r w:rsidR="00B059AC">
        <w:t>a mis</w:t>
      </w:r>
      <w:r w:rsidR="00524F9F">
        <w:t>calculation of scores.</w:t>
      </w:r>
    </w:p>
    <w:p w14:paraId="69264210" w14:textId="4D842909" w:rsidR="00E64D81" w:rsidRPr="007138CC" w:rsidRDefault="00EF667A" w:rsidP="0023545D">
      <w:pPr>
        <w:pStyle w:val="ListParagraph"/>
        <w:numPr>
          <w:ilvl w:val="0"/>
          <w:numId w:val="1"/>
        </w:numPr>
        <w:spacing w:line="276" w:lineRule="auto"/>
        <w:contextualSpacing w:val="0"/>
      </w:pPr>
      <w:r>
        <w:t>As a result, t</w:t>
      </w:r>
      <w:r w:rsidR="000A3A5E">
        <w:t>he Panel finds</w:t>
      </w:r>
      <w:r>
        <w:t xml:space="preserve"> </w:t>
      </w:r>
      <w:r w:rsidR="000A3A5E">
        <w:t>that</w:t>
      </w:r>
      <w:r w:rsidR="00E64D81">
        <w:t xml:space="preserve"> MSE ICB, in </w:t>
      </w:r>
      <w:r w:rsidR="00AD4A2B">
        <w:t xml:space="preserve">adversely </w:t>
      </w:r>
      <w:r w:rsidR="0023545D">
        <w:t>assessing</w:t>
      </w:r>
      <w:r w:rsidR="00762FFE">
        <w:t xml:space="preserve"> </w:t>
      </w:r>
      <w:r w:rsidR="00E64D81">
        <w:t>EPUT’s response to Question 2.3.1</w:t>
      </w:r>
      <w:r w:rsidR="008909BC">
        <w:t xml:space="preserve"> </w:t>
      </w:r>
      <w:r w:rsidR="00EF6DC8">
        <w:t xml:space="preserve">(Service Model) </w:t>
      </w:r>
      <w:r w:rsidR="008909BC">
        <w:t xml:space="preserve">with respect to </w:t>
      </w:r>
      <w:r w:rsidR="00C46C41">
        <w:t xml:space="preserve">the possibility of DWP funding of </w:t>
      </w:r>
      <w:r w:rsidR="00C46C41">
        <w:lastRenderedPageBreak/>
        <w:t>employment advisers not continuing</w:t>
      </w:r>
      <w:r w:rsidR="00E64D81">
        <w:t xml:space="preserve">, </w:t>
      </w:r>
      <w:r w:rsidR="0023545D" w:rsidRPr="002E1BF4">
        <w:t xml:space="preserve">when such a possibility was not suggested by MSE ICB in either the tender documentation or in its response to </w:t>
      </w:r>
      <w:r w:rsidR="0023545D">
        <w:t xml:space="preserve">the relevant </w:t>
      </w:r>
      <w:r w:rsidR="00653251">
        <w:t>CQ</w:t>
      </w:r>
      <w:r w:rsidR="0023545D">
        <w:t xml:space="preserve">, </w:t>
      </w:r>
      <w:r w:rsidR="00E64D81">
        <w:t>breached the PSR regulations and in particular its obligation to act fairly.</w:t>
      </w:r>
    </w:p>
    <w:p w14:paraId="5DCE9F2F" w14:textId="0D30F39A" w:rsidR="00020E2F" w:rsidRPr="00224D28" w:rsidRDefault="00224D28" w:rsidP="00224D28">
      <w:pPr>
        <w:keepNext/>
        <w:spacing w:before="240" w:line="276" w:lineRule="auto"/>
        <w:rPr>
          <w:b/>
          <w:bCs/>
        </w:rPr>
      </w:pPr>
      <w:r>
        <w:rPr>
          <w:b/>
          <w:bCs/>
        </w:rPr>
        <w:t xml:space="preserve">7.4.3 </w:t>
      </w:r>
      <w:r w:rsidR="00D85327">
        <w:rPr>
          <w:b/>
          <w:bCs/>
        </w:rPr>
        <w:t>E</w:t>
      </w:r>
      <w:r w:rsidR="00020E2F" w:rsidRPr="00224D28">
        <w:rPr>
          <w:b/>
          <w:bCs/>
        </w:rPr>
        <w:t>valuation of Question 2.4.1 (Service Delivery)</w:t>
      </w:r>
    </w:p>
    <w:p w14:paraId="5ABDB7B9" w14:textId="77777777" w:rsidR="00020E2F" w:rsidRPr="0080773F" w:rsidRDefault="00772389" w:rsidP="00020E2F">
      <w:pPr>
        <w:pStyle w:val="ListParagraph"/>
        <w:numPr>
          <w:ilvl w:val="0"/>
          <w:numId w:val="1"/>
        </w:numPr>
        <w:contextualSpacing w:val="0"/>
      </w:pPr>
      <w:r w:rsidRPr="00CA641A">
        <w:t xml:space="preserve">This section sets out the Panel’s assessment of EPUT’s concerns about </w:t>
      </w:r>
      <w:r w:rsidR="00020E2F" w:rsidRPr="0080773F">
        <w:t xml:space="preserve">MSE ICB’s evaluation </w:t>
      </w:r>
      <w:r w:rsidR="00020E2F">
        <w:t xml:space="preserve">of </w:t>
      </w:r>
      <w:r w:rsidR="00020E2F" w:rsidRPr="0080773F">
        <w:t>Question 2.</w:t>
      </w:r>
      <w:r w:rsidR="00020E2F">
        <w:t>4</w:t>
      </w:r>
      <w:r w:rsidR="00020E2F" w:rsidRPr="0080773F">
        <w:t xml:space="preserve">.1 (Service </w:t>
      </w:r>
      <w:r w:rsidR="00020E2F">
        <w:t>Delivery</w:t>
      </w:r>
      <w:r w:rsidR="00020E2F" w:rsidRPr="0080773F">
        <w:t>).</w:t>
      </w:r>
    </w:p>
    <w:p w14:paraId="3B3E1264" w14:textId="77777777" w:rsidR="00020E2F" w:rsidRPr="00B76804" w:rsidRDefault="00020E2F" w:rsidP="00020E2F">
      <w:pPr>
        <w:pStyle w:val="ListParagraph"/>
        <w:numPr>
          <w:ilvl w:val="0"/>
          <w:numId w:val="1"/>
        </w:numPr>
        <w:spacing w:after="120"/>
        <w:contextualSpacing w:val="0"/>
      </w:pPr>
      <w:r w:rsidRPr="00B76804">
        <w:t xml:space="preserve">By way of background, </w:t>
      </w:r>
      <w:r w:rsidRPr="00C6449C">
        <w:t>Question 2.</w:t>
      </w:r>
      <w:r>
        <w:t>4.1</w:t>
      </w:r>
      <w:r w:rsidRPr="00C6449C">
        <w:t xml:space="preserve"> </w:t>
      </w:r>
      <w:r w:rsidRPr="00B76804">
        <w:t>was as follows:</w:t>
      </w:r>
    </w:p>
    <w:p w14:paraId="57546C87" w14:textId="77777777" w:rsidR="00020E2F" w:rsidRDefault="00020E2F" w:rsidP="00020E2F">
      <w:pPr>
        <w:spacing w:after="120"/>
        <w:ind w:left="851"/>
        <w:rPr>
          <w:sz w:val="21"/>
          <w:szCs w:val="21"/>
        </w:rPr>
      </w:pPr>
      <w:r>
        <w:rPr>
          <w:sz w:val="21"/>
          <w:szCs w:val="21"/>
        </w:rPr>
        <w:t>“</w:t>
      </w:r>
      <w:r w:rsidRPr="00446E19">
        <w:rPr>
          <w:sz w:val="21"/>
          <w:szCs w:val="21"/>
        </w:rPr>
        <w:t>Please set out your model to deliver a NICE-compliant and clinically safe Talking Therapy and PTSMHP service across MSE, within the maximum financial envelope as outlined in Doc 6. Commercial Offer Template.</w:t>
      </w:r>
    </w:p>
    <w:p w14:paraId="5CD46DF4" w14:textId="77777777" w:rsidR="00020E2F" w:rsidRDefault="00020E2F" w:rsidP="00020E2F">
      <w:pPr>
        <w:spacing w:after="0"/>
        <w:ind w:left="851"/>
        <w:rPr>
          <w:sz w:val="21"/>
          <w:szCs w:val="21"/>
        </w:rPr>
      </w:pPr>
      <w:r>
        <w:rPr>
          <w:sz w:val="21"/>
          <w:szCs w:val="21"/>
        </w:rPr>
        <w:t>The following must be included in the response:</w:t>
      </w:r>
    </w:p>
    <w:p w14:paraId="5C8B0D98" w14:textId="77777777" w:rsidR="00020E2F" w:rsidRPr="00446E19" w:rsidRDefault="00020E2F" w:rsidP="0078663E">
      <w:pPr>
        <w:pStyle w:val="ListParagraph"/>
        <w:numPr>
          <w:ilvl w:val="1"/>
          <w:numId w:val="18"/>
        </w:numPr>
        <w:rPr>
          <w:sz w:val="21"/>
          <w:szCs w:val="21"/>
        </w:rPr>
      </w:pPr>
      <w:r w:rsidRPr="00446E19">
        <w:rPr>
          <w:sz w:val="21"/>
          <w:szCs w:val="21"/>
        </w:rPr>
        <w:t>How the service will be delivered, including the approach to enable people to access the service in their local communities and how you will promote the service to adults and their support networks and ensure that it is accessible for people with additional needs.</w:t>
      </w:r>
    </w:p>
    <w:p w14:paraId="5D9565E5" w14:textId="77777777" w:rsidR="00020E2F" w:rsidRPr="00446E19" w:rsidRDefault="00020E2F" w:rsidP="0078663E">
      <w:pPr>
        <w:pStyle w:val="ListParagraph"/>
        <w:numPr>
          <w:ilvl w:val="1"/>
          <w:numId w:val="18"/>
        </w:numPr>
        <w:rPr>
          <w:sz w:val="21"/>
          <w:szCs w:val="21"/>
        </w:rPr>
      </w:pPr>
      <w:r w:rsidRPr="00446E19">
        <w:rPr>
          <w:sz w:val="21"/>
          <w:szCs w:val="21"/>
        </w:rPr>
        <w:t>Describe your approach to digital and face-to-face therapy delivery. How will you ensure digital inclusion for patients with accessibility challenges?</w:t>
      </w:r>
    </w:p>
    <w:p w14:paraId="4772EEB0" w14:textId="77777777" w:rsidR="00020E2F" w:rsidRPr="00446E19" w:rsidRDefault="00020E2F" w:rsidP="0078663E">
      <w:pPr>
        <w:pStyle w:val="ListParagraph"/>
        <w:numPr>
          <w:ilvl w:val="1"/>
          <w:numId w:val="18"/>
        </w:numPr>
        <w:rPr>
          <w:sz w:val="21"/>
          <w:szCs w:val="21"/>
        </w:rPr>
      </w:pPr>
      <w:r w:rsidRPr="00446E19">
        <w:rPr>
          <w:sz w:val="21"/>
          <w:szCs w:val="21"/>
        </w:rPr>
        <w:t>How will your service integrate with primary care, secondary mental health services, and voluntary/community organisations? Provide examples of collaboration and multi-disciplinary approach.</w:t>
      </w:r>
    </w:p>
    <w:p w14:paraId="1F3BB061" w14:textId="77777777" w:rsidR="00020E2F" w:rsidRPr="00446E19" w:rsidRDefault="00020E2F" w:rsidP="0078663E">
      <w:pPr>
        <w:pStyle w:val="ListParagraph"/>
        <w:numPr>
          <w:ilvl w:val="1"/>
          <w:numId w:val="18"/>
        </w:numPr>
        <w:rPr>
          <w:sz w:val="21"/>
          <w:szCs w:val="21"/>
        </w:rPr>
      </w:pPr>
      <w:r w:rsidRPr="00446E19">
        <w:rPr>
          <w:sz w:val="21"/>
          <w:szCs w:val="21"/>
        </w:rPr>
        <w:t>What steps will you take to ensure patient-centred care and personalised treatment pathways?</w:t>
      </w:r>
    </w:p>
    <w:p w14:paraId="4FEA35EE" w14:textId="77777777" w:rsidR="00020E2F" w:rsidRPr="00446E19" w:rsidRDefault="00020E2F" w:rsidP="0078663E">
      <w:pPr>
        <w:pStyle w:val="ListParagraph"/>
        <w:numPr>
          <w:ilvl w:val="1"/>
          <w:numId w:val="18"/>
        </w:numPr>
        <w:ind w:left="1281" w:hanging="357"/>
        <w:contextualSpacing w:val="0"/>
        <w:rPr>
          <w:sz w:val="21"/>
          <w:szCs w:val="21"/>
        </w:rPr>
      </w:pPr>
      <w:r w:rsidRPr="00446E19">
        <w:rPr>
          <w:sz w:val="21"/>
          <w:szCs w:val="21"/>
        </w:rPr>
        <w:t>Please detail how you will continuously review the service to improve outcomes and experiences for service users?”</w:t>
      </w:r>
    </w:p>
    <w:p w14:paraId="6723CA3E" w14:textId="6432D52B" w:rsidR="00020E2F" w:rsidRPr="00F0269C" w:rsidRDefault="00020E2F" w:rsidP="006C6795">
      <w:pPr>
        <w:pStyle w:val="ListParagraph"/>
        <w:numPr>
          <w:ilvl w:val="0"/>
          <w:numId w:val="1"/>
        </w:numPr>
        <w:spacing w:line="276" w:lineRule="auto"/>
        <w:contextualSpacing w:val="0"/>
      </w:pPr>
      <w:r>
        <w:t xml:space="preserve">Responses were </w:t>
      </w:r>
      <w:r w:rsidR="007F3B9F">
        <w:t>limit</w:t>
      </w:r>
      <w:r w:rsidR="009D69FD">
        <w:t>ed to</w:t>
      </w:r>
      <w:r>
        <w:t xml:space="preserve"> 1</w:t>
      </w:r>
      <w:r w:rsidR="009D69FD">
        <w:t>,</w:t>
      </w:r>
      <w:r>
        <w:t>500 words</w:t>
      </w:r>
      <w:r w:rsidR="009D69FD">
        <w:t xml:space="preserve">, but </w:t>
      </w:r>
      <w:r>
        <w:t>MSE ICB told bidders that “additional attachments to support the written response are permitted and will not count towards the word count”.</w:t>
      </w:r>
      <w:r>
        <w:rPr>
          <w:rStyle w:val="FootnoteReference"/>
        </w:rPr>
        <w:footnoteReference w:id="68"/>
      </w:r>
      <w:r w:rsidR="005412E9">
        <w:t xml:space="preserve"> </w:t>
      </w:r>
    </w:p>
    <w:p w14:paraId="6312A41B" w14:textId="3D9BBCED" w:rsidR="00020E2F" w:rsidRPr="004F1C97" w:rsidRDefault="00020E2F" w:rsidP="0056708B">
      <w:pPr>
        <w:pStyle w:val="ListParagraph"/>
        <w:numPr>
          <w:ilvl w:val="0"/>
          <w:numId w:val="1"/>
        </w:numPr>
        <w:spacing w:line="276" w:lineRule="auto"/>
        <w:contextualSpacing w:val="0"/>
      </w:pPr>
      <w:r w:rsidRPr="00F02B2C">
        <w:t xml:space="preserve">Scoring of responses to </w:t>
      </w:r>
      <w:r>
        <w:t>Q</w:t>
      </w:r>
      <w:r w:rsidRPr="00F02B2C">
        <w:t>uestion</w:t>
      </w:r>
      <w:r>
        <w:t xml:space="preserve"> 2.4.1 </w:t>
      </w:r>
      <w:r w:rsidRPr="00F02B2C">
        <w:t xml:space="preserve">was on a 0-5 scale as set out in the table </w:t>
      </w:r>
      <w:r>
        <w:t>in paragraph</w:t>
      </w:r>
      <w:r w:rsidR="003D77F2">
        <w:t xml:space="preserve"> </w:t>
      </w:r>
      <w:r w:rsidR="008676E6">
        <w:fldChar w:fldCharType="begin"/>
      </w:r>
      <w:r w:rsidR="008676E6">
        <w:instrText xml:space="preserve"> REF _Ref205806512 \r \h </w:instrText>
      </w:r>
      <w:r w:rsidR="008676E6">
        <w:fldChar w:fldCharType="separate"/>
      </w:r>
      <w:r w:rsidR="00437D90">
        <w:t>133</w:t>
      </w:r>
      <w:r w:rsidR="008676E6">
        <w:fldChar w:fldCharType="end"/>
      </w:r>
      <w:r w:rsidR="00D04A2A">
        <w:t>.</w:t>
      </w:r>
      <w:r>
        <w:t xml:space="preserve"> </w:t>
      </w:r>
      <w:r w:rsidRPr="004F1C97">
        <w:t xml:space="preserve">EPUT was awarded a score of </w:t>
      </w:r>
      <w:r>
        <w:t>3 (Adequate)</w:t>
      </w:r>
      <w:r w:rsidR="006C2D03">
        <w:t xml:space="preserve"> for its response. Vita </w:t>
      </w:r>
      <w:r w:rsidR="00C50F65">
        <w:t xml:space="preserve">Health </w:t>
      </w:r>
      <w:r w:rsidR="006C2D03">
        <w:t>was awarded a score of 4 (Good) for its response.</w:t>
      </w:r>
    </w:p>
    <w:p w14:paraId="5D2E9C1D" w14:textId="77777777" w:rsidR="00020E2F" w:rsidRDefault="00020E2F" w:rsidP="0056708B">
      <w:pPr>
        <w:pStyle w:val="ListParagraph"/>
        <w:numPr>
          <w:ilvl w:val="0"/>
          <w:numId w:val="1"/>
        </w:numPr>
        <w:spacing w:after="120" w:line="276" w:lineRule="auto"/>
        <w:contextualSpacing w:val="0"/>
      </w:pPr>
      <w:r>
        <w:t>EPUT, in its initial representations to MSE ICB, said that:</w:t>
      </w:r>
    </w:p>
    <w:p w14:paraId="6027EB7C" w14:textId="77777777" w:rsidR="00020E2F" w:rsidRPr="00590D69" w:rsidRDefault="00020E2F" w:rsidP="00020E2F">
      <w:pPr>
        <w:spacing w:after="120"/>
        <w:ind w:left="851"/>
        <w:rPr>
          <w:sz w:val="21"/>
          <w:szCs w:val="21"/>
        </w:rPr>
      </w:pPr>
      <w:r>
        <w:rPr>
          <w:sz w:val="21"/>
          <w:szCs w:val="21"/>
        </w:rPr>
        <w:t>“</w:t>
      </w:r>
      <w:r w:rsidRPr="00590D69">
        <w:rPr>
          <w:sz w:val="21"/>
          <w:szCs w:val="21"/>
        </w:rPr>
        <w:t>EPUT was awarded a score of 3 (Adequate) in relation to question 2.4.1. However, EPUT has some concerns regarding the scoring of this question, based on the reasons stated in the outcome letter dated 7 May 2025.</w:t>
      </w:r>
    </w:p>
    <w:p w14:paraId="7681E3E9" w14:textId="77777777" w:rsidR="00020E2F" w:rsidRPr="00590D69" w:rsidRDefault="00020E2F" w:rsidP="00020E2F">
      <w:pPr>
        <w:spacing w:after="120"/>
        <w:ind w:left="851"/>
        <w:rPr>
          <w:sz w:val="21"/>
          <w:szCs w:val="21"/>
        </w:rPr>
      </w:pPr>
      <w:r w:rsidRPr="00590D69">
        <w:rPr>
          <w:sz w:val="21"/>
          <w:szCs w:val="21"/>
        </w:rPr>
        <w:t xml:space="preserve">“The reasons for EPUT’s score stated that the evaluation panel </w:t>
      </w:r>
      <w:r>
        <w:rPr>
          <w:sz w:val="21"/>
          <w:szCs w:val="21"/>
        </w:rPr>
        <w:t>‘</w:t>
      </w:r>
      <w:r w:rsidRPr="00590D69">
        <w:rPr>
          <w:sz w:val="21"/>
          <w:szCs w:val="21"/>
        </w:rPr>
        <w:t>recognised the Bidder’s understanding of the stepped care model</w:t>
      </w:r>
      <w:r>
        <w:rPr>
          <w:sz w:val="21"/>
          <w:szCs w:val="21"/>
        </w:rPr>
        <w:t>’.</w:t>
      </w:r>
      <w:r w:rsidRPr="00590D69">
        <w:rPr>
          <w:sz w:val="21"/>
          <w:szCs w:val="21"/>
        </w:rPr>
        <w:t xml:space="preserve"> The national stepped care model was included in the service specification. The reasons for Vita’s higher score make no reference to the stepped care model, despite Vita achieving a higher score.</w:t>
      </w:r>
    </w:p>
    <w:p w14:paraId="7011691D" w14:textId="77777777" w:rsidR="00020E2F" w:rsidRPr="00590D69" w:rsidRDefault="00020E2F" w:rsidP="00020E2F">
      <w:pPr>
        <w:spacing w:after="120"/>
        <w:ind w:left="851"/>
        <w:rPr>
          <w:sz w:val="21"/>
          <w:szCs w:val="21"/>
        </w:rPr>
      </w:pPr>
      <w:r w:rsidRPr="00590D69">
        <w:rPr>
          <w:sz w:val="21"/>
          <w:szCs w:val="21"/>
        </w:rPr>
        <w:t>“We query, therefore, whether the evaluators have confirmed that the requirement for providers to deliver a stepped care model, as defined in the NHS Talking Therapies manual 2024, will be met by Vita and whether the evaluation has verified that Vita will deliver a compliant NHS TT service in accordance with NHS guidance, including the best practice stepped care model, 65% staff at Step 3 and 35% staff at Step 2.</w:t>
      </w:r>
    </w:p>
    <w:p w14:paraId="66FA66F5" w14:textId="77777777" w:rsidR="00020E2F" w:rsidRPr="00590D69" w:rsidRDefault="00020E2F" w:rsidP="00020E2F">
      <w:pPr>
        <w:spacing w:after="0"/>
        <w:ind w:left="851"/>
        <w:rPr>
          <w:sz w:val="21"/>
          <w:szCs w:val="21"/>
        </w:rPr>
      </w:pPr>
      <w:r w:rsidRPr="00590D69">
        <w:rPr>
          <w:sz w:val="21"/>
          <w:szCs w:val="21"/>
        </w:rPr>
        <w:lastRenderedPageBreak/>
        <w:t>“Feedback for Vita included the following statements:</w:t>
      </w:r>
    </w:p>
    <w:p w14:paraId="2F4CB4B9" w14:textId="77777777" w:rsidR="00020E2F" w:rsidRPr="000A32CF" w:rsidRDefault="00020E2F" w:rsidP="0078663E">
      <w:pPr>
        <w:pStyle w:val="ListParagraph"/>
        <w:numPr>
          <w:ilvl w:val="0"/>
          <w:numId w:val="14"/>
        </w:numPr>
        <w:spacing w:after="120"/>
        <w:rPr>
          <w:sz w:val="21"/>
          <w:szCs w:val="21"/>
        </w:rPr>
      </w:pPr>
      <w:r w:rsidRPr="000A32CF">
        <w:rPr>
          <w:sz w:val="21"/>
          <w:szCs w:val="21"/>
        </w:rPr>
        <w:t>“While digital inclusion was robustly addressed, the panel noted that further detail pertaining to the face-to-face offer may have benefitted the response, such as the inclusion of detail pertaining to service provision outside of core working hours.</w:t>
      </w:r>
    </w:p>
    <w:p w14:paraId="2CBDF061" w14:textId="77777777" w:rsidR="00020E2F" w:rsidRPr="000A32CF" w:rsidRDefault="00020E2F" w:rsidP="0078663E">
      <w:pPr>
        <w:pStyle w:val="ListParagraph"/>
        <w:numPr>
          <w:ilvl w:val="0"/>
          <w:numId w:val="14"/>
        </w:numPr>
        <w:spacing w:after="120"/>
        <w:rPr>
          <w:sz w:val="21"/>
          <w:szCs w:val="21"/>
        </w:rPr>
      </w:pPr>
      <w:r w:rsidRPr="000A32CF">
        <w:rPr>
          <w:sz w:val="21"/>
          <w:szCs w:val="21"/>
        </w:rPr>
        <w:t xml:space="preserve">“However the </w:t>
      </w:r>
      <w:r>
        <w:rPr>
          <w:sz w:val="21"/>
          <w:szCs w:val="21"/>
        </w:rPr>
        <w:t xml:space="preserve">[evaluation] </w:t>
      </w:r>
      <w:r w:rsidRPr="000A32CF">
        <w:rPr>
          <w:sz w:val="21"/>
          <w:szCs w:val="21"/>
        </w:rPr>
        <w:t>panel identified that while face-to-face delivery was referenced throughout the response, detail regarding how, when, and where these face-to-face services would be delivered— including flexibility across the week — was limited. The panel concluded that inclusion of a more detailed and specific plan for face-to-face provision may have strengthened the response.</w:t>
      </w:r>
    </w:p>
    <w:p w14:paraId="0DBB848B" w14:textId="77777777" w:rsidR="00020E2F" w:rsidRPr="000A32CF" w:rsidRDefault="00020E2F" w:rsidP="0078663E">
      <w:pPr>
        <w:pStyle w:val="ListParagraph"/>
        <w:numPr>
          <w:ilvl w:val="0"/>
          <w:numId w:val="14"/>
        </w:numPr>
        <w:spacing w:after="120"/>
        <w:rPr>
          <w:sz w:val="21"/>
          <w:szCs w:val="21"/>
        </w:rPr>
      </w:pPr>
      <w:r w:rsidRPr="000A32CF">
        <w:rPr>
          <w:sz w:val="21"/>
          <w:szCs w:val="21"/>
        </w:rPr>
        <w:t>“The [evaluation] panel concluded that inclusion of a more detailed and specific plan for face-to-face provision may have strengthened the response.”</w:t>
      </w:r>
    </w:p>
    <w:p w14:paraId="6DD89106" w14:textId="58890135" w:rsidR="00020E2F" w:rsidRPr="00590D69" w:rsidRDefault="00020E2F" w:rsidP="00020E2F">
      <w:pPr>
        <w:spacing w:after="120"/>
        <w:ind w:left="851"/>
        <w:rPr>
          <w:sz w:val="21"/>
          <w:szCs w:val="21"/>
        </w:rPr>
      </w:pPr>
      <w:r w:rsidRPr="00590D69">
        <w:rPr>
          <w:sz w:val="21"/>
          <w:szCs w:val="21"/>
        </w:rPr>
        <w:t>“EPUT has seen data for the current service provision by Vita in Basildon and Brentwood which indicates that</w:t>
      </w:r>
      <w:r w:rsidR="009C2D3D">
        <w:rPr>
          <w:sz w:val="21"/>
          <w:szCs w:val="21"/>
        </w:rPr>
        <w:t xml:space="preserve"> [</w:t>
      </w:r>
      <w:r w:rsidR="009C2D3D">
        <w:rPr>
          <w:sz w:val="21"/>
          <w:szCs w:val="21"/>
        </w:rPr>
        <w:sym w:font="Wingdings" w:char="F022"/>
      </w:r>
      <w:r w:rsidR="009C2D3D">
        <w:rPr>
          <w:sz w:val="21"/>
          <w:szCs w:val="21"/>
        </w:rPr>
        <w:t>].</w:t>
      </w:r>
      <w:r w:rsidR="009C2D3D">
        <w:rPr>
          <w:rStyle w:val="FootnoteReference"/>
          <w:sz w:val="21"/>
          <w:szCs w:val="21"/>
        </w:rPr>
        <w:footnoteReference w:id="69"/>
      </w:r>
      <w:r w:rsidRPr="00590D69">
        <w:rPr>
          <w:sz w:val="21"/>
          <w:szCs w:val="21"/>
        </w:rPr>
        <w:t xml:space="preserve"> A lack of face to face provision inherently introduces health inequalities, prevents co-location of services and reduces the cost of delivery disproportionately. We know that it is vital that remote delivery runs alongside in person delivery to ensure informed choice for every patient in all areas of the country, to guarantee equitable and high quality clinical provision.</w:t>
      </w:r>
    </w:p>
    <w:p w14:paraId="28408CCA" w14:textId="16AABF38" w:rsidR="00020E2F" w:rsidRPr="00590D69" w:rsidRDefault="00020E2F" w:rsidP="006F04E2">
      <w:pPr>
        <w:ind w:left="851"/>
        <w:rPr>
          <w:sz w:val="21"/>
          <w:szCs w:val="21"/>
        </w:rPr>
      </w:pPr>
      <w:r w:rsidRPr="00590D69">
        <w:rPr>
          <w:sz w:val="21"/>
          <w:szCs w:val="21"/>
        </w:rPr>
        <w:t>“In these circumstances, EPUT is concerned that the evaluators have failed to correctly apply the evaluation criteria when evaluating EPUT’s response to question 2.4.1 and/or evaluated the responses from EPUT and Vita inconsistently, in breach of the ICB’s duty to act transparently and fairly under regulation 4 of the PSR.</w:t>
      </w:r>
      <w:r>
        <w:rPr>
          <w:sz w:val="21"/>
          <w:szCs w:val="21"/>
        </w:rPr>
        <w:t>”</w:t>
      </w:r>
      <w:r>
        <w:rPr>
          <w:rStyle w:val="FootnoteReference"/>
          <w:sz w:val="21"/>
          <w:szCs w:val="21"/>
        </w:rPr>
        <w:footnoteReference w:id="70"/>
      </w:r>
    </w:p>
    <w:p w14:paraId="4F65F3BA" w14:textId="77777777" w:rsidR="00020E2F" w:rsidRDefault="00020E2F" w:rsidP="006F04E2">
      <w:pPr>
        <w:pStyle w:val="ListParagraph"/>
        <w:numPr>
          <w:ilvl w:val="0"/>
          <w:numId w:val="1"/>
        </w:numPr>
        <w:spacing w:after="120"/>
        <w:contextualSpacing w:val="0"/>
      </w:pPr>
      <w:r w:rsidRPr="003614C4">
        <w:t xml:space="preserve">MSE ICB, in responding to </w:t>
      </w:r>
      <w:r>
        <w:t>EPUT</w:t>
      </w:r>
      <w:r w:rsidRPr="003614C4">
        <w:t xml:space="preserve">’s representations </w:t>
      </w:r>
      <w:r>
        <w:t>following the provider selection process, reported the findings of its internal review panel, which</w:t>
      </w:r>
      <w:r w:rsidRPr="003614C4">
        <w:t xml:space="preserve"> said:</w:t>
      </w:r>
    </w:p>
    <w:p w14:paraId="15441850" w14:textId="48F3487C" w:rsidR="00020E2F" w:rsidRPr="00864553" w:rsidRDefault="00020E2F" w:rsidP="006F04E2">
      <w:pPr>
        <w:spacing w:after="120"/>
        <w:ind w:left="851"/>
        <w:rPr>
          <w:rFonts w:cs="Arial"/>
          <w:sz w:val="21"/>
          <w:szCs w:val="21"/>
        </w:rPr>
      </w:pPr>
      <w:r w:rsidRPr="00864553">
        <w:rPr>
          <w:rFonts w:cs="Arial"/>
          <w:sz w:val="21"/>
          <w:szCs w:val="21"/>
        </w:rPr>
        <w:t>“</w:t>
      </w:r>
      <w:r>
        <w:rPr>
          <w:rFonts w:cs="Arial"/>
          <w:sz w:val="21"/>
          <w:szCs w:val="21"/>
        </w:rPr>
        <w:t>MSE ICB</w:t>
      </w:r>
      <w:r w:rsidRPr="00864553">
        <w:rPr>
          <w:rFonts w:cs="Arial"/>
          <w:sz w:val="21"/>
          <w:szCs w:val="21"/>
        </w:rPr>
        <w:t xml:space="preserve"> asserts that orphaning one or two elements from the whole evaluation and moderation assessment and final narrative as published transparently in detailed 37</w:t>
      </w:r>
      <w:r w:rsidR="00E31A04">
        <w:rPr>
          <w:rFonts w:cs="Arial"/>
          <w:sz w:val="21"/>
          <w:szCs w:val="21"/>
        </w:rPr>
        <w:t> </w:t>
      </w:r>
      <w:r w:rsidRPr="00864553">
        <w:rPr>
          <w:rFonts w:cs="Arial"/>
          <w:sz w:val="21"/>
          <w:szCs w:val="21"/>
        </w:rPr>
        <w:t xml:space="preserve">Page Document (Outcome Letter) issued to EPUT by </w:t>
      </w:r>
      <w:r>
        <w:rPr>
          <w:rFonts w:cs="Arial"/>
          <w:sz w:val="21"/>
          <w:szCs w:val="21"/>
        </w:rPr>
        <w:t>MSE ICB</w:t>
      </w:r>
      <w:r w:rsidRPr="00864553">
        <w:rPr>
          <w:rFonts w:cs="Arial"/>
          <w:sz w:val="21"/>
          <w:szCs w:val="21"/>
        </w:rPr>
        <w:t xml:space="preserve"> only serves to skew the evaluation</w:t>
      </w:r>
      <w:r w:rsidRPr="00864553">
        <w:rPr>
          <w:rFonts w:cs="Arial"/>
          <w:spacing w:val="-6"/>
          <w:sz w:val="21"/>
          <w:szCs w:val="21"/>
        </w:rPr>
        <w:t xml:space="preserve"> </w:t>
      </w:r>
      <w:r w:rsidRPr="00864553">
        <w:rPr>
          <w:rFonts w:cs="Arial"/>
          <w:sz w:val="21"/>
          <w:szCs w:val="21"/>
        </w:rPr>
        <w:t>methodology</w:t>
      </w:r>
      <w:r>
        <w:rPr>
          <w:rFonts w:cs="Arial"/>
          <w:sz w:val="21"/>
          <w:szCs w:val="21"/>
        </w:rPr>
        <w:t>.</w:t>
      </w:r>
    </w:p>
    <w:p w14:paraId="7065848F" w14:textId="5DCC1B4C" w:rsidR="00020E2F" w:rsidRPr="00864553" w:rsidRDefault="00020E2F" w:rsidP="006F04E2">
      <w:pPr>
        <w:spacing w:after="120"/>
        <w:ind w:left="851"/>
        <w:rPr>
          <w:rFonts w:cs="Arial"/>
          <w:sz w:val="21"/>
          <w:szCs w:val="21"/>
        </w:rPr>
      </w:pPr>
      <w:r w:rsidRPr="00864553">
        <w:rPr>
          <w:rFonts w:cs="Arial"/>
          <w:sz w:val="21"/>
          <w:szCs w:val="21"/>
        </w:rPr>
        <w:t>“</w:t>
      </w:r>
      <w:r>
        <w:rPr>
          <w:rFonts w:cs="Arial"/>
          <w:sz w:val="21"/>
          <w:szCs w:val="21"/>
        </w:rPr>
        <w:t>MSE ICB</w:t>
      </w:r>
      <w:r w:rsidRPr="00864553">
        <w:rPr>
          <w:rFonts w:cs="Arial"/>
          <w:sz w:val="21"/>
          <w:szCs w:val="21"/>
        </w:rPr>
        <w:t xml:space="preserve"> asserts that the bid response for 2.4.1 was evaluated wholly, not by each bullet point alone</w:t>
      </w:r>
      <w:r>
        <w:rPr>
          <w:rFonts w:cs="Arial"/>
          <w:sz w:val="21"/>
          <w:szCs w:val="21"/>
        </w:rPr>
        <w:t>.</w:t>
      </w:r>
    </w:p>
    <w:p w14:paraId="019B5771" w14:textId="7BD1D3B3" w:rsidR="00020E2F" w:rsidRPr="00864553" w:rsidRDefault="00020E2F" w:rsidP="006F04E2">
      <w:pPr>
        <w:spacing w:after="120"/>
        <w:ind w:left="851"/>
        <w:rPr>
          <w:rFonts w:cs="Arial"/>
          <w:sz w:val="21"/>
          <w:szCs w:val="21"/>
        </w:rPr>
      </w:pPr>
      <w:r w:rsidRPr="00864553">
        <w:rPr>
          <w:rFonts w:cs="Arial"/>
          <w:sz w:val="21"/>
          <w:szCs w:val="21"/>
        </w:rPr>
        <w:t xml:space="preserve">“As highlighted in EPUT’s Representation, EPUT was found to have understood the requirements of the question and adequately addressed the requirements, as proven by their score of 3 (Adequate) which in line with the scoring demonstrates: </w:t>
      </w:r>
      <w:r w:rsidRPr="00FC4D9D">
        <w:rPr>
          <w:rFonts w:cs="Arial"/>
          <w:sz w:val="21"/>
          <w:szCs w:val="21"/>
        </w:rPr>
        <w:t>The response addresses and meets all of the Requirement. However, the response lacks detail in how all of the Requirement will be met and does not provide all of the relevant evidence requested (where evidence was requested by the question). Therefore, the bidder’s response is adequate. There is limited ambiguity as to whether the bidder can meet and deliver the Requirement</w:t>
      </w:r>
      <w:r>
        <w:rPr>
          <w:rFonts w:cs="Arial"/>
          <w:sz w:val="21"/>
          <w:szCs w:val="21"/>
        </w:rPr>
        <w:t>.</w:t>
      </w:r>
    </w:p>
    <w:p w14:paraId="3F763655" w14:textId="3A4502DC" w:rsidR="00020E2F" w:rsidRDefault="00020E2F" w:rsidP="006F04E2">
      <w:pPr>
        <w:ind w:left="851"/>
      </w:pPr>
      <w:r w:rsidRPr="00864553">
        <w:rPr>
          <w:rFonts w:cs="Arial"/>
          <w:sz w:val="21"/>
          <w:szCs w:val="21"/>
        </w:rPr>
        <w:t>“</w:t>
      </w:r>
      <w:r>
        <w:rPr>
          <w:rFonts w:cs="Arial"/>
          <w:sz w:val="21"/>
          <w:szCs w:val="21"/>
        </w:rPr>
        <w:t>MSE ICB</w:t>
      </w:r>
      <w:r w:rsidRPr="00864553">
        <w:rPr>
          <w:rFonts w:cs="Arial"/>
          <w:sz w:val="21"/>
          <w:szCs w:val="21"/>
        </w:rPr>
        <w:t xml:space="preserve"> notes that EPUT have omitted the following from the Representation, which were contained on Page 8-9 of the detailed 37-Page Outcome Letter issued by </w:t>
      </w:r>
      <w:r>
        <w:rPr>
          <w:rFonts w:cs="Arial"/>
          <w:sz w:val="21"/>
          <w:szCs w:val="21"/>
        </w:rPr>
        <w:t>MSE ICB</w:t>
      </w:r>
      <w:r w:rsidRPr="00864553">
        <w:rPr>
          <w:rFonts w:cs="Arial"/>
          <w:sz w:val="21"/>
          <w:szCs w:val="21"/>
        </w:rPr>
        <w:t xml:space="preserve"> to EPUT on the 07</w:t>
      </w:r>
      <w:r w:rsidRPr="00864553">
        <w:rPr>
          <w:rFonts w:cs="Arial"/>
          <w:sz w:val="21"/>
          <w:szCs w:val="21"/>
          <w:vertAlign w:val="superscript"/>
        </w:rPr>
        <w:t>th</w:t>
      </w:r>
      <w:r w:rsidRPr="00864553">
        <w:rPr>
          <w:rFonts w:cs="Arial"/>
          <w:sz w:val="21"/>
          <w:szCs w:val="21"/>
        </w:rPr>
        <w:t xml:space="preserve"> May 2025: </w:t>
      </w:r>
      <w:r>
        <w:rPr>
          <w:rFonts w:cs="Arial"/>
          <w:sz w:val="21"/>
          <w:szCs w:val="21"/>
        </w:rPr>
        <w:t>‘</w:t>
      </w:r>
      <w:r w:rsidRPr="00864553">
        <w:rPr>
          <w:rFonts w:cs="Arial"/>
          <w:sz w:val="21"/>
          <w:szCs w:val="21"/>
        </w:rPr>
        <w:t xml:space="preserve">The </w:t>
      </w:r>
      <w:r w:rsidR="000C69F6">
        <w:rPr>
          <w:rFonts w:cs="Arial"/>
          <w:sz w:val="21"/>
          <w:szCs w:val="21"/>
        </w:rPr>
        <w:t xml:space="preserve">[evaluation] </w:t>
      </w:r>
      <w:r w:rsidRPr="00864553">
        <w:rPr>
          <w:rFonts w:cs="Arial"/>
          <w:sz w:val="21"/>
          <w:szCs w:val="21"/>
        </w:rPr>
        <w:t>panel concluded that while the response met the minimum requirements, a more detailed and innovative approach would have strengthened it. Further evidence of flexibility in face-to-face provision outside of core working hours, and further detail pertaining to the breadth of access options for digitally excluded individuals may have strengthened the response</w:t>
      </w:r>
      <w:r>
        <w:rPr>
          <w:rFonts w:cs="Arial"/>
          <w:sz w:val="21"/>
          <w:szCs w:val="21"/>
        </w:rPr>
        <w:t>’.”</w:t>
      </w:r>
      <w:r>
        <w:rPr>
          <w:rStyle w:val="FootnoteReference"/>
          <w:rFonts w:cs="Arial"/>
          <w:sz w:val="21"/>
          <w:szCs w:val="21"/>
        </w:rPr>
        <w:footnoteReference w:id="71"/>
      </w:r>
    </w:p>
    <w:p w14:paraId="350F4222" w14:textId="063ACC28" w:rsidR="00020E2F" w:rsidRDefault="00020E2F" w:rsidP="005E2FF0">
      <w:pPr>
        <w:pStyle w:val="ListParagraph"/>
        <w:numPr>
          <w:ilvl w:val="0"/>
          <w:numId w:val="1"/>
        </w:numPr>
        <w:spacing w:after="120"/>
        <w:contextualSpacing w:val="0"/>
      </w:pPr>
      <w:r w:rsidRPr="0080773F">
        <w:lastRenderedPageBreak/>
        <w:t>EPUT, in its representations to the Panel, said</w:t>
      </w:r>
      <w:r w:rsidR="00BB4E0C">
        <w:t xml:space="preserve"> that</w:t>
      </w:r>
      <w:r w:rsidRPr="0080773F">
        <w:t>:</w:t>
      </w:r>
    </w:p>
    <w:p w14:paraId="2568DCD5" w14:textId="1BDB6F11" w:rsidR="00020E2F" w:rsidRPr="00AE183D" w:rsidRDefault="00020E2F" w:rsidP="005E2FF0">
      <w:pPr>
        <w:spacing w:after="120"/>
        <w:ind w:left="851"/>
        <w:rPr>
          <w:sz w:val="21"/>
          <w:szCs w:val="21"/>
        </w:rPr>
      </w:pPr>
      <w:r>
        <w:rPr>
          <w:sz w:val="21"/>
          <w:szCs w:val="21"/>
        </w:rPr>
        <w:t>“</w:t>
      </w:r>
      <w:r w:rsidRPr="00AE183D">
        <w:rPr>
          <w:sz w:val="21"/>
          <w:szCs w:val="21"/>
        </w:rPr>
        <w:t xml:space="preserve">As with the previous representation, </w:t>
      </w:r>
      <w:r w:rsidR="000C69F6">
        <w:rPr>
          <w:sz w:val="21"/>
          <w:szCs w:val="21"/>
        </w:rPr>
        <w:t>MSE ICB’s</w:t>
      </w:r>
      <w:r w:rsidRPr="00AE183D">
        <w:rPr>
          <w:sz w:val="21"/>
          <w:szCs w:val="21"/>
        </w:rPr>
        <w:t xml:space="preserve"> internal </w:t>
      </w:r>
      <w:r w:rsidR="000C69F6">
        <w:rPr>
          <w:sz w:val="21"/>
          <w:szCs w:val="21"/>
        </w:rPr>
        <w:t xml:space="preserve">review </w:t>
      </w:r>
      <w:r w:rsidRPr="00AE183D">
        <w:rPr>
          <w:sz w:val="21"/>
          <w:szCs w:val="21"/>
        </w:rPr>
        <w:t xml:space="preserve">panel’s findings on this representation repeatedly refer to </w:t>
      </w:r>
      <w:r w:rsidR="004B6681">
        <w:rPr>
          <w:sz w:val="21"/>
          <w:szCs w:val="21"/>
        </w:rPr>
        <w:t>MSE ICB</w:t>
      </w:r>
      <w:r w:rsidRPr="00AE183D">
        <w:rPr>
          <w:sz w:val="21"/>
          <w:szCs w:val="21"/>
        </w:rPr>
        <w:t xml:space="preserve"> making various assertions, and we do not see any evidence that, in considering our representations, the internal </w:t>
      </w:r>
      <w:r w:rsidR="004B6681">
        <w:rPr>
          <w:sz w:val="21"/>
          <w:szCs w:val="21"/>
        </w:rPr>
        <w:t xml:space="preserve">review </w:t>
      </w:r>
      <w:r w:rsidRPr="00AE183D">
        <w:rPr>
          <w:sz w:val="21"/>
          <w:szCs w:val="21"/>
        </w:rPr>
        <w:t>panel has properly addressed itself to the question of whether the evaluators have failed to correctly apply the evaluation criteria when evaluating our response to question 2.4.1 and/or evaluated the responses from us and Vita inconsistently.</w:t>
      </w:r>
    </w:p>
    <w:p w14:paraId="42EC9FFC" w14:textId="44A0A502" w:rsidR="00020E2F" w:rsidRPr="00AE183D" w:rsidRDefault="00020E2F" w:rsidP="00020E2F">
      <w:pPr>
        <w:ind w:left="851"/>
        <w:rPr>
          <w:sz w:val="21"/>
          <w:szCs w:val="21"/>
        </w:rPr>
      </w:pPr>
      <w:r>
        <w:rPr>
          <w:sz w:val="21"/>
          <w:szCs w:val="21"/>
        </w:rPr>
        <w:t>“</w:t>
      </w:r>
      <w:r w:rsidRPr="00AE183D">
        <w:rPr>
          <w:sz w:val="21"/>
          <w:szCs w:val="21"/>
        </w:rPr>
        <w:t xml:space="preserve">We consider that the evaluators have failed to correctly apply the evaluation criteria when evaluating EPUT’s response to question 2.4.1 and/or evaluated the responses from EPUT and Vita inconsistently. We consider that </w:t>
      </w:r>
      <w:r w:rsidR="004B6681">
        <w:rPr>
          <w:sz w:val="21"/>
          <w:szCs w:val="21"/>
        </w:rPr>
        <w:t>MSE ICB</w:t>
      </w:r>
      <w:r w:rsidRPr="00AE183D">
        <w:rPr>
          <w:sz w:val="21"/>
          <w:szCs w:val="21"/>
        </w:rPr>
        <w:t xml:space="preserve"> has breached regulation</w:t>
      </w:r>
      <w:r w:rsidR="004B6681">
        <w:rPr>
          <w:sz w:val="21"/>
          <w:szCs w:val="21"/>
        </w:rPr>
        <w:t> </w:t>
      </w:r>
      <w:r w:rsidRPr="00AE183D">
        <w:rPr>
          <w:sz w:val="21"/>
          <w:szCs w:val="21"/>
        </w:rPr>
        <w:t>4 and regulation 11(5) of the PSR</w:t>
      </w:r>
      <w:r>
        <w:rPr>
          <w:sz w:val="21"/>
          <w:szCs w:val="21"/>
        </w:rPr>
        <w:t>” (see paragraph </w:t>
      </w:r>
      <w:r>
        <w:rPr>
          <w:sz w:val="21"/>
          <w:szCs w:val="21"/>
        </w:rPr>
        <w:fldChar w:fldCharType="begin"/>
      </w:r>
      <w:r>
        <w:rPr>
          <w:sz w:val="21"/>
          <w:szCs w:val="21"/>
        </w:rPr>
        <w:instrText xml:space="preserve"> REF _Ref204603816 \r \h </w:instrText>
      </w:r>
      <w:r>
        <w:rPr>
          <w:sz w:val="21"/>
          <w:szCs w:val="21"/>
        </w:rPr>
      </w:r>
      <w:r>
        <w:rPr>
          <w:sz w:val="21"/>
          <w:szCs w:val="21"/>
        </w:rPr>
        <w:fldChar w:fldCharType="separate"/>
      </w:r>
      <w:r w:rsidR="00437D90">
        <w:rPr>
          <w:sz w:val="21"/>
          <w:szCs w:val="21"/>
        </w:rPr>
        <w:t>50</w:t>
      </w:r>
      <w:r>
        <w:rPr>
          <w:sz w:val="21"/>
          <w:szCs w:val="21"/>
        </w:rPr>
        <w:fldChar w:fldCharType="end"/>
      </w:r>
      <w:r>
        <w:rPr>
          <w:sz w:val="21"/>
          <w:szCs w:val="21"/>
        </w:rPr>
        <w:t>)</w:t>
      </w:r>
      <w:r w:rsidRPr="00AE183D">
        <w:rPr>
          <w:sz w:val="21"/>
          <w:szCs w:val="21"/>
        </w:rPr>
        <w:t>.</w:t>
      </w:r>
    </w:p>
    <w:p w14:paraId="0AC260C4" w14:textId="7ADAA369" w:rsidR="00020E2F" w:rsidRPr="00947F5B" w:rsidRDefault="00CF56FA" w:rsidP="006F04E2">
      <w:pPr>
        <w:pStyle w:val="ListParagraph"/>
        <w:numPr>
          <w:ilvl w:val="0"/>
          <w:numId w:val="1"/>
        </w:numPr>
        <w:spacing w:line="276" w:lineRule="auto"/>
        <w:contextualSpacing w:val="0"/>
      </w:pPr>
      <w:r>
        <w:t>The Panel, i</w:t>
      </w:r>
      <w:r w:rsidR="00020E2F" w:rsidRPr="00F8221D">
        <w:t xml:space="preserve">n </w:t>
      </w:r>
      <w:r w:rsidR="00E356FD">
        <w:t>assessing</w:t>
      </w:r>
      <w:r w:rsidR="00020E2F" w:rsidRPr="00F8221D">
        <w:t xml:space="preserve"> EPUT’s concern that MSE ICB had incorrectly and inconsistently applied the scoring criteria in evaluating EPUT’s response to Question</w:t>
      </w:r>
      <w:r w:rsidR="009B75D6">
        <w:t> </w:t>
      </w:r>
      <w:r w:rsidR="00020E2F" w:rsidRPr="00F8221D">
        <w:t xml:space="preserve">2.4.1, reviewed </w:t>
      </w:r>
      <w:r w:rsidR="00573236" w:rsidRPr="00573236">
        <w:t>MSE ICB’s evaluation material</w:t>
      </w:r>
      <w:r w:rsidR="00ED55D5">
        <w:t xml:space="preserve">s for </w:t>
      </w:r>
      <w:r w:rsidR="00791566">
        <w:t>this question</w:t>
      </w:r>
      <w:r w:rsidR="00573236" w:rsidRPr="00573236">
        <w:t>, including the moderation notes and the Outcome Letter sent to EPUT by MSE ICB.</w:t>
      </w:r>
    </w:p>
    <w:p w14:paraId="6292367D" w14:textId="78823308" w:rsidR="007A43C3" w:rsidRPr="007A43C3" w:rsidRDefault="007A43C3" w:rsidP="006F04E2">
      <w:pPr>
        <w:pStyle w:val="ListParagraph"/>
        <w:numPr>
          <w:ilvl w:val="0"/>
          <w:numId w:val="1"/>
        </w:numPr>
        <w:spacing w:line="276" w:lineRule="auto"/>
        <w:contextualSpacing w:val="0"/>
      </w:pPr>
      <w:r w:rsidRPr="007A43C3">
        <w:t>The Panel</w:t>
      </w:r>
      <w:r w:rsidR="0094172F">
        <w:t xml:space="preserve"> notes </w:t>
      </w:r>
      <w:r w:rsidRPr="007A43C3">
        <w:t>that Question 2.</w:t>
      </w:r>
      <w:r w:rsidR="00D6358C">
        <w:t>4</w:t>
      </w:r>
      <w:r w:rsidRPr="007A43C3">
        <w:t>.1</w:t>
      </w:r>
      <w:r w:rsidR="00CA641A" w:rsidRPr="00CA641A">
        <w:t xml:space="preserve"> allowed </w:t>
      </w:r>
      <w:r w:rsidRPr="007A43C3">
        <w:t xml:space="preserve">bidders relatively broad licence to explain their </w:t>
      </w:r>
      <w:r w:rsidR="00D6358C">
        <w:t>service delivery models</w:t>
      </w:r>
      <w:r w:rsidRPr="007A43C3">
        <w:t xml:space="preserve">, within the parameters of the question’s subheadings, and that it is </w:t>
      </w:r>
      <w:r w:rsidR="00E356FD">
        <w:t xml:space="preserve">open to </w:t>
      </w:r>
      <w:r w:rsidRPr="007A43C3">
        <w:t>evaluators to provide feedback on where a</w:t>
      </w:r>
      <w:r w:rsidR="00CA641A" w:rsidRPr="00CA641A">
        <w:t xml:space="preserve"> bidder</w:t>
      </w:r>
      <w:r w:rsidRPr="007A43C3">
        <w:t xml:space="preserve"> might have </w:t>
      </w:r>
      <w:r w:rsidR="001576D6">
        <w:t>included</w:t>
      </w:r>
      <w:r w:rsidR="001576D6" w:rsidRPr="007A43C3">
        <w:t xml:space="preserve"> </w:t>
      </w:r>
      <w:r w:rsidRPr="007A43C3">
        <w:t xml:space="preserve">further or clearer explanation in order to improve their response. The nature or specificity of this feedback may legitimately vary between bidders, in accordance with the particular proposals </w:t>
      </w:r>
      <w:r w:rsidR="00F2749F">
        <w:t xml:space="preserve">from </w:t>
      </w:r>
      <w:r w:rsidRPr="007A43C3">
        <w:t xml:space="preserve">each bidder, </w:t>
      </w:r>
      <w:r w:rsidR="00F2749F">
        <w:t>so</w:t>
      </w:r>
      <w:r w:rsidRPr="007A43C3">
        <w:t xml:space="preserve"> long as the rationale for the scoring decision is consistent with the published evaluation methodology and </w:t>
      </w:r>
      <w:r w:rsidR="00F434B0">
        <w:t xml:space="preserve">is consistent </w:t>
      </w:r>
      <w:r w:rsidRPr="007A43C3">
        <w:t>between bidders.</w:t>
      </w:r>
      <w:r w:rsidR="00D43773" w:rsidRPr="00D43773">
        <w:t xml:space="preserve"> </w:t>
      </w:r>
      <w:r w:rsidR="00D43773" w:rsidRPr="00C66799">
        <w:t xml:space="preserve">The Panel’s </w:t>
      </w:r>
      <w:r w:rsidR="00D43773">
        <w:t>view</w:t>
      </w:r>
      <w:r w:rsidR="00D43773" w:rsidRPr="00C66799">
        <w:t xml:space="preserve"> is that MSE ICB’s evaluation of Question 2.</w:t>
      </w:r>
      <w:r w:rsidR="00D43773">
        <w:t>4</w:t>
      </w:r>
      <w:r w:rsidR="00D43773" w:rsidRPr="00C66799">
        <w:t>.1 was consistent in relation to both elements.</w:t>
      </w:r>
    </w:p>
    <w:p w14:paraId="1993FFF2" w14:textId="360922AD" w:rsidR="00020E2F" w:rsidRPr="00FA7A8B" w:rsidRDefault="00AA509D" w:rsidP="006F04E2">
      <w:pPr>
        <w:pStyle w:val="ListParagraph"/>
        <w:numPr>
          <w:ilvl w:val="0"/>
          <w:numId w:val="1"/>
        </w:numPr>
        <w:spacing w:line="276" w:lineRule="auto"/>
        <w:contextualSpacing w:val="0"/>
      </w:pPr>
      <w:r w:rsidRPr="00FA7A8B">
        <w:t>As a result, t</w:t>
      </w:r>
      <w:r w:rsidR="00020E2F" w:rsidRPr="00FA7A8B">
        <w:t xml:space="preserve">he Panel finds that </w:t>
      </w:r>
      <w:r w:rsidRPr="00FA7A8B">
        <w:t xml:space="preserve">MSE ICB, in </w:t>
      </w:r>
      <w:r w:rsidR="00FA7A8B" w:rsidRPr="00FA7A8B">
        <w:t>evaluating responses to Question 2.4.1 (Service Delivery), did not breach the PSR regulations, and in particular, the obligation to act transparently, fairly and proportionately.</w:t>
      </w:r>
    </w:p>
    <w:p w14:paraId="6716EB33" w14:textId="10E965B2" w:rsidR="00A432C4" w:rsidRPr="00EA367E" w:rsidRDefault="004E5A8E" w:rsidP="006038E1">
      <w:pPr>
        <w:keepNext/>
        <w:spacing w:before="240" w:line="276" w:lineRule="auto"/>
        <w:rPr>
          <w:b/>
          <w:lang w:val="fr-FR"/>
        </w:rPr>
      </w:pPr>
      <w:r w:rsidRPr="00EA367E">
        <w:rPr>
          <w:b/>
          <w:lang w:val="fr-FR"/>
        </w:rPr>
        <w:t xml:space="preserve">7.4.4 </w:t>
      </w:r>
      <w:r w:rsidR="00D85327" w:rsidRPr="00EA367E">
        <w:rPr>
          <w:b/>
          <w:lang w:val="fr-FR"/>
        </w:rPr>
        <w:t>E</w:t>
      </w:r>
      <w:r w:rsidR="00A432C4" w:rsidRPr="00EA367E">
        <w:rPr>
          <w:b/>
          <w:lang w:val="fr-FR"/>
        </w:rPr>
        <w:t>valuation of Question 2.8.1 (Mobilisation &amp;</w:t>
      </w:r>
      <w:r w:rsidR="00C34BA3">
        <w:rPr>
          <w:b/>
          <w:lang w:val="fr-FR"/>
        </w:rPr>
        <w:t xml:space="preserve"> Implementation</w:t>
      </w:r>
      <w:r w:rsidR="00A432C4" w:rsidRPr="00EA367E">
        <w:rPr>
          <w:b/>
          <w:lang w:val="fr-FR"/>
        </w:rPr>
        <w:t>)</w:t>
      </w:r>
    </w:p>
    <w:p w14:paraId="4873CCC4" w14:textId="3EFFE9B5" w:rsidR="00713C41" w:rsidRDefault="00772389" w:rsidP="0057583E">
      <w:pPr>
        <w:pStyle w:val="ListParagraph"/>
        <w:numPr>
          <w:ilvl w:val="0"/>
          <w:numId w:val="1"/>
        </w:numPr>
        <w:spacing w:line="276" w:lineRule="auto"/>
        <w:contextualSpacing w:val="0"/>
      </w:pPr>
      <w:r w:rsidRPr="00CA641A">
        <w:t xml:space="preserve">This section sets out the Panel’s assessment of EPUT’s concerns about </w:t>
      </w:r>
      <w:r w:rsidR="001E6770">
        <w:t xml:space="preserve">MSE ICB’s </w:t>
      </w:r>
      <w:r w:rsidR="00395EE1">
        <w:t>approach to mobilisation of the new service</w:t>
      </w:r>
      <w:r w:rsidR="00593B9C">
        <w:t xml:space="preserve"> model</w:t>
      </w:r>
      <w:r w:rsidR="00395EE1">
        <w:t xml:space="preserve">, including </w:t>
      </w:r>
      <w:r w:rsidR="008B5BC9">
        <w:t xml:space="preserve">MSE ICB’s </w:t>
      </w:r>
      <w:r w:rsidR="00395EE1">
        <w:t>evaluation of responses to ITT Question 2.8.1</w:t>
      </w:r>
      <w:r w:rsidR="003A302A">
        <w:t xml:space="preserve"> </w:t>
      </w:r>
      <w:r w:rsidR="003A302A" w:rsidRPr="003A302A">
        <w:t>(Mobilisation &amp; Implementation)</w:t>
      </w:r>
      <w:r w:rsidR="00395EE1">
        <w:t>.</w:t>
      </w:r>
    </w:p>
    <w:p w14:paraId="2709FA46" w14:textId="734F3B61" w:rsidR="003E1150" w:rsidRPr="00B76804" w:rsidRDefault="003E1150" w:rsidP="003E1150">
      <w:pPr>
        <w:pStyle w:val="ListParagraph"/>
        <w:numPr>
          <w:ilvl w:val="0"/>
          <w:numId w:val="1"/>
        </w:numPr>
        <w:spacing w:after="120"/>
        <w:contextualSpacing w:val="0"/>
      </w:pPr>
      <w:r w:rsidRPr="00B76804">
        <w:t>By way of background, Question 2.8.1 was as follows:</w:t>
      </w:r>
    </w:p>
    <w:p w14:paraId="0A6449A6" w14:textId="77777777" w:rsidR="003E1150" w:rsidRPr="00B76804" w:rsidRDefault="003E1150" w:rsidP="003E1150">
      <w:pPr>
        <w:pStyle w:val="ListParagraph"/>
        <w:numPr>
          <w:ilvl w:val="0"/>
          <w:numId w:val="0"/>
        </w:numPr>
        <w:spacing w:after="120"/>
        <w:ind w:left="851"/>
        <w:contextualSpacing w:val="0"/>
        <w:rPr>
          <w:sz w:val="21"/>
          <w:szCs w:val="21"/>
        </w:rPr>
      </w:pPr>
      <w:r w:rsidRPr="00B76804">
        <w:rPr>
          <w:sz w:val="21"/>
          <w:szCs w:val="21"/>
        </w:rPr>
        <w:t>“Please describe in detail your proposed mobilisation plan to ensure a full service is in place by the service commencement date taking into account the identified mobilisation tasks set out in the Service Specification and any additional tasks you will need to deliver.</w:t>
      </w:r>
    </w:p>
    <w:p w14:paraId="73283624" w14:textId="77777777" w:rsidR="003E1150" w:rsidRPr="00B76804" w:rsidRDefault="003E1150" w:rsidP="003E1150">
      <w:pPr>
        <w:pStyle w:val="ListParagraph"/>
        <w:numPr>
          <w:ilvl w:val="0"/>
          <w:numId w:val="0"/>
        </w:numPr>
        <w:spacing w:after="0"/>
        <w:ind w:left="851"/>
        <w:contextualSpacing w:val="0"/>
        <w:rPr>
          <w:sz w:val="21"/>
          <w:szCs w:val="21"/>
        </w:rPr>
      </w:pPr>
      <w:r w:rsidRPr="00B76804">
        <w:rPr>
          <w:sz w:val="21"/>
          <w:szCs w:val="21"/>
        </w:rPr>
        <w:t xml:space="preserve">The response must include the following: </w:t>
      </w:r>
    </w:p>
    <w:p w14:paraId="68B20228" w14:textId="77777777" w:rsidR="003E1150" w:rsidRPr="00B76804" w:rsidRDefault="003E1150" w:rsidP="0078663E">
      <w:pPr>
        <w:pStyle w:val="ListParagraph"/>
        <w:numPr>
          <w:ilvl w:val="1"/>
          <w:numId w:val="16"/>
        </w:numPr>
        <w:ind w:left="1434" w:hanging="357"/>
        <w:rPr>
          <w:sz w:val="21"/>
          <w:szCs w:val="21"/>
        </w:rPr>
      </w:pPr>
      <w:r w:rsidRPr="00B76804">
        <w:rPr>
          <w:sz w:val="21"/>
          <w:szCs w:val="21"/>
        </w:rPr>
        <w:t xml:space="preserve">a detailed mobilisation plan from point of contract award to 6 months after the service commencement date with a clear timeline to demonstrate that you will be able to achieve full-service availability on the service commencement (1 August 2025) assuming circa 8 weeks mobilisation. The plan must include key actions, milestones, and SMART objectives (including contingency arrangements) </w:t>
      </w:r>
    </w:p>
    <w:p w14:paraId="100994C5" w14:textId="77777777" w:rsidR="003E1150" w:rsidRPr="00B76804" w:rsidRDefault="003E1150" w:rsidP="0078663E">
      <w:pPr>
        <w:pStyle w:val="ListParagraph"/>
        <w:numPr>
          <w:ilvl w:val="1"/>
          <w:numId w:val="16"/>
        </w:numPr>
        <w:ind w:left="1434" w:hanging="357"/>
        <w:rPr>
          <w:sz w:val="21"/>
          <w:szCs w:val="21"/>
        </w:rPr>
      </w:pPr>
      <w:r w:rsidRPr="00B76804">
        <w:rPr>
          <w:sz w:val="21"/>
          <w:szCs w:val="21"/>
        </w:rPr>
        <w:t>Provide a detailed mobilisation plan outlining how you will ensure a smooth transition from the current provider.</w:t>
      </w:r>
    </w:p>
    <w:p w14:paraId="5A9D140B" w14:textId="77777777" w:rsidR="003E1150" w:rsidRPr="00B76804" w:rsidRDefault="003E1150" w:rsidP="0078663E">
      <w:pPr>
        <w:pStyle w:val="ListParagraph"/>
        <w:numPr>
          <w:ilvl w:val="1"/>
          <w:numId w:val="16"/>
        </w:numPr>
        <w:ind w:left="1434" w:hanging="357"/>
        <w:rPr>
          <w:sz w:val="21"/>
          <w:szCs w:val="21"/>
        </w:rPr>
      </w:pPr>
      <w:r w:rsidRPr="00B76804">
        <w:rPr>
          <w:sz w:val="21"/>
          <w:szCs w:val="21"/>
        </w:rPr>
        <w:lastRenderedPageBreak/>
        <w:t>How will you manage referrals and ensure continuity of care during the mobilisation period?</w:t>
      </w:r>
    </w:p>
    <w:p w14:paraId="5716D8F7" w14:textId="77777777" w:rsidR="003E1150" w:rsidRPr="00B76804" w:rsidRDefault="003E1150" w:rsidP="0078663E">
      <w:pPr>
        <w:pStyle w:val="ListParagraph"/>
        <w:numPr>
          <w:ilvl w:val="1"/>
          <w:numId w:val="16"/>
        </w:numPr>
        <w:ind w:left="1434" w:hanging="357"/>
        <w:rPr>
          <w:sz w:val="21"/>
          <w:szCs w:val="21"/>
        </w:rPr>
      </w:pPr>
      <w:r w:rsidRPr="00B76804">
        <w:rPr>
          <w:sz w:val="21"/>
          <w:szCs w:val="21"/>
        </w:rPr>
        <w:t>What risks do you foresee during mobilisation, and how will you mitigate them?</w:t>
      </w:r>
    </w:p>
    <w:p w14:paraId="228E55F2" w14:textId="77777777" w:rsidR="003E1150" w:rsidRPr="00B76804" w:rsidRDefault="003E1150" w:rsidP="0078663E">
      <w:pPr>
        <w:pStyle w:val="ListParagraph"/>
        <w:numPr>
          <w:ilvl w:val="1"/>
          <w:numId w:val="16"/>
        </w:numPr>
        <w:ind w:left="1434" w:hanging="357"/>
        <w:contextualSpacing w:val="0"/>
        <w:rPr>
          <w:sz w:val="21"/>
          <w:szCs w:val="21"/>
        </w:rPr>
      </w:pPr>
      <w:r w:rsidRPr="00B76804">
        <w:rPr>
          <w:sz w:val="21"/>
          <w:szCs w:val="21"/>
        </w:rPr>
        <w:t>How will you engage with key stakeholders (e.g., GPs, commissioners, community organisations) during mobilisation?</w:t>
      </w:r>
      <w:r>
        <w:rPr>
          <w:sz w:val="21"/>
          <w:szCs w:val="21"/>
        </w:rPr>
        <w:t>”</w:t>
      </w:r>
    </w:p>
    <w:p w14:paraId="4983F310" w14:textId="5B235A3F" w:rsidR="003E1150" w:rsidRDefault="006025DC" w:rsidP="0057583E">
      <w:pPr>
        <w:pStyle w:val="ListParagraph"/>
        <w:numPr>
          <w:ilvl w:val="0"/>
          <w:numId w:val="1"/>
        </w:numPr>
        <w:spacing w:line="276" w:lineRule="auto"/>
        <w:contextualSpacing w:val="0"/>
      </w:pPr>
      <w:r>
        <w:t>Responses were provided via an attachment with a</w:t>
      </w:r>
      <w:r w:rsidR="003E1150">
        <w:t xml:space="preserve"> </w:t>
      </w:r>
      <w:r w:rsidR="00DF54EF">
        <w:t xml:space="preserve">limit </w:t>
      </w:r>
      <w:r w:rsidR="003E1150">
        <w:t>of 2</w:t>
      </w:r>
      <w:r w:rsidR="00A86A93">
        <w:t>,</w:t>
      </w:r>
      <w:r w:rsidR="003E1150">
        <w:t>000 words</w:t>
      </w:r>
      <w:r w:rsidR="00991E8E">
        <w:t>, but</w:t>
      </w:r>
      <w:r w:rsidR="003E1150">
        <w:t xml:space="preserve"> MSE ICB</w:t>
      </w:r>
      <w:r w:rsidR="00DF54EF">
        <w:t xml:space="preserve"> </w:t>
      </w:r>
      <w:r w:rsidR="003E1150">
        <w:t>told bidders that “additional attachments to support the written response are permitted and will not count towards the word count”.</w:t>
      </w:r>
      <w:r w:rsidR="003E1150">
        <w:rPr>
          <w:rStyle w:val="FootnoteReference"/>
        </w:rPr>
        <w:footnoteReference w:id="72"/>
      </w:r>
    </w:p>
    <w:p w14:paraId="661097F5" w14:textId="7ABEF8FD" w:rsidR="003E1150" w:rsidRPr="004F1C97" w:rsidRDefault="003E1150" w:rsidP="0057583E">
      <w:pPr>
        <w:pStyle w:val="ListParagraph"/>
        <w:numPr>
          <w:ilvl w:val="0"/>
          <w:numId w:val="1"/>
        </w:numPr>
        <w:spacing w:line="276" w:lineRule="auto"/>
        <w:contextualSpacing w:val="0"/>
      </w:pPr>
      <w:r w:rsidRPr="00F02B2C">
        <w:t xml:space="preserve">Scoring of responses to </w:t>
      </w:r>
      <w:r w:rsidR="003E6A9A">
        <w:t>Q</w:t>
      </w:r>
      <w:r w:rsidRPr="00F02B2C">
        <w:t>uestion</w:t>
      </w:r>
      <w:r>
        <w:t xml:space="preserve"> 2.8.1</w:t>
      </w:r>
      <w:r w:rsidRPr="00F02B2C">
        <w:t xml:space="preserve"> was on a 0-5 scale as set out in the table </w:t>
      </w:r>
      <w:r>
        <w:t>in paragraph</w:t>
      </w:r>
      <w:r w:rsidR="0057583E">
        <w:t xml:space="preserve"> </w:t>
      </w:r>
      <w:r w:rsidR="0057583E">
        <w:fldChar w:fldCharType="begin"/>
      </w:r>
      <w:r w:rsidR="0057583E">
        <w:instrText xml:space="preserve"> REF _Ref205806512 \r \h </w:instrText>
      </w:r>
      <w:r w:rsidR="0057583E">
        <w:fldChar w:fldCharType="separate"/>
      </w:r>
      <w:r w:rsidR="00437D90">
        <w:t>133</w:t>
      </w:r>
      <w:r w:rsidR="0057583E">
        <w:fldChar w:fldCharType="end"/>
      </w:r>
      <w:r>
        <w:t xml:space="preserve">. </w:t>
      </w:r>
      <w:r w:rsidRPr="004F1C97">
        <w:t xml:space="preserve">EPUT was awarded a score of </w:t>
      </w:r>
      <w:r>
        <w:t xml:space="preserve">3 (Adequate) </w:t>
      </w:r>
      <w:r w:rsidRPr="004F1C97">
        <w:t>for its response.</w:t>
      </w:r>
      <w:r w:rsidR="00CB0B9C">
        <w:t xml:space="preserve"> </w:t>
      </w:r>
      <w:r w:rsidR="00474F43">
        <w:t xml:space="preserve">Vita </w:t>
      </w:r>
      <w:r w:rsidR="001F6016">
        <w:t xml:space="preserve">Health </w:t>
      </w:r>
      <w:r w:rsidR="00474F43">
        <w:t xml:space="preserve">was awarded a score of </w:t>
      </w:r>
      <w:r w:rsidR="004D6C0F">
        <w:t>4 (Good) for its response.</w:t>
      </w:r>
    </w:p>
    <w:p w14:paraId="60185888" w14:textId="77777777" w:rsidR="003E5F87" w:rsidRDefault="003E5F87" w:rsidP="00A855C3">
      <w:pPr>
        <w:pStyle w:val="ListParagraph"/>
        <w:numPr>
          <w:ilvl w:val="0"/>
          <w:numId w:val="1"/>
        </w:numPr>
        <w:spacing w:after="120"/>
        <w:contextualSpacing w:val="0"/>
      </w:pPr>
      <w:r>
        <w:t>EPUT, in its initial representations to MSE ICB, said that:</w:t>
      </w:r>
    </w:p>
    <w:p w14:paraId="1D7719D6" w14:textId="45B524E9" w:rsidR="002D5474" w:rsidRPr="002D5474" w:rsidRDefault="002D5474" w:rsidP="00A855C3">
      <w:pPr>
        <w:spacing w:after="120"/>
        <w:ind w:left="851"/>
        <w:rPr>
          <w:sz w:val="21"/>
          <w:szCs w:val="21"/>
        </w:rPr>
      </w:pPr>
      <w:r>
        <w:rPr>
          <w:sz w:val="21"/>
          <w:szCs w:val="21"/>
        </w:rPr>
        <w:t>“</w:t>
      </w:r>
      <w:r w:rsidRPr="002D5474">
        <w:rPr>
          <w:sz w:val="21"/>
          <w:szCs w:val="21"/>
        </w:rPr>
        <w:t xml:space="preserve">Within clarification question 87, </w:t>
      </w:r>
      <w:r w:rsidR="00EB465E">
        <w:rPr>
          <w:sz w:val="21"/>
          <w:szCs w:val="21"/>
        </w:rPr>
        <w:t>MSE</w:t>
      </w:r>
      <w:r w:rsidRPr="002D5474">
        <w:rPr>
          <w:sz w:val="21"/>
          <w:szCs w:val="21"/>
        </w:rPr>
        <w:t xml:space="preserve"> ICB was asked to confirm whether bidders would be disadvantaged when including the required timescale for system migration (IAPTUS) which was clarified through due diligence during the process with the system provider, Mayden. The period of migration is outside of bidders’ control but exceeded commissioner’s mobilisation period. The recommended solution within the specification in the CPO Pack is to use IAPTUS. </w:t>
      </w:r>
      <w:r w:rsidR="00EB465E">
        <w:rPr>
          <w:sz w:val="21"/>
          <w:szCs w:val="21"/>
        </w:rPr>
        <w:t>MSE</w:t>
      </w:r>
      <w:r w:rsidRPr="002D5474">
        <w:rPr>
          <w:sz w:val="21"/>
          <w:szCs w:val="21"/>
        </w:rPr>
        <w:t xml:space="preserve"> ICB confirmed that bidders would not be disadvantaged by the reasonable impact outside of bidder’s control.</w:t>
      </w:r>
    </w:p>
    <w:p w14:paraId="7D26E41B" w14:textId="303DC39A" w:rsidR="002D5474" w:rsidRPr="002D5474" w:rsidRDefault="002D5474" w:rsidP="00A855C3">
      <w:pPr>
        <w:spacing w:after="120"/>
        <w:ind w:left="851"/>
        <w:rPr>
          <w:sz w:val="21"/>
          <w:szCs w:val="21"/>
        </w:rPr>
      </w:pPr>
      <w:r w:rsidRPr="002D5474">
        <w:rPr>
          <w:sz w:val="21"/>
          <w:szCs w:val="21"/>
        </w:rPr>
        <w:t xml:space="preserve">“However, within the outcome letter dated 7 May 2025, it was noted that </w:t>
      </w:r>
      <w:r w:rsidR="00EB465E">
        <w:rPr>
          <w:sz w:val="21"/>
          <w:szCs w:val="21"/>
        </w:rPr>
        <w:t>EPUT</w:t>
      </w:r>
      <w:r w:rsidRPr="002D5474">
        <w:rPr>
          <w:sz w:val="21"/>
          <w:szCs w:val="21"/>
        </w:rPr>
        <w:t xml:space="preserve"> identified that Mayden (IAPTUS) required 16 weeks for data migration, which exceeded the proposed mobilisation window, highlighting this as a key risk. EPUT is concerned that it has been disadvantaged by </w:t>
      </w:r>
      <w:r w:rsidR="00EB465E">
        <w:rPr>
          <w:sz w:val="21"/>
          <w:szCs w:val="21"/>
        </w:rPr>
        <w:t>MSE</w:t>
      </w:r>
      <w:r w:rsidRPr="002D5474">
        <w:rPr>
          <w:sz w:val="21"/>
          <w:szCs w:val="21"/>
        </w:rPr>
        <w:t xml:space="preserve"> ICB’s recommended system provider’s migration period, contrary to </w:t>
      </w:r>
      <w:r w:rsidR="00EB465E">
        <w:rPr>
          <w:sz w:val="21"/>
          <w:szCs w:val="21"/>
        </w:rPr>
        <w:t>MSE</w:t>
      </w:r>
      <w:r w:rsidRPr="002D5474">
        <w:rPr>
          <w:sz w:val="21"/>
          <w:szCs w:val="21"/>
        </w:rPr>
        <w:t xml:space="preserve"> ICB’s assurances in its response to clarification question 87 and therefore </w:t>
      </w:r>
      <w:r w:rsidR="00EB465E">
        <w:rPr>
          <w:sz w:val="21"/>
          <w:szCs w:val="21"/>
        </w:rPr>
        <w:t>MSE</w:t>
      </w:r>
      <w:r w:rsidRPr="002D5474">
        <w:rPr>
          <w:sz w:val="21"/>
          <w:szCs w:val="21"/>
        </w:rPr>
        <w:t xml:space="preserve"> ICB’s duty to act transparently and fairly under regulation 4 of the PSR.</w:t>
      </w:r>
    </w:p>
    <w:p w14:paraId="32B4CE9A" w14:textId="2CEECA71" w:rsidR="003E5F87" w:rsidRPr="002D5474" w:rsidRDefault="002D5474" w:rsidP="00A855C3">
      <w:pPr>
        <w:ind w:left="851"/>
        <w:rPr>
          <w:sz w:val="21"/>
          <w:szCs w:val="21"/>
        </w:rPr>
      </w:pPr>
      <w:r w:rsidRPr="002D5474">
        <w:rPr>
          <w:sz w:val="21"/>
          <w:szCs w:val="21"/>
        </w:rPr>
        <w:t xml:space="preserve">“Furthermore, in response to clarification question 58, </w:t>
      </w:r>
      <w:r w:rsidR="00EB465E">
        <w:rPr>
          <w:sz w:val="21"/>
          <w:szCs w:val="21"/>
        </w:rPr>
        <w:t>MSE</w:t>
      </w:r>
      <w:r w:rsidRPr="002D5474">
        <w:rPr>
          <w:sz w:val="21"/>
          <w:szCs w:val="21"/>
        </w:rPr>
        <w:t xml:space="preserve"> ICB asserted that the 1st August 2025 was an achievable commencement date, as stipulated in the procurement documentation. In</w:t>
      </w:r>
      <w:r w:rsidR="00290C9B">
        <w:rPr>
          <w:sz w:val="21"/>
          <w:szCs w:val="21"/>
        </w:rPr>
        <w:t xml:space="preserve"> </w:t>
      </w:r>
      <w:r w:rsidRPr="002D5474">
        <w:rPr>
          <w:sz w:val="21"/>
          <w:szCs w:val="21"/>
        </w:rPr>
        <w:t xml:space="preserve">clarification question 73, </w:t>
      </w:r>
      <w:r w:rsidR="00EB465E">
        <w:rPr>
          <w:sz w:val="21"/>
          <w:szCs w:val="21"/>
        </w:rPr>
        <w:t>MSE</w:t>
      </w:r>
      <w:r w:rsidRPr="002D5474">
        <w:rPr>
          <w:sz w:val="21"/>
          <w:szCs w:val="21"/>
        </w:rPr>
        <w:t xml:space="preserve"> ICB was specifically asked questions relating to the likelihood for a longer lead-in time for system migration than was enabled by the rapid mobilisation period so as to ensure retention of the integrity of clinical data. </w:t>
      </w:r>
      <w:r w:rsidR="00EB465E">
        <w:rPr>
          <w:sz w:val="21"/>
          <w:szCs w:val="21"/>
        </w:rPr>
        <w:t>MSE</w:t>
      </w:r>
      <w:r w:rsidRPr="002D5474">
        <w:rPr>
          <w:sz w:val="21"/>
          <w:szCs w:val="21"/>
        </w:rPr>
        <w:t xml:space="preserve"> ICB confirmed that, if necessary, it would seek to extend current contracts and that system migration would be managed as part of the mobilisation period.”</w:t>
      </w:r>
      <w:r w:rsidR="009B5FA6">
        <w:rPr>
          <w:rStyle w:val="FootnoteReference"/>
          <w:sz w:val="21"/>
          <w:szCs w:val="21"/>
        </w:rPr>
        <w:footnoteReference w:id="73"/>
      </w:r>
    </w:p>
    <w:p w14:paraId="0F198C15" w14:textId="77777777" w:rsidR="002D5474" w:rsidRDefault="002D5474" w:rsidP="00EB465E">
      <w:pPr>
        <w:pStyle w:val="ListParagraph"/>
        <w:numPr>
          <w:ilvl w:val="0"/>
          <w:numId w:val="1"/>
        </w:numPr>
        <w:spacing w:after="120" w:line="276" w:lineRule="auto"/>
        <w:contextualSpacing w:val="0"/>
      </w:pPr>
      <w:r w:rsidRPr="003614C4">
        <w:t xml:space="preserve">MSE ICB, in responding to </w:t>
      </w:r>
      <w:r>
        <w:t>EPUT</w:t>
      </w:r>
      <w:r w:rsidRPr="003614C4">
        <w:t xml:space="preserve">’s representations </w:t>
      </w:r>
      <w:r>
        <w:t>following the provider selection process, reported the findings of its internal review panel, which</w:t>
      </w:r>
      <w:r w:rsidRPr="003614C4">
        <w:t xml:space="preserve"> said:</w:t>
      </w:r>
    </w:p>
    <w:p w14:paraId="621FC344" w14:textId="341BDD82" w:rsidR="002D5474" w:rsidRPr="00AB2467" w:rsidRDefault="002D5474" w:rsidP="00EB465E">
      <w:pPr>
        <w:spacing w:after="120"/>
        <w:ind w:left="851"/>
        <w:rPr>
          <w:rFonts w:cs="Arial"/>
          <w:i/>
          <w:iCs/>
          <w:sz w:val="21"/>
          <w:szCs w:val="21"/>
        </w:rPr>
      </w:pPr>
      <w:r w:rsidRPr="00AB2467">
        <w:rPr>
          <w:rFonts w:cs="Arial"/>
          <w:sz w:val="21"/>
          <w:szCs w:val="21"/>
        </w:rPr>
        <w:t>“</w:t>
      </w:r>
      <w:r w:rsidRPr="00AB2467">
        <w:rPr>
          <w:rFonts w:cs="Arial"/>
          <w:sz w:val="21"/>
          <w:szCs w:val="21"/>
          <w:lang w:val="en-US"/>
        </w:rPr>
        <w:t>Nowhere in the detail provided above</w:t>
      </w:r>
      <w:r>
        <w:rPr>
          <w:rFonts w:cs="Arial"/>
          <w:sz w:val="21"/>
          <w:szCs w:val="21"/>
          <w:lang w:val="en-US"/>
        </w:rPr>
        <w:t xml:space="preserve"> </w:t>
      </w:r>
      <w:r w:rsidRPr="00CC6D06">
        <w:rPr>
          <w:rFonts w:cs="Arial"/>
          <w:sz w:val="21"/>
          <w:szCs w:val="21"/>
          <w:lang w:val="en-US"/>
        </w:rPr>
        <w:t xml:space="preserve">[referring to the feedback provided in </w:t>
      </w:r>
      <w:r w:rsidR="00A97366">
        <w:rPr>
          <w:rFonts w:cs="Arial"/>
          <w:sz w:val="21"/>
          <w:szCs w:val="21"/>
          <w:lang w:val="en-US"/>
        </w:rPr>
        <w:t>MSE</w:t>
      </w:r>
      <w:r w:rsidRPr="00CC6D06">
        <w:rPr>
          <w:rFonts w:cs="Arial"/>
          <w:sz w:val="21"/>
          <w:szCs w:val="21"/>
          <w:lang w:val="en-US"/>
        </w:rPr>
        <w:t xml:space="preserve"> ICB’s </w:t>
      </w:r>
      <w:r w:rsidR="008A1ECF">
        <w:rPr>
          <w:rFonts w:cs="Arial"/>
          <w:sz w:val="21"/>
          <w:szCs w:val="21"/>
          <w:lang w:val="en-US"/>
        </w:rPr>
        <w:t xml:space="preserve">tender </w:t>
      </w:r>
      <w:r w:rsidRPr="00CC6D06">
        <w:rPr>
          <w:rFonts w:cs="Arial"/>
          <w:sz w:val="21"/>
          <w:szCs w:val="21"/>
          <w:lang w:val="en-US"/>
        </w:rPr>
        <w:t>Outcome Letter to EPUT</w:t>
      </w:r>
      <w:r w:rsidR="007E64DD">
        <w:rPr>
          <w:rFonts w:cs="Arial"/>
          <w:sz w:val="21"/>
          <w:szCs w:val="21"/>
          <w:lang w:val="en-US"/>
        </w:rPr>
        <w:t>]</w:t>
      </w:r>
      <w:r w:rsidRPr="00B746CC">
        <w:rPr>
          <w:rFonts w:cs="Arial"/>
          <w:color w:val="0070C0"/>
          <w:sz w:val="21"/>
          <w:szCs w:val="21"/>
          <w:lang w:val="en-US"/>
        </w:rPr>
        <w:t xml:space="preserve"> </w:t>
      </w:r>
      <w:r w:rsidRPr="00AB2467">
        <w:rPr>
          <w:rFonts w:cs="Arial"/>
          <w:sz w:val="21"/>
          <w:szCs w:val="21"/>
          <w:lang w:val="en-US"/>
        </w:rPr>
        <w:t xml:space="preserve">did </w:t>
      </w:r>
      <w:r w:rsidR="00A13169">
        <w:rPr>
          <w:rFonts w:cs="Arial"/>
          <w:sz w:val="21"/>
          <w:szCs w:val="21"/>
          <w:lang w:val="en-US"/>
        </w:rPr>
        <w:t xml:space="preserve">MSE ICB </w:t>
      </w:r>
      <w:r w:rsidRPr="00AB2467">
        <w:rPr>
          <w:rFonts w:cs="Arial"/>
          <w:sz w:val="21"/>
          <w:szCs w:val="21"/>
          <w:lang w:val="en-US"/>
        </w:rPr>
        <w:t xml:space="preserve">assign blame or disadvantage EPUT for the 16-week data mitigation period. The evaluation panel noted the risk identified by EPUT in their submission and outlined that no further mitigations had been identified by EPUT in their submission, such as </w:t>
      </w:r>
      <w:r w:rsidRPr="00AB2467">
        <w:rPr>
          <w:rFonts w:cs="Arial"/>
          <w:i/>
          <w:iCs/>
          <w:sz w:val="21"/>
          <w:szCs w:val="21"/>
          <w:lang w:val="en-US"/>
        </w:rPr>
        <w:t>a contingency plan for the management of this</w:t>
      </w:r>
      <w:r w:rsidR="00826EFF">
        <w:rPr>
          <w:rFonts w:cs="Arial"/>
          <w:sz w:val="21"/>
          <w:szCs w:val="21"/>
        </w:rPr>
        <w:t xml:space="preserve"> </w:t>
      </w:r>
      <w:r w:rsidRPr="00AB2467">
        <w:rPr>
          <w:rFonts w:cs="Arial"/>
          <w:i/>
          <w:iCs/>
          <w:sz w:val="21"/>
          <w:szCs w:val="21"/>
          <w:lang w:val="en-US"/>
        </w:rPr>
        <w:t xml:space="preserve">delay </w:t>
      </w:r>
      <w:r w:rsidRPr="00AB2467">
        <w:rPr>
          <w:rFonts w:cs="Arial"/>
          <w:sz w:val="21"/>
          <w:szCs w:val="21"/>
          <w:lang w:val="en-US"/>
        </w:rPr>
        <w:t>or</w:t>
      </w:r>
      <w:r w:rsidR="001339BC">
        <w:rPr>
          <w:rFonts w:cs="Arial"/>
          <w:sz w:val="21"/>
          <w:szCs w:val="21"/>
          <w:lang w:val="en-US"/>
        </w:rPr>
        <w:t xml:space="preserve"> </w:t>
      </w:r>
      <w:r w:rsidRPr="00AB2467">
        <w:rPr>
          <w:rFonts w:cs="Arial"/>
          <w:i/>
          <w:iCs/>
          <w:sz w:val="21"/>
          <w:szCs w:val="21"/>
          <w:lang w:val="en-US"/>
        </w:rPr>
        <w:t>what these interim solutions may have been (i.e. dual systems, manual data handling protocols)</w:t>
      </w:r>
      <w:r w:rsidRPr="00AB2467">
        <w:rPr>
          <w:rFonts w:cs="Arial"/>
          <w:sz w:val="21"/>
          <w:szCs w:val="21"/>
          <w:lang w:val="en-US"/>
        </w:rPr>
        <w:t>.</w:t>
      </w:r>
    </w:p>
    <w:p w14:paraId="7792E609" w14:textId="48A30D24" w:rsidR="002D5474" w:rsidRPr="00AB2467" w:rsidRDefault="002D5474" w:rsidP="00A855C3">
      <w:pPr>
        <w:tabs>
          <w:tab w:val="num" w:pos="720"/>
        </w:tabs>
        <w:spacing w:after="120"/>
        <w:ind w:left="851"/>
        <w:rPr>
          <w:rFonts w:cs="Arial"/>
          <w:sz w:val="21"/>
          <w:szCs w:val="21"/>
        </w:rPr>
      </w:pPr>
      <w:r w:rsidRPr="00AB2467">
        <w:rPr>
          <w:rFonts w:cs="Arial"/>
          <w:i/>
          <w:iCs/>
          <w:sz w:val="21"/>
          <w:szCs w:val="21"/>
          <w:lang w:val="en-US"/>
        </w:rPr>
        <w:t>“</w:t>
      </w:r>
      <w:r w:rsidRPr="00AB2467">
        <w:rPr>
          <w:rFonts w:cs="Arial"/>
          <w:sz w:val="21"/>
          <w:szCs w:val="21"/>
          <w:lang w:val="en-US"/>
        </w:rPr>
        <w:t xml:space="preserve">In line with EPUT’s assertion </w:t>
      </w:r>
      <w:r w:rsidR="001339BC">
        <w:rPr>
          <w:rFonts w:cs="Arial"/>
          <w:sz w:val="21"/>
          <w:szCs w:val="21"/>
          <w:lang w:val="en-US"/>
        </w:rPr>
        <w:t xml:space="preserve">… </w:t>
      </w:r>
      <w:r w:rsidRPr="00AB2467">
        <w:rPr>
          <w:rFonts w:cs="Arial"/>
          <w:sz w:val="21"/>
          <w:szCs w:val="21"/>
          <w:lang w:val="en-US"/>
        </w:rPr>
        <w:t xml:space="preserve">the technical question required Bidders to “explain the risks that they foresee during mobilisation and how they will mitigate them”, the detail provided in the Outcome Letter dated 07th May 2025 provided to EPUT by </w:t>
      </w:r>
      <w:r w:rsidR="00287A84">
        <w:rPr>
          <w:rFonts w:cs="Arial"/>
          <w:sz w:val="21"/>
          <w:szCs w:val="21"/>
          <w:lang w:val="en-US"/>
        </w:rPr>
        <w:t>MSE ICB</w:t>
      </w:r>
      <w:r w:rsidRPr="00AB2467">
        <w:rPr>
          <w:rFonts w:cs="Arial"/>
          <w:sz w:val="21"/>
          <w:szCs w:val="21"/>
          <w:lang w:val="en-US"/>
        </w:rPr>
        <w:t xml:space="preserve"> </w:t>
      </w:r>
      <w:r w:rsidRPr="00AB2467">
        <w:rPr>
          <w:rFonts w:cs="Arial"/>
          <w:sz w:val="21"/>
          <w:szCs w:val="21"/>
          <w:lang w:val="en-US"/>
        </w:rPr>
        <w:lastRenderedPageBreak/>
        <w:t>clearly articulates that EPUT did not provide sufficient detail pertaining to the mitigations/mitigation actions required in response to the risks identified in their own bid submission.</w:t>
      </w:r>
    </w:p>
    <w:p w14:paraId="598FDB68" w14:textId="2DDFE5A3" w:rsidR="002D5474" w:rsidRPr="00AB2467" w:rsidRDefault="002D5474" w:rsidP="00A855C3">
      <w:pPr>
        <w:tabs>
          <w:tab w:val="num" w:pos="720"/>
        </w:tabs>
        <w:ind w:left="851"/>
        <w:rPr>
          <w:rFonts w:cs="Arial"/>
          <w:sz w:val="21"/>
          <w:szCs w:val="21"/>
        </w:rPr>
      </w:pPr>
      <w:r w:rsidRPr="00AB2467">
        <w:rPr>
          <w:rFonts w:cs="Arial"/>
          <w:i/>
          <w:iCs/>
          <w:sz w:val="21"/>
          <w:szCs w:val="21"/>
          <w:lang w:val="en-US"/>
        </w:rPr>
        <w:t>“</w:t>
      </w:r>
      <w:r w:rsidR="00287A84">
        <w:rPr>
          <w:rFonts w:cs="Arial"/>
          <w:sz w:val="21"/>
          <w:szCs w:val="21"/>
          <w:lang w:val="en-US"/>
        </w:rPr>
        <w:t>MSE ICB</w:t>
      </w:r>
      <w:r w:rsidRPr="00AB2467">
        <w:rPr>
          <w:rFonts w:cs="Arial"/>
          <w:sz w:val="21"/>
          <w:szCs w:val="21"/>
          <w:lang w:val="en-US"/>
        </w:rPr>
        <w:t xml:space="preserve"> asserts that the bid response for 2.8.1 was evaluated wholly, not by each bullet point alone.”</w:t>
      </w:r>
      <w:r w:rsidR="000C595A">
        <w:rPr>
          <w:rStyle w:val="FootnoteReference"/>
          <w:rFonts w:cs="Arial"/>
          <w:sz w:val="21"/>
          <w:szCs w:val="21"/>
          <w:lang w:val="en-US"/>
        </w:rPr>
        <w:footnoteReference w:id="74"/>
      </w:r>
    </w:p>
    <w:p w14:paraId="2CB8506A" w14:textId="163DC5FB" w:rsidR="00CA641A" w:rsidRDefault="00CA641A" w:rsidP="007128F8">
      <w:pPr>
        <w:pStyle w:val="ListParagraph"/>
        <w:numPr>
          <w:ilvl w:val="0"/>
          <w:numId w:val="1"/>
        </w:numPr>
        <w:spacing w:after="120"/>
        <w:contextualSpacing w:val="0"/>
      </w:pPr>
      <w:r w:rsidRPr="0080773F">
        <w:t>EPUT, in its representations to the Panel, said</w:t>
      </w:r>
      <w:r w:rsidR="00BB4E0C">
        <w:t xml:space="preserve"> that</w:t>
      </w:r>
      <w:r w:rsidRPr="0080773F">
        <w:t>:</w:t>
      </w:r>
    </w:p>
    <w:p w14:paraId="2DF5268F" w14:textId="55D69C7A" w:rsidR="00CA641A" w:rsidRPr="00C205A2" w:rsidRDefault="00CA641A" w:rsidP="007128F8">
      <w:pPr>
        <w:spacing w:after="120"/>
        <w:ind w:left="851"/>
        <w:rPr>
          <w:sz w:val="21"/>
          <w:szCs w:val="21"/>
        </w:rPr>
      </w:pPr>
      <w:r>
        <w:rPr>
          <w:sz w:val="21"/>
          <w:szCs w:val="21"/>
        </w:rPr>
        <w:t>“</w:t>
      </w:r>
      <w:r w:rsidRPr="00AE183D">
        <w:rPr>
          <w:sz w:val="21"/>
          <w:szCs w:val="21"/>
        </w:rPr>
        <w:t xml:space="preserve">From the documents provided by </w:t>
      </w:r>
      <w:r w:rsidR="0054419A">
        <w:rPr>
          <w:sz w:val="21"/>
          <w:szCs w:val="21"/>
        </w:rPr>
        <w:t>MSE ICB</w:t>
      </w:r>
      <w:r w:rsidRPr="00AE183D">
        <w:rPr>
          <w:sz w:val="21"/>
          <w:szCs w:val="21"/>
        </w:rPr>
        <w:t xml:space="preserve">, we note that one of three evaluators did not attend the moderation meeting and, for the same reasons as set out above, we consider that this resulted in the moderation carried out not being sufficiently robust and not complying </w:t>
      </w:r>
      <w:r w:rsidR="00874A5E">
        <w:rPr>
          <w:sz w:val="21"/>
          <w:szCs w:val="21"/>
        </w:rPr>
        <w:t>MSE ICB’s</w:t>
      </w:r>
      <w:r w:rsidRPr="00AE183D">
        <w:rPr>
          <w:sz w:val="21"/>
          <w:szCs w:val="21"/>
        </w:rPr>
        <w:t xml:space="preserve"> process as described by its internal review panel. We further note that Evaluator 4 did not attend the moderation meeting </w:t>
      </w:r>
      <w:r w:rsidRPr="00C205A2">
        <w:rPr>
          <w:sz w:val="21"/>
          <w:szCs w:val="21"/>
        </w:rPr>
        <w:t>but their individual score was moved during this meeting. In our view this indicates that a robust moderation process has not been carried out.</w:t>
      </w:r>
    </w:p>
    <w:p w14:paraId="30D4F904" w14:textId="05E2BAB4" w:rsidR="00CA641A" w:rsidRPr="00C205A2" w:rsidRDefault="00CA641A" w:rsidP="007128F8">
      <w:pPr>
        <w:spacing w:after="120"/>
        <w:ind w:left="851"/>
        <w:rPr>
          <w:sz w:val="21"/>
          <w:szCs w:val="21"/>
        </w:rPr>
      </w:pPr>
      <w:r w:rsidRPr="00C205A2">
        <w:rPr>
          <w:sz w:val="21"/>
          <w:szCs w:val="21"/>
        </w:rPr>
        <w:t>“</w:t>
      </w:r>
      <w:r w:rsidR="00874A5E">
        <w:rPr>
          <w:sz w:val="21"/>
          <w:szCs w:val="21"/>
        </w:rPr>
        <w:t>MSE ICB</w:t>
      </w:r>
      <w:r w:rsidRPr="00C205A2">
        <w:rPr>
          <w:sz w:val="21"/>
          <w:szCs w:val="21"/>
        </w:rPr>
        <w:t xml:space="preserve"> has not responded to our question regarding the mobilisation period.</w:t>
      </w:r>
    </w:p>
    <w:p w14:paraId="7561E9B6" w14:textId="12DF5843" w:rsidR="00CA641A" w:rsidRPr="00C205A2" w:rsidRDefault="00CA641A" w:rsidP="007128F8">
      <w:pPr>
        <w:spacing w:after="120"/>
        <w:ind w:left="851"/>
        <w:rPr>
          <w:sz w:val="21"/>
          <w:szCs w:val="21"/>
        </w:rPr>
      </w:pPr>
      <w:r w:rsidRPr="00C205A2">
        <w:rPr>
          <w:sz w:val="21"/>
          <w:szCs w:val="21"/>
        </w:rPr>
        <w:t xml:space="preserve">“We note that </w:t>
      </w:r>
      <w:r w:rsidR="00874A5E">
        <w:rPr>
          <w:sz w:val="21"/>
          <w:szCs w:val="21"/>
        </w:rPr>
        <w:t>MSE ICB’s</w:t>
      </w:r>
      <w:r w:rsidRPr="00C205A2">
        <w:rPr>
          <w:sz w:val="21"/>
          <w:szCs w:val="21"/>
        </w:rPr>
        <w:t xml:space="preserve"> internal review panel notes that </w:t>
      </w:r>
      <w:r w:rsidR="00680A02">
        <w:rPr>
          <w:sz w:val="21"/>
          <w:szCs w:val="21"/>
        </w:rPr>
        <w:t>MSE ICB</w:t>
      </w:r>
      <w:r w:rsidRPr="00C205A2">
        <w:rPr>
          <w:sz w:val="21"/>
          <w:szCs w:val="21"/>
        </w:rPr>
        <w:t xml:space="preserve"> asserted that all requirements listed in the question were evaluated wholly, not by each bullet point alone. However, the format of the moderation meeting minutes indicates that responses were evaluated by bullet point.</w:t>
      </w:r>
    </w:p>
    <w:p w14:paraId="4A437704" w14:textId="70B3BFF0" w:rsidR="00CA641A" w:rsidRPr="00B76804" w:rsidRDefault="00CA641A" w:rsidP="007128F8">
      <w:pPr>
        <w:ind w:left="851"/>
      </w:pPr>
      <w:r>
        <w:rPr>
          <w:sz w:val="21"/>
          <w:szCs w:val="21"/>
        </w:rPr>
        <w:t>“</w:t>
      </w:r>
      <w:r w:rsidRPr="00AE183D">
        <w:rPr>
          <w:sz w:val="21"/>
          <w:szCs w:val="21"/>
        </w:rPr>
        <w:t>We consider that this is exacerbated by the lack of clarity in the published evaluation methodology. We therefore consider that the evaluators have not correctly applied the published evaluation criteria when assessing our response and believe that the relevant authority has breached of regulation 4 and regulation 11(5) of the PSR</w:t>
      </w:r>
      <w:r>
        <w:rPr>
          <w:sz w:val="21"/>
          <w:szCs w:val="21"/>
        </w:rPr>
        <w:t xml:space="preserve">” (see </w:t>
      </w:r>
      <w:r w:rsidRPr="00B76804">
        <w:rPr>
          <w:sz w:val="21"/>
          <w:szCs w:val="21"/>
        </w:rPr>
        <w:t>paragraph </w:t>
      </w:r>
      <w:r w:rsidR="00980382">
        <w:rPr>
          <w:sz w:val="21"/>
          <w:szCs w:val="21"/>
        </w:rPr>
        <w:fldChar w:fldCharType="begin"/>
      </w:r>
      <w:r w:rsidR="00980382">
        <w:rPr>
          <w:sz w:val="21"/>
          <w:szCs w:val="21"/>
        </w:rPr>
        <w:instrText xml:space="preserve"> REF _Ref204603816 \r \h </w:instrText>
      </w:r>
      <w:r w:rsidR="00980382">
        <w:rPr>
          <w:sz w:val="21"/>
          <w:szCs w:val="21"/>
        </w:rPr>
      </w:r>
      <w:r w:rsidR="00980382">
        <w:rPr>
          <w:sz w:val="21"/>
          <w:szCs w:val="21"/>
        </w:rPr>
        <w:fldChar w:fldCharType="separate"/>
      </w:r>
      <w:r w:rsidR="00437D90">
        <w:rPr>
          <w:sz w:val="21"/>
          <w:szCs w:val="21"/>
        </w:rPr>
        <w:t>50</w:t>
      </w:r>
      <w:r w:rsidR="00980382">
        <w:rPr>
          <w:sz w:val="21"/>
          <w:szCs w:val="21"/>
        </w:rPr>
        <w:fldChar w:fldCharType="end"/>
      </w:r>
      <w:r w:rsidR="00053845">
        <w:rPr>
          <w:sz w:val="21"/>
          <w:szCs w:val="21"/>
        </w:rPr>
        <w:t>)</w:t>
      </w:r>
      <w:r w:rsidRPr="00B76804">
        <w:rPr>
          <w:sz w:val="21"/>
          <w:szCs w:val="21"/>
        </w:rPr>
        <w:t>.</w:t>
      </w:r>
    </w:p>
    <w:p w14:paraId="728CF52C" w14:textId="3F02736E" w:rsidR="00C10622" w:rsidRDefault="004942FE" w:rsidP="001A2C2D">
      <w:pPr>
        <w:pStyle w:val="ListParagraph"/>
        <w:numPr>
          <w:ilvl w:val="0"/>
          <w:numId w:val="1"/>
        </w:numPr>
        <w:spacing w:after="120" w:line="276" w:lineRule="auto"/>
        <w:contextualSpacing w:val="0"/>
      </w:pPr>
      <w:r>
        <w:t xml:space="preserve">In relation to EPUT’s assertion that </w:t>
      </w:r>
      <w:r w:rsidR="00CE3326">
        <w:t>“</w:t>
      </w:r>
      <w:r w:rsidR="00680A02">
        <w:t>MSE ICB</w:t>
      </w:r>
      <w:r w:rsidR="00CE3326" w:rsidRPr="00CE3326">
        <w:t xml:space="preserve"> has not responded to our question regarding the mobilisation period</w:t>
      </w:r>
      <w:r w:rsidR="00CE3326">
        <w:t>”, the Panel notes that EPUT asked MSE ICB</w:t>
      </w:r>
      <w:r w:rsidR="00C10622">
        <w:t>:</w:t>
      </w:r>
    </w:p>
    <w:p w14:paraId="011176EA" w14:textId="7D9B2D02" w:rsidR="000D70CA" w:rsidRPr="00F80E52" w:rsidRDefault="00ED752F" w:rsidP="00C10622">
      <w:pPr>
        <w:pStyle w:val="ListParagraph"/>
        <w:numPr>
          <w:ilvl w:val="0"/>
          <w:numId w:val="0"/>
        </w:numPr>
        <w:ind w:left="851"/>
        <w:contextualSpacing w:val="0"/>
        <w:rPr>
          <w:sz w:val="21"/>
          <w:szCs w:val="21"/>
        </w:rPr>
      </w:pPr>
      <w:r w:rsidRPr="00F80E52">
        <w:rPr>
          <w:sz w:val="21"/>
          <w:szCs w:val="21"/>
        </w:rPr>
        <w:t xml:space="preserve">“Please confirm whether </w:t>
      </w:r>
      <w:r w:rsidR="00F31365">
        <w:rPr>
          <w:sz w:val="21"/>
          <w:szCs w:val="21"/>
        </w:rPr>
        <w:t>MSE</w:t>
      </w:r>
      <w:r w:rsidRPr="00F80E52">
        <w:rPr>
          <w:sz w:val="21"/>
          <w:szCs w:val="21"/>
        </w:rPr>
        <w:t xml:space="preserve"> ICB still considers that the mobilisation period (service commencing 1st August 2025) is reasonable and proportionate for a service of this size and complexity and enables a safe and seamless transition, particularly in light of the ICB’s statement that there would no sudden changes with a carefully managed transition process?”.</w:t>
      </w:r>
      <w:r w:rsidR="006219A4" w:rsidRPr="00F80E52">
        <w:rPr>
          <w:rStyle w:val="FootnoteReference"/>
          <w:sz w:val="21"/>
          <w:szCs w:val="21"/>
        </w:rPr>
        <w:footnoteReference w:id="75"/>
      </w:r>
    </w:p>
    <w:p w14:paraId="29AF7C37" w14:textId="1C03A9B3" w:rsidR="00DE7576" w:rsidRPr="003823DB" w:rsidRDefault="008C482D" w:rsidP="0088160F">
      <w:pPr>
        <w:pStyle w:val="ListParagraph"/>
        <w:numPr>
          <w:ilvl w:val="0"/>
          <w:numId w:val="1"/>
        </w:numPr>
        <w:spacing w:line="276" w:lineRule="auto"/>
        <w:contextualSpacing w:val="0"/>
      </w:pPr>
      <w:r w:rsidRPr="003823DB">
        <w:t xml:space="preserve">The Panel notes that </w:t>
      </w:r>
      <w:r w:rsidR="00747A15" w:rsidRPr="003823DB">
        <w:t xml:space="preserve">EPUT’s concerns about </w:t>
      </w:r>
      <w:r w:rsidR="00993C55" w:rsidRPr="003823DB">
        <w:t>the</w:t>
      </w:r>
      <w:r w:rsidR="00DE7576" w:rsidRPr="003823DB">
        <w:t xml:space="preserve"> absence of an evaluator from the moderation meeting raises issues that are discussed in paragraphs </w:t>
      </w:r>
      <w:r w:rsidR="00A47386" w:rsidRPr="003823DB">
        <w:fldChar w:fldCharType="begin"/>
      </w:r>
      <w:r w:rsidR="00A47386" w:rsidRPr="003823DB">
        <w:instrText xml:space="preserve"> REF _Ref207110645 \r \h </w:instrText>
      </w:r>
      <w:r w:rsidR="003823DB">
        <w:instrText xml:space="preserve"> \* MERGEFORMAT </w:instrText>
      </w:r>
      <w:r w:rsidR="00A47386" w:rsidRPr="003823DB">
        <w:fldChar w:fldCharType="separate"/>
      </w:r>
      <w:r w:rsidR="002B134E">
        <w:t>152</w:t>
      </w:r>
      <w:r w:rsidR="00A47386" w:rsidRPr="003823DB">
        <w:fldChar w:fldCharType="end"/>
      </w:r>
      <w:r w:rsidR="001D7C95" w:rsidRPr="003823DB">
        <w:t xml:space="preserve"> to </w:t>
      </w:r>
      <w:r w:rsidR="001D7C95" w:rsidRPr="003823DB">
        <w:fldChar w:fldCharType="begin"/>
      </w:r>
      <w:r w:rsidR="001D7C95" w:rsidRPr="003823DB">
        <w:instrText xml:space="preserve"> REF _Ref207110673 \r \h </w:instrText>
      </w:r>
      <w:r w:rsidR="003823DB">
        <w:instrText xml:space="preserve"> \* MERGEFORMAT </w:instrText>
      </w:r>
      <w:r w:rsidR="001D7C95" w:rsidRPr="003823DB">
        <w:fldChar w:fldCharType="separate"/>
      </w:r>
      <w:r w:rsidR="00437D90">
        <w:t>157</w:t>
      </w:r>
      <w:r w:rsidR="001D7C95" w:rsidRPr="003823DB">
        <w:fldChar w:fldCharType="end"/>
      </w:r>
      <w:r w:rsidR="001D7C95" w:rsidRPr="003823DB">
        <w:t>. For the same reasons</w:t>
      </w:r>
      <w:r w:rsidR="00846FE5" w:rsidRPr="003823DB">
        <w:t xml:space="preserve"> set out in those paragraphs</w:t>
      </w:r>
      <w:r w:rsidR="001D7C95" w:rsidRPr="003823DB">
        <w:t xml:space="preserve">, the Panel does not </w:t>
      </w:r>
      <w:r w:rsidR="00846FE5" w:rsidRPr="003823DB">
        <w:t xml:space="preserve">consider that the PSR regulations have been breached </w:t>
      </w:r>
      <w:r w:rsidR="00400689" w:rsidRPr="003823DB">
        <w:t xml:space="preserve">in relation to the evaluation of EPUT’s response to Question 2.8.1. The Panel also notes that </w:t>
      </w:r>
      <w:r w:rsidR="00DD5C8C" w:rsidRPr="003823DB">
        <w:t xml:space="preserve">EPUT’s concerns about the evaluation methodology and application of the scoring criteria are also addressed in </w:t>
      </w:r>
      <w:r w:rsidR="00A41554" w:rsidRPr="003823DB">
        <w:t xml:space="preserve">Section 7.4.1 and </w:t>
      </w:r>
      <w:r w:rsidR="003823DB" w:rsidRPr="003823DB">
        <w:t>as a result are not discussed further in this section.</w:t>
      </w:r>
    </w:p>
    <w:p w14:paraId="49E5C3BE" w14:textId="76088ED7" w:rsidR="00E11E45" w:rsidRPr="0035551C" w:rsidRDefault="009442A8" w:rsidP="0088160F">
      <w:pPr>
        <w:pStyle w:val="ListParagraph"/>
        <w:numPr>
          <w:ilvl w:val="0"/>
          <w:numId w:val="1"/>
        </w:numPr>
        <w:spacing w:line="276" w:lineRule="auto"/>
        <w:contextualSpacing w:val="0"/>
      </w:pPr>
      <w:r w:rsidRPr="00A33A54">
        <w:t>The</w:t>
      </w:r>
      <w:r w:rsidR="002E1F19" w:rsidRPr="00A33A54">
        <w:t xml:space="preserve"> Panel’s assessment of EPUT’s concerns about the evaluation of its response to the Mobilisation question</w:t>
      </w:r>
      <w:r w:rsidR="00A33A54" w:rsidRPr="00A33A54">
        <w:t xml:space="preserve"> </w:t>
      </w:r>
      <w:r w:rsidR="00051881">
        <w:t xml:space="preserve">therefore </w:t>
      </w:r>
      <w:r w:rsidR="00A33A54" w:rsidRPr="00A33A54">
        <w:t>focus</w:t>
      </w:r>
      <w:r w:rsidR="00051881">
        <w:t>es</w:t>
      </w:r>
      <w:r w:rsidR="00A33A54" w:rsidRPr="00A33A54">
        <w:t xml:space="preserve"> on </w:t>
      </w:r>
      <w:r w:rsidR="00E72662">
        <w:t>two</w:t>
      </w:r>
      <w:r w:rsidR="00A33A54" w:rsidRPr="00A33A54">
        <w:t xml:space="preserve"> </w:t>
      </w:r>
      <w:r w:rsidR="00852666" w:rsidRPr="00A33A54">
        <w:t>points raised by EPUT</w:t>
      </w:r>
      <w:r w:rsidR="00852666" w:rsidRPr="0035551C">
        <w:t>, namely</w:t>
      </w:r>
      <w:r w:rsidR="001D605A">
        <w:t>:</w:t>
      </w:r>
      <w:r w:rsidR="00852666" w:rsidRPr="0035551C">
        <w:t xml:space="preserve"> </w:t>
      </w:r>
      <w:r w:rsidR="00A33A54" w:rsidRPr="0035551C">
        <w:t>(i</w:t>
      </w:r>
      <w:r w:rsidR="00852666" w:rsidRPr="0035551C">
        <w:t>)</w:t>
      </w:r>
      <w:r w:rsidR="00E72662">
        <w:t> </w:t>
      </w:r>
      <w:r w:rsidR="00550D15" w:rsidRPr="0035551C">
        <w:t>evaluation</w:t>
      </w:r>
      <w:r w:rsidR="00BA6E32" w:rsidRPr="0035551C">
        <w:t xml:space="preserve"> </w:t>
      </w:r>
      <w:r w:rsidR="00F0269C" w:rsidRPr="0035551C">
        <w:t xml:space="preserve">of </w:t>
      </w:r>
      <w:r w:rsidR="00A33A54" w:rsidRPr="0035551C">
        <w:t xml:space="preserve">EPUT’s </w:t>
      </w:r>
      <w:r w:rsidR="00460620" w:rsidRPr="0035551C">
        <w:t>risk mitigation</w:t>
      </w:r>
      <w:r w:rsidR="004A0715" w:rsidRPr="0035551C">
        <w:t xml:space="preserve"> in relation to system migration</w:t>
      </w:r>
      <w:r w:rsidR="00A33A54" w:rsidRPr="0035551C">
        <w:t xml:space="preserve">; </w:t>
      </w:r>
      <w:r w:rsidR="00E72662">
        <w:t>and</w:t>
      </w:r>
      <w:r w:rsidR="00A3156B" w:rsidRPr="0035551C">
        <w:t xml:space="preserve"> (ii)</w:t>
      </w:r>
      <w:r w:rsidR="00032A88">
        <w:t> </w:t>
      </w:r>
      <w:r w:rsidR="00BA6E32" w:rsidRPr="0035551C">
        <w:t>evaluation of responses by bullet points</w:t>
      </w:r>
      <w:r w:rsidR="00F0269C" w:rsidRPr="0035551C">
        <w:t xml:space="preserve"> </w:t>
      </w:r>
      <w:r w:rsidR="004B5124" w:rsidRPr="0035551C">
        <w:t>v</w:t>
      </w:r>
      <w:r w:rsidR="00327DB0">
        <w:t>ersu</w:t>
      </w:r>
      <w:r w:rsidR="004B5124" w:rsidRPr="0035551C">
        <w:t>s</w:t>
      </w:r>
      <w:r w:rsidR="00F0269C" w:rsidRPr="0035551C">
        <w:t xml:space="preserve"> </w:t>
      </w:r>
      <w:r w:rsidR="0035551C" w:rsidRPr="0035551C">
        <w:t>holistically.</w:t>
      </w:r>
    </w:p>
    <w:p w14:paraId="7F3D796F" w14:textId="26F851EA" w:rsidR="00524312" w:rsidRPr="00524312" w:rsidRDefault="00B44BDA" w:rsidP="002B65EA">
      <w:pPr>
        <w:keepNext/>
        <w:spacing w:before="240"/>
        <w:rPr>
          <w:b/>
          <w:bCs/>
        </w:rPr>
      </w:pPr>
      <w:r w:rsidRPr="00524312">
        <w:rPr>
          <w:b/>
          <w:bCs/>
        </w:rPr>
        <w:lastRenderedPageBreak/>
        <w:t>E</w:t>
      </w:r>
      <w:r w:rsidR="00B66E72" w:rsidRPr="00524312">
        <w:rPr>
          <w:b/>
          <w:bCs/>
        </w:rPr>
        <w:t xml:space="preserve">valuation of EPUT’s </w:t>
      </w:r>
      <w:r w:rsidR="004A0715">
        <w:rPr>
          <w:b/>
          <w:bCs/>
        </w:rPr>
        <w:t>risk mitigation in relation to system migration</w:t>
      </w:r>
    </w:p>
    <w:p w14:paraId="2445CE84" w14:textId="26A156E1" w:rsidR="00656F48" w:rsidRPr="00A4756C" w:rsidRDefault="005F2C5D" w:rsidP="00957B5B">
      <w:pPr>
        <w:pStyle w:val="ListParagraph"/>
        <w:numPr>
          <w:ilvl w:val="0"/>
          <w:numId w:val="1"/>
        </w:numPr>
        <w:spacing w:after="120" w:line="276" w:lineRule="auto"/>
        <w:contextualSpacing w:val="0"/>
      </w:pPr>
      <w:r w:rsidRPr="00A4756C">
        <w:t xml:space="preserve">The </w:t>
      </w:r>
      <w:r w:rsidR="006506A1">
        <w:t>m</w:t>
      </w:r>
      <w:r w:rsidR="00B9372E">
        <w:t xml:space="preserve">oderation </w:t>
      </w:r>
      <w:r w:rsidR="006506A1">
        <w:t>n</w:t>
      </w:r>
      <w:r w:rsidR="00B9372E">
        <w:t>otes</w:t>
      </w:r>
      <w:r w:rsidR="00BC0246">
        <w:rPr>
          <w:rStyle w:val="FootnoteReference"/>
        </w:rPr>
        <w:footnoteReference w:id="76"/>
      </w:r>
      <w:r w:rsidR="00B9372E">
        <w:t xml:space="preserve"> and </w:t>
      </w:r>
      <w:r w:rsidR="00533CFC">
        <w:t>O</w:t>
      </w:r>
      <w:r w:rsidR="00526289" w:rsidRPr="00A4756C">
        <w:t xml:space="preserve">utcome </w:t>
      </w:r>
      <w:r w:rsidR="00533CFC">
        <w:t>L</w:t>
      </w:r>
      <w:r w:rsidR="00526289" w:rsidRPr="00A4756C">
        <w:t>etter</w:t>
      </w:r>
      <w:r w:rsidR="00304692" w:rsidRPr="00A4756C">
        <w:t xml:space="preserve"> </w:t>
      </w:r>
      <w:r w:rsidR="00B9372E">
        <w:t xml:space="preserve">both </w:t>
      </w:r>
      <w:r w:rsidR="00304692" w:rsidRPr="00A4756C">
        <w:t xml:space="preserve">contain the following statement </w:t>
      </w:r>
      <w:r w:rsidR="00FD7909">
        <w:t>with respect to EPUT’s discussion of</w:t>
      </w:r>
      <w:r w:rsidR="00FD7909" w:rsidRPr="00A4756C">
        <w:t xml:space="preserve"> </w:t>
      </w:r>
      <w:r w:rsidR="00304692" w:rsidRPr="00A4756C">
        <w:t>“</w:t>
      </w:r>
      <w:r w:rsidR="00372F74" w:rsidRPr="00A4756C">
        <w:t>What risks do you foresee during mobilisation, and how will you mitigate them?</w:t>
      </w:r>
      <w:r w:rsidR="00A85690" w:rsidRPr="00A4756C">
        <w:t>”:</w:t>
      </w:r>
    </w:p>
    <w:p w14:paraId="54FD5B3A" w14:textId="56F6B911" w:rsidR="005F2C5D" w:rsidRPr="00893463" w:rsidRDefault="00A85690" w:rsidP="004B4943">
      <w:pPr>
        <w:pStyle w:val="ListParagraph"/>
        <w:numPr>
          <w:ilvl w:val="0"/>
          <w:numId w:val="0"/>
        </w:numPr>
        <w:ind w:left="851"/>
        <w:contextualSpacing w:val="0"/>
        <w:rPr>
          <w:sz w:val="21"/>
          <w:szCs w:val="21"/>
        </w:rPr>
      </w:pPr>
      <w:r w:rsidRPr="00893463">
        <w:rPr>
          <w:sz w:val="21"/>
          <w:szCs w:val="21"/>
        </w:rPr>
        <w:t>“</w:t>
      </w:r>
      <w:r w:rsidR="00A50937" w:rsidRPr="00893463">
        <w:rPr>
          <w:sz w:val="21"/>
          <w:szCs w:val="21"/>
        </w:rPr>
        <w:t>The response was found to have demonstrated a good level of awareness of the potential risks, particularly pertaining to IT system migration and workforce transition. The response was found to have referenced mitigation strategies; however, it was noted that the response identified that Mayden required 16 weeks for data migration, which exceeded the proposed</w:t>
      </w:r>
      <w:r w:rsidR="004F3577" w:rsidRPr="00893463">
        <w:rPr>
          <w:sz w:val="21"/>
          <w:szCs w:val="21"/>
        </w:rPr>
        <w:t xml:space="preserve"> </w:t>
      </w:r>
      <w:r w:rsidR="00A50937" w:rsidRPr="00893463">
        <w:rPr>
          <w:sz w:val="21"/>
          <w:szCs w:val="21"/>
        </w:rPr>
        <w:t>mobilisation window for these new services. The response was found to have highlighted this as a key risk, however, the panel found that a contingency plan for the management of this delay was not clearly defined within the response. The response would have further benefited from the inclusion of greater clarity/detail pertaining to the Bidder’s contingency planning in areas such as data migration timing and system continuity during downtime and what these interim solutions may have been (i.e. dual systems, manual data handling protocols).</w:t>
      </w:r>
      <w:r w:rsidR="00656F48" w:rsidRPr="00893463">
        <w:rPr>
          <w:sz w:val="21"/>
          <w:szCs w:val="21"/>
        </w:rPr>
        <w:t>”</w:t>
      </w:r>
    </w:p>
    <w:p w14:paraId="2901A79B" w14:textId="4784A577" w:rsidR="002009AA" w:rsidRPr="00CD1DAC" w:rsidRDefault="002009AA" w:rsidP="005A274B">
      <w:pPr>
        <w:pStyle w:val="ListParagraph"/>
        <w:numPr>
          <w:ilvl w:val="0"/>
          <w:numId w:val="1"/>
        </w:numPr>
        <w:spacing w:after="120" w:line="276" w:lineRule="auto"/>
        <w:contextualSpacing w:val="0"/>
      </w:pPr>
      <w:r>
        <w:t>The Panel</w:t>
      </w:r>
      <w:r w:rsidR="00521CF6">
        <w:t xml:space="preserve">’s view is </w:t>
      </w:r>
      <w:r w:rsidR="00DB3C93">
        <w:t>that</w:t>
      </w:r>
      <w:r w:rsidR="000D44E6">
        <w:t xml:space="preserve"> </w:t>
      </w:r>
      <w:r w:rsidR="00521CF6">
        <w:t>it is possibl</w:t>
      </w:r>
      <w:r w:rsidR="006E5BC2">
        <w:t xml:space="preserve">e for commissioners </w:t>
      </w:r>
      <w:r w:rsidR="00521CF6">
        <w:t xml:space="preserve">to hold </w:t>
      </w:r>
      <w:r w:rsidR="00A539AD">
        <w:t xml:space="preserve">an expectation </w:t>
      </w:r>
      <w:r w:rsidR="00521CF6">
        <w:t>that</w:t>
      </w:r>
      <w:r w:rsidR="000D44E6">
        <w:t xml:space="preserve"> bidders </w:t>
      </w:r>
      <w:r w:rsidR="00521CF6">
        <w:t>will</w:t>
      </w:r>
      <w:r w:rsidR="000D44E6">
        <w:t xml:space="preserve"> identify risks and describe proposed mitigating actions</w:t>
      </w:r>
      <w:r w:rsidR="00521CF6">
        <w:t xml:space="preserve">, </w:t>
      </w:r>
      <w:r w:rsidR="000038DA">
        <w:t xml:space="preserve">including </w:t>
      </w:r>
      <w:r w:rsidR="000757DB">
        <w:t>in relation to a known</w:t>
      </w:r>
      <w:r w:rsidR="00521CF6">
        <w:t xml:space="preserve"> risk</w:t>
      </w:r>
      <w:r w:rsidR="00EF58C9">
        <w:t xml:space="preserve">, </w:t>
      </w:r>
      <w:r w:rsidR="000038DA">
        <w:t>even</w:t>
      </w:r>
      <w:r w:rsidR="00EF58C9">
        <w:t xml:space="preserve"> </w:t>
      </w:r>
      <w:r w:rsidR="00A824DF">
        <w:t xml:space="preserve">where </w:t>
      </w:r>
      <w:r w:rsidR="00A35363">
        <w:t xml:space="preserve">the risk arises due to the </w:t>
      </w:r>
      <w:r w:rsidR="00870ACB">
        <w:t xml:space="preserve">commissioner’s </w:t>
      </w:r>
      <w:r w:rsidR="00A35363">
        <w:t xml:space="preserve">actions or </w:t>
      </w:r>
      <w:r w:rsidR="00613A5F">
        <w:t xml:space="preserve">expectations. The Panel’s </w:t>
      </w:r>
      <w:r w:rsidR="002B3F4B">
        <w:t xml:space="preserve">view </w:t>
      </w:r>
      <w:r w:rsidR="00613A5F">
        <w:t>is that</w:t>
      </w:r>
      <w:r w:rsidR="0077513D">
        <w:t xml:space="preserve"> it was reasonable for</w:t>
      </w:r>
      <w:r w:rsidR="00613A5F">
        <w:t xml:space="preserve"> </w:t>
      </w:r>
      <w:r w:rsidR="002472B3">
        <w:t xml:space="preserve">MSE ICB </w:t>
      </w:r>
      <w:r w:rsidR="0077513D">
        <w:t xml:space="preserve">to expect </w:t>
      </w:r>
      <w:r w:rsidR="002917E6">
        <w:t xml:space="preserve">EPUT </w:t>
      </w:r>
      <w:r w:rsidR="0077513D">
        <w:t xml:space="preserve">to provide </w:t>
      </w:r>
      <w:r w:rsidR="00BB67B6">
        <w:t xml:space="preserve">details of its mitigating actions in relation to a </w:t>
      </w:r>
      <w:r w:rsidR="00B160B7">
        <w:t xml:space="preserve">key </w:t>
      </w:r>
      <w:r w:rsidR="005D5CE8">
        <w:t>system</w:t>
      </w:r>
      <w:r w:rsidR="00BB67B6">
        <w:t xml:space="preserve"> migration risk, and sees no evidence that EPUT was penalised by MSE ICB for </w:t>
      </w:r>
      <w:r w:rsidR="005F17E8">
        <w:t>the existence of the risk in the first place.</w:t>
      </w:r>
    </w:p>
    <w:p w14:paraId="228EEB95" w14:textId="42F7B800" w:rsidR="00FD0CAA" w:rsidRPr="00FD0CAA" w:rsidRDefault="00FD0CAA" w:rsidP="002B65EA">
      <w:pPr>
        <w:keepNext/>
        <w:spacing w:before="240"/>
        <w:rPr>
          <w:b/>
          <w:bCs/>
          <w:highlight w:val="yellow"/>
        </w:rPr>
      </w:pPr>
      <w:r w:rsidRPr="00FD0CAA">
        <w:rPr>
          <w:b/>
          <w:bCs/>
        </w:rPr>
        <w:t xml:space="preserve">Evaluation of responses by bullet points </w:t>
      </w:r>
      <w:r w:rsidR="004B5124">
        <w:rPr>
          <w:b/>
          <w:bCs/>
        </w:rPr>
        <w:t>vs</w:t>
      </w:r>
      <w:r w:rsidRPr="00FD0CAA">
        <w:rPr>
          <w:b/>
          <w:bCs/>
        </w:rPr>
        <w:t xml:space="preserve"> </w:t>
      </w:r>
      <w:r w:rsidR="0035551C">
        <w:rPr>
          <w:b/>
          <w:bCs/>
        </w:rPr>
        <w:t>holistically</w:t>
      </w:r>
    </w:p>
    <w:p w14:paraId="1425D79F" w14:textId="1B6CDA13" w:rsidR="006C3F20" w:rsidRDefault="002C1CB2" w:rsidP="0077701E">
      <w:pPr>
        <w:pStyle w:val="ListParagraph"/>
        <w:numPr>
          <w:ilvl w:val="0"/>
          <w:numId w:val="1"/>
        </w:numPr>
        <w:contextualSpacing w:val="0"/>
      </w:pPr>
      <w:r>
        <w:t xml:space="preserve">The </w:t>
      </w:r>
      <w:r w:rsidR="00443721">
        <w:t xml:space="preserve">moderation notes </w:t>
      </w:r>
      <w:r w:rsidR="00062DA3">
        <w:t xml:space="preserve">for </w:t>
      </w:r>
      <w:r w:rsidR="002517CB">
        <w:t xml:space="preserve">each </w:t>
      </w:r>
      <w:r w:rsidR="001E43BF">
        <w:t xml:space="preserve">bidder’s </w:t>
      </w:r>
      <w:r w:rsidR="002517CB">
        <w:t>response</w:t>
      </w:r>
      <w:r w:rsidR="001E43BF">
        <w:t xml:space="preserve"> to Question 2.8.1 </w:t>
      </w:r>
      <w:r w:rsidR="00062DA3">
        <w:t>include</w:t>
      </w:r>
      <w:r w:rsidR="000D2B2A">
        <w:t xml:space="preserve"> distinct </w:t>
      </w:r>
      <w:r w:rsidR="00AC3F35">
        <w:t>analysis</w:t>
      </w:r>
      <w:r w:rsidR="001E43BF">
        <w:t xml:space="preserve"> against each of the bullet points of the question, followed by a summary of the evaluation panel’s </w:t>
      </w:r>
      <w:r w:rsidR="00094612">
        <w:t xml:space="preserve">overall assessment and </w:t>
      </w:r>
      <w:r w:rsidR="00B37B25">
        <w:t xml:space="preserve">scoring decision. </w:t>
      </w:r>
      <w:r w:rsidR="00863D84">
        <w:t>The Panel is content that</w:t>
      </w:r>
      <w:r w:rsidR="0045363F">
        <w:t xml:space="preserve"> the consensus scoring for Question 2.8.1 was </w:t>
      </w:r>
      <w:r w:rsidR="001E7176">
        <w:t>undertaken against the requirements of the question as a whole, following</w:t>
      </w:r>
      <w:r w:rsidR="000B0905">
        <w:t xml:space="preserve"> detailed</w:t>
      </w:r>
      <w:r w:rsidR="001E7176">
        <w:t xml:space="preserve"> </w:t>
      </w:r>
      <w:r w:rsidR="00EE1451">
        <w:t xml:space="preserve">review </w:t>
      </w:r>
      <w:r w:rsidR="003732B1">
        <w:t>against the requirement</w:t>
      </w:r>
      <w:r w:rsidR="00DD53F3">
        <w:t>s</w:t>
      </w:r>
      <w:r w:rsidR="003732B1">
        <w:t xml:space="preserve"> of </w:t>
      </w:r>
      <w:r w:rsidR="00EE1451">
        <w:t>each of the component</w:t>
      </w:r>
      <w:r w:rsidR="003732B1">
        <w:t xml:space="preserve"> bullet points.</w:t>
      </w:r>
    </w:p>
    <w:p w14:paraId="7CF5D012" w14:textId="537B2AA0" w:rsidR="00536E54" w:rsidRPr="004353F1" w:rsidRDefault="00536E54" w:rsidP="004353F1">
      <w:pPr>
        <w:keepNext/>
        <w:spacing w:before="240"/>
        <w:rPr>
          <w:b/>
          <w:bCs/>
        </w:rPr>
      </w:pPr>
      <w:r>
        <w:rPr>
          <w:b/>
          <w:bCs/>
        </w:rPr>
        <w:t>Panel conclusions on evaluation of Question 2.8.1 (</w:t>
      </w:r>
      <w:r w:rsidR="0077701E">
        <w:rPr>
          <w:b/>
          <w:bCs/>
        </w:rPr>
        <w:t>Mobilisation &amp; Implementation</w:t>
      </w:r>
      <w:r>
        <w:rPr>
          <w:b/>
          <w:bCs/>
        </w:rPr>
        <w:t>)</w:t>
      </w:r>
    </w:p>
    <w:p w14:paraId="774011E6" w14:textId="39F6CF9D" w:rsidR="00713C41" w:rsidRPr="00AB3B7B" w:rsidRDefault="002C5367" w:rsidP="00BC66C7">
      <w:pPr>
        <w:pStyle w:val="ListParagraph"/>
        <w:numPr>
          <w:ilvl w:val="0"/>
          <w:numId w:val="1"/>
        </w:numPr>
        <w:contextualSpacing w:val="0"/>
      </w:pPr>
      <w:r w:rsidRPr="00AB3B7B">
        <w:t>As a result</w:t>
      </w:r>
      <w:r w:rsidR="002320EC">
        <w:t xml:space="preserve">, based on the views set out above, </w:t>
      </w:r>
      <w:r w:rsidRPr="00AB3B7B">
        <w:t>t</w:t>
      </w:r>
      <w:r w:rsidR="00713C41" w:rsidRPr="00AB3B7B">
        <w:t xml:space="preserve">he Panel finds that </w:t>
      </w:r>
      <w:r w:rsidR="00A013CA" w:rsidRPr="00AB3B7B">
        <w:t>MSE ICB, in evaluating responses to Question 2.8.1 (Service Delivery), did not breach the PSR regulations, and in particular, the obligation to act transparently, fairly and proportionately.</w:t>
      </w:r>
    </w:p>
    <w:p w14:paraId="7E34FC8F" w14:textId="6998FE47" w:rsidR="009E5133" w:rsidRPr="009E5133" w:rsidRDefault="00C23F1C" w:rsidP="00BB02CE">
      <w:pPr>
        <w:pStyle w:val="Heading2"/>
        <w:spacing w:before="240" w:after="160"/>
        <w:ind w:left="578" w:hanging="578"/>
      </w:pPr>
      <w:bookmarkStart w:id="56" w:name="_Toc209611779"/>
      <w:r>
        <w:t>Representations review process</w:t>
      </w:r>
      <w:bookmarkEnd w:id="56"/>
    </w:p>
    <w:p w14:paraId="38EC66DB" w14:textId="5C8C2494" w:rsidR="00EB5F9E" w:rsidRDefault="000141AB" w:rsidP="008501BF">
      <w:pPr>
        <w:pStyle w:val="ListParagraph"/>
        <w:numPr>
          <w:ilvl w:val="0"/>
          <w:numId w:val="1"/>
        </w:numPr>
        <w:spacing w:line="276" w:lineRule="auto"/>
        <w:contextualSpacing w:val="0"/>
      </w:pPr>
      <w:r w:rsidRPr="0015633D">
        <w:t xml:space="preserve">This section sets out the Panel’s assessment of MPFT’s </w:t>
      </w:r>
      <w:r>
        <w:t xml:space="preserve">and EPUT’s </w:t>
      </w:r>
      <w:r w:rsidRPr="0015633D">
        <w:t xml:space="preserve">concerns about MSE ICB’s </w:t>
      </w:r>
      <w:r>
        <w:t xml:space="preserve">review of </w:t>
      </w:r>
      <w:r w:rsidR="00B07590">
        <w:t>the</w:t>
      </w:r>
      <w:r w:rsidR="00A97BEA">
        <w:t xml:space="preserve"> bidders’ </w:t>
      </w:r>
      <w:r w:rsidR="00A97BEA" w:rsidRPr="00DE7DA2">
        <w:t>representations</w:t>
      </w:r>
      <w:r w:rsidR="00BA0AFA" w:rsidRPr="00DE7DA2">
        <w:t xml:space="preserve"> and</w:t>
      </w:r>
      <w:r w:rsidR="0052309E" w:rsidRPr="00DE7DA2">
        <w:t xml:space="preserve"> its</w:t>
      </w:r>
      <w:r w:rsidR="00BA0AFA" w:rsidRPr="00DE7DA2">
        <w:t xml:space="preserve"> response to </w:t>
      </w:r>
      <w:r w:rsidR="00B07590">
        <w:t xml:space="preserve">their </w:t>
      </w:r>
      <w:r w:rsidR="00BA0AFA" w:rsidRPr="00DE7DA2">
        <w:t>information requests</w:t>
      </w:r>
      <w:r w:rsidRPr="00DE7DA2">
        <w:t>.</w:t>
      </w:r>
    </w:p>
    <w:p w14:paraId="02B93DDB" w14:textId="458A474B" w:rsidR="006866B4" w:rsidRPr="006866B4" w:rsidRDefault="006866B4" w:rsidP="006866B4">
      <w:pPr>
        <w:keepNext/>
        <w:spacing w:before="240" w:line="276" w:lineRule="auto"/>
        <w:rPr>
          <w:b/>
          <w:bCs/>
        </w:rPr>
      </w:pPr>
      <w:r w:rsidRPr="006866B4">
        <w:rPr>
          <w:b/>
          <w:bCs/>
        </w:rPr>
        <w:t>7.5.1 MPFT</w:t>
      </w:r>
      <w:r w:rsidR="00086FDA">
        <w:rPr>
          <w:b/>
          <w:bCs/>
        </w:rPr>
        <w:t>’s</w:t>
      </w:r>
      <w:r w:rsidRPr="006866B4">
        <w:rPr>
          <w:b/>
          <w:bCs/>
        </w:rPr>
        <w:t xml:space="preserve"> concerns about the representations review process</w:t>
      </w:r>
    </w:p>
    <w:p w14:paraId="4B10B5D6" w14:textId="210A19C5" w:rsidR="008807E3" w:rsidRDefault="00A745E3" w:rsidP="008501BF">
      <w:pPr>
        <w:pStyle w:val="ListParagraph"/>
        <w:numPr>
          <w:ilvl w:val="0"/>
          <w:numId w:val="1"/>
        </w:numPr>
        <w:spacing w:line="276" w:lineRule="auto"/>
        <w:contextualSpacing w:val="0"/>
      </w:pPr>
      <w:r>
        <w:t xml:space="preserve">MPFT </w:t>
      </w:r>
      <w:r w:rsidR="000925F1">
        <w:t xml:space="preserve">made </w:t>
      </w:r>
      <w:r>
        <w:t>representation</w:t>
      </w:r>
      <w:r w:rsidR="000925F1">
        <w:t>s</w:t>
      </w:r>
      <w:r>
        <w:t xml:space="preserve"> to MSE ICB </w:t>
      </w:r>
      <w:r w:rsidR="000925F1">
        <w:t xml:space="preserve">about the provider selection process </w:t>
      </w:r>
      <w:r>
        <w:t>on 16</w:t>
      </w:r>
      <w:r w:rsidR="000925F1">
        <w:t> </w:t>
      </w:r>
      <w:r>
        <w:t>May 2025</w:t>
      </w:r>
      <w:r w:rsidR="00362F41">
        <w:t>, including</w:t>
      </w:r>
      <w:r w:rsidR="000925F1">
        <w:t xml:space="preserve"> </w:t>
      </w:r>
      <w:r w:rsidR="00863FBC">
        <w:t xml:space="preserve">the </w:t>
      </w:r>
      <w:r w:rsidR="000925F1">
        <w:t>request</w:t>
      </w:r>
      <w:r w:rsidR="009D35B6">
        <w:t xml:space="preserve">s for information set </w:t>
      </w:r>
      <w:r w:rsidR="0066423C">
        <w:t xml:space="preserve">out in </w:t>
      </w:r>
      <w:r w:rsidR="00863FBC">
        <w:t xml:space="preserve">the table at </w:t>
      </w:r>
      <w:r w:rsidR="0066423C">
        <w:lastRenderedPageBreak/>
        <w:t>paragraph</w:t>
      </w:r>
      <w:r w:rsidR="00B75ECC">
        <w:t> </w:t>
      </w:r>
      <w:r w:rsidR="00B878BA" w:rsidRPr="004353F1">
        <w:fldChar w:fldCharType="begin"/>
      </w:r>
      <w:r w:rsidR="00B878BA" w:rsidRPr="004353F1">
        <w:instrText xml:space="preserve"> REF _Ref208310247 \r \h </w:instrText>
      </w:r>
      <w:r w:rsidR="00B878BA">
        <w:instrText xml:space="preserve"> \* MERGEFORMAT </w:instrText>
      </w:r>
      <w:r w:rsidR="00B878BA" w:rsidRPr="004353F1">
        <w:fldChar w:fldCharType="separate"/>
      </w:r>
      <w:r w:rsidR="00437D90">
        <w:t>200</w:t>
      </w:r>
      <w:r w:rsidR="00B878BA" w:rsidRPr="004353F1">
        <w:fldChar w:fldCharType="end"/>
      </w:r>
      <w:r w:rsidR="00F2649C">
        <w:t xml:space="preserve">. </w:t>
      </w:r>
      <w:r w:rsidR="00675E0B">
        <w:t>On 21</w:t>
      </w:r>
      <w:r w:rsidR="009D35B6">
        <w:t> </w:t>
      </w:r>
      <w:r w:rsidR="00675E0B">
        <w:t xml:space="preserve">May, MSE ICB wrote to MPFT, </w:t>
      </w:r>
      <w:r w:rsidR="00556D86">
        <w:t xml:space="preserve">explaining that it had received </w:t>
      </w:r>
      <w:r w:rsidR="00EE20B8">
        <w:t xml:space="preserve">two </w:t>
      </w:r>
      <w:r w:rsidR="00556D86">
        <w:t>representations</w:t>
      </w:r>
      <w:r w:rsidR="00EE20B8">
        <w:t>, that it was aiming to complete</w:t>
      </w:r>
      <w:r w:rsidR="00E35517">
        <w:t xml:space="preserve"> its review of the representations by</w:t>
      </w:r>
      <w:r w:rsidR="00EE20B8">
        <w:t xml:space="preserve"> </w:t>
      </w:r>
      <w:r w:rsidR="00EE20B8" w:rsidRPr="00EE20B8">
        <w:t>26</w:t>
      </w:r>
      <w:r w:rsidR="00392774">
        <w:t> </w:t>
      </w:r>
      <w:r w:rsidR="00EE20B8" w:rsidRPr="00EE20B8">
        <w:t>June</w:t>
      </w:r>
      <w:r w:rsidR="00E35517">
        <w:t xml:space="preserve">, and that it </w:t>
      </w:r>
      <w:r w:rsidR="00B92728">
        <w:t xml:space="preserve">might wish to ask </w:t>
      </w:r>
      <w:r w:rsidR="00B92728" w:rsidRPr="00B92728">
        <w:t xml:space="preserve">questions </w:t>
      </w:r>
      <w:r w:rsidR="00B92728">
        <w:t xml:space="preserve">of MPFT </w:t>
      </w:r>
      <w:r w:rsidR="00B92728" w:rsidRPr="00B92728">
        <w:t xml:space="preserve">about </w:t>
      </w:r>
      <w:r w:rsidR="00B92728">
        <w:t>its</w:t>
      </w:r>
      <w:r w:rsidR="00B92728" w:rsidRPr="00B92728">
        <w:t xml:space="preserve"> </w:t>
      </w:r>
      <w:r w:rsidR="00004103">
        <w:t>r</w:t>
      </w:r>
      <w:r w:rsidR="00004103" w:rsidRPr="00004103">
        <w:t>epresentations</w:t>
      </w:r>
      <w:r w:rsidR="004B36DB">
        <w:t xml:space="preserve"> during this period.</w:t>
      </w:r>
    </w:p>
    <w:p w14:paraId="0E3D7F48" w14:textId="5BA5E976" w:rsidR="00A745E3" w:rsidRDefault="004B36DB" w:rsidP="008501BF">
      <w:pPr>
        <w:pStyle w:val="ListParagraph"/>
        <w:numPr>
          <w:ilvl w:val="0"/>
          <w:numId w:val="1"/>
        </w:numPr>
        <w:spacing w:line="276" w:lineRule="auto"/>
        <w:contextualSpacing w:val="0"/>
      </w:pPr>
      <w:r w:rsidRPr="004B36DB">
        <w:t xml:space="preserve">On 27 May 2025, MSE ICB’s review panel met to </w:t>
      </w:r>
      <w:r>
        <w:t xml:space="preserve">review </w:t>
      </w:r>
      <w:r w:rsidR="002F2827">
        <w:t>MPFT’s</w:t>
      </w:r>
      <w:r>
        <w:t xml:space="preserve"> representations</w:t>
      </w:r>
      <w:r w:rsidR="002F2827">
        <w:t xml:space="preserve">, and the following day </w:t>
      </w:r>
      <w:r w:rsidR="008807E3">
        <w:t>sent a c</w:t>
      </w:r>
      <w:r w:rsidR="008807E3" w:rsidRPr="008807E3">
        <w:t xml:space="preserve">larification </w:t>
      </w:r>
      <w:r w:rsidR="008807E3">
        <w:t>q</w:t>
      </w:r>
      <w:r w:rsidR="008807E3" w:rsidRPr="008807E3">
        <w:t xml:space="preserve">uestion to MPFT </w:t>
      </w:r>
      <w:r w:rsidR="00800CCA">
        <w:t>“</w:t>
      </w:r>
      <w:r w:rsidR="008807E3" w:rsidRPr="008807E3">
        <w:t>pertaining to whether MPFT formally requested disclosure of documents and if so, please could MPFT reaffirm which documents were being sought for disclosure</w:t>
      </w:r>
      <w:r w:rsidR="00800CCA">
        <w:t>”</w:t>
      </w:r>
      <w:r w:rsidR="00A65CF6">
        <w:t>.</w:t>
      </w:r>
      <w:r w:rsidR="006A4BCA">
        <w:rPr>
          <w:rStyle w:val="FootnoteReference"/>
        </w:rPr>
        <w:footnoteReference w:id="77"/>
      </w:r>
      <w:r w:rsidR="006A4BCA">
        <w:t xml:space="preserve"> </w:t>
      </w:r>
      <w:r w:rsidR="00CC30D8">
        <w:t>On 30 May, MPFT wrote to MSE ICB</w:t>
      </w:r>
      <w:r w:rsidR="005842F1">
        <w:t xml:space="preserve">, </w:t>
      </w:r>
      <w:r w:rsidR="00BB55C4">
        <w:t>reiterating</w:t>
      </w:r>
      <w:r w:rsidR="005842F1">
        <w:t xml:space="preserve"> </w:t>
      </w:r>
      <w:r w:rsidR="00CC30D8">
        <w:t xml:space="preserve">its request </w:t>
      </w:r>
      <w:r w:rsidR="00A65CF6">
        <w:t xml:space="preserve">of </w:t>
      </w:r>
      <w:r w:rsidR="00CC30D8">
        <w:t>16</w:t>
      </w:r>
      <w:r w:rsidR="00A65CF6">
        <w:t> </w:t>
      </w:r>
      <w:r w:rsidR="00CC30D8">
        <w:t>May.</w:t>
      </w:r>
    </w:p>
    <w:p w14:paraId="56DB4C4E" w14:textId="1BD0EF59" w:rsidR="001F4927" w:rsidRPr="00A675C0" w:rsidRDefault="00CE56DC" w:rsidP="008501BF">
      <w:pPr>
        <w:pStyle w:val="ListParagraph"/>
        <w:numPr>
          <w:ilvl w:val="0"/>
          <w:numId w:val="1"/>
        </w:numPr>
        <w:spacing w:line="276" w:lineRule="auto"/>
        <w:contextualSpacing w:val="0"/>
      </w:pPr>
      <w:r w:rsidRPr="00287A84">
        <w:t>MSE ICB,</w:t>
      </w:r>
      <w:r w:rsidR="007054C8" w:rsidRPr="00287A84">
        <w:t xml:space="preserve"> </w:t>
      </w:r>
      <w:r w:rsidR="00352280">
        <w:t xml:space="preserve">in responding to MPFT’s representations on </w:t>
      </w:r>
      <w:r w:rsidR="007D03D6">
        <w:t>2</w:t>
      </w:r>
      <w:r w:rsidR="00CB69A3">
        <w:t>0 June 2025</w:t>
      </w:r>
      <w:r w:rsidR="00E13D77">
        <w:t>,</w:t>
      </w:r>
      <w:r w:rsidR="007054C8" w:rsidRPr="00287A84">
        <w:t xml:space="preserve"> </w:t>
      </w:r>
      <w:r w:rsidR="001F4927" w:rsidRPr="00287A84">
        <w:t xml:space="preserve">shared </w:t>
      </w:r>
      <w:r w:rsidR="00250296">
        <w:t xml:space="preserve">two documents: first, </w:t>
      </w:r>
      <w:r w:rsidR="001F4927" w:rsidRPr="00287A84">
        <w:t>a copy of</w:t>
      </w:r>
      <w:r w:rsidR="00A675C0" w:rsidRPr="00287A84">
        <w:t xml:space="preserve"> </w:t>
      </w:r>
      <w:r w:rsidR="00B118AC">
        <w:t xml:space="preserve">the report it had drafted </w:t>
      </w:r>
      <w:r w:rsidR="00FB2B06">
        <w:t xml:space="preserve">to fulfil </w:t>
      </w:r>
      <w:r w:rsidR="00A675C0" w:rsidRPr="00287A84">
        <w:t xml:space="preserve">its </w:t>
      </w:r>
      <w:r w:rsidR="00FB2B06">
        <w:t xml:space="preserve">recordkeeping obligations under </w:t>
      </w:r>
      <w:r w:rsidR="00A675C0" w:rsidRPr="00287A84">
        <w:t xml:space="preserve">Regulation 24 </w:t>
      </w:r>
      <w:r w:rsidR="00FB2B06">
        <w:t>of the PSR regulations</w:t>
      </w:r>
      <w:r w:rsidR="00A22094">
        <w:t>;</w:t>
      </w:r>
      <w:r w:rsidR="00FB2B06">
        <w:t xml:space="preserve"> </w:t>
      </w:r>
      <w:r w:rsidR="00A675C0" w:rsidRPr="00287A84">
        <w:t xml:space="preserve">and </w:t>
      </w:r>
      <w:r w:rsidR="00A22094">
        <w:t xml:space="preserve">second, </w:t>
      </w:r>
      <w:r w:rsidR="00A675C0" w:rsidRPr="00287A84">
        <w:t xml:space="preserve">a </w:t>
      </w:r>
      <w:r w:rsidR="001A54F9" w:rsidRPr="00287A84">
        <w:rPr>
          <w:rFonts w:cs="Arial"/>
        </w:rPr>
        <w:t xml:space="preserve">redacted </w:t>
      </w:r>
      <w:r w:rsidR="00A675C0" w:rsidRPr="00287A84">
        <w:t xml:space="preserve">copy of </w:t>
      </w:r>
      <w:r w:rsidR="001F4927" w:rsidRPr="00287A84">
        <w:rPr>
          <w:rFonts w:cs="Arial"/>
        </w:rPr>
        <w:t>its Procurement Recommendation Report</w:t>
      </w:r>
      <w:r w:rsidR="00A22094">
        <w:rPr>
          <w:rFonts w:cs="Arial"/>
        </w:rPr>
        <w:t xml:space="preserve">. MSE ICB told MPFT it was supplying these documents </w:t>
      </w:r>
      <w:r w:rsidR="001F4927" w:rsidRPr="00287A84">
        <w:rPr>
          <w:rFonts w:cs="Arial"/>
        </w:rPr>
        <w:t xml:space="preserve">“to provide MPFT with an insight as to how </w:t>
      </w:r>
      <w:r w:rsidR="001F4927" w:rsidRPr="00567ADE">
        <w:t>the</w:t>
      </w:r>
      <w:r w:rsidR="001F4927" w:rsidRPr="00287A84">
        <w:rPr>
          <w:rFonts w:cs="Arial"/>
        </w:rPr>
        <w:t xml:space="preserve"> overall assessment and evaluation process was conducted and to provide assurance of the due diligence undertaken by </w:t>
      </w:r>
      <w:r w:rsidR="00287A84" w:rsidRPr="00287A84">
        <w:rPr>
          <w:rFonts w:cs="Arial"/>
        </w:rPr>
        <w:t>MSE ICB</w:t>
      </w:r>
      <w:r w:rsidR="001F4927" w:rsidRPr="00287A84">
        <w:rPr>
          <w:rFonts w:cs="Arial"/>
        </w:rPr>
        <w:t>”</w:t>
      </w:r>
      <w:r w:rsidR="00171B0C">
        <w:rPr>
          <w:rFonts w:cs="Arial"/>
          <w:sz w:val="21"/>
          <w:szCs w:val="21"/>
        </w:rPr>
        <w:t>.</w:t>
      </w:r>
      <w:r w:rsidR="00171B0C">
        <w:rPr>
          <w:rStyle w:val="FootnoteReference"/>
          <w:rFonts w:cs="Arial"/>
          <w:sz w:val="21"/>
          <w:szCs w:val="21"/>
        </w:rPr>
        <w:footnoteReference w:id="78"/>
      </w:r>
    </w:p>
    <w:p w14:paraId="34393743" w14:textId="44469E42" w:rsidR="000E016C" w:rsidRDefault="000E016C" w:rsidP="000E016C">
      <w:pPr>
        <w:pStyle w:val="ListParagraph"/>
        <w:numPr>
          <w:ilvl w:val="0"/>
          <w:numId w:val="1"/>
        </w:numPr>
        <w:spacing w:line="276" w:lineRule="auto"/>
        <w:contextualSpacing w:val="0"/>
      </w:pPr>
      <w:bookmarkStart w:id="57" w:name="_Ref205901375"/>
      <w:r>
        <w:t xml:space="preserve">MSE ICB </w:t>
      </w:r>
      <w:r w:rsidRPr="00ED68DA">
        <w:t xml:space="preserve">also </w:t>
      </w:r>
      <w:r w:rsidR="00C15850">
        <w:t xml:space="preserve">told MPFT that several of its requests </w:t>
      </w:r>
      <w:r w:rsidR="00E730F9">
        <w:t xml:space="preserve">fell outside the recordkeeping requirements of Regulation 24 and </w:t>
      </w:r>
      <w:r w:rsidRPr="00ED68DA">
        <w:t xml:space="preserve">signposted MPFT to its Freedom of Information (FOI) process to submit formal requests for </w:t>
      </w:r>
      <w:r w:rsidR="00F41AAE">
        <w:t xml:space="preserve">this other </w:t>
      </w:r>
      <w:r w:rsidRPr="00ED68DA">
        <w:t>information and documentation, which would then be “appropriately assessed and processed"</w:t>
      </w:r>
      <w:r w:rsidR="00F41AAE">
        <w:t>.</w:t>
      </w:r>
    </w:p>
    <w:p w14:paraId="2ABCAD36" w14:textId="27EA97E6" w:rsidR="0098282E" w:rsidRDefault="0098282E" w:rsidP="00345DD9">
      <w:pPr>
        <w:pStyle w:val="ListParagraph"/>
        <w:numPr>
          <w:ilvl w:val="0"/>
          <w:numId w:val="1"/>
        </w:numPr>
        <w:spacing w:after="120"/>
        <w:contextualSpacing w:val="0"/>
      </w:pPr>
      <w:r>
        <w:t>MPFT, in its representations to the Panel, said</w:t>
      </w:r>
      <w:r w:rsidR="00BE6BE9">
        <w:t xml:space="preserve"> that</w:t>
      </w:r>
      <w:r>
        <w:t>:</w:t>
      </w:r>
    </w:p>
    <w:p w14:paraId="234DC7C3" w14:textId="4B771F92" w:rsidR="0098282E" w:rsidRPr="00ED68DA" w:rsidRDefault="0098282E" w:rsidP="00B869C8">
      <w:pPr>
        <w:pStyle w:val="ListParagraph"/>
        <w:numPr>
          <w:ilvl w:val="0"/>
          <w:numId w:val="0"/>
        </w:numPr>
        <w:ind w:left="851"/>
        <w:contextualSpacing w:val="0"/>
        <w:rPr>
          <w:sz w:val="21"/>
          <w:szCs w:val="21"/>
        </w:rPr>
      </w:pPr>
      <w:r>
        <w:rPr>
          <w:sz w:val="21"/>
          <w:szCs w:val="21"/>
        </w:rPr>
        <w:t>“T</w:t>
      </w:r>
      <w:r w:rsidRPr="00D3426A">
        <w:rPr>
          <w:sz w:val="21"/>
          <w:szCs w:val="21"/>
        </w:rPr>
        <w:t xml:space="preserve">he ICB has only part disclosed to the </w:t>
      </w:r>
      <w:r w:rsidR="001A54F9">
        <w:rPr>
          <w:sz w:val="21"/>
          <w:szCs w:val="21"/>
        </w:rPr>
        <w:t>MPFT</w:t>
      </w:r>
      <w:r w:rsidRPr="00D3426A">
        <w:rPr>
          <w:sz w:val="21"/>
          <w:szCs w:val="21"/>
        </w:rPr>
        <w:t xml:space="preserve"> some of the documents requested by the </w:t>
      </w:r>
      <w:r w:rsidR="001A54F9">
        <w:rPr>
          <w:sz w:val="21"/>
          <w:szCs w:val="21"/>
        </w:rPr>
        <w:t>MPFT</w:t>
      </w:r>
      <w:r w:rsidRPr="00D3426A">
        <w:rPr>
          <w:sz w:val="21"/>
          <w:szCs w:val="21"/>
        </w:rPr>
        <w:t xml:space="preserve"> in the Representation letter. </w:t>
      </w:r>
      <w:r w:rsidR="001A54F9">
        <w:rPr>
          <w:sz w:val="21"/>
          <w:szCs w:val="21"/>
        </w:rPr>
        <w:t>MPFT</w:t>
      </w:r>
      <w:r w:rsidRPr="00D3426A">
        <w:rPr>
          <w:sz w:val="21"/>
          <w:szCs w:val="21"/>
        </w:rPr>
        <w:t xml:space="preserve"> considered the document requests to be reasonable and in accordance with Regulation 24. </w:t>
      </w:r>
      <w:r w:rsidR="00174F4D">
        <w:rPr>
          <w:sz w:val="21"/>
          <w:szCs w:val="21"/>
        </w:rPr>
        <w:t>MPFT</w:t>
      </w:r>
      <w:r w:rsidRPr="00D3426A">
        <w:rPr>
          <w:sz w:val="21"/>
          <w:szCs w:val="21"/>
        </w:rPr>
        <w:t xml:space="preserve"> therefore considers the resolution of this Representation to be outstanding”</w:t>
      </w:r>
      <w:r>
        <w:rPr>
          <w:sz w:val="21"/>
          <w:szCs w:val="21"/>
        </w:rPr>
        <w:t xml:space="preserve"> (see paragraph </w:t>
      </w:r>
      <w:r w:rsidR="009C68B7">
        <w:rPr>
          <w:sz w:val="21"/>
          <w:szCs w:val="21"/>
        </w:rPr>
        <w:fldChar w:fldCharType="begin"/>
      </w:r>
      <w:r w:rsidR="009C68B7">
        <w:rPr>
          <w:sz w:val="21"/>
          <w:szCs w:val="21"/>
        </w:rPr>
        <w:instrText xml:space="preserve"> REF _Ref204603238 \r \h </w:instrText>
      </w:r>
      <w:r w:rsidR="009C68B7">
        <w:rPr>
          <w:sz w:val="21"/>
          <w:szCs w:val="21"/>
        </w:rPr>
      </w:r>
      <w:r w:rsidR="009C68B7">
        <w:rPr>
          <w:sz w:val="21"/>
          <w:szCs w:val="21"/>
        </w:rPr>
        <w:fldChar w:fldCharType="separate"/>
      </w:r>
      <w:r w:rsidR="00437D90">
        <w:rPr>
          <w:sz w:val="21"/>
          <w:szCs w:val="21"/>
        </w:rPr>
        <w:t>49</w:t>
      </w:r>
      <w:r w:rsidR="009C68B7">
        <w:rPr>
          <w:sz w:val="21"/>
          <w:szCs w:val="21"/>
        </w:rPr>
        <w:fldChar w:fldCharType="end"/>
      </w:r>
      <w:r>
        <w:rPr>
          <w:sz w:val="21"/>
          <w:szCs w:val="21"/>
        </w:rPr>
        <w:t>).</w:t>
      </w:r>
    </w:p>
    <w:p w14:paraId="0C4606B2" w14:textId="6C3891BE" w:rsidR="0062230C" w:rsidRDefault="0062230C" w:rsidP="005D7278">
      <w:pPr>
        <w:pStyle w:val="ListParagraph"/>
        <w:numPr>
          <w:ilvl w:val="0"/>
          <w:numId w:val="1"/>
        </w:numPr>
        <w:spacing w:line="276" w:lineRule="auto"/>
        <w:contextualSpacing w:val="0"/>
      </w:pPr>
      <w:bookmarkStart w:id="58" w:name="_Ref207175444"/>
      <w:r>
        <w:t>Details of MPFT’s information requests, M</w:t>
      </w:r>
      <w:r w:rsidR="00E15FB8">
        <w:t>S</w:t>
      </w:r>
      <w:r>
        <w:t>E ICB’s responses to those requests, and the Panel’s assessment</w:t>
      </w:r>
      <w:r w:rsidR="00E15FB8">
        <w:t xml:space="preserve"> of MSE ICB’s </w:t>
      </w:r>
      <w:r w:rsidR="005A65E0">
        <w:t xml:space="preserve">responses are set out in the table below. </w:t>
      </w:r>
    </w:p>
    <w:p w14:paraId="6756951A" w14:textId="12B76C39" w:rsidR="007C3088" w:rsidRDefault="007C3088" w:rsidP="007C3088">
      <w:pPr>
        <w:pStyle w:val="ListParagraph"/>
        <w:numPr>
          <w:ilvl w:val="0"/>
          <w:numId w:val="1"/>
        </w:numPr>
        <w:spacing w:line="276" w:lineRule="auto"/>
        <w:contextualSpacing w:val="0"/>
      </w:pPr>
      <w:r>
        <w:t>The Panel notes that MSE ICB</w:t>
      </w:r>
      <w:r w:rsidR="00654700">
        <w:t xml:space="preserve"> </w:t>
      </w:r>
      <w:r w:rsidR="00A34E95">
        <w:t>supplied</w:t>
      </w:r>
      <w:r w:rsidR="00654700">
        <w:t xml:space="preserve"> </w:t>
      </w:r>
      <w:r>
        <w:t xml:space="preserve">the information requested by MPFT </w:t>
      </w:r>
      <w:r w:rsidR="00A34E95">
        <w:t xml:space="preserve">(in part) </w:t>
      </w:r>
      <w:r>
        <w:t xml:space="preserve">when communicating the outcome of </w:t>
      </w:r>
      <w:r w:rsidR="00654700">
        <w:t>MPFT’s</w:t>
      </w:r>
      <w:r>
        <w:t xml:space="preserve"> representations and the ICB’s further decision on the provider selection process. The PSR regulations require that a commissioner ensures that a provider which makes representations “is afforded such further opportunity to explain or clarify the representations made as the relevant authority considers appropriate” (Regulation 12(4)(a)) and that commissioner</w:t>
      </w:r>
      <w:r w:rsidR="00CC2104">
        <w:t>s</w:t>
      </w:r>
      <w:r>
        <w:t xml:space="preserve"> “provide promptly any information requested by an aggrieved provider where the relevant authority has a duty to record that information under regulation 24” (Regulation 12(4)(b)).</w:t>
      </w:r>
    </w:p>
    <w:p w14:paraId="7FA2E381" w14:textId="77777777" w:rsidR="007C3088" w:rsidRDefault="007C3088" w:rsidP="007C3088">
      <w:pPr>
        <w:pStyle w:val="ListParagraph"/>
        <w:numPr>
          <w:ilvl w:val="0"/>
          <w:numId w:val="1"/>
        </w:numPr>
        <w:spacing w:line="276" w:lineRule="auto"/>
        <w:contextualSpacing w:val="0"/>
      </w:pPr>
      <w:r>
        <w:t>Consistent with previous cases,</w:t>
      </w:r>
      <w:r>
        <w:rPr>
          <w:rStyle w:val="FootnoteReference"/>
        </w:rPr>
        <w:footnoteReference w:id="79"/>
      </w:r>
      <w:r>
        <w:t xml:space="preserve"> the Panel’s view is that responding to a bidder’s information requests at the same time as responding to its representations does not meet the requirement of promptly providing requested information nor the requirement to afford the bidder further opportunity to explain or clarify its representations.</w:t>
      </w:r>
    </w:p>
    <w:p w14:paraId="18260AD6" w14:textId="513C1331" w:rsidR="00AB58F3" w:rsidRDefault="00DD38D1">
      <w:pPr>
        <w:pStyle w:val="ListParagraph"/>
        <w:numPr>
          <w:ilvl w:val="0"/>
          <w:numId w:val="1"/>
        </w:numPr>
        <w:spacing w:line="276" w:lineRule="auto"/>
        <w:contextualSpacing w:val="0"/>
      </w:pPr>
      <w:bookmarkStart w:id="59" w:name="_Ref208310247"/>
      <w:r>
        <w:lastRenderedPageBreak/>
        <w:t xml:space="preserve">In summary, the Panel finds that MSE ICB, </w:t>
      </w:r>
      <w:r w:rsidR="00F949AD">
        <w:t xml:space="preserve">by failing to provide relevant documents </w:t>
      </w:r>
      <w:r w:rsidR="00F12BDF">
        <w:t xml:space="preserve">in </w:t>
      </w:r>
      <w:r w:rsidR="00E20729">
        <w:t>response</w:t>
      </w:r>
      <w:r w:rsidR="00F12BDF">
        <w:t xml:space="preserve"> to</w:t>
      </w:r>
      <w:r w:rsidR="00F949AD">
        <w:t xml:space="preserve"> MPFT</w:t>
      </w:r>
      <w:r w:rsidR="00F12BDF">
        <w:t xml:space="preserve">’s </w:t>
      </w:r>
      <w:r w:rsidR="00C1567F">
        <w:t xml:space="preserve">request for </w:t>
      </w:r>
      <w:r w:rsidR="00E20729">
        <w:t>information</w:t>
      </w:r>
      <w:r w:rsidR="00F949AD">
        <w:t xml:space="preserve">, and </w:t>
      </w:r>
      <w:r>
        <w:t xml:space="preserve">in responding to MPFT’s </w:t>
      </w:r>
      <w:r w:rsidR="00DE3679">
        <w:t xml:space="preserve">requests for information </w:t>
      </w:r>
      <w:r w:rsidR="007975CF">
        <w:t>at the same time as providing</w:t>
      </w:r>
      <w:r w:rsidR="00DE3679">
        <w:t xml:space="preserve"> its </w:t>
      </w:r>
      <w:r w:rsidR="00F949AD">
        <w:t>response to MPFT’s</w:t>
      </w:r>
      <w:r w:rsidR="00DE3679">
        <w:t xml:space="preserve"> representations, breached its obligation</w:t>
      </w:r>
      <w:r w:rsidR="00B82B55">
        <w:t xml:space="preserve"> to </w:t>
      </w:r>
      <w:r w:rsidR="00AB58F3">
        <w:t xml:space="preserve">ensure that a provider which makes representations “is afforded such further opportunity to explain or clarify the representations made as the relevant authority considers appropriate” (Regulation 12(4)(a)) and </w:t>
      </w:r>
      <w:r w:rsidR="00FB3B9F">
        <w:t>to</w:t>
      </w:r>
      <w:r w:rsidR="00AB58F3">
        <w:t xml:space="preserve"> “provide promptly any information requested by an aggrieved provider where the relevant authority has a duty to record that information under regulation 24” (Regulation 12(4)(b)).</w:t>
      </w:r>
      <w:bookmarkEnd w:id="59"/>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4"/>
        <w:gridCol w:w="2067"/>
        <w:gridCol w:w="3165"/>
        <w:gridCol w:w="3210"/>
      </w:tblGrid>
      <w:tr w:rsidR="008C052E" w:rsidRPr="00656CAB" w14:paraId="3D79FCB6" w14:textId="10F89D1C" w:rsidTr="00064ADF">
        <w:tc>
          <w:tcPr>
            <w:tcW w:w="318" w:type="pct"/>
            <w:shd w:val="clear" w:color="auto" w:fill="D9D9D9" w:themeFill="background1" w:themeFillShade="D9"/>
          </w:tcPr>
          <w:bookmarkEnd w:id="57"/>
          <w:bookmarkEnd w:id="58"/>
          <w:p w14:paraId="0E30E9D7" w14:textId="14A1B725" w:rsidR="00A569EA" w:rsidRDefault="009A3811" w:rsidP="00A569EA">
            <w:pPr>
              <w:spacing w:before="60" w:after="60"/>
              <w:jc w:val="center"/>
              <w:rPr>
                <w:b/>
                <w:bCs/>
                <w:sz w:val="18"/>
                <w:szCs w:val="18"/>
              </w:rPr>
            </w:pPr>
            <w:r>
              <w:rPr>
                <w:b/>
                <w:bCs/>
                <w:sz w:val="18"/>
                <w:szCs w:val="18"/>
              </w:rPr>
              <w:t>No.</w:t>
            </w:r>
          </w:p>
        </w:tc>
        <w:tc>
          <w:tcPr>
            <w:tcW w:w="1146" w:type="pct"/>
            <w:shd w:val="clear" w:color="auto" w:fill="D9D9D9" w:themeFill="background1" w:themeFillShade="D9"/>
          </w:tcPr>
          <w:p w14:paraId="3AEB25F2" w14:textId="18B0BF3B" w:rsidR="00656CAB" w:rsidRPr="00656CAB" w:rsidRDefault="00656CAB" w:rsidP="00A569EA">
            <w:pPr>
              <w:spacing w:before="60" w:after="60"/>
              <w:jc w:val="center"/>
              <w:rPr>
                <w:b/>
                <w:bCs/>
                <w:sz w:val="18"/>
                <w:szCs w:val="18"/>
              </w:rPr>
            </w:pPr>
            <w:r w:rsidRPr="00656CAB">
              <w:rPr>
                <w:b/>
                <w:bCs/>
                <w:sz w:val="18"/>
                <w:szCs w:val="18"/>
              </w:rPr>
              <w:t>MPFT’s information request</w:t>
            </w:r>
          </w:p>
        </w:tc>
        <w:tc>
          <w:tcPr>
            <w:tcW w:w="1755" w:type="pct"/>
            <w:shd w:val="clear" w:color="auto" w:fill="D9D9D9" w:themeFill="background1" w:themeFillShade="D9"/>
          </w:tcPr>
          <w:p w14:paraId="6A1B8995" w14:textId="66D6AB22" w:rsidR="00656CAB" w:rsidRPr="00656CAB" w:rsidRDefault="00656CAB" w:rsidP="00A569EA">
            <w:pPr>
              <w:spacing w:before="60" w:after="60"/>
              <w:jc w:val="center"/>
              <w:rPr>
                <w:b/>
                <w:bCs/>
                <w:sz w:val="18"/>
                <w:szCs w:val="18"/>
              </w:rPr>
            </w:pPr>
            <w:r w:rsidRPr="00656CAB">
              <w:rPr>
                <w:b/>
                <w:bCs/>
                <w:sz w:val="18"/>
                <w:szCs w:val="18"/>
              </w:rPr>
              <w:t>MSE ICB’s response</w:t>
            </w:r>
          </w:p>
        </w:tc>
        <w:tc>
          <w:tcPr>
            <w:tcW w:w="1780" w:type="pct"/>
            <w:shd w:val="clear" w:color="auto" w:fill="D9D9D9" w:themeFill="background1" w:themeFillShade="D9"/>
          </w:tcPr>
          <w:p w14:paraId="59BFF25B" w14:textId="317CD8E9" w:rsidR="00A569EA" w:rsidRDefault="00A569EA" w:rsidP="00A569EA">
            <w:pPr>
              <w:spacing w:before="60" w:after="60"/>
              <w:jc w:val="center"/>
              <w:rPr>
                <w:b/>
                <w:bCs/>
                <w:sz w:val="18"/>
                <w:szCs w:val="18"/>
              </w:rPr>
            </w:pPr>
            <w:r>
              <w:rPr>
                <w:b/>
                <w:bCs/>
                <w:sz w:val="18"/>
                <w:szCs w:val="18"/>
              </w:rPr>
              <w:t>Panel</w:t>
            </w:r>
            <w:r w:rsidR="007964D3">
              <w:rPr>
                <w:b/>
                <w:bCs/>
                <w:sz w:val="18"/>
                <w:szCs w:val="18"/>
              </w:rPr>
              <w:t>’s view</w:t>
            </w:r>
          </w:p>
        </w:tc>
      </w:tr>
      <w:tr w:rsidR="008C052E" w:rsidRPr="00656CAB" w14:paraId="03CEFAD8" w14:textId="6AF632A7" w:rsidTr="00064ADF">
        <w:tc>
          <w:tcPr>
            <w:tcW w:w="318" w:type="pct"/>
          </w:tcPr>
          <w:p w14:paraId="292A38F2" w14:textId="609CC31C" w:rsidR="00A569EA" w:rsidRDefault="00A569EA" w:rsidP="00A569EA">
            <w:pPr>
              <w:spacing w:before="60" w:after="60"/>
              <w:jc w:val="center"/>
              <w:rPr>
                <w:sz w:val="18"/>
                <w:szCs w:val="18"/>
              </w:rPr>
            </w:pPr>
            <w:r>
              <w:rPr>
                <w:sz w:val="18"/>
                <w:szCs w:val="18"/>
              </w:rPr>
              <w:t>1</w:t>
            </w:r>
          </w:p>
        </w:tc>
        <w:tc>
          <w:tcPr>
            <w:tcW w:w="1146" w:type="pct"/>
          </w:tcPr>
          <w:p w14:paraId="641A7D64" w14:textId="523B79A3" w:rsidR="0049190A" w:rsidRPr="00656CAB" w:rsidRDefault="00B14B91" w:rsidP="00AB6A75">
            <w:pPr>
              <w:spacing w:before="60" w:after="60"/>
              <w:rPr>
                <w:sz w:val="18"/>
                <w:szCs w:val="18"/>
              </w:rPr>
            </w:pPr>
            <w:r w:rsidRPr="00656CAB">
              <w:rPr>
                <w:sz w:val="18"/>
                <w:szCs w:val="18"/>
              </w:rPr>
              <w:t>“initial assessment of the opportunity and design of the procurement including all internal notes/communications</w:t>
            </w:r>
            <w:r w:rsidR="005C62A5">
              <w:rPr>
                <w:sz w:val="18"/>
                <w:szCs w:val="18"/>
              </w:rPr>
              <w:t>”</w:t>
            </w:r>
          </w:p>
        </w:tc>
        <w:tc>
          <w:tcPr>
            <w:tcW w:w="1755" w:type="pct"/>
          </w:tcPr>
          <w:p w14:paraId="4E7EB5AB" w14:textId="3D729EBE" w:rsidR="001A3B4A" w:rsidRPr="00B37C68" w:rsidRDefault="001A3B4A" w:rsidP="00B81EA7">
            <w:pPr>
              <w:spacing w:before="60" w:after="60"/>
              <w:rPr>
                <w:sz w:val="18"/>
                <w:szCs w:val="18"/>
              </w:rPr>
            </w:pPr>
            <w:r w:rsidRPr="00B37C68">
              <w:rPr>
                <w:sz w:val="18"/>
                <w:szCs w:val="18"/>
              </w:rPr>
              <w:t xml:space="preserve">The Panel could not identify </w:t>
            </w:r>
            <w:r w:rsidR="009F41EA" w:rsidRPr="00B37C68">
              <w:rPr>
                <w:sz w:val="18"/>
                <w:szCs w:val="18"/>
              </w:rPr>
              <w:t xml:space="preserve">a direct response to this </w:t>
            </w:r>
            <w:r w:rsidR="00B25D82" w:rsidRPr="00B37C68">
              <w:rPr>
                <w:sz w:val="18"/>
                <w:szCs w:val="18"/>
              </w:rPr>
              <w:t xml:space="preserve">specific </w:t>
            </w:r>
            <w:r w:rsidR="009F41EA" w:rsidRPr="00B37C68">
              <w:rPr>
                <w:sz w:val="18"/>
                <w:szCs w:val="18"/>
              </w:rPr>
              <w:t>request, but notes that MSE ICB</w:t>
            </w:r>
            <w:r w:rsidR="00B25D82" w:rsidRPr="00B37C68">
              <w:rPr>
                <w:sz w:val="18"/>
                <w:szCs w:val="18"/>
              </w:rPr>
              <w:t xml:space="preserve"> said</w:t>
            </w:r>
            <w:r w:rsidR="00B37C68" w:rsidRPr="00B37C68">
              <w:rPr>
                <w:sz w:val="18"/>
                <w:szCs w:val="18"/>
              </w:rPr>
              <w:t xml:space="preserve"> the following </w:t>
            </w:r>
            <w:r w:rsidR="00583FCE">
              <w:rPr>
                <w:sz w:val="18"/>
                <w:szCs w:val="18"/>
              </w:rPr>
              <w:t>in its overall response</w:t>
            </w:r>
            <w:r w:rsidR="00B37C68" w:rsidRPr="00B37C68">
              <w:rPr>
                <w:sz w:val="18"/>
                <w:szCs w:val="18"/>
              </w:rPr>
              <w:t>:</w:t>
            </w:r>
          </w:p>
          <w:p w14:paraId="1CBFDEBA" w14:textId="77777777" w:rsidR="0049190A" w:rsidRDefault="00A569EA" w:rsidP="00B81EA7">
            <w:pPr>
              <w:spacing w:before="60" w:after="60"/>
              <w:rPr>
                <w:sz w:val="18"/>
                <w:szCs w:val="18"/>
              </w:rPr>
            </w:pPr>
            <w:r w:rsidRPr="00B37C68">
              <w:rPr>
                <w:sz w:val="18"/>
                <w:szCs w:val="18"/>
              </w:rPr>
              <w:t>“</w:t>
            </w:r>
            <w:r w:rsidR="006D5B36" w:rsidRPr="00B37C68">
              <w:rPr>
                <w:sz w:val="18"/>
                <w:szCs w:val="18"/>
              </w:rPr>
              <w:t>requests for documentation pertaining to the NHS MSE ICB’s Commissioning intentions, including documentation of NHS MSE ICB’s internal governance processes, were deemed out of scope of the Regulation 24 disclosure for this procurement process (Competitive Process).”</w:t>
            </w:r>
          </w:p>
          <w:p w14:paraId="67495857" w14:textId="769355F3" w:rsidR="00B37C68" w:rsidRPr="00656CAB" w:rsidRDefault="00B37C68" w:rsidP="00583FCE">
            <w:pPr>
              <w:spacing w:before="60" w:after="60"/>
              <w:rPr>
                <w:sz w:val="18"/>
                <w:szCs w:val="18"/>
              </w:rPr>
            </w:pPr>
            <w:r w:rsidRPr="00B37C68">
              <w:rPr>
                <w:sz w:val="18"/>
                <w:szCs w:val="18"/>
              </w:rPr>
              <w:t xml:space="preserve">“The Authority is not obliged to share its pre-procurement internal governance documentation (documentation that is not in the public domain) under the PSR 2023.” </w:t>
            </w:r>
          </w:p>
        </w:tc>
        <w:tc>
          <w:tcPr>
            <w:tcW w:w="1780" w:type="pct"/>
          </w:tcPr>
          <w:p w14:paraId="371650EF" w14:textId="0AD367F9" w:rsidR="00A82674" w:rsidRPr="00A82674" w:rsidRDefault="007A4AB3" w:rsidP="00B81EA7">
            <w:pPr>
              <w:spacing w:before="60" w:after="60"/>
              <w:rPr>
                <w:sz w:val="18"/>
                <w:szCs w:val="18"/>
              </w:rPr>
            </w:pPr>
            <w:r>
              <w:rPr>
                <w:sz w:val="18"/>
                <w:szCs w:val="18"/>
              </w:rPr>
              <w:t xml:space="preserve">MPFT’s request is not framed in terms of MSE ICB’s recordkeeping obligations under Regulation 24. This </w:t>
            </w:r>
            <w:r w:rsidR="006711B8">
              <w:rPr>
                <w:sz w:val="18"/>
                <w:szCs w:val="18"/>
              </w:rPr>
              <w:t xml:space="preserve">leaves considerable scope for interpretation about </w:t>
            </w:r>
            <w:r w:rsidR="00A73D78">
              <w:rPr>
                <w:sz w:val="18"/>
                <w:szCs w:val="18"/>
              </w:rPr>
              <w:t xml:space="preserve">the nature of MPFT’s requests. </w:t>
            </w:r>
            <w:r w:rsidR="00A82674" w:rsidRPr="00A82674">
              <w:rPr>
                <w:sz w:val="18"/>
                <w:szCs w:val="18"/>
              </w:rPr>
              <w:t xml:space="preserve">The Panel’s view is that </w:t>
            </w:r>
            <w:r w:rsidR="00A73D78">
              <w:rPr>
                <w:sz w:val="18"/>
                <w:szCs w:val="18"/>
              </w:rPr>
              <w:t xml:space="preserve">a request for information about </w:t>
            </w:r>
            <w:r w:rsidR="00651B4A">
              <w:rPr>
                <w:sz w:val="18"/>
                <w:szCs w:val="18"/>
              </w:rPr>
              <w:t>the decision to use a competitive process falls within the scope of Regulation 24(g) (“the reasons for decisions under these Regulations</w:t>
            </w:r>
            <w:r w:rsidR="00E41147">
              <w:rPr>
                <w:sz w:val="18"/>
                <w:szCs w:val="18"/>
              </w:rPr>
              <w:t>”</w:t>
            </w:r>
            <w:r w:rsidR="00651B4A">
              <w:rPr>
                <w:sz w:val="18"/>
                <w:szCs w:val="18"/>
              </w:rPr>
              <w:t>). However, it is not entirely clear that this was what was being requested by MPFT. Given this, the Panel’s view is that MSE ICB’s response to MPFT’s request was not unreasonable</w:t>
            </w:r>
            <w:r w:rsidR="00B81EA7">
              <w:rPr>
                <w:sz w:val="18"/>
                <w:szCs w:val="18"/>
              </w:rPr>
              <w:t xml:space="preserve"> (although MSE ICB could have made more effort to clarify the nature of MPFT’s information request).</w:t>
            </w:r>
          </w:p>
        </w:tc>
      </w:tr>
      <w:tr w:rsidR="008C052E" w:rsidRPr="00656CAB" w14:paraId="2185D9CA" w14:textId="241CD84A" w:rsidTr="00064ADF">
        <w:tc>
          <w:tcPr>
            <w:tcW w:w="318" w:type="pct"/>
          </w:tcPr>
          <w:p w14:paraId="4FE91FB5" w14:textId="78F5E51B" w:rsidR="00A569EA" w:rsidRDefault="00A569EA" w:rsidP="00A569EA">
            <w:pPr>
              <w:spacing w:before="60" w:after="60"/>
              <w:jc w:val="center"/>
              <w:rPr>
                <w:sz w:val="18"/>
                <w:szCs w:val="18"/>
              </w:rPr>
            </w:pPr>
            <w:r>
              <w:rPr>
                <w:sz w:val="18"/>
                <w:szCs w:val="18"/>
              </w:rPr>
              <w:t>2</w:t>
            </w:r>
          </w:p>
        </w:tc>
        <w:tc>
          <w:tcPr>
            <w:tcW w:w="1146" w:type="pct"/>
          </w:tcPr>
          <w:p w14:paraId="3679DFE6" w14:textId="4EB649FD" w:rsidR="0049190A" w:rsidRPr="00656CAB" w:rsidRDefault="005C62A5" w:rsidP="00AB6A75">
            <w:pPr>
              <w:spacing w:before="60" w:after="60"/>
              <w:rPr>
                <w:sz w:val="18"/>
                <w:szCs w:val="18"/>
              </w:rPr>
            </w:pPr>
            <w:r>
              <w:rPr>
                <w:sz w:val="18"/>
                <w:szCs w:val="18"/>
              </w:rPr>
              <w:t>“</w:t>
            </w:r>
            <w:r w:rsidR="00B14B91" w:rsidRPr="00656CAB">
              <w:rPr>
                <w:sz w:val="18"/>
                <w:szCs w:val="18"/>
              </w:rPr>
              <w:t>pre tender documentation around the service modelling and financial modelling including all internal notes/communications</w:t>
            </w:r>
            <w:r>
              <w:rPr>
                <w:sz w:val="18"/>
                <w:szCs w:val="18"/>
              </w:rPr>
              <w:t>”</w:t>
            </w:r>
          </w:p>
        </w:tc>
        <w:tc>
          <w:tcPr>
            <w:tcW w:w="1755" w:type="pct"/>
          </w:tcPr>
          <w:p w14:paraId="7C8F5391" w14:textId="4A580453" w:rsidR="0049190A" w:rsidRPr="00656CAB" w:rsidRDefault="00A569EA" w:rsidP="00AB6A75">
            <w:pPr>
              <w:spacing w:before="60" w:after="60"/>
              <w:rPr>
                <w:sz w:val="18"/>
                <w:szCs w:val="18"/>
              </w:rPr>
            </w:pPr>
            <w:r w:rsidRPr="00656CAB">
              <w:rPr>
                <w:rFonts w:cs="Arial"/>
                <w:sz w:val="18"/>
                <w:szCs w:val="18"/>
              </w:rPr>
              <w:t>“</w:t>
            </w:r>
            <w:r>
              <w:rPr>
                <w:rFonts w:cs="Arial"/>
                <w:sz w:val="18"/>
                <w:szCs w:val="18"/>
              </w:rPr>
              <w:t xml:space="preserve">[This element] </w:t>
            </w:r>
            <w:r w:rsidR="0049190A" w:rsidRPr="00656CAB">
              <w:rPr>
                <w:rFonts w:cs="Arial"/>
                <w:sz w:val="18"/>
                <w:szCs w:val="18"/>
              </w:rPr>
              <w:t>was conducted, reviewed and si</w:t>
            </w:r>
            <w:r w:rsidR="006C19AA">
              <w:rPr>
                <w:rFonts w:cs="Arial"/>
                <w:sz w:val="18"/>
                <w:szCs w:val="18"/>
              </w:rPr>
              <w:t>g</w:t>
            </w:r>
            <w:r w:rsidR="0049190A" w:rsidRPr="00656CAB">
              <w:rPr>
                <w:rFonts w:cs="Arial"/>
                <w:sz w:val="18"/>
                <w:szCs w:val="18"/>
              </w:rPr>
              <w:t xml:space="preserve">ned off by </w:t>
            </w:r>
            <w:r w:rsidR="00A56DFB" w:rsidRPr="00A56DFB">
              <w:rPr>
                <w:rFonts w:cs="Arial"/>
                <w:sz w:val="18"/>
                <w:szCs w:val="18"/>
              </w:rPr>
              <w:t>MSE ICB</w:t>
            </w:r>
            <w:r w:rsidR="00A56DFB">
              <w:rPr>
                <w:rFonts w:cs="Arial"/>
                <w:sz w:val="18"/>
                <w:szCs w:val="18"/>
              </w:rPr>
              <w:t xml:space="preserve">’s </w:t>
            </w:r>
            <w:r w:rsidR="0049190A" w:rsidRPr="00656CAB">
              <w:rPr>
                <w:rFonts w:cs="Arial"/>
                <w:sz w:val="18"/>
                <w:szCs w:val="18"/>
              </w:rPr>
              <w:t>internal governance processes before the formal launch of the Competitive Process under PSR 2023. All pertinent information was captured in the Service Specification, that was issued in the first instance as part of this Competitive Process on the 03rd March 2025 via the e-procurement portal…”</w:t>
            </w:r>
          </w:p>
        </w:tc>
        <w:tc>
          <w:tcPr>
            <w:tcW w:w="1780" w:type="pct"/>
          </w:tcPr>
          <w:p w14:paraId="2B6A0D33" w14:textId="27F5C23A" w:rsidR="00A82674" w:rsidRPr="00A82674" w:rsidRDefault="0029332B" w:rsidP="004F6081">
            <w:pPr>
              <w:spacing w:before="60" w:after="60"/>
              <w:rPr>
                <w:rFonts w:cs="Arial"/>
                <w:sz w:val="18"/>
                <w:szCs w:val="18"/>
              </w:rPr>
            </w:pPr>
            <w:r w:rsidRPr="00A82674">
              <w:rPr>
                <w:rFonts w:cs="Arial"/>
                <w:sz w:val="18"/>
                <w:szCs w:val="18"/>
              </w:rPr>
              <w:t xml:space="preserve">The Panel’s view is that </w:t>
            </w:r>
            <w:r w:rsidRPr="00A82674">
              <w:rPr>
                <w:sz w:val="18"/>
                <w:szCs w:val="18"/>
              </w:rPr>
              <w:t>th</w:t>
            </w:r>
            <w:r>
              <w:rPr>
                <w:sz w:val="18"/>
                <w:szCs w:val="18"/>
              </w:rPr>
              <w:t>e requested</w:t>
            </w:r>
            <w:r w:rsidRPr="00A82674">
              <w:rPr>
                <w:rFonts w:cs="Arial"/>
                <w:sz w:val="18"/>
                <w:szCs w:val="18"/>
              </w:rPr>
              <w:t xml:space="preserve"> information </w:t>
            </w:r>
            <w:r>
              <w:rPr>
                <w:sz w:val="18"/>
                <w:szCs w:val="18"/>
              </w:rPr>
              <w:t>falls</w:t>
            </w:r>
            <w:r w:rsidRPr="00A82674">
              <w:rPr>
                <w:sz w:val="18"/>
                <w:szCs w:val="18"/>
              </w:rPr>
              <w:t xml:space="preserve"> out</w:t>
            </w:r>
            <w:r>
              <w:rPr>
                <w:sz w:val="18"/>
                <w:szCs w:val="18"/>
              </w:rPr>
              <w:t>side the</w:t>
            </w:r>
            <w:r w:rsidRPr="00A82674">
              <w:rPr>
                <w:rFonts w:cs="Arial"/>
                <w:sz w:val="18"/>
                <w:szCs w:val="18"/>
              </w:rPr>
              <w:t xml:space="preserve"> scope of Regulation</w:t>
            </w:r>
            <w:r>
              <w:rPr>
                <w:sz w:val="18"/>
                <w:szCs w:val="18"/>
              </w:rPr>
              <w:t> </w:t>
            </w:r>
            <w:r w:rsidRPr="00A82674">
              <w:rPr>
                <w:rFonts w:cs="Arial"/>
                <w:sz w:val="18"/>
                <w:szCs w:val="18"/>
              </w:rPr>
              <w:t>24</w:t>
            </w:r>
          </w:p>
        </w:tc>
      </w:tr>
      <w:tr w:rsidR="008C052E" w:rsidRPr="00656CAB" w14:paraId="58CA00FC" w14:textId="0B28DE70" w:rsidTr="00064ADF">
        <w:tc>
          <w:tcPr>
            <w:tcW w:w="318" w:type="pct"/>
          </w:tcPr>
          <w:p w14:paraId="22C147B2" w14:textId="0C633825" w:rsidR="00A569EA" w:rsidRDefault="00A569EA" w:rsidP="00A569EA">
            <w:pPr>
              <w:spacing w:before="60" w:after="60"/>
              <w:jc w:val="center"/>
              <w:rPr>
                <w:sz w:val="18"/>
                <w:szCs w:val="18"/>
              </w:rPr>
            </w:pPr>
            <w:r>
              <w:rPr>
                <w:sz w:val="18"/>
                <w:szCs w:val="18"/>
              </w:rPr>
              <w:t>3</w:t>
            </w:r>
          </w:p>
        </w:tc>
        <w:tc>
          <w:tcPr>
            <w:tcW w:w="1146" w:type="pct"/>
          </w:tcPr>
          <w:p w14:paraId="2700D474" w14:textId="7A710155" w:rsidR="0049190A" w:rsidRPr="00656CAB" w:rsidRDefault="005C62A5" w:rsidP="00AB6A75">
            <w:pPr>
              <w:spacing w:before="60" w:after="60"/>
              <w:rPr>
                <w:sz w:val="18"/>
                <w:szCs w:val="18"/>
              </w:rPr>
            </w:pPr>
            <w:r>
              <w:rPr>
                <w:sz w:val="18"/>
                <w:szCs w:val="18"/>
              </w:rPr>
              <w:t>“</w:t>
            </w:r>
            <w:r w:rsidR="007D2F9F" w:rsidRPr="00656CAB">
              <w:rPr>
                <w:sz w:val="18"/>
                <w:szCs w:val="18"/>
              </w:rPr>
              <w:t>EQIA(s)</w:t>
            </w:r>
            <w:r>
              <w:rPr>
                <w:sz w:val="18"/>
                <w:szCs w:val="18"/>
              </w:rPr>
              <w:t>”</w:t>
            </w:r>
          </w:p>
        </w:tc>
        <w:tc>
          <w:tcPr>
            <w:tcW w:w="1755" w:type="pct"/>
          </w:tcPr>
          <w:p w14:paraId="65E33736" w14:textId="4F5EC59C" w:rsidR="0049190A" w:rsidRPr="00656CAB" w:rsidRDefault="0049190A" w:rsidP="00AB6A75">
            <w:pPr>
              <w:spacing w:before="60" w:after="60"/>
              <w:rPr>
                <w:sz w:val="18"/>
                <w:szCs w:val="18"/>
              </w:rPr>
            </w:pPr>
            <w:r w:rsidRPr="00656CAB">
              <w:rPr>
                <w:rFonts w:cs="Arial"/>
                <w:sz w:val="18"/>
                <w:szCs w:val="18"/>
              </w:rPr>
              <w:t>“</w:t>
            </w:r>
            <w:r w:rsidR="00A56DFB" w:rsidRPr="00A56DFB">
              <w:rPr>
                <w:rFonts w:cs="Arial"/>
                <w:sz w:val="18"/>
                <w:szCs w:val="18"/>
              </w:rPr>
              <w:t>MSE ICB</w:t>
            </w:r>
            <w:r w:rsidR="00A56DFB">
              <w:rPr>
                <w:rFonts w:cs="Arial"/>
                <w:sz w:val="18"/>
                <w:szCs w:val="18"/>
              </w:rPr>
              <w:t xml:space="preserve">’s </w:t>
            </w:r>
            <w:r w:rsidRPr="00656CAB">
              <w:rPr>
                <w:rFonts w:cs="Arial"/>
                <w:sz w:val="18"/>
                <w:szCs w:val="18"/>
              </w:rPr>
              <w:t>EQIAs were conducted and signed off before the formal launch of the Competitive Process under PSR 2023. All pertinent information was captured in the Service Specification, that was issued in the first instance as part of this Competitive Process on the 03rd March 2025 via the e-procurement portal.”</w:t>
            </w:r>
          </w:p>
        </w:tc>
        <w:tc>
          <w:tcPr>
            <w:tcW w:w="1780" w:type="pct"/>
          </w:tcPr>
          <w:p w14:paraId="02AD570A" w14:textId="11813B45" w:rsidR="009804C1" w:rsidRPr="009804C1" w:rsidRDefault="00CB2DD4" w:rsidP="004F6081">
            <w:pPr>
              <w:spacing w:before="60" w:after="60"/>
              <w:rPr>
                <w:rFonts w:cs="Arial"/>
                <w:sz w:val="18"/>
                <w:szCs w:val="18"/>
              </w:rPr>
            </w:pPr>
            <w:r>
              <w:rPr>
                <w:rFonts w:cs="Arial"/>
                <w:sz w:val="18"/>
                <w:szCs w:val="18"/>
              </w:rPr>
              <w:t>See discussion of this issue at Section 7.1 of this report.</w:t>
            </w:r>
          </w:p>
        </w:tc>
      </w:tr>
      <w:tr w:rsidR="008C052E" w:rsidRPr="00656CAB" w14:paraId="3AF71972" w14:textId="77AFFD21" w:rsidTr="00064ADF">
        <w:tc>
          <w:tcPr>
            <w:tcW w:w="318" w:type="pct"/>
          </w:tcPr>
          <w:p w14:paraId="79B3CD40" w14:textId="556D9651" w:rsidR="00A569EA" w:rsidRDefault="00A569EA" w:rsidP="00A569EA">
            <w:pPr>
              <w:spacing w:before="60" w:after="60"/>
              <w:jc w:val="center"/>
              <w:rPr>
                <w:sz w:val="18"/>
                <w:szCs w:val="18"/>
              </w:rPr>
            </w:pPr>
            <w:r>
              <w:rPr>
                <w:sz w:val="18"/>
                <w:szCs w:val="18"/>
              </w:rPr>
              <w:t>4</w:t>
            </w:r>
          </w:p>
        </w:tc>
        <w:tc>
          <w:tcPr>
            <w:tcW w:w="1146" w:type="pct"/>
          </w:tcPr>
          <w:p w14:paraId="5894B2BD" w14:textId="043A01A9" w:rsidR="0049190A" w:rsidRPr="00656CAB" w:rsidRDefault="00EA778B" w:rsidP="00AB6A75">
            <w:pPr>
              <w:spacing w:before="60" w:after="60"/>
              <w:rPr>
                <w:sz w:val="18"/>
                <w:szCs w:val="18"/>
              </w:rPr>
            </w:pPr>
            <w:r>
              <w:rPr>
                <w:sz w:val="18"/>
                <w:szCs w:val="18"/>
              </w:rPr>
              <w:t>“</w:t>
            </w:r>
            <w:r w:rsidR="007D2F9F" w:rsidRPr="00656CAB">
              <w:rPr>
                <w:sz w:val="18"/>
                <w:szCs w:val="18"/>
              </w:rPr>
              <w:t>The proposed targets/activity for the service including both ICB and NHSE</w:t>
            </w:r>
            <w:r>
              <w:rPr>
                <w:sz w:val="18"/>
                <w:szCs w:val="18"/>
              </w:rPr>
              <w:t>”</w:t>
            </w:r>
          </w:p>
        </w:tc>
        <w:tc>
          <w:tcPr>
            <w:tcW w:w="1755" w:type="pct"/>
          </w:tcPr>
          <w:p w14:paraId="5B99EBC7" w14:textId="4F372A92" w:rsidR="0049190A" w:rsidRPr="00656CAB" w:rsidRDefault="0049190A" w:rsidP="00AB6A75">
            <w:pPr>
              <w:spacing w:before="60" w:after="60"/>
              <w:rPr>
                <w:sz w:val="18"/>
                <w:szCs w:val="18"/>
              </w:rPr>
            </w:pPr>
            <w:r w:rsidRPr="00656CAB">
              <w:rPr>
                <w:rFonts w:cs="Arial"/>
                <w:sz w:val="18"/>
                <w:szCs w:val="18"/>
              </w:rPr>
              <w:t>“</w:t>
            </w:r>
            <w:r w:rsidR="00A56DFB">
              <w:rPr>
                <w:rFonts w:cs="Arial"/>
                <w:sz w:val="21"/>
                <w:szCs w:val="21"/>
              </w:rPr>
              <w:t>MSE ICB</w:t>
            </w:r>
            <w:r w:rsidR="00A56DFB" w:rsidRPr="00656CAB">
              <w:rPr>
                <w:rFonts w:cs="Arial"/>
                <w:sz w:val="18"/>
                <w:szCs w:val="18"/>
              </w:rPr>
              <w:t xml:space="preserve"> </w:t>
            </w:r>
            <w:r w:rsidRPr="00656CAB">
              <w:rPr>
                <w:rFonts w:cs="Arial"/>
                <w:sz w:val="18"/>
                <w:szCs w:val="18"/>
              </w:rPr>
              <w:t xml:space="preserve">shared the information that it had available with Bidders during the tendering process in respect to addressing CQ 36 … Since then, </w:t>
            </w:r>
            <w:r w:rsidR="003A4990" w:rsidRPr="003A4990">
              <w:rPr>
                <w:rFonts w:cs="Arial"/>
                <w:sz w:val="18"/>
                <w:szCs w:val="18"/>
              </w:rPr>
              <w:t xml:space="preserve">MSE ICB </w:t>
            </w:r>
            <w:r w:rsidRPr="00656CAB">
              <w:rPr>
                <w:rFonts w:cs="Arial"/>
                <w:sz w:val="18"/>
                <w:szCs w:val="18"/>
              </w:rPr>
              <w:t xml:space="preserve">can confirm that the targets are 14418. These </w:t>
            </w:r>
            <w:r w:rsidRPr="00656CAB">
              <w:rPr>
                <w:rFonts w:cs="Arial"/>
                <w:sz w:val="18"/>
                <w:szCs w:val="18"/>
              </w:rPr>
              <w:lastRenderedPageBreak/>
              <w:t>were confirmed on the 27th of the March and were not available to the Commissioners or Bidders during the tendering process as the ICB was still developing its operational plan as submitted to NHS E on the 27th of March 2025.”</w:t>
            </w:r>
          </w:p>
        </w:tc>
        <w:tc>
          <w:tcPr>
            <w:tcW w:w="1780" w:type="pct"/>
          </w:tcPr>
          <w:p w14:paraId="4F8FAC40" w14:textId="7A6F9AD8" w:rsidR="002B083E" w:rsidRDefault="007D65CF" w:rsidP="004F6081">
            <w:pPr>
              <w:spacing w:before="60" w:after="60"/>
              <w:rPr>
                <w:rFonts w:cs="Arial"/>
                <w:sz w:val="18"/>
                <w:szCs w:val="18"/>
              </w:rPr>
            </w:pPr>
            <w:r>
              <w:rPr>
                <w:rFonts w:cs="Arial"/>
                <w:sz w:val="18"/>
                <w:szCs w:val="18"/>
              </w:rPr>
              <w:lastRenderedPageBreak/>
              <w:t xml:space="preserve">The Panel’s view is that </w:t>
            </w:r>
            <w:r w:rsidR="002B083E">
              <w:rPr>
                <w:rFonts w:cs="Arial"/>
                <w:sz w:val="18"/>
                <w:szCs w:val="18"/>
              </w:rPr>
              <w:t>MPFT</w:t>
            </w:r>
            <w:r w:rsidR="00DE700C">
              <w:rPr>
                <w:rFonts w:cs="Arial"/>
                <w:sz w:val="18"/>
                <w:szCs w:val="18"/>
              </w:rPr>
              <w:t xml:space="preserve">’s information request </w:t>
            </w:r>
            <w:r>
              <w:rPr>
                <w:rFonts w:cs="Arial"/>
                <w:sz w:val="18"/>
                <w:szCs w:val="18"/>
              </w:rPr>
              <w:t xml:space="preserve">was </w:t>
            </w:r>
            <w:r w:rsidR="00DE700C">
              <w:rPr>
                <w:rFonts w:cs="Arial"/>
                <w:sz w:val="18"/>
                <w:szCs w:val="18"/>
              </w:rPr>
              <w:t>met</w:t>
            </w:r>
            <w:r w:rsidR="002B083E">
              <w:rPr>
                <w:rFonts w:cs="Arial"/>
                <w:sz w:val="18"/>
                <w:szCs w:val="18"/>
              </w:rPr>
              <w:t xml:space="preserve"> by MSE ICB.</w:t>
            </w:r>
          </w:p>
        </w:tc>
      </w:tr>
      <w:tr w:rsidR="008C052E" w:rsidRPr="00656CAB" w14:paraId="38A8D9FE" w14:textId="1198F197" w:rsidTr="00064ADF">
        <w:tc>
          <w:tcPr>
            <w:tcW w:w="318" w:type="pct"/>
          </w:tcPr>
          <w:p w14:paraId="63F094CB" w14:textId="682C8813" w:rsidR="00A569EA" w:rsidRDefault="00A569EA" w:rsidP="00A569EA">
            <w:pPr>
              <w:spacing w:before="60" w:after="60"/>
              <w:jc w:val="center"/>
              <w:rPr>
                <w:sz w:val="18"/>
                <w:szCs w:val="18"/>
              </w:rPr>
            </w:pPr>
            <w:r>
              <w:rPr>
                <w:sz w:val="18"/>
                <w:szCs w:val="18"/>
              </w:rPr>
              <w:t>5</w:t>
            </w:r>
          </w:p>
        </w:tc>
        <w:tc>
          <w:tcPr>
            <w:tcW w:w="1146" w:type="pct"/>
          </w:tcPr>
          <w:p w14:paraId="3497F053" w14:textId="60DAF987" w:rsidR="0049190A" w:rsidRPr="00656CAB" w:rsidRDefault="00EA778B" w:rsidP="00AB6A75">
            <w:pPr>
              <w:spacing w:before="60" w:after="60"/>
              <w:rPr>
                <w:sz w:val="18"/>
                <w:szCs w:val="18"/>
              </w:rPr>
            </w:pPr>
            <w:r>
              <w:rPr>
                <w:sz w:val="18"/>
                <w:szCs w:val="18"/>
              </w:rPr>
              <w:t>“</w:t>
            </w:r>
            <w:r w:rsidR="00656CAB" w:rsidRPr="00656CAB">
              <w:rPr>
                <w:sz w:val="18"/>
                <w:szCs w:val="18"/>
              </w:rPr>
              <w:t>internal notes/communications relating to the changes made to the financial approach</w:t>
            </w:r>
            <w:r>
              <w:rPr>
                <w:sz w:val="18"/>
                <w:szCs w:val="18"/>
              </w:rPr>
              <w:t>”</w:t>
            </w:r>
          </w:p>
        </w:tc>
        <w:tc>
          <w:tcPr>
            <w:tcW w:w="1755" w:type="pct"/>
          </w:tcPr>
          <w:p w14:paraId="43EB65B0" w14:textId="1C6742C8" w:rsidR="0049190A" w:rsidRPr="00656CAB" w:rsidRDefault="0049190A" w:rsidP="00AB6A75">
            <w:pPr>
              <w:spacing w:before="60" w:after="60"/>
              <w:rPr>
                <w:sz w:val="18"/>
                <w:szCs w:val="18"/>
              </w:rPr>
            </w:pPr>
            <w:r w:rsidRPr="00656CAB">
              <w:rPr>
                <w:rFonts w:cs="Arial"/>
                <w:sz w:val="18"/>
                <w:szCs w:val="18"/>
              </w:rPr>
              <w:t>“The pertinent information was provided within the procurement documentation that was issued in the first instance as part of this Competitive Process on the 03rd March 2025 via the e-procurement portal.”</w:t>
            </w:r>
          </w:p>
        </w:tc>
        <w:tc>
          <w:tcPr>
            <w:tcW w:w="1780" w:type="pct"/>
          </w:tcPr>
          <w:p w14:paraId="79A4AD5C" w14:textId="7D2735D5" w:rsidR="008A6614" w:rsidRDefault="00B70343" w:rsidP="004F6081">
            <w:pPr>
              <w:spacing w:before="60" w:after="60"/>
              <w:rPr>
                <w:rFonts w:cs="Arial"/>
                <w:sz w:val="18"/>
                <w:szCs w:val="18"/>
              </w:rPr>
            </w:pPr>
            <w:r>
              <w:rPr>
                <w:rFonts w:cs="Arial"/>
                <w:sz w:val="18"/>
                <w:szCs w:val="18"/>
              </w:rPr>
              <w:t>T</w:t>
            </w:r>
            <w:r w:rsidR="008A6614">
              <w:rPr>
                <w:rFonts w:cs="Arial"/>
                <w:sz w:val="18"/>
                <w:szCs w:val="18"/>
              </w:rPr>
              <w:t>his request</w:t>
            </w:r>
            <w:r w:rsidR="003429ED">
              <w:rPr>
                <w:rFonts w:cs="Arial"/>
                <w:sz w:val="18"/>
                <w:szCs w:val="18"/>
              </w:rPr>
              <w:t xml:space="preserve"> relates to MSE ICB’s </w:t>
            </w:r>
            <w:r w:rsidR="00E8564A">
              <w:rPr>
                <w:rFonts w:cs="Arial"/>
                <w:sz w:val="18"/>
                <w:szCs w:val="18"/>
              </w:rPr>
              <w:t xml:space="preserve">adoption of a </w:t>
            </w:r>
            <w:r>
              <w:rPr>
                <w:rFonts w:cs="Arial"/>
                <w:sz w:val="18"/>
                <w:szCs w:val="18"/>
              </w:rPr>
              <w:t xml:space="preserve">new </w:t>
            </w:r>
            <w:r w:rsidR="003429ED">
              <w:rPr>
                <w:rFonts w:cs="Arial"/>
                <w:sz w:val="18"/>
                <w:szCs w:val="18"/>
              </w:rPr>
              <w:t>approach</w:t>
            </w:r>
            <w:r>
              <w:rPr>
                <w:rFonts w:cs="Arial"/>
                <w:sz w:val="18"/>
                <w:szCs w:val="18"/>
              </w:rPr>
              <w:t xml:space="preserve"> </w:t>
            </w:r>
            <w:r w:rsidR="00E8564A">
              <w:rPr>
                <w:rFonts w:cs="Arial"/>
                <w:sz w:val="18"/>
                <w:szCs w:val="18"/>
              </w:rPr>
              <w:t xml:space="preserve">to bidders’ presentation of transformation costs </w:t>
            </w:r>
            <w:r w:rsidR="003429ED">
              <w:rPr>
                <w:rFonts w:cs="Arial"/>
                <w:sz w:val="18"/>
                <w:szCs w:val="18"/>
              </w:rPr>
              <w:t>during the procurement process</w:t>
            </w:r>
            <w:r w:rsidR="00A82674">
              <w:rPr>
                <w:rFonts w:cs="Arial"/>
                <w:sz w:val="18"/>
                <w:szCs w:val="18"/>
              </w:rPr>
              <w:t xml:space="preserve"> (see </w:t>
            </w:r>
            <w:r w:rsidR="009C2D3E">
              <w:rPr>
                <w:rFonts w:cs="Arial"/>
                <w:sz w:val="18"/>
                <w:szCs w:val="18"/>
              </w:rPr>
              <w:t>S</w:t>
            </w:r>
            <w:r w:rsidR="00A82674">
              <w:rPr>
                <w:rFonts w:cs="Arial"/>
                <w:sz w:val="18"/>
                <w:szCs w:val="18"/>
              </w:rPr>
              <w:t>ection 7.</w:t>
            </w:r>
            <w:r w:rsidR="00E8564A">
              <w:rPr>
                <w:rFonts w:cs="Arial"/>
                <w:sz w:val="18"/>
                <w:szCs w:val="18"/>
              </w:rPr>
              <w:t>2</w:t>
            </w:r>
            <w:r w:rsidR="00A82674">
              <w:rPr>
                <w:rFonts w:cs="Arial"/>
                <w:sz w:val="18"/>
                <w:szCs w:val="18"/>
              </w:rPr>
              <w:t xml:space="preserve">). </w:t>
            </w:r>
            <w:r w:rsidR="00EA0736">
              <w:rPr>
                <w:rFonts w:cs="Arial"/>
                <w:sz w:val="18"/>
                <w:szCs w:val="18"/>
              </w:rPr>
              <w:t xml:space="preserve">Regulation 24(g) </w:t>
            </w:r>
            <w:r w:rsidR="00D96CE0">
              <w:rPr>
                <w:rFonts w:cs="Arial"/>
                <w:sz w:val="18"/>
                <w:szCs w:val="18"/>
              </w:rPr>
              <w:t xml:space="preserve">obliges relevant authorities to keep a record of the reasons for decisions made under the PSR regulations. </w:t>
            </w:r>
            <w:r w:rsidR="009C2D3E">
              <w:rPr>
                <w:rFonts w:cs="Arial"/>
                <w:sz w:val="18"/>
                <w:szCs w:val="18"/>
              </w:rPr>
              <w:t>T</w:t>
            </w:r>
            <w:r w:rsidR="00A82674">
              <w:rPr>
                <w:rFonts w:cs="Arial"/>
                <w:sz w:val="18"/>
                <w:szCs w:val="18"/>
              </w:rPr>
              <w:t xml:space="preserve">he Panel’s view is that </w:t>
            </w:r>
            <w:r w:rsidR="00D96CE0">
              <w:rPr>
                <w:rFonts w:cs="Arial"/>
                <w:sz w:val="18"/>
                <w:szCs w:val="18"/>
              </w:rPr>
              <w:t xml:space="preserve">adoption of a new approach to </w:t>
            </w:r>
            <w:r w:rsidR="003F1492">
              <w:rPr>
                <w:rFonts w:cs="Arial"/>
                <w:sz w:val="18"/>
                <w:szCs w:val="18"/>
              </w:rPr>
              <w:t>bidders’ presentation of their transformation costs amounts to a decision under the PSR regulations and as a result MSE ICB was obliged to keep a record of the reasons for this decision and to supply this record to MPFT.</w:t>
            </w:r>
          </w:p>
        </w:tc>
      </w:tr>
      <w:tr w:rsidR="008C052E" w:rsidRPr="00656CAB" w14:paraId="5C241C11" w14:textId="634CC38A" w:rsidTr="00064ADF">
        <w:tc>
          <w:tcPr>
            <w:tcW w:w="318" w:type="pct"/>
          </w:tcPr>
          <w:p w14:paraId="71A32A47" w14:textId="0F6D3B43" w:rsidR="00A569EA" w:rsidRDefault="00A569EA" w:rsidP="00A569EA">
            <w:pPr>
              <w:spacing w:before="60" w:after="60"/>
              <w:jc w:val="center"/>
              <w:rPr>
                <w:sz w:val="18"/>
                <w:szCs w:val="18"/>
              </w:rPr>
            </w:pPr>
            <w:r>
              <w:rPr>
                <w:sz w:val="18"/>
                <w:szCs w:val="18"/>
              </w:rPr>
              <w:t>6</w:t>
            </w:r>
          </w:p>
        </w:tc>
        <w:tc>
          <w:tcPr>
            <w:tcW w:w="1146" w:type="pct"/>
          </w:tcPr>
          <w:p w14:paraId="40BFC2EF" w14:textId="4BA39D96" w:rsidR="0049190A" w:rsidRPr="00656CAB" w:rsidRDefault="00EA778B" w:rsidP="00AB6A75">
            <w:pPr>
              <w:spacing w:before="60" w:after="60"/>
              <w:rPr>
                <w:sz w:val="18"/>
                <w:szCs w:val="18"/>
              </w:rPr>
            </w:pPr>
            <w:r>
              <w:rPr>
                <w:sz w:val="18"/>
                <w:szCs w:val="18"/>
              </w:rPr>
              <w:t>“</w:t>
            </w:r>
            <w:r w:rsidR="00656CAB" w:rsidRPr="00656CAB">
              <w:rPr>
                <w:sz w:val="18"/>
                <w:szCs w:val="18"/>
              </w:rPr>
              <w:t>detail around how the tenders were evaluated and how they met the key criteria”</w:t>
            </w:r>
          </w:p>
        </w:tc>
        <w:tc>
          <w:tcPr>
            <w:tcW w:w="1755" w:type="pct"/>
          </w:tcPr>
          <w:p w14:paraId="17A6269D" w14:textId="003F6DE3" w:rsidR="0049190A" w:rsidRPr="00656CAB" w:rsidRDefault="0049190A" w:rsidP="00AB6A75">
            <w:pPr>
              <w:spacing w:before="60" w:after="60"/>
              <w:rPr>
                <w:sz w:val="18"/>
                <w:szCs w:val="18"/>
              </w:rPr>
            </w:pPr>
            <w:r w:rsidRPr="00656CAB">
              <w:rPr>
                <w:rFonts w:cs="Arial"/>
                <w:sz w:val="18"/>
                <w:szCs w:val="18"/>
              </w:rPr>
              <w:t>“</w:t>
            </w:r>
            <w:r w:rsidR="003A4990" w:rsidRPr="003A4990">
              <w:rPr>
                <w:rFonts w:cs="Arial"/>
                <w:sz w:val="18"/>
                <w:szCs w:val="18"/>
              </w:rPr>
              <w:t xml:space="preserve">MSE ICB </w:t>
            </w:r>
            <w:r w:rsidRPr="00656CAB">
              <w:rPr>
                <w:rFonts w:cs="Arial"/>
                <w:sz w:val="18"/>
                <w:szCs w:val="18"/>
              </w:rPr>
              <w:t>has provided written detail around how the tenders were evaluated within this Representation Report to MPFT</w:t>
            </w:r>
            <w:r w:rsidR="009834C4">
              <w:rPr>
                <w:rFonts w:cs="Arial"/>
                <w:sz w:val="18"/>
                <w:szCs w:val="18"/>
              </w:rPr>
              <w:t xml:space="preserve"> </w:t>
            </w:r>
            <w:r w:rsidRPr="00656CAB">
              <w:rPr>
                <w:rFonts w:cs="Arial"/>
                <w:sz w:val="18"/>
                <w:szCs w:val="18"/>
              </w:rPr>
              <w:t>…”</w:t>
            </w:r>
          </w:p>
        </w:tc>
        <w:tc>
          <w:tcPr>
            <w:tcW w:w="1780" w:type="pct"/>
          </w:tcPr>
          <w:p w14:paraId="4E2B6B24" w14:textId="64E254A9" w:rsidR="005D6FEC" w:rsidRDefault="005D6FEC" w:rsidP="004F6081">
            <w:pPr>
              <w:spacing w:before="60" w:after="60"/>
              <w:rPr>
                <w:rFonts w:cs="Arial"/>
                <w:sz w:val="18"/>
                <w:szCs w:val="18"/>
              </w:rPr>
            </w:pPr>
            <w:r>
              <w:rPr>
                <w:rFonts w:cs="Arial"/>
                <w:sz w:val="18"/>
                <w:szCs w:val="18"/>
              </w:rPr>
              <w:t>The Panel notes MSE ICB’s concern in</w:t>
            </w:r>
            <w:r w:rsidR="00FA517B">
              <w:rPr>
                <w:rFonts w:cs="Arial"/>
                <w:sz w:val="18"/>
                <w:szCs w:val="18"/>
              </w:rPr>
              <w:t xml:space="preserve"> its response to MPFT</w:t>
            </w:r>
            <w:r>
              <w:rPr>
                <w:rFonts w:cs="Arial"/>
                <w:sz w:val="18"/>
                <w:szCs w:val="18"/>
              </w:rPr>
              <w:t xml:space="preserve"> that </w:t>
            </w:r>
            <w:r w:rsidR="00FA517B">
              <w:rPr>
                <w:rFonts w:cs="Arial"/>
                <w:sz w:val="18"/>
                <w:szCs w:val="18"/>
              </w:rPr>
              <w:t>“</w:t>
            </w:r>
            <w:r w:rsidR="00FA517B" w:rsidRPr="00FA517B">
              <w:rPr>
                <w:rFonts w:cs="Arial"/>
                <w:sz w:val="18"/>
                <w:szCs w:val="18"/>
              </w:rPr>
              <w:t>documentation pertaining to the procurement process, such as evaluation/moderation minutes, would be highly unusual to provide to an Organisation that did not submit a tender response</w:t>
            </w:r>
            <w:r w:rsidR="00FA517B">
              <w:rPr>
                <w:rFonts w:cs="Arial"/>
                <w:sz w:val="18"/>
                <w:szCs w:val="18"/>
              </w:rPr>
              <w:t>”</w:t>
            </w:r>
            <w:r w:rsidR="00586110">
              <w:rPr>
                <w:rFonts w:cs="Arial"/>
                <w:sz w:val="18"/>
                <w:szCs w:val="18"/>
              </w:rPr>
              <w:t>. However</w:t>
            </w:r>
            <w:r w:rsidR="00FA517B">
              <w:rPr>
                <w:rFonts w:cs="Arial"/>
                <w:sz w:val="18"/>
                <w:szCs w:val="18"/>
              </w:rPr>
              <w:t xml:space="preserve">, </w:t>
            </w:r>
            <w:r w:rsidR="000F2743">
              <w:rPr>
                <w:rFonts w:cs="Arial"/>
                <w:sz w:val="18"/>
                <w:szCs w:val="18"/>
              </w:rPr>
              <w:t xml:space="preserve">MPFT </w:t>
            </w:r>
            <w:r w:rsidR="00A00548">
              <w:rPr>
                <w:rFonts w:cs="Arial"/>
                <w:sz w:val="18"/>
                <w:szCs w:val="18"/>
              </w:rPr>
              <w:t>as a “provider of the services to which the contract or framework agreement relates” was entitled to make representations under Regulation 12</w:t>
            </w:r>
            <w:r w:rsidR="00104B54">
              <w:rPr>
                <w:rFonts w:cs="Arial"/>
                <w:sz w:val="18"/>
                <w:szCs w:val="18"/>
              </w:rPr>
              <w:t>, including requests for information. The only basis for refusing to supply the information requested by MPFT is that it falls outside the scope of Regulation 24</w:t>
            </w:r>
            <w:r w:rsidR="00A2255E">
              <w:rPr>
                <w:rFonts w:cs="Arial"/>
                <w:sz w:val="18"/>
                <w:szCs w:val="18"/>
              </w:rPr>
              <w:t>’s recordkeeping obligations or that it falls within one of the exemptions set out in Regulation 12(5)</w:t>
            </w:r>
            <w:r w:rsidR="004E12CA">
              <w:rPr>
                <w:rFonts w:cs="Arial"/>
                <w:sz w:val="18"/>
                <w:szCs w:val="18"/>
              </w:rPr>
              <w:t>.</w:t>
            </w:r>
            <w:r w:rsidR="00A2255E">
              <w:rPr>
                <w:rFonts w:cs="Arial"/>
                <w:sz w:val="18"/>
                <w:szCs w:val="18"/>
              </w:rPr>
              <w:t xml:space="preserve"> </w:t>
            </w:r>
            <w:r w:rsidR="006C274A">
              <w:rPr>
                <w:rFonts w:cs="Arial"/>
                <w:sz w:val="18"/>
                <w:szCs w:val="18"/>
              </w:rPr>
              <w:t>MSE ICB’s reason for refusing MPFT’s request does not fall into either of these categories</w:t>
            </w:r>
            <w:r w:rsidR="008C052E">
              <w:rPr>
                <w:rFonts w:cs="Arial"/>
                <w:sz w:val="18"/>
                <w:szCs w:val="18"/>
              </w:rPr>
              <w:t>, and as a result MPFT should have been supplied with the requested information</w:t>
            </w:r>
            <w:r w:rsidR="006C274A">
              <w:rPr>
                <w:rFonts w:cs="Arial"/>
                <w:sz w:val="18"/>
                <w:szCs w:val="18"/>
              </w:rPr>
              <w:t>.</w:t>
            </w:r>
          </w:p>
        </w:tc>
      </w:tr>
    </w:tbl>
    <w:p w14:paraId="34867658" w14:textId="77777777" w:rsidR="00171B0C" w:rsidRDefault="00171B0C" w:rsidP="00AB6A75">
      <w:pPr>
        <w:pStyle w:val="FootnoteText"/>
        <w:spacing w:before="60" w:after="360"/>
        <w:rPr>
          <w:sz w:val="16"/>
          <w:szCs w:val="16"/>
        </w:rPr>
      </w:pPr>
      <w:r w:rsidRPr="00171B0C">
        <w:rPr>
          <w:sz w:val="16"/>
          <w:szCs w:val="16"/>
        </w:rPr>
        <w:t>Source:</w:t>
      </w:r>
      <w:r>
        <w:rPr>
          <w:sz w:val="16"/>
          <w:szCs w:val="16"/>
        </w:rPr>
        <w:t xml:space="preserve"> </w:t>
      </w:r>
      <w:r w:rsidRPr="00171B0C">
        <w:rPr>
          <w:sz w:val="16"/>
          <w:szCs w:val="16"/>
        </w:rPr>
        <w:t xml:space="preserve">MSE ICB, </w:t>
      </w:r>
      <w:r w:rsidRPr="00171B0C">
        <w:rPr>
          <w:i/>
          <w:iCs/>
          <w:sz w:val="16"/>
          <w:szCs w:val="16"/>
        </w:rPr>
        <w:t>Representations Report to MPFT,</w:t>
      </w:r>
      <w:r w:rsidRPr="00171B0C">
        <w:rPr>
          <w:sz w:val="16"/>
          <w:szCs w:val="16"/>
        </w:rPr>
        <w:t xml:space="preserve"> 20 June 2025.</w:t>
      </w:r>
    </w:p>
    <w:p w14:paraId="0C92AA9E" w14:textId="1E39C291" w:rsidR="00D8126B" w:rsidRPr="00D8126B" w:rsidRDefault="000925F1" w:rsidP="000925F1">
      <w:pPr>
        <w:keepNext/>
        <w:spacing w:before="240" w:line="276" w:lineRule="auto"/>
        <w:rPr>
          <w:b/>
          <w:bCs/>
        </w:rPr>
      </w:pPr>
      <w:r>
        <w:rPr>
          <w:b/>
          <w:bCs/>
        </w:rPr>
        <w:t xml:space="preserve">7.5.2 </w:t>
      </w:r>
      <w:r w:rsidR="00D8126B">
        <w:rPr>
          <w:b/>
          <w:bCs/>
        </w:rPr>
        <w:t>EPUT’s concerns about the representations review process</w:t>
      </w:r>
    </w:p>
    <w:p w14:paraId="6F09AB1D" w14:textId="77777777" w:rsidR="0096183E" w:rsidRDefault="0096183E" w:rsidP="0096183E">
      <w:pPr>
        <w:pStyle w:val="ListParagraph"/>
        <w:numPr>
          <w:ilvl w:val="0"/>
          <w:numId w:val="1"/>
        </w:numPr>
        <w:spacing w:after="120"/>
        <w:contextualSpacing w:val="0"/>
      </w:pPr>
      <w:r>
        <w:t>EPUT, in its representations to the Panel, said that:</w:t>
      </w:r>
    </w:p>
    <w:p w14:paraId="60F65B30" w14:textId="098D5455" w:rsidR="0096183E" w:rsidRDefault="0096183E" w:rsidP="0096183E">
      <w:pPr>
        <w:pStyle w:val="ListParagraph"/>
        <w:numPr>
          <w:ilvl w:val="0"/>
          <w:numId w:val="0"/>
        </w:numPr>
        <w:spacing w:after="120"/>
        <w:ind w:left="851"/>
        <w:contextualSpacing w:val="0"/>
        <w:rPr>
          <w:sz w:val="21"/>
          <w:szCs w:val="21"/>
        </w:rPr>
      </w:pPr>
      <w:r>
        <w:rPr>
          <w:sz w:val="21"/>
          <w:szCs w:val="21"/>
        </w:rPr>
        <w:t>“</w:t>
      </w:r>
      <w:r w:rsidRPr="00A73D6C">
        <w:rPr>
          <w:sz w:val="21"/>
          <w:szCs w:val="21"/>
        </w:rPr>
        <w:t>In our representation letter of 20 May 2025, we requested information and documents from the relevant authority. The relevant authority sought clarification from us regarding those requests on 28 May 2025 and we responded on 3 June 2025 to confirm that we were requesting provision of documents. However, we only received the relevant authority’s response to our request for provision of information and documents on 20</w:t>
      </w:r>
      <w:r w:rsidR="003C0E99">
        <w:rPr>
          <w:sz w:val="21"/>
          <w:szCs w:val="21"/>
        </w:rPr>
        <w:t> </w:t>
      </w:r>
      <w:r w:rsidRPr="00A73D6C">
        <w:rPr>
          <w:sz w:val="21"/>
          <w:szCs w:val="21"/>
        </w:rPr>
        <w:t xml:space="preserve">June 2025 (including a copy of its regulation 24 records), as part of the notice from the relevant authority of its further decision following its review. We consider that this </w:t>
      </w:r>
      <w:r w:rsidRPr="00A73D6C">
        <w:rPr>
          <w:sz w:val="21"/>
          <w:szCs w:val="21"/>
        </w:rPr>
        <w:lastRenderedPageBreak/>
        <w:t>was a breach of the relevant authority’s duty, under regulation 12(4)(b) of the PSR to provide promptly information requested by us where the relevant authority had a duty to record the information under regulation 24.</w:t>
      </w:r>
    </w:p>
    <w:p w14:paraId="661530C1" w14:textId="75B1898F" w:rsidR="0096183E" w:rsidRPr="00074260" w:rsidRDefault="0096183E" w:rsidP="0096183E">
      <w:pPr>
        <w:pStyle w:val="ListParagraph"/>
        <w:numPr>
          <w:ilvl w:val="0"/>
          <w:numId w:val="0"/>
        </w:numPr>
        <w:ind w:left="851"/>
        <w:contextualSpacing w:val="0"/>
        <w:rPr>
          <w:sz w:val="21"/>
          <w:szCs w:val="21"/>
        </w:rPr>
      </w:pPr>
      <w:r>
        <w:rPr>
          <w:sz w:val="21"/>
          <w:szCs w:val="21"/>
        </w:rPr>
        <w:t>“</w:t>
      </w:r>
      <w:r w:rsidRPr="00A73D6C">
        <w:rPr>
          <w:sz w:val="21"/>
          <w:szCs w:val="21"/>
        </w:rPr>
        <w:t>The tone of the relevant authority’s internal review panel’s findings leads us to the view that the review has not been conducted as an impartial review of our genuinely held concerns regarding the procurement of a service which, ultimately, is important to service users who cannot raise the concerns themselves. We find the tone of the independent review panel’s reported findings to be aggressive and contentious in places”</w:t>
      </w:r>
      <w:r>
        <w:rPr>
          <w:sz w:val="21"/>
          <w:szCs w:val="21"/>
        </w:rPr>
        <w:t xml:space="preserve"> (see paragraph </w:t>
      </w:r>
      <w:r w:rsidR="00023790">
        <w:rPr>
          <w:sz w:val="21"/>
          <w:szCs w:val="21"/>
        </w:rPr>
        <w:fldChar w:fldCharType="begin"/>
      </w:r>
      <w:r w:rsidR="00023790">
        <w:rPr>
          <w:sz w:val="21"/>
          <w:szCs w:val="21"/>
        </w:rPr>
        <w:instrText xml:space="preserve"> REF _Ref204603816 \r \h </w:instrText>
      </w:r>
      <w:r w:rsidR="00023790">
        <w:rPr>
          <w:sz w:val="21"/>
          <w:szCs w:val="21"/>
        </w:rPr>
      </w:r>
      <w:r w:rsidR="00023790">
        <w:rPr>
          <w:sz w:val="21"/>
          <w:szCs w:val="21"/>
        </w:rPr>
        <w:fldChar w:fldCharType="separate"/>
      </w:r>
      <w:r w:rsidR="00437D90">
        <w:rPr>
          <w:sz w:val="21"/>
          <w:szCs w:val="21"/>
        </w:rPr>
        <w:t>50</w:t>
      </w:r>
      <w:r w:rsidR="00023790">
        <w:rPr>
          <w:sz w:val="21"/>
          <w:szCs w:val="21"/>
        </w:rPr>
        <w:fldChar w:fldCharType="end"/>
      </w:r>
      <w:r>
        <w:rPr>
          <w:sz w:val="21"/>
          <w:szCs w:val="21"/>
        </w:rPr>
        <w:t>).</w:t>
      </w:r>
    </w:p>
    <w:p w14:paraId="5E547DA6" w14:textId="5EBE1176" w:rsidR="008F647A" w:rsidRDefault="003F74C6" w:rsidP="00085C53">
      <w:pPr>
        <w:pStyle w:val="ListParagraph"/>
        <w:numPr>
          <w:ilvl w:val="0"/>
          <w:numId w:val="1"/>
        </w:numPr>
        <w:spacing w:line="276" w:lineRule="auto"/>
        <w:contextualSpacing w:val="0"/>
      </w:pPr>
      <w:r>
        <w:t>T</w:t>
      </w:r>
      <w:r w:rsidR="00661520">
        <w:t>here are</w:t>
      </w:r>
      <w:r>
        <w:t>, in summary,</w:t>
      </w:r>
      <w:r w:rsidR="00661520">
        <w:t xml:space="preserve"> two elements to </w:t>
      </w:r>
      <w:r w:rsidR="0067661F">
        <w:t>EPUT</w:t>
      </w:r>
      <w:r w:rsidR="00661520">
        <w:t>’s concerns about the representations review process: first, that the information that was requested was not supplied promptly, in accordance with MSE ICB’s obligations under Regulation 12; and second, the representations review process was not conducted fairly</w:t>
      </w:r>
      <w:r w:rsidR="00B02B5A">
        <w:t>.</w:t>
      </w:r>
    </w:p>
    <w:p w14:paraId="2DF9F3E8" w14:textId="181D66C5" w:rsidR="00256D08" w:rsidRDefault="003F74C6" w:rsidP="00085C53">
      <w:pPr>
        <w:pStyle w:val="ListParagraph"/>
        <w:numPr>
          <w:ilvl w:val="0"/>
          <w:numId w:val="1"/>
        </w:numPr>
        <w:spacing w:line="276" w:lineRule="auto"/>
        <w:contextualSpacing w:val="0"/>
      </w:pPr>
      <w:r>
        <w:t xml:space="preserve">On the first issue, the Panel </w:t>
      </w:r>
      <w:r w:rsidR="0036074C">
        <w:t xml:space="preserve">notes that MSE ICB supplied the information requested by EPUT </w:t>
      </w:r>
      <w:r w:rsidR="00CA04F1">
        <w:t xml:space="preserve">when </w:t>
      </w:r>
      <w:r w:rsidR="0036074C">
        <w:t>communicat</w:t>
      </w:r>
      <w:r w:rsidR="00CA04F1">
        <w:t xml:space="preserve">ing </w:t>
      </w:r>
      <w:r w:rsidR="00A75B1E">
        <w:t xml:space="preserve">the outcome of EPUT’s representations and the ICB’s </w:t>
      </w:r>
      <w:r w:rsidR="0036074C">
        <w:t>further decision on the provider selection process</w:t>
      </w:r>
      <w:r w:rsidR="0085629D">
        <w:t>.</w:t>
      </w:r>
      <w:r w:rsidR="00A75B1E">
        <w:t xml:space="preserve"> </w:t>
      </w:r>
      <w:r w:rsidR="00256D08">
        <w:t xml:space="preserve">The PSR regulations require that </w:t>
      </w:r>
      <w:r w:rsidR="00E02496">
        <w:t>a commissioner</w:t>
      </w:r>
      <w:r w:rsidR="001B63E2">
        <w:t xml:space="preserve"> ensures that a provider which makes representations “is afforded such further opportunity to explain or clarify the representations made as the relevant authority considers appropriate” (Regulation 12(4)(a)) and that </w:t>
      </w:r>
      <w:r w:rsidR="00851568">
        <w:t>commissioner</w:t>
      </w:r>
      <w:r w:rsidR="00F312C4">
        <w:t>s</w:t>
      </w:r>
      <w:r w:rsidR="00851568">
        <w:t xml:space="preserve"> “provide promptly any information requested by an aggrieved provider where the relevant authority has a duty to record that information under regulation 24” (Regulation 12(4)(b)).</w:t>
      </w:r>
    </w:p>
    <w:p w14:paraId="1939401F" w14:textId="2045DC12" w:rsidR="00CF5C11" w:rsidRDefault="00A974C4" w:rsidP="00085C53">
      <w:pPr>
        <w:pStyle w:val="ListParagraph"/>
        <w:numPr>
          <w:ilvl w:val="0"/>
          <w:numId w:val="1"/>
        </w:numPr>
        <w:spacing w:line="276" w:lineRule="auto"/>
        <w:contextualSpacing w:val="0"/>
      </w:pPr>
      <w:r>
        <w:t>Consistent with previous cases</w:t>
      </w:r>
      <w:r w:rsidR="00ED07C0">
        <w:t>,</w:t>
      </w:r>
      <w:r w:rsidR="004432A2">
        <w:rPr>
          <w:rStyle w:val="FootnoteReference"/>
        </w:rPr>
        <w:footnoteReference w:id="80"/>
      </w:r>
      <w:r>
        <w:t xml:space="preserve"> the Panel’s view is that </w:t>
      </w:r>
      <w:r w:rsidR="00DC309E">
        <w:t>responding to</w:t>
      </w:r>
      <w:r w:rsidR="005F0C32">
        <w:t xml:space="preserve"> </w:t>
      </w:r>
      <w:r w:rsidR="00F15679">
        <w:t xml:space="preserve">a bidder’s </w:t>
      </w:r>
      <w:r w:rsidR="00DC309E">
        <w:t xml:space="preserve">information requests </w:t>
      </w:r>
      <w:r w:rsidR="005F0C32">
        <w:t xml:space="preserve">at the same time as responding to its representations </w:t>
      </w:r>
      <w:r w:rsidR="008058F6">
        <w:t xml:space="preserve">does not meet the requirement of promptly providing requested information </w:t>
      </w:r>
      <w:r w:rsidR="000032A1">
        <w:t xml:space="preserve">nor the requirement to </w:t>
      </w:r>
      <w:r w:rsidR="00F15679">
        <w:t xml:space="preserve">afford the bidder </w:t>
      </w:r>
      <w:r w:rsidR="00A87A75">
        <w:t>further opportunity to explain or clarify its representations.</w:t>
      </w:r>
    </w:p>
    <w:p w14:paraId="4B8921B3" w14:textId="13B4344F" w:rsidR="00750D0B" w:rsidRDefault="00750D0B" w:rsidP="00085C53">
      <w:pPr>
        <w:pStyle w:val="ListParagraph"/>
        <w:numPr>
          <w:ilvl w:val="0"/>
          <w:numId w:val="1"/>
        </w:numPr>
        <w:spacing w:line="276" w:lineRule="auto"/>
        <w:contextualSpacing w:val="0"/>
      </w:pPr>
      <w:r>
        <w:t xml:space="preserve">On the second issue, the Panel has not found it necessary to reach a finding </w:t>
      </w:r>
      <w:r w:rsidR="00B469B1">
        <w:t xml:space="preserve">on the </w:t>
      </w:r>
      <w:r w:rsidR="00BD26B2">
        <w:t xml:space="preserve">conduct of the representations review process </w:t>
      </w:r>
      <w:r>
        <w:t xml:space="preserve">given that </w:t>
      </w:r>
      <w:r w:rsidR="00BD26B2">
        <w:t>the Panel’s review</w:t>
      </w:r>
      <w:r>
        <w:t xml:space="preserve"> addresses </w:t>
      </w:r>
      <w:r w:rsidR="00BD26B2">
        <w:t>the substantive matters of concern raised by EPUT.</w:t>
      </w:r>
    </w:p>
    <w:p w14:paraId="34A3E7E6" w14:textId="5091C3C3" w:rsidR="00AD7AC1" w:rsidRDefault="00100504" w:rsidP="00085C53">
      <w:pPr>
        <w:pStyle w:val="ListParagraph"/>
        <w:numPr>
          <w:ilvl w:val="0"/>
          <w:numId w:val="1"/>
        </w:numPr>
        <w:spacing w:line="276" w:lineRule="auto"/>
        <w:contextualSpacing w:val="0"/>
      </w:pPr>
      <w:r>
        <w:t xml:space="preserve">As a result, the Panel finds that </w:t>
      </w:r>
      <w:r w:rsidR="001536A7">
        <w:t xml:space="preserve">MSE ICB in responding to EPUT’s information request at the same time as responding to its representations </w:t>
      </w:r>
      <w:r w:rsidR="00A87A75">
        <w:t xml:space="preserve">breached </w:t>
      </w:r>
      <w:r w:rsidR="00310D3B">
        <w:t>its obligation to ensure</w:t>
      </w:r>
      <w:r w:rsidR="00C32F75">
        <w:t xml:space="preserve"> that a provider which makes representations “is afforded such further opportunity to explain or clarify the representations made as the relevant authority considers appropriate” (Regulation 12(4)(a)) and </w:t>
      </w:r>
      <w:r w:rsidR="00310D3B">
        <w:t>to</w:t>
      </w:r>
      <w:r w:rsidR="00C32F75">
        <w:t xml:space="preserve"> “provide promptly any information requested by an aggrieved provider where the relevant authority has a duty to record that information under regulation 24” (Regulation 12(4)(b)).</w:t>
      </w:r>
    </w:p>
    <w:p w14:paraId="1FAEB393" w14:textId="00D86949" w:rsidR="00DA200D" w:rsidRDefault="00DA200D" w:rsidP="00DA200D">
      <w:pPr>
        <w:pStyle w:val="Heading1"/>
      </w:pPr>
      <w:bookmarkStart w:id="60" w:name="_Toc209611780"/>
      <w:r>
        <w:t>Panel Advice</w:t>
      </w:r>
      <w:bookmarkEnd w:id="60"/>
    </w:p>
    <w:p w14:paraId="480E1A3F" w14:textId="6E1E2CC8" w:rsidR="00651010" w:rsidRDefault="009E5133" w:rsidP="0042538C">
      <w:pPr>
        <w:pStyle w:val="ListParagraph"/>
        <w:numPr>
          <w:ilvl w:val="0"/>
          <w:numId w:val="1"/>
        </w:numPr>
        <w:spacing w:line="276" w:lineRule="auto"/>
        <w:contextualSpacing w:val="0"/>
      </w:pPr>
      <w:r>
        <w:t xml:space="preserve">In summary, the Panel’s findings on the provider selection process carried out by </w:t>
      </w:r>
      <w:r w:rsidR="00CB1703">
        <w:t xml:space="preserve">MSE ICB </w:t>
      </w:r>
      <w:r>
        <w:t xml:space="preserve">for </w:t>
      </w:r>
      <w:r w:rsidR="00CB1703">
        <w:t>mental health core service</w:t>
      </w:r>
      <w:r w:rsidR="008148BF">
        <w:t>s</w:t>
      </w:r>
      <w:r w:rsidR="00CB1703">
        <w:t xml:space="preserve"> </w:t>
      </w:r>
      <w:r w:rsidR="0093556C">
        <w:t xml:space="preserve">are that MSE ICB has breached the PSR regulations in </w:t>
      </w:r>
      <w:r w:rsidR="00CB48FE">
        <w:t>several</w:t>
      </w:r>
      <w:r w:rsidR="0093556C">
        <w:t xml:space="preserve"> respects</w:t>
      </w:r>
      <w:r>
        <w:t>:</w:t>
      </w:r>
    </w:p>
    <w:p w14:paraId="4EE0C00A" w14:textId="393A18B7" w:rsidR="00C95666" w:rsidRDefault="00DB232C" w:rsidP="0042538C">
      <w:pPr>
        <w:pStyle w:val="ListParagraph"/>
        <w:numPr>
          <w:ilvl w:val="0"/>
          <w:numId w:val="9"/>
        </w:numPr>
        <w:spacing w:line="276" w:lineRule="auto"/>
        <w:ind w:left="1077" w:hanging="357"/>
        <w:contextualSpacing w:val="0"/>
      </w:pPr>
      <w:r>
        <w:lastRenderedPageBreak/>
        <w:t>First</w:t>
      </w:r>
      <w:r w:rsidR="00651010">
        <w:t xml:space="preserve">, the Panel finds that </w:t>
      </w:r>
      <w:r w:rsidR="003E1BC6">
        <w:t>MSE ICB</w:t>
      </w:r>
      <w:r w:rsidR="00C95666">
        <w:t xml:space="preserve">, </w:t>
      </w:r>
      <w:r w:rsidR="00C02DAD">
        <w:t xml:space="preserve">in denying itself the opportunity to evaluate key aspects of </w:t>
      </w:r>
      <w:r w:rsidR="00692155">
        <w:t xml:space="preserve">bidders’ </w:t>
      </w:r>
      <w:r w:rsidR="00C02DAD">
        <w:t>proposals</w:t>
      </w:r>
      <w:r w:rsidR="00B6054A">
        <w:t xml:space="preserve"> on a level playing field</w:t>
      </w:r>
      <w:r w:rsidR="00C02DAD">
        <w:t>, breached the PSR regulations, and in particular, its obligations to act fairly, transparently and proportionately.</w:t>
      </w:r>
    </w:p>
    <w:p w14:paraId="2650C05A" w14:textId="397D160C" w:rsidR="00AF70A8" w:rsidRDefault="00AF70A8" w:rsidP="0042538C">
      <w:pPr>
        <w:pStyle w:val="ListParagraph"/>
        <w:numPr>
          <w:ilvl w:val="0"/>
          <w:numId w:val="9"/>
        </w:numPr>
        <w:spacing w:line="276" w:lineRule="auto"/>
        <w:ind w:left="1077" w:hanging="357"/>
        <w:contextualSpacing w:val="0"/>
      </w:pPr>
      <w:r>
        <w:t xml:space="preserve">Second, the Panel finds that MSE ICB, in </w:t>
      </w:r>
      <w:r w:rsidR="00724BD4">
        <w:t xml:space="preserve">inviting bidders to make proposals to </w:t>
      </w:r>
      <w:r w:rsidR="00E50C18">
        <w:t>use resources external to the contract to assist in financing the cost of service provision</w:t>
      </w:r>
      <w:r w:rsidR="00824BAC">
        <w:t>,</w:t>
      </w:r>
      <w:r w:rsidR="005B36DE">
        <w:t xml:space="preserve"> while not asking for any information that would allow it to reach an informed view on </w:t>
      </w:r>
      <w:r w:rsidR="0042538C">
        <w:t>the potential effects on the sustainability of other services, breached the PSR regulations, and in particular Regulation 11(2) by not sufficiently tak</w:t>
      </w:r>
      <w:r w:rsidR="00C730B3">
        <w:t>ing</w:t>
      </w:r>
      <w:r w:rsidR="0042538C">
        <w:t xml:space="preserve"> into account the requirement under Regulation 5(c)(iii) to ensure that services are provided in a sustainable way</w:t>
      </w:r>
      <w:r w:rsidR="0042538C" w:rsidRPr="00A06A32">
        <w:t xml:space="preserve"> </w:t>
      </w:r>
      <w:r w:rsidR="0042538C">
        <w:t>when determining the contract award criteria.</w:t>
      </w:r>
    </w:p>
    <w:p w14:paraId="385A34FB" w14:textId="1BBD5584" w:rsidR="00DD3B45" w:rsidRDefault="00DD3B45" w:rsidP="0042538C">
      <w:pPr>
        <w:pStyle w:val="ListParagraph"/>
        <w:numPr>
          <w:ilvl w:val="0"/>
          <w:numId w:val="9"/>
        </w:numPr>
        <w:spacing w:line="276" w:lineRule="auto"/>
        <w:ind w:left="1077" w:hanging="357"/>
        <w:contextualSpacing w:val="0"/>
      </w:pPr>
      <w:r>
        <w:t>Third, the Panel finds that MSE ICB, in changing its approach as to how bidders could present information on costs in their proposals and not allowing bidders a reasonable period of time to take account of MSE ICB’s new approach, breached the PSR regulations, and in particular its obligations to act fairly and proportionately.</w:t>
      </w:r>
    </w:p>
    <w:p w14:paraId="39814BB6" w14:textId="663FB39E" w:rsidR="00BC2C61" w:rsidRDefault="00BC2C61" w:rsidP="0042538C">
      <w:pPr>
        <w:pStyle w:val="ListParagraph"/>
        <w:numPr>
          <w:ilvl w:val="0"/>
          <w:numId w:val="9"/>
        </w:numPr>
        <w:spacing w:line="276" w:lineRule="auto"/>
        <w:ind w:left="1077" w:hanging="357"/>
        <w:contextualSpacing w:val="0"/>
      </w:pPr>
      <w:r>
        <w:t>Fourth, the Panel finds that MSE ICB</w:t>
      </w:r>
      <w:r w:rsidR="00D272F4">
        <w:t xml:space="preserve">, in responding to several bidders’ </w:t>
      </w:r>
      <w:r w:rsidR="004D681B">
        <w:t>CQs</w:t>
      </w:r>
      <w:r w:rsidR="00D272F4">
        <w:t xml:space="preserve"> in a way that was incomplete, lacked timeliness or was misleading, breached the PSR regulations, and in particular its obligations to act transparently, fairly and proportionately.</w:t>
      </w:r>
    </w:p>
    <w:p w14:paraId="7F9E1B53" w14:textId="0C715A49" w:rsidR="00EF667A" w:rsidRDefault="00EF667A" w:rsidP="0042538C">
      <w:pPr>
        <w:pStyle w:val="ListParagraph"/>
        <w:numPr>
          <w:ilvl w:val="0"/>
          <w:numId w:val="9"/>
        </w:numPr>
        <w:spacing w:line="276" w:lineRule="auto"/>
        <w:ind w:left="1077" w:hanging="357"/>
        <w:contextualSpacing w:val="0"/>
      </w:pPr>
      <w:r>
        <w:t xml:space="preserve">Fifth, the Panel finds that MSE ICB, in adversely assessing EPUT’s response to Question 2.3.1 (Service Model) with respect to the possibility of DWP funding of employment advisers not continuing, </w:t>
      </w:r>
      <w:r w:rsidRPr="002E1BF4">
        <w:t xml:space="preserve">when such a possibility was not suggested by MSE ICB in either the tender documentation or in its response to </w:t>
      </w:r>
      <w:r>
        <w:t xml:space="preserve">the relevant </w:t>
      </w:r>
      <w:r w:rsidR="004D681B">
        <w:t>CQ</w:t>
      </w:r>
      <w:r>
        <w:t>, breached the PSR regulations and in particular its obligation to act fairly.</w:t>
      </w:r>
    </w:p>
    <w:p w14:paraId="5A5A23C1" w14:textId="6C6DCC43" w:rsidR="00F9080B" w:rsidRDefault="00310D3B" w:rsidP="0042538C">
      <w:pPr>
        <w:pStyle w:val="ListParagraph"/>
        <w:numPr>
          <w:ilvl w:val="0"/>
          <w:numId w:val="9"/>
        </w:numPr>
        <w:spacing w:line="276" w:lineRule="auto"/>
        <w:ind w:left="1077" w:hanging="357"/>
        <w:contextualSpacing w:val="0"/>
      </w:pPr>
      <w:r>
        <w:t>Finally</w:t>
      </w:r>
      <w:r w:rsidR="00F9080B">
        <w:t xml:space="preserve">, the Panel finds that MSE ICB, in </w:t>
      </w:r>
      <w:r w:rsidR="009A761B">
        <w:t>failing to provide relevant documents to in re</w:t>
      </w:r>
      <w:r w:rsidR="00E20729">
        <w:t>sponse</w:t>
      </w:r>
      <w:r w:rsidR="009A761B">
        <w:t xml:space="preserve"> to MPFT’s </w:t>
      </w:r>
      <w:r w:rsidR="00A748B8">
        <w:t xml:space="preserve">request for </w:t>
      </w:r>
      <w:r w:rsidR="009A761B">
        <w:t xml:space="preserve">information, and in </w:t>
      </w:r>
      <w:r w:rsidR="00F9080B">
        <w:t xml:space="preserve">responding to MPFT’s </w:t>
      </w:r>
      <w:r>
        <w:t xml:space="preserve">and EPUT’s </w:t>
      </w:r>
      <w:r w:rsidR="00F9080B">
        <w:t xml:space="preserve">requests for information </w:t>
      </w:r>
      <w:r w:rsidR="008E15F2">
        <w:t xml:space="preserve">at the same time as responding to </w:t>
      </w:r>
      <w:r w:rsidR="00FB37BB">
        <w:t>their</w:t>
      </w:r>
      <w:r w:rsidR="008E15F2">
        <w:t xml:space="preserve"> </w:t>
      </w:r>
      <w:r w:rsidR="00F9080B">
        <w:t xml:space="preserve">representations, breached its obligation </w:t>
      </w:r>
      <w:r w:rsidR="00B82B55">
        <w:t xml:space="preserve">to </w:t>
      </w:r>
      <w:r w:rsidR="00F9080B">
        <w:t xml:space="preserve">ensure that a provider which makes representations “is afforded such further opportunity to explain or clarify the representations made as the relevant authority considers appropriate” (Regulation 12(4)(a)) and </w:t>
      </w:r>
      <w:r w:rsidR="00FB3B9F">
        <w:t>to</w:t>
      </w:r>
      <w:r w:rsidR="00F9080B">
        <w:t xml:space="preserve"> “provide promptly any information requested by an aggrieved provider where the relevant authority has a duty to record that information under regulation 24” (Regulation 12(4)(b)).</w:t>
      </w:r>
    </w:p>
    <w:p w14:paraId="113E73DC" w14:textId="77777777" w:rsidR="00FB4784" w:rsidRPr="00AF4B36" w:rsidRDefault="00FB4784" w:rsidP="00CB48FE">
      <w:pPr>
        <w:pStyle w:val="ListParagraph"/>
        <w:numPr>
          <w:ilvl w:val="0"/>
          <w:numId w:val="1"/>
        </w:numPr>
        <w:spacing w:line="276" w:lineRule="auto"/>
      </w:pPr>
      <w:r w:rsidRPr="00AF4B36">
        <w:t>Given these conclusions, three options are open to the Panel. The Panel may advise that:</w:t>
      </w:r>
    </w:p>
    <w:p w14:paraId="33C267B4" w14:textId="59AC4A5E" w:rsidR="00FB4784" w:rsidRPr="00AF4B36" w:rsidRDefault="00637410" w:rsidP="00CB48FE">
      <w:pPr>
        <w:pStyle w:val="ListParagraph"/>
        <w:numPr>
          <w:ilvl w:val="0"/>
          <w:numId w:val="10"/>
        </w:numPr>
        <w:spacing w:line="276" w:lineRule="auto"/>
      </w:pPr>
      <w:r>
        <w:t>t</w:t>
      </w:r>
      <w:r w:rsidR="00FB4784" w:rsidRPr="00AF4B36">
        <w:t xml:space="preserve">he breaches had no material effect on </w:t>
      </w:r>
      <w:r w:rsidR="00AF4B36">
        <w:t>MSE ICB</w:t>
      </w:r>
      <w:r w:rsidR="00FB4784" w:rsidRPr="00AF4B36">
        <w:t>’s selection of a provider and it should proceed with awarding the contract as originally intended;</w:t>
      </w:r>
    </w:p>
    <w:p w14:paraId="7E7C1BE6" w14:textId="7CFBCDB2" w:rsidR="00FB4784" w:rsidRPr="00AF4B36" w:rsidRDefault="00AF4B36" w:rsidP="00CB48FE">
      <w:pPr>
        <w:pStyle w:val="ListParagraph"/>
        <w:numPr>
          <w:ilvl w:val="0"/>
          <w:numId w:val="10"/>
        </w:numPr>
        <w:spacing w:line="276" w:lineRule="auto"/>
      </w:pPr>
      <w:r>
        <w:t>MSE ICB</w:t>
      </w:r>
      <w:r w:rsidR="00FB4784" w:rsidRPr="00AF4B36">
        <w:t xml:space="preserve"> should return to an earlier step in the provider selection process to rectify the issues identified by the Panel; or</w:t>
      </w:r>
    </w:p>
    <w:p w14:paraId="0163F59C" w14:textId="6335942C" w:rsidR="00FB4784" w:rsidRPr="00AF4B36" w:rsidRDefault="00AF4B36" w:rsidP="00CB48FE">
      <w:pPr>
        <w:pStyle w:val="ListParagraph"/>
        <w:numPr>
          <w:ilvl w:val="0"/>
          <w:numId w:val="10"/>
        </w:numPr>
        <w:spacing w:line="276" w:lineRule="auto"/>
        <w:contextualSpacing w:val="0"/>
      </w:pPr>
      <w:r>
        <w:t>MSE ICB</w:t>
      </w:r>
      <w:r w:rsidR="00FB4784" w:rsidRPr="00AF4B36">
        <w:t xml:space="preserve"> should abandon the current provider selection process.</w:t>
      </w:r>
    </w:p>
    <w:p w14:paraId="530B9053" w14:textId="77777777" w:rsidR="00587ED4" w:rsidRDefault="00C70658" w:rsidP="00934ACE">
      <w:pPr>
        <w:pStyle w:val="ListParagraph"/>
        <w:numPr>
          <w:ilvl w:val="0"/>
          <w:numId w:val="1"/>
        </w:numPr>
        <w:spacing w:line="276" w:lineRule="auto"/>
        <w:contextualSpacing w:val="0"/>
      </w:pPr>
      <w:r w:rsidRPr="00934ACE">
        <w:lastRenderedPageBreak/>
        <w:t xml:space="preserve">The Panel’s view is that the breaches identified have had a material effect on </w:t>
      </w:r>
      <w:r w:rsidR="00934ACE">
        <w:t>MSE ICB</w:t>
      </w:r>
      <w:r w:rsidRPr="00934ACE">
        <w:t>’s selection of a provider</w:t>
      </w:r>
      <w:r w:rsidR="00934ACE">
        <w:t xml:space="preserve"> for the mental health core services contract</w:t>
      </w:r>
      <w:r w:rsidRPr="00934ACE">
        <w:t>.</w:t>
      </w:r>
    </w:p>
    <w:p w14:paraId="7913E009" w14:textId="1D910B06" w:rsidR="00F664AA" w:rsidRDefault="001576CC" w:rsidP="00485DA5">
      <w:pPr>
        <w:pStyle w:val="ListParagraph"/>
        <w:numPr>
          <w:ilvl w:val="0"/>
          <w:numId w:val="1"/>
        </w:numPr>
        <w:spacing w:line="276" w:lineRule="auto"/>
        <w:contextualSpacing w:val="0"/>
        <w:sectPr w:rsidR="00F664AA" w:rsidSect="00286474">
          <w:footerReference w:type="default" r:id="rId11"/>
          <w:pgSz w:w="11906" w:h="16838"/>
          <w:pgMar w:top="1440" w:right="1440" w:bottom="1440" w:left="1440" w:header="708" w:footer="708" w:gutter="0"/>
          <w:cols w:space="708"/>
          <w:titlePg/>
          <w:docGrid w:linePitch="360"/>
        </w:sectPr>
      </w:pPr>
      <w:r w:rsidRPr="001576CC">
        <w:t>The Panel’s advice to MSE ICB is that it returns to an earlier step in the provider selection process, namely the publication of a new contract notice and issuance of tender documentation suitably revised to address the issues identified by the Panel in this review. The Panel notes, however, the provision in the statutory guidance that “Relevant authorities should not use the option to return to an earlier step as an opportunity to modify the selection parameters (that is, to modify the key criteria or change the service specifications)”. If MSE ICB is unable to return to an earlier step in the process without modifying its selection parameters, the Panel’s advice, in line with the statutory guidance, is that MSE ICB “should abandon the provider selection process (in accordance with the Regulations) and start a new one.</w:t>
      </w:r>
    </w:p>
    <w:p w14:paraId="4BA0086E" w14:textId="0FEB3360" w:rsidR="00F664AA" w:rsidRDefault="00F664AA" w:rsidP="00F664AA">
      <w:pPr>
        <w:pStyle w:val="Heading1"/>
        <w:numPr>
          <w:ilvl w:val="0"/>
          <w:numId w:val="0"/>
        </w:numPr>
        <w:ind w:left="432" w:hanging="432"/>
      </w:pPr>
      <w:bookmarkStart w:id="61" w:name="_Toc209611781"/>
      <w:r>
        <w:lastRenderedPageBreak/>
        <w:t xml:space="preserve">Appendix 1: Clarification </w:t>
      </w:r>
      <w:r w:rsidR="0021296E">
        <w:t>q</w:t>
      </w:r>
      <w:r>
        <w:t>uestions</w:t>
      </w:r>
      <w:r w:rsidR="005404F3">
        <w:t xml:space="preserve"> </w:t>
      </w:r>
      <w:r w:rsidR="0021296E">
        <w:t>about</w:t>
      </w:r>
      <w:r>
        <w:t xml:space="preserve"> costs</w:t>
      </w:r>
      <w:bookmarkEnd w:id="61"/>
    </w:p>
    <w:tbl>
      <w:tblPr>
        <w:tblStyle w:val="TableGrid"/>
        <w:tblW w:w="9648"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67"/>
        <w:gridCol w:w="1276"/>
        <w:gridCol w:w="1134"/>
        <w:gridCol w:w="3335"/>
        <w:gridCol w:w="3336"/>
      </w:tblGrid>
      <w:tr w:rsidR="00A00A45" w:rsidRPr="002A3149" w14:paraId="77BE7B21" w14:textId="77777777">
        <w:tc>
          <w:tcPr>
            <w:tcW w:w="567" w:type="dxa"/>
            <w:shd w:val="clear" w:color="auto" w:fill="D9D9D9" w:themeFill="background1" w:themeFillShade="D9"/>
          </w:tcPr>
          <w:p w14:paraId="6EACB26F" w14:textId="77777777" w:rsidR="00F664AA" w:rsidRDefault="00F664AA" w:rsidP="00B407AB">
            <w:pPr>
              <w:spacing w:before="60" w:after="60"/>
              <w:jc w:val="center"/>
              <w:rPr>
                <w:b/>
                <w:bCs/>
                <w:sz w:val="18"/>
                <w:szCs w:val="18"/>
              </w:rPr>
            </w:pPr>
            <w:r w:rsidRPr="002A3149">
              <w:rPr>
                <w:b/>
                <w:bCs/>
                <w:sz w:val="18"/>
                <w:szCs w:val="18"/>
              </w:rPr>
              <w:t>No.</w:t>
            </w:r>
          </w:p>
        </w:tc>
        <w:tc>
          <w:tcPr>
            <w:tcW w:w="1276" w:type="dxa"/>
            <w:shd w:val="clear" w:color="auto" w:fill="D9D9D9" w:themeFill="background1" w:themeFillShade="D9"/>
          </w:tcPr>
          <w:p w14:paraId="72463B24" w14:textId="77777777" w:rsidR="00F664AA" w:rsidRPr="002A3149" w:rsidRDefault="00F664AA" w:rsidP="00B407AB">
            <w:pPr>
              <w:spacing w:before="60" w:after="60"/>
              <w:jc w:val="center"/>
              <w:rPr>
                <w:b/>
                <w:bCs/>
                <w:sz w:val="18"/>
                <w:szCs w:val="18"/>
              </w:rPr>
            </w:pPr>
            <w:r>
              <w:rPr>
                <w:b/>
                <w:bCs/>
                <w:sz w:val="18"/>
                <w:szCs w:val="18"/>
              </w:rPr>
              <w:t>Submission date</w:t>
            </w:r>
          </w:p>
        </w:tc>
        <w:tc>
          <w:tcPr>
            <w:tcW w:w="1134" w:type="dxa"/>
            <w:shd w:val="clear" w:color="auto" w:fill="D9D9D9" w:themeFill="background1" w:themeFillShade="D9"/>
          </w:tcPr>
          <w:p w14:paraId="0B57C6CC" w14:textId="77777777" w:rsidR="00F664AA" w:rsidRPr="002A3149" w:rsidRDefault="00F664AA" w:rsidP="00B407AB">
            <w:pPr>
              <w:spacing w:before="60" w:after="60"/>
              <w:jc w:val="center"/>
              <w:rPr>
                <w:b/>
                <w:bCs/>
                <w:sz w:val="18"/>
                <w:szCs w:val="18"/>
              </w:rPr>
            </w:pPr>
            <w:r>
              <w:rPr>
                <w:b/>
                <w:bCs/>
                <w:sz w:val="18"/>
                <w:szCs w:val="18"/>
              </w:rPr>
              <w:t>Response date</w:t>
            </w:r>
          </w:p>
        </w:tc>
        <w:tc>
          <w:tcPr>
            <w:tcW w:w="3335" w:type="dxa"/>
            <w:shd w:val="clear" w:color="auto" w:fill="D9D9D9" w:themeFill="background1" w:themeFillShade="D9"/>
          </w:tcPr>
          <w:p w14:paraId="4172372F" w14:textId="6D76BFD9" w:rsidR="00F664AA" w:rsidRPr="002A3149" w:rsidRDefault="0029365E" w:rsidP="00B407AB">
            <w:pPr>
              <w:spacing w:before="60" w:after="60"/>
              <w:rPr>
                <w:b/>
                <w:bCs/>
                <w:sz w:val="18"/>
                <w:szCs w:val="18"/>
              </w:rPr>
            </w:pPr>
            <w:r>
              <w:rPr>
                <w:b/>
                <w:bCs/>
                <w:sz w:val="18"/>
                <w:szCs w:val="18"/>
              </w:rPr>
              <w:t>Bidder’s q</w:t>
            </w:r>
            <w:r w:rsidR="00F664AA" w:rsidRPr="002A3149">
              <w:rPr>
                <w:b/>
                <w:bCs/>
                <w:sz w:val="18"/>
                <w:szCs w:val="18"/>
              </w:rPr>
              <w:t>uestion</w:t>
            </w:r>
          </w:p>
        </w:tc>
        <w:tc>
          <w:tcPr>
            <w:tcW w:w="3336" w:type="dxa"/>
            <w:shd w:val="clear" w:color="auto" w:fill="D9D9D9" w:themeFill="background1" w:themeFillShade="D9"/>
          </w:tcPr>
          <w:p w14:paraId="55BBCCF5" w14:textId="7FAAD779" w:rsidR="00F664AA" w:rsidRPr="002A3149" w:rsidRDefault="0029365E" w:rsidP="00B407AB">
            <w:pPr>
              <w:spacing w:before="60" w:after="60"/>
              <w:rPr>
                <w:b/>
                <w:bCs/>
                <w:sz w:val="18"/>
                <w:szCs w:val="18"/>
              </w:rPr>
            </w:pPr>
            <w:r>
              <w:rPr>
                <w:b/>
                <w:bCs/>
                <w:sz w:val="18"/>
                <w:szCs w:val="18"/>
              </w:rPr>
              <w:t>MSE ICB r</w:t>
            </w:r>
            <w:r w:rsidR="00F664AA" w:rsidRPr="002A3149">
              <w:rPr>
                <w:b/>
                <w:bCs/>
                <w:sz w:val="18"/>
                <w:szCs w:val="18"/>
              </w:rPr>
              <w:t>esponse</w:t>
            </w:r>
          </w:p>
        </w:tc>
      </w:tr>
      <w:tr w:rsidR="004005AF" w:rsidRPr="00926368" w14:paraId="32EB92EE" w14:textId="77777777">
        <w:tc>
          <w:tcPr>
            <w:tcW w:w="567" w:type="dxa"/>
          </w:tcPr>
          <w:p w14:paraId="00A67744" w14:textId="77777777" w:rsidR="00F664AA" w:rsidRDefault="00F664AA" w:rsidP="00B407AB">
            <w:pPr>
              <w:spacing w:before="60" w:after="60"/>
              <w:jc w:val="center"/>
              <w:rPr>
                <w:sz w:val="18"/>
                <w:szCs w:val="18"/>
              </w:rPr>
            </w:pPr>
            <w:r>
              <w:rPr>
                <w:sz w:val="18"/>
                <w:szCs w:val="18"/>
              </w:rPr>
              <w:t>43</w:t>
            </w:r>
          </w:p>
        </w:tc>
        <w:tc>
          <w:tcPr>
            <w:tcW w:w="1276" w:type="dxa"/>
          </w:tcPr>
          <w:p w14:paraId="0D3A27E0" w14:textId="77777777" w:rsidR="00F664AA" w:rsidRPr="00926368" w:rsidRDefault="00F664AA" w:rsidP="00B407AB">
            <w:pPr>
              <w:spacing w:before="60" w:after="60"/>
              <w:jc w:val="center"/>
              <w:rPr>
                <w:sz w:val="18"/>
                <w:szCs w:val="18"/>
              </w:rPr>
            </w:pPr>
            <w:r>
              <w:rPr>
                <w:sz w:val="18"/>
                <w:szCs w:val="18"/>
              </w:rPr>
              <w:t>11 Mar</w:t>
            </w:r>
          </w:p>
        </w:tc>
        <w:tc>
          <w:tcPr>
            <w:tcW w:w="1134" w:type="dxa"/>
          </w:tcPr>
          <w:p w14:paraId="0B186A63" w14:textId="77777777" w:rsidR="00F664AA" w:rsidRDefault="00F664AA" w:rsidP="00B407AB">
            <w:pPr>
              <w:spacing w:before="60" w:after="60"/>
              <w:jc w:val="center"/>
              <w:rPr>
                <w:sz w:val="18"/>
                <w:szCs w:val="18"/>
              </w:rPr>
            </w:pPr>
            <w:r>
              <w:rPr>
                <w:sz w:val="18"/>
                <w:szCs w:val="18"/>
              </w:rPr>
              <w:t>17 Mar</w:t>
            </w:r>
          </w:p>
        </w:tc>
        <w:tc>
          <w:tcPr>
            <w:tcW w:w="3335" w:type="dxa"/>
          </w:tcPr>
          <w:p w14:paraId="42B604CF" w14:textId="77777777" w:rsidR="00F664AA" w:rsidRPr="004C7B78" w:rsidRDefault="00F664AA" w:rsidP="00B407AB">
            <w:pPr>
              <w:spacing w:before="60" w:after="60"/>
              <w:rPr>
                <w:sz w:val="18"/>
                <w:szCs w:val="18"/>
              </w:rPr>
            </w:pPr>
            <w:r w:rsidRPr="004C7B78">
              <w:rPr>
                <w:sz w:val="18"/>
                <w:szCs w:val="18"/>
              </w:rPr>
              <w:t>Theme: TUPE Data query</w:t>
            </w:r>
          </w:p>
          <w:p w14:paraId="5BE35B2B" w14:textId="77777777" w:rsidR="00F664AA" w:rsidRPr="00BD4B37" w:rsidRDefault="00F664AA" w:rsidP="00B407AB">
            <w:pPr>
              <w:spacing w:before="60" w:after="60"/>
              <w:rPr>
                <w:sz w:val="18"/>
                <w:szCs w:val="18"/>
              </w:rPr>
            </w:pPr>
            <w:r w:rsidRPr="004C7B78">
              <w:rPr>
                <w:sz w:val="18"/>
                <w:szCs w:val="18"/>
              </w:rPr>
              <w:t>Can commissioners confirm that the combined value of the TUPE lists exceeds the financial envelope per annum?</w:t>
            </w:r>
          </w:p>
        </w:tc>
        <w:tc>
          <w:tcPr>
            <w:tcW w:w="3336" w:type="dxa"/>
          </w:tcPr>
          <w:p w14:paraId="3C2D5A3C" w14:textId="77777777" w:rsidR="00F664AA" w:rsidRPr="00BD4B37" w:rsidRDefault="00F664AA" w:rsidP="00B407AB">
            <w:pPr>
              <w:spacing w:before="60" w:after="60"/>
              <w:rPr>
                <w:sz w:val="18"/>
                <w:szCs w:val="18"/>
              </w:rPr>
            </w:pPr>
            <w:r w:rsidRPr="005A0ECE">
              <w:rPr>
                <w:sz w:val="18"/>
                <w:szCs w:val="18"/>
              </w:rPr>
              <w:t>Having reviewed the TUPE information, our calculation indicates that the combined value does not exceed the financial envelope per annum.</w:t>
            </w:r>
          </w:p>
        </w:tc>
      </w:tr>
      <w:tr w:rsidR="004005AF" w:rsidRPr="00926368" w14:paraId="0863FC78" w14:textId="77777777">
        <w:tc>
          <w:tcPr>
            <w:tcW w:w="567" w:type="dxa"/>
          </w:tcPr>
          <w:p w14:paraId="127073DA" w14:textId="77777777" w:rsidR="00F664AA" w:rsidRPr="00926368" w:rsidRDefault="00F664AA" w:rsidP="00B407AB">
            <w:pPr>
              <w:spacing w:before="60" w:after="60"/>
              <w:jc w:val="center"/>
              <w:rPr>
                <w:sz w:val="18"/>
                <w:szCs w:val="18"/>
              </w:rPr>
            </w:pPr>
            <w:r>
              <w:rPr>
                <w:sz w:val="18"/>
                <w:szCs w:val="18"/>
              </w:rPr>
              <w:t>63</w:t>
            </w:r>
          </w:p>
        </w:tc>
        <w:tc>
          <w:tcPr>
            <w:tcW w:w="1276" w:type="dxa"/>
          </w:tcPr>
          <w:p w14:paraId="7F193F4B" w14:textId="77777777" w:rsidR="00F664AA" w:rsidRPr="00926368" w:rsidRDefault="00F664AA" w:rsidP="00B407AB">
            <w:pPr>
              <w:spacing w:before="60" w:after="60"/>
              <w:jc w:val="center"/>
              <w:rPr>
                <w:sz w:val="18"/>
                <w:szCs w:val="18"/>
              </w:rPr>
            </w:pPr>
            <w:r w:rsidRPr="00926368">
              <w:rPr>
                <w:sz w:val="18"/>
                <w:szCs w:val="18"/>
              </w:rPr>
              <w:t>20 Mar</w:t>
            </w:r>
          </w:p>
        </w:tc>
        <w:tc>
          <w:tcPr>
            <w:tcW w:w="1134" w:type="dxa"/>
          </w:tcPr>
          <w:p w14:paraId="069E1CEE" w14:textId="77777777" w:rsidR="00F664AA" w:rsidRDefault="00F664AA" w:rsidP="00B407AB">
            <w:pPr>
              <w:spacing w:before="60" w:after="60"/>
              <w:jc w:val="center"/>
              <w:rPr>
                <w:sz w:val="18"/>
                <w:szCs w:val="18"/>
              </w:rPr>
            </w:pPr>
            <w:r>
              <w:rPr>
                <w:sz w:val="18"/>
                <w:szCs w:val="18"/>
              </w:rPr>
              <w:t>26 Mar</w:t>
            </w:r>
          </w:p>
        </w:tc>
        <w:tc>
          <w:tcPr>
            <w:tcW w:w="3335" w:type="dxa"/>
          </w:tcPr>
          <w:p w14:paraId="7AC89386" w14:textId="77777777" w:rsidR="00F664AA" w:rsidRPr="00BD4B37" w:rsidRDefault="00F664AA" w:rsidP="00B407AB">
            <w:pPr>
              <w:spacing w:before="60" w:after="60"/>
              <w:rPr>
                <w:sz w:val="18"/>
                <w:szCs w:val="18"/>
              </w:rPr>
            </w:pPr>
            <w:r w:rsidRPr="00BD4B37">
              <w:rPr>
                <w:sz w:val="18"/>
                <w:szCs w:val="18"/>
              </w:rPr>
              <w:t>Please can Commissioners confirm that all submissions must show clearly all costs relating to the mobilisation, delivery and change management of the service within the submitted financial submission, including all transformational costs? If providers are expected to absorb transformational costs and the money available is solely an annual revenue budget, do we need to show the level of this additional money we would be allocating to undertake this work? If so, where does this need to be identified on the financial return and how would this investment from a perspective bidder be scored or assessed?</w:t>
            </w:r>
          </w:p>
        </w:tc>
        <w:tc>
          <w:tcPr>
            <w:tcW w:w="3336" w:type="dxa"/>
          </w:tcPr>
          <w:p w14:paraId="7BD07D4D" w14:textId="77777777" w:rsidR="00F664AA" w:rsidRPr="00BD4B37" w:rsidRDefault="00F664AA" w:rsidP="00B407AB">
            <w:pPr>
              <w:spacing w:before="60" w:after="60"/>
              <w:rPr>
                <w:sz w:val="18"/>
                <w:szCs w:val="18"/>
              </w:rPr>
            </w:pPr>
            <w:r w:rsidRPr="00BD4B37">
              <w:rPr>
                <w:sz w:val="18"/>
                <w:szCs w:val="18"/>
              </w:rPr>
              <w:t>Please complete the fields indicated in the Doc 6. MHCoreServices- Commercial Offer template v2 100325 - tabs 'Summary and Sign-Off', 'Financial Summary' and 'Workforce Summary'. Please note that any bids received in excess of the outlined affordability envelope will be rejected as non-compliant. Commercial (Price) will be evaluated in accordance with the "Evaluating price" as detailed on page 15 of the process overview document …</w:t>
            </w:r>
          </w:p>
        </w:tc>
      </w:tr>
      <w:tr w:rsidR="004005AF" w:rsidRPr="00926368" w14:paraId="40DDB7FF" w14:textId="77777777">
        <w:tc>
          <w:tcPr>
            <w:tcW w:w="567" w:type="dxa"/>
          </w:tcPr>
          <w:p w14:paraId="7ED9470E" w14:textId="77777777" w:rsidR="00F664AA" w:rsidRDefault="00F664AA" w:rsidP="00B407AB">
            <w:pPr>
              <w:spacing w:before="60" w:after="60"/>
              <w:jc w:val="center"/>
              <w:rPr>
                <w:sz w:val="18"/>
                <w:szCs w:val="18"/>
              </w:rPr>
            </w:pPr>
            <w:r>
              <w:rPr>
                <w:sz w:val="18"/>
                <w:szCs w:val="18"/>
              </w:rPr>
              <w:t>64</w:t>
            </w:r>
          </w:p>
        </w:tc>
        <w:tc>
          <w:tcPr>
            <w:tcW w:w="1276" w:type="dxa"/>
          </w:tcPr>
          <w:p w14:paraId="7087DE84" w14:textId="77777777" w:rsidR="00F664AA" w:rsidRPr="00926368" w:rsidRDefault="00F664AA" w:rsidP="00B407AB">
            <w:pPr>
              <w:spacing w:before="60" w:after="60"/>
              <w:jc w:val="center"/>
              <w:rPr>
                <w:sz w:val="18"/>
                <w:szCs w:val="18"/>
              </w:rPr>
            </w:pPr>
            <w:r>
              <w:rPr>
                <w:sz w:val="18"/>
                <w:szCs w:val="18"/>
              </w:rPr>
              <w:t>20 Mar</w:t>
            </w:r>
          </w:p>
        </w:tc>
        <w:tc>
          <w:tcPr>
            <w:tcW w:w="1134" w:type="dxa"/>
          </w:tcPr>
          <w:p w14:paraId="277066AA" w14:textId="77777777" w:rsidR="00F664AA" w:rsidRDefault="00F664AA" w:rsidP="00B407AB">
            <w:pPr>
              <w:spacing w:before="60" w:after="60"/>
              <w:jc w:val="center"/>
              <w:rPr>
                <w:sz w:val="18"/>
                <w:szCs w:val="18"/>
              </w:rPr>
            </w:pPr>
            <w:r>
              <w:rPr>
                <w:sz w:val="18"/>
                <w:szCs w:val="18"/>
              </w:rPr>
              <w:t>1 Apr</w:t>
            </w:r>
          </w:p>
        </w:tc>
        <w:tc>
          <w:tcPr>
            <w:tcW w:w="3335" w:type="dxa"/>
          </w:tcPr>
          <w:p w14:paraId="1E1F5337" w14:textId="77777777" w:rsidR="00F664AA" w:rsidRPr="00BD4B37" w:rsidRDefault="00F664AA" w:rsidP="00B407AB">
            <w:pPr>
              <w:spacing w:before="60" w:after="60"/>
              <w:rPr>
                <w:sz w:val="18"/>
                <w:szCs w:val="18"/>
              </w:rPr>
            </w:pPr>
            <w:r w:rsidRPr="00F02F8B">
              <w:rPr>
                <w:sz w:val="18"/>
                <w:szCs w:val="18"/>
              </w:rPr>
              <w:t>In relation to the response to Clarification Question 43 – The newly shared TUPE ELI information from providers indicates that with National Insurance, Pensions and pay related costs that the annual staffing costs are circa £21m in year 1 of the contract. Therefore, the pay costs alone exceed the financial resource available to provide the service. Please can Commissioners share their calculations stated in the clarification response that do not exceed the financial envelope per annum? Please can Commissioners also comment on how the financial envelope has been designed and agreed?</w:t>
            </w:r>
          </w:p>
        </w:tc>
        <w:tc>
          <w:tcPr>
            <w:tcW w:w="3336" w:type="dxa"/>
          </w:tcPr>
          <w:p w14:paraId="32C81516" w14:textId="77777777" w:rsidR="00F664AA" w:rsidRPr="00BD4B37" w:rsidRDefault="00F664AA" w:rsidP="00B407AB">
            <w:pPr>
              <w:spacing w:before="60" w:after="60"/>
              <w:rPr>
                <w:sz w:val="18"/>
                <w:szCs w:val="18"/>
              </w:rPr>
            </w:pPr>
            <w:r w:rsidRPr="00F02F8B">
              <w:rPr>
                <w:sz w:val="18"/>
                <w:szCs w:val="18"/>
              </w:rPr>
              <w:t>The ICB did not base the financial envelope for this service on staffing models. The total financial envelope has been maximised for equitable provision of the service delivery across Mid and South Essex.</w:t>
            </w:r>
          </w:p>
        </w:tc>
      </w:tr>
      <w:tr w:rsidR="004005AF" w:rsidRPr="00926368" w14:paraId="09A4E478" w14:textId="77777777">
        <w:tc>
          <w:tcPr>
            <w:tcW w:w="567" w:type="dxa"/>
          </w:tcPr>
          <w:p w14:paraId="14E884A9" w14:textId="77777777" w:rsidR="00F664AA" w:rsidRDefault="00F664AA" w:rsidP="00B407AB">
            <w:pPr>
              <w:spacing w:before="60" w:after="60"/>
              <w:jc w:val="center"/>
              <w:rPr>
                <w:sz w:val="18"/>
                <w:szCs w:val="18"/>
              </w:rPr>
            </w:pPr>
            <w:r>
              <w:rPr>
                <w:sz w:val="18"/>
                <w:szCs w:val="18"/>
              </w:rPr>
              <w:t>65</w:t>
            </w:r>
          </w:p>
        </w:tc>
        <w:tc>
          <w:tcPr>
            <w:tcW w:w="1276" w:type="dxa"/>
          </w:tcPr>
          <w:p w14:paraId="373604C3" w14:textId="77777777" w:rsidR="00F664AA" w:rsidRPr="00926368" w:rsidRDefault="00F664AA" w:rsidP="00B407AB">
            <w:pPr>
              <w:spacing w:before="60" w:after="60"/>
              <w:jc w:val="center"/>
              <w:rPr>
                <w:sz w:val="18"/>
                <w:szCs w:val="18"/>
              </w:rPr>
            </w:pPr>
            <w:r>
              <w:rPr>
                <w:sz w:val="18"/>
                <w:szCs w:val="18"/>
              </w:rPr>
              <w:t>20 Mar</w:t>
            </w:r>
          </w:p>
        </w:tc>
        <w:tc>
          <w:tcPr>
            <w:tcW w:w="1134" w:type="dxa"/>
          </w:tcPr>
          <w:p w14:paraId="2E617D9D" w14:textId="77777777" w:rsidR="00F664AA" w:rsidRDefault="00F664AA" w:rsidP="00B407AB">
            <w:pPr>
              <w:spacing w:before="60" w:after="60"/>
              <w:jc w:val="center"/>
              <w:rPr>
                <w:sz w:val="18"/>
                <w:szCs w:val="18"/>
              </w:rPr>
            </w:pPr>
            <w:r>
              <w:rPr>
                <w:sz w:val="18"/>
                <w:szCs w:val="18"/>
              </w:rPr>
              <w:t>1 Apr</w:t>
            </w:r>
          </w:p>
        </w:tc>
        <w:tc>
          <w:tcPr>
            <w:tcW w:w="3335" w:type="dxa"/>
          </w:tcPr>
          <w:p w14:paraId="6D1CC287" w14:textId="77777777" w:rsidR="00F664AA" w:rsidRPr="00BD4B37" w:rsidRDefault="00F664AA" w:rsidP="00B407AB">
            <w:pPr>
              <w:spacing w:before="60" w:after="60"/>
              <w:rPr>
                <w:sz w:val="18"/>
                <w:szCs w:val="18"/>
              </w:rPr>
            </w:pPr>
            <w:r w:rsidRPr="0040208D">
              <w:rPr>
                <w:sz w:val="18"/>
                <w:szCs w:val="18"/>
              </w:rPr>
              <w:t>If the Commissioner is accepting that the pay costs alone exceed the financial envelope available per annum, what resource or support is being made to the successful bidder to manage this pressure? Or how do Commissioners anticipate the successful provider is to achieve efficiency savings of at least 30% to bring the pay budget into the envelope as well as providing the financial resource for non-pay costs such as premises, equipment, IT, EPR system, travel and training? </w:t>
            </w:r>
          </w:p>
        </w:tc>
        <w:tc>
          <w:tcPr>
            <w:tcW w:w="3336" w:type="dxa"/>
          </w:tcPr>
          <w:p w14:paraId="035FB4BA" w14:textId="77777777" w:rsidR="00F664AA" w:rsidRPr="00BD4B37" w:rsidRDefault="00F664AA" w:rsidP="00B407AB">
            <w:pPr>
              <w:spacing w:before="60" w:after="60"/>
              <w:rPr>
                <w:sz w:val="18"/>
                <w:szCs w:val="18"/>
              </w:rPr>
            </w:pPr>
            <w:r w:rsidRPr="0040208D">
              <w:rPr>
                <w:sz w:val="18"/>
                <w:szCs w:val="18"/>
              </w:rPr>
              <w:t>Please see CQ64</w:t>
            </w:r>
          </w:p>
        </w:tc>
      </w:tr>
      <w:tr w:rsidR="004005AF" w:rsidRPr="00926368" w14:paraId="52CAC243" w14:textId="77777777">
        <w:tc>
          <w:tcPr>
            <w:tcW w:w="567" w:type="dxa"/>
          </w:tcPr>
          <w:p w14:paraId="15DD791B" w14:textId="77777777" w:rsidR="00F664AA" w:rsidRDefault="00F664AA" w:rsidP="00B407AB">
            <w:pPr>
              <w:spacing w:before="60" w:after="60"/>
              <w:jc w:val="center"/>
              <w:rPr>
                <w:sz w:val="18"/>
                <w:szCs w:val="18"/>
              </w:rPr>
            </w:pPr>
            <w:r>
              <w:rPr>
                <w:sz w:val="18"/>
                <w:szCs w:val="18"/>
              </w:rPr>
              <w:t>79</w:t>
            </w:r>
          </w:p>
        </w:tc>
        <w:tc>
          <w:tcPr>
            <w:tcW w:w="1276" w:type="dxa"/>
          </w:tcPr>
          <w:p w14:paraId="6C7BCC69" w14:textId="77777777" w:rsidR="00F664AA" w:rsidRPr="00926368" w:rsidRDefault="00F664AA" w:rsidP="00B407AB">
            <w:pPr>
              <w:spacing w:before="60" w:after="60"/>
              <w:jc w:val="center"/>
              <w:rPr>
                <w:sz w:val="18"/>
                <w:szCs w:val="18"/>
              </w:rPr>
            </w:pPr>
            <w:r>
              <w:rPr>
                <w:sz w:val="18"/>
                <w:szCs w:val="18"/>
              </w:rPr>
              <w:t>27 Mar</w:t>
            </w:r>
          </w:p>
        </w:tc>
        <w:tc>
          <w:tcPr>
            <w:tcW w:w="1134" w:type="dxa"/>
          </w:tcPr>
          <w:p w14:paraId="645DBC8C" w14:textId="77777777" w:rsidR="00F664AA" w:rsidRDefault="00F664AA" w:rsidP="00B407AB">
            <w:pPr>
              <w:spacing w:before="60" w:after="60"/>
              <w:jc w:val="center"/>
              <w:rPr>
                <w:sz w:val="18"/>
                <w:szCs w:val="18"/>
              </w:rPr>
            </w:pPr>
            <w:r>
              <w:rPr>
                <w:sz w:val="18"/>
                <w:szCs w:val="18"/>
              </w:rPr>
              <w:t>1 Apr</w:t>
            </w:r>
          </w:p>
        </w:tc>
        <w:tc>
          <w:tcPr>
            <w:tcW w:w="3335" w:type="dxa"/>
          </w:tcPr>
          <w:p w14:paraId="7B172FFB" w14:textId="77777777" w:rsidR="00F664AA" w:rsidRPr="00F937CD" w:rsidRDefault="00F664AA" w:rsidP="00B407AB">
            <w:pPr>
              <w:spacing w:before="60" w:after="60"/>
              <w:rPr>
                <w:sz w:val="18"/>
                <w:szCs w:val="18"/>
              </w:rPr>
            </w:pPr>
            <w:r w:rsidRPr="00F937CD">
              <w:rPr>
                <w:sz w:val="18"/>
                <w:szCs w:val="18"/>
              </w:rPr>
              <w:t xml:space="preserve">In relation to the response to CQ63 - If any submission involves an approach where the organisation agrees to absorb any transformation costs to reduce staff levels etc does this need </w:t>
            </w:r>
            <w:r w:rsidRPr="00F937CD">
              <w:rPr>
                <w:sz w:val="18"/>
                <w:szCs w:val="18"/>
              </w:rPr>
              <w:lastRenderedPageBreak/>
              <w:t>to be included on the Commercial Offer Template V2 100325 and would this be evaluated as part of the tender as part of the overall financial offer, or an element of added value?</w:t>
            </w:r>
          </w:p>
        </w:tc>
        <w:tc>
          <w:tcPr>
            <w:tcW w:w="3336" w:type="dxa"/>
          </w:tcPr>
          <w:p w14:paraId="4398AA51" w14:textId="77777777" w:rsidR="00F664AA" w:rsidRPr="00F937CD" w:rsidRDefault="00F664AA" w:rsidP="00B407AB">
            <w:pPr>
              <w:spacing w:before="60" w:after="60"/>
              <w:rPr>
                <w:sz w:val="18"/>
                <w:szCs w:val="18"/>
              </w:rPr>
            </w:pPr>
            <w:r w:rsidRPr="00F937CD">
              <w:rPr>
                <w:sz w:val="18"/>
                <w:szCs w:val="18"/>
              </w:rPr>
              <w:lastRenderedPageBreak/>
              <w:t xml:space="preserve">Please do not use the Commercial Offer Template (FMT) to submit a non-compliant bid submission. Bidders may utilise technical question 2.16 Value for Money &amp; Financial Sustainability - </w:t>
            </w:r>
            <w:r w:rsidRPr="00F937CD">
              <w:rPr>
                <w:sz w:val="18"/>
                <w:szCs w:val="18"/>
              </w:rPr>
              <w:lastRenderedPageBreak/>
              <w:t>Please make it clear in the quality written response or supporting attachments that the costs will be absorbed by your organisation.</w:t>
            </w:r>
          </w:p>
        </w:tc>
      </w:tr>
      <w:tr w:rsidR="004005AF" w:rsidRPr="00926368" w14:paraId="543875C9" w14:textId="77777777">
        <w:tc>
          <w:tcPr>
            <w:tcW w:w="567" w:type="dxa"/>
          </w:tcPr>
          <w:p w14:paraId="478B6034" w14:textId="77777777" w:rsidR="00F664AA" w:rsidRDefault="00F664AA" w:rsidP="00B407AB">
            <w:pPr>
              <w:spacing w:before="60" w:after="60"/>
              <w:jc w:val="center"/>
              <w:rPr>
                <w:sz w:val="18"/>
                <w:szCs w:val="18"/>
              </w:rPr>
            </w:pPr>
            <w:r>
              <w:rPr>
                <w:sz w:val="18"/>
                <w:szCs w:val="18"/>
              </w:rPr>
              <w:lastRenderedPageBreak/>
              <w:t>82</w:t>
            </w:r>
          </w:p>
        </w:tc>
        <w:tc>
          <w:tcPr>
            <w:tcW w:w="1276" w:type="dxa"/>
          </w:tcPr>
          <w:p w14:paraId="48F678E4" w14:textId="77777777" w:rsidR="00F664AA" w:rsidRDefault="00F664AA" w:rsidP="00B407AB">
            <w:pPr>
              <w:spacing w:before="60" w:after="60"/>
              <w:jc w:val="center"/>
              <w:rPr>
                <w:sz w:val="18"/>
                <w:szCs w:val="18"/>
              </w:rPr>
            </w:pPr>
            <w:r>
              <w:rPr>
                <w:sz w:val="18"/>
                <w:szCs w:val="18"/>
              </w:rPr>
              <w:t>28 Mar</w:t>
            </w:r>
          </w:p>
        </w:tc>
        <w:tc>
          <w:tcPr>
            <w:tcW w:w="1134" w:type="dxa"/>
          </w:tcPr>
          <w:p w14:paraId="3288A00A" w14:textId="77777777" w:rsidR="00F664AA" w:rsidRDefault="00F664AA" w:rsidP="00B407AB">
            <w:pPr>
              <w:spacing w:before="60" w:after="60"/>
              <w:jc w:val="center"/>
              <w:rPr>
                <w:sz w:val="18"/>
                <w:szCs w:val="18"/>
              </w:rPr>
            </w:pPr>
            <w:r>
              <w:rPr>
                <w:rFonts w:cs="Arial"/>
                <w:sz w:val="18"/>
                <w:szCs w:val="18"/>
              </w:rPr>
              <w:t>1 Apr</w:t>
            </w:r>
          </w:p>
        </w:tc>
        <w:tc>
          <w:tcPr>
            <w:tcW w:w="3335" w:type="dxa"/>
          </w:tcPr>
          <w:p w14:paraId="3E7077F9" w14:textId="77777777" w:rsidR="00F664AA" w:rsidRPr="003F6123" w:rsidRDefault="00F664AA" w:rsidP="00B407AB">
            <w:pPr>
              <w:spacing w:before="60" w:after="60"/>
              <w:rPr>
                <w:rFonts w:cs="Arial"/>
                <w:sz w:val="18"/>
                <w:szCs w:val="18"/>
              </w:rPr>
            </w:pPr>
            <w:r w:rsidRPr="003F6123">
              <w:rPr>
                <w:rFonts w:cs="Arial"/>
                <w:sz w:val="18"/>
                <w:szCs w:val="18"/>
              </w:rPr>
              <w:t>With reference to question 63 on the log and the commissioners response please will you provide further clarity. Can you confirm: if a provider is absorbing costs (investing in the service) in addition to costs outlined in the FMT, so as to ensure a compliant tender,</w:t>
            </w:r>
          </w:p>
          <w:p w14:paraId="7BB76B36" w14:textId="77777777" w:rsidR="00F664AA" w:rsidRPr="003F6123" w:rsidRDefault="00F664AA" w:rsidP="00B407AB">
            <w:pPr>
              <w:spacing w:before="60" w:after="60"/>
              <w:rPr>
                <w:rFonts w:cs="Arial"/>
                <w:sz w:val="18"/>
                <w:szCs w:val="18"/>
              </w:rPr>
            </w:pPr>
            <w:r w:rsidRPr="003F6123">
              <w:rPr>
                <w:rFonts w:cs="Arial"/>
                <w:sz w:val="18"/>
                <w:szCs w:val="18"/>
              </w:rPr>
              <w:t>1) are you requiring bidders to a) include these costs within the FMT (rendering it non compliant)?</w:t>
            </w:r>
          </w:p>
          <w:p w14:paraId="4698FC10" w14:textId="77777777" w:rsidR="00F664AA" w:rsidRPr="003F6123" w:rsidRDefault="00F664AA" w:rsidP="00B407AB">
            <w:pPr>
              <w:spacing w:before="60" w:after="60"/>
              <w:rPr>
                <w:rFonts w:cs="Arial"/>
                <w:sz w:val="18"/>
                <w:szCs w:val="18"/>
              </w:rPr>
            </w:pPr>
            <w:r w:rsidRPr="003F6123">
              <w:rPr>
                <w:rFonts w:cs="Arial"/>
                <w:sz w:val="18"/>
                <w:szCs w:val="18"/>
              </w:rPr>
              <w:t>b) not disclosing the costs of investing in the service?</w:t>
            </w:r>
          </w:p>
          <w:p w14:paraId="760ADEFB" w14:textId="77777777" w:rsidR="00F664AA" w:rsidRPr="00616855" w:rsidRDefault="00F664AA" w:rsidP="00B407AB">
            <w:pPr>
              <w:spacing w:before="60" w:after="60"/>
              <w:rPr>
                <w:rFonts w:cs="Arial"/>
                <w:sz w:val="18"/>
                <w:szCs w:val="18"/>
              </w:rPr>
            </w:pPr>
            <w:r w:rsidRPr="003F6123">
              <w:rPr>
                <w:rFonts w:cs="Arial"/>
                <w:sz w:val="18"/>
                <w:szCs w:val="18"/>
              </w:rPr>
              <w:t>c) including these costs within the narrative but not the FMT? To clarify this relates to investment by providers not costs within the financial envelope?</w:t>
            </w:r>
          </w:p>
        </w:tc>
        <w:tc>
          <w:tcPr>
            <w:tcW w:w="3336" w:type="dxa"/>
          </w:tcPr>
          <w:p w14:paraId="1A1935FA" w14:textId="77777777" w:rsidR="00F664AA" w:rsidRPr="00616855" w:rsidRDefault="00F664AA" w:rsidP="00B407AB">
            <w:pPr>
              <w:spacing w:before="60" w:after="60"/>
              <w:rPr>
                <w:rFonts w:cs="Arial"/>
                <w:sz w:val="18"/>
                <w:szCs w:val="18"/>
              </w:rPr>
            </w:pPr>
            <w:r w:rsidRPr="003F6123">
              <w:rPr>
                <w:rFonts w:cs="Arial"/>
                <w:sz w:val="18"/>
                <w:szCs w:val="18"/>
              </w:rPr>
              <w:t>Please see CQ 79 </w:t>
            </w:r>
            <w:r w:rsidRPr="003F6123">
              <w:rPr>
                <w:rFonts w:cs="Arial"/>
                <w:sz w:val="18"/>
                <w:szCs w:val="18"/>
              </w:rPr>
              <w:br/>
              <w:t xml:space="preserve">a. Please </w:t>
            </w:r>
            <w:r w:rsidRPr="003F6123">
              <w:rPr>
                <w:rFonts w:cs="Arial"/>
                <w:b/>
                <w:bCs/>
                <w:sz w:val="18"/>
                <w:szCs w:val="18"/>
              </w:rPr>
              <w:t>do not render your FMT non-compliant</w:t>
            </w:r>
            <w:r w:rsidRPr="003F6123">
              <w:rPr>
                <w:rFonts w:cs="Arial"/>
                <w:sz w:val="18"/>
                <w:szCs w:val="18"/>
              </w:rPr>
              <w:t xml:space="preserve"> - please ensure the FMT submission is within the maximum budget outlined.</w:t>
            </w:r>
            <w:r w:rsidRPr="003F6123">
              <w:rPr>
                <w:rFonts w:cs="Arial"/>
                <w:sz w:val="18"/>
                <w:szCs w:val="18"/>
              </w:rPr>
              <w:br/>
              <w:t>b. Bidders can disclose the cost of investment in the service - please utilise the attachment function for technical question 2.16 Value for Money &amp; Financial Sustainability</w:t>
            </w:r>
            <w:r w:rsidRPr="003F6123">
              <w:rPr>
                <w:rFonts w:cs="Arial"/>
                <w:sz w:val="18"/>
                <w:szCs w:val="18"/>
              </w:rPr>
              <w:br/>
              <w:t>c. Please utilise the attachment function in response to question 2.16 Value for Money &amp; Financial Sustainability. Please make it clear in the quality written response that the costs will be absorbed by your organisation. Please do not use the Commercial Offer Template (FMT) to submit a non-compliant bid submission.</w:t>
            </w:r>
          </w:p>
        </w:tc>
      </w:tr>
      <w:tr w:rsidR="004005AF" w:rsidRPr="00926368" w14:paraId="5A58584A" w14:textId="77777777">
        <w:tc>
          <w:tcPr>
            <w:tcW w:w="567" w:type="dxa"/>
          </w:tcPr>
          <w:p w14:paraId="150B822E" w14:textId="77777777" w:rsidR="00F664AA" w:rsidRDefault="00F664AA" w:rsidP="00B407AB">
            <w:pPr>
              <w:spacing w:before="60" w:after="60"/>
              <w:jc w:val="center"/>
              <w:rPr>
                <w:sz w:val="18"/>
                <w:szCs w:val="18"/>
              </w:rPr>
            </w:pPr>
            <w:r>
              <w:rPr>
                <w:sz w:val="18"/>
                <w:szCs w:val="18"/>
              </w:rPr>
              <w:t>89</w:t>
            </w:r>
          </w:p>
        </w:tc>
        <w:tc>
          <w:tcPr>
            <w:tcW w:w="1276" w:type="dxa"/>
          </w:tcPr>
          <w:p w14:paraId="758DD03C" w14:textId="77777777" w:rsidR="00F664AA" w:rsidRPr="00926368" w:rsidRDefault="00F664AA" w:rsidP="00B407AB">
            <w:pPr>
              <w:spacing w:before="60" w:after="60"/>
              <w:jc w:val="center"/>
              <w:rPr>
                <w:sz w:val="18"/>
                <w:szCs w:val="18"/>
              </w:rPr>
            </w:pPr>
            <w:r>
              <w:rPr>
                <w:sz w:val="18"/>
                <w:szCs w:val="18"/>
              </w:rPr>
              <w:t>31 Mar</w:t>
            </w:r>
          </w:p>
        </w:tc>
        <w:tc>
          <w:tcPr>
            <w:tcW w:w="1134" w:type="dxa"/>
          </w:tcPr>
          <w:p w14:paraId="5C7A9078" w14:textId="77777777" w:rsidR="00F664AA" w:rsidRDefault="00F664AA" w:rsidP="00B407AB">
            <w:pPr>
              <w:spacing w:before="60" w:after="60"/>
              <w:jc w:val="center"/>
              <w:rPr>
                <w:sz w:val="18"/>
                <w:szCs w:val="18"/>
              </w:rPr>
            </w:pPr>
            <w:r>
              <w:rPr>
                <w:rFonts w:cs="Arial"/>
                <w:sz w:val="18"/>
                <w:szCs w:val="18"/>
              </w:rPr>
              <w:t>1 Apr</w:t>
            </w:r>
          </w:p>
        </w:tc>
        <w:tc>
          <w:tcPr>
            <w:tcW w:w="3335" w:type="dxa"/>
          </w:tcPr>
          <w:p w14:paraId="65054367" w14:textId="77777777" w:rsidR="00F664AA" w:rsidRPr="00616855" w:rsidRDefault="00F664AA" w:rsidP="00B407AB">
            <w:pPr>
              <w:spacing w:before="60" w:after="60"/>
              <w:rPr>
                <w:sz w:val="18"/>
                <w:szCs w:val="18"/>
              </w:rPr>
            </w:pPr>
            <w:r w:rsidRPr="00616855">
              <w:rPr>
                <w:rFonts w:cs="Arial"/>
                <w:sz w:val="18"/>
                <w:szCs w:val="18"/>
              </w:rPr>
              <w:t>Redundancy costs will be a one off year one non recurrent cost of change, where redundancy is unaffordable within the financial envelope allocated and requires a provider to pay for the redundancy costs outside of the financial envelope how does the commissioner expect a bidder to include this cost transparently without exceeding the affordability cap?</w:t>
            </w:r>
          </w:p>
        </w:tc>
        <w:tc>
          <w:tcPr>
            <w:tcW w:w="3336" w:type="dxa"/>
          </w:tcPr>
          <w:p w14:paraId="15F7B145" w14:textId="77777777" w:rsidR="00F664AA" w:rsidRPr="00616855" w:rsidRDefault="00F664AA" w:rsidP="00B407AB">
            <w:pPr>
              <w:spacing w:before="60" w:after="60"/>
              <w:rPr>
                <w:sz w:val="18"/>
                <w:szCs w:val="18"/>
              </w:rPr>
            </w:pPr>
            <w:r w:rsidRPr="00616855">
              <w:rPr>
                <w:rFonts w:cs="Arial"/>
                <w:sz w:val="18"/>
                <w:szCs w:val="18"/>
              </w:rPr>
              <w:t>Please see CQ 79.</w:t>
            </w:r>
            <w:r>
              <w:rPr>
                <w:rFonts w:cs="Arial"/>
                <w:sz w:val="18"/>
                <w:szCs w:val="18"/>
              </w:rPr>
              <w:t xml:space="preserve"> </w:t>
            </w:r>
            <w:r w:rsidRPr="00616855">
              <w:rPr>
                <w:rFonts w:cs="Arial"/>
                <w:sz w:val="18"/>
                <w:szCs w:val="18"/>
              </w:rPr>
              <w:t>Please do not breach the FMT, the Commercial Offer Template should be submitted within the maximum budget. Bidders may utilise technical question 2.16 Value for Money &amp; Financial Sustainability - Please make it clear in the quality written response or supporting attachments that the costs will be absorbed by your organisation (for information only).</w:t>
            </w:r>
          </w:p>
        </w:tc>
      </w:tr>
    </w:tbl>
    <w:p w14:paraId="0A3FFFE1" w14:textId="77777777" w:rsidR="00F664AA" w:rsidRPr="00EA367E" w:rsidRDefault="00F664AA" w:rsidP="00F664AA">
      <w:pPr>
        <w:spacing w:before="60" w:after="360" w:line="240" w:lineRule="auto"/>
        <w:rPr>
          <w:sz w:val="16"/>
          <w:szCs w:val="16"/>
          <w:lang w:val="fr-FR"/>
        </w:rPr>
      </w:pPr>
      <w:r w:rsidRPr="00EA367E">
        <w:rPr>
          <w:sz w:val="16"/>
          <w:szCs w:val="16"/>
          <w:lang w:val="fr-FR"/>
        </w:rPr>
        <w:t xml:space="preserve">Source: MSE ICB, </w:t>
      </w:r>
      <w:r w:rsidRPr="00EA367E">
        <w:rPr>
          <w:i/>
          <w:sz w:val="16"/>
          <w:szCs w:val="16"/>
          <w:lang w:val="fr-FR"/>
        </w:rPr>
        <w:t>Clarification Questions Log version 5</w:t>
      </w:r>
      <w:r w:rsidRPr="00EA367E">
        <w:rPr>
          <w:sz w:val="16"/>
          <w:szCs w:val="16"/>
          <w:lang w:val="fr-FR"/>
        </w:rPr>
        <w:t>, 1 April 2025.</w:t>
      </w:r>
    </w:p>
    <w:p w14:paraId="55ADB82A" w14:textId="77777777" w:rsidR="00F664AA" w:rsidRPr="005D07EF" w:rsidRDefault="00F664AA" w:rsidP="00485DA5">
      <w:pPr>
        <w:rPr>
          <w:lang w:val="fr-FR"/>
        </w:rPr>
      </w:pPr>
    </w:p>
    <w:p w14:paraId="5F7C9D56" w14:textId="77777777" w:rsidR="00F664AA" w:rsidRPr="005D07EF" w:rsidRDefault="00F664AA" w:rsidP="00485DA5">
      <w:pPr>
        <w:rPr>
          <w:lang w:val="fr-FR"/>
        </w:rPr>
      </w:pPr>
    </w:p>
    <w:p w14:paraId="080EB004" w14:textId="77777777" w:rsidR="00DE2047" w:rsidRPr="005D07EF" w:rsidRDefault="00DE2047" w:rsidP="00485DA5">
      <w:pPr>
        <w:rPr>
          <w:lang w:val="fr-FR"/>
        </w:rPr>
        <w:sectPr w:rsidR="00DE2047" w:rsidRPr="005D07EF" w:rsidSect="00286474">
          <w:pgSz w:w="11906" w:h="16838"/>
          <w:pgMar w:top="1440" w:right="1440" w:bottom="1440" w:left="1440" w:header="708" w:footer="708" w:gutter="0"/>
          <w:cols w:space="708"/>
          <w:titlePg/>
          <w:docGrid w:linePitch="360"/>
        </w:sectPr>
      </w:pPr>
    </w:p>
    <w:p w14:paraId="520FFAC0" w14:textId="237FAA2A" w:rsidR="00C51955" w:rsidRDefault="00E55A6F" w:rsidP="004353F1">
      <w:pPr>
        <w:pStyle w:val="Heading1"/>
        <w:numPr>
          <w:ilvl w:val="0"/>
          <w:numId w:val="0"/>
        </w:numPr>
        <w:ind w:left="432" w:hanging="432"/>
      </w:pPr>
      <w:bookmarkStart w:id="62" w:name="_Toc209611782"/>
      <w:r>
        <w:lastRenderedPageBreak/>
        <w:t xml:space="preserve">Appendix </w:t>
      </w:r>
      <w:r w:rsidR="00F664AA">
        <w:t>2</w:t>
      </w:r>
      <w:r>
        <w:t xml:space="preserve">: </w:t>
      </w:r>
      <w:r w:rsidR="0021296E">
        <w:t>Other c</w:t>
      </w:r>
      <w:r>
        <w:t xml:space="preserve">larification </w:t>
      </w:r>
      <w:r w:rsidR="0021296E">
        <w:t>q</w:t>
      </w:r>
      <w:r>
        <w:t>uestions and responses</w:t>
      </w:r>
      <w:bookmarkEnd w:id="62"/>
    </w:p>
    <w:tbl>
      <w:tblPr>
        <w:tblW w:w="15446" w:type="dxa"/>
        <w:tblLook w:val="04A0" w:firstRow="1" w:lastRow="0" w:firstColumn="1" w:lastColumn="0" w:noHBand="0" w:noVBand="1"/>
      </w:tblPr>
      <w:tblGrid>
        <w:gridCol w:w="520"/>
        <w:gridCol w:w="2736"/>
        <w:gridCol w:w="1275"/>
        <w:gridCol w:w="1276"/>
        <w:gridCol w:w="2552"/>
        <w:gridCol w:w="3827"/>
        <w:gridCol w:w="3260"/>
      </w:tblGrid>
      <w:tr w:rsidR="00C557E4" w:rsidRPr="00DE2047" w14:paraId="259A5F3D" w14:textId="77777777" w:rsidTr="004851D5">
        <w:trPr>
          <w:trHeight w:val="240"/>
        </w:trPr>
        <w:tc>
          <w:tcPr>
            <w:tcW w:w="52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A60A8FA" w14:textId="77777777" w:rsidR="00DE2047" w:rsidRPr="00DE2047" w:rsidRDefault="00DE2047" w:rsidP="00DE2047">
            <w:pPr>
              <w:spacing w:after="0" w:line="240" w:lineRule="auto"/>
              <w:jc w:val="center"/>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No</w:t>
            </w:r>
          </w:p>
        </w:tc>
        <w:tc>
          <w:tcPr>
            <w:tcW w:w="2736" w:type="dxa"/>
            <w:tcBorders>
              <w:top w:val="single" w:sz="4" w:space="0" w:color="auto"/>
              <w:left w:val="nil"/>
              <w:bottom w:val="single" w:sz="4" w:space="0" w:color="auto"/>
              <w:right w:val="single" w:sz="4" w:space="0" w:color="auto"/>
            </w:tcBorders>
            <w:shd w:val="clear" w:color="000000" w:fill="E7E6E6"/>
            <w:vAlign w:val="center"/>
            <w:hideMark/>
          </w:tcPr>
          <w:p w14:paraId="293F5F8E" w14:textId="77777777" w:rsidR="00DE2047" w:rsidRPr="00DE2047" w:rsidRDefault="00DE2047" w:rsidP="00DE2047">
            <w:pPr>
              <w:spacing w:after="0" w:line="240" w:lineRule="auto"/>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Question</w:t>
            </w:r>
          </w:p>
        </w:tc>
        <w:tc>
          <w:tcPr>
            <w:tcW w:w="1275" w:type="dxa"/>
            <w:tcBorders>
              <w:top w:val="single" w:sz="4" w:space="0" w:color="auto"/>
              <w:left w:val="nil"/>
              <w:bottom w:val="single" w:sz="4" w:space="0" w:color="auto"/>
              <w:right w:val="single" w:sz="4" w:space="0" w:color="auto"/>
            </w:tcBorders>
            <w:shd w:val="clear" w:color="000000" w:fill="E7E6E6"/>
            <w:vAlign w:val="center"/>
            <w:hideMark/>
          </w:tcPr>
          <w:p w14:paraId="7F41912A" w14:textId="77777777" w:rsidR="00DE2047" w:rsidRPr="00DE2047" w:rsidRDefault="00DE2047" w:rsidP="00DE2047">
            <w:pPr>
              <w:spacing w:after="0" w:line="240" w:lineRule="auto"/>
              <w:jc w:val="center"/>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Date Sent</w:t>
            </w:r>
          </w:p>
        </w:tc>
        <w:tc>
          <w:tcPr>
            <w:tcW w:w="1276" w:type="dxa"/>
            <w:tcBorders>
              <w:top w:val="single" w:sz="4" w:space="0" w:color="auto"/>
              <w:left w:val="nil"/>
              <w:bottom w:val="single" w:sz="4" w:space="0" w:color="auto"/>
              <w:right w:val="single" w:sz="4" w:space="0" w:color="auto"/>
            </w:tcBorders>
            <w:shd w:val="clear" w:color="000000" w:fill="E7E6E6"/>
            <w:vAlign w:val="center"/>
            <w:hideMark/>
          </w:tcPr>
          <w:p w14:paraId="116AFC82" w14:textId="77777777" w:rsidR="00DE2047" w:rsidRPr="00DE2047" w:rsidRDefault="00DE2047" w:rsidP="00DE2047">
            <w:pPr>
              <w:spacing w:after="0" w:line="240" w:lineRule="auto"/>
              <w:jc w:val="center"/>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Response date</w:t>
            </w:r>
          </w:p>
        </w:tc>
        <w:tc>
          <w:tcPr>
            <w:tcW w:w="2552" w:type="dxa"/>
            <w:tcBorders>
              <w:top w:val="single" w:sz="4" w:space="0" w:color="auto"/>
              <w:left w:val="nil"/>
              <w:bottom w:val="single" w:sz="4" w:space="0" w:color="auto"/>
              <w:right w:val="single" w:sz="4" w:space="0" w:color="auto"/>
            </w:tcBorders>
            <w:shd w:val="clear" w:color="000000" w:fill="E7E6E6"/>
            <w:vAlign w:val="center"/>
            <w:hideMark/>
          </w:tcPr>
          <w:p w14:paraId="5065D1A1" w14:textId="77777777" w:rsidR="00DE2047" w:rsidRPr="00DE2047" w:rsidRDefault="00DE2047" w:rsidP="00DE2047">
            <w:pPr>
              <w:spacing w:after="0" w:line="240" w:lineRule="auto"/>
              <w:jc w:val="center"/>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Authority Response</w:t>
            </w:r>
          </w:p>
        </w:tc>
        <w:tc>
          <w:tcPr>
            <w:tcW w:w="3827" w:type="dxa"/>
            <w:tcBorders>
              <w:top w:val="single" w:sz="4" w:space="0" w:color="auto"/>
              <w:left w:val="nil"/>
              <w:bottom w:val="single" w:sz="4" w:space="0" w:color="auto"/>
              <w:right w:val="single" w:sz="4" w:space="0" w:color="auto"/>
            </w:tcBorders>
            <w:shd w:val="clear" w:color="000000" w:fill="E7E6E6"/>
            <w:vAlign w:val="center"/>
            <w:hideMark/>
          </w:tcPr>
          <w:p w14:paraId="6D27F57C" w14:textId="77777777" w:rsidR="00DE2047" w:rsidRPr="00DE2047" w:rsidRDefault="00DE2047" w:rsidP="00DE2047">
            <w:pPr>
              <w:spacing w:after="0" w:line="240" w:lineRule="auto"/>
              <w:jc w:val="center"/>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Providers’ concerns</w:t>
            </w:r>
          </w:p>
        </w:tc>
        <w:tc>
          <w:tcPr>
            <w:tcW w:w="3260" w:type="dxa"/>
            <w:tcBorders>
              <w:top w:val="single" w:sz="4" w:space="0" w:color="auto"/>
              <w:left w:val="nil"/>
              <w:bottom w:val="single" w:sz="4" w:space="0" w:color="auto"/>
              <w:right w:val="single" w:sz="4" w:space="0" w:color="auto"/>
            </w:tcBorders>
            <w:shd w:val="clear" w:color="000000" w:fill="E7E6E6"/>
            <w:vAlign w:val="center"/>
            <w:hideMark/>
          </w:tcPr>
          <w:p w14:paraId="31019ABF" w14:textId="77777777" w:rsidR="00DE2047" w:rsidRPr="00DE2047" w:rsidRDefault="00DE2047" w:rsidP="00DE2047">
            <w:pPr>
              <w:spacing w:after="0" w:line="240" w:lineRule="auto"/>
              <w:jc w:val="center"/>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Panel view</w:t>
            </w:r>
          </w:p>
        </w:tc>
      </w:tr>
      <w:tr w:rsidR="00DE2047" w:rsidRPr="00DE2047" w14:paraId="138060E9" w14:textId="77777777" w:rsidTr="004851D5">
        <w:trPr>
          <w:trHeight w:val="240"/>
        </w:trPr>
        <w:tc>
          <w:tcPr>
            <w:tcW w:w="15446" w:type="dxa"/>
            <w:gridSpan w:val="7"/>
            <w:tcBorders>
              <w:top w:val="single" w:sz="4" w:space="0" w:color="auto"/>
              <w:left w:val="single" w:sz="4" w:space="0" w:color="auto"/>
              <w:bottom w:val="single" w:sz="4" w:space="0" w:color="auto"/>
              <w:right w:val="single" w:sz="4" w:space="0" w:color="000000"/>
            </w:tcBorders>
            <w:vAlign w:val="center"/>
            <w:hideMark/>
          </w:tcPr>
          <w:p w14:paraId="2E447670" w14:textId="77777777" w:rsidR="00DE2047" w:rsidRPr="00DE2047" w:rsidRDefault="00DE2047" w:rsidP="00DE2047">
            <w:pPr>
              <w:spacing w:after="0" w:line="240" w:lineRule="auto"/>
              <w:rPr>
                <w:rFonts w:eastAsia="Times New Roman" w:cs="Arial"/>
                <w:b/>
                <w:bCs/>
                <w:color w:val="0070C0"/>
                <w:kern w:val="0"/>
                <w:sz w:val="18"/>
                <w:szCs w:val="18"/>
                <w:lang w:eastAsia="en-GB"/>
                <w14:ligatures w14:val="none"/>
              </w:rPr>
            </w:pPr>
            <w:r w:rsidRPr="00DE2047">
              <w:rPr>
                <w:rFonts w:eastAsia="Times New Roman" w:cs="Arial"/>
                <w:b/>
                <w:bCs/>
                <w:color w:val="0070C0"/>
                <w:kern w:val="0"/>
                <w:sz w:val="18"/>
                <w:szCs w:val="18"/>
                <w:lang w:eastAsia="en-GB"/>
                <w14:ligatures w14:val="none"/>
              </w:rPr>
              <w:t>CQs about activity targets</w:t>
            </w:r>
          </w:p>
        </w:tc>
      </w:tr>
      <w:tr w:rsidR="00C557E4" w:rsidRPr="00DE2047" w14:paraId="006602ED" w14:textId="77777777" w:rsidTr="004851D5">
        <w:trPr>
          <w:trHeight w:val="2313"/>
        </w:trPr>
        <w:tc>
          <w:tcPr>
            <w:tcW w:w="520" w:type="dxa"/>
            <w:tcBorders>
              <w:top w:val="nil"/>
              <w:left w:val="single" w:sz="4" w:space="0" w:color="auto"/>
              <w:bottom w:val="single" w:sz="4" w:space="0" w:color="auto"/>
              <w:right w:val="single" w:sz="4" w:space="0" w:color="auto"/>
            </w:tcBorders>
            <w:hideMark/>
          </w:tcPr>
          <w:p w14:paraId="3F12834A"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6</w:t>
            </w:r>
          </w:p>
        </w:tc>
        <w:tc>
          <w:tcPr>
            <w:tcW w:w="2736" w:type="dxa"/>
            <w:tcBorders>
              <w:top w:val="nil"/>
              <w:left w:val="nil"/>
              <w:bottom w:val="single" w:sz="4" w:space="0" w:color="auto"/>
              <w:right w:val="single" w:sz="4" w:space="0" w:color="auto"/>
            </w:tcBorders>
            <w:hideMark/>
          </w:tcPr>
          <w:p w14:paraId="44439403" w14:textId="77777777" w:rsidR="00DE2047" w:rsidRPr="00DE2047" w:rsidRDefault="00DE2047" w:rsidP="00DE2047">
            <w:pPr>
              <w:spacing w:after="0" w:line="240" w:lineRule="auto"/>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Upon reviewing the tender documents, we have been unable to identify specific NHS Talking Therapy targets for completed courses of treatment. </w:t>
            </w:r>
            <w:r w:rsidRPr="00DE2047">
              <w:rPr>
                <w:rFonts w:eastAsia="Times New Roman" w:cs="Arial"/>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br/>
              <w:t>Can commissioners please promptly confirm what these are for the contract to enable consideration of workforce requirements?  </w:t>
            </w:r>
          </w:p>
        </w:tc>
        <w:tc>
          <w:tcPr>
            <w:tcW w:w="1275" w:type="dxa"/>
            <w:tcBorders>
              <w:top w:val="nil"/>
              <w:left w:val="nil"/>
              <w:bottom w:val="single" w:sz="4" w:space="0" w:color="auto"/>
              <w:right w:val="single" w:sz="4" w:space="0" w:color="auto"/>
            </w:tcBorders>
            <w:hideMark/>
          </w:tcPr>
          <w:p w14:paraId="6F9200AB"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06/03/2025</w:t>
            </w:r>
          </w:p>
        </w:tc>
        <w:tc>
          <w:tcPr>
            <w:tcW w:w="1276" w:type="dxa"/>
            <w:tcBorders>
              <w:top w:val="nil"/>
              <w:left w:val="nil"/>
              <w:bottom w:val="single" w:sz="4" w:space="0" w:color="auto"/>
              <w:right w:val="single" w:sz="4" w:space="0" w:color="auto"/>
            </w:tcBorders>
            <w:hideMark/>
          </w:tcPr>
          <w:p w14:paraId="4F308832"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10/03/2025</w:t>
            </w:r>
          </w:p>
        </w:tc>
        <w:tc>
          <w:tcPr>
            <w:tcW w:w="2552" w:type="dxa"/>
            <w:tcBorders>
              <w:top w:val="nil"/>
              <w:left w:val="nil"/>
              <w:bottom w:val="single" w:sz="4" w:space="0" w:color="auto"/>
              <w:right w:val="single" w:sz="4" w:space="0" w:color="auto"/>
            </w:tcBorders>
            <w:hideMark/>
          </w:tcPr>
          <w:p w14:paraId="13E5CB8C" w14:textId="77777777" w:rsidR="00DE2047" w:rsidRPr="00DE2047" w:rsidRDefault="00DE2047" w:rsidP="00DE2047">
            <w:pPr>
              <w:spacing w:after="0" w:line="240" w:lineRule="auto"/>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NHS Talking Therapy targets for the completed course of treatment are indicative and subject to change, depending on performance and assumptions. The target for FY 2025/26 is 14,476. </w:t>
            </w:r>
          </w:p>
        </w:tc>
        <w:tc>
          <w:tcPr>
            <w:tcW w:w="3827" w:type="dxa"/>
            <w:vMerge w:val="restart"/>
            <w:tcBorders>
              <w:top w:val="nil"/>
              <w:left w:val="single" w:sz="4" w:space="0" w:color="auto"/>
              <w:bottom w:val="single" w:sz="4" w:space="0" w:color="auto"/>
              <w:right w:val="single" w:sz="4" w:space="0" w:color="auto"/>
            </w:tcBorders>
            <w:hideMark/>
          </w:tcPr>
          <w:p w14:paraId="71BE641E" w14:textId="77777777" w:rsidR="00DE2047" w:rsidRPr="00DE2047" w:rsidRDefault="00DE2047" w:rsidP="00DE2047">
            <w:pPr>
              <w:spacing w:after="0" w:line="240" w:lineRule="auto"/>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MPFT’s concerns (CR0021-25/P02):</w:t>
            </w:r>
            <w:r w:rsidRPr="00DE2047">
              <w:rPr>
                <w:rFonts w:eastAsia="Times New Roman" w:cs="Arial"/>
                <w:b/>
                <w:bCs/>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t>Responses around the lack of specified NHS Talking Therapy targets within the Specification and Documentation. Bidders requested this information through the clarification process (Clarification Question 6 and 36) in order to consider the appropriate model and cost submissions. Responses provided by the ICB do not provide the appropriate level of detail to allow bidders to fully consider and operationally model the requirements for staffing resource to safely provide the requirement with the ICB responding “NHS Talking Therapy targets for the completed course of treatment are indicative and subject to change, depending on performance and assumptions. The target for FY 2025/26 is 14,476.</w:t>
            </w:r>
          </w:p>
        </w:tc>
        <w:tc>
          <w:tcPr>
            <w:tcW w:w="3260" w:type="dxa"/>
            <w:vMerge w:val="restart"/>
            <w:tcBorders>
              <w:top w:val="nil"/>
              <w:left w:val="single" w:sz="4" w:space="0" w:color="auto"/>
              <w:bottom w:val="single" w:sz="4" w:space="0" w:color="000000"/>
              <w:right w:val="single" w:sz="4" w:space="0" w:color="auto"/>
            </w:tcBorders>
            <w:hideMark/>
          </w:tcPr>
          <w:p w14:paraId="3013BDD3" w14:textId="45A1EC5F" w:rsidR="00DE2047" w:rsidRPr="00DE2047" w:rsidRDefault="00DE2047" w:rsidP="00DE2047">
            <w:pPr>
              <w:spacing w:after="0" w:line="240" w:lineRule="auto"/>
              <w:rPr>
                <w:rFonts w:eastAsia="Times New Roman" w:cs="Arial"/>
                <w:kern w:val="0"/>
                <w:sz w:val="18"/>
                <w:szCs w:val="18"/>
                <w:lang w:eastAsia="en-GB"/>
                <w14:ligatures w14:val="none"/>
              </w:rPr>
            </w:pPr>
            <w:r w:rsidRPr="00DE2047">
              <w:rPr>
                <w:rFonts w:eastAsia="Times New Roman" w:cs="Arial"/>
                <w:kern w:val="0"/>
                <w:sz w:val="18"/>
                <w:szCs w:val="18"/>
                <w:lang w:eastAsia="en-GB"/>
                <w14:ligatures w14:val="none"/>
              </w:rPr>
              <w:t>Three CQs were asked about activity targets and waiting lists. The Panel's view is that these questions were not fully answered by MSE ICB, with incomplete and/or partial data being provided in response to bidders' questions.</w:t>
            </w:r>
            <w:r w:rsidRPr="00DE2047">
              <w:rPr>
                <w:rFonts w:eastAsia="Times New Roman" w:cs="Arial"/>
                <w:kern w:val="0"/>
                <w:sz w:val="18"/>
                <w:szCs w:val="18"/>
                <w:lang w:eastAsia="en-GB"/>
                <w14:ligatures w14:val="none"/>
              </w:rPr>
              <w:br/>
            </w:r>
            <w:r w:rsidRPr="00DE2047">
              <w:rPr>
                <w:rFonts w:eastAsia="Times New Roman" w:cs="Arial"/>
                <w:kern w:val="0"/>
                <w:sz w:val="18"/>
                <w:szCs w:val="18"/>
                <w:lang w:eastAsia="en-GB"/>
                <w14:ligatures w14:val="none"/>
              </w:rPr>
              <w:br/>
            </w:r>
            <w:r w:rsidR="00220E20">
              <w:rPr>
                <w:rFonts w:eastAsia="Times New Roman" w:cs="Arial"/>
                <w:kern w:val="0"/>
                <w:sz w:val="18"/>
                <w:szCs w:val="18"/>
                <w:lang w:eastAsia="en-GB"/>
                <w14:ligatures w14:val="none"/>
              </w:rPr>
              <w:t xml:space="preserve">The Panel notes </w:t>
            </w:r>
            <w:r w:rsidR="009776C7">
              <w:rPr>
                <w:rFonts w:eastAsia="Times New Roman" w:cs="Arial"/>
                <w:kern w:val="0"/>
                <w:sz w:val="18"/>
                <w:szCs w:val="18"/>
                <w:lang w:eastAsia="en-GB"/>
                <w14:ligatures w14:val="none"/>
              </w:rPr>
              <w:t xml:space="preserve">that </w:t>
            </w:r>
            <w:r w:rsidRPr="00DE2047">
              <w:rPr>
                <w:rFonts w:eastAsia="Times New Roman" w:cs="Arial"/>
                <w:kern w:val="0"/>
                <w:sz w:val="18"/>
                <w:szCs w:val="18"/>
                <w:lang w:eastAsia="en-GB"/>
                <w14:ligatures w14:val="none"/>
              </w:rPr>
              <w:t>MSE ICB took 12 working days to answer one of the three questions which, in the context of a 2</w:t>
            </w:r>
            <w:r w:rsidR="00B95C61">
              <w:rPr>
                <w:rFonts w:eastAsia="Times New Roman" w:cs="Arial"/>
                <w:kern w:val="0"/>
                <w:sz w:val="18"/>
                <w:szCs w:val="18"/>
                <w:lang w:eastAsia="en-GB"/>
                <w14:ligatures w14:val="none"/>
              </w:rPr>
              <w:t>3</w:t>
            </w:r>
            <w:r w:rsidRPr="00DE2047">
              <w:rPr>
                <w:rFonts w:eastAsia="Times New Roman" w:cs="Arial"/>
                <w:kern w:val="0"/>
                <w:sz w:val="18"/>
                <w:szCs w:val="18"/>
                <w:lang w:eastAsia="en-GB"/>
                <w14:ligatures w14:val="none"/>
              </w:rPr>
              <w:t xml:space="preserve"> working day bidding process is neither fair nor proportionate. Moreover, the answer provided after 12 working days largely replicated an earlier answer to the same question, albeit with slightly different figures.</w:t>
            </w:r>
          </w:p>
        </w:tc>
      </w:tr>
      <w:tr w:rsidR="00C557E4" w:rsidRPr="00DE2047" w14:paraId="39FA1531" w14:textId="77777777" w:rsidTr="0088618B">
        <w:trPr>
          <w:trHeight w:val="2721"/>
        </w:trPr>
        <w:tc>
          <w:tcPr>
            <w:tcW w:w="520" w:type="dxa"/>
            <w:tcBorders>
              <w:top w:val="nil"/>
              <w:left w:val="single" w:sz="4" w:space="0" w:color="auto"/>
              <w:bottom w:val="single" w:sz="4" w:space="0" w:color="auto"/>
              <w:right w:val="single" w:sz="4" w:space="0" w:color="auto"/>
            </w:tcBorders>
            <w:hideMark/>
          </w:tcPr>
          <w:p w14:paraId="648AE535"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36</w:t>
            </w:r>
          </w:p>
        </w:tc>
        <w:tc>
          <w:tcPr>
            <w:tcW w:w="2736" w:type="dxa"/>
            <w:tcBorders>
              <w:top w:val="nil"/>
              <w:left w:val="nil"/>
              <w:bottom w:val="single" w:sz="4" w:space="0" w:color="auto"/>
              <w:right w:val="single" w:sz="4" w:space="0" w:color="auto"/>
            </w:tcBorders>
            <w:hideMark/>
          </w:tcPr>
          <w:p w14:paraId="3F881B6A" w14:textId="77777777" w:rsidR="00DE2047" w:rsidRPr="00DE2047" w:rsidRDefault="00DE2047" w:rsidP="00DE2047">
            <w:pPr>
              <w:spacing w:after="0" w:line="240" w:lineRule="auto"/>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Upon reviewing the tender documents, we have been unable to identify specific NHS Talking Therapy targets for completed courses of treatment.   </w:t>
            </w:r>
            <w:r w:rsidRPr="00DE2047">
              <w:rPr>
                <w:rFonts w:eastAsia="Times New Roman" w:cs="Arial"/>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br/>
              <w:t>Can commissioners please promptly confirm what these are for the contract to enable consideration of workforce requirements? </w:t>
            </w:r>
          </w:p>
        </w:tc>
        <w:tc>
          <w:tcPr>
            <w:tcW w:w="1275" w:type="dxa"/>
            <w:tcBorders>
              <w:top w:val="nil"/>
              <w:left w:val="nil"/>
              <w:bottom w:val="single" w:sz="4" w:space="0" w:color="auto"/>
              <w:right w:val="single" w:sz="4" w:space="0" w:color="auto"/>
            </w:tcBorders>
            <w:hideMark/>
          </w:tcPr>
          <w:p w14:paraId="63908EB7"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10/03/2025</w:t>
            </w:r>
          </w:p>
        </w:tc>
        <w:tc>
          <w:tcPr>
            <w:tcW w:w="1276" w:type="dxa"/>
            <w:tcBorders>
              <w:top w:val="nil"/>
              <w:left w:val="nil"/>
              <w:bottom w:val="single" w:sz="4" w:space="0" w:color="auto"/>
              <w:right w:val="single" w:sz="4" w:space="0" w:color="auto"/>
            </w:tcBorders>
            <w:hideMark/>
          </w:tcPr>
          <w:p w14:paraId="3BC0012F"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26/03/2025</w:t>
            </w:r>
          </w:p>
        </w:tc>
        <w:tc>
          <w:tcPr>
            <w:tcW w:w="2552" w:type="dxa"/>
            <w:tcBorders>
              <w:top w:val="nil"/>
              <w:left w:val="nil"/>
              <w:bottom w:val="single" w:sz="4" w:space="0" w:color="auto"/>
              <w:right w:val="single" w:sz="4" w:space="0" w:color="auto"/>
            </w:tcBorders>
            <w:hideMark/>
          </w:tcPr>
          <w:p w14:paraId="4FFA47D5" w14:textId="77777777" w:rsidR="00DE2047" w:rsidRPr="00DE2047" w:rsidRDefault="00DE2047" w:rsidP="00DE2047">
            <w:pPr>
              <w:spacing w:after="0" w:line="240" w:lineRule="auto"/>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NHS Talking Therapy targets for the completed course of treatment are indicative and subject to change, depending on performance and assumptions. The target for FY 2025/26 is</w:t>
            </w:r>
            <w:r w:rsidRPr="00DE2047">
              <w:rPr>
                <w:rFonts w:eastAsia="Times New Roman" w:cs="Arial"/>
                <w:b/>
                <w:bCs/>
                <w:color w:val="000000"/>
                <w:kern w:val="0"/>
                <w:sz w:val="18"/>
                <w:szCs w:val="18"/>
                <w:lang w:eastAsia="en-GB"/>
                <w14:ligatures w14:val="none"/>
              </w:rPr>
              <w:t xml:space="preserve"> 14,933</w:t>
            </w:r>
            <w:r w:rsidRPr="00DE2047">
              <w:rPr>
                <w:rFonts w:eastAsia="Times New Roman" w:cs="Arial"/>
                <w:color w:val="000000"/>
                <w:kern w:val="0"/>
                <w:sz w:val="18"/>
                <w:szCs w:val="18"/>
                <w:lang w:eastAsia="en-GB"/>
                <w14:ligatures w14:val="none"/>
              </w:rPr>
              <w:t> </w:t>
            </w:r>
          </w:p>
        </w:tc>
        <w:tc>
          <w:tcPr>
            <w:tcW w:w="3827" w:type="dxa"/>
            <w:vMerge/>
            <w:tcBorders>
              <w:top w:val="nil"/>
              <w:left w:val="single" w:sz="4" w:space="0" w:color="auto"/>
              <w:bottom w:val="single" w:sz="4" w:space="0" w:color="auto"/>
              <w:right w:val="single" w:sz="4" w:space="0" w:color="auto"/>
            </w:tcBorders>
            <w:vAlign w:val="center"/>
            <w:hideMark/>
          </w:tcPr>
          <w:p w14:paraId="4FA29576" w14:textId="77777777" w:rsidR="00DE2047" w:rsidRPr="00DE2047" w:rsidRDefault="00DE2047" w:rsidP="00DE2047">
            <w:pPr>
              <w:spacing w:after="0" w:line="240" w:lineRule="auto"/>
              <w:rPr>
                <w:rFonts w:eastAsia="Times New Roman" w:cs="Arial"/>
                <w:b/>
                <w:bCs/>
                <w:color w:val="000000"/>
                <w:kern w:val="0"/>
                <w:sz w:val="18"/>
                <w:szCs w:val="18"/>
                <w:lang w:eastAsia="en-GB"/>
                <w14:ligatures w14:val="none"/>
              </w:rPr>
            </w:pPr>
          </w:p>
        </w:tc>
        <w:tc>
          <w:tcPr>
            <w:tcW w:w="3260" w:type="dxa"/>
            <w:vMerge/>
            <w:tcBorders>
              <w:top w:val="nil"/>
              <w:left w:val="single" w:sz="4" w:space="0" w:color="auto"/>
              <w:bottom w:val="single" w:sz="4" w:space="0" w:color="000000"/>
              <w:right w:val="single" w:sz="4" w:space="0" w:color="auto"/>
            </w:tcBorders>
            <w:vAlign w:val="center"/>
            <w:hideMark/>
          </w:tcPr>
          <w:p w14:paraId="2B4CBCF7" w14:textId="77777777" w:rsidR="00DE2047" w:rsidRPr="00DE2047" w:rsidRDefault="00DE2047" w:rsidP="00DE2047">
            <w:pPr>
              <w:spacing w:after="0" w:line="240" w:lineRule="auto"/>
              <w:rPr>
                <w:rFonts w:eastAsia="Times New Roman" w:cs="Arial"/>
                <w:kern w:val="0"/>
                <w:sz w:val="18"/>
                <w:szCs w:val="18"/>
                <w:lang w:eastAsia="en-GB"/>
                <w14:ligatures w14:val="none"/>
              </w:rPr>
            </w:pPr>
          </w:p>
        </w:tc>
      </w:tr>
      <w:tr w:rsidR="00C557E4" w:rsidRPr="00DE2047" w14:paraId="74F0ECAA" w14:textId="77777777" w:rsidTr="004851D5">
        <w:trPr>
          <w:trHeight w:val="1824"/>
        </w:trPr>
        <w:tc>
          <w:tcPr>
            <w:tcW w:w="520" w:type="dxa"/>
            <w:tcBorders>
              <w:top w:val="nil"/>
              <w:left w:val="single" w:sz="4" w:space="0" w:color="auto"/>
              <w:bottom w:val="single" w:sz="4" w:space="0" w:color="auto"/>
              <w:right w:val="single" w:sz="4" w:space="0" w:color="auto"/>
            </w:tcBorders>
            <w:hideMark/>
          </w:tcPr>
          <w:p w14:paraId="4A0BBAE3"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86</w:t>
            </w:r>
          </w:p>
        </w:tc>
        <w:tc>
          <w:tcPr>
            <w:tcW w:w="2736" w:type="dxa"/>
            <w:tcBorders>
              <w:top w:val="nil"/>
              <w:left w:val="nil"/>
              <w:bottom w:val="single" w:sz="4" w:space="0" w:color="auto"/>
              <w:right w:val="single" w:sz="4" w:space="0" w:color="auto"/>
            </w:tcBorders>
            <w:hideMark/>
          </w:tcPr>
          <w:p w14:paraId="3F0D783F" w14:textId="77777777" w:rsidR="00DE2047" w:rsidRPr="00DE2047" w:rsidRDefault="00DE2047" w:rsidP="00DE2047">
            <w:pPr>
              <w:spacing w:after="0" w:line="240" w:lineRule="auto"/>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Could commissioners please confirm the current waiting list position by provider for second appointments, broken down by volume of waits (e.g. number of patients waiting). Under and over 28 days and over 90 days by step 2, step 3 and step 4.</w:t>
            </w:r>
          </w:p>
        </w:tc>
        <w:tc>
          <w:tcPr>
            <w:tcW w:w="1275" w:type="dxa"/>
            <w:tcBorders>
              <w:top w:val="nil"/>
              <w:left w:val="nil"/>
              <w:bottom w:val="single" w:sz="4" w:space="0" w:color="auto"/>
              <w:right w:val="single" w:sz="4" w:space="0" w:color="auto"/>
            </w:tcBorders>
            <w:hideMark/>
          </w:tcPr>
          <w:p w14:paraId="02CAE44E"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31/03/2025</w:t>
            </w:r>
          </w:p>
        </w:tc>
        <w:tc>
          <w:tcPr>
            <w:tcW w:w="1276" w:type="dxa"/>
            <w:tcBorders>
              <w:top w:val="nil"/>
              <w:left w:val="nil"/>
              <w:bottom w:val="single" w:sz="4" w:space="0" w:color="auto"/>
              <w:right w:val="single" w:sz="4" w:space="0" w:color="auto"/>
            </w:tcBorders>
            <w:hideMark/>
          </w:tcPr>
          <w:p w14:paraId="3CA52887"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01/04/2025 16:34</w:t>
            </w:r>
          </w:p>
        </w:tc>
        <w:tc>
          <w:tcPr>
            <w:tcW w:w="2552" w:type="dxa"/>
            <w:tcBorders>
              <w:top w:val="nil"/>
              <w:left w:val="nil"/>
              <w:bottom w:val="single" w:sz="4" w:space="0" w:color="auto"/>
              <w:right w:val="single" w:sz="4" w:space="0" w:color="auto"/>
            </w:tcBorders>
            <w:hideMark/>
          </w:tcPr>
          <w:p w14:paraId="2710929F" w14:textId="77777777" w:rsidR="00DE2047" w:rsidRPr="005D07EF" w:rsidRDefault="00DE2047" w:rsidP="00DE2047">
            <w:pPr>
              <w:spacing w:after="0" w:line="240" w:lineRule="auto"/>
              <w:rPr>
                <w:rFonts w:eastAsia="Times New Roman" w:cs="Arial"/>
                <w:color w:val="000000"/>
                <w:kern w:val="0"/>
                <w:sz w:val="18"/>
                <w:szCs w:val="18"/>
                <w:lang w:eastAsia="en-GB"/>
                <w14:ligatures w14:val="none"/>
              </w:rPr>
            </w:pPr>
            <w:hyperlink r:id="rId12" w:history="1">
              <w:r w:rsidRPr="005D07EF">
                <w:rPr>
                  <w:rFonts w:eastAsia="Times New Roman" w:cs="Arial"/>
                  <w:color w:val="000000"/>
                  <w:kern w:val="0"/>
                  <w:sz w:val="18"/>
                  <w:szCs w:val="18"/>
                  <w:lang w:eastAsia="en-GB"/>
                  <w14:ligatures w14:val="none"/>
                </w:rPr>
                <w:t xml:space="preserve">Please see the link below from NHS Futures that outlines the breakdown as requested: NHS Futures </w:t>
              </w:r>
            </w:hyperlink>
          </w:p>
        </w:tc>
        <w:tc>
          <w:tcPr>
            <w:tcW w:w="3827" w:type="dxa"/>
            <w:tcBorders>
              <w:top w:val="nil"/>
              <w:left w:val="nil"/>
              <w:bottom w:val="single" w:sz="4" w:space="0" w:color="auto"/>
              <w:right w:val="single" w:sz="4" w:space="0" w:color="auto"/>
            </w:tcBorders>
            <w:hideMark/>
          </w:tcPr>
          <w:p w14:paraId="41D5A47F" w14:textId="77777777" w:rsidR="00DE2047" w:rsidRPr="00DE2047" w:rsidRDefault="00DE2047" w:rsidP="00DE2047">
            <w:pPr>
              <w:spacing w:after="0" w:line="240" w:lineRule="auto"/>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EPUT’s concerns (CR0022-25/P13):</w:t>
            </w:r>
            <w:r w:rsidRPr="00DE2047">
              <w:rPr>
                <w:rFonts w:eastAsia="Times New Roman" w:cs="Arial"/>
                <w:b/>
                <w:bCs/>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t>Question not answered.</w:t>
            </w:r>
            <w:r w:rsidRPr="00DE2047">
              <w:rPr>
                <w:rFonts w:eastAsia="Times New Roman" w:cs="Arial"/>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br/>
              <w:t xml:space="preserve">The question was for waitlist information by intervention (step2, 3, 4) which was not provided. The purpose of this information would enable modelling and impact of inherited waiting times </w:t>
            </w:r>
          </w:p>
        </w:tc>
        <w:tc>
          <w:tcPr>
            <w:tcW w:w="3260" w:type="dxa"/>
            <w:vMerge/>
            <w:tcBorders>
              <w:top w:val="nil"/>
              <w:left w:val="single" w:sz="4" w:space="0" w:color="auto"/>
              <w:bottom w:val="single" w:sz="4" w:space="0" w:color="000000"/>
              <w:right w:val="single" w:sz="4" w:space="0" w:color="auto"/>
            </w:tcBorders>
            <w:vAlign w:val="center"/>
            <w:hideMark/>
          </w:tcPr>
          <w:p w14:paraId="3C146199" w14:textId="77777777" w:rsidR="00DE2047" w:rsidRPr="00DE2047" w:rsidRDefault="00DE2047" w:rsidP="00DE2047">
            <w:pPr>
              <w:spacing w:after="0" w:line="240" w:lineRule="auto"/>
              <w:rPr>
                <w:rFonts w:eastAsia="Times New Roman" w:cs="Arial"/>
                <w:kern w:val="0"/>
                <w:sz w:val="18"/>
                <w:szCs w:val="18"/>
                <w:lang w:eastAsia="en-GB"/>
                <w14:ligatures w14:val="none"/>
              </w:rPr>
            </w:pPr>
          </w:p>
        </w:tc>
      </w:tr>
    </w:tbl>
    <w:p w14:paraId="17E7A08B" w14:textId="77777777" w:rsidR="0088618B" w:rsidRDefault="0088618B">
      <w:r>
        <w:br w:type="page"/>
      </w:r>
    </w:p>
    <w:tbl>
      <w:tblPr>
        <w:tblW w:w="15446" w:type="dxa"/>
        <w:tblLook w:val="04A0" w:firstRow="1" w:lastRow="0" w:firstColumn="1" w:lastColumn="0" w:noHBand="0" w:noVBand="1"/>
      </w:tblPr>
      <w:tblGrid>
        <w:gridCol w:w="520"/>
        <w:gridCol w:w="2736"/>
        <w:gridCol w:w="1275"/>
        <w:gridCol w:w="1276"/>
        <w:gridCol w:w="2552"/>
        <w:gridCol w:w="3827"/>
        <w:gridCol w:w="3260"/>
      </w:tblGrid>
      <w:tr w:rsidR="0088618B" w:rsidRPr="00DE2047" w14:paraId="0E4EB74D" w14:textId="77777777" w:rsidTr="00B407AB">
        <w:trPr>
          <w:trHeight w:val="240"/>
        </w:trPr>
        <w:tc>
          <w:tcPr>
            <w:tcW w:w="52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E33EA55" w14:textId="77777777" w:rsidR="0088618B" w:rsidRPr="00DE2047" w:rsidRDefault="0088618B" w:rsidP="00B407AB">
            <w:pPr>
              <w:spacing w:after="0" w:line="240" w:lineRule="auto"/>
              <w:jc w:val="center"/>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lastRenderedPageBreak/>
              <w:t>No</w:t>
            </w:r>
          </w:p>
        </w:tc>
        <w:tc>
          <w:tcPr>
            <w:tcW w:w="2736" w:type="dxa"/>
            <w:tcBorders>
              <w:top w:val="single" w:sz="4" w:space="0" w:color="auto"/>
              <w:left w:val="nil"/>
              <w:bottom w:val="single" w:sz="4" w:space="0" w:color="auto"/>
              <w:right w:val="single" w:sz="4" w:space="0" w:color="auto"/>
            </w:tcBorders>
            <w:shd w:val="clear" w:color="000000" w:fill="E7E6E6"/>
            <w:vAlign w:val="center"/>
            <w:hideMark/>
          </w:tcPr>
          <w:p w14:paraId="68B19352" w14:textId="77777777" w:rsidR="0088618B" w:rsidRPr="00DE2047" w:rsidRDefault="0088618B" w:rsidP="00B407AB">
            <w:pPr>
              <w:spacing w:after="0" w:line="240" w:lineRule="auto"/>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Question</w:t>
            </w:r>
          </w:p>
        </w:tc>
        <w:tc>
          <w:tcPr>
            <w:tcW w:w="1275" w:type="dxa"/>
            <w:tcBorders>
              <w:top w:val="single" w:sz="4" w:space="0" w:color="auto"/>
              <w:left w:val="nil"/>
              <w:bottom w:val="single" w:sz="4" w:space="0" w:color="auto"/>
              <w:right w:val="single" w:sz="4" w:space="0" w:color="auto"/>
            </w:tcBorders>
            <w:shd w:val="clear" w:color="000000" w:fill="E7E6E6"/>
            <w:vAlign w:val="center"/>
            <w:hideMark/>
          </w:tcPr>
          <w:p w14:paraId="7F6DA5D3" w14:textId="77777777" w:rsidR="0088618B" w:rsidRPr="00DE2047" w:rsidRDefault="0088618B" w:rsidP="00B407AB">
            <w:pPr>
              <w:spacing w:after="0" w:line="240" w:lineRule="auto"/>
              <w:jc w:val="center"/>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Date Sent</w:t>
            </w:r>
          </w:p>
        </w:tc>
        <w:tc>
          <w:tcPr>
            <w:tcW w:w="1276" w:type="dxa"/>
            <w:tcBorders>
              <w:top w:val="single" w:sz="4" w:space="0" w:color="auto"/>
              <w:left w:val="nil"/>
              <w:bottom w:val="single" w:sz="4" w:space="0" w:color="auto"/>
              <w:right w:val="single" w:sz="4" w:space="0" w:color="auto"/>
            </w:tcBorders>
            <w:shd w:val="clear" w:color="000000" w:fill="E7E6E6"/>
            <w:vAlign w:val="center"/>
            <w:hideMark/>
          </w:tcPr>
          <w:p w14:paraId="2C7F8537" w14:textId="77777777" w:rsidR="0088618B" w:rsidRPr="00DE2047" w:rsidRDefault="0088618B" w:rsidP="00B407AB">
            <w:pPr>
              <w:spacing w:after="0" w:line="240" w:lineRule="auto"/>
              <w:jc w:val="center"/>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Response date</w:t>
            </w:r>
          </w:p>
        </w:tc>
        <w:tc>
          <w:tcPr>
            <w:tcW w:w="2552" w:type="dxa"/>
            <w:tcBorders>
              <w:top w:val="single" w:sz="4" w:space="0" w:color="auto"/>
              <w:left w:val="nil"/>
              <w:bottom w:val="single" w:sz="4" w:space="0" w:color="auto"/>
              <w:right w:val="single" w:sz="4" w:space="0" w:color="auto"/>
            </w:tcBorders>
            <w:shd w:val="clear" w:color="000000" w:fill="E7E6E6"/>
            <w:vAlign w:val="center"/>
            <w:hideMark/>
          </w:tcPr>
          <w:p w14:paraId="332668AC" w14:textId="77777777" w:rsidR="0088618B" w:rsidRPr="00DE2047" w:rsidRDefault="0088618B" w:rsidP="00B407AB">
            <w:pPr>
              <w:spacing w:after="0" w:line="240" w:lineRule="auto"/>
              <w:jc w:val="center"/>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Authority Response</w:t>
            </w:r>
          </w:p>
        </w:tc>
        <w:tc>
          <w:tcPr>
            <w:tcW w:w="3827" w:type="dxa"/>
            <w:tcBorders>
              <w:top w:val="single" w:sz="4" w:space="0" w:color="auto"/>
              <w:left w:val="nil"/>
              <w:bottom w:val="single" w:sz="4" w:space="0" w:color="auto"/>
              <w:right w:val="single" w:sz="4" w:space="0" w:color="auto"/>
            </w:tcBorders>
            <w:shd w:val="clear" w:color="000000" w:fill="E7E6E6"/>
            <w:vAlign w:val="center"/>
            <w:hideMark/>
          </w:tcPr>
          <w:p w14:paraId="638A5238" w14:textId="77777777" w:rsidR="0088618B" w:rsidRPr="00DE2047" w:rsidRDefault="0088618B" w:rsidP="00B407AB">
            <w:pPr>
              <w:spacing w:after="0" w:line="240" w:lineRule="auto"/>
              <w:jc w:val="center"/>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Providers’ concerns</w:t>
            </w:r>
          </w:p>
        </w:tc>
        <w:tc>
          <w:tcPr>
            <w:tcW w:w="3260" w:type="dxa"/>
            <w:tcBorders>
              <w:top w:val="single" w:sz="4" w:space="0" w:color="auto"/>
              <w:left w:val="nil"/>
              <w:bottom w:val="single" w:sz="4" w:space="0" w:color="auto"/>
              <w:right w:val="single" w:sz="4" w:space="0" w:color="auto"/>
            </w:tcBorders>
            <w:shd w:val="clear" w:color="000000" w:fill="E7E6E6"/>
            <w:vAlign w:val="center"/>
            <w:hideMark/>
          </w:tcPr>
          <w:p w14:paraId="4C810FFA" w14:textId="77777777" w:rsidR="0088618B" w:rsidRPr="00DE2047" w:rsidRDefault="0088618B" w:rsidP="00B407AB">
            <w:pPr>
              <w:spacing w:after="0" w:line="240" w:lineRule="auto"/>
              <w:jc w:val="center"/>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Panel view</w:t>
            </w:r>
          </w:p>
        </w:tc>
      </w:tr>
      <w:tr w:rsidR="00DE2047" w:rsidRPr="00DE2047" w14:paraId="72B7A267" w14:textId="77777777" w:rsidTr="004851D5">
        <w:trPr>
          <w:trHeight w:val="240"/>
        </w:trPr>
        <w:tc>
          <w:tcPr>
            <w:tcW w:w="15446" w:type="dxa"/>
            <w:gridSpan w:val="7"/>
            <w:tcBorders>
              <w:top w:val="single" w:sz="4" w:space="0" w:color="auto"/>
              <w:left w:val="single" w:sz="4" w:space="0" w:color="auto"/>
              <w:bottom w:val="single" w:sz="4" w:space="0" w:color="auto"/>
              <w:right w:val="single" w:sz="4" w:space="0" w:color="000000"/>
            </w:tcBorders>
            <w:vAlign w:val="center"/>
            <w:hideMark/>
          </w:tcPr>
          <w:p w14:paraId="59B43DE7" w14:textId="792191E9" w:rsidR="00DE2047" w:rsidRPr="00DE2047" w:rsidRDefault="00DE2047" w:rsidP="00DE2047">
            <w:pPr>
              <w:spacing w:after="0" w:line="240" w:lineRule="auto"/>
              <w:rPr>
                <w:rFonts w:eastAsia="Times New Roman" w:cs="Arial"/>
                <w:b/>
                <w:bCs/>
                <w:color w:val="0070C0"/>
                <w:kern w:val="0"/>
                <w:sz w:val="18"/>
                <w:szCs w:val="18"/>
                <w:lang w:eastAsia="en-GB"/>
                <w14:ligatures w14:val="none"/>
              </w:rPr>
            </w:pPr>
            <w:r w:rsidRPr="00DE2047">
              <w:rPr>
                <w:rFonts w:eastAsia="Times New Roman" w:cs="Arial"/>
                <w:b/>
                <w:bCs/>
                <w:color w:val="0070C0"/>
                <w:kern w:val="0"/>
                <w:sz w:val="18"/>
                <w:szCs w:val="18"/>
                <w:lang w:eastAsia="en-GB"/>
                <w14:ligatures w14:val="none"/>
              </w:rPr>
              <w:t>CQs about estates</w:t>
            </w:r>
          </w:p>
        </w:tc>
      </w:tr>
      <w:tr w:rsidR="00C557E4" w:rsidRPr="00DE2047" w14:paraId="7C984DFB" w14:textId="77777777" w:rsidTr="004851D5">
        <w:trPr>
          <w:trHeight w:val="1596"/>
        </w:trPr>
        <w:tc>
          <w:tcPr>
            <w:tcW w:w="520" w:type="dxa"/>
            <w:tcBorders>
              <w:top w:val="nil"/>
              <w:left w:val="single" w:sz="4" w:space="0" w:color="auto"/>
              <w:bottom w:val="single" w:sz="4" w:space="0" w:color="auto"/>
              <w:right w:val="single" w:sz="4" w:space="0" w:color="auto"/>
            </w:tcBorders>
            <w:hideMark/>
          </w:tcPr>
          <w:p w14:paraId="09DE414F"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2</w:t>
            </w:r>
          </w:p>
        </w:tc>
        <w:tc>
          <w:tcPr>
            <w:tcW w:w="2736" w:type="dxa"/>
            <w:tcBorders>
              <w:top w:val="nil"/>
              <w:left w:val="nil"/>
              <w:bottom w:val="single" w:sz="4" w:space="0" w:color="auto"/>
              <w:right w:val="single" w:sz="4" w:space="0" w:color="auto"/>
            </w:tcBorders>
            <w:hideMark/>
          </w:tcPr>
          <w:p w14:paraId="2E7C18CA" w14:textId="77777777" w:rsidR="00DE2047" w:rsidRPr="00DE2047" w:rsidRDefault="00DE2047" w:rsidP="00DE2047">
            <w:pPr>
              <w:spacing w:after="0" w:line="240" w:lineRule="auto"/>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Will the existing estate leases transfer to the new provider? If only certain estates will transfer, please specify which ones.</w:t>
            </w:r>
          </w:p>
        </w:tc>
        <w:tc>
          <w:tcPr>
            <w:tcW w:w="1275" w:type="dxa"/>
            <w:tcBorders>
              <w:top w:val="nil"/>
              <w:left w:val="nil"/>
              <w:bottom w:val="single" w:sz="4" w:space="0" w:color="auto"/>
              <w:right w:val="single" w:sz="4" w:space="0" w:color="auto"/>
            </w:tcBorders>
            <w:hideMark/>
          </w:tcPr>
          <w:p w14:paraId="69CFD3D9"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05/03/2025</w:t>
            </w:r>
          </w:p>
        </w:tc>
        <w:tc>
          <w:tcPr>
            <w:tcW w:w="1276" w:type="dxa"/>
            <w:tcBorders>
              <w:top w:val="nil"/>
              <w:left w:val="nil"/>
              <w:bottom w:val="single" w:sz="4" w:space="0" w:color="auto"/>
              <w:right w:val="single" w:sz="4" w:space="0" w:color="auto"/>
            </w:tcBorders>
            <w:hideMark/>
          </w:tcPr>
          <w:p w14:paraId="64FF1D32"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17/03/2025</w:t>
            </w:r>
          </w:p>
        </w:tc>
        <w:tc>
          <w:tcPr>
            <w:tcW w:w="2552" w:type="dxa"/>
            <w:tcBorders>
              <w:top w:val="nil"/>
              <w:left w:val="nil"/>
              <w:bottom w:val="single" w:sz="4" w:space="0" w:color="auto"/>
              <w:right w:val="single" w:sz="4" w:space="0" w:color="auto"/>
            </w:tcBorders>
            <w:hideMark/>
          </w:tcPr>
          <w:p w14:paraId="2A10008D" w14:textId="77777777" w:rsidR="00DE2047" w:rsidRPr="00DE2047" w:rsidRDefault="00DE2047" w:rsidP="00DE2047">
            <w:pPr>
              <w:spacing w:after="0" w:line="240" w:lineRule="auto"/>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 xml:space="preserve">We anticipate some of the Estates may transfer to the new provider; we will provide further details in due course. </w:t>
            </w:r>
          </w:p>
        </w:tc>
        <w:tc>
          <w:tcPr>
            <w:tcW w:w="3827" w:type="dxa"/>
            <w:tcBorders>
              <w:top w:val="nil"/>
              <w:left w:val="nil"/>
              <w:bottom w:val="single" w:sz="4" w:space="0" w:color="auto"/>
              <w:right w:val="single" w:sz="4" w:space="0" w:color="auto"/>
            </w:tcBorders>
            <w:hideMark/>
          </w:tcPr>
          <w:p w14:paraId="42F1DE97" w14:textId="77777777" w:rsidR="00DE2047" w:rsidRPr="00DE2047" w:rsidRDefault="00DE2047" w:rsidP="00DE2047">
            <w:pPr>
              <w:spacing w:after="0" w:line="240" w:lineRule="auto"/>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EPUT’s concerns (CR0022-25/P13):</w:t>
            </w:r>
            <w:r w:rsidRPr="00DE2047">
              <w:rPr>
                <w:rFonts w:eastAsia="Times New Roman" w:cs="Arial"/>
                <w:b/>
                <w:bCs/>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t>The Authority indicated some estate may transfer therefore this information was required to support an accurate and efficient costing and support an assessment of estate requirements across MSE ICB</w:t>
            </w:r>
          </w:p>
        </w:tc>
        <w:tc>
          <w:tcPr>
            <w:tcW w:w="3260" w:type="dxa"/>
            <w:vMerge w:val="restart"/>
            <w:tcBorders>
              <w:top w:val="nil"/>
              <w:left w:val="single" w:sz="4" w:space="0" w:color="auto"/>
              <w:bottom w:val="single" w:sz="4" w:space="0" w:color="000000"/>
              <w:right w:val="single" w:sz="4" w:space="0" w:color="auto"/>
            </w:tcBorders>
            <w:hideMark/>
          </w:tcPr>
          <w:p w14:paraId="53F517A1" w14:textId="6FF5D2A6" w:rsidR="00DE2047" w:rsidRPr="00DE2047" w:rsidRDefault="00DE2047" w:rsidP="00DE2047">
            <w:pPr>
              <w:spacing w:after="0" w:line="240" w:lineRule="auto"/>
              <w:rPr>
                <w:rFonts w:eastAsia="Times New Roman" w:cs="Arial"/>
                <w:kern w:val="0"/>
                <w:sz w:val="18"/>
                <w:szCs w:val="18"/>
                <w:lang w:eastAsia="en-GB"/>
                <w14:ligatures w14:val="none"/>
              </w:rPr>
            </w:pPr>
            <w:r w:rsidRPr="00DE2047">
              <w:rPr>
                <w:rFonts w:eastAsia="Times New Roman" w:cs="Arial"/>
                <w:kern w:val="0"/>
                <w:sz w:val="18"/>
                <w:szCs w:val="18"/>
                <w:lang w:eastAsia="en-GB"/>
                <w14:ligatures w14:val="none"/>
              </w:rPr>
              <w:t>Three CQs were asked about the successful bidders' ability to access existing premises used by incumbent providers to deliver core mental health services. MSE ICB initially indicated that it anticipated that some of the estates may transfer to the new provider and promised further details. In response to the third question on estates, however, bidders were told to seek clarification from incumbent providers.</w:t>
            </w:r>
            <w:r w:rsidRPr="00DE2047">
              <w:rPr>
                <w:rFonts w:eastAsia="Times New Roman" w:cs="Arial"/>
                <w:kern w:val="0"/>
                <w:sz w:val="18"/>
                <w:szCs w:val="18"/>
                <w:lang w:eastAsia="en-GB"/>
                <w14:ligatures w14:val="none"/>
              </w:rPr>
              <w:br/>
            </w:r>
            <w:r w:rsidRPr="00DE2047">
              <w:rPr>
                <w:rFonts w:eastAsia="Times New Roman" w:cs="Arial"/>
                <w:kern w:val="0"/>
                <w:sz w:val="18"/>
                <w:szCs w:val="18"/>
                <w:lang w:eastAsia="en-GB"/>
                <w14:ligatures w14:val="none"/>
              </w:rPr>
              <w:br/>
              <w:t>The Panel's view is that MSE ICB could and shoul</w:t>
            </w:r>
            <w:r w:rsidR="00D84A7F">
              <w:rPr>
                <w:rFonts w:eastAsia="Times New Roman" w:cs="Arial"/>
                <w:kern w:val="0"/>
                <w:sz w:val="18"/>
                <w:szCs w:val="18"/>
                <w:lang w:eastAsia="en-GB"/>
                <w14:ligatures w14:val="none"/>
              </w:rPr>
              <w:t>d</w:t>
            </w:r>
            <w:r w:rsidRPr="00DE2047">
              <w:rPr>
                <w:rFonts w:eastAsia="Times New Roman" w:cs="Arial"/>
                <w:kern w:val="0"/>
                <w:sz w:val="18"/>
                <w:szCs w:val="18"/>
                <w:lang w:eastAsia="en-GB"/>
                <w14:ligatures w14:val="none"/>
              </w:rPr>
              <w:t xml:space="preserve"> have advised bidders earlier that it could not answer this question. However, the response was given on 1 April, two days before proposals were due, meaning that there was insufficient time for bidders to make inquiries.</w:t>
            </w:r>
          </w:p>
        </w:tc>
      </w:tr>
      <w:tr w:rsidR="00C557E4" w:rsidRPr="00DE2047" w14:paraId="1CE198F9" w14:textId="77777777" w:rsidTr="004851D5">
        <w:trPr>
          <w:trHeight w:val="1140"/>
        </w:trPr>
        <w:tc>
          <w:tcPr>
            <w:tcW w:w="520" w:type="dxa"/>
            <w:tcBorders>
              <w:top w:val="nil"/>
              <w:left w:val="single" w:sz="4" w:space="0" w:color="auto"/>
              <w:bottom w:val="single" w:sz="4" w:space="0" w:color="auto"/>
              <w:right w:val="single" w:sz="4" w:space="0" w:color="auto"/>
            </w:tcBorders>
            <w:hideMark/>
          </w:tcPr>
          <w:p w14:paraId="79F495DC"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45</w:t>
            </w:r>
          </w:p>
        </w:tc>
        <w:tc>
          <w:tcPr>
            <w:tcW w:w="2736" w:type="dxa"/>
            <w:tcBorders>
              <w:top w:val="nil"/>
              <w:left w:val="nil"/>
              <w:bottom w:val="single" w:sz="4" w:space="0" w:color="auto"/>
              <w:right w:val="single" w:sz="4" w:space="0" w:color="auto"/>
            </w:tcBorders>
            <w:hideMark/>
          </w:tcPr>
          <w:p w14:paraId="3726068B" w14:textId="77777777" w:rsidR="00DE2047" w:rsidRPr="00DE2047" w:rsidRDefault="00DE2047" w:rsidP="00DE2047">
            <w:pPr>
              <w:spacing w:after="0" w:line="240" w:lineRule="auto"/>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Where providers have leases / licenses for the use of premises to deliver the service can the ICB confirm whether any of these will be in force post 1 August 2025. If so what are the relevant notice periods and costs?</w:t>
            </w:r>
          </w:p>
        </w:tc>
        <w:tc>
          <w:tcPr>
            <w:tcW w:w="1275" w:type="dxa"/>
            <w:tcBorders>
              <w:top w:val="nil"/>
              <w:left w:val="nil"/>
              <w:bottom w:val="single" w:sz="4" w:space="0" w:color="auto"/>
              <w:right w:val="single" w:sz="4" w:space="0" w:color="auto"/>
            </w:tcBorders>
            <w:hideMark/>
          </w:tcPr>
          <w:p w14:paraId="48D5D272"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11/03/2025</w:t>
            </w:r>
          </w:p>
        </w:tc>
        <w:tc>
          <w:tcPr>
            <w:tcW w:w="1276" w:type="dxa"/>
            <w:tcBorders>
              <w:top w:val="nil"/>
              <w:left w:val="nil"/>
              <w:bottom w:val="single" w:sz="4" w:space="0" w:color="auto"/>
              <w:right w:val="single" w:sz="4" w:space="0" w:color="auto"/>
            </w:tcBorders>
            <w:hideMark/>
          </w:tcPr>
          <w:p w14:paraId="4DF731FC"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 xml:space="preserve">Awaiting response 17/03/25 </w:t>
            </w:r>
            <w:r w:rsidRPr="00DE2047">
              <w:rPr>
                <w:rFonts w:eastAsia="Times New Roman" w:cs="Arial"/>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br/>
              <w:t>Responded 26/03/2025</w:t>
            </w:r>
          </w:p>
        </w:tc>
        <w:tc>
          <w:tcPr>
            <w:tcW w:w="2552" w:type="dxa"/>
            <w:tcBorders>
              <w:top w:val="nil"/>
              <w:left w:val="nil"/>
              <w:bottom w:val="single" w:sz="4" w:space="0" w:color="auto"/>
              <w:right w:val="single" w:sz="4" w:space="0" w:color="auto"/>
            </w:tcBorders>
            <w:hideMark/>
          </w:tcPr>
          <w:p w14:paraId="1F4570D5" w14:textId="77777777" w:rsidR="00DE2047" w:rsidRPr="00DE2047" w:rsidRDefault="00DE2047" w:rsidP="00DE2047">
            <w:pPr>
              <w:spacing w:after="0" w:line="240" w:lineRule="auto"/>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We anticipate some of the Estates may transfer to the new provider; we will provide further details in due course.</w:t>
            </w:r>
          </w:p>
        </w:tc>
        <w:tc>
          <w:tcPr>
            <w:tcW w:w="3827" w:type="dxa"/>
            <w:tcBorders>
              <w:top w:val="nil"/>
              <w:left w:val="nil"/>
              <w:bottom w:val="single" w:sz="4" w:space="0" w:color="auto"/>
              <w:right w:val="single" w:sz="4" w:space="0" w:color="auto"/>
            </w:tcBorders>
            <w:hideMark/>
          </w:tcPr>
          <w:p w14:paraId="46065E84" w14:textId="77777777" w:rsidR="00DE2047" w:rsidRPr="00DE2047" w:rsidRDefault="00DE2047" w:rsidP="00DE2047">
            <w:pPr>
              <w:spacing w:after="0" w:line="240" w:lineRule="auto"/>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EPUT’s concerns (CR0022-25/P13):</w:t>
            </w:r>
            <w:r w:rsidRPr="00DE2047">
              <w:rPr>
                <w:rFonts w:eastAsia="Times New Roman" w:cs="Arial"/>
                <w:b/>
                <w:bCs/>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t>As above in question two this information is required to support accurate costing - risk for all parties should costs be higher than those estimated.</w:t>
            </w:r>
          </w:p>
        </w:tc>
        <w:tc>
          <w:tcPr>
            <w:tcW w:w="3260" w:type="dxa"/>
            <w:vMerge/>
            <w:tcBorders>
              <w:top w:val="nil"/>
              <w:left w:val="single" w:sz="4" w:space="0" w:color="auto"/>
              <w:bottom w:val="single" w:sz="4" w:space="0" w:color="000000"/>
              <w:right w:val="single" w:sz="4" w:space="0" w:color="auto"/>
            </w:tcBorders>
            <w:vAlign w:val="center"/>
            <w:hideMark/>
          </w:tcPr>
          <w:p w14:paraId="7D64BE33" w14:textId="77777777" w:rsidR="00DE2047" w:rsidRPr="00DE2047" w:rsidRDefault="00DE2047" w:rsidP="00DE2047">
            <w:pPr>
              <w:spacing w:after="0" w:line="240" w:lineRule="auto"/>
              <w:rPr>
                <w:rFonts w:eastAsia="Times New Roman" w:cs="Arial"/>
                <w:kern w:val="0"/>
                <w:sz w:val="18"/>
                <w:szCs w:val="18"/>
                <w:lang w:eastAsia="en-GB"/>
                <w14:ligatures w14:val="none"/>
              </w:rPr>
            </w:pPr>
          </w:p>
        </w:tc>
      </w:tr>
      <w:tr w:rsidR="00C557E4" w:rsidRPr="00DE2047" w14:paraId="082687CB" w14:textId="77777777" w:rsidTr="004851D5">
        <w:trPr>
          <w:trHeight w:val="3432"/>
        </w:trPr>
        <w:tc>
          <w:tcPr>
            <w:tcW w:w="520" w:type="dxa"/>
            <w:tcBorders>
              <w:top w:val="nil"/>
              <w:left w:val="single" w:sz="4" w:space="0" w:color="auto"/>
              <w:bottom w:val="single" w:sz="4" w:space="0" w:color="auto"/>
              <w:right w:val="single" w:sz="4" w:space="0" w:color="auto"/>
            </w:tcBorders>
            <w:hideMark/>
          </w:tcPr>
          <w:p w14:paraId="15B65869"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80</w:t>
            </w:r>
          </w:p>
        </w:tc>
        <w:tc>
          <w:tcPr>
            <w:tcW w:w="2736" w:type="dxa"/>
            <w:tcBorders>
              <w:top w:val="nil"/>
              <w:left w:val="nil"/>
              <w:bottom w:val="single" w:sz="4" w:space="0" w:color="auto"/>
              <w:right w:val="single" w:sz="4" w:space="0" w:color="auto"/>
            </w:tcBorders>
            <w:hideMark/>
          </w:tcPr>
          <w:p w14:paraId="0F6A605B" w14:textId="77777777" w:rsidR="00DE2047" w:rsidRPr="00DE2047" w:rsidRDefault="00DE2047" w:rsidP="00DE2047">
            <w:pPr>
              <w:spacing w:after="0" w:line="240" w:lineRule="auto"/>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Qu 16- the response states “However, providers may choose to utilize these locations if they align with their service delivery model”. Have the incumbent providers confirmed that they are in agreement with the estate identified in the information provided being utilised?</w:t>
            </w:r>
          </w:p>
        </w:tc>
        <w:tc>
          <w:tcPr>
            <w:tcW w:w="1275" w:type="dxa"/>
            <w:tcBorders>
              <w:top w:val="nil"/>
              <w:left w:val="nil"/>
              <w:bottom w:val="single" w:sz="4" w:space="0" w:color="auto"/>
              <w:right w:val="single" w:sz="4" w:space="0" w:color="auto"/>
            </w:tcBorders>
            <w:hideMark/>
          </w:tcPr>
          <w:p w14:paraId="7EFF3CFA"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27/03/2025</w:t>
            </w:r>
          </w:p>
        </w:tc>
        <w:tc>
          <w:tcPr>
            <w:tcW w:w="1276" w:type="dxa"/>
            <w:tcBorders>
              <w:top w:val="nil"/>
              <w:left w:val="nil"/>
              <w:bottom w:val="single" w:sz="4" w:space="0" w:color="auto"/>
              <w:right w:val="single" w:sz="4" w:space="0" w:color="auto"/>
            </w:tcBorders>
            <w:hideMark/>
          </w:tcPr>
          <w:p w14:paraId="20D32C52"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01/04/2025 16:34</w:t>
            </w:r>
          </w:p>
        </w:tc>
        <w:tc>
          <w:tcPr>
            <w:tcW w:w="2552" w:type="dxa"/>
            <w:tcBorders>
              <w:top w:val="nil"/>
              <w:left w:val="nil"/>
              <w:bottom w:val="single" w:sz="4" w:space="0" w:color="auto"/>
              <w:right w:val="single" w:sz="4" w:space="0" w:color="auto"/>
            </w:tcBorders>
            <w:hideMark/>
          </w:tcPr>
          <w:p w14:paraId="60581609" w14:textId="77777777" w:rsidR="00DE2047" w:rsidRPr="00DE2047" w:rsidRDefault="00DE2047" w:rsidP="00DE2047">
            <w:pPr>
              <w:spacing w:after="0" w:line="240" w:lineRule="auto"/>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 xml:space="preserve">The incumbent providers have only provided Estates data. As stated in the procurement response, 'providers may choose to utilise these locations if they align with their service delivery model' and subject to the incumbent's determination of the availability of these premises. </w:t>
            </w:r>
            <w:r w:rsidRPr="00DE2047">
              <w:rPr>
                <w:rFonts w:eastAsia="Times New Roman" w:cs="Arial"/>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br/>
              <w:t>It is not explicitly confirmed whether the incumbent providers agree to the identified estates being utilised. If further assurance is required, clarification may be sought from the incumbent providers regarding their position on the use of these locations.</w:t>
            </w:r>
          </w:p>
        </w:tc>
        <w:tc>
          <w:tcPr>
            <w:tcW w:w="3827" w:type="dxa"/>
            <w:tcBorders>
              <w:top w:val="nil"/>
              <w:left w:val="nil"/>
              <w:bottom w:val="single" w:sz="4" w:space="0" w:color="auto"/>
              <w:right w:val="single" w:sz="4" w:space="0" w:color="auto"/>
            </w:tcBorders>
            <w:hideMark/>
          </w:tcPr>
          <w:p w14:paraId="2E5245B7" w14:textId="77777777" w:rsidR="00DE2047" w:rsidRPr="00DE2047" w:rsidRDefault="00DE2047" w:rsidP="00DE2047">
            <w:pPr>
              <w:spacing w:after="0" w:line="240" w:lineRule="auto"/>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EPUT’s concerns (CR0022-25/P13):</w:t>
            </w:r>
            <w:r w:rsidRPr="00DE2047">
              <w:rPr>
                <w:rFonts w:eastAsia="Times New Roman" w:cs="Arial"/>
                <w:b/>
                <w:bCs/>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t>The Authority did not contact Providers to gain further detail. The Trust has a copy of the request from the Authority for Estates information on 12/02/25 and EPUT’s response to this on 26/02/2025 (pre-tender).</w:t>
            </w:r>
            <w:r w:rsidRPr="00DE2047">
              <w:rPr>
                <w:rFonts w:eastAsia="Times New Roman" w:cs="Arial"/>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br/>
              <w:t xml:space="preserve">Several attempts were made to obtain accurate information. There was no certainty any provider would be able to utilise these locations as some are owned premises / leased.  </w:t>
            </w:r>
            <w:r w:rsidRPr="00DE2047">
              <w:rPr>
                <w:rFonts w:eastAsia="Times New Roman" w:cs="Arial"/>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br/>
              <w:t xml:space="preserve">In EPUTs submission to the Authority estates costs were included but redacted when shared with the tender documentation. The Authority did not request further information from incumbent providers. </w:t>
            </w:r>
          </w:p>
        </w:tc>
        <w:tc>
          <w:tcPr>
            <w:tcW w:w="3260" w:type="dxa"/>
            <w:vMerge/>
            <w:tcBorders>
              <w:top w:val="nil"/>
              <w:left w:val="single" w:sz="4" w:space="0" w:color="auto"/>
              <w:bottom w:val="single" w:sz="4" w:space="0" w:color="000000"/>
              <w:right w:val="single" w:sz="4" w:space="0" w:color="auto"/>
            </w:tcBorders>
            <w:vAlign w:val="center"/>
            <w:hideMark/>
          </w:tcPr>
          <w:p w14:paraId="25494D48" w14:textId="77777777" w:rsidR="00DE2047" w:rsidRPr="00DE2047" w:rsidRDefault="00DE2047" w:rsidP="00DE2047">
            <w:pPr>
              <w:spacing w:after="0" w:line="240" w:lineRule="auto"/>
              <w:rPr>
                <w:rFonts w:eastAsia="Times New Roman" w:cs="Arial"/>
                <w:kern w:val="0"/>
                <w:sz w:val="18"/>
                <w:szCs w:val="18"/>
                <w:lang w:eastAsia="en-GB"/>
                <w14:ligatures w14:val="none"/>
              </w:rPr>
            </w:pPr>
          </w:p>
        </w:tc>
      </w:tr>
    </w:tbl>
    <w:p w14:paraId="21BAE28E" w14:textId="77777777" w:rsidR="0088618B" w:rsidRDefault="0088618B">
      <w:r>
        <w:br w:type="page"/>
      </w:r>
    </w:p>
    <w:tbl>
      <w:tblPr>
        <w:tblW w:w="15446" w:type="dxa"/>
        <w:tblLook w:val="04A0" w:firstRow="1" w:lastRow="0" w:firstColumn="1" w:lastColumn="0" w:noHBand="0" w:noVBand="1"/>
      </w:tblPr>
      <w:tblGrid>
        <w:gridCol w:w="520"/>
        <w:gridCol w:w="2736"/>
        <w:gridCol w:w="1275"/>
        <w:gridCol w:w="1276"/>
        <w:gridCol w:w="2552"/>
        <w:gridCol w:w="3827"/>
        <w:gridCol w:w="3260"/>
      </w:tblGrid>
      <w:tr w:rsidR="0088618B" w:rsidRPr="00DE2047" w14:paraId="11AF04D4" w14:textId="77777777" w:rsidTr="00B407AB">
        <w:trPr>
          <w:trHeight w:val="240"/>
        </w:trPr>
        <w:tc>
          <w:tcPr>
            <w:tcW w:w="52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510935F" w14:textId="77777777" w:rsidR="0088618B" w:rsidRPr="00DE2047" w:rsidRDefault="0088618B" w:rsidP="00B407AB">
            <w:pPr>
              <w:spacing w:after="0" w:line="240" w:lineRule="auto"/>
              <w:jc w:val="center"/>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lastRenderedPageBreak/>
              <w:t>No</w:t>
            </w:r>
          </w:p>
        </w:tc>
        <w:tc>
          <w:tcPr>
            <w:tcW w:w="2736" w:type="dxa"/>
            <w:tcBorders>
              <w:top w:val="single" w:sz="4" w:space="0" w:color="auto"/>
              <w:left w:val="nil"/>
              <w:bottom w:val="single" w:sz="4" w:space="0" w:color="auto"/>
              <w:right w:val="single" w:sz="4" w:space="0" w:color="auto"/>
            </w:tcBorders>
            <w:shd w:val="clear" w:color="000000" w:fill="E7E6E6"/>
            <w:vAlign w:val="center"/>
            <w:hideMark/>
          </w:tcPr>
          <w:p w14:paraId="27F26D3E" w14:textId="77777777" w:rsidR="0088618B" w:rsidRPr="00DE2047" w:rsidRDefault="0088618B" w:rsidP="00B407AB">
            <w:pPr>
              <w:spacing w:after="0" w:line="240" w:lineRule="auto"/>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Question</w:t>
            </w:r>
          </w:p>
        </w:tc>
        <w:tc>
          <w:tcPr>
            <w:tcW w:w="1275" w:type="dxa"/>
            <w:tcBorders>
              <w:top w:val="single" w:sz="4" w:space="0" w:color="auto"/>
              <w:left w:val="nil"/>
              <w:bottom w:val="single" w:sz="4" w:space="0" w:color="auto"/>
              <w:right w:val="single" w:sz="4" w:space="0" w:color="auto"/>
            </w:tcBorders>
            <w:shd w:val="clear" w:color="000000" w:fill="E7E6E6"/>
            <w:vAlign w:val="center"/>
            <w:hideMark/>
          </w:tcPr>
          <w:p w14:paraId="1A55B32D" w14:textId="77777777" w:rsidR="0088618B" w:rsidRPr="00DE2047" w:rsidRDefault="0088618B" w:rsidP="00B407AB">
            <w:pPr>
              <w:spacing w:after="0" w:line="240" w:lineRule="auto"/>
              <w:jc w:val="center"/>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Date Sent</w:t>
            </w:r>
          </w:p>
        </w:tc>
        <w:tc>
          <w:tcPr>
            <w:tcW w:w="1276" w:type="dxa"/>
            <w:tcBorders>
              <w:top w:val="single" w:sz="4" w:space="0" w:color="auto"/>
              <w:left w:val="nil"/>
              <w:bottom w:val="single" w:sz="4" w:space="0" w:color="auto"/>
              <w:right w:val="single" w:sz="4" w:space="0" w:color="auto"/>
            </w:tcBorders>
            <w:shd w:val="clear" w:color="000000" w:fill="E7E6E6"/>
            <w:vAlign w:val="center"/>
            <w:hideMark/>
          </w:tcPr>
          <w:p w14:paraId="64C77C0B" w14:textId="77777777" w:rsidR="0088618B" w:rsidRPr="00DE2047" w:rsidRDefault="0088618B" w:rsidP="00B407AB">
            <w:pPr>
              <w:spacing w:after="0" w:line="240" w:lineRule="auto"/>
              <w:jc w:val="center"/>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Response date</w:t>
            </w:r>
          </w:p>
        </w:tc>
        <w:tc>
          <w:tcPr>
            <w:tcW w:w="2552" w:type="dxa"/>
            <w:tcBorders>
              <w:top w:val="single" w:sz="4" w:space="0" w:color="auto"/>
              <w:left w:val="nil"/>
              <w:bottom w:val="single" w:sz="4" w:space="0" w:color="auto"/>
              <w:right w:val="single" w:sz="4" w:space="0" w:color="auto"/>
            </w:tcBorders>
            <w:shd w:val="clear" w:color="000000" w:fill="E7E6E6"/>
            <w:vAlign w:val="center"/>
            <w:hideMark/>
          </w:tcPr>
          <w:p w14:paraId="53EEA2C3" w14:textId="77777777" w:rsidR="0088618B" w:rsidRPr="00DE2047" w:rsidRDefault="0088618B" w:rsidP="00B407AB">
            <w:pPr>
              <w:spacing w:after="0" w:line="240" w:lineRule="auto"/>
              <w:jc w:val="center"/>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Authority Response</w:t>
            </w:r>
          </w:p>
        </w:tc>
        <w:tc>
          <w:tcPr>
            <w:tcW w:w="3827" w:type="dxa"/>
            <w:tcBorders>
              <w:top w:val="single" w:sz="4" w:space="0" w:color="auto"/>
              <w:left w:val="nil"/>
              <w:bottom w:val="single" w:sz="4" w:space="0" w:color="auto"/>
              <w:right w:val="single" w:sz="4" w:space="0" w:color="auto"/>
            </w:tcBorders>
            <w:shd w:val="clear" w:color="000000" w:fill="E7E6E6"/>
            <w:vAlign w:val="center"/>
            <w:hideMark/>
          </w:tcPr>
          <w:p w14:paraId="04E6FAD8" w14:textId="77777777" w:rsidR="0088618B" w:rsidRPr="00DE2047" w:rsidRDefault="0088618B" w:rsidP="00B407AB">
            <w:pPr>
              <w:spacing w:after="0" w:line="240" w:lineRule="auto"/>
              <w:jc w:val="center"/>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Providers’ concerns</w:t>
            </w:r>
          </w:p>
        </w:tc>
        <w:tc>
          <w:tcPr>
            <w:tcW w:w="3260" w:type="dxa"/>
            <w:tcBorders>
              <w:top w:val="single" w:sz="4" w:space="0" w:color="auto"/>
              <w:left w:val="nil"/>
              <w:bottom w:val="single" w:sz="4" w:space="0" w:color="auto"/>
              <w:right w:val="single" w:sz="4" w:space="0" w:color="auto"/>
            </w:tcBorders>
            <w:shd w:val="clear" w:color="000000" w:fill="E7E6E6"/>
            <w:vAlign w:val="center"/>
            <w:hideMark/>
          </w:tcPr>
          <w:p w14:paraId="2C31E871" w14:textId="77777777" w:rsidR="0088618B" w:rsidRPr="00DE2047" w:rsidRDefault="0088618B" w:rsidP="00B407AB">
            <w:pPr>
              <w:spacing w:after="0" w:line="240" w:lineRule="auto"/>
              <w:jc w:val="center"/>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Panel view</w:t>
            </w:r>
          </w:p>
        </w:tc>
      </w:tr>
      <w:tr w:rsidR="00DE2047" w:rsidRPr="00DE2047" w14:paraId="73780507" w14:textId="77777777" w:rsidTr="004851D5">
        <w:trPr>
          <w:trHeight w:val="240"/>
        </w:trPr>
        <w:tc>
          <w:tcPr>
            <w:tcW w:w="15446" w:type="dxa"/>
            <w:gridSpan w:val="7"/>
            <w:tcBorders>
              <w:top w:val="single" w:sz="4" w:space="0" w:color="auto"/>
              <w:left w:val="single" w:sz="4" w:space="0" w:color="auto"/>
              <w:bottom w:val="single" w:sz="4" w:space="0" w:color="auto"/>
              <w:right w:val="single" w:sz="4" w:space="0" w:color="000000"/>
            </w:tcBorders>
            <w:vAlign w:val="center"/>
            <w:hideMark/>
          </w:tcPr>
          <w:p w14:paraId="493438E8" w14:textId="2B20BB36" w:rsidR="00DE2047" w:rsidRPr="00DE2047" w:rsidRDefault="00DE2047" w:rsidP="00DE2047">
            <w:pPr>
              <w:spacing w:after="0" w:line="240" w:lineRule="auto"/>
              <w:rPr>
                <w:rFonts w:eastAsia="Times New Roman" w:cs="Arial"/>
                <w:b/>
                <w:bCs/>
                <w:color w:val="0070C0"/>
                <w:kern w:val="0"/>
                <w:sz w:val="18"/>
                <w:szCs w:val="18"/>
                <w:lang w:eastAsia="en-GB"/>
                <w14:ligatures w14:val="none"/>
              </w:rPr>
            </w:pPr>
            <w:r w:rsidRPr="00DE2047">
              <w:rPr>
                <w:rFonts w:eastAsia="Times New Roman" w:cs="Arial"/>
                <w:b/>
                <w:bCs/>
                <w:color w:val="0070C0"/>
                <w:kern w:val="0"/>
                <w:sz w:val="18"/>
                <w:szCs w:val="18"/>
                <w:lang w:eastAsia="en-GB"/>
                <w14:ligatures w14:val="none"/>
              </w:rPr>
              <w:t>CQs about patient record systems</w:t>
            </w:r>
          </w:p>
        </w:tc>
      </w:tr>
      <w:tr w:rsidR="00C557E4" w:rsidRPr="00DE2047" w14:paraId="5DC5EB9F" w14:textId="77777777" w:rsidTr="004851D5">
        <w:trPr>
          <w:trHeight w:val="1152"/>
        </w:trPr>
        <w:tc>
          <w:tcPr>
            <w:tcW w:w="520" w:type="dxa"/>
            <w:tcBorders>
              <w:top w:val="nil"/>
              <w:left w:val="single" w:sz="4" w:space="0" w:color="auto"/>
              <w:bottom w:val="single" w:sz="4" w:space="0" w:color="auto"/>
              <w:right w:val="single" w:sz="4" w:space="0" w:color="auto"/>
            </w:tcBorders>
            <w:hideMark/>
          </w:tcPr>
          <w:p w14:paraId="5E65DB32"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41</w:t>
            </w:r>
          </w:p>
        </w:tc>
        <w:tc>
          <w:tcPr>
            <w:tcW w:w="2736" w:type="dxa"/>
            <w:tcBorders>
              <w:top w:val="nil"/>
              <w:left w:val="nil"/>
              <w:bottom w:val="single" w:sz="4" w:space="0" w:color="auto"/>
              <w:right w:val="single" w:sz="4" w:space="0" w:color="auto"/>
            </w:tcBorders>
            <w:hideMark/>
          </w:tcPr>
          <w:p w14:paraId="0496FE89" w14:textId="77777777" w:rsidR="00DE2047" w:rsidRPr="00DE2047" w:rsidRDefault="00DE2047" w:rsidP="00DE2047">
            <w:pPr>
              <w:spacing w:after="0" w:line="240" w:lineRule="auto"/>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Clarification Question - Systems</w:t>
            </w:r>
            <w:r w:rsidRPr="00DE2047">
              <w:rPr>
                <w:rFonts w:eastAsia="Times New Roman" w:cs="Arial"/>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br/>
              <w:t>Can commissioners confirm the cost associated with PCMIS and IAPTUS by provider.</w:t>
            </w:r>
          </w:p>
        </w:tc>
        <w:tc>
          <w:tcPr>
            <w:tcW w:w="1275" w:type="dxa"/>
            <w:tcBorders>
              <w:top w:val="nil"/>
              <w:left w:val="nil"/>
              <w:bottom w:val="single" w:sz="4" w:space="0" w:color="auto"/>
              <w:right w:val="single" w:sz="4" w:space="0" w:color="auto"/>
            </w:tcBorders>
            <w:hideMark/>
          </w:tcPr>
          <w:p w14:paraId="2FAF7A6E"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11/03/2025</w:t>
            </w:r>
          </w:p>
        </w:tc>
        <w:tc>
          <w:tcPr>
            <w:tcW w:w="1276" w:type="dxa"/>
            <w:tcBorders>
              <w:top w:val="nil"/>
              <w:left w:val="nil"/>
              <w:bottom w:val="single" w:sz="4" w:space="0" w:color="auto"/>
              <w:right w:val="single" w:sz="4" w:space="0" w:color="auto"/>
            </w:tcBorders>
            <w:hideMark/>
          </w:tcPr>
          <w:p w14:paraId="79F88B53"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17/03/2025</w:t>
            </w:r>
          </w:p>
        </w:tc>
        <w:tc>
          <w:tcPr>
            <w:tcW w:w="2552" w:type="dxa"/>
            <w:tcBorders>
              <w:top w:val="nil"/>
              <w:left w:val="nil"/>
              <w:bottom w:val="single" w:sz="4" w:space="0" w:color="auto"/>
              <w:right w:val="single" w:sz="4" w:space="0" w:color="auto"/>
            </w:tcBorders>
            <w:hideMark/>
          </w:tcPr>
          <w:p w14:paraId="4F05E64A" w14:textId="77777777" w:rsidR="00DE2047" w:rsidRPr="00DE2047" w:rsidRDefault="00DE2047" w:rsidP="00DE2047">
            <w:pPr>
              <w:spacing w:after="0" w:line="240" w:lineRule="auto"/>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The ICB does not have that information. The Provider's manage their own commercially sensitive information from procuring a suitable system (such as PCMIS and IAPTUS).</w:t>
            </w:r>
          </w:p>
        </w:tc>
        <w:tc>
          <w:tcPr>
            <w:tcW w:w="3827" w:type="dxa"/>
            <w:tcBorders>
              <w:top w:val="nil"/>
              <w:left w:val="nil"/>
              <w:bottom w:val="single" w:sz="4" w:space="0" w:color="auto"/>
              <w:right w:val="single" w:sz="4" w:space="0" w:color="auto"/>
            </w:tcBorders>
            <w:hideMark/>
          </w:tcPr>
          <w:p w14:paraId="30607788" w14:textId="77777777" w:rsidR="00DE2047" w:rsidRPr="00DE2047" w:rsidRDefault="00DE2047" w:rsidP="00DE2047">
            <w:pPr>
              <w:spacing w:after="0" w:line="240" w:lineRule="auto"/>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EPUT’s concerns (CR0022-25/P13):</w:t>
            </w:r>
            <w:r w:rsidRPr="00DE2047">
              <w:rPr>
                <w:rFonts w:eastAsia="Times New Roman" w:cs="Arial"/>
                <w:b/>
                <w:bCs/>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t>Not provided.</w:t>
            </w:r>
            <w:r w:rsidRPr="00DE2047">
              <w:rPr>
                <w:rFonts w:eastAsia="Times New Roman" w:cs="Arial"/>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br/>
              <w:t>The information was not sought from incumbent providers</w:t>
            </w:r>
          </w:p>
        </w:tc>
        <w:tc>
          <w:tcPr>
            <w:tcW w:w="3260" w:type="dxa"/>
            <w:vMerge w:val="restart"/>
            <w:tcBorders>
              <w:top w:val="nil"/>
              <w:left w:val="single" w:sz="4" w:space="0" w:color="auto"/>
              <w:bottom w:val="single" w:sz="4" w:space="0" w:color="000000"/>
              <w:right w:val="single" w:sz="4" w:space="0" w:color="auto"/>
            </w:tcBorders>
            <w:hideMark/>
          </w:tcPr>
          <w:p w14:paraId="7FD65D4A" w14:textId="449F17DA" w:rsidR="00DE2047" w:rsidRPr="00DE2047" w:rsidRDefault="00DE2047" w:rsidP="00DE2047">
            <w:pPr>
              <w:spacing w:after="0" w:line="240" w:lineRule="auto"/>
              <w:rPr>
                <w:rFonts w:eastAsia="Times New Roman" w:cs="Arial"/>
                <w:kern w:val="0"/>
                <w:sz w:val="18"/>
                <w:szCs w:val="18"/>
                <w:lang w:eastAsia="en-GB"/>
                <w14:ligatures w14:val="none"/>
              </w:rPr>
            </w:pPr>
            <w:r w:rsidRPr="00DE2047">
              <w:rPr>
                <w:rFonts w:eastAsia="Times New Roman" w:cs="Arial"/>
                <w:kern w:val="0"/>
                <w:sz w:val="18"/>
                <w:szCs w:val="18"/>
                <w:lang w:eastAsia="en-GB"/>
                <w14:ligatures w14:val="none"/>
              </w:rPr>
              <w:t>Two CQs were asked on costs associated with incumbents' EPR systems. MSE ICB did not provide the requested information. The Panel's view is that this response was reasonable given that the requested information was most likely commercially confidential to the EPR supplier. However, MSE ICB took 10 working days to say that it did not have the requested information and would not be providing it. The Panel's view is that response was not timely in the context of a 2</w:t>
            </w:r>
            <w:r w:rsidR="004966E4">
              <w:rPr>
                <w:rFonts w:eastAsia="Times New Roman" w:cs="Arial"/>
                <w:kern w:val="0"/>
                <w:sz w:val="18"/>
                <w:szCs w:val="18"/>
                <w:lang w:eastAsia="en-GB"/>
                <w14:ligatures w14:val="none"/>
              </w:rPr>
              <w:t>3</w:t>
            </w:r>
            <w:r w:rsidRPr="00DE2047">
              <w:rPr>
                <w:rFonts w:eastAsia="Times New Roman" w:cs="Arial"/>
                <w:kern w:val="0"/>
                <w:sz w:val="18"/>
                <w:szCs w:val="18"/>
                <w:lang w:eastAsia="en-GB"/>
                <w14:ligatures w14:val="none"/>
              </w:rPr>
              <w:t xml:space="preserve"> working day tender process.</w:t>
            </w:r>
          </w:p>
        </w:tc>
      </w:tr>
      <w:tr w:rsidR="00C557E4" w:rsidRPr="00DE2047" w14:paraId="59C5FAF1" w14:textId="77777777" w:rsidTr="004851D5">
        <w:trPr>
          <w:trHeight w:val="2064"/>
        </w:trPr>
        <w:tc>
          <w:tcPr>
            <w:tcW w:w="520" w:type="dxa"/>
            <w:tcBorders>
              <w:top w:val="nil"/>
              <w:left w:val="single" w:sz="4" w:space="0" w:color="auto"/>
              <w:bottom w:val="single" w:sz="4" w:space="0" w:color="auto"/>
              <w:right w:val="single" w:sz="4" w:space="0" w:color="auto"/>
            </w:tcBorders>
            <w:hideMark/>
          </w:tcPr>
          <w:p w14:paraId="0CED29D4"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46</w:t>
            </w:r>
          </w:p>
        </w:tc>
        <w:tc>
          <w:tcPr>
            <w:tcW w:w="2736" w:type="dxa"/>
            <w:tcBorders>
              <w:top w:val="nil"/>
              <w:left w:val="nil"/>
              <w:bottom w:val="single" w:sz="4" w:space="0" w:color="auto"/>
              <w:right w:val="single" w:sz="4" w:space="0" w:color="auto"/>
            </w:tcBorders>
            <w:hideMark/>
          </w:tcPr>
          <w:p w14:paraId="016A4F2F" w14:textId="77777777" w:rsidR="00DE2047" w:rsidRPr="00DE2047" w:rsidRDefault="00DE2047" w:rsidP="00DE2047">
            <w:pPr>
              <w:spacing w:after="0" w:line="240" w:lineRule="auto"/>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Can the ICB confirm what the costs of the EPR systems are by provider, termination /exit arrangements and contract term</w:t>
            </w:r>
          </w:p>
        </w:tc>
        <w:tc>
          <w:tcPr>
            <w:tcW w:w="1275" w:type="dxa"/>
            <w:tcBorders>
              <w:top w:val="nil"/>
              <w:left w:val="nil"/>
              <w:bottom w:val="single" w:sz="4" w:space="0" w:color="auto"/>
              <w:right w:val="single" w:sz="4" w:space="0" w:color="auto"/>
            </w:tcBorders>
            <w:hideMark/>
          </w:tcPr>
          <w:p w14:paraId="666C7525"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12/03/2025</w:t>
            </w:r>
          </w:p>
        </w:tc>
        <w:tc>
          <w:tcPr>
            <w:tcW w:w="1276" w:type="dxa"/>
            <w:tcBorders>
              <w:top w:val="nil"/>
              <w:left w:val="nil"/>
              <w:bottom w:val="single" w:sz="4" w:space="0" w:color="auto"/>
              <w:right w:val="single" w:sz="4" w:space="0" w:color="auto"/>
            </w:tcBorders>
            <w:hideMark/>
          </w:tcPr>
          <w:p w14:paraId="69D6F9B0"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26/03/2025</w:t>
            </w:r>
          </w:p>
        </w:tc>
        <w:tc>
          <w:tcPr>
            <w:tcW w:w="2552" w:type="dxa"/>
            <w:tcBorders>
              <w:top w:val="nil"/>
              <w:left w:val="nil"/>
              <w:bottom w:val="single" w:sz="4" w:space="0" w:color="auto"/>
              <w:right w:val="single" w:sz="4" w:space="0" w:color="auto"/>
            </w:tcBorders>
            <w:hideMark/>
          </w:tcPr>
          <w:p w14:paraId="7735B3CB" w14:textId="77777777" w:rsidR="00DE2047" w:rsidRPr="00DE2047" w:rsidRDefault="00DE2047" w:rsidP="00DE2047">
            <w:pPr>
              <w:spacing w:after="0" w:line="240" w:lineRule="auto"/>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The ICB does not have this information. All providers are to manage their own EPR systems and contractual arrangements.</w:t>
            </w:r>
          </w:p>
        </w:tc>
        <w:tc>
          <w:tcPr>
            <w:tcW w:w="3827" w:type="dxa"/>
            <w:tcBorders>
              <w:top w:val="nil"/>
              <w:left w:val="nil"/>
              <w:bottom w:val="single" w:sz="4" w:space="0" w:color="auto"/>
              <w:right w:val="single" w:sz="4" w:space="0" w:color="auto"/>
            </w:tcBorders>
            <w:hideMark/>
          </w:tcPr>
          <w:p w14:paraId="623F714C" w14:textId="0DE3D92D" w:rsidR="00DE2047" w:rsidRPr="00DE2047" w:rsidRDefault="00DE2047" w:rsidP="00DE2047">
            <w:pPr>
              <w:spacing w:after="0" w:line="240" w:lineRule="auto"/>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EPUT’s concerns (CR0022-25/P13):</w:t>
            </w:r>
            <w:r w:rsidRPr="00DE2047">
              <w:rPr>
                <w:rFonts w:eastAsia="Times New Roman" w:cs="Arial"/>
                <w:b/>
                <w:bCs/>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t>Clarification answered.</w:t>
            </w:r>
            <w:r w:rsidRPr="00DE2047">
              <w:rPr>
                <w:rFonts w:eastAsia="Times New Roman" w:cs="Arial"/>
                <w:color w:val="000000"/>
                <w:kern w:val="0"/>
                <w:sz w:val="18"/>
                <w:szCs w:val="18"/>
                <w:lang w:eastAsia="en-GB"/>
                <w14:ligatures w14:val="none"/>
              </w:rPr>
              <w:br/>
              <w:t>Was awaiting response 17/03/25</w:t>
            </w:r>
            <w:r w:rsidRPr="00DE2047">
              <w:rPr>
                <w:rFonts w:eastAsia="Times New Roman" w:cs="Arial"/>
                <w:color w:val="000000"/>
                <w:kern w:val="0"/>
                <w:sz w:val="18"/>
                <w:szCs w:val="18"/>
                <w:lang w:eastAsia="en-GB"/>
                <w14:ligatures w14:val="none"/>
              </w:rPr>
              <w:br/>
              <w:t xml:space="preserve">Responded 26/03/25 </w:t>
            </w:r>
            <w:r w:rsidRPr="00DE2047">
              <w:rPr>
                <w:rFonts w:eastAsia="Times New Roman" w:cs="Arial"/>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br/>
              <w:t>Bidders were un</w:t>
            </w:r>
            <w:r w:rsidR="005D07EF">
              <w:rPr>
                <w:rFonts w:eastAsia="Times New Roman" w:cs="Arial"/>
                <w:color w:val="000000"/>
                <w:kern w:val="0"/>
                <w:sz w:val="18"/>
                <w:szCs w:val="18"/>
                <w:lang w:eastAsia="en-GB"/>
                <w14:ligatures w14:val="none"/>
              </w:rPr>
              <w:t>a</w:t>
            </w:r>
            <w:r w:rsidRPr="00DE2047">
              <w:rPr>
                <w:rFonts w:eastAsia="Times New Roman" w:cs="Arial"/>
                <w:color w:val="000000"/>
                <w:kern w:val="0"/>
                <w:sz w:val="18"/>
                <w:szCs w:val="18"/>
                <w:lang w:eastAsia="en-GB"/>
                <w14:ligatures w14:val="none"/>
              </w:rPr>
              <w:t>ware of the terms and any associated costs of legacy systems this information could have been sought from incumbent providers to support costing and risk management</w:t>
            </w:r>
          </w:p>
        </w:tc>
        <w:tc>
          <w:tcPr>
            <w:tcW w:w="3260" w:type="dxa"/>
            <w:vMerge/>
            <w:tcBorders>
              <w:top w:val="nil"/>
              <w:left w:val="single" w:sz="4" w:space="0" w:color="auto"/>
              <w:bottom w:val="single" w:sz="4" w:space="0" w:color="000000"/>
              <w:right w:val="single" w:sz="4" w:space="0" w:color="auto"/>
            </w:tcBorders>
            <w:vAlign w:val="center"/>
            <w:hideMark/>
          </w:tcPr>
          <w:p w14:paraId="36EA68DF" w14:textId="77777777" w:rsidR="00DE2047" w:rsidRPr="00DE2047" w:rsidRDefault="00DE2047" w:rsidP="00DE2047">
            <w:pPr>
              <w:spacing w:after="0" w:line="240" w:lineRule="auto"/>
              <w:rPr>
                <w:rFonts w:eastAsia="Times New Roman" w:cs="Arial"/>
                <w:kern w:val="0"/>
                <w:sz w:val="18"/>
                <w:szCs w:val="18"/>
                <w:lang w:eastAsia="en-GB"/>
                <w14:ligatures w14:val="none"/>
              </w:rPr>
            </w:pPr>
          </w:p>
        </w:tc>
      </w:tr>
    </w:tbl>
    <w:p w14:paraId="79614F13" w14:textId="77777777" w:rsidR="0088618B" w:rsidRDefault="0088618B">
      <w:r>
        <w:br w:type="page"/>
      </w:r>
    </w:p>
    <w:tbl>
      <w:tblPr>
        <w:tblW w:w="15446" w:type="dxa"/>
        <w:tblLook w:val="04A0" w:firstRow="1" w:lastRow="0" w:firstColumn="1" w:lastColumn="0" w:noHBand="0" w:noVBand="1"/>
      </w:tblPr>
      <w:tblGrid>
        <w:gridCol w:w="520"/>
        <w:gridCol w:w="2736"/>
        <w:gridCol w:w="1275"/>
        <w:gridCol w:w="1276"/>
        <w:gridCol w:w="2552"/>
        <w:gridCol w:w="3827"/>
        <w:gridCol w:w="3260"/>
      </w:tblGrid>
      <w:tr w:rsidR="0088618B" w:rsidRPr="00DE2047" w14:paraId="26CD3136" w14:textId="77777777" w:rsidTr="005D07EF">
        <w:trPr>
          <w:trHeight w:val="240"/>
          <w:tblHeader/>
        </w:trPr>
        <w:tc>
          <w:tcPr>
            <w:tcW w:w="52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71B9C02" w14:textId="77777777" w:rsidR="0088618B" w:rsidRPr="00DE2047" w:rsidRDefault="0088618B" w:rsidP="00B407AB">
            <w:pPr>
              <w:spacing w:after="0" w:line="240" w:lineRule="auto"/>
              <w:jc w:val="center"/>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lastRenderedPageBreak/>
              <w:t>No</w:t>
            </w:r>
          </w:p>
        </w:tc>
        <w:tc>
          <w:tcPr>
            <w:tcW w:w="2736" w:type="dxa"/>
            <w:tcBorders>
              <w:top w:val="single" w:sz="4" w:space="0" w:color="auto"/>
              <w:left w:val="nil"/>
              <w:bottom w:val="single" w:sz="4" w:space="0" w:color="auto"/>
              <w:right w:val="single" w:sz="4" w:space="0" w:color="auto"/>
            </w:tcBorders>
            <w:shd w:val="clear" w:color="000000" w:fill="E7E6E6"/>
            <w:vAlign w:val="center"/>
            <w:hideMark/>
          </w:tcPr>
          <w:p w14:paraId="593CD6D6" w14:textId="77777777" w:rsidR="0088618B" w:rsidRPr="00DE2047" w:rsidRDefault="0088618B" w:rsidP="00B407AB">
            <w:pPr>
              <w:spacing w:after="0" w:line="240" w:lineRule="auto"/>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Question</w:t>
            </w:r>
          </w:p>
        </w:tc>
        <w:tc>
          <w:tcPr>
            <w:tcW w:w="1275" w:type="dxa"/>
            <w:tcBorders>
              <w:top w:val="single" w:sz="4" w:space="0" w:color="auto"/>
              <w:left w:val="nil"/>
              <w:bottom w:val="single" w:sz="4" w:space="0" w:color="auto"/>
              <w:right w:val="single" w:sz="4" w:space="0" w:color="auto"/>
            </w:tcBorders>
            <w:shd w:val="clear" w:color="000000" w:fill="E7E6E6"/>
            <w:vAlign w:val="center"/>
            <w:hideMark/>
          </w:tcPr>
          <w:p w14:paraId="0E0AAEFB" w14:textId="77777777" w:rsidR="0088618B" w:rsidRPr="00DE2047" w:rsidRDefault="0088618B" w:rsidP="00B407AB">
            <w:pPr>
              <w:spacing w:after="0" w:line="240" w:lineRule="auto"/>
              <w:jc w:val="center"/>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Date Sent</w:t>
            </w:r>
          </w:p>
        </w:tc>
        <w:tc>
          <w:tcPr>
            <w:tcW w:w="1276" w:type="dxa"/>
            <w:tcBorders>
              <w:top w:val="single" w:sz="4" w:space="0" w:color="auto"/>
              <w:left w:val="nil"/>
              <w:bottom w:val="single" w:sz="4" w:space="0" w:color="auto"/>
              <w:right w:val="single" w:sz="4" w:space="0" w:color="auto"/>
            </w:tcBorders>
            <w:shd w:val="clear" w:color="000000" w:fill="E7E6E6"/>
            <w:vAlign w:val="center"/>
            <w:hideMark/>
          </w:tcPr>
          <w:p w14:paraId="4AE7817D" w14:textId="77777777" w:rsidR="0088618B" w:rsidRPr="00DE2047" w:rsidRDefault="0088618B" w:rsidP="00B407AB">
            <w:pPr>
              <w:spacing w:after="0" w:line="240" w:lineRule="auto"/>
              <w:jc w:val="center"/>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Response date</w:t>
            </w:r>
          </w:p>
        </w:tc>
        <w:tc>
          <w:tcPr>
            <w:tcW w:w="2552" w:type="dxa"/>
            <w:tcBorders>
              <w:top w:val="single" w:sz="4" w:space="0" w:color="auto"/>
              <w:left w:val="nil"/>
              <w:bottom w:val="single" w:sz="4" w:space="0" w:color="auto"/>
              <w:right w:val="single" w:sz="4" w:space="0" w:color="auto"/>
            </w:tcBorders>
            <w:shd w:val="clear" w:color="000000" w:fill="E7E6E6"/>
            <w:vAlign w:val="center"/>
            <w:hideMark/>
          </w:tcPr>
          <w:p w14:paraId="2E5F7BFE" w14:textId="77777777" w:rsidR="0088618B" w:rsidRPr="00DE2047" w:rsidRDefault="0088618B" w:rsidP="00B407AB">
            <w:pPr>
              <w:spacing w:after="0" w:line="240" w:lineRule="auto"/>
              <w:jc w:val="center"/>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Authority Response</w:t>
            </w:r>
          </w:p>
        </w:tc>
        <w:tc>
          <w:tcPr>
            <w:tcW w:w="3827" w:type="dxa"/>
            <w:tcBorders>
              <w:top w:val="single" w:sz="4" w:space="0" w:color="auto"/>
              <w:left w:val="nil"/>
              <w:bottom w:val="single" w:sz="4" w:space="0" w:color="auto"/>
              <w:right w:val="single" w:sz="4" w:space="0" w:color="auto"/>
            </w:tcBorders>
            <w:shd w:val="clear" w:color="000000" w:fill="E7E6E6"/>
            <w:vAlign w:val="center"/>
            <w:hideMark/>
          </w:tcPr>
          <w:p w14:paraId="2024821D" w14:textId="77777777" w:rsidR="0088618B" w:rsidRPr="00DE2047" w:rsidRDefault="0088618B" w:rsidP="00B407AB">
            <w:pPr>
              <w:spacing w:after="0" w:line="240" w:lineRule="auto"/>
              <w:jc w:val="center"/>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Providers’ concerns</w:t>
            </w:r>
          </w:p>
        </w:tc>
        <w:tc>
          <w:tcPr>
            <w:tcW w:w="3260" w:type="dxa"/>
            <w:tcBorders>
              <w:top w:val="single" w:sz="4" w:space="0" w:color="auto"/>
              <w:left w:val="nil"/>
              <w:bottom w:val="single" w:sz="4" w:space="0" w:color="auto"/>
              <w:right w:val="single" w:sz="4" w:space="0" w:color="auto"/>
            </w:tcBorders>
            <w:shd w:val="clear" w:color="000000" w:fill="E7E6E6"/>
            <w:vAlign w:val="center"/>
            <w:hideMark/>
          </w:tcPr>
          <w:p w14:paraId="33A046E9" w14:textId="77777777" w:rsidR="0088618B" w:rsidRPr="00DE2047" w:rsidRDefault="0088618B" w:rsidP="00B407AB">
            <w:pPr>
              <w:spacing w:after="0" w:line="240" w:lineRule="auto"/>
              <w:jc w:val="center"/>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Panel view</w:t>
            </w:r>
          </w:p>
        </w:tc>
      </w:tr>
      <w:tr w:rsidR="00DE2047" w:rsidRPr="00DE2047" w14:paraId="6EBABA2B" w14:textId="77777777" w:rsidTr="005D07EF">
        <w:trPr>
          <w:trHeight w:val="240"/>
          <w:tblHeader/>
        </w:trPr>
        <w:tc>
          <w:tcPr>
            <w:tcW w:w="15446" w:type="dxa"/>
            <w:gridSpan w:val="7"/>
            <w:tcBorders>
              <w:top w:val="single" w:sz="4" w:space="0" w:color="auto"/>
              <w:left w:val="single" w:sz="4" w:space="0" w:color="auto"/>
              <w:bottom w:val="single" w:sz="4" w:space="0" w:color="auto"/>
              <w:right w:val="single" w:sz="4" w:space="0" w:color="000000"/>
            </w:tcBorders>
            <w:noWrap/>
            <w:vAlign w:val="center"/>
            <w:hideMark/>
          </w:tcPr>
          <w:p w14:paraId="1B38D7C7" w14:textId="3A0F55F4" w:rsidR="00DE2047" w:rsidRPr="00DE2047" w:rsidRDefault="00DE2047" w:rsidP="00DE2047">
            <w:pPr>
              <w:spacing w:after="0" w:line="240" w:lineRule="auto"/>
              <w:rPr>
                <w:rFonts w:eastAsia="Times New Roman" w:cs="Arial"/>
                <w:b/>
                <w:bCs/>
                <w:color w:val="0070C0"/>
                <w:kern w:val="0"/>
                <w:sz w:val="18"/>
                <w:szCs w:val="18"/>
                <w:lang w:eastAsia="en-GB"/>
                <w14:ligatures w14:val="none"/>
              </w:rPr>
            </w:pPr>
            <w:r w:rsidRPr="00DE2047">
              <w:rPr>
                <w:rFonts w:eastAsia="Times New Roman" w:cs="Arial"/>
                <w:b/>
                <w:bCs/>
                <w:color w:val="0070C0"/>
                <w:kern w:val="0"/>
                <w:sz w:val="18"/>
                <w:szCs w:val="18"/>
                <w:lang w:eastAsia="en-GB"/>
                <w14:ligatures w14:val="none"/>
              </w:rPr>
              <w:t>CQs about staffing and TUPE</w:t>
            </w:r>
          </w:p>
        </w:tc>
      </w:tr>
      <w:tr w:rsidR="00C557E4" w:rsidRPr="00DE2047" w14:paraId="06A625F1" w14:textId="77777777" w:rsidTr="004851D5">
        <w:trPr>
          <w:trHeight w:val="2292"/>
        </w:trPr>
        <w:tc>
          <w:tcPr>
            <w:tcW w:w="520" w:type="dxa"/>
            <w:tcBorders>
              <w:top w:val="nil"/>
              <w:left w:val="single" w:sz="4" w:space="0" w:color="auto"/>
              <w:bottom w:val="single" w:sz="4" w:space="0" w:color="auto"/>
              <w:right w:val="single" w:sz="4" w:space="0" w:color="auto"/>
            </w:tcBorders>
            <w:hideMark/>
          </w:tcPr>
          <w:p w14:paraId="0C84EB66"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38</w:t>
            </w:r>
          </w:p>
        </w:tc>
        <w:tc>
          <w:tcPr>
            <w:tcW w:w="2736" w:type="dxa"/>
            <w:tcBorders>
              <w:top w:val="nil"/>
              <w:left w:val="nil"/>
              <w:bottom w:val="single" w:sz="4" w:space="0" w:color="auto"/>
              <w:right w:val="single" w:sz="4" w:space="0" w:color="auto"/>
            </w:tcBorders>
            <w:hideMark/>
          </w:tcPr>
          <w:p w14:paraId="6247718F" w14:textId="77777777" w:rsidR="00DE2047" w:rsidRPr="00DE2047" w:rsidRDefault="00DE2047" w:rsidP="00DE2047">
            <w:pPr>
              <w:spacing w:after="0" w:line="240" w:lineRule="auto"/>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 xml:space="preserve">Theme: TUPE Data query </w:t>
            </w:r>
            <w:r w:rsidRPr="00DE2047">
              <w:rPr>
                <w:rFonts w:eastAsia="Times New Roman" w:cs="Arial"/>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br/>
              <w:t>Within the TUPE lists various Employment Advisors are included. Our understanding was that Employment Advisors are excluded. Please will you confirm whether</w:t>
            </w:r>
            <w:r w:rsidRPr="00DE2047">
              <w:rPr>
                <w:rFonts w:eastAsia="Times New Roman" w:cs="Arial"/>
                <w:color w:val="000000"/>
                <w:kern w:val="0"/>
                <w:sz w:val="18"/>
                <w:szCs w:val="18"/>
                <w:lang w:eastAsia="en-GB"/>
                <w14:ligatures w14:val="none"/>
              </w:rPr>
              <w:br/>
              <w:t>a) employment advisors are included</w:t>
            </w:r>
            <w:r w:rsidRPr="00DE2047">
              <w:rPr>
                <w:rFonts w:eastAsia="Times New Roman" w:cs="Arial"/>
                <w:color w:val="000000"/>
                <w:kern w:val="0"/>
                <w:sz w:val="18"/>
                <w:szCs w:val="18"/>
                <w:lang w:eastAsia="en-GB"/>
                <w14:ligatures w14:val="none"/>
              </w:rPr>
              <w:br/>
              <w:t>b) that those included are from within the core (ICB) funding and that</w:t>
            </w:r>
            <w:r w:rsidRPr="00DE2047">
              <w:rPr>
                <w:rFonts w:eastAsia="Times New Roman" w:cs="Arial"/>
                <w:color w:val="000000"/>
                <w:kern w:val="0"/>
                <w:sz w:val="18"/>
                <w:szCs w:val="18"/>
                <w:lang w:eastAsia="en-GB"/>
                <w14:ligatures w14:val="none"/>
              </w:rPr>
              <w:br/>
              <w:t>c) no DWP funded posts are included</w:t>
            </w:r>
          </w:p>
        </w:tc>
        <w:tc>
          <w:tcPr>
            <w:tcW w:w="1275" w:type="dxa"/>
            <w:tcBorders>
              <w:top w:val="nil"/>
              <w:left w:val="nil"/>
              <w:bottom w:val="single" w:sz="4" w:space="0" w:color="auto"/>
              <w:right w:val="single" w:sz="4" w:space="0" w:color="auto"/>
            </w:tcBorders>
            <w:hideMark/>
          </w:tcPr>
          <w:p w14:paraId="69DC5C0E"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11/03/2025</w:t>
            </w:r>
          </w:p>
        </w:tc>
        <w:tc>
          <w:tcPr>
            <w:tcW w:w="1276" w:type="dxa"/>
            <w:tcBorders>
              <w:top w:val="nil"/>
              <w:left w:val="nil"/>
              <w:bottom w:val="single" w:sz="4" w:space="0" w:color="auto"/>
              <w:right w:val="single" w:sz="4" w:space="0" w:color="auto"/>
            </w:tcBorders>
            <w:hideMark/>
          </w:tcPr>
          <w:p w14:paraId="45C46E83"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17/03/2025</w:t>
            </w:r>
          </w:p>
        </w:tc>
        <w:tc>
          <w:tcPr>
            <w:tcW w:w="2552" w:type="dxa"/>
            <w:tcBorders>
              <w:top w:val="nil"/>
              <w:left w:val="nil"/>
              <w:bottom w:val="single" w:sz="4" w:space="0" w:color="auto"/>
              <w:right w:val="single" w:sz="4" w:space="0" w:color="auto"/>
            </w:tcBorders>
            <w:hideMark/>
          </w:tcPr>
          <w:p w14:paraId="1BD060DF" w14:textId="77777777" w:rsidR="00DE2047" w:rsidRPr="00DE2047" w:rsidRDefault="00DE2047" w:rsidP="00DE2047">
            <w:pPr>
              <w:spacing w:after="0" w:line="240" w:lineRule="auto"/>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Please see revised TUPE Data:</w:t>
            </w:r>
            <w:r w:rsidRPr="00DE2047">
              <w:rPr>
                <w:rFonts w:eastAsia="Times New Roman" w:cs="Arial"/>
                <w:color w:val="000000"/>
                <w:kern w:val="0"/>
                <w:sz w:val="18"/>
                <w:szCs w:val="18"/>
                <w:lang w:eastAsia="en-GB"/>
                <w14:ligatures w14:val="none"/>
              </w:rPr>
              <w:br/>
              <w:t xml:space="preserve">Doc 9b. </w:t>
            </w:r>
            <w:r w:rsidRPr="005D07EF">
              <w:rPr>
                <w:rFonts w:eastAsia="Times New Roman" w:cs="Arial"/>
                <w:color w:val="000000"/>
                <w:kern w:val="0"/>
                <w:sz w:val="18"/>
                <w:szCs w:val="18"/>
                <w:lang w:val="it-IT" w:eastAsia="en-GB"/>
                <w14:ligatures w14:val="none"/>
              </w:rPr>
              <w:t>TUPE Data HPFT v2</w:t>
            </w:r>
            <w:r w:rsidRPr="005D07EF">
              <w:rPr>
                <w:rFonts w:eastAsia="Times New Roman" w:cs="Arial"/>
                <w:color w:val="000000"/>
                <w:kern w:val="0"/>
                <w:sz w:val="18"/>
                <w:szCs w:val="18"/>
                <w:lang w:val="it-IT" w:eastAsia="en-GB"/>
                <w14:ligatures w14:val="none"/>
              </w:rPr>
              <w:br/>
              <w:t>Doc 9c. TUPE Data Vita v2</w:t>
            </w:r>
            <w:r w:rsidRPr="005D07EF">
              <w:rPr>
                <w:rFonts w:eastAsia="Times New Roman" w:cs="Arial"/>
                <w:color w:val="000000"/>
                <w:kern w:val="0"/>
                <w:sz w:val="18"/>
                <w:szCs w:val="18"/>
                <w:lang w:val="it-IT" w:eastAsia="en-GB"/>
                <w14:ligatures w14:val="none"/>
              </w:rPr>
              <w:br/>
              <w:t xml:space="preserve">Doc 9d. </w:t>
            </w:r>
            <w:r w:rsidRPr="00DE2047">
              <w:rPr>
                <w:rFonts w:eastAsia="Times New Roman" w:cs="Arial"/>
                <w:color w:val="000000"/>
                <w:kern w:val="0"/>
                <w:sz w:val="18"/>
                <w:szCs w:val="18"/>
                <w:lang w:eastAsia="en-GB"/>
                <w14:ligatures w14:val="none"/>
              </w:rPr>
              <w:t>TUPE Data MPFT Inclusion v2</w:t>
            </w:r>
          </w:p>
        </w:tc>
        <w:tc>
          <w:tcPr>
            <w:tcW w:w="3827" w:type="dxa"/>
            <w:tcBorders>
              <w:top w:val="nil"/>
              <w:left w:val="nil"/>
              <w:bottom w:val="single" w:sz="4" w:space="0" w:color="auto"/>
              <w:right w:val="single" w:sz="4" w:space="0" w:color="auto"/>
            </w:tcBorders>
            <w:hideMark/>
          </w:tcPr>
          <w:p w14:paraId="24211737" w14:textId="77777777" w:rsidR="00DE2047" w:rsidRPr="00DE2047" w:rsidRDefault="00DE2047" w:rsidP="00DE2047">
            <w:pPr>
              <w:spacing w:after="0" w:line="240" w:lineRule="auto"/>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EPUT’s concerns (CR0022-25/P13):</w:t>
            </w:r>
            <w:r w:rsidRPr="00DE2047">
              <w:rPr>
                <w:rFonts w:eastAsia="Times New Roman" w:cs="Arial"/>
                <w:b/>
                <w:bCs/>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t>This question was not answered</w:t>
            </w:r>
            <w:r w:rsidRPr="00DE2047">
              <w:rPr>
                <w:rFonts w:eastAsia="Times New Roman" w:cs="Arial"/>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br/>
              <w:t xml:space="preserve">To note confirmation from DWP was received on 06/06/25 re continuation of funding for Employment Advisors. </w:t>
            </w:r>
            <w:r w:rsidRPr="00DE2047">
              <w:rPr>
                <w:rFonts w:eastAsia="Times New Roman" w:cs="Arial"/>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br/>
              <w:t>Uncertainty regarding funding for employment advisors, the lack of clarification led to assumptions having to be made regarding the funding stream</w:t>
            </w:r>
          </w:p>
        </w:tc>
        <w:tc>
          <w:tcPr>
            <w:tcW w:w="3260" w:type="dxa"/>
            <w:vMerge w:val="restart"/>
            <w:tcBorders>
              <w:top w:val="nil"/>
              <w:left w:val="single" w:sz="4" w:space="0" w:color="auto"/>
              <w:bottom w:val="single" w:sz="4" w:space="0" w:color="000000"/>
              <w:right w:val="single" w:sz="4" w:space="0" w:color="auto"/>
            </w:tcBorders>
            <w:hideMark/>
          </w:tcPr>
          <w:p w14:paraId="24846868" w14:textId="37B5A7E9" w:rsidR="00DE2047" w:rsidRPr="00DE2047" w:rsidRDefault="00DE2047" w:rsidP="00DE2047">
            <w:pPr>
              <w:spacing w:after="0" w:line="240" w:lineRule="auto"/>
              <w:rPr>
                <w:rFonts w:eastAsia="Times New Roman" w:cs="Arial"/>
                <w:kern w:val="0"/>
                <w:sz w:val="18"/>
                <w:szCs w:val="18"/>
                <w:lang w:eastAsia="en-GB"/>
                <w14:ligatures w14:val="none"/>
              </w:rPr>
            </w:pPr>
            <w:r w:rsidRPr="00DE2047">
              <w:rPr>
                <w:rFonts w:eastAsia="Times New Roman" w:cs="Arial"/>
                <w:kern w:val="0"/>
                <w:sz w:val="18"/>
                <w:szCs w:val="18"/>
                <w:lang w:eastAsia="en-GB"/>
                <w14:ligatures w14:val="none"/>
              </w:rPr>
              <w:t>Four questions were asked on staffing and TUPE related matters. The Panel appreciates that TUPE information supplied to bidders in a procurement process is indicative and as a result there will always be a degree of uncertainty that providers need to manage in relation to staffing. Notwithstanding this, the Panel's view is that MSE ICB did not directly answer the questions that were asked, and was not sufficiently clear about the information that it was, or was not, in a position to provide. MSE ICB took 9 working days to answer one question, which was unreasonably long in the context of a 2</w:t>
            </w:r>
            <w:r w:rsidR="004966E4">
              <w:rPr>
                <w:rFonts w:eastAsia="Times New Roman" w:cs="Arial"/>
                <w:kern w:val="0"/>
                <w:sz w:val="18"/>
                <w:szCs w:val="18"/>
                <w:lang w:eastAsia="en-GB"/>
                <w14:ligatures w14:val="none"/>
              </w:rPr>
              <w:t>3</w:t>
            </w:r>
            <w:r w:rsidRPr="00DE2047">
              <w:rPr>
                <w:rFonts w:eastAsia="Times New Roman" w:cs="Arial"/>
                <w:kern w:val="0"/>
                <w:sz w:val="18"/>
                <w:szCs w:val="18"/>
                <w:lang w:eastAsia="en-GB"/>
                <w14:ligatures w14:val="none"/>
              </w:rPr>
              <w:t xml:space="preserve"> working day bidding process. Further, in at least one instance the answer was misleading in that it referred to a commissioner split of the funding envelope as the basis for splitting the staff list into service components.</w:t>
            </w:r>
          </w:p>
        </w:tc>
      </w:tr>
      <w:tr w:rsidR="00C557E4" w:rsidRPr="00DE2047" w14:paraId="59B1E2EA" w14:textId="77777777" w:rsidTr="004851D5">
        <w:trPr>
          <w:trHeight w:val="3273"/>
        </w:trPr>
        <w:tc>
          <w:tcPr>
            <w:tcW w:w="520" w:type="dxa"/>
            <w:tcBorders>
              <w:top w:val="nil"/>
              <w:left w:val="single" w:sz="4" w:space="0" w:color="auto"/>
              <w:bottom w:val="single" w:sz="4" w:space="0" w:color="auto"/>
              <w:right w:val="single" w:sz="4" w:space="0" w:color="auto"/>
            </w:tcBorders>
            <w:hideMark/>
          </w:tcPr>
          <w:p w14:paraId="2F0A3EF5"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48</w:t>
            </w:r>
          </w:p>
        </w:tc>
        <w:tc>
          <w:tcPr>
            <w:tcW w:w="2736" w:type="dxa"/>
            <w:tcBorders>
              <w:top w:val="nil"/>
              <w:left w:val="nil"/>
              <w:bottom w:val="single" w:sz="4" w:space="0" w:color="auto"/>
              <w:right w:val="single" w:sz="4" w:space="0" w:color="auto"/>
            </w:tcBorders>
            <w:hideMark/>
          </w:tcPr>
          <w:p w14:paraId="371DFD85" w14:textId="77777777" w:rsidR="00DE2047" w:rsidRPr="00DE2047" w:rsidRDefault="00DE2047" w:rsidP="00DE2047">
            <w:pPr>
              <w:spacing w:after="0" w:line="240" w:lineRule="auto"/>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Could commissioners please confirm within each TUPE list which staffing group are aligned to the PTS Service</w:t>
            </w:r>
          </w:p>
        </w:tc>
        <w:tc>
          <w:tcPr>
            <w:tcW w:w="1275" w:type="dxa"/>
            <w:tcBorders>
              <w:top w:val="nil"/>
              <w:left w:val="nil"/>
              <w:bottom w:val="single" w:sz="4" w:space="0" w:color="auto"/>
              <w:right w:val="single" w:sz="4" w:space="0" w:color="auto"/>
            </w:tcBorders>
            <w:hideMark/>
          </w:tcPr>
          <w:p w14:paraId="149399DB"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13/03/2025</w:t>
            </w:r>
          </w:p>
        </w:tc>
        <w:tc>
          <w:tcPr>
            <w:tcW w:w="1276" w:type="dxa"/>
            <w:tcBorders>
              <w:top w:val="nil"/>
              <w:left w:val="nil"/>
              <w:bottom w:val="single" w:sz="4" w:space="0" w:color="auto"/>
              <w:right w:val="single" w:sz="4" w:space="0" w:color="auto"/>
            </w:tcBorders>
            <w:hideMark/>
          </w:tcPr>
          <w:p w14:paraId="7D82256C"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26/03/2025</w:t>
            </w:r>
          </w:p>
        </w:tc>
        <w:tc>
          <w:tcPr>
            <w:tcW w:w="2552" w:type="dxa"/>
            <w:tcBorders>
              <w:top w:val="nil"/>
              <w:left w:val="nil"/>
              <w:bottom w:val="single" w:sz="4" w:space="0" w:color="auto"/>
              <w:right w:val="single" w:sz="4" w:space="0" w:color="auto"/>
            </w:tcBorders>
            <w:hideMark/>
          </w:tcPr>
          <w:p w14:paraId="04E2894A" w14:textId="77777777" w:rsidR="00DE2047" w:rsidRPr="00DE2047" w:rsidRDefault="00DE2047" w:rsidP="00DE2047">
            <w:pPr>
              <w:spacing w:after="0" w:line="240" w:lineRule="auto"/>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The TUPE Data does not indicate a split between the TT staff and PTSMHP staff. NHS MSE ICB have suggested a minimum financial split of TT 85/ PTS 15 split respectively, which is inclusive of service costs and staffing.   </w:t>
            </w:r>
          </w:p>
        </w:tc>
        <w:tc>
          <w:tcPr>
            <w:tcW w:w="3827" w:type="dxa"/>
            <w:tcBorders>
              <w:top w:val="nil"/>
              <w:left w:val="nil"/>
              <w:bottom w:val="single" w:sz="4" w:space="0" w:color="auto"/>
              <w:right w:val="single" w:sz="4" w:space="0" w:color="auto"/>
            </w:tcBorders>
            <w:hideMark/>
          </w:tcPr>
          <w:p w14:paraId="01B9827A" w14:textId="77777777" w:rsidR="00DE2047" w:rsidRPr="00DE2047" w:rsidRDefault="00DE2047" w:rsidP="00DE2047">
            <w:pPr>
              <w:spacing w:after="0" w:line="240" w:lineRule="auto"/>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EPUT’s concerns (CR0022-25/P13):</w:t>
            </w:r>
            <w:r w:rsidRPr="00DE2047">
              <w:rPr>
                <w:rFonts w:eastAsia="Times New Roman" w:cs="Arial"/>
                <w:b/>
                <w:bCs/>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t xml:space="preserve">To note there was a delay in the question being read and acknowledged. </w:t>
            </w:r>
            <w:r w:rsidRPr="00DE2047">
              <w:rPr>
                <w:rFonts w:eastAsia="Times New Roman" w:cs="Arial"/>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br/>
              <w:t xml:space="preserve">Detail was not requested from the incumbent providers by the Authority and each incumbent would have had the relevant detail. </w:t>
            </w:r>
            <w:r w:rsidRPr="00DE2047">
              <w:rPr>
                <w:rFonts w:eastAsia="Times New Roman" w:cs="Arial"/>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br/>
              <w:t>The delay in responding left bidders five working days to re-produce a costed model for the service based on this information, revise technical responses accordingly along with managing internal governance for approval to submit. This was a material issue</w:t>
            </w:r>
          </w:p>
        </w:tc>
        <w:tc>
          <w:tcPr>
            <w:tcW w:w="3260" w:type="dxa"/>
            <w:vMerge/>
            <w:tcBorders>
              <w:top w:val="nil"/>
              <w:left w:val="single" w:sz="4" w:space="0" w:color="auto"/>
              <w:bottom w:val="single" w:sz="4" w:space="0" w:color="000000"/>
              <w:right w:val="single" w:sz="4" w:space="0" w:color="auto"/>
            </w:tcBorders>
            <w:vAlign w:val="center"/>
            <w:hideMark/>
          </w:tcPr>
          <w:p w14:paraId="44CF2456" w14:textId="77777777" w:rsidR="00DE2047" w:rsidRPr="00DE2047" w:rsidRDefault="00DE2047" w:rsidP="00DE2047">
            <w:pPr>
              <w:spacing w:after="0" w:line="240" w:lineRule="auto"/>
              <w:rPr>
                <w:rFonts w:eastAsia="Times New Roman" w:cs="Arial"/>
                <w:kern w:val="0"/>
                <w:sz w:val="18"/>
                <w:szCs w:val="18"/>
                <w:lang w:eastAsia="en-GB"/>
                <w14:ligatures w14:val="none"/>
              </w:rPr>
            </w:pPr>
          </w:p>
        </w:tc>
      </w:tr>
      <w:tr w:rsidR="00C557E4" w:rsidRPr="00DE2047" w14:paraId="4B60D56D" w14:textId="77777777" w:rsidTr="004851D5">
        <w:trPr>
          <w:trHeight w:val="2808"/>
        </w:trPr>
        <w:tc>
          <w:tcPr>
            <w:tcW w:w="520" w:type="dxa"/>
            <w:tcBorders>
              <w:top w:val="nil"/>
              <w:left w:val="single" w:sz="4" w:space="0" w:color="auto"/>
              <w:bottom w:val="single" w:sz="4" w:space="0" w:color="auto"/>
              <w:right w:val="single" w:sz="4" w:space="0" w:color="auto"/>
            </w:tcBorders>
            <w:hideMark/>
          </w:tcPr>
          <w:p w14:paraId="185B1C87"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lastRenderedPageBreak/>
              <w:t>52</w:t>
            </w:r>
          </w:p>
        </w:tc>
        <w:tc>
          <w:tcPr>
            <w:tcW w:w="2736" w:type="dxa"/>
            <w:tcBorders>
              <w:top w:val="nil"/>
              <w:left w:val="nil"/>
              <w:bottom w:val="single" w:sz="4" w:space="0" w:color="auto"/>
              <w:right w:val="single" w:sz="4" w:space="0" w:color="auto"/>
            </w:tcBorders>
            <w:hideMark/>
          </w:tcPr>
          <w:p w14:paraId="7A6221A2" w14:textId="77777777" w:rsidR="00DE2047" w:rsidRPr="00DE2047" w:rsidRDefault="00DE2047" w:rsidP="00DE2047">
            <w:pPr>
              <w:spacing w:after="0" w:line="240" w:lineRule="auto"/>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Can commissioners confirm the number of trainees who will be offered posts as per NHSE stipulated requirements from all providers.</w:t>
            </w:r>
          </w:p>
        </w:tc>
        <w:tc>
          <w:tcPr>
            <w:tcW w:w="1275" w:type="dxa"/>
            <w:tcBorders>
              <w:top w:val="nil"/>
              <w:left w:val="nil"/>
              <w:bottom w:val="single" w:sz="4" w:space="0" w:color="auto"/>
              <w:right w:val="single" w:sz="4" w:space="0" w:color="auto"/>
            </w:tcBorders>
            <w:hideMark/>
          </w:tcPr>
          <w:p w14:paraId="21B145B4"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19/03/2025</w:t>
            </w:r>
          </w:p>
        </w:tc>
        <w:tc>
          <w:tcPr>
            <w:tcW w:w="1276" w:type="dxa"/>
            <w:tcBorders>
              <w:top w:val="nil"/>
              <w:left w:val="nil"/>
              <w:bottom w:val="single" w:sz="4" w:space="0" w:color="auto"/>
              <w:right w:val="single" w:sz="4" w:space="0" w:color="auto"/>
            </w:tcBorders>
            <w:hideMark/>
          </w:tcPr>
          <w:p w14:paraId="28CBDBFD"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26/03/2025</w:t>
            </w:r>
          </w:p>
        </w:tc>
        <w:tc>
          <w:tcPr>
            <w:tcW w:w="2552" w:type="dxa"/>
            <w:tcBorders>
              <w:top w:val="nil"/>
              <w:left w:val="nil"/>
              <w:bottom w:val="single" w:sz="4" w:space="0" w:color="auto"/>
              <w:right w:val="single" w:sz="4" w:space="0" w:color="auto"/>
            </w:tcBorders>
            <w:hideMark/>
          </w:tcPr>
          <w:p w14:paraId="2FC34B55" w14:textId="77777777" w:rsidR="00DE2047" w:rsidRPr="00DE2047" w:rsidRDefault="00DE2047" w:rsidP="00DE2047">
            <w:pPr>
              <w:spacing w:after="0" w:line="240" w:lineRule="auto"/>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Please see TUPE data as outlined in documents 9a - 9d TUPE Data.</w:t>
            </w:r>
          </w:p>
        </w:tc>
        <w:tc>
          <w:tcPr>
            <w:tcW w:w="3827" w:type="dxa"/>
            <w:tcBorders>
              <w:top w:val="nil"/>
              <w:left w:val="nil"/>
              <w:bottom w:val="single" w:sz="4" w:space="0" w:color="auto"/>
              <w:right w:val="single" w:sz="4" w:space="0" w:color="auto"/>
            </w:tcBorders>
            <w:hideMark/>
          </w:tcPr>
          <w:p w14:paraId="722DCE39" w14:textId="77777777" w:rsidR="00DE2047" w:rsidRPr="00DE2047" w:rsidRDefault="00DE2047" w:rsidP="00DE2047">
            <w:pPr>
              <w:spacing w:after="0" w:line="240" w:lineRule="auto"/>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EPUT’s concerns (CR0022-25/P13):</w:t>
            </w:r>
            <w:r w:rsidRPr="00DE2047">
              <w:rPr>
                <w:rFonts w:eastAsia="Times New Roman" w:cs="Arial"/>
                <w:b/>
                <w:bCs/>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t xml:space="preserve">Question not answered. </w:t>
            </w:r>
            <w:r w:rsidRPr="00DE2047">
              <w:rPr>
                <w:rFonts w:eastAsia="Times New Roman" w:cs="Arial"/>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br/>
              <w:t>The Trainees are in salary supported posts and upon qualification are a potential cost pressure to the service, should there not be vacant qualified posts for the trainees to move into. The use of trainees are a fundamental part of the national expansion of Talking Therapy services. Understanding the financial impact the trainees could have was an essential part of the financial modelling</w:t>
            </w:r>
          </w:p>
        </w:tc>
        <w:tc>
          <w:tcPr>
            <w:tcW w:w="3260" w:type="dxa"/>
            <w:vMerge/>
            <w:tcBorders>
              <w:top w:val="nil"/>
              <w:left w:val="single" w:sz="4" w:space="0" w:color="auto"/>
              <w:bottom w:val="single" w:sz="4" w:space="0" w:color="000000"/>
              <w:right w:val="single" w:sz="4" w:space="0" w:color="auto"/>
            </w:tcBorders>
            <w:vAlign w:val="center"/>
            <w:hideMark/>
          </w:tcPr>
          <w:p w14:paraId="624D5272" w14:textId="77777777" w:rsidR="00DE2047" w:rsidRPr="00DE2047" w:rsidRDefault="00DE2047" w:rsidP="00DE2047">
            <w:pPr>
              <w:spacing w:after="0" w:line="240" w:lineRule="auto"/>
              <w:rPr>
                <w:rFonts w:eastAsia="Times New Roman" w:cs="Arial"/>
                <w:kern w:val="0"/>
                <w:sz w:val="18"/>
                <w:szCs w:val="18"/>
                <w:lang w:eastAsia="en-GB"/>
                <w14:ligatures w14:val="none"/>
              </w:rPr>
            </w:pPr>
          </w:p>
        </w:tc>
      </w:tr>
      <w:tr w:rsidR="00C557E4" w:rsidRPr="00DE2047" w14:paraId="048AB24F" w14:textId="77777777" w:rsidTr="004851D5">
        <w:trPr>
          <w:trHeight w:val="1368"/>
        </w:trPr>
        <w:tc>
          <w:tcPr>
            <w:tcW w:w="520" w:type="dxa"/>
            <w:tcBorders>
              <w:top w:val="nil"/>
              <w:left w:val="single" w:sz="4" w:space="0" w:color="auto"/>
              <w:bottom w:val="single" w:sz="4" w:space="0" w:color="auto"/>
              <w:right w:val="single" w:sz="4" w:space="0" w:color="auto"/>
            </w:tcBorders>
            <w:hideMark/>
          </w:tcPr>
          <w:p w14:paraId="5CE893A8"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71</w:t>
            </w:r>
          </w:p>
        </w:tc>
        <w:tc>
          <w:tcPr>
            <w:tcW w:w="2736" w:type="dxa"/>
            <w:tcBorders>
              <w:top w:val="nil"/>
              <w:left w:val="nil"/>
              <w:bottom w:val="single" w:sz="4" w:space="0" w:color="auto"/>
              <w:right w:val="single" w:sz="4" w:space="0" w:color="auto"/>
            </w:tcBorders>
            <w:hideMark/>
          </w:tcPr>
          <w:p w14:paraId="617584CC" w14:textId="77777777" w:rsidR="00DE2047" w:rsidRPr="00DE2047" w:rsidRDefault="00DE2047" w:rsidP="00DE2047">
            <w:pPr>
              <w:spacing w:after="0" w:line="240" w:lineRule="auto"/>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Where fixed term contracts have an end date prior to 1 August 2025 can all providers confirm that they will not be extended beyond this date</w:t>
            </w:r>
          </w:p>
        </w:tc>
        <w:tc>
          <w:tcPr>
            <w:tcW w:w="1275" w:type="dxa"/>
            <w:tcBorders>
              <w:top w:val="nil"/>
              <w:left w:val="nil"/>
              <w:bottom w:val="single" w:sz="4" w:space="0" w:color="auto"/>
              <w:right w:val="single" w:sz="4" w:space="0" w:color="auto"/>
            </w:tcBorders>
            <w:hideMark/>
          </w:tcPr>
          <w:p w14:paraId="74746E1B"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21/03/2025</w:t>
            </w:r>
          </w:p>
        </w:tc>
        <w:tc>
          <w:tcPr>
            <w:tcW w:w="1276" w:type="dxa"/>
            <w:tcBorders>
              <w:top w:val="nil"/>
              <w:left w:val="nil"/>
              <w:bottom w:val="single" w:sz="4" w:space="0" w:color="auto"/>
              <w:right w:val="single" w:sz="4" w:space="0" w:color="auto"/>
            </w:tcBorders>
            <w:hideMark/>
          </w:tcPr>
          <w:p w14:paraId="31B10682"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26/03/2025</w:t>
            </w:r>
          </w:p>
        </w:tc>
        <w:tc>
          <w:tcPr>
            <w:tcW w:w="2552" w:type="dxa"/>
            <w:tcBorders>
              <w:top w:val="nil"/>
              <w:left w:val="nil"/>
              <w:bottom w:val="single" w:sz="4" w:space="0" w:color="auto"/>
              <w:right w:val="single" w:sz="4" w:space="0" w:color="auto"/>
            </w:tcBorders>
            <w:hideMark/>
          </w:tcPr>
          <w:p w14:paraId="6F537713" w14:textId="77777777" w:rsidR="00DE2047" w:rsidRPr="00DE2047" w:rsidRDefault="00DE2047" w:rsidP="00DE2047">
            <w:pPr>
              <w:spacing w:after="0" w:line="240" w:lineRule="auto"/>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See CQ 39.</w:t>
            </w:r>
            <w:r w:rsidRPr="00DE2047">
              <w:rPr>
                <w:rFonts w:eastAsia="Times New Roman" w:cs="Arial"/>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br/>
              <w:t xml:space="preserve">All incumbent providers have frozen recruitment and/or are not actively recruiting to any roles in the Talking Therapy or Psychological Therapies for Serious Mental Health Problems services. </w:t>
            </w:r>
          </w:p>
        </w:tc>
        <w:tc>
          <w:tcPr>
            <w:tcW w:w="3827" w:type="dxa"/>
            <w:tcBorders>
              <w:top w:val="nil"/>
              <w:left w:val="nil"/>
              <w:bottom w:val="single" w:sz="4" w:space="0" w:color="auto"/>
              <w:right w:val="single" w:sz="4" w:space="0" w:color="auto"/>
            </w:tcBorders>
            <w:hideMark/>
          </w:tcPr>
          <w:p w14:paraId="700C098A" w14:textId="77777777" w:rsidR="00DE2047" w:rsidRPr="00DE2047" w:rsidRDefault="00DE2047" w:rsidP="00DE2047">
            <w:pPr>
              <w:spacing w:after="0" w:line="240" w:lineRule="auto"/>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EPUT’s concerns (CR0022-25/P13):</w:t>
            </w:r>
            <w:r w:rsidRPr="00DE2047">
              <w:rPr>
                <w:rFonts w:eastAsia="Times New Roman" w:cs="Arial"/>
                <w:b/>
                <w:bCs/>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t xml:space="preserve">Question not answered this related to FTCs not the recruitment freeze for new posts. </w:t>
            </w:r>
            <w:r w:rsidRPr="00DE2047">
              <w:rPr>
                <w:rFonts w:eastAsia="Times New Roman" w:cs="Arial"/>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br/>
              <w:t>[Needed] To assess potential financial impact</w:t>
            </w:r>
          </w:p>
        </w:tc>
        <w:tc>
          <w:tcPr>
            <w:tcW w:w="3260" w:type="dxa"/>
            <w:vMerge/>
            <w:tcBorders>
              <w:top w:val="nil"/>
              <w:left w:val="single" w:sz="4" w:space="0" w:color="auto"/>
              <w:bottom w:val="single" w:sz="4" w:space="0" w:color="000000"/>
              <w:right w:val="single" w:sz="4" w:space="0" w:color="auto"/>
            </w:tcBorders>
            <w:vAlign w:val="center"/>
            <w:hideMark/>
          </w:tcPr>
          <w:p w14:paraId="18D6D3DE" w14:textId="77777777" w:rsidR="00DE2047" w:rsidRPr="00DE2047" w:rsidRDefault="00DE2047" w:rsidP="00DE2047">
            <w:pPr>
              <w:spacing w:after="0" w:line="240" w:lineRule="auto"/>
              <w:rPr>
                <w:rFonts w:eastAsia="Times New Roman" w:cs="Arial"/>
                <w:kern w:val="0"/>
                <w:sz w:val="18"/>
                <w:szCs w:val="18"/>
                <w:lang w:eastAsia="en-GB"/>
                <w14:ligatures w14:val="none"/>
              </w:rPr>
            </w:pPr>
          </w:p>
        </w:tc>
      </w:tr>
    </w:tbl>
    <w:p w14:paraId="4926E4D7" w14:textId="77777777" w:rsidR="0088618B" w:rsidRDefault="0088618B">
      <w:r>
        <w:br w:type="page"/>
      </w:r>
    </w:p>
    <w:tbl>
      <w:tblPr>
        <w:tblW w:w="15446" w:type="dxa"/>
        <w:tblLook w:val="04A0" w:firstRow="1" w:lastRow="0" w:firstColumn="1" w:lastColumn="0" w:noHBand="0" w:noVBand="1"/>
      </w:tblPr>
      <w:tblGrid>
        <w:gridCol w:w="520"/>
        <w:gridCol w:w="2736"/>
        <w:gridCol w:w="1275"/>
        <w:gridCol w:w="1276"/>
        <w:gridCol w:w="3260"/>
        <w:gridCol w:w="3119"/>
        <w:gridCol w:w="3260"/>
      </w:tblGrid>
      <w:tr w:rsidR="0088618B" w:rsidRPr="00DE2047" w14:paraId="54C048B4" w14:textId="77777777" w:rsidTr="0088618B">
        <w:trPr>
          <w:trHeight w:val="240"/>
        </w:trPr>
        <w:tc>
          <w:tcPr>
            <w:tcW w:w="52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896C4A6" w14:textId="77777777" w:rsidR="0088618B" w:rsidRPr="00DE2047" w:rsidRDefault="0088618B" w:rsidP="00B407AB">
            <w:pPr>
              <w:spacing w:after="0" w:line="240" w:lineRule="auto"/>
              <w:jc w:val="center"/>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lastRenderedPageBreak/>
              <w:t>No</w:t>
            </w:r>
          </w:p>
        </w:tc>
        <w:tc>
          <w:tcPr>
            <w:tcW w:w="2736" w:type="dxa"/>
            <w:tcBorders>
              <w:top w:val="single" w:sz="4" w:space="0" w:color="auto"/>
              <w:left w:val="nil"/>
              <w:bottom w:val="single" w:sz="4" w:space="0" w:color="auto"/>
              <w:right w:val="single" w:sz="4" w:space="0" w:color="auto"/>
            </w:tcBorders>
            <w:shd w:val="clear" w:color="000000" w:fill="E7E6E6"/>
            <w:vAlign w:val="center"/>
            <w:hideMark/>
          </w:tcPr>
          <w:p w14:paraId="0B02DAAA" w14:textId="77777777" w:rsidR="0088618B" w:rsidRPr="00DE2047" w:rsidRDefault="0088618B" w:rsidP="00B407AB">
            <w:pPr>
              <w:spacing w:after="0" w:line="240" w:lineRule="auto"/>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Question</w:t>
            </w:r>
          </w:p>
        </w:tc>
        <w:tc>
          <w:tcPr>
            <w:tcW w:w="1275" w:type="dxa"/>
            <w:tcBorders>
              <w:top w:val="single" w:sz="4" w:space="0" w:color="auto"/>
              <w:left w:val="nil"/>
              <w:bottom w:val="single" w:sz="4" w:space="0" w:color="auto"/>
              <w:right w:val="single" w:sz="4" w:space="0" w:color="auto"/>
            </w:tcBorders>
            <w:shd w:val="clear" w:color="000000" w:fill="E7E6E6"/>
            <w:vAlign w:val="center"/>
            <w:hideMark/>
          </w:tcPr>
          <w:p w14:paraId="078B74BE" w14:textId="77777777" w:rsidR="0088618B" w:rsidRPr="00DE2047" w:rsidRDefault="0088618B" w:rsidP="00B407AB">
            <w:pPr>
              <w:spacing w:after="0" w:line="240" w:lineRule="auto"/>
              <w:jc w:val="center"/>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Date Sent</w:t>
            </w:r>
          </w:p>
        </w:tc>
        <w:tc>
          <w:tcPr>
            <w:tcW w:w="1276" w:type="dxa"/>
            <w:tcBorders>
              <w:top w:val="single" w:sz="4" w:space="0" w:color="auto"/>
              <w:left w:val="nil"/>
              <w:bottom w:val="single" w:sz="4" w:space="0" w:color="auto"/>
              <w:right w:val="single" w:sz="4" w:space="0" w:color="auto"/>
            </w:tcBorders>
            <w:shd w:val="clear" w:color="000000" w:fill="E7E6E6"/>
            <w:vAlign w:val="center"/>
            <w:hideMark/>
          </w:tcPr>
          <w:p w14:paraId="0C0A4D5B" w14:textId="77777777" w:rsidR="0088618B" w:rsidRPr="00DE2047" w:rsidRDefault="0088618B" w:rsidP="00B407AB">
            <w:pPr>
              <w:spacing w:after="0" w:line="240" w:lineRule="auto"/>
              <w:jc w:val="center"/>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Response date</w:t>
            </w:r>
          </w:p>
        </w:tc>
        <w:tc>
          <w:tcPr>
            <w:tcW w:w="3260" w:type="dxa"/>
            <w:tcBorders>
              <w:top w:val="single" w:sz="4" w:space="0" w:color="auto"/>
              <w:left w:val="nil"/>
              <w:bottom w:val="single" w:sz="4" w:space="0" w:color="auto"/>
              <w:right w:val="single" w:sz="4" w:space="0" w:color="auto"/>
            </w:tcBorders>
            <w:shd w:val="clear" w:color="000000" w:fill="E7E6E6"/>
            <w:vAlign w:val="center"/>
            <w:hideMark/>
          </w:tcPr>
          <w:p w14:paraId="0246559C" w14:textId="77777777" w:rsidR="0088618B" w:rsidRPr="00DE2047" w:rsidRDefault="0088618B" w:rsidP="00B407AB">
            <w:pPr>
              <w:spacing w:after="0" w:line="240" w:lineRule="auto"/>
              <w:jc w:val="center"/>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Authority Response</w:t>
            </w:r>
          </w:p>
        </w:tc>
        <w:tc>
          <w:tcPr>
            <w:tcW w:w="3119" w:type="dxa"/>
            <w:tcBorders>
              <w:top w:val="single" w:sz="4" w:space="0" w:color="auto"/>
              <w:left w:val="nil"/>
              <w:bottom w:val="single" w:sz="4" w:space="0" w:color="auto"/>
              <w:right w:val="single" w:sz="4" w:space="0" w:color="auto"/>
            </w:tcBorders>
            <w:shd w:val="clear" w:color="000000" w:fill="E7E6E6"/>
            <w:vAlign w:val="center"/>
            <w:hideMark/>
          </w:tcPr>
          <w:p w14:paraId="5F4EE1F7" w14:textId="77777777" w:rsidR="0088618B" w:rsidRPr="00DE2047" w:rsidRDefault="0088618B" w:rsidP="00B407AB">
            <w:pPr>
              <w:spacing w:after="0" w:line="240" w:lineRule="auto"/>
              <w:jc w:val="center"/>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Providers’ concerns</w:t>
            </w:r>
          </w:p>
        </w:tc>
        <w:tc>
          <w:tcPr>
            <w:tcW w:w="3260" w:type="dxa"/>
            <w:tcBorders>
              <w:top w:val="single" w:sz="4" w:space="0" w:color="auto"/>
              <w:left w:val="nil"/>
              <w:bottom w:val="single" w:sz="4" w:space="0" w:color="auto"/>
              <w:right w:val="single" w:sz="4" w:space="0" w:color="auto"/>
            </w:tcBorders>
            <w:shd w:val="clear" w:color="000000" w:fill="E7E6E6"/>
            <w:vAlign w:val="center"/>
            <w:hideMark/>
          </w:tcPr>
          <w:p w14:paraId="703FA595" w14:textId="77777777" w:rsidR="0088618B" w:rsidRPr="00DE2047" w:rsidRDefault="0088618B" w:rsidP="00B407AB">
            <w:pPr>
              <w:spacing w:after="0" w:line="240" w:lineRule="auto"/>
              <w:jc w:val="center"/>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Panel view</w:t>
            </w:r>
          </w:p>
        </w:tc>
      </w:tr>
      <w:tr w:rsidR="00DE2047" w:rsidRPr="00DE2047" w14:paraId="5D700102" w14:textId="77777777" w:rsidTr="004851D5">
        <w:trPr>
          <w:trHeight w:val="240"/>
        </w:trPr>
        <w:tc>
          <w:tcPr>
            <w:tcW w:w="15446" w:type="dxa"/>
            <w:gridSpan w:val="7"/>
            <w:tcBorders>
              <w:top w:val="single" w:sz="4" w:space="0" w:color="auto"/>
              <w:left w:val="single" w:sz="4" w:space="0" w:color="auto"/>
              <w:bottom w:val="single" w:sz="4" w:space="0" w:color="auto"/>
              <w:right w:val="single" w:sz="4" w:space="0" w:color="000000"/>
            </w:tcBorders>
            <w:noWrap/>
            <w:hideMark/>
          </w:tcPr>
          <w:p w14:paraId="57E73F30" w14:textId="129DC1F7" w:rsidR="00DE2047" w:rsidRPr="00DE2047" w:rsidRDefault="00DE2047" w:rsidP="00DE2047">
            <w:pPr>
              <w:spacing w:after="0" w:line="240" w:lineRule="auto"/>
              <w:rPr>
                <w:rFonts w:eastAsia="Times New Roman" w:cs="Arial"/>
                <w:b/>
                <w:bCs/>
                <w:color w:val="0070C0"/>
                <w:kern w:val="0"/>
                <w:sz w:val="18"/>
                <w:szCs w:val="18"/>
                <w:lang w:eastAsia="en-GB"/>
                <w14:ligatures w14:val="none"/>
              </w:rPr>
            </w:pPr>
            <w:r w:rsidRPr="00DE2047">
              <w:rPr>
                <w:rFonts w:eastAsia="Times New Roman" w:cs="Arial"/>
                <w:b/>
                <w:bCs/>
                <w:color w:val="0070C0"/>
                <w:kern w:val="0"/>
                <w:sz w:val="18"/>
                <w:szCs w:val="18"/>
                <w:lang w:eastAsia="en-GB"/>
                <w14:ligatures w14:val="none"/>
              </w:rPr>
              <w:t>CQs about system migration and mobilisation</w:t>
            </w:r>
          </w:p>
        </w:tc>
      </w:tr>
      <w:tr w:rsidR="00C557E4" w:rsidRPr="00DE2047" w14:paraId="5CE2F088" w14:textId="77777777" w:rsidTr="0088618B">
        <w:trPr>
          <w:trHeight w:val="4620"/>
        </w:trPr>
        <w:tc>
          <w:tcPr>
            <w:tcW w:w="520" w:type="dxa"/>
            <w:tcBorders>
              <w:top w:val="nil"/>
              <w:left w:val="single" w:sz="4" w:space="0" w:color="auto"/>
              <w:bottom w:val="single" w:sz="4" w:space="0" w:color="auto"/>
              <w:right w:val="single" w:sz="4" w:space="0" w:color="auto"/>
            </w:tcBorders>
            <w:hideMark/>
          </w:tcPr>
          <w:p w14:paraId="2CE38B23"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73</w:t>
            </w:r>
          </w:p>
        </w:tc>
        <w:tc>
          <w:tcPr>
            <w:tcW w:w="2736" w:type="dxa"/>
            <w:tcBorders>
              <w:top w:val="nil"/>
              <w:left w:val="nil"/>
              <w:bottom w:val="single" w:sz="4" w:space="0" w:color="auto"/>
              <w:right w:val="single" w:sz="4" w:space="0" w:color="auto"/>
            </w:tcBorders>
            <w:hideMark/>
          </w:tcPr>
          <w:p w14:paraId="305D7649" w14:textId="77777777" w:rsidR="00DE2047" w:rsidRPr="00DE2047" w:rsidRDefault="00DE2047" w:rsidP="00DE2047">
            <w:pPr>
              <w:spacing w:after="0" w:line="240" w:lineRule="auto"/>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Given that there is likely to be a longer lead in time for system migration than is enabled by the mobilisation period, to ensure the provider can retain the integrity of the clinical data please will commissioners confirm</w:t>
            </w:r>
            <w:r w:rsidRPr="00DE2047">
              <w:rPr>
                <w:rFonts w:eastAsia="Times New Roman" w:cs="Arial"/>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br/>
              <w:t>a) whether they are willing to extend the period between award and go live or</w:t>
            </w:r>
            <w:r w:rsidRPr="00DE2047">
              <w:rPr>
                <w:rFonts w:eastAsia="Times New Roman" w:cs="Arial"/>
                <w:color w:val="000000"/>
                <w:kern w:val="0"/>
                <w:sz w:val="18"/>
                <w:szCs w:val="18"/>
                <w:lang w:eastAsia="en-GB"/>
                <w14:ligatures w14:val="none"/>
              </w:rPr>
              <w:br/>
              <w:t>b) whether the ICB will mandate the four incumbent providers to work collaboratively during the period between award and system migration to maintain the status quo</w:t>
            </w:r>
          </w:p>
        </w:tc>
        <w:tc>
          <w:tcPr>
            <w:tcW w:w="1275" w:type="dxa"/>
            <w:tcBorders>
              <w:top w:val="nil"/>
              <w:left w:val="nil"/>
              <w:bottom w:val="single" w:sz="4" w:space="0" w:color="auto"/>
              <w:right w:val="single" w:sz="4" w:space="0" w:color="auto"/>
            </w:tcBorders>
            <w:hideMark/>
          </w:tcPr>
          <w:p w14:paraId="0C8FADAF"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21/03/2025</w:t>
            </w:r>
          </w:p>
        </w:tc>
        <w:tc>
          <w:tcPr>
            <w:tcW w:w="1276" w:type="dxa"/>
            <w:tcBorders>
              <w:top w:val="nil"/>
              <w:left w:val="nil"/>
              <w:bottom w:val="single" w:sz="4" w:space="0" w:color="auto"/>
              <w:right w:val="single" w:sz="4" w:space="0" w:color="auto"/>
            </w:tcBorders>
            <w:hideMark/>
          </w:tcPr>
          <w:p w14:paraId="7F06B9E8"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26/03/2025</w:t>
            </w:r>
          </w:p>
        </w:tc>
        <w:tc>
          <w:tcPr>
            <w:tcW w:w="3260" w:type="dxa"/>
            <w:tcBorders>
              <w:top w:val="nil"/>
              <w:left w:val="nil"/>
              <w:bottom w:val="single" w:sz="4" w:space="0" w:color="auto"/>
              <w:right w:val="single" w:sz="4" w:space="0" w:color="auto"/>
            </w:tcBorders>
            <w:hideMark/>
          </w:tcPr>
          <w:p w14:paraId="40170758" w14:textId="77777777" w:rsidR="00DE2047" w:rsidRPr="00DE2047" w:rsidRDefault="00DE2047" w:rsidP="00DE2047">
            <w:pPr>
              <w:spacing w:after="0" w:line="240" w:lineRule="auto"/>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 xml:space="preserve">The ICB expects that Providers will detail the mobilisation of the service, including transfer of clinical records/data that would have already been verified by the incumbent Providers. </w:t>
            </w:r>
            <w:r w:rsidRPr="00DE2047">
              <w:rPr>
                <w:rFonts w:eastAsia="Times New Roman" w:cs="Arial"/>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br/>
              <w:t>Should the need for extension be absolutely necessary:</w:t>
            </w:r>
            <w:r w:rsidRPr="00DE2047">
              <w:rPr>
                <w:rFonts w:eastAsia="Times New Roman" w:cs="Arial"/>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br/>
              <w:t>a) The ICB is not considering extending contracts and will work with the successful provider to ensure the service is fully mobilised within the expected timeframe. However, if absolutely necessary, the ICB may seek to extend the current contracts with the incumbent Providers, based on the existing service provision and individual contract terms. System Migration will be addressed as part of the mobilisation process</w:t>
            </w:r>
            <w:r w:rsidRPr="00DE2047">
              <w:rPr>
                <w:rFonts w:eastAsia="Times New Roman" w:cs="Arial"/>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br/>
              <w:t xml:space="preserve">b) No, the ICB would not mandate the incumbent providers to work collaboratively.  </w:t>
            </w:r>
          </w:p>
        </w:tc>
        <w:tc>
          <w:tcPr>
            <w:tcW w:w="3119" w:type="dxa"/>
            <w:tcBorders>
              <w:top w:val="nil"/>
              <w:left w:val="nil"/>
              <w:bottom w:val="single" w:sz="4" w:space="0" w:color="auto"/>
              <w:right w:val="single" w:sz="4" w:space="0" w:color="auto"/>
            </w:tcBorders>
            <w:hideMark/>
          </w:tcPr>
          <w:p w14:paraId="4E81A3CB" w14:textId="77777777" w:rsidR="00DE2047" w:rsidRPr="00DE2047" w:rsidRDefault="00DE2047" w:rsidP="00DE2047">
            <w:pPr>
              <w:spacing w:after="0" w:line="240" w:lineRule="auto"/>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EPUT’s concerns (CR0022-25/P13):</w:t>
            </w:r>
            <w:r w:rsidRPr="00DE2047">
              <w:rPr>
                <w:rFonts w:eastAsia="Times New Roman" w:cs="Arial"/>
                <w:b/>
                <w:bCs/>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t xml:space="preserve">The response felt contradictory </w:t>
            </w:r>
          </w:p>
        </w:tc>
        <w:tc>
          <w:tcPr>
            <w:tcW w:w="3260" w:type="dxa"/>
            <w:vMerge w:val="restart"/>
            <w:tcBorders>
              <w:top w:val="nil"/>
              <w:left w:val="single" w:sz="4" w:space="0" w:color="auto"/>
              <w:bottom w:val="single" w:sz="4" w:space="0" w:color="000000"/>
              <w:right w:val="single" w:sz="4" w:space="0" w:color="auto"/>
            </w:tcBorders>
            <w:hideMark/>
          </w:tcPr>
          <w:p w14:paraId="5E758101" w14:textId="77777777" w:rsidR="00DE2047" w:rsidRPr="00DE2047" w:rsidRDefault="00DE2047" w:rsidP="00DE2047">
            <w:pPr>
              <w:spacing w:after="0" w:line="240" w:lineRule="auto"/>
              <w:rPr>
                <w:rFonts w:eastAsia="Times New Roman" w:cs="Arial"/>
                <w:kern w:val="0"/>
                <w:sz w:val="18"/>
                <w:szCs w:val="18"/>
                <w:lang w:eastAsia="en-GB"/>
                <w14:ligatures w14:val="none"/>
              </w:rPr>
            </w:pPr>
            <w:r w:rsidRPr="00DE2047">
              <w:rPr>
                <w:rFonts w:eastAsia="Times New Roman" w:cs="Arial"/>
                <w:kern w:val="0"/>
                <w:sz w:val="18"/>
                <w:szCs w:val="18"/>
                <w:lang w:eastAsia="en-GB"/>
                <w14:ligatures w14:val="none"/>
              </w:rPr>
              <w:t>Panel deals with mobilisation issues, including these CQs, in Section 7.4 of the report.</w:t>
            </w:r>
          </w:p>
        </w:tc>
      </w:tr>
      <w:tr w:rsidR="00C557E4" w:rsidRPr="00DE2047" w14:paraId="14A318A7" w14:textId="77777777" w:rsidTr="0088618B">
        <w:trPr>
          <w:trHeight w:val="1647"/>
        </w:trPr>
        <w:tc>
          <w:tcPr>
            <w:tcW w:w="520" w:type="dxa"/>
            <w:tcBorders>
              <w:top w:val="nil"/>
              <w:left w:val="single" w:sz="4" w:space="0" w:color="auto"/>
              <w:bottom w:val="single" w:sz="4" w:space="0" w:color="auto"/>
              <w:right w:val="single" w:sz="4" w:space="0" w:color="auto"/>
            </w:tcBorders>
            <w:hideMark/>
          </w:tcPr>
          <w:p w14:paraId="09328433"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87</w:t>
            </w:r>
          </w:p>
        </w:tc>
        <w:tc>
          <w:tcPr>
            <w:tcW w:w="2736" w:type="dxa"/>
            <w:tcBorders>
              <w:top w:val="nil"/>
              <w:left w:val="nil"/>
              <w:bottom w:val="single" w:sz="4" w:space="0" w:color="auto"/>
              <w:right w:val="single" w:sz="4" w:space="0" w:color="auto"/>
            </w:tcBorders>
            <w:hideMark/>
          </w:tcPr>
          <w:p w14:paraId="7206567E" w14:textId="77777777" w:rsidR="00DE2047" w:rsidRPr="00DE2047" w:rsidRDefault="00DE2047" w:rsidP="00DE2047">
            <w:pPr>
              <w:spacing w:after="0" w:line="240" w:lineRule="auto"/>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Please will commissioners confirm that a bidder will not be disadvantaged when including the required timescale for system migration (IAPTUS) which is outside of bidders control but exceeds the commissioners mobilisation period, (pre go live).</w:t>
            </w:r>
          </w:p>
        </w:tc>
        <w:tc>
          <w:tcPr>
            <w:tcW w:w="1275" w:type="dxa"/>
            <w:tcBorders>
              <w:top w:val="nil"/>
              <w:left w:val="nil"/>
              <w:bottom w:val="single" w:sz="4" w:space="0" w:color="auto"/>
              <w:right w:val="single" w:sz="4" w:space="0" w:color="auto"/>
            </w:tcBorders>
            <w:hideMark/>
          </w:tcPr>
          <w:p w14:paraId="783101ED"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31/03/2025</w:t>
            </w:r>
          </w:p>
        </w:tc>
        <w:tc>
          <w:tcPr>
            <w:tcW w:w="1276" w:type="dxa"/>
            <w:tcBorders>
              <w:top w:val="nil"/>
              <w:left w:val="nil"/>
              <w:bottom w:val="single" w:sz="4" w:space="0" w:color="auto"/>
              <w:right w:val="single" w:sz="4" w:space="0" w:color="auto"/>
            </w:tcBorders>
            <w:hideMark/>
          </w:tcPr>
          <w:p w14:paraId="0B23DF81" w14:textId="77777777" w:rsidR="00DE2047" w:rsidRPr="00DE2047" w:rsidRDefault="00DE2047" w:rsidP="00DE2047">
            <w:pPr>
              <w:spacing w:after="0" w:line="240" w:lineRule="auto"/>
              <w:jc w:val="center"/>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01/04/2025 16:34</w:t>
            </w:r>
          </w:p>
        </w:tc>
        <w:tc>
          <w:tcPr>
            <w:tcW w:w="3260" w:type="dxa"/>
            <w:tcBorders>
              <w:top w:val="nil"/>
              <w:left w:val="nil"/>
              <w:bottom w:val="single" w:sz="4" w:space="0" w:color="auto"/>
              <w:right w:val="single" w:sz="4" w:space="0" w:color="auto"/>
            </w:tcBorders>
            <w:hideMark/>
          </w:tcPr>
          <w:p w14:paraId="7A421BD2" w14:textId="77777777" w:rsidR="00DE2047" w:rsidRPr="00DE2047" w:rsidRDefault="00DE2047" w:rsidP="00DE2047">
            <w:pPr>
              <w:spacing w:after="0" w:line="240" w:lineRule="auto"/>
              <w:rPr>
                <w:rFonts w:eastAsia="Times New Roman" w:cs="Arial"/>
                <w:color w:val="000000"/>
                <w:kern w:val="0"/>
                <w:sz w:val="18"/>
                <w:szCs w:val="18"/>
                <w:lang w:eastAsia="en-GB"/>
                <w14:ligatures w14:val="none"/>
              </w:rPr>
            </w:pPr>
            <w:r w:rsidRPr="00DE2047">
              <w:rPr>
                <w:rFonts w:eastAsia="Times New Roman" w:cs="Arial"/>
                <w:color w:val="000000"/>
                <w:kern w:val="0"/>
                <w:sz w:val="18"/>
                <w:szCs w:val="18"/>
                <w:lang w:eastAsia="en-GB"/>
                <w14:ligatures w14:val="none"/>
              </w:rPr>
              <w:t>We can confirm that Bidders would not be disadvantaged by the reasonable impacts outside of Bidders control.</w:t>
            </w:r>
          </w:p>
        </w:tc>
        <w:tc>
          <w:tcPr>
            <w:tcW w:w="3119" w:type="dxa"/>
            <w:tcBorders>
              <w:top w:val="nil"/>
              <w:left w:val="nil"/>
              <w:bottom w:val="single" w:sz="4" w:space="0" w:color="auto"/>
              <w:right w:val="single" w:sz="4" w:space="0" w:color="auto"/>
            </w:tcBorders>
            <w:hideMark/>
          </w:tcPr>
          <w:p w14:paraId="55323DD3" w14:textId="77777777" w:rsidR="00DE2047" w:rsidRPr="00DE2047" w:rsidRDefault="00DE2047" w:rsidP="00DE2047">
            <w:pPr>
              <w:spacing w:after="0" w:line="240" w:lineRule="auto"/>
              <w:rPr>
                <w:rFonts w:eastAsia="Times New Roman" w:cs="Arial"/>
                <w:b/>
                <w:bCs/>
                <w:color w:val="000000"/>
                <w:kern w:val="0"/>
                <w:sz w:val="18"/>
                <w:szCs w:val="18"/>
                <w:lang w:eastAsia="en-GB"/>
                <w14:ligatures w14:val="none"/>
              </w:rPr>
            </w:pPr>
            <w:r w:rsidRPr="00DE2047">
              <w:rPr>
                <w:rFonts w:eastAsia="Times New Roman" w:cs="Arial"/>
                <w:b/>
                <w:bCs/>
                <w:color w:val="000000"/>
                <w:kern w:val="0"/>
                <w:sz w:val="18"/>
                <w:szCs w:val="18"/>
                <w:lang w:eastAsia="en-GB"/>
                <w14:ligatures w14:val="none"/>
              </w:rPr>
              <w:t>EPUT’s concerns (CR0022-25/P13):</w:t>
            </w:r>
            <w:r w:rsidRPr="00DE2047">
              <w:rPr>
                <w:rFonts w:eastAsia="Times New Roman" w:cs="Arial"/>
                <w:b/>
                <w:bCs/>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t xml:space="preserve">Not Applicable. </w:t>
            </w:r>
            <w:r w:rsidRPr="00DE2047">
              <w:rPr>
                <w:rFonts w:eastAsia="Times New Roman" w:cs="Arial"/>
                <w:color w:val="000000"/>
                <w:kern w:val="0"/>
                <w:sz w:val="18"/>
                <w:szCs w:val="18"/>
                <w:lang w:eastAsia="en-GB"/>
                <w14:ligatures w14:val="none"/>
              </w:rPr>
              <w:br/>
            </w:r>
            <w:r w:rsidRPr="00DE2047">
              <w:rPr>
                <w:rFonts w:eastAsia="Times New Roman" w:cs="Arial"/>
                <w:color w:val="000000"/>
                <w:kern w:val="0"/>
                <w:sz w:val="18"/>
                <w:szCs w:val="18"/>
                <w:lang w:eastAsia="en-GB"/>
                <w14:ligatures w14:val="none"/>
              </w:rPr>
              <w:br/>
              <w:t>Despite the clarification question response it would appear from the evaluation that this is not the case</w:t>
            </w:r>
          </w:p>
        </w:tc>
        <w:tc>
          <w:tcPr>
            <w:tcW w:w="3260" w:type="dxa"/>
            <w:vMerge/>
            <w:tcBorders>
              <w:top w:val="nil"/>
              <w:left w:val="single" w:sz="4" w:space="0" w:color="auto"/>
              <w:bottom w:val="single" w:sz="4" w:space="0" w:color="000000"/>
              <w:right w:val="single" w:sz="4" w:space="0" w:color="auto"/>
            </w:tcBorders>
            <w:vAlign w:val="center"/>
            <w:hideMark/>
          </w:tcPr>
          <w:p w14:paraId="037AAF48" w14:textId="77777777" w:rsidR="00DE2047" w:rsidRPr="00DE2047" w:rsidRDefault="00DE2047" w:rsidP="00DE2047">
            <w:pPr>
              <w:spacing w:after="0" w:line="240" w:lineRule="auto"/>
              <w:rPr>
                <w:rFonts w:eastAsia="Times New Roman" w:cs="Arial"/>
                <w:kern w:val="0"/>
                <w:sz w:val="18"/>
                <w:szCs w:val="18"/>
                <w:lang w:eastAsia="en-GB"/>
                <w14:ligatures w14:val="none"/>
              </w:rPr>
            </w:pPr>
          </w:p>
        </w:tc>
      </w:tr>
    </w:tbl>
    <w:p w14:paraId="48FB970C" w14:textId="77777777" w:rsidR="00DE2047" w:rsidRPr="00485DA5" w:rsidRDefault="00DE2047" w:rsidP="00485DA5"/>
    <w:sectPr w:rsidR="00DE2047" w:rsidRPr="00485DA5" w:rsidSect="00C557E4">
      <w:pgSz w:w="16838" w:h="11906" w:orient="landscape"/>
      <w:pgMar w:top="851"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B9B32" w14:textId="77777777" w:rsidR="002C0823" w:rsidRDefault="002C0823" w:rsidP="008F2F8C">
      <w:pPr>
        <w:spacing w:after="0" w:line="240" w:lineRule="auto"/>
      </w:pPr>
      <w:r>
        <w:separator/>
      </w:r>
    </w:p>
  </w:endnote>
  <w:endnote w:type="continuationSeparator" w:id="0">
    <w:p w14:paraId="22FD1503" w14:textId="77777777" w:rsidR="002C0823" w:rsidRDefault="002C0823" w:rsidP="008F2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820264350"/>
      <w:docPartObj>
        <w:docPartGallery w:val="Page Numbers (Bottom of Page)"/>
        <w:docPartUnique/>
      </w:docPartObj>
    </w:sdtPr>
    <w:sdtEndPr>
      <w:rPr>
        <w:noProof/>
      </w:rPr>
    </w:sdtEndPr>
    <w:sdtContent>
      <w:p w14:paraId="7F6C72CB" w14:textId="6DAABA79" w:rsidR="00286474" w:rsidRPr="007433D9" w:rsidRDefault="00286474">
        <w:pPr>
          <w:pStyle w:val="Footer"/>
          <w:jc w:val="right"/>
          <w:rPr>
            <w:sz w:val="20"/>
            <w:szCs w:val="20"/>
          </w:rPr>
        </w:pPr>
        <w:r w:rsidRPr="007433D9">
          <w:rPr>
            <w:sz w:val="20"/>
            <w:szCs w:val="20"/>
          </w:rPr>
          <w:fldChar w:fldCharType="begin"/>
        </w:r>
        <w:r w:rsidRPr="007433D9">
          <w:rPr>
            <w:sz w:val="20"/>
            <w:szCs w:val="20"/>
          </w:rPr>
          <w:instrText xml:space="preserve"> PAGE   \* MERGEFORMAT </w:instrText>
        </w:r>
        <w:r w:rsidRPr="007433D9">
          <w:rPr>
            <w:sz w:val="20"/>
            <w:szCs w:val="20"/>
          </w:rPr>
          <w:fldChar w:fldCharType="separate"/>
        </w:r>
        <w:r w:rsidRPr="007433D9">
          <w:rPr>
            <w:noProof/>
            <w:sz w:val="20"/>
            <w:szCs w:val="20"/>
          </w:rPr>
          <w:t>2</w:t>
        </w:r>
        <w:r w:rsidRPr="007433D9">
          <w:rPr>
            <w:noProof/>
            <w:sz w:val="20"/>
            <w:szCs w:val="20"/>
          </w:rPr>
          <w:fldChar w:fldCharType="end"/>
        </w:r>
      </w:p>
    </w:sdtContent>
  </w:sdt>
  <w:p w14:paraId="76FC1173" w14:textId="77777777" w:rsidR="00286474" w:rsidRDefault="00286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E1F9A" w14:textId="77777777" w:rsidR="002C0823" w:rsidRDefault="002C0823" w:rsidP="008F2F8C">
      <w:pPr>
        <w:spacing w:after="0" w:line="240" w:lineRule="auto"/>
      </w:pPr>
      <w:r>
        <w:separator/>
      </w:r>
    </w:p>
  </w:footnote>
  <w:footnote w:type="continuationSeparator" w:id="0">
    <w:p w14:paraId="14463426" w14:textId="77777777" w:rsidR="002C0823" w:rsidRDefault="002C0823" w:rsidP="008F2F8C">
      <w:pPr>
        <w:spacing w:after="0" w:line="240" w:lineRule="auto"/>
      </w:pPr>
      <w:r>
        <w:continuationSeparator/>
      </w:r>
    </w:p>
  </w:footnote>
  <w:footnote w:id="1">
    <w:p w14:paraId="5E7AC224" w14:textId="4DE0F289" w:rsidR="00E37A24" w:rsidRPr="00856A83" w:rsidRDefault="00E37A24" w:rsidP="00E37A24">
      <w:pPr>
        <w:pStyle w:val="FootnoteText"/>
        <w:rPr>
          <w:sz w:val="16"/>
          <w:szCs w:val="16"/>
        </w:rPr>
      </w:pPr>
      <w:r w:rsidRPr="00192852">
        <w:rPr>
          <w:rStyle w:val="FootnoteReference"/>
          <w:sz w:val="16"/>
          <w:szCs w:val="16"/>
        </w:rPr>
        <w:footnoteRef/>
      </w:r>
      <w:r w:rsidRPr="00192852">
        <w:rPr>
          <w:sz w:val="16"/>
          <w:szCs w:val="16"/>
        </w:rPr>
        <w:t xml:space="preserve"> </w:t>
      </w:r>
      <w:r w:rsidR="00BE4E86" w:rsidRPr="00192852">
        <w:rPr>
          <w:sz w:val="16"/>
          <w:szCs w:val="16"/>
        </w:rPr>
        <w:t>MPFT</w:t>
      </w:r>
      <w:r w:rsidRPr="00192852">
        <w:rPr>
          <w:sz w:val="16"/>
          <w:szCs w:val="16"/>
        </w:rPr>
        <w:t xml:space="preserve"> </w:t>
      </w:r>
      <w:r w:rsidR="00A71713" w:rsidRPr="00192852">
        <w:rPr>
          <w:sz w:val="16"/>
          <w:szCs w:val="16"/>
        </w:rPr>
        <w:t xml:space="preserve">is a provider of </w:t>
      </w:r>
      <w:r w:rsidR="00BA44D0">
        <w:rPr>
          <w:sz w:val="16"/>
          <w:szCs w:val="16"/>
        </w:rPr>
        <w:t>m</w:t>
      </w:r>
      <w:r w:rsidR="00A71713" w:rsidRPr="00192852">
        <w:rPr>
          <w:sz w:val="16"/>
          <w:szCs w:val="16"/>
        </w:rPr>
        <w:t xml:space="preserve">ental </w:t>
      </w:r>
      <w:r w:rsidR="00BA44D0">
        <w:rPr>
          <w:sz w:val="16"/>
          <w:szCs w:val="16"/>
        </w:rPr>
        <w:t>h</w:t>
      </w:r>
      <w:r w:rsidR="00A71713" w:rsidRPr="00192852">
        <w:rPr>
          <w:sz w:val="16"/>
          <w:szCs w:val="16"/>
        </w:rPr>
        <w:t>eal</w:t>
      </w:r>
      <w:r w:rsidR="00192852" w:rsidRPr="00192852">
        <w:rPr>
          <w:sz w:val="16"/>
          <w:szCs w:val="16"/>
        </w:rPr>
        <w:t xml:space="preserve">th, </w:t>
      </w:r>
      <w:r w:rsidR="00BA44D0">
        <w:rPr>
          <w:sz w:val="16"/>
          <w:szCs w:val="16"/>
        </w:rPr>
        <w:t>p</w:t>
      </w:r>
      <w:r w:rsidR="00192852" w:rsidRPr="00192852">
        <w:rPr>
          <w:sz w:val="16"/>
          <w:szCs w:val="16"/>
        </w:rPr>
        <w:t xml:space="preserve">hysical </w:t>
      </w:r>
      <w:r w:rsidR="00BA44D0">
        <w:rPr>
          <w:sz w:val="16"/>
          <w:szCs w:val="16"/>
        </w:rPr>
        <w:t>h</w:t>
      </w:r>
      <w:r w:rsidR="00192852" w:rsidRPr="00192852">
        <w:rPr>
          <w:sz w:val="16"/>
          <w:szCs w:val="16"/>
        </w:rPr>
        <w:t xml:space="preserve">ealth and </w:t>
      </w:r>
      <w:r w:rsidR="00BA44D0">
        <w:rPr>
          <w:sz w:val="16"/>
          <w:szCs w:val="16"/>
        </w:rPr>
        <w:t>s</w:t>
      </w:r>
      <w:r w:rsidR="00192852" w:rsidRPr="00192852">
        <w:rPr>
          <w:sz w:val="16"/>
          <w:szCs w:val="16"/>
        </w:rPr>
        <w:t xml:space="preserve">ocial </w:t>
      </w:r>
      <w:r w:rsidR="00BA44D0">
        <w:rPr>
          <w:sz w:val="16"/>
          <w:szCs w:val="16"/>
        </w:rPr>
        <w:t>c</w:t>
      </w:r>
      <w:r w:rsidR="00192852" w:rsidRPr="00192852">
        <w:rPr>
          <w:sz w:val="16"/>
          <w:szCs w:val="16"/>
        </w:rPr>
        <w:t xml:space="preserve">are </w:t>
      </w:r>
      <w:r w:rsidRPr="00192852">
        <w:rPr>
          <w:sz w:val="16"/>
          <w:szCs w:val="16"/>
        </w:rPr>
        <w:t>service</w:t>
      </w:r>
      <w:r w:rsidR="00192852" w:rsidRPr="00192852">
        <w:rPr>
          <w:sz w:val="16"/>
          <w:szCs w:val="16"/>
        </w:rPr>
        <w:t>s</w:t>
      </w:r>
      <w:r w:rsidR="008465DF">
        <w:rPr>
          <w:sz w:val="16"/>
          <w:szCs w:val="16"/>
        </w:rPr>
        <w:t xml:space="preserve"> </w:t>
      </w:r>
      <w:r w:rsidR="00BA44D0">
        <w:rPr>
          <w:sz w:val="16"/>
          <w:szCs w:val="16"/>
        </w:rPr>
        <w:t>for adults</w:t>
      </w:r>
      <w:r w:rsidR="00A17D41">
        <w:rPr>
          <w:sz w:val="16"/>
          <w:szCs w:val="16"/>
        </w:rPr>
        <w:t xml:space="preserve">, primarily in the Midlands but also in several other </w:t>
      </w:r>
      <w:r w:rsidR="008465DF">
        <w:rPr>
          <w:sz w:val="16"/>
          <w:szCs w:val="16"/>
        </w:rPr>
        <w:t xml:space="preserve">regions </w:t>
      </w:r>
      <w:r w:rsidR="00A17D41">
        <w:rPr>
          <w:sz w:val="16"/>
          <w:szCs w:val="16"/>
        </w:rPr>
        <w:t>in</w:t>
      </w:r>
      <w:r w:rsidR="008465DF">
        <w:rPr>
          <w:sz w:val="16"/>
          <w:szCs w:val="16"/>
        </w:rPr>
        <w:t xml:space="preserve"> England</w:t>
      </w:r>
      <w:r w:rsidRPr="00192852">
        <w:rPr>
          <w:sz w:val="16"/>
          <w:szCs w:val="16"/>
        </w:rPr>
        <w:t>. Further information can be found on its website at</w:t>
      </w:r>
      <w:r w:rsidR="00192852" w:rsidRPr="00192852">
        <w:rPr>
          <w:sz w:val="16"/>
          <w:szCs w:val="16"/>
        </w:rPr>
        <w:t xml:space="preserve"> </w:t>
      </w:r>
      <w:hyperlink r:id="rId1" w:history="1">
        <w:r w:rsidR="00192852" w:rsidRPr="00192852">
          <w:rPr>
            <w:rStyle w:val="Hyperlink"/>
            <w:sz w:val="16"/>
            <w:szCs w:val="16"/>
          </w:rPr>
          <w:t>https://www.mpft.nhs.uk/</w:t>
        </w:r>
      </w:hyperlink>
      <w:r w:rsidR="00192852" w:rsidRPr="00192852">
        <w:rPr>
          <w:sz w:val="16"/>
          <w:szCs w:val="16"/>
        </w:rPr>
        <w:t>.</w:t>
      </w:r>
      <w:r w:rsidR="00192852">
        <w:rPr>
          <w:sz w:val="16"/>
          <w:szCs w:val="16"/>
        </w:rPr>
        <w:t xml:space="preserve"> </w:t>
      </w:r>
    </w:p>
  </w:footnote>
  <w:footnote w:id="2">
    <w:p w14:paraId="74D7F0DF" w14:textId="15DD62A2" w:rsidR="002A53D8" w:rsidRPr="00312D00" w:rsidRDefault="002A53D8" w:rsidP="002A53D8">
      <w:pPr>
        <w:pStyle w:val="FootnoteText"/>
        <w:rPr>
          <w:sz w:val="16"/>
          <w:szCs w:val="16"/>
        </w:rPr>
      </w:pPr>
      <w:r w:rsidRPr="002A53D8">
        <w:rPr>
          <w:rStyle w:val="FootnoteReference"/>
          <w:sz w:val="16"/>
          <w:szCs w:val="16"/>
        </w:rPr>
        <w:footnoteRef/>
      </w:r>
      <w:r w:rsidRPr="002A53D8">
        <w:rPr>
          <w:sz w:val="16"/>
          <w:szCs w:val="16"/>
        </w:rPr>
        <w:t xml:space="preserve"> MSE ICB is </w:t>
      </w:r>
      <w:r>
        <w:rPr>
          <w:sz w:val="16"/>
          <w:szCs w:val="16"/>
        </w:rPr>
        <w:t>the</w:t>
      </w:r>
      <w:r w:rsidRPr="002A53D8">
        <w:rPr>
          <w:sz w:val="16"/>
          <w:szCs w:val="16"/>
        </w:rPr>
        <w:t xml:space="preserve"> statutory body responsible for planning health services to meet the health needs of the Mid and South Essex population and </w:t>
      </w:r>
      <w:r w:rsidR="008C0197">
        <w:rPr>
          <w:sz w:val="16"/>
          <w:szCs w:val="16"/>
        </w:rPr>
        <w:t>for</w:t>
      </w:r>
      <w:r w:rsidR="007D5632">
        <w:rPr>
          <w:sz w:val="16"/>
          <w:szCs w:val="16"/>
        </w:rPr>
        <w:t xml:space="preserve"> </w:t>
      </w:r>
      <w:r w:rsidRPr="002A53D8">
        <w:rPr>
          <w:sz w:val="16"/>
          <w:szCs w:val="16"/>
        </w:rPr>
        <w:t>managing the budget for NHS services for this population. Further</w:t>
      </w:r>
      <w:r w:rsidRPr="00312D00">
        <w:rPr>
          <w:sz w:val="16"/>
          <w:szCs w:val="16"/>
        </w:rPr>
        <w:t xml:space="preserve"> information on MSE ICB can be found on its website at </w:t>
      </w:r>
      <w:hyperlink r:id="rId2" w:history="1">
        <w:r w:rsidRPr="00312D00">
          <w:rPr>
            <w:rStyle w:val="Hyperlink"/>
            <w:sz w:val="16"/>
            <w:szCs w:val="16"/>
          </w:rPr>
          <w:t>https://www.midandsouthessex.ics.nhs.uk/about/boards/integrated-care-board/</w:t>
        </w:r>
      </w:hyperlink>
      <w:r w:rsidRPr="00312D00">
        <w:rPr>
          <w:sz w:val="16"/>
          <w:szCs w:val="16"/>
        </w:rPr>
        <w:t>.</w:t>
      </w:r>
    </w:p>
  </w:footnote>
  <w:footnote w:id="3">
    <w:p w14:paraId="4C98FDF1" w14:textId="1908FC8F" w:rsidR="00B81182" w:rsidRPr="00B81182" w:rsidRDefault="00B81182">
      <w:pPr>
        <w:pStyle w:val="FootnoteText"/>
        <w:rPr>
          <w:rFonts w:cs="Arial"/>
          <w:sz w:val="16"/>
          <w:szCs w:val="16"/>
        </w:rPr>
      </w:pPr>
      <w:r w:rsidRPr="007969A1">
        <w:rPr>
          <w:rStyle w:val="FootnoteReference"/>
          <w:rFonts w:cs="Arial"/>
          <w:sz w:val="16"/>
          <w:szCs w:val="16"/>
        </w:rPr>
        <w:footnoteRef/>
      </w:r>
      <w:r w:rsidRPr="007969A1">
        <w:rPr>
          <w:rFonts w:cs="Arial"/>
          <w:sz w:val="16"/>
          <w:szCs w:val="16"/>
        </w:rPr>
        <w:t xml:space="preserve"> </w:t>
      </w:r>
      <w:r w:rsidR="00192852" w:rsidRPr="007969A1">
        <w:rPr>
          <w:rFonts w:cs="Arial"/>
          <w:sz w:val="16"/>
          <w:szCs w:val="16"/>
        </w:rPr>
        <w:t xml:space="preserve">EPUT </w:t>
      </w:r>
      <w:r w:rsidRPr="007969A1">
        <w:rPr>
          <w:rFonts w:cs="Arial"/>
          <w:sz w:val="16"/>
          <w:szCs w:val="16"/>
        </w:rPr>
        <w:t xml:space="preserve">is </w:t>
      </w:r>
      <w:r w:rsidR="00192852" w:rsidRPr="007969A1">
        <w:rPr>
          <w:rFonts w:cs="Arial"/>
          <w:sz w:val="16"/>
          <w:szCs w:val="16"/>
        </w:rPr>
        <w:t>a provider of</w:t>
      </w:r>
      <w:r w:rsidRPr="007969A1">
        <w:rPr>
          <w:rFonts w:cs="Arial"/>
          <w:sz w:val="16"/>
          <w:szCs w:val="16"/>
        </w:rPr>
        <w:t xml:space="preserve"> </w:t>
      </w:r>
      <w:r w:rsidR="007969A1" w:rsidRPr="007969A1">
        <w:rPr>
          <w:rFonts w:cs="Arial"/>
          <w:sz w:val="16"/>
          <w:szCs w:val="16"/>
        </w:rPr>
        <w:t>community health, mental health and learning disability services</w:t>
      </w:r>
      <w:r w:rsidR="005B5C1A">
        <w:rPr>
          <w:rFonts w:cs="Arial"/>
          <w:sz w:val="16"/>
          <w:szCs w:val="16"/>
        </w:rPr>
        <w:t xml:space="preserve"> in Luton, Bedfordshire, Essex and Suffolk</w:t>
      </w:r>
      <w:r w:rsidRPr="007969A1">
        <w:rPr>
          <w:rFonts w:cs="Arial"/>
          <w:sz w:val="16"/>
          <w:szCs w:val="16"/>
        </w:rPr>
        <w:t>. Further information can be found on its website at</w:t>
      </w:r>
      <w:r w:rsidR="00883BCC" w:rsidRPr="007969A1">
        <w:rPr>
          <w:rFonts w:cs="Arial"/>
          <w:sz w:val="16"/>
          <w:szCs w:val="16"/>
        </w:rPr>
        <w:t xml:space="preserve"> </w:t>
      </w:r>
      <w:hyperlink r:id="rId3" w:history="1">
        <w:r w:rsidR="00883BCC" w:rsidRPr="007969A1">
          <w:rPr>
            <w:rStyle w:val="Hyperlink"/>
            <w:rFonts w:cs="Arial"/>
            <w:sz w:val="16"/>
            <w:szCs w:val="16"/>
          </w:rPr>
          <w:t>https://www.eput.nhs.uk/</w:t>
        </w:r>
      </w:hyperlink>
      <w:r w:rsidR="00883BCC" w:rsidRPr="007969A1">
        <w:rPr>
          <w:rFonts w:cs="Arial"/>
          <w:sz w:val="16"/>
          <w:szCs w:val="16"/>
        </w:rPr>
        <w:t>.</w:t>
      </w:r>
    </w:p>
  </w:footnote>
  <w:footnote w:id="4">
    <w:p w14:paraId="0451A91F" w14:textId="53FF603C" w:rsidR="004724B3" w:rsidRPr="004A0C4C" w:rsidRDefault="004724B3">
      <w:pPr>
        <w:pStyle w:val="FootnoteText"/>
        <w:rPr>
          <w:sz w:val="16"/>
          <w:szCs w:val="16"/>
        </w:rPr>
      </w:pPr>
      <w:r w:rsidRPr="004A0C4C">
        <w:rPr>
          <w:rStyle w:val="FootnoteReference"/>
          <w:sz w:val="16"/>
          <w:szCs w:val="16"/>
        </w:rPr>
        <w:footnoteRef/>
      </w:r>
      <w:r w:rsidRPr="004A0C4C">
        <w:rPr>
          <w:sz w:val="16"/>
          <w:szCs w:val="16"/>
        </w:rPr>
        <w:t xml:space="preserve"> The Panel’s case acceptance criteria are available at </w:t>
      </w:r>
      <w:hyperlink r:id="rId4" w:history="1">
        <w:r w:rsidR="004A0C4C" w:rsidRPr="004A0C4C">
          <w:rPr>
            <w:rStyle w:val="Hyperlink"/>
            <w:rFonts w:cs="Arial"/>
            <w:sz w:val="16"/>
            <w:szCs w:val="16"/>
          </w:rPr>
          <w:t>https://www.england.nhs.uk/commissioning/how-commissioning-is-changing/nhs-provider-selection-regime/independent-patient-choice-and-procurement-panel/</w:t>
        </w:r>
      </w:hyperlink>
      <w:r w:rsidR="004A0C4C">
        <w:rPr>
          <w:sz w:val="16"/>
          <w:szCs w:val="16"/>
        </w:rPr>
        <w:t>.</w:t>
      </w:r>
    </w:p>
  </w:footnote>
  <w:footnote w:id="5">
    <w:p w14:paraId="6E6F3ED5" w14:textId="56ED232F" w:rsidR="004A0C4C" w:rsidRPr="0050576A" w:rsidRDefault="004A0C4C">
      <w:pPr>
        <w:pStyle w:val="FootnoteText"/>
        <w:rPr>
          <w:sz w:val="16"/>
          <w:szCs w:val="16"/>
        </w:rPr>
      </w:pPr>
      <w:r w:rsidRPr="0050576A">
        <w:rPr>
          <w:rStyle w:val="FootnoteReference"/>
          <w:sz w:val="16"/>
          <w:szCs w:val="16"/>
        </w:rPr>
        <w:footnoteRef/>
      </w:r>
      <w:r w:rsidRPr="0050576A">
        <w:rPr>
          <w:sz w:val="16"/>
          <w:szCs w:val="16"/>
        </w:rPr>
        <w:t xml:space="preserve"> Biographies of Panel members are available at </w:t>
      </w:r>
      <w:hyperlink r:id="rId5" w:history="1">
        <w:r w:rsidR="0050576A" w:rsidRPr="0050576A">
          <w:rPr>
            <w:rStyle w:val="Hyperlink"/>
            <w:rFonts w:cs="Arial"/>
            <w:sz w:val="16"/>
            <w:szCs w:val="16"/>
          </w:rPr>
          <w:t>https://www.england.nhs.uk/commissioning/how-commissioning-is-changing/nhs-provider-selection-regime/independent-patient-choice-and-procurement-panel/panel-members/</w:t>
        </w:r>
      </w:hyperlink>
      <w:r w:rsidR="0050576A" w:rsidRPr="0050576A">
        <w:rPr>
          <w:rFonts w:cs="Arial"/>
          <w:sz w:val="16"/>
          <w:szCs w:val="16"/>
        </w:rPr>
        <w:t>.</w:t>
      </w:r>
    </w:p>
  </w:footnote>
  <w:footnote w:id="6">
    <w:p w14:paraId="3EB524F8" w14:textId="292229CD" w:rsidR="00CD4CF5" w:rsidRPr="00A47C13" w:rsidRDefault="00CD4CF5">
      <w:pPr>
        <w:pStyle w:val="FootnoteText"/>
        <w:rPr>
          <w:sz w:val="16"/>
          <w:szCs w:val="16"/>
        </w:rPr>
      </w:pPr>
      <w:r w:rsidRPr="00A47C13">
        <w:rPr>
          <w:rStyle w:val="FootnoteReference"/>
          <w:sz w:val="16"/>
          <w:szCs w:val="16"/>
        </w:rPr>
        <w:footnoteRef/>
      </w:r>
      <w:r w:rsidRPr="00A47C13">
        <w:rPr>
          <w:sz w:val="16"/>
          <w:szCs w:val="16"/>
        </w:rPr>
        <w:t xml:space="preserve"> The Panel’s Standard Operating Procedures are available at </w:t>
      </w:r>
      <w:hyperlink r:id="rId6" w:history="1">
        <w:r w:rsidR="00A47C13" w:rsidRPr="00A47C13">
          <w:rPr>
            <w:rStyle w:val="Hyperlink"/>
            <w:rFonts w:cs="Arial"/>
            <w:sz w:val="16"/>
            <w:szCs w:val="16"/>
          </w:rPr>
          <w:t>https://www.england.nhs.uk/commissioning/how-commissioning-is-changing/nhs-provider-selection-regime/independent-patient-choice-and-procurement-panel/</w:t>
        </w:r>
      </w:hyperlink>
      <w:r w:rsidR="00A47C13" w:rsidRPr="00A47C13">
        <w:rPr>
          <w:rFonts w:cs="Arial"/>
          <w:sz w:val="16"/>
          <w:szCs w:val="16"/>
        </w:rPr>
        <w:t>.</w:t>
      </w:r>
    </w:p>
  </w:footnote>
  <w:footnote w:id="7">
    <w:p w14:paraId="3C8291CB" w14:textId="742D2D33" w:rsidR="008F2F8C" w:rsidRDefault="008F2F8C">
      <w:pPr>
        <w:pStyle w:val="FootnoteText"/>
      </w:pPr>
      <w:r w:rsidRPr="009C30B9">
        <w:rPr>
          <w:rStyle w:val="FootnoteReference"/>
          <w:sz w:val="16"/>
          <w:szCs w:val="16"/>
        </w:rPr>
        <w:footnoteRef/>
      </w:r>
      <w:r w:rsidRPr="009C30B9">
        <w:rPr>
          <w:sz w:val="16"/>
          <w:szCs w:val="16"/>
        </w:rPr>
        <w:t xml:space="preserve"> The PSR Regulations are available at </w:t>
      </w:r>
      <w:hyperlink r:id="rId7" w:history="1">
        <w:r w:rsidR="009C30B9" w:rsidRPr="00EE7D7D">
          <w:rPr>
            <w:rStyle w:val="Hyperlink"/>
            <w:rFonts w:cs="Arial"/>
            <w:sz w:val="16"/>
            <w:szCs w:val="16"/>
          </w:rPr>
          <w:t>https://www.legislation.gov.uk/uksi/2023/1348/contents/made</w:t>
        </w:r>
      </w:hyperlink>
      <w:r w:rsidR="009C30B9" w:rsidRPr="00EE7D7D">
        <w:rPr>
          <w:rFonts w:cs="Arial"/>
          <w:sz w:val="16"/>
          <w:szCs w:val="16"/>
        </w:rPr>
        <w:t xml:space="preserve"> and the accompanying statutory guidance is available at NHS England, </w:t>
      </w:r>
      <w:r w:rsidR="009C30B9" w:rsidRPr="00EE7D7D">
        <w:rPr>
          <w:rFonts w:cs="Arial"/>
          <w:i/>
          <w:iCs/>
          <w:sz w:val="16"/>
          <w:szCs w:val="16"/>
        </w:rPr>
        <w:t>The Provider Selection Regime: statutory guidance</w:t>
      </w:r>
      <w:r w:rsidR="009C30B9" w:rsidRPr="00EE7D7D">
        <w:rPr>
          <w:rFonts w:cs="Arial"/>
          <w:sz w:val="16"/>
          <w:szCs w:val="16"/>
        </w:rPr>
        <w:t xml:space="preserve">, </w:t>
      </w:r>
      <w:hyperlink r:id="rId8" w:history="1">
        <w:r w:rsidR="009C30B9" w:rsidRPr="00EE7D7D">
          <w:rPr>
            <w:rStyle w:val="Hyperlink"/>
            <w:rFonts w:cs="Arial"/>
            <w:sz w:val="16"/>
            <w:szCs w:val="16"/>
          </w:rPr>
          <w:t>https://www.england.nhs.uk/long-read/the-provider-selection-regime-statutory-guidance/</w:t>
        </w:r>
      </w:hyperlink>
    </w:p>
  </w:footnote>
  <w:footnote w:id="8">
    <w:p w14:paraId="2A55D047" w14:textId="77777777" w:rsidR="00C651BF" w:rsidRPr="00F1130C" w:rsidRDefault="00C651BF" w:rsidP="00C651BF">
      <w:pPr>
        <w:pStyle w:val="FootnoteText"/>
        <w:rPr>
          <w:sz w:val="16"/>
          <w:szCs w:val="16"/>
        </w:rPr>
      </w:pPr>
      <w:r w:rsidRPr="00F1130C">
        <w:rPr>
          <w:rStyle w:val="FootnoteReference"/>
          <w:sz w:val="16"/>
          <w:szCs w:val="16"/>
        </w:rPr>
        <w:footnoteRef/>
      </w:r>
      <w:r w:rsidRPr="00F1130C">
        <w:rPr>
          <w:sz w:val="16"/>
          <w:szCs w:val="16"/>
        </w:rPr>
        <w:t xml:space="preserve"> Talking therapies were initially introduced into the NHS under the Improving Access to Psychological Therapies (IAPT) programme.</w:t>
      </w:r>
    </w:p>
  </w:footnote>
  <w:footnote w:id="9">
    <w:p w14:paraId="3923FD4C" w14:textId="77777777" w:rsidR="00C651BF" w:rsidRPr="00312D00" w:rsidRDefault="00C651BF" w:rsidP="00C651BF">
      <w:pPr>
        <w:pStyle w:val="FootnoteText"/>
        <w:rPr>
          <w:sz w:val="16"/>
          <w:szCs w:val="16"/>
        </w:rPr>
      </w:pPr>
      <w:r w:rsidRPr="00312D00">
        <w:rPr>
          <w:rStyle w:val="FootnoteReference"/>
          <w:sz w:val="16"/>
          <w:szCs w:val="16"/>
        </w:rPr>
        <w:footnoteRef/>
      </w:r>
      <w:r w:rsidRPr="00312D00">
        <w:rPr>
          <w:sz w:val="16"/>
          <w:szCs w:val="16"/>
        </w:rPr>
        <w:t xml:space="preserve"> For further information see NHS England, NHS Talking Therapies for anxiety and depression at </w:t>
      </w:r>
      <w:hyperlink r:id="rId9" w:history="1">
        <w:r w:rsidRPr="00312D00">
          <w:rPr>
            <w:rStyle w:val="Hyperlink"/>
            <w:sz w:val="16"/>
            <w:szCs w:val="16"/>
          </w:rPr>
          <w:t>https://www.england.nhs.uk/mental-health/adults/nhs-talking-therapies/</w:t>
        </w:r>
      </w:hyperlink>
      <w:r w:rsidRPr="00312D00">
        <w:rPr>
          <w:sz w:val="16"/>
          <w:szCs w:val="16"/>
        </w:rPr>
        <w:t xml:space="preserve">, and NHS England, Psychological therapies for severe mental health problems at </w:t>
      </w:r>
      <w:hyperlink r:id="rId10" w:history="1">
        <w:r w:rsidRPr="00312D00">
          <w:rPr>
            <w:rStyle w:val="Hyperlink"/>
            <w:sz w:val="16"/>
            <w:szCs w:val="16"/>
          </w:rPr>
          <w:t>https://www.hee.nhs.uk/our-work/mental-health/psychological-therapies-severe-mental-health-problems</w:t>
        </w:r>
      </w:hyperlink>
      <w:r w:rsidRPr="00312D00">
        <w:rPr>
          <w:sz w:val="16"/>
          <w:szCs w:val="16"/>
        </w:rPr>
        <w:t>.</w:t>
      </w:r>
    </w:p>
  </w:footnote>
  <w:footnote w:id="10">
    <w:p w14:paraId="28D60D8F" w14:textId="04D2FF39" w:rsidR="008E369A" w:rsidRPr="008E369A" w:rsidRDefault="008E369A">
      <w:pPr>
        <w:pStyle w:val="FootnoteText"/>
        <w:rPr>
          <w:sz w:val="16"/>
          <w:szCs w:val="16"/>
        </w:rPr>
      </w:pPr>
      <w:r w:rsidRPr="008E369A">
        <w:rPr>
          <w:rStyle w:val="FootnoteReference"/>
          <w:sz w:val="16"/>
          <w:szCs w:val="16"/>
        </w:rPr>
        <w:footnoteRef/>
      </w:r>
      <w:r w:rsidR="00AA6DB6">
        <w:rPr>
          <w:sz w:val="16"/>
          <w:szCs w:val="16"/>
        </w:rPr>
        <w:t xml:space="preserve">Panel calculations based on data in </w:t>
      </w:r>
      <w:r w:rsidR="00A27AD5">
        <w:rPr>
          <w:sz w:val="16"/>
          <w:szCs w:val="16"/>
        </w:rPr>
        <w:t>M</w:t>
      </w:r>
      <w:r w:rsidR="0012240A">
        <w:rPr>
          <w:sz w:val="16"/>
          <w:szCs w:val="16"/>
        </w:rPr>
        <w:t>SE</w:t>
      </w:r>
      <w:r w:rsidR="00A27AD5">
        <w:rPr>
          <w:sz w:val="16"/>
          <w:szCs w:val="16"/>
        </w:rPr>
        <w:t xml:space="preserve"> ICB, </w:t>
      </w:r>
      <w:r w:rsidR="00A27AD5" w:rsidRPr="004353F1">
        <w:rPr>
          <w:i/>
          <w:sz w:val="16"/>
          <w:szCs w:val="16"/>
        </w:rPr>
        <w:t xml:space="preserve">Market Engagement Event </w:t>
      </w:r>
      <w:r w:rsidR="007D6EA2">
        <w:rPr>
          <w:i/>
          <w:iCs/>
          <w:sz w:val="16"/>
          <w:szCs w:val="16"/>
        </w:rPr>
        <w:t>P</w:t>
      </w:r>
      <w:r w:rsidR="00A27AD5" w:rsidRPr="004353F1">
        <w:rPr>
          <w:i/>
          <w:iCs/>
          <w:sz w:val="16"/>
          <w:szCs w:val="16"/>
        </w:rPr>
        <w:t>resentation</w:t>
      </w:r>
      <w:r w:rsidR="00A27AD5">
        <w:rPr>
          <w:sz w:val="16"/>
          <w:szCs w:val="16"/>
        </w:rPr>
        <w:t>, 24 February</w:t>
      </w:r>
      <w:r w:rsidRPr="008E369A">
        <w:rPr>
          <w:sz w:val="16"/>
          <w:szCs w:val="16"/>
        </w:rPr>
        <w:t xml:space="preserve"> </w:t>
      </w:r>
      <w:r w:rsidR="007D6EA2">
        <w:rPr>
          <w:sz w:val="16"/>
          <w:szCs w:val="16"/>
        </w:rPr>
        <w:t>2025.</w:t>
      </w:r>
    </w:p>
  </w:footnote>
  <w:footnote w:id="11">
    <w:p w14:paraId="6E9EC42C" w14:textId="77777777" w:rsidR="001D4A5A" w:rsidRPr="006149FA" w:rsidRDefault="001D4A5A" w:rsidP="001D4A5A">
      <w:pPr>
        <w:pStyle w:val="FootnoteText"/>
        <w:rPr>
          <w:sz w:val="16"/>
          <w:szCs w:val="16"/>
        </w:rPr>
      </w:pPr>
      <w:r w:rsidRPr="00396ADC">
        <w:rPr>
          <w:rStyle w:val="FootnoteReference"/>
          <w:sz w:val="16"/>
          <w:szCs w:val="16"/>
        </w:rPr>
        <w:footnoteRef/>
      </w:r>
      <w:r w:rsidRPr="00396ADC">
        <w:rPr>
          <w:sz w:val="16"/>
          <w:szCs w:val="16"/>
        </w:rPr>
        <w:t xml:space="preserve"> Vita Health Solutions</w:t>
      </w:r>
      <w:r>
        <w:rPr>
          <w:sz w:val="16"/>
          <w:szCs w:val="16"/>
        </w:rPr>
        <w:t xml:space="preserve"> Limited</w:t>
      </w:r>
      <w:r w:rsidRPr="00396ADC">
        <w:rPr>
          <w:sz w:val="16"/>
          <w:szCs w:val="16"/>
        </w:rPr>
        <w:t xml:space="preserve"> is also known as Vita Health Group and is a provider of mental and physical health services. Further information can be found on its website at </w:t>
      </w:r>
      <w:hyperlink r:id="rId11" w:history="1">
        <w:r w:rsidRPr="00396ADC">
          <w:rPr>
            <w:rStyle w:val="Hyperlink"/>
            <w:sz w:val="16"/>
            <w:szCs w:val="16"/>
          </w:rPr>
          <w:t>https://www.vitahealthgroup.co.uk/</w:t>
        </w:r>
      </w:hyperlink>
      <w:r w:rsidRPr="00396ADC">
        <w:rPr>
          <w:sz w:val="16"/>
          <w:szCs w:val="16"/>
        </w:rPr>
        <w:t>.</w:t>
      </w:r>
    </w:p>
  </w:footnote>
  <w:footnote w:id="12">
    <w:p w14:paraId="53A3257B" w14:textId="3CABA735" w:rsidR="00F02042" w:rsidRPr="004353F1" w:rsidRDefault="00F02042" w:rsidP="00F02042">
      <w:pPr>
        <w:pStyle w:val="FootnoteText"/>
        <w:rPr>
          <w:sz w:val="16"/>
          <w:szCs w:val="16"/>
        </w:rPr>
      </w:pPr>
      <w:r w:rsidRPr="004353F1">
        <w:rPr>
          <w:rStyle w:val="FootnoteReference"/>
          <w:sz w:val="16"/>
          <w:szCs w:val="16"/>
        </w:rPr>
        <w:footnoteRef/>
      </w:r>
      <w:r w:rsidRPr="004353F1">
        <w:rPr>
          <w:sz w:val="16"/>
          <w:szCs w:val="16"/>
        </w:rPr>
        <w:t xml:space="preserve">Panel calculations based on data in MSE ICB, </w:t>
      </w:r>
      <w:r w:rsidRPr="004353F1">
        <w:rPr>
          <w:i/>
          <w:iCs/>
          <w:sz w:val="16"/>
          <w:szCs w:val="16"/>
        </w:rPr>
        <w:t>NHS Talking Therapies: A Review of the Health Services provision by 4 Providers within the Mid and South Essex ICS</w:t>
      </w:r>
      <w:r w:rsidRPr="004353F1">
        <w:rPr>
          <w:sz w:val="16"/>
          <w:szCs w:val="16"/>
        </w:rPr>
        <w:t>, undated, p.13.</w:t>
      </w:r>
    </w:p>
  </w:footnote>
  <w:footnote w:id="13">
    <w:p w14:paraId="7B381651" w14:textId="499FB6A3" w:rsidR="00127E5A" w:rsidRPr="00312D00" w:rsidRDefault="00127E5A">
      <w:pPr>
        <w:pStyle w:val="FootnoteText"/>
        <w:rPr>
          <w:sz w:val="16"/>
          <w:szCs w:val="16"/>
        </w:rPr>
      </w:pPr>
      <w:r w:rsidRPr="00312D00">
        <w:rPr>
          <w:rStyle w:val="FootnoteReference"/>
          <w:sz w:val="16"/>
          <w:szCs w:val="16"/>
        </w:rPr>
        <w:footnoteRef/>
      </w:r>
      <w:r w:rsidRPr="00312D00">
        <w:rPr>
          <w:sz w:val="16"/>
          <w:szCs w:val="16"/>
        </w:rPr>
        <w:t xml:space="preserve"> Mid and South Essex ICB, </w:t>
      </w:r>
      <w:r w:rsidR="0043750C" w:rsidRPr="00312D00">
        <w:rPr>
          <w:i/>
          <w:sz w:val="16"/>
          <w:szCs w:val="16"/>
        </w:rPr>
        <w:t>MSE ICS Procurement Update March 2025</w:t>
      </w:r>
      <w:r w:rsidR="004E6B26" w:rsidRPr="00312D00">
        <w:rPr>
          <w:i/>
          <w:sz w:val="16"/>
          <w:szCs w:val="16"/>
        </w:rPr>
        <w:t>,</w:t>
      </w:r>
      <w:r w:rsidR="004E6B26" w:rsidRPr="00312D00">
        <w:rPr>
          <w:sz w:val="16"/>
          <w:szCs w:val="16"/>
        </w:rPr>
        <w:t xml:space="preserve"> 18 March 2025.</w:t>
      </w:r>
    </w:p>
  </w:footnote>
  <w:footnote w:id="14">
    <w:p w14:paraId="05CFC98B" w14:textId="0FA4BE92" w:rsidR="00336F8C" w:rsidRPr="0075292D" w:rsidRDefault="00336F8C">
      <w:pPr>
        <w:pStyle w:val="FootnoteText"/>
        <w:rPr>
          <w:sz w:val="16"/>
          <w:szCs w:val="16"/>
        </w:rPr>
      </w:pPr>
      <w:r w:rsidRPr="0075292D">
        <w:rPr>
          <w:rStyle w:val="FootnoteReference"/>
          <w:sz w:val="16"/>
          <w:szCs w:val="16"/>
        </w:rPr>
        <w:footnoteRef/>
      </w:r>
      <w:r w:rsidRPr="0075292D">
        <w:rPr>
          <w:sz w:val="16"/>
          <w:szCs w:val="16"/>
        </w:rPr>
        <w:t xml:space="preserve"> </w:t>
      </w:r>
      <w:r w:rsidR="0075292D" w:rsidRPr="0075292D">
        <w:rPr>
          <w:sz w:val="16"/>
          <w:szCs w:val="16"/>
        </w:rPr>
        <w:t>On 30 January 2025, MSE ICB published a notice stating that it had abandoned the MSP process as “the parties were unable to identify a suitable collaborative solution to the specification within the proposed financial envelope” (</w:t>
      </w:r>
      <w:r w:rsidRPr="0075292D">
        <w:rPr>
          <w:sz w:val="16"/>
          <w:szCs w:val="16"/>
        </w:rPr>
        <w:t>M</w:t>
      </w:r>
      <w:r w:rsidR="00A7248A" w:rsidRPr="0075292D">
        <w:rPr>
          <w:sz w:val="16"/>
          <w:szCs w:val="16"/>
        </w:rPr>
        <w:t>SE</w:t>
      </w:r>
      <w:r w:rsidRPr="0075292D">
        <w:rPr>
          <w:sz w:val="16"/>
          <w:szCs w:val="16"/>
        </w:rPr>
        <w:t xml:space="preserve"> ICB,</w:t>
      </w:r>
      <w:r w:rsidR="00A6335F" w:rsidRPr="0075292D">
        <w:rPr>
          <w:sz w:val="16"/>
          <w:szCs w:val="16"/>
        </w:rPr>
        <w:t xml:space="preserve"> </w:t>
      </w:r>
      <w:r w:rsidR="00A6335F" w:rsidRPr="0075292D">
        <w:rPr>
          <w:i/>
          <w:iCs/>
          <w:sz w:val="16"/>
          <w:szCs w:val="16"/>
        </w:rPr>
        <w:t xml:space="preserve">Notice </w:t>
      </w:r>
      <w:r w:rsidR="00CC6FB8" w:rsidRPr="0075292D">
        <w:rPr>
          <w:i/>
          <w:iCs/>
          <w:sz w:val="16"/>
          <w:szCs w:val="16"/>
        </w:rPr>
        <w:t>for changes or additional information (</w:t>
      </w:r>
      <w:r w:rsidR="00A34FBE" w:rsidRPr="0075292D">
        <w:rPr>
          <w:i/>
          <w:iCs/>
          <w:sz w:val="16"/>
          <w:szCs w:val="16"/>
        </w:rPr>
        <w:t>c</w:t>
      </w:r>
      <w:r w:rsidR="00CC6FB8" w:rsidRPr="0075292D">
        <w:rPr>
          <w:i/>
          <w:iCs/>
          <w:sz w:val="16"/>
          <w:szCs w:val="16"/>
        </w:rPr>
        <w:t xml:space="preserve">orrigendum </w:t>
      </w:r>
      <w:r w:rsidR="00A34FBE" w:rsidRPr="0075292D">
        <w:rPr>
          <w:i/>
          <w:iCs/>
          <w:sz w:val="16"/>
          <w:szCs w:val="16"/>
        </w:rPr>
        <w:t>n</w:t>
      </w:r>
      <w:r w:rsidR="00CC6FB8" w:rsidRPr="0075292D">
        <w:rPr>
          <w:i/>
          <w:iCs/>
          <w:sz w:val="16"/>
          <w:szCs w:val="16"/>
        </w:rPr>
        <w:t xml:space="preserve">otice) </w:t>
      </w:r>
      <w:r w:rsidR="00A6335F" w:rsidRPr="0075292D">
        <w:rPr>
          <w:i/>
          <w:iCs/>
          <w:sz w:val="16"/>
          <w:szCs w:val="16"/>
        </w:rPr>
        <w:t>on Find a Tender Service</w:t>
      </w:r>
      <w:r w:rsidR="00A6335F" w:rsidRPr="0075292D">
        <w:rPr>
          <w:sz w:val="16"/>
          <w:szCs w:val="16"/>
        </w:rPr>
        <w:t>, 30 January 2025</w:t>
      </w:r>
      <w:r w:rsidR="0075292D" w:rsidRPr="0075292D">
        <w:rPr>
          <w:sz w:val="16"/>
          <w:szCs w:val="16"/>
        </w:rPr>
        <w:t>)</w:t>
      </w:r>
      <w:r w:rsidR="00A6335F" w:rsidRPr="0075292D">
        <w:rPr>
          <w:sz w:val="16"/>
          <w:szCs w:val="16"/>
        </w:rPr>
        <w:t>.</w:t>
      </w:r>
    </w:p>
  </w:footnote>
  <w:footnote w:id="15">
    <w:p w14:paraId="093D822E" w14:textId="34531F80" w:rsidR="00907C64" w:rsidRPr="00907C64" w:rsidRDefault="00907C64">
      <w:pPr>
        <w:pStyle w:val="FootnoteText"/>
        <w:rPr>
          <w:sz w:val="16"/>
          <w:szCs w:val="16"/>
        </w:rPr>
      </w:pPr>
      <w:r w:rsidRPr="0077458B">
        <w:rPr>
          <w:rStyle w:val="FootnoteReference"/>
          <w:sz w:val="16"/>
          <w:szCs w:val="16"/>
        </w:rPr>
        <w:footnoteRef/>
      </w:r>
      <w:r w:rsidRPr="0077458B">
        <w:rPr>
          <w:sz w:val="16"/>
          <w:szCs w:val="16"/>
        </w:rPr>
        <w:t xml:space="preserve"> </w:t>
      </w:r>
      <w:r w:rsidR="00A9117C" w:rsidRPr="0077458B">
        <w:rPr>
          <w:sz w:val="16"/>
          <w:szCs w:val="16"/>
        </w:rPr>
        <w:t xml:space="preserve">MSE ICB, </w:t>
      </w:r>
      <w:r w:rsidR="00A9117C" w:rsidRPr="0077458B">
        <w:rPr>
          <w:i/>
          <w:iCs/>
          <w:sz w:val="16"/>
          <w:szCs w:val="16"/>
        </w:rPr>
        <w:t>Prior Information Notice on Find a Tender Service</w:t>
      </w:r>
      <w:r w:rsidR="00A9117C" w:rsidRPr="0077458B">
        <w:rPr>
          <w:sz w:val="16"/>
          <w:szCs w:val="16"/>
        </w:rPr>
        <w:t xml:space="preserve">, </w:t>
      </w:r>
      <w:r w:rsidR="0077458B" w:rsidRPr="0077458B">
        <w:rPr>
          <w:sz w:val="16"/>
          <w:szCs w:val="16"/>
        </w:rPr>
        <w:t>11 February 2025.</w:t>
      </w:r>
    </w:p>
  </w:footnote>
  <w:footnote w:id="16">
    <w:p w14:paraId="2ABC709D" w14:textId="65DC742A" w:rsidR="00586A74" w:rsidRPr="00EA367E" w:rsidRDefault="00586A74">
      <w:pPr>
        <w:pStyle w:val="FootnoteText"/>
        <w:rPr>
          <w:sz w:val="16"/>
          <w:szCs w:val="16"/>
        </w:rPr>
      </w:pPr>
      <w:r w:rsidRPr="00EA367E">
        <w:rPr>
          <w:rStyle w:val="FootnoteReference"/>
          <w:sz w:val="16"/>
          <w:szCs w:val="16"/>
        </w:rPr>
        <w:footnoteRef/>
      </w:r>
      <w:r w:rsidRPr="00EA367E">
        <w:rPr>
          <w:sz w:val="16"/>
          <w:szCs w:val="16"/>
        </w:rPr>
        <w:t xml:space="preserve"> MSE ICB later told the Panel that around six of these potential providers were potentially credible bidders</w:t>
      </w:r>
      <w:r w:rsidR="004820A7">
        <w:rPr>
          <w:sz w:val="16"/>
          <w:szCs w:val="16"/>
        </w:rPr>
        <w:t xml:space="preserve"> (Panel meeting with MSE ICB, </w:t>
      </w:r>
      <w:r w:rsidR="00DF6936">
        <w:rPr>
          <w:sz w:val="16"/>
          <w:szCs w:val="16"/>
        </w:rPr>
        <w:t>24 July 2025).</w:t>
      </w:r>
    </w:p>
  </w:footnote>
  <w:footnote w:id="17">
    <w:p w14:paraId="74A00EDA" w14:textId="125AC042" w:rsidR="00DC6471" w:rsidRPr="009B76E3" w:rsidRDefault="00DC6471">
      <w:pPr>
        <w:pStyle w:val="FootnoteText"/>
        <w:rPr>
          <w:sz w:val="16"/>
          <w:szCs w:val="16"/>
        </w:rPr>
      </w:pPr>
      <w:r w:rsidRPr="009B76E3">
        <w:rPr>
          <w:rStyle w:val="FootnoteReference"/>
          <w:sz w:val="16"/>
          <w:szCs w:val="16"/>
        </w:rPr>
        <w:footnoteRef/>
      </w:r>
      <w:r w:rsidRPr="009B76E3">
        <w:rPr>
          <w:sz w:val="16"/>
          <w:szCs w:val="16"/>
        </w:rPr>
        <w:t xml:space="preserve"> </w:t>
      </w:r>
      <w:r w:rsidRPr="00D6616D">
        <w:rPr>
          <w:sz w:val="16"/>
          <w:szCs w:val="16"/>
        </w:rPr>
        <w:t>M</w:t>
      </w:r>
      <w:r w:rsidR="00A7248A" w:rsidRPr="00D6616D">
        <w:rPr>
          <w:sz w:val="16"/>
          <w:szCs w:val="16"/>
        </w:rPr>
        <w:t>SE</w:t>
      </w:r>
      <w:r w:rsidRPr="00D6616D">
        <w:rPr>
          <w:sz w:val="16"/>
          <w:szCs w:val="16"/>
        </w:rPr>
        <w:t xml:space="preserve"> ICB</w:t>
      </w:r>
      <w:r w:rsidRPr="00D6616D">
        <w:rPr>
          <w:i/>
          <w:sz w:val="16"/>
          <w:szCs w:val="16"/>
        </w:rPr>
        <w:t xml:space="preserve">, </w:t>
      </w:r>
      <w:r w:rsidR="003F2BB2" w:rsidRPr="00D6616D">
        <w:rPr>
          <w:i/>
          <w:sz w:val="16"/>
          <w:szCs w:val="16"/>
        </w:rPr>
        <w:t xml:space="preserve">Mental Health </w:t>
      </w:r>
      <w:r w:rsidR="009D47C7" w:rsidRPr="00D6616D">
        <w:rPr>
          <w:i/>
          <w:sz w:val="16"/>
          <w:szCs w:val="16"/>
        </w:rPr>
        <w:t xml:space="preserve">Core Services Review Panel Detailed </w:t>
      </w:r>
      <w:r w:rsidR="00C71F24" w:rsidRPr="00D6616D">
        <w:rPr>
          <w:i/>
          <w:sz w:val="16"/>
          <w:szCs w:val="16"/>
        </w:rPr>
        <w:t>Overview</w:t>
      </w:r>
      <w:r w:rsidR="009878A4" w:rsidRPr="00D6616D">
        <w:rPr>
          <w:sz w:val="16"/>
          <w:szCs w:val="16"/>
        </w:rPr>
        <w:t>, 27 May 2025</w:t>
      </w:r>
      <w:r w:rsidR="00EE30F1">
        <w:rPr>
          <w:sz w:val="16"/>
          <w:szCs w:val="16"/>
        </w:rPr>
        <w:t>.</w:t>
      </w:r>
    </w:p>
  </w:footnote>
  <w:footnote w:id="18">
    <w:p w14:paraId="6F1F9AB1" w14:textId="1E2B10E7" w:rsidR="002B7743" w:rsidRPr="002B7743" w:rsidRDefault="002B7743">
      <w:pPr>
        <w:pStyle w:val="FootnoteText"/>
        <w:rPr>
          <w:sz w:val="16"/>
          <w:szCs w:val="16"/>
        </w:rPr>
      </w:pPr>
      <w:r w:rsidRPr="002B7743">
        <w:rPr>
          <w:rStyle w:val="FootnoteReference"/>
          <w:sz w:val="16"/>
          <w:szCs w:val="16"/>
        </w:rPr>
        <w:footnoteRef/>
      </w:r>
      <w:r w:rsidRPr="002B7743">
        <w:rPr>
          <w:sz w:val="16"/>
          <w:szCs w:val="16"/>
        </w:rPr>
        <w:t xml:space="preserve"> </w:t>
      </w:r>
      <w:r w:rsidR="00A7248A">
        <w:rPr>
          <w:sz w:val="16"/>
          <w:szCs w:val="16"/>
        </w:rPr>
        <w:t>MSE</w:t>
      </w:r>
      <w:r w:rsidRPr="002B7743">
        <w:rPr>
          <w:sz w:val="16"/>
          <w:szCs w:val="16"/>
        </w:rPr>
        <w:t xml:space="preserve"> ICB, </w:t>
      </w:r>
      <w:r w:rsidRPr="002B7743">
        <w:rPr>
          <w:i/>
          <w:iCs/>
          <w:sz w:val="16"/>
          <w:szCs w:val="16"/>
        </w:rPr>
        <w:t>Contract Notice on Find a Tender Service</w:t>
      </w:r>
      <w:r w:rsidRPr="002B7743">
        <w:rPr>
          <w:sz w:val="16"/>
          <w:szCs w:val="16"/>
        </w:rPr>
        <w:t>, 4 March 2025.</w:t>
      </w:r>
    </w:p>
  </w:footnote>
  <w:footnote w:id="19">
    <w:p w14:paraId="5E0482E7" w14:textId="5C0A5E5D" w:rsidR="00EE2A83" w:rsidRPr="00EE2A83" w:rsidRDefault="00EE2A83">
      <w:pPr>
        <w:pStyle w:val="FootnoteText"/>
        <w:rPr>
          <w:sz w:val="16"/>
          <w:szCs w:val="16"/>
        </w:rPr>
      </w:pPr>
      <w:r w:rsidRPr="00EE2A83">
        <w:rPr>
          <w:rStyle w:val="FootnoteReference"/>
          <w:sz w:val="16"/>
          <w:szCs w:val="16"/>
        </w:rPr>
        <w:footnoteRef/>
      </w:r>
      <w:r w:rsidRPr="00EE2A83">
        <w:rPr>
          <w:sz w:val="16"/>
          <w:szCs w:val="16"/>
        </w:rPr>
        <w:t xml:space="preserve"> </w:t>
      </w:r>
      <w:r w:rsidR="002F2CA4">
        <w:rPr>
          <w:sz w:val="16"/>
          <w:szCs w:val="16"/>
        </w:rPr>
        <w:t xml:space="preserve">Panel meeting with MSE ICB, </w:t>
      </w:r>
      <w:r w:rsidR="00DF6936">
        <w:rPr>
          <w:sz w:val="16"/>
          <w:szCs w:val="16"/>
        </w:rPr>
        <w:t>24 July 2025.</w:t>
      </w:r>
    </w:p>
  </w:footnote>
  <w:footnote w:id="20">
    <w:p w14:paraId="370A2C40" w14:textId="72B9EC9A" w:rsidR="00DE140D" w:rsidRPr="00DE140D" w:rsidRDefault="00DE140D">
      <w:pPr>
        <w:pStyle w:val="FootnoteText"/>
        <w:rPr>
          <w:sz w:val="16"/>
          <w:szCs w:val="16"/>
        </w:rPr>
      </w:pPr>
      <w:r w:rsidRPr="00DE140D">
        <w:rPr>
          <w:rStyle w:val="FootnoteReference"/>
          <w:sz w:val="16"/>
          <w:szCs w:val="16"/>
        </w:rPr>
        <w:footnoteRef/>
      </w:r>
      <w:r w:rsidRPr="00DE140D">
        <w:rPr>
          <w:sz w:val="16"/>
          <w:szCs w:val="16"/>
        </w:rPr>
        <w:t xml:space="preserve"> </w:t>
      </w:r>
      <w:r w:rsidRPr="00D6616D">
        <w:rPr>
          <w:sz w:val="16"/>
          <w:szCs w:val="16"/>
        </w:rPr>
        <w:t>MPFT</w:t>
      </w:r>
      <w:r w:rsidR="00A26499" w:rsidRPr="00D6616D">
        <w:rPr>
          <w:sz w:val="16"/>
          <w:szCs w:val="16"/>
        </w:rPr>
        <w:t xml:space="preserve">, Representations to the Panel, </w:t>
      </w:r>
      <w:r w:rsidR="00F0245C" w:rsidRPr="00D6616D">
        <w:rPr>
          <w:sz w:val="16"/>
          <w:szCs w:val="16"/>
        </w:rPr>
        <w:t>24 June 2025.</w:t>
      </w:r>
    </w:p>
  </w:footnote>
  <w:footnote w:id="21">
    <w:p w14:paraId="0BBC9652" w14:textId="194201C0" w:rsidR="00B44BB7" w:rsidRPr="007F01E4" w:rsidRDefault="00B44BB7">
      <w:pPr>
        <w:pStyle w:val="FootnoteText"/>
        <w:rPr>
          <w:sz w:val="16"/>
          <w:szCs w:val="16"/>
        </w:rPr>
      </w:pPr>
      <w:r w:rsidRPr="007F01E4">
        <w:rPr>
          <w:rStyle w:val="FootnoteReference"/>
          <w:sz w:val="16"/>
          <w:szCs w:val="16"/>
        </w:rPr>
        <w:footnoteRef/>
      </w:r>
      <w:r w:rsidRPr="007F01E4">
        <w:rPr>
          <w:sz w:val="16"/>
          <w:szCs w:val="16"/>
        </w:rPr>
        <w:t xml:space="preserve"> Mid and South Essex ICB, Response to Panel questions, 4 July 2025</w:t>
      </w:r>
    </w:p>
  </w:footnote>
  <w:footnote w:id="22">
    <w:p w14:paraId="4AF1728D" w14:textId="69BBBBF1" w:rsidR="00B44BB7" w:rsidRPr="003E003D" w:rsidRDefault="00B44BB7">
      <w:pPr>
        <w:pStyle w:val="FootnoteText"/>
        <w:rPr>
          <w:sz w:val="16"/>
          <w:szCs w:val="16"/>
        </w:rPr>
      </w:pPr>
      <w:r w:rsidRPr="00AA1C2B">
        <w:rPr>
          <w:rStyle w:val="FootnoteReference"/>
          <w:sz w:val="16"/>
          <w:szCs w:val="16"/>
        </w:rPr>
        <w:footnoteRef/>
      </w:r>
      <w:r w:rsidRPr="003E003D">
        <w:rPr>
          <w:sz w:val="16"/>
          <w:szCs w:val="16"/>
        </w:rPr>
        <w:t xml:space="preserve"> </w:t>
      </w:r>
      <w:r w:rsidRPr="00A05C92">
        <w:rPr>
          <w:sz w:val="16"/>
          <w:szCs w:val="16"/>
        </w:rPr>
        <w:t xml:space="preserve">Mid and South Essex ICB, Response to Panel questions, </w:t>
      </w:r>
      <w:r w:rsidR="005056E1">
        <w:rPr>
          <w:sz w:val="16"/>
          <w:szCs w:val="16"/>
        </w:rPr>
        <w:t>19 August</w:t>
      </w:r>
      <w:r w:rsidRPr="00A05C92">
        <w:rPr>
          <w:sz w:val="16"/>
          <w:szCs w:val="16"/>
        </w:rPr>
        <w:t xml:space="preserve"> 2025</w:t>
      </w:r>
    </w:p>
  </w:footnote>
  <w:footnote w:id="23">
    <w:p w14:paraId="2D76452A" w14:textId="77777777" w:rsidR="008A4244" w:rsidRPr="00EE6116" w:rsidRDefault="008A4244" w:rsidP="008A4244">
      <w:pPr>
        <w:pStyle w:val="FootnoteText"/>
        <w:rPr>
          <w:sz w:val="16"/>
          <w:szCs w:val="16"/>
        </w:rPr>
      </w:pPr>
      <w:r w:rsidRPr="00EE6116">
        <w:rPr>
          <w:rStyle w:val="FootnoteReference"/>
          <w:sz w:val="16"/>
          <w:szCs w:val="16"/>
        </w:rPr>
        <w:footnoteRef/>
      </w:r>
      <w:r w:rsidRPr="00EE6116">
        <w:rPr>
          <w:sz w:val="16"/>
          <w:szCs w:val="16"/>
        </w:rPr>
        <w:t xml:space="preserve"> Paragraph 6(5) sets out the conditions under which the relevant authority may follow Direct Award Process C, while paragraph 6(6) sets out the conditions under which the relevant authority may follow the Most Suitable Provider Process</w:t>
      </w:r>
      <w:r>
        <w:rPr>
          <w:sz w:val="16"/>
          <w:szCs w:val="16"/>
        </w:rPr>
        <w:t>;</w:t>
      </w:r>
      <w:r w:rsidRPr="00EE6116">
        <w:rPr>
          <w:sz w:val="16"/>
          <w:szCs w:val="16"/>
        </w:rPr>
        <w:t xml:space="preserve"> such choice being at the discretion of the relevant authority.</w:t>
      </w:r>
    </w:p>
  </w:footnote>
  <w:footnote w:id="24">
    <w:p w14:paraId="300B6995" w14:textId="77920AC6" w:rsidR="001A2DB4" w:rsidRPr="001A2DB4" w:rsidRDefault="001A2DB4">
      <w:pPr>
        <w:pStyle w:val="FootnoteText"/>
        <w:rPr>
          <w:sz w:val="16"/>
          <w:szCs w:val="16"/>
        </w:rPr>
      </w:pPr>
      <w:r w:rsidRPr="001A2DB4">
        <w:rPr>
          <w:rStyle w:val="FootnoteReference"/>
          <w:sz w:val="16"/>
          <w:szCs w:val="16"/>
        </w:rPr>
        <w:footnoteRef/>
      </w:r>
      <w:r w:rsidRPr="001A2DB4">
        <w:rPr>
          <w:sz w:val="16"/>
          <w:szCs w:val="16"/>
        </w:rPr>
        <w:t xml:space="preserve"> NHS England, </w:t>
      </w:r>
      <w:r w:rsidRPr="001A2DB4">
        <w:rPr>
          <w:i/>
          <w:iCs/>
          <w:sz w:val="16"/>
          <w:szCs w:val="16"/>
        </w:rPr>
        <w:t>The Provider Selection Regime: statutory guidance</w:t>
      </w:r>
      <w:r w:rsidRPr="001A2DB4">
        <w:rPr>
          <w:sz w:val="16"/>
          <w:szCs w:val="16"/>
        </w:rPr>
        <w:t>, 21 February 2024, p.2.</w:t>
      </w:r>
    </w:p>
  </w:footnote>
  <w:footnote w:id="25">
    <w:p w14:paraId="7771282B" w14:textId="7CFAE967" w:rsidR="001A2DB4" w:rsidRPr="00C24242" w:rsidRDefault="001A2DB4">
      <w:pPr>
        <w:pStyle w:val="FootnoteText"/>
        <w:rPr>
          <w:sz w:val="16"/>
          <w:szCs w:val="16"/>
        </w:rPr>
      </w:pPr>
      <w:r w:rsidRPr="00C24242">
        <w:rPr>
          <w:rStyle w:val="FootnoteReference"/>
          <w:sz w:val="16"/>
          <w:szCs w:val="16"/>
        </w:rPr>
        <w:footnoteRef/>
      </w:r>
      <w:r w:rsidRPr="00C24242">
        <w:rPr>
          <w:sz w:val="16"/>
          <w:szCs w:val="16"/>
        </w:rPr>
        <w:t xml:space="preserve"> The PSR Statutory Guidance was updated in April 2025. However, references to the Statutory Guidance in this report are to the February 20</w:t>
      </w:r>
      <w:r w:rsidR="00BE0A01">
        <w:rPr>
          <w:sz w:val="16"/>
          <w:szCs w:val="16"/>
        </w:rPr>
        <w:t>2</w:t>
      </w:r>
      <w:r w:rsidRPr="00C24242">
        <w:rPr>
          <w:sz w:val="16"/>
          <w:szCs w:val="16"/>
        </w:rPr>
        <w:t>4 guidance as this was the version in force during this provider selection process. Where relevant, differences between the two versions of the Statutory Guidance</w:t>
      </w:r>
      <w:r w:rsidR="00C24242" w:rsidRPr="00C24242">
        <w:rPr>
          <w:sz w:val="16"/>
          <w:szCs w:val="16"/>
        </w:rPr>
        <w:t xml:space="preserve"> are noted in this report.</w:t>
      </w:r>
    </w:p>
  </w:footnote>
  <w:footnote w:id="26">
    <w:p w14:paraId="25FB38F2" w14:textId="2036283D" w:rsidR="00BC5B19" w:rsidRPr="00466708" w:rsidRDefault="00BC5B19" w:rsidP="00BC5B19">
      <w:pPr>
        <w:pStyle w:val="FootnoteText"/>
        <w:rPr>
          <w:sz w:val="16"/>
          <w:szCs w:val="16"/>
        </w:rPr>
      </w:pPr>
      <w:r w:rsidRPr="00466708">
        <w:rPr>
          <w:rStyle w:val="FootnoteReference"/>
          <w:sz w:val="16"/>
          <w:szCs w:val="16"/>
        </w:rPr>
        <w:footnoteRef/>
      </w:r>
      <w:r w:rsidRPr="00466708">
        <w:rPr>
          <w:sz w:val="16"/>
          <w:szCs w:val="16"/>
        </w:rPr>
        <w:t xml:space="preserve"> To assist with clarity</w:t>
      </w:r>
      <w:r>
        <w:rPr>
          <w:sz w:val="16"/>
          <w:szCs w:val="16"/>
        </w:rPr>
        <w:t xml:space="preserve">, quotes taken from MPFT, EPUT and MSE ICB documents </w:t>
      </w:r>
      <w:r w:rsidR="00F532FC">
        <w:rPr>
          <w:sz w:val="16"/>
          <w:szCs w:val="16"/>
        </w:rPr>
        <w:t xml:space="preserve">have been adjusted to make sure that </w:t>
      </w:r>
      <w:r w:rsidR="00C40518">
        <w:rPr>
          <w:sz w:val="16"/>
          <w:szCs w:val="16"/>
        </w:rPr>
        <w:t xml:space="preserve">each organisation is clearly identified. For example, references </w:t>
      </w:r>
      <w:r w:rsidR="00C10908">
        <w:rPr>
          <w:sz w:val="16"/>
          <w:szCs w:val="16"/>
        </w:rPr>
        <w:t xml:space="preserve">by MPFT to itself as “the Trust” have been amended to MPFT and </w:t>
      </w:r>
      <w:r w:rsidRPr="00466708">
        <w:rPr>
          <w:sz w:val="16"/>
          <w:szCs w:val="16"/>
        </w:rPr>
        <w:t xml:space="preserve">references to </w:t>
      </w:r>
      <w:r>
        <w:rPr>
          <w:sz w:val="16"/>
          <w:szCs w:val="16"/>
        </w:rPr>
        <w:t>“</w:t>
      </w:r>
      <w:r w:rsidRPr="00466708">
        <w:rPr>
          <w:sz w:val="16"/>
          <w:szCs w:val="16"/>
        </w:rPr>
        <w:t>the Authority</w:t>
      </w:r>
      <w:r>
        <w:rPr>
          <w:sz w:val="16"/>
          <w:szCs w:val="16"/>
        </w:rPr>
        <w:t>”</w:t>
      </w:r>
      <w:r w:rsidRPr="00466708">
        <w:rPr>
          <w:sz w:val="16"/>
          <w:szCs w:val="16"/>
        </w:rPr>
        <w:t xml:space="preserve"> and </w:t>
      </w:r>
      <w:r>
        <w:rPr>
          <w:sz w:val="16"/>
          <w:szCs w:val="16"/>
        </w:rPr>
        <w:t>“</w:t>
      </w:r>
      <w:r w:rsidRPr="00466708">
        <w:rPr>
          <w:sz w:val="16"/>
          <w:szCs w:val="16"/>
        </w:rPr>
        <w:t>Commissioners</w:t>
      </w:r>
      <w:r>
        <w:rPr>
          <w:sz w:val="16"/>
          <w:szCs w:val="16"/>
        </w:rPr>
        <w:t>”</w:t>
      </w:r>
      <w:r w:rsidRPr="00466708">
        <w:rPr>
          <w:sz w:val="16"/>
          <w:szCs w:val="16"/>
        </w:rPr>
        <w:t xml:space="preserve"> </w:t>
      </w:r>
      <w:r w:rsidR="00C10908">
        <w:rPr>
          <w:sz w:val="16"/>
          <w:szCs w:val="16"/>
        </w:rPr>
        <w:t xml:space="preserve">have been </w:t>
      </w:r>
      <w:r w:rsidR="003B28AA">
        <w:rPr>
          <w:sz w:val="16"/>
          <w:szCs w:val="16"/>
        </w:rPr>
        <w:t>amended to</w:t>
      </w:r>
      <w:r w:rsidR="00C10908">
        <w:rPr>
          <w:sz w:val="16"/>
          <w:szCs w:val="16"/>
        </w:rPr>
        <w:t xml:space="preserve"> </w:t>
      </w:r>
      <w:r w:rsidRPr="00466708">
        <w:rPr>
          <w:sz w:val="16"/>
          <w:szCs w:val="16"/>
        </w:rPr>
        <w:t>MSE ICB.</w:t>
      </w:r>
    </w:p>
  </w:footnote>
  <w:footnote w:id="27">
    <w:p w14:paraId="7BDFA5A5" w14:textId="40E01A0A" w:rsidR="00A30B78" w:rsidRPr="00A20CC0" w:rsidRDefault="00A30B78">
      <w:pPr>
        <w:pStyle w:val="FootnoteText"/>
        <w:rPr>
          <w:sz w:val="16"/>
          <w:szCs w:val="16"/>
        </w:rPr>
      </w:pPr>
      <w:r w:rsidRPr="00A20CC0">
        <w:rPr>
          <w:rStyle w:val="FootnoteReference"/>
          <w:sz w:val="16"/>
          <w:szCs w:val="16"/>
        </w:rPr>
        <w:footnoteRef/>
      </w:r>
      <w:r w:rsidRPr="00A20CC0">
        <w:rPr>
          <w:sz w:val="16"/>
          <w:szCs w:val="16"/>
        </w:rPr>
        <w:t xml:space="preserve"> When referring to </w:t>
      </w:r>
      <w:r w:rsidR="00C26C78" w:rsidRPr="00A20CC0">
        <w:rPr>
          <w:sz w:val="16"/>
          <w:szCs w:val="16"/>
        </w:rPr>
        <w:t>“</w:t>
      </w:r>
      <w:r w:rsidRPr="00A20CC0">
        <w:rPr>
          <w:sz w:val="16"/>
          <w:szCs w:val="16"/>
        </w:rPr>
        <w:t>costs funded by the bidder</w:t>
      </w:r>
      <w:r w:rsidR="00C26C78" w:rsidRPr="00A20CC0">
        <w:rPr>
          <w:sz w:val="16"/>
          <w:szCs w:val="16"/>
        </w:rPr>
        <w:t>”</w:t>
      </w:r>
      <w:r w:rsidRPr="00A20CC0">
        <w:rPr>
          <w:sz w:val="16"/>
          <w:szCs w:val="16"/>
        </w:rPr>
        <w:t xml:space="preserve"> </w:t>
      </w:r>
      <w:r w:rsidR="00F33593">
        <w:rPr>
          <w:sz w:val="16"/>
          <w:szCs w:val="16"/>
        </w:rPr>
        <w:t xml:space="preserve">or “costs absorbed by the bidder” </w:t>
      </w:r>
      <w:r w:rsidRPr="00A20CC0">
        <w:rPr>
          <w:sz w:val="16"/>
          <w:szCs w:val="16"/>
        </w:rPr>
        <w:t xml:space="preserve">in this report, the Panel </w:t>
      </w:r>
      <w:r w:rsidR="00C26C78" w:rsidRPr="00A20CC0">
        <w:rPr>
          <w:sz w:val="16"/>
          <w:szCs w:val="16"/>
        </w:rPr>
        <w:t xml:space="preserve">is referring to </w:t>
      </w:r>
      <w:r w:rsidR="000A03BF">
        <w:rPr>
          <w:sz w:val="16"/>
          <w:szCs w:val="16"/>
        </w:rPr>
        <w:t>a</w:t>
      </w:r>
      <w:r w:rsidR="00C26C78" w:rsidRPr="00A20CC0">
        <w:rPr>
          <w:sz w:val="16"/>
          <w:szCs w:val="16"/>
        </w:rPr>
        <w:t xml:space="preserve"> bidder using resources external to contractual revenues to </w:t>
      </w:r>
      <w:r w:rsidR="00AE6515" w:rsidRPr="00A20CC0">
        <w:rPr>
          <w:sz w:val="16"/>
          <w:szCs w:val="16"/>
        </w:rPr>
        <w:t xml:space="preserve">assist in covering the cost of service delivery. </w:t>
      </w:r>
      <w:r w:rsidR="00C82BBF" w:rsidRPr="00A20CC0">
        <w:rPr>
          <w:sz w:val="16"/>
          <w:szCs w:val="16"/>
        </w:rPr>
        <w:t>MSE ICB and bidders have also described this as an “investment”</w:t>
      </w:r>
      <w:r w:rsidR="00A20CC0">
        <w:rPr>
          <w:sz w:val="16"/>
          <w:szCs w:val="16"/>
        </w:rPr>
        <w:t xml:space="preserve"> by bidders</w:t>
      </w:r>
      <w:r w:rsidR="00230FBF">
        <w:rPr>
          <w:sz w:val="16"/>
          <w:szCs w:val="16"/>
        </w:rPr>
        <w:t xml:space="preserve"> (see footnote </w:t>
      </w:r>
      <w:r w:rsidR="006B35C5">
        <w:rPr>
          <w:sz w:val="16"/>
          <w:szCs w:val="16"/>
        </w:rPr>
        <w:fldChar w:fldCharType="begin"/>
      </w:r>
      <w:r w:rsidR="006B35C5">
        <w:rPr>
          <w:sz w:val="16"/>
          <w:szCs w:val="16"/>
        </w:rPr>
        <w:instrText xml:space="preserve"> NOTEREF _Ref208917600 \h </w:instrText>
      </w:r>
      <w:r w:rsidR="006B35C5">
        <w:rPr>
          <w:sz w:val="16"/>
          <w:szCs w:val="16"/>
        </w:rPr>
      </w:r>
      <w:r w:rsidR="006B35C5">
        <w:rPr>
          <w:sz w:val="16"/>
          <w:szCs w:val="16"/>
        </w:rPr>
        <w:fldChar w:fldCharType="separate"/>
      </w:r>
      <w:r w:rsidR="00437D90">
        <w:rPr>
          <w:sz w:val="16"/>
          <w:szCs w:val="16"/>
        </w:rPr>
        <w:t>38</w:t>
      </w:r>
      <w:r w:rsidR="006B35C5">
        <w:rPr>
          <w:sz w:val="16"/>
          <w:szCs w:val="16"/>
        </w:rPr>
        <w:fldChar w:fldCharType="end"/>
      </w:r>
      <w:r w:rsidR="00230FBF">
        <w:rPr>
          <w:sz w:val="16"/>
          <w:szCs w:val="16"/>
        </w:rPr>
        <w:t>)</w:t>
      </w:r>
      <w:r w:rsidR="00C82BBF" w:rsidRPr="00A20CC0">
        <w:rPr>
          <w:sz w:val="16"/>
          <w:szCs w:val="16"/>
        </w:rPr>
        <w:t>.</w:t>
      </w:r>
    </w:p>
  </w:footnote>
  <w:footnote w:id="28">
    <w:p w14:paraId="6BEF9C84" w14:textId="77777777" w:rsidR="00B8305C" w:rsidRPr="006A5CD5" w:rsidRDefault="00B8305C" w:rsidP="00B8305C">
      <w:pPr>
        <w:pStyle w:val="FootnoteText"/>
        <w:rPr>
          <w:sz w:val="16"/>
          <w:szCs w:val="16"/>
        </w:rPr>
      </w:pPr>
      <w:r w:rsidRPr="006A5CD5">
        <w:rPr>
          <w:rStyle w:val="FootnoteReference"/>
          <w:sz w:val="16"/>
          <w:szCs w:val="16"/>
        </w:rPr>
        <w:footnoteRef/>
      </w:r>
      <w:r w:rsidRPr="006A5CD5">
        <w:rPr>
          <w:sz w:val="16"/>
          <w:szCs w:val="16"/>
        </w:rPr>
        <w:t xml:space="preserve"> Panel meeting with MPFT, 24 July 2025.</w:t>
      </w:r>
    </w:p>
  </w:footnote>
  <w:footnote w:id="29">
    <w:p w14:paraId="6254682A" w14:textId="77777777" w:rsidR="00B8305C" w:rsidRPr="003B5B6D" w:rsidRDefault="00B8305C" w:rsidP="00B8305C">
      <w:pPr>
        <w:pStyle w:val="FootnoteText"/>
        <w:rPr>
          <w:sz w:val="16"/>
          <w:szCs w:val="16"/>
        </w:rPr>
      </w:pPr>
      <w:r w:rsidRPr="003B5B6D">
        <w:rPr>
          <w:rStyle w:val="FootnoteReference"/>
          <w:sz w:val="16"/>
          <w:szCs w:val="16"/>
        </w:rPr>
        <w:footnoteRef/>
      </w:r>
      <w:r w:rsidRPr="003B5B6D">
        <w:rPr>
          <w:sz w:val="16"/>
          <w:szCs w:val="16"/>
        </w:rPr>
        <w:t xml:space="preserve"> Panel meeting with EPUT, 24 July 2025.</w:t>
      </w:r>
    </w:p>
  </w:footnote>
  <w:footnote w:id="30">
    <w:p w14:paraId="5B2D08F8" w14:textId="77777777" w:rsidR="00B8305C" w:rsidRPr="00711E05" w:rsidRDefault="00B8305C" w:rsidP="00B8305C">
      <w:pPr>
        <w:pStyle w:val="FootnoteText"/>
        <w:rPr>
          <w:sz w:val="16"/>
          <w:szCs w:val="16"/>
        </w:rPr>
      </w:pPr>
      <w:r w:rsidRPr="00711E05">
        <w:rPr>
          <w:rStyle w:val="FootnoteReference"/>
          <w:sz w:val="16"/>
          <w:szCs w:val="16"/>
        </w:rPr>
        <w:footnoteRef/>
      </w:r>
      <w:r w:rsidRPr="00711E05">
        <w:rPr>
          <w:sz w:val="16"/>
          <w:szCs w:val="16"/>
        </w:rPr>
        <w:t xml:space="preserve"> MSE ICB, </w:t>
      </w:r>
      <w:r w:rsidRPr="00711E05">
        <w:rPr>
          <w:i/>
          <w:sz w:val="16"/>
          <w:szCs w:val="16"/>
        </w:rPr>
        <w:t>Representations Report to MPFT,</w:t>
      </w:r>
      <w:r w:rsidRPr="00711E05">
        <w:rPr>
          <w:sz w:val="16"/>
          <w:szCs w:val="16"/>
        </w:rPr>
        <w:t xml:space="preserve"> 20 June 2025.</w:t>
      </w:r>
    </w:p>
  </w:footnote>
  <w:footnote w:id="31">
    <w:p w14:paraId="69BDF9A4" w14:textId="77777777" w:rsidR="00B8305C" w:rsidRPr="00711E05" w:rsidRDefault="00B8305C" w:rsidP="00B8305C">
      <w:pPr>
        <w:pStyle w:val="FootnoteText"/>
        <w:rPr>
          <w:sz w:val="16"/>
          <w:szCs w:val="16"/>
        </w:rPr>
      </w:pPr>
      <w:r w:rsidRPr="00711E05">
        <w:rPr>
          <w:rStyle w:val="FootnoteReference"/>
          <w:sz w:val="16"/>
          <w:szCs w:val="16"/>
        </w:rPr>
        <w:footnoteRef/>
      </w:r>
      <w:r w:rsidRPr="00711E05">
        <w:rPr>
          <w:sz w:val="16"/>
          <w:szCs w:val="16"/>
        </w:rPr>
        <w:t xml:space="preserve"> EPUT, </w:t>
      </w:r>
      <w:r w:rsidRPr="00711E05">
        <w:rPr>
          <w:i/>
          <w:sz w:val="16"/>
          <w:szCs w:val="16"/>
        </w:rPr>
        <w:t>Representations to MSE ICB</w:t>
      </w:r>
      <w:r w:rsidRPr="00711E05">
        <w:rPr>
          <w:sz w:val="16"/>
          <w:szCs w:val="16"/>
        </w:rPr>
        <w:t>, 20 May 2025.</w:t>
      </w:r>
    </w:p>
  </w:footnote>
  <w:footnote w:id="32">
    <w:p w14:paraId="381F09D5" w14:textId="77777777" w:rsidR="00B8305C" w:rsidRPr="00EA367E" w:rsidRDefault="00B8305C" w:rsidP="00B8305C">
      <w:pPr>
        <w:pStyle w:val="FootnoteText"/>
        <w:rPr>
          <w:sz w:val="16"/>
          <w:szCs w:val="16"/>
        </w:rPr>
      </w:pPr>
      <w:r w:rsidRPr="00EA367E">
        <w:rPr>
          <w:rStyle w:val="FootnoteReference"/>
          <w:sz w:val="16"/>
          <w:szCs w:val="16"/>
        </w:rPr>
        <w:footnoteRef/>
      </w:r>
      <w:r w:rsidRPr="00EA367E">
        <w:rPr>
          <w:sz w:val="16"/>
          <w:szCs w:val="16"/>
        </w:rPr>
        <w:t xml:space="preserve"> </w:t>
      </w:r>
      <w:r>
        <w:rPr>
          <w:sz w:val="16"/>
          <w:szCs w:val="16"/>
        </w:rPr>
        <w:t>Panel meeting with EPUT, 24 July 2025.</w:t>
      </w:r>
    </w:p>
  </w:footnote>
  <w:footnote w:id="33">
    <w:p w14:paraId="40067C27" w14:textId="08942E87" w:rsidR="00F3799C" w:rsidRPr="00F3799C" w:rsidRDefault="00F3799C">
      <w:pPr>
        <w:pStyle w:val="FootnoteText"/>
        <w:rPr>
          <w:sz w:val="16"/>
          <w:szCs w:val="16"/>
        </w:rPr>
      </w:pPr>
      <w:r w:rsidRPr="00F3799C">
        <w:rPr>
          <w:rStyle w:val="FootnoteReference"/>
          <w:sz w:val="16"/>
          <w:szCs w:val="16"/>
        </w:rPr>
        <w:footnoteRef/>
      </w:r>
      <w:r w:rsidRPr="00F3799C">
        <w:rPr>
          <w:sz w:val="16"/>
          <w:szCs w:val="16"/>
        </w:rPr>
        <w:t xml:space="preserve"> </w:t>
      </w:r>
      <w:r w:rsidR="002906D2">
        <w:rPr>
          <w:sz w:val="16"/>
          <w:szCs w:val="16"/>
        </w:rPr>
        <w:t>MSE ICB,</w:t>
      </w:r>
      <w:r w:rsidRPr="00F3799C">
        <w:rPr>
          <w:sz w:val="16"/>
          <w:szCs w:val="16"/>
        </w:rPr>
        <w:t xml:space="preserve"> </w:t>
      </w:r>
      <w:r w:rsidR="00603BC9" w:rsidRPr="002D2D52">
        <w:rPr>
          <w:i/>
          <w:sz w:val="16"/>
          <w:szCs w:val="16"/>
        </w:rPr>
        <w:t>Competitive Process Overview</w:t>
      </w:r>
      <w:r w:rsidR="002906D2" w:rsidRPr="002D2D52">
        <w:rPr>
          <w:i/>
          <w:sz w:val="16"/>
          <w:szCs w:val="16"/>
        </w:rPr>
        <w:t xml:space="preserve"> Mental Health Core Services</w:t>
      </w:r>
      <w:r w:rsidR="006F29B6">
        <w:rPr>
          <w:sz w:val="16"/>
          <w:szCs w:val="16"/>
        </w:rPr>
        <w:t xml:space="preserve">, </w:t>
      </w:r>
      <w:r w:rsidR="00C86A2C">
        <w:rPr>
          <w:sz w:val="16"/>
          <w:szCs w:val="16"/>
        </w:rPr>
        <w:t>3</w:t>
      </w:r>
      <w:r w:rsidR="00347D33">
        <w:rPr>
          <w:sz w:val="16"/>
          <w:szCs w:val="16"/>
        </w:rPr>
        <w:t xml:space="preserve"> </w:t>
      </w:r>
      <w:r w:rsidR="0091696D">
        <w:rPr>
          <w:sz w:val="16"/>
          <w:szCs w:val="16"/>
        </w:rPr>
        <w:t>March 2025.</w:t>
      </w:r>
    </w:p>
  </w:footnote>
  <w:footnote w:id="34">
    <w:p w14:paraId="3DA2713B" w14:textId="0292C298" w:rsidR="0028351A" w:rsidRPr="005B332B" w:rsidRDefault="0028351A" w:rsidP="0028351A">
      <w:pPr>
        <w:pStyle w:val="FootnoteText"/>
        <w:rPr>
          <w:sz w:val="16"/>
          <w:szCs w:val="16"/>
        </w:rPr>
      </w:pPr>
      <w:r w:rsidRPr="005B332B">
        <w:rPr>
          <w:rStyle w:val="FootnoteReference"/>
          <w:sz w:val="16"/>
          <w:szCs w:val="16"/>
        </w:rPr>
        <w:footnoteRef/>
      </w:r>
      <w:r w:rsidRPr="005B332B">
        <w:rPr>
          <w:sz w:val="16"/>
          <w:szCs w:val="16"/>
        </w:rPr>
        <w:t xml:space="preserve"> MSE ICB, </w:t>
      </w:r>
      <w:r w:rsidRPr="005B332B">
        <w:rPr>
          <w:i/>
          <w:sz w:val="16"/>
          <w:szCs w:val="16"/>
        </w:rPr>
        <w:t>Commercial Offer Template v2</w:t>
      </w:r>
      <w:r w:rsidRPr="005B332B">
        <w:rPr>
          <w:sz w:val="16"/>
          <w:szCs w:val="16"/>
        </w:rPr>
        <w:t xml:space="preserve">, 10 March 2025. </w:t>
      </w:r>
      <w:r w:rsidR="00BF0ECE" w:rsidRPr="00BF0ECE">
        <w:rPr>
          <w:sz w:val="16"/>
          <w:szCs w:val="16"/>
        </w:rPr>
        <w:t xml:space="preserve">The FMT’s “Instructions for Use” worksheet was supplemented with further instructions in the three worksheets bidders had to complete. In the ‘Financial Summary’ worksheet in relation to Set-up/mobilisation costs, bidders were told that they “should enter the total value of all set-up/mobilisation costs (excl. premises &amp; equipment” (MSE ICB, </w:t>
      </w:r>
      <w:r w:rsidR="00BF0ECE" w:rsidRPr="00BF0ECE">
        <w:rPr>
          <w:i/>
          <w:sz w:val="16"/>
          <w:szCs w:val="16"/>
        </w:rPr>
        <w:t>Commercial Offer Template v2</w:t>
      </w:r>
      <w:r w:rsidR="00BF0ECE" w:rsidRPr="00BF0ECE">
        <w:rPr>
          <w:sz w:val="16"/>
          <w:szCs w:val="16"/>
        </w:rPr>
        <w:t>, 10 March 2025).</w:t>
      </w:r>
    </w:p>
  </w:footnote>
  <w:footnote w:id="35">
    <w:p w14:paraId="60DCC99B" w14:textId="02D97A7E" w:rsidR="0028171D" w:rsidRPr="00525EE1" w:rsidRDefault="0028171D">
      <w:pPr>
        <w:pStyle w:val="FootnoteText"/>
        <w:rPr>
          <w:sz w:val="16"/>
          <w:szCs w:val="16"/>
        </w:rPr>
      </w:pPr>
      <w:r w:rsidRPr="00525EE1">
        <w:rPr>
          <w:rStyle w:val="FootnoteReference"/>
          <w:sz w:val="16"/>
          <w:szCs w:val="16"/>
        </w:rPr>
        <w:footnoteRef/>
      </w:r>
      <w:r w:rsidRPr="00525EE1">
        <w:rPr>
          <w:sz w:val="16"/>
          <w:szCs w:val="16"/>
        </w:rPr>
        <w:t xml:space="preserve"> </w:t>
      </w:r>
      <w:r w:rsidR="00A95FE7" w:rsidRPr="00525EE1">
        <w:rPr>
          <w:sz w:val="16"/>
          <w:szCs w:val="16"/>
        </w:rPr>
        <w:t>MSE ICB,</w:t>
      </w:r>
      <w:r w:rsidR="00ED6AA4">
        <w:rPr>
          <w:sz w:val="16"/>
          <w:szCs w:val="16"/>
        </w:rPr>
        <w:t xml:space="preserve"> </w:t>
      </w:r>
      <w:r w:rsidR="00145260" w:rsidRPr="00D6616D">
        <w:rPr>
          <w:i/>
          <w:sz w:val="16"/>
          <w:szCs w:val="16"/>
        </w:rPr>
        <w:t>Mental Health Core Services</w:t>
      </w:r>
      <w:r w:rsidR="00ED6AA4" w:rsidRPr="00D6616D">
        <w:rPr>
          <w:i/>
          <w:sz w:val="16"/>
          <w:szCs w:val="16"/>
        </w:rPr>
        <w:t xml:space="preserve"> Review Panel </w:t>
      </w:r>
      <w:r w:rsidR="00145260" w:rsidRPr="00D6616D">
        <w:rPr>
          <w:i/>
          <w:sz w:val="16"/>
          <w:szCs w:val="16"/>
        </w:rPr>
        <w:t>Detailed Overview</w:t>
      </w:r>
      <w:r w:rsidR="0093153C">
        <w:rPr>
          <w:sz w:val="16"/>
          <w:szCs w:val="16"/>
        </w:rPr>
        <w:t>, 27 May 2025.</w:t>
      </w:r>
    </w:p>
  </w:footnote>
  <w:footnote w:id="36">
    <w:p w14:paraId="7047F343" w14:textId="485CF2BF" w:rsidR="00D358E6" w:rsidRPr="003E003D" w:rsidRDefault="00D358E6">
      <w:pPr>
        <w:pStyle w:val="FootnoteText"/>
        <w:rPr>
          <w:sz w:val="16"/>
          <w:szCs w:val="16"/>
        </w:rPr>
      </w:pPr>
      <w:r w:rsidRPr="00CB1FBD">
        <w:rPr>
          <w:rStyle w:val="FootnoteReference"/>
          <w:sz w:val="16"/>
          <w:szCs w:val="16"/>
        </w:rPr>
        <w:footnoteRef/>
      </w:r>
      <w:r w:rsidRPr="00CB1FBD">
        <w:rPr>
          <w:sz w:val="16"/>
          <w:szCs w:val="16"/>
        </w:rPr>
        <w:t xml:space="preserve"> </w:t>
      </w:r>
      <w:r w:rsidR="00D824DE" w:rsidRPr="00CB1FBD">
        <w:rPr>
          <w:sz w:val="16"/>
          <w:szCs w:val="16"/>
        </w:rPr>
        <w:t xml:space="preserve">EPUT </w:t>
      </w:r>
      <w:r w:rsidR="00D062AB" w:rsidRPr="00CB1FBD">
        <w:rPr>
          <w:sz w:val="16"/>
          <w:szCs w:val="16"/>
        </w:rPr>
        <w:t xml:space="preserve">has separately provided figures to </w:t>
      </w:r>
      <w:r w:rsidR="00D824DE" w:rsidRPr="00CB1FBD">
        <w:rPr>
          <w:sz w:val="16"/>
          <w:szCs w:val="16"/>
        </w:rPr>
        <w:t>the Panel that estimate</w:t>
      </w:r>
      <w:r w:rsidR="005D2AAA" w:rsidRPr="00CB1FBD">
        <w:rPr>
          <w:sz w:val="16"/>
          <w:szCs w:val="16"/>
        </w:rPr>
        <w:t xml:space="preserve"> the total cost of staff eligible for TUPE </w:t>
      </w:r>
      <w:r w:rsidR="004D35FB" w:rsidRPr="00CB1FBD">
        <w:rPr>
          <w:sz w:val="16"/>
          <w:szCs w:val="16"/>
        </w:rPr>
        <w:t>t</w:t>
      </w:r>
      <w:r w:rsidR="00CD20CB" w:rsidRPr="00CB1FBD">
        <w:rPr>
          <w:sz w:val="16"/>
          <w:szCs w:val="16"/>
        </w:rPr>
        <w:t xml:space="preserve">o be </w:t>
      </w:r>
      <w:r w:rsidR="002A5310" w:rsidRPr="00CB1FBD">
        <w:rPr>
          <w:sz w:val="16"/>
          <w:szCs w:val="16"/>
        </w:rPr>
        <w:t>£3.9</w:t>
      </w:r>
      <w:r w:rsidR="00D55A8B" w:rsidRPr="00CB1FBD">
        <w:rPr>
          <w:sz w:val="16"/>
          <w:szCs w:val="16"/>
        </w:rPr>
        <w:t xml:space="preserve"> million in excess of the </w:t>
      </w:r>
      <w:r w:rsidR="00A53E93">
        <w:rPr>
          <w:sz w:val="16"/>
          <w:szCs w:val="16"/>
        </w:rPr>
        <w:t xml:space="preserve">ICB’s </w:t>
      </w:r>
      <w:r w:rsidR="00134166">
        <w:rPr>
          <w:sz w:val="16"/>
          <w:szCs w:val="16"/>
        </w:rPr>
        <w:t xml:space="preserve">Year 1 </w:t>
      </w:r>
      <w:r w:rsidR="00A53E93">
        <w:rPr>
          <w:sz w:val="16"/>
          <w:szCs w:val="16"/>
        </w:rPr>
        <w:t xml:space="preserve">forecasted </w:t>
      </w:r>
      <w:r w:rsidR="00483CF7">
        <w:rPr>
          <w:sz w:val="16"/>
          <w:szCs w:val="16"/>
        </w:rPr>
        <w:t>contract value</w:t>
      </w:r>
      <w:r w:rsidR="00AD4B46" w:rsidRPr="003E003D">
        <w:rPr>
          <w:sz w:val="16"/>
          <w:szCs w:val="16"/>
        </w:rPr>
        <w:t>.</w:t>
      </w:r>
    </w:p>
  </w:footnote>
  <w:footnote w:id="37">
    <w:p w14:paraId="594A526B" w14:textId="77777777" w:rsidR="00563F24" w:rsidRPr="00523C92" w:rsidRDefault="00563F24" w:rsidP="00563F24">
      <w:pPr>
        <w:pStyle w:val="FootnoteText"/>
        <w:rPr>
          <w:sz w:val="16"/>
          <w:szCs w:val="16"/>
        </w:rPr>
      </w:pPr>
      <w:r w:rsidRPr="00523C92">
        <w:rPr>
          <w:rStyle w:val="FootnoteReference"/>
          <w:sz w:val="16"/>
          <w:szCs w:val="16"/>
        </w:rPr>
        <w:footnoteRef/>
      </w:r>
      <w:r w:rsidRPr="00523C92">
        <w:rPr>
          <w:sz w:val="16"/>
          <w:szCs w:val="16"/>
        </w:rPr>
        <w:t xml:space="preserve"> MSE ICB, </w:t>
      </w:r>
      <w:r w:rsidRPr="00523C92">
        <w:rPr>
          <w:i/>
          <w:iCs/>
          <w:sz w:val="16"/>
          <w:szCs w:val="16"/>
        </w:rPr>
        <w:t>Independent Review Panel as required under the Health Care Services (Provider Selection Regime) Regulations 2023 of the Representations received before midnight 20</w:t>
      </w:r>
      <w:r w:rsidRPr="00523C92">
        <w:rPr>
          <w:i/>
          <w:iCs/>
          <w:sz w:val="16"/>
          <w:szCs w:val="16"/>
          <w:vertAlign w:val="superscript"/>
        </w:rPr>
        <w:t>th</w:t>
      </w:r>
      <w:r w:rsidRPr="00523C92">
        <w:rPr>
          <w:i/>
          <w:iCs/>
          <w:sz w:val="16"/>
          <w:szCs w:val="16"/>
        </w:rPr>
        <w:t xml:space="preserve"> May 2025</w:t>
      </w:r>
      <w:r w:rsidRPr="00523C92">
        <w:rPr>
          <w:sz w:val="16"/>
          <w:szCs w:val="16"/>
        </w:rPr>
        <w:t>, 27 May 2025, p.10.</w:t>
      </w:r>
    </w:p>
  </w:footnote>
  <w:footnote w:id="38">
    <w:p w14:paraId="5F099167" w14:textId="0860DA06" w:rsidR="00B34FEA" w:rsidRPr="004353F1" w:rsidRDefault="00B34FEA">
      <w:pPr>
        <w:pStyle w:val="FootnoteText"/>
        <w:rPr>
          <w:sz w:val="16"/>
          <w:szCs w:val="16"/>
        </w:rPr>
      </w:pPr>
      <w:r w:rsidRPr="004353F1">
        <w:rPr>
          <w:rStyle w:val="FootnoteReference"/>
          <w:sz w:val="16"/>
          <w:szCs w:val="16"/>
        </w:rPr>
        <w:footnoteRef/>
      </w:r>
      <w:r w:rsidRPr="004353F1">
        <w:rPr>
          <w:sz w:val="16"/>
          <w:szCs w:val="16"/>
        </w:rPr>
        <w:t xml:space="preserve"> The Panel notes that the term “investment” is used by both bidders and MSE ICB to describe costs that would be borne (i.e. absorbed) by the provider, rather than being covered by contractual payments. The Panel notes that this can be a somewhat confusing term in that the costs being borne by a provider are not a capital investment.</w:t>
      </w:r>
    </w:p>
  </w:footnote>
  <w:footnote w:id="39">
    <w:p w14:paraId="1F4803A5" w14:textId="29A038DE" w:rsidR="003C16CB" w:rsidRPr="00F2206C" w:rsidRDefault="003C16CB" w:rsidP="003C16CB">
      <w:pPr>
        <w:pStyle w:val="FootnoteText"/>
        <w:rPr>
          <w:sz w:val="16"/>
          <w:szCs w:val="16"/>
          <w:lang w:val="fr-FR"/>
        </w:rPr>
      </w:pPr>
      <w:r w:rsidRPr="00EA367E">
        <w:rPr>
          <w:rStyle w:val="FootnoteReference"/>
          <w:sz w:val="16"/>
          <w:szCs w:val="16"/>
        </w:rPr>
        <w:footnoteRef/>
      </w:r>
      <w:r w:rsidRPr="00F2206C">
        <w:rPr>
          <w:sz w:val="16"/>
          <w:szCs w:val="16"/>
          <w:lang w:val="fr-FR"/>
        </w:rPr>
        <w:t xml:space="preserve"> </w:t>
      </w:r>
      <w:r w:rsidR="00B01A09" w:rsidRPr="00F2206C">
        <w:rPr>
          <w:sz w:val="16"/>
          <w:szCs w:val="16"/>
          <w:lang w:val="fr-FR"/>
        </w:rPr>
        <w:t xml:space="preserve">MSE ICB, </w:t>
      </w:r>
      <w:r w:rsidR="00B01A09" w:rsidRPr="00F2206C">
        <w:rPr>
          <w:i/>
          <w:iCs/>
          <w:sz w:val="16"/>
          <w:szCs w:val="16"/>
          <w:lang w:val="fr-FR"/>
        </w:rPr>
        <w:t xml:space="preserve">Clarification </w:t>
      </w:r>
      <w:r w:rsidR="001740B0" w:rsidRPr="00F2206C">
        <w:rPr>
          <w:i/>
          <w:iCs/>
          <w:sz w:val="16"/>
          <w:szCs w:val="16"/>
          <w:lang w:val="fr-FR"/>
        </w:rPr>
        <w:t xml:space="preserve">Questions </w:t>
      </w:r>
      <w:r w:rsidR="00B01A09" w:rsidRPr="00F2206C">
        <w:rPr>
          <w:i/>
          <w:iCs/>
          <w:sz w:val="16"/>
          <w:szCs w:val="16"/>
          <w:lang w:val="fr-FR"/>
        </w:rPr>
        <w:t>Log v</w:t>
      </w:r>
      <w:r w:rsidR="001740B0" w:rsidRPr="00F2206C">
        <w:rPr>
          <w:i/>
          <w:iCs/>
          <w:sz w:val="16"/>
          <w:szCs w:val="16"/>
          <w:lang w:val="fr-FR"/>
        </w:rPr>
        <w:t xml:space="preserve">ersion </w:t>
      </w:r>
      <w:r w:rsidR="00B01A09" w:rsidRPr="00F2206C">
        <w:rPr>
          <w:i/>
          <w:iCs/>
          <w:sz w:val="16"/>
          <w:szCs w:val="16"/>
          <w:lang w:val="fr-FR"/>
        </w:rPr>
        <w:t>5</w:t>
      </w:r>
      <w:r w:rsidR="00B01A09" w:rsidRPr="00F2206C">
        <w:rPr>
          <w:sz w:val="16"/>
          <w:szCs w:val="16"/>
          <w:lang w:val="fr-FR"/>
        </w:rPr>
        <w:t>,</w:t>
      </w:r>
      <w:r w:rsidR="0077653A">
        <w:rPr>
          <w:sz w:val="16"/>
          <w:szCs w:val="16"/>
          <w:lang w:val="fr-FR"/>
        </w:rPr>
        <w:t xml:space="preserve"> </w:t>
      </w:r>
      <w:r w:rsidR="00B01A09" w:rsidRPr="00F2206C">
        <w:rPr>
          <w:sz w:val="16"/>
          <w:szCs w:val="16"/>
          <w:lang w:val="fr-FR"/>
        </w:rPr>
        <w:t>1 April 2025.</w:t>
      </w:r>
    </w:p>
  </w:footnote>
  <w:footnote w:id="40">
    <w:p w14:paraId="0998743E" w14:textId="77777777" w:rsidR="00216304" w:rsidRPr="00D11CC6" w:rsidRDefault="00216304" w:rsidP="00216304">
      <w:pPr>
        <w:pStyle w:val="FootnoteText"/>
        <w:rPr>
          <w:sz w:val="16"/>
          <w:szCs w:val="16"/>
        </w:rPr>
      </w:pPr>
      <w:r w:rsidRPr="00D11CC6">
        <w:rPr>
          <w:rStyle w:val="FootnoteReference"/>
          <w:sz w:val="16"/>
          <w:szCs w:val="16"/>
        </w:rPr>
        <w:footnoteRef/>
      </w:r>
      <w:r w:rsidRPr="00D11CC6">
        <w:rPr>
          <w:sz w:val="16"/>
          <w:szCs w:val="16"/>
        </w:rPr>
        <w:t xml:space="preserve"> MSE ICB</w:t>
      </w:r>
      <w:r w:rsidRPr="00D11CC6">
        <w:rPr>
          <w:i/>
          <w:iCs/>
          <w:sz w:val="16"/>
          <w:szCs w:val="16"/>
        </w:rPr>
        <w:t>, Competitive Process Overview Mental Health Core Services</w:t>
      </w:r>
      <w:r w:rsidRPr="00D11CC6">
        <w:rPr>
          <w:sz w:val="16"/>
          <w:szCs w:val="16"/>
        </w:rPr>
        <w:t>, 3 March 2025.</w:t>
      </w:r>
    </w:p>
  </w:footnote>
  <w:footnote w:id="41">
    <w:p w14:paraId="73BD93A4" w14:textId="77777777" w:rsidR="00566437" w:rsidRPr="00BB751B" w:rsidRDefault="00566437" w:rsidP="00566437">
      <w:pPr>
        <w:pStyle w:val="FootnoteText"/>
        <w:rPr>
          <w:sz w:val="16"/>
          <w:szCs w:val="16"/>
        </w:rPr>
      </w:pPr>
      <w:r w:rsidRPr="00BB751B">
        <w:rPr>
          <w:rStyle w:val="FootnoteReference"/>
          <w:sz w:val="16"/>
          <w:szCs w:val="16"/>
        </w:rPr>
        <w:footnoteRef/>
      </w:r>
      <w:r w:rsidRPr="00BB751B">
        <w:rPr>
          <w:sz w:val="16"/>
          <w:szCs w:val="16"/>
        </w:rPr>
        <w:t xml:space="preserve"> PSR statutory guidance, February 2024, pp.55-56.</w:t>
      </w:r>
      <w:r>
        <w:rPr>
          <w:sz w:val="16"/>
          <w:szCs w:val="16"/>
        </w:rPr>
        <w:t xml:space="preserve"> These provisions have been carried forward into the April 2025 version of the statutory guidance, where they are set out on pages 27-28.</w:t>
      </w:r>
    </w:p>
  </w:footnote>
  <w:footnote w:id="42">
    <w:p w14:paraId="4F87F6F5" w14:textId="77777777" w:rsidR="004948EC" w:rsidRPr="00C95B34" w:rsidRDefault="004948EC" w:rsidP="004948EC">
      <w:pPr>
        <w:pStyle w:val="FootnoteText"/>
        <w:rPr>
          <w:sz w:val="16"/>
          <w:szCs w:val="16"/>
        </w:rPr>
      </w:pPr>
      <w:r w:rsidRPr="00C95B34">
        <w:rPr>
          <w:rStyle w:val="FootnoteReference"/>
          <w:sz w:val="16"/>
          <w:szCs w:val="16"/>
        </w:rPr>
        <w:footnoteRef/>
      </w:r>
      <w:r w:rsidRPr="00C95B34">
        <w:rPr>
          <w:sz w:val="16"/>
          <w:szCs w:val="16"/>
        </w:rPr>
        <w:t xml:space="preserve"> </w:t>
      </w:r>
      <w:r>
        <w:rPr>
          <w:sz w:val="16"/>
          <w:szCs w:val="16"/>
        </w:rPr>
        <w:t>Panel meeting with MPFT, 24 July 2025.</w:t>
      </w:r>
    </w:p>
  </w:footnote>
  <w:footnote w:id="43">
    <w:p w14:paraId="2E19EAE0" w14:textId="77777777" w:rsidR="004948EC" w:rsidRPr="00C95B34" w:rsidRDefault="004948EC" w:rsidP="004948EC">
      <w:pPr>
        <w:pStyle w:val="FootnoteText"/>
        <w:rPr>
          <w:sz w:val="16"/>
          <w:szCs w:val="16"/>
        </w:rPr>
      </w:pPr>
      <w:r w:rsidRPr="00C95B34">
        <w:rPr>
          <w:rStyle w:val="FootnoteReference"/>
          <w:sz w:val="16"/>
          <w:szCs w:val="16"/>
        </w:rPr>
        <w:footnoteRef/>
      </w:r>
      <w:r w:rsidRPr="00C95B34">
        <w:rPr>
          <w:sz w:val="16"/>
          <w:szCs w:val="16"/>
        </w:rPr>
        <w:t xml:space="preserve"> </w:t>
      </w:r>
      <w:r>
        <w:rPr>
          <w:sz w:val="16"/>
          <w:szCs w:val="16"/>
        </w:rPr>
        <w:t>Panel meeting with EPUT, 24 July 2025.</w:t>
      </w:r>
    </w:p>
  </w:footnote>
  <w:footnote w:id="44">
    <w:p w14:paraId="0D8B986C" w14:textId="40EA7046" w:rsidR="00B85F4E" w:rsidRPr="00A01DBE" w:rsidRDefault="00B85F4E" w:rsidP="00B85F4E">
      <w:pPr>
        <w:pStyle w:val="FootnoteText"/>
        <w:rPr>
          <w:sz w:val="16"/>
          <w:szCs w:val="16"/>
        </w:rPr>
      </w:pPr>
      <w:r w:rsidRPr="00A01DBE">
        <w:rPr>
          <w:rStyle w:val="FootnoteReference"/>
          <w:sz w:val="16"/>
          <w:szCs w:val="16"/>
        </w:rPr>
        <w:footnoteRef/>
      </w:r>
      <w:r w:rsidRPr="00A01DBE">
        <w:rPr>
          <w:sz w:val="16"/>
          <w:szCs w:val="16"/>
        </w:rPr>
        <w:t xml:space="preserve"> </w:t>
      </w:r>
      <w:r w:rsidR="00C62B2D">
        <w:rPr>
          <w:sz w:val="16"/>
          <w:szCs w:val="16"/>
        </w:rPr>
        <w:t xml:space="preserve">MSE ICB, </w:t>
      </w:r>
      <w:r w:rsidR="00575330">
        <w:rPr>
          <w:sz w:val="16"/>
          <w:szCs w:val="16"/>
        </w:rPr>
        <w:t>Tender</w:t>
      </w:r>
      <w:r w:rsidR="00786EC3">
        <w:rPr>
          <w:sz w:val="16"/>
          <w:szCs w:val="16"/>
        </w:rPr>
        <w:t xml:space="preserve"> Conditions and Instructions,</w:t>
      </w:r>
      <w:r w:rsidR="00343537">
        <w:rPr>
          <w:sz w:val="16"/>
          <w:szCs w:val="16"/>
        </w:rPr>
        <w:t xml:space="preserve"> </w:t>
      </w:r>
      <w:r w:rsidR="00457044">
        <w:rPr>
          <w:sz w:val="16"/>
          <w:szCs w:val="16"/>
        </w:rPr>
        <w:t>4</w:t>
      </w:r>
      <w:r w:rsidR="00786EC3">
        <w:rPr>
          <w:sz w:val="16"/>
          <w:szCs w:val="16"/>
        </w:rPr>
        <w:t xml:space="preserve"> March 2025.</w:t>
      </w:r>
    </w:p>
  </w:footnote>
  <w:footnote w:id="45">
    <w:p w14:paraId="2C1A161D" w14:textId="0567E2EF" w:rsidR="00B16F85" w:rsidRPr="00B16F85" w:rsidRDefault="00B16F85">
      <w:pPr>
        <w:pStyle w:val="FootnoteText"/>
        <w:rPr>
          <w:sz w:val="16"/>
          <w:szCs w:val="16"/>
        </w:rPr>
      </w:pPr>
      <w:r w:rsidRPr="00B16F85">
        <w:rPr>
          <w:rStyle w:val="FootnoteReference"/>
          <w:sz w:val="16"/>
          <w:szCs w:val="16"/>
        </w:rPr>
        <w:footnoteRef/>
      </w:r>
      <w:r w:rsidRPr="00B16F85">
        <w:rPr>
          <w:sz w:val="16"/>
          <w:szCs w:val="16"/>
        </w:rPr>
        <w:t xml:space="preserve"> Bidders that completed and returned a TUPE Confidentiality Agreement received responses to all submitted CQs, and bidders who had not completed the confidentiality agreement received a redacted version of the log.</w:t>
      </w:r>
    </w:p>
  </w:footnote>
  <w:footnote w:id="46">
    <w:p w14:paraId="2B8E94C6" w14:textId="1C1D3565" w:rsidR="00BB5420" w:rsidRPr="00BB5420" w:rsidRDefault="00BB5420">
      <w:pPr>
        <w:pStyle w:val="FootnoteText"/>
        <w:rPr>
          <w:sz w:val="16"/>
          <w:szCs w:val="16"/>
        </w:rPr>
      </w:pPr>
      <w:r w:rsidRPr="00BB5420">
        <w:rPr>
          <w:rStyle w:val="FootnoteReference"/>
          <w:sz w:val="16"/>
          <w:szCs w:val="16"/>
        </w:rPr>
        <w:footnoteRef/>
      </w:r>
      <w:r w:rsidRPr="00BB5420">
        <w:rPr>
          <w:sz w:val="16"/>
          <w:szCs w:val="16"/>
        </w:rPr>
        <w:t xml:space="preserve"> CQ log 4 was issued at 4.34pm on 1 April 2025 and CQ log 5 was issued </w:t>
      </w:r>
      <w:r w:rsidR="00EE4226">
        <w:rPr>
          <w:sz w:val="16"/>
          <w:szCs w:val="16"/>
        </w:rPr>
        <w:t>later that day</w:t>
      </w:r>
      <w:r w:rsidRPr="00BB5420">
        <w:rPr>
          <w:sz w:val="16"/>
          <w:szCs w:val="16"/>
        </w:rPr>
        <w:t>.</w:t>
      </w:r>
    </w:p>
  </w:footnote>
  <w:footnote w:id="47">
    <w:p w14:paraId="2489D81F" w14:textId="77777777" w:rsidR="00595EE9" w:rsidRPr="00EB6721" w:rsidRDefault="00595EE9" w:rsidP="00595EE9">
      <w:pPr>
        <w:pStyle w:val="FootnoteText"/>
        <w:rPr>
          <w:sz w:val="16"/>
          <w:szCs w:val="16"/>
        </w:rPr>
      </w:pPr>
      <w:r w:rsidRPr="00D6616D">
        <w:rPr>
          <w:rStyle w:val="FootnoteReference"/>
          <w:sz w:val="16"/>
          <w:szCs w:val="16"/>
        </w:rPr>
        <w:footnoteRef/>
      </w:r>
      <w:r w:rsidRPr="00D6616D">
        <w:rPr>
          <w:sz w:val="16"/>
          <w:szCs w:val="16"/>
        </w:rPr>
        <w:t xml:space="preserve"> MSE ICB, </w:t>
      </w:r>
      <w:r w:rsidRPr="00D6616D">
        <w:rPr>
          <w:i/>
          <w:sz w:val="16"/>
          <w:szCs w:val="16"/>
        </w:rPr>
        <w:t>Representations Report to MPFT,</w:t>
      </w:r>
      <w:r w:rsidRPr="00D6616D">
        <w:rPr>
          <w:sz w:val="16"/>
          <w:szCs w:val="16"/>
        </w:rPr>
        <w:t xml:space="preserve"> 20 June 2025</w:t>
      </w:r>
      <w:r>
        <w:rPr>
          <w:sz w:val="16"/>
          <w:szCs w:val="16"/>
        </w:rPr>
        <w:t>.</w:t>
      </w:r>
    </w:p>
  </w:footnote>
  <w:footnote w:id="48">
    <w:p w14:paraId="5734D156" w14:textId="77777777" w:rsidR="00595EE9" w:rsidRPr="00530B6F" w:rsidRDefault="00595EE9" w:rsidP="00595EE9">
      <w:pPr>
        <w:pStyle w:val="FootnoteText"/>
        <w:rPr>
          <w:sz w:val="16"/>
          <w:szCs w:val="16"/>
        </w:rPr>
      </w:pPr>
      <w:r w:rsidRPr="00530B6F">
        <w:rPr>
          <w:rStyle w:val="FootnoteReference"/>
          <w:sz w:val="16"/>
          <w:szCs w:val="16"/>
        </w:rPr>
        <w:footnoteRef/>
      </w:r>
      <w:r w:rsidRPr="00530B6F">
        <w:rPr>
          <w:sz w:val="16"/>
          <w:szCs w:val="16"/>
        </w:rPr>
        <w:t xml:space="preserve"> </w:t>
      </w:r>
      <w:r w:rsidRPr="00062E71">
        <w:rPr>
          <w:sz w:val="16"/>
          <w:szCs w:val="16"/>
        </w:rPr>
        <w:t xml:space="preserve">MSE ICB, </w:t>
      </w:r>
      <w:r w:rsidRPr="00062E71">
        <w:rPr>
          <w:i/>
          <w:sz w:val="16"/>
          <w:szCs w:val="16"/>
        </w:rPr>
        <w:t>Representations Report to EPUT,</w:t>
      </w:r>
      <w:r w:rsidRPr="00062E71">
        <w:rPr>
          <w:sz w:val="16"/>
          <w:szCs w:val="16"/>
        </w:rPr>
        <w:t xml:space="preserve"> 20 June 2025</w:t>
      </w:r>
      <w:r>
        <w:rPr>
          <w:sz w:val="16"/>
          <w:szCs w:val="16"/>
        </w:rPr>
        <w:t>.</w:t>
      </w:r>
    </w:p>
  </w:footnote>
  <w:footnote w:id="49">
    <w:p w14:paraId="32FA6355" w14:textId="69DBE704" w:rsidR="00B360D9" w:rsidRPr="009825F2" w:rsidRDefault="00B360D9" w:rsidP="00B360D9">
      <w:pPr>
        <w:pStyle w:val="FootnoteText"/>
        <w:rPr>
          <w:sz w:val="16"/>
          <w:szCs w:val="16"/>
        </w:rPr>
      </w:pPr>
      <w:r w:rsidRPr="009825F2">
        <w:rPr>
          <w:rStyle w:val="FootnoteReference"/>
          <w:sz w:val="16"/>
          <w:szCs w:val="16"/>
        </w:rPr>
        <w:footnoteRef/>
      </w:r>
      <w:r w:rsidRPr="009825F2">
        <w:rPr>
          <w:sz w:val="16"/>
          <w:szCs w:val="16"/>
        </w:rPr>
        <w:t xml:space="preserve"> EPUT, </w:t>
      </w:r>
      <w:r w:rsidRPr="009825F2">
        <w:rPr>
          <w:i/>
          <w:iCs/>
          <w:sz w:val="16"/>
          <w:szCs w:val="16"/>
        </w:rPr>
        <w:t>Response to Panel questions</w:t>
      </w:r>
      <w:r w:rsidRPr="009825F2">
        <w:rPr>
          <w:sz w:val="16"/>
          <w:szCs w:val="16"/>
        </w:rPr>
        <w:t>, 6 August 2025</w:t>
      </w:r>
      <w:r w:rsidR="001D2D99">
        <w:rPr>
          <w:sz w:val="16"/>
          <w:szCs w:val="16"/>
        </w:rPr>
        <w:t>;</w:t>
      </w:r>
      <w:r w:rsidR="001D2D99" w:rsidRPr="001D2D99">
        <w:rPr>
          <w:sz w:val="16"/>
          <w:szCs w:val="16"/>
        </w:rPr>
        <w:t xml:space="preserve"> </w:t>
      </w:r>
      <w:r w:rsidR="001D2D99" w:rsidRPr="009B3306">
        <w:rPr>
          <w:sz w:val="16"/>
          <w:szCs w:val="16"/>
        </w:rPr>
        <w:t>Panel meeting with MPFT, 24 July 2025</w:t>
      </w:r>
      <w:r w:rsidR="00A46352">
        <w:rPr>
          <w:sz w:val="16"/>
          <w:szCs w:val="16"/>
        </w:rPr>
        <w:t>.</w:t>
      </w:r>
    </w:p>
  </w:footnote>
  <w:footnote w:id="50">
    <w:p w14:paraId="3828A43C" w14:textId="277E1028" w:rsidR="00203C9E" w:rsidRPr="005F1ABF" w:rsidRDefault="00203C9E">
      <w:pPr>
        <w:pStyle w:val="FootnoteText"/>
        <w:rPr>
          <w:sz w:val="16"/>
          <w:szCs w:val="16"/>
        </w:rPr>
      </w:pPr>
      <w:r w:rsidRPr="005F1ABF">
        <w:rPr>
          <w:rStyle w:val="FootnoteReference"/>
          <w:sz w:val="16"/>
          <w:szCs w:val="16"/>
        </w:rPr>
        <w:footnoteRef/>
      </w:r>
      <w:r w:rsidRPr="005F1ABF">
        <w:rPr>
          <w:sz w:val="16"/>
          <w:szCs w:val="16"/>
        </w:rPr>
        <w:t xml:space="preserve"> EPUT also raised concerns about the evaluation and scoring of its response to Question 2.16.1 (Value for Money &amp; Financial Sustainability). However, the Panel has not found it necessary to review these concerns given its findings in Section </w:t>
      </w:r>
      <w:r w:rsidR="005F1ABF" w:rsidRPr="005F1ABF">
        <w:rPr>
          <w:sz w:val="16"/>
          <w:szCs w:val="16"/>
        </w:rPr>
        <w:t>7.2.</w:t>
      </w:r>
    </w:p>
  </w:footnote>
  <w:footnote w:id="51">
    <w:p w14:paraId="7C6F8B15" w14:textId="4E44C936" w:rsidR="001F3F38" w:rsidRPr="00183510" w:rsidRDefault="001F3F38" w:rsidP="001F3F38">
      <w:pPr>
        <w:pStyle w:val="FootnoteText"/>
        <w:rPr>
          <w:sz w:val="16"/>
          <w:szCs w:val="16"/>
        </w:rPr>
      </w:pPr>
      <w:r w:rsidRPr="00183510">
        <w:rPr>
          <w:rStyle w:val="FootnoteReference"/>
          <w:sz w:val="16"/>
          <w:szCs w:val="16"/>
        </w:rPr>
        <w:footnoteRef/>
      </w:r>
      <w:r w:rsidRPr="00183510">
        <w:rPr>
          <w:sz w:val="16"/>
          <w:szCs w:val="16"/>
        </w:rPr>
        <w:t xml:space="preserve"> Attain conducted th</w:t>
      </w:r>
      <w:r>
        <w:rPr>
          <w:sz w:val="16"/>
          <w:szCs w:val="16"/>
        </w:rPr>
        <w:t>e</w:t>
      </w:r>
      <w:r w:rsidRPr="00183510">
        <w:rPr>
          <w:sz w:val="16"/>
          <w:szCs w:val="16"/>
        </w:rPr>
        <w:t xml:space="preserve"> </w:t>
      </w:r>
      <w:r w:rsidR="00304A27">
        <w:rPr>
          <w:sz w:val="16"/>
          <w:szCs w:val="16"/>
        </w:rPr>
        <w:t>c</w:t>
      </w:r>
      <w:r w:rsidRPr="00183510">
        <w:rPr>
          <w:sz w:val="16"/>
          <w:szCs w:val="16"/>
        </w:rPr>
        <w:t xml:space="preserve">ompetitive </w:t>
      </w:r>
      <w:r w:rsidR="00304A27">
        <w:rPr>
          <w:sz w:val="16"/>
          <w:szCs w:val="16"/>
        </w:rPr>
        <w:t>p</w:t>
      </w:r>
      <w:r w:rsidRPr="00183510">
        <w:rPr>
          <w:sz w:val="16"/>
          <w:szCs w:val="16"/>
        </w:rPr>
        <w:t xml:space="preserve">rocurement </w:t>
      </w:r>
      <w:r w:rsidR="00304A27">
        <w:rPr>
          <w:sz w:val="16"/>
          <w:szCs w:val="16"/>
        </w:rPr>
        <w:t>p</w:t>
      </w:r>
      <w:r w:rsidRPr="00183510">
        <w:rPr>
          <w:sz w:val="16"/>
          <w:szCs w:val="16"/>
        </w:rPr>
        <w:t>rocess as a third-party agent for and on behalf of MSE ICB.</w:t>
      </w:r>
    </w:p>
  </w:footnote>
  <w:footnote w:id="52">
    <w:p w14:paraId="5E379CE3" w14:textId="78F55023" w:rsidR="001F3F38" w:rsidRPr="00E91241" w:rsidRDefault="001F3F38" w:rsidP="001F3F38">
      <w:pPr>
        <w:pStyle w:val="FootnoteText"/>
        <w:rPr>
          <w:sz w:val="16"/>
          <w:szCs w:val="16"/>
        </w:rPr>
      </w:pPr>
      <w:r w:rsidRPr="004B50F3">
        <w:rPr>
          <w:rStyle w:val="FootnoteReference"/>
          <w:sz w:val="16"/>
          <w:szCs w:val="16"/>
        </w:rPr>
        <w:footnoteRef/>
      </w:r>
      <w:r w:rsidRPr="004B50F3">
        <w:rPr>
          <w:sz w:val="16"/>
          <w:szCs w:val="16"/>
        </w:rPr>
        <w:t xml:space="preserve"> MSE ICB, </w:t>
      </w:r>
      <w:r w:rsidRPr="004B50F3">
        <w:rPr>
          <w:i/>
          <w:iCs/>
          <w:sz w:val="16"/>
          <w:szCs w:val="16"/>
        </w:rPr>
        <w:t>Representations response to EPUT</w:t>
      </w:r>
      <w:r w:rsidRPr="004B50F3">
        <w:rPr>
          <w:sz w:val="16"/>
          <w:szCs w:val="16"/>
        </w:rPr>
        <w:t>, 20 June 2025.</w:t>
      </w:r>
    </w:p>
  </w:footnote>
  <w:footnote w:id="53">
    <w:p w14:paraId="168A9ED6" w14:textId="77777777" w:rsidR="001F3F38" w:rsidRPr="00A3090D" w:rsidRDefault="001F3F38" w:rsidP="001F3F38">
      <w:pPr>
        <w:pStyle w:val="FootnoteText"/>
        <w:rPr>
          <w:sz w:val="16"/>
          <w:szCs w:val="16"/>
        </w:rPr>
      </w:pPr>
      <w:r w:rsidRPr="00A3090D">
        <w:rPr>
          <w:rStyle w:val="FootnoteReference"/>
          <w:sz w:val="16"/>
          <w:szCs w:val="16"/>
        </w:rPr>
        <w:footnoteRef/>
      </w:r>
      <w:r w:rsidRPr="00A3090D">
        <w:rPr>
          <w:sz w:val="16"/>
          <w:szCs w:val="16"/>
        </w:rPr>
        <w:t xml:space="preserve"> MSE ICB, </w:t>
      </w:r>
      <w:r w:rsidRPr="00A3090D">
        <w:rPr>
          <w:i/>
          <w:iCs/>
          <w:sz w:val="16"/>
          <w:szCs w:val="16"/>
        </w:rPr>
        <w:t>Response to Panel questions</w:t>
      </w:r>
      <w:r w:rsidRPr="00A3090D">
        <w:rPr>
          <w:sz w:val="16"/>
          <w:szCs w:val="16"/>
        </w:rPr>
        <w:t>, 4 July 2025.</w:t>
      </w:r>
    </w:p>
  </w:footnote>
  <w:footnote w:id="54">
    <w:p w14:paraId="5EFC4092" w14:textId="405A6C7E" w:rsidR="001F3F38" w:rsidRPr="00577346" w:rsidRDefault="001F3F38" w:rsidP="001F3F38">
      <w:pPr>
        <w:pStyle w:val="FootnoteText"/>
        <w:rPr>
          <w:sz w:val="16"/>
          <w:szCs w:val="16"/>
        </w:rPr>
      </w:pPr>
      <w:r w:rsidRPr="00577346">
        <w:rPr>
          <w:rStyle w:val="FootnoteReference"/>
          <w:sz w:val="16"/>
          <w:szCs w:val="16"/>
        </w:rPr>
        <w:footnoteRef/>
      </w:r>
      <w:r w:rsidR="00E33E9D">
        <w:rPr>
          <w:sz w:val="16"/>
          <w:szCs w:val="16"/>
        </w:rPr>
        <w:t xml:space="preserve"> </w:t>
      </w:r>
      <w:r w:rsidRPr="00577346">
        <w:rPr>
          <w:sz w:val="16"/>
          <w:szCs w:val="16"/>
        </w:rPr>
        <w:t>Panel meeting with MSE ICB, 24 July 2025.</w:t>
      </w:r>
    </w:p>
  </w:footnote>
  <w:footnote w:id="55">
    <w:p w14:paraId="0E461029" w14:textId="77777777" w:rsidR="001F3F38" w:rsidRPr="00A3090D" w:rsidRDefault="001F3F38" w:rsidP="001F3F38">
      <w:pPr>
        <w:pStyle w:val="FootnoteText"/>
        <w:rPr>
          <w:sz w:val="16"/>
          <w:szCs w:val="16"/>
        </w:rPr>
      </w:pPr>
      <w:r w:rsidRPr="00A3090D">
        <w:rPr>
          <w:rStyle w:val="FootnoteReference"/>
          <w:sz w:val="16"/>
          <w:szCs w:val="16"/>
        </w:rPr>
        <w:footnoteRef/>
      </w:r>
      <w:r w:rsidRPr="00A3090D">
        <w:rPr>
          <w:sz w:val="16"/>
          <w:szCs w:val="16"/>
        </w:rPr>
        <w:t xml:space="preserve"> MSE ICB, </w:t>
      </w:r>
      <w:r w:rsidRPr="00A3090D">
        <w:rPr>
          <w:i/>
          <w:iCs/>
          <w:sz w:val="16"/>
          <w:szCs w:val="16"/>
        </w:rPr>
        <w:t>Response to Panel questions</w:t>
      </w:r>
      <w:r w:rsidRPr="00A3090D">
        <w:rPr>
          <w:sz w:val="16"/>
          <w:szCs w:val="16"/>
        </w:rPr>
        <w:t>, 4 July 2025.</w:t>
      </w:r>
    </w:p>
  </w:footnote>
  <w:footnote w:id="56">
    <w:p w14:paraId="04AA5023" w14:textId="4E6F143E" w:rsidR="005506AF" w:rsidRPr="005506AF" w:rsidRDefault="005506AF">
      <w:pPr>
        <w:pStyle w:val="FootnoteText"/>
        <w:rPr>
          <w:sz w:val="16"/>
          <w:szCs w:val="16"/>
        </w:rPr>
      </w:pPr>
      <w:r w:rsidRPr="005506AF">
        <w:rPr>
          <w:rStyle w:val="FootnoteReference"/>
          <w:sz w:val="16"/>
          <w:szCs w:val="16"/>
        </w:rPr>
        <w:footnoteRef/>
      </w:r>
      <w:r w:rsidRPr="005506AF">
        <w:rPr>
          <w:sz w:val="16"/>
          <w:szCs w:val="16"/>
        </w:rPr>
        <w:t xml:space="preserve"> Potential issues with the clarity of the scoring matrix are discussed separately in Section 7.4.2.</w:t>
      </w:r>
    </w:p>
  </w:footnote>
  <w:footnote w:id="57">
    <w:p w14:paraId="5AAF0D20" w14:textId="77777777" w:rsidR="00EC4368" w:rsidRPr="00647783" w:rsidRDefault="00EC4368" w:rsidP="00EC4368">
      <w:pPr>
        <w:pStyle w:val="FootnoteText"/>
        <w:rPr>
          <w:sz w:val="16"/>
          <w:szCs w:val="16"/>
        </w:rPr>
      </w:pPr>
      <w:r w:rsidRPr="00647783">
        <w:rPr>
          <w:rStyle w:val="FootnoteReference"/>
          <w:sz w:val="16"/>
          <w:szCs w:val="16"/>
        </w:rPr>
        <w:footnoteRef/>
      </w:r>
      <w:r w:rsidRPr="00647783">
        <w:rPr>
          <w:sz w:val="16"/>
          <w:szCs w:val="16"/>
        </w:rPr>
        <w:t xml:space="preserve"> </w:t>
      </w:r>
      <w:r w:rsidRPr="00F50583">
        <w:rPr>
          <w:sz w:val="16"/>
          <w:szCs w:val="16"/>
        </w:rPr>
        <w:t>MSE ICB</w:t>
      </w:r>
      <w:r w:rsidRPr="00FA1A03">
        <w:rPr>
          <w:i/>
          <w:iCs/>
          <w:sz w:val="16"/>
          <w:szCs w:val="16"/>
        </w:rPr>
        <w:t>, Competitive Process Overview Mental Health Core Services</w:t>
      </w:r>
      <w:r w:rsidRPr="00F50583">
        <w:rPr>
          <w:sz w:val="16"/>
          <w:szCs w:val="16"/>
        </w:rPr>
        <w:t>, 3 March 2025</w:t>
      </w:r>
      <w:r w:rsidRPr="00647783">
        <w:rPr>
          <w:sz w:val="16"/>
          <w:szCs w:val="16"/>
        </w:rPr>
        <w:t>.</w:t>
      </w:r>
    </w:p>
  </w:footnote>
  <w:footnote w:id="58">
    <w:p w14:paraId="08976151" w14:textId="77777777" w:rsidR="00596BF8" w:rsidRPr="00647783" w:rsidRDefault="00596BF8" w:rsidP="00596BF8">
      <w:pPr>
        <w:pStyle w:val="FootnoteText"/>
        <w:rPr>
          <w:sz w:val="16"/>
          <w:szCs w:val="16"/>
        </w:rPr>
      </w:pPr>
      <w:r w:rsidRPr="00647783">
        <w:rPr>
          <w:rStyle w:val="FootnoteReference"/>
          <w:sz w:val="16"/>
          <w:szCs w:val="16"/>
        </w:rPr>
        <w:footnoteRef/>
      </w:r>
      <w:r w:rsidRPr="00647783">
        <w:rPr>
          <w:sz w:val="16"/>
          <w:szCs w:val="16"/>
        </w:rPr>
        <w:t xml:space="preserve"> MSE ICB</w:t>
      </w:r>
      <w:r>
        <w:rPr>
          <w:sz w:val="16"/>
          <w:szCs w:val="16"/>
        </w:rPr>
        <w:t xml:space="preserve"> told bidders that “</w:t>
      </w:r>
      <w:r w:rsidRPr="00CB32A2">
        <w:rPr>
          <w:sz w:val="16"/>
          <w:szCs w:val="16"/>
        </w:rPr>
        <w:t>Requirement is defined as the subject matter of each question, and any sub-bullet points or sub questions within each question (</w:t>
      </w:r>
      <w:r>
        <w:rPr>
          <w:sz w:val="16"/>
          <w:szCs w:val="16"/>
        </w:rPr>
        <w:t>‘</w:t>
      </w:r>
      <w:r w:rsidRPr="00CB32A2">
        <w:rPr>
          <w:sz w:val="16"/>
          <w:szCs w:val="16"/>
        </w:rPr>
        <w:t>the Award Criteria and Sub-Criteria</w:t>
      </w:r>
      <w:r>
        <w:rPr>
          <w:sz w:val="16"/>
          <w:szCs w:val="16"/>
        </w:rPr>
        <w:t>’</w:t>
      </w:r>
      <w:r w:rsidRPr="00CB32A2">
        <w:rPr>
          <w:sz w:val="16"/>
          <w:szCs w:val="16"/>
        </w:rPr>
        <w:t>), which in all cases are derived from all relevant and specified paragraphs / sentences or sections of the Service Specification(s) and/or Contract and/or other specified document published to the Bidders.</w:t>
      </w:r>
      <w:r>
        <w:rPr>
          <w:sz w:val="16"/>
          <w:szCs w:val="16"/>
        </w:rPr>
        <w:t xml:space="preserve">” MSE ICB, </w:t>
      </w:r>
      <w:r w:rsidRPr="00647783">
        <w:rPr>
          <w:i/>
          <w:iCs/>
          <w:sz w:val="16"/>
          <w:szCs w:val="16"/>
        </w:rPr>
        <w:t>Competitive Process Overview Mental Health Core Services</w:t>
      </w:r>
      <w:r w:rsidRPr="00647783">
        <w:rPr>
          <w:sz w:val="16"/>
          <w:szCs w:val="16"/>
        </w:rPr>
        <w:t>, 3 March 2025</w:t>
      </w:r>
      <w:r>
        <w:rPr>
          <w:sz w:val="16"/>
          <w:szCs w:val="16"/>
        </w:rPr>
        <w:t>.</w:t>
      </w:r>
    </w:p>
  </w:footnote>
  <w:footnote w:id="59">
    <w:p w14:paraId="1414020B" w14:textId="2F0DB4FD" w:rsidR="00BB12D2" w:rsidRPr="00BB12D2" w:rsidRDefault="00BB12D2">
      <w:pPr>
        <w:pStyle w:val="FootnoteText"/>
        <w:rPr>
          <w:sz w:val="16"/>
          <w:szCs w:val="16"/>
        </w:rPr>
      </w:pPr>
      <w:r w:rsidRPr="0007670F">
        <w:rPr>
          <w:rStyle w:val="FootnoteReference"/>
          <w:sz w:val="16"/>
          <w:szCs w:val="16"/>
        </w:rPr>
        <w:footnoteRef/>
      </w:r>
      <w:r w:rsidRPr="0007670F">
        <w:rPr>
          <w:sz w:val="16"/>
          <w:szCs w:val="16"/>
        </w:rPr>
        <w:t xml:space="preserve"> EPUT, </w:t>
      </w:r>
      <w:r w:rsidR="00746CEF" w:rsidRPr="0007670F">
        <w:rPr>
          <w:i/>
          <w:sz w:val="16"/>
          <w:szCs w:val="16"/>
        </w:rPr>
        <w:t>Representations to MSE ICB,</w:t>
      </w:r>
      <w:r w:rsidR="00746CEF" w:rsidRPr="0007670F">
        <w:rPr>
          <w:sz w:val="16"/>
          <w:szCs w:val="16"/>
        </w:rPr>
        <w:t xml:space="preserve"> 20 May 2025.</w:t>
      </w:r>
    </w:p>
  </w:footnote>
  <w:footnote w:id="60">
    <w:p w14:paraId="2490696F" w14:textId="6F7D6532" w:rsidR="00385C96" w:rsidRPr="00263F08" w:rsidRDefault="00385C96">
      <w:pPr>
        <w:pStyle w:val="FootnoteText"/>
        <w:rPr>
          <w:sz w:val="16"/>
          <w:szCs w:val="16"/>
        </w:rPr>
      </w:pPr>
      <w:r w:rsidRPr="00560798">
        <w:rPr>
          <w:rStyle w:val="FootnoteReference"/>
          <w:sz w:val="16"/>
          <w:szCs w:val="16"/>
        </w:rPr>
        <w:footnoteRef/>
      </w:r>
      <w:r w:rsidRPr="00560798">
        <w:rPr>
          <w:sz w:val="16"/>
          <w:szCs w:val="16"/>
        </w:rPr>
        <w:t xml:space="preserve"> MSE ICB,</w:t>
      </w:r>
      <w:r w:rsidRPr="00263F08">
        <w:rPr>
          <w:sz w:val="16"/>
          <w:szCs w:val="16"/>
        </w:rPr>
        <w:t xml:space="preserve"> </w:t>
      </w:r>
      <w:r w:rsidR="00263F08" w:rsidRPr="00560798">
        <w:rPr>
          <w:i/>
          <w:sz w:val="16"/>
          <w:szCs w:val="16"/>
        </w:rPr>
        <w:t>Representations Report to EPUT,</w:t>
      </w:r>
      <w:r w:rsidR="00263F08" w:rsidRPr="00560798">
        <w:rPr>
          <w:sz w:val="16"/>
          <w:szCs w:val="16"/>
        </w:rPr>
        <w:t xml:space="preserve"> 20 June 2025</w:t>
      </w:r>
      <w:r w:rsidR="00263F08">
        <w:rPr>
          <w:sz w:val="16"/>
          <w:szCs w:val="16"/>
        </w:rPr>
        <w:t>.</w:t>
      </w:r>
    </w:p>
  </w:footnote>
  <w:footnote w:id="61">
    <w:p w14:paraId="17138C7D" w14:textId="77777777" w:rsidR="0085354B" w:rsidRPr="00F270B4" w:rsidRDefault="0085354B" w:rsidP="0085354B">
      <w:pPr>
        <w:pStyle w:val="FootnoteText"/>
        <w:rPr>
          <w:sz w:val="16"/>
          <w:szCs w:val="16"/>
        </w:rPr>
      </w:pPr>
      <w:r w:rsidRPr="00F270B4">
        <w:rPr>
          <w:rStyle w:val="FootnoteReference"/>
          <w:sz w:val="16"/>
          <w:szCs w:val="16"/>
        </w:rPr>
        <w:footnoteRef/>
      </w:r>
      <w:r w:rsidRPr="00F270B4">
        <w:rPr>
          <w:sz w:val="16"/>
          <w:szCs w:val="16"/>
        </w:rPr>
        <w:t xml:space="preserve"> MSE ICB, </w:t>
      </w:r>
      <w:r w:rsidRPr="00F270B4">
        <w:rPr>
          <w:i/>
          <w:iCs/>
          <w:sz w:val="16"/>
          <w:szCs w:val="16"/>
        </w:rPr>
        <w:t>Outcome letter to EPUT</w:t>
      </w:r>
      <w:r w:rsidRPr="00F270B4">
        <w:rPr>
          <w:sz w:val="16"/>
          <w:szCs w:val="16"/>
        </w:rPr>
        <w:t>, 7 May 2025.</w:t>
      </w:r>
    </w:p>
  </w:footnote>
  <w:footnote w:id="62">
    <w:p w14:paraId="716E8073" w14:textId="5D094F1F" w:rsidR="00830260" w:rsidRPr="00830260" w:rsidRDefault="00830260">
      <w:pPr>
        <w:pStyle w:val="FootnoteText"/>
        <w:rPr>
          <w:sz w:val="16"/>
          <w:szCs w:val="16"/>
        </w:rPr>
      </w:pPr>
      <w:r w:rsidRPr="00830260">
        <w:rPr>
          <w:rStyle w:val="FootnoteReference"/>
          <w:sz w:val="16"/>
          <w:szCs w:val="16"/>
        </w:rPr>
        <w:footnoteRef/>
      </w:r>
      <w:r w:rsidRPr="00830260">
        <w:rPr>
          <w:sz w:val="16"/>
          <w:szCs w:val="16"/>
        </w:rPr>
        <w:t xml:space="preserve"> </w:t>
      </w:r>
      <w:r w:rsidR="00807629">
        <w:rPr>
          <w:sz w:val="16"/>
          <w:szCs w:val="16"/>
        </w:rPr>
        <w:t>NHS</w:t>
      </w:r>
      <w:r w:rsidR="00EF36CF">
        <w:rPr>
          <w:sz w:val="16"/>
          <w:szCs w:val="16"/>
        </w:rPr>
        <w:t xml:space="preserve"> England, </w:t>
      </w:r>
      <w:r w:rsidR="00EF36CF" w:rsidRPr="00EF36CF">
        <w:rPr>
          <w:i/>
          <w:iCs/>
          <w:sz w:val="16"/>
          <w:szCs w:val="16"/>
        </w:rPr>
        <w:t>NHS</w:t>
      </w:r>
      <w:r w:rsidR="00807629" w:rsidRPr="00EF36CF">
        <w:rPr>
          <w:i/>
          <w:iCs/>
          <w:sz w:val="16"/>
          <w:szCs w:val="16"/>
        </w:rPr>
        <w:t xml:space="preserve"> Talking Therapies for anxiety and depression Manual</w:t>
      </w:r>
      <w:r w:rsidR="00C031D6" w:rsidRPr="00EF36CF">
        <w:rPr>
          <w:i/>
          <w:iCs/>
          <w:sz w:val="16"/>
          <w:szCs w:val="16"/>
        </w:rPr>
        <w:t>,</w:t>
      </w:r>
      <w:r w:rsidR="00C031D6">
        <w:rPr>
          <w:sz w:val="16"/>
          <w:szCs w:val="16"/>
        </w:rPr>
        <w:t xml:space="preserve"> 25 June 2025.</w:t>
      </w:r>
    </w:p>
  </w:footnote>
  <w:footnote w:id="63">
    <w:p w14:paraId="72647C1F" w14:textId="77777777" w:rsidR="00830260" w:rsidRPr="00677B38" w:rsidRDefault="00830260" w:rsidP="00830260">
      <w:pPr>
        <w:pStyle w:val="FootnoteText"/>
        <w:rPr>
          <w:sz w:val="16"/>
          <w:szCs w:val="16"/>
        </w:rPr>
      </w:pPr>
      <w:r w:rsidRPr="00677B38">
        <w:rPr>
          <w:rStyle w:val="FootnoteReference"/>
          <w:sz w:val="16"/>
          <w:szCs w:val="16"/>
        </w:rPr>
        <w:footnoteRef/>
      </w:r>
      <w:r w:rsidRPr="00677B38">
        <w:rPr>
          <w:sz w:val="16"/>
          <w:szCs w:val="16"/>
        </w:rPr>
        <w:t xml:space="preserve"> The Panel considers that</w:t>
      </w:r>
      <w:r>
        <w:rPr>
          <w:sz w:val="16"/>
          <w:szCs w:val="16"/>
        </w:rPr>
        <w:t xml:space="preserve"> in this context</w:t>
      </w:r>
      <w:r w:rsidRPr="00677B38">
        <w:rPr>
          <w:sz w:val="16"/>
          <w:szCs w:val="16"/>
        </w:rPr>
        <w:t xml:space="preserve"> </w:t>
      </w:r>
      <w:r>
        <w:rPr>
          <w:sz w:val="16"/>
          <w:szCs w:val="16"/>
        </w:rPr>
        <w:t>“</w:t>
      </w:r>
      <w:r w:rsidRPr="00677B38">
        <w:rPr>
          <w:sz w:val="16"/>
          <w:szCs w:val="16"/>
        </w:rPr>
        <w:t>national specification</w:t>
      </w:r>
      <w:r>
        <w:rPr>
          <w:sz w:val="16"/>
          <w:szCs w:val="16"/>
        </w:rPr>
        <w:t>”</w:t>
      </w:r>
      <w:r w:rsidRPr="00677B38">
        <w:rPr>
          <w:sz w:val="16"/>
          <w:szCs w:val="16"/>
        </w:rPr>
        <w:t xml:space="preserve"> refers to the national NHSTT Manual.</w:t>
      </w:r>
    </w:p>
  </w:footnote>
  <w:footnote w:id="64">
    <w:p w14:paraId="4121E224" w14:textId="77777777" w:rsidR="00B77882" w:rsidRPr="00A62137" w:rsidRDefault="00B77882" w:rsidP="00B77882">
      <w:pPr>
        <w:pStyle w:val="FootnoteText"/>
        <w:rPr>
          <w:sz w:val="16"/>
          <w:szCs w:val="16"/>
        </w:rPr>
      </w:pPr>
      <w:r w:rsidRPr="00A62137">
        <w:rPr>
          <w:rStyle w:val="FootnoteReference"/>
          <w:sz w:val="16"/>
          <w:szCs w:val="16"/>
        </w:rPr>
        <w:footnoteRef/>
      </w:r>
      <w:r w:rsidRPr="00A62137">
        <w:rPr>
          <w:sz w:val="16"/>
          <w:szCs w:val="16"/>
        </w:rPr>
        <w:t xml:space="preserve"> MSE ICB, </w:t>
      </w:r>
      <w:r w:rsidRPr="00A62137">
        <w:rPr>
          <w:i/>
          <w:iCs/>
          <w:sz w:val="16"/>
          <w:szCs w:val="16"/>
        </w:rPr>
        <w:t>Moderation Meeting Notes Question 2.3.1</w:t>
      </w:r>
      <w:r w:rsidRPr="00A62137">
        <w:rPr>
          <w:sz w:val="16"/>
          <w:szCs w:val="16"/>
        </w:rPr>
        <w:t>, 23 April 2025.</w:t>
      </w:r>
    </w:p>
  </w:footnote>
  <w:footnote w:id="65">
    <w:p w14:paraId="386BE051" w14:textId="3BD3657D" w:rsidR="004B3277" w:rsidRPr="004B3277" w:rsidRDefault="004B3277">
      <w:pPr>
        <w:pStyle w:val="FootnoteText"/>
        <w:rPr>
          <w:sz w:val="16"/>
          <w:szCs w:val="16"/>
        </w:rPr>
      </w:pPr>
      <w:r w:rsidRPr="004B3277">
        <w:rPr>
          <w:rStyle w:val="FootnoteReference"/>
          <w:sz w:val="16"/>
          <w:szCs w:val="16"/>
        </w:rPr>
        <w:footnoteRef/>
      </w:r>
      <w:r w:rsidRPr="004B3277">
        <w:rPr>
          <w:sz w:val="16"/>
          <w:szCs w:val="16"/>
        </w:rPr>
        <w:t xml:space="preserve"> </w:t>
      </w:r>
      <w:r w:rsidR="007F6055">
        <w:rPr>
          <w:sz w:val="16"/>
          <w:szCs w:val="16"/>
        </w:rPr>
        <w:t xml:space="preserve">Panel meeting with MSE ICB, 24 July 2025. </w:t>
      </w:r>
    </w:p>
  </w:footnote>
  <w:footnote w:id="66">
    <w:p w14:paraId="40D9A798" w14:textId="192258F4" w:rsidR="00743A34" w:rsidRPr="00743A34" w:rsidRDefault="00743A34">
      <w:pPr>
        <w:pStyle w:val="FootnoteText"/>
        <w:rPr>
          <w:sz w:val="16"/>
          <w:szCs w:val="16"/>
        </w:rPr>
      </w:pPr>
      <w:r w:rsidRPr="00743A34">
        <w:rPr>
          <w:rStyle w:val="FootnoteReference"/>
          <w:sz w:val="16"/>
          <w:szCs w:val="16"/>
        </w:rPr>
        <w:footnoteRef/>
      </w:r>
      <w:r w:rsidRPr="00743A34">
        <w:rPr>
          <w:sz w:val="16"/>
          <w:szCs w:val="16"/>
        </w:rPr>
        <w:t xml:space="preserve"> MSE ICB, Competitive Process Overview Mental Health Core Services, 3 March 2025.</w:t>
      </w:r>
    </w:p>
  </w:footnote>
  <w:footnote w:id="67">
    <w:p w14:paraId="0F9DC78D" w14:textId="23823F8A" w:rsidR="008D6091" w:rsidRPr="00C477C4" w:rsidRDefault="008D6091">
      <w:pPr>
        <w:pStyle w:val="FootnoteText"/>
        <w:rPr>
          <w:sz w:val="16"/>
          <w:szCs w:val="16"/>
        </w:rPr>
      </w:pPr>
      <w:r w:rsidRPr="00C477C4">
        <w:rPr>
          <w:rStyle w:val="FootnoteReference"/>
          <w:sz w:val="16"/>
          <w:szCs w:val="16"/>
        </w:rPr>
        <w:footnoteRef/>
      </w:r>
      <w:r w:rsidRPr="00C477C4">
        <w:rPr>
          <w:sz w:val="16"/>
          <w:szCs w:val="16"/>
        </w:rPr>
        <w:t xml:space="preserve"> MSE ICB, Competitive Process Overview Mental Health Core Services, 3 March 2025.</w:t>
      </w:r>
    </w:p>
  </w:footnote>
  <w:footnote w:id="68">
    <w:p w14:paraId="44D1095E" w14:textId="77777777" w:rsidR="00020E2F" w:rsidRDefault="00020E2F" w:rsidP="00020E2F">
      <w:pPr>
        <w:pStyle w:val="FootnoteText"/>
      </w:pPr>
      <w:r>
        <w:rPr>
          <w:rStyle w:val="FootnoteReference"/>
        </w:rPr>
        <w:footnoteRef/>
      </w:r>
      <w:r>
        <w:t xml:space="preserve"> </w:t>
      </w:r>
      <w:r w:rsidRPr="00F50583">
        <w:rPr>
          <w:sz w:val="16"/>
          <w:szCs w:val="16"/>
        </w:rPr>
        <w:t>MSE ICB</w:t>
      </w:r>
      <w:r w:rsidRPr="00FA1A03">
        <w:rPr>
          <w:i/>
          <w:iCs/>
          <w:sz w:val="16"/>
          <w:szCs w:val="16"/>
        </w:rPr>
        <w:t>, Competitive Process Overview Mental Health Core Services</w:t>
      </w:r>
      <w:r w:rsidRPr="00F50583">
        <w:rPr>
          <w:sz w:val="16"/>
          <w:szCs w:val="16"/>
        </w:rPr>
        <w:t>, 3 March 2025</w:t>
      </w:r>
      <w:r>
        <w:t>.</w:t>
      </w:r>
    </w:p>
  </w:footnote>
  <w:footnote w:id="69">
    <w:p w14:paraId="476CC9DC" w14:textId="1C7B0C85" w:rsidR="009C2D3D" w:rsidRPr="009C2D3D" w:rsidRDefault="009C2D3D">
      <w:pPr>
        <w:pStyle w:val="FootnoteText"/>
        <w:rPr>
          <w:sz w:val="16"/>
          <w:szCs w:val="16"/>
        </w:rPr>
      </w:pPr>
      <w:r w:rsidRPr="009C2D3D">
        <w:rPr>
          <w:rStyle w:val="FootnoteReference"/>
          <w:sz w:val="16"/>
          <w:szCs w:val="16"/>
        </w:rPr>
        <w:footnoteRef/>
      </w:r>
      <w:r w:rsidRPr="009C2D3D">
        <w:rPr>
          <w:sz w:val="16"/>
          <w:szCs w:val="16"/>
        </w:rPr>
        <w:t xml:space="preserve"> These words have been excised from the report on the basis that the Panel has reasonable grounds to consider that they may be commercially confidential.</w:t>
      </w:r>
    </w:p>
  </w:footnote>
  <w:footnote w:id="70">
    <w:p w14:paraId="22613331" w14:textId="77777777" w:rsidR="00020E2F" w:rsidRPr="00F55817" w:rsidRDefault="00020E2F" w:rsidP="00020E2F">
      <w:pPr>
        <w:pStyle w:val="FootnoteText"/>
        <w:rPr>
          <w:sz w:val="16"/>
          <w:szCs w:val="16"/>
        </w:rPr>
      </w:pPr>
      <w:r w:rsidRPr="00F73219">
        <w:rPr>
          <w:rStyle w:val="FootnoteReference"/>
          <w:sz w:val="16"/>
          <w:szCs w:val="16"/>
        </w:rPr>
        <w:footnoteRef/>
      </w:r>
      <w:r w:rsidRPr="00F73219">
        <w:rPr>
          <w:sz w:val="16"/>
          <w:szCs w:val="16"/>
        </w:rPr>
        <w:t xml:space="preserve"> EPUT, </w:t>
      </w:r>
      <w:r w:rsidRPr="00F73219">
        <w:rPr>
          <w:i/>
          <w:iCs/>
          <w:sz w:val="16"/>
          <w:szCs w:val="16"/>
        </w:rPr>
        <w:t>Representations to MSE ICB,</w:t>
      </w:r>
      <w:r w:rsidRPr="00F73219">
        <w:rPr>
          <w:sz w:val="16"/>
          <w:szCs w:val="16"/>
        </w:rPr>
        <w:t xml:space="preserve"> 20 May 2025.</w:t>
      </w:r>
    </w:p>
  </w:footnote>
  <w:footnote w:id="71">
    <w:p w14:paraId="05F5A2B1" w14:textId="77777777" w:rsidR="00020E2F" w:rsidRPr="00C52694" w:rsidRDefault="00020E2F" w:rsidP="00020E2F">
      <w:pPr>
        <w:pStyle w:val="FootnoteText"/>
        <w:rPr>
          <w:sz w:val="16"/>
          <w:szCs w:val="16"/>
        </w:rPr>
      </w:pPr>
      <w:r w:rsidRPr="00F73219">
        <w:rPr>
          <w:rStyle w:val="FootnoteReference"/>
          <w:sz w:val="16"/>
          <w:szCs w:val="16"/>
        </w:rPr>
        <w:footnoteRef/>
      </w:r>
      <w:r w:rsidRPr="00F73219">
        <w:rPr>
          <w:sz w:val="16"/>
          <w:szCs w:val="16"/>
        </w:rPr>
        <w:t xml:space="preserve"> MSE ICB, </w:t>
      </w:r>
      <w:r w:rsidRPr="00F73219">
        <w:rPr>
          <w:i/>
          <w:iCs/>
          <w:sz w:val="16"/>
          <w:szCs w:val="16"/>
        </w:rPr>
        <w:t>Representations Report to EPUT,</w:t>
      </w:r>
      <w:r w:rsidRPr="00F73219">
        <w:rPr>
          <w:sz w:val="16"/>
          <w:szCs w:val="16"/>
        </w:rPr>
        <w:t xml:space="preserve"> 20 June 2025.</w:t>
      </w:r>
    </w:p>
  </w:footnote>
  <w:footnote w:id="72">
    <w:p w14:paraId="25A28878" w14:textId="77777777" w:rsidR="003E1150" w:rsidRPr="00C477C4" w:rsidRDefault="003E1150" w:rsidP="003E1150">
      <w:pPr>
        <w:pStyle w:val="FootnoteText"/>
        <w:rPr>
          <w:sz w:val="16"/>
          <w:szCs w:val="16"/>
        </w:rPr>
      </w:pPr>
      <w:r w:rsidRPr="00C477C4">
        <w:rPr>
          <w:rStyle w:val="FootnoteReference"/>
          <w:sz w:val="16"/>
          <w:szCs w:val="16"/>
        </w:rPr>
        <w:footnoteRef/>
      </w:r>
      <w:r w:rsidRPr="00C477C4">
        <w:rPr>
          <w:sz w:val="16"/>
          <w:szCs w:val="16"/>
        </w:rPr>
        <w:t xml:space="preserve"> MSE ICB</w:t>
      </w:r>
      <w:r w:rsidRPr="00C477C4">
        <w:rPr>
          <w:i/>
          <w:iCs/>
          <w:sz w:val="16"/>
          <w:szCs w:val="16"/>
        </w:rPr>
        <w:t>, Competitive Process Overview Mental Health Core Services</w:t>
      </w:r>
      <w:r w:rsidRPr="00C477C4">
        <w:rPr>
          <w:sz w:val="16"/>
          <w:szCs w:val="16"/>
        </w:rPr>
        <w:t>, 3 March 2025.</w:t>
      </w:r>
    </w:p>
  </w:footnote>
  <w:footnote w:id="73">
    <w:p w14:paraId="7A985F6B" w14:textId="5A35F848" w:rsidR="009B5FA6" w:rsidRPr="009B5FA6" w:rsidRDefault="009B5FA6">
      <w:pPr>
        <w:pStyle w:val="FootnoteText"/>
        <w:rPr>
          <w:sz w:val="16"/>
          <w:szCs w:val="16"/>
        </w:rPr>
      </w:pPr>
      <w:r w:rsidRPr="009B5FA6">
        <w:rPr>
          <w:rStyle w:val="FootnoteReference"/>
          <w:sz w:val="16"/>
          <w:szCs w:val="16"/>
        </w:rPr>
        <w:footnoteRef/>
      </w:r>
      <w:r w:rsidRPr="009B5FA6">
        <w:rPr>
          <w:sz w:val="16"/>
          <w:szCs w:val="16"/>
        </w:rPr>
        <w:t xml:space="preserve"> </w:t>
      </w:r>
      <w:r w:rsidRPr="000A37EB">
        <w:rPr>
          <w:sz w:val="16"/>
          <w:szCs w:val="16"/>
        </w:rPr>
        <w:t xml:space="preserve">EPUT, </w:t>
      </w:r>
      <w:r w:rsidRPr="000A37EB">
        <w:rPr>
          <w:i/>
          <w:sz w:val="16"/>
          <w:szCs w:val="16"/>
        </w:rPr>
        <w:t>Representations to MSE ICB,</w:t>
      </w:r>
      <w:r w:rsidRPr="000A37EB">
        <w:rPr>
          <w:sz w:val="16"/>
          <w:szCs w:val="16"/>
        </w:rPr>
        <w:t xml:space="preserve"> 20 May 2025.</w:t>
      </w:r>
    </w:p>
  </w:footnote>
  <w:footnote w:id="74">
    <w:p w14:paraId="01796553" w14:textId="12B1E5C8" w:rsidR="000C595A" w:rsidRPr="000C595A" w:rsidRDefault="000C595A">
      <w:pPr>
        <w:pStyle w:val="FootnoteText"/>
        <w:rPr>
          <w:sz w:val="16"/>
          <w:szCs w:val="16"/>
        </w:rPr>
      </w:pPr>
      <w:r w:rsidRPr="00F73219">
        <w:rPr>
          <w:rStyle w:val="FootnoteReference"/>
          <w:sz w:val="16"/>
          <w:szCs w:val="16"/>
        </w:rPr>
        <w:footnoteRef/>
      </w:r>
      <w:r w:rsidRPr="00F73219">
        <w:rPr>
          <w:sz w:val="16"/>
          <w:szCs w:val="16"/>
        </w:rPr>
        <w:t xml:space="preserve"> MSE ICB, </w:t>
      </w:r>
      <w:r w:rsidRPr="00F73219">
        <w:rPr>
          <w:i/>
          <w:iCs/>
          <w:sz w:val="16"/>
          <w:szCs w:val="16"/>
        </w:rPr>
        <w:t>Representations Report to EPUT,</w:t>
      </w:r>
      <w:r w:rsidRPr="00F73219">
        <w:rPr>
          <w:sz w:val="16"/>
          <w:szCs w:val="16"/>
        </w:rPr>
        <w:t xml:space="preserve"> 20 June 2025.</w:t>
      </w:r>
    </w:p>
  </w:footnote>
  <w:footnote w:id="75">
    <w:p w14:paraId="30631388" w14:textId="0A46CC6E" w:rsidR="006219A4" w:rsidRPr="00DA79CE" w:rsidRDefault="006219A4">
      <w:pPr>
        <w:pStyle w:val="FootnoteText"/>
        <w:rPr>
          <w:sz w:val="16"/>
          <w:szCs w:val="16"/>
        </w:rPr>
      </w:pPr>
      <w:r w:rsidRPr="00DA79CE">
        <w:rPr>
          <w:rStyle w:val="FootnoteReference"/>
          <w:sz w:val="16"/>
          <w:szCs w:val="16"/>
        </w:rPr>
        <w:footnoteRef/>
      </w:r>
      <w:r w:rsidRPr="00DA79CE">
        <w:rPr>
          <w:sz w:val="16"/>
          <w:szCs w:val="16"/>
        </w:rPr>
        <w:t xml:space="preserve"> </w:t>
      </w:r>
      <w:r w:rsidR="00186388" w:rsidRPr="00DA79CE">
        <w:rPr>
          <w:sz w:val="16"/>
          <w:szCs w:val="16"/>
        </w:rPr>
        <w:t xml:space="preserve">EPUT, </w:t>
      </w:r>
      <w:r w:rsidR="00DA79CE" w:rsidRPr="00DA79CE">
        <w:rPr>
          <w:i/>
          <w:iCs/>
          <w:sz w:val="16"/>
          <w:szCs w:val="16"/>
        </w:rPr>
        <w:t>Representations to MSE ICB</w:t>
      </w:r>
      <w:r w:rsidR="00DA79CE" w:rsidRPr="00DA79CE">
        <w:rPr>
          <w:sz w:val="16"/>
          <w:szCs w:val="16"/>
        </w:rPr>
        <w:t>, 20 May 2025.</w:t>
      </w:r>
    </w:p>
  </w:footnote>
  <w:footnote w:id="76">
    <w:p w14:paraId="0278E2AC" w14:textId="2FE419D8" w:rsidR="00BC0246" w:rsidRDefault="00BC0246">
      <w:pPr>
        <w:pStyle w:val="FootnoteText"/>
      </w:pPr>
      <w:r w:rsidRPr="005E39BF">
        <w:rPr>
          <w:rStyle w:val="FootnoteReference"/>
          <w:sz w:val="16"/>
          <w:szCs w:val="16"/>
        </w:rPr>
        <w:footnoteRef/>
      </w:r>
      <w:r w:rsidRPr="005E39BF">
        <w:rPr>
          <w:sz w:val="16"/>
          <w:szCs w:val="16"/>
        </w:rPr>
        <w:t xml:space="preserve"> </w:t>
      </w:r>
      <w:r w:rsidR="00DA79CE" w:rsidRPr="005E39BF">
        <w:rPr>
          <w:sz w:val="16"/>
          <w:szCs w:val="16"/>
        </w:rPr>
        <w:t xml:space="preserve">MSE ICB, </w:t>
      </w:r>
      <w:r w:rsidR="00DA79CE" w:rsidRPr="005E39BF">
        <w:rPr>
          <w:i/>
          <w:iCs/>
          <w:sz w:val="16"/>
          <w:szCs w:val="16"/>
        </w:rPr>
        <w:t>Moderation</w:t>
      </w:r>
      <w:r w:rsidR="00EB458F">
        <w:rPr>
          <w:i/>
          <w:iCs/>
          <w:sz w:val="16"/>
          <w:szCs w:val="16"/>
        </w:rPr>
        <w:t xml:space="preserve"> Meeting Notes </w:t>
      </w:r>
      <w:r w:rsidR="00EB458F" w:rsidRPr="00F73219">
        <w:rPr>
          <w:i/>
          <w:iCs/>
          <w:sz w:val="16"/>
          <w:szCs w:val="16"/>
        </w:rPr>
        <w:t>Question</w:t>
      </w:r>
      <w:r w:rsidR="00EB458F">
        <w:rPr>
          <w:sz w:val="16"/>
          <w:szCs w:val="16"/>
        </w:rPr>
        <w:t xml:space="preserve"> </w:t>
      </w:r>
      <w:r w:rsidR="00EB458F" w:rsidRPr="005E39BF">
        <w:rPr>
          <w:i/>
          <w:iCs/>
          <w:sz w:val="16"/>
          <w:szCs w:val="16"/>
        </w:rPr>
        <w:t>2.8</w:t>
      </w:r>
      <w:r w:rsidR="00EB458F">
        <w:rPr>
          <w:i/>
          <w:iCs/>
          <w:sz w:val="16"/>
          <w:szCs w:val="16"/>
        </w:rPr>
        <w:t>.1</w:t>
      </w:r>
      <w:r w:rsidR="00EB458F" w:rsidRPr="005E39BF">
        <w:rPr>
          <w:i/>
          <w:iCs/>
          <w:sz w:val="16"/>
          <w:szCs w:val="16"/>
        </w:rPr>
        <w:t xml:space="preserve"> Mobilisation</w:t>
      </w:r>
      <w:r w:rsidR="005E39BF">
        <w:rPr>
          <w:sz w:val="16"/>
          <w:szCs w:val="16"/>
        </w:rPr>
        <w:t>, 23 April 2025.</w:t>
      </w:r>
    </w:p>
  </w:footnote>
  <w:footnote w:id="77">
    <w:p w14:paraId="35EB713C" w14:textId="1F6C40A0" w:rsidR="006A4BCA" w:rsidRPr="00394B50" w:rsidRDefault="006A4BCA">
      <w:pPr>
        <w:pStyle w:val="FootnoteText"/>
        <w:rPr>
          <w:sz w:val="16"/>
          <w:szCs w:val="16"/>
        </w:rPr>
      </w:pPr>
      <w:r w:rsidRPr="00394B50">
        <w:rPr>
          <w:rStyle w:val="FootnoteReference"/>
          <w:sz w:val="16"/>
          <w:szCs w:val="16"/>
        </w:rPr>
        <w:footnoteRef/>
      </w:r>
      <w:r w:rsidRPr="00394B50">
        <w:rPr>
          <w:sz w:val="16"/>
          <w:szCs w:val="16"/>
        </w:rPr>
        <w:t xml:space="preserve"> </w:t>
      </w:r>
      <w:r w:rsidR="0051044E">
        <w:rPr>
          <w:sz w:val="16"/>
          <w:szCs w:val="16"/>
        </w:rPr>
        <w:t xml:space="preserve">MSE ICB, </w:t>
      </w:r>
      <w:r w:rsidR="0051044E" w:rsidRPr="0051044E">
        <w:rPr>
          <w:i/>
          <w:iCs/>
          <w:sz w:val="16"/>
          <w:szCs w:val="16"/>
        </w:rPr>
        <w:t>Representations Report to MPFT</w:t>
      </w:r>
      <w:r w:rsidR="0051044E">
        <w:rPr>
          <w:sz w:val="16"/>
          <w:szCs w:val="16"/>
        </w:rPr>
        <w:t>, 20 June 2025.</w:t>
      </w:r>
    </w:p>
  </w:footnote>
  <w:footnote w:id="78">
    <w:p w14:paraId="7C4FD1B8" w14:textId="3C5E3F75" w:rsidR="00171B0C" w:rsidRPr="00171B0C" w:rsidRDefault="00171B0C">
      <w:pPr>
        <w:pStyle w:val="FootnoteText"/>
        <w:rPr>
          <w:sz w:val="16"/>
          <w:szCs w:val="16"/>
        </w:rPr>
      </w:pPr>
      <w:r w:rsidRPr="00394B50">
        <w:rPr>
          <w:rStyle w:val="FootnoteReference"/>
          <w:sz w:val="16"/>
          <w:szCs w:val="16"/>
        </w:rPr>
        <w:footnoteRef/>
      </w:r>
      <w:r w:rsidRPr="00394B50">
        <w:rPr>
          <w:sz w:val="16"/>
          <w:szCs w:val="16"/>
        </w:rPr>
        <w:t xml:space="preserve"> </w:t>
      </w:r>
      <w:r w:rsidRPr="00171B0C">
        <w:rPr>
          <w:sz w:val="16"/>
          <w:szCs w:val="16"/>
        </w:rPr>
        <w:t xml:space="preserve">MSE ICB, </w:t>
      </w:r>
      <w:r w:rsidRPr="00171B0C">
        <w:rPr>
          <w:i/>
          <w:iCs/>
          <w:sz w:val="16"/>
          <w:szCs w:val="16"/>
        </w:rPr>
        <w:t>Representations Report to MPFT,</w:t>
      </w:r>
      <w:r w:rsidRPr="00171B0C">
        <w:rPr>
          <w:sz w:val="16"/>
          <w:szCs w:val="16"/>
        </w:rPr>
        <w:t xml:space="preserve"> 20 June 2025.</w:t>
      </w:r>
    </w:p>
  </w:footnote>
  <w:footnote w:id="79">
    <w:p w14:paraId="26FEBCA2" w14:textId="64B48858" w:rsidR="007C3088" w:rsidRPr="009F7744" w:rsidRDefault="007C3088" w:rsidP="007C3088">
      <w:pPr>
        <w:pStyle w:val="FootnoteText"/>
        <w:rPr>
          <w:sz w:val="16"/>
          <w:szCs w:val="16"/>
        </w:rPr>
      </w:pPr>
      <w:r w:rsidRPr="009F7744">
        <w:rPr>
          <w:rStyle w:val="FootnoteReference"/>
          <w:sz w:val="16"/>
          <w:szCs w:val="16"/>
        </w:rPr>
        <w:footnoteRef/>
      </w:r>
      <w:r w:rsidRPr="009F7744">
        <w:rPr>
          <w:sz w:val="16"/>
          <w:szCs w:val="16"/>
        </w:rPr>
        <w:t xml:space="preserve"> </w:t>
      </w:r>
      <w:r w:rsidR="00E85EB3">
        <w:rPr>
          <w:sz w:val="16"/>
          <w:szCs w:val="16"/>
        </w:rPr>
        <w:t xml:space="preserve">For example, see </w:t>
      </w:r>
      <w:r w:rsidRPr="009F7744">
        <w:rPr>
          <w:sz w:val="16"/>
          <w:szCs w:val="16"/>
        </w:rPr>
        <w:t>CR0015-25, Targeted lung healthcare checks for Shropshire, Telford and Wrekin, 19 May 2025</w:t>
      </w:r>
      <w:r>
        <w:rPr>
          <w:sz w:val="16"/>
          <w:szCs w:val="16"/>
        </w:rPr>
        <w:t>;</w:t>
      </w:r>
      <w:r w:rsidR="00654236">
        <w:rPr>
          <w:sz w:val="16"/>
          <w:szCs w:val="16"/>
        </w:rPr>
        <w:t xml:space="preserve"> CR0018-25, Primary care partner for urgent treatment centre </w:t>
      </w:r>
      <w:r w:rsidR="00AE5BA2">
        <w:rPr>
          <w:sz w:val="16"/>
          <w:szCs w:val="16"/>
        </w:rPr>
        <w:t xml:space="preserve">at University Hospital Lewisham, 27 May 2025. </w:t>
      </w:r>
    </w:p>
  </w:footnote>
  <w:footnote w:id="80">
    <w:p w14:paraId="5232D1DB" w14:textId="5A5407A5" w:rsidR="004432A2" w:rsidRPr="009F7744" w:rsidRDefault="004432A2">
      <w:pPr>
        <w:pStyle w:val="FootnoteText"/>
        <w:rPr>
          <w:sz w:val="16"/>
          <w:szCs w:val="16"/>
        </w:rPr>
      </w:pPr>
      <w:r w:rsidRPr="009F7744">
        <w:rPr>
          <w:rStyle w:val="FootnoteReference"/>
          <w:sz w:val="16"/>
          <w:szCs w:val="16"/>
        </w:rPr>
        <w:footnoteRef/>
      </w:r>
      <w:r w:rsidRPr="009F7744">
        <w:rPr>
          <w:sz w:val="16"/>
          <w:szCs w:val="16"/>
        </w:rPr>
        <w:t xml:space="preserve"> </w:t>
      </w:r>
      <w:r w:rsidR="009D58B5">
        <w:rPr>
          <w:sz w:val="16"/>
          <w:szCs w:val="16"/>
        </w:rPr>
        <w:t xml:space="preserve">For example, see </w:t>
      </w:r>
      <w:r w:rsidRPr="009F7744">
        <w:rPr>
          <w:sz w:val="16"/>
          <w:szCs w:val="16"/>
        </w:rPr>
        <w:t>CR0015-25</w:t>
      </w:r>
      <w:r w:rsidR="007442D3" w:rsidRPr="009F7744">
        <w:rPr>
          <w:sz w:val="16"/>
          <w:szCs w:val="16"/>
        </w:rPr>
        <w:t>, Targeted</w:t>
      </w:r>
      <w:r w:rsidR="00C67D26" w:rsidRPr="009F7744">
        <w:rPr>
          <w:sz w:val="16"/>
          <w:szCs w:val="16"/>
        </w:rPr>
        <w:t xml:space="preserve"> lung </w:t>
      </w:r>
      <w:r w:rsidR="00254B69" w:rsidRPr="009F7744">
        <w:rPr>
          <w:sz w:val="16"/>
          <w:szCs w:val="16"/>
        </w:rPr>
        <w:t>healthcare checks for Shropshire, Telford and Wrekin</w:t>
      </w:r>
      <w:r w:rsidR="009F7744" w:rsidRPr="009F7744">
        <w:rPr>
          <w:sz w:val="16"/>
          <w:szCs w:val="16"/>
        </w:rPr>
        <w:t>, 19 May 2025</w:t>
      </w:r>
      <w:r w:rsidR="009F7744">
        <w:rPr>
          <w:sz w:val="16"/>
          <w:szCs w:val="16"/>
        </w:rPr>
        <w:t xml:space="preserve">; </w:t>
      </w:r>
      <w:r w:rsidR="009D58B5">
        <w:rPr>
          <w:sz w:val="16"/>
          <w:szCs w:val="16"/>
        </w:rPr>
        <w:t>CR0018-25, Primary care partner for urgent treatment centre at University Hospital Lewisham, 27 May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438E"/>
    <w:multiLevelType w:val="hybridMultilevel"/>
    <w:tmpl w:val="A2B43A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D525BD"/>
    <w:multiLevelType w:val="hybridMultilevel"/>
    <w:tmpl w:val="DC624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55AF1"/>
    <w:multiLevelType w:val="hybridMultilevel"/>
    <w:tmpl w:val="4FE446A6"/>
    <w:lvl w:ilvl="0" w:tplc="08090001">
      <w:start w:val="1"/>
      <w:numFmt w:val="bullet"/>
      <w:lvlText w:val=""/>
      <w:lvlJc w:val="left"/>
      <w:pPr>
        <w:ind w:left="1350" w:hanging="360"/>
      </w:pPr>
      <w:rPr>
        <w:rFonts w:ascii="Symbol" w:hAnsi="Symbol" w:hint="default"/>
      </w:rPr>
    </w:lvl>
    <w:lvl w:ilvl="1" w:tplc="08090003">
      <w:start w:val="1"/>
      <w:numFmt w:val="bullet"/>
      <w:lvlText w:val="o"/>
      <w:lvlJc w:val="left"/>
      <w:pPr>
        <w:ind w:left="2070" w:hanging="360"/>
      </w:pPr>
      <w:rPr>
        <w:rFonts w:ascii="Courier New" w:hAnsi="Courier New" w:cs="Courier New" w:hint="default"/>
      </w:rPr>
    </w:lvl>
    <w:lvl w:ilvl="2" w:tplc="08090005">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3" w15:restartNumberingAfterBreak="0">
    <w:nsid w:val="108155ED"/>
    <w:multiLevelType w:val="hybridMultilevel"/>
    <w:tmpl w:val="861666A6"/>
    <w:lvl w:ilvl="0" w:tplc="FBB63C9E">
      <w:start w:val="1"/>
      <w:numFmt w:val="lowerRoman"/>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78044E0"/>
    <w:multiLevelType w:val="multilevel"/>
    <w:tmpl w:val="728AAE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287"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0B5B06"/>
    <w:multiLevelType w:val="multilevel"/>
    <w:tmpl w:val="4E80F7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646942"/>
    <w:multiLevelType w:val="hybridMultilevel"/>
    <w:tmpl w:val="B21C61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2374F91"/>
    <w:multiLevelType w:val="multilevel"/>
    <w:tmpl w:val="728AAE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287"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A27C41"/>
    <w:multiLevelType w:val="hybridMultilevel"/>
    <w:tmpl w:val="32DC73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825573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88A6271"/>
    <w:multiLevelType w:val="hybridMultilevel"/>
    <w:tmpl w:val="A79E0CA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3702749D"/>
    <w:multiLevelType w:val="hybridMultilevel"/>
    <w:tmpl w:val="0A34F052"/>
    <w:lvl w:ilvl="0" w:tplc="F500862C">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7FE3E3C"/>
    <w:multiLevelType w:val="hybridMultilevel"/>
    <w:tmpl w:val="777E8C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B073398"/>
    <w:multiLevelType w:val="hybridMultilevel"/>
    <w:tmpl w:val="3BEA08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B7A7A81"/>
    <w:multiLevelType w:val="multilevel"/>
    <w:tmpl w:val="A5DA23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287"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60" w:hanging="42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1B7D62"/>
    <w:multiLevelType w:val="multilevel"/>
    <w:tmpl w:val="B43838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12D2443"/>
    <w:multiLevelType w:val="hybridMultilevel"/>
    <w:tmpl w:val="9F064A3C"/>
    <w:lvl w:ilvl="0" w:tplc="273219C0">
      <w:start w:val="1"/>
      <w:numFmt w:val="decimal"/>
      <w:lvlText w:val="%1."/>
      <w:lvlJc w:val="left"/>
      <w:pPr>
        <w:ind w:left="567" w:hanging="567"/>
      </w:pPr>
      <w:rPr>
        <w:rFonts w:hint="default"/>
      </w:rPr>
    </w:lvl>
    <w:lvl w:ilvl="1" w:tplc="08090019">
      <w:start w:val="1"/>
      <w:numFmt w:val="lowerLetter"/>
      <w:lvlText w:val="%2."/>
      <w:lvlJc w:val="left"/>
      <w:pPr>
        <w:ind w:left="1080" w:hanging="360"/>
      </w:pPr>
    </w:lvl>
    <w:lvl w:ilvl="2" w:tplc="6626508E">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40D5CFE"/>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C7D13E2"/>
    <w:multiLevelType w:val="hybridMultilevel"/>
    <w:tmpl w:val="D8C0EC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D910910"/>
    <w:multiLevelType w:val="multilevel"/>
    <w:tmpl w:val="4E80F7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A86B80"/>
    <w:multiLevelType w:val="hybridMultilevel"/>
    <w:tmpl w:val="A3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6A40C53"/>
    <w:multiLevelType w:val="multilevel"/>
    <w:tmpl w:val="728AAE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287"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D149D2"/>
    <w:multiLevelType w:val="hybridMultilevel"/>
    <w:tmpl w:val="6584EE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AFB1AA2"/>
    <w:multiLevelType w:val="hybridMultilevel"/>
    <w:tmpl w:val="E812BD6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BC274CF"/>
    <w:multiLevelType w:val="hybridMultilevel"/>
    <w:tmpl w:val="22CAE452"/>
    <w:lvl w:ilvl="0" w:tplc="08090001">
      <w:start w:val="1"/>
      <w:numFmt w:val="bullet"/>
      <w:lvlText w:val=""/>
      <w:lvlJc w:val="left"/>
      <w:pPr>
        <w:ind w:left="1571" w:hanging="360"/>
      </w:pPr>
      <w:rPr>
        <w:rFonts w:ascii="Symbol" w:hAnsi="Symbol" w:hint="default"/>
      </w:rPr>
    </w:lvl>
    <w:lvl w:ilvl="1" w:tplc="6EF4F54E">
      <w:numFmt w:val="bullet"/>
      <w:lvlText w:val="·"/>
      <w:lvlJc w:val="left"/>
      <w:pPr>
        <w:ind w:left="2291" w:hanging="360"/>
      </w:pPr>
      <w:rPr>
        <w:rFonts w:ascii="Arial" w:eastAsiaTheme="minorHAnsi" w:hAnsi="Arial" w:cs="Arial"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5D7F225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4AA26C6"/>
    <w:multiLevelType w:val="hybridMultilevel"/>
    <w:tmpl w:val="78168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9EB2585"/>
    <w:multiLevelType w:val="hybridMultilevel"/>
    <w:tmpl w:val="3928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8378F6"/>
    <w:multiLevelType w:val="hybridMultilevel"/>
    <w:tmpl w:val="9C82BAF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15:restartNumberingAfterBreak="0">
    <w:nsid w:val="6C055196"/>
    <w:multiLevelType w:val="multilevel"/>
    <w:tmpl w:val="728AAE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287"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EB1308"/>
    <w:multiLevelType w:val="hybridMultilevel"/>
    <w:tmpl w:val="B7467D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6E47660E"/>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361284F"/>
    <w:multiLevelType w:val="multilevel"/>
    <w:tmpl w:val="E2C2B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287"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low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D410E4"/>
    <w:multiLevelType w:val="hybridMultilevel"/>
    <w:tmpl w:val="52D87B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5F912E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6015A31"/>
    <w:multiLevelType w:val="hybridMultilevel"/>
    <w:tmpl w:val="AF524E64"/>
    <w:lvl w:ilvl="0" w:tplc="E890A3C8">
      <w:start w:val="1"/>
      <w:numFmt w:val="lowerLetter"/>
      <w:lvlText w:val="%1)"/>
      <w:lvlJc w:val="left"/>
      <w:pPr>
        <w:ind w:left="1020" w:hanging="360"/>
      </w:pPr>
    </w:lvl>
    <w:lvl w:ilvl="1" w:tplc="9D0430C4">
      <w:start w:val="1"/>
      <w:numFmt w:val="lowerLetter"/>
      <w:lvlText w:val="%2)"/>
      <w:lvlJc w:val="left"/>
      <w:pPr>
        <w:ind w:left="1020" w:hanging="360"/>
      </w:pPr>
    </w:lvl>
    <w:lvl w:ilvl="2" w:tplc="5E9264C6">
      <w:start w:val="1"/>
      <w:numFmt w:val="lowerLetter"/>
      <w:lvlText w:val="%3)"/>
      <w:lvlJc w:val="left"/>
      <w:pPr>
        <w:ind w:left="1020" w:hanging="360"/>
      </w:pPr>
    </w:lvl>
    <w:lvl w:ilvl="3" w:tplc="6F78E266">
      <w:start w:val="1"/>
      <w:numFmt w:val="lowerLetter"/>
      <w:lvlText w:val="%4)"/>
      <w:lvlJc w:val="left"/>
      <w:pPr>
        <w:ind w:left="1020" w:hanging="360"/>
      </w:pPr>
    </w:lvl>
    <w:lvl w:ilvl="4" w:tplc="E4E6CA3C">
      <w:start w:val="1"/>
      <w:numFmt w:val="lowerLetter"/>
      <w:lvlText w:val="%5)"/>
      <w:lvlJc w:val="left"/>
      <w:pPr>
        <w:ind w:left="1020" w:hanging="360"/>
      </w:pPr>
    </w:lvl>
    <w:lvl w:ilvl="5" w:tplc="F266CBCA">
      <w:start w:val="1"/>
      <w:numFmt w:val="lowerLetter"/>
      <w:lvlText w:val="%6)"/>
      <w:lvlJc w:val="left"/>
      <w:pPr>
        <w:ind w:left="1020" w:hanging="360"/>
      </w:pPr>
    </w:lvl>
    <w:lvl w:ilvl="6" w:tplc="A2C604FC">
      <w:start w:val="1"/>
      <w:numFmt w:val="lowerLetter"/>
      <w:lvlText w:val="%7)"/>
      <w:lvlJc w:val="left"/>
      <w:pPr>
        <w:ind w:left="1020" w:hanging="360"/>
      </w:pPr>
    </w:lvl>
    <w:lvl w:ilvl="7" w:tplc="79F077FC">
      <w:start w:val="1"/>
      <w:numFmt w:val="lowerLetter"/>
      <w:lvlText w:val="%8)"/>
      <w:lvlJc w:val="left"/>
      <w:pPr>
        <w:ind w:left="1020" w:hanging="360"/>
      </w:pPr>
    </w:lvl>
    <w:lvl w:ilvl="8" w:tplc="7D1AAB4C">
      <w:start w:val="1"/>
      <w:numFmt w:val="lowerLetter"/>
      <w:lvlText w:val="%9)"/>
      <w:lvlJc w:val="left"/>
      <w:pPr>
        <w:ind w:left="1020" w:hanging="360"/>
      </w:pPr>
    </w:lvl>
  </w:abstractNum>
  <w:abstractNum w:abstractNumId="36" w15:restartNumberingAfterBreak="0">
    <w:nsid w:val="765619C7"/>
    <w:multiLevelType w:val="multilevel"/>
    <w:tmpl w:val="76B0DD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287"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D53A45"/>
    <w:multiLevelType w:val="hybridMultilevel"/>
    <w:tmpl w:val="3BA8E4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7A12626E"/>
    <w:multiLevelType w:val="multilevel"/>
    <w:tmpl w:val="E82C90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AE9093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7E334541"/>
    <w:multiLevelType w:val="hybridMultilevel"/>
    <w:tmpl w:val="3E187C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FBA5CA5"/>
    <w:multiLevelType w:val="hybridMultilevel"/>
    <w:tmpl w:val="FBB4DE56"/>
    <w:lvl w:ilvl="0" w:tplc="08090001">
      <w:start w:val="1"/>
      <w:numFmt w:val="bullet"/>
      <w:lvlText w:val=""/>
      <w:lvlJc w:val="left"/>
      <w:pPr>
        <w:ind w:left="675" w:hanging="360"/>
      </w:pPr>
      <w:rPr>
        <w:rFonts w:ascii="Symbol" w:hAnsi="Symbo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num w:numId="1" w16cid:durableId="84503779">
    <w:abstractNumId w:val="16"/>
  </w:num>
  <w:num w:numId="2" w16cid:durableId="1629435474">
    <w:abstractNumId w:val="11"/>
  </w:num>
  <w:num w:numId="3" w16cid:durableId="1644848656">
    <w:abstractNumId w:val="20"/>
  </w:num>
  <w:num w:numId="4" w16cid:durableId="1069158940">
    <w:abstractNumId w:val="40"/>
  </w:num>
  <w:num w:numId="5" w16cid:durableId="66223732">
    <w:abstractNumId w:val="33"/>
  </w:num>
  <w:num w:numId="6" w16cid:durableId="45104576">
    <w:abstractNumId w:val="8"/>
  </w:num>
  <w:num w:numId="7" w16cid:durableId="535628692">
    <w:abstractNumId w:val="18"/>
  </w:num>
  <w:num w:numId="8" w16cid:durableId="197207422">
    <w:abstractNumId w:val="39"/>
  </w:num>
  <w:num w:numId="9" w16cid:durableId="177431390">
    <w:abstractNumId w:val="26"/>
  </w:num>
  <w:num w:numId="10" w16cid:durableId="1663048386">
    <w:abstractNumId w:val="12"/>
  </w:num>
  <w:num w:numId="11" w16cid:durableId="482893822">
    <w:abstractNumId w:val="24"/>
  </w:num>
  <w:num w:numId="12" w16cid:durableId="483547618">
    <w:abstractNumId w:val="0"/>
  </w:num>
  <w:num w:numId="13" w16cid:durableId="1635524885">
    <w:abstractNumId w:val="27"/>
  </w:num>
  <w:num w:numId="14" w16cid:durableId="1928298216">
    <w:abstractNumId w:val="28"/>
  </w:num>
  <w:num w:numId="15" w16cid:durableId="1141534705">
    <w:abstractNumId w:val="19"/>
  </w:num>
  <w:num w:numId="16" w16cid:durableId="1696733202">
    <w:abstractNumId w:val="5"/>
  </w:num>
  <w:num w:numId="17" w16cid:durableId="1817334451">
    <w:abstractNumId w:val="32"/>
  </w:num>
  <w:num w:numId="18" w16cid:durableId="1819105829">
    <w:abstractNumId w:val="36"/>
  </w:num>
  <w:num w:numId="19" w16cid:durableId="84542496">
    <w:abstractNumId w:val="41"/>
  </w:num>
  <w:num w:numId="20" w16cid:durableId="1152066387">
    <w:abstractNumId w:val="22"/>
  </w:num>
  <w:num w:numId="21" w16cid:durableId="1034892801">
    <w:abstractNumId w:val="2"/>
  </w:num>
  <w:num w:numId="22" w16cid:durableId="1244948278">
    <w:abstractNumId w:val="23"/>
  </w:num>
  <w:num w:numId="23" w16cid:durableId="2060518511">
    <w:abstractNumId w:val="13"/>
  </w:num>
  <w:num w:numId="24" w16cid:durableId="1271166085">
    <w:abstractNumId w:val="30"/>
  </w:num>
  <w:num w:numId="25" w16cid:durableId="1886136617">
    <w:abstractNumId w:val="21"/>
  </w:num>
  <w:num w:numId="26" w16cid:durableId="959602956">
    <w:abstractNumId w:val="3"/>
  </w:num>
  <w:num w:numId="27" w16cid:durableId="91046998">
    <w:abstractNumId w:val="29"/>
  </w:num>
  <w:num w:numId="28" w16cid:durableId="934437245">
    <w:abstractNumId w:val="14"/>
  </w:num>
  <w:num w:numId="29" w16cid:durableId="1606814867">
    <w:abstractNumId w:val="4"/>
  </w:num>
  <w:num w:numId="30" w16cid:durableId="1988783022">
    <w:abstractNumId w:val="11"/>
  </w:num>
  <w:num w:numId="31" w16cid:durableId="198973722">
    <w:abstractNumId w:val="11"/>
  </w:num>
  <w:num w:numId="32" w16cid:durableId="788282220">
    <w:abstractNumId w:val="11"/>
  </w:num>
  <w:num w:numId="33" w16cid:durableId="1507285086">
    <w:abstractNumId w:val="11"/>
  </w:num>
  <w:num w:numId="34" w16cid:durableId="1259487693">
    <w:abstractNumId w:val="7"/>
  </w:num>
  <w:num w:numId="35" w16cid:durableId="925727243">
    <w:abstractNumId w:val="11"/>
  </w:num>
  <w:num w:numId="36" w16cid:durableId="398674665">
    <w:abstractNumId w:val="11"/>
  </w:num>
  <w:num w:numId="37" w16cid:durableId="1050112049">
    <w:abstractNumId w:val="11"/>
  </w:num>
  <w:num w:numId="38" w16cid:durableId="623386526">
    <w:abstractNumId w:val="11"/>
  </w:num>
  <w:num w:numId="39" w16cid:durableId="357974111">
    <w:abstractNumId w:val="35"/>
  </w:num>
  <w:num w:numId="40" w16cid:durableId="140929458">
    <w:abstractNumId w:val="11"/>
  </w:num>
  <w:num w:numId="41" w16cid:durableId="143281188">
    <w:abstractNumId w:val="11"/>
  </w:num>
  <w:num w:numId="42" w16cid:durableId="368650633">
    <w:abstractNumId w:val="11"/>
  </w:num>
  <w:num w:numId="43" w16cid:durableId="1846431177">
    <w:abstractNumId w:val="39"/>
  </w:num>
  <w:num w:numId="44" w16cid:durableId="742139601">
    <w:abstractNumId w:val="11"/>
  </w:num>
  <w:num w:numId="45" w16cid:durableId="1668089452">
    <w:abstractNumId w:val="1"/>
  </w:num>
  <w:num w:numId="46" w16cid:durableId="1885941528">
    <w:abstractNumId w:val="11"/>
  </w:num>
  <w:num w:numId="47" w16cid:durableId="919603271">
    <w:abstractNumId w:val="11"/>
  </w:num>
  <w:num w:numId="48" w16cid:durableId="139463876">
    <w:abstractNumId w:val="37"/>
  </w:num>
  <w:num w:numId="49" w16cid:durableId="195391958">
    <w:abstractNumId w:val="11"/>
  </w:num>
  <w:num w:numId="50" w16cid:durableId="433596178">
    <w:abstractNumId w:val="10"/>
  </w:num>
  <w:num w:numId="51" w16cid:durableId="1425808573">
    <w:abstractNumId w:val="38"/>
  </w:num>
  <w:num w:numId="52" w16cid:durableId="2133788986">
    <w:abstractNumId w:val="6"/>
  </w:num>
  <w:num w:numId="53" w16cid:durableId="261455495">
    <w:abstractNumId w:val="15"/>
  </w:num>
  <w:num w:numId="54" w16cid:durableId="1828475653">
    <w:abstractNumId w:val="31"/>
  </w:num>
  <w:num w:numId="55" w16cid:durableId="34936576">
    <w:abstractNumId w:val="9"/>
  </w:num>
  <w:num w:numId="56" w16cid:durableId="1014725220">
    <w:abstractNumId w:val="17"/>
  </w:num>
  <w:num w:numId="57" w16cid:durableId="706488504">
    <w:abstractNumId w:val="34"/>
  </w:num>
  <w:num w:numId="58" w16cid:durableId="940531758">
    <w:abstractNumId w:val="25"/>
  </w:num>
  <w:num w:numId="59" w16cid:durableId="1078910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2BmKkTGavhJZq4BpG1sMiqAK1zxdxOumND0Wu6O2fFCbYeTP98MvScP4FxQnE2HLodhJ8ASWEvrQaloG2kFAcQ==" w:salt="lWqPKrlkOTj3N76cRitz0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A3"/>
    <w:rsid w:val="00000074"/>
    <w:rsid w:val="0000024C"/>
    <w:rsid w:val="0000037E"/>
    <w:rsid w:val="000004E8"/>
    <w:rsid w:val="0000065A"/>
    <w:rsid w:val="0000074D"/>
    <w:rsid w:val="00000BEE"/>
    <w:rsid w:val="00000F62"/>
    <w:rsid w:val="00001091"/>
    <w:rsid w:val="00001319"/>
    <w:rsid w:val="0000135C"/>
    <w:rsid w:val="0000142A"/>
    <w:rsid w:val="000015AC"/>
    <w:rsid w:val="00001983"/>
    <w:rsid w:val="00001CC0"/>
    <w:rsid w:val="00002006"/>
    <w:rsid w:val="000020F9"/>
    <w:rsid w:val="000021E5"/>
    <w:rsid w:val="00002466"/>
    <w:rsid w:val="00002473"/>
    <w:rsid w:val="000026CF"/>
    <w:rsid w:val="0000277C"/>
    <w:rsid w:val="000029C7"/>
    <w:rsid w:val="00002AC7"/>
    <w:rsid w:val="00002B1D"/>
    <w:rsid w:val="00002EE6"/>
    <w:rsid w:val="00003033"/>
    <w:rsid w:val="000032A1"/>
    <w:rsid w:val="000038DA"/>
    <w:rsid w:val="00003AD0"/>
    <w:rsid w:val="00003EA7"/>
    <w:rsid w:val="00004079"/>
    <w:rsid w:val="00004103"/>
    <w:rsid w:val="000043AB"/>
    <w:rsid w:val="000043E1"/>
    <w:rsid w:val="000047DF"/>
    <w:rsid w:val="00004B6C"/>
    <w:rsid w:val="00004C04"/>
    <w:rsid w:val="00005386"/>
    <w:rsid w:val="0000551B"/>
    <w:rsid w:val="0000583E"/>
    <w:rsid w:val="00005D3A"/>
    <w:rsid w:val="00005D41"/>
    <w:rsid w:val="00005FCC"/>
    <w:rsid w:val="00006770"/>
    <w:rsid w:val="00006968"/>
    <w:rsid w:val="00006B05"/>
    <w:rsid w:val="00006E76"/>
    <w:rsid w:val="00006EBE"/>
    <w:rsid w:val="00007616"/>
    <w:rsid w:val="00007679"/>
    <w:rsid w:val="00007720"/>
    <w:rsid w:val="00007742"/>
    <w:rsid w:val="00007B46"/>
    <w:rsid w:val="00007BEC"/>
    <w:rsid w:val="00007EC7"/>
    <w:rsid w:val="00007EE7"/>
    <w:rsid w:val="00010067"/>
    <w:rsid w:val="000104BD"/>
    <w:rsid w:val="000105F7"/>
    <w:rsid w:val="0001081C"/>
    <w:rsid w:val="0001096F"/>
    <w:rsid w:val="00010AB4"/>
    <w:rsid w:val="00010C5E"/>
    <w:rsid w:val="00010FD6"/>
    <w:rsid w:val="00011516"/>
    <w:rsid w:val="00011C6A"/>
    <w:rsid w:val="00011CB0"/>
    <w:rsid w:val="00011D3B"/>
    <w:rsid w:val="00012458"/>
    <w:rsid w:val="000124C0"/>
    <w:rsid w:val="000126D6"/>
    <w:rsid w:val="00012724"/>
    <w:rsid w:val="000128FC"/>
    <w:rsid w:val="00012934"/>
    <w:rsid w:val="00012981"/>
    <w:rsid w:val="000129AE"/>
    <w:rsid w:val="00012D9D"/>
    <w:rsid w:val="00012F5D"/>
    <w:rsid w:val="0001317B"/>
    <w:rsid w:val="000134EF"/>
    <w:rsid w:val="0001372F"/>
    <w:rsid w:val="00013BA9"/>
    <w:rsid w:val="00013BF2"/>
    <w:rsid w:val="00013CBF"/>
    <w:rsid w:val="000141AB"/>
    <w:rsid w:val="00014CF4"/>
    <w:rsid w:val="00015133"/>
    <w:rsid w:val="0001529A"/>
    <w:rsid w:val="00015422"/>
    <w:rsid w:val="00015A80"/>
    <w:rsid w:val="00015CDA"/>
    <w:rsid w:val="00015D95"/>
    <w:rsid w:val="00015F32"/>
    <w:rsid w:val="00016102"/>
    <w:rsid w:val="000163C6"/>
    <w:rsid w:val="000163E1"/>
    <w:rsid w:val="0001652E"/>
    <w:rsid w:val="00016718"/>
    <w:rsid w:val="00016AE9"/>
    <w:rsid w:val="00016DAB"/>
    <w:rsid w:val="0001738B"/>
    <w:rsid w:val="000177FE"/>
    <w:rsid w:val="0001783E"/>
    <w:rsid w:val="0001786F"/>
    <w:rsid w:val="000178B2"/>
    <w:rsid w:val="0001794B"/>
    <w:rsid w:val="00017BF6"/>
    <w:rsid w:val="00017CE5"/>
    <w:rsid w:val="00017D0D"/>
    <w:rsid w:val="0002023D"/>
    <w:rsid w:val="0002033A"/>
    <w:rsid w:val="000208B6"/>
    <w:rsid w:val="00020A44"/>
    <w:rsid w:val="00020DB5"/>
    <w:rsid w:val="00020E2F"/>
    <w:rsid w:val="00020E4B"/>
    <w:rsid w:val="00020FEE"/>
    <w:rsid w:val="000210C0"/>
    <w:rsid w:val="000211BD"/>
    <w:rsid w:val="000213BA"/>
    <w:rsid w:val="00021461"/>
    <w:rsid w:val="000215AA"/>
    <w:rsid w:val="00021721"/>
    <w:rsid w:val="000217C6"/>
    <w:rsid w:val="00021F20"/>
    <w:rsid w:val="000221B5"/>
    <w:rsid w:val="000221F1"/>
    <w:rsid w:val="000222C1"/>
    <w:rsid w:val="00022358"/>
    <w:rsid w:val="000226D9"/>
    <w:rsid w:val="00022B49"/>
    <w:rsid w:val="00023790"/>
    <w:rsid w:val="000237AE"/>
    <w:rsid w:val="00023ABA"/>
    <w:rsid w:val="00023B60"/>
    <w:rsid w:val="00023DA7"/>
    <w:rsid w:val="00024176"/>
    <w:rsid w:val="0002467F"/>
    <w:rsid w:val="000246A6"/>
    <w:rsid w:val="000246CD"/>
    <w:rsid w:val="00024F70"/>
    <w:rsid w:val="00024F9F"/>
    <w:rsid w:val="00024FE8"/>
    <w:rsid w:val="00025045"/>
    <w:rsid w:val="000257C3"/>
    <w:rsid w:val="00025B7F"/>
    <w:rsid w:val="00025C08"/>
    <w:rsid w:val="00025C99"/>
    <w:rsid w:val="00025CD9"/>
    <w:rsid w:val="0002603D"/>
    <w:rsid w:val="0002608D"/>
    <w:rsid w:val="00026263"/>
    <w:rsid w:val="00026421"/>
    <w:rsid w:val="0002663D"/>
    <w:rsid w:val="00026972"/>
    <w:rsid w:val="000269F3"/>
    <w:rsid w:val="00026B50"/>
    <w:rsid w:val="00026D05"/>
    <w:rsid w:val="00027190"/>
    <w:rsid w:val="000271DE"/>
    <w:rsid w:val="00027266"/>
    <w:rsid w:val="000273B6"/>
    <w:rsid w:val="0002744D"/>
    <w:rsid w:val="00027856"/>
    <w:rsid w:val="000278A0"/>
    <w:rsid w:val="00027F1A"/>
    <w:rsid w:val="00030169"/>
    <w:rsid w:val="000302B1"/>
    <w:rsid w:val="00030367"/>
    <w:rsid w:val="000303C2"/>
    <w:rsid w:val="00030769"/>
    <w:rsid w:val="0003077B"/>
    <w:rsid w:val="00031DEE"/>
    <w:rsid w:val="00031ED9"/>
    <w:rsid w:val="000325BB"/>
    <w:rsid w:val="000327C1"/>
    <w:rsid w:val="000328FF"/>
    <w:rsid w:val="00032A51"/>
    <w:rsid w:val="00032A88"/>
    <w:rsid w:val="00032E40"/>
    <w:rsid w:val="00032E77"/>
    <w:rsid w:val="000330E9"/>
    <w:rsid w:val="00033164"/>
    <w:rsid w:val="0003354C"/>
    <w:rsid w:val="0003389C"/>
    <w:rsid w:val="000339BE"/>
    <w:rsid w:val="000339F7"/>
    <w:rsid w:val="00033E95"/>
    <w:rsid w:val="00033F4C"/>
    <w:rsid w:val="00034086"/>
    <w:rsid w:val="000340D5"/>
    <w:rsid w:val="00034339"/>
    <w:rsid w:val="0003435A"/>
    <w:rsid w:val="000343B2"/>
    <w:rsid w:val="000346BA"/>
    <w:rsid w:val="000347F9"/>
    <w:rsid w:val="00034944"/>
    <w:rsid w:val="000351CC"/>
    <w:rsid w:val="0003530B"/>
    <w:rsid w:val="0003575C"/>
    <w:rsid w:val="000359A7"/>
    <w:rsid w:val="00035B98"/>
    <w:rsid w:val="00036328"/>
    <w:rsid w:val="00036444"/>
    <w:rsid w:val="0003691A"/>
    <w:rsid w:val="00036B89"/>
    <w:rsid w:val="00036CEB"/>
    <w:rsid w:val="00036EC2"/>
    <w:rsid w:val="000371D3"/>
    <w:rsid w:val="00037306"/>
    <w:rsid w:val="0003735B"/>
    <w:rsid w:val="00037623"/>
    <w:rsid w:val="00037660"/>
    <w:rsid w:val="000376D4"/>
    <w:rsid w:val="000379F0"/>
    <w:rsid w:val="00037A3F"/>
    <w:rsid w:val="00037B01"/>
    <w:rsid w:val="00037B0C"/>
    <w:rsid w:val="00037EDC"/>
    <w:rsid w:val="00040229"/>
    <w:rsid w:val="000405F4"/>
    <w:rsid w:val="00040645"/>
    <w:rsid w:val="000409DC"/>
    <w:rsid w:val="00040B14"/>
    <w:rsid w:val="00040E61"/>
    <w:rsid w:val="00040EEC"/>
    <w:rsid w:val="00040F21"/>
    <w:rsid w:val="00041194"/>
    <w:rsid w:val="0004135D"/>
    <w:rsid w:val="00041473"/>
    <w:rsid w:val="000414DF"/>
    <w:rsid w:val="00041571"/>
    <w:rsid w:val="00041A04"/>
    <w:rsid w:val="00041BD4"/>
    <w:rsid w:val="00042052"/>
    <w:rsid w:val="0004209F"/>
    <w:rsid w:val="00042100"/>
    <w:rsid w:val="00042546"/>
    <w:rsid w:val="0004297F"/>
    <w:rsid w:val="00042AB3"/>
    <w:rsid w:val="00042D13"/>
    <w:rsid w:val="00042D8D"/>
    <w:rsid w:val="00043295"/>
    <w:rsid w:val="0004372B"/>
    <w:rsid w:val="000437D3"/>
    <w:rsid w:val="00043827"/>
    <w:rsid w:val="000438E6"/>
    <w:rsid w:val="000439A6"/>
    <w:rsid w:val="00043AD4"/>
    <w:rsid w:val="00043C5D"/>
    <w:rsid w:val="00043CE1"/>
    <w:rsid w:val="00043EEC"/>
    <w:rsid w:val="0004408A"/>
    <w:rsid w:val="0004423B"/>
    <w:rsid w:val="00044370"/>
    <w:rsid w:val="000443C8"/>
    <w:rsid w:val="00044D34"/>
    <w:rsid w:val="00044D43"/>
    <w:rsid w:val="00045302"/>
    <w:rsid w:val="0004541A"/>
    <w:rsid w:val="0004550B"/>
    <w:rsid w:val="0004552F"/>
    <w:rsid w:val="00045992"/>
    <w:rsid w:val="000462E1"/>
    <w:rsid w:val="00046419"/>
    <w:rsid w:val="00046689"/>
    <w:rsid w:val="00046C3A"/>
    <w:rsid w:val="00046C85"/>
    <w:rsid w:val="00046EB1"/>
    <w:rsid w:val="00046F65"/>
    <w:rsid w:val="00047060"/>
    <w:rsid w:val="000473CD"/>
    <w:rsid w:val="000474A9"/>
    <w:rsid w:val="00047531"/>
    <w:rsid w:val="0004768D"/>
    <w:rsid w:val="00047837"/>
    <w:rsid w:val="00047CA9"/>
    <w:rsid w:val="00047E1F"/>
    <w:rsid w:val="00047ECE"/>
    <w:rsid w:val="00047F2B"/>
    <w:rsid w:val="00047FA4"/>
    <w:rsid w:val="00050383"/>
    <w:rsid w:val="0005069D"/>
    <w:rsid w:val="000506F7"/>
    <w:rsid w:val="000507CA"/>
    <w:rsid w:val="0005086D"/>
    <w:rsid w:val="00050E1D"/>
    <w:rsid w:val="00050EDE"/>
    <w:rsid w:val="00050FCE"/>
    <w:rsid w:val="0005117F"/>
    <w:rsid w:val="0005118D"/>
    <w:rsid w:val="000512E0"/>
    <w:rsid w:val="000514DD"/>
    <w:rsid w:val="00051816"/>
    <w:rsid w:val="0005185F"/>
    <w:rsid w:val="00051881"/>
    <w:rsid w:val="00051F27"/>
    <w:rsid w:val="00052381"/>
    <w:rsid w:val="0005289D"/>
    <w:rsid w:val="00052908"/>
    <w:rsid w:val="0005297A"/>
    <w:rsid w:val="00052D5C"/>
    <w:rsid w:val="00053106"/>
    <w:rsid w:val="00053845"/>
    <w:rsid w:val="000538FB"/>
    <w:rsid w:val="00053BD2"/>
    <w:rsid w:val="00053E01"/>
    <w:rsid w:val="00053E7B"/>
    <w:rsid w:val="000543AE"/>
    <w:rsid w:val="000546F4"/>
    <w:rsid w:val="000548BD"/>
    <w:rsid w:val="00054932"/>
    <w:rsid w:val="00054F9E"/>
    <w:rsid w:val="0005501A"/>
    <w:rsid w:val="000550A5"/>
    <w:rsid w:val="0005531F"/>
    <w:rsid w:val="0005552A"/>
    <w:rsid w:val="000555CF"/>
    <w:rsid w:val="00055785"/>
    <w:rsid w:val="00055E58"/>
    <w:rsid w:val="0005601E"/>
    <w:rsid w:val="000560B0"/>
    <w:rsid w:val="0005616B"/>
    <w:rsid w:val="00056229"/>
    <w:rsid w:val="0005632D"/>
    <w:rsid w:val="0005664C"/>
    <w:rsid w:val="000566B2"/>
    <w:rsid w:val="00056A3F"/>
    <w:rsid w:val="00056A46"/>
    <w:rsid w:val="00056F85"/>
    <w:rsid w:val="00056FB9"/>
    <w:rsid w:val="000572DF"/>
    <w:rsid w:val="000573E3"/>
    <w:rsid w:val="00057AE1"/>
    <w:rsid w:val="00057C78"/>
    <w:rsid w:val="00057F21"/>
    <w:rsid w:val="00057F8E"/>
    <w:rsid w:val="0006018A"/>
    <w:rsid w:val="00060224"/>
    <w:rsid w:val="000604BE"/>
    <w:rsid w:val="000604F0"/>
    <w:rsid w:val="00060C4C"/>
    <w:rsid w:val="00060C9F"/>
    <w:rsid w:val="00061159"/>
    <w:rsid w:val="0006138F"/>
    <w:rsid w:val="00061543"/>
    <w:rsid w:val="00061620"/>
    <w:rsid w:val="000616AD"/>
    <w:rsid w:val="00061A71"/>
    <w:rsid w:val="00061BEA"/>
    <w:rsid w:val="00061EDD"/>
    <w:rsid w:val="000620B7"/>
    <w:rsid w:val="000620FF"/>
    <w:rsid w:val="000622C6"/>
    <w:rsid w:val="00062DA3"/>
    <w:rsid w:val="00062E71"/>
    <w:rsid w:val="0006308F"/>
    <w:rsid w:val="00064032"/>
    <w:rsid w:val="000644CD"/>
    <w:rsid w:val="00064544"/>
    <w:rsid w:val="0006482D"/>
    <w:rsid w:val="00064ADF"/>
    <w:rsid w:val="00064EDC"/>
    <w:rsid w:val="00065388"/>
    <w:rsid w:val="000654E5"/>
    <w:rsid w:val="000654EB"/>
    <w:rsid w:val="000655B1"/>
    <w:rsid w:val="00065A15"/>
    <w:rsid w:val="00065BF3"/>
    <w:rsid w:val="00066113"/>
    <w:rsid w:val="000662F7"/>
    <w:rsid w:val="0006667D"/>
    <w:rsid w:val="00066981"/>
    <w:rsid w:val="00066B19"/>
    <w:rsid w:val="00066EE6"/>
    <w:rsid w:val="00066FAB"/>
    <w:rsid w:val="00067111"/>
    <w:rsid w:val="000673EC"/>
    <w:rsid w:val="00067751"/>
    <w:rsid w:val="00067906"/>
    <w:rsid w:val="00067FE0"/>
    <w:rsid w:val="00070273"/>
    <w:rsid w:val="00070319"/>
    <w:rsid w:val="00070806"/>
    <w:rsid w:val="00070808"/>
    <w:rsid w:val="000714CD"/>
    <w:rsid w:val="000716AE"/>
    <w:rsid w:val="00071862"/>
    <w:rsid w:val="00071D32"/>
    <w:rsid w:val="00071ED7"/>
    <w:rsid w:val="000722F0"/>
    <w:rsid w:val="000726B2"/>
    <w:rsid w:val="000727D5"/>
    <w:rsid w:val="00072888"/>
    <w:rsid w:val="0007292A"/>
    <w:rsid w:val="00072A6D"/>
    <w:rsid w:val="00072A9C"/>
    <w:rsid w:val="00072BD4"/>
    <w:rsid w:val="00072D1C"/>
    <w:rsid w:val="00072D2B"/>
    <w:rsid w:val="00073085"/>
    <w:rsid w:val="0007316F"/>
    <w:rsid w:val="000733DE"/>
    <w:rsid w:val="0007341D"/>
    <w:rsid w:val="00073523"/>
    <w:rsid w:val="0007366C"/>
    <w:rsid w:val="000738F2"/>
    <w:rsid w:val="000739E1"/>
    <w:rsid w:val="00073F35"/>
    <w:rsid w:val="000740E9"/>
    <w:rsid w:val="00074260"/>
    <w:rsid w:val="00074479"/>
    <w:rsid w:val="00074668"/>
    <w:rsid w:val="000746BD"/>
    <w:rsid w:val="00074928"/>
    <w:rsid w:val="00074930"/>
    <w:rsid w:val="00074CBC"/>
    <w:rsid w:val="00074EEC"/>
    <w:rsid w:val="000751AE"/>
    <w:rsid w:val="000752B3"/>
    <w:rsid w:val="000753C2"/>
    <w:rsid w:val="000757DB"/>
    <w:rsid w:val="000757F1"/>
    <w:rsid w:val="000759CB"/>
    <w:rsid w:val="00075BC2"/>
    <w:rsid w:val="00075F62"/>
    <w:rsid w:val="000764E3"/>
    <w:rsid w:val="0007670F"/>
    <w:rsid w:val="00076811"/>
    <w:rsid w:val="00076829"/>
    <w:rsid w:val="0007686A"/>
    <w:rsid w:val="000768E0"/>
    <w:rsid w:val="00076A94"/>
    <w:rsid w:val="00076C20"/>
    <w:rsid w:val="00076FC6"/>
    <w:rsid w:val="00077610"/>
    <w:rsid w:val="00077645"/>
    <w:rsid w:val="0007782A"/>
    <w:rsid w:val="00077866"/>
    <w:rsid w:val="000779D4"/>
    <w:rsid w:val="00077AFF"/>
    <w:rsid w:val="00077BA1"/>
    <w:rsid w:val="00077C7C"/>
    <w:rsid w:val="00077ECD"/>
    <w:rsid w:val="0008024C"/>
    <w:rsid w:val="00080310"/>
    <w:rsid w:val="000808A5"/>
    <w:rsid w:val="00080967"/>
    <w:rsid w:val="00080A23"/>
    <w:rsid w:val="00080C29"/>
    <w:rsid w:val="00080C48"/>
    <w:rsid w:val="00080DB4"/>
    <w:rsid w:val="00080F4D"/>
    <w:rsid w:val="00081012"/>
    <w:rsid w:val="0008153C"/>
    <w:rsid w:val="00081852"/>
    <w:rsid w:val="00081AB2"/>
    <w:rsid w:val="0008223C"/>
    <w:rsid w:val="00082384"/>
    <w:rsid w:val="0008241A"/>
    <w:rsid w:val="00082465"/>
    <w:rsid w:val="00082914"/>
    <w:rsid w:val="00083229"/>
    <w:rsid w:val="00083248"/>
    <w:rsid w:val="000832D1"/>
    <w:rsid w:val="0008348B"/>
    <w:rsid w:val="00083ED0"/>
    <w:rsid w:val="00084326"/>
    <w:rsid w:val="000843A9"/>
    <w:rsid w:val="0008449C"/>
    <w:rsid w:val="00084B02"/>
    <w:rsid w:val="00084F6F"/>
    <w:rsid w:val="000853F7"/>
    <w:rsid w:val="00085C53"/>
    <w:rsid w:val="00085D7D"/>
    <w:rsid w:val="00086021"/>
    <w:rsid w:val="00086155"/>
    <w:rsid w:val="0008643B"/>
    <w:rsid w:val="000866CD"/>
    <w:rsid w:val="00086805"/>
    <w:rsid w:val="0008686E"/>
    <w:rsid w:val="00086FDA"/>
    <w:rsid w:val="0008706A"/>
    <w:rsid w:val="0008709E"/>
    <w:rsid w:val="00087416"/>
    <w:rsid w:val="000876D6"/>
    <w:rsid w:val="000877A7"/>
    <w:rsid w:val="0008784B"/>
    <w:rsid w:val="000878D1"/>
    <w:rsid w:val="00087ABF"/>
    <w:rsid w:val="00087B0F"/>
    <w:rsid w:val="00087B26"/>
    <w:rsid w:val="00087C44"/>
    <w:rsid w:val="00087DD6"/>
    <w:rsid w:val="00087E6C"/>
    <w:rsid w:val="000902B2"/>
    <w:rsid w:val="00090409"/>
    <w:rsid w:val="000906C0"/>
    <w:rsid w:val="000906C1"/>
    <w:rsid w:val="0009080C"/>
    <w:rsid w:val="00090AA7"/>
    <w:rsid w:val="00090BF5"/>
    <w:rsid w:val="00090E88"/>
    <w:rsid w:val="00090F17"/>
    <w:rsid w:val="00091104"/>
    <w:rsid w:val="000919EC"/>
    <w:rsid w:val="00091C03"/>
    <w:rsid w:val="000925F1"/>
    <w:rsid w:val="00092C87"/>
    <w:rsid w:val="00093006"/>
    <w:rsid w:val="00093060"/>
    <w:rsid w:val="000932EB"/>
    <w:rsid w:val="00093454"/>
    <w:rsid w:val="0009346E"/>
    <w:rsid w:val="00093B8D"/>
    <w:rsid w:val="00093B96"/>
    <w:rsid w:val="00093DA1"/>
    <w:rsid w:val="00093FA4"/>
    <w:rsid w:val="00094081"/>
    <w:rsid w:val="000941EE"/>
    <w:rsid w:val="00094612"/>
    <w:rsid w:val="000947C9"/>
    <w:rsid w:val="000948AD"/>
    <w:rsid w:val="00094A9B"/>
    <w:rsid w:val="00094B62"/>
    <w:rsid w:val="00094BED"/>
    <w:rsid w:val="00094E28"/>
    <w:rsid w:val="00094EC9"/>
    <w:rsid w:val="0009526D"/>
    <w:rsid w:val="000953B7"/>
    <w:rsid w:val="000955B3"/>
    <w:rsid w:val="000957ED"/>
    <w:rsid w:val="00095898"/>
    <w:rsid w:val="00095BCB"/>
    <w:rsid w:val="00095C49"/>
    <w:rsid w:val="000965C4"/>
    <w:rsid w:val="00096603"/>
    <w:rsid w:val="000966E9"/>
    <w:rsid w:val="00096812"/>
    <w:rsid w:val="0009689E"/>
    <w:rsid w:val="000968E2"/>
    <w:rsid w:val="00096D0B"/>
    <w:rsid w:val="000975FF"/>
    <w:rsid w:val="00097EAC"/>
    <w:rsid w:val="00097ED9"/>
    <w:rsid w:val="00097FE5"/>
    <w:rsid w:val="000A0026"/>
    <w:rsid w:val="000A0058"/>
    <w:rsid w:val="000A00AE"/>
    <w:rsid w:val="000A00F0"/>
    <w:rsid w:val="000A026F"/>
    <w:rsid w:val="000A03BF"/>
    <w:rsid w:val="000A056C"/>
    <w:rsid w:val="000A05BF"/>
    <w:rsid w:val="000A0652"/>
    <w:rsid w:val="000A0C8C"/>
    <w:rsid w:val="000A0CDA"/>
    <w:rsid w:val="000A114D"/>
    <w:rsid w:val="000A177D"/>
    <w:rsid w:val="000A186A"/>
    <w:rsid w:val="000A1929"/>
    <w:rsid w:val="000A1B04"/>
    <w:rsid w:val="000A1BEA"/>
    <w:rsid w:val="000A1D11"/>
    <w:rsid w:val="000A1D7B"/>
    <w:rsid w:val="000A1E1C"/>
    <w:rsid w:val="000A1EB8"/>
    <w:rsid w:val="000A20F2"/>
    <w:rsid w:val="000A282F"/>
    <w:rsid w:val="000A2B0C"/>
    <w:rsid w:val="000A2BBF"/>
    <w:rsid w:val="000A2F79"/>
    <w:rsid w:val="000A3014"/>
    <w:rsid w:val="000A32CF"/>
    <w:rsid w:val="000A32F1"/>
    <w:rsid w:val="000A3635"/>
    <w:rsid w:val="000A37DE"/>
    <w:rsid w:val="000A37EB"/>
    <w:rsid w:val="000A3826"/>
    <w:rsid w:val="000A39E1"/>
    <w:rsid w:val="000A3A5E"/>
    <w:rsid w:val="000A3A78"/>
    <w:rsid w:val="000A3CCB"/>
    <w:rsid w:val="000A4063"/>
    <w:rsid w:val="000A41BD"/>
    <w:rsid w:val="000A4250"/>
    <w:rsid w:val="000A488D"/>
    <w:rsid w:val="000A4BC6"/>
    <w:rsid w:val="000A4BDC"/>
    <w:rsid w:val="000A4C54"/>
    <w:rsid w:val="000A505D"/>
    <w:rsid w:val="000A5196"/>
    <w:rsid w:val="000A51B9"/>
    <w:rsid w:val="000A54B5"/>
    <w:rsid w:val="000A5562"/>
    <w:rsid w:val="000A5A52"/>
    <w:rsid w:val="000A5B35"/>
    <w:rsid w:val="000A5DC1"/>
    <w:rsid w:val="000A6161"/>
    <w:rsid w:val="000A6873"/>
    <w:rsid w:val="000A68EC"/>
    <w:rsid w:val="000A6B88"/>
    <w:rsid w:val="000A6F61"/>
    <w:rsid w:val="000A7128"/>
    <w:rsid w:val="000A79CB"/>
    <w:rsid w:val="000A7A3B"/>
    <w:rsid w:val="000A7B7F"/>
    <w:rsid w:val="000A7E08"/>
    <w:rsid w:val="000A7EF9"/>
    <w:rsid w:val="000B037B"/>
    <w:rsid w:val="000B08FF"/>
    <w:rsid w:val="000B0905"/>
    <w:rsid w:val="000B0969"/>
    <w:rsid w:val="000B0A95"/>
    <w:rsid w:val="000B0ACB"/>
    <w:rsid w:val="000B0DBC"/>
    <w:rsid w:val="000B0DC4"/>
    <w:rsid w:val="000B0E1F"/>
    <w:rsid w:val="000B0E99"/>
    <w:rsid w:val="000B1660"/>
    <w:rsid w:val="000B1758"/>
    <w:rsid w:val="000B17D8"/>
    <w:rsid w:val="000B1A19"/>
    <w:rsid w:val="000B1B49"/>
    <w:rsid w:val="000B1CAB"/>
    <w:rsid w:val="000B1DC6"/>
    <w:rsid w:val="000B1DFA"/>
    <w:rsid w:val="000B1FD0"/>
    <w:rsid w:val="000B206D"/>
    <w:rsid w:val="000B2125"/>
    <w:rsid w:val="000B2298"/>
    <w:rsid w:val="000B2848"/>
    <w:rsid w:val="000B2A19"/>
    <w:rsid w:val="000B39BB"/>
    <w:rsid w:val="000B3A39"/>
    <w:rsid w:val="000B3A8B"/>
    <w:rsid w:val="000B3A94"/>
    <w:rsid w:val="000B3B5F"/>
    <w:rsid w:val="000B403E"/>
    <w:rsid w:val="000B450F"/>
    <w:rsid w:val="000B4793"/>
    <w:rsid w:val="000B4FE1"/>
    <w:rsid w:val="000B5348"/>
    <w:rsid w:val="000B576F"/>
    <w:rsid w:val="000B5983"/>
    <w:rsid w:val="000B5A48"/>
    <w:rsid w:val="000B639C"/>
    <w:rsid w:val="000B6799"/>
    <w:rsid w:val="000B684B"/>
    <w:rsid w:val="000B6D91"/>
    <w:rsid w:val="000B718E"/>
    <w:rsid w:val="000B71CE"/>
    <w:rsid w:val="000B7416"/>
    <w:rsid w:val="000B7500"/>
    <w:rsid w:val="000B78B4"/>
    <w:rsid w:val="000B78D5"/>
    <w:rsid w:val="000B7D77"/>
    <w:rsid w:val="000B7EEC"/>
    <w:rsid w:val="000B7F53"/>
    <w:rsid w:val="000C0224"/>
    <w:rsid w:val="000C030E"/>
    <w:rsid w:val="000C06B1"/>
    <w:rsid w:val="000C0945"/>
    <w:rsid w:val="000C09CB"/>
    <w:rsid w:val="000C0AE7"/>
    <w:rsid w:val="000C0ECF"/>
    <w:rsid w:val="000C10C7"/>
    <w:rsid w:val="000C1145"/>
    <w:rsid w:val="000C13A4"/>
    <w:rsid w:val="000C154E"/>
    <w:rsid w:val="000C1695"/>
    <w:rsid w:val="000C17D3"/>
    <w:rsid w:val="000C1A08"/>
    <w:rsid w:val="000C1AC0"/>
    <w:rsid w:val="000C25A7"/>
    <w:rsid w:val="000C26DE"/>
    <w:rsid w:val="000C286A"/>
    <w:rsid w:val="000C2F66"/>
    <w:rsid w:val="000C2F9B"/>
    <w:rsid w:val="000C3092"/>
    <w:rsid w:val="000C388D"/>
    <w:rsid w:val="000C3A41"/>
    <w:rsid w:val="000C4095"/>
    <w:rsid w:val="000C4240"/>
    <w:rsid w:val="000C4755"/>
    <w:rsid w:val="000C4785"/>
    <w:rsid w:val="000C48A1"/>
    <w:rsid w:val="000C4A86"/>
    <w:rsid w:val="000C4C37"/>
    <w:rsid w:val="000C4F94"/>
    <w:rsid w:val="000C5121"/>
    <w:rsid w:val="000C5507"/>
    <w:rsid w:val="000C55CA"/>
    <w:rsid w:val="000C595A"/>
    <w:rsid w:val="000C5F3F"/>
    <w:rsid w:val="000C6308"/>
    <w:rsid w:val="000C64FD"/>
    <w:rsid w:val="000C666F"/>
    <w:rsid w:val="000C670A"/>
    <w:rsid w:val="000C67D5"/>
    <w:rsid w:val="000C688B"/>
    <w:rsid w:val="000C68EA"/>
    <w:rsid w:val="000C69F6"/>
    <w:rsid w:val="000C6B15"/>
    <w:rsid w:val="000C6CA8"/>
    <w:rsid w:val="000C7256"/>
    <w:rsid w:val="000C7360"/>
    <w:rsid w:val="000C7616"/>
    <w:rsid w:val="000C784F"/>
    <w:rsid w:val="000C7A12"/>
    <w:rsid w:val="000C7B6F"/>
    <w:rsid w:val="000C7DE5"/>
    <w:rsid w:val="000C7EF8"/>
    <w:rsid w:val="000C7F47"/>
    <w:rsid w:val="000D00D5"/>
    <w:rsid w:val="000D0272"/>
    <w:rsid w:val="000D03F4"/>
    <w:rsid w:val="000D074C"/>
    <w:rsid w:val="000D0AB4"/>
    <w:rsid w:val="000D0CCB"/>
    <w:rsid w:val="000D0CEE"/>
    <w:rsid w:val="000D11B1"/>
    <w:rsid w:val="000D153C"/>
    <w:rsid w:val="000D1673"/>
    <w:rsid w:val="000D1D25"/>
    <w:rsid w:val="000D1E3C"/>
    <w:rsid w:val="000D2B2A"/>
    <w:rsid w:val="000D3129"/>
    <w:rsid w:val="000D33EA"/>
    <w:rsid w:val="000D3F7A"/>
    <w:rsid w:val="000D4288"/>
    <w:rsid w:val="000D436D"/>
    <w:rsid w:val="000D44B7"/>
    <w:rsid w:val="000D44E6"/>
    <w:rsid w:val="000D455A"/>
    <w:rsid w:val="000D4778"/>
    <w:rsid w:val="000D4780"/>
    <w:rsid w:val="000D47B8"/>
    <w:rsid w:val="000D47E1"/>
    <w:rsid w:val="000D48B1"/>
    <w:rsid w:val="000D4D0D"/>
    <w:rsid w:val="000D4E69"/>
    <w:rsid w:val="000D50F9"/>
    <w:rsid w:val="000D5C50"/>
    <w:rsid w:val="000D5E07"/>
    <w:rsid w:val="000D5ECA"/>
    <w:rsid w:val="000D6273"/>
    <w:rsid w:val="000D6292"/>
    <w:rsid w:val="000D62AE"/>
    <w:rsid w:val="000D6A9D"/>
    <w:rsid w:val="000D6B99"/>
    <w:rsid w:val="000D6E17"/>
    <w:rsid w:val="000D70CA"/>
    <w:rsid w:val="000D7447"/>
    <w:rsid w:val="000D74A0"/>
    <w:rsid w:val="000D784D"/>
    <w:rsid w:val="000D78B5"/>
    <w:rsid w:val="000D7F92"/>
    <w:rsid w:val="000E0021"/>
    <w:rsid w:val="000E0026"/>
    <w:rsid w:val="000E0116"/>
    <w:rsid w:val="000E016C"/>
    <w:rsid w:val="000E01F0"/>
    <w:rsid w:val="000E0301"/>
    <w:rsid w:val="000E04CB"/>
    <w:rsid w:val="000E0536"/>
    <w:rsid w:val="000E0588"/>
    <w:rsid w:val="000E0642"/>
    <w:rsid w:val="000E0716"/>
    <w:rsid w:val="000E0831"/>
    <w:rsid w:val="000E08AC"/>
    <w:rsid w:val="000E0C65"/>
    <w:rsid w:val="000E0C78"/>
    <w:rsid w:val="000E1120"/>
    <w:rsid w:val="000E127C"/>
    <w:rsid w:val="000E12B4"/>
    <w:rsid w:val="000E12EF"/>
    <w:rsid w:val="000E1306"/>
    <w:rsid w:val="000E14F1"/>
    <w:rsid w:val="000E1590"/>
    <w:rsid w:val="000E19DD"/>
    <w:rsid w:val="000E1B4D"/>
    <w:rsid w:val="000E1E15"/>
    <w:rsid w:val="000E202F"/>
    <w:rsid w:val="000E22BE"/>
    <w:rsid w:val="000E2607"/>
    <w:rsid w:val="000E2657"/>
    <w:rsid w:val="000E282C"/>
    <w:rsid w:val="000E29FA"/>
    <w:rsid w:val="000E3435"/>
    <w:rsid w:val="000E38E1"/>
    <w:rsid w:val="000E399E"/>
    <w:rsid w:val="000E3BC6"/>
    <w:rsid w:val="000E3C11"/>
    <w:rsid w:val="000E3E05"/>
    <w:rsid w:val="000E4022"/>
    <w:rsid w:val="000E4110"/>
    <w:rsid w:val="000E42CA"/>
    <w:rsid w:val="000E4427"/>
    <w:rsid w:val="000E4433"/>
    <w:rsid w:val="000E445E"/>
    <w:rsid w:val="000E44A7"/>
    <w:rsid w:val="000E4A53"/>
    <w:rsid w:val="000E4B38"/>
    <w:rsid w:val="000E4DA6"/>
    <w:rsid w:val="000E5165"/>
    <w:rsid w:val="000E563D"/>
    <w:rsid w:val="000E566D"/>
    <w:rsid w:val="000E56D8"/>
    <w:rsid w:val="000E56EF"/>
    <w:rsid w:val="000E5DEF"/>
    <w:rsid w:val="000E6BF5"/>
    <w:rsid w:val="000E7028"/>
    <w:rsid w:val="000E71D8"/>
    <w:rsid w:val="000E74FD"/>
    <w:rsid w:val="000E75B6"/>
    <w:rsid w:val="000E7771"/>
    <w:rsid w:val="000E77FA"/>
    <w:rsid w:val="000E7A30"/>
    <w:rsid w:val="000E7CD5"/>
    <w:rsid w:val="000E7E41"/>
    <w:rsid w:val="000E7EC9"/>
    <w:rsid w:val="000E7F73"/>
    <w:rsid w:val="000F0388"/>
    <w:rsid w:val="000F05B1"/>
    <w:rsid w:val="000F0713"/>
    <w:rsid w:val="000F09DD"/>
    <w:rsid w:val="000F0A64"/>
    <w:rsid w:val="000F0D4B"/>
    <w:rsid w:val="000F0E37"/>
    <w:rsid w:val="000F0EB1"/>
    <w:rsid w:val="000F0FA4"/>
    <w:rsid w:val="000F1142"/>
    <w:rsid w:val="000F11A7"/>
    <w:rsid w:val="000F1209"/>
    <w:rsid w:val="000F1609"/>
    <w:rsid w:val="000F16A2"/>
    <w:rsid w:val="000F1774"/>
    <w:rsid w:val="000F1D9F"/>
    <w:rsid w:val="000F2122"/>
    <w:rsid w:val="000F24A9"/>
    <w:rsid w:val="000F256F"/>
    <w:rsid w:val="000F26C5"/>
    <w:rsid w:val="000F2743"/>
    <w:rsid w:val="000F2978"/>
    <w:rsid w:val="000F2DDA"/>
    <w:rsid w:val="000F2E1D"/>
    <w:rsid w:val="000F3045"/>
    <w:rsid w:val="000F3172"/>
    <w:rsid w:val="000F33F1"/>
    <w:rsid w:val="000F35C6"/>
    <w:rsid w:val="000F3D03"/>
    <w:rsid w:val="000F3D74"/>
    <w:rsid w:val="000F3F26"/>
    <w:rsid w:val="000F4557"/>
    <w:rsid w:val="000F4896"/>
    <w:rsid w:val="000F49DC"/>
    <w:rsid w:val="000F49DD"/>
    <w:rsid w:val="000F4BCB"/>
    <w:rsid w:val="000F4DB1"/>
    <w:rsid w:val="000F4F97"/>
    <w:rsid w:val="000F4FA7"/>
    <w:rsid w:val="000F50AC"/>
    <w:rsid w:val="000F5315"/>
    <w:rsid w:val="000F54D8"/>
    <w:rsid w:val="000F5E0B"/>
    <w:rsid w:val="000F628C"/>
    <w:rsid w:val="000F63C5"/>
    <w:rsid w:val="000F651E"/>
    <w:rsid w:val="000F6684"/>
    <w:rsid w:val="000F6723"/>
    <w:rsid w:val="000F67A7"/>
    <w:rsid w:val="000F6912"/>
    <w:rsid w:val="000F70B7"/>
    <w:rsid w:val="000F70F6"/>
    <w:rsid w:val="000F7385"/>
    <w:rsid w:val="000F7754"/>
    <w:rsid w:val="000F780B"/>
    <w:rsid w:val="000F78F1"/>
    <w:rsid w:val="000F794F"/>
    <w:rsid w:val="000F7D6E"/>
    <w:rsid w:val="000F7DEB"/>
    <w:rsid w:val="000F7F33"/>
    <w:rsid w:val="00100215"/>
    <w:rsid w:val="00100504"/>
    <w:rsid w:val="00100687"/>
    <w:rsid w:val="00100890"/>
    <w:rsid w:val="001012D5"/>
    <w:rsid w:val="00101368"/>
    <w:rsid w:val="001014E0"/>
    <w:rsid w:val="00101522"/>
    <w:rsid w:val="00101656"/>
    <w:rsid w:val="00101FAD"/>
    <w:rsid w:val="001020E5"/>
    <w:rsid w:val="00102225"/>
    <w:rsid w:val="001023F8"/>
    <w:rsid w:val="00102D1B"/>
    <w:rsid w:val="00102FC0"/>
    <w:rsid w:val="001031CB"/>
    <w:rsid w:val="00103848"/>
    <w:rsid w:val="00103881"/>
    <w:rsid w:val="00103D41"/>
    <w:rsid w:val="00103E36"/>
    <w:rsid w:val="0010415F"/>
    <w:rsid w:val="001043C2"/>
    <w:rsid w:val="001043C7"/>
    <w:rsid w:val="0010454A"/>
    <w:rsid w:val="001047CC"/>
    <w:rsid w:val="001047E6"/>
    <w:rsid w:val="00104B54"/>
    <w:rsid w:val="00104B58"/>
    <w:rsid w:val="00104FC0"/>
    <w:rsid w:val="001057CB"/>
    <w:rsid w:val="001057D2"/>
    <w:rsid w:val="00105968"/>
    <w:rsid w:val="00105D85"/>
    <w:rsid w:val="00105F39"/>
    <w:rsid w:val="00105FE4"/>
    <w:rsid w:val="00106004"/>
    <w:rsid w:val="0010609B"/>
    <w:rsid w:val="00106414"/>
    <w:rsid w:val="00106658"/>
    <w:rsid w:val="00106808"/>
    <w:rsid w:val="00106DB6"/>
    <w:rsid w:val="0010766E"/>
    <w:rsid w:val="00107686"/>
    <w:rsid w:val="00107853"/>
    <w:rsid w:val="00107A9E"/>
    <w:rsid w:val="00107FB6"/>
    <w:rsid w:val="001101CD"/>
    <w:rsid w:val="001102F7"/>
    <w:rsid w:val="00110318"/>
    <w:rsid w:val="001104BB"/>
    <w:rsid w:val="0011062B"/>
    <w:rsid w:val="00110C4C"/>
    <w:rsid w:val="00110D4B"/>
    <w:rsid w:val="00110E98"/>
    <w:rsid w:val="00111290"/>
    <w:rsid w:val="001112B0"/>
    <w:rsid w:val="001112D3"/>
    <w:rsid w:val="001113BA"/>
    <w:rsid w:val="00111772"/>
    <w:rsid w:val="00112498"/>
    <w:rsid w:val="00112582"/>
    <w:rsid w:val="0011258F"/>
    <w:rsid w:val="001128FF"/>
    <w:rsid w:val="00112C83"/>
    <w:rsid w:val="00113249"/>
    <w:rsid w:val="00113366"/>
    <w:rsid w:val="00113510"/>
    <w:rsid w:val="001135E2"/>
    <w:rsid w:val="00113603"/>
    <w:rsid w:val="00113C18"/>
    <w:rsid w:val="00113F9E"/>
    <w:rsid w:val="00114282"/>
    <w:rsid w:val="0011462F"/>
    <w:rsid w:val="001146DA"/>
    <w:rsid w:val="001148E5"/>
    <w:rsid w:val="00114A79"/>
    <w:rsid w:val="00114A9A"/>
    <w:rsid w:val="00114F47"/>
    <w:rsid w:val="00114FC7"/>
    <w:rsid w:val="0011505E"/>
    <w:rsid w:val="00115488"/>
    <w:rsid w:val="00115751"/>
    <w:rsid w:val="00115992"/>
    <w:rsid w:val="00115B5A"/>
    <w:rsid w:val="00115D1B"/>
    <w:rsid w:val="00115DA5"/>
    <w:rsid w:val="00115F78"/>
    <w:rsid w:val="0011618F"/>
    <w:rsid w:val="00116666"/>
    <w:rsid w:val="00116862"/>
    <w:rsid w:val="00116958"/>
    <w:rsid w:val="001169EA"/>
    <w:rsid w:val="00116A5E"/>
    <w:rsid w:val="00116F8C"/>
    <w:rsid w:val="0011727D"/>
    <w:rsid w:val="001172DD"/>
    <w:rsid w:val="00117458"/>
    <w:rsid w:val="00117893"/>
    <w:rsid w:val="00117FD3"/>
    <w:rsid w:val="00120102"/>
    <w:rsid w:val="00120622"/>
    <w:rsid w:val="0012082C"/>
    <w:rsid w:val="00120949"/>
    <w:rsid w:val="00120B00"/>
    <w:rsid w:val="00120B14"/>
    <w:rsid w:val="00120BAD"/>
    <w:rsid w:val="00120C03"/>
    <w:rsid w:val="00120C73"/>
    <w:rsid w:val="00120F6B"/>
    <w:rsid w:val="001211CC"/>
    <w:rsid w:val="00121352"/>
    <w:rsid w:val="001219F6"/>
    <w:rsid w:val="00121A8B"/>
    <w:rsid w:val="00121B5E"/>
    <w:rsid w:val="00121E4C"/>
    <w:rsid w:val="001221CE"/>
    <w:rsid w:val="0012240A"/>
    <w:rsid w:val="0012274A"/>
    <w:rsid w:val="00122829"/>
    <w:rsid w:val="0012299E"/>
    <w:rsid w:val="00122D5D"/>
    <w:rsid w:val="001231C0"/>
    <w:rsid w:val="0012320B"/>
    <w:rsid w:val="0012376C"/>
    <w:rsid w:val="00123A4C"/>
    <w:rsid w:val="00123C3D"/>
    <w:rsid w:val="00123CB6"/>
    <w:rsid w:val="00123E31"/>
    <w:rsid w:val="0012401E"/>
    <w:rsid w:val="0012402E"/>
    <w:rsid w:val="001242A5"/>
    <w:rsid w:val="00124846"/>
    <w:rsid w:val="0012492D"/>
    <w:rsid w:val="00124A2D"/>
    <w:rsid w:val="00124AA2"/>
    <w:rsid w:val="00124C78"/>
    <w:rsid w:val="00125070"/>
    <w:rsid w:val="001252B8"/>
    <w:rsid w:val="0012532E"/>
    <w:rsid w:val="00125416"/>
    <w:rsid w:val="00125923"/>
    <w:rsid w:val="001259F5"/>
    <w:rsid w:val="00125AA8"/>
    <w:rsid w:val="00125ABE"/>
    <w:rsid w:val="00125F2E"/>
    <w:rsid w:val="001262D7"/>
    <w:rsid w:val="00126401"/>
    <w:rsid w:val="0012642C"/>
    <w:rsid w:val="0012643E"/>
    <w:rsid w:val="00126619"/>
    <w:rsid w:val="00126870"/>
    <w:rsid w:val="00126944"/>
    <w:rsid w:val="00126C6B"/>
    <w:rsid w:val="00126CB0"/>
    <w:rsid w:val="00126F38"/>
    <w:rsid w:val="00127022"/>
    <w:rsid w:val="001271AF"/>
    <w:rsid w:val="001276F8"/>
    <w:rsid w:val="00127B7F"/>
    <w:rsid w:val="00127C25"/>
    <w:rsid w:val="00127C49"/>
    <w:rsid w:val="00127D95"/>
    <w:rsid w:val="00127E5A"/>
    <w:rsid w:val="00130284"/>
    <w:rsid w:val="00130301"/>
    <w:rsid w:val="0013085C"/>
    <w:rsid w:val="00130E49"/>
    <w:rsid w:val="00130F33"/>
    <w:rsid w:val="001312B8"/>
    <w:rsid w:val="001315B7"/>
    <w:rsid w:val="001318A0"/>
    <w:rsid w:val="001319B6"/>
    <w:rsid w:val="001323AD"/>
    <w:rsid w:val="001323D8"/>
    <w:rsid w:val="0013254B"/>
    <w:rsid w:val="001327F0"/>
    <w:rsid w:val="001328A9"/>
    <w:rsid w:val="00132B58"/>
    <w:rsid w:val="00132CD9"/>
    <w:rsid w:val="001336C6"/>
    <w:rsid w:val="001339BC"/>
    <w:rsid w:val="001339F2"/>
    <w:rsid w:val="00133A58"/>
    <w:rsid w:val="00134166"/>
    <w:rsid w:val="001343CE"/>
    <w:rsid w:val="001343E1"/>
    <w:rsid w:val="001343FE"/>
    <w:rsid w:val="00134792"/>
    <w:rsid w:val="00134FFC"/>
    <w:rsid w:val="00135075"/>
    <w:rsid w:val="0013520E"/>
    <w:rsid w:val="0013569A"/>
    <w:rsid w:val="0013583C"/>
    <w:rsid w:val="001359E2"/>
    <w:rsid w:val="00135B00"/>
    <w:rsid w:val="00136EA6"/>
    <w:rsid w:val="00136F76"/>
    <w:rsid w:val="00137299"/>
    <w:rsid w:val="00137373"/>
    <w:rsid w:val="0013769C"/>
    <w:rsid w:val="0013782E"/>
    <w:rsid w:val="001378B8"/>
    <w:rsid w:val="00137D00"/>
    <w:rsid w:val="00140114"/>
    <w:rsid w:val="00140168"/>
    <w:rsid w:val="0014043A"/>
    <w:rsid w:val="0014076A"/>
    <w:rsid w:val="00140B2D"/>
    <w:rsid w:val="00140C93"/>
    <w:rsid w:val="0014137B"/>
    <w:rsid w:val="0014175C"/>
    <w:rsid w:val="00141863"/>
    <w:rsid w:val="00141B41"/>
    <w:rsid w:val="00141F39"/>
    <w:rsid w:val="00142661"/>
    <w:rsid w:val="001428D3"/>
    <w:rsid w:val="001429F4"/>
    <w:rsid w:val="00143241"/>
    <w:rsid w:val="0014327F"/>
    <w:rsid w:val="0014363B"/>
    <w:rsid w:val="001437C2"/>
    <w:rsid w:val="001438D2"/>
    <w:rsid w:val="00144023"/>
    <w:rsid w:val="00144225"/>
    <w:rsid w:val="001444DE"/>
    <w:rsid w:val="001444DF"/>
    <w:rsid w:val="0014474C"/>
    <w:rsid w:val="001447AD"/>
    <w:rsid w:val="00144851"/>
    <w:rsid w:val="00144CB8"/>
    <w:rsid w:val="00144E5C"/>
    <w:rsid w:val="00144EC5"/>
    <w:rsid w:val="00145260"/>
    <w:rsid w:val="00145684"/>
    <w:rsid w:val="00145921"/>
    <w:rsid w:val="0014596A"/>
    <w:rsid w:val="00145B0F"/>
    <w:rsid w:val="00145CA0"/>
    <w:rsid w:val="00145FF4"/>
    <w:rsid w:val="00146077"/>
    <w:rsid w:val="0014617F"/>
    <w:rsid w:val="00146601"/>
    <w:rsid w:val="00146C25"/>
    <w:rsid w:val="00147020"/>
    <w:rsid w:val="00147065"/>
    <w:rsid w:val="001474A7"/>
    <w:rsid w:val="0014751C"/>
    <w:rsid w:val="00147C60"/>
    <w:rsid w:val="00147D95"/>
    <w:rsid w:val="00150214"/>
    <w:rsid w:val="001502EB"/>
    <w:rsid w:val="0015090F"/>
    <w:rsid w:val="00150C2F"/>
    <w:rsid w:val="0015131F"/>
    <w:rsid w:val="001519F7"/>
    <w:rsid w:val="00151D78"/>
    <w:rsid w:val="001520A0"/>
    <w:rsid w:val="00152381"/>
    <w:rsid w:val="001524C1"/>
    <w:rsid w:val="00152762"/>
    <w:rsid w:val="0015279C"/>
    <w:rsid w:val="00152A47"/>
    <w:rsid w:val="00152B31"/>
    <w:rsid w:val="00152D26"/>
    <w:rsid w:val="001530A4"/>
    <w:rsid w:val="00153406"/>
    <w:rsid w:val="001534A1"/>
    <w:rsid w:val="001534DB"/>
    <w:rsid w:val="00153523"/>
    <w:rsid w:val="001536A7"/>
    <w:rsid w:val="001536F8"/>
    <w:rsid w:val="001538D3"/>
    <w:rsid w:val="00153AB1"/>
    <w:rsid w:val="00153BE9"/>
    <w:rsid w:val="00153CAA"/>
    <w:rsid w:val="00153D53"/>
    <w:rsid w:val="00153E84"/>
    <w:rsid w:val="001540DC"/>
    <w:rsid w:val="001542D6"/>
    <w:rsid w:val="001543AC"/>
    <w:rsid w:val="00154531"/>
    <w:rsid w:val="001548BE"/>
    <w:rsid w:val="00154A33"/>
    <w:rsid w:val="00154B21"/>
    <w:rsid w:val="00154CDD"/>
    <w:rsid w:val="00154E80"/>
    <w:rsid w:val="00154F2E"/>
    <w:rsid w:val="00154F55"/>
    <w:rsid w:val="00155353"/>
    <w:rsid w:val="00155483"/>
    <w:rsid w:val="001554FD"/>
    <w:rsid w:val="00155694"/>
    <w:rsid w:val="00155987"/>
    <w:rsid w:val="00155C53"/>
    <w:rsid w:val="00155E05"/>
    <w:rsid w:val="00155EE4"/>
    <w:rsid w:val="00155F0A"/>
    <w:rsid w:val="0015633D"/>
    <w:rsid w:val="001563BF"/>
    <w:rsid w:val="00156D46"/>
    <w:rsid w:val="00157124"/>
    <w:rsid w:val="001571C0"/>
    <w:rsid w:val="001576CC"/>
    <w:rsid w:val="001576D6"/>
    <w:rsid w:val="00157A88"/>
    <w:rsid w:val="001601DB"/>
    <w:rsid w:val="0016078D"/>
    <w:rsid w:val="0016099D"/>
    <w:rsid w:val="00160D3D"/>
    <w:rsid w:val="00160D69"/>
    <w:rsid w:val="001612FB"/>
    <w:rsid w:val="001613E9"/>
    <w:rsid w:val="00161413"/>
    <w:rsid w:val="00161422"/>
    <w:rsid w:val="00162079"/>
    <w:rsid w:val="00162087"/>
    <w:rsid w:val="0016219F"/>
    <w:rsid w:val="001625FC"/>
    <w:rsid w:val="001629C5"/>
    <w:rsid w:val="00162F27"/>
    <w:rsid w:val="00163314"/>
    <w:rsid w:val="00163532"/>
    <w:rsid w:val="0016384A"/>
    <w:rsid w:val="00163B96"/>
    <w:rsid w:val="00163BFA"/>
    <w:rsid w:val="00163FB4"/>
    <w:rsid w:val="00164408"/>
    <w:rsid w:val="0016482C"/>
    <w:rsid w:val="00164A48"/>
    <w:rsid w:val="00164BD3"/>
    <w:rsid w:val="00164F4E"/>
    <w:rsid w:val="001650B3"/>
    <w:rsid w:val="001650BD"/>
    <w:rsid w:val="001650D3"/>
    <w:rsid w:val="00165191"/>
    <w:rsid w:val="001656FF"/>
    <w:rsid w:val="00165AE5"/>
    <w:rsid w:val="00165AFC"/>
    <w:rsid w:val="0016635C"/>
    <w:rsid w:val="0016697B"/>
    <w:rsid w:val="001672A3"/>
    <w:rsid w:val="001674D8"/>
    <w:rsid w:val="001675E5"/>
    <w:rsid w:val="00167B7D"/>
    <w:rsid w:val="00167C23"/>
    <w:rsid w:val="00167E1C"/>
    <w:rsid w:val="00170393"/>
    <w:rsid w:val="00170444"/>
    <w:rsid w:val="00170833"/>
    <w:rsid w:val="00170988"/>
    <w:rsid w:val="00170E0F"/>
    <w:rsid w:val="00171526"/>
    <w:rsid w:val="00171A2E"/>
    <w:rsid w:val="00171B0C"/>
    <w:rsid w:val="001722E7"/>
    <w:rsid w:val="00172411"/>
    <w:rsid w:val="00172628"/>
    <w:rsid w:val="0017289F"/>
    <w:rsid w:val="00172CBE"/>
    <w:rsid w:val="0017304A"/>
    <w:rsid w:val="00173F5A"/>
    <w:rsid w:val="00173FAA"/>
    <w:rsid w:val="00174080"/>
    <w:rsid w:val="001740B0"/>
    <w:rsid w:val="0017412C"/>
    <w:rsid w:val="001744C2"/>
    <w:rsid w:val="001744FA"/>
    <w:rsid w:val="00174635"/>
    <w:rsid w:val="0017475B"/>
    <w:rsid w:val="00174F4D"/>
    <w:rsid w:val="00174FA5"/>
    <w:rsid w:val="0017559A"/>
    <w:rsid w:val="001757D9"/>
    <w:rsid w:val="001758D7"/>
    <w:rsid w:val="0017603F"/>
    <w:rsid w:val="001760F9"/>
    <w:rsid w:val="00176109"/>
    <w:rsid w:val="0017611F"/>
    <w:rsid w:val="00176206"/>
    <w:rsid w:val="001762E8"/>
    <w:rsid w:val="001766F1"/>
    <w:rsid w:val="00176DDC"/>
    <w:rsid w:val="00176FA2"/>
    <w:rsid w:val="00176FD2"/>
    <w:rsid w:val="001770A6"/>
    <w:rsid w:val="00177B56"/>
    <w:rsid w:val="00177BA0"/>
    <w:rsid w:val="00180237"/>
    <w:rsid w:val="00180323"/>
    <w:rsid w:val="00180368"/>
    <w:rsid w:val="001804B2"/>
    <w:rsid w:val="00180696"/>
    <w:rsid w:val="001806A5"/>
    <w:rsid w:val="00180710"/>
    <w:rsid w:val="001819FC"/>
    <w:rsid w:val="00181D1E"/>
    <w:rsid w:val="0018203D"/>
    <w:rsid w:val="00182ACE"/>
    <w:rsid w:val="00182B1D"/>
    <w:rsid w:val="00182DBD"/>
    <w:rsid w:val="00182FF1"/>
    <w:rsid w:val="0018325B"/>
    <w:rsid w:val="00183434"/>
    <w:rsid w:val="00183510"/>
    <w:rsid w:val="001836C9"/>
    <w:rsid w:val="001840FD"/>
    <w:rsid w:val="00184724"/>
    <w:rsid w:val="0018480E"/>
    <w:rsid w:val="00184D6A"/>
    <w:rsid w:val="00184E9F"/>
    <w:rsid w:val="0018513F"/>
    <w:rsid w:val="0018529E"/>
    <w:rsid w:val="00185303"/>
    <w:rsid w:val="00185595"/>
    <w:rsid w:val="00185734"/>
    <w:rsid w:val="001857FB"/>
    <w:rsid w:val="00185C64"/>
    <w:rsid w:val="00185ED6"/>
    <w:rsid w:val="00185F05"/>
    <w:rsid w:val="0018621F"/>
    <w:rsid w:val="00186388"/>
    <w:rsid w:val="00186795"/>
    <w:rsid w:val="00186D9F"/>
    <w:rsid w:val="00186EF8"/>
    <w:rsid w:val="00187100"/>
    <w:rsid w:val="001872FD"/>
    <w:rsid w:val="0018757C"/>
    <w:rsid w:val="00187992"/>
    <w:rsid w:val="00190034"/>
    <w:rsid w:val="001903D8"/>
    <w:rsid w:val="001903E0"/>
    <w:rsid w:val="00190401"/>
    <w:rsid w:val="001907D1"/>
    <w:rsid w:val="00190905"/>
    <w:rsid w:val="00190F55"/>
    <w:rsid w:val="001912AD"/>
    <w:rsid w:val="00191433"/>
    <w:rsid w:val="00191470"/>
    <w:rsid w:val="00191644"/>
    <w:rsid w:val="0019165B"/>
    <w:rsid w:val="00191728"/>
    <w:rsid w:val="00191749"/>
    <w:rsid w:val="00191771"/>
    <w:rsid w:val="001918E1"/>
    <w:rsid w:val="00191900"/>
    <w:rsid w:val="00191920"/>
    <w:rsid w:val="0019192F"/>
    <w:rsid w:val="00191B0C"/>
    <w:rsid w:val="00191C91"/>
    <w:rsid w:val="00191EA4"/>
    <w:rsid w:val="00192503"/>
    <w:rsid w:val="00192852"/>
    <w:rsid w:val="00192B80"/>
    <w:rsid w:val="00192CAE"/>
    <w:rsid w:val="001933DE"/>
    <w:rsid w:val="001938BF"/>
    <w:rsid w:val="001938F8"/>
    <w:rsid w:val="00193D99"/>
    <w:rsid w:val="00193FBF"/>
    <w:rsid w:val="001941B9"/>
    <w:rsid w:val="001944F2"/>
    <w:rsid w:val="001945B4"/>
    <w:rsid w:val="00194630"/>
    <w:rsid w:val="00194802"/>
    <w:rsid w:val="00194E68"/>
    <w:rsid w:val="00194EEA"/>
    <w:rsid w:val="00194F8B"/>
    <w:rsid w:val="001952DB"/>
    <w:rsid w:val="00195319"/>
    <w:rsid w:val="00195414"/>
    <w:rsid w:val="001955B1"/>
    <w:rsid w:val="00195AFE"/>
    <w:rsid w:val="00195CE4"/>
    <w:rsid w:val="00195D5B"/>
    <w:rsid w:val="00196247"/>
    <w:rsid w:val="001963BF"/>
    <w:rsid w:val="0019666A"/>
    <w:rsid w:val="00196C92"/>
    <w:rsid w:val="00196F0F"/>
    <w:rsid w:val="00197104"/>
    <w:rsid w:val="00197473"/>
    <w:rsid w:val="001977CA"/>
    <w:rsid w:val="001978F2"/>
    <w:rsid w:val="00197911"/>
    <w:rsid w:val="00197A36"/>
    <w:rsid w:val="00197AEF"/>
    <w:rsid w:val="00197D26"/>
    <w:rsid w:val="00197D45"/>
    <w:rsid w:val="00197F2F"/>
    <w:rsid w:val="00197F5C"/>
    <w:rsid w:val="001A01CA"/>
    <w:rsid w:val="001A0324"/>
    <w:rsid w:val="001A064D"/>
    <w:rsid w:val="001A0A4D"/>
    <w:rsid w:val="001A0B4C"/>
    <w:rsid w:val="001A0D98"/>
    <w:rsid w:val="001A0F24"/>
    <w:rsid w:val="001A0F84"/>
    <w:rsid w:val="001A12CD"/>
    <w:rsid w:val="001A18DA"/>
    <w:rsid w:val="001A1A25"/>
    <w:rsid w:val="001A1C58"/>
    <w:rsid w:val="001A2129"/>
    <w:rsid w:val="001A2143"/>
    <w:rsid w:val="001A2342"/>
    <w:rsid w:val="001A240A"/>
    <w:rsid w:val="001A27B1"/>
    <w:rsid w:val="001A2A12"/>
    <w:rsid w:val="001A2B03"/>
    <w:rsid w:val="001A2C2D"/>
    <w:rsid w:val="001A2DB4"/>
    <w:rsid w:val="001A35E1"/>
    <w:rsid w:val="001A39B3"/>
    <w:rsid w:val="001A3B4A"/>
    <w:rsid w:val="001A3D1F"/>
    <w:rsid w:val="001A3F0D"/>
    <w:rsid w:val="001A4774"/>
    <w:rsid w:val="001A4917"/>
    <w:rsid w:val="001A4E1F"/>
    <w:rsid w:val="001A5303"/>
    <w:rsid w:val="001A54F9"/>
    <w:rsid w:val="001A5B92"/>
    <w:rsid w:val="001A5F52"/>
    <w:rsid w:val="001A61E9"/>
    <w:rsid w:val="001A6F10"/>
    <w:rsid w:val="001A7028"/>
    <w:rsid w:val="001A716B"/>
    <w:rsid w:val="001A72E3"/>
    <w:rsid w:val="001A7508"/>
    <w:rsid w:val="001A75A8"/>
    <w:rsid w:val="001A7659"/>
    <w:rsid w:val="001A7697"/>
    <w:rsid w:val="001A7F03"/>
    <w:rsid w:val="001B00F8"/>
    <w:rsid w:val="001B0385"/>
    <w:rsid w:val="001B046B"/>
    <w:rsid w:val="001B051C"/>
    <w:rsid w:val="001B05DD"/>
    <w:rsid w:val="001B0668"/>
    <w:rsid w:val="001B0845"/>
    <w:rsid w:val="001B11DC"/>
    <w:rsid w:val="001B11E3"/>
    <w:rsid w:val="001B120A"/>
    <w:rsid w:val="001B1228"/>
    <w:rsid w:val="001B13A5"/>
    <w:rsid w:val="001B17B7"/>
    <w:rsid w:val="001B1CEA"/>
    <w:rsid w:val="001B1DBA"/>
    <w:rsid w:val="001B1E48"/>
    <w:rsid w:val="001B20F0"/>
    <w:rsid w:val="001B2711"/>
    <w:rsid w:val="001B2BE6"/>
    <w:rsid w:val="001B2F99"/>
    <w:rsid w:val="001B2FB9"/>
    <w:rsid w:val="001B33C5"/>
    <w:rsid w:val="001B34A7"/>
    <w:rsid w:val="001B35B3"/>
    <w:rsid w:val="001B399D"/>
    <w:rsid w:val="001B3CE2"/>
    <w:rsid w:val="001B3D28"/>
    <w:rsid w:val="001B3D62"/>
    <w:rsid w:val="001B4175"/>
    <w:rsid w:val="001B4409"/>
    <w:rsid w:val="001B4586"/>
    <w:rsid w:val="001B4C93"/>
    <w:rsid w:val="001B52DA"/>
    <w:rsid w:val="001B5359"/>
    <w:rsid w:val="001B589D"/>
    <w:rsid w:val="001B5DB5"/>
    <w:rsid w:val="001B5DE7"/>
    <w:rsid w:val="001B63E2"/>
    <w:rsid w:val="001B64CF"/>
    <w:rsid w:val="001B6577"/>
    <w:rsid w:val="001B6D81"/>
    <w:rsid w:val="001B6F83"/>
    <w:rsid w:val="001B7A70"/>
    <w:rsid w:val="001B7AB9"/>
    <w:rsid w:val="001B7EED"/>
    <w:rsid w:val="001C06F1"/>
    <w:rsid w:val="001C0857"/>
    <w:rsid w:val="001C0864"/>
    <w:rsid w:val="001C0948"/>
    <w:rsid w:val="001C0B77"/>
    <w:rsid w:val="001C0F20"/>
    <w:rsid w:val="001C0F3D"/>
    <w:rsid w:val="001C1165"/>
    <w:rsid w:val="001C1551"/>
    <w:rsid w:val="001C192C"/>
    <w:rsid w:val="001C1A18"/>
    <w:rsid w:val="001C1F4B"/>
    <w:rsid w:val="001C2491"/>
    <w:rsid w:val="001C250C"/>
    <w:rsid w:val="001C2D3E"/>
    <w:rsid w:val="001C325F"/>
    <w:rsid w:val="001C3319"/>
    <w:rsid w:val="001C333B"/>
    <w:rsid w:val="001C36A6"/>
    <w:rsid w:val="001C36F2"/>
    <w:rsid w:val="001C3723"/>
    <w:rsid w:val="001C3900"/>
    <w:rsid w:val="001C3E76"/>
    <w:rsid w:val="001C3FD7"/>
    <w:rsid w:val="001C4306"/>
    <w:rsid w:val="001C444F"/>
    <w:rsid w:val="001C4840"/>
    <w:rsid w:val="001C51CA"/>
    <w:rsid w:val="001C5204"/>
    <w:rsid w:val="001C5465"/>
    <w:rsid w:val="001C67BE"/>
    <w:rsid w:val="001C69DA"/>
    <w:rsid w:val="001C6A8B"/>
    <w:rsid w:val="001C7773"/>
    <w:rsid w:val="001C777C"/>
    <w:rsid w:val="001C7B40"/>
    <w:rsid w:val="001C7B88"/>
    <w:rsid w:val="001C7BF1"/>
    <w:rsid w:val="001C7E5E"/>
    <w:rsid w:val="001D01CD"/>
    <w:rsid w:val="001D053C"/>
    <w:rsid w:val="001D0DCC"/>
    <w:rsid w:val="001D126D"/>
    <w:rsid w:val="001D1592"/>
    <w:rsid w:val="001D15B6"/>
    <w:rsid w:val="001D15C4"/>
    <w:rsid w:val="001D15FA"/>
    <w:rsid w:val="001D16B3"/>
    <w:rsid w:val="001D193A"/>
    <w:rsid w:val="001D1C75"/>
    <w:rsid w:val="001D1D71"/>
    <w:rsid w:val="001D235E"/>
    <w:rsid w:val="001D2A64"/>
    <w:rsid w:val="001D2D99"/>
    <w:rsid w:val="001D2F45"/>
    <w:rsid w:val="001D3209"/>
    <w:rsid w:val="001D3253"/>
    <w:rsid w:val="001D32D5"/>
    <w:rsid w:val="001D3403"/>
    <w:rsid w:val="001D350F"/>
    <w:rsid w:val="001D3637"/>
    <w:rsid w:val="001D384F"/>
    <w:rsid w:val="001D41E6"/>
    <w:rsid w:val="001D4268"/>
    <w:rsid w:val="001D48C9"/>
    <w:rsid w:val="001D48D5"/>
    <w:rsid w:val="001D4A5A"/>
    <w:rsid w:val="001D4E39"/>
    <w:rsid w:val="001D5846"/>
    <w:rsid w:val="001D5A81"/>
    <w:rsid w:val="001D5C0D"/>
    <w:rsid w:val="001D5F81"/>
    <w:rsid w:val="001D605A"/>
    <w:rsid w:val="001D62F8"/>
    <w:rsid w:val="001D6444"/>
    <w:rsid w:val="001D658C"/>
    <w:rsid w:val="001D6670"/>
    <w:rsid w:val="001D6933"/>
    <w:rsid w:val="001D6982"/>
    <w:rsid w:val="001D69CC"/>
    <w:rsid w:val="001D6AAA"/>
    <w:rsid w:val="001D6B3D"/>
    <w:rsid w:val="001D6C8E"/>
    <w:rsid w:val="001D73B0"/>
    <w:rsid w:val="001D76D4"/>
    <w:rsid w:val="001D76F2"/>
    <w:rsid w:val="001D7910"/>
    <w:rsid w:val="001D7968"/>
    <w:rsid w:val="001D7A9E"/>
    <w:rsid w:val="001D7AE6"/>
    <w:rsid w:val="001D7C95"/>
    <w:rsid w:val="001E0293"/>
    <w:rsid w:val="001E042C"/>
    <w:rsid w:val="001E066C"/>
    <w:rsid w:val="001E1208"/>
    <w:rsid w:val="001E1482"/>
    <w:rsid w:val="001E1885"/>
    <w:rsid w:val="001E1BAB"/>
    <w:rsid w:val="001E227A"/>
    <w:rsid w:val="001E266E"/>
    <w:rsid w:val="001E275F"/>
    <w:rsid w:val="001E2A0D"/>
    <w:rsid w:val="001E2A3B"/>
    <w:rsid w:val="001E2B63"/>
    <w:rsid w:val="001E2EAB"/>
    <w:rsid w:val="001E2EDC"/>
    <w:rsid w:val="001E324D"/>
    <w:rsid w:val="001E33E1"/>
    <w:rsid w:val="001E3DD7"/>
    <w:rsid w:val="001E3E78"/>
    <w:rsid w:val="001E3EB2"/>
    <w:rsid w:val="001E41EE"/>
    <w:rsid w:val="001E43BF"/>
    <w:rsid w:val="001E44AD"/>
    <w:rsid w:val="001E44C6"/>
    <w:rsid w:val="001E4532"/>
    <w:rsid w:val="001E463E"/>
    <w:rsid w:val="001E46B6"/>
    <w:rsid w:val="001E46E0"/>
    <w:rsid w:val="001E4DB6"/>
    <w:rsid w:val="001E4E2B"/>
    <w:rsid w:val="001E548C"/>
    <w:rsid w:val="001E556E"/>
    <w:rsid w:val="001E60B6"/>
    <w:rsid w:val="001E6234"/>
    <w:rsid w:val="001E63AA"/>
    <w:rsid w:val="001E65EF"/>
    <w:rsid w:val="001E6770"/>
    <w:rsid w:val="001E6F07"/>
    <w:rsid w:val="001E7176"/>
    <w:rsid w:val="001E725D"/>
    <w:rsid w:val="001E74AD"/>
    <w:rsid w:val="001E7A61"/>
    <w:rsid w:val="001F0AF3"/>
    <w:rsid w:val="001F0BE8"/>
    <w:rsid w:val="001F0FB0"/>
    <w:rsid w:val="001F1235"/>
    <w:rsid w:val="001F14C6"/>
    <w:rsid w:val="001F1546"/>
    <w:rsid w:val="001F16CF"/>
    <w:rsid w:val="001F190E"/>
    <w:rsid w:val="001F1B32"/>
    <w:rsid w:val="001F1DB8"/>
    <w:rsid w:val="001F1E51"/>
    <w:rsid w:val="001F2177"/>
    <w:rsid w:val="001F21D7"/>
    <w:rsid w:val="001F23B9"/>
    <w:rsid w:val="001F29F5"/>
    <w:rsid w:val="001F2AA6"/>
    <w:rsid w:val="001F32EB"/>
    <w:rsid w:val="001F33A5"/>
    <w:rsid w:val="001F3440"/>
    <w:rsid w:val="001F3895"/>
    <w:rsid w:val="001F3C0C"/>
    <w:rsid w:val="001F3D6D"/>
    <w:rsid w:val="001F3F38"/>
    <w:rsid w:val="001F46D9"/>
    <w:rsid w:val="001F4927"/>
    <w:rsid w:val="001F4997"/>
    <w:rsid w:val="001F49B0"/>
    <w:rsid w:val="001F49FA"/>
    <w:rsid w:val="001F50C0"/>
    <w:rsid w:val="001F5391"/>
    <w:rsid w:val="001F555D"/>
    <w:rsid w:val="001F56FC"/>
    <w:rsid w:val="001F570D"/>
    <w:rsid w:val="001F5B8E"/>
    <w:rsid w:val="001F5F09"/>
    <w:rsid w:val="001F5F4A"/>
    <w:rsid w:val="001F6016"/>
    <w:rsid w:val="001F6113"/>
    <w:rsid w:val="001F618F"/>
    <w:rsid w:val="001F66BA"/>
    <w:rsid w:val="001F6773"/>
    <w:rsid w:val="001F72AB"/>
    <w:rsid w:val="001F74ED"/>
    <w:rsid w:val="001F75D5"/>
    <w:rsid w:val="001F75F4"/>
    <w:rsid w:val="001F7620"/>
    <w:rsid w:val="001F77DD"/>
    <w:rsid w:val="001F793E"/>
    <w:rsid w:val="001F7CD6"/>
    <w:rsid w:val="0020037C"/>
    <w:rsid w:val="002005C1"/>
    <w:rsid w:val="0020094D"/>
    <w:rsid w:val="002009AA"/>
    <w:rsid w:val="002009FA"/>
    <w:rsid w:val="00200A9C"/>
    <w:rsid w:val="00200AFF"/>
    <w:rsid w:val="00200E99"/>
    <w:rsid w:val="00200F6E"/>
    <w:rsid w:val="00201213"/>
    <w:rsid w:val="002013F8"/>
    <w:rsid w:val="0020146A"/>
    <w:rsid w:val="00201AB1"/>
    <w:rsid w:val="00201D51"/>
    <w:rsid w:val="0020228D"/>
    <w:rsid w:val="002022D6"/>
    <w:rsid w:val="00202397"/>
    <w:rsid w:val="002023EA"/>
    <w:rsid w:val="002028AE"/>
    <w:rsid w:val="0020295E"/>
    <w:rsid w:val="00202BC6"/>
    <w:rsid w:val="00202C47"/>
    <w:rsid w:val="00203272"/>
    <w:rsid w:val="0020336D"/>
    <w:rsid w:val="0020359E"/>
    <w:rsid w:val="002036AC"/>
    <w:rsid w:val="002036BF"/>
    <w:rsid w:val="002037D9"/>
    <w:rsid w:val="00203883"/>
    <w:rsid w:val="0020390D"/>
    <w:rsid w:val="00203988"/>
    <w:rsid w:val="00203C9E"/>
    <w:rsid w:val="00203D3D"/>
    <w:rsid w:val="00203DA2"/>
    <w:rsid w:val="00203FD4"/>
    <w:rsid w:val="002041A7"/>
    <w:rsid w:val="002041D4"/>
    <w:rsid w:val="002043A8"/>
    <w:rsid w:val="002043AE"/>
    <w:rsid w:val="002043E8"/>
    <w:rsid w:val="00204768"/>
    <w:rsid w:val="00204D9F"/>
    <w:rsid w:val="00205026"/>
    <w:rsid w:val="0020528E"/>
    <w:rsid w:val="00205C71"/>
    <w:rsid w:val="00205FD6"/>
    <w:rsid w:val="0020601E"/>
    <w:rsid w:val="00206065"/>
    <w:rsid w:val="0020620F"/>
    <w:rsid w:val="0020637B"/>
    <w:rsid w:val="00206423"/>
    <w:rsid w:val="00206843"/>
    <w:rsid w:val="00206885"/>
    <w:rsid w:val="00206ABF"/>
    <w:rsid w:val="00206CE8"/>
    <w:rsid w:val="00206E9F"/>
    <w:rsid w:val="0020775E"/>
    <w:rsid w:val="0020798B"/>
    <w:rsid w:val="00207BD1"/>
    <w:rsid w:val="00210231"/>
    <w:rsid w:val="002104B7"/>
    <w:rsid w:val="00210C19"/>
    <w:rsid w:val="00210C9A"/>
    <w:rsid w:val="002113DA"/>
    <w:rsid w:val="00211447"/>
    <w:rsid w:val="002114F7"/>
    <w:rsid w:val="002116BC"/>
    <w:rsid w:val="0021181A"/>
    <w:rsid w:val="00211B1F"/>
    <w:rsid w:val="00212306"/>
    <w:rsid w:val="002126C9"/>
    <w:rsid w:val="0021275D"/>
    <w:rsid w:val="002127E1"/>
    <w:rsid w:val="0021282C"/>
    <w:rsid w:val="0021296E"/>
    <w:rsid w:val="00212ABF"/>
    <w:rsid w:val="00212B05"/>
    <w:rsid w:val="00212FB1"/>
    <w:rsid w:val="00213042"/>
    <w:rsid w:val="00213095"/>
    <w:rsid w:val="00213352"/>
    <w:rsid w:val="002133E7"/>
    <w:rsid w:val="00213447"/>
    <w:rsid w:val="00213592"/>
    <w:rsid w:val="00213F53"/>
    <w:rsid w:val="0021417B"/>
    <w:rsid w:val="002141E9"/>
    <w:rsid w:val="00214663"/>
    <w:rsid w:val="00214893"/>
    <w:rsid w:val="00214A86"/>
    <w:rsid w:val="00214E51"/>
    <w:rsid w:val="0021541E"/>
    <w:rsid w:val="002157B3"/>
    <w:rsid w:val="00215E32"/>
    <w:rsid w:val="00215E36"/>
    <w:rsid w:val="00216172"/>
    <w:rsid w:val="00216304"/>
    <w:rsid w:val="002166A9"/>
    <w:rsid w:val="00216AB7"/>
    <w:rsid w:val="00216BB9"/>
    <w:rsid w:val="00216BBE"/>
    <w:rsid w:val="00216C35"/>
    <w:rsid w:val="002170BA"/>
    <w:rsid w:val="002172E8"/>
    <w:rsid w:val="00217368"/>
    <w:rsid w:val="00217A3B"/>
    <w:rsid w:val="00217E34"/>
    <w:rsid w:val="00217F31"/>
    <w:rsid w:val="002203D8"/>
    <w:rsid w:val="00220719"/>
    <w:rsid w:val="0022095F"/>
    <w:rsid w:val="00220E20"/>
    <w:rsid w:val="00220F73"/>
    <w:rsid w:val="00221219"/>
    <w:rsid w:val="0022150D"/>
    <w:rsid w:val="00221560"/>
    <w:rsid w:val="0022172D"/>
    <w:rsid w:val="002217D9"/>
    <w:rsid w:val="00221A4D"/>
    <w:rsid w:val="00221C04"/>
    <w:rsid w:val="00221D77"/>
    <w:rsid w:val="002226BC"/>
    <w:rsid w:val="00222823"/>
    <w:rsid w:val="00222888"/>
    <w:rsid w:val="002229E5"/>
    <w:rsid w:val="00222BAB"/>
    <w:rsid w:val="00222E49"/>
    <w:rsid w:val="00222F6C"/>
    <w:rsid w:val="00223211"/>
    <w:rsid w:val="002233A7"/>
    <w:rsid w:val="002233BE"/>
    <w:rsid w:val="00223659"/>
    <w:rsid w:val="002238B9"/>
    <w:rsid w:val="00223DBE"/>
    <w:rsid w:val="00223EAC"/>
    <w:rsid w:val="002240E7"/>
    <w:rsid w:val="0022449F"/>
    <w:rsid w:val="00224615"/>
    <w:rsid w:val="0022482A"/>
    <w:rsid w:val="00224A7C"/>
    <w:rsid w:val="00224CA3"/>
    <w:rsid w:val="00224D28"/>
    <w:rsid w:val="00224E0A"/>
    <w:rsid w:val="00224FB9"/>
    <w:rsid w:val="00225004"/>
    <w:rsid w:val="002252D9"/>
    <w:rsid w:val="002254B5"/>
    <w:rsid w:val="002254CF"/>
    <w:rsid w:val="00225E23"/>
    <w:rsid w:val="00226155"/>
    <w:rsid w:val="0022664B"/>
    <w:rsid w:val="002268CB"/>
    <w:rsid w:val="002269E2"/>
    <w:rsid w:val="00226C19"/>
    <w:rsid w:val="00227283"/>
    <w:rsid w:val="0022729D"/>
    <w:rsid w:val="002274C7"/>
    <w:rsid w:val="0022791B"/>
    <w:rsid w:val="00227948"/>
    <w:rsid w:val="00227B10"/>
    <w:rsid w:val="00227E30"/>
    <w:rsid w:val="00230117"/>
    <w:rsid w:val="0023079E"/>
    <w:rsid w:val="002309F7"/>
    <w:rsid w:val="002309FB"/>
    <w:rsid w:val="00230AD6"/>
    <w:rsid w:val="00230C92"/>
    <w:rsid w:val="00230FBF"/>
    <w:rsid w:val="00230FCE"/>
    <w:rsid w:val="00231013"/>
    <w:rsid w:val="00231088"/>
    <w:rsid w:val="00231190"/>
    <w:rsid w:val="00231192"/>
    <w:rsid w:val="002311F0"/>
    <w:rsid w:val="00231368"/>
    <w:rsid w:val="002314B6"/>
    <w:rsid w:val="00231849"/>
    <w:rsid w:val="00231AB1"/>
    <w:rsid w:val="002320EC"/>
    <w:rsid w:val="0023229B"/>
    <w:rsid w:val="00232390"/>
    <w:rsid w:val="002323CE"/>
    <w:rsid w:val="0023244D"/>
    <w:rsid w:val="00232757"/>
    <w:rsid w:val="002327E7"/>
    <w:rsid w:val="00232CC6"/>
    <w:rsid w:val="00232E35"/>
    <w:rsid w:val="00233361"/>
    <w:rsid w:val="00233483"/>
    <w:rsid w:val="00233920"/>
    <w:rsid w:val="00233C00"/>
    <w:rsid w:val="00234052"/>
    <w:rsid w:val="00234273"/>
    <w:rsid w:val="002344FC"/>
    <w:rsid w:val="0023458C"/>
    <w:rsid w:val="00234B71"/>
    <w:rsid w:val="0023530B"/>
    <w:rsid w:val="0023545D"/>
    <w:rsid w:val="0023548F"/>
    <w:rsid w:val="0023555F"/>
    <w:rsid w:val="0023561F"/>
    <w:rsid w:val="00235AE7"/>
    <w:rsid w:val="00235BC5"/>
    <w:rsid w:val="00235D70"/>
    <w:rsid w:val="00236143"/>
    <w:rsid w:val="00236196"/>
    <w:rsid w:val="00236993"/>
    <w:rsid w:val="00236A82"/>
    <w:rsid w:val="00236B42"/>
    <w:rsid w:val="00236F9E"/>
    <w:rsid w:val="002370AB"/>
    <w:rsid w:val="0023733B"/>
    <w:rsid w:val="0023742E"/>
    <w:rsid w:val="00237471"/>
    <w:rsid w:val="002379AF"/>
    <w:rsid w:val="00237E32"/>
    <w:rsid w:val="002402FC"/>
    <w:rsid w:val="00240A4A"/>
    <w:rsid w:val="00240A87"/>
    <w:rsid w:val="00240ADB"/>
    <w:rsid w:val="00240E92"/>
    <w:rsid w:val="00240ED2"/>
    <w:rsid w:val="00240FFA"/>
    <w:rsid w:val="002410B4"/>
    <w:rsid w:val="002412A9"/>
    <w:rsid w:val="00241386"/>
    <w:rsid w:val="00241ACD"/>
    <w:rsid w:val="00241BB0"/>
    <w:rsid w:val="00241CB0"/>
    <w:rsid w:val="00241DEE"/>
    <w:rsid w:val="00241ED9"/>
    <w:rsid w:val="00241FF5"/>
    <w:rsid w:val="0024207C"/>
    <w:rsid w:val="002420B5"/>
    <w:rsid w:val="00242119"/>
    <w:rsid w:val="00242EE3"/>
    <w:rsid w:val="00243010"/>
    <w:rsid w:val="00243235"/>
    <w:rsid w:val="0024327E"/>
    <w:rsid w:val="00243333"/>
    <w:rsid w:val="00243418"/>
    <w:rsid w:val="00243639"/>
    <w:rsid w:val="002436CE"/>
    <w:rsid w:val="00243723"/>
    <w:rsid w:val="00243A24"/>
    <w:rsid w:val="00243A42"/>
    <w:rsid w:val="00243C98"/>
    <w:rsid w:val="00243E88"/>
    <w:rsid w:val="00244114"/>
    <w:rsid w:val="00244161"/>
    <w:rsid w:val="00244333"/>
    <w:rsid w:val="00244402"/>
    <w:rsid w:val="002444B8"/>
    <w:rsid w:val="0024476A"/>
    <w:rsid w:val="002448FF"/>
    <w:rsid w:val="00244D24"/>
    <w:rsid w:val="00244DC1"/>
    <w:rsid w:val="00244DF4"/>
    <w:rsid w:val="00244F07"/>
    <w:rsid w:val="0024501B"/>
    <w:rsid w:val="0024529A"/>
    <w:rsid w:val="002455B0"/>
    <w:rsid w:val="0024582F"/>
    <w:rsid w:val="0024590E"/>
    <w:rsid w:val="0024597C"/>
    <w:rsid w:val="00246049"/>
    <w:rsid w:val="00246253"/>
    <w:rsid w:val="0024639E"/>
    <w:rsid w:val="002465CA"/>
    <w:rsid w:val="00247071"/>
    <w:rsid w:val="0024726A"/>
    <w:rsid w:val="002472B3"/>
    <w:rsid w:val="002473F4"/>
    <w:rsid w:val="00247AA3"/>
    <w:rsid w:val="00247C3F"/>
    <w:rsid w:val="00247C58"/>
    <w:rsid w:val="002500EA"/>
    <w:rsid w:val="00250296"/>
    <w:rsid w:val="00250444"/>
    <w:rsid w:val="00250663"/>
    <w:rsid w:val="002507F7"/>
    <w:rsid w:val="00250995"/>
    <w:rsid w:val="00250A40"/>
    <w:rsid w:val="00250AAD"/>
    <w:rsid w:val="00250BBE"/>
    <w:rsid w:val="00250C10"/>
    <w:rsid w:val="00250EE2"/>
    <w:rsid w:val="0025106C"/>
    <w:rsid w:val="00251100"/>
    <w:rsid w:val="002513D5"/>
    <w:rsid w:val="002514C7"/>
    <w:rsid w:val="00251562"/>
    <w:rsid w:val="002515BF"/>
    <w:rsid w:val="0025160A"/>
    <w:rsid w:val="002517CB"/>
    <w:rsid w:val="002520C5"/>
    <w:rsid w:val="00252237"/>
    <w:rsid w:val="00252438"/>
    <w:rsid w:val="00252974"/>
    <w:rsid w:val="00252A23"/>
    <w:rsid w:val="00252ECC"/>
    <w:rsid w:val="002537F7"/>
    <w:rsid w:val="00253A14"/>
    <w:rsid w:val="00253CA8"/>
    <w:rsid w:val="00253E3D"/>
    <w:rsid w:val="0025499E"/>
    <w:rsid w:val="002549A4"/>
    <w:rsid w:val="00254A43"/>
    <w:rsid w:val="00254B3E"/>
    <w:rsid w:val="00254B69"/>
    <w:rsid w:val="00254B6E"/>
    <w:rsid w:val="00255261"/>
    <w:rsid w:val="002554A9"/>
    <w:rsid w:val="00255869"/>
    <w:rsid w:val="002558BE"/>
    <w:rsid w:val="00255933"/>
    <w:rsid w:val="002559F0"/>
    <w:rsid w:val="00255A55"/>
    <w:rsid w:val="00255AE5"/>
    <w:rsid w:val="00255C12"/>
    <w:rsid w:val="00255C98"/>
    <w:rsid w:val="00255DF3"/>
    <w:rsid w:val="00255EB4"/>
    <w:rsid w:val="002560B5"/>
    <w:rsid w:val="00256278"/>
    <w:rsid w:val="002563AF"/>
    <w:rsid w:val="00256576"/>
    <w:rsid w:val="0025690A"/>
    <w:rsid w:val="00256D08"/>
    <w:rsid w:val="00257454"/>
    <w:rsid w:val="00257492"/>
    <w:rsid w:val="002574C8"/>
    <w:rsid w:val="00257B56"/>
    <w:rsid w:val="00257C86"/>
    <w:rsid w:val="00257E2A"/>
    <w:rsid w:val="00260128"/>
    <w:rsid w:val="002601E6"/>
    <w:rsid w:val="00260277"/>
    <w:rsid w:val="0026037C"/>
    <w:rsid w:val="002606E8"/>
    <w:rsid w:val="00260CE9"/>
    <w:rsid w:val="00260DBE"/>
    <w:rsid w:val="00261018"/>
    <w:rsid w:val="00261272"/>
    <w:rsid w:val="00261419"/>
    <w:rsid w:val="0026170A"/>
    <w:rsid w:val="0026172A"/>
    <w:rsid w:val="002618CE"/>
    <w:rsid w:val="0026190B"/>
    <w:rsid w:val="00261B6E"/>
    <w:rsid w:val="00261E07"/>
    <w:rsid w:val="0026208C"/>
    <w:rsid w:val="00262797"/>
    <w:rsid w:val="00262CD2"/>
    <w:rsid w:val="00262CE2"/>
    <w:rsid w:val="00262D04"/>
    <w:rsid w:val="00262EE2"/>
    <w:rsid w:val="00263163"/>
    <w:rsid w:val="00263689"/>
    <w:rsid w:val="00263836"/>
    <w:rsid w:val="002638FA"/>
    <w:rsid w:val="002639F3"/>
    <w:rsid w:val="00263EB5"/>
    <w:rsid w:val="00263F08"/>
    <w:rsid w:val="002640A1"/>
    <w:rsid w:val="002640A9"/>
    <w:rsid w:val="002640B6"/>
    <w:rsid w:val="002640CF"/>
    <w:rsid w:val="00264336"/>
    <w:rsid w:val="00264546"/>
    <w:rsid w:val="00264596"/>
    <w:rsid w:val="00264B05"/>
    <w:rsid w:val="002650C2"/>
    <w:rsid w:val="002652AC"/>
    <w:rsid w:val="00265325"/>
    <w:rsid w:val="00265599"/>
    <w:rsid w:val="0026598E"/>
    <w:rsid w:val="00266156"/>
    <w:rsid w:val="0026646A"/>
    <w:rsid w:val="002667FA"/>
    <w:rsid w:val="00266F90"/>
    <w:rsid w:val="00267459"/>
    <w:rsid w:val="00267484"/>
    <w:rsid w:val="0026783D"/>
    <w:rsid w:val="00267D54"/>
    <w:rsid w:val="00267DD0"/>
    <w:rsid w:val="00267F37"/>
    <w:rsid w:val="002703D7"/>
    <w:rsid w:val="002707DD"/>
    <w:rsid w:val="00270E3E"/>
    <w:rsid w:val="00270EAE"/>
    <w:rsid w:val="0027102B"/>
    <w:rsid w:val="0027129C"/>
    <w:rsid w:val="00271443"/>
    <w:rsid w:val="00271540"/>
    <w:rsid w:val="00271652"/>
    <w:rsid w:val="0027170F"/>
    <w:rsid w:val="00271C1D"/>
    <w:rsid w:val="00271D72"/>
    <w:rsid w:val="00272083"/>
    <w:rsid w:val="0027216C"/>
    <w:rsid w:val="00272396"/>
    <w:rsid w:val="00272726"/>
    <w:rsid w:val="00272911"/>
    <w:rsid w:val="00272B05"/>
    <w:rsid w:val="00272C30"/>
    <w:rsid w:val="00272D8D"/>
    <w:rsid w:val="00272F6F"/>
    <w:rsid w:val="00272FAB"/>
    <w:rsid w:val="002731B9"/>
    <w:rsid w:val="0027327A"/>
    <w:rsid w:val="00273442"/>
    <w:rsid w:val="00273496"/>
    <w:rsid w:val="00273525"/>
    <w:rsid w:val="00273A89"/>
    <w:rsid w:val="00273CF6"/>
    <w:rsid w:val="00273DD0"/>
    <w:rsid w:val="00273F6F"/>
    <w:rsid w:val="0027409D"/>
    <w:rsid w:val="00274135"/>
    <w:rsid w:val="0027446B"/>
    <w:rsid w:val="00274651"/>
    <w:rsid w:val="0027478C"/>
    <w:rsid w:val="0027496D"/>
    <w:rsid w:val="00274AB1"/>
    <w:rsid w:val="00274BA1"/>
    <w:rsid w:val="00274BDB"/>
    <w:rsid w:val="00274DB6"/>
    <w:rsid w:val="00274DC6"/>
    <w:rsid w:val="00274F77"/>
    <w:rsid w:val="00275134"/>
    <w:rsid w:val="00275528"/>
    <w:rsid w:val="00276084"/>
    <w:rsid w:val="00276119"/>
    <w:rsid w:val="0027666C"/>
    <w:rsid w:val="00276AA6"/>
    <w:rsid w:val="00276B4A"/>
    <w:rsid w:val="00276CFB"/>
    <w:rsid w:val="00276D29"/>
    <w:rsid w:val="00277314"/>
    <w:rsid w:val="0027731A"/>
    <w:rsid w:val="0027737F"/>
    <w:rsid w:val="002775BE"/>
    <w:rsid w:val="002778AC"/>
    <w:rsid w:val="00277C87"/>
    <w:rsid w:val="00277FBB"/>
    <w:rsid w:val="002800C8"/>
    <w:rsid w:val="002804F8"/>
    <w:rsid w:val="00280597"/>
    <w:rsid w:val="0028080F"/>
    <w:rsid w:val="0028086D"/>
    <w:rsid w:val="0028089D"/>
    <w:rsid w:val="00280EC9"/>
    <w:rsid w:val="002813AC"/>
    <w:rsid w:val="002814FF"/>
    <w:rsid w:val="002816AE"/>
    <w:rsid w:val="0028171D"/>
    <w:rsid w:val="00281DC3"/>
    <w:rsid w:val="00281F47"/>
    <w:rsid w:val="00281FBA"/>
    <w:rsid w:val="00282015"/>
    <w:rsid w:val="00282023"/>
    <w:rsid w:val="00282522"/>
    <w:rsid w:val="002826D0"/>
    <w:rsid w:val="0028301E"/>
    <w:rsid w:val="00283120"/>
    <w:rsid w:val="002833BF"/>
    <w:rsid w:val="0028351A"/>
    <w:rsid w:val="002838A3"/>
    <w:rsid w:val="00283ACF"/>
    <w:rsid w:val="00283F84"/>
    <w:rsid w:val="002841CB"/>
    <w:rsid w:val="002842DD"/>
    <w:rsid w:val="0028458D"/>
    <w:rsid w:val="0028465E"/>
    <w:rsid w:val="00284B85"/>
    <w:rsid w:val="00284BD8"/>
    <w:rsid w:val="00284C16"/>
    <w:rsid w:val="00284DB6"/>
    <w:rsid w:val="00284F77"/>
    <w:rsid w:val="00284FC0"/>
    <w:rsid w:val="00285356"/>
    <w:rsid w:val="00285386"/>
    <w:rsid w:val="002854F1"/>
    <w:rsid w:val="0028553E"/>
    <w:rsid w:val="00285583"/>
    <w:rsid w:val="00285B67"/>
    <w:rsid w:val="00286272"/>
    <w:rsid w:val="00286287"/>
    <w:rsid w:val="00286474"/>
    <w:rsid w:val="00286777"/>
    <w:rsid w:val="00286ABF"/>
    <w:rsid w:val="00286B04"/>
    <w:rsid w:val="00286BC2"/>
    <w:rsid w:val="00286D53"/>
    <w:rsid w:val="0028700F"/>
    <w:rsid w:val="00287571"/>
    <w:rsid w:val="00287A84"/>
    <w:rsid w:val="00287D38"/>
    <w:rsid w:val="00287E7C"/>
    <w:rsid w:val="00287EBD"/>
    <w:rsid w:val="002901C1"/>
    <w:rsid w:val="002903D9"/>
    <w:rsid w:val="0029051E"/>
    <w:rsid w:val="002906D2"/>
    <w:rsid w:val="00290841"/>
    <w:rsid w:val="002908C1"/>
    <w:rsid w:val="00290999"/>
    <w:rsid w:val="00290C9B"/>
    <w:rsid w:val="00290F54"/>
    <w:rsid w:val="00290FAD"/>
    <w:rsid w:val="002917E6"/>
    <w:rsid w:val="002918F8"/>
    <w:rsid w:val="00291AB0"/>
    <w:rsid w:val="00291ADD"/>
    <w:rsid w:val="00291E9F"/>
    <w:rsid w:val="00292286"/>
    <w:rsid w:val="00292290"/>
    <w:rsid w:val="00292735"/>
    <w:rsid w:val="00292D22"/>
    <w:rsid w:val="00293147"/>
    <w:rsid w:val="0029332B"/>
    <w:rsid w:val="00293624"/>
    <w:rsid w:val="0029365E"/>
    <w:rsid w:val="00293855"/>
    <w:rsid w:val="00293B0C"/>
    <w:rsid w:val="00293C32"/>
    <w:rsid w:val="00293F26"/>
    <w:rsid w:val="00293F97"/>
    <w:rsid w:val="00294071"/>
    <w:rsid w:val="0029438C"/>
    <w:rsid w:val="0029448F"/>
    <w:rsid w:val="002947BC"/>
    <w:rsid w:val="00294853"/>
    <w:rsid w:val="002948E0"/>
    <w:rsid w:val="00294AC7"/>
    <w:rsid w:val="00294BA1"/>
    <w:rsid w:val="00294BE5"/>
    <w:rsid w:val="00294E40"/>
    <w:rsid w:val="0029562F"/>
    <w:rsid w:val="00295A9B"/>
    <w:rsid w:val="00295D22"/>
    <w:rsid w:val="00296162"/>
    <w:rsid w:val="002967EB"/>
    <w:rsid w:val="002968BD"/>
    <w:rsid w:val="00296E2D"/>
    <w:rsid w:val="00296FF9"/>
    <w:rsid w:val="00297099"/>
    <w:rsid w:val="002970ED"/>
    <w:rsid w:val="00297221"/>
    <w:rsid w:val="00297443"/>
    <w:rsid w:val="00297576"/>
    <w:rsid w:val="002976AA"/>
    <w:rsid w:val="0029781C"/>
    <w:rsid w:val="00297BB9"/>
    <w:rsid w:val="00297E79"/>
    <w:rsid w:val="002A00D3"/>
    <w:rsid w:val="002A00FA"/>
    <w:rsid w:val="002A014A"/>
    <w:rsid w:val="002A0251"/>
    <w:rsid w:val="002A04C8"/>
    <w:rsid w:val="002A11D4"/>
    <w:rsid w:val="002A12E2"/>
    <w:rsid w:val="002A150C"/>
    <w:rsid w:val="002A16BA"/>
    <w:rsid w:val="002A1C2C"/>
    <w:rsid w:val="002A1E99"/>
    <w:rsid w:val="002A1F61"/>
    <w:rsid w:val="002A2070"/>
    <w:rsid w:val="002A20AC"/>
    <w:rsid w:val="002A258D"/>
    <w:rsid w:val="002A2750"/>
    <w:rsid w:val="002A2AE1"/>
    <w:rsid w:val="002A2B3E"/>
    <w:rsid w:val="002A2EF5"/>
    <w:rsid w:val="002A2F57"/>
    <w:rsid w:val="002A3149"/>
    <w:rsid w:val="002A31EF"/>
    <w:rsid w:val="002A39E2"/>
    <w:rsid w:val="002A3A89"/>
    <w:rsid w:val="002A421C"/>
    <w:rsid w:val="002A44F1"/>
    <w:rsid w:val="002A4863"/>
    <w:rsid w:val="002A496E"/>
    <w:rsid w:val="002A4E3A"/>
    <w:rsid w:val="002A5310"/>
    <w:rsid w:val="002A53D8"/>
    <w:rsid w:val="002A5449"/>
    <w:rsid w:val="002A563E"/>
    <w:rsid w:val="002A5687"/>
    <w:rsid w:val="002A5B19"/>
    <w:rsid w:val="002A5F75"/>
    <w:rsid w:val="002A64C3"/>
    <w:rsid w:val="002A64C5"/>
    <w:rsid w:val="002A6559"/>
    <w:rsid w:val="002A666F"/>
    <w:rsid w:val="002A672D"/>
    <w:rsid w:val="002A6B26"/>
    <w:rsid w:val="002A6D2B"/>
    <w:rsid w:val="002A71CC"/>
    <w:rsid w:val="002A75C9"/>
    <w:rsid w:val="002A77F3"/>
    <w:rsid w:val="002A782A"/>
    <w:rsid w:val="002A7845"/>
    <w:rsid w:val="002A7AF4"/>
    <w:rsid w:val="002A7F06"/>
    <w:rsid w:val="002A7F68"/>
    <w:rsid w:val="002B0180"/>
    <w:rsid w:val="002B01FA"/>
    <w:rsid w:val="002B0222"/>
    <w:rsid w:val="002B04F3"/>
    <w:rsid w:val="002B0658"/>
    <w:rsid w:val="002B083E"/>
    <w:rsid w:val="002B0877"/>
    <w:rsid w:val="002B08C2"/>
    <w:rsid w:val="002B08D3"/>
    <w:rsid w:val="002B096C"/>
    <w:rsid w:val="002B09E2"/>
    <w:rsid w:val="002B0AD6"/>
    <w:rsid w:val="002B0C33"/>
    <w:rsid w:val="002B134E"/>
    <w:rsid w:val="002B164C"/>
    <w:rsid w:val="002B168A"/>
    <w:rsid w:val="002B168C"/>
    <w:rsid w:val="002B17D1"/>
    <w:rsid w:val="002B17F8"/>
    <w:rsid w:val="002B187A"/>
    <w:rsid w:val="002B188C"/>
    <w:rsid w:val="002B1AFA"/>
    <w:rsid w:val="002B1BEE"/>
    <w:rsid w:val="002B1D0E"/>
    <w:rsid w:val="002B1EF9"/>
    <w:rsid w:val="002B21E4"/>
    <w:rsid w:val="002B242A"/>
    <w:rsid w:val="002B271B"/>
    <w:rsid w:val="002B2B7E"/>
    <w:rsid w:val="002B2D19"/>
    <w:rsid w:val="002B2EC2"/>
    <w:rsid w:val="002B2F28"/>
    <w:rsid w:val="002B30A5"/>
    <w:rsid w:val="002B34E7"/>
    <w:rsid w:val="002B365E"/>
    <w:rsid w:val="002B3A16"/>
    <w:rsid w:val="002B3A7C"/>
    <w:rsid w:val="002B3CA5"/>
    <w:rsid w:val="002B3E71"/>
    <w:rsid w:val="002B3E95"/>
    <w:rsid w:val="002B3F4B"/>
    <w:rsid w:val="002B4474"/>
    <w:rsid w:val="002B447F"/>
    <w:rsid w:val="002B44F6"/>
    <w:rsid w:val="002B4600"/>
    <w:rsid w:val="002B4776"/>
    <w:rsid w:val="002B47F4"/>
    <w:rsid w:val="002B47FD"/>
    <w:rsid w:val="002B4C3B"/>
    <w:rsid w:val="002B5119"/>
    <w:rsid w:val="002B52E5"/>
    <w:rsid w:val="002B5422"/>
    <w:rsid w:val="002B5626"/>
    <w:rsid w:val="002B57FF"/>
    <w:rsid w:val="002B5892"/>
    <w:rsid w:val="002B5D62"/>
    <w:rsid w:val="002B5DFC"/>
    <w:rsid w:val="002B6078"/>
    <w:rsid w:val="002B6260"/>
    <w:rsid w:val="002B62A0"/>
    <w:rsid w:val="002B642A"/>
    <w:rsid w:val="002B6522"/>
    <w:rsid w:val="002B65EA"/>
    <w:rsid w:val="002B6866"/>
    <w:rsid w:val="002B70D3"/>
    <w:rsid w:val="002B72CB"/>
    <w:rsid w:val="002B74CD"/>
    <w:rsid w:val="002B7743"/>
    <w:rsid w:val="002B78A0"/>
    <w:rsid w:val="002B7971"/>
    <w:rsid w:val="002B7DCB"/>
    <w:rsid w:val="002B7F2F"/>
    <w:rsid w:val="002C0130"/>
    <w:rsid w:val="002C01DA"/>
    <w:rsid w:val="002C0526"/>
    <w:rsid w:val="002C0823"/>
    <w:rsid w:val="002C095C"/>
    <w:rsid w:val="002C0A92"/>
    <w:rsid w:val="002C0CDA"/>
    <w:rsid w:val="002C0D75"/>
    <w:rsid w:val="002C13F7"/>
    <w:rsid w:val="002C161E"/>
    <w:rsid w:val="002C1665"/>
    <w:rsid w:val="002C1BAF"/>
    <w:rsid w:val="002C1BD8"/>
    <w:rsid w:val="002C1CB2"/>
    <w:rsid w:val="002C1D52"/>
    <w:rsid w:val="002C1EDD"/>
    <w:rsid w:val="002C2023"/>
    <w:rsid w:val="002C204F"/>
    <w:rsid w:val="002C210A"/>
    <w:rsid w:val="002C21CC"/>
    <w:rsid w:val="002C21D6"/>
    <w:rsid w:val="002C2422"/>
    <w:rsid w:val="002C24FE"/>
    <w:rsid w:val="002C2A01"/>
    <w:rsid w:val="002C2DB4"/>
    <w:rsid w:val="002C3044"/>
    <w:rsid w:val="002C3235"/>
    <w:rsid w:val="002C32D6"/>
    <w:rsid w:val="002C3403"/>
    <w:rsid w:val="002C35F1"/>
    <w:rsid w:val="002C3768"/>
    <w:rsid w:val="002C38F6"/>
    <w:rsid w:val="002C3C9A"/>
    <w:rsid w:val="002C416D"/>
    <w:rsid w:val="002C4404"/>
    <w:rsid w:val="002C4542"/>
    <w:rsid w:val="002C4793"/>
    <w:rsid w:val="002C4875"/>
    <w:rsid w:val="002C48A7"/>
    <w:rsid w:val="002C4C06"/>
    <w:rsid w:val="002C5367"/>
    <w:rsid w:val="002C547E"/>
    <w:rsid w:val="002C58F9"/>
    <w:rsid w:val="002C5F17"/>
    <w:rsid w:val="002C6053"/>
    <w:rsid w:val="002C631C"/>
    <w:rsid w:val="002C64B0"/>
    <w:rsid w:val="002C6D11"/>
    <w:rsid w:val="002C71DF"/>
    <w:rsid w:val="002C73DD"/>
    <w:rsid w:val="002C7831"/>
    <w:rsid w:val="002D084A"/>
    <w:rsid w:val="002D088B"/>
    <w:rsid w:val="002D0978"/>
    <w:rsid w:val="002D0A6D"/>
    <w:rsid w:val="002D0CAB"/>
    <w:rsid w:val="002D0E6D"/>
    <w:rsid w:val="002D18DE"/>
    <w:rsid w:val="002D19C9"/>
    <w:rsid w:val="002D1DD1"/>
    <w:rsid w:val="002D1ECE"/>
    <w:rsid w:val="002D21D0"/>
    <w:rsid w:val="002D229B"/>
    <w:rsid w:val="002D2C32"/>
    <w:rsid w:val="002D2D52"/>
    <w:rsid w:val="002D2E4E"/>
    <w:rsid w:val="002D3312"/>
    <w:rsid w:val="002D37D0"/>
    <w:rsid w:val="002D37D6"/>
    <w:rsid w:val="002D3A32"/>
    <w:rsid w:val="002D3D9C"/>
    <w:rsid w:val="002D3F01"/>
    <w:rsid w:val="002D4062"/>
    <w:rsid w:val="002D4087"/>
    <w:rsid w:val="002D4203"/>
    <w:rsid w:val="002D458F"/>
    <w:rsid w:val="002D4771"/>
    <w:rsid w:val="002D4844"/>
    <w:rsid w:val="002D4E94"/>
    <w:rsid w:val="002D4F47"/>
    <w:rsid w:val="002D545C"/>
    <w:rsid w:val="002D5474"/>
    <w:rsid w:val="002D5482"/>
    <w:rsid w:val="002D5DBE"/>
    <w:rsid w:val="002D6472"/>
    <w:rsid w:val="002D68C3"/>
    <w:rsid w:val="002D691F"/>
    <w:rsid w:val="002D6BB1"/>
    <w:rsid w:val="002D7464"/>
    <w:rsid w:val="002D7594"/>
    <w:rsid w:val="002D7636"/>
    <w:rsid w:val="002D7C01"/>
    <w:rsid w:val="002E00E0"/>
    <w:rsid w:val="002E098F"/>
    <w:rsid w:val="002E0AE7"/>
    <w:rsid w:val="002E0C77"/>
    <w:rsid w:val="002E0FBF"/>
    <w:rsid w:val="002E116C"/>
    <w:rsid w:val="002E16A3"/>
    <w:rsid w:val="002E1BF4"/>
    <w:rsid w:val="002E1F19"/>
    <w:rsid w:val="002E2068"/>
    <w:rsid w:val="002E23A2"/>
    <w:rsid w:val="002E2513"/>
    <w:rsid w:val="002E272F"/>
    <w:rsid w:val="002E2775"/>
    <w:rsid w:val="002E27B3"/>
    <w:rsid w:val="002E2862"/>
    <w:rsid w:val="002E2F47"/>
    <w:rsid w:val="002E311D"/>
    <w:rsid w:val="002E33E7"/>
    <w:rsid w:val="002E348B"/>
    <w:rsid w:val="002E3AEF"/>
    <w:rsid w:val="002E3B39"/>
    <w:rsid w:val="002E3D15"/>
    <w:rsid w:val="002E3D56"/>
    <w:rsid w:val="002E3E65"/>
    <w:rsid w:val="002E3E7D"/>
    <w:rsid w:val="002E3F2A"/>
    <w:rsid w:val="002E4078"/>
    <w:rsid w:val="002E4087"/>
    <w:rsid w:val="002E45C8"/>
    <w:rsid w:val="002E4AC7"/>
    <w:rsid w:val="002E5126"/>
    <w:rsid w:val="002E52C3"/>
    <w:rsid w:val="002E5479"/>
    <w:rsid w:val="002E57A9"/>
    <w:rsid w:val="002E593B"/>
    <w:rsid w:val="002E5F22"/>
    <w:rsid w:val="002E6375"/>
    <w:rsid w:val="002E6402"/>
    <w:rsid w:val="002E6448"/>
    <w:rsid w:val="002E6ABA"/>
    <w:rsid w:val="002E6AEB"/>
    <w:rsid w:val="002E6BC7"/>
    <w:rsid w:val="002E6CF4"/>
    <w:rsid w:val="002E6EA2"/>
    <w:rsid w:val="002E6FC8"/>
    <w:rsid w:val="002E70D5"/>
    <w:rsid w:val="002E7181"/>
    <w:rsid w:val="002E7214"/>
    <w:rsid w:val="002E722D"/>
    <w:rsid w:val="002E7472"/>
    <w:rsid w:val="002E77AE"/>
    <w:rsid w:val="002E77F0"/>
    <w:rsid w:val="002E7B63"/>
    <w:rsid w:val="002F0059"/>
    <w:rsid w:val="002F00E1"/>
    <w:rsid w:val="002F00EE"/>
    <w:rsid w:val="002F0501"/>
    <w:rsid w:val="002F0A2E"/>
    <w:rsid w:val="002F0C31"/>
    <w:rsid w:val="002F0C5F"/>
    <w:rsid w:val="002F0EF0"/>
    <w:rsid w:val="002F109A"/>
    <w:rsid w:val="002F1380"/>
    <w:rsid w:val="002F151C"/>
    <w:rsid w:val="002F162B"/>
    <w:rsid w:val="002F194B"/>
    <w:rsid w:val="002F24D5"/>
    <w:rsid w:val="002F25C4"/>
    <w:rsid w:val="002F2827"/>
    <w:rsid w:val="002F2BBD"/>
    <w:rsid w:val="002F2CA4"/>
    <w:rsid w:val="002F2EAD"/>
    <w:rsid w:val="002F300F"/>
    <w:rsid w:val="002F34B4"/>
    <w:rsid w:val="002F3503"/>
    <w:rsid w:val="002F37B4"/>
    <w:rsid w:val="002F3AC8"/>
    <w:rsid w:val="002F3C70"/>
    <w:rsid w:val="002F4082"/>
    <w:rsid w:val="002F41C0"/>
    <w:rsid w:val="002F4289"/>
    <w:rsid w:val="002F430A"/>
    <w:rsid w:val="002F442A"/>
    <w:rsid w:val="002F4538"/>
    <w:rsid w:val="002F4585"/>
    <w:rsid w:val="002F4653"/>
    <w:rsid w:val="002F4727"/>
    <w:rsid w:val="002F4821"/>
    <w:rsid w:val="002F51F8"/>
    <w:rsid w:val="002F52CF"/>
    <w:rsid w:val="002F53E0"/>
    <w:rsid w:val="002F563B"/>
    <w:rsid w:val="002F57AF"/>
    <w:rsid w:val="002F5AF0"/>
    <w:rsid w:val="002F5EE9"/>
    <w:rsid w:val="002F6275"/>
    <w:rsid w:val="002F6D37"/>
    <w:rsid w:val="002F70E5"/>
    <w:rsid w:val="002F71F8"/>
    <w:rsid w:val="002F74FD"/>
    <w:rsid w:val="002F771A"/>
    <w:rsid w:val="002F7948"/>
    <w:rsid w:val="0030035E"/>
    <w:rsid w:val="0030071B"/>
    <w:rsid w:val="00300883"/>
    <w:rsid w:val="00300B58"/>
    <w:rsid w:val="00300B68"/>
    <w:rsid w:val="00300E51"/>
    <w:rsid w:val="00300EC2"/>
    <w:rsid w:val="00301624"/>
    <w:rsid w:val="003018AE"/>
    <w:rsid w:val="00301F16"/>
    <w:rsid w:val="00302063"/>
    <w:rsid w:val="0030225C"/>
    <w:rsid w:val="003022D4"/>
    <w:rsid w:val="003023AA"/>
    <w:rsid w:val="0030243D"/>
    <w:rsid w:val="00302588"/>
    <w:rsid w:val="00302621"/>
    <w:rsid w:val="003033C8"/>
    <w:rsid w:val="003033F0"/>
    <w:rsid w:val="003035A9"/>
    <w:rsid w:val="00303E3B"/>
    <w:rsid w:val="00303E3D"/>
    <w:rsid w:val="00303EE5"/>
    <w:rsid w:val="00303F5D"/>
    <w:rsid w:val="00304048"/>
    <w:rsid w:val="0030408E"/>
    <w:rsid w:val="003040E8"/>
    <w:rsid w:val="00304692"/>
    <w:rsid w:val="00304A27"/>
    <w:rsid w:val="00304B0B"/>
    <w:rsid w:val="00304BDE"/>
    <w:rsid w:val="00304CCC"/>
    <w:rsid w:val="00304EE5"/>
    <w:rsid w:val="00304F76"/>
    <w:rsid w:val="0030516A"/>
    <w:rsid w:val="003051A1"/>
    <w:rsid w:val="003056B4"/>
    <w:rsid w:val="00305702"/>
    <w:rsid w:val="003057DA"/>
    <w:rsid w:val="003059A8"/>
    <w:rsid w:val="003059F0"/>
    <w:rsid w:val="00306484"/>
    <w:rsid w:val="0030659C"/>
    <w:rsid w:val="003066E2"/>
    <w:rsid w:val="00306A7C"/>
    <w:rsid w:val="00306AE7"/>
    <w:rsid w:val="00306C78"/>
    <w:rsid w:val="00306F55"/>
    <w:rsid w:val="00306F76"/>
    <w:rsid w:val="00307191"/>
    <w:rsid w:val="003071BF"/>
    <w:rsid w:val="00307890"/>
    <w:rsid w:val="00307B64"/>
    <w:rsid w:val="00307E0C"/>
    <w:rsid w:val="0031028B"/>
    <w:rsid w:val="003104F7"/>
    <w:rsid w:val="003105CF"/>
    <w:rsid w:val="003105DC"/>
    <w:rsid w:val="00310686"/>
    <w:rsid w:val="00310C59"/>
    <w:rsid w:val="00310CFB"/>
    <w:rsid w:val="00310D3B"/>
    <w:rsid w:val="00310EE1"/>
    <w:rsid w:val="00311163"/>
    <w:rsid w:val="0031134E"/>
    <w:rsid w:val="00311498"/>
    <w:rsid w:val="00311939"/>
    <w:rsid w:val="0031204F"/>
    <w:rsid w:val="0031234E"/>
    <w:rsid w:val="00312350"/>
    <w:rsid w:val="003123BF"/>
    <w:rsid w:val="0031246C"/>
    <w:rsid w:val="003126FF"/>
    <w:rsid w:val="00312708"/>
    <w:rsid w:val="003127A6"/>
    <w:rsid w:val="0031292D"/>
    <w:rsid w:val="00312947"/>
    <w:rsid w:val="003129DD"/>
    <w:rsid w:val="00312C02"/>
    <w:rsid w:val="00312C25"/>
    <w:rsid w:val="00312D00"/>
    <w:rsid w:val="00313016"/>
    <w:rsid w:val="003130C8"/>
    <w:rsid w:val="0031349C"/>
    <w:rsid w:val="00313748"/>
    <w:rsid w:val="003138C5"/>
    <w:rsid w:val="0031395F"/>
    <w:rsid w:val="00313B2A"/>
    <w:rsid w:val="00313ECC"/>
    <w:rsid w:val="00313F9D"/>
    <w:rsid w:val="00314675"/>
    <w:rsid w:val="00314745"/>
    <w:rsid w:val="0031489F"/>
    <w:rsid w:val="00314999"/>
    <w:rsid w:val="00314C4A"/>
    <w:rsid w:val="00314C7F"/>
    <w:rsid w:val="00314D1D"/>
    <w:rsid w:val="00314E3C"/>
    <w:rsid w:val="00314F9E"/>
    <w:rsid w:val="00315009"/>
    <w:rsid w:val="00315435"/>
    <w:rsid w:val="003158D3"/>
    <w:rsid w:val="00315A22"/>
    <w:rsid w:val="00315D6D"/>
    <w:rsid w:val="00315E13"/>
    <w:rsid w:val="0031609E"/>
    <w:rsid w:val="003161D8"/>
    <w:rsid w:val="003166BD"/>
    <w:rsid w:val="00316AF5"/>
    <w:rsid w:val="00316B58"/>
    <w:rsid w:val="00316EBA"/>
    <w:rsid w:val="00317521"/>
    <w:rsid w:val="003175AB"/>
    <w:rsid w:val="003177DB"/>
    <w:rsid w:val="0031791C"/>
    <w:rsid w:val="00317BCA"/>
    <w:rsid w:val="003200C0"/>
    <w:rsid w:val="003202F3"/>
    <w:rsid w:val="0032048C"/>
    <w:rsid w:val="003204C3"/>
    <w:rsid w:val="00320795"/>
    <w:rsid w:val="00320A52"/>
    <w:rsid w:val="00320B18"/>
    <w:rsid w:val="00320D8D"/>
    <w:rsid w:val="0032101B"/>
    <w:rsid w:val="00321687"/>
    <w:rsid w:val="00321688"/>
    <w:rsid w:val="00321B21"/>
    <w:rsid w:val="00321E38"/>
    <w:rsid w:val="00321E5D"/>
    <w:rsid w:val="0032215D"/>
    <w:rsid w:val="003225B9"/>
    <w:rsid w:val="00322716"/>
    <w:rsid w:val="00322973"/>
    <w:rsid w:val="00322B3F"/>
    <w:rsid w:val="0032338E"/>
    <w:rsid w:val="003235DE"/>
    <w:rsid w:val="00323902"/>
    <w:rsid w:val="003239F2"/>
    <w:rsid w:val="00323C2C"/>
    <w:rsid w:val="0032423A"/>
    <w:rsid w:val="003247DD"/>
    <w:rsid w:val="003249AD"/>
    <w:rsid w:val="003249D6"/>
    <w:rsid w:val="00324A37"/>
    <w:rsid w:val="00324D8E"/>
    <w:rsid w:val="00325020"/>
    <w:rsid w:val="003250E1"/>
    <w:rsid w:val="0032544F"/>
    <w:rsid w:val="0032545D"/>
    <w:rsid w:val="00325474"/>
    <w:rsid w:val="0032560C"/>
    <w:rsid w:val="0032561E"/>
    <w:rsid w:val="00325CEF"/>
    <w:rsid w:val="00325DBB"/>
    <w:rsid w:val="00326191"/>
    <w:rsid w:val="00326375"/>
    <w:rsid w:val="003268BD"/>
    <w:rsid w:val="00326D6D"/>
    <w:rsid w:val="00326E2B"/>
    <w:rsid w:val="00326F10"/>
    <w:rsid w:val="00327072"/>
    <w:rsid w:val="003270EA"/>
    <w:rsid w:val="00327474"/>
    <w:rsid w:val="0032747B"/>
    <w:rsid w:val="00327835"/>
    <w:rsid w:val="00327A46"/>
    <w:rsid w:val="00327C5D"/>
    <w:rsid w:val="00327CC5"/>
    <w:rsid w:val="00327D9E"/>
    <w:rsid w:val="00327DB0"/>
    <w:rsid w:val="0033009A"/>
    <w:rsid w:val="003301B1"/>
    <w:rsid w:val="00330519"/>
    <w:rsid w:val="003305EC"/>
    <w:rsid w:val="00330704"/>
    <w:rsid w:val="00330845"/>
    <w:rsid w:val="0033098A"/>
    <w:rsid w:val="00330A0B"/>
    <w:rsid w:val="00330FAD"/>
    <w:rsid w:val="0033137C"/>
    <w:rsid w:val="00331B13"/>
    <w:rsid w:val="00331CDE"/>
    <w:rsid w:val="00331D89"/>
    <w:rsid w:val="00331DF1"/>
    <w:rsid w:val="00332074"/>
    <w:rsid w:val="0033207E"/>
    <w:rsid w:val="0033215C"/>
    <w:rsid w:val="003321AC"/>
    <w:rsid w:val="003322EA"/>
    <w:rsid w:val="003323CE"/>
    <w:rsid w:val="00332E3D"/>
    <w:rsid w:val="003333B2"/>
    <w:rsid w:val="00333616"/>
    <w:rsid w:val="0033365C"/>
    <w:rsid w:val="003336C0"/>
    <w:rsid w:val="0033384B"/>
    <w:rsid w:val="0033389E"/>
    <w:rsid w:val="003338D0"/>
    <w:rsid w:val="00333BC7"/>
    <w:rsid w:val="00334148"/>
    <w:rsid w:val="00334549"/>
    <w:rsid w:val="00334873"/>
    <w:rsid w:val="00334B4E"/>
    <w:rsid w:val="00334B7C"/>
    <w:rsid w:val="00334C63"/>
    <w:rsid w:val="00334C84"/>
    <w:rsid w:val="00334D43"/>
    <w:rsid w:val="00334E98"/>
    <w:rsid w:val="00334EB9"/>
    <w:rsid w:val="0033507C"/>
    <w:rsid w:val="00335270"/>
    <w:rsid w:val="003354CE"/>
    <w:rsid w:val="00335521"/>
    <w:rsid w:val="00335D06"/>
    <w:rsid w:val="00335D88"/>
    <w:rsid w:val="00336083"/>
    <w:rsid w:val="0033612B"/>
    <w:rsid w:val="00336180"/>
    <w:rsid w:val="0033618B"/>
    <w:rsid w:val="003361A1"/>
    <w:rsid w:val="0033641F"/>
    <w:rsid w:val="00336E44"/>
    <w:rsid w:val="00336F8C"/>
    <w:rsid w:val="003371E2"/>
    <w:rsid w:val="00337374"/>
    <w:rsid w:val="0033743C"/>
    <w:rsid w:val="00337EF2"/>
    <w:rsid w:val="0034000F"/>
    <w:rsid w:val="00340205"/>
    <w:rsid w:val="00340734"/>
    <w:rsid w:val="003411CF"/>
    <w:rsid w:val="003411EE"/>
    <w:rsid w:val="00341551"/>
    <w:rsid w:val="00341958"/>
    <w:rsid w:val="00341D92"/>
    <w:rsid w:val="00341E95"/>
    <w:rsid w:val="00342241"/>
    <w:rsid w:val="00342367"/>
    <w:rsid w:val="00342427"/>
    <w:rsid w:val="00342515"/>
    <w:rsid w:val="0034255E"/>
    <w:rsid w:val="003427EE"/>
    <w:rsid w:val="003429ED"/>
    <w:rsid w:val="003429F3"/>
    <w:rsid w:val="003431F7"/>
    <w:rsid w:val="003433A9"/>
    <w:rsid w:val="0034345E"/>
    <w:rsid w:val="00343537"/>
    <w:rsid w:val="003436FE"/>
    <w:rsid w:val="0034389D"/>
    <w:rsid w:val="00343A5E"/>
    <w:rsid w:val="00343B40"/>
    <w:rsid w:val="00343EC7"/>
    <w:rsid w:val="00343F51"/>
    <w:rsid w:val="00343FC4"/>
    <w:rsid w:val="003442DA"/>
    <w:rsid w:val="0034494D"/>
    <w:rsid w:val="00344D94"/>
    <w:rsid w:val="0034524A"/>
    <w:rsid w:val="003452D3"/>
    <w:rsid w:val="0034593F"/>
    <w:rsid w:val="00345991"/>
    <w:rsid w:val="00345D56"/>
    <w:rsid w:val="00345DD9"/>
    <w:rsid w:val="00345EC1"/>
    <w:rsid w:val="00346456"/>
    <w:rsid w:val="003467BF"/>
    <w:rsid w:val="0034697B"/>
    <w:rsid w:val="00346982"/>
    <w:rsid w:val="00346F92"/>
    <w:rsid w:val="00347381"/>
    <w:rsid w:val="0034742E"/>
    <w:rsid w:val="00347872"/>
    <w:rsid w:val="00347877"/>
    <w:rsid w:val="00347B79"/>
    <w:rsid w:val="00347D33"/>
    <w:rsid w:val="00350166"/>
    <w:rsid w:val="0035035D"/>
    <w:rsid w:val="00350426"/>
    <w:rsid w:val="0035064A"/>
    <w:rsid w:val="00350875"/>
    <w:rsid w:val="003508DC"/>
    <w:rsid w:val="00350CD8"/>
    <w:rsid w:val="00350FC8"/>
    <w:rsid w:val="0035107C"/>
    <w:rsid w:val="00351963"/>
    <w:rsid w:val="00351AC3"/>
    <w:rsid w:val="00351F07"/>
    <w:rsid w:val="003520C1"/>
    <w:rsid w:val="0035221B"/>
    <w:rsid w:val="00352280"/>
    <w:rsid w:val="00352452"/>
    <w:rsid w:val="00352661"/>
    <w:rsid w:val="0035275C"/>
    <w:rsid w:val="00352906"/>
    <w:rsid w:val="00352A2A"/>
    <w:rsid w:val="00352F4C"/>
    <w:rsid w:val="0035332C"/>
    <w:rsid w:val="0035335B"/>
    <w:rsid w:val="00353814"/>
    <w:rsid w:val="00353869"/>
    <w:rsid w:val="00353E87"/>
    <w:rsid w:val="00353FFE"/>
    <w:rsid w:val="00354152"/>
    <w:rsid w:val="003543C9"/>
    <w:rsid w:val="003544C3"/>
    <w:rsid w:val="003544E5"/>
    <w:rsid w:val="00354A03"/>
    <w:rsid w:val="00354B9C"/>
    <w:rsid w:val="00355079"/>
    <w:rsid w:val="003550A3"/>
    <w:rsid w:val="003553E7"/>
    <w:rsid w:val="0035551C"/>
    <w:rsid w:val="0035568E"/>
    <w:rsid w:val="00355998"/>
    <w:rsid w:val="00355DF0"/>
    <w:rsid w:val="00355E78"/>
    <w:rsid w:val="00356431"/>
    <w:rsid w:val="0035647B"/>
    <w:rsid w:val="003569C4"/>
    <w:rsid w:val="00357007"/>
    <w:rsid w:val="00357731"/>
    <w:rsid w:val="0035791C"/>
    <w:rsid w:val="003579B3"/>
    <w:rsid w:val="00357BC1"/>
    <w:rsid w:val="00357F05"/>
    <w:rsid w:val="00357FDB"/>
    <w:rsid w:val="0036074C"/>
    <w:rsid w:val="00360AF9"/>
    <w:rsid w:val="00360B9D"/>
    <w:rsid w:val="00360C60"/>
    <w:rsid w:val="00360DD7"/>
    <w:rsid w:val="00360E20"/>
    <w:rsid w:val="00360E93"/>
    <w:rsid w:val="003612AE"/>
    <w:rsid w:val="00361376"/>
    <w:rsid w:val="003614C4"/>
    <w:rsid w:val="00361640"/>
    <w:rsid w:val="00361FC8"/>
    <w:rsid w:val="0036205C"/>
    <w:rsid w:val="00362143"/>
    <w:rsid w:val="003621F4"/>
    <w:rsid w:val="00362235"/>
    <w:rsid w:val="003622E4"/>
    <w:rsid w:val="00362708"/>
    <w:rsid w:val="00362F41"/>
    <w:rsid w:val="00362F9D"/>
    <w:rsid w:val="0036327F"/>
    <w:rsid w:val="0036393B"/>
    <w:rsid w:val="00363B10"/>
    <w:rsid w:val="00363BE2"/>
    <w:rsid w:val="00363E5A"/>
    <w:rsid w:val="00363FE6"/>
    <w:rsid w:val="003643B1"/>
    <w:rsid w:val="0036476B"/>
    <w:rsid w:val="003647BA"/>
    <w:rsid w:val="003649D6"/>
    <w:rsid w:val="00364E65"/>
    <w:rsid w:val="00364F15"/>
    <w:rsid w:val="00364FF6"/>
    <w:rsid w:val="00365231"/>
    <w:rsid w:val="003653DC"/>
    <w:rsid w:val="00365470"/>
    <w:rsid w:val="00365883"/>
    <w:rsid w:val="003658B7"/>
    <w:rsid w:val="003659DB"/>
    <w:rsid w:val="00365AAD"/>
    <w:rsid w:val="00365E69"/>
    <w:rsid w:val="00365E82"/>
    <w:rsid w:val="00365F8A"/>
    <w:rsid w:val="00365F8E"/>
    <w:rsid w:val="00365FEB"/>
    <w:rsid w:val="0036621F"/>
    <w:rsid w:val="00366272"/>
    <w:rsid w:val="0036653F"/>
    <w:rsid w:val="00366846"/>
    <w:rsid w:val="00366957"/>
    <w:rsid w:val="003669BC"/>
    <w:rsid w:val="00366D40"/>
    <w:rsid w:val="00366D5F"/>
    <w:rsid w:val="00366DD3"/>
    <w:rsid w:val="00366EDB"/>
    <w:rsid w:val="00367065"/>
    <w:rsid w:val="00367126"/>
    <w:rsid w:val="003677C6"/>
    <w:rsid w:val="003704E1"/>
    <w:rsid w:val="003705E2"/>
    <w:rsid w:val="00370803"/>
    <w:rsid w:val="00370A13"/>
    <w:rsid w:val="00370C07"/>
    <w:rsid w:val="00370C9F"/>
    <w:rsid w:val="00370D8D"/>
    <w:rsid w:val="00370D9E"/>
    <w:rsid w:val="003710D4"/>
    <w:rsid w:val="003713B8"/>
    <w:rsid w:val="003713BA"/>
    <w:rsid w:val="00371486"/>
    <w:rsid w:val="003715DD"/>
    <w:rsid w:val="00371768"/>
    <w:rsid w:val="00371BDA"/>
    <w:rsid w:val="00371D0D"/>
    <w:rsid w:val="00371ED1"/>
    <w:rsid w:val="00372290"/>
    <w:rsid w:val="00372304"/>
    <w:rsid w:val="00372352"/>
    <w:rsid w:val="00372446"/>
    <w:rsid w:val="0037255A"/>
    <w:rsid w:val="00372579"/>
    <w:rsid w:val="003725ED"/>
    <w:rsid w:val="00372767"/>
    <w:rsid w:val="0037294E"/>
    <w:rsid w:val="00372A30"/>
    <w:rsid w:val="00372EF2"/>
    <w:rsid w:val="00372F65"/>
    <w:rsid w:val="00372F74"/>
    <w:rsid w:val="00373152"/>
    <w:rsid w:val="003732B1"/>
    <w:rsid w:val="0037340B"/>
    <w:rsid w:val="003734D4"/>
    <w:rsid w:val="0037380C"/>
    <w:rsid w:val="0037382C"/>
    <w:rsid w:val="00373C5D"/>
    <w:rsid w:val="00373D8F"/>
    <w:rsid w:val="00373E25"/>
    <w:rsid w:val="0037437E"/>
    <w:rsid w:val="003743D7"/>
    <w:rsid w:val="0037452A"/>
    <w:rsid w:val="0037464E"/>
    <w:rsid w:val="00374685"/>
    <w:rsid w:val="00374AD8"/>
    <w:rsid w:val="00374CDB"/>
    <w:rsid w:val="00375426"/>
    <w:rsid w:val="00375526"/>
    <w:rsid w:val="0037560E"/>
    <w:rsid w:val="003756E3"/>
    <w:rsid w:val="00375ACE"/>
    <w:rsid w:val="00375B1D"/>
    <w:rsid w:val="00375B60"/>
    <w:rsid w:val="00375F84"/>
    <w:rsid w:val="0037633B"/>
    <w:rsid w:val="0037639F"/>
    <w:rsid w:val="00376574"/>
    <w:rsid w:val="00376CC7"/>
    <w:rsid w:val="00376ED5"/>
    <w:rsid w:val="0037703F"/>
    <w:rsid w:val="0037766E"/>
    <w:rsid w:val="003777E4"/>
    <w:rsid w:val="00377C4D"/>
    <w:rsid w:val="00377DF8"/>
    <w:rsid w:val="003801C7"/>
    <w:rsid w:val="003802A2"/>
    <w:rsid w:val="00380462"/>
    <w:rsid w:val="003804B7"/>
    <w:rsid w:val="00380584"/>
    <w:rsid w:val="00380698"/>
    <w:rsid w:val="00380CF3"/>
    <w:rsid w:val="00381263"/>
    <w:rsid w:val="00381AE9"/>
    <w:rsid w:val="00381B22"/>
    <w:rsid w:val="00381CA1"/>
    <w:rsid w:val="00381E7D"/>
    <w:rsid w:val="00382011"/>
    <w:rsid w:val="00382214"/>
    <w:rsid w:val="0038230B"/>
    <w:rsid w:val="003823DB"/>
    <w:rsid w:val="0038253E"/>
    <w:rsid w:val="003825D6"/>
    <w:rsid w:val="00382A28"/>
    <w:rsid w:val="00382A60"/>
    <w:rsid w:val="003833A0"/>
    <w:rsid w:val="003833B5"/>
    <w:rsid w:val="003834E2"/>
    <w:rsid w:val="0038399E"/>
    <w:rsid w:val="00383A96"/>
    <w:rsid w:val="00383DF0"/>
    <w:rsid w:val="00384136"/>
    <w:rsid w:val="00384235"/>
    <w:rsid w:val="00384400"/>
    <w:rsid w:val="003844F9"/>
    <w:rsid w:val="0038460A"/>
    <w:rsid w:val="00384749"/>
    <w:rsid w:val="00384ABE"/>
    <w:rsid w:val="00384B4B"/>
    <w:rsid w:val="003854AD"/>
    <w:rsid w:val="003854CA"/>
    <w:rsid w:val="00385C96"/>
    <w:rsid w:val="00385E04"/>
    <w:rsid w:val="00385E4B"/>
    <w:rsid w:val="00385EA9"/>
    <w:rsid w:val="003866D1"/>
    <w:rsid w:val="003867A2"/>
    <w:rsid w:val="0038683B"/>
    <w:rsid w:val="00386DEA"/>
    <w:rsid w:val="0038708F"/>
    <w:rsid w:val="00387148"/>
    <w:rsid w:val="00387533"/>
    <w:rsid w:val="00387737"/>
    <w:rsid w:val="003878CA"/>
    <w:rsid w:val="003879B3"/>
    <w:rsid w:val="00387BEE"/>
    <w:rsid w:val="00387D6C"/>
    <w:rsid w:val="00387DD9"/>
    <w:rsid w:val="00387E8E"/>
    <w:rsid w:val="00387F34"/>
    <w:rsid w:val="003901BC"/>
    <w:rsid w:val="00390338"/>
    <w:rsid w:val="00390397"/>
    <w:rsid w:val="003903F0"/>
    <w:rsid w:val="003906DA"/>
    <w:rsid w:val="00390914"/>
    <w:rsid w:val="003909DF"/>
    <w:rsid w:val="00390A48"/>
    <w:rsid w:val="0039103C"/>
    <w:rsid w:val="0039123F"/>
    <w:rsid w:val="003915A9"/>
    <w:rsid w:val="003915B5"/>
    <w:rsid w:val="003915DB"/>
    <w:rsid w:val="003918AC"/>
    <w:rsid w:val="003918C8"/>
    <w:rsid w:val="00392088"/>
    <w:rsid w:val="00392228"/>
    <w:rsid w:val="00392639"/>
    <w:rsid w:val="00392774"/>
    <w:rsid w:val="00392BE4"/>
    <w:rsid w:val="00392D66"/>
    <w:rsid w:val="00392DAC"/>
    <w:rsid w:val="0039330B"/>
    <w:rsid w:val="00393525"/>
    <w:rsid w:val="003936C6"/>
    <w:rsid w:val="00393775"/>
    <w:rsid w:val="0039379B"/>
    <w:rsid w:val="00393864"/>
    <w:rsid w:val="00393E74"/>
    <w:rsid w:val="0039436B"/>
    <w:rsid w:val="003945BE"/>
    <w:rsid w:val="00394726"/>
    <w:rsid w:val="00394B50"/>
    <w:rsid w:val="00394B5D"/>
    <w:rsid w:val="00394D43"/>
    <w:rsid w:val="003952BB"/>
    <w:rsid w:val="00395B5E"/>
    <w:rsid w:val="00395EE1"/>
    <w:rsid w:val="00395F26"/>
    <w:rsid w:val="00396176"/>
    <w:rsid w:val="00396483"/>
    <w:rsid w:val="00396654"/>
    <w:rsid w:val="00396ADC"/>
    <w:rsid w:val="00396B14"/>
    <w:rsid w:val="00396C18"/>
    <w:rsid w:val="00396D01"/>
    <w:rsid w:val="00396D8F"/>
    <w:rsid w:val="00396D98"/>
    <w:rsid w:val="00396F71"/>
    <w:rsid w:val="00397144"/>
    <w:rsid w:val="00397224"/>
    <w:rsid w:val="00397468"/>
    <w:rsid w:val="00397584"/>
    <w:rsid w:val="003976D9"/>
    <w:rsid w:val="00397B2D"/>
    <w:rsid w:val="00397D0E"/>
    <w:rsid w:val="00397D69"/>
    <w:rsid w:val="00397E2E"/>
    <w:rsid w:val="003A0B28"/>
    <w:rsid w:val="003A0D00"/>
    <w:rsid w:val="003A0DAA"/>
    <w:rsid w:val="003A0FB5"/>
    <w:rsid w:val="003A1050"/>
    <w:rsid w:val="003A11D0"/>
    <w:rsid w:val="003A1380"/>
    <w:rsid w:val="003A1451"/>
    <w:rsid w:val="003A1690"/>
    <w:rsid w:val="003A18F5"/>
    <w:rsid w:val="003A1C2B"/>
    <w:rsid w:val="003A207F"/>
    <w:rsid w:val="003A2145"/>
    <w:rsid w:val="003A2A95"/>
    <w:rsid w:val="003A2B27"/>
    <w:rsid w:val="003A2D70"/>
    <w:rsid w:val="003A2EAB"/>
    <w:rsid w:val="003A2F84"/>
    <w:rsid w:val="003A302A"/>
    <w:rsid w:val="003A30D9"/>
    <w:rsid w:val="003A31AA"/>
    <w:rsid w:val="003A34B0"/>
    <w:rsid w:val="003A34F6"/>
    <w:rsid w:val="003A3788"/>
    <w:rsid w:val="003A39C1"/>
    <w:rsid w:val="003A3A83"/>
    <w:rsid w:val="003A3D8E"/>
    <w:rsid w:val="003A3E44"/>
    <w:rsid w:val="003A3F84"/>
    <w:rsid w:val="003A3FD4"/>
    <w:rsid w:val="003A4330"/>
    <w:rsid w:val="003A440C"/>
    <w:rsid w:val="003A4588"/>
    <w:rsid w:val="003A4805"/>
    <w:rsid w:val="003A4990"/>
    <w:rsid w:val="003A4B97"/>
    <w:rsid w:val="003A4E7E"/>
    <w:rsid w:val="003A4F3D"/>
    <w:rsid w:val="003A4FCA"/>
    <w:rsid w:val="003A50BA"/>
    <w:rsid w:val="003A51E1"/>
    <w:rsid w:val="003A51F2"/>
    <w:rsid w:val="003A522F"/>
    <w:rsid w:val="003A54B3"/>
    <w:rsid w:val="003A5BFB"/>
    <w:rsid w:val="003A5CD8"/>
    <w:rsid w:val="003A602A"/>
    <w:rsid w:val="003A6182"/>
    <w:rsid w:val="003A6519"/>
    <w:rsid w:val="003A7D31"/>
    <w:rsid w:val="003A7E52"/>
    <w:rsid w:val="003B000F"/>
    <w:rsid w:val="003B0072"/>
    <w:rsid w:val="003B0327"/>
    <w:rsid w:val="003B0354"/>
    <w:rsid w:val="003B03D6"/>
    <w:rsid w:val="003B048F"/>
    <w:rsid w:val="003B07DF"/>
    <w:rsid w:val="003B09ED"/>
    <w:rsid w:val="003B0A02"/>
    <w:rsid w:val="003B0F69"/>
    <w:rsid w:val="003B1452"/>
    <w:rsid w:val="003B1491"/>
    <w:rsid w:val="003B18B7"/>
    <w:rsid w:val="003B1B84"/>
    <w:rsid w:val="003B1C5A"/>
    <w:rsid w:val="003B1D24"/>
    <w:rsid w:val="003B2084"/>
    <w:rsid w:val="003B226F"/>
    <w:rsid w:val="003B25A1"/>
    <w:rsid w:val="003B28AA"/>
    <w:rsid w:val="003B2A5E"/>
    <w:rsid w:val="003B2F25"/>
    <w:rsid w:val="003B33D3"/>
    <w:rsid w:val="003B3427"/>
    <w:rsid w:val="003B35AC"/>
    <w:rsid w:val="003B37B3"/>
    <w:rsid w:val="003B3BC5"/>
    <w:rsid w:val="003B3C1A"/>
    <w:rsid w:val="003B4296"/>
    <w:rsid w:val="003B42D9"/>
    <w:rsid w:val="003B449F"/>
    <w:rsid w:val="003B4653"/>
    <w:rsid w:val="003B4870"/>
    <w:rsid w:val="003B4897"/>
    <w:rsid w:val="003B51AC"/>
    <w:rsid w:val="003B51FA"/>
    <w:rsid w:val="003B5253"/>
    <w:rsid w:val="003B531B"/>
    <w:rsid w:val="003B53BE"/>
    <w:rsid w:val="003B5540"/>
    <w:rsid w:val="003B5607"/>
    <w:rsid w:val="003B5B6D"/>
    <w:rsid w:val="003B5FD9"/>
    <w:rsid w:val="003B5FF8"/>
    <w:rsid w:val="003B6352"/>
    <w:rsid w:val="003B65C0"/>
    <w:rsid w:val="003B6602"/>
    <w:rsid w:val="003B68E4"/>
    <w:rsid w:val="003B6B44"/>
    <w:rsid w:val="003B6E30"/>
    <w:rsid w:val="003B6FCC"/>
    <w:rsid w:val="003B70D3"/>
    <w:rsid w:val="003B735A"/>
    <w:rsid w:val="003B7452"/>
    <w:rsid w:val="003B7618"/>
    <w:rsid w:val="003B77E7"/>
    <w:rsid w:val="003B77FE"/>
    <w:rsid w:val="003B7ACB"/>
    <w:rsid w:val="003B7B18"/>
    <w:rsid w:val="003B7D74"/>
    <w:rsid w:val="003C01FC"/>
    <w:rsid w:val="003C07D0"/>
    <w:rsid w:val="003C0D98"/>
    <w:rsid w:val="003C0E99"/>
    <w:rsid w:val="003C0FF0"/>
    <w:rsid w:val="003C11AF"/>
    <w:rsid w:val="003C16CB"/>
    <w:rsid w:val="003C1750"/>
    <w:rsid w:val="003C176D"/>
    <w:rsid w:val="003C1EE2"/>
    <w:rsid w:val="003C2388"/>
    <w:rsid w:val="003C253D"/>
    <w:rsid w:val="003C2BD9"/>
    <w:rsid w:val="003C2D27"/>
    <w:rsid w:val="003C2F13"/>
    <w:rsid w:val="003C3224"/>
    <w:rsid w:val="003C35D1"/>
    <w:rsid w:val="003C38DD"/>
    <w:rsid w:val="003C3B0C"/>
    <w:rsid w:val="003C4166"/>
    <w:rsid w:val="003C4368"/>
    <w:rsid w:val="003C455B"/>
    <w:rsid w:val="003C47CC"/>
    <w:rsid w:val="003C4971"/>
    <w:rsid w:val="003C4A0E"/>
    <w:rsid w:val="003C4A71"/>
    <w:rsid w:val="003C4BD4"/>
    <w:rsid w:val="003C4CBA"/>
    <w:rsid w:val="003C4CCC"/>
    <w:rsid w:val="003C4D7C"/>
    <w:rsid w:val="003C4E5B"/>
    <w:rsid w:val="003C4EE0"/>
    <w:rsid w:val="003C4F8C"/>
    <w:rsid w:val="003C5059"/>
    <w:rsid w:val="003C54D0"/>
    <w:rsid w:val="003C54EB"/>
    <w:rsid w:val="003C57E4"/>
    <w:rsid w:val="003C592A"/>
    <w:rsid w:val="003C5B43"/>
    <w:rsid w:val="003C5B49"/>
    <w:rsid w:val="003C5BF8"/>
    <w:rsid w:val="003C5F3C"/>
    <w:rsid w:val="003C621A"/>
    <w:rsid w:val="003C62A4"/>
    <w:rsid w:val="003C6328"/>
    <w:rsid w:val="003C654C"/>
    <w:rsid w:val="003C6AA0"/>
    <w:rsid w:val="003C6AB4"/>
    <w:rsid w:val="003C73F2"/>
    <w:rsid w:val="003C7994"/>
    <w:rsid w:val="003C7BDD"/>
    <w:rsid w:val="003C7EC0"/>
    <w:rsid w:val="003D0400"/>
    <w:rsid w:val="003D06C8"/>
    <w:rsid w:val="003D0999"/>
    <w:rsid w:val="003D09C3"/>
    <w:rsid w:val="003D0C80"/>
    <w:rsid w:val="003D0C84"/>
    <w:rsid w:val="003D0DA7"/>
    <w:rsid w:val="003D11C4"/>
    <w:rsid w:val="003D1589"/>
    <w:rsid w:val="003D15BE"/>
    <w:rsid w:val="003D177C"/>
    <w:rsid w:val="003D18AB"/>
    <w:rsid w:val="003D1AD9"/>
    <w:rsid w:val="003D1AEE"/>
    <w:rsid w:val="003D1B9A"/>
    <w:rsid w:val="003D1D1E"/>
    <w:rsid w:val="003D20CC"/>
    <w:rsid w:val="003D22C3"/>
    <w:rsid w:val="003D2401"/>
    <w:rsid w:val="003D2484"/>
    <w:rsid w:val="003D2800"/>
    <w:rsid w:val="003D2B56"/>
    <w:rsid w:val="003D2D39"/>
    <w:rsid w:val="003D2E3E"/>
    <w:rsid w:val="003D3008"/>
    <w:rsid w:val="003D3194"/>
    <w:rsid w:val="003D3D59"/>
    <w:rsid w:val="003D3DCB"/>
    <w:rsid w:val="003D40CF"/>
    <w:rsid w:val="003D424C"/>
    <w:rsid w:val="003D4440"/>
    <w:rsid w:val="003D4543"/>
    <w:rsid w:val="003D4619"/>
    <w:rsid w:val="003D4915"/>
    <w:rsid w:val="003D493B"/>
    <w:rsid w:val="003D4BEB"/>
    <w:rsid w:val="003D4C72"/>
    <w:rsid w:val="003D4CC7"/>
    <w:rsid w:val="003D518E"/>
    <w:rsid w:val="003D51E8"/>
    <w:rsid w:val="003D5369"/>
    <w:rsid w:val="003D5596"/>
    <w:rsid w:val="003D561D"/>
    <w:rsid w:val="003D56B6"/>
    <w:rsid w:val="003D59B8"/>
    <w:rsid w:val="003D5B23"/>
    <w:rsid w:val="003D6375"/>
    <w:rsid w:val="003D660C"/>
    <w:rsid w:val="003D6630"/>
    <w:rsid w:val="003D684B"/>
    <w:rsid w:val="003D6B83"/>
    <w:rsid w:val="003D6B85"/>
    <w:rsid w:val="003D6CC0"/>
    <w:rsid w:val="003D6E8B"/>
    <w:rsid w:val="003D6EE5"/>
    <w:rsid w:val="003D7533"/>
    <w:rsid w:val="003D77CF"/>
    <w:rsid w:val="003D77F2"/>
    <w:rsid w:val="003D78D1"/>
    <w:rsid w:val="003D7C6A"/>
    <w:rsid w:val="003D7F4D"/>
    <w:rsid w:val="003E003D"/>
    <w:rsid w:val="003E07D2"/>
    <w:rsid w:val="003E1150"/>
    <w:rsid w:val="003E1330"/>
    <w:rsid w:val="003E13D7"/>
    <w:rsid w:val="003E16A6"/>
    <w:rsid w:val="003E17F3"/>
    <w:rsid w:val="003E1883"/>
    <w:rsid w:val="003E1925"/>
    <w:rsid w:val="003E19B6"/>
    <w:rsid w:val="003E1BC6"/>
    <w:rsid w:val="003E1C55"/>
    <w:rsid w:val="003E2640"/>
    <w:rsid w:val="003E2BA2"/>
    <w:rsid w:val="003E2C1A"/>
    <w:rsid w:val="003E2F19"/>
    <w:rsid w:val="003E2F32"/>
    <w:rsid w:val="003E2F59"/>
    <w:rsid w:val="003E3020"/>
    <w:rsid w:val="003E31B3"/>
    <w:rsid w:val="003E3A45"/>
    <w:rsid w:val="003E3F23"/>
    <w:rsid w:val="003E4214"/>
    <w:rsid w:val="003E43AC"/>
    <w:rsid w:val="003E44A7"/>
    <w:rsid w:val="003E451B"/>
    <w:rsid w:val="003E47E3"/>
    <w:rsid w:val="003E4821"/>
    <w:rsid w:val="003E496B"/>
    <w:rsid w:val="003E4BF1"/>
    <w:rsid w:val="003E4C05"/>
    <w:rsid w:val="003E4E78"/>
    <w:rsid w:val="003E4F1E"/>
    <w:rsid w:val="003E4FF7"/>
    <w:rsid w:val="003E54DF"/>
    <w:rsid w:val="003E56DC"/>
    <w:rsid w:val="003E5736"/>
    <w:rsid w:val="003E5AC6"/>
    <w:rsid w:val="003E5AD2"/>
    <w:rsid w:val="003E5E13"/>
    <w:rsid w:val="003E5F64"/>
    <w:rsid w:val="003E5F87"/>
    <w:rsid w:val="003E5F9A"/>
    <w:rsid w:val="003E60B2"/>
    <w:rsid w:val="003E6365"/>
    <w:rsid w:val="003E6A9A"/>
    <w:rsid w:val="003E6BF0"/>
    <w:rsid w:val="003E6C0F"/>
    <w:rsid w:val="003E6D0B"/>
    <w:rsid w:val="003E6F65"/>
    <w:rsid w:val="003E7284"/>
    <w:rsid w:val="003E7322"/>
    <w:rsid w:val="003E75CC"/>
    <w:rsid w:val="003E7633"/>
    <w:rsid w:val="003E773A"/>
    <w:rsid w:val="003E7753"/>
    <w:rsid w:val="003E7776"/>
    <w:rsid w:val="003E7A3C"/>
    <w:rsid w:val="003E7B25"/>
    <w:rsid w:val="003E7C6B"/>
    <w:rsid w:val="003E7D9E"/>
    <w:rsid w:val="003F00A6"/>
    <w:rsid w:val="003F00BB"/>
    <w:rsid w:val="003F0198"/>
    <w:rsid w:val="003F0371"/>
    <w:rsid w:val="003F03CC"/>
    <w:rsid w:val="003F0742"/>
    <w:rsid w:val="003F0973"/>
    <w:rsid w:val="003F0B24"/>
    <w:rsid w:val="003F0E4D"/>
    <w:rsid w:val="003F12A4"/>
    <w:rsid w:val="003F1492"/>
    <w:rsid w:val="003F171B"/>
    <w:rsid w:val="003F189F"/>
    <w:rsid w:val="003F18E9"/>
    <w:rsid w:val="003F199A"/>
    <w:rsid w:val="003F1F21"/>
    <w:rsid w:val="003F22A9"/>
    <w:rsid w:val="003F22FC"/>
    <w:rsid w:val="003F243D"/>
    <w:rsid w:val="003F245A"/>
    <w:rsid w:val="003F25C5"/>
    <w:rsid w:val="003F26EA"/>
    <w:rsid w:val="003F2BB2"/>
    <w:rsid w:val="003F2D6B"/>
    <w:rsid w:val="003F2E5F"/>
    <w:rsid w:val="003F3001"/>
    <w:rsid w:val="003F3C97"/>
    <w:rsid w:val="003F410C"/>
    <w:rsid w:val="003F41E4"/>
    <w:rsid w:val="003F42C7"/>
    <w:rsid w:val="003F4765"/>
    <w:rsid w:val="003F4875"/>
    <w:rsid w:val="003F4E43"/>
    <w:rsid w:val="003F4FF4"/>
    <w:rsid w:val="003F50A1"/>
    <w:rsid w:val="003F5310"/>
    <w:rsid w:val="003F573C"/>
    <w:rsid w:val="003F58EC"/>
    <w:rsid w:val="003F59B4"/>
    <w:rsid w:val="003F5B2D"/>
    <w:rsid w:val="003F5C5E"/>
    <w:rsid w:val="003F6123"/>
    <w:rsid w:val="003F616F"/>
    <w:rsid w:val="003F65DC"/>
    <w:rsid w:val="003F67C4"/>
    <w:rsid w:val="003F68CD"/>
    <w:rsid w:val="003F6B98"/>
    <w:rsid w:val="003F6CCC"/>
    <w:rsid w:val="003F6D3F"/>
    <w:rsid w:val="003F722E"/>
    <w:rsid w:val="003F723B"/>
    <w:rsid w:val="003F72BA"/>
    <w:rsid w:val="003F742F"/>
    <w:rsid w:val="003F748B"/>
    <w:rsid w:val="003F74C6"/>
    <w:rsid w:val="003F7645"/>
    <w:rsid w:val="003F7878"/>
    <w:rsid w:val="003F7952"/>
    <w:rsid w:val="003F7A0E"/>
    <w:rsid w:val="003F7A80"/>
    <w:rsid w:val="00400241"/>
    <w:rsid w:val="004005AF"/>
    <w:rsid w:val="00400604"/>
    <w:rsid w:val="00400689"/>
    <w:rsid w:val="004009AD"/>
    <w:rsid w:val="00400B58"/>
    <w:rsid w:val="00400E2D"/>
    <w:rsid w:val="004010AC"/>
    <w:rsid w:val="0040121D"/>
    <w:rsid w:val="004013DF"/>
    <w:rsid w:val="004013F2"/>
    <w:rsid w:val="0040208D"/>
    <w:rsid w:val="004020A3"/>
    <w:rsid w:val="00402225"/>
    <w:rsid w:val="004025B9"/>
    <w:rsid w:val="00402C4E"/>
    <w:rsid w:val="00402D1A"/>
    <w:rsid w:val="00402E78"/>
    <w:rsid w:val="00402FAB"/>
    <w:rsid w:val="004032D5"/>
    <w:rsid w:val="004035FA"/>
    <w:rsid w:val="00403A9D"/>
    <w:rsid w:val="00403AAE"/>
    <w:rsid w:val="00403DEE"/>
    <w:rsid w:val="00403E91"/>
    <w:rsid w:val="00404336"/>
    <w:rsid w:val="004044D0"/>
    <w:rsid w:val="00404604"/>
    <w:rsid w:val="0040478A"/>
    <w:rsid w:val="00404904"/>
    <w:rsid w:val="00404C93"/>
    <w:rsid w:val="00404CD5"/>
    <w:rsid w:val="00404EBF"/>
    <w:rsid w:val="00404FA5"/>
    <w:rsid w:val="00405131"/>
    <w:rsid w:val="00405243"/>
    <w:rsid w:val="004052AF"/>
    <w:rsid w:val="00405462"/>
    <w:rsid w:val="00405576"/>
    <w:rsid w:val="004055D5"/>
    <w:rsid w:val="00405726"/>
    <w:rsid w:val="0040584D"/>
    <w:rsid w:val="00405B52"/>
    <w:rsid w:val="00405D53"/>
    <w:rsid w:val="00406500"/>
    <w:rsid w:val="004066B3"/>
    <w:rsid w:val="0040686C"/>
    <w:rsid w:val="00406D3A"/>
    <w:rsid w:val="00407003"/>
    <w:rsid w:val="00407C14"/>
    <w:rsid w:val="00410074"/>
    <w:rsid w:val="0041023A"/>
    <w:rsid w:val="0041029D"/>
    <w:rsid w:val="004106A7"/>
    <w:rsid w:val="0041074D"/>
    <w:rsid w:val="00410D09"/>
    <w:rsid w:val="00410D57"/>
    <w:rsid w:val="0041116B"/>
    <w:rsid w:val="00411368"/>
    <w:rsid w:val="0041147D"/>
    <w:rsid w:val="00411630"/>
    <w:rsid w:val="004116FA"/>
    <w:rsid w:val="00411AC5"/>
    <w:rsid w:val="00411B05"/>
    <w:rsid w:val="00411F5A"/>
    <w:rsid w:val="00412067"/>
    <w:rsid w:val="0041285A"/>
    <w:rsid w:val="00412B0C"/>
    <w:rsid w:val="00412D9E"/>
    <w:rsid w:val="00412DDB"/>
    <w:rsid w:val="00412E13"/>
    <w:rsid w:val="00412E41"/>
    <w:rsid w:val="00413339"/>
    <w:rsid w:val="00413369"/>
    <w:rsid w:val="004135F0"/>
    <w:rsid w:val="00413692"/>
    <w:rsid w:val="00413728"/>
    <w:rsid w:val="00413B2D"/>
    <w:rsid w:val="00413B34"/>
    <w:rsid w:val="00413D5A"/>
    <w:rsid w:val="00414078"/>
    <w:rsid w:val="00414962"/>
    <w:rsid w:val="00414AD4"/>
    <w:rsid w:val="00414C23"/>
    <w:rsid w:val="00414D32"/>
    <w:rsid w:val="00415615"/>
    <w:rsid w:val="004158C5"/>
    <w:rsid w:val="00415D6C"/>
    <w:rsid w:val="00415F2A"/>
    <w:rsid w:val="00416080"/>
    <w:rsid w:val="004160C8"/>
    <w:rsid w:val="004161ED"/>
    <w:rsid w:val="00416249"/>
    <w:rsid w:val="00416431"/>
    <w:rsid w:val="004166E4"/>
    <w:rsid w:val="00416711"/>
    <w:rsid w:val="00416764"/>
    <w:rsid w:val="00416CAD"/>
    <w:rsid w:val="00416E77"/>
    <w:rsid w:val="0041737F"/>
    <w:rsid w:val="00417978"/>
    <w:rsid w:val="00417A5C"/>
    <w:rsid w:val="00417FA6"/>
    <w:rsid w:val="00417FB0"/>
    <w:rsid w:val="00420209"/>
    <w:rsid w:val="004202E7"/>
    <w:rsid w:val="004205BC"/>
    <w:rsid w:val="0042104B"/>
    <w:rsid w:val="0042104F"/>
    <w:rsid w:val="00421126"/>
    <w:rsid w:val="00421861"/>
    <w:rsid w:val="00421B07"/>
    <w:rsid w:val="00421F95"/>
    <w:rsid w:val="004221D8"/>
    <w:rsid w:val="004228EE"/>
    <w:rsid w:val="004229D0"/>
    <w:rsid w:val="00422F56"/>
    <w:rsid w:val="00423561"/>
    <w:rsid w:val="0042375D"/>
    <w:rsid w:val="004238AC"/>
    <w:rsid w:val="004239E7"/>
    <w:rsid w:val="004239F4"/>
    <w:rsid w:val="00423A04"/>
    <w:rsid w:val="00423C40"/>
    <w:rsid w:val="00423F1B"/>
    <w:rsid w:val="00423F3E"/>
    <w:rsid w:val="00424006"/>
    <w:rsid w:val="00424120"/>
    <w:rsid w:val="0042419A"/>
    <w:rsid w:val="004247D6"/>
    <w:rsid w:val="00424EB0"/>
    <w:rsid w:val="0042504E"/>
    <w:rsid w:val="0042538C"/>
    <w:rsid w:val="0042573E"/>
    <w:rsid w:val="0042578A"/>
    <w:rsid w:val="004257B1"/>
    <w:rsid w:val="00425B51"/>
    <w:rsid w:val="00426770"/>
    <w:rsid w:val="004267E4"/>
    <w:rsid w:val="00426AD3"/>
    <w:rsid w:val="00426DAE"/>
    <w:rsid w:val="00426E12"/>
    <w:rsid w:val="0042762D"/>
    <w:rsid w:val="00427ACF"/>
    <w:rsid w:val="00427E33"/>
    <w:rsid w:val="00427FCA"/>
    <w:rsid w:val="0043007B"/>
    <w:rsid w:val="00430434"/>
    <w:rsid w:val="00430784"/>
    <w:rsid w:val="0043079F"/>
    <w:rsid w:val="004307B9"/>
    <w:rsid w:val="00430833"/>
    <w:rsid w:val="00430CAA"/>
    <w:rsid w:val="004310C7"/>
    <w:rsid w:val="00431278"/>
    <w:rsid w:val="004313D7"/>
    <w:rsid w:val="004313E4"/>
    <w:rsid w:val="004319C7"/>
    <w:rsid w:val="00431CB2"/>
    <w:rsid w:val="00431CE0"/>
    <w:rsid w:val="00431F9E"/>
    <w:rsid w:val="0043242A"/>
    <w:rsid w:val="00432BEC"/>
    <w:rsid w:val="00432E03"/>
    <w:rsid w:val="00432EC6"/>
    <w:rsid w:val="004331AE"/>
    <w:rsid w:val="004336D6"/>
    <w:rsid w:val="004337AE"/>
    <w:rsid w:val="00434137"/>
    <w:rsid w:val="004344F3"/>
    <w:rsid w:val="004345C9"/>
    <w:rsid w:val="0043492E"/>
    <w:rsid w:val="00434A6F"/>
    <w:rsid w:val="00434B6E"/>
    <w:rsid w:val="00434D35"/>
    <w:rsid w:val="00434D4F"/>
    <w:rsid w:val="00434D76"/>
    <w:rsid w:val="00434D7D"/>
    <w:rsid w:val="00434DC2"/>
    <w:rsid w:val="004351F6"/>
    <w:rsid w:val="004353F1"/>
    <w:rsid w:val="004354B8"/>
    <w:rsid w:val="00435A91"/>
    <w:rsid w:val="00435B4C"/>
    <w:rsid w:val="004360F4"/>
    <w:rsid w:val="00436134"/>
    <w:rsid w:val="00436319"/>
    <w:rsid w:val="004365E2"/>
    <w:rsid w:val="00436828"/>
    <w:rsid w:val="00436840"/>
    <w:rsid w:val="00436A50"/>
    <w:rsid w:val="00436A6C"/>
    <w:rsid w:val="00436DC6"/>
    <w:rsid w:val="00436F68"/>
    <w:rsid w:val="00436FAD"/>
    <w:rsid w:val="0043750C"/>
    <w:rsid w:val="00437605"/>
    <w:rsid w:val="00437D90"/>
    <w:rsid w:val="00440280"/>
    <w:rsid w:val="00440321"/>
    <w:rsid w:val="00440555"/>
    <w:rsid w:val="004408CA"/>
    <w:rsid w:val="00440D65"/>
    <w:rsid w:val="00440D7E"/>
    <w:rsid w:val="00440DDB"/>
    <w:rsid w:val="0044123E"/>
    <w:rsid w:val="00441379"/>
    <w:rsid w:val="00441642"/>
    <w:rsid w:val="004416C6"/>
    <w:rsid w:val="00441A6C"/>
    <w:rsid w:val="00441B28"/>
    <w:rsid w:val="00441BD3"/>
    <w:rsid w:val="00441C59"/>
    <w:rsid w:val="00441D65"/>
    <w:rsid w:val="00441EA8"/>
    <w:rsid w:val="004420B2"/>
    <w:rsid w:val="00442287"/>
    <w:rsid w:val="0044249C"/>
    <w:rsid w:val="0044262F"/>
    <w:rsid w:val="00442B2A"/>
    <w:rsid w:val="00442C49"/>
    <w:rsid w:val="00442E96"/>
    <w:rsid w:val="0044304B"/>
    <w:rsid w:val="004432A2"/>
    <w:rsid w:val="0044331E"/>
    <w:rsid w:val="0044341B"/>
    <w:rsid w:val="00443721"/>
    <w:rsid w:val="00444433"/>
    <w:rsid w:val="004446A3"/>
    <w:rsid w:val="00444B21"/>
    <w:rsid w:val="00444BEC"/>
    <w:rsid w:val="00444D28"/>
    <w:rsid w:val="0044510B"/>
    <w:rsid w:val="004457ED"/>
    <w:rsid w:val="004459EC"/>
    <w:rsid w:val="00445CCA"/>
    <w:rsid w:val="00445D30"/>
    <w:rsid w:val="00445E73"/>
    <w:rsid w:val="00445EC5"/>
    <w:rsid w:val="0044615B"/>
    <w:rsid w:val="0044634D"/>
    <w:rsid w:val="004464ED"/>
    <w:rsid w:val="00446602"/>
    <w:rsid w:val="004467D3"/>
    <w:rsid w:val="0044689E"/>
    <w:rsid w:val="00446AEC"/>
    <w:rsid w:val="00446E19"/>
    <w:rsid w:val="0044722F"/>
    <w:rsid w:val="0044738E"/>
    <w:rsid w:val="004477A8"/>
    <w:rsid w:val="0044782C"/>
    <w:rsid w:val="004478B7"/>
    <w:rsid w:val="0044791C"/>
    <w:rsid w:val="00447F75"/>
    <w:rsid w:val="004504A8"/>
    <w:rsid w:val="00450542"/>
    <w:rsid w:val="0045089A"/>
    <w:rsid w:val="00450936"/>
    <w:rsid w:val="00450F2A"/>
    <w:rsid w:val="00450FA5"/>
    <w:rsid w:val="004510FF"/>
    <w:rsid w:val="0045114B"/>
    <w:rsid w:val="00451352"/>
    <w:rsid w:val="004514E3"/>
    <w:rsid w:val="004516E7"/>
    <w:rsid w:val="00451B1E"/>
    <w:rsid w:val="00451B88"/>
    <w:rsid w:val="00451C57"/>
    <w:rsid w:val="00451D33"/>
    <w:rsid w:val="004528F6"/>
    <w:rsid w:val="00452C10"/>
    <w:rsid w:val="00452C21"/>
    <w:rsid w:val="00452D45"/>
    <w:rsid w:val="00452D73"/>
    <w:rsid w:val="00452D8D"/>
    <w:rsid w:val="00452E44"/>
    <w:rsid w:val="00453446"/>
    <w:rsid w:val="00453468"/>
    <w:rsid w:val="0045363F"/>
    <w:rsid w:val="0045369E"/>
    <w:rsid w:val="00453C56"/>
    <w:rsid w:val="00454144"/>
    <w:rsid w:val="00454156"/>
    <w:rsid w:val="004544F7"/>
    <w:rsid w:val="0045452A"/>
    <w:rsid w:val="00454704"/>
    <w:rsid w:val="00455031"/>
    <w:rsid w:val="00455171"/>
    <w:rsid w:val="00455318"/>
    <w:rsid w:val="00455320"/>
    <w:rsid w:val="00455322"/>
    <w:rsid w:val="00455773"/>
    <w:rsid w:val="004557EB"/>
    <w:rsid w:val="00455820"/>
    <w:rsid w:val="00455909"/>
    <w:rsid w:val="00455C2D"/>
    <w:rsid w:val="00455D60"/>
    <w:rsid w:val="00455E14"/>
    <w:rsid w:val="0045610E"/>
    <w:rsid w:val="0045618B"/>
    <w:rsid w:val="004561EE"/>
    <w:rsid w:val="0045620E"/>
    <w:rsid w:val="004562ED"/>
    <w:rsid w:val="004563F2"/>
    <w:rsid w:val="0045644E"/>
    <w:rsid w:val="004566C6"/>
    <w:rsid w:val="00456743"/>
    <w:rsid w:val="004567C0"/>
    <w:rsid w:val="004569AA"/>
    <w:rsid w:val="004569F7"/>
    <w:rsid w:val="00457044"/>
    <w:rsid w:val="004570E4"/>
    <w:rsid w:val="00457A1A"/>
    <w:rsid w:val="00457A31"/>
    <w:rsid w:val="00457E74"/>
    <w:rsid w:val="00460381"/>
    <w:rsid w:val="00460620"/>
    <w:rsid w:val="00460A19"/>
    <w:rsid w:val="00460A30"/>
    <w:rsid w:val="00461015"/>
    <w:rsid w:val="004611F6"/>
    <w:rsid w:val="00461454"/>
    <w:rsid w:val="004614A0"/>
    <w:rsid w:val="00461596"/>
    <w:rsid w:val="004615A4"/>
    <w:rsid w:val="00461770"/>
    <w:rsid w:val="00461A57"/>
    <w:rsid w:val="00461E6C"/>
    <w:rsid w:val="0046204C"/>
    <w:rsid w:val="00462097"/>
    <w:rsid w:val="004625DD"/>
    <w:rsid w:val="00462725"/>
    <w:rsid w:val="004627AA"/>
    <w:rsid w:val="00462CCA"/>
    <w:rsid w:val="00462EDA"/>
    <w:rsid w:val="00462FE3"/>
    <w:rsid w:val="004630FA"/>
    <w:rsid w:val="00463433"/>
    <w:rsid w:val="00463ACA"/>
    <w:rsid w:val="00463B31"/>
    <w:rsid w:val="00463D13"/>
    <w:rsid w:val="00463E7A"/>
    <w:rsid w:val="00463FEA"/>
    <w:rsid w:val="0046431E"/>
    <w:rsid w:val="004648FA"/>
    <w:rsid w:val="00464A22"/>
    <w:rsid w:val="00464E37"/>
    <w:rsid w:val="00465722"/>
    <w:rsid w:val="004658E1"/>
    <w:rsid w:val="00465A26"/>
    <w:rsid w:val="00465FD1"/>
    <w:rsid w:val="0046620E"/>
    <w:rsid w:val="004662ED"/>
    <w:rsid w:val="00466542"/>
    <w:rsid w:val="00466708"/>
    <w:rsid w:val="004667B4"/>
    <w:rsid w:val="00466946"/>
    <w:rsid w:val="0046695A"/>
    <w:rsid w:val="00466A6B"/>
    <w:rsid w:val="00466CD3"/>
    <w:rsid w:val="00466DBE"/>
    <w:rsid w:val="00466E3E"/>
    <w:rsid w:val="00466E7B"/>
    <w:rsid w:val="00466FF5"/>
    <w:rsid w:val="00467219"/>
    <w:rsid w:val="0046723B"/>
    <w:rsid w:val="0046777A"/>
    <w:rsid w:val="00467A5A"/>
    <w:rsid w:val="00467E42"/>
    <w:rsid w:val="004701AA"/>
    <w:rsid w:val="0047030B"/>
    <w:rsid w:val="00470500"/>
    <w:rsid w:val="00470511"/>
    <w:rsid w:val="00470756"/>
    <w:rsid w:val="00471359"/>
    <w:rsid w:val="004715CB"/>
    <w:rsid w:val="00471C20"/>
    <w:rsid w:val="00471DE2"/>
    <w:rsid w:val="00471E86"/>
    <w:rsid w:val="00472033"/>
    <w:rsid w:val="00472283"/>
    <w:rsid w:val="004724B3"/>
    <w:rsid w:val="0047284F"/>
    <w:rsid w:val="00472ABE"/>
    <w:rsid w:val="00472B02"/>
    <w:rsid w:val="00472B14"/>
    <w:rsid w:val="0047301C"/>
    <w:rsid w:val="004730E5"/>
    <w:rsid w:val="00473223"/>
    <w:rsid w:val="004734E5"/>
    <w:rsid w:val="00473527"/>
    <w:rsid w:val="00473AB5"/>
    <w:rsid w:val="004742D5"/>
    <w:rsid w:val="004743C4"/>
    <w:rsid w:val="0047472C"/>
    <w:rsid w:val="00474CF2"/>
    <w:rsid w:val="00474D73"/>
    <w:rsid w:val="00474F43"/>
    <w:rsid w:val="00475904"/>
    <w:rsid w:val="00475CBF"/>
    <w:rsid w:val="00475EA3"/>
    <w:rsid w:val="00475ED5"/>
    <w:rsid w:val="00475ED7"/>
    <w:rsid w:val="00475F00"/>
    <w:rsid w:val="00475F72"/>
    <w:rsid w:val="00476042"/>
    <w:rsid w:val="004761A1"/>
    <w:rsid w:val="004765A0"/>
    <w:rsid w:val="00476938"/>
    <w:rsid w:val="004771FC"/>
    <w:rsid w:val="00477F1E"/>
    <w:rsid w:val="0048015C"/>
    <w:rsid w:val="0048031D"/>
    <w:rsid w:val="00480A82"/>
    <w:rsid w:val="00480B0D"/>
    <w:rsid w:val="00480CBF"/>
    <w:rsid w:val="00480DC2"/>
    <w:rsid w:val="004816C9"/>
    <w:rsid w:val="00481BFC"/>
    <w:rsid w:val="004820A7"/>
    <w:rsid w:val="00482933"/>
    <w:rsid w:val="00482F02"/>
    <w:rsid w:val="00482F0F"/>
    <w:rsid w:val="004835EF"/>
    <w:rsid w:val="00483956"/>
    <w:rsid w:val="004839DF"/>
    <w:rsid w:val="00483CF7"/>
    <w:rsid w:val="00483EF5"/>
    <w:rsid w:val="004841E9"/>
    <w:rsid w:val="00484564"/>
    <w:rsid w:val="004848E1"/>
    <w:rsid w:val="004849AF"/>
    <w:rsid w:val="004851D5"/>
    <w:rsid w:val="00485265"/>
    <w:rsid w:val="004858E2"/>
    <w:rsid w:val="00485A5A"/>
    <w:rsid w:val="00485B2E"/>
    <w:rsid w:val="00485C31"/>
    <w:rsid w:val="00485CD3"/>
    <w:rsid w:val="00485DA5"/>
    <w:rsid w:val="00485FCD"/>
    <w:rsid w:val="00486077"/>
    <w:rsid w:val="004861F9"/>
    <w:rsid w:val="00486352"/>
    <w:rsid w:val="0048654E"/>
    <w:rsid w:val="0048654F"/>
    <w:rsid w:val="0048670A"/>
    <w:rsid w:val="0048672B"/>
    <w:rsid w:val="00486808"/>
    <w:rsid w:val="004868E6"/>
    <w:rsid w:val="00486FA7"/>
    <w:rsid w:val="00487150"/>
    <w:rsid w:val="00487279"/>
    <w:rsid w:val="0048769D"/>
    <w:rsid w:val="004878F3"/>
    <w:rsid w:val="00487A0B"/>
    <w:rsid w:val="00487E1B"/>
    <w:rsid w:val="0049067C"/>
    <w:rsid w:val="00490A5F"/>
    <w:rsid w:val="00490F1E"/>
    <w:rsid w:val="00490F81"/>
    <w:rsid w:val="00490F86"/>
    <w:rsid w:val="004911A5"/>
    <w:rsid w:val="004914B5"/>
    <w:rsid w:val="00491680"/>
    <w:rsid w:val="0049170D"/>
    <w:rsid w:val="0049190A"/>
    <w:rsid w:val="00491D28"/>
    <w:rsid w:val="00492019"/>
    <w:rsid w:val="004922F8"/>
    <w:rsid w:val="00492494"/>
    <w:rsid w:val="0049261A"/>
    <w:rsid w:val="00492BE0"/>
    <w:rsid w:val="00492CAA"/>
    <w:rsid w:val="00492CFB"/>
    <w:rsid w:val="00493B73"/>
    <w:rsid w:val="00493D46"/>
    <w:rsid w:val="00493F04"/>
    <w:rsid w:val="00493F2F"/>
    <w:rsid w:val="004942FE"/>
    <w:rsid w:val="00494310"/>
    <w:rsid w:val="004944F7"/>
    <w:rsid w:val="00494525"/>
    <w:rsid w:val="0049487F"/>
    <w:rsid w:val="004948B2"/>
    <w:rsid w:val="004948EC"/>
    <w:rsid w:val="00494B0A"/>
    <w:rsid w:val="00494D85"/>
    <w:rsid w:val="004950A6"/>
    <w:rsid w:val="004950AC"/>
    <w:rsid w:val="004952BC"/>
    <w:rsid w:val="0049555A"/>
    <w:rsid w:val="00495584"/>
    <w:rsid w:val="004958E6"/>
    <w:rsid w:val="00495933"/>
    <w:rsid w:val="00495A81"/>
    <w:rsid w:val="00495AB3"/>
    <w:rsid w:val="004960FA"/>
    <w:rsid w:val="00496158"/>
    <w:rsid w:val="004966A9"/>
    <w:rsid w:val="004966E4"/>
    <w:rsid w:val="004967BC"/>
    <w:rsid w:val="00496B58"/>
    <w:rsid w:val="00496C0D"/>
    <w:rsid w:val="00496EDB"/>
    <w:rsid w:val="00497180"/>
    <w:rsid w:val="004973C5"/>
    <w:rsid w:val="00497682"/>
    <w:rsid w:val="004976A6"/>
    <w:rsid w:val="004978EB"/>
    <w:rsid w:val="0049795F"/>
    <w:rsid w:val="00497C66"/>
    <w:rsid w:val="00497F9E"/>
    <w:rsid w:val="004A00C3"/>
    <w:rsid w:val="004A00C7"/>
    <w:rsid w:val="004A019E"/>
    <w:rsid w:val="004A01B0"/>
    <w:rsid w:val="004A0329"/>
    <w:rsid w:val="004A0715"/>
    <w:rsid w:val="004A07A1"/>
    <w:rsid w:val="004A083F"/>
    <w:rsid w:val="004A0967"/>
    <w:rsid w:val="004A09A8"/>
    <w:rsid w:val="004A0C4C"/>
    <w:rsid w:val="004A1156"/>
    <w:rsid w:val="004A11AB"/>
    <w:rsid w:val="004A15DF"/>
    <w:rsid w:val="004A1671"/>
    <w:rsid w:val="004A1AF7"/>
    <w:rsid w:val="004A1C77"/>
    <w:rsid w:val="004A1CEF"/>
    <w:rsid w:val="004A1D88"/>
    <w:rsid w:val="004A20D6"/>
    <w:rsid w:val="004A21B7"/>
    <w:rsid w:val="004A2A61"/>
    <w:rsid w:val="004A2B0B"/>
    <w:rsid w:val="004A351B"/>
    <w:rsid w:val="004A3870"/>
    <w:rsid w:val="004A38CB"/>
    <w:rsid w:val="004A38CD"/>
    <w:rsid w:val="004A3BF6"/>
    <w:rsid w:val="004A3D1E"/>
    <w:rsid w:val="004A3DD7"/>
    <w:rsid w:val="004A3E9B"/>
    <w:rsid w:val="004A3F07"/>
    <w:rsid w:val="004A404F"/>
    <w:rsid w:val="004A4197"/>
    <w:rsid w:val="004A4680"/>
    <w:rsid w:val="004A4C6D"/>
    <w:rsid w:val="004A4E06"/>
    <w:rsid w:val="004A4FB7"/>
    <w:rsid w:val="004A50BE"/>
    <w:rsid w:val="004A5745"/>
    <w:rsid w:val="004A5D5A"/>
    <w:rsid w:val="004A5DEB"/>
    <w:rsid w:val="004A6005"/>
    <w:rsid w:val="004A60C4"/>
    <w:rsid w:val="004A6245"/>
    <w:rsid w:val="004A6425"/>
    <w:rsid w:val="004A644F"/>
    <w:rsid w:val="004A6466"/>
    <w:rsid w:val="004A6787"/>
    <w:rsid w:val="004A6C08"/>
    <w:rsid w:val="004A6CA0"/>
    <w:rsid w:val="004A6D9B"/>
    <w:rsid w:val="004A70D3"/>
    <w:rsid w:val="004A70F7"/>
    <w:rsid w:val="004A7168"/>
    <w:rsid w:val="004A71DB"/>
    <w:rsid w:val="004A729F"/>
    <w:rsid w:val="004A77F2"/>
    <w:rsid w:val="004A7DA3"/>
    <w:rsid w:val="004A7DA5"/>
    <w:rsid w:val="004B013D"/>
    <w:rsid w:val="004B066B"/>
    <w:rsid w:val="004B069A"/>
    <w:rsid w:val="004B08BB"/>
    <w:rsid w:val="004B0AE2"/>
    <w:rsid w:val="004B0CBB"/>
    <w:rsid w:val="004B1316"/>
    <w:rsid w:val="004B167D"/>
    <w:rsid w:val="004B16D2"/>
    <w:rsid w:val="004B16EE"/>
    <w:rsid w:val="004B1702"/>
    <w:rsid w:val="004B17A0"/>
    <w:rsid w:val="004B1A4A"/>
    <w:rsid w:val="004B1D0B"/>
    <w:rsid w:val="004B1FA4"/>
    <w:rsid w:val="004B209F"/>
    <w:rsid w:val="004B286E"/>
    <w:rsid w:val="004B2EC5"/>
    <w:rsid w:val="004B31B2"/>
    <w:rsid w:val="004B3277"/>
    <w:rsid w:val="004B3404"/>
    <w:rsid w:val="004B34DC"/>
    <w:rsid w:val="004B36DB"/>
    <w:rsid w:val="004B37B4"/>
    <w:rsid w:val="004B3826"/>
    <w:rsid w:val="004B3A03"/>
    <w:rsid w:val="004B3FCD"/>
    <w:rsid w:val="004B43F9"/>
    <w:rsid w:val="004B4511"/>
    <w:rsid w:val="004B480C"/>
    <w:rsid w:val="004B48F7"/>
    <w:rsid w:val="004B492C"/>
    <w:rsid w:val="004B4943"/>
    <w:rsid w:val="004B50F3"/>
    <w:rsid w:val="004B50F4"/>
    <w:rsid w:val="004B5124"/>
    <w:rsid w:val="004B5554"/>
    <w:rsid w:val="004B5B58"/>
    <w:rsid w:val="004B6042"/>
    <w:rsid w:val="004B6445"/>
    <w:rsid w:val="004B6681"/>
    <w:rsid w:val="004B68A9"/>
    <w:rsid w:val="004B68CA"/>
    <w:rsid w:val="004B6978"/>
    <w:rsid w:val="004B6BD7"/>
    <w:rsid w:val="004B6CE2"/>
    <w:rsid w:val="004B6D36"/>
    <w:rsid w:val="004B6ED5"/>
    <w:rsid w:val="004B7780"/>
    <w:rsid w:val="004B7D4F"/>
    <w:rsid w:val="004C0134"/>
    <w:rsid w:val="004C0420"/>
    <w:rsid w:val="004C0945"/>
    <w:rsid w:val="004C0B94"/>
    <w:rsid w:val="004C0C46"/>
    <w:rsid w:val="004C0CD9"/>
    <w:rsid w:val="004C0E77"/>
    <w:rsid w:val="004C0F8E"/>
    <w:rsid w:val="004C0FA6"/>
    <w:rsid w:val="004C1131"/>
    <w:rsid w:val="004C17BE"/>
    <w:rsid w:val="004C1A4A"/>
    <w:rsid w:val="004C1AAC"/>
    <w:rsid w:val="004C1DB1"/>
    <w:rsid w:val="004C2267"/>
    <w:rsid w:val="004C2554"/>
    <w:rsid w:val="004C2A7E"/>
    <w:rsid w:val="004C2BB4"/>
    <w:rsid w:val="004C2FAC"/>
    <w:rsid w:val="004C3352"/>
    <w:rsid w:val="004C399D"/>
    <w:rsid w:val="004C3ED0"/>
    <w:rsid w:val="004C403A"/>
    <w:rsid w:val="004C4045"/>
    <w:rsid w:val="004C40FD"/>
    <w:rsid w:val="004C42DE"/>
    <w:rsid w:val="004C42F1"/>
    <w:rsid w:val="004C4427"/>
    <w:rsid w:val="004C4673"/>
    <w:rsid w:val="004C4CDD"/>
    <w:rsid w:val="004C4D5A"/>
    <w:rsid w:val="004C4DF8"/>
    <w:rsid w:val="004C4FED"/>
    <w:rsid w:val="004C5082"/>
    <w:rsid w:val="004C51E5"/>
    <w:rsid w:val="004C5314"/>
    <w:rsid w:val="004C54EF"/>
    <w:rsid w:val="004C56EB"/>
    <w:rsid w:val="004C59F6"/>
    <w:rsid w:val="004C5B1E"/>
    <w:rsid w:val="004C5C44"/>
    <w:rsid w:val="004C60AF"/>
    <w:rsid w:val="004C6CB5"/>
    <w:rsid w:val="004C6F32"/>
    <w:rsid w:val="004C6F43"/>
    <w:rsid w:val="004C71AD"/>
    <w:rsid w:val="004C723C"/>
    <w:rsid w:val="004C72EB"/>
    <w:rsid w:val="004C735C"/>
    <w:rsid w:val="004C74E7"/>
    <w:rsid w:val="004C7856"/>
    <w:rsid w:val="004C78AD"/>
    <w:rsid w:val="004C78B7"/>
    <w:rsid w:val="004C7B78"/>
    <w:rsid w:val="004D01AE"/>
    <w:rsid w:val="004D020E"/>
    <w:rsid w:val="004D0482"/>
    <w:rsid w:val="004D0845"/>
    <w:rsid w:val="004D0976"/>
    <w:rsid w:val="004D09ED"/>
    <w:rsid w:val="004D0FB3"/>
    <w:rsid w:val="004D10BA"/>
    <w:rsid w:val="004D10E9"/>
    <w:rsid w:val="004D114A"/>
    <w:rsid w:val="004D13B1"/>
    <w:rsid w:val="004D1466"/>
    <w:rsid w:val="004D150C"/>
    <w:rsid w:val="004D1D67"/>
    <w:rsid w:val="004D1DE5"/>
    <w:rsid w:val="004D1FFE"/>
    <w:rsid w:val="004D22AE"/>
    <w:rsid w:val="004D233A"/>
    <w:rsid w:val="004D2450"/>
    <w:rsid w:val="004D2953"/>
    <w:rsid w:val="004D2990"/>
    <w:rsid w:val="004D2B08"/>
    <w:rsid w:val="004D2E6A"/>
    <w:rsid w:val="004D35FB"/>
    <w:rsid w:val="004D399E"/>
    <w:rsid w:val="004D3D13"/>
    <w:rsid w:val="004D49B2"/>
    <w:rsid w:val="004D5127"/>
    <w:rsid w:val="004D52EE"/>
    <w:rsid w:val="004D53BA"/>
    <w:rsid w:val="004D55F1"/>
    <w:rsid w:val="004D5631"/>
    <w:rsid w:val="004D585F"/>
    <w:rsid w:val="004D5D45"/>
    <w:rsid w:val="004D66B2"/>
    <w:rsid w:val="004D6765"/>
    <w:rsid w:val="004D6773"/>
    <w:rsid w:val="004D681B"/>
    <w:rsid w:val="004D6A5B"/>
    <w:rsid w:val="004D6C0F"/>
    <w:rsid w:val="004D70D6"/>
    <w:rsid w:val="004D78F3"/>
    <w:rsid w:val="004D7A11"/>
    <w:rsid w:val="004D7B6A"/>
    <w:rsid w:val="004E00BC"/>
    <w:rsid w:val="004E00C6"/>
    <w:rsid w:val="004E038B"/>
    <w:rsid w:val="004E0667"/>
    <w:rsid w:val="004E06E8"/>
    <w:rsid w:val="004E071C"/>
    <w:rsid w:val="004E088B"/>
    <w:rsid w:val="004E092B"/>
    <w:rsid w:val="004E0B0F"/>
    <w:rsid w:val="004E0CE8"/>
    <w:rsid w:val="004E0E9F"/>
    <w:rsid w:val="004E1255"/>
    <w:rsid w:val="004E12CA"/>
    <w:rsid w:val="004E185F"/>
    <w:rsid w:val="004E18A6"/>
    <w:rsid w:val="004E19C1"/>
    <w:rsid w:val="004E1D42"/>
    <w:rsid w:val="004E1E55"/>
    <w:rsid w:val="004E1EF9"/>
    <w:rsid w:val="004E2019"/>
    <w:rsid w:val="004E22BA"/>
    <w:rsid w:val="004E236E"/>
    <w:rsid w:val="004E2803"/>
    <w:rsid w:val="004E2BF2"/>
    <w:rsid w:val="004E2C37"/>
    <w:rsid w:val="004E3240"/>
    <w:rsid w:val="004E3529"/>
    <w:rsid w:val="004E357E"/>
    <w:rsid w:val="004E3665"/>
    <w:rsid w:val="004E3A07"/>
    <w:rsid w:val="004E3CEC"/>
    <w:rsid w:val="004E3DD8"/>
    <w:rsid w:val="004E3E5B"/>
    <w:rsid w:val="004E3EC8"/>
    <w:rsid w:val="004E404C"/>
    <w:rsid w:val="004E406E"/>
    <w:rsid w:val="004E42C2"/>
    <w:rsid w:val="004E42EB"/>
    <w:rsid w:val="004E43F6"/>
    <w:rsid w:val="004E46A8"/>
    <w:rsid w:val="004E4A4C"/>
    <w:rsid w:val="004E4CD2"/>
    <w:rsid w:val="004E532D"/>
    <w:rsid w:val="004E5652"/>
    <w:rsid w:val="004E58BA"/>
    <w:rsid w:val="004E5A8E"/>
    <w:rsid w:val="004E5D44"/>
    <w:rsid w:val="004E6169"/>
    <w:rsid w:val="004E6193"/>
    <w:rsid w:val="004E6406"/>
    <w:rsid w:val="004E665A"/>
    <w:rsid w:val="004E69F6"/>
    <w:rsid w:val="004E6B26"/>
    <w:rsid w:val="004E6B79"/>
    <w:rsid w:val="004E6D0D"/>
    <w:rsid w:val="004E6D6A"/>
    <w:rsid w:val="004E6D7C"/>
    <w:rsid w:val="004E7148"/>
    <w:rsid w:val="004E76E3"/>
    <w:rsid w:val="004E78CD"/>
    <w:rsid w:val="004E7C3A"/>
    <w:rsid w:val="004E7D2B"/>
    <w:rsid w:val="004E7D5A"/>
    <w:rsid w:val="004F00BC"/>
    <w:rsid w:val="004F00CD"/>
    <w:rsid w:val="004F0397"/>
    <w:rsid w:val="004F0C5E"/>
    <w:rsid w:val="004F0D79"/>
    <w:rsid w:val="004F0DA2"/>
    <w:rsid w:val="004F0DBF"/>
    <w:rsid w:val="004F1099"/>
    <w:rsid w:val="004F12BF"/>
    <w:rsid w:val="004F1469"/>
    <w:rsid w:val="004F1696"/>
    <w:rsid w:val="004F1848"/>
    <w:rsid w:val="004F1851"/>
    <w:rsid w:val="004F1A79"/>
    <w:rsid w:val="004F1C97"/>
    <w:rsid w:val="004F1DE5"/>
    <w:rsid w:val="004F1E7E"/>
    <w:rsid w:val="004F2835"/>
    <w:rsid w:val="004F29C6"/>
    <w:rsid w:val="004F2F49"/>
    <w:rsid w:val="004F2F91"/>
    <w:rsid w:val="004F30C9"/>
    <w:rsid w:val="004F33DA"/>
    <w:rsid w:val="004F3577"/>
    <w:rsid w:val="004F3965"/>
    <w:rsid w:val="004F40D0"/>
    <w:rsid w:val="004F42A9"/>
    <w:rsid w:val="004F47CD"/>
    <w:rsid w:val="004F4952"/>
    <w:rsid w:val="004F4A38"/>
    <w:rsid w:val="004F4AFC"/>
    <w:rsid w:val="004F4F06"/>
    <w:rsid w:val="004F5162"/>
    <w:rsid w:val="004F528E"/>
    <w:rsid w:val="004F568E"/>
    <w:rsid w:val="004F58B6"/>
    <w:rsid w:val="004F6081"/>
    <w:rsid w:val="004F69B7"/>
    <w:rsid w:val="004F6BB9"/>
    <w:rsid w:val="004F6CEE"/>
    <w:rsid w:val="004F6CF8"/>
    <w:rsid w:val="004F6D4D"/>
    <w:rsid w:val="004F6F17"/>
    <w:rsid w:val="004F7249"/>
    <w:rsid w:val="004F75EB"/>
    <w:rsid w:val="004F7959"/>
    <w:rsid w:val="004F7F79"/>
    <w:rsid w:val="0050068D"/>
    <w:rsid w:val="0050091A"/>
    <w:rsid w:val="005009E2"/>
    <w:rsid w:val="005009FB"/>
    <w:rsid w:val="00500C61"/>
    <w:rsid w:val="00501119"/>
    <w:rsid w:val="00501194"/>
    <w:rsid w:val="00501370"/>
    <w:rsid w:val="005013F8"/>
    <w:rsid w:val="005017CA"/>
    <w:rsid w:val="00501891"/>
    <w:rsid w:val="00501B1D"/>
    <w:rsid w:val="00501F62"/>
    <w:rsid w:val="005020AB"/>
    <w:rsid w:val="00502319"/>
    <w:rsid w:val="005026C4"/>
    <w:rsid w:val="00502959"/>
    <w:rsid w:val="005029A7"/>
    <w:rsid w:val="00502A74"/>
    <w:rsid w:val="00502F90"/>
    <w:rsid w:val="00503045"/>
    <w:rsid w:val="005033EA"/>
    <w:rsid w:val="005034E2"/>
    <w:rsid w:val="005035BC"/>
    <w:rsid w:val="0050377D"/>
    <w:rsid w:val="005037F2"/>
    <w:rsid w:val="00503853"/>
    <w:rsid w:val="005038A6"/>
    <w:rsid w:val="00503C3A"/>
    <w:rsid w:val="00503D34"/>
    <w:rsid w:val="00504014"/>
    <w:rsid w:val="00504164"/>
    <w:rsid w:val="005041B2"/>
    <w:rsid w:val="00504499"/>
    <w:rsid w:val="00504554"/>
    <w:rsid w:val="0050471F"/>
    <w:rsid w:val="0050485B"/>
    <w:rsid w:val="005048A0"/>
    <w:rsid w:val="00504961"/>
    <w:rsid w:val="00504AF8"/>
    <w:rsid w:val="00504E6F"/>
    <w:rsid w:val="00505136"/>
    <w:rsid w:val="005052BA"/>
    <w:rsid w:val="0050539E"/>
    <w:rsid w:val="005053CC"/>
    <w:rsid w:val="0050554C"/>
    <w:rsid w:val="0050569D"/>
    <w:rsid w:val="005056E1"/>
    <w:rsid w:val="0050576A"/>
    <w:rsid w:val="005057D1"/>
    <w:rsid w:val="005058D9"/>
    <w:rsid w:val="00505B86"/>
    <w:rsid w:val="0050674F"/>
    <w:rsid w:val="0050683E"/>
    <w:rsid w:val="005069E3"/>
    <w:rsid w:val="00506C17"/>
    <w:rsid w:val="00506C5C"/>
    <w:rsid w:val="00506D3F"/>
    <w:rsid w:val="00506D54"/>
    <w:rsid w:val="00506F61"/>
    <w:rsid w:val="00507670"/>
    <w:rsid w:val="005077BC"/>
    <w:rsid w:val="0050787B"/>
    <w:rsid w:val="00507DD7"/>
    <w:rsid w:val="0051044E"/>
    <w:rsid w:val="00510642"/>
    <w:rsid w:val="00511312"/>
    <w:rsid w:val="0051150D"/>
    <w:rsid w:val="005117A4"/>
    <w:rsid w:val="005118D8"/>
    <w:rsid w:val="00511C80"/>
    <w:rsid w:val="00511D59"/>
    <w:rsid w:val="00512127"/>
    <w:rsid w:val="00512327"/>
    <w:rsid w:val="0051249B"/>
    <w:rsid w:val="0051281D"/>
    <w:rsid w:val="00512829"/>
    <w:rsid w:val="0051291C"/>
    <w:rsid w:val="00512926"/>
    <w:rsid w:val="00512AE6"/>
    <w:rsid w:val="00512F4D"/>
    <w:rsid w:val="0051316D"/>
    <w:rsid w:val="005133D9"/>
    <w:rsid w:val="00513644"/>
    <w:rsid w:val="00513770"/>
    <w:rsid w:val="00513CEA"/>
    <w:rsid w:val="00513FD4"/>
    <w:rsid w:val="00513FDB"/>
    <w:rsid w:val="00514371"/>
    <w:rsid w:val="005146E9"/>
    <w:rsid w:val="005146F3"/>
    <w:rsid w:val="00514C9E"/>
    <w:rsid w:val="00514D06"/>
    <w:rsid w:val="00514D21"/>
    <w:rsid w:val="00515137"/>
    <w:rsid w:val="00515143"/>
    <w:rsid w:val="00515302"/>
    <w:rsid w:val="00515599"/>
    <w:rsid w:val="005158C1"/>
    <w:rsid w:val="005159CA"/>
    <w:rsid w:val="00515B1C"/>
    <w:rsid w:val="00516044"/>
    <w:rsid w:val="00516933"/>
    <w:rsid w:val="00516EFD"/>
    <w:rsid w:val="00516F0B"/>
    <w:rsid w:val="00516F10"/>
    <w:rsid w:val="005171AA"/>
    <w:rsid w:val="0051724E"/>
    <w:rsid w:val="00517277"/>
    <w:rsid w:val="00517343"/>
    <w:rsid w:val="00517501"/>
    <w:rsid w:val="00517591"/>
    <w:rsid w:val="00517B53"/>
    <w:rsid w:val="00517BEB"/>
    <w:rsid w:val="00517E9A"/>
    <w:rsid w:val="00517F5F"/>
    <w:rsid w:val="005201D8"/>
    <w:rsid w:val="005201F3"/>
    <w:rsid w:val="0052105B"/>
    <w:rsid w:val="00521386"/>
    <w:rsid w:val="0052145D"/>
    <w:rsid w:val="005215DA"/>
    <w:rsid w:val="005217C8"/>
    <w:rsid w:val="00521CF6"/>
    <w:rsid w:val="0052247E"/>
    <w:rsid w:val="005225FD"/>
    <w:rsid w:val="0052263E"/>
    <w:rsid w:val="00522841"/>
    <w:rsid w:val="00522952"/>
    <w:rsid w:val="00522971"/>
    <w:rsid w:val="00522B36"/>
    <w:rsid w:val="0052309E"/>
    <w:rsid w:val="00523882"/>
    <w:rsid w:val="00523A8E"/>
    <w:rsid w:val="00523C04"/>
    <w:rsid w:val="0052407B"/>
    <w:rsid w:val="00524312"/>
    <w:rsid w:val="0052492F"/>
    <w:rsid w:val="00524F9F"/>
    <w:rsid w:val="00525018"/>
    <w:rsid w:val="00525535"/>
    <w:rsid w:val="00525769"/>
    <w:rsid w:val="00525C89"/>
    <w:rsid w:val="00525E8D"/>
    <w:rsid w:val="00525EE1"/>
    <w:rsid w:val="005261C4"/>
    <w:rsid w:val="00526289"/>
    <w:rsid w:val="005265D7"/>
    <w:rsid w:val="00526E30"/>
    <w:rsid w:val="00527194"/>
    <w:rsid w:val="005271FB"/>
    <w:rsid w:val="005273DB"/>
    <w:rsid w:val="00527751"/>
    <w:rsid w:val="00527F82"/>
    <w:rsid w:val="005300FC"/>
    <w:rsid w:val="00530163"/>
    <w:rsid w:val="005301A0"/>
    <w:rsid w:val="005302E3"/>
    <w:rsid w:val="0053037E"/>
    <w:rsid w:val="0053099F"/>
    <w:rsid w:val="00530B5A"/>
    <w:rsid w:val="00530B6F"/>
    <w:rsid w:val="00530C4A"/>
    <w:rsid w:val="00530DA5"/>
    <w:rsid w:val="00531173"/>
    <w:rsid w:val="00531532"/>
    <w:rsid w:val="005315D7"/>
    <w:rsid w:val="0053179E"/>
    <w:rsid w:val="00531A67"/>
    <w:rsid w:val="0053212C"/>
    <w:rsid w:val="0053229D"/>
    <w:rsid w:val="0053242E"/>
    <w:rsid w:val="005327D8"/>
    <w:rsid w:val="00532A7C"/>
    <w:rsid w:val="005332D7"/>
    <w:rsid w:val="00533308"/>
    <w:rsid w:val="00533827"/>
    <w:rsid w:val="00533CFC"/>
    <w:rsid w:val="00533F3E"/>
    <w:rsid w:val="005343DB"/>
    <w:rsid w:val="00534485"/>
    <w:rsid w:val="005345B7"/>
    <w:rsid w:val="00534CB2"/>
    <w:rsid w:val="00535401"/>
    <w:rsid w:val="00535655"/>
    <w:rsid w:val="0053566E"/>
    <w:rsid w:val="00535A1B"/>
    <w:rsid w:val="00535A6E"/>
    <w:rsid w:val="00535C9E"/>
    <w:rsid w:val="00535DD8"/>
    <w:rsid w:val="00536297"/>
    <w:rsid w:val="0053652B"/>
    <w:rsid w:val="00536552"/>
    <w:rsid w:val="0053658A"/>
    <w:rsid w:val="00536738"/>
    <w:rsid w:val="005367B3"/>
    <w:rsid w:val="005369B6"/>
    <w:rsid w:val="00536AD6"/>
    <w:rsid w:val="00536B4A"/>
    <w:rsid w:val="00536E54"/>
    <w:rsid w:val="00537153"/>
    <w:rsid w:val="005372F7"/>
    <w:rsid w:val="005379C0"/>
    <w:rsid w:val="00537B8D"/>
    <w:rsid w:val="00537D8F"/>
    <w:rsid w:val="00537E94"/>
    <w:rsid w:val="00537FA5"/>
    <w:rsid w:val="00537FA7"/>
    <w:rsid w:val="005400D7"/>
    <w:rsid w:val="005401A7"/>
    <w:rsid w:val="005404F3"/>
    <w:rsid w:val="0054066F"/>
    <w:rsid w:val="005407D2"/>
    <w:rsid w:val="00540811"/>
    <w:rsid w:val="00540DDB"/>
    <w:rsid w:val="00540F91"/>
    <w:rsid w:val="00541159"/>
    <w:rsid w:val="005412E9"/>
    <w:rsid w:val="00541455"/>
    <w:rsid w:val="005414EF"/>
    <w:rsid w:val="00541575"/>
    <w:rsid w:val="0054157B"/>
    <w:rsid w:val="00541667"/>
    <w:rsid w:val="00541FAF"/>
    <w:rsid w:val="00542455"/>
    <w:rsid w:val="005427B0"/>
    <w:rsid w:val="005428C9"/>
    <w:rsid w:val="00542A7C"/>
    <w:rsid w:val="00542C00"/>
    <w:rsid w:val="00542C7C"/>
    <w:rsid w:val="00542E4C"/>
    <w:rsid w:val="00542F05"/>
    <w:rsid w:val="005433F8"/>
    <w:rsid w:val="00543471"/>
    <w:rsid w:val="005434B2"/>
    <w:rsid w:val="00543A79"/>
    <w:rsid w:val="00543A98"/>
    <w:rsid w:val="00543B8B"/>
    <w:rsid w:val="0054419A"/>
    <w:rsid w:val="0054436B"/>
    <w:rsid w:val="005446FB"/>
    <w:rsid w:val="00544772"/>
    <w:rsid w:val="00544818"/>
    <w:rsid w:val="00544F9F"/>
    <w:rsid w:val="00545209"/>
    <w:rsid w:val="00545D04"/>
    <w:rsid w:val="00545F87"/>
    <w:rsid w:val="00546007"/>
    <w:rsid w:val="0054622E"/>
    <w:rsid w:val="00546665"/>
    <w:rsid w:val="005466A1"/>
    <w:rsid w:val="00546B9C"/>
    <w:rsid w:val="00546C9B"/>
    <w:rsid w:val="00546D32"/>
    <w:rsid w:val="00546D88"/>
    <w:rsid w:val="005471FB"/>
    <w:rsid w:val="0054730A"/>
    <w:rsid w:val="0054740C"/>
    <w:rsid w:val="00547565"/>
    <w:rsid w:val="00547814"/>
    <w:rsid w:val="005478FA"/>
    <w:rsid w:val="00547936"/>
    <w:rsid w:val="00547964"/>
    <w:rsid w:val="005479E1"/>
    <w:rsid w:val="00547BC3"/>
    <w:rsid w:val="00547C6F"/>
    <w:rsid w:val="0055016F"/>
    <w:rsid w:val="005503A9"/>
    <w:rsid w:val="005506AF"/>
    <w:rsid w:val="00550948"/>
    <w:rsid w:val="005509BA"/>
    <w:rsid w:val="00550CFE"/>
    <w:rsid w:val="00550D15"/>
    <w:rsid w:val="00551398"/>
    <w:rsid w:val="00551447"/>
    <w:rsid w:val="0055145B"/>
    <w:rsid w:val="00551521"/>
    <w:rsid w:val="00551560"/>
    <w:rsid w:val="00551A0F"/>
    <w:rsid w:val="00551B80"/>
    <w:rsid w:val="00551FF0"/>
    <w:rsid w:val="005520D1"/>
    <w:rsid w:val="0055224E"/>
    <w:rsid w:val="00552946"/>
    <w:rsid w:val="00552A36"/>
    <w:rsid w:val="00552D1C"/>
    <w:rsid w:val="00552D54"/>
    <w:rsid w:val="00552DB1"/>
    <w:rsid w:val="00553113"/>
    <w:rsid w:val="0055371F"/>
    <w:rsid w:val="00553782"/>
    <w:rsid w:val="00553A83"/>
    <w:rsid w:val="00553E2B"/>
    <w:rsid w:val="00554233"/>
    <w:rsid w:val="005544E2"/>
    <w:rsid w:val="00554598"/>
    <w:rsid w:val="00554BE8"/>
    <w:rsid w:val="00554DC3"/>
    <w:rsid w:val="005553E6"/>
    <w:rsid w:val="00555609"/>
    <w:rsid w:val="0055577A"/>
    <w:rsid w:val="00555809"/>
    <w:rsid w:val="00555DA9"/>
    <w:rsid w:val="00555FB7"/>
    <w:rsid w:val="0055629B"/>
    <w:rsid w:val="00556521"/>
    <w:rsid w:val="00556976"/>
    <w:rsid w:val="00556A80"/>
    <w:rsid w:val="00556BF0"/>
    <w:rsid w:val="00556D86"/>
    <w:rsid w:val="00556ED7"/>
    <w:rsid w:val="00556FE3"/>
    <w:rsid w:val="00557357"/>
    <w:rsid w:val="005579FD"/>
    <w:rsid w:val="00557D43"/>
    <w:rsid w:val="00557F7E"/>
    <w:rsid w:val="005601CB"/>
    <w:rsid w:val="0056039E"/>
    <w:rsid w:val="00560798"/>
    <w:rsid w:val="00560E06"/>
    <w:rsid w:val="00560EA8"/>
    <w:rsid w:val="0056123C"/>
    <w:rsid w:val="005612F5"/>
    <w:rsid w:val="00561A91"/>
    <w:rsid w:val="00562000"/>
    <w:rsid w:val="00562047"/>
    <w:rsid w:val="0056212F"/>
    <w:rsid w:val="005621FE"/>
    <w:rsid w:val="005622BF"/>
    <w:rsid w:val="005623F8"/>
    <w:rsid w:val="00562562"/>
    <w:rsid w:val="00562B1A"/>
    <w:rsid w:val="00562B51"/>
    <w:rsid w:val="0056317E"/>
    <w:rsid w:val="005632D4"/>
    <w:rsid w:val="00563664"/>
    <w:rsid w:val="00563903"/>
    <w:rsid w:val="00563907"/>
    <w:rsid w:val="00563B66"/>
    <w:rsid w:val="00563E04"/>
    <w:rsid w:val="00563ECA"/>
    <w:rsid w:val="00563F24"/>
    <w:rsid w:val="00564084"/>
    <w:rsid w:val="00564318"/>
    <w:rsid w:val="00564739"/>
    <w:rsid w:val="00564F10"/>
    <w:rsid w:val="00565280"/>
    <w:rsid w:val="00565465"/>
    <w:rsid w:val="00565515"/>
    <w:rsid w:val="00565844"/>
    <w:rsid w:val="00565881"/>
    <w:rsid w:val="00565A3F"/>
    <w:rsid w:val="00565AB8"/>
    <w:rsid w:val="00565DEB"/>
    <w:rsid w:val="00565FF5"/>
    <w:rsid w:val="00566437"/>
    <w:rsid w:val="005664B5"/>
    <w:rsid w:val="00566A40"/>
    <w:rsid w:val="00566A82"/>
    <w:rsid w:val="00566AED"/>
    <w:rsid w:val="00566C8F"/>
    <w:rsid w:val="00566CDD"/>
    <w:rsid w:val="0056708B"/>
    <w:rsid w:val="005677F0"/>
    <w:rsid w:val="00567ADB"/>
    <w:rsid w:val="00567ADE"/>
    <w:rsid w:val="00567E43"/>
    <w:rsid w:val="00567E71"/>
    <w:rsid w:val="00570001"/>
    <w:rsid w:val="00570060"/>
    <w:rsid w:val="00570125"/>
    <w:rsid w:val="005703A1"/>
    <w:rsid w:val="00570890"/>
    <w:rsid w:val="00570A58"/>
    <w:rsid w:val="00570E7E"/>
    <w:rsid w:val="00570F5C"/>
    <w:rsid w:val="0057154A"/>
    <w:rsid w:val="00571571"/>
    <w:rsid w:val="0057202E"/>
    <w:rsid w:val="00572086"/>
    <w:rsid w:val="005721FA"/>
    <w:rsid w:val="005724E5"/>
    <w:rsid w:val="00573144"/>
    <w:rsid w:val="00573185"/>
    <w:rsid w:val="005731B5"/>
    <w:rsid w:val="00573236"/>
    <w:rsid w:val="005735AE"/>
    <w:rsid w:val="00573808"/>
    <w:rsid w:val="005739AE"/>
    <w:rsid w:val="00573C38"/>
    <w:rsid w:val="00573CD7"/>
    <w:rsid w:val="00573F4A"/>
    <w:rsid w:val="00574074"/>
    <w:rsid w:val="005740E4"/>
    <w:rsid w:val="0057453A"/>
    <w:rsid w:val="005749D3"/>
    <w:rsid w:val="00574F48"/>
    <w:rsid w:val="0057503E"/>
    <w:rsid w:val="0057504A"/>
    <w:rsid w:val="00575063"/>
    <w:rsid w:val="00575330"/>
    <w:rsid w:val="005754ED"/>
    <w:rsid w:val="0057573E"/>
    <w:rsid w:val="0057583E"/>
    <w:rsid w:val="0057594F"/>
    <w:rsid w:val="00575C4D"/>
    <w:rsid w:val="00575C7F"/>
    <w:rsid w:val="00576186"/>
    <w:rsid w:val="005764AE"/>
    <w:rsid w:val="005768CB"/>
    <w:rsid w:val="005768D5"/>
    <w:rsid w:val="00576964"/>
    <w:rsid w:val="00576B40"/>
    <w:rsid w:val="00576F8A"/>
    <w:rsid w:val="00577228"/>
    <w:rsid w:val="00577346"/>
    <w:rsid w:val="00577389"/>
    <w:rsid w:val="005774A8"/>
    <w:rsid w:val="005777CF"/>
    <w:rsid w:val="005777E9"/>
    <w:rsid w:val="00577B02"/>
    <w:rsid w:val="00577C50"/>
    <w:rsid w:val="00577D36"/>
    <w:rsid w:val="005803F3"/>
    <w:rsid w:val="005804CB"/>
    <w:rsid w:val="0058073E"/>
    <w:rsid w:val="00580960"/>
    <w:rsid w:val="00580AEA"/>
    <w:rsid w:val="00580D56"/>
    <w:rsid w:val="00580F9E"/>
    <w:rsid w:val="00581080"/>
    <w:rsid w:val="005810C9"/>
    <w:rsid w:val="00581339"/>
    <w:rsid w:val="0058135B"/>
    <w:rsid w:val="005814D5"/>
    <w:rsid w:val="005818DB"/>
    <w:rsid w:val="00581C05"/>
    <w:rsid w:val="00581E42"/>
    <w:rsid w:val="00582834"/>
    <w:rsid w:val="005828F3"/>
    <w:rsid w:val="005830B0"/>
    <w:rsid w:val="0058373D"/>
    <w:rsid w:val="0058381B"/>
    <w:rsid w:val="00583B23"/>
    <w:rsid w:val="00583E24"/>
    <w:rsid w:val="00583FCE"/>
    <w:rsid w:val="00584071"/>
    <w:rsid w:val="0058420C"/>
    <w:rsid w:val="005842F1"/>
    <w:rsid w:val="00584653"/>
    <w:rsid w:val="00584797"/>
    <w:rsid w:val="00584929"/>
    <w:rsid w:val="00584D39"/>
    <w:rsid w:val="00584E21"/>
    <w:rsid w:val="005850A5"/>
    <w:rsid w:val="005850BA"/>
    <w:rsid w:val="005850E6"/>
    <w:rsid w:val="005856F8"/>
    <w:rsid w:val="005858A7"/>
    <w:rsid w:val="005858BC"/>
    <w:rsid w:val="00585934"/>
    <w:rsid w:val="00585BFE"/>
    <w:rsid w:val="00585CAC"/>
    <w:rsid w:val="00585E99"/>
    <w:rsid w:val="00586041"/>
    <w:rsid w:val="00586110"/>
    <w:rsid w:val="00586334"/>
    <w:rsid w:val="00586A74"/>
    <w:rsid w:val="00586E22"/>
    <w:rsid w:val="00586F0B"/>
    <w:rsid w:val="00587023"/>
    <w:rsid w:val="00587094"/>
    <w:rsid w:val="005870CE"/>
    <w:rsid w:val="00587477"/>
    <w:rsid w:val="00587964"/>
    <w:rsid w:val="00587C39"/>
    <w:rsid w:val="00587ED4"/>
    <w:rsid w:val="0059051C"/>
    <w:rsid w:val="005907BB"/>
    <w:rsid w:val="005907C8"/>
    <w:rsid w:val="00590A87"/>
    <w:rsid w:val="00590D69"/>
    <w:rsid w:val="00590F71"/>
    <w:rsid w:val="005910C8"/>
    <w:rsid w:val="0059156F"/>
    <w:rsid w:val="0059179E"/>
    <w:rsid w:val="0059194D"/>
    <w:rsid w:val="005920A1"/>
    <w:rsid w:val="005921AB"/>
    <w:rsid w:val="005923D3"/>
    <w:rsid w:val="0059247A"/>
    <w:rsid w:val="0059277E"/>
    <w:rsid w:val="0059296D"/>
    <w:rsid w:val="00592F02"/>
    <w:rsid w:val="00593113"/>
    <w:rsid w:val="005934E7"/>
    <w:rsid w:val="0059376E"/>
    <w:rsid w:val="005938C5"/>
    <w:rsid w:val="00593B9C"/>
    <w:rsid w:val="00593BBE"/>
    <w:rsid w:val="00593D54"/>
    <w:rsid w:val="00594022"/>
    <w:rsid w:val="005941DC"/>
    <w:rsid w:val="005943CB"/>
    <w:rsid w:val="00594599"/>
    <w:rsid w:val="005945D5"/>
    <w:rsid w:val="00594778"/>
    <w:rsid w:val="00594CF6"/>
    <w:rsid w:val="00594DBB"/>
    <w:rsid w:val="00595372"/>
    <w:rsid w:val="00595460"/>
    <w:rsid w:val="005955A8"/>
    <w:rsid w:val="00595C49"/>
    <w:rsid w:val="00595CF4"/>
    <w:rsid w:val="00595E03"/>
    <w:rsid w:val="00595E9F"/>
    <w:rsid w:val="00595EE9"/>
    <w:rsid w:val="00596255"/>
    <w:rsid w:val="005966A1"/>
    <w:rsid w:val="005967B5"/>
    <w:rsid w:val="00596BF8"/>
    <w:rsid w:val="00596D2B"/>
    <w:rsid w:val="0059705F"/>
    <w:rsid w:val="00597420"/>
    <w:rsid w:val="0059747F"/>
    <w:rsid w:val="005975C2"/>
    <w:rsid w:val="00597968"/>
    <w:rsid w:val="00597CD9"/>
    <w:rsid w:val="00597D63"/>
    <w:rsid w:val="00597D7C"/>
    <w:rsid w:val="00597F66"/>
    <w:rsid w:val="005A020B"/>
    <w:rsid w:val="005A03CB"/>
    <w:rsid w:val="005A04B4"/>
    <w:rsid w:val="005A04DA"/>
    <w:rsid w:val="005A04E2"/>
    <w:rsid w:val="005A0A2A"/>
    <w:rsid w:val="005A0C7E"/>
    <w:rsid w:val="005A0ECE"/>
    <w:rsid w:val="005A0EE5"/>
    <w:rsid w:val="005A0F8F"/>
    <w:rsid w:val="005A11EA"/>
    <w:rsid w:val="005A1207"/>
    <w:rsid w:val="005A138F"/>
    <w:rsid w:val="005A142E"/>
    <w:rsid w:val="005A145F"/>
    <w:rsid w:val="005A188C"/>
    <w:rsid w:val="005A18C8"/>
    <w:rsid w:val="005A18C9"/>
    <w:rsid w:val="005A1CA6"/>
    <w:rsid w:val="005A1D74"/>
    <w:rsid w:val="005A20C3"/>
    <w:rsid w:val="005A2561"/>
    <w:rsid w:val="005A274B"/>
    <w:rsid w:val="005A2753"/>
    <w:rsid w:val="005A2B6C"/>
    <w:rsid w:val="005A2BED"/>
    <w:rsid w:val="005A2C77"/>
    <w:rsid w:val="005A2E48"/>
    <w:rsid w:val="005A31F2"/>
    <w:rsid w:val="005A33E0"/>
    <w:rsid w:val="005A3416"/>
    <w:rsid w:val="005A35FF"/>
    <w:rsid w:val="005A3881"/>
    <w:rsid w:val="005A3E34"/>
    <w:rsid w:val="005A3EF7"/>
    <w:rsid w:val="005A3FCA"/>
    <w:rsid w:val="005A40BF"/>
    <w:rsid w:val="005A4B05"/>
    <w:rsid w:val="005A4FE8"/>
    <w:rsid w:val="005A5105"/>
    <w:rsid w:val="005A511A"/>
    <w:rsid w:val="005A524C"/>
    <w:rsid w:val="005A5741"/>
    <w:rsid w:val="005A59A3"/>
    <w:rsid w:val="005A5C3B"/>
    <w:rsid w:val="005A5D08"/>
    <w:rsid w:val="005A625E"/>
    <w:rsid w:val="005A6277"/>
    <w:rsid w:val="005A65E0"/>
    <w:rsid w:val="005A6D19"/>
    <w:rsid w:val="005A71ED"/>
    <w:rsid w:val="005A73C9"/>
    <w:rsid w:val="005A7A1B"/>
    <w:rsid w:val="005A7CF9"/>
    <w:rsid w:val="005A7EA3"/>
    <w:rsid w:val="005B00D1"/>
    <w:rsid w:val="005B021F"/>
    <w:rsid w:val="005B0321"/>
    <w:rsid w:val="005B08B7"/>
    <w:rsid w:val="005B0ADB"/>
    <w:rsid w:val="005B0CB4"/>
    <w:rsid w:val="005B0D0F"/>
    <w:rsid w:val="005B0D96"/>
    <w:rsid w:val="005B0DBD"/>
    <w:rsid w:val="005B0E0C"/>
    <w:rsid w:val="005B11DD"/>
    <w:rsid w:val="005B129D"/>
    <w:rsid w:val="005B1357"/>
    <w:rsid w:val="005B152E"/>
    <w:rsid w:val="005B17A5"/>
    <w:rsid w:val="005B198B"/>
    <w:rsid w:val="005B1E64"/>
    <w:rsid w:val="005B2023"/>
    <w:rsid w:val="005B22E1"/>
    <w:rsid w:val="005B2343"/>
    <w:rsid w:val="005B2347"/>
    <w:rsid w:val="005B2378"/>
    <w:rsid w:val="005B2916"/>
    <w:rsid w:val="005B2968"/>
    <w:rsid w:val="005B2986"/>
    <w:rsid w:val="005B2EC4"/>
    <w:rsid w:val="005B30C2"/>
    <w:rsid w:val="005B324A"/>
    <w:rsid w:val="005B32A6"/>
    <w:rsid w:val="005B332B"/>
    <w:rsid w:val="005B33A0"/>
    <w:rsid w:val="005B3403"/>
    <w:rsid w:val="005B35C0"/>
    <w:rsid w:val="005B36DE"/>
    <w:rsid w:val="005B3EA2"/>
    <w:rsid w:val="005B4054"/>
    <w:rsid w:val="005B4073"/>
    <w:rsid w:val="005B41A1"/>
    <w:rsid w:val="005B4600"/>
    <w:rsid w:val="005B47A0"/>
    <w:rsid w:val="005B4850"/>
    <w:rsid w:val="005B4A04"/>
    <w:rsid w:val="005B4CD7"/>
    <w:rsid w:val="005B4D26"/>
    <w:rsid w:val="005B4F12"/>
    <w:rsid w:val="005B52A7"/>
    <w:rsid w:val="005B5552"/>
    <w:rsid w:val="005B5562"/>
    <w:rsid w:val="005B5657"/>
    <w:rsid w:val="005B571A"/>
    <w:rsid w:val="005B5723"/>
    <w:rsid w:val="005B585C"/>
    <w:rsid w:val="005B5B56"/>
    <w:rsid w:val="005B5C1A"/>
    <w:rsid w:val="005B5E37"/>
    <w:rsid w:val="005B619E"/>
    <w:rsid w:val="005B64FC"/>
    <w:rsid w:val="005B6635"/>
    <w:rsid w:val="005B675C"/>
    <w:rsid w:val="005B68A9"/>
    <w:rsid w:val="005B6A70"/>
    <w:rsid w:val="005B6AA1"/>
    <w:rsid w:val="005B6BFD"/>
    <w:rsid w:val="005B6D33"/>
    <w:rsid w:val="005B6DC6"/>
    <w:rsid w:val="005B6EFF"/>
    <w:rsid w:val="005B7385"/>
    <w:rsid w:val="005B73FC"/>
    <w:rsid w:val="005B7D01"/>
    <w:rsid w:val="005B7F50"/>
    <w:rsid w:val="005B7FDF"/>
    <w:rsid w:val="005C00E9"/>
    <w:rsid w:val="005C0199"/>
    <w:rsid w:val="005C06C6"/>
    <w:rsid w:val="005C06C7"/>
    <w:rsid w:val="005C07FF"/>
    <w:rsid w:val="005C0802"/>
    <w:rsid w:val="005C0A70"/>
    <w:rsid w:val="005C0AB4"/>
    <w:rsid w:val="005C0ECD"/>
    <w:rsid w:val="005C0F82"/>
    <w:rsid w:val="005C1047"/>
    <w:rsid w:val="005C13C3"/>
    <w:rsid w:val="005C14C8"/>
    <w:rsid w:val="005C1D95"/>
    <w:rsid w:val="005C1F04"/>
    <w:rsid w:val="005C2280"/>
    <w:rsid w:val="005C2A01"/>
    <w:rsid w:val="005C2BC4"/>
    <w:rsid w:val="005C2C79"/>
    <w:rsid w:val="005C2FF7"/>
    <w:rsid w:val="005C315E"/>
    <w:rsid w:val="005C366F"/>
    <w:rsid w:val="005C3CF0"/>
    <w:rsid w:val="005C3E08"/>
    <w:rsid w:val="005C42E7"/>
    <w:rsid w:val="005C4995"/>
    <w:rsid w:val="005C4B16"/>
    <w:rsid w:val="005C4CA1"/>
    <w:rsid w:val="005C4DF1"/>
    <w:rsid w:val="005C52F6"/>
    <w:rsid w:val="005C5542"/>
    <w:rsid w:val="005C564A"/>
    <w:rsid w:val="005C56B7"/>
    <w:rsid w:val="005C56E4"/>
    <w:rsid w:val="005C577A"/>
    <w:rsid w:val="005C5901"/>
    <w:rsid w:val="005C5A5C"/>
    <w:rsid w:val="005C5DE6"/>
    <w:rsid w:val="005C60BE"/>
    <w:rsid w:val="005C62A5"/>
    <w:rsid w:val="005C6524"/>
    <w:rsid w:val="005C6785"/>
    <w:rsid w:val="005C6B34"/>
    <w:rsid w:val="005C6DF3"/>
    <w:rsid w:val="005C7270"/>
    <w:rsid w:val="005C7A33"/>
    <w:rsid w:val="005D029C"/>
    <w:rsid w:val="005D0447"/>
    <w:rsid w:val="005D0515"/>
    <w:rsid w:val="005D07EF"/>
    <w:rsid w:val="005D0C78"/>
    <w:rsid w:val="005D0E99"/>
    <w:rsid w:val="005D0F21"/>
    <w:rsid w:val="005D0F4F"/>
    <w:rsid w:val="005D0FF4"/>
    <w:rsid w:val="005D121F"/>
    <w:rsid w:val="005D1AB7"/>
    <w:rsid w:val="005D1BFA"/>
    <w:rsid w:val="005D1C40"/>
    <w:rsid w:val="005D1D12"/>
    <w:rsid w:val="005D1D7C"/>
    <w:rsid w:val="005D1D91"/>
    <w:rsid w:val="005D214D"/>
    <w:rsid w:val="005D234F"/>
    <w:rsid w:val="005D23DC"/>
    <w:rsid w:val="005D24FC"/>
    <w:rsid w:val="005D2500"/>
    <w:rsid w:val="005D2804"/>
    <w:rsid w:val="005D2AAA"/>
    <w:rsid w:val="005D2CBC"/>
    <w:rsid w:val="005D2E1C"/>
    <w:rsid w:val="005D2F55"/>
    <w:rsid w:val="005D307D"/>
    <w:rsid w:val="005D34A1"/>
    <w:rsid w:val="005D3704"/>
    <w:rsid w:val="005D3714"/>
    <w:rsid w:val="005D3857"/>
    <w:rsid w:val="005D3BF1"/>
    <w:rsid w:val="005D3CC9"/>
    <w:rsid w:val="005D4036"/>
    <w:rsid w:val="005D41C7"/>
    <w:rsid w:val="005D4386"/>
    <w:rsid w:val="005D4560"/>
    <w:rsid w:val="005D4D35"/>
    <w:rsid w:val="005D4D78"/>
    <w:rsid w:val="005D4E13"/>
    <w:rsid w:val="005D4E74"/>
    <w:rsid w:val="005D4FF6"/>
    <w:rsid w:val="005D51B6"/>
    <w:rsid w:val="005D5CE8"/>
    <w:rsid w:val="005D6264"/>
    <w:rsid w:val="005D66F9"/>
    <w:rsid w:val="005D6866"/>
    <w:rsid w:val="005D69F1"/>
    <w:rsid w:val="005D6B5C"/>
    <w:rsid w:val="005D6D94"/>
    <w:rsid w:val="005D6E02"/>
    <w:rsid w:val="005D6FEC"/>
    <w:rsid w:val="005D70F4"/>
    <w:rsid w:val="005D720A"/>
    <w:rsid w:val="005D7278"/>
    <w:rsid w:val="005D7551"/>
    <w:rsid w:val="005D79C3"/>
    <w:rsid w:val="005D7A3C"/>
    <w:rsid w:val="005D7F32"/>
    <w:rsid w:val="005E00D1"/>
    <w:rsid w:val="005E0568"/>
    <w:rsid w:val="005E08B3"/>
    <w:rsid w:val="005E08F4"/>
    <w:rsid w:val="005E0AC9"/>
    <w:rsid w:val="005E0C56"/>
    <w:rsid w:val="005E0DE6"/>
    <w:rsid w:val="005E0EA4"/>
    <w:rsid w:val="005E106B"/>
    <w:rsid w:val="005E1237"/>
    <w:rsid w:val="005E1264"/>
    <w:rsid w:val="005E19AC"/>
    <w:rsid w:val="005E1B37"/>
    <w:rsid w:val="005E1C69"/>
    <w:rsid w:val="005E1E0D"/>
    <w:rsid w:val="005E1FCB"/>
    <w:rsid w:val="005E211D"/>
    <w:rsid w:val="005E280A"/>
    <w:rsid w:val="005E2D29"/>
    <w:rsid w:val="005E2FF0"/>
    <w:rsid w:val="005E3231"/>
    <w:rsid w:val="005E3252"/>
    <w:rsid w:val="005E3278"/>
    <w:rsid w:val="005E32A1"/>
    <w:rsid w:val="005E351E"/>
    <w:rsid w:val="005E362F"/>
    <w:rsid w:val="005E39BF"/>
    <w:rsid w:val="005E3B26"/>
    <w:rsid w:val="005E41D5"/>
    <w:rsid w:val="005E4434"/>
    <w:rsid w:val="005E4EF5"/>
    <w:rsid w:val="005E51D0"/>
    <w:rsid w:val="005E53FA"/>
    <w:rsid w:val="005E5486"/>
    <w:rsid w:val="005E5528"/>
    <w:rsid w:val="005E5598"/>
    <w:rsid w:val="005E562D"/>
    <w:rsid w:val="005E5A4F"/>
    <w:rsid w:val="005E5A7F"/>
    <w:rsid w:val="005E5CC6"/>
    <w:rsid w:val="005E5CD1"/>
    <w:rsid w:val="005E5E5B"/>
    <w:rsid w:val="005E5FC2"/>
    <w:rsid w:val="005E61C3"/>
    <w:rsid w:val="005E6234"/>
    <w:rsid w:val="005E6448"/>
    <w:rsid w:val="005E64A3"/>
    <w:rsid w:val="005E6568"/>
    <w:rsid w:val="005E66EE"/>
    <w:rsid w:val="005E6757"/>
    <w:rsid w:val="005E6A88"/>
    <w:rsid w:val="005E6CD3"/>
    <w:rsid w:val="005E6D3D"/>
    <w:rsid w:val="005E7141"/>
    <w:rsid w:val="005E73EE"/>
    <w:rsid w:val="005E76FB"/>
    <w:rsid w:val="005E7881"/>
    <w:rsid w:val="005E7C85"/>
    <w:rsid w:val="005E7D2D"/>
    <w:rsid w:val="005F0142"/>
    <w:rsid w:val="005F0169"/>
    <w:rsid w:val="005F087E"/>
    <w:rsid w:val="005F0C32"/>
    <w:rsid w:val="005F119B"/>
    <w:rsid w:val="005F134E"/>
    <w:rsid w:val="005F1439"/>
    <w:rsid w:val="005F147E"/>
    <w:rsid w:val="005F17E8"/>
    <w:rsid w:val="005F1887"/>
    <w:rsid w:val="005F1ABF"/>
    <w:rsid w:val="005F1BD3"/>
    <w:rsid w:val="005F1F10"/>
    <w:rsid w:val="005F1F8F"/>
    <w:rsid w:val="005F1F94"/>
    <w:rsid w:val="005F20DA"/>
    <w:rsid w:val="005F2584"/>
    <w:rsid w:val="005F2612"/>
    <w:rsid w:val="005F2C5D"/>
    <w:rsid w:val="005F2E48"/>
    <w:rsid w:val="005F316E"/>
    <w:rsid w:val="005F3364"/>
    <w:rsid w:val="005F33F6"/>
    <w:rsid w:val="005F34AA"/>
    <w:rsid w:val="005F352D"/>
    <w:rsid w:val="005F3629"/>
    <w:rsid w:val="005F3D99"/>
    <w:rsid w:val="005F44E5"/>
    <w:rsid w:val="005F44F0"/>
    <w:rsid w:val="005F4572"/>
    <w:rsid w:val="005F49F6"/>
    <w:rsid w:val="005F4AA4"/>
    <w:rsid w:val="005F4B98"/>
    <w:rsid w:val="005F537E"/>
    <w:rsid w:val="005F5577"/>
    <w:rsid w:val="005F571B"/>
    <w:rsid w:val="005F5A3A"/>
    <w:rsid w:val="005F5B96"/>
    <w:rsid w:val="005F61A1"/>
    <w:rsid w:val="005F6434"/>
    <w:rsid w:val="005F647F"/>
    <w:rsid w:val="005F6558"/>
    <w:rsid w:val="005F6749"/>
    <w:rsid w:val="005F6774"/>
    <w:rsid w:val="005F6950"/>
    <w:rsid w:val="005F6A1C"/>
    <w:rsid w:val="005F6B23"/>
    <w:rsid w:val="005F6B82"/>
    <w:rsid w:val="005F6E60"/>
    <w:rsid w:val="005F6FED"/>
    <w:rsid w:val="005F7062"/>
    <w:rsid w:val="005F77DD"/>
    <w:rsid w:val="005F7B76"/>
    <w:rsid w:val="005F7C5E"/>
    <w:rsid w:val="005F7D96"/>
    <w:rsid w:val="005F7E7D"/>
    <w:rsid w:val="005F7F18"/>
    <w:rsid w:val="006001B2"/>
    <w:rsid w:val="00600282"/>
    <w:rsid w:val="0060050E"/>
    <w:rsid w:val="0060052E"/>
    <w:rsid w:val="00600596"/>
    <w:rsid w:val="006008FC"/>
    <w:rsid w:val="0060092B"/>
    <w:rsid w:val="0060094B"/>
    <w:rsid w:val="0060095D"/>
    <w:rsid w:val="00600B28"/>
    <w:rsid w:val="00600FE2"/>
    <w:rsid w:val="006010C1"/>
    <w:rsid w:val="006014AF"/>
    <w:rsid w:val="00601796"/>
    <w:rsid w:val="006017F1"/>
    <w:rsid w:val="00601A9D"/>
    <w:rsid w:val="00601CAA"/>
    <w:rsid w:val="00601D14"/>
    <w:rsid w:val="00601EEA"/>
    <w:rsid w:val="00602296"/>
    <w:rsid w:val="006025DC"/>
    <w:rsid w:val="00602BC5"/>
    <w:rsid w:val="00603094"/>
    <w:rsid w:val="00603442"/>
    <w:rsid w:val="0060385F"/>
    <w:rsid w:val="006038E1"/>
    <w:rsid w:val="00603BC9"/>
    <w:rsid w:val="00603C2B"/>
    <w:rsid w:val="00603EC6"/>
    <w:rsid w:val="00603F84"/>
    <w:rsid w:val="00603FB5"/>
    <w:rsid w:val="00603FD0"/>
    <w:rsid w:val="00604232"/>
    <w:rsid w:val="006044AC"/>
    <w:rsid w:val="00604636"/>
    <w:rsid w:val="00604794"/>
    <w:rsid w:val="006047E4"/>
    <w:rsid w:val="0060483A"/>
    <w:rsid w:val="00604945"/>
    <w:rsid w:val="00604B36"/>
    <w:rsid w:val="00604BED"/>
    <w:rsid w:val="00604E9C"/>
    <w:rsid w:val="00605511"/>
    <w:rsid w:val="006055B4"/>
    <w:rsid w:val="006056F0"/>
    <w:rsid w:val="0060579E"/>
    <w:rsid w:val="0060585E"/>
    <w:rsid w:val="00605BC2"/>
    <w:rsid w:val="00605C5B"/>
    <w:rsid w:val="00605ED8"/>
    <w:rsid w:val="00605FE0"/>
    <w:rsid w:val="00606130"/>
    <w:rsid w:val="00606665"/>
    <w:rsid w:val="0060694D"/>
    <w:rsid w:val="006069D5"/>
    <w:rsid w:val="00606C07"/>
    <w:rsid w:val="00606CA7"/>
    <w:rsid w:val="00606EBF"/>
    <w:rsid w:val="006071D9"/>
    <w:rsid w:val="006071FB"/>
    <w:rsid w:val="00607277"/>
    <w:rsid w:val="006074B7"/>
    <w:rsid w:val="006074EA"/>
    <w:rsid w:val="00607528"/>
    <w:rsid w:val="0060754E"/>
    <w:rsid w:val="006075F8"/>
    <w:rsid w:val="00607B99"/>
    <w:rsid w:val="006100B9"/>
    <w:rsid w:val="006102EF"/>
    <w:rsid w:val="00610763"/>
    <w:rsid w:val="00610952"/>
    <w:rsid w:val="00611014"/>
    <w:rsid w:val="00611280"/>
    <w:rsid w:val="0061170B"/>
    <w:rsid w:val="00611767"/>
    <w:rsid w:val="0061191D"/>
    <w:rsid w:val="00611AE5"/>
    <w:rsid w:val="00611E1C"/>
    <w:rsid w:val="00611EE6"/>
    <w:rsid w:val="00612010"/>
    <w:rsid w:val="00612200"/>
    <w:rsid w:val="0061253F"/>
    <w:rsid w:val="00612869"/>
    <w:rsid w:val="006129E7"/>
    <w:rsid w:val="00612DF8"/>
    <w:rsid w:val="00612FDB"/>
    <w:rsid w:val="00613214"/>
    <w:rsid w:val="00613279"/>
    <w:rsid w:val="006135E7"/>
    <w:rsid w:val="00613613"/>
    <w:rsid w:val="006136E7"/>
    <w:rsid w:val="00613A5F"/>
    <w:rsid w:val="00613BCB"/>
    <w:rsid w:val="00613D42"/>
    <w:rsid w:val="0061407C"/>
    <w:rsid w:val="00614091"/>
    <w:rsid w:val="006141A4"/>
    <w:rsid w:val="006144AB"/>
    <w:rsid w:val="00614503"/>
    <w:rsid w:val="006147B6"/>
    <w:rsid w:val="006149FA"/>
    <w:rsid w:val="00614AD6"/>
    <w:rsid w:val="00614E5E"/>
    <w:rsid w:val="00615267"/>
    <w:rsid w:val="00615528"/>
    <w:rsid w:val="00615740"/>
    <w:rsid w:val="00615820"/>
    <w:rsid w:val="00615F9A"/>
    <w:rsid w:val="006163BC"/>
    <w:rsid w:val="00616406"/>
    <w:rsid w:val="00616451"/>
    <w:rsid w:val="006166CD"/>
    <w:rsid w:val="006167A3"/>
    <w:rsid w:val="00616855"/>
    <w:rsid w:val="00616A31"/>
    <w:rsid w:val="00616D40"/>
    <w:rsid w:val="00617221"/>
    <w:rsid w:val="00617415"/>
    <w:rsid w:val="006174E3"/>
    <w:rsid w:val="0061753F"/>
    <w:rsid w:val="006175D1"/>
    <w:rsid w:val="0061784E"/>
    <w:rsid w:val="00617B7A"/>
    <w:rsid w:val="00617EEB"/>
    <w:rsid w:val="00620192"/>
    <w:rsid w:val="0062080C"/>
    <w:rsid w:val="00620895"/>
    <w:rsid w:val="00620B98"/>
    <w:rsid w:val="00620FBE"/>
    <w:rsid w:val="0062122A"/>
    <w:rsid w:val="0062146A"/>
    <w:rsid w:val="006218D0"/>
    <w:rsid w:val="006219A4"/>
    <w:rsid w:val="00621FB0"/>
    <w:rsid w:val="00622067"/>
    <w:rsid w:val="006221E9"/>
    <w:rsid w:val="0062230C"/>
    <w:rsid w:val="00622674"/>
    <w:rsid w:val="00622D7D"/>
    <w:rsid w:val="00622EBF"/>
    <w:rsid w:val="00623028"/>
    <w:rsid w:val="006232EA"/>
    <w:rsid w:val="00623362"/>
    <w:rsid w:val="006234CA"/>
    <w:rsid w:val="00623594"/>
    <w:rsid w:val="00623616"/>
    <w:rsid w:val="006236D3"/>
    <w:rsid w:val="00623A87"/>
    <w:rsid w:val="00623F52"/>
    <w:rsid w:val="00624069"/>
    <w:rsid w:val="006242CE"/>
    <w:rsid w:val="006246D2"/>
    <w:rsid w:val="006247D2"/>
    <w:rsid w:val="0062496F"/>
    <w:rsid w:val="00624B79"/>
    <w:rsid w:val="006250EA"/>
    <w:rsid w:val="0062528C"/>
    <w:rsid w:val="0062529E"/>
    <w:rsid w:val="006253A3"/>
    <w:rsid w:val="00625455"/>
    <w:rsid w:val="00625872"/>
    <w:rsid w:val="006258EA"/>
    <w:rsid w:val="00625AA1"/>
    <w:rsid w:val="00625AAF"/>
    <w:rsid w:val="0062638B"/>
    <w:rsid w:val="00626454"/>
    <w:rsid w:val="0062692E"/>
    <w:rsid w:val="006269B5"/>
    <w:rsid w:val="00626F56"/>
    <w:rsid w:val="00626FA4"/>
    <w:rsid w:val="006270D8"/>
    <w:rsid w:val="0062718B"/>
    <w:rsid w:val="006277A1"/>
    <w:rsid w:val="00627CD8"/>
    <w:rsid w:val="00627E25"/>
    <w:rsid w:val="0063003B"/>
    <w:rsid w:val="0063035B"/>
    <w:rsid w:val="00630655"/>
    <w:rsid w:val="006306DD"/>
    <w:rsid w:val="00630883"/>
    <w:rsid w:val="006309FA"/>
    <w:rsid w:val="00630BB5"/>
    <w:rsid w:val="00630BFA"/>
    <w:rsid w:val="00630D86"/>
    <w:rsid w:val="00630EFE"/>
    <w:rsid w:val="00630F78"/>
    <w:rsid w:val="00631255"/>
    <w:rsid w:val="00631DE6"/>
    <w:rsid w:val="00631DF8"/>
    <w:rsid w:val="00631F81"/>
    <w:rsid w:val="00631FE9"/>
    <w:rsid w:val="00632155"/>
    <w:rsid w:val="00632224"/>
    <w:rsid w:val="0063229C"/>
    <w:rsid w:val="00632362"/>
    <w:rsid w:val="00632462"/>
    <w:rsid w:val="006328D2"/>
    <w:rsid w:val="00632AE1"/>
    <w:rsid w:val="006330AA"/>
    <w:rsid w:val="0063331E"/>
    <w:rsid w:val="0063345E"/>
    <w:rsid w:val="006338A2"/>
    <w:rsid w:val="006339C3"/>
    <w:rsid w:val="00633AB6"/>
    <w:rsid w:val="00633D9B"/>
    <w:rsid w:val="00633E51"/>
    <w:rsid w:val="00633FD8"/>
    <w:rsid w:val="00634125"/>
    <w:rsid w:val="00634190"/>
    <w:rsid w:val="0063449B"/>
    <w:rsid w:val="00634CF9"/>
    <w:rsid w:val="00635014"/>
    <w:rsid w:val="006356E2"/>
    <w:rsid w:val="00635E82"/>
    <w:rsid w:val="00635ECA"/>
    <w:rsid w:val="00635EE9"/>
    <w:rsid w:val="00636100"/>
    <w:rsid w:val="00636407"/>
    <w:rsid w:val="00636D06"/>
    <w:rsid w:val="00636EDA"/>
    <w:rsid w:val="00637299"/>
    <w:rsid w:val="00637410"/>
    <w:rsid w:val="006374F1"/>
    <w:rsid w:val="00637522"/>
    <w:rsid w:val="00637594"/>
    <w:rsid w:val="00637ACB"/>
    <w:rsid w:val="00637D1D"/>
    <w:rsid w:val="006406D8"/>
    <w:rsid w:val="00640746"/>
    <w:rsid w:val="00640C2B"/>
    <w:rsid w:val="00640EDF"/>
    <w:rsid w:val="0064104B"/>
    <w:rsid w:val="00641135"/>
    <w:rsid w:val="00641193"/>
    <w:rsid w:val="00641260"/>
    <w:rsid w:val="006412AF"/>
    <w:rsid w:val="00641667"/>
    <w:rsid w:val="006417E3"/>
    <w:rsid w:val="00641AA3"/>
    <w:rsid w:val="00641B0B"/>
    <w:rsid w:val="00641ED4"/>
    <w:rsid w:val="00642039"/>
    <w:rsid w:val="006422A0"/>
    <w:rsid w:val="00642414"/>
    <w:rsid w:val="006424F6"/>
    <w:rsid w:val="0064256A"/>
    <w:rsid w:val="00642610"/>
    <w:rsid w:val="00642878"/>
    <w:rsid w:val="006429E2"/>
    <w:rsid w:val="00642B9A"/>
    <w:rsid w:val="00642D2C"/>
    <w:rsid w:val="00642FC8"/>
    <w:rsid w:val="00643056"/>
    <w:rsid w:val="00643234"/>
    <w:rsid w:val="00643FE2"/>
    <w:rsid w:val="0064426E"/>
    <w:rsid w:val="006443D5"/>
    <w:rsid w:val="0064482D"/>
    <w:rsid w:val="00644A11"/>
    <w:rsid w:val="00644A79"/>
    <w:rsid w:val="00644A7E"/>
    <w:rsid w:val="00644D69"/>
    <w:rsid w:val="00645052"/>
    <w:rsid w:val="006450DF"/>
    <w:rsid w:val="00645281"/>
    <w:rsid w:val="0064536B"/>
    <w:rsid w:val="006455F5"/>
    <w:rsid w:val="00645929"/>
    <w:rsid w:val="00645A05"/>
    <w:rsid w:val="00645ACA"/>
    <w:rsid w:val="00645C85"/>
    <w:rsid w:val="00646047"/>
    <w:rsid w:val="00646092"/>
    <w:rsid w:val="00646275"/>
    <w:rsid w:val="00646346"/>
    <w:rsid w:val="00646945"/>
    <w:rsid w:val="00646D20"/>
    <w:rsid w:val="00646DCE"/>
    <w:rsid w:val="00646FE9"/>
    <w:rsid w:val="006472F7"/>
    <w:rsid w:val="006474EF"/>
    <w:rsid w:val="00647783"/>
    <w:rsid w:val="0064781D"/>
    <w:rsid w:val="00647E52"/>
    <w:rsid w:val="00647E6D"/>
    <w:rsid w:val="0065044D"/>
    <w:rsid w:val="006506A1"/>
    <w:rsid w:val="00650B72"/>
    <w:rsid w:val="00650D6C"/>
    <w:rsid w:val="00650DED"/>
    <w:rsid w:val="00650E2B"/>
    <w:rsid w:val="00650F5E"/>
    <w:rsid w:val="00651009"/>
    <w:rsid w:val="00651010"/>
    <w:rsid w:val="006510D3"/>
    <w:rsid w:val="00651489"/>
    <w:rsid w:val="00651508"/>
    <w:rsid w:val="0065156A"/>
    <w:rsid w:val="00651584"/>
    <w:rsid w:val="00651839"/>
    <w:rsid w:val="006518B2"/>
    <w:rsid w:val="0065197D"/>
    <w:rsid w:val="00651B4A"/>
    <w:rsid w:val="00651CC7"/>
    <w:rsid w:val="00652118"/>
    <w:rsid w:val="006524E4"/>
    <w:rsid w:val="00652686"/>
    <w:rsid w:val="00652B55"/>
    <w:rsid w:val="00652B92"/>
    <w:rsid w:val="00653076"/>
    <w:rsid w:val="00653251"/>
    <w:rsid w:val="00653AF8"/>
    <w:rsid w:val="00653F44"/>
    <w:rsid w:val="00654236"/>
    <w:rsid w:val="00654272"/>
    <w:rsid w:val="006544BF"/>
    <w:rsid w:val="00654700"/>
    <w:rsid w:val="006548AA"/>
    <w:rsid w:val="00654977"/>
    <w:rsid w:val="00654BDB"/>
    <w:rsid w:val="00654C0B"/>
    <w:rsid w:val="00654CBF"/>
    <w:rsid w:val="00655121"/>
    <w:rsid w:val="00655952"/>
    <w:rsid w:val="006559BB"/>
    <w:rsid w:val="00655B9F"/>
    <w:rsid w:val="00656260"/>
    <w:rsid w:val="006566BE"/>
    <w:rsid w:val="006568B2"/>
    <w:rsid w:val="00656B1E"/>
    <w:rsid w:val="00656CAB"/>
    <w:rsid w:val="00656E2D"/>
    <w:rsid w:val="00656E86"/>
    <w:rsid w:val="00656F48"/>
    <w:rsid w:val="00656FD2"/>
    <w:rsid w:val="006571F1"/>
    <w:rsid w:val="0065741C"/>
    <w:rsid w:val="0065741F"/>
    <w:rsid w:val="006574B2"/>
    <w:rsid w:val="006576F0"/>
    <w:rsid w:val="006577A2"/>
    <w:rsid w:val="00657D45"/>
    <w:rsid w:val="00657EF2"/>
    <w:rsid w:val="00660A4F"/>
    <w:rsid w:val="00660D73"/>
    <w:rsid w:val="00660D84"/>
    <w:rsid w:val="00660FBC"/>
    <w:rsid w:val="00660FED"/>
    <w:rsid w:val="00661066"/>
    <w:rsid w:val="00661176"/>
    <w:rsid w:val="006612D3"/>
    <w:rsid w:val="0066134E"/>
    <w:rsid w:val="0066151B"/>
    <w:rsid w:val="00661520"/>
    <w:rsid w:val="0066186B"/>
    <w:rsid w:val="00661CD2"/>
    <w:rsid w:val="00661D56"/>
    <w:rsid w:val="00662078"/>
    <w:rsid w:val="006621D3"/>
    <w:rsid w:val="006625DE"/>
    <w:rsid w:val="00662612"/>
    <w:rsid w:val="0066268E"/>
    <w:rsid w:val="00662CA2"/>
    <w:rsid w:val="00662D68"/>
    <w:rsid w:val="00662E7A"/>
    <w:rsid w:val="00663218"/>
    <w:rsid w:val="006632FF"/>
    <w:rsid w:val="00663503"/>
    <w:rsid w:val="006639C3"/>
    <w:rsid w:val="0066409C"/>
    <w:rsid w:val="0066423C"/>
    <w:rsid w:val="0066470F"/>
    <w:rsid w:val="006647BE"/>
    <w:rsid w:val="00665147"/>
    <w:rsid w:val="0066528E"/>
    <w:rsid w:val="006655BB"/>
    <w:rsid w:val="0066571E"/>
    <w:rsid w:val="00665908"/>
    <w:rsid w:val="0066598A"/>
    <w:rsid w:val="00665B6F"/>
    <w:rsid w:val="00665FEF"/>
    <w:rsid w:val="00666128"/>
    <w:rsid w:val="00666144"/>
    <w:rsid w:val="006661C4"/>
    <w:rsid w:val="00666829"/>
    <w:rsid w:val="006668C9"/>
    <w:rsid w:val="00666996"/>
    <w:rsid w:val="00666C12"/>
    <w:rsid w:val="00666C9B"/>
    <w:rsid w:val="00667632"/>
    <w:rsid w:val="0066798E"/>
    <w:rsid w:val="00667B39"/>
    <w:rsid w:val="00667C57"/>
    <w:rsid w:val="006700EE"/>
    <w:rsid w:val="00670159"/>
    <w:rsid w:val="006706F0"/>
    <w:rsid w:val="00670732"/>
    <w:rsid w:val="006707CB"/>
    <w:rsid w:val="00670946"/>
    <w:rsid w:val="00670A6C"/>
    <w:rsid w:val="00670BD2"/>
    <w:rsid w:val="00670E33"/>
    <w:rsid w:val="006711B8"/>
    <w:rsid w:val="00671251"/>
    <w:rsid w:val="006714E6"/>
    <w:rsid w:val="00671945"/>
    <w:rsid w:val="00671A53"/>
    <w:rsid w:val="00671B4A"/>
    <w:rsid w:val="0067208C"/>
    <w:rsid w:val="0067277D"/>
    <w:rsid w:val="006729D6"/>
    <w:rsid w:val="00672BC1"/>
    <w:rsid w:val="00672C1A"/>
    <w:rsid w:val="006733DE"/>
    <w:rsid w:val="006736F1"/>
    <w:rsid w:val="006738F7"/>
    <w:rsid w:val="00673932"/>
    <w:rsid w:val="00673C60"/>
    <w:rsid w:val="00673D47"/>
    <w:rsid w:val="00673E0D"/>
    <w:rsid w:val="0067410E"/>
    <w:rsid w:val="0067413A"/>
    <w:rsid w:val="006746D3"/>
    <w:rsid w:val="00674A1F"/>
    <w:rsid w:val="00674C56"/>
    <w:rsid w:val="00674C65"/>
    <w:rsid w:val="006753B2"/>
    <w:rsid w:val="00675C48"/>
    <w:rsid w:val="00675D15"/>
    <w:rsid w:val="00675E0B"/>
    <w:rsid w:val="00675FCF"/>
    <w:rsid w:val="00676022"/>
    <w:rsid w:val="00676453"/>
    <w:rsid w:val="006765C0"/>
    <w:rsid w:val="0067661F"/>
    <w:rsid w:val="006767C3"/>
    <w:rsid w:val="00676D55"/>
    <w:rsid w:val="006771BD"/>
    <w:rsid w:val="00677528"/>
    <w:rsid w:val="006779B5"/>
    <w:rsid w:val="00677B38"/>
    <w:rsid w:val="00677C83"/>
    <w:rsid w:val="00680345"/>
    <w:rsid w:val="0068040F"/>
    <w:rsid w:val="00680593"/>
    <w:rsid w:val="006807A0"/>
    <w:rsid w:val="00680A02"/>
    <w:rsid w:val="00680BD0"/>
    <w:rsid w:val="00680C28"/>
    <w:rsid w:val="0068132B"/>
    <w:rsid w:val="0068133A"/>
    <w:rsid w:val="006814F1"/>
    <w:rsid w:val="00681638"/>
    <w:rsid w:val="00681CE5"/>
    <w:rsid w:val="00681ED0"/>
    <w:rsid w:val="006824C7"/>
    <w:rsid w:val="006824DB"/>
    <w:rsid w:val="006824FB"/>
    <w:rsid w:val="006829A1"/>
    <w:rsid w:val="00682A93"/>
    <w:rsid w:val="00682C11"/>
    <w:rsid w:val="00683063"/>
    <w:rsid w:val="006830B4"/>
    <w:rsid w:val="006837E5"/>
    <w:rsid w:val="006837EE"/>
    <w:rsid w:val="00684365"/>
    <w:rsid w:val="0068444C"/>
    <w:rsid w:val="00684462"/>
    <w:rsid w:val="006848AC"/>
    <w:rsid w:val="006849E0"/>
    <w:rsid w:val="00684A6A"/>
    <w:rsid w:val="00684B6E"/>
    <w:rsid w:val="00684BC5"/>
    <w:rsid w:val="00684C77"/>
    <w:rsid w:val="006850A8"/>
    <w:rsid w:val="006850FA"/>
    <w:rsid w:val="00685194"/>
    <w:rsid w:val="0068524E"/>
    <w:rsid w:val="006853C6"/>
    <w:rsid w:val="006854F2"/>
    <w:rsid w:val="0068562F"/>
    <w:rsid w:val="00685670"/>
    <w:rsid w:val="006856EE"/>
    <w:rsid w:val="0068575A"/>
    <w:rsid w:val="00685A75"/>
    <w:rsid w:val="00685B11"/>
    <w:rsid w:val="00685DA1"/>
    <w:rsid w:val="00685F57"/>
    <w:rsid w:val="0068658F"/>
    <w:rsid w:val="0068669C"/>
    <w:rsid w:val="006866B4"/>
    <w:rsid w:val="006869F3"/>
    <w:rsid w:val="00687612"/>
    <w:rsid w:val="00687B24"/>
    <w:rsid w:val="00687E56"/>
    <w:rsid w:val="00687ECE"/>
    <w:rsid w:val="00687F10"/>
    <w:rsid w:val="00687FFC"/>
    <w:rsid w:val="0069034E"/>
    <w:rsid w:val="006905B8"/>
    <w:rsid w:val="0069064F"/>
    <w:rsid w:val="006907DD"/>
    <w:rsid w:val="006908E0"/>
    <w:rsid w:val="0069092D"/>
    <w:rsid w:val="00690A9B"/>
    <w:rsid w:val="00690E2C"/>
    <w:rsid w:val="00691123"/>
    <w:rsid w:val="00691787"/>
    <w:rsid w:val="00691A11"/>
    <w:rsid w:val="00691E15"/>
    <w:rsid w:val="00691FD9"/>
    <w:rsid w:val="00692155"/>
    <w:rsid w:val="0069215C"/>
    <w:rsid w:val="0069268B"/>
    <w:rsid w:val="0069271F"/>
    <w:rsid w:val="00692833"/>
    <w:rsid w:val="00692E1D"/>
    <w:rsid w:val="00692EAE"/>
    <w:rsid w:val="00692F75"/>
    <w:rsid w:val="00692F79"/>
    <w:rsid w:val="006930AB"/>
    <w:rsid w:val="006934C9"/>
    <w:rsid w:val="006938ED"/>
    <w:rsid w:val="0069398C"/>
    <w:rsid w:val="00693C4D"/>
    <w:rsid w:val="00693C69"/>
    <w:rsid w:val="00693E33"/>
    <w:rsid w:val="00693F5D"/>
    <w:rsid w:val="006943D7"/>
    <w:rsid w:val="006945E9"/>
    <w:rsid w:val="0069475B"/>
    <w:rsid w:val="0069482D"/>
    <w:rsid w:val="006949F6"/>
    <w:rsid w:val="00694C1D"/>
    <w:rsid w:val="00694E82"/>
    <w:rsid w:val="0069510C"/>
    <w:rsid w:val="00695295"/>
    <w:rsid w:val="006954D0"/>
    <w:rsid w:val="00695550"/>
    <w:rsid w:val="006955C0"/>
    <w:rsid w:val="00695619"/>
    <w:rsid w:val="006957C1"/>
    <w:rsid w:val="00695813"/>
    <w:rsid w:val="00695849"/>
    <w:rsid w:val="00696393"/>
    <w:rsid w:val="0069696F"/>
    <w:rsid w:val="006969D0"/>
    <w:rsid w:val="00696A22"/>
    <w:rsid w:val="00696E61"/>
    <w:rsid w:val="00696E85"/>
    <w:rsid w:val="00696F42"/>
    <w:rsid w:val="00696F9C"/>
    <w:rsid w:val="006973C5"/>
    <w:rsid w:val="0069743F"/>
    <w:rsid w:val="0069756E"/>
    <w:rsid w:val="006976E3"/>
    <w:rsid w:val="00697AA9"/>
    <w:rsid w:val="00697ACC"/>
    <w:rsid w:val="00697C92"/>
    <w:rsid w:val="00697EC9"/>
    <w:rsid w:val="00697F9F"/>
    <w:rsid w:val="006A0111"/>
    <w:rsid w:val="006A04AC"/>
    <w:rsid w:val="006A0C6E"/>
    <w:rsid w:val="006A0CEE"/>
    <w:rsid w:val="006A122C"/>
    <w:rsid w:val="006A145B"/>
    <w:rsid w:val="006A1560"/>
    <w:rsid w:val="006A16A6"/>
    <w:rsid w:val="006A18A7"/>
    <w:rsid w:val="006A19CA"/>
    <w:rsid w:val="006A1E07"/>
    <w:rsid w:val="006A1E50"/>
    <w:rsid w:val="006A1FD7"/>
    <w:rsid w:val="006A234C"/>
    <w:rsid w:val="006A26F0"/>
    <w:rsid w:val="006A2CC3"/>
    <w:rsid w:val="006A2EDA"/>
    <w:rsid w:val="006A3B00"/>
    <w:rsid w:val="006A3E5D"/>
    <w:rsid w:val="006A417E"/>
    <w:rsid w:val="006A41FC"/>
    <w:rsid w:val="006A45C1"/>
    <w:rsid w:val="006A4715"/>
    <w:rsid w:val="006A4992"/>
    <w:rsid w:val="006A4A0C"/>
    <w:rsid w:val="006A4B89"/>
    <w:rsid w:val="006A4BCA"/>
    <w:rsid w:val="006A4DAE"/>
    <w:rsid w:val="006A4F0C"/>
    <w:rsid w:val="006A508E"/>
    <w:rsid w:val="006A54F4"/>
    <w:rsid w:val="006A587C"/>
    <w:rsid w:val="006A59AF"/>
    <w:rsid w:val="006A5ACB"/>
    <w:rsid w:val="006A5CD5"/>
    <w:rsid w:val="006A5EA1"/>
    <w:rsid w:val="006A6301"/>
    <w:rsid w:val="006A6430"/>
    <w:rsid w:val="006A687A"/>
    <w:rsid w:val="006A698F"/>
    <w:rsid w:val="006A6BA0"/>
    <w:rsid w:val="006A6BCD"/>
    <w:rsid w:val="006A6CB5"/>
    <w:rsid w:val="006A6F91"/>
    <w:rsid w:val="006A70DF"/>
    <w:rsid w:val="006A7247"/>
    <w:rsid w:val="006A743E"/>
    <w:rsid w:val="006A7645"/>
    <w:rsid w:val="006A795F"/>
    <w:rsid w:val="006A7A41"/>
    <w:rsid w:val="006A7C2A"/>
    <w:rsid w:val="006B01EB"/>
    <w:rsid w:val="006B044C"/>
    <w:rsid w:val="006B05D9"/>
    <w:rsid w:val="006B0652"/>
    <w:rsid w:val="006B0A65"/>
    <w:rsid w:val="006B0B41"/>
    <w:rsid w:val="006B1375"/>
    <w:rsid w:val="006B19C6"/>
    <w:rsid w:val="006B215D"/>
    <w:rsid w:val="006B21BF"/>
    <w:rsid w:val="006B2237"/>
    <w:rsid w:val="006B229D"/>
    <w:rsid w:val="006B2461"/>
    <w:rsid w:val="006B25C0"/>
    <w:rsid w:val="006B2969"/>
    <w:rsid w:val="006B2995"/>
    <w:rsid w:val="006B2B5F"/>
    <w:rsid w:val="006B2CED"/>
    <w:rsid w:val="006B2E1E"/>
    <w:rsid w:val="006B2E2A"/>
    <w:rsid w:val="006B30DB"/>
    <w:rsid w:val="006B31AE"/>
    <w:rsid w:val="006B3261"/>
    <w:rsid w:val="006B33F9"/>
    <w:rsid w:val="006B348D"/>
    <w:rsid w:val="006B35AD"/>
    <w:rsid w:val="006B35C5"/>
    <w:rsid w:val="006B35F5"/>
    <w:rsid w:val="006B3611"/>
    <w:rsid w:val="006B39D9"/>
    <w:rsid w:val="006B3B09"/>
    <w:rsid w:val="006B3C75"/>
    <w:rsid w:val="006B3D73"/>
    <w:rsid w:val="006B41AF"/>
    <w:rsid w:val="006B44A2"/>
    <w:rsid w:val="006B44FB"/>
    <w:rsid w:val="006B4921"/>
    <w:rsid w:val="006B4EFD"/>
    <w:rsid w:val="006B54A5"/>
    <w:rsid w:val="006B5B42"/>
    <w:rsid w:val="006B642F"/>
    <w:rsid w:val="006B653D"/>
    <w:rsid w:val="006B6A03"/>
    <w:rsid w:val="006B6AF5"/>
    <w:rsid w:val="006B6C21"/>
    <w:rsid w:val="006B6C51"/>
    <w:rsid w:val="006B6C56"/>
    <w:rsid w:val="006B7914"/>
    <w:rsid w:val="006B79B4"/>
    <w:rsid w:val="006B7A11"/>
    <w:rsid w:val="006B7D21"/>
    <w:rsid w:val="006B7DA0"/>
    <w:rsid w:val="006B7E34"/>
    <w:rsid w:val="006C00AA"/>
    <w:rsid w:val="006C01BF"/>
    <w:rsid w:val="006C035E"/>
    <w:rsid w:val="006C0377"/>
    <w:rsid w:val="006C092D"/>
    <w:rsid w:val="006C093C"/>
    <w:rsid w:val="006C0BD6"/>
    <w:rsid w:val="006C0CE4"/>
    <w:rsid w:val="006C0E34"/>
    <w:rsid w:val="006C1014"/>
    <w:rsid w:val="006C10AD"/>
    <w:rsid w:val="006C176F"/>
    <w:rsid w:val="006C1919"/>
    <w:rsid w:val="006C199D"/>
    <w:rsid w:val="006C19AA"/>
    <w:rsid w:val="006C19ED"/>
    <w:rsid w:val="006C1A84"/>
    <w:rsid w:val="006C1B27"/>
    <w:rsid w:val="006C1BEE"/>
    <w:rsid w:val="006C1C58"/>
    <w:rsid w:val="006C1D24"/>
    <w:rsid w:val="006C1D8F"/>
    <w:rsid w:val="006C1DB3"/>
    <w:rsid w:val="006C1F19"/>
    <w:rsid w:val="006C1F8B"/>
    <w:rsid w:val="006C2117"/>
    <w:rsid w:val="006C274A"/>
    <w:rsid w:val="006C29A9"/>
    <w:rsid w:val="006C2A1F"/>
    <w:rsid w:val="006C2A9A"/>
    <w:rsid w:val="006C2B0A"/>
    <w:rsid w:val="006C2D03"/>
    <w:rsid w:val="006C30D0"/>
    <w:rsid w:val="006C31F7"/>
    <w:rsid w:val="006C369F"/>
    <w:rsid w:val="006C371C"/>
    <w:rsid w:val="006C38A9"/>
    <w:rsid w:val="006C39FA"/>
    <w:rsid w:val="006C3F20"/>
    <w:rsid w:val="006C40BF"/>
    <w:rsid w:val="006C40D3"/>
    <w:rsid w:val="006C4478"/>
    <w:rsid w:val="006C5091"/>
    <w:rsid w:val="006C5186"/>
    <w:rsid w:val="006C5483"/>
    <w:rsid w:val="006C56D9"/>
    <w:rsid w:val="006C5855"/>
    <w:rsid w:val="006C5A1D"/>
    <w:rsid w:val="006C5A9A"/>
    <w:rsid w:val="006C5C69"/>
    <w:rsid w:val="006C5DA6"/>
    <w:rsid w:val="006C6072"/>
    <w:rsid w:val="006C6776"/>
    <w:rsid w:val="006C677A"/>
    <w:rsid w:val="006C6795"/>
    <w:rsid w:val="006C69EE"/>
    <w:rsid w:val="006C6A3D"/>
    <w:rsid w:val="006C6A3E"/>
    <w:rsid w:val="006C6C09"/>
    <w:rsid w:val="006C6CFE"/>
    <w:rsid w:val="006C6FAF"/>
    <w:rsid w:val="006C6FF1"/>
    <w:rsid w:val="006C7301"/>
    <w:rsid w:val="006C7376"/>
    <w:rsid w:val="006C738C"/>
    <w:rsid w:val="006C7D75"/>
    <w:rsid w:val="006C7F96"/>
    <w:rsid w:val="006D0047"/>
    <w:rsid w:val="006D008F"/>
    <w:rsid w:val="006D027E"/>
    <w:rsid w:val="006D057B"/>
    <w:rsid w:val="006D05C0"/>
    <w:rsid w:val="006D091D"/>
    <w:rsid w:val="006D0A78"/>
    <w:rsid w:val="006D0DB4"/>
    <w:rsid w:val="006D0DD8"/>
    <w:rsid w:val="006D0DF4"/>
    <w:rsid w:val="006D0E35"/>
    <w:rsid w:val="006D10C4"/>
    <w:rsid w:val="006D14D2"/>
    <w:rsid w:val="006D212D"/>
    <w:rsid w:val="006D23FC"/>
    <w:rsid w:val="006D25A1"/>
    <w:rsid w:val="006D2B00"/>
    <w:rsid w:val="006D2B09"/>
    <w:rsid w:val="006D2CC6"/>
    <w:rsid w:val="006D3102"/>
    <w:rsid w:val="006D3263"/>
    <w:rsid w:val="006D3B74"/>
    <w:rsid w:val="006D3C0B"/>
    <w:rsid w:val="006D3C39"/>
    <w:rsid w:val="006D415F"/>
    <w:rsid w:val="006D42B4"/>
    <w:rsid w:val="006D45E6"/>
    <w:rsid w:val="006D467A"/>
    <w:rsid w:val="006D50A7"/>
    <w:rsid w:val="006D50E4"/>
    <w:rsid w:val="006D51AA"/>
    <w:rsid w:val="006D54F3"/>
    <w:rsid w:val="006D54F8"/>
    <w:rsid w:val="006D596E"/>
    <w:rsid w:val="006D5B36"/>
    <w:rsid w:val="006D5CA9"/>
    <w:rsid w:val="006D6269"/>
    <w:rsid w:val="006D65D5"/>
    <w:rsid w:val="006D67B8"/>
    <w:rsid w:val="006D67E1"/>
    <w:rsid w:val="006D69DA"/>
    <w:rsid w:val="006D6B13"/>
    <w:rsid w:val="006D701E"/>
    <w:rsid w:val="006D721B"/>
    <w:rsid w:val="006D7616"/>
    <w:rsid w:val="006D76FD"/>
    <w:rsid w:val="006D7778"/>
    <w:rsid w:val="006D777C"/>
    <w:rsid w:val="006D7913"/>
    <w:rsid w:val="006D7A3E"/>
    <w:rsid w:val="006D7DC6"/>
    <w:rsid w:val="006E048B"/>
    <w:rsid w:val="006E06EB"/>
    <w:rsid w:val="006E0F3F"/>
    <w:rsid w:val="006E129E"/>
    <w:rsid w:val="006E13D7"/>
    <w:rsid w:val="006E16CA"/>
    <w:rsid w:val="006E1714"/>
    <w:rsid w:val="006E1C3E"/>
    <w:rsid w:val="006E1D65"/>
    <w:rsid w:val="006E1F90"/>
    <w:rsid w:val="006E21C5"/>
    <w:rsid w:val="006E2428"/>
    <w:rsid w:val="006E25DF"/>
    <w:rsid w:val="006E278C"/>
    <w:rsid w:val="006E2A2A"/>
    <w:rsid w:val="006E2C40"/>
    <w:rsid w:val="006E2D5C"/>
    <w:rsid w:val="006E3857"/>
    <w:rsid w:val="006E38F7"/>
    <w:rsid w:val="006E3980"/>
    <w:rsid w:val="006E3AF8"/>
    <w:rsid w:val="006E3D00"/>
    <w:rsid w:val="006E41D4"/>
    <w:rsid w:val="006E4278"/>
    <w:rsid w:val="006E4644"/>
    <w:rsid w:val="006E494D"/>
    <w:rsid w:val="006E50B4"/>
    <w:rsid w:val="006E526D"/>
    <w:rsid w:val="006E53F7"/>
    <w:rsid w:val="006E5435"/>
    <w:rsid w:val="006E585E"/>
    <w:rsid w:val="006E591B"/>
    <w:rsid w:val="006E5BC2"/>
    <w:rsid w:val="006E5C29"/>
    <w:rsid w:val="006E5CD7"/>
    <w:rsid w:val="006E5DF5"/>
    <w:rsid w:val="006E5EBA"/>
    <w:rsid w:val="006E63FF"/>
    <w:rsid w:val="006E655E"/>
    <w:rsid w:val="006E6B3F"/>
    <w:rsid w:val="006E6B5D"/>
    <w:rsid w:val="006E6BB1"/>
    <w:rsid w:val="006E6F64"/>
    <w:rsid w:val="006E7613"/>
    <w:rsid w:val="006E7694"/>
    <w:rsid w:val="006E79F6"/>
    <w:rsid w:val="006E7AB0"/>
    <w:rsid w:val="006F02FD"/>
    <w:rsid w:val="006F04E2"/>
    <w:rsid w:val="006F0582"/>
    <w:rsid w:val="006F07FE"/>
    <w:rsid w:val="006F08B0"/>
    <w:rsid w:val="006F0AD1"/>
    <w:rsid w:val="006F12E4"/>
    <w:rsid w:val="006F15F6"/>
    <w:rsid w:val="006F18C5"/>
    <w:rsid w:val="006F1938"/>
    <w:rsid w:val="006F1A64"/>
    <w:rsid w:val="006F1E3D"/>
    <w:rsid w:val="006F2368"/>
    <w:rsid w:val="006F29B6"/>
    <w:rsid w:val="006F2E32"/>
    <w:rsid w:val="006F3096"/>
    <w:rsid w:val="006F314F"/>
    <w:rsid w:val="006F34B0"/>
    <w:rsid w:val="006F371C"/>
    <w:rsid w:val="006F37E7"/>
    <w:rsid w:val="006F3AC6"/>
    <w:rsid w:val="006F3D46"/>
    <w:rsid w:val="006F3F27"/>
    <w:rsid w:val="006F412D"/>
    <w:rsid w:val="006F455D"/>
    <w:rsid w:val="006F45E8"/>
    <w:rsid w:val="006F4792"/>
    <w:rsid w:val="006F4797"/>
    <w:rsid w:val="006F47E2"/>
    <w:rsid w:val="006F48EB"/>
    <w:rsid w:val="006F4C7F"/>
    <w:rsid w:val="006F4E3F"/>
    <w:rsid w:val="006F4F51"/>
    <w:rsid w:val="006F5151"/>
    <w:rsid w:val="006F5F83"/>
    <w:rsid w:val="006F5FC3"/>
    <w:rsid w:val="006F6129"/>
    <w:rsid w:val="006F65C1"/>
    <w:rsid w:val="006F65C6"/>
    <w:rsid w:val="006F6839"/>
    <w:rsid w:val="006F68A4"/>
    <w:rsid w:val="006F6928"/>
    <w:rsid w:val="006F6E6D"/>
    <w:rsid w:val="006F70BE"/>
    <w:rsid w:val="006F7207"/>
    <w:rsid w:val="006F7542"/>
    <w:rsid w:val="006F7994"/>
    <w:rsid w:val="006F7A27"/>
    <w:rsid w:val="006F7B2A"/>
    <w:rsid w:val="006F7BEA"/>
    <w:rsid w:val="006F7C70"/>
    <w:rsid w:val="006F7D94"/>
    <w:rsid w:val="00700279"/>
    <w:rsid w:val="007005F1"/>
    <w:rsid w:val="00700CCE"/>
    <w:rsid w:val="00700DB3"/>
    <w:rsid w:val="00700E5B"/>
    <w:rsid w:val="00700F13"/>
    <w:rsid w:val="007010BA"/>
    <w:rsid w:val="007013CB"/>
    <w:rsid w:val="007016DC"/>
    <w:rsid w:val="00701A86"/>
    <w:rsid w:val="00701ABE"/>
    <w:rsid w:val="00702266"/>
    <w:rsid w:val="007022DF"/>
    <w:rsid w:val="00702387"/>
    <w:rsid w:val="0070260B"/>
    <w:rsid w:val="007026AE"/>
    <w:rsid w:val="00702714"/>
    <w:rsid w:val="00702917"/>
    <w:rsid w:val="00702D0F"/>
    <w:rsid w:val="007037B0"/>
    <w:rsid w:val="0070386B"/>
    <w:rsid w:val="0070395E"/>
    <w:rsid w:val="00703CFB"/>
    <w:rsid w:val="00703F84"/>
    <w:rsid w:val="00703FD1"/>
    <w:rsid w:val="0070451F"/>
    <w:rsid w:val="00704C7D"/>
    <w:rsid w:val="00704DC0"/>
    <w:rsid w:val="00705180"/>
    <w:rsid w:val="007051F8"/>
    <w:rsid w:val="007054C8"/>
    <w:rsid w:val="00705540"/>
    <w:rsid w:val="0070571A"/>
    <w:rsid w:val="007057EB"/>
    <w:rsid w:val="0070585D"/>
    <w:rsid w:val="007058FD"/>
    <w:rsid w:val="00705CA5"/>
    <w:rsid w:val="00706729"/>
    <w:rsid w:val="00706835"/>
    <w:rsid w:val="00706AFF"/>
    <w:rsid w:val="00706D36"/>
    <w:rsid w:val="00706D3E"/>
    <w:rsid w:val="00706FED"/>
    <w:rsid w:val="0070718A"/>
    <w:rsid w:val="0070719E"/>
    <w:rsid w:val="007077AC"/>
    <w:rsid w:val="00707CB9"/>
    <w:rsid w:val="00707CCE"/>
    <w:rsid w:val="007105C6"/>
    <w:rsid w:val="0071063D"/>
    <w:rsid w:val="0071072D"/>
    <w:rsid w:val="007111E2"/>
    <w:rsid w:val="0071143F"/>
    <w:rsid w:val="00711586"/>
    <w:rsid w:val="00711852"/>
    <w:rsid w:val="00711D2E"/>
    <w:rsid w:val="00711E05"/>
    <w:rsid w:val="00711EA5"/>
    <w:rsid w:val="00712073"/>
    <w:rsid w:val="00712206"/>
    <w:rsid w:val="007125A5"/>
    <w:rsid w:val="007128F8"/>
    <w:rsid w:val="00712936"/>
    <w:rsid w:val="00712B44"/>
    <w:rsid w:val="0071304C"/>
    <w:rsid w:val="007130F9"/>
    <w:rsid w:val="0071341A"/>
    <w:rsid w:val="00713579"/>
    <w:rsid w:val="007138CC"/>
    <w:rsid w:val="007138F7"/>
    <w:rsid w:val="007139B6"/>
    <w:rsid w:val="00713A4A"/>
    <w:rsid w:val="00713C41"/>
    <w:rsid w:val="0071409D"/>
    <w:rsid w:val="00714114"/>
    <w:rsid w:val="00714129"/>
    <w:rsid w:val="007148BB"/>
    <w:rsid w:val="00714940"/>
    <w:rsid w:val="00714BD3"/>
    <w:rsid w:val="00714C11"/>
    <w:rsid w:val="00714CD8"/>
    <w:rsid w:val="0071504A"/>
    <w:rsid w:val="00715772"/>
    <w:rsid w:val="00715C35"/>
    <w:rsid w:val="00715C82"/>
    <w:rsid w:val="00715FB1"/>
    <w:rsid w:val="00716164"/>
    <w:rsid w:val="00716352"/>
    <w:rsid w:val="00716550"/>
    <w:rsid w:val="00716759"/>
    <w:rsid w:val="0071697D"/>
    <w:rsid w:val="00716B8A"/>
    <w:rsid w:val="00716EEB"/>
    <w:rsid w:val="00716F61"/>
    <w:rsid w:val="007170F4"/>
    <w:rsid w:val="00717850"/>
    <w:rsid w:val="007179FC"/>
    <w:rsid w:val="0072059C"/>
    <w:rsid w:val="007207B2"/>
    <w:rsid w:val="007208C4"/>
    <w:rsid w:val="00720E4F"/>
    <w:rsid w:val="00720F69"/>
    <w:rsid w:val="00721083"/>
    <w:rsid w:val="007212B0"/>
    <w:rsid w:val="007219E0"/>
    <w:rsid w:val="00721D03"/>
    <w:rsid w:val="00722014"/>
    <w:rsid w:val="007225DB"/>
    <w:rsid w:val="0072285C"/>
    <w:rsid w:val="00722887"/>
    <w:rsid w:val="007228E8"/>
    <w:rsid w:val="00722B78"/>
    <w:rsid w:val="007230B9"/>
    <w:rsid w:val="007237E7"/>
    <w:rsid w:val="00723FC7"/>
    <w:rsid w:val="0072402D"/>
    <w:rsid w:val="007240CA"/>
    <w:rsid w:val="0072438A"/>
    <w:rsid w:val="00724397"/>
    <w:rsid w:val="00724659"/>
    <w:rsid w:val="0072476C"/>
    <w:rsid w:val="00724810"/>
    <w:rsid w:val="00724A1B"/>
    <w:rsid w:val="00724BD4"/>
    <w:rsid w:val="007259B0"/>
    <w:rsid w:val="00725C4A"/>
    <w:rsid w:val="00725EEB"/>
    <w:rsid w:val="007261DF"/>
    <w:rsid w:val="00726462"/>
    <w:rsid w:val="0072666D"/>
    <w:rsid w:val="007267AC"/>
    <w:rsid w:val="00726CE8"/>
    <w:rsid w:val="0072708E"/>
    <w:rsid w:val="00727148"/>
    <w:rsid w:val="007276F8"/>
    <w:rsid w:val="0072774B"/>
    <w:rsid w:val="00727751"/>
    <w:rsid w:val="0072794C"/>
    <w:rsid w:val="00727AC3"/>
    <w:rsid w:val="00727C39"/>
    <w:rsid w:val="00727C70"/>
    <w:rsid w:val="00727D04"/>
    <w:rsid w:val="00727D6D"/>
    <w:rsid w:val="00727E3E"/>
    <w:rsid w:val="007301F5"/>
    <w:rsid w:val="00730560"/>
    <w:rsid w:val="00730618"/>
    <w:rsid w:val="00730684"/>
    <w:rsid w:val="007308D7"/>
    <w:rsid w:val="007308E0"/>
    <w:rsid w:val="00730A35"/>
    <w:rsid w:val="00730C63"/>
    <w:rsid w:val="00730E8D"/>
    <w:rsid w:val="00730EFA"/>
    <w:rsid w:val="0073185A"/>
    <w:rsid w:val="00731B2C"/>
    <w:rsid w:val="00731EDC"/>
    <w:rsid w:val="00732112"/>
    <w:rsid w:val="007322A8"/>
    <w:rsid w:val="00732523"/>
    <w:rsid w:val="00732B9D"/>
    <w:rsid w:val="00732C80"/>
    <w:rsid w:val="00732DC6"/>
    <w:rsid w:val="00732E1A"/>
    <w:rsid w:val="00733179"/>
    <w:rsid w:val="00733302"/>
    <w:rsid w:val="0073339A"/>
    <w:rsid w:val="00733725"/>
    <w:rsid w:val="007339B3"/>
    <w:rsid w:val="00733A02"/>
    <w:rsid w:val="00733B8F"/>
    <w:rsid w:val="00733C19"/>
    <w:rsid w:val="00734226"/>
    <w:rsid w:val="007342BF"/>
    <w:rsid w:val="00734661"/>
    <w:rsid w:val="007348FF"/>
    <w:rsid w:val="0073493B"/>
    <w:rsid w:val="00734967"/>
    <w:rsid w:val="00734A29"/>
    <w:rsid w:val="00734AF8"/>
    <w:rsid w:val="00734ECE"/>
    <w:rsid w:val="007352E7"/>
    <w:rsid w:val="0073570C"/>
    <w:rsid w:val="00735806"/>
    <w:rsid w:val="00735841"/>
    <w:rsid w:val="007359C8"/>
    <w:rsid w:val="00735ACE"/>
    <w:rsid w:val="00735B30"/>
    <w:rsid w:val="007360F8"/>
    <w:rsid w:val="0073623F"/>
    <w:rsid w:val="007362F6"/>
    <w:rsid w:val="00736711"/>
    <w:rsid w:val="00736C2B"/>
    <w:rsid w:val="00736C8D"/>
    <w:rsid w:val="00736CE8"/>
    <w:rsid w:val="00736E0A"/>
    <w:rsid w:val="00736F66"/>
    <w:rsid w:val="007370ED"/>
    <w:rsid w:val="00737109"/>
    <w:rsid w:val="0073726A"/>
    <w:rsid w:val="007376DF"/>
    <w:rsid w:val="007376ED"/>
    <w:rsid w:val="00737B0F"/>
    <w:rsid w:val="00737DFD"/>
    <w:rsid w:val="00740235"/>
    <w:rsid w:val="00740346"/>
    <w:rsid w:val="0074034C"/>
    <w:rsid w:val="00740380"/>
    <w:rsid w:val="007403C7"/>
    <w:rsid w:val="00740554"/>
    <w:rsid w:val="00740D75"/>
    <w:rsid w:val="00741011"/>
    <w:rsid w:val="00741206"/>
    <w:rsid w:val="007416CF"/>
    <w:rsid w:val="0074188E"/>
    <w:rsid w:val="00741954"/>
    <w:rsid w:val="00741A6E"/>
    <w:rsid w:val="00741AEC"/>
    <w:rsid w:val="00742033"/>
    <w:rsid w:val="00742254"/>
    <w:rsid w:val="0074265D"/>
    <w:rsid w:val="00742B60"/>
    <w:rsid w:val="00742DC4"/>
    <w:rsid w:val="00742E13"/>
    <w:rsid w:val="00742E43"/>
    <w:rsid w:val="00742EE5"/>
    <w:rsid w:val="007433C5"/>
    <w:rsid w:val="007433D9"/>
    <w:rsid w:val="00743685"/>
    <w:rsid w:val="007439A5"/>
    <w:rsid w:val="00743A34"/>
    <w:rsid w:val="00743A6C"/>
    <w:rsid w:val="00743FF6"/>
    <w:rsid w:val="00744079"/>
    <w:rsid w:val="007442D3"/>
    <w:rsid w:val="00744662"/>
    <w:rsid w:val="00744CFD"/>
    <w:rsid w:val="00744E16"/>
    <w:rsid w:val="007459A9"/>
    <w:rsid w:val="00745E3D"/>
    <w:rsid w:val="00745F7A"/>
    <w:rsid w:val="00746248"/>
    <w:rsid w:val="0074651A"/>
    <w:rsid w:val="007465A7"/>
    <w:rsid w:val="007468CA"/>
    <w:rsid w:val="00746971"/>
    <w:rsid w:val="00746AFD"/>
    <w:rsid w:val="00746CAF"/>
    <w:rsid w:val="00746CEF"/>
    <w:rsid w:val="00746DCA"/>
    <w:rsid w:val="00747421"/>
    <w:rsid w:val="007478A7"/>
    <w:rsid w:val="00747A15"/>
    <w:rsid w:val="00747AA8"/>
    <w:rsid w:val="00747F52"/>
    <w:rsid w:val="00747FE2"/>
    <w:rsid w:val="00750176"/>
    <w:rsid w:val="007504E2"/>
    <w:rsid w:val="00750C47"/>
    <w:rsid w:val="00750D0B"/>
    <w:rsid w:val="00750DDF"/>
    <w:rsid w:val="00750F32"/>
    <w:rsid w:val="00750FCD"/>
    <w:rsid w:val="0075114A"/>
    <w:rsid w:val="00751770"/>
    <w:rsid w:val="0075181F"/>
    <w:rsid w:val="0075182A"/>
    <w:rsid w:val="00751944"/>
    <w:rsid w:val="00751B98"/>
    <w:rsid w:val="00751BA0"/>
    <w:rsid w:val="00751F30"/>
    <w:rsid w:val="00751F6E"/>
    <w:rsid w:val="0075239C"/>
    <w:rsid w:val="00752536"/>
    <w:rsid w:val="0075292D"/>
    <w:rsid w:val="00752A0B"/>
    <w:rsid w:val="00752B3E"/>
    <w:rsid w:val="0075312B"/>
    <w:rsid w:val="007533DE"/>
    <w:rsid w:val="0075351D"/>
    <w:rsid w:val="007536C2"/>
    <w:rsid w:val="00753716"/>
    <w:rsid w:val="00753A45"/>
    <w:rsid w:val="00753A98"/>
    <w:rsid w:val="00753E48"/>
    <w:rsid w:val="00754125"/>
    <w:rsid w:val="007541E5"/>
    <w:rsid w:val="00754215"/>
    <w:rsid w:val="0075423E"/>
    <w:rsid w:val="0075434B"/>
    <w:rsid w:val="007543B0"/>
    <w:rsid w:val="0075473C"/>
    <w:rsid w:val="007547BE"/>
    <w:rsid w:val="007547EB"/>
    <w:rsid w:val="00754829"/>
    <w:rsid w:val="0075488E"/>
    <w:rsid w:val="00754938"/>
    <w:rsid w:val="007549CF"/>
    <w:rsid w:val="00754B63"/>
    <w:rsid w:val="00754C94"/>
    <w:rsid w:val="007551FD"/>
    <w:rsid w:val="00755278"/>
    <w:rsid w:val="0075555F"/>
    <w:rsid w:val="00755C34"/>
    <w:rsid w:val="00755C4D"/>
    <w:rsid w:val="00756079"/>
    <w:rsid w:val="00756397"/>
    <w:rsid w:val="0075655E"/>
    <w:rsid w:val="007570D8"/>
    <w:rsid w:val="00757458"/>
    <w:rsid w:val="00757666"/>
    <w:rsid w:val="00757944"/>
    <w:rsid w:val="00757969"/>
    <w:rsid w:val="00757B51"/>
    <w:rsid w:val="00757DFD"/>
    <w:rsid w:val="00760197"/>
    <w:rsid w:val="007603D0"/>
    <w:rsid w:val="007603DE"/>
    <w:rsid w:val="007607F2"/>
    <w:rsid w:val="00760B0E"/>
    <w:rsid w:val="00760C4E"/>
    <w:rsid w:val="00760EDE"/>
    <w:rsid w:val="00761142"/>
    <w:rsid w:val="0076115E"/>
    <w:rsid w:val="00761507"/>
    <w:rsid w:val="0076173F"/>
    <w:rsid w:val="00761AD9"/>
    <w:rsid w:val="00761DA0"/>
    <w:rsid w:val="00761DB6"/>
    <w:rsid w:val="00761E8B"/>
    <w:rsid w:val="00762059"/>
    <w:rsid w:val="00762238"/>
    <w:rsid w:val="007623C0"/>
    <w:rsid w:val="007624C5"/>
    <w:rsid w:val="00762515"/>
    <w:rsid w:val="0076266A"/>
    <w:rsid w:val="00762795"/>
    <w:rsid w:val="00762DF6"/>
    <w:rsid w:val="00762E72"/>
    <w:rsid w:val="00762FFE"/>
    <w:rsid w:val="00763610"/>
    <w:rsid w:val="0076369D"/>
    <w:rsid w:val="0076369F"/>
    <w:rsid w:val="00763BAA"/>
    <w:rsid w:val="00764271"/>
    <w:rsid w:val="007643D7"/>
    <w:rsid w:val="007644C5"/>
    <w:rsid w:val="00764ADC"/>
    <w:rsid w:val="00764C16"/>
    <w:rsid w:val="00764DC5"/>
    <w:rsid w:val="00764E40"/>
    <w:rsid w:val="00765467"/>
    <w:rsid w:val="0076581F"/>
    <w:rsid w:val="00765958"/>
    <w:rsid w:val="00765C64"/>
    <w:rsid w:val="00765D20"/>
    <w:rsid w:val="0076616A"/>
    <w:rsid w:val="0076618F"/>
    <w:rsid w:val="007661C9"/>
    <w:rsid w:val="00766207"/>
    <w:rsid w:val="00766310"/>
    <w:rsid w:val="007666EE"/>
    <w:rsid w:val="0076686E"/>
    <w:rsid w:val="00766DE7"/>
    <w:rsid w:val="007676D7"/>
    <w:rsid w:val="007676FD"/>
    <w:rsid w:val="0076788C"/>
    <w:rsid w:val="00767B38"/>
    <w:rsid w:val="00767BBC"/>
    <w:rsid w:val="00767D49"/>
    <w:rsid w:val="00767FA7"/>
    <w:rsid w:val="007701F6"/>
    <w:rsid w:val="0077035D"/>
    <w:rsid w:val="0077046C"/>
    <w:rsid w:val="00770DC2"/>
    <w:rsid w:val="00770DFA"/>
    <w:rsid w:val="00770EC7"/>
    <w:rsid w:val="00770FED"/>
    <w:rsid w:val="007710DD"/>
    <w:rsid w:val="00771983"/>
    <w:rsid w:val="007719B3"/>
    <w:rsid w:val="00771A80"/>
    <w:rsid w:val="00771AE3"/>
    <w:rsid w:val="00771E9D"/>
    <w:rsid w:val="00771FB7"/>
    <w:rsid w:val="007720D0"/>
    <w:rsid w:val="0077218B"/>
    <w:rsid w:val="007721A4"/>
    <w:rsid w:val="00772293"/>
    <w:rsid w:val="00772389"/>
    <w:rsid w:val="0077294F"/>
    <w:rsid w:val="00772A40"/>
    <w:rsid w:val="00772BCF"/>
    <w:rsid w:val="0077324B"/>
    <w:rsid w:val="00773643"/>
    <w:rsid w:val="007737AD"/>
    <w:rsid w:val="0077380C"/>
    <w:rsid w:val="00773A5A"/>
    <w:rsid w:val="00773BAA"/>
    <w:rsid w:val="00773C2C"/>
    <w:rsid w:val="007740FD"/>
    <w:rsid w:val="00774274"/>
    <w:rsid w:val="00774472"/>
    <w:rsid w:val="0077458B"/>
    <w:rsid w:val="00774764"/>
    <w:rsid w:val="0077482A"/>
    <w:rsid w:val="00774873"/>
    <w:rsid w:val="00774DA0"/>
    <w:rsid w:val="00775011"/>
    <w:rsid w:val="00775036"/>
    <w:rsid w:val="0077513D"/>
    <w:rsid w:val="00775374"/>
    <w:rsid w:val="007753BB"/>
    <w:rsid w:val="00775B2E"/>
    <w:rsid w:val="00775FEB"/>
    <w:rsid w:val="00776237"/>
    <w:rsid w:val="0077634D"/>
    <w:rsid w:val="0077653A"/>
    <w:rsid w:val="00776664"/>
    <w:rsid w:val="00776824"/>
    <w:rsid w:val="007768D9"/>
    <w:rsid w:val="0077701E"/>
    <w:rsid w:val="007774AD"/>
    <w:rsid w:val="00777CB2"/>
    <w:rsid w:val="00777DE8"/>
    <w:rsid w:val="00777EEC"/>
    <w:rsid w:val="0078096B"/>
    <w:rsid w:val="00780A3A"/>
    <w:rsid w:val="00780AB9"/>
    <w:rsid w:val="00780D09"/>
    <w:rsid w:val="00780D7E"/>
    <w:rsid w:val="00781477"/>
    <w:rsid w:val="00781660"/>
    <w:rsid w:val="0078166F"/>
    <w:rsid w:val="00781965"/>
    <w:rsid w:val="00781AE6"/>
    <w:rsid w:val="00781C2A"/>
    <w:rsid w:val="00781DF4"/>
    <w:rsid w:val="00782372"/>
    <w:rsid w:val="007823B2"/>
    <w:rsid w:val="00782A10"/>
    <w:rsid w:val="00782A61"/>
    <w:rsid w:val="00782A82"/>
    <w:rsid w:val="00782DD9"/>
    <w:rsid w:val="00783064"/>
    <w:rsid w:val="007830E2"/>
    <w:rsid w:val="007831FD"/>
    <w:rsid w:val="00783255"/>
    <w:rsid w:val="0078330A"/>
    <w:rsid w:val="00783836"/>
    <w:rsid w:val="00783B4D"/>
    <w:rsid w:val="00783D10"/>
    <w:rsid w:val="00783D69"/>
    <w:rsid w:val="00783F0D"/>
    <w:rsid w:val="00784022"/>
    <w:rsid w:val="00784067"/>
    <w:rsid w:val="00784333"/>
    <w:rsid w:val="007846A6"/>
    <w:rsid w:val="007848C7"/>
    <w:rsid w:val="00784BEF"/>
    <w:rsid w:val="00784D7B"/>
    <w:rsid w:val="00784DAE"/>
    <w:rsid w:val="00784E3B"/>
    <w:rsid w:val="00785101"/>
    <w:rsid w:val="007859ED"/>
    <w:rsid w:val="007864B4"/>
    <w:rsid w:val="007865FA"/>
    <w:rsid w:val="0078661D"/>
    <w:rsid w:val="0078663E"/>
    <w:rsid w:val="00786BAB"/>
    <w:rsid w:val="00786EC3"/>
    <w:rsid w:val="00786FDF"/>
    <w:rsid w:val="007874A6"/>
    <w:rsid w:val="0078769E"/>
    <w:rsid w:val="00787767"/>
    <w:rsid w:val="007877B7"/>
    <w:rsid w:val="007877E8"/>
    <w:rsid w:val="00787C4C"/>
    <w:rsid w:val="00790141"/>
    <w:rsid w:val="00791046"/>
    <w:rsid w:val="00791061"/>
    <w:rsid w:val="0079128F"/>
    <w:rsid w:val="007913EA"/>
    <w:rsid w:val="00791566"/>
    <w:rsid w:val="007915EE"/>
    <w:rsid w:val="007917F6"/>
    <w:rsid w:val="007918D7"/>
    <w:rsid w:val="007920EF"/>
    <w:rsid w:val="00792210"/>
    <w:rsid w:val="0079225A"/>
    <w:rsid w:val="00792333"/>
    <w:rsid w:val="00792735"/>
    <w:rsid w:val="007928F2"/>
    <w:rsid w:val="00792A03"/>
    <w:rsid w:val="00792AAE"/>
    <w:rsid w:val="0079321C"/>
    <w:rsid w:val="00793585"/>
    <w:rsid w:val="007936DE"/>
    <w:rsid w:val="00793766"/>
    <w:rsid w:val="00793878"/>
    <w:rsid w:val="00793AEC"/>
    <w:rsid w:val="00793DC5"/>
    <w:rsid w:val="00793E17"/>
    <w:rsid w:val="007941B3"/>
    <w:rsid w:val="00794248"/>
    <w:rsid w:val="0079430B"/>
    <w:rsid w:val="00794605"/>
    <w:rsid w:val="00794706"/>
    <w:rsid w:val="00794D71"/>
    <w:rsid w:val="00794E9C"/>
    <w:rsid w:val="00794EF3"/>
    <w:rsid w:val="007951B6"/>
    <w:rsid w:val="007951C4"/>
    <w:rsid w:val="00795414"/>
    <w:rsid w:val="00795734"/>
    <w:rsid w:val="00795AFC"/>
    <w:rsid w:val="00795F12"/>
    <w:rsid w:val="00796306"/>
    <w:rsid w:val="007964D3"/>
    <w:rsid w:val="007969A1"/>
    <w:rsid w:val="00796C13"/>
    <w:rsid w:val="00796D4E"/>
    <w:rsid w:val="00796E37"/>
    <w:rsid w:val="00796EA4"/>
    <w:rsid w:val="00796FFB"/>
    <w:rsid w:val="00797259"/>
    <w:rsid w:val="00797483"/>
    <w:rsid w:val="007975CF"/>
    <w:rsid w:val="007978CD"/>
    <w:rsid w:val="00797CA8"/>
    <w:rsid w:val="00797CB1"/>
    <w:rsid w:val="00797FCC"/>
    <w:rsid w:val="007A02E1"/>
    <w:rsid w:val="007A02FE"/>
    <w:rsid w:val="007A040F"/>
    <w:rsid w:val="007A044F"/>
    <w:rsid w:val="007A05DF"/>
    <w:rsid w:val="007A0762"/>
    <w:rsid w:val="007A07CE"/>
    <w:rsid w:val="007A090C"/>
    <w:rsid w:val="007A1789"/>
    <w:rsid w:val="007A17C1"/>
    <w:rsid w:val="007A19F2"/>
    <w:rsid w:val="007A19F8"/>
    <w:rsid w:val="007A2043"/>
    <w:rsid w:val="007A234B"/>
    <w:rsid w:val="007A27E4"/>
    <w:rsid w:val="007A2822"/>
    <w:rsid w:val="007A2FD5"/>
    <w:rsid w:val="007A33A8"/>
    <w:rsid w:val="007A3547"/>
    <w:rsid w:val="007A3548"/>
    <w:rsid w:val="007A3D53"/>
    <w:rsid w:val="007A3D89"/>
    <w:rsid w:val="007A4019"/>
    <w:rsid w:val="007A4058"/>
    <w:rsid w:val="007A4066"/>
    <w:rsid w:val="007A43C3"/>
    <w:rsid w:val="007A4745"/>
    <w:rsid w:val="007A49DB"/>
    <w:rsid w:val="007A4A93"/>
    <w:rsid w:val="007A4AB3"/>
    <w:rsid w:val="007A4C33"/>
    <w:rsid w:val="007A4F63"/>
    <w:rsid w:val="007A52AA"/>
    <w:rsid w:val="007A5CBD"/>
    <w:rsid w:val="007A5E5E"/>
    <w:rsid w:val="007A60E9"/>
    <w:rsid w:val="007A6363"/>
    <w:rsid w:val="007A64C4"/>
    <w:rsid w:val="007A6873"/>
    <w:rsid w:val="007A6D87"/>
    <w:rsid w:val="007A71D9"/>
    <w:rsid w:val="007A7435"/>
    <w:rsid w:val="007A786A"/>
    <w:rsid w:val="007A7EF2"/>
    <w:rsid w:val="007B026E"/>
    <w:rsid w:val="007B033B"/>
    <w:rsid w:val="007B03CA"/>
    <w:rsid w:val="007B0504"/>
    <w:rsid w:val="007B0662"/>
    <w:rsid w:val="007B0976"/>
    <w:rsid w:val="007B0B03"/>
    <w:rsid w:val="007B0B86"/>
    <w:rsid w:val="007B0C99"/>
    <w:rsid w:val="007B0E7A"/>
    <w:rsid w:val="007B1B3C"/>
    <w:rsid w:val="007B212B"/>
    <w:rsid w:val="007B2562"/>
    <w:rsid w:val="007B26B1"/>
    <w:rsid w:val="007B26F1"/>
    <w:rsid w:val="007B273A"/>
    <w:rsid w:val="007B27C3"/>
    <w:rsid w:val="007B28CD"/>
    <w:rsid w:val="007B2972"/>
    <w:rsid w:val="007B2A32"/>
    <w:rsid w:val="007B2A90"/>
    <w:rsid w:val="007B2ADD"/>
    <w:rsid w:val="007B2B7D"/>
    <w:rsid w:val="007B2C34"/>
    <w:rsid w:val="007B2C45"/>
    <w:rsid w:val="007B2D86"/>
    <w:rsid w:val="007B2E03"/>
    <w:rsid w:val="007B3455"/>
    <w:rsid w:val="007B34E2"/>
    <w:rsid w:val="007B3C15"/>
    <w:rsid w:val="007B3FA4"/>
    <w:rsid w:val="007B40E0"/>
    <w:rsid w:val="007B4489"/>
    <w:rsid w:val="007B4667"/>
    <w:rsid w:val="007B4979"/>
    <w:rsid w:val="007B4A5B"/>
    <w:rsid w:val="007B4A63"/>
    <w:rsid w:val="007B4AE5"/>
    <w:rsid w:val="007B5116"/>
    <w:rsid w:val="007B5A16"/>
    <w:rsid w:val="007B5ACC"/>
    <w:rsid w:val="007B5B3C"/>
    <w:rsid w:val="007B613D"/>
    <w:rsid w:val="007B62E4"/>
    <w:rsid w:val="007B6425"/>
    <w:rsid w:val="007B65EB"/>
    <w:rsid w:val="007B665B"/>
    <w:rsid w:val="007B6776"/>
    <w:rsid w:val="007B67AB"/>
    <w:rsid w:val="007B67F7"/>
    <w:rsid w:val="007B68BB"/>
    <w:rsid w:val="007B6A55"/>
    <w:rsid w:val="007B6AC4"/>
    <w:rsid w:val="007B7045"/>
    <w:rsid w:val="007B7129"/>
    <w:rsid w:val="007B714D"/>
    <w:rsid w:val="007B7546"/>
    <w:rsid w:val="007B76BF"/>
    <w:rsid w:val="007B7BEC"/>
    <w:rsid w:val="007B7E4F"/>
    <w:rsid w:val="007B7EB2"/>
    <w:rsid w:val="007C0558"/>
    <w:rsid w:val="007C05D8"/>
    <w:rsid w:val="007C076D"/>
    <w:rsid w:val="007C1818"/>
    <w:rsid w:val="007C1C85"/>
    <w:rsid w:val="007C1ED7"/>
    <w:rsid w:val="007C2068"/>
    <w:rsid w:val="007C21F8"/>
    <w:rsid w:val="007C2545"/>
    <w:rsid w:val="007C2697"/>
    <w:rsid w:val="007C274C"/>
    <w:rsid w:val="007C2806"/>
    <w:rsid w:val="007C2ACD"/>
    <w:rsid w:val="007C3088"/>
    <w:rsid w:val="007C34AF"/>
    <w:rsid w:val="007C3523"/>
    <w:rsid w:val="007C35DD"/>
    <w:rsid w:val="007C3754"/>
    <w:rsid w:val="007C37F4"/>
    <w:rsid w:val="007C3973"/>
    <w:rsid w:val="007C3D64"/>
    <w:rsid w:val="007C4051"/>
    <w:rsid w:val="007C423B"/>
    <w:rsid w:val="007C45FF"/>
    <w:rsid w:val="007C4724"/>
    <w:rsid w:val="007C48BB"/>
    <w:rsid w:val="007C4983"/>
    <w:rsid w:val="007C4B62"/>
    <w:rsid w:val="007C4C37"/>
    <w:rsid w:val="007C4C67"/>
    <w:rsid w:val="007C4EDB"/>
    <w:rsid w:val="007C4F57"/>
    <w:rsid w:val="007C5075"/>
    <w:rsid w:val="007C5167"/>
    <w:rsid w:val="007C549A"/>
    <w:rsid w:val="007C59FE"/>
    <w:rsid w:val="007C5A4D"/>
    <w:rsid w:val="007C5D5C"/>
    <w:rsid w:val="007C5DEE"/>
    <w:rsid w:val="007C5F1D"/>
    <w:rsid w:val="007C60FC"/>
    <w:rsid w:val="007C6692"/>
    <w:rsid w:val="007C699D"/>
    <w:rsid w:val="007C6ADB"/>
    <w:rsid w:val="007C7299"/>
    <w:rsid w:val="007C72FB"/>
    <w:rsid w:val="007C7C64"/>
    <w:rsid w:val="007C7E62"/>
    <w:rsid w:val="007C7ECE"/>
    <w:rsid w:val="007D01FA"/>
    <w:rsid w:val="007D020E"/>
    <w:rsid w:val="007D02D5"/>
    <w:rsid w:val="007D03D6"/>
    <w:rsid w:val="007D05E9"/>
    <w:rsid w:val="007D05EF"/>
    <w:rsid w:val="007D0601"/>
    <w:rsid w:val="007D064A"/>
    <w:rsid w:val="007D0813"/>
    <w:rsid w:val="007D0831"/>
    <w:rsid w:val="007D0843"/>
    <w:rsid w:val="007D0CED"/>
    <w:rsid w:val="007D0D91"/>
    <w:rsid w:val="007D0F32"/>
    <w:rsid w:val="007D10E7"/>
    <w:rsid w:val="007D1157"/>
    <w:rsid w:val="007D16A1"/>
    <w:rsid w:val="007D1CE6"/>
    <w:rsid w:val="007D1CF7"/>
    <w:rsid w:val="007D1D11"/>
    <w:rsid w:val="007D1D14"/>
    <w:rsid w:val="007D25BE"/>
    <w:rsid w:val="007D25C6"/>
    <w:rsid w:val="007D2685"/>
    <w:rsid w:val="007D2924"/>
    <w:rsid w:val="007D2AC1"/>
    <w:rsid w:val="007D2C56"/>
    <w:rsid w:val="007D2F06"/>
    <w:rsid w:val="007D2F9F"/>
    <w:rsid w:val="007D330B"/>
    <w:rsid w:val="007D3355"/>
    <w:rsid w:val="007D3366"/>
    <w:rsid w:val="007D35B3"/>
    <w:rsid w:val="007D3851"/>
    <w:rsid w:val="007D38B5"/>
    <w:rsid w:val="007D38E0"/>
    <w:rsid w:val="007D3957"/>
    <w:rsid w:val="007D3A84"/>
    <w:rsid w:val="007D3E10"/>
    <w:rsid w:val="007D4132"/>
    <w:rsid w:val="007D42FD"/>
    <w:rsid w:val="007D4323"/>
    <w:rsid w:val="007D4425"/>
    <w:rsid w:val="007D477F"/>
    <w:rsid w:val="007D4C14"/>
    <w:rsid w:val="007D4F8B"/>
    <w:rsid w:val="007D506E"/>
    <w:rsid w:val="007D50B6"/>
    <w:rsid w:val="007D50F6"/>
    <w:rsid w:val="007D540B"/>
    <w:rsid w:val="007D54A5"/>
    <w:rsid w:val="007D55AF"/>
    <w:rsid w:val="007D5632"/>
    <w:rsid w:val="007D577A"/>
    <w:rsid w:val="007D58F4"/>
    <w:rsid w:val="007D5D9F"/>
    <w:rsid w:val="007D6088"/>
    <w:rsid w:val="007D6510"/>
    <w:rsid w:val="007D6591"/>
    <w:rsid w:val="007D65CF"/>
    <w:rsid w:val="007D6627"/>
    <w:rsid w:val="007D699D"/>
    <w:rsid w:val="007D6EA2"/>
    <w:rsid w:val="007D729E"/>
    <w:rsid w:val="007D73CA"/>
    <w:rsid w:val="007D7438"/>
    <w:rsid w:val="007D7847"/>
    <w:rsid w:val="007D7DBD"/>
    <w:rsid w:val="007E00C4"/>
    <w:rsid w:val="007E035D"/>
    <w:rsid w:val="007E03EA"/>
    <w:rsid w:val="007E0789"/>
    <w:rsid w:val="007E0D6B"/>
    <w:rsid w:val="007E0E06"/>
    <w:rsid w:val="007E0EE2"/>
    <w:rsid w:val="007E0EE7"/>
    <w:rsid w:val="007E0EF7"/>
    <w:rsid w:val="007E1661"/>
    <w:rsid w:val="007E18ED"/>
    <w:rsid w:val="007E19CE"/>
    <w:rsid w:val="007E2574"/>
    <w:rsid w:val="007E2BFC"/>
    <w:rsid w:val="007E34B9"/>
    <w:rsid w:val="007E3618"/>
    <w:rsid w:val="007E3869"/>
    <w:rsid w:val="007E3D5F"/>
    <w:rsid w:val="007E3FFC"/>
    <w:rsid w:val="007E403D"/>
    <w:rsid w:val="007E423A"/>
    <w:rsid w:val="007E4411"/>
    <w:rsid w:val="007E45CC"/>
    <w:rsid w:val="007E4AE4"/>
    <w:rsid w:val="007E4C2C"/>
    <w:rsid w:val="007E500D"/>
    <w:rsid w:val="007E5020"/>
    <w:rsid w:val="007E5085"/>
    <w:rsid w:val="007E5193"/>
    <w:rsid w:val="007E5599"/>
    <w:rsid w:val="007E565F"/>
    <w:rsid w:val="007E5878"/>
    <w:rsid w:val="007E592A"/>
    <w:rsid w:val="007E5AAE"/>
    <w:rsid w:val="007E5B0A"/>
    <w:rsid w:val="007E5D1A"/>
    <w:rsid w:val="007E5DCC"/>
    <w:rsid w:val="007E5F40"/>
    <w:rsid w:val="007E6240"/>
    <w:rsid w:val="007E6323"/>
    <w:rsid w:val="007E6476"/>
    <w:rsid w:val="007E64D2"/>
    <w:rsid w:val="007E64DD"/>
    <w:rsid w:val="007E6886"/>
    <w:rsid w:val="007E6C69"/>
    <w:rsid w:val="007E6D2B"/>
    <w:rsid w:val="007E6F7D"/>
    <w:rsid w:val="007E716F"/>
    <w:rsid w:val="007E765E"/>
    <w:rsid w:val="007E7740"/>
    <w:rsid w:val="007E7880"/>
    <w:rsid w:val="007E7949"/>
    <w:rsid w:val="007E7B80"/>
    <w:rsid w:val="007E7BCB"/>
    <w:rsid w:val="007E7F3E"/>
    <w:rsid w:val="007F0052"/>
    <w:rsid w:val="007F0190"/>
    <w:rsid w:val="007F01E4"/>
    <w:rsid w:val="007F047D"/>
    <w:rsid w:val="007F04FA"/>
    <w:rsid w:val="007F0533"/>
    <w:rsid w:val="007F091B"/>
    <w:rsid w:val="007F093B"/>
    <w:rsid w:val="007F0947"/>
    <w:rsid w:val="007F0F49"/>
    <w:rsid w:val="007F153C"/>
    <w:rsid w:val="007F16B9"/>
    <w:rsid w:val="007F1C52"/>
    <w:rsid w:val="007F1EF3"/>
    <w:rsid w:val="007F207A"/>
    <w:rsid w:val="007F207C"/>
    <w:rsid w:val="007F20F9"/>
    <w:rsid w:val="007F2F93"/>
    <w:rsid w:val="007F303E"/>
    <w:rsid w:val="007F37C6"/>
    <w:rsid w:val="007F39BC"/>
    <w:rsid w:val="007F3B9F"/>
    <w:rsid w:val="007F3DC6"/>
    <w:rsid w:val="007F3E61"/>
    <w:rsid w:val="007F451B"/>
    <w:rsid w:val="007F4A0D"/>
    <w:rsid w:val="007F4D94"/>
    <w:rsid w:val="007F4FDB"/>
    <w:rsid w:val="007F5465"/>
    <w:rsid w:val="007F54A5"/>
    <w:rsid w:val="007F5558"/>
    <w:rsid w:val="007F59E0"/>
    <w:rsid w:val="007F5A26"/>
    <w:rsid w:val="007F5EDA"/>
    <w:rsid w:val="007F6055"/>
    <w:rsid w:val="007F6144"/>
    <w:rsid w:val="007F63E6"/>
    <w:rsid w:val="007F6A7B"/>
    <w:rsid w:val="007F6C13"/>
    <w:rsid w:val="007F7092"/>
    <w:rsid w:val="007F721A"/>
    <w:rsid w:val="007F7A0C"/>
    <w:rsid w:val="008009F3"/>
    <w:rsid w:val="00800A71"/>
    <w:rsid w:val="00800ACA"/>
    <w:rsid w:val="00800CCA"/>
    <w:rsid w:val="00800E55"/>
    <w:rsid w:val="00800E5C"/>
    <w:rsid w:val="008010D9"/>
    <w:rsid w:val="00801362"/>
    <w:rsid w:val="0080190C"/>
    <w:rsid w:val="00801DBB"/>
    <w:rsid w:val="00801FA2"/>
    <w:rsid w:val="00801FAD"/>
    <w:rsid w:val="0080224C"/>
    <w:rsid w:val="008023AC"/>
    <w:rsid w:val="00802498"/>
    <w:rsid w:val="008026AF"/>
    <w:rsid w:val="00802846"/>
    <w:rsid w:val="008029B8"/>
    <w:rsid w:val="00802BF1"/>
    <w:rsid w:val="00802D24"/>
    <w:rsid w:val="00802DAE"/>
    <w:rsid w:val="0080305E"/>
    <w:rsid w:val="0080322C"/>
    <w:rsid w:val="00803282"/>
    <w:rsid w:val="00803292"/>
    <w:rsid w:val="00803544"/>
    <w:rsid w:val="008035C1"/>
    <w:rsid w:val="008035EB"/>
    <w:rsid w:val="00803913"/>
    <w:rsid w:val="00803D17"/>
    <w:rsid w:val="00803D99"/>
    <w:rsid w:val="00804169"/>
    <w:rsid w:val="00804397"/>
    <w:rsid w:val="00804900"/>
    <w:rsid w:val="0080507B"/>
    <w:rsid w:val="00805091"/>
    <w:rsid w:val="008054C4"/>
    <w:rsid w:val="0080565A"/>
    <w:rsid w:val="008056E4"/>
    <w:rsid w:val="00805725"/>
    <w:rsid w:val="00805820"/>
    <w:rsid w:val="008058F6"/>
    <w:rsid w:val="00805CD3"/>
    <w:rsid w:val="00805D1E"/>
    <w:rsid w:val="00805F74"/>
    <w:rsid w:val="00805FAB"/>
    <w:rsid w:val="00806278"/>
    <w:rsid w:val="0080642C"/>
    <w:rsid w:val="008064A5"/>
    <w:rsid w:val="00806502"/>
    <w:rsid w:val="0080684E"/>
    <w:rsid w:val="008068EB"/>
    <w:rsid w:val="00806BAB"/>
    <w:rsid w:val="00806C1B"/>
    <w:rsid w:val="00806C81"/>
    <w:rsid w:val="00806F38"/>
    <w:rsid w:val="00806F74"/>
    <w:rsid w:val="008073BF"/>
    <w:rsid w:val="00807423"/>
    <w:rsid w:val="00807560"/>
    <w:rsid w:val="00807629"/>
    <w:rsid w:val="0080773F"/>
    <w:rsid w:val="00807801"/>
    <w:rsid w:val="008079EF"/>
    <w:rsid w:val="00807BFE"/>
    <w:rsid w:val="00807D26"/>
    <w:rsid w:val="00807F68"/>
    <w:rsid w:val="008100CA"/>
    <w:rsid w:val="0081011F"/>
    <w:rsid w:val="008102D0"/>
    <w:rsid w:val="008104BE"/>
    <w:rsid w:val="0081078E"/>
    <w:rsid w:val="008107F4"/>
    <w:rsid w:val="00810BFB"/>
    <w:rsid w:val="00810D7B"/>
    <w:rsid w:val="00810E92"/>
    <w:rsid w:val="00810E9D"/>
    <w:rsid w:val="008112F2"/>
    <w:rsid w:val="0081155D"/>
    <w:rsid w:val="00811931"/>
    <w:rsid w:val="00811D8D"/>
    <w:rsid w:val="008123BB"/>
    <w:rsid w:val="0081262E"/>
    <w:rsid w:val="008126E3"/>
    <w:rsid w:val="00812790"/>
    <w:rsid w:val="00812837"/>
    <w:rsid w:val="008129C2"/>
    <w:rsid w:val="00812A23"/>
    <w:rsid w:val="00812A5C"/>
    <w:rsid w:val="00812B13"/>
    <w:rsid w:val="00812B38"/>
    <w:rsid w:val="00812FAF"/>
    <w:rsid w:val="008130B9"/>
    <w:rsid w:val="0081322B"/>
    <w:rsid w:val="008134FA"/>
    <w:rsid w:val="0081404D"/>
    <w:rsid w:val="008141E8"/>
    <w:rsid w:val="00814429"/>
    <w:rsid w:val="00814464"/>
    <w:rsid w:val="008145FE"/>
    <w:rsid w:val="008147B9"/>
    <w:rsid w:val="008148BF"/>
    <w:rsid w:val="008149D5"/>
    <w:rsid w:val="00814DB0"/>
    <w:rsid w:val="0081524B"/>
    <w:rsid w:val="0081542A"/>
    <w:rsid w:val="00815646"/>
    <w:rsid w:val="00815B9C"/>
    <w:rsid w:val="00815BB9"/>
    <w:rsid w:val="00815C24"/>
    <w:rsid w:val="00815ED8"/>
    <w:rsid w:val="008160AB"/>
    <w:rsid w:val="00816643"/>
    <w:rsid w:val="008166D9"/>
    <w:rsid w:val="00816710"/>
    <w:rsid w:val="00816A62"/>
    <w:rsid w:val="00817135"/>
    <w:rsid w:val="008173A0"/>
    <w:rsid w:val="0081786A"/>
    <w:rsid w:val="00817A0E"/>
    <w:rsid w:val="00817AE6"/>
    <w:rsid w:val="00817AEB"/>
    <w:rsid w:val="00817BAA"/>
    <w:rsid w:val="00817C49"/>
    <w:rsid w:val="00817DBD"/>
    <w:rsid w:val="0082034F"/>
    <w:rsid w:val="0082044A"/>
    <w:rsid w:val="008205C2"/>
    <w:rsid w:val="00820C0E"/>
    <w:rsid w:val="00820DE8"/>
    <w:rsid w:val="008210DA"/>
    <w:rsid w:val="0082185B"/>
    <w:rsid w:val="00821A75"/>
    <w:rsid w:val="00821B0A"/>
    <w:rsid w:val="00821CF3"/>
    <w:rsid w:val="00821D8A"/>
    <w:rsid w:val="00821E15"/>
    <w:rsid w:val="0082221B"/>
    <w:rsid w:val="00822338"/>
    <w:rsid w:val="008224C3"/>
    <w:rsid w:val="00822604"/>
    <w:rsid w:val="008228EE"/>
    <w:rsid w:val="008229AB"/>
    <w:rsid w:val="00822BE6"/>
    <w:rsid w:val="00822CFE"/>
    <w:rsid w:val="00822D99"/>
    <w:rsid w:val="00822E12"/>
    <w:rsid w:val="00822E17"/>
    <w:rsid w:val="00823254"/>
    <w:rsid w:val="008233BE"/>
    <w:rsid w:val="00823A9E"/>
    <w:rsid w:val="00823D9B"/>
    <w:rsid w:val="00823F63"/>
    <w:rsid w:val="0082485A"/>
    <w:rsid w:val="00824BAC"/>
    <w:rsid w:val="00824F54"/>
    <w:rsid w:val="008252AD"/>
    <w:rsid w:val="008252E9"/>
    <w:rsid w:val="0082534D"/>
    <w:rsid w:val="008258C6"/>
    <w:rsid w:val="008258E8"/>
    <w:rsid w:val="00825928"/>
    <w:rsid w:val="008261DE"/>
    <w:rsid w:val="008262FB"/>
    <w:rsid w:val="008267DE"/>
    <w:rsid w:val="00826D10"/>
    <w:rsid w:val="00826EFF"/>
    <w:rsid w:val="00827007"/>
    <w:rsid w:val="008271FB"/>
    <w:rsid w:val="0082745B"/>
    <w:rsid w:val="00827640"/>
    <w:rsid w:val="00827653"/>
    <w:rsid w:val="00827BCB"/>
    <w:rsid w:val="00827E9C"/>
    <w:rsid w:val="00830260"/>
    <w:rsid w:val="00830413"/>
    <w:rsid w:val="00830522"/>
    <w:rsid w:val="008307CE"/>
    <w:rsid w:val="008308C6"/>
    <w:rsid w:val="008308E3"/>
    <w:rsid w:val="00830A72"/>
    <w:rsid w:val="00830B75"/>
    <w:rsid w:val="00830C02"/>
    <w:rsid w:val="00830C48"/>
    <w:rsid w:val="0083119B"/>
    <w:rsid w:val="00831A45"/>
    <w:rsid w:val="00831D98"/>
    <w:rsid w:val="00831E04"/>
    <w:rsid w:val="0083224A"/>
    <w:rsid w:val="008327F4"/>
    <w:rsid w:val="00832B39"/>
    <w:rsid w:val="00832C40"/>
    <w:rsid w:val="00832C51"/>
    <w:rsid w:val="00833054"/>
    <w:rsid w:val="008330CF"/>
    <w:rsid w:val="008332C3"/>
    <w:rsid w:val="008334E3"/>
    <w:rsid w:val="0083373E"/>
    <w:rsid w:val="00833A3F"/>
    <w:rsid w:val="00833F05"/>
    <w:rsid w:val="0083432D"/>
    <w:rsid w:val="0083437D"/>
    <w:rsid w:val="0083470A"/>
    <w:rsid w:val="00834885"/>
    <w:rsid w:val="00834A8B"/>
    <w:rsid w:val="00834D27"/>
    <w:rsid w:val="008353C0"/>
    <w:rsid w:val="00835587"/>
    <w:rsid w:val="0083570F"/>
    <w:rsid w:val="0083581A"/>
    <w:rsid w:val="0083584E"/>
    <w:rsid w:val="0083603D"/>
    <w:rsid w:val="008362F3"/>
    <w:rsid w:val="008363D2"/>
    <w:rsid w:val="008366B1"/>
    <w:rsid w:val="008368AD"/>
    <w:rsid w:val="008369D1"/>
    <w:rsid w:val="008369FD"/>
    <w:rsid w:val="00836BB0"/>
    <w:rsid w:val="00836D6B"/>
    <w:rsid w:val="00836DA4"/>
    <w:rsid w:val="00836F5B"/>
    <w:rsid w:val="008371C5"/>
    <w:rsid w:val="00837472"/>
    <w:rsid w:val="00837997"/>
    <w:rsid w:val="00837DD4"/>
    <w:rsid w:val="0084028C"/>
    <w:rsid w:val="008405D6"/>
    <w:rsid w:val="008406C3"/>
    <w:rsid w:val="008408E2"/>
    <w:rsid w:val="00840CB0"/>
    <w:rsid w:val="00840E1D"/>
    <w:rsid w:val="008413E6"/>
    <w:rsid w:val="008417CC"/>
    <w:rsid w:val="00841A15"/>
    <w:rsid w:val="00841C83"/>
    <w:rsid w:val="00841D21"/>
    <w:rsid w:val="008425DC"/>
    <w:rsid w:val="00842898"/>
    <w:rsid w:val="00842930"/>
    <w:rsid w:val="008429B0"/>
    <w:rsid w:val="00842A21"/>
    <w:rsid w:val="00842ACD"/>
    <w:rsid w:val="00842EBD"/>
    <w:rsid w:val="00842FD6"/>
    <w:rsid w:val="00842FF3"/>
    <w:rsid w:val="00843290"/>
    <w:rsid w:val="008433A0"/>
    <w:rsid w:val="008433C8"/>
    <w:rsid w:val="008435B9"/>
    <w:rsid w:val="00843703"/>
    <w:rsid w:val="00843B0B"/>
    <w:rsid w:val="00843DCD"/>
    <w:rsid w:val="00843E61"/>
    <w:rsid w:val="00843E80"/>
    <w:rsid w:val="00844146"/>
    <w:rsid w:val="00844A8B"/>
    <w:rsid w:val="00844B38"/>
    <w:rsid w:val="00844F09"/>
    <w:rsid w:val="008452A8"/>
    <w:rsid w:val="008454A9"/>
    <w:rsid w:val="00845534"/>
    <w:rsid w:val="0084561D"/>
    <w:rsid w:val="008457B2"/>
    <w:rsid w:val="00845E83"/>
    <w:rsid w:val="00846243"/>
    <w:rsid w:val="0084624F"/>
    <w:rsid w:val="0084629C"/>
    <w:rsid w:val="0084630D"/>
    <w:rsid w:val="008465DF"/>
    <w:rsid w:val="008467A5"/>
    <w:rsid w:val="008467CF"/>
    <w:rsid w:val="008469E2"/>
    <w:rsid w:val="00846B37"/>
    <w:rsid w:val="00846FE5"/>
    <w:rsid w:val="008470A1"/>
    <w:rsid w:val="00847921"/>
    <w:rsid w:val="00847A17"/>
    <w:rsid w:val="00847A9F"/>
    <w:rsid w:val="00850084"/>
    <w:rsid w:val="008500C4"/>
    <w:rsid w:val="008501BF"/>
    <w:rsid w:val="00850290"/>
    <w:rsid w:val="00850403"/>
    <w:rsid w:val="0085058D"/>
    <w:rsid w:val="008507D2"/>
    <w:rsid w:val="00850D0C"/>
    <w:rsid w:val="008511E0"/>
    <w:rsid w:val="008512DC"/>
    <w:rsid w:val="00851485"/>
    <w:rsid w:val="008514BE"/>
    <w:rsid w:val="00851568"/>
    <w:rsid w:val="0085162A"/>
    <w:rsid w:val="0085168F"/>
    <w:rsid w:val="00851ABC"/>
    <w:rsid w:val="00851B37"/>
    <w:rsid w:val="00851E48"/>
    <w:rsid w:val="00851F8C"/>
    <w:rsid w:val="00851FE6"/>
    <w:rsid w:val="0085213A"/>
    <w:rsid w:val="00852666"/>
    <w:rsid w:val="008526FA"/>
    <w:rsid w:val="00852747"/>
    <w:rsid w:val="00852A6B"/>
    <w:rsid w:val="00852E7D"/>
    <w:rsid w:val="00852FBF"/>
    <w:rsid w:val="008533CD"/>
    <w:rsid w:val="0085345B"/>
    <w:rsid w:val="0085354B"/>
    <w:rsid w:val="00853D24"/>
    <w:rsid w:val="008540CF"/>
    <w:rsid w:val="00854151"/>
    <w:rsid w:val="0085427C"/>
    <w:rsid w:val="008542CA"/>
    <w:rsid w:val="008542CF"/>
    <w:rsid w:val="00854598"/>
    <w:rsid w:val="008547B7"/>
    <w:rsid w:val="00854A33"/>
    <w:rsid w:val="0085511F"/>
    <w:rsid w:val="008551AD"/>
    <w:rsid w:val="00855518"/>
    <w:rsid w:val="008555EC"/>
    <w:rsid w:val="008557CB"/>
    <w:rsid w:val="00855C34"/>
    <w:rsid w:val="00855CFF"/>
    <w:rsid w:val="00855ED1"/>
    <w:rsid w:val="008560A1"/>
    <w:rsid w:val="00856176"/>
    <w:rsid w:val="008561DB"/>
    <w:rsid w:val="0085629D"/>
    <w:rsid w:val="00856320"/>
    <w:rsid w:val="00856479"/>
    <w:rsid w:val="008564CE"/>
    <w:rsid w:val="00856984"/>
    <w:rsid w:val="00856A83"/>
    <w:rsid w:val="00856C51"/>
    <w:rsid w:val="00856D28"/>
    <w:rsid w:val="00857085"/>
    <w:rsid w:val="00857233"/>
    <w:rsid w:val="00857612"/>
    <w:rsid w:val="00857992"/>
    <w:rsid w:val="008579A0"/>
    <w:rsid w:val="00857C52"/>
    <w:rsid w:val="00857D78"/>
    <w:rsid w:val="0086081B"/>
    <w:rsid w:val="00860B26"/>
    <w:rsid w:val="00860C89"/>
    <w:rsid w:val="00860F40"/>
    <w:rsid w:val="00861075"/>
    <w:rsid w:val="00861200"/>
    <w:rsid w:val="00861229"/>
    <w:rsid w:val="0086139A"/>
    <w:rsid w:val="008614DD"/>
    <w:rsid w:val="00862155"/>
    <w:rsid w:val="008621AC"/>
    <w:rsid w:val="008622B1"/>
    <w:rsid w:val="008624B2"/>
    <w:rsid w:val="008625A8"/>
    <w:rsid w:val="008625DA"/>
    <w:rsid w:val="00862606"/>
    <w:rsid w:val="008627DB"/>
    <w:rsid w:val="008627E5"/>
    <w:rsid w:val="00862A13"/>
    <w:rsid w:val="00862A91"/>
    <w:rsid w:val="00862B39"/>
    <w:rsid w:val="00862C54"/>
    <w:rsid w:val="00862FA1"/>
    <w:rsid w:val="008639D8"/>
    <w:rsid w:val="00863D84"/>
    <w:rsid w:val="00863FBC"/>
    <w:rsid w:val="0086415C"/>
    <w:rsid w:val="008642D9"/>
    <w:rsid w:val="008646B7"/>
    <w:rsid w:val="008647D7"/>
    <w:rsid w:val="008649CB"/>
    <w:rsid w:val="00864A79"/>
    <w:rsid w:val="00864B45"/>
    <w:rsid w:val="00864E61"/>
    <w:rsid w:val="00865A83"/>
    <w:rsid w:val="00865D98"/>
    <w:rsid w:val="008663EF"/>
    <w:rsid w:val="00866527"/>
    <w:rsid w:val="0086652F"/>
    <w:rsid w:val="00866A76"/>
    <w:rsid w:val="00866B42"/>
    <w:rsid w:val="00866BB7"/>
    <w:rsid w:val="00866C69"/>
    <w:rsid w:val="0086705C"/>
    <w:rsid w:val="008676E6"/>
    <w:rsid w:val="00867908"/>
    <w:rsid w:val="00867D5E"/>
    <w:rsid w:val="00867E41"/>
    <w:rsid w:val="00867E72"/>
    <w:rsid w:val="00867ECA"/>
    <w:rsid w:val="00867F9B"/>
    <w:rsid w:val="00870202"/>
    <w:rsid w:val="008702F7"/>
    <w:rsid w:val="0087048A"/>
    <w:rsid w:val="0087051D"/>
    <w:rsid w:val="008706DA"/>
    <w:rsid w:val="008706E5"/>
    <w:rsid w:val="0087099B"/>
    <w:rsid w:val="00870ACB"/>
    <w:rsid w:val="00870B96"/>
    <w:rsid w:val="00870DF6"/>
    <w:rsid w:val="00870EF0"/>
    <w:rsid w:val="0087123C"/>
    <w:rsid w:val="008712F7"/>
    <w:rsid w:val="0087153D"/>
    <w:rsid w:val="00871649"/>
    <w:rsid w:val="008718A4"/>
    <w:rsid w:val="00871AC9"/>
    <w:rsid w:val="00871B28"/>
    <w:rsid w:val="00871D12"/>
    <w:rsid w:val="0087277D"/>
    <w:rsid w:val="0087285A"/>
    <w:rsid w:val="008729B1"/>
    <w:rsid w:val="00872AAD"/>
    <w:rsid w:val="008731A8"/>
    <w:rsid w:val="008731E6"/>
    <w:rsid w:val="00873549"/>
    <w:rsid w:val="00873554"/>
    <w:rsid w:val="008737A8"/>
    <w:rsid w:val="008739DA"/>
    <w:rsid w:val="00873ACE"/>
    <w:rsid w:val="00873B37"/>
    <w:rsid w:val="00874212"/>
    <w:rsid w:val="00874244"/>
    <w:rsid w:val="008742A0"/>
    <w:rsid w:val="0087431C"/>
    <w:rsid w:val="00874678"/>
    <w:rsid w:val="0087493D"/>
    <w:rsid w:val="00874A5E"/>
    <w:rsid w:val="00874AD9"/>
    <w:rsid w:val="00874B33"/>
    <w:rsid w:val="00874F0B"/>
    <w:rsid w:val="00875189"/>
    <w:rsid w:val="00875640"/>
    <w:rsid w:val="0087569C"/>
    <w:rsid w:val="00875ADA"/>
    <w:rsid w:val="00875DA4"/>
    <w:rsid w:val="00876292"/>
    <w:rsid w:val="00876352"/>
    <w:rsid w:val="00876455"/>
    <w:rsid w:val="00876AE7"/>
    <w:rsid w:val="00876BF1"/>
    <w:rsid w:val="00876C1C"/>
    <w:rsid w:val="00876D6F"/>
    <w:rsid w:val="00876F63"/>
    <w:rsid w:val="008770E0"/>
    <w:rsid w:val="00877293"/>
    <w:rsid w:val="00877531"/>
    <w:rsid w:val="008776F3"/>
    <w:rsid w:val="00877728"/>
    <w:rsid w:val="008778B2"/>
    <w:rsid w:val="00877AC2"/>
    <w:rsid w:val="00877D3F"/>
    <w:rsid w:val="00877DE0"/>
    <w:rsid w:val="00877E1C"/>
    <w:rsid w:val="00877EEA"/>
    <w:rsid w:val="0088051B"/>
    <w:rsid w:val="008807E3"/>
    <w:rsid w:val="00880AF9"/>
    <w:rsid w:val="00880C46"/>
    <w:rsid w:val="00880E7E"/>
    <w:rsid w:val="008810AF"/>
    <w:rsid w:val="0088110E"/>
    <w:rsid w:val="0088118B"/>
    <w:rsid w:val="008811C9"/>
    <w:rsid w:val="0088160F"/>
    <w:rsid w:val="0088187F"/>
    <w:rsid w:val="0088188C"/>
    <w:rsid w:val="00881E0B"/>
    <w:rsid w:val="00881F88"/>
    <w:rsid w:val="0088249E"/>
    <w:rsid w:val="0088284E"/>
    <w:rsid w:val="00882B07"/>
    <w:rsid w:val="00882C56"/>
    <w:rsid w:val="00883347"/>
    <w:rsid w:val="0088345E"/>
    <w:rsid w:val="00883475"/>
    <w:rsid w:val="0088359A"/>
    <w:rsid w:val="0088387B"/>
    <w:rsid w:val="00883BCC"/>
    <w:rsid w:val="00883F27"/>
    <w:rsid w:val="00883FEC"/>
    <w:rsid w:val="008844A2"/>
    <w:rsid w:val="0088454F"/>
    <w:rsid w:val="008845BA"/>
    <w:rsid w:val="00884668"/>
    <w:rsid w:val="00884B3F"/>
    <w:rsid w:val="00884B55"/>
    <w:rsid w:val="00884B76"/>
    <w:rsid w:val="00884BB7"/>
    <w:rsid w:val="00884DAA"/>
    <w:rsid w:val="00885036"/>
    <w:rsid w:val="00885118"/>
    <w:rsid w:val="00885142"/>
    <w:rsid w:val="00885146"/>
    <w:rsid w:val="00885209"/>
    <w:rsid w:val="00885523"/>
    <w:rsid w:val="008857C9"/>
    <w:rsid w:val="00886049"/>
    <w:rsid w:val="0088618B"/>
    <w:rsid w:val="008864AD"/>
    <w:rsid w:val="00886681"/>
    <w:rsid w:val="00886687"/>
    <w:rsid w:val="008869AC"/>
    <w:rsid w:val="00886B66"/>
    <w:rsid w:val="00886D71"/>
    <w:rsid w:val="00886ED3"/>
    <w:rsid w:val="00886F4B"/>
    <w:rsid w:val="0088712F"/>
    <w:rsid w:val="0088725C"/>
    <w:rsid w:val="008873B7"/>
    <w:rsid w:val="00887650"/>
    <w:rsid w:val="00887A41"/>
    <w:rsid w:val="00887A46"/>
    <w:rsid w:val="00887BBF"/>
    <w:rsid w:val="00887DE1"/>
    <w:rsid w:val="00887FE9"/>
    <w:rsid w:val="008901D5"/>
    <w:rsid w:val="00890513"/>
    <w:rsid w:val="008909BC"/>
    <w:rsid w:val="00891130"/>
    <w:rsid w:val="0089125D"/>
    <w:rsid w:val="0089131F"/>
    <w:rsid w:val="00891854"/>
    <w:rsid w:val="00891A5A"/>
    <w:rsid w:val="00891B8C"/>
    <w:rsid w:val="00891E6C"/>
    <w:rsid w:val="00892020"/>
    <w:rsid w:val="008920DD"/>
    <w:rsid w:val="0089210A"/>
    <w:rsid w:val="00892179"/>
    <w:rsid w:val="00892266"/>
    <w:rsid w:val="008929FB"/>
    <w:rsid w:val="00892A10"/>
    <w:rsid w:val="00892C70"/>
    <w:rsid w:val="00892C9F"/>
    <w:rsid w:val="00892D27"/>
    <w:rsid w:val="00893284"/>
    <w:rsid w:val="0089336E"/>
    <w:rsid w:val="0089339A"/>
    <w:rsid w:val="00893463"/>
    <w:rsid w:val="008934F1"/>
    <w:rsid w:val="00893675"/>
    <w:rsid w:val="00893A68"/>
    <w:rsid w:val="00893DFD"/>
    <w:rsid w:val="00893E10"/>
    <w:rsid w:val="008945B4"/>
    <w:rsid w:val="008946A0"/>
    <w:rsid w:val="00894A79"/>
    <w:rsid w:val="00894C46"/>
    <w:rsid w:val="00894DF1"/>
    <w:rsid w:val="0089547A"/>
    <w:rsid w:val="00895573"/>
    <w:rsid w:val="00895856"/>
    <w:rsid w:val="008958A0"/>
    <w:rsid w:val="008958F4"/>
    <w:rsid w:val="00895C64"/>
    <w:rsid w:val="00896082"/>
    <w:rsid w:val="00896856"/>
    <w:rsid w:val="008976BD"/>
    <w:rsid w:val="0089782B"/>
    <w:rsid w:val="008979CA"/>
    <w:rsid w:val="00897C1E"/>
    <w:rsid w:val="00897D5E"/>
    <w:rsid w:val="008A04A3"/>
    <w:rsid w:val="008A06E3"/>
    <w:rsid w:val="008A0E8C"/>
    <w:rsid w:val="008A1070"/>
    <w:rsid w:val="008A10AC"/>
    <w:rsid w:val="008A1345"/>
    <w:rsid w:val="008A13C7"/>
    <w:rsid w:val="008A158F"/>
    <w:rsid w:val="008A1675"/>
    <w:rsid w:val="008A17B2"/>
    <w:rsid w:val="008A182E"/>
    <w:rsid w:val="008A1B90"/>
    <w:rsid w:val="008A1EA2"/>
    <w:rsid w:val="008A1ECF"/>
    <w:rsid w:val="008A1FBC"/>
    <w:rsid w:val="008A2027"/>
    <w:rsid w:val="008A2100"/>
    <w:rsid w:val="008A27C5"/>
    <w:rsid w:val="008A2A9F"/>
    <w:rsid w:val="008A2E3A"/>
    <w:rsid w:val="008A2F43"/>
    <w:rsid w:val="008A3114"/>
    <w:rsid w:val="008A315F"/>
    <w:rsid w:val="008A34A6"/>
    <w:rsid w:val="008A34D6"/>
    <w:rsid w:val="008A3866"/>
    <w:rsid w:val="008A3CEF"/>
    <w:rsid w:val="008A3D8A"/>
    <w:rsid w:val="008A40C3"/>
    <w:rsid w:val="008A4244"/>
    <w:rsid w:val="008A4544"/>
    <w:rsid w:val="008A46AC"/>
    <w:rsid w:val="008A4783"/>
    <w:rsid w:val="008A48D6"/>
    <w:rsid w:val="008A490B"/>
    <w:rsid w:val="008A4948"/>
    <w:rsid w:val="008A4A08"/>
    <w:rsid w:val="008A4A72"/>
    <w:rsid w:val="008A4B9E"/>
    <w:rsid w:val="008A4D52"/>
    <w:rsid w:val="008A4F55"/>
    <w:rsid w:val="008A4FB9"/>
    <w:rsid w:val="008A5038"/>
    <w:rsid w:val="008A522A"/>
    <w:rsid w:val="008A54F8"/>
    <w:rsid w:val="008A5593"/>
    <w:rsid w:val="008A55DA"/>
    <w:rsid w:val="008A57E0"/>
    <w:rsid w:val="008A5810"/>
    <w:rsid w:val="008A5915"/>
    <w:rsid w:val="008A5980"/>
    <w:rsid w:val="008A6558"/>
    <w:rsid w:val="008A6614"/>
    <w:rsid w:val="008A6754"/>
    <w:rsid w:val="008A67FA"/>
    <w:rsid w:val="008A68B8"/>
    <w:rsid w:val="008A6B0E"/>
    <w:rsid w:val="008A6F0A"/>
    <w:rsid w:val="008A6FA9"/>
    <w:rsid w:val="008A7231"/>
    <w:rsid w:val="008A75C1"/>
    <w:rsid w:val="008A7754"/>
    <w:rsid w:val="008A77D3"/>
    <w:rsid w:val="008A7A3F"/>
    <w:rsid w:val="008A7ABA"/>
    <w:rsid w:val="008A7C4B"/>
    <w:rsid w:val="008A7D8F"/>
    <w:rsid w:val="008A7F9A"/>
    <w:rsid w:val="008B055F"/>
    <w:rsid w:val="008B05AE"/>
    <w:rsid w:val="008B06A6"/>
    <w:rsid w:val="008B0834"/>
    <w:rsid w:val="008B089A"/>
    <w:rsid w:val="008B096F"/>
    <w:rsid w:val="008B0A23"/>
    <w:rsid w:val="008B0B30"/>
    <w:rsid w:val="008B1482"/>
    <w:rsid w:val="008B17DA"/>
    <w:rsid w:val="008B1915"/>
    <w:rsid w:val="008B1A80"/>
    <w:rsid w:val="008B1B62"/>
    <w:rsid w:val="008B1BF4"/>
    <w:rsid w:val="008B1FDB"/>
    <w:rsid w:val="008B2116"/>
    <w:rsid w:val="008B229C"/>
    <w:rsid w:val="008B23EE"/>
    <w:rsid w:val="008B2948"/>
    <w:rsid w:val="008B2B0B"/>
    <w:rsid w:val="008B2C3B"/>
    <w:rsid w:val="008B2D7A"/>
    <w:rsid w:val="008B3027"/>
    <w:rsid w:val="008B30C3"/>
    <w:rsid w:val="008B31D1"/>
    <w:rsid w:val="008B3544"/>
    <w:rsid w:val="008B38C1"/>
    <w:rsid w:val="008B3A3F"/>
    <w:rsid w:val="008B3A59"/>
    <w:rsid w:val="008B3CF4"/>
    <w:rsid w:val="008B410D"/>
    <w:rsid w:val="008B46BB"/>
    <w:rsid w:val="008B4A74"/>
    <w:rsid w:val="008B4EF8"/>
    <w:rsid w:val="008B52AB"/>
    <w:rsid w:val="008B52DA"/>
    <w:rsid w:val="008B5313"/>
    <w:rsid w:val="008B5A80"/>
    <w:rsid w:val="008B5BC9"/>
    <w:rsid w:val="008B5D22"/>
    <w:rsid w:val="008B5DC0"/>
    <w:rsid w:val="008B62A2"/>
    <w:rsid w:val="008B6359"/>
    <w:rsid w:val="008B6370"/>
    <w:rsid w:val="008B63E2"/>
    <w:rsid w:val="008B65F1"/>
    <w:rsid w:val="008B66DD"/>
    <w:rsid w:val="008B67C9"/>
    <w:rsid w:val="008B692B"/>
    <w:rsid w:val="008B6EB1"/>
    <w:rsid w:val="008B74EC"/>
    <w:rsid w:val="008B76D6"/>
    <w:rsid w:val="008B77EA"/>
    <w:rsid w:val="008B781F"/>
    <w:rsid w:val="008B79D9"/>
    <w:rsid w:val="008B7CBD"/>
    <w:rsid w:val="008B7E2A"/>
    <w:rsid w:val="008C0197"/>
    <w:rsid w:val="008C04AA"/>
    <w:rsid w:val="008C052E"/>
    <w:rsid w:val="008C053F"/>
    <w:rsid w:val="008C0775"/>
    <w:rsid w:val="008C08FE"/>
    <w:rsid w:val="008C091B"/>
    <w:rsid w:val="008C09DA"/>
    <w:rsid w:val="008C12DE"/>
    <w:rsid w:val="008C1384"/>
    <w:rsid w:val="008C13A5"/>
    <w:rsid w:val="008C151F"/>
    <w:rsid w:val="008C1908"/>
    <w:rsid w:val="008C1F03"/>
    <w:rsid w:val="008C1F8C"/>
    <w:rsid w:val="008C2012"/>
    <w:rsid w:val="008C21EA"/>
    <w:rsid w:val="008C24BE"/>
    <w:rsid w:val="008C290D"/>
    <w:rsid w:val="008C29FD"/>
    <w:rsid w:val="008C2A87"/>
    <w:rsid w:val="008C2C67"/>
    <w:rsid w:val="008C2F33"/>
    <w:rsid w:val="008C318C"/>
    <w:rsid w:val="008C344A"/>
    <w:rsid w:val="008C391C"/>
    <w:rsid w:val="008C3C9C"/>
    <w:rsid w:val="008C3D75"/>
    <w:rsid w:val="008C4673"/>
    <w:rsid w:val="008C476A"/>
    <w:rsid w:val="008C482D"/>
    <w:rsid w:val="008C4E55"/>
    <w:rsid w:val="008C4EB8"/>
    <w:rsid w:val="008C4F49"/>
    <w:rsid w:val="008C50AF"/>
    <w:rsid w:val="008C53EC"/>
    <w:rsid w:val="008C5DC1"/>
    <w:rsid w:val="008C5DCA"/>
    <w:rsid w:val="008C5E9F"/>
    <w:rsid w:val="008C6082"/>
    <w:rsid w:val="008C63FB"/>
    <w:rsid w:val="008C69CE"/>
    <w:rsid w:val="008C6A18"/>
    <w:rsid w:val="008C6AAD"/>
    <w:rsid w:val="008C6D98"/>
    <w:rsid w:val="008C6EF7"/>
    <w:rsid w:val="008C6FA8"/>
    <w:rsid w:val="008C7018"/>
    <w:rsid w:val="008C746B"/>
    <w:rsid w:val="008C77C9"/>
    <w:rsid w:val="008C7825"/>
    <w:rsid w:val="008C79C5"/>
    <w:rsid w:val="008C7AC1"/>
    <w:rsid w:val="008D000D"/>
    <w:rsid w:val="008D03A1"/>
    <w:rsid w:val="008D06F4"/>
    <w:rsid w:val="008D0736"/>
    <w:rsid w:val="008D0AFD"/>
    <w:rsid w:val="008D0CF7"/>
    <w:rsid w:val="008D0EB9"/>
    <w:rsid w:val="008D11EC"/>
    <w:rsid w:val="008D1D36"/>
    <w:rsid w:val="008D1E3E"/>
    <w:rsid w:val="008D1F99"/>
    <w:rsid w:val="008D212C"/>
    <w:rsid w:val="008D2228"/>
    <w:rsid w:val="008D22FF"/>
    <w:rsid w:val="008D2499"/>
    <w:rsid w:val="008D280B"/>
    <w:rsid w:val="008D2C47"/>
    <w:rsid w:val="008D2F95"/>
    <w:rsid w:val="008D2FB5"/>
    <w:rsid w:val="008D3363"/>
    <w:rsid w:val="008D36FC"/>
    <w:rsid w:val="008D3982"/>
    <w:rsid w:val="008D3D80"/>
    <w:rsid w:val="008D3ED0"/>
    <w:rsid w:val="008D43B1"/>
    <w:rsid w:val="008D43C4"/>
    <w:rsid w:val="008D445D"/>
    <w:rsid w:val="008D4687"/>
    <w:rsid w:val="008D4E94"/>
    <w:rsid w:val="008D4FC8"/>
    <w:rsid w:val="008D5161"/>
    <w:rsid w:val="008D51CC"/>
    <w:rsid w:val="008D527A"/>
    <w:rsid w:val="008D5975"/>
    <w:rsid w:val="008D5B14"/>
    <w:rsid w:val="008D5EDE"/>
    <w:rsid w:val="008D6091"/>
    <w:rsid w:val="008D60B6"/>
    <w:rsid w:val="008D61C6"/>
    <w:rsid w:val="008D63F6"/>
    <w:rsid w:val="008D66A1"/>
    <w:rsid w:val="008D6728"/>
    <w:rsid w:val="008D6868"/>
    <w:rsid w:val="008D6BEE"/>
    <w:rsid w:val="008D749B"/>
    <w:rsid w:val="008D7548"/>
    <w:rsid w:val="008D75CD"/>
    <w:rsid w:val="008E0602"/>
    <w:rsid w:val="008E0B3C"/>
    <w:rsid w:val="008E0F8B"/>
    <w:rsid w:val="008E1100"/>
    <w:rsid w:val="008E15F2"/>
    <w:rsid w:val="008E17DC"/>
    <w:rsid w:val="008E19E4"/>
    <w:rsid w:val="008E1DDC"/>
    <w:rsid w:val="008E1E9B"/>
    <w:rsid w:val="008E20A6"/>
    <w:rsid w:val="008E233C"/>
    <w:rsid w:val="008E27AC"/>
    <w:rsid w:val="008E294C"/>
    <w:rsid w:val="008E2D52"/>
    <w:rsid w:val="008E2F92"/>
    <w:rsid w:val="008E32D5"/>
    <w:rsid w:val="008E3648"/>
    <w:rsid w:val="008E369A"/>
    <w:rsid w:val="008E39C5"/>
    <w:rsid w:val="008E3D71"/>
    <w:rsid w:val="008E408E"/>
    <w:rsid w:val="008E41B5"/>
    <w:rsid w:val="008E4253"/>
    <w:rsid w:val="008E42F4"/>
    <w:rsid w:val="008E489D"/>
    <w:rsid w:val="008E4946"/>
    <w:rsid w:val="008E4A27"/>
    <w:rsid w:val="008E4DD4"/>
    <w:rsid w:val="008E50DF"/>
    <w:rsid w:val="008E535C"/>
    <w:rsid w:val="008E59CD"/>
    <w:rsid w:val="008E5A8C"/>
    <w:rsid w:val="008E63BC"/>
    <w:rsid w:val="008E6C2B"/>
    <w:rsid w:val="008E7305"/>
    <w:rsid w:val="008E776B"/>
    <w:rsid w:val="008E77F7"/>
    <w:rsid w:val="008E79D7"/>
    <w:rsid w:val="008E7D7C"/>
    <w:rsid w:val="008F0046"/>
    <w:rsid w:val="008F0323"/>
    <w:rsid w:val="008F0595"/>
    <w:rsid w:val="008F0AF3"/>
    <w:rsid w:val="008F0B2A"/>
    <w:rsid w:val="008F1120"/>
    <w:rsid w:val="008F141F"/>
    <w:rsid w:val="008F16B9"/>
    <w:rsid w:val="008F1750"/>
    <w:rsid w:val="008F1B51"/>
    <w:rsid w:val="008F1B80"/>
    <w:rsid w:val="008F1D56"/>
    <w:rsid w:val="008F2495"/>
    <w:rsid w:val="008F251B"/>
    <w:rsid w:val="008F2619"/>
    <w:rsid w:val="008F26B4"/>
    <w:rsid w:val="008F2ACA"/>
    <w:rsid w:val="008F2C08"/>
    <w:rsid w:val="008F2CC2"/>
    <w:rsid w:val="008F2F8C"/>
    <w:rsid w:val="008F3829"/>
    <w:rsid w:val="008F3B6F"/>
    <w:rsid w:val="008F42B4"/>
    <w:rsid w:val="008F4371"/>
    <w:rsid w:val="008F44ED"/>
    <w:rsid w:val="008F46ED"/>
    <w:rsid w:val="008F49FD"/>
    <w:rsid w:val="008F4FAA"/>
    <w:rsid w:val="008F50B6"/>
    <w:rsid w:val="008F5262"/>
    <w:rsid w:val="008F5496"/>
    <w:rsid w:val="008F56C0"/>
    <w:rsid w:val="008F57F3"/>
    <w:rsid w:val="008F5935"/>
    <w:rsid w:val="008F5AE4"/>
    <w:rsid w:val="008F5C2D"/>
    <w:rsid w:val="008F5C33"/>
    <w:rsid w:val="008F5D90"/>
    <w:rsid w:val="008F5ECA"/>
    <w:rsid w:val="008F606E"/>
    <w:rsid w:val="008F62FE"/>
    <w:rsid w:val="008F647A"/>
    <w:rsid w:val="008F6E4D"/>
    <w:rsid w:val="008F71BE"/>
    <w:rsid w:val="008F72BD"/>
    <w:rsid w:val="008F7300"/>
    <w:rsid w:val="008F731D"/>
    <w:rsid w:val="008F7347"/>
    <w:rsid w:val="008F7585"/>
    <w:rsid w:val="008F76D6"/>
    <w:rsid w:val="008F783D"/>
    <w:rsid w:val="008F7851"/>
    <w:rsid w:val="008F7990"/>
    <w:rsid w:val="008F7CFA"/>
    <w:rsid w:val="008F7FFD"/>
    <w:rsid w:val="009003BD"/>
    <w:rsid w:val="009004CD"/>
    <w:rsid w:val="0090099C"/>
    <w:rsid w:val="00900C53"/>
    <w:rsid w:val="00900F7E"/>
    <w:rsid w:val="009010CB"/>
    <w:rsid w:val="00901174"/>
    <w:rsid w:val="009012D7"/>
    <w:rsid w:val="009018EF"/>
    <w:rsid w:val="00901C14"/>
    <w:rsid w:val="00901DB4"/>
    <w:rsid w:val="009021E4"/>
    <w:rsid w:val="0090234C"/>
    <w:rsid w:val="009025A2"/>
    <w:rsid w:val="0090292E"/>
    <w:rsid w:val="00902C1A"/>
    <w:rsid w:val="00902E91"/>
    <w:rsid w:val="009033E0"/>
    <w:rsid w:val="009035B8"/>
    <w:rsid w:val="00903677"/>
    <w:rsid w:val="00903FF4"/>
    <w:rsid w:val="0090412C"/>
    <w:rsid w:val="00904290"/>
    <w:rsid w:val="009042E8"/>
    <w:rsid w:val="009042FA"/>
    <w:rsid w:val="009044E6"/>
    <w:rsid w:val="009047B0"/>
    <w:rsid w:val="00904F9A"/>
    <w:rsid w:val="009050FD"/>
    <w:rsid w:val="00905244"/>
    <w:rsid w:val="00905335"/>
    <w:rsid w:val="00905DD8"/>
    <w:rsid w:val="00905F84"/>
    <w:rsid w:val="00905FB8"/>
    <w:rsid w:val="00906098"/>
    <w:rsid w:val="00906339"/>
    <w:rsid w:val="009064DE"/>
    <w:rsid w:val="00906650"/>
    <w:rsid w:val="0090687D"/>
    <w:rsid w:val="009068D8"/>
    <w:rsid w:val="009069FB"/>
    <w:rsid w:val="00907450"/>
    <w:rsid w:val="00907986"/>
    <w:rsid w:val="00907C64"/>
    <w:rsid w:val="00907E42"/>
    <w:rsid w:val="00907E78"/>
    <w:rsid w:val="00907E7B"/>
    <w:rsid w:val="00907E91"/>
    <w:rsid w:val="00910015"/>
    <w:rsid w:val="00910242"/>
    <w:rsid w:val="009107F4"/>
    <w:rsid w:val="009107F7"/>
    <w:rsid w:val="00910915"/>
    <w:rsid w:val="00910C77"/>
    <w:rsid w:val="009112D6"/>
    <w:rsid w:val="0091131B"/>
    <w:rsid w:val="0091147D"/>
    <w:rsid w:val="009115FC"/>
    <w:rsid w:val="009119A7"/>
    <w:rsid w:val="00911BD0"/>
    <w:rsid w:val="00911CB9"/>
    <w:rsid w:val="00911E6B"/>
    <w:rsid w:val="00911EDD"/>
    <w:rsid w:val="00911FAC"/>
    <w:rsid w:val="00912030"/>
    <w:rsid w:val="00912137"/>
    <w:rsid w:val="0091229A"/>
    <w:rsid w:val="009128DF"/>
    <w:rsid w:val="00912934"/>
    <w:rsid w:val="00912AE9"/>
    <w:rsid w:val="00912BD5"/>
    <w:rsid w:val="00912CC9"/>
    <w:rsid w:val="00912E27"/>
    <w:rsid w:val="00913131"/>
    <w:rsid w:val="009136E2"/>
    <w:rsid w:val="009137BE"/>
    <w:rsid w:val="00913E3F"/>
    <w:rsid w:val="009141C6"/>
    <w:rsid w:val="0091438B"/>
    <w:rsid w:val="0091450B"/>
    <w:rsid w:val="00914592"/>
    <w:rsid w:val="009145C7"/>
    <w:rsid w:val="0091472E"/>
    <w:rsid w:val="009147B4"/>
    <w:rsid w:val="00914E22"/>
    <w:rsid w:val="00914E57"/>
    <w:rsid w:val="00914F16"/>
    <w:rsid w:val="00915175"/>
    <w:rsid w:val="009153C2"/>
    <w:rsid w:val="009156F0"/>
    <w:rsid w:val="00915795"/>
    <w:rsid w:val="009159A5"/>
    <w:rsid w:val="00915A31"/>
    <w:rsid w:val="009160A9"/>
    <w:rsid w:val="00916622"/>
    <w:rsid w:val="0091696D"/>
    <w:rsid w:val="0091698F"/>
    <w:rsid w:val="00916B75"/>
    <w:rsid w:val="00916F24"/>
    <w:rsid w:val="00917004"/>
    <w:rsid w:val="0091719D"/>
    <w:rsid w:val="00917201"/>
    <w:rsid w:val="0091745E"/>
    <w:rsid w:val="00917775"/>
    <w:rsid w:val="00917CB7"/>
    <w:rsid w:val="00917F2C"/>
    <w:rsid w:val="00920107"/>
    <w:rsid w:val="0092042A"/>
    <w:rsid w:val="00920927"/>
    <w:rsid w:val="009209C1"/>
    <w:rsid w:val="00920B8A"/>
    <w:rsid w:val="00920E0A"/>
    <w:rsid w:val="009210AD"/>
    <w:rsid w:val="009212A2"/>
    <w:rsid w:val="00921789"/>
    <w:rsid w:val="009218EF"/>
    <w:rsid w:val="0092207C"/>
    <w:rsid w:val="00922363"/>
    <w:rsid w:val="00922854"/>
    <w:rsid w:val="009229CF"/>
    <w:rsid w:val="00922C29"/>
    <w:rsid w:val="00922D7B"/>
    <w:rsid w:val="00922DC2"/>
    <w:rsid w:val="009236C5"/>
    <w:rsid w:val="00923823"/>
    <w:rsid w:val="0092393D"/>
    <w:rsid w:val="00923A82"/>
    <w:rsid w:val="00923B8A"/>
    <w:rsid w:val="00923CDB"/>
    <w:rsid w:val="00923E72"/>
    <w:rsid w:val="00923FBF"/>
    <w:rsid w:val="009240F2"/>
    <w:rsid w:val="00924A02"/>
    <w:rsid w:val="00924A0D"/>
    <w:rsid w:val="00924A2F"/>
    <w:rsid w:val="00924BB6"/>
    <w:rsid w:val="00924DB4"/>
    <w:rsid w:val="009256A2"/>
    <w:rsid w:val="009256FE"/>
    <w:rsid w:val="00925772"/>
    <w:rsid w:val="00925934"/>
    <w:rsid w:val="009259A0"/>
    <w:rsid w:val="00925D53"/>
    <w:rsid w:val="00926368"/>
    <w:rsid w:val="0092692C"/>
    <w:rsid w:val="00926CA1"/>
    <w:rsid w:val="00926D32"/>
    <w:rsid w:val="00926ED2"/>
    <w:rsid w:val="009270A8"/>
    <w:rsid w:val="00927431"/>
    <w:rsid w:val="00927AE9"/>
    <w:rsid w:val="00927DF9"/>
    <w:rsid w:val="00927E71"/>
    <w:rsid w:val="00927EF1"/>
    <w:rsid w:val="00927EF3"/>
    <w:rsid w:val="00930090"/>
    <w:rsid w:val="009301FB"/>
    <w:rsid w:val="00930398"/>
    <w:rsid w:val="00930889"/>
    <w:rsid w:val="009309D3"/>
    <w:rsid w:val="00930B97"/>
    <w:rsid w:val="00930FDB"/>
    <w:rsid w:val="0093115E"/>
    <w:rsid w:val="009312CC"/>
    <w:rsid w:val="0093153C"/>
    <w:rsid w:val="009315E2"/>
    <w:rsid w:val="00931A1E"/>
    <w:rsid w:val="00931BD8"/>
    <w:rsid w:val="00931D4E"/>
    <w:rsid w:val="00931F5F"/>
    <w:rsid w:val="00932C9E"/>
    <w:rsid w:val="00932DC0"/>
    <w:rsid w:val="00932E3F"/>
    <w:rsid w:val="00932F92"/>
    <w:rsid w:val="009332C8"/>
    <w:rsid w:val="009333CD"/>
    <w:rsid w:val="00933601"/>
    <w:rsid w:val="009336C0"/>
    <w:rsid w:val="009337A3"/>
    <w:rsid w:val="00933911"/>
    <w:rsid w:val="00933949"/>
    <w:rsid w:val="00933A6D"/>
    <w:rsid w:val="00933B00"/>
    <w:rsid w:val="00933D48"/>
    <w:rsid w:val="00934044"/>
    <w:rsid w:val="009340C7"/>
    <w:rsid w:val="009342A5"/>
    <w:rsid w:val="00934611"/>
    <w:rsid w:val="00934ACE"/>
    <w:rsid w:val="00934AF5"/>
    <w:rsid w:val="009352C6"/>
    <w:rsid w:val="0093556C"/>
    <w:rsid w:val="009355E4"/>
    <w:rsid w:val="009359AA"/>
    <w:rsid w:val="00935B3A"/>
    <w:rsid w:val="00935E9F"/>
    <w:rsid w:val="00936BCF"/>
    <w:rsid w:val="00936F7E"/>
    <w:rsid w:val="00937195"/>
    <w:rsid w:val="0093762A"/>
    <w:rsid w:val="0093788C"/>
    <w:rsid w:val="0093790F"/>
    <w:rsid w:val="00937C05"/>
    <w:rsid w:val="00937FD8"/>
    <w:rsid w:val="0094029F"/>
    <w:rsid w:val="00940459"/>
    <w:rsid w:val="00940A6D"/>
    <w:rsid w:val="00940C6E"/>
    <w:rsid w:val="00940DD3"/>
    <w:rsid w:val="00941102"/>
    <w:rsid w:val="00941621"/>
    <w:rsid w:val="0094172F"/>
    <w:rsid w:val="00941DF5"/>
    <w:rsid w:val="00942091"/>
    <w:rsid w:val="0094212C"/>
    <w:rsid w:val="00942420"/>
    <w:rsid w:val="00942962"/>
    <w:rsid w:val="009429E5"/>
    <w:rsid w:val="00942E07"/>
    <w:rsid w:val="00942E24"/>
    <w:rsid w:val="009430A0"/>
    <w:rsid w:val="00943294"/>
    <w:rsid w:val="009436AB"/>
    <w:rsid w:val="00943908"/>
    <w:rsid w:val="00943C44"/>
    <w:rsid w:val="00943F51"/>
    <w:rsid w:val="00943FE6"/>
    <w:rsid w:val="009442A8"/>
    <w:rsid w:val="0094440D"/>
    <w:rsid w:val="009446DE"/>
    <w:rsid w:val="00944802"/>
    <w:rsid w:val="009448CC"/>
    <w:rsid w:val="0094497F"/>
    <w:rsid w:val="00944E6E"/>
    <w:rsid w:val="009451BD"/>
    <w:rsid w:val="009451CB"/>
    <w:rsid w:val="009456EB"/>
    <w:rsid w:val="00945A70"/>
    <w:rsid w:val="00945C09"/>
    <w:rsid w:val="00945E49"/>
    <w:rsid w:val="00945F0F"/>
    <w:rsid w:val="009461A7"/>
    <w:rsid w:val="0094625C"/>
    <w:rsid w:val="00946518"/>
    <w:rsid w:val="00946834"/>
    <w:rsid w:val="00946A6B"/>
    <w:rsid w:val="00946BA8"/>
    <w:rsid w:val="00946D37"/>
    <w:rsid w:val="00947326"/>
    <w:rsid w:val="0094738D"/>
    <w:rsid w:val="00947534"/>
    <w:rsid w:val="0094773C"/>
    <w:rsid w:val="00947C03"/>
    <w:rsid w:val="00947EFB"/>
    <w:rsid w:val="00947F5B"/>
    <w:rsid w:val="00950293"/>
    <w:rsid w:val="0095034D"/>
    <w:rsid w:val="009504C0"/>
    <w:rsid w:val="00950962"/>
    <w:rsid w:val="00950992"/>
    <w:rsid w:val="00950A4B"/>
    <w:rsid w:val="00950BA0"/>
    <w:rsid w:val="00950F3B"/>
    <w:rsid w:val="00951155"/>
    <w:rsid w:val="009511A0"/>
    <w:rsid w:val="009511F3"/>
    <w:rsid w:val="00951431"/>
    <w:rsid w:val="009514BD"/>
    <w:rsid w:val="0095176A"/>
    <w:rsid w:val="009519F6"/>
    <w:rsid w:val="009520DC"/>
    <w:rsid w:val="0095277B"/>
    <w:rsid w:val="0095282A"/>
    <w:rsid w:val="00952AC8"/>
    <w:rsid w:val="00952B40"/>
    <w:rsid w:val="00952EBF"/>
    <w:rsid w:val="009531B4"/>
    <w:rsid w:val="00953300"/>
    <w:rsid w:val="00953425"/>
    <w:rsid w:val="009535B7"/>
    <w:rsid w:val="00953629"/>
    <w:rsid w:val="009537AB"/>
    <w:rsid w:val="009538DC"/>
    <w:rsid w:val="00953BFA"/>
    <w:rsid w:val="009542E3"/>
    <w:rsid w:val="0095430F"/>
    <w:rsid w:val="009544D4"/>
    <w:rsid w:val="009546EF"/>
    <w:rsid w:val="00954779"/>
    <w:rsid w:val="00954944"/>
    <w:rsid w:val="00954B8E"/>
    <w:rsid w:val="00954E0C"/>
    <w:rsid w:val="00955055"/>
    <w:rsid w:val="00955135"/>
    <w:rsid w:val="00955187"/>
    <w:rsid w:val="00955326"/>
    <w:rsid w:val="00955666"/>
    <w:rsid w:val="00955674"/>
    <w:rsid w:val="0095578E"/>
    <w:rsid w:val="009559C2"/>
    <w:rsid w:val="009559C3"/>
    <w:rsid w:val="00955B4B"/>
    <w:rsid w:val="00955E52"/>
    <w:rsid w:val="00955FD6"/>
    <w:rsid w:val="009564F6"/>
    <w:rsid w:val="009565D1"/>
    <w:rsid w:val="009566B9"/>
    <w:rsid w:val="00956882"/>
    <w:rsid w:val="00956CBC"/>
    <w:rsid w:val="00956D1B"/>
    <w:rsid w:val="00957321"/>
    <w:rsid w:val="00957B5B"/>
    <w:rsid w:val="00957BAF"/>
    <w:rsid w:val="009604D6"/>
    <w:rsid w:val="009605BD"/>
    <w:rsid w:val="00960675"/>
    <w:rsid w:val="00960DFB"/>
    <w:rsid w:val="009614A9"/>
    <w:rsid w:val="0096183E"/>
    <w:rsid w:val="00961979"/>
    <w:rsid w:val="00961B06"/>
    <w:rsid w:val="00961D87"/>
    <w:rsid w:val="00961DA1"/>
    <w:rsid w:val="00961F6F"/>
    <w:rsid w:val="009624F5"/>
    <w:rsid w:val="00962750"/>
    <w:rsid w:val="00962A55"/>
    <w:rsid w:val="00962D56"/>
    <w:rsid w:val="00963160"/>
    <w:rsid w:val="00963428"/>
    <w:rsid w:val="00963DDA"/>
    <w:rsid w:val="00963E8F"/>
    <w:rsid w:val="00963FD1"/>
    <w:rsid w:val="00964378"/>
    <w:rsid w:val="00964544"/>
    <w:rsid w:val="00964D40"/>
    <w:rsid w:val="00964F44"/>
    <w:rsid w:val="00965064"/>
    <w:rsid w:val="009652DF"/>
    <w:rsid w:val="00965993"/>
    <w:rsid w:val="009659D2"/>
    <w:rsid w:val="00965A6F"/>
    <w:rsid w:val="0096639A"/>
    <w:rsid w:val="00966592"/>
    <w:rsid w:val="009666BD"/>
    <w:rsid w:val="0096707B"/>
    <w:rsid w:val="009672FA"/>
    <w:rsid w:val="009675BD"/>
    <w:rsid w:val="009676EE"/>
    <w:rsid w:val="009677CE"/>
    <w:rsid w:val="00967B05"/>
    <w:rsid w:val="00967B0E"/>
    <w:rsid w:val="00967D44"/>
    <w:rsid w:val="00967EDB"/>
    <w:rsid w:val="00967F97"/>
    <w:rsid w:val="009701C0"/>
    <w:rsid w:val="009703E6"/>
    <w:rsid w:val="00970698"/>
    <w:rsid w:val="00970968"/>
    <w:rsid w:val="00970B9A"/>
    <w:rsid w:val="00970C9A"/>
    <w:rsid w:val="00970E52"/>
    <w:rsid w:val="00970FD4"/>
    <w:rsid w:val="0097154D"/>
    <w:rsid w:val="0097177B"/>
    <w:rsid w:val="00971BC0"/>
    <w:rsid w:val="00971C84"/>
    <w:rsid w:val="00971CCB"/>
    <w:rsid w:val="00972208"/>
    <w:rsid w:val="0097249B"/>
    <w:rsid w:val="009728AA"/>
    <w:rsid w:val="00972951"/>
    <w:rsid w:val="0097295E"/>
    <w:rsid w:val="009729D0"/>
    <w:rsid w:val="00972F42"/>
    <w:rsid w:val="0097304A"/>
    <w:rsid w:val="009730DB"/>
    <w:rsid w:val="009731AF"/>
    <w:rsid w:val="00973532"/>
    <w:rsid w:val="0097373C"/>
    <w:rsid w:val="00973927"/>
    <w:rsid w:val="009739DA"/>
    <w:rsid w:val="00973D43"/>
    <w:rsid w:val="00973EBA"/>
    <w:rsid w:val="00973EC6"/>
    <w:rsid w:val="009740B2"/>
    <w:rsid w:val="00974716"/>
    <w:rsid w:val="0097486C"/>
    <w:rsid w:val="00974B7F"/>
    <w:rsid w:val="00974FA0"/>
    <w:rsid w:val="0097513E"/>
    <w:rsid w:val="009753BE"/>
    <w:rsid w:val="009755D2"/>
    <w:rsid w:val="009755EA"/>
    <w:rsid w:val="009756BC"/>
    <w:rsid w:val="009758FD"/>
    <w:rsid w:val="009759C1"/>
    <w:rsid w:val="00975AD4"/>
    <w:rsid w:val="00975B21"/>
    <w:rsid w:val="00976700"/>
    <w:rsid w:val="00977251"/>
    <w:rsid w:val="0097736A"/>
    <w:rsid w:val="00977669"/>
    <w:rsid w:val="009776AC"/>
    <w:rsid w:val="009776C7"/>
    <w:rsid w:val="0097777C"/>
    <w:rsid w:val="00977864"/>
    <w:rsid w:val="00977908"/>
    <w:rsid w:val="0097793C"/>
    <w:rsid w:val="00977A2F"/>
    <w:rsid w:val="00977A5E"/>
    <w:rsid w:val="00977C0F"/>
    <w:rsid w:val="00977E37"/>
    <w:rsid w:val="00977F7E"/>
    <w:rsid w:val="00980382"/>
    <w:rsid w:val="009803DF"/>
    <w:rsid w:val="009804C1"/>
    <w:rsid w:val="0098066C"/>
    <w:rsid w:val="00980825"/>
    <w:rsid w:val="00980934"/>
    <w:rsid w:val="00980A40"/>
    <w:rsid w:val="009810CA"/>
    <w:rsid w:val="009813AA"/>
    <w:rsid w:val="00981445"/>
    <w:rsid w:val="00981475"/>
    <w:rsid w:val="0098159E"/>
    <w:rsid w:val="009816A1"/>
    <w:rsid w:val="009817A4"/>
    <w:rsid w:val="00981817"/>
    <w:rsid w:val="00981935"/>
    <w:rsid w:val="009820F9"/>
    <w:rsid w:val="0098235C"/>
    <w:rsid w:val="009825F2"/>
    <w:rsid w:val="0098282E"/>
    <w:rsid w:val="009828DA"/>
    <w:rsid w:val="00982A4B"/>
    <w:rsid w:val="00982D6B"/>
    <w:rsid w:val="00982F48"/>
    <w:rsid w:val="00982F87"/>
    <w:rsid w:val="0098347A"/>
    <w:rsid w:val="009834C4"/>
    <w:rsid w:val="00983761"/>
    <w:rsid w:val="00983C10"/>
    <w:rsid w:val="00983FDF"/>
    <w:rsid w:val="0098409E"/>
    <w:rsid w:val="009844E8"/>
    <w:rsid w:val="00984620"/>
    <w:rsid w:val="0098481D"/>
    <w:rsid w:val="00984A16"/>
    <w:rsid w:val="00984AE2"/>
    <w:rsid w:val="00984DEC"/>
    <w:rsid w:val="00984E5F"/>
    <w:rsid w:val="00984F8B"/>
    <w:rsid w:val="0098506D"/>
    <w:rsid w:val="0098529A"/>
    <w:rsid w:val="00985407"/>
    <w:rsid w:val="009856D0"/>
    <w:rsid w:val="009857E0"/>
    <w:rsid w:val="00985B00"/>
    <w:rsid w:val="00985F9A"/>
    <w:rsid w:val="009861BE"/>
    <w:rsid w:val="0098646F"/>
    <w:rsid w:val="009864C5"/>
    <w:rsid w:val="00986C9E"/>
    <w:rsid w:val="00986E82"/>
    <w:rsid w:val="0098789A"/>
    <w:rsid w:val="009878A4"/>
    <w:rsid w:val="00987988"/>
    <w:rsid w:val="00987A21"/>
    <w:rsid w:val="00987A3A"/>
    <w:rsid w:val="00987A4C"/>
    <w:rsid w:val="00987B57"/>
    <w:rsid w:val="00987BE3"/>
    <w:rsid w:val="00987D8A"/>
    <w:rsid w:val="0099000F"/>
    <w:rsid w:val="00990086"/>
    <w:rsid w:val="0099014A"/>
    <w:rsid w:val="00990864"/>
    <w:rsid w:val="00990BBF"/>
    <w:rsid w:val="00990DEB"/>
    <w:rsid w:val="00990F44"/>
    <w:rsid w:val="009910A9"/>
    <w:rsid w:val="009914B1"/>
    <w:rsid w:val="00991723"/>
    <w:rsid w:val="00991956"/>
    <w:rsid w:val="00991E8E"/>
    <w:rsid w:val="0099244D"/>
    <w:rsid w:val="00992882"/>
    <w:rsid w:val="00992B1D"/>
    <w:rsid w:val="00992BEF"/>
    <w:rsid w:val="00992C2B"/>
    <w:rsid w:val="00992E6D"/>
    <w:rsid w:val="009934BE"/>
    <w:rsid w:val="009937DB"/>
    <w:rsid w:val="009939E3"/>
    <w:rsid w:val="00993C55"/>
    <w:rsid w:val="00993CE3"/>
    <w:rsid w:val="00993D7E"/>
    <w:rsid w:val="00994688"/>
    <w:rsid w:val="009949C6"/>
    <w:rsid w:val="00994EC9"/>
    <w:rsid w:val="00995521"/>
    <w:rsid w:val="0099552E"/>
    <w:rsid w:val="0099589A"/>
    <w:rsid w:val="00995C9C"/>
    <w:rsid w:val="00995D26"/>
    <w:rsid w:val="00995D60"/>
    <w:rsid w:val="00995F25"/>
    <w:rsid w:val="0099641E"/>
    <w:rsid w:val="00996544"/>
    <w:rsid w:val="00996937"/>
    <w:rsid w:val="00996AD8"/>
    <w:rsid w:val="00996C0C"/>
    <w:rsid w:val="00996DCA"/>
    <w:rsid w:val="0099708F"/>
    <w:rsid w:val="009971C7"/>
    <w:rsid w:val="00997249"/>
    <w:rsid w:val="00997372"/>
    <w:rsid w:val="00997698"/>
    <w:rsid w:val="00997E65"/>
    <w:rsid w:val="00997F8B"/>
    <w:rsid w:val="009A03EC"/>
    <w:rsid w:val="009A0423"/>
    <w:rsid w:val="009A04E7"/>
    <w:rsid w:val="009A07C2"/>
    <w:rsid w:val="009A0C7C"/>
    <w:rsid w:val="009A0ED7"/>
    <w:rsid w:val="009A10B2"/>
    <w:rsid w:val="009A10B8"/>
    <w:rsid w:val="009A110E"/>
    <w:rsid w:val="009A14A6"/>
    <w:rsid w:val="009A184C"/>
    <w:rsid w:val="009A1921"/>
    <w:rsid w:val="009A1F30"/>
    <w:rsid w:val="009A1F93"/>
    <w:rsid w:val="009A2335"/>
    <w:rsid w:val="009A2599"/>
    <w:rsid w:val="009A275F"/>
    <w:rsid w:val="009A2796"/>
    <w:rsid w:val="009A279D"/>
    <w:rsid w:val="009A2A86"/>
    <w:rsid w:val="009A309D"/>
    <w:rsid w:val="009A312B"/>
    <w:rsid w:val="009A334E"/>
    <w:rsid w:val="009A3486"/>
    <w:rsid w:val="009A3811"/>
    <w:rsid w:val="009A3911"/>
    <w:rsid w:val="009A39DD"/>
    <w:rsid w:val="009A3B85"/>
    <w:rsid w:val="009A3BAF"/>
    <w:rsid w:val="009A3CCF"/>
    <w:rsid w:val="009A3E42"/>
    <w:rsid w:val="009A417A"/>
    <w:rsid w:val="009A421C"/>
    <w:rsid w:val="009A44E9"/>
    <w:rsid w:val="009A46F9"/>
    <w:rsid w:val="009A47C1"/>
    <w:rsid w:val="009A4932"/>
    <w:rsid w:val="009A4BCD"/>
    <w:rsid w:val="009A4D98"/>
    <w:rsid w:val="009A51C7"/>
    <w:rsid w:val="009A5206"/>
    <w:rsid w:val="009A5770"/>
    <w:rsid w:val="009A58AF"/>
    <w:rsid w:val="009A598B"/>
    <w:rsid w:val="009A5A88"/>
    <w:rsid w:val="009A6158"/>
    <w:rsid w:val="009A6182"/>
    <w:rsid w:val="009A621E"/>
    <w:rsid w:val="009A6B1B"/>
    <w:rsid w:val="009A6D7E"/>
    <w:rsid w:val="009A707D"/>
    <w:rsid w:val="009A7323"/>
    <w:rsid w:val="009A7362"/>
    <w:rsid w:val="009A761B"/>
    <w:rsid w:val="009A7D4C"/>
    <w:rsid w:val="009A7DFE"/>
    <w:rsid w:val="009B0072"/>
    <w:rsid w:val="009B00C0"/>
    <w:rsid w:val="009B016F"/>
    <w:rsid w:val="009B01C9"/>
    <w:rsid w:val="009B0216"/>
    <w:rsid w:val="009B028D"/>
    <w:rsid w:val="009B059B"/>
    <w:rsid w:val="009B0E96"/>
    <w:rsid w:val="009B0EAB"/>
    <w:rsid w:val="009B1066"/>
    <w:rsid w:val="009B1233"/>
    <w:rsid w:val="009B166E"/>
    <w:rsid w:val="009B1B6C"/>
    <w:rsid w:val="009B1CA9"/>
    <w:rsid w:val="009B1D85"/>
    <w:rsid w:val="009B1E43"/>
    <w:rsid w:val="009B21CD"/>
    <w:rsid w:val="009B2369"/>
    <w:rsid w:val="009B25D2"/>
    <w:rsid w:val="009B27DB"/>
    <w:rsid w:val="009B2944"/>
    <w:rsid w:val="009B2B13"/>
    <w:rsid w:val="009B2BE9"/>
    <w:rsid w:val="009B2CC4"/>
    <w:rsid w:val="009B2CC6"/>
    <w:rsid w:val="009B2DC9"/>
    <w:rsid w:val="009B31CE"/>
    <w:rsid w:val="009B3306"/>
    <w:rsid w:val="009B3785"/>
    <w:rsid w:val="009B39AD"/>
    <w:rsid w:val="009B3E57"/>
    <w:rsid w:val="009B4459"/>
    <w:rsid w:val="009B468E"/>
    <w:rsid w:val="009B494E"/>
    <w:rsid w:val="009B4ACE"/>
    <w:rsid w:val="009B4C3E"/>
    <w:rsid w:val="009B4C9C"/>
    <w:rsid w:val="009B4D6E"/>
    <w:rsid w:val="009B4E86"/>
    <w:rsid w:val="009B4EF6"/>
    <w:rsid w:val="009B50E9"/>
    <w:rsid w:val="009B5375"/>
    <w:rsid w:val="009B5459"/>
    <w:rsid w:val="009B5504"/>
    <w:rsid w:val="009B56CB"/>
    <w:rsid w:val="009B56EC"/>
    <w:rsid w:val="009B5AC8"/>
    <w:rsid w:val="009B5E4A"/>
    <w:rsid w:val="009B5F67"/>
    <w:rsid w:val="009B5FA6"/>
    <w:rsid w:val="009B6144"/>
    <w:rsid w:val="009B62A8"/>
    <w:rsid w:val="009B63DB"/>
    <w:rsid w:val="009B69C4"/>
    <w:rsid w:val="009B6EC1"/>
    <w:rsid w:val="009B6ECA"/>
    <w:rsid w:val="009B7480"/>
    <w:rsid w:val="009B75D6"/>
    <w:rsid w:val="009B76E3"/>
    <w:rsid w:val="009B76FD"/>
    <w:rsid w:val="009B7869"/>
    <w:rsid w:val="009B7B03"/>
    <w:rsid w:val="009B7CA9"/>
    <w:rsid w:val="009B7FAE"/>
    <w:rsid w:val="009C099B"/>
    <w:rsid w:val="009C09DE"/>
    <w:rsid w:val="009C0AA2"/>
    <w:rsid w:val="009C0F45"/>
    <w:rsid w:val="009C0FB6"/>
    <w:rsid w:val="009C115A"/>
    <w:rsid w:val="009C12B6"/>
    <w:rsid w:val="009C1370"/>
    <w:rsid w:val="009C17A7"/>
    <w:rsid w:val="009C1C82"/>
    <w:rsid w:val="009C1C8B"/>
    <w:rsid w:val="009C1CF5"/>
    <w:rsid w:val="009C1EC5"/>
    <w:rsid w:val="009C1F43"/>
    <w:rsid w:val="009C234A"/>
    <w:rsid w:val="009C2617"/>
    <w:rsid w:val="009C263D"/>
    <w:rsid w:val="009C2985"/>
    <w:rsid w:val="009C2C7F"/>
    <w:rsid w:val="009C2D3D"/>
    <w:rsid w:val="009C2D3E"/>
    <w:rsid w:val="009C30B9"/>
    <w:rsid w:val="009C3153"/>
    <w:rsid w:val="009C325C"/>
    <w:rsid w:val="009C336C"/>
    <w:rsid w:val="009C3750"/>
    <w:rsid w:val="009C37A7"/>
    <w:rsid w:val="009C380C"/>
    <w:rsid w:val="009C3A1E"/>
    <w:rsid w:val="009C42FD"/>
    <w:rsid w:val="009C4364"/>
    <w:rsid w:val="009C4578"/>
    <w:rsid w:val="009C48E7"/>
    <w:rsid w:val="009C4970"/>
    <w:rsid w:val="009C4BE1"/>
    <w:rsid w:val="009C4C13"/>
    <w:rsid w:val="009C4CD2"/>
    <w:rsid w:val="009C53AC"/>
    <w:rsid w:val="009C53CC"/>
    <w:rsid w:val="009C58B3"/>
    <w:rsid w:val="009C5DCC"/>
    <w:rsid w:val="009C6325"/>
    <w:rsid w:val="009C633F"/>
    <w:rsid w:val="009C6389"/>
    <w:rsid w:val="009C67EA"/>
    <w:rsid w:val="009C68B7"/>
    <w:rsid w:val="009C6F6D"/>
    <w:rsid w:val="009C71A3"/>
    <w:rsid w:val="009C72D9"/>
    <w:rsid w:val="009C7578"/>
    <w:rsid w:val="009C76FF"/>
    <w:rsid w:val="009C7717"/>
    <w:rsid w:val="009C7A52"/>
    <w:rsid w:val="009C7AB1"/>
    <w:rsid w:val="009C7D7C"/>
    <w:rsid w:val="009D01F5"/>
    <w:rsid w:val="009D02EC"/>
    <w:rsid w:val="009D0550"/>
    <w:rsid w:val="009D09D5"/>
    <w:rsid w:val="009D0B0D"/>
    <w:rsid w:val="009D0C13"/>
    <w:rsid w:val="009D0C96"/>
    <w:rsid w:val="009D0D50"/>
    <w:rsid w:val="009D0FEF"/>
    <w:rsid w:val="009D149D"/>
    <w:rsid w:val="009D15AA"/>
    <w:rsid w:val="009D1634"/>
    <w:rsid w:val="009D18E8"/>
    <w:rsid w:val="009D1AD8"/>
    <w:rsid w:val="009D1C95"/>
    <w:rsid w:val="009D1E58"/>
    <w:rsid w:val="009D1F6F"/>
    <w:rsid w:val="009D2077"/>
    <w:rsid w:val="009D210B"/>
    <w:rsid w:val="009D2182"/>
    <w:rsid w:val="009D2239"/>
    <w:rsid w:val="009D23C3"/>
    <w:rsid w:val="009D2702"/>
    <w:rsid w:val="009D2715"/>
    <w:rsid w:val="009D280E"/>
    <w:rsid w:val="009D29F0"/>
    <w:rsid w:val="009D2C47"/>
    <w:rsid w:val="009D2DA8"/>
    <w:rsid w:val="009D2FAD"/>
    <w:rsid w:val="009D3208"/>
    <w:rsid w:val="009D33DF"/>
    <w:rsid w:val="009D356F"/>
    <w:rsid w:val="009D3575"/>
    <w:rsid w:val="009D35B6"/>
    <w:rsid w:val="009D36A7"/>
    <w:rsid w:val="009D390B"/>
    <w:rsid w:val="009D39BF"/>
    <w:rsid w:val="009D3E25"/>
    <w:rsid w:val="009D3E32"/>
    <w:rsid w:val="009D45FE"/>
    <w:rsid w:val="009D47C7"/>
    <w:rsid w:val="009D4968"/>
    <w:rsid w:val="009D4C67"/>
    <w:rsid w:val="009D50F9"/>
    <w:rsid w:val="009D514E"/>
    <w:rsid w:val="009D52AA"/>
    <w:rsid w:val="009D5591"/>
    <w:rsid w:val="009D55D9"/>
    <w:rsid w:val="009D58B5"/>
    <w:rsid w:val="009D59DD"/>
    <w:rsid w:val="009D5B37"/>
    <w:rsid w:val="009D63A2"/>
    <w:rsid w:val="009D6475"/>
    <w:rsid w:val="009D664B"/>
    <w:rsid w:val="009D66F5"/>
    <w:rsid w:val="009D6874"/>
    <w:rsid w:val="009D69FD"/>
    <w:rsid w:val="009D6C9D"/>
    <w:rsid w:val="009D74D6"/>
    <w:rsid w:val="009D7B0E"/>
    <w:rsid w:val="009D7B8F"/>
    <w:rsid w:val="009D7EAA"/>
    <w:rsid w:val="009E0738"/>
    <w:rsid w:val="009E0750"/>
    <w:rsid w:val="009E07BA"/>
    <w:rsid w:val="009E0A77"/>
    <w:rsid w:val="009E0BE7"/>
    <w:rsid w:val="009E1015"/>
    <w:rsid w:val="009E1365"/>
    <w:rsid w:val="009E17C5"/>
    <w:rsid w:val="009E190D"/>
    <w:rsid w:val="009E19C1"/>
    <w:rsid w:val="009E1C01"/>
    <w:rsid w:val="009E1D61"/>
    <w:rsid w:val="009E1FF4"/>
    <w:rsid w:val="009E2013"/>
    <w:rsid w:val="009E2540"/>
    <w:rsid w:val="009E26A5"/>
    <w:rsid w:val="009E27AC"/>
    <w:rsid w:val="009E292A"/>
    <w:rsid w:val="009E2ACC"/>
    <w:rsid w:val="009E2AE9"/>
    <w:rsid w:val="009E2C97"/>
    <w:rsid w:val="009E2D2A"/>
    <w:rsid w:val="009E2DF7"/>
    <w:rsid w:val="009E2E04"/>
    <w:rsid w:val="009E2EC1"/>
    <w:rsid w:val="009E2ED9"/>
    <w:rsid w:val="009E2FD9"/>
    <w:rsid w:val="009E3013"/>
    <w:rsid w:val="009E30D9"/>
    <w:rsid w:val="009E3490"/>
    <w:rsid w:val="009E34D2"/>
    <w:rsid w:val="009E3A1F"/>
    <w:rsid w:val="009E4157"/>
    <w:rsid w:val="009E4D8C"/>
    <w:rsid w:val="009E5133"/>
    <w:rsid w:val="009E57FF"/>
    <w:rsid w:val="009E5DD7"/>
    <w:rsid w:val="009E5E61"/>
    <w:rsid w:val="009E64D5"/>
    <w:rsid w:val="009E64E8"/>
    <w:rsid w:val="009E6D0B"/>
    <w:rsid w:val="009E72E5"/>
    <w:rsid w:val="009E735D"/>
    <w:rsid w:val="009E7362"/>
    <w:rsid w:val="009E7503"/>
    <w:rsid w:val="009F02B0"/>
    <w:rsid w:val="009F0552"/>
    <w:rsid w:val="009F082B"/>
    <w:rsid w:val="009F0928"/>
    <w:rsid w:val="009F0A20"/>
    <w:rsid w:val="009F0EE7"/>
    <w:rsid w:val="009F1284"/>
    <w:rsid w:val="009F1413"/>
    <w:rsid w:val="009F159D"/>
    <w:rsid w:val="009F165F"/>
    <w:rsid w:val="009F1BF1"/>
    <w:rsid w:val="009F1EC7"/>
    <w:rsid w:val="009F1F30"/>
    <w:rsid w:val="009F27F7"/>
    <w:rsid w:val="009F28D7"/>
    <w:rsid w:val="009F29D5"/>
    <w:rsid w:val="009F2B27"/>
    <w:rsid w:val="009F2C95"/>
    <w:rsid w:val="009F35C4"/>
    <w:rsid w:val="009F3612"/>
    <w:rsid w:val="009F38D0"/>
    <w:rsid w:val="009F3CF2"/>
    <w:rsid w:val="009F3DC8"/>
    <w:rsid w:val="009F3F6C"/>
    <w:rsid w:val="009F40F2"/>
    <w:rsid w:val="009F414F"/>
    <w:rsid w:val="009F41EA"/>
    <w:rsid w:val="009F4276"/>
    <w:rsid w:val="009F4626"/>
    <w:rsid w:val="009F4A89"/>
    <w:rsid w:val="009F4C88"/>
    <w:rsid w:val="009F542B"/>
    <w:rsid w:val="009F55F8"/>
    <w:rsid w:val="009F5E3D"/>
    <w:rsid w:val="009F5EC5"/>
    <w:rsid w:val="009F5F39"/>
    <w:rsid w:val="009F5F61"/>
    <w:rsid w:val="009F5FC0"/>
    <w:rsid w:val="009F62B5"/>
    <w:rsid w:val="009F647C"/>
    <w:rsid w:val="009F6649"/>
    <w:rsid w:val="009F6872"/>
    <w:rsid w:val="009F6B7A"/>
    <w:rsid w:val="009F6B98"/>
    <w:rsid w:val="009F6EBB"/>
    <w:rsid w:val="009F6F47"/>
    <w:rsid w:val="009F6F88"/>
    <w:rsid w:val="009F71BC"/>
    <w:rsid w:val="009F720B"/>
    <w:rsid w:val="009F7288"/>
    <w:rsid w:val="009F7377"/>
    <w:rsid w:val="009F7541"/>
    <w:rsid w:val="009F7744"/>
    <w:rsid w:val="009F7944"/>
    <w:rsid w:val="009F7CAC"/>
    <w:rsid w:val="009F7FD4"/>
    <w:rsid w:val="00A00092"/>
    <w:rsid w:val="00A00297"/>
    <w:rsid w:val="00A00548"/>
    <w:rsid w:val="00A006ED"/>
    <w:rsid w:val="00A007D9"/>
    <w:rsid w:val="00A0098A"/>
    <w:rsid w:val="00A009D7"/>
    <w:rsid w:val="00A00A45"/>
    <w:rsid w:val="00A00A92"/>
    <w:rsid w:val="00A00AEC"/>
    <w:rsid w:val="00A00B79"/>
    <w:rsid w:val="00A00E01"/>
    <w:rsid w:val="00A00E7A"/>
    <w:rsid w:val="00A00FC8"/>
    <w:rsid w:val="00A01065"/>
    <w:rsid w:val="00A0109D"/>
    <w:rsid w:val="00A013B7"/>
    <w:rsid w:val="00A013BE"/>
    <w:rsid w:val="00A013CA"/>
    <w:rsid w:val="00A01597"/>
    <w:rsid w:val="00A01815"/>
    <w:rsid w:val="00A01A95"/>
    <w:rsid w:val="00A01BEF"/>
    <w:rsid w:val="00A01D87"/>
    <w:rsid w:val="00A01DBE"/>
    <w:rsid w:val="00A01DDB"/>
    <w:rsid w:val="00A01E36"/>
    <w:rsid w:val="00A01EB4"/>
    <w:rsid w:val="00A0203A"/>
    <w:rsid w:val="00A021CC"/>
    <w:rsid w:val="00A02250"/>
    <w:rsid w:val="00A022F7"/>
    <w:rsid w:val="00A02E7F"/>
    <w:rsid w:val="00A03031"/>
    <w:rsid w:val="00A03316"/>
    <w:rsid w:val="00A034B8"/>
    <w:rsid w:val="00A03508"/>
    <w:rsid w:val="00A03AC1"/>
    <w:rsid w:val="00A03C78"/>
    <w:rsid w:val="00A03EA4"/>
    <w:rsid w:val="00A03F32"/>
    <w:rsid w:val="00A041EB"/>
    <w:rsid w:val="00A0456C"/>
    <w:rsid w:val="00A0541A"/>
    <w:rsid w:val="00A05461"/>
    <w:rsid w:val="00A056DC"/>
    <w:rsid w:val="00A0570D"/>
    <w:rsid w:val="00A05754"/>
    <w:rsid w:val="00A05A16"/>
    <w:rsid w:val="00A05C77"/>
    <w:rsid w:val="00A05D4A"/>
    <w:rsid w:val="00A05FF2"/>
    <w:rsid w:val="00A0615A"/>
    <w:rsid w:val="00A061CE"/>
    <w:rsid w:val="00A06361"/>
    <w:rsid w:val="00A0642E"/>
    <w:rsid w:val="00A06485"/>
    <w:rsid w:val="00A06A32"/>
    <w:rsid w:val="00A06E76"/>
    <w:rsid w:val="00A07127"/>
    <w:rsid w:val="00A0756D"/>
    <w:rsid w:val="00A07600"/>
    <w:rsid w:val="00A078C0"/>
    <w:rsid w:val="00A10026"/>
    <w:rsid w:val="00A108A5"/>
    <w:rsid w:val="00A1097B"/>
    <w:rsid w:val="00A10AA6"/>
    <w:rsid w:val="00A10F0F"/>
    <w:rsid w:val="00A10F6C"/>
    <w:rsid w:val="00A11208"/>
    <w:rsid w:val="00A114D6"/>
    <w:rsid w:val="00A119B5"/>
    <w:rsid w:val="00A11B10"/>
    <w:rsid w:val="00A11B39"/>
    <w:rsid w:val="00A11B7A"/>
    <w:rsid w:val="00A11C56"/>
    <w:rsid w:val="00A11FA9"/>
    <w:rsid w:val="00A120AD"/>
    <w:rsid w:val="00A12147"/>
    <w:rsid w:val="00A12188"/>
    <w:rsid w:val="00A12A91"/>
    <w:rsid w:val="00A12E4E"/>
    <w:rsid w:val="00A13169"/>
    <w:rsid w:val="00A13382"/>
    <w:rsid w:val="00A137E4"/>
    <w:rsid w:val="00A13C20"/>
    <w:rsid w:val="00A13E3B"/>
    <w:rsid w:val="00A13F8B"/>
    <w:rsid w:val="00A141D2"/>
    <w:rsid w:val="00A14224"/>
    <w:rsid w:val="00A1432A"/>
    <w:rsid w:val="00A1440B"/>
    <w:rsid w:val="00A14475"/>
    <w:rsid w:val="00A14488"/>
    <w:rsid w:val="00A14888"/>
    <w:rsid w:val="00A14C3D"/>
    <w:rsid w:val="00A15301"/>
    <w:rsid w:val="00A15477"/>
    <w:rsid w:val="00A154A7"/>
    <w:rsid w:val="00A15587"/>
    <w:rsid w:val="00A15A78"/>
    <w:rsid w:val="00A15CBF"/>
    <w:rsid w:val="00A15CE6"/>
    <w:rsid w:val="00A15EE0"/>
    <w:rsid w:val="00A15FAC"/>
    <w:rsid w:val="00A16255"/>
    <w:rsid w:val="00A16806"/>
    <w:rsid w:val="00A169F4"/>
    <w:rsid w:val="00A16DD1"/>
    <w:rsid w:val="00A16FD0"/>
    <w:rsid w:val="00A17536"/>
    <w:rsid w:val="00A177A1"/>
    <w:rsid w:val="00A178EE"/>
    <w:rsid w:val="00A17C50"/>
    <w:rsid w:val="00A17D41"/>
    <w:rsid w:val="00A17FC7"/>
    <w:rsid w:val="00A205C8"/>
    <w:rsid w:val="00A2081D"/>
    <w:rsid w:val="00A209A3"/>
    <w:rsid w:val="00A20C48"/>
    <w:rsid w:val="00A20CC0"/>
    <w:rsid w:val="00A20DEF"/>
    <w:rsid w:val="00A21025"/>
    <w:rsid w:val="00A215FD"/>
    <w:rsid w:val="00A21640"/>
    <w:rsid w:val="00A2173A"/>
    <w:rsid w:val="00A217B9"/>
    <w:rsid w:val="00A2189F"/>
    <w:rsid w:val="00A219B5"/>
    <w:rsid w:val="00A21D76"/>
    <w:rsid w:val="00A21F7E"/>
    <w:rsid w:val="00A22094"/>
    <w:rsid w:val="00A22270"/>
    <w:rsid w:val="00A2240A"/>
    <w:rsid w:val="00A2249F"/>
    <w:rsid w:val="00A2255E"/>
    <w:rsid w:val="00A226DA"/>
    <w:rsid w:val="00A22AF1"/>
    <w:rsid w:val="00A22B55"/>
    <w:rsid w:val="00A22E16"/>
    <w:rsid w:val="00A22FCB"/>
    <w:rsid w:val="00A2321C"/>
    <w:rsid w:val="00A23245"/>
    <w:rsid w:val="00A23514"/>
    <w:rsid w:val="00A2359D"/>
    <w:rsid w:val="00A23BF4"/>
    <w:rsid w:val="00A23FEF"/>
    <w:rsid w:val="00A24051"/>
    <w:rsid w:val="00A24497"/>
    <w:rsid w:val="00A244A8"/>
    <w:rsid w:val="00A246BF"/>
    <w:rsid w:val="00A24CFF"/>
    <w:rsid w:val="00A25033"/>
    <w:rsid w:val="00A251E6"/>
    <w:rsid w:val="00A25388"/>
    <w:rsid w:val="00A25C43"/>
    <w:rsid w:val="00A25E6B"/>
    <w:rsid w:val="00A26238"/>
    <w:rsid w:val="00A2640D"/>
    <w:rsid w:val="00A26499"/>
    <w:rsid w:val="00A26622"/>
    <w:rsid w:val="00A266C3"/>
    <w:rsid w:val="00A267D4"/>
    <w:rsid w:val="00A2687C"/>
    <w:rsid w:val="00A26FAA"/>
    <w:rsid w:val="00A27242"/>
    <w:rsid w:val="00A272CB"/>
    <w:rsid w:val="00A2774B"/>
    <w:rsid w:val="00A27AD5"/>
    <w:rsid w:val="00A30072"/>
    <w:rsid w:val="00A300A6"/>
    <w:rsid w:val="00A3014B"/>
    <w:rsid w:val="00A30162"/>
    <w:rsid w:val="00A303E2"/>
    <w:rsid w:val="00A304A6"/>
    <w:rsid w:val="00A30763"/>
    <w:rsid w:val="00A3090D"/>
    <w:rsid w:val="00A30B78"/>
    <w:rsid w:val="00A31145"/>
    <w:rsid w:val="00A311A0"/>
    <w:rsid w:val="00A3121F"/>
    <w:rsid w:val="00A312F3"/>
    <w:rsid w:val="00A31408"/>
    <w:rsid w:val="00A3156B"/>
    <w:rsid w:val="00A3179B"/>
    <w:rsid w:val="00A31E83"/>
    <w:rsid w:val="00A32320"/>
    <w:rsid w:val="00A32350"/>
    <w:rsid w:val="00A3274A"/>
    <w:rsid w:val="00A328A0"/>
    <w:rsid w:val="00A328DC"/>
    <w:rsid w:val="00A328E5"/>
    <w:rsid w:val="00A32C66"/>
    <w:rsid w:val="00A32C7A"/>
    <w:rsid w:val="00A32D33"/>
    <w:rsid w:val="00A32FE7"/>
    <w:rsid w:val="00A33076"/>
    <w:rsid w:val="00A33470"/>
    <w:rsid w:val="00A33536"/>
    <w:rsid w:val="00A337E4"/>
    <w:rsid w:val="00A33A54"/>
    <w:rsid w:val="00A34904"/>
    <w:rsid w:val="00A34E95"/>
    <w:rsid w:val="00A34FBE"/>
    <w:rsid w:val="00A35363"/>
    <w:rsid w:val="00A353D9"/>
    <w:rsid w:val="00A355DC"/>
    <w:rsid w:val="00A359DC"/>
    <w:rsid w:val="00A35A02"/>
    <w:rsid w:val="00A35B21"/>
    <w:rsid w:val="00A35BD2"/>
    <w:rsid w:val="00A35E80"/>
    <w:rsid w:val="00A36FD7"/>
    <w:rsid w:val="00A370C6"/>
    <w:rsid w:val="00A37363"/>
    <w:rsid w:val="00A37BAF"/>
    <w:rsid w:val="00A37BBC"/>
    <w:rsid w:val="00A37D2D"/>
    <w:rsid w:val="00A4014A"/>
    <w:rsid w:val="00A404E6"/>
    <w:rsid w:val="00A40850"/>
    <w:rsid w:val="00A4086B"/>
    <w:rsid w:val="00A40876"/>
    <w:rsid w:val="00A40B08"/>
    <w:rsid w:val="00A40B6F"/>
    <w:rsid w:val="00A40D0F"/>
    <w:rsid w:val="00A41432"/>
    <w:rsid w:val="00A41554"/>
    <w:rsid w:val="00A41763"/>
    <w:rsid w:val="00A4180B"/>
    <w:rsid w:val="00A41869"/>
    <w:rsid w:val="00A4220E"/>
    <w:rsid w:val="00A4248C"/>
    <w:rsid w:val="00A429E9"/>
    <w:rsid w:val="00A42BF4"/>
    <w:rsid w:val="00A42D48"/>
    <w:rsid w:val="00A42E4C"/>
    <w:rsid w:val="00A42F60"/>
    <w:rsid w:val="00A42F81"/>
    <w:rsid w:val="00A42F8E"/>
    <w:rsid w:val="00A432C4"/>
    <w:rsid w:val="00A437AE"/>
    <w:rsid w:val="00A437E8"/>
    <w:rsid w:val="00A43ACF"/>
    <w:rsid w:val="00A43D7D"/>
    <w:rsid w:val="00A43F99"/>
    <w:rsid w:val="00A4417B"/>
    <w:rsid w:val="00A4422C"/>
    <w:rsid w:val="00A442BE"/>
    <w:rsid w:val="00A4444E"/>
    <w:rsid w:val="00A44770"/>
    <w:rsid w:val="00A44788"/>
    <w:rsid w:val="00A44CFF"/>
    <w:rsid w:val="00A44E74"/>
    <w:rsid w:val="00A44FE9"/>
    <w:rsid w:val="00A45014"/>
    <w:rsid w:val="00A458A0"/>
    <w:rsid w:val="00A4598C"/>
    <w:rsid w:val="00A45A31"/>
    <w:rsid w:val="00A45D35"/>
    <w:rsid w:val="00A45E97"/>
    <w:rsid w:val="00A45F0A"/>
    <w:rsid w:val="00A46352"/>
    <w:rsid w:val="00A463D7"/>
    <w:rsid w:val="00A465D3"/>
    <w:rsid w:val="00A4693D"/>
    <w:rsid w:val="00A46F18"/>
    <w:rsid w:val="00A47386"/>
    <w:rsid w:val="00A4756C"/>
    <w:rsid w:val="00A475A8"/>
    <w:rsid w:val="00A47A3F"/>
    <w:rsid w:val="00A47A80"/>
    <w:rsid w:val="00A47B19"/>
    <w:rsid w:val="00A47C13"/>
    <w:rsid w:val="00A47C99"/>
    <w:rsid w:val="00A47E4C"/>
    <w:rsid w:val="00A47EE8"/>
    <w:rsid w:val="00A50654"/>
    <w:rsid w:val="00A5082B"/>
    <w:rsid w:val="00A508B7"/>
    <w:rsid w:val="00A50937"/>
    <w:rsid w:val="00A50B90"/>
    <w:rsid w:val="00A50D5E"/>
    <w:rsid w:val="00A51156"/>
    <w:rsid w:val="00A511D2"/>
    <w:rsid w:val="00A5147F"/>
    <w:rsid w:val="00A51853"/>
    <w:rsid w:val="00A51C40"/>
    <w:rsid w:val="00A51E6A"/>
    <w:rsid w:val="00A51F9C"/>
    <w:rsid w:val="00A520C7"/>
    <w:rsid w:val="00A5220E"/>
    <w:rsid w:val="00A529B6"/>
    <w:rsid w:val="00A529EB"/>
    <w:rsid w:val="00A52AE0"/>
    <w:rsid w:val="00A52C8E"/>
    <w:rsid w:val="00A52F11"/>
    <w:rsid w:val="00A53134"/>
    <w:rsid w:val="00A53282"/>
    <w:rsid w:val="00A5344B"/>
    <w:rsid w:val="00A53469"/>
    <w:rsid w:val="00A53669"/>
    <w:rsid w:val="00A5374B"/>
    <w:rsid w:val="00A539AD"/>
    <w:rsid w:val="00A53B0B"/>
    <w:rsid w:val="00A53C4D"/>
    <w:rsid w:val="00A53D5A"/>
    <w:rsid w:val="00A53E13"/>
    <w:rsid w:val="00A53E93"/>
    <w:rsid w:val="00A53F3B"/>
    <w:rsid w:val="00A53FFA"/>
    <w:rsid w:val="00A5413E"/>
    <w:rsid w:val="00A5415C"/>
    <w:rsid w:val="00A54322"/>
    <w:rsid w:val="00A5477E"/>
    <w:rsid w:val="00A54AF4"/>
    <w:rsid w:val="00A55563"/>
    <w:rsid w:val="00A55584"/>
    <w:rsid w:val="00A558E8"/>
    <w:rsid w:val="00A560F0"/>
    <w:rsid w:val="00A563F0"/>
    <w:rsid w:val="00A569EA"/>
    <w:rsid w:val="00A56BA5"/>
    <w:rsid w:val="00A56CFA"/>
    <w:rsid w:val="00A56DFB"/>
    <w:rsid w:val="00A57769"/>
    <w:rsid w:val="00A578B1"/>
    <w:rsid w:val="00A579EA"/>
    <w:rsid w:val="00A57CF1"/>
    <w:rsid w:val="00A601EA"/>
    <w:rsid w:val="00A608AC"/>
    <w:rsid w:val="00A60C1D"/>
    <w:rsid w:val="00A61084"/>
    <w:rsid w:val="00A611EE"/>
    <w:rsid w:val="00A612F0"/>
    <w:rsid w:val="00A614D5"/>
    <w:rsid w:val="00A61580"/>
    <w:rsid w:val="00A61696"/>
    <w:rsid w:val="00A61770"/>
    <w:rsid w:val="00A61BD9"/>
    <w:rsid w:val="00A61FE2"/>
    <w:rsid w:val="00A62137"/>
    <w:rsid w:val="00A62223"/>
    <w:rsid w:val="00A625E7"/>
    <w:rsid w:val="00A62E16"/>
    <w:rsid w:val="00A62F2C"/>
    <w:rsid w:val="00A630E6"/>
    <w:rsid w:val="00A63147"/>
    <w:rsid w:val="00A6335F"/>
    <w:rsid w:val="00A6336B"/>
    <w:rsid w:val="00A634DF"/>
    <w:rsid w:val="00A6360F"/>
    <w:rsid w:val="00A63753"/>
    <w:rsid w:val="00A63A6B"/>
    <w:rsid w:val="00A63AD5"/>
    <w:rsid w:val="00A63BC8"/>
    <w:rsid w:val="00A63DB5"/>
    <w:rsid w:val="00A64008"/>
    <w:rsid w:val="00A64239"/>
    <w:rsid w:val="00A6434C"/>
    <w:rsid w:val="00A64427"/>
    <w:rsid w:val="00A64B40"/>
    <w:rsid w:val="00A64F4A"/>
    <w:rsid w:val="00A64FAF"/>
    <w:rsid w:val="00A658A9"/>
    <w:rsid w:val="00A6596D"/>
    <w:rsid w:val="00A65BE4"/>
    <w:rsid w:val="00A65CF6"/>
    <w:rsid w:val="00A65F1E"/>
    <w:rsid w:val="00A660F1"/>
    <w:rsid w:val="00A660FB"/>
    <w:rsid w:val="00A6614E"/>
    <w:rsid w:val="00A66247"/>
    <w:rsid w:val="00A666A7"/>
    <w:rsid w:val="00A66B01"/>
    <w:rsid w:val="00A66B40"/>
    <w:rsid w:val="00A66E5E"/>
    <w:rsid w:val="00A66F8A"/>
    <w:rsid w:val="00A6702D"/>
    <w:rsid w:val="00A670F0"/>
    <w:rsid w:val="00A67202"/>
    <w:rsid w:val="00A675C0"/>
    <w:rsid w:val="00A677C6"/>
    <w:rsid w:val="00A67AE7"/>
    <w:rsid w:val="00A67CA2"/>
    <w:rsid w:val="00A7016C"/>
    <w:rsid w:val="00A70352"/>
    <w:rsid w:val="00A703D0"/>
    <w:rsid w:val="00A70D18"/>
    <w:rsid w:val="00A70ECE"/>
    <w:rsid w:val="00A711C1"/>
    <w:rsid w:val="00A71353"/>
    <w:rsid w:val="00A71461"/>
    <w:rsid w:val="00A715B2"/>
    <w:rsid w:val="00A71674"/>
    <w:rsid w:val="00A7167A"/>
    <w:rsid w:val="00A71713"/>
    <w:rsid w:val="00A71A76"/>
    <w:rsid w:val="00A71B3E"/>
    <w:rsid w:val="00A71C2E"/>
    <w:rsid w:val="00A7212C"/>
    <w:rsid w:val="00A7226F"/>
    <w:rsid w:val="00A72310"/>
    <w:rsid w:val="00A7248A"/>
    <w:rsid w:val="00A72589"/>
    <w:rsid w:val="00A72CEC"/>
    <w:rsid w:val="00A72D0F"/>
    <w:rsid w:val="00A72EDA"/>
    <w:rsid w:val="00A73240"/>
    <w:rsid w:val="00A732F8"/>
    <w:rsid w:val="00A7334B"/>
    <w:rsid w:val="00A734B4"/>
    <w:rsid w:val="00A73BC3"/>
    <w:rsid w:val="00A73CA0"/>
    <w:rsid w:val="00A73D1B"/>
    <w:rsid w:val="00A73D6C"/>
    <w:rsid w:val="00A73D78"/>
    <w:rsid w:val="00A73F49"/>
    <w:rsid w:val="00A74347"/>
    <w:rsid w:val="00A745E3"/>
    <w:rsid w:val="00A746C2"/>
    <w:rsid w:val="00A748B8"/>
    <w:rsid w:val="00A751BC"/>
    <w:rsid w:val="00A75401"/>
    <w:rsid w:val="00A75467"/>
    <w:rsid w:val="00A754DE"/>
    <w:rsid w:val="00A7570D"/>
    <w:rsid w:val="00A757C7"/>
    <w:rsid w:val="00A758C8"/>
    <w:rsid w:val="00A75B1E"/>
    <w:rsid w:val="00A75C3D"/>
    <w:rsid w:val="00A75D76"/>
    <w:rsid w:val="00A76356"/>
    <w:rsid w:val="00A764E7"/>
    <w:rsid w:val="00A76AAB"/>
    <w:rsid w:val="00A76DF7"/>
    <w:rsid w:val="00A77087"/>
    <w:rsid w:val="00A77607"/>
    <w:rsid w:val="00A77707"/>
    <w:rsid w:val="00A77B02"/>
    <w:rsid w:val="00A77CA1"/>
    <w:rsid w:val="00A77CBD"/>
    <w:rsid w:val="00A77E92"/>
    <w:rsid w:val="00A77EB0"/>
    <w:rsid w:val="00A80185"/>
    <w:rsid w:val="00A80188"/>
    <w:rsid w:val="00A803B4"/>
    <w:rsid w:val="00A804E3"/>
    <w:rsid w:val="00A8068C"/>
    <w:rsid w:val="00A80827"/>
    <w:rsid w:val="00A80A56"/>
    <w:rsid w:val="00A80B85"/>
    <w:rsid w:val="00A80F75"/>
    <w:rsid w:val="00A81312"/>
    <w:rsid w:val="00A813C2"/>
    <w:rsid w:val="00A81458"/>
    <w:rsid w:val="00A81972"/>
    <w:rsid w:val="00A81A4E"/>
    <w:rsid w:val="00A81A73"/>
    <w:rsid w:val="00A81B87"/>
    <w:rsid w:val="00A81EBC"/>
    <w:rsid w:val="00A81F12"/>
    <w:rsid w:val="00A821AB"/>
    <w:rsid w:val="00A82455"/>
    <w:rsid w:val="00A824DF"/>
    <w:rsid w:val="00A82674"/>
    <w:rsid w:val="00A828CD"/>
    <w:rsid w:val="00A828F1"/>
    <w:rsid w:val="00A82A07"/>
    <w:rsid w:val="00A82B0B"/>
    <w:rsid w:val="00A82B9F"/>
    <w:rsid w:val="00A82EC7"/>
    <w:rsid w:val="00A83031"/>
    <w:rsid w:val="00A83056"/>
    <w:rsid w:val="00A83138"/>
    <w:rsid w:val="00A83C97"/>
    <w:rsid w:val="00A8456D"/>
    <w:rsid w:val="00A84A54"/>
    <w:rsid w:val="00A84FD8"/>
    <w:rsid w:val="00A85127"/>
    <w:rsid w:val="00A854BB"/>
    <w:rsid w:val="00A855C3"/>
    <w:rsid w:val="00A85690"/>
    <w:rsid w:val="00A85864"/>
    <w:rsid w:val="00A85964"/>
    <w:rsid w:val="00A85AF5"/>
    <w:rsid w:val="00A85D1F"/>
    <w:rsid w:val="00A85F7B"/>
    <w:rsid w:val="00A86008"/>
    <w:rsid w:val="00A8601F"/>
    <w:rsid w:val="00A86032"/>
    <w:rsid w:val="00A8626C"/>
    <w:rsid w:val="00A86316"/>
    <w:rsid w:val="00A868E0"/>
    <w:rsid w:val="00A86A93"/>
    <w:rsid w:val="00A86D19"/>
    <w:rsid w:val="00A86E7C"/>
    <w:rsid w:val="00A86EE9"/>
    <w:rsid w:val="00A86EFB"/>
    <w:rsid w:val="00A86F4C"/>
    <w:rsid w:val="00A871BF"/>
    <w:rsid w:val="00A873CD"/>
    <w:rsid w:val="00A87A75"/>
    <w:rsid w:val="00A87C4C"/>
    <w:rsid w:val="00A87CD6"/>
    <w:rsid w:val="00A90353"/>
    <w:rsid w:val="00A903BA"/>
    <w:rsid w:val="00A90B91"/>
    <w:rsid w:val="00A9117C"/>
    <w:rsid w:val="00A91674"/>
    <w:rsid w:val="00A91685"/>
    <w:rsid w:val="00A91A3B"/>
    <w:rsid w:val="00A91BBA"/>
    <w:rsid w:val="00A920CE"/>
    <w:rsid w:val="00A9217F"/>
    <w:rsid w:val="00A92387"/>
    <w:rsid w:val="00A923B6"/>
    <w:rsid w:val="00A9251B"/>
    <w:rsid w:val="00A92D37"/>
    <w:rsid w:val="00A931C8"/>
    <w:rsid w:val="00A932F7"/>
    <w:rsid w:val="00A934B1"/>
    <w:rsid w:val="00A934CC"/>
    <w:rsid w:val="00A935DD"/>
    <w:rsid w:val="00A93640"/>
    <w:rsid w:val="00A93775"/>
    <w:rsid w:val="00A93A13"/>
    <w:rsid w:val="00A93AB2"/>
    <w:rsid w:val="00A93CEB"/>
    <w:rsid w:val="00A94009"/>
    <w:rsid w:val="00A94112"/>
    <w:rsid w:val="00A941FF"/>
    <w:rsid w:val="00A942E8"/>
    <w:rsid w:val="00A943EC"/>
    <w:rsid w:val="00A9494F"/>
    <w:rsid w:val="00A94B03"/>
    <w:rsid w:val="00A94D55"/>
    <w:rsid w:val="00A94E95"/>
    <w:rsid w:val="00A94F64"/>
    <w:rsid w:val="00A952D5"/>
    <w:rsid w:val="00A95369"/>
    <w:rsid w:val="00A9548D"/>
    <w:rsid w:val="00A956A6"/>
    <w:rsid w:val="00A957BF"/>
    <w:rsid w:val="00A9585E"/>
    <w:rsid w:val="00A958AF"/>
    <w:rsid w:val="00A95B8E"/>
    <w:rsid w:val="00A95C9E"/>
    <w:rsid w:val="00A95F6D"/>
    <w:rsid w:val="00A95FE7"/>
    <w:rsid w:val="00A9608F"/>
    <w:rsid w:val="00A96177"/>
    <w:rsid w:val="00A96519"/>
    <w:rsid w:val="00A965DD"/>
    <w:rsid w:val="00A96877"/>
    <w:rsid w:val="00A96B5C"/>
    <w:rsid w:val="00A96B5F"/>
    <w:rsid w:val="00A96DF6"/>
    <w:rsid w:val="00A971F3"/>
    <w:rsid w:val="00A97240"/>
    <w:rsid w:val="00A97279"/>
    <w:rsid w:val="00A97286"/>
    <w:rsid w:val="00A9728A"/>
    <w:rsid w:val="00A97357"/>
    <w:rsid w:val="00A97366"/>
    <w:rsid w:val="00A973C0"/>
    <w:rsid w:val="00A974C4"/>
    <w:rsid w:val="00A975C5"/>
    <w:rsid w:val="00A97786"/>
    <w:rsid w:val="00A978AE"/>
    <w:rsid w:val="00A97A13"/>
    <w:rsid w:val="00A97BEA"/>
    <w:rsid w:val="00A97C0E"/>
    <w:rsid w:val="00A97F66"/>
    <w:rsid w:val="00AA0284"/>
    <w:rsid w:val="00AA034F"/>
    <w:rsid w:val="00AA05A8"/>
    <w:rsid w:val="00AA0716"/>
    <w:rsid w:val="00AA0A53"/>
    <w:rsid w:val="00AA0AB3"/>
    <w:rsid w:val="00AA0AB8"/>
    <w:rsid w:val="00AA0C42"/>
    <w:rsid w:val="00AA0CB8"/>
    <w:rsid w:val="00AA0FD3"/>
    <w:rsid w:val="00AA101D"/>
    <w:rsid w:val="00AA111F"/>
    <w:rsid w:val="00AA1142"/>
    <w:rsid w:val="00AA1212"/>
    <w:rsid w:val="00AA1757"/>
    <w:rsid w:val="00AA1B7D"/>
    <w:rsid w:val="00AA1C2B"/>
    <w:rsid w:val="00AA2278"/>
    <w:rsid w:val="00AA23A7"/>
    <w:rsid w:val="00AA2598"/>
    <w:rsid w:val="00AA2B17"/>
    <w:rsid w:val="00AA2BEE"/>
    <w:rsid w:val="00AA32B1"/>
    <w:rsid w:val="00AA33D0"/>
    <w:rsid w:val="00AA386F"/>
    <w:rsid w:val="00AA3B60"/>
    <w:rsid w:val="00AA3DF7"/>
    <w:rsid w:val="00AA4430"/>
    <w:rsid w:val="00AA46AF"/>
    <w:rsid w:val="00AA485A"/>
    <w:rsid w:val="00AA48EB"/>
    <w:rsid w:val="00AA4981"/>
    <w:rsid w:val="00AA4BE1"/>
    <w:rsid w:val="00AA509D"/>
    <w:rsid w:val="00AA51AC"/>
    <w:rsid w:val="00AA5241"/>
    <w:rsid w:val="00AA5254"/>
    <w:rsid w:val="00AA5723"/>
    <w:rsid w:val="00AA5A6D"/>
    <w:rsid w:val="00AA5AF2"/>
    <w:rsid w:val="00AA5C74"/>
    <w:rsid w:val="00AA66BA"/>
    <w:rsid w:val="00AA6D2B"/>
    <w:rsid w:val="00AA6D45"/>
    <w:rsid w:val="00AA6DB6"/>
    <w:rsid w:val="00AA6F7B"/>
    <w:rsid w:val="00AA6F86"/>
    <w:rsid w:val="00AA6F8D"/>
    <w:rsid w:val="00AA6FFB"/>
    <w:rsid w:val="00AA7201"/>
    <w:rsid w:val="00AA724B"/>
    <w:rsid w:val="00AA739B"/>
    <w:rsid w:val="00AA740E"/>
    <w:rsid w:val="00AA7445"/>
    <w:rsid w:val="00AA7855"/>
    <w:rsid w:val="00AA7C57"/>
    <w:rsid w:val="00AA7E08"/>
    <w:rsid w:val="00AB0046"/>
    <w:rsid w:val="00AB0120"/>
    <w:rsid w:val="00AB015A"/>
    <w:rsid w:val="00AB0392"/>
    <w:rsid w:val="00AB06BA"/>
    <w:rsid w:val="00AB081D"/>
    <w:rsid w:val="00AB0A6E"/>
    <w:rsid w:val="00AB132D"/>
    <w:rsid w:val="00AB13AC"/>
    <w:rsid w:val="00AB18F0"/>
    <w:rsid w:val="00AB1A25"/>
    <w:rsid w:val="00AB22A0"/>
    <w:rsid w:val="00AB27BC"/>
    <w:rsid w:val="00AB2E84"/>
    <w:rsid w:val="00AB2E96"/>
    <w:rsid w:val="00AB3098"/>
    <w:rsid w:val="00AB332B"/>
    <w:rsid w:val="00AB3974"/>
    <w:rsid w:val="00AB3B7B"/>
    <w:rsid w:val="00AB465F"/>
    <w:rsid w:val="00AB4B52"/>
    <w:rsid w:val="00AB4E7D"/>
    <w:rsid w:val="00AB4EDE"/>
    <w:rsid w:val="00AB4F5F"/>
    <w:rsid w:val="00AB5090"/>
    <w:rsid w:val="00AB54A7"/>
    <w:rsid w:val="00AB555D"/>
    <w:rsid w:val="00AB5563"/>
    <w:rsid w:val="00AB58F3"/>
    <w:rsid w:val="00AB5AC2"/>
    <w:rsid w:val="00AB5AFB"/>
    <w:rsid w:val="00AB6171"/>
    <w:rsid w:val="00AB618A"/>
    <w:rsid w:val="00AB627B"/>
    <w:rsid w:val="00AB6379"/>
    <w:rsid w:val="00AB6A75"/>
    <w:rsid w:val="00AB6C60"/>
    <w:rsid w:val="00AB6D47"/>
    <w:rsid w:val="00AB700C"/>
    <w:rsid w:val="00AB7021"/>
    <w:rsid w:val="00AB7152"/>
    <w:rsid w:val="00AB77AB"/>
    <w:rsid w:val="00AB7928"/>
    <w:rsid w:val="00AB7D10"/>
    <w:rsid w:val="00AB7D80"/>
    <w:rsid w:val="00AC00C5"/>
    <w:rsid w:val="00AC025A"/>
    <w:rsid w:val="00AC03A1"/>
    <w:rsid w:val="00AC0587"/>
    <w:rsid w:val="00AC0874"/>
    <w:rsid w:val="00AC0E11"/>
    <w:rsid w:val="00AC0F2F"/>
    <w:rsid w:val="00AC0FDD"/>
    <w:rsid w:val="00AC112F"/>
    <w:rsid w:val="00AC12B1"/>
    <w:rsid w:val="00AC163E"/>
    <w:rsid w:val="00AC1835"/>
    <w:rsid w:val="00AC2190"/>
    <w:rsid w:val="00AC2195"/>
    <w:rsid w:val="00AC2289"/>
    <w:rsid w:val="00AC23FD"/>
    <w:rsid w:val="00AC2516"/>
    <w:rsid w:val="00AC2B49"/>
    <w:rsid w:val="00AC2CEE"/>
    <w:rsid w:val="00AC2F0A"/>
    <w:rsid w:val="00AC350C"/>
    <w:rsid w:val="00AC35B4"/>
    <w:rsid w:val="00AC373D"/>
    <w:rsid w:val="00AC38FA"/>
    <w:rsid w:val="00AC3A06"/>
    <w:rsid w:val="00AC3E50"/>
    <w:rsid w:val="00AC3F35"/>
    <w:rsid w:val="00AC4774"/>
    <w:rsid w:val="00AC4A12"/>
    <w:rsid w:val="00AC5767"/>
    <w:rsid w:val="00AC57D5"/>
    <w:rsid w:val="00AC57F9"/>
    <w:rsid w:val="00AC5D1C"/>
    <w:rsid w:val="00AC5DCE"/>
    <w:rsid w:val="00AC5E3F"/>
    <w:rsid w:val="00AC61DF"/>
    <w:rsid w:val="00AC6289"/>
    <w:rsid w:val="00AC6795"/>
    <w:rsid w:val="00AC6909"/>
    <w:rsid w:val="00AC6CE3"/>
    <w:rsid w:val="00AC6E80"/>
    <w:rsid w:val="00AC70C8"/>
    <w:rsid w:val="00AC7238"/>
    <w:rsid w:val="00AC753E"/>
    <w:rsid w:val="00AC763B"/>
    <w:rsid w:val="00AC7826"/>
    <w:rsid w:val="00AC7BF7"/>
    <w:rsid w:val="00AD01C2"/>
    <w:rsid w:val="00AD01F0"/>
    <w:rsid w:val="00AD025E"/>
    <w:rsid w:val="00AD0587"/>
    <w:rsid w:val="00AD0672"/>
    <w:rsid w:val="00AD07AA"/>
    <w:rsid w:val="00AD0872"/>
    <w:rsid w:val="00AD0D07"/>
    <w:rsid w:val="00AD106F"/>
    <w:rsid w:val="00AD1190"/>
    <w:rsid w:val="00AD128F"/>
    <w:rsid w:val="00AD1434"/>
    <w:rsid w:val="00AD16B5"/>
    <w:rsid w:val="00AD1870"/>
    <w:rsid w:val="00AD1957"/>
    <w:rsid w:val="00AD1C90"/>
    <w:rsid w:val="00AD1E5F"/>
    <w:rsid w:val="00AD218C"/>
    <w:rsid w:val="00AD2330"/>
    <w:rsid w:val="00AD23B9"/>
    <w:rsid w:val="00AD256B"/>
    <w:rsid w:val="00AD25FE"/>
    <w:rsid w:val="00AD28A4"/>
    <w:rsid w:val="00AD2ED6"/>
    <w:rsid w:val="00AD2FBA"/>
    <w:rsid w:val="00AD31DE"/>
    <w:rsid w:val="00AD34CC"/>
    <w:rsid w:val="00AD3519"/>
    <w:rsid w:val="00AD3671"/>
    <w:rsid w:val="00AD39B5"/>
    <w:rsid w:val="00AD3A9D"/>
    <w:rsid w:val="00AD3AED"/>
    <w:rsid w:val="00AD4134"/>
    <w:rsid w:val="00AD4198"/>
    <w:rsid w:val="00AD41AE"/>
    <w:rsid w:val="00AD42BC"/>
    <w:rsid w:val="00AD4862"/>
    <w:rsid w:val="00AD4A2B"/>
    <w:rsid w:val="00AD4B46"/>
    <w:rsid w:val="00AD50FF"/>
    <w:rsid w:val="00AD5219"/>
    <w:rsid w:val="00AD52F5"/>
    <w:rsid w:val="00AD535E"/>
    <w:rsid w:val="00AD53B9"/>
    <w:rsid w:val="00AD585F"/>
    <w:rsid w:val="00AD5C8A"/>
    <w:rsid w:val="00AD62A0"/>
    <w:rsid w:val="00AD637A"/>
    <w:rsid w:val="00AD63F9"/>
    <w:rsid w:val="00AD6A6F"/>
    <w:rsid w:val="00AD6FAE"/>
    <w:rsid w:val="00AD70EC"/>
    <w:rsid w:val="00AD7202"/>
    <w:rsid w:val="00AD723E"/>
    <w:rsid w:val="00AD73D5"/>
    <w:rsid w:val="00AD7870"/>
    <w:rsid w:val="00AD7AC1"/>
    <w:rsid w:val="00AE002A"/>
    <w:rsid w:val="00AE003F"/>
    <w:rsid w:val="00AE04AB"/>
    <w:rsid w:val="00AE04F6"/>
    <w:rsid w:val="00AE06E4"/>
    <w:rsid w:val="00AE07A4"/>
    <w:rsid w:val="00AE0B1F"/>
    <w:rsid w:val="00AE0B93"/>
    <w:rsid w:val="00AE1288"/>
    <w:rsid w:val="00AE12C8"/>
    <w:rsid w:val="00AE1571"/>
    <w:rsid w:val="00AE15F9"/>
    <w:rsid w:val="00AE1650"/>
    <w:rsid w:val="00AE16B4"/>
    <w:rsid w:val="00AE172C"/>
    <w:rsid w:val="00AE177A"/>
    <w:rsid w:val="00AE1831"/>
    <w:rsid w:val="00AE183D"/>
    <w:rsid w:val="00AE186F"/>
    <w:rsid w:val="00AE19C6"/>
    <w:rsid w:val="00AE1A72"/>
    <w:rsid w:val="00AE1B01"/>
    <w:rsid w:val="00AE1FFB"/>
    <w:rsid w:val="00AE2769"/>
    <w:rsid w:val="00AE28A0"/>
    <w:rsid w:val="00AE2BD3"/>
    <w:rsid w:val="00AE2D96"/>
    <w:rsid w:val="00AE2E74"/>
    <w:rsid w:val="00AE306A"/>
    <w:rsid w:val="00AE34E5"/>
    <w:rsid w:val="00AE3618"/>
    <w:rsid w:val="00AE3673"/>
    <w:rsid w:val="00AE3BC8"/>
    <w:rsid w:val="00AE3FF4"/>
    <w:rsid w:val="00AE42C2"/>
    <w:rsid w:val="00AE452E"/>
    <w:rsid w:val="00AE452F"/>
    <w:rsid w:val="00AE458A"/>
    <w:rsid w:val="00AE466B"/>
    <w:rsid w:val="00AE47DD"/>
    <w:rsid w:val="00AE4867"/>
    <w:rsid w:val="00AE4B1C"/>
    <w:rsid w:val="00AE4E4D"/>
    <w:rsid w:val="00AE4F2A"/>
    <w:rsid w:val="00AE5422"/>
    <w:rsid w:val="00AE54E3"/>
    <w:rsid w:val="00AE5513"/>
    <w:rsid w:val="00AE573A"/>
    <w:rsid w:val="00AE59DF"/>
    <w:rsid w:val="00AE5AD0"/>
    <w:rsid w:val="00AE5BA2"/>
    <w:rsid w:val="00AE5BB1"/>
    <w:rsid w:val="00AE6515"/>
    <w:rsid w:val="00AE6A8D"/>
    <w:rsid w:val="00AE6D2C"/>
    <w:rsid w:val="00AE6F40"/>
    <w:rsid w:val="00AE7064"/>
    <w:rsid w:val="00AE7461"/>
    <w:rsid w:val="00AE7536"/>
    <w:rsid w:val="00AE7817"/>
    <w:rsid w:val="00AE7A65"/>
    <w:rsid w:val="00AE7F23"/>
    <w:rsid w:val="00AF009A"/>
    <w:rsid w:val="00AF0314"/>
    <w:rsid w:val="00AF03D3"/>
    <w:rsid w:val="00AF04E6"/>
    <w:rsid w:val="00AF06F9"/>
    <w:rsid w:val="00AF0BA2"/>
    <w:rsid w:val="00AF0CE6"/>
    <w:rsid w:val="00AF0D52"/>
    <w:rsid w:val="00AF0F87"/>
    <w:rsid w:val="00AF103A"/>
    <w:rsid w:val="00AF1085"/>
    <w:rsid w:val="00AF111D"/>
    <w:rsid w:val="00AF1530"/>
    <w:rsid w:val="00AF15B5"/>
    <w:rsid w:val="00AF1793"/>
    <w:rsid w:val="00AF1F00"/>
    <w:rsid w:val="00AF1FDA"/>
    <w:rsid w:val="00AF20EA"/>
    <w:rsid w:val="00AF21EB"/>
    <w:rsid w:val="00AF24E7"/>
    <w:rsid w:val="00AF31AE"/>
    <w:rsid w:val="00AF36CF"/>
    <w:rsid w:val="00AF3B53"/>
    <w:rsid w:val="00AF3BA7"/>
    <w:rsid w:val="00AF3CE7"/>
    <w:rsid w:val="00AF4000"/>
    <w:rsid w:val="00AF4040"/>
    <w:rsid w:val="00AF433E"/>
    <w:rsid w:val="00AF43F6"/>
    <w:rsid w:val="00AF4823"/>
    <w:rsid w:val="00AF4B36"/>
    <w:rsid w:val="00AF4BE7"/>
    <w:rsid w:val="00AF4E48"/>
    <w:rsid w:val="00AF500E"/>
    <w:rsid w:val="00AF5B18"/>
    <w:rsid w:val="00AF5C94"/>
    <w:rsid w:val="00AF5FA7"/>
    <w:rsid w:val="00AF6431"/>
    <w:rsid w:val="00AF65DD"/>
    <w:rsid w:val="00AF69A8"/>
    <w:rsid w:val="00AF69BB"/>
    <w:rsid w:val="00AF69F7"/>
    <w:rsid w:val="00AF6B67"/>
    <w:rsid w:val="00AF6C5C"/>
    <w:rsid w:val="00AF703F"/>
    <w:rsid w:val="00AF70A8"/>
    <w:rsid w:val="00AF7149"/>
    <w:rsid w:val="00AF7211"/>
    <w:rsid w:val="00AF7225"/>
    <w:rsid w:val="00AF729D"/>
    <w:rsid w:val="00AF7957"/>
    <w:rsid w:val="00AF7A39"/>
    <w:rsid w:val="00AF7BCB"/>
    <w:rsid w:val="00AF7D33"/>
    <w:rsid w:val="00AF7DFE"/>
    <w:rsid w:val="00B00011"/>
    <w:rsid w:val="00B004EE"/>
    <w:rsid w:val="00B00616"/>
    <w:rsid w:val="00B0065B"/>
    <w:rsid w:val="00B0070A"/>
    <w:rsid w:val="00B00839"/>
    <w:rsid w:val="00B00AF1"/>
    <w:rsid w:val="00B00E1F"/>
    <w:rsid w:val="00B00F13"/>
    <w:rsid w:val="00B01390"/>
    <w:rsid w:val="00B01A09"/>
    <w:rsid w:val="00B01A7B"/>
    <w:rsid w:val="00B01C0D"/>
    <w:rsid w:val="00B01C52"/>
    <w:rsid w:val="00B01F85"/>
    <w:rsid w:val="00B02002"/>
    <w:rsid w:val="00B02034"/>
    <w:rsid w:val="00B02153"/>
    <w:rsid w:val="00B0215C"/>
    <w:rsid w:val="00B021FC"/>
    <w:rsid w:val="00B0224B"/>
    <w:rsid w:val="00B02323"/>
    <w:rsid w:val="00B02588"/>
    <w:rsid w:val="00B02B5A"/>
    <w:rsid w:val="00B02C37"/>
    <w:rsid w:val="00B02D58"/>
    <w:rsid w:val="00B02DF1"/>
    <w:rsid w:val="00B034F8"/>
    <w:rsid w:val="00B03521"/>
    <w:rsid w:val="00B03984"/>
    <w:rsid w:val="00B03FED"/>
    <w:rsid w:val="00B04211"/>
    <w:rsid w:val="00B043D8"/>
    <w:rsid w:val="00B04592"/>
    <w:rsid w:val="00B0468D"/>
    <w:rsid w:val="00B04702"/>
    <w:rsid w:val="00B04941"/>
    <w:rsid w:val="00B04D7D"/>
    <w:rsid w:val="00B04D8D"/>
    <w:rsid w:val="00B04E75"/>
    <w:rsid w:val="00B04EBE"/>
    <w:rsid w:val="00B053B1"/>
    <w:rsid w:val="00B0550A"/>
    <w:rsid w:val="00B055B3"/>
    <w:rsid w:val="00B05972"/>
    <w:rsid w:val="00B059AC"/>
    <w:rsid w:val="00B059CE"/>
    <w:rsid w:val="00B05C83"/>
    <w:rsid w:val="00B05FD5"/>
    <w:rsid w:val="00B0607F"/>
    <w:rsid w:val="00B061C4"/>
    <w:rsid w:val="00B064D8"/>
    <w:rsid w:val="00B068CF"/>
    <w:rsid w:val="00B06AA4"/>
    <w:rsid w:val="00B06E24"/>
    <w:rsid w:val="00B06F0F"/>
    <w:rsid w:val="00B07590"/>
    <w:rsid w:val="00B07BA3"/>
    <w:rsid w:val="00B07F91"/>
    <w:rsid w:val="00B105D7"/>
    <w:rsid w:val="00B10ABE"/>
    <w:rsid w:val="00B10C1D"/>
    <w:rsid w:val="00B10E4C"/>
    <w:rsid w:val="00B11108"/>
    <w:rsid w:val="00B11132"/>
    <w:rsid w:val="00B117E5"/>
    <w:rsid w:val="00B11801"/>
    <w:rsid w:val="00B118AC"/>
    <w:rsid w:val="00B1194A"/>
    <w:rsid w:val="00B11AC9"/>
    <w:rsid w:val="00B11CC9"/>
    <w:rsid w:val="00B12265"/>
    <w:rsid w:val="00B122D4"/>
    <w:rsid w:val="00B1231B"/>
    <w:rsid w:val="00B123C9"/>
    <w:rsid w:val="00B12836"/>
    <w:rsid w:val="00B12952"/>
    <w:rsid w:val="00B12A0C"/>
    <w:rsid w:val="00B12C17"/>
    <w:rsid w:val="00B13621"/>
    <w:rsid w:val="00B13677"/>
    <w:rsid w:val="00B136A4"/>
    <w:rsid w:val="00B138B2"/>
    <w:rsid w:val="00B13909"/>
    <w:rsid w:val="00B13AA6"/>
    <w:rsid w:val="00B13ADD"/>
    <w:rsid w:val="00B13B77"/>
    <w:rsid w:val="00B13BC2"/>
    <w:rsid w:val="00B1437E"/>
    <w:rsid w:val="00B14417"/>
    <w:rsid w:val="00B14504"/>
    <w:rsid w:val="00B14B91"/>
    <w:rsid w:val="00B15099"/>
    <w:rsid w:val="00B15130"/>
    <w:rsid w:val="00B153BE"/>
    <w:rsid w:val="00B154BB"/>
    <w:rsid w:val="00B155F2"/>
    <w:rsid w:val="00B15693"/>
    <w:rsid w:val="00B15E27"/>
    <w:rsid w:val="00B15EC3"/>
    <w:rsid w:val="00B160B7"/>
    <w:rsid w:val="00B162AE"/>
    <w:rsid w:val="00B1639E"/>
    <w:rsid w:val="00B163C8"/>
    <w:rsid w:val="00B16767"/>
    <w:rsid w:val="00B167DC"/>
    <w:rsid w:val="00B16EA8"/>
    <w:rsid w:val="00B16F85"/>
    <w:rsid w:val="00B17035"/>
    <w:rsid w:val="00B171AC"/>
    <w:rsid w:val="00B174C2"/>
    <w:rsid w:val="00B17A5B"/>
    <w:rsid w:val="00B2024D"/>
    <w:rsid w:val="00B20690"/>
    <w:rsid w:val="00B20A21"/>
    <w:rsid w:val="00B20A3D"/>
    <w:rsid w:val="00B20B67"/>
    <w:rsid w:val="00B20E12"/>
    <w:rsid w:val="00B20E7A"/>
    <w:rsid w:val="00B20F91"/>
    <w:rsid w:val="00B21018"/>
    <w:rsid w:val="00B212FD"/>
    <w:rsid w:val="00B21514"/>
    <w:rsid w:val="00B21739"/>
    <w:rsid w:val="00B21CD4"/>
    <w:rsid w:val="00B21E2B"/>
    <w:rsid w:val="00B21FFB"/>
    <w:rsid w:val="00B22033"/>
    <w:rsid w:val="00B223F7"/>
    <w:rsid w:val="00B226A8"/>
    <w:rsid w:val="00B228B6"/>
    <w:rsid w:val="00B2297E"/>
    <w:rsid w:val="00B229E0"/>
    <w:rsid w:val="00B22AEE"/>
    <w:rsid w:val="00B22B0B"/>
    <w:rsid w:val="00B230EF"/>
    <w:rsid w:val="00B23450"/>
    <w:rsid w:val="00B2345D"/>
    <w:rsid w:val="00B23522"/>
    <w:rsid w:val="00B2371B"/>
    <w:rsid w:val="00B237B0"/>
    <w:rsid w:val="00B2396E"/>
    <w:rsid w:val="00B23D57"/>
    <w:rsid w:val="00B23D67"/>
    <w:rsid w:val="00B23DA2"/>
    <w:rsid w:val="00B23F2E"/>
    <w:rsid w:val="00B241BF"/>
    <w:rsid w:val="00B24578"/>
    <w:rsid w:val="00B24685"/>
    <w:rsid w:val="00B2478E"/>
    <w:rsid w:val="00B24815"/>
    <w:rsid w:val="00B24B68"/>
    <w:rsid w:val="00B24BA3"/>
    <w:rsid w:val="00B24D9D"/>
    <w:rsid w:val="00B24FE4"/>
    <w:rsid w:val="00B251DB"/>
    <w:rsid w:val="00B257DF"/>
    <w:rsid w:val="00B2585C"/>
    <w:rsid w:val="00B25D82"/>
    <w:rsid w:val="00B25EB8"/>
    <w:rsid w:val="00B26466"/>
    <w:rsid w:val="00B2675D"/>
    <w:rsid w:val="00B26862"/>
    <w:rsid w:val="00B26C79"/>
    <w:rsid w:val="00B26CAD"/>
    <w:rsid w:val="00B26FAC"/>
    <w:rsid w:val="00B2715A"/>
    <w:rsid w:val="00B271E8"/>
    <w:rsid w:val="00B275B1"/>
    <w:rsid w:val="00B27B38"/>
    <w:rsid w:val="00B27C48"/>
    <w:rsid w:val="00B27C7B"/>
    <w:rsid w:val="00B27D05"/>
    <w:rsid w:val="00B30045"/>
    <w:rsid w:val="00B30280"/>
    <w:rsid w:val="00B306FD"/>
    <w:rsid w:val="00B307DA"/>
    <w:rsid w:val="00B3097D"/>
    <w:rsid w:val="00B30A55"/>
    <w:rsid w:val="00B30B28"/>
    <w:rsid w:val="00B30F1E"/>
    <w:rsid w:val="00B31037"/>
    <w:rsid w:val="00B314A5"/>
    <w:rsid w:val="00B31F79"/>
    <w:rsid w:val="00B32201"/>
    <w:rsid w:val="00B3220D"/>
    <w:rsid w:val="00B322BD"/>
    <w:rsid w:val="00B32755"/>
    <w:rsid w:val="00B32787"/>
    <w:rsid w:val="00B3291E"/>
    <w:rsid w:val="00B329A2"/>
    <w:rsid w:val="00B32A8D"/>
    <w:rsid w:val="00B32B37"/>
    <w:rsid w:val="00B32C07"/>
    <w:rsid w:val="00B32E60"/>
    <w:rsid w:val="00B3329C"/>
    <w:rsid w:val="00B333C8"/>
    <w:rsid w:val="00B33C4B"/>
    <w:rsid w:val="00B33D79"/>
    <w:rsid w:val="00B34489"/>
    <w:rsid w:val="00B3463F"/>
    <w:rsid w:val="00B34693"/>
    <w:rsid w:val="00B3474B"/>
    <w:rsid w:val="00B34FEA"/>
    <w:rsid w:val="00B35095"/>
    <w:rsid w:val="00B35262"/>
    <w:rsid w:val="00B3534C"/>
    <w:rsid w:val="00B358CE"/>
    <w:rsid w:val="00B35902"/>
    <w:rsid w:val="00B3593E"/>
    <w:rsid w:val="00B35D15"/>
    <w:rsid w:val="00B360D9"/>
    <w:rsid w:val="00B361D6"/>
    <w:rsid w:val="00B36846"/>
    <w:rsid w:val="00B36D2E"/>
    <w:rsid w:val="00B36FF3"/>
    <w:rsid w:val="00B371AA"/>
    <w:rsid w:val="00B3724B"/>
    <w:rsid w:val="00B37B25"/>
    <w:rsid w:val="00B37C68"/>
    <w:rsid w:val="00B400FE"/>
    <w:rsid w:val="00B4064F"/>
    <w:rsid w:val="00B40755"/>
    <w:rsid w:val="00B407AB"/>
    <w:rsid w:val="00B40871"/>
    <w:rsid w:val="00B40D6B"/>
    <w:rsid w:val="00B40DFA"/>
    <w:rsid w:val="00B40FBD"/>
    <w:rsid w:val="00B41275"/>
    <w:rsid w:val="00B41366"/>
    <w:rsid w:val="00B414A6"/>
    <w:rsid w:val="00B423CB"/>
    <w:rsid w:val="00B42719"/>
    <w:rsid w:val="00B4283F"/>
    <w:rsid w:val="00B4294C"/>
    <w:rsid w:val="00B42AA9"/>
    <w:rsid w:val="00B42AE6"/>
    <w:rsid w:val="00B42E7D"/>
    <w:rsid w:val="00B42FB1"/>
    <w:rsid w:val="00B4349A"/>
    <w:rsid w:val="00B437AE"/>
    <w:rsid w:val="00B43B04"/>
    <w:rsid w:val="00B44066"/>
    <w:rsid w:val="00B447FE"/>
    <w:rsid w:val="00B44A4A"/>
    <w:rsid w:val="00B44BB7"/>
    <w:rsid w:val="00B44BDA"/>
    <w:rsid w:val="00B44FE3"/>
    <w:rsid w:val="00B4503B"/>
    <w:rsid w:val="00B452A4"/>
    <w:rsid w:val="00B452DF"/>
    <w:rsid w:val="00B453B6"/>
    <w:rsid w:val="00B456AF"/>
    <w:rsid w:val="00B45E63"/>
    <w:rsid w:val="00B45FAF"/>
    <w:rsid w:val="00B46870"/>
    <w:rsid w:val="00B46874"/>
    <w:rsid w:val="00B46951"/>
    <w:rsid w:val="00B469B1"/>
    <w:rsid w:val="00B46CA4"/>
    <w:rsid w:val="00B4794B"/>
    <w:rsid w:val="00B47A83"/>
    <w:rsid w:val="00B47ED4"/>
    <w:rsid w:val="00B47F77"/>
    <w:rsid w:val="00B500CC"/>
    <w:rsid w:val="00B50166"/>
    <w:rsid w:val="00B50779"/>
    <w:rsid w:val="00B5082F"/>
    <w:rsid w:val="00B50875"/>
    <w:rsid w:val="00B50F6B"/>
    <w:rsid w:val="00B5108E"/>
    <w:rsid w:val="00B5133C"/>
    <w:rsid w:val="00B51BC0"/>
    <w:rsid w:val="00B51F56"/>
    <w:rsid w:val="00B52202"/>
    <w:rsid w:val="00B522A5"/>
    <w:rsid w:val="00B522DC"/>
    <w:rsid w:val="00B53192"/>
    <w:rsid w:val="00B534A0"/>
    <w:rsid w:val="00B5384B"/>
    <w:rsid w:val="00B53993"/>
    <w:rsid w:val="00B53BCA"/>
    <w:rsid w:val="00B53C6A"/>
    <w:rsid w:val="00B53D63"/>
    <w:rsid w:val="00B53DB6"/>
    <w:rsid w:val="00B53DEB"/>
    <w:rsid w:val="00B53E37"/>
    <w:rsid w:val="00B54243"/>
    <w:rsid w:val="00B54282"/>
    <w:rsid w:val="00B5435F"/>
    <w:rsid w:val="00B54668"/>
    <w:rsid w:val="00B54B5E"/>
    <w:rsid w:val="00B54DFA"/>
    <w:rsid w:val="00B54E2E"/>
    <w:rsid w:val="00B55644"/>
    <w:rsid w:val="00B557B0"/>
    <w:rsid w:val="00B55A1E"/>
    <w:rsid w:val="00B55ADA"/>
    <w:rsid w:val="00B55DF8"/>
    <w:rsid w:val="00B55F0C"/>
    <w:rsid w:val="00B56083"/>
    <w:rsid w:val="00B56289"/>
    <w:rsid w:val="00B5640C"/>
    <w:rsid w:val="00B56786"/>
    <w:rsid w:val="00B56B6E"/>
    <w:rsid w:val="00B56B91"/>
    <w:rsid w:val="00B56E2F"/>
    <w:rsid w:val="00B56E4A"/>
    <w:rsid w:val="00B56F79"/>
    <w:rsid w:val="00B57535"/>
    <w:rsid w:val="00B57884"/>
    <w:rsid w:val="00B57AD7"/>
    <w:rsid w:val="00B57B38"/>
    <w:rsid w:val="00B57C76"/>
    <w:rsid w:val="00B57D03"/>
    <w:rsid w:val="00B57FB9"/>
    <w:rsid w:val="00B60096"/>
    <w:rsid w:val="00B601AA"/>
    <w:rsid w:val="00B60215"/>
    <w:rsid w:val="00B60530"/>
    <w:rsid w:val="00B6054A"/>
    <w:rsid w:val="00B60639"/>
    <w:rsid w:val="00B6084F"/>
    <w:rsid w:val="00B60B0A"/>
    <w:rsid w:val="00B60BFE"/>
    <w:rsid w:val="00B60F06"/>
    <w:rsid w:val="00B60F43"/>
    <w:rsid w:val="00B613BA"/>
    <w:rsid w:val="00B614DE"/>
    <w:rsid w:val="00B61513"/>
    <w:rsid w:val="00B615F3"/>
    <w:rsid w:val="00B61AC2"/>
    <w:rsid w:val="00B61BF7"/>
    <w:rsid w:val="00B62090"/>
    <w:rsid w:val="00B623F6"/>
    <w:rsid w:val="00B62745"/>
    <w:rsid w:val="00B6287E"/>
    <w:rsid w:val="00B62AFE"/>
    <w:rsid w:val="00B62EA8"/>
    <w:rsid w:val="00B63303"/>
    <w:rsid w:val="00B6372A"/>
    <w:rsid w:val="00B63781"/>
    <w:rsid w:val="00B637FA"/>
    <w:rsid w:val="00B63865"/>
    <w:rsid w:val="00B64031"/>
    <w:rsid w:val="00B641D8"/>
    <w:rsid w:val="00B64574"/>
    <w:rsid w:val="00B6461E"/>
    <w:rsid w:val="00B64695"/>
    <w:rsid w:val="00B648B1"/>
    <w:rsid w:val="00B64BCA"/>
    <w:rsid w:val="00B65361"/>
    <w:rsid w:val="00B655EA"/>
    <w:rsid w:val="00B65789"/>
    <w:rsid w:val="00B65A1C"/>
    <w:rsid w:val="00B65A8E"/>
    <w:rsid w:val="00B65B0C"/>
    <w:rsid w:val="00B65C89"/>
    <w:rsid w:val="00B65CE9"/>
    <w:rsid w:val="00B65DEF"/>
    <w:rsid w:val="00B66054"/>
    <w:rsid w:val="00B660D8"/>
    <w:rsid w:val="00B66253"/>
    <w:rsid w:val="00B6682F"/>
    <w:rsid w:val="00B66C67"/>
    <w:rsid w:val="00B66E72"/>
    <w:rsid w:val="00B67212"/>
    <w:rsid w:val="00B6735A"/>
    <w:rsid w:val="00B678A2"/>
    <w:rsid w:val="00B67FE8"/>
    <w:rsid w:val="00B7002B"/>
    <w:rsid w:val="00B7004D"/>
    <w:rsid w:val="00B7029C"/>
    <w:rsid w:val="00B70343"/>
    <w:rsid w:val="00B7060B"/>
    <w:rsid w:val="00B706B3"/>
    <w:rsid w:val="00B706D5"/>
    <w:rsid w:val="00B7082B"/>
    <w:rsid w:val="00B70EDD"/>
    <w:rsid w:val="00B714C2"/>
    <w:rsid w:val="00B714C6"/>
    <w:rsid w:val="00B718C6"/>
    <w:rsid w:val="00B71B47"/>
    <w:rsid w:val="00B71B74"/>
    <w:rsid w:val="00B71D2E"/>
    <w:rsid w:val="00B71E31"/>
    <w:rsid w:val="00B71EEB"/>
    <w:rsid w:val="00B72226"/>
    <w:rsid w:val="00B723C4"/>
    <w:rsid w:val="00B72443"/>
    <w:rsid w:val="00B7262F"/>
    <w:rsid w:val="00B7267D"/>
    <w:rsid w:val="00B7279E"/>
    <w:rsid w:val="00B727B4"/>
    <w:rsid w:val="00B727FD"/>
    <w:rsid w:val="00B72A13"/>
    <w:rsid w:val="00B72A7F"/>
    <w:rsid w:val="00B73331"/>
    <w:rsid w:val="00B73527"/>
    <w:rsid w:val="00B735D2"/>
    <w:rsid w:val="00B73626"/>
    <w:rsid w:val="00B73BEA"/>
    <w:rsid w:val="00B73E72"/>
    <w:rsid w:val="00B73ED2"/>
    <w:rsid w:val="00B744A3"/>
    <w:rsid w:val="00B74A25"/>
    <w:rsid w:val="00B74C39"/>
    <w:rsid w:val="00B74F01"/>
    <w:rsid w:val="00B75266"/>
    <w:rsid w:val="00B753EB"/>
    <w:rsid w:val="00B75BE8"/>
    <w:rsid w:val="00B75ECC"/>
    <w:rsid w:val="00B75EED"/>
    <w:rsid w:val="00B75FA5"/>
    <w:rsid w:val="00B7605C"/>
    <w:rsid w:val="00B761BA"/>
    <w:rsid w:val="00B76366"/>
    <w:rsid w:val="00B7646F"/>
    <w:rsid w:val="00B76696"/>
    <w:rsid w:val="00B76804"/>
    <w:rsid w:val="00B7692D"/>
    <w:rsid w:val="00B7723D"/>
    <w:rsid w:val="00B777E7"/>
    <w:rsid w:val="00B77840"/>
    <w:rsid w:val="00B77882"/>
    <w:rsid w:val="00B7799F"/>
    <w:rsid w:val="00B779B8"/>
    <w:rsid w:val="00B77A45"/>
    <w:rsid w:val="00B77AD2"/>
    <w:rsid w:val="00B80018"/>
    <w:rsid w:val="00B801BD"/>
    <w:rsid w:val="00B802AC"/>
    <w:rsid w:val="00B802CD"/>
    <w:rsid w:val="00B80AC5"/>
    <w:rsid w:val="00B80BF9"/>
    <w:rsid w:val="00B80EDE"/>
    <w:rsid w:val="00B8102E"/>
    <w:rsid w:val="00B81182"/>
    <w:rsid w:val="00B81457"/>
    <w:rsid w:val="00B81460"/>
    <w:rsid w:val="00B814B9"/>
    <w:rsid w:val="00B8190E"/>
    <w:rsid w:val="00B81A63"/>
    <w:rsid w:val="00B81B01"/>
    <w:rsid w:val="00B81B0F"/>
    <w:rsid w:val="00B81EA7"/>
    <w:rsid w:val="00B82339"/>
    <w:rsid w:val="00B82622"/>
    <w:rsid w:val="00B82625"/>
    <w:rsid w:val="00B82695"/>
    <w:rsid w:val="00B828BA"/>
    <w:rsid w:val="00B82999"/>
    <w:rsid w:val="00B82B55"/>
    <w:rsid w:val="00B8305C"/>
    <w:rsid w:val="00B8311E"/>
    <w:rsid w:val="00B836FC"/>
    <w:rsid w:val="00B837E9"/>
    <w:rsid w:val="00B83835"/>
    <w:rsid w:val="00B83B6E"/>
    <w:rsid w:val="00B83CF6"/>
    <w:rsid w:val="00B8412D"/>
    <w:rsid w:val="00B841A3"/>
    <w:rsid w:val="00B8426A"/>
    <w:rsid w:val="00B842A0"/>
    <w:rsid w:val="00B84708"/>
    <w:rsid w:val="00B84761"/>
    <w:rsid w:val="00B84B67"/>
    <w:rsid w:val="00B8529C"/>
    <w:rsid w:val="00B85737"/>
    <w:rsid w:val="00B85B9C"/>
    <w:rsid w:val="00B85BAE"/>
    <w:rsid w:val="00B85BD5"/>
    <w:rsid w:val="00B85E35"/>
    <w:rsid w:val="00B85F4E"/>
    <w:rsid w:val="00B86040"/>
    <w:rsid w:val="00B86119"/>
    <w:rsid w:val="00B86670"/>
    <w:rsid w:val="00B869C8"/>
    <w:rsid w:val="00B86CE7"/>
    <w:rsid w:val="00B86D6B"/>
    <w:rsid w:val="00B86EBF"/>
    <w:rsid w:val="00B86FC1"/>
    <w:rsid w:val="00B86FD5"/>
    <w:rsid w:val="00B87160"/>
    <w:rsid w:val="00B87370"/>
    <w:rsid w:val="00B87527"/>
    <w:rsid w:val="00B876F0"/>
    <w:rsid w:val="00B87717"/>
    <w:rsid w:val="00B878BA"/>
    <w:rsid w:val="00B87930"/>
    <w:rsid w:val="00B87A66"/>
    <w:rsid w:val="00B87B6C"/>
    <w:rsid w:val="00B87F0F"/>
    <w:rsid w:val="00B90523"/>
    <w:rsid w:val="00B906AB"/>
    <w:rsid w:val="00B908A6"/>
    <w:rsid w:val="00B908CC"/>
    <w:rsid w:val="00B91619"/>
    <w:rsid w:val="00B9163D"/>
    <w:rsid w:val="00B91796"/>
    <w:rsid w:val="00B91C13"/>
    <w:rsid w:val="00B91D46"/>
    <w:rsid w:val="00B92411"/>
    <w:rsid w:val="00B92606"/>
    <w:rsid w:val="00B92728"/>
    <w:rsid w:val="00B9294B"/>
    <w:rsid w:val="00B929DE"/>
    <w:rsid w:val="00B92AF0"/>
    <w:rsid w:val="00B92C75"/>
    <w:rsid w:val="00B92EEA"/>
    <w:rsid w:val="00B931DE"/>
    <w:rsid w:val="00B9350F"/>
    <w:rsid w:val="00B93564"/>
    <w:rsid w:val="00B9372E"/>
    <w:rsid w:val="00B93785"/>
    <w:rsid w:val="00B93856"/>
    <w:rsid w:val="00B93B93"/>
    <w:rsid w:val="00B93DF2"/>
    <w:rsid w:val="00B93E39"/>
    <w:rsid w:val="00B93F17"/>
    <w:rsid w:val="00B93FE8"/>
    <w:rsid w:val="00B942C3"/>
    <w:rsid w:val="00B943CA"/>
    <w:rsid w:val="00B947BC"/>
    <w:rsid w:val="00B94D29"/>
    <w:rsid w:val="00B94D9B"/>
    <w:rsid w:val="00B94E85"/>
    <w:rsid w:val="00B952AA"/>
    <w:rsid w:val="00B954A5"/>
    <w:rsid w:val="00B9593C"/>
    <w:rsid w:val="00B95C61"/>
    <w:rsid w:val="00B95E74"/>
    <w:rsid w:val="00B96111"/>
    <w:rsid w:val="00B967F2"/>
    <w:rsid w:val="00B96D8A"/>
    <w:rsid w:val="00B971B4"/>
    <w:rsid w:val="00B97851"/>
    <w:rsid w:val="00B97957"/>
    <w:rsid w:val="00B97F85"/>
    <w:rsid w:val="00BA0685"/>
    <w:rsid w:val="00BA06DE"/>
    <w:rsid w:val="00BA0879"/>
    <w:rsid w:val="00BA0A7F"/>
    <w:rsid w:val="00BA0AFA"/>
    <w:rsid w:val="00BA0B62"/>
    <w:rsid w:val="00BA1050"/>
    <w:rsid w:val="00BA1284"/>
    <w:rsid w:val="00BA16BD"/>
    <w:rsid w:val="00BA1A7E"/>
    <w:rsid w:val="00BA1A7F"/>
    <w:rsid w:val="00BA1A94"/>
    <w:rsid w:val="00BA1CF8"/>
    <w:rsid w:val="00BA1D8E"/>
    <w:rsid w:val="00BA200F"/>
    <w:rsid w:val="00BA23E2"/>
    <w:rsid w:val="00BA266E"/>
    <w:rsid w:val="00BA2B27"/>
    <w:rsid w:val="00BA2FEF"/>
    <w:rsid w:val="00BA38AA"/>
    <w:rsid w:val="00BA39CE"/>
    <w:rsid w:val="00BA3D31"/>
    <w:rsid w:val="00BA4161"/>
    <w:rsid w:val="00BA419C"/>
    <w:rsid w:val="00BA44D0"/>
    <w:rsid w:val="00BA479F"/>
    <w:rsid w:val="00BA4A0D"/>
    <w:rsid w:val="00BA4A19"/>
    <w:rsid w:val="00BA4A93"/>
    <w:rsid w:val="00BA4B1A"/>
    <w:rsid w:val="00BA4BEA"/>
    <w:rsid w:val="00BA4CF5"/>
    <w:rsid w:val="00BA4F1E"/>
    <w:rsid w:val="00BA50E5"/>
    <w:rsid w:val="00BA538A"/>
    <w:rsid w:val="00BA5823"/>
    <w:rsid w:val="00BA5B82"/>
    <w:rsid w:val="00BA5C58"/>
    <w:rsid w:val="00BA5D4E"/>
    <w:rsid w:val="00BA63D8"/>
    <w:rsid w:val="00BA6760"/>
    <w:rsid w:val="00BA6BA2"/>
    <w:rsid w:val="00BA6D1D"/>
    <w:rsid w:val="00BA6D2F"/>
    <w:rsid w:val="00BA6E32"/>
    <w:rsid w:val="00BA721A"/>
    <w:rsid w:val="00BA7390"/>
    <w:rsid w:val="00BA76D2"/>
    <w:rsid w:val="00BA780D"/>
    <w:rsid w:val="00BA796D"/>
    <w:rsid w:val="00BB01AF"/>
    <w:rsid w:val="00BB0215"/>
    <w:rsid w:val="00BB02CE"/>
    <w:rsid w:val="00BB0363"/>
    <w:rsid w:val="00BB0485"/>
    <w:rsid w:val="00BB049D"/>
    <w:rsid w:val="00BB075C"/>
    <w:rsid w:val="00BB0CF2"/>
    <w:rsid w:val="00BB10FA"/>
    <w:rsid w:val="00BB12D2"/>
    <w:rsid w:val="00BB1406"/>
    <w:rsid w:val="00BB14F6"/>
    <w:rsid w:val="00BB183D"/>
    <w:rsid w:val="00BB1FB7"/>
    <w:rsid w:val="00BB20A8"/>
    <w:rsid w:val="00BB20D1"/>
    <w:rsid w:val="00BB3063"/>
    <w:rsid w:val="00BB31C1"/>
    <w:rsid w:val="00BB344F"/>
    <w:rsid w:val="00BB35DC"/>
    <w:rsid w:val="00BB3678"/>
    <w:rsid w:val="00BB36D5"/>
    <w:rsid w:val="00BB3907"/>
    <w:rsid w:val="00BB3A45"/>
    <w:rsid w:val="00BB3BB6"/>
    <w:rsid w:val="00BB3F59"/>
    <w:rsid w:val="00BB429A"/>
    <w:rsid w:val="00BB4E0C"/>
    <w:rsid w:val="00BB4F51"/>
    <w:rsid w:val="00BB508D"/>
    <w:rsid w:val="00BB5415"/>
    <w:rsid w:val="00BB5420"/>
    <w:rsid w:val="00BB55C4"/>
    <w:rsid w:val="00BB5766"/>
    <w:rsid w:val="00BB5A77"/>
    <w:rsid w:val="00BB623E"/>
    <w:rsid w:val="00BB6317"/>
    <w:rsid w:val="00BB6334"/>
    <w:rsid w:val="00BB6352"/>
    <w:rsid w:val="00BB6428"/>
    <w:rsid w:val="00BB6761"/>
    <w:rsid w:val="00BB67B6"/>
    <w:rsid w:val="00BB682F"/>
    <w:rsid w:val="00BB68C0"/>
    <w:rsid w:val="00BB68E8"/>
    <w:rsid w:val="00BB699E"/>
    <w:rsid w:val="00BB6A32"/>
    <w:rsid w:val="00BB6B0F"/>
    <w:rsid w:val="00BB6ED8"/>
    <w:rsid w:val="00BB726C"/>
    <w:rsid w:val="00BB7496"/>
    <w:rsid w:val="00BB751B"/>
    <w:rsid w:val="00BB7959"/>
    <w:rsid w:val="00BB7A4A"/>
    <w:rsid w:val="00BB7CA0"/>
    <w:rsid w:val="00BB7FD8"/>
    <w:rsid w:val="00BC0246"/>
    <w:rsid w:val="00BC02E8"/>
    <w:rsid w:val="00BC038F"/>
    <w:rsid w:val="00BC03E8"/>
    <w:rsid w:val="00BC0774"/>
    <w:rsid w:val="00BC0A7B"/>
    <w:rsid w:val="00BC0F64"/>
    <w:rsid w:val="00BC1032"/>
    <w:rsid w:val="00BC11D5"/>
    <w:rsid w:val="00BC12ED"/>
    <w:rsid w:val="00BC142F"/>
    <w:rsid w:val="00BC1544"/>
    <w:rsid w:val="00BC155F"/>
    <w:rsid w:val="00BC1607"/>
    <w:rsid w:val="00BC1777"/>
    <w:rsid w:val="00BC1C97"/>
    <w:rsid w:val="00BC20F5"/>
    <w:rsid w:val="00BC2109"/>
    <w:rsid w:val="00BC21ED"/>
    <w:rsid w:val="00BC2236"/>
    <w:rsid w:val="00BC233F"/>
    <w:rsid w:val="00BC2533"/>
    <w:rsid w:val="00BC292D"/>
    <w:rsid w:val="00BC2C26"/>
    <w:rsid w:val="00BC2C61"/>
    <w:rsid w:val="00BC2CC0"/>
    <w:rsid w:val="00BC2D35"/>
    <w:rsid w:val="00BC2DB6"/>
    <w:rsid w:val="00BC35FD"/>
    <w:rsid w:val="00BC3681"/>
    <w:rsid w:val="00BC389E"/>
    <w:rsid w:val="00BC38E7"/>
    <w:rsid w:val="00BC3E5B"/>
    <w:rsid w:val="00BC3F04"/>
    <w:rsid w:val="00BC404C"/>
    <w:rsid w:val="00BC40DD"/>
    <w:rsid w:val="00BC432F"/>
    <w:rsid w:val="00BC439C"/>
    <w:rsid w:val="00BC48CA"/>
    <w:rsid w:val="00BC48E0"/>
    <w:rsid w:val="00BC4906"/>
    <w:rsid w:val="00BC5207"/>
    <w:rsid w:val="00BC5329"/>
    <w:rsid w:val="00BC5406"/>
    <w:rsid w:val="00BC5711"/>
    <w:rsid w:val="00BC588B"/>
    <w:rsid w:val="00BC58AC"/>
    <w:rsid w:val="00BC5B19"/>
    <w:rsid w:val="00BC5D2D"/>
    <w:rsid w:val="00BC5FD5"/>
    <w:rsid w:val="00BC60E1"/>
    <w:rsid w:val="00BC619C"/>
    <w:rsid w:val="00BC61EF"/>
    <w:rsid w:val="00BC66C7"/>
    <w:rsid w:val="00BC6893"/>
    <w:rsid w:val="00BC6A22"/>
    <w:rsid w:val="00BC6B93"/>
    <w:rsid w:val="00BC6CDD"/>
    <w:rsid w:val="00BC6D0C"/>
    <w:rsid w:val="00BC71D4"/>
    <w:rsid w:val="00BC7369"/>
    <w:rsid w:val="00BC774A"/>
    <w:rsid w:val="00BC7772"/>
    <w:rsid w:val="00BC77B0"/>
    <w:rsid w:val="00BC7905"/>
    <w:rsid w:val="00BC7906"/>
    <w:rsid w:val="00BC7AD3"/>
    <w:rsid w:val="00BD02C8"/>
    <w:rsid w:val="00BD04E8"/>
    <w:rsid w:val="00BD08D4"/>
    <w:rsid w:val="00BD0A3B"/>
    <w:rsid w:val="00BD0E10"/>
    <w:rsid w:val="00BD0E89"/>
    <w:rsid w:val="00BD1065"/>
    <w:rsid w:val="00BD1291"/>
    <w:rsid w:val="00BD1DA7"/>
    <w:rsid w:val="00BD1F2E"/>
    <w:rsid w:val="00BD200E"/>
    <w:rsid w:val="00BD230C"/>
    <w:rsid w:val="00BD26B2"/>
    <w:rsid w:val="00BD296E"/>
    <w:rsid w:val="00BD2A0E"/>
    <w:rsid w:val="00BD2B8A"/>
    <w:rsid w:val="00BD2D4B"/>
    <w:rsid w:val="00BD2D8F"/>
    <w:rsid w:val="00BD2F7C"/>
    <w:rsid w:val="00BD3029"/>
    <w:rsid w:val="00BD3056"/>
    <w:rsid w:val="00BD3282"/>
    <w:rsid w:val="00BD3326"/>
    <w:rsid w:val="00BD3490"/>
    <w:rsid w:val="00BD35AA"/>
    <w:rsid w:val="00BD3C31"/>
    <w:rsid w:val="00BD422E"/>
    <w:rsid w:val="00BD4344"/>
    <w:rsid w:val="00BD43D9"/>
    <w:rsid w:val="00BD43E5"/>
    <w:rsid w:val="00BD450F"/>
    <w:rsid w:val="00BD4529"/>
    <w:rsid w:val="00BD455D"/>
    <w:rsid w:val="00BD46EB"/>
    <w:rsid w:val="00BD4A8F"/>
    <w:rsid w:val="00BD4AFD"/>
    <w:rsid w:val="00BD4B37"/>
    <w:rsid w:val="00BD51E8"/>
    <w:rsid w:val="00BD5AD2"/>
    <w:rsid w:val="00BD5C54"/>
    <w:rsid w:val="00BD5C7C"/>
    <w:rsid w:val="00BD5E79"/>
    <w:rsid w:val="00BD5FDA"/>
    <w:rsid w:val="00BD5FE7"/>
    <w:rsid w:val="00BD62BF"/>
    <w:rsid w:val="00BD6317"/>
    <w:rsid w:val="00BD6320"/>
    <w:rsid w:val="00BD6345"/>
    <w:rsid w:val="00BD64CC"/>
    <w:rsid w:val="00BD6698"/>
    <w:rsid w:val="00BD6845"/>
    <w:rsid w:val="00BD6983"/>
    <w:rsid w:val="00BD6A4F"/>
    <w:rsid w:val="00BD6EE3"/>
    <w:rsid w:val="00BD7031"/>
    <w:rsid w:val="00BD77E0"/>
    <w:rsid w:val="00BD79C8"/>
    <w:rsid w:val="00BE012D"/>
    <w:rsid w:val="00BE05AE"/>
    <w:rsid w:val="00BE0A01"/>
    <w:rsid w:val="00BE0A29"/>
    <w:rsid w:val="00BE0D79"/>
    <w:rsid w:val="00BE102C"/>
    <w:rsid w:val="00BE1085"/>
    <w:rsid w:val="00BE15B2"/>
    <w:rsid w:val="00BE15EF"/>
    <w:rsid w:val="00BE17B0"/>
    <w:rsid w:val="00BE17CC"/>
    <w:rsid w:val="00BE18A6"/>
    <w:rsid w:val="00BE1959"/>
    <w:rsid w:val="00BE1AC0"/>
    <w:rsid w:val="00BE1C38"/>
    <w:rsid w:val="00BE1DD1"/>
    <w:rsid w:val="00BE1E65"/>
    <w:rsid w:val="00BE228A"/>
    <w:rsid w:val="00BE24E9"/>
    <w:rsid w:val="00BE26CF"/>
    <w:rsid w:val="00BE2794"/>
    <w:rsid w:val="00BE28E4"/>
    <w:rsid w:val="00BE2D69"/>
    <w:rsid w:val="00BE2D70"/>
    <w:rsid w:val="00BE3577"/>
    <w:rsid w:val="00BE3650"/>
    <w:rsid w:val="00BE37DE"/>
    <w:rsid w:val="00BE3DB4"/>
    <w:rsid w:val="00BE40F3"/>
    <w:rsid w:val="00BE40FD"/>
    <w:rsid w:val="00BE4374"/>
    <w:rsid w:val="00BE43F1"/>
    <w:rsid w:val="00BE461B"/>
    <w:rsid w:val="00BE488F"/>
    <w:rsid w:val="00BE4AD6"/>
    <w:rsid w:val="00BE4E86"/>
    <w:rsid w:val="00BE4F2B"/>
    <w:rsid w:val="00BE4FB2"/>
    <w:rsid w:val="00BE5423"/>
    <w:rsid w:val="00BE566F"/>
    <w:rsid w:val="00BE57F2"/>
    <w:rsid w:val="00BE5A89"/>
    <w:rsid w:val="00BE5B4D"/>
    <w:rsid w:val="00BE5DB0"/>
    <w:rsid w:val="00BE5ED1"/>
    <w:rsid w:val="00BE60BC"/>
    <w:rsid w:val="00BE62C2"/>
    <w:rsid w:val="00BE6445"/>
    <w:rsid w:val="00BE6BE9"/>
    <w:rsid w:val="00BE6D4D"/>
    <w:rsid w:val="00BE6EE0"/>
    <w:rsid w:val="00BE7136"/>
    <w:rsid w:val="00BE7143"/>
    <w:rsid w:val="00BE769C"/>
    <w:rsid w:val="00BE76A6"/>
    <w:rsid w:val="00BE7766"/>
    <w:rsid w:val="00BE7A63"/>
    <w:rsid w:val="00BF021F"/>
    <w:rsid w:val="00BF0339"/>
    <w:rsid w:val="00BF0379"/>
    <w:rsid w:val="00BF04A6"/>
    <w:rsid w:val="00BF0643"/>
    <w:rsid w:val="00BF06A0"/>
    <w:rsid w:val="00BF071A"/>
    <w:rsid w:val="00BF095B"/>
    <w:rsid w:val="00BF0A7D"/>
    <w:rsid w:val="00BF0ADE"/>
    <w:rsid w:val="00BF0CB8"/>
    <w:rsid w:val="00BF0ECE"/>
    <w:rsid w:val="00BF0FC2"/>
    <w:rsid w:val="00BF10F9"/>
    <w:rsid w:val="00BF1297"/>
    <w:rsid w:val="00BF159B"/>
    <w:rsid w:val="00BF1964"/>
    <w:rsid w:val="00BF1988"/>
    <w:rsid w:val="00BF19D6"/>
    <w:rsid w:val="00BF1C8A"/>
    <w:rsid w:val="00BF1E48"/>
    <w:rsid w:val="00BF1EC3"/>
    <w:rsid w:val="00BF20BF"/>
    <w:rsid w:val="00BF2108"/>
    <w:rsid w:val="00BF2546"/>
    <w:rsid w:val="00BF2820"/>
    <w:rsid w:val="00BF2830"/>
    <w:rsid w:val="00BF2E82"/>
    <w:rsid w:val="00BF3494"/>
    <w:rsid w:val="00BF3560"/>
    <w:rsid w:val="00BF37B8"/>
    <w:rsid w:val="00BF37CD"/>
    <w:rsid w:val="00BF39A5"/>
    <w:rsid w:val="00BF3AA0"/>
    <w:rsid w:val="00BF3D9C"/>
    <w:rsid w:val="00BF443D"/>
    <w:rsid w:val="00BF4715"/>
    <w:rsid w:val="00BF4A64"/>
    <w:rsid w:val="00BF4CFB"/>
    <w:rsid w:val="00BF4D30"/>
    <w:rsid w:val="00BF4E61"/>
    <w:rsid w:val="00BF4EC9"/>
    <w:rsid w:val="00BF4F70"/>
    <w:rsid w:val="00BF525D"/>
    <w:rsid w:val="00BF535E"/>
    <w:rsid w:val="00BF5477"/>
    <w:rsid w:val="00BF59F3"/>
    <w:rsid w:val="00BF5B12"/>
    <w:rsid w:val="00BF5CB7"/>
    <w:rsid w:val="00BF5CE0"/>
    <w:rsid w:val="00BF5E45"/>
    <w:rsid w:val="00BF61B2"/>
    <w:rsid w:val="00BF6581"/>
    <w:rsid w:val="00BF6772"/>
    <w:rsid w:val="00BF67FC"/>
    <w:rsid w:val="00BF683A"/>
    <w:rsid w:val="00BF6D22"/>
    <w:rsid w:val="00BF6E2D"/>
    <w:rsid w:val="00BF6F9F"/>
    <w:rsid w:val="00BF6FB5"/>
    <w:rsid w:val="00BF6FB9"/>
    <w:rsid w:val="00BF70D7"/>
    <w:rsid w:val="00BF71CC"/>
    <w:rsid w:val="00BF734E"/>
    <w:rsid w:val="00BF75FE"/>
    <w:rsid w:val="00BF7678"/>
    <w:rsid w:val="00BF7683"/>
    <w:rsid w:val="00BF7A34"/>
    <w:rsid w:val="00BF7B0B"/>
    <w:rsid w:val="00BF7BED"/>
    <w:rsid w:val="00BF7CA9"/>
    <w:rsid w:val="00BF7FD8"/>
    <w:rsid w:val="00C00409"/>
    <w:rsid w:val="00C004E4"/>
    <w:rsid w:val="00C0067A"/>
    <w:rsid w:val="00C00713"/>
    <w:rsid w:val="00C0076F"/>
    <w:rsid w:val="00C00968"/>
    <w:rsid w:val="00C00AF5"/>
    <w:rsid w:val="00C00B54"/>
    <w:rsid w:val="00C00D85"/>
    <w:rsid w:val="00C01195"/>
    <w:rsid w:val="00C01324"/>
    <w:rsid w:val="00C014BA"/>
    <w:rsid w:val="00C01665"/>
    <w:rsid w:val="00C018DB"/>
    <w:rsid w:val="00C0190A"/>
    <w:rsid w:val="00C01A9C"/>
    <w:rsid w:val="00C01B38"/>
    <w:rsid w:val="00C01D63"/>
    <w:rsid w:val="00C01DE5"/>
    <w:rsid w:val="00C01E10"/>
    <w:rsid w:val="00C02076"/>
    <w:rsid w:val="00C0228D"/>
    <w:rsid w:val="00C02AA4"/>
    <w:rsid w:val="00C02DAD"/>
    <w:rsid w:val="00C02E32"/>
    <w:rsid w:val="00C031D6"/>
    <w:rsid w:val="00C039F5"/>
    <w:rsid w:val="00C03BEB"/>
    <w:rsid w:val="00C03CA8"/>
    <w:rsid w:val="00C041B1"/>
    <w:rsid w:val="00C043EA"/>
    <w:rsid w:val="00C045D8"/>
    <w:rsid w:val="00C04802"/>
    <w:rsid w:val="00C04962"/>
    <w:rsid w:val="00C04EB8"/>
    <w:rsid w:val="00C04EC3"/>
    <w:rsid w:val="00C058C4"/>
    <w:rsid w:val="00C05A20"/>
    <w:rsid w:val="00C05AB9"/>
    <w:rsid w:val="00C05BC4"/>
    <w:rsid w:val="00C05D22"/>
    <w:rsid w:val="00C05D8D"/>
    <w:rsid w:val="00C06516"/>
    <w:rsid w:val="00C06AD4"/>
    <w:rsid w:val="00C07677"/>
    <w:rsid w:val="00C0780F"/>
    <w:rsid w:val="00C0794A"/>
    <w:rsid w:val="00C079A5"/>
    <w:rsid w:val="00C07E21"/>
    <w:rsid w:val="00C07E82"/>
    <w:rsid w:val="00C1011D"/>
    <w:rsid w:val="00C10316"/>
    <w:rsid w:val="00C10622"/>
    <w:rsid w:val="00C1069C"/>
    <w:rsid w:val="00C1070A"/>
    <w:rsid w:val="00C10908"/>
    <w:rsid w:val="00C10958"/>
    <w:rsid w:val="00C10A91"/>
    <w:rsid w:val="00C10CA4"/>
    <w:rsid w:val="00C10DDE"/>
    <w:rsid w:val="00C10FC6"/>
    <w:rsid w:val="00C111A2"/>
    <w:rsid w:val="00C115CE"/>
    <w:rsid w:val="00C115EC"/>
    <w:rsid w:val="00C117B7"/>
    <w:rsid w:val="00C119DB"/>
    <w:rsid w:val="00C11F06"/>
    <w:rsid w:val="00C12235"/>
    <w:rsid w:val="00C1290D"/>
    <w:rsid w:val="00C12B92"/>
    <w:rsid w:val="00C130C6"/>
    <w:rsid w:val="00C1370B"/>
    <w:rsid w:val="00C13B16"/>
    <w:rsid w:val="00C13DEF"/>
    <w:rsid w:val="00C14084"/>
    <w:rsid w:val="00C142DB"/>
    <w:rsid w:val="00C148E1"/>
    <w:rsid w:val="00C14C93"/>
    <w:rsid w:val="00C14E3C"/>
    <w:rsid w:val="00C15170"/>
    <w:rsid w:val="00C15442"/>
    <w:rsid w:val="00C155DA"/>
    <w:rsid w:val="00C15602"/>
    <w:rsid w:val="00C1567F"/>
    <w:rsid w:val="00C15700"/>
    <w:rsid w:val="00C157FB"/>
    <w:rsid w:val="00C15818"/>
    <w:rsid w:val="00C15850"/>
    <w:rsid w:val="00C158BC"/>
    <w:rsid w:val="00C15A12"/>
    <w:rsid w:val="00C15C83"/>
    <w:rsid w:val="00C16C83"/>
    <w:rsid w:val="00C1703B"/>
    <w:rsid w:val="00C170B3"/>
    <w:rsid w:val="00C1758A"/>
    <w:rsid w:val="00C177AB"/>
    <w:rsid w:val="00C179B0"/>
    <w:rsid w:val="00C205A2"/>
    <w:rsid w:val="00C20E13"/>
    <w:rsid w:val="00C20F36"/>
    <w:rsid w:val="00C20F6E"/>
    <w:rsid w:val="00C2108D"/>
    <w:rsid w:val="00C21140"/>
    <w:rsid w:val="00C21193"/>
    <w:rsid w:val="00C2161C"/>
    <w:rsid w:val="00C217D0"/>
    <w:rsid w:val="00C21E9A"/>
    <w:rsid w:val="00C22A71"/>
    <w:rsid w:val="00C23747"/>
    <w:rsid w:val="00C23F1C"/>
    <w:rsid w:val="00C24047"/>
    <w:rsid w:val="00C24242"/>
    <w:rsid w:val="00C246BD"/>
    <w:rsid w:val="00C24B5F"/>
    <w:rsid w:val="00C24B86"/>
    <w:rsid w:val="00C24C77"/>
    <w:rsid w:val="00C251E6"/>
    <w:rsid w:val="00C251F8"/>
    <w:rsid w:val="00C2528A"/>
    <w:rsid w:val="00C25294"/>
    <w:rsid w:val="00C25392"/>
    <w:rsid w:val="00C253F8"/>
    <w:rsid w:val="00C25480"/>
    <w:rsid w:val="00C254DD"/>
    <w:rsid w:val="00C254E2"/>
    <w:rsid w:val="00C255AC"/>
    <w:rsid w:val="00C25633"/>
    <w:rsid w:val="00C257A0"/>
    <w:rsid w:val="00C25A23"/>
    <w:rsid w:val="00C25C65"/>
    <w:rsid w:val="00C25DCF"/>
    <w:rsid w:val="00C25E9A"/>
    <w:rsid w:val="00C25F45"/>
    <w:rsid w:val="00C25FDA"/>
    <w:rsid w:val="00C26485"/>
    <w:rsid w:val="00C265A7"/>
    <w:rsid w:val="00C269DE"/>
    <w:rsid w:val="00C26AA1"/>
    <w:rsid w:val="00C26BE9"/>
    <w:rsid w:val="00C26C23"/>
    <w:rsid w:val="00C26C78"/>
    <w:rsid w:val="00C26E7D"/>
    <w:rsid w:val="00C27354"/>
    <w:rsid w:val="00C2778F"/>
    <w:rsid w:val="00C27E88"/>
    <w:rsid w:val="00C30125"/>
    <w:rsid w:val="00C30375"/>
    <w:rsid w:val="00C3062C"/>
    <w:rsid w:val="00C308AB"/>
    <w:rsid w:val="00C309DF"/>
    <w:rsid w:val="00C30A40"/>
    <w:rsid w:val="00C30CA7"/>
    <w:rsid w:val="00C30E4D"/>
    <w:rsid w:val="00C3114B"/>
    <w:rsid w:val="00C31163"/>
    <w:rsid w:val="00C31282"/>
    <w:rsid w:val="00C314DD"/>
    <w:rsid w:val="00C31D39"/>
    <w:rsid w:val="00C31F71"/>
    <w:rsid w:val="00C32006"/>
    <w:rsid w:val="00C321BA"/>
    <w:rsid w:val="00C32288"/>
    <w:rsid w:val="00C32A61"/>
    <w:rsid w:val="00C32AB5"/>
    <w:rsid w:val="00C32ABB"/>
    <w:rsid w:val="00C32C25"/>
    <w:rsid w:val="00C32D83"/>
    <w:rsid w:val="00C32F75"/>
    <w:rsid w:val="00C332C2"/>
    <w:rsid w:val="00C33405"/>
    <w:rsid w:val="00C3349E"/>
    <w:rsid w:val="00C33510"/>
    <w:rsid w:val="00C338FD"/>
    <w:rsid w:val="00C33D51"/>
    <w:rsid w:val="00C34141"/>
    <w:rsid w:val="00C3423A"/>
    <w:rsid w:val="00C34528"/>
    <w:rsid w:val="00C3452C"/>
    <w:rsid w:val="00C3464B"/>
    <w:rsid w:val="00C3487F"/>
    <w:rsid w:val="00C34BA3"/>
    <w:rsid w:val="00C35139"/>
    <w:rsid w:val="00C351EB"/>
    <w:rsid w:val="00C35214"/>
    <w:rsid w:val="00C35602"/>
    <w:rsid w:val="00C35ABA"/>
    <w:rsid w:val="00C35C46"/>
    <w:rsid w:val="00C35CAB"/>
    <w:rsid w:val="00C35DDF"/>
    <w:rsid w:val="00C35E39"/>
    <w:rsid w:val="00C360EF"/>
    <w:rsid w:val="00C3615C"/>
    <w:rsid w:val="00C36167"/>
    <w:rsid w:val="00C36968"/>
    <w:rsid w:val="00C36D3E"/>
    <w:rsid w:val="00C370B6"/>
    <w:rsid w:val="00C37703"/>
    <w:rsid w:val="00C37CCC"/>
    <w:rsid w:val="00C37FA6"/>
    <w:rsid w:val="00C40518"/>
    <w:rsid w:val="00C40981"/>
    <w:rsid w:val="00C40DAF"/>
    <w:rsid w:val="00C40E49"/>
    <w:rsid w:val="00C40F25"/>
    <w:rsid w:val="00C41025"/>
    <w:rsid w:val="00C412C8"/>
    <w:rsid w:val="00C41308"/>
    <w:rsid w:val="00C413C0"/>
    <w:rsid w:val="00C417A7"/>
    <w:rsid w:val="00C4194B"/>
    <w:rsid w:val="00C41D72"/>
    <w:rsid w:val="00C421D0"/>
    <w:rsid w:val="00C4231A"/>
    <w:rsid w:val="00C42341"/>
    <w:rsid w:val="00C42469"/>
    <w:rsid w:val="00C42686"/>
    <w:rsid w:val="00C428FC"/>
    <w:rsid w:val="00C42A9A"/>
    <w:rsid w:val="00C42CC7"/>
    <w:rsid w:val="00C4321A"/>
    <w:rsid w:val="00C43560"/>
    <w:rsid w:val="00C436CD"/>
    <w:rsid w:val="00C43C38"/>
    <w:rsid w:val="00C442E8"/>
    <w:rsid w:val="00C44B28"/>
    <w:rsid w:val="00C451C3"/>
    <w:rsid w:val="00C452E7"/>
    <w:rsid w:val="00C454D8"/>
    <w:rsid w:val="00C4557F"/>
    <w:rsid w:val="00C45682"/>
    <w:rsid w:val="00C45997"/>
    <w:rsid w:val="00C45A34"/>
    <w:rsid w:val="00C45F74"/>
    <w:rsid w:val="00C45FF0"/>
    <w:rsid w:val="00C4644F"/>
    <w:rsid w:val="00C464A4"/>
    <w:rsid w:val="00C46555"/>
    <w:rsid w:val="00C46758"/>
    <w:rsid w:val="00C46C41"/>
    <w:rsid w:val="00C46DE7"/>
    <w:rsid w:val="00C4721A"/>
    <w:rsid w:val="00C477C4"/>
    <w:rsid w:val="00C47CDB"/>
    <w:rsid w:val="00C502E5"/>
    <w:rsid w:val="00C50376"/>
    <w:rsid w:val="00C505E2"/>
    <w:rsid w:val="00C50691"/>
    <w:rsid w:val="00C508DE"/>
    <w:rsid w:val="00C50C19"/>
    <w:rsid w:val="00C50CE3"/>
    <w:rsid w:val="00C50F65"/>
    <w:rsid w:val="00C51715"/>
    <w:rsid w:val="00C51733"/>
    <w:rsid w:val="00C5188F"/>
    <w:rsid w:val="00C51955"/>
    <w:rsid w:val="00C519A6"/>
    <w:rsid w:val="00C51BC1"/>
    <w:rsid w:val="00C51EDB"/>
    <w:rsid w:val="00C5224A"/>
    <w:rsid w:val="00C52278"/>
    <w:rsid w:val="00C524CA"/>
    <w:rsid w:val="00C525B7"/>
    <w:rsid w:val="00C52694"/>
    <w:rsid w:val="00C52B06"/>
    <w:rsid w:val="00C52B3C"/>
    <w:rsid w:val="00C52C8E"/>
    <w:rsid w:val="00C52F84"/>
    <w:rsid w:val="00C5307D"/>
    <w:rsid w:val="00C53087"/>
    <w:rsid w:val="00C53170"/>
    <w:rsid w:val="00C53188"/>
    <w:rsid w:val="00C535AE"/>
    <w:rsid w:val="00C5368A"/>
    <w:rsid w:val="00C5377B"/>
    <w:rsid w:val="00C53A5D"/>
    <w:rsid w:val="00C53DFC"/>
    <w:rsid w:val="00C53E4D"/>
    <w:rsid w:val="00C53ED8"/>
    <w:rsid w:val="00C53FE4"/>
    <w:rsid w:val="00C54131"/>
    <w:rsid w:val="00C543F5"/>
    <w:rsid w:val="00C5485E"/>
    <w:rsid w:val="00C5498F"/>
    <w:rsid w:val="00C54B79"/>
    <w:rsid w:val="00C5549C"/>
    <w:rsid w:val="00C5554C"/>
    <w:rsid w:val="00C55559"/>
    <w:rsid w:val="00C55716"/>
    <w:rsid w:val="00C557E4"/>
    <w:rsid w:val="00C56151"/>
    <w:rsid w:val="00C56195"/>
    <w:rsid w:val="00C56198"/>
    <w:rsid w:val="00C562A1"/>
    <w:rsid w:val="00C569FA"/>
    <w:rsid w:val="00C56D61"/>
    <w:rsid w:val="00C56D68"/>
    <w:rsid w:val="00C5711D"/>
    <w:rsid w:val="00C571DD"/>
    <w:rsid w:val="00C57256"/>
    <w:rsid w:val="00C573E0"/>
    <w:rsid w:val="00C57558"/>
    <w:rsid w:val="00C5784B"/>
    <w:rsid w:val="00C57F7F"/>
    <w:rsid w:val="00C60642"/>
    <w:rsid w:val="00C607EB"/>
    <w:rsid w:val="00C60835"/>
    <w:rsid w:val="00C60909"/>
    <w:rsid w:val="00C60BEB"/>
    <w:rsid w:val="00C60D15"/>
    <w:rsid w:val="00C611F4"/>
    <w:rsid w:val="00C6120D"/>
    <w:rsid w:val="00C618E9"/>
    <w:rsid w:val="00C61983"/>
    <w:rsid w:val="00C6199B"/>
    <w:rsid w:val="00C61F57"/>
    <w:rsid w:val="00C62183"/>
    <w:rsid w:val="00C62303"/>
    <w:rsid w:val="00C62547"/>
    <w:rsid w:val="00C62567"/>
    <w:rsid w:val="00C62B2D"/>
    <w:rsid w:val="00C62EC7"/>
    <w:rsid w:val="00C63092"/>
    <w:rsid w:val="00C631AF"/>
    <w:rsid w:val="00C63238"/>
    <w:rsid w:val="00C632D7"/>
    <w:rsid w:val="00C6330D"/>
    <w:rsid w:val="00C6355D"/>
    <w:rsid w:val="00C63902"/>
    <w:rsid w:val="00C63E30"/>
    <w:rsid w:val="00C64123"/>
    <w:rsid w:val="00C64209"/>
    <w:rsid w:val="00C6449C"/>
    <w:rsid w:val="00C64808"/>
    <w:rsid w:val="00C64B22"/>
    <w:rsid w:val="00C64E6A"/>
    <w:rsid w:val="00C65181"/>
    <w:rsid w:val="00C651BF"/>
    <w:rsid w:val="00C6527C"/>
    <w:rsid w:val="00C65571"/>
    <w:rsid w:val="00C656DB"/>
    <w:rsid w:val="00C657FA"/>
    <w:rsid w:val="00C65832"/>
    <w:rsid w:val="00C65845"/>
    <w:rsid w:val="00C65F5B"/>
    <w:rsid w:val="00C6618A"/>
    <w:rsid w:val="00C66215"/>
    <w:rsid w:val="00C664EE"/>
    <w:rsid w:val="00C66557"/>
    <w:rsid w:val="00C665B8"/>
    <w:rsid w:val="00C666E5"/>
    <w:rsid w:val="00C66799"/>
    <w:rsid w:val="00C66A44"/>
    <w:rsid w:val="00C671BC"/>
    <w:rsid w:val="00C6728C"/>
    <w:rsid w:val="00C673CB"/>
    <w:rsid w:val="00C677A4"/>
    <w:rsid w:val="00C67832"/>
    <w:rsid w:val="00C67D16"/>
    <w:rsid w:val="00C67D26"/>
    <w:rsid w:val="00C67EF2"/>
    <w:rsid w:val="00C70093"/>
    <w:rsid w:val="00C705C9"/>
    <w:rsid w:val="00C70658"/>
    <w:rsid w:val="00C70C17"/>
    <w:rsid w:val="00C70D7F"/>
    <w:rsid w:val="00C71175"/>
    <w:rsid w:val="00C71179"/>
    <w:rsid w:val="00C7125C"/>
    <w:rsid w:val="00C718B7"/>
    <w:rsid w:val="00C7191E"/>
    <w:rsid w:val="00C71A27"/>
    <w:rsid w:val="00C71F24"/>
    <w:rsid w:val="00C71FE5"/>
    <w:rsid w:val="00C7209D"/>
    <w:rsid w:val="00C722EB"/>
    <w:rsid w:val="00C722FC"/>
    <w:rsid w:val="00C723F6"/>
    <w:rsid w:val="00C72A89"/>
    <w:rsid w:val="00C7300A"/>
    <w:rsid w:val="00C730B3"/>
    <w:rsid w:val="00C73107"/>
    <w:rsid w:val="00C731EF"/>
    <w:rsid w:val="00C733DB"/>
    <w:rsid w:val="00C73625"/>
    <w:rsid w:val="00C737E8"/>
    <w:rsid w:val="00C73B77"/>
    <w:rsid w:val="00C73F18"/>
    <w:rsid w:val="00C74291"/>
    <w:rsid w:val="00C742B2"/>
    <w:rsid w:val="00C745FB"/>
    <w:rsid w:val="00C74932"/>
    <w:rsid w:val="00C74FC3"/>
    <w:rsid w:val="00C7500D"/>
    <w:rsid w:val="00C7501F"/>
    <w:rsid w:val="00C75036"/>
    <w:rsid w:val="00C752B3"/>
    <w:rsid w:val="00C753C6"/>
    <w:rsid w:val="00C755F3"/>
    <w:rsid w:val="00C756E6"/>
    <w:rsid w:val="00C7579E"/>
    <w:rsid w:val="00C7588F"/>
    <w:rsid w:val="00C75996"/>
    <w:rsid w:val="00C75E39"/>
    <w:rsid w:val="00C762F7"/>
    <w:rsid w:val="00C76334"/>
    <w:rsid w:val="00C76658"/>
    <w:rsid w:val="00C767AA"/>
    <w:rsid w:val="00C767C0"/>
    <w:rsid w:val="00C76E63"/>
    <w:rsid w:val="00C77079"/>
    <w:rsid w:val="00C770F7"/>
    <w:rsid w:val="00C774EB"/>
    <w:rsid w:val="00C77509"/>
    <w:rsid w:val="00C7788E"/>
    <w:rsid w:val="00C77A27"/>
    <w:rsid w:val="00C77E80"/>
    <w:rsid w:val="00C8002E"/>
    <w:rsid w:val="00C80205"/>
    <w:rsid w:val="00C805FF"/>
    <w:rsid w:val="00C80B36"/>
    <w:rsid w:val="00C80E1D"/>
    <w:rsid w:val="00C80E24"/>
    <w:rsid w:val="00C811F1"/>
    <w:rsid w:val="00C8133A"/>
    <w:rsid w:val="00C81490"/>
    <w:rsid w:val="00C81572"/>
    <w:rsid w:val="00C8194E"/>
    <w:rsid w:val="00C81BBF"/>
    <w:rsid w:val="00C81E7D"/>
    <w:rsid w:val="00C8207D"/>
    <w:rsid w:val="00C822B4"/>
    <w:rsid w:val="00C829B9"/>
    <w:rsid w:val="00C82BBF"/>
    <w:rsid w:val="00C83222"/>
    <w:rsid w:val="00C8370C"/>
    <w:rsid w:val="00C838D0"/>
    <w:rsid w:val="00C83B3C"/>
    <w:rsid w:val="00C83BA8"/>
    <w:rsid w:val="00C8429A"/>
    <w:rsid w:val="00C842DF"/>
    <w:rsid w:val="00C84325"/>
    <w:rsid w:val="00C84403"/>
    <w:rsid w:val="00C84465"/>
    <w:rsid w:val="00C84978"/>
    <w:rsid w:val="00C84C62"/>
    <w:rsid w:val="00C84CE3"/>
    <w:rsid w:val="00C851CE"/>
    <w:rsid w:val="00C853D2"/>
    <w:rsid w:val="00C858E2"/>
    <w:rsid w:val="00C85E49"/>
    <w:rsid w:val="00C85E70"/>
    <w:rsid w:val="00C864E6"/>
    <w:rsid w:val="00C864F8"/>
    <w:rsid w:val="00C86542"/>
    <w:rsid w:val="00C86A2B"/>
    <w:rsid w:val="00C86A2C"/>
    <w:rsid w:val="00C87144"/>
    <w:rsid w:val="00C8723C"/>
    <w:rsid w:val="00C872FF"/>
    <w:rsid w:val="00C87389"/>
    <w:rsid w:val="00C87E7B"/>
    <w:rsid w:val="00C87EF4"/>
    <w:rsid w:val="00C904B5"/>
    <w:rsid w:val="00C90A1E"/>
    <w:rsid w:val="00C90ECB"/>
    <w:rsid w:val="00C910A7"/>
    <w:rsid w:val="00C911C7"/>
    <w:rsid w:val="00C911FD"/>
    <w:rsid w:val="00C91241"/>
    <w:rsid w:val="00C9169B"/>
    <w:rsid w:val="00C91B7C"/>
    <w:rsid w:val="00C91F10"/>
    <w:rsid w:val="00C920EA"/>
    <w:rsid w:val="00C923D5"/>
    <w:rsid w:val="00C928AC"/>
    <w:rsid w:val="00C92BCB"/>
    <w:rsid w:val="00C92C32"/>
    <w:rsid w:val="00C93171"/>
    <w:rsid w:val="00C9346E"/>
    <w:rsid w:val="00C9365C"/>
    <w:rsid w:val="00C936BE"/>
    <w:rsid w:val="00C937D1"/>
    <w:rsid w:val="00C938F9"/>
    <w:rsid w:val="00C93B05"/>
    <w:rsid w:val="00C93B10"/>
    <w:rsid w:val="00C93B4C"/>
    <w:rsid w:val="00C93EC5"/>
    <w:rsid w:val="00C94222"/>
    <w:rsid w:val="00C942BB"/>
    <w:rsid w:val="00C94344"/>
    <w:rsid w:val="00C94378"/>
    <w:rsid w:val="00C94548"/>
    <w:rsid w:val="00C94926"/>
    <w:rsid w:val="00C94C7D"/>
    <w:rsid w:val="00C94E07"/>
    <w:rsid w:val="00C94F1A"/>
    <w:rsid w:val="00C95198"/>
    <w:rsid w:val="00C955F6"/>
    <w:rsid w:val="00C9563A"/>
    <w:rsid w:val="00C95666"/>
    <w:rsid w:val="00C95692"/>
    <w:rsid w:val="00C9580B"/>
    <w:rsid w:val="00C9582F"/>
    <w:rsid w:val="00C95ACE"/>
    <w:rsid w:val="00C95B34"/>
    <w:rsid w:val="00C96482"/>
    <w:rsid w:val="00C96738"/>
    <w:rsid w:val="00C967DF"/>
    <w:rsid w:val="00C96A66"/>
    <w:rsid w:val="00C96EC1"/>
    <w:rsid w:val="00C96FE6"/>
    <w:rsid w:val="00C9713A"/>
    <w:rsid w:val="00C9773B"/>
    <w:rsid w:val="00C979A7"/>
    <w:rsid w:val="00C97BDD"/>
    <w:rsid w:val="00C97E7A"/>
    <w:rsid w:val="00C97F3F"/>
    <w:rsid w:val="00CA0362"/>
    <w:rsid w:val="00CA04F1"/>
    <w:rsid w:val="00CA090F"/>
    <w:rsid w:val="00CA0B95"/>
    <w:rsid w:val="00CA0C63"/>
    <w:rsid w:val="00CA0E77"/>
    <w:rsid w:val="00CA108F"/>
    <w:rsid w:val="00CA1148"/>
    <w:rsid w:val="00CA138A"/>
    <w:rsid w:val="00CA1821"/>
    <w:rsid w:val="00CA19DC"/>
    <w:rsid w:val="00CA1AA8"/>
    <w:rsid w:val="00CA1DBA"/>
    <w:rsid w:val="00CA2049"/>
    <w:rsid w:val="00CA208C"/>
    <w:rsid w:val="00CA2179"/>
    <w:rsid w:val="00CA2361"/>
    <w:rsid w:val="00CA256E"/>
    <w:rsid w:val="00CA2A74"/>
    <w:rsid w:val="00CA32F6"/>
    <w:rsid w:val="00CA3302"/>
    <w:rsid w:val="00CA3AB6"/>
    <w:rsid w:val="00CA3B1F"/>
    <w:rsid w:val="00CA3BF4"/>
    <w:rsid w:val="00CA3EAD"/>
    <w:rsid w:val="00CA3F6A"/>
    <w:rsid w:val="00CA4217"/>
    <w:rsid w:val="00CA4A86"/>
    <w:rsid w:val="00CA4BD0"/>
    <w:rsid w:val="00CA4F27"/>
    <w:rsid w:val="00CA55C7"/>
    <w:rsid w:val="00CA5B03"/>
    <w:rsid w:val="00CA5E7E"/>
    <w:rsid w:val="00CA5EAC"/>
    <w:rsid w:val="00CA641A"/>
    <w:rsid w:val="00CA6427"/>
    <w:rsid w:val="00CA64A2"/>
    <w:rsid w:val="00CA658B"/>
    <w:rsid w:val="00CA660A"/>
    <w:rsid w:val="00CA6791"/>
    <w:rsid w:val="00CA680F"/>
    <w:rsid w:val="00CA690D"/>
    <w:rsid w:val="00CA6AB4"/>
    <w:rsid w:val="00CA700D"/>
    <w:rsid w:val="00CA72F0"/>
    <w:rsid w:val="00CA7854"/>
    <w:rsid w:val="00CA7F39"/>
    <w:rsid w:val="00CB0112"/>
    <w:rsid w:val="00CB03FB"/>
    <w:rsid w:val="00CB0424"/>
    <w:rsid w:val="00CB04B9"/>
    <w:rsid w:val="00CB064C"/>
    <w:rsid w:val="00CB06FE"/>
    <w:rsid w:val="00CB0B9C"/>
    <w:rsid w:val="00CB0DAE"/>
    <w:rsid w:val="00CB0E36"/>
    <w:rsid w:val="00CB10B6"/>
    <w:rsid w:val="00CB10FA"/>
    <w:rsid w:val="00CB11C1"/>
    <w:rsid w:val="00CB11ED"/>
    <w:rsid w:val="00CB1203"/>
    <w:rsid w:val="00CB16E6"/>
    <w:rsid w:val="00CB1703"/>
    <w:rsid w:val="00CB1BCA"/>
    <w:rsid w:val="00CB1D7D"/>
    <w:rsid w:val="00CB1D89"/>
    <w:rsid w:val="00CB1FBD"/>
    <w:rsid w:val="00CB25CB"/>
    <w:rsid w:val="00CB2848"/>
    <w:rsid w:val="00CB28E5"/>
    <w:rsid w:val="00CB293B"/>
    <w:rsid w:val="00CB2AE2"/>
    <w:rsid w:val="00CB2CD9"/>
    <w:rsid w:val="00CB2DD4"/>
    <w:rsid w:val="00CB2FBF"/>
    <w:rsid w:val="00CB32A2"/>
    <w:rsid w:val="00CB33CD"/>
    <w:rsid w:val="00CB3663"/>
    <w:rsid w:val="00CB3693"/>
    <w:rsid w:val="00CB3839"/>
    <w:rsid w:val="00CB4120"/>
    <w:rsid w:val="00CB4288"/>
    <w:rsid w:val="00CB4294"/>
    <w:rsid w:val="00CB4308"/>
    <w:rsid w:val="00CB436A"/>
    <w:rsid w:val="00CB46C6"/>
    <w:rsid w:val="00CB47B7"/>
    <w:rsid w:val="00CB487F"/>
    <w:rsid w:val="00CB48FE"/>
    <w:rsid w:val="00CB4E3E"/>
    <w:rsid w:val="00CB4FAA"/>
    <w:rsid w:val="00CB5161"/>
    <w:rsid w:val="00CB51F7"/>
    <w:rsid w:val="00CB5224"/>
    <w:rsid w:val="00CB52CD"/>
    <w:rsid w:val="00CB52E1"/>
    <w:rsid w:val="00CB5337"/>
    <w:rsid w:val="00CB5381"/>
    <w:rsid w:val="00CB55CF"/>
    <w:rsid w:val="00CB561C"/>
    <w:rsid w:val="00CB578A"/>
    <w:rsid w:val="00CB5904"/>
    <w:rsid w:val="00CB5969"/>
    <w:rsid w:val="00CB59CD"/>
    <w:rsid w:val="00CB5A10"/>
    <w:rsid w:val="00CB5B0D"/>
    <w:rsid w:val="00CB6702"/>
    <w:rsid w:val="00CB69A3"/>
    <w:rsid w:val="00CB6F99"/>
    <w:rsid w:val="00CB6FC3"/>
    <w:rsid w:val="00CB70CF"/>
    <w:rsid w:val="00CB710A"/>
    <w:rsid w:val="00CB724B"/>
    <w:rsid w:val="00CB79B8"/>
    <w:rsid w:val="00CB79BE"/>
    <w:rsid w:val="00CB7A85"/>
    <w:rsid w:val="00CB7B56"/>
    <w:rsid w:val="00CB7C81"/>
    <w:rsid w:val="00CC0030"/>
    <w:rsid w:val="00CC01E9"/>
    <w:rsid w:val="00CC0378"/>
    <w:rsid w:val="00CC068E"/>
    <w:rsid w:val="00CC0CC6"/>
    <w:rsid w:val="00CC0F44"/>
    <w:rsid w:val="00CC12DD"/>
    <w:rsid w:val="00CC164B"/>
    <w:rsid w:val="00CC1DA6"/>
    <w:rsid w:val="00CC1EC8"/>
    <w:rsid w:val="00CC2043"/>
    <w:rsid w:val="00CC20B3"/>
    <w:rsid w:val="00CC2104"/>
    <w:rsid w:val="00CC213A"/>
    <w:rsid w:val="00CC2520"/>
    <w:rsid w:val="00CC2860"/>
    <w:rsid w:val="00CC2AA0"/>
    <w:rsid w:val="00CC2CCA"/>
    <w:rsid w:val="00CC30D8"/>
    <w:rsid w:val="00CC35DC"/>
    <w:rsid w:val="00CC37E0"/>
    <w:rsid w:val="00CC39CA"/>
    <w:rsid w:val="00CC3A50"/>
    <w:rsid w:val="00CC3D28"/>
    <w:rsid w:val="00CC3E1D"/>
    <w:rsid w:val="00CC449A"/>
    <w:rsid w:val="00CC4A1C"/>
    <w:rsid w:val="00CC5057"/>
    <w:rsid w:val="00CC5155"/>
    <w:rsid w:val="00CC53DE"/>
    <w:rsid w:val="00CC57C0"/>
    <w:rsid w:val="00CC6606"/>
    <w:rsid w:val="00CC67ED"/>
    <w:rsid w:val="00CC6B6F"/>
    <w:rsid w:val="00CC6D06"/>
    <w:rsid w:val="00CC6D4F"/>
    <w:rsid w:val="00CC6DC6"/>
    <w:rsid w:val="00CC6DEF"/>
    <w:rsid w:val="00CC6FB8"/>
    <w:rsid w:val="00CC70B7"/>
    <w:rsid w:val="00CC73A1"/>
    <w:rsid w:val="00CC73F1"/>
    <w:rsid w:val="00CC7B64"/>
    <w:rsid w:val="00CC7E8D"/>
    <w:rsid w:val="00CD00E5"/>
    <w:rsid w:val="00CD02D7"/>
    <w:rsid w:val="00CD03EC"/>
    <w:rsid w:val="00CD04A5"/>
    <w:rsid w:val="00CD052C"/>
    <w:rsid w:val="00CD05E5"/>
    <w:rsid w:val="00CD05E8"/>
    <w:rsid w:val="00CD0638"/>
    <w:rsid w:val="00CD064C"/>
    <w:rsid w:val="00CD0790"/>
    <w:rsid w:val="00CD0A37"/>
    <w:rsid w:val="00CD0DCC"/>
    <w:rsid w:val="00CD0DE6"/>
    <w:rsid w:val="00CD0E2C"/>
    <w:rsid w:val="00CD14AE"/>
    <w:rsid w:val="00CD1A3C"/>
    <w:rsid w:val="00CD1ADA"/>
    <w:rsid w:val="00CD1C18"/>
    <w:rsid w:val="00CD1DAC"/>
    <w:rsid w:val="00CD20CB"/>
    <w:rsid w:val="00CD2179"/>
    <w:rsid w:val="00CD2288"/>
    <w:rsid w:val="00CD2AB3"/>
    <w:rsid w:val="00CD2CFC"/>
    <w:rsid w:val="00CD2DD0"/>
    <w:rsid w:val="00CD2FF4"/>
    <w:rsid w:val="00CD3172"/>
    <w:rsid w:val="00CD31CB"/>
    <w:rsid w:val="00CD33C9"/>
    <w:rsid w:val="00CD3448"/>
    <w:rsid w:val="00CD399A"/>
    <w:rsid w:val="00CD3F13"/>
    <w:rsid w:val="00CD3F87"/>
    <w:rsid w:val="00CD40A5"/>
    <w:rsid w:val="00CD4252"/>
    <w:rsid w:val="00CD427E"/>
    <w:rsid w:val="00CD447C"/>
    <w:rsid w:val="00CD4572"/>
    <w:rsid w:val="00CD4923"/>
    <w:rsid w:val="00CD4A00"/>
    <w:rsid w:val="00CD4BDD"/>
    <w:rsid w:val="00CD4C6F"/>
    <w:rsid w:val="00CD4CF5"/>
    <w:rsid w:val="00CD4D8F"/>
    <w:rsid w:val="00CD53C0"/>
    <w:rsid w:val="00CD55A6"/>
    <w:rsid w:val="00CD57F5"/>
    <w:rsid w:val="00CD59CE"/>
    <w:rsid w:val="00CD5A63"/>
    <w:rsid w:val="00CD5BB7"/>
    <w:rsid w:val="00CD603C"/>
    <w:rsid w:val="00CD6056"/>
    <w:rsid w:val="00CD6064"/>
    <w:rsid w:val="00CD6318"/>
    <w:rsid w:val="00CD63FF"/>
    <w:rsid w:val="00CD64A0"/>
    <w:rsid w:val="00CD66D9"/>
    <w:rsid w:val="00CD6799"/>
    <w:rsid w:val="00CD695F"/>
    <w:rsid w:val="00CD6A19"/>
    <w:rsid w:val="00CD6E4D"/>
    <w:rsid w:val="00CD71B6"/>
    <w:rsid w:val="00CD729D"/>
    <w:rsid w:val="00CD7375"/>
    <w:rsid w:val="00CD73BC"/>
    <w:rsid w:val="00CD7727"/>
    <w:rsid w:val="00CD7DF0"/>
    <w:rsid w:val="00CD7E06"/>
    <w:rsid w:val="00CD7E1B"/>
    <w:rsid w:val="00CD7E62"/>
    <w:rsid w:val="00CE07A5"/>
    <w:rsid w:val="00CE09BA"/>
    <w:rsid w:val="00CE0B8B"/>
    <w:rsid w:val="00CE0BD7"/>
    <w:rsid w:val="00CE18A5"/>
    <w:rsid w:val="00CE18F5"/>
    <w:rsid w:val="00CE1EF6"/>
    <w:rsid w:val="00CE217D"/>
    <w:rsid w:val="00CE2675"/>
    <w:rsid w:val="00CE2805"/>
    <w:rsid w:val="00CE2E19"/>
    <w:rsid w:val="00CE3115"/>
    <w:rsid w:val="00CE326A"/>
    <w:rsid w:val="00CE3326"/>
    <w:rsid w:val="00CE4261"/>
    <w:rsid w:val="00CE4390"/>
    <w:rsid w:val="00CE43CD"/>
    <w:rsid w:val="00CE457C"/>
    <w:rsid w:val="00CE4938"/>
    <w:rsid w:val="00CE4C0C"/>
    <w:rsid w:val="00CE4F36"/>
    <w:rsid w:val="00CE5121"/>
    <w:rsid w:val="00CE548B"/>
    <w:rsid w:val="00CE552F"/>
    <w:rsid w:val="00CE554F"/>
    <w:rsid w:val="00CE5633"/>
    <w:rsid w:val="00CE56DC"/>
    <w:rsid w:val="00CE56FF"/>
    <w:rsid w:val="00CE5991"/>
    <w:rsid w:val="00CE5A8E"/>
    <w:rsid w:val="00CE5B3C"/>
    <w:rsid w:val="00CE5CAF"/>
    <w:rsid w:val="00CE5CE4"/>
    <w:rsid w:val="00CE5F8E"/>
    <w:rsid w:val="00CE6514"/>
    <w:rsid w:val="00CE66C7"/>
    <w:rsid w:val="00CE696D"/>
    <w:rsid w:val="00CE6B54"/>
    <w:rsid w:val="00CE6C50"/>
    <w:rsid w:val="00CE6F39"/>
    <w:rsid w:val="00CE7021"/>
    <w:rsid w:val="00CE715A"/>
    <w:rsid w:val="00CE7300"/>
    <w:rsid w:val="00CE73CF"/>
    <w:rsid w:val="00CE7970"/>
    <w:rsid w:val="00CE7B73"/>
    <w:rsid w:val="00CE7BC1"/>
    <w:rsid w:val="00CF002A"/>
    <w:rsid w:val="00CF0345"/>
    <w:rsid w:val="00CF0354"/>
    <w:rsid w:val="00CF09F1"/>
    <w:rsid w:val="00CF0CC5"/>
    <w:rsid w:val="00CF0D99"/>
    <w:rsid w:val="00CF1123"/>
    <w:rsid w:val="00CF15CE"/>
    <w:rsid w:val="00CF16F2"/>
    <w:rsid w:val="00CF1883"/>
    <w:rsid w:val="00CF1ABA"/>
    <w:rsid w:val="00CF206A"/>
    <w:rsid w:val="00CF20EA"/>
    <w:rsid w:val="00CF2177"/>
    <w:rsid w:val="00CF24E8"/>
    <w:rsid w:val="00CF2561"/>
    <w:rsid w:val="00CF25F8"/>
    <w:rsid w:val="00CF2F7C"/>
    <w:rsid w:val="00CF2FA3"/>
    <w:rsid w:val="00CF311D"/>
    <w:rsid w:val="00CF31F2"/>
    <w:rsid w:val="00CF331A"/>
    <w:rsid w:val="00CF3421"/>
    <w:rsid w:val="00CF34E7"/>
    <w:rsid w:val="00CF3702"/>
    <w:rsid w:val="00CF3734"/>
    <w:rsid w:val="00CF3910"/>
    <w:rsid w:val="00CF3A03"/>
    <w:rsid w:val="00CF3BCD"/>
    <w:rsid w:val="00CF3CA4"/>
    <w:rsid w:val="00CF3F65"/>
    <w:rsid w:val="00CF409E"/>
    <w:rsid w:val="00CF4126"/>
    <w:rsid w:val="00CF4482"/>
    <w:rsid w:val="00CF47A0"/>
    <w:rsid w:val="00CF4A19"/>
    <w:rsid w:val="00CF5197"/>
    <w:rsid w:val="00CF5372"/>
    <w:rsid w:val="00CF5516"/>
    <w:rsid w:val="00CF56FA"/>
    <w:rsid w:val="00CF5955"/>
    <w:rsid w:val="00CF5A51"/>
    <w:rsid w:val="00CF5C11"/>
    <w:rsid w:val="00CF5CBB"/>
    <w:rsid w:val="00CF5EFA"/>
    <w:rsid w:val="00CF6102"/>
    <w:rsid w:val="00CF611B"/>
    <w:rsid w:val="00CF61CE"/>
    <w:rsid w:val="00CF622C"/>
    <w:rsid w:val="00CF65CE"/>
    <w:rsid w:val="00CF669F"/>
    <w:rsid w:val="00CF694D"/>
    <w:rsid w:val="00CF69D8"/>
    <w:rsid w:val="00CF6D3C"/>
    <w:rsid w:val="00CF6DB9"/>
    <w:rsid w:val="00CF73AB"/>
    <w:rsid w:val="00CF7465"/>
    <w:rsid w:val="00D0017E"/>
    <w:rsid w:val="00D002E3"/>
    <w:rsid w:val="00D0076A"/>
    <w:rsid w:val="00D00A98"/>
    <w:rsid w:val="00D00CA6"/>
    <w:rsid w:val="00D01162"/>
    <w:rsid w:val="00D01264"/>
    <w:rsid w:val="00D017FB"/>
    <w:rsid w:val="00D019E4"/>
    <w:rsid w:val="00D01BA3"/>
    <w:rsid w:val="00D01CE3"/>
    <w:rsid w:val="00D0248B"/>
    <w:rsid w:val="00D026EC"/>
    <w:rsid w:val="00D029B2"/>
    <w:rsid w:val="00D02EAA"/>
    <w:rsid w:val="00D02EC5"/>
    <w:rsid w:val="00D030CA"/>
    <w:rsid w:val="00D03113"/>
    <w:rsid w:val="00D0331C"/>
    <w:rsid w:val="00D03415"/>
    <w:rsid w:val="00D036BE"/>
    <w:rsid w:val="00D037BF"/>
    <w:rsid w:val="00D03D6E"/>
    <w:rsid w:val="00D03EB0"/>
    <w:rsid w:val="00D03FAD"/>
    <w:rsid w:val="00D04106"/>
    <w:rsid w:val="00D04262"/>
    <w:rsid w:val="00D0432A"/>
    <w:rsid w:val="00D043F8"/>
    <w:rsid w:val="00D044AA"/>
    <w:rsid w:val="00D04561"/>
    <w:rsid w:val="00D0482D"/>
    <w:rsid w:val="00D04A2A"/>
    <w:rsid w:val="00D05207"/>
    <w:rsid w:val="00D054FD"/>
    <w:rsid w:val="00D05693"/>
    <w:rsid w:val="00D05C22"/>
    <w:rsid w:val="00D062AB"/>
    <w:rsid w:val="00D062D4"/>
    <w:rsid w:val="00D063E8"/>
    <w:rsid w:val="00D06804"/>
    <w:rsid w:val="00D068AC"/>
    <w:rsid w:val="00D06A6B"/>
    <w:rsid w:val="00D06B33"/>
    <w:rsid w:val="00D06C34"/>
    <w:rsid w:val="00D071A5"/>
    <w:rsid w:val="00D07395"/>
    <w:rsid w:val="00D0772F"/>
    <w:rsid w:val="00D079CC"/>
    <w:rsid w:val="00D07A1B"/>
    <w:rsid w:val="00D07A2C"/>
    <w:rsid w:val="00D07BC1"/>
    <w:rsid w:val="00D07C13"/>
    <w:rsid w:val="00D07C96"/>
    <w:rsid w:val="00D10278"/>
    <w:rsid w:val="00D108F2"/>
    <w:rsid w:val="00D10A06"/>
    <w:rsid w:val="00D10DBB"/>
    <w:rsid w:val="00D10E39"/>
    <w:rsid w:val="00D10F10"/>
    <w:rsid w:val="00D112E9"/>
    <w:rsid w:val="00D11544"/>
    <w:rsid w:val="00D11BAD"/>
    <w:rsid w:val="00D11CC6"/>
    <w:rsid w:val="00D11E4E"/>
    <w:rsid w:val="00D12585"/>
    <w:rsid w:val="00D12A65"/>
    <w:rsid w:val="00D12C3D"/>
    <w:rsid w:val="00D13127"/>
    <w:rsid w:val="00D1344F"/>
    <w:rsid w:val="00D1394D"/>
    <w:rsid w:val="00D139B0"/>
    <w:rsid w:val="00D13BBC"/>
    <w:rsid w:val="00D13E0F"/>
    <w:rsid w:val="00D140EB"/>
    <w:rsid w:val="00D14531"/>
    <w:rsid w:val="00D14772"/>
    <w:rsid w:val="00D1489B"/>
    <w:rsid w:val="00D1499A"/>
    <w:rsid w:val="00D14A3C"/>
    <w:rsid w:val="00D14D41"/>
    <w:rsid w:val="00D14ED1"/>
    <w:rsid w:val="00D15308"/>
    <w:rsid w:val="00D15447"/>
    <w:rsid w:val="00D154B5"/>
    <w:rsid w:val="00D156D1"/>
    <w:rsid w:val="00D15714"/>
    <w:rsid w:val="00D1598D"/>
    <w:rsid w:val="00D15C13"/>
    <w:rsid w:val="00D15D23"/>
    <w:rsid w:val="00D16039"/>
    <w:rsid w:val="00D16202"/>
    <w:rsid w:val="00D1661D"/>
    <w:rsid w:val="00D16967"/>
    <w:rsid w:val="00D1697B"/>
    <w:rsid w:val="00D16A76"/>
    <w:rsid w:val="00D16B00"/>
    <w:rsid w:val="00D16C74"/>
    <w:rsid w:val="00D16D6E"/>
    <w:rsid w:val="00D16D8E"/>
    <w:rsid w:val="00D16E81"/>
    <w:rsid w:val="00D17000"/>
    <w:rsid w:val="00D174AE"/>
    <w:rsid w:val="00D17967"/>
    <w:rsid w:val="00D17E70"/>
    <w:rsid w:val="00D20022"/>
    <w:rsid w:val="00D20EF5"/>
    <w:rsid w:val="00D20F20"/>
    <w:rsid w:val="00D20F23"/>
    <w:rsid w:val="00D213DF"/>
    <w:rsid w:val="00D21717"/>
    <w:rsid w:val="00D218F7"/>
    <w:rsid w:val="00D21FA9"/>
    <w:rsid w:val="00D224FF"/>
    <w:rsid w:val="00D22B31"/>
    <w:rsid w:val="00D2312F"/>
    <w:rsid w:val="00D233CD"/>
    <w:rsid w:val="00D23A4A"/>
    <w:rsid w:val="00D23AA7"/>
    <w:rsid w:val="00D23ADB"/>
    <w:rsid w:val="00D244C3"/>
    <w:rsid w:val="00D24A04"/>
    <w:rsid w:val="00D24BEF"/>
    <w:rsid w:val="00D24C57"/>
    <w:rsid w:val="00D253B1"/>
    <w:rsid w:val="00D2569D"/>
    <w:rsid w:val="00D256C5"/>
    <w:rsid w:val="00D25B0A"/>
    <w:rsid w:val="00D25B13"/>
    <w:rsid w:val="00D25F9B"/>
    <w:rsid w:val="00D26192"/>
    <w:rsid w:val="00D262B5"/>
    <w:rsid w:val="00D26482"/>
    <w:rsid w:val="00D266AE"/>
    <w:rsid w:val="00D26728"/>
    <w:rsid w:val="00D26890"/>
    <w:rsid w:val="00D268E1"/>
    <w:rsid w:val="00D268FC"/>
    <w:rsid w:val="00D2691D"/>
    <w:rsid w:val="00D2700E"/>
    <w:rsid w:val="00D272F4"/>
    <w:rsid w:val="00D273BB"/>
    <w:rsid w:val="00D27457"/>
    <w:rsid w:val="00D276F3"/>
    <w:rsid w:val="00D27701"/>
    <w:rsid w:val="00D278A7"/>
    <w:rsid w:val="00D27920"/>
    <w:rsid w:val="00D27C32"/>
    <w:rsid w:val="00D27DC5"/>
    <w:rsid w:val="00D30848"/>
    <w:rsid w:val="00D30A46"/>
    <w:rsid w:val="00D30AAE"/>
    <w:rsid w:val="00D30AFF"/>
    <w:rsid w:val="00D30C07"/>
    <w:rsid w:val="00D30CB9"/>
    <w:rsid w:val="00D31177"/>
    <w:rsid w:val="00D31280"/>
    <w:rsid w:val="00D313AC"/>
    <w:rsid w:val="00D3145F"/>
    <w:rsid w:val="00D320CD"/>
    <w:rsid w:val="00D32228"/>
    <w:rsid w:val="00D32262"/>
    <w:rsid w:val="00D323C0"/>
    <w:rsid w:val="00D326FF"/>
    <w:rsid w:val="00D32A5A"/>
    <w:rsid w:val="00D32B4A"/>
    <w:rsid w:val="00D32B9B"/>
    <w:rsid w:val="00D32DE5"/>
    <w:rsid w:val="00D32FE7"/>
    <w:rsid w:val="00D33037"/>
    <w:rsid w:val="00D3323F"/>
    <w:rsid w:val="00D334BE"/>
    <w:rsid w:val="00D33605"/>
    <w:rsid w:val="00D3369D"/>
    <w:rsid w:val="00D338FD"/>
    <w:rsid w:val="00D33BF1"/>
    <w:rsid w:val="00D3426A"/>
    <w:rsid w:val="00D343E7"/>
    <w:rsid w:val="00D347E7"/>
    <w:rsid w:val="00D34AB2"/>
    <w:rsid w:val="00D3513B"/>
    <w:rsid w:val="00D3532C"/>
    <w:rsid w:val="00D353FE"/>
    <w:rsid w:val="00D35449"/>
    <w:rsid w:val="00D354B1"/>
    <w:rsid w:val="00D354BC"/>
    <w:rsid w:val="00D35555"/>
    <w:rsid w:val="00D356F7"/>
    <w:rsid w:val="00D35794"/>
    <w:rsid w:val="00D358E6"/>
    <w:rsid w:val="00D35907"/>
    <w:rsid w:val="00D35B54"/>
    <w:rsid w:val="00D35E30"/>
    <w:rsid w:val="00D35E95"/>
    <w:rsid w:val="00D362E9"/>
    <w:rsid w:val="00D36326"/>
    <w:rsid w:val="00D3639D"/>
    <w:rsid w:val="00D364DB"/>
    <w:rsid w:val="00D36745"/>
    <w:rsid w:val="00D36A6B"/>
    <w:rsid w:val="00D36A6E"/>
    <w:rsid w:val="00D36A9C"/>
    <w:rsid w:val="00D36B1B"/>
    <w:rsid w:val="00D36CBA"/>
    <w:rsid w:val="00D36D55"/>
    <w:rsid w:val="00D37563"/>
    <w:rsid w:val="00D3775F"/>
    <w:rsid w:val="00D37BDF"/>
    <w:rsid w:val="00D37BE1"/>
    <w:rsid w:val="00D4001F"/>
    <w:rsid w:val="00D4019C"/>
    <w:rsid w:val="00D401CF"/>
    <w:rsid w:val="00D40262"/>
    <w:rsid w:val="00D40455"/>
    <w:rsid w:val="00D404B6"/>
    <w:rsid w:val="00D405BD"/>
    <w:rsid w:val="00D40652"/>
    <w:rsid w:val="00D40ABE"/>
    <w:rsid w:val="00D40B27"/>
    <w:rsid w:val="00D40C93"/>
    <w:rsid w:val="00D40DBA"/>
    <w:rsid w:val="00D40E48"/>
    <w:rsid w:val="00D40F70"/>
    <w:rsid w:val="00D41006"/>
    <w:rsid w:val="00D412E6"/>
    <w:rsid w:val="00D4149E"/>
    <w:rsid w:val="00D419BE"/>
    <w:rsid w:val="00D41A29"/>
    <w:rsid w:val="00D41E9D"/>
    <w:rsid w:val="00D41FC5"/>
    <w:rsid w:val="00D421AA"/>
    <w:rsid w:val="00D423E0"/>
    <w:rsid w:val="00D42814"/>
    <w:rsid w:val="00D428BC"/>
    <w:rsid w:val="00D42C41"/>
    <w:rsid w:val="00D42E60"/>
    <w:rsid w:val="00D42F1B"/>
    <w:rsid w:val="00D42F6E"/>
    <w:rsid w:val="00D4321E"/>
    <w:rsid w:val="00D43363"/>
    <w:rsid w:val="00D434EF"/>
    <w:rsid w:val="00D43773"/>
    <w:rsid w:val="00D437FD"/>
    <w:rsid w:val="00D43A1B"/>
    <w:rsid w:val="00D43C11"/>
    <w:rsid w:val="00D43C61"/>
    <w:rsid w:val="00D43CCC"/>
    <w:rsid w:val="00D44001"/>
    <w:rsid w:val="00D4416B"/>
    <w:rsid w:val="00D442EE"/>
    <w:rsid w:val="00D4431C"/>
    <w:rsid w:val="00D444FF"/>
    <w:rsid w:val="00D446DC"/>
    <w:rsid w:val="00D45416"/>
    <w:rsid w:val="00D454DB"/>
    <w:rsid w:val="00D45586"/>
    <w:rsid w:val="00D458BC"/>
    <w:rsid w:val="00D4593A"/>
    <w:rsid w:val="00D45ACA"/>
    <w:rsid w:val="00D45DCE"/>
    <w:rsid w:val="00D460E7"/>
    <w:rsid w:val="00D467D9"/>
    <w:rsid w:val="00D46816"/>
    <w:rsid w:val="00D469CA"/>
    <w:rsid w:val="00D46C73"/>
    <w:rsid w:val="00D46FC6"/>
    <w:rsid w:val="00D4763D"/>
    <w:rsid w:val="00D47BB1"/>
    <w:rsid w:val="00D502DF"/>
    <w:rsid w:val="00D508A3"/>
    <w:rsid w:val="00D50A89"/>
    <w:rsid w:val="00D50C54"/>
    <w:rsid w:val="00D50C5E"/>
    <w:rsid w:val="00D510E7"/>
    <w:rsid w:val="00D51196"/>
    <w:rsid w:val="00D51219"/>
    <w:rsid w:val="00D5122F"/>
    <w:rsid w:val="00D512E5"/>
    <w:rsid w:val="00D51469"/>
    <w:rsid w:val="00D5166C"/>
    <w:rsid w:val="00D516C6"/>
    <w:rsid w:val="00D517EB"/>
    <w:rsid w:val="00D519B6"/>
    <w:rsid w:val="00D51AF5"/>
    <w:rsid w:val="00D51B40"/>
    <w:rsid w:val="00D51B4F"/>
    <w:rsid w:val="00D51BE2"/>
    <w:rsid w:val="00D51C38"/>
    <w:rsid w:val="00D51CB0"/>
    <w:rsid w:val="00D51D67"/>
    <w:rsid w:val="00D51DEF"/>
    <w:rsid w:val="00D5220B"/>
    <w:rsid w:val="00D523E8"/>
    <w:rsid w:val="00D52B32"/>
    <w:rsid w:val="00D52E8E"/>
    <w:rsid w:val="00D52F1B"/>
    <w:rsid w:val="00D52F4E"/>
    <w:rsid w:val="00D531E3"/>
    <w:rsid w:val="00D536AB"/>
    <w:rsid w:val="00D536D6"/>
    <w:rsid w:val="00D536ED"/>
    <w:rsid w:val="00D53916"/>
    <w:rsid w:val="00D539BA"/>
    <w:rsid w:val="00D53B60"/>
    <w:rsid w:val="00D54376"/>
    <w:rsid w:val="00D545D1"/>
    <w:rsid w:val="00D54811"/>
    <w:rsid w:val="00D54AE7"/>
    <w:rsid w:val="00D551C6"/>
    <w:rsid w:val="00D551D8"/>
    <w:rsid w:val="00D552F0"/>
    <w:rsid w:val="00D5547C"/>
    <w:rsid w:val="00D555A3"/>
    <w:rsid w:val="00D55774"/>
    <w:rsid w:val="00D559DE"/>
    <w:rsid w:val="00D55A8B"/>
    <w:rsid w:val="00D55CFB"/>
    <w:rsid w:val="00D55DD7"/>
    <w:rsid w:val="00D567C0"/>
    <w:rsid w:val="00D5688A"/>
    <w:rsid w:val="00D570C3"/>
    <w:rsid w:val="00D5740A"/>
    <w:rsid w:val="00D57C88"/>
    <w:rsid w:val="00D57FBB"/>
    <w:rsid w:val="00D601F1"/>
    <w:rsid w:val="00D602B6"/>
    <w:rsid w:val="00D605CF"/>
    <w:rsid w:val="00D6072E"/>
    <w:rsid w:val="00D60D76"/>
    <w:rsid w:val="00D60EA8"/>
    <w:rsid w:val="00D60F2C"/>
    <w:rsid w:val="00D60F74"/>
    <w:rsid w:val="00D6101B"/>
    <w:rsid w:val="00D610A0"/>
    <w:rsid w:val="00D6121D"/>
    <w:rsid w:val="00D6130D"/>
    <w:rsid w:val="00D61960"/>
    <w:rsid w:val="00D61D84"/>
    <w:rsid w:val="00D61E37"/>
    <w:rsid w:val="00D6211D"/>
    <w:rsid w:val="00D62282"/>
    <w:rsid w:val="00D62350"/>
    <w:rsid w:val="00D624F5"/>
    <w:rsid w:val="00D62977"/>
    <w:rsid w:val="00D62C59"/>
    <w:rsid w:val="00D62EAF"/>
    <w:rsid w:val="00D63232"/>
    <w:rsid w:val="00D633AD"/>
    <w:rsid w:val="00D634DE"/>
    <w:rsid w:val="00D6358C"/>
    <w:rsid w:val="00D6366A"/>
    <w:rsid w:val="00D63942"/>
    <w:rsid w:val="00D63D33"/>
    <w:rsid w:val="00D64640"/>
    <w:rsid w:val="00D64897"/>
    <w:rsid w:val="00D64C27"/>
    <w:rsid w:val="00D64EDB"/>
    <w:rsid w:val="00D651E9"/>
    <w:rsid w:val="00D65779"/>
    <w:rsid w:val="00D65784"/>
    <w:rsid w:val="00D65C76"/>
    <w:rsid w:val="00D65E73"/>
    <w:rsid w:val="00D6616D"/>
    <w:rsid w:val="00D665AE"/>
    <w:rsid w:val="00D66883"/>
    <w:rsid w:val="00D66B87"/>
    <w:rsid w:val="00D66F9C"/>
    <w:rsid w:val="00D66FB1"/>
    <w:rsid w:val="00D66FDC"/>
    <w:rsid w:val="00D670B2"/>
    <w:rsid w:val="00D67317"/>
    <w:rsid w:val="00D67433"/>
    <w:rsid w:val="00D674AC"/>
    <w:rsid w:val="00D675D4"/>
    <w:rsid w:val="00D67664"/>
    <w:rsid w:val="00D67C4E"/>
    <w:rsid w:val="00D67C71"/>
    <w:rsid w:val="00D67DAB"/>
    <w:rsid w:val="00D67EF8"/>
    <w:rsid w:val="00D70247"/>
    <w:rsid w:val="00D70D41"/>
    <w:rsid w:val="00D70DB0"/>
    <w:rsid w:val="00D71E14"/>
    <w:rsid w:val="00D71F8A"/>
    <w:rsid w:val="00D71FDF"/>
    <w:rsid w:val="00D71FE1"/>
    <w:rsid w:val="00D72655"/>
    <w:rsid w:val="00D729AF"/>
    <w:rsid w:val="00D72A3F"/>
    <w:rsid w:val="00D72BCA"/>
    <w:rsid w:val="00D72C80"/>
    <w:rsid w:val="00D7315E"/>
    <w:rsid w:val="00D7316D"/>
    <w:rsid w:val="00D73300"/>
    <w:rsid w:val="00D739D2"/>
    <w:rsid w:val="00D73C41"/>
    <w:rsid w:val="00D73DD6"/>
    <w:rsid w:val="00D7417F"/>
    <w:rsid w:val="00D7443D"/>
    <w:rsid w:val="00D7452D"/>
    <w:rsid w:val="00D74E0F"/>
    <w:rsid w:val="00D750CF"/>
    <w:rsid w:val="00D7555B"/>
    <w:rsid w:val="00D756CD"/>
    <w:rsid w:val="00D75952"/>
    <w:rsid w:val="00D75E8F"/>
    <w:rsid w:val="00D76128"/>
    <w:rsid w:val="00D764CE"/>
    <w:rsid w:val="00D76B0B"/>
    <w:rsid w:val="00D76C85"/>
    <w:rsid w:val="00D7714F"/>
    <w:rsid w:val="00D77162"/>
    <w:rsid w:val="00D778DE"/>
    <w:rsid w:val="00D779FC"/>
    <w:rsid w:val="00D77B11"/>
    <w:rsid w:val="00D77BED"/>
    <w:rsid w:val="00D77EAD"/>
    <w:rsid w:val="00D77F4F"/>
    <w:rsid w:val="00D8025E"/>
    <w:rsid w:val="00D8088A"/>
    <w:rsid w:val="00D808A7"/>
    <w:rsid w:val="00D80B42"/>
    <w:rsid w:val="00D80BDB"/>
    <w:rsid w:val="00D80C60"/>
    <w:rsid w:val="00D80DA2"/>
    <w:rsid w:val="00D81015"/>
    <w:rsid w:val="00D8125E"/>
    <w:rsid w:val="00D8126B"/>
    <w:rsid w:val="00D81728"/>
    <w:rsid w:val="00D81839"/>
    <w:rsid w:val="00D82012"/>
    <w:rsid w:val="00D8224D"/>
    <w:rsid w:val="00D824DE"/>
    <w:rsid w:val="00D825B7"/>
    <w:rsid w:val="00D826E5"/>
    <w:rsid w:val="00D829FA"/>
    <w:rsid w:val="00D82C8A"/>
    <w:rsid w:val="00D834AF"/>
    <w:rsid w:val="00D83AB0"/>
    <w:rsid w:val="00D83AF7"/>
    <w:rsid w:val="00D83FAA"/>
    <w:rsid w:val="00D8409A"/>
    <w:rsid w:val="00D8424B"/>
    <w:rsid w:val="00D84703"/>
    <w:rsid w:val="00D84A7F"/>
    <w:rsid w:val="00D84D69"/>
    <w:rsid w:val="00D84F88"/>
    <w:rsid w:val="00D85257"/>
    <w:rsid w:val="00D852FE"/>
    <w:rsid w:val="00D85327"/>
    <w:rsid w:val="00D854D3"/>
    <w:rsid w:val="00D85615"/>
    <w:rsid w:val="00D8589B"/>
    <w:rsid w:val="00D85F1C"/>
    <w:rsid w:val="00D8611F"/>
    <w:rsid w:val="00D8637C"/>
    <w:rsid w:val="00D867D0"/>
    <w:rsid w:val="00D86B77"/>
    <w:rsid w:val="00D86E44"/>
    <w:rsid w:val="00D86E9F"/>
    <w:rsid w:val="00D86F4C"/>
    <w:rsid w:val="00D87290"/>
    <w:rsid w:val="00D872F7"/>
    <w:rsid w:val="00D879B8"/>
    <w:rsid w:val="00D87A17"/>
    <w:rsid w:val="00D87CF6"/>
    <w:rsid w:val="00D87F0F"/>
    <w:rsid w:val="00D87FA4"/>
    <w:rsid w:val="00D90203"/>
    <w:rsid w:val="00D90294"/>
    <w:rsid w:val="00D9061E"/>
    <w:rsid w:val="00D907A6"/>
    <w:rsid w:val="00D908F9"/>
    <w:rsid w:val="00D90A74"/>
    <w:rsid w:val="00D90ABC"/>
    <w:rsid w:val="00D90CAD"/>
    <w:rsid w:val="00D90CDD"/>
    <w:rsid w:val="00D91013"/>
    <w:rsid w:val="00D91357"/>
    <w:rsid w:val="00D9149A"/>
    <w:rsid w:val="00D91923"/>
    <w:rsid w:val="00D91B74"/>
    <w:rsid w:val="00D920D6"/>
    <w:rsid w:val="00D92387"/>
    <w:rsid w:val="00D925B6"/>
    <w:rsid w:val="00D92B00"/>
    <w:rsid w:val="00D92D50"/>
    <w:rsid w:val="00D93215"/>
    <w:rsid w:val="00D93645"/>
    <w:rsid w:val="00D936E2"/>
    <w:rsid w:val="00D93CED"/>
    <w:rsid w:val="00D93D27"/>
    <w:rsid w:val="00D93D8B"/>
    <w:rsid w:val="00D9437B"/>
    <w:rsid w:val="00D95099"/>
    <w:rsid w:val="00D95360"/>
    <w:rsid w:val="00D9557D"/>
    <w:rsid w:val="00D955B1"/>
    <w:rsid w:val="00D9579E"/>
    <w:rsid w:val="00D95944"/>
    <w:rsid w:val="00D95B19"/>
    <w:rsid w:val="00D95D84"/>
    <w:rsid w:val="00D95DD7"/>
    <w:rsid w:val="00D9606E"/>
    <w:rsid w:val="00D9659A"/>
    <w:rsid w:val="00D9659C"/>
    <w:rsid w:val="00D965B4"/>
    <w:rsid w:val="00D96634"/>
    <w:rsid w:val="00D96877"/>
    <w:rsid w:val="00D96AE9"/>
    <w:rsid w:val="00D96B0D"/>
    <w:rsid w:val="00D96CE0"/>
    <w:rsid w:val="00D9707F"/>
    <w:rsid w:val="00D971EA"/>
    <w:rsid w:val="00D9732E"/>
    <w:rsid w:val="00D97425"/>
    <w:rsid w:val="00D9772B"/>
    <w:rsid w:val="00D97896"/>
    <w:rsid w:val="00D97A1F"/>
    <w:rsid w:val="00D97C40"/>
    <w:rsid w:val="00D97CE6"/>
    <w:rsid w:val="00D97FD1"/>
    <w:rsid w:val="00DA0053"/>
    <w:rsid w:val="00DA0144"/>
    <w:rsid w:val="00DA0415"/>
    <w:rsid w:val="00DA044A"/>
    <w:rsid w:val="00DA04B0"/>
    <w:rsid w:val="00DA06E4"/>
    <w:rsid w:val="00DA077F"/>
    <w:rsid w:val="00DA0AF6"/>
    <w:rsid w:val="00DA0BFE"/>
    <w:rsid w:val="00DA1110"/>
    <w:rsid w:val="00DA11B7"/>
    <w:rsid w:val="00DA16CF"/>
    <w:rsid w:val="00DA1ABC"/>
    <w:rsid w:val="00DA1C6C"/>
    <w:rsid w:val="00DA1C83"/>
    <w:rsid w:val="00DA1E84"/>
    <w:rsid w:val="00DA1EC7"/>
    <w:rsid w:val="00DA1FF3"/>
    <w:rsid w:val="00DA200D"/>
    <w:rsid w:val="00DA228F"/>
    <w:rsid w:val="00DA22E3"/>
    <w:rsid w:val="00DA28C9"/>
    <w:rsid w:val="00DA2D1C"/>
    <w:rsid w:val="00DA3D5C"/>
    <w:rsid w:val="00DA3D6C"/>
    <w:rsid w:val="00DA3E7A"/>
    <w:rsid w:val="00DA3FE8"/>
    <w:rsid w:val="00DA411C"/>
    <w:rsid w:val="00DA449B"/>
    <w:rsid w:val="00DA469D"/>
    <w:rsid w:val="00DA4E19"/>
    <w:rsid w:val="00DA51BB"/>
    <w:rsid w:val="00DA52AB"/>
    <w:rsid w:val="00DA549D"/>
    <w:rsid w:val="00DA58F7"/>
    <w:rsid w:val="00DA5DB7"/>
    <w:rsid w:val="00DA60F8"/>
    <w:rsid w:val="00DA637B"/>
    <w:rsid w:val="00DA6523"/>
    <w:rsid w:val="00DA6664"/>
    <w:rsid w:val="00DA66CD"/>
    <w:rsid w:val="00DA6707"/>
    <w:rsid w:val="00DA6AC5"/>
    <w:rsid w:val="00DA6D07"/>
    <w:rsid w:val="00DA6D4D"/>
    <w:rsid w:val="00DA6D75"/>
    <w:rsid w:val="00DA6E21"/>
    <w:rsid w:val="00DA6F5D"/>
    <w:rsid w:val="00DA6F6D"/>
    <w:rsid w:val="00DA744C"/>
    <w:rsid w:val="00DA7774"/>
    <w:rsid w:val="00DA78F4"/>
    <w:rsid w:val="00DA799C"/>
    <w:rsid w:val="00DA79CE"/>
    <w:rsid w:val="00DA7B48"/>
    <w:rsid w:val="00DA7E8C"/>
    <w:rsid w:val="00DB0083"/>
    <w:rsid w:val="00DB00B6"/>
    <w:rsid w:val="00DB01C6"/>
    <w:rsid w:val="00DB023E"/>
    <w:rsid w:val="00DB0FB6"/>
    <w:rsid w:val="00DB13C3"/>
    <w:rsid w:val="00DB1793"/>
    <w:rsid w:val="00DB1C4E"/>
    <w:rsid w:val="00DB208E"/>
    <w:rsid w:val="00DB21C8"/>
    <w:rsid w:val="00DB22D3"/>
    <w:rsid w:val="00DB232C"/>
    <w:rsid w:val="00DB2390"/>
    <w:rsid w:val="00DB24C3"/>
    <w:rsid w:val="00DB2612"/>
    <w:rsid w:val="00DB2690"/>
    <w:rsid w:val="00DB2D04"/>
    <w:rsid w:val="00DB2D58"/>
    <w:rsid w:val="00DB2E7C"/>
    <w:rsid w:val="00DB3183"/>
    <w:rsid w:val="00DB33F3"/>
    <w:rsid w:val="00DB3799"/>
    <w:rsid w:val="00DB3BC3"/>
    <w:rsid w:val="00DB3C93"/>
    <w:rsid w:val="00DB3C9C"/>
    <w:rsid w:val="00DB3EE9"/>
    <w:rsid w:val="00DB41D7"/>
    <w:rsid w:val="00DB443D"/>
    <w:rsid w:val="00DB45FF"/>
    <w:rsid w:val="00DB46C6"/>
    <w:rsid w:val="00DB477F"/>
    <w:rsid w:val="00DB4A17"/>
    <w:rsid w:val="00DB4C9C"/>
    <w:rsid w:val="00DB4DF2"/>
    <w:rsid w:val="00DB50B4"/>
    <w:rsid w:val="00DB52B6"/>
    <w:rsid w:val="00DB5B92"/>
    <w:rsid w:val="00DB5CFA"/>
    <w:rsid w:val="00DB5DB5"/>
    <w:rsid w:val="00DB5EB1"/>
    <w:rsid w:val="00DB606F"/>
    <w:rsid w:val="00DB607E"/>
    <w:rsid w:val="00DB6191"/>
    <w:rsid w:val="00DB622B"/>
    <w:rsid w:val="00DB62A5"/>
    <w:rsid w:val="00DB6334"/>
    <w:rsid w:val="00DB6453"/>
    <w:rsid w:val="00DB698D"/>
    <w:rsid w:val="00DB6E97"/>
    <w:rsid w:val="00DB6F37"/>
    <w:rsid w:val="00DB73A6"/>
    <w:rsid w:val="00DB77AD"/>
    <w:rsid w:val="00DB78A1"/>
    <w:rsid w:val="00DB78E0"/>
    <w:rsid w:val="00DB7A61"/>
    <w:rsid w:val="00DB7AB1"/>
    <w:rsid w:val="00DB7AFC"/>
    <w:rsid w:val="00DB7D4F"/>
    <w:rsid w:val="00DB7E3B"/>
    <w:rsid w:val="00DC0166"/>
    <w:rsid w:val="00DC0459"/>
    <w:rsid w:val="00DC0544"/>
    <w:rsid w:val="00DC054D"/>
    <w:rsid w:val="00DC0552"/>
    <w:rsid w:val="00DC07FD"/>
    <w:rsid w:val="00DC0870"/>
    <w:rsid w:val="00DC0D9A"/>
    <w:rsid w:val="00DC1271"/>
    <w:rsid w:val="00DC1378"/>
    <w:rsid w:val="00DC1635"/>
    <w:rsid w:val="00DC196F"/>
    <w:rsid w:val="00DC1973"/>
    <w:rsid w:val="00DC1DBB"/>
    <w:rsid w:val="00DC1E19"/>
    <w:rsid w:val="00DC1E24"/>
    <w:rsid w:val="00DC1EBD"/>
    <w:rsid w:val="00DC1FA3"/>
    <w:rsid w:val="00DC207F"/>
    <w:rsid w:val="00DC22A1"/>
    <w:rsid w:val="00DC246B"/>
    <w:rsid w:val="00DC28E3"/>
    <w:rsid w:val="00DC2A21"/>
    <w:rsid w:val="00DC2BCC"/>
    <w:rsid w:val="00DC2C85"/>
    <w:rsid w:val="00DC2F26"/>
    <w:rsid w:val="00DC309E"/>
    <w:rsid w:val="00DC36C9"/>
    <w:rsid w:val="00DC397B"/>
    <w:rsid w:val="00DC39AE"/>
    <w:rsid w:val="00DC39DF"/>
    <w:rsid w:val="00DC3E78"/>
    <w:rsid w:val="00DC4461"/>
    <w:rsid w:val="00DC4523"/>
    <w:rsid w:val="00DC489C"/>
    <w:rsid w:val="00DC4B0B"/>
    <w:rsid w:val="00DC4E34"/>
    <w:rsid w:val="00DC4E78"/>
    <w:rsid w:val="00DC4EB8"/>
    <w:rsid w:val="00DC5777"/>
    <w:rsid w:val="00DC59AF"/>
    <w:rsid w:val="00DC5C68"/>
    <w:rsid w:val="00DC5D46"/>
    <w:rsid w:val="00DC5FE9"/>
    <w:rsid w:val="00DC6471"/>
    <w:rsid w:val="00DC656A"/>
    <w:rsid w:val="00DC6611"/>
    <w:rsid w:val="00DC6749"/>
    <w:rsid w:val="00DC681A"/>
    <w:rsid w:val="00DC68DE"/>
    <w:rsid w:val="00DC695E"/>
    <w:rsid w:val="00DC6CD3"/>
    <w:rsid w:val="00DC6D78"/>
    <w:rsid w:val="00DC6E86"/>
    <w:rsid w:val="00DC6F66"/>
    <w:rsid w:val="00DC7234"/>
    <w:rsid w:val="00DC77E8"/>
    <w:rsid w:val="00DC78FB"/>
    <w:rsid w:val="00DC79D2"/>
    <w:rsid w:val="00DC7BE8"/>
    <w:rsid w:val="00DC7C29"/>
    <w:rsid w:val="00DD0071"/>
    <w:rsid w:val="00DD03DD"/>
    <w:rsid w:val="00DD07A8"/>
    <w:rsid w:val="00DD0830"/>
    <w:rsid w:val="00DD0A28"/>
    <w:rsid w:val="00DD10D6"/>
    <w:rsid w:val="00DD1219"/>
    <w:rsid w:val="00DD155F"/>
    <w:rsid w:val="00DD17D5"/>
    <w:rsid w:val="00DD18C3"/>
    <w:rsid w:val="00DD1A61"/>
    <w:rsid w:val="00DD2054"/>
    <w:rsid w:val="00DD21A0"/>
    <w:rsid w:val="00DD2267"/>
    <w:rsid w:val="00DD228B"/>
    <w:rsid w:val="00DD24AF"/>
    <w:rsid w:val="00DD2528"/>
    <w:rsid w:val="00DD26EE"/>
    <w:rsid w:val="00DD29A2"/>
    <w:rsid w:val="00DD2B74"/>
    <w:rsid w:val="00DD3067"/>
    <w:rsid w:val="00DD3488"/>
    <w:rsid w:val="00DD35FC"/>
    <w:rsid w:val="00DD388B"/>
    <w:rsid w:val="00DD38D1"/>
    <w:rsid w:val="00DD3B45"/>
    <w:rsid w:val="00DD3C9E"/>
    <w:rsid w:val="00DD3FFF"/>
    <w:rsid w:val="00DD4374"/>
    <w:rsid w:val="00DD4650"/>
    <w:rsid w:val="00DD486E"/>
    <w:rsid w:val="00DD4C4D"/>
    <w:rsid w:val="00DD4C51"/>
    <w:rsid w:val="00DD5348"/>
    <w:rsid w:val="00DD53F3"/>
    <w:rsid w:val="00DD548B"/>
    <w:rsid w:val="00DD5677"/>
    <w:rsid w:val="00DD56E8"/>
    <w:rsid w:val="00DD57C2"/>
    <w:rsid w:val="00DD5C8C"/>
    <w:rsid w:val="00DD6093"/>
    <w:rsid w:val="00DD624C"/>
    <w:rsid w:val="00DD6278"/>
    <w:rsid w:val="00DD6D00"/>
    <w:rsid w:val="00DD6FA4"/>
    <w:rsid w:val="00DD70CD"/>
    <w:rsid w:val="00DD74FA"/>
    <w:rsid w:val="00DD7553"/>
    <w:rsid w:val="00DD7A93"/>
    <w:rsid w:val="00DD7AC1"/>
    <w:rsid w:val="00DD7B10"/>
    <w:rsid w:val="00DD7D1A"/>
    <w:rsid w:val="00DD7D35"/>
    <w:rsid w:val="00DD7E58"/>
    <w:rsid w:val="00DE0122"/>
    <w:rsid w:val="00DE029A"/>
    <w:rsid w:val="00DE0676"/>
    <w:rsid w:val="00DE07FF"/>
    <w:rsid w:val="00DE0BC3"/>
    <w:rsid w:val="00DE13AE"/>
    <w:rsid w:val="00DE13E0"/>
    <w:rsid w:val="00DE13F9"/>
    <w:rsid w:val="00DE140D"/>
    <w:rsid w:val="00DE149A"/>
    <w:rsid w:val="00DE160C"/>
    <w:rsid w:val="00DE162F"/>
    <w:rsid w:val="00DE1770"/>
    <w:rsid w:val="00DE1824"/>
    <w:rsid w:val="00DE1E64"/>
    <w:rsid w:val="00DE1ED3"/>
    <w:rsid w:val="00DE1F82"/>
    <w:rsid w:val="00DE2047"/>
    <w:rsid w:val="00DE2304"/>
    <w:rsid w:val="00DE250D"/>
    <w:rsid w:val="00DE297E"/>
    <w:rsid w:val="00DE2CBF"/>
    <w:rsid w:val="00DE2D11"/>
    <w:rsid w:val="00DE2D89"/>
    <w:rsid w:val="00DE2D9D"/>
    <w:rsid w:val="00DE2DCA"/>
    <w:rsid w:val="00DE347F"/>
    <w:rsid w:val="00DE3679"/>
    <w:rsid w:val="00DE36D6"/>
    <w:rsid w:val="00DE39C2"/>
    <w:rsid w:val="00DE3CC0"/>
    <w:rsid w:val="00DE3D63"/>
    <w:rsid w:val="00DE3DD6"/>
    <w:rsid w:val="00DE3E8F"/>
    <w:rsid w:val="00DE4578"/>
    <w:rsid w:val="00DE45BF"/>
    <w:rsid w:val="00DE4D75"/>
    <w:rsid w:val="00DE4F61"/>
    <w:rsid w:val="00DE53ED"/>
    <w:rsid w:val="00DE5405"/>
    <w:rsid w:val="00DE5C62"/>
    <w:rsid w:val="00DE5D5B"/>
    <w:rsid w:val="00DE6201"/>
    <w:rsid w:val="00DE63D1"/>
    <w:rsid w:val="00DE6423"/>
    <w:rsid w:val="00DE6506"/>
    <w:rsid w:val="00DE665C"/>
    <w:rsid w:val="00DE67A9"/>
    <w:rsid w:val="00DE6A9B"/>
    <w:rsid w:val="00DE6F3F"/>
    <w:rsid w:val="00DE700C"/>
    <w:rsid w:val="00DE7039"/>
    <w:rsid w:val="00DE7097"/>
    <w:rsid w:val="00DE70B8"/>
    <w:rsid w:val="00DE717A"/>
    <w:rsid w:val="00DE7242"/>
    <w:rsid w:val="00DE7365"/>
    <w:rsid w:val="00DE73EE"/>
    <w:rsid w:val="00DE7576"/>
    <w:rsid w:val="00DE76F3"/>
    <w:rsid w:val="00DE773A"/>
    <w:rsid w:val="00DE790E"/>
    <w:rsid w:val="00DE7A89"/>
    <w:rsid w:val="00DE7D83"/>
    <w:rsid w:val="00DE7DA2"/>
    <w:rsid w:val="00DE7FEC"/>
    <w:rsid w:val="00DF00BB"/>
    <w:rsid w:val="00DF01E3"/>
    <w:rsid w:val="00DF02D4"/>
    <w:rsid w:val="00DF039F"/>
    <w:rsid w:val="00DF0593"/>
    <w:rsid w:val="00DF0739"/>
    <w:rsid w:val="00DF092C"/>
    <w:rsid w:val="00DF09EF"/>
    <w:rsid w:val="00DF0A4B"/>
    <w:rsid w:val="00DF0AC7"/>
    <w:rsid w:val="00DF0D28"/>
    <w:rsid w:val="00DF12DF"/>
    <w:rsid w:val="00DF1347"/>
    <w:rsid w:val="00DF15AD"/>
    <w:rsid w:val="00DF15CB"/>
    <w:rsid w:val="00DF161D"/>
    <w:rsid w:val="00DF185B"/>
    <w:rsid w:val="00DF1947"/>
    <w:rsid w:val="00DF1AF1"/>
    <w:rsid w:val="00DF1B1F"/>
    <w:rsid w:val="00DF1BC0"/>
    <w:rsid w:val="00DF1BCA"/>
    <w:rsid w:val="00DF1E2C"/>
    <w:rsid w:val="00DF20A7"/>
    <w:rsid w:val="00DF21BA"/>
    <w:rsid w:val="00DF2753"/>
    <w:rsid w:val="00DF2C4A"/>
    <w:rsid w:val="00DF2EF6"/>
    <w:rsid w:val="00DF2FDD"/>
    <w:rsid w:val="00DF3544"/>
    <w:rsid w:val="00DF35AE"/>
    <w:rsid w:val="00DF390F"/>
    <w:rsid w:val="00DF394F"/>
    <w:rsid w:val="00DF3E08"/>
    <w:rsid w:val="00DF3E61"/>
    <w:rsid w:val="00DF4097"/>
    <w:rsid w:val="00DF4933"/>
    <w:rsid w:val="00DF4FAA"/>
    <w:rsid w:val="00DF52F4"/>
    <w:rsid w:val="00DF530F"/>
    <w:rsid w:val="00DF53D4"/>
    <w:rsid w:val="00DF54EF"/>
    <w:rsid w:val="00DF56B9"/>
    <w:rsid w:val="00DF5959"/>
    <w:rsid w:val="00DF5A2E"/>
    <w:rsid w:val="00DF5B68"/>
    <w:rsid w:val="00DF600A"/>
    <w:rsid w:val="00DF6144"/>
    <w:rsid w:val="00DF66A2"/>
    <w:rsid w:val="00DF67C6"/>
    <w:rsid w:val="00DF6936"/>
    <w:rsid w:val="00DF6AA8"/>
    <w:rsid w:val="00DF71BA"/>
    <w:rsid w:val="00DF72CB"/>
    <w:rsid w:val="00DF76C3"/>
    <w:rsid w:val="00DF7D64"/>
    <w:rsid w:val="00E00AF5"/>
    <w:rsid w:val="00E00C18"/>
    <w:rsid w:val="00E00E38"/>
    <w:rsid w:val="00E00F76"/>
    <w:rsid w:val="00E0108C"/>
    <w:rsid w:val="00E0112C"/>
    <w:rsid w:val="00E0166D"/>
    <w:rsid w:val="00E0167F"/>
    <w:rsid w:val="00E01BF4"/>
    <w:rsid w:val="00E0226B"/>
    <w:rsid w:val="00E022F9"/>
    <w:rsid w:val="00E02342"/>
    <w:rsid w:val="00E02496"/>
    <w:rsid w:val="00E02576"/>
    <w:rsid w:val="00E02BF0"/>
    <w:rsid w:val="00E03453"/>
    <w:rsid w:val="00E03475"/>
    <w:rsid w:val="00E0371F"/>
    <w:rsid w:val="00E038F7"/>
    <w:rsid w:val="00E04226"/>
    <w:rsid w:val="00E04C73"/>
    <w:rsid w:val="00E050F1"/>
    <w:rsid w:val="00E053C8"/>
    <w:rsid w:val="00E0540D"/>
    <w:rsid w:val="00E05460"/>
    <w:rsid w:val="00E056B1"/>
    <w:rsid w:val="00E058E6"/>
    <w:rsid w:val="00E05DDE"/>
    <w:rsid w:val="00E05E90"/>
    <w:rsid w:val="00E0646A"/>
    <w:rsid w:val="00E06507"/>
    <w:rsid w:val="00E0661D"/>
    <w:rsid w:val="00E06758"/>
    <w:rsid w:val="00E06785"/>
    <w:rsid w:val="00E06DC4"/>
    <w:rsid w:val="00E070E0"/>
    <w:rsid w:val="00E0785E"/>
    <w:rsid w:val="00E07E3E"/>
    <w:rsid w:val="00E07F63"/>
    <w:rsid w:val="00E07F71"/>
    <w:rsid w:val="00E1003F"/>
    <w:rsid w:val="00E100EC"/>
    <w:rsid w:val="00E10513"/>
    <w:rsid w:val="00E106E5"/>
    <w:rsid w:val="00E107F7"/>
    <w:rsid w:val="00E10AAB"/>
    <w:rsid w:val="00E10B6C"/>
    <w:rsid w:val="00E10E9F"/>
    <w:rsid w:val="00E11203"/>
    <w:rsid w:val="00E11490"/>
    <w:rsid w:val="00E114A5"/>
    <w:rsid w:val="00E115D8"/>
    <w:rsid w:val="00E11B68"/>
    <w:rsid w:val="00E11E45"/>
    <w:rsid w:val="00E126F3"/>
    <w:rsid w:val="00E12893"/>
    <w:rsid w:val="00E1296C"/>
    <w:rsid w:val="00E12C81"/>
    <w:rsid w:val="00E130DD"/>
    <w:rsid w:val="00E131A4"/>
    <w:rsid w:val="00E13D77"/>
    <w:rsid w:val="00E151E3"/>
    <w:rsid w:val="00E15E6B"/>
    <w:rsid w:val="00E15ECF"/>
    <w:rsid w:val="00E15FB8"/>
    <w:rsid w:val="00E16300"/>
    <w:rsid w:val="00E16334"/>
    <w:rsid w:val="00E164B1"/>
    <w:rsid w:val="00E16640"/>
    <w:rsid w:val="00E16BB5"/>
    <w:rsid w:val="00E16D6F"/>
    <w:rsid w:val="00E16D71"/>
    <w:rsid w:val="00E175D8"/>
    <w:rsid w:val="00E176DB"/>
    <w:rsid w:val="00E177F4"/>
    <w:rsid w:val="00E178A1"/>
    <w:rsid w:val="00E178CA"/>
    <w:rsid w:val="00E17970"/>
    <w:rsid w:val="00E17BE5"/>
    <w:rsid w:val="00E17FD1"/>
    <w:rsid w:val="00E20193"/>
    <w:rsid w:val="00E20262"/>
    <w:rsid w:val="00E20561"/>
    <w:rsid w:val="00E20729"/>
    <w:rsid w:val="00E20B4E"/>
    <w:rsid w:val="00E20E3C"/>
    <w:rsid w:val="00E21144"/>
    <w:rsid w:val="00E2114E"/>
    <w:rsid w:val="00E21464"/>
    <w:rsid w:val="00E2159F"/>
    <w:rsid w:val="00E217C6"/>
    <w:rsid w:val="00E2181C"/>
    <w:rsid w:val="00E2185E"/>
    <w:rsid w:val="00E21DF8"/>
    <w:rsid w:val="00E222A1"/>
    <w:rsid w:val="00E22520"/>
    <w:rsid w:val="00E228E0"/>
    <w:rsid w:val="00E22A23"/>
    <w:rsid w:val="00E23299"/>
    <w:rsid w:val="00E238E7"/>
    <w:rsid w:val="00E23CC9"/>
    <w:rsid w:val="00E2434E"/>
    <w:rsid w:val="00E2456F"/>
    <w:rsid w:val="00E245E1"/>
    <w:rsid w:val="00E245F6"/>
    <w:rsid w:val="00E24847"/>
    <w:rsid w:val="00E24A16"/>
    <w:rsid w:val="00E24C5F"/>
    <w:rsid w:val="00E24E56"/>
    <w:rsid w:val="00E2532D"/>
    <w:rsid w:val="00E256DD"/>
    <w:rsid w:val="00E25C73"/>
    <w:rsid w:val="00E25E64"/>
    <w:rsid w:val="00E25FC2"/>
    <w:rsid w:val="00E26404"/>
    <w:rsid w:val="00E26517"/>
    <w:rsid w:val="00E26729"/>
    <w:rsid w:val="00E2678A"/>
    <w:rsid w:val="00E26964"/>
    <w:rsid w:val="00E26DF2"/>
    <w:rsid w:val="00E27120"/>
    <w:rsid w:val="00E27134"/>
    <w:rsid w:val="00E27617"/>
    <w:rsid w:val="00E27804"/>
    <w:rsid w:val="00E27BC6"/>
    <w:rsid w:val="00E27EB1"/>
    <w:rsid w:val="00E30091"/>
    <w:rsid w:val="00E3015B"/>
    <w:rsid w:val="00E301D3"/>
    <w:rsid w:val="00E3033E"/>
    <w:rsid w:val="00E309DE"/>
    <w:rsid w:val="00E30A78"/>
    <w:rsid w:val="00E30C4C"/>
    <w:rsid w:val="00E30EC7"/>
    <w:rsid w:val="00E30FC6"/>
    <w:rsid w:val="00E31296"/>
    <w:rsid w:val="00E312D2"/>
    <w:rsid w:val="00E313E1"/>
    <w:rsid w:val="00E31A04"/>
    <w:rsid w:val="00E32328"/>
    <w:rsid w:val="00E32379"/>
    <w:rsid w:val="00E32C50"/>
    <w:rsid w:val="00E330CF"/>
    <w:rsid w:val="00E330EE"/>
    <w:rsid w:val="00E332F5"/>
    <w:rsid w:val="00E33450"/>
    <w:rsid w:val="00E338B5"/>
    <w:rsid w:val="00E33C05"/>
    <w:rsid w:val="00E33DB9"/>
    <w:rsid w:val="00E33E9D"/>
    <w:rsid w:val="00E3406F"/>
    <w:rsid w:val="00E344B6"/>
    <w:rsid w:val="00E346FA"/>
    <w:rsid w:val="00E34B4D"/>
    <w:rsid w:val="00E34CD1"/>
    <w:rsid w:val="00E34DC4"/>
    <w:rsid w:val="00E34E45"/>
    <w:rsid w:val="00E34E87"/>
    <w:rsid w:val="00E3524B"/>
    <w:rsid w:val="00E352E9"/>
    <w:rsid w:val="00E35340"/>
    <w:rsid w:val="00E35517"/>
    <w:rsid w:val="00E355A0"/>
    <w:rsid w:val="00E356FD"/>
    <w:rsid w:val="00E35A95"/>
    <w:rsid w:val="00E35B11"/>
    <w:rsid w:val="00E35B15"/>
    <w:rsid w:val="00E35C49"/>
    <w:rsid w:val="00E3609A"/>
    <w:rsid w:val="00E360DC"/>
    <w:rsid w:val="00E363D1"/>
    <w:rsid w:val="00E36443"/>
    <w:rsid w:val="00E36AD8"/>
    <w:rsid w:val="00E36D66"/>
    <w:rsid w:val="00E3706D"/>
    <w:rsid w:val="00E370E8"/>
    <w:rsid w:val="00E37121"/>
    <w:rsid w:val="00E37208"/>
    <w:rsid w:val="00E37660"/>
    <w:rsid w:val="00E377ED"/>
    <w:rsid w:val="00E37A24"/>
    <w:rsid w:val="00E37A3B"/>
    <w:rsid w:val="00E37DAF"/>
    <w:rsid w:val="00E40334"/>
    <w:rsid w:val="00E40422"/>
    <w:rsid w:val="00E41147"/>
    <w:rsid w:val="00E4124F"/>
    <w:rsid w:val="00E413F2"/>
    <w:rsid w:val="00E41731"/>
    <w:rsid w:val="00E41C78"/>
    <w:rsid w:val="00E41DCE"/>
    <w:rsid w:val="00E41F0D"/>
    <w:rsid w:val="00E420BF"/>
    <w:rsid w:val="00E42181"/>
    <w:rsid w:val="00E42937"/>
    <w:rsid w:val="00E433A3"/>
    <w:rsid w:val="00E43468"/>
    <w:rsid w:val="00E4349C"/>
    <w:rsid w:val="00E436C4"/>
    <w:rsid w:val="00E43A15"/>
    <w:rsid w:val="00E43CF3"/>
    <w:rsid w:val="00E43DA9"/>
    <w:rsid w:val="00E43EE4"/>
    <w:rsid w:val="00E44111"/>
    <w:rsid w:val="00E4466B"/>
    <w:rsid w:val="00E4474E"/>
    <w:rsid w:val="00E4478F"/>
    <w:rsid w:val="00E44BF1"/>
    <w:rsid w:val="00E44E25"/>
    <w:rsid w:val="00E44E86"/>
    <w:rsid w:val="00E453EF"/>
    <w:rsid w:val="00E455DC"/>
    <w:rsid w:val="00E45750"/>
    <w:rsid w:val="00E459D9"/>
    <w:rsid w:val="00E45C18"/>
    <w:rsid w:val="00E460BA"/>
    <w:rsid w:val="00E462C2"/>
    <w:rsid w:val="00E4646E"/>
    <w:rsid w:val="00E46732"/>
    <w:rsid w:val="00E46A91"/>
    <w:rsid w:val="00E46D0A"/>
    <w:rsid w:val="00E46DCF"/>
    <w:rsid w:val="00E46DF1"/>
    <w:rsid w:val="00E46E86"/>
    <w:rsid w:val="00E477D0"/>
    <w:rsid w:val="00E479AC"/>
    <w:rsid w:val="00E47AE7"/>
    <w:rsid w:val="00E47B01"/>
    <w:rsid w:val="00E47B07"/>
    <w:rsid w:val="00E47E58"/>
    <w:rsid w:val="00E47ECA"/>
    <w:rsid w:val="00E50170"/>
    <w:rsid w:val="00E502C0"/>
    <w:rsid w:val="00E503B4"/>
    <w:rsid w:val="00E503C3"/>
    <w:rsid w:val="00E504F3"/>
    <w:rsid w:val="00E505D8"/>
    <w:rsid w:val="00E5068B"/>
    <w:rsid w:val="00E50C18"/>
    <w:rsid w:val="00E50D1A"/>
    <w:rsid w:val="00E50E80"/>
    <w:rsid w:val="00E51066"/>
    <w:rsid w:val="00E5125A"/>
    <w:rsid w:val="00E515D7"/>
    <w:rsid w:val="00E51651"/>
    <w:rsid w:val="00E51722"/>
    <w:rsid w:val="00E51AB6"/>
    <w:rsid w:val="00E51DB1"/>
    <w:rsid w:val="00E521EF"/>
    <w:rsid w:val="00E524A4"/>
    <w:rsid w:val="00E52627"/>
    <w:rsid w:val="00E526B8"/>
    <w:rsid w:val="00E52DFF"/>
    <w:rsid w:val="00E52ECB"/>
    <w:rsid w:val="00E52F7A"/>
    <w:rsid w:val="00E52F91"/>
    <w:rsid w:val="00E53447"/>
    <w:rsid w:val="00E5372C"/>
    <w:rsid w:val="00E5374A"/>
    <w:rsid w:val="00E53B22"/>
    <w:rsid w:val="00E53C15"/>
    <w:rsid w:val="00E53D2A"/>
    <w:rsid w:val="00E53FD5"/>
    <w:rsid w:val="00E54175"/>
    <w:rsid w:val="00E54278"/>
    <w:rsid w:val="00E544AC"/>
    <w:rsid w:val="00E54842"/>
    <w:rsid w:val="00E54BC5"/>
    <w:rsid w:val="00E5508B"/>
    <w:rsid w:val="00E55158"/>
    <w:rsid w:val="00E5538F"/>
    <w:rsid w:val="00E554E7"/>
    <w:rsid w:val="00E5550F"/>
    <w:rsid w:val="00E55595"/>
    <w:rsid w:val="00E55748"/>
    <w:rsid w:val="00E55965"/>
    <w:rsid w:val="00E559B0"/>
    <w:rsid w:val="00E55A6F"/>
    <w:rsid w:val="00E55B23"/>
    <w:rsid w:val="00E55E68"/>
    <w:rsid w:val="00E560AD"/>
    <w:rsid w:val="00E5625D"/>
    <w:rsid w:val="00E5636D"/>
    <w:rsid w:val="00E56696"/>
    <w:rsid w:val="00E56776"/>
    <w:rsid w:val="00E56C34"/>
    <w:rsid w:val="00E573E1"/>
    <w:rsid w:val="00E5785C"/>
    <w:rsid w:val="00E578D0"/>
    <w:rsid w:val="00E579ED"/>
    <w:rsid w:val="00E57AF3"/>
    <w:rsid w:val="00E57B6B"/>
    <w:rsid w:val="00E57D12"/>
    <w:rsid w:val="00E57E43"/>
    <w:rsid w:val="00E57EAB"/>
    <w:rsid w:val="00E601A3"/>
    <w:rsid w:val="00E6021C"/>
    <w:rsid w:val="00E60392"/>
    <w:rsid w:val="00E6049D"/>
    <w:rsid w:val="00E60613"/>
    <w:rsid w:val="00E606DA"/>
    <w:rsid w:val="00E60D11"/>
    <w:rsid w:val="00E60D32"/>
    <w:rsid w:val="00E60E17"/>
    <w:rsid w:val="00E6122D"/>
    <w:rsid w:val="00E613A7"/>
    <w:rsid w:val="00E619C0"/>
    <w:rsid w:val="00E619FE"/>
    <w:rsid w:val="00E61A14"/>
    <w:rsid w:val="00E61D36"/>
    <w:rsid w:val="00E61EE1"/>
    <w:rsid w:val="00E6243F"/>
    <w:rsid w:val="00E628D2"/>
    <w:rsid w:val="00E62A1D"/>
    <w:rsid w:val="00E62B51"/>
    <w:rsid w:val="00E62BE5"/>
    <w:rsid w:val="00E62F73"/>
    <w:rsid w:val="00E6305C"/>
    <w:rsid w:val="00E631FA"/>
    <w:rsid w:val="00E634B5"/>
    <w:rsid w:val="00E634C5"/>
    <w:rsid w:val="00E6355C"/>
    <w:rsid w:val="00E63932"/>
    <w:rsid w:val="00E63A06"/>
    <w:rsid w:val="00E63AD9"/>
    <w:rsid w:val="00E63C31"/>
    <w:rsid w:val="00E63FA8"/>
    <w:rsid w:val="00E64075"/>
    <w:rsid w:val="00E64352"/>
    <w:rsid w:val="00E6447F"/>
    <w:rsid w:val="00E644DC"/>
    <w:rsid w:val="00E64998"/>
    <w:rsid w:val="00E64D81"/>
    <w:rsid w:val="00E64DFF"/>
    <w:rsid w:val="00E64E52"/>
    <w:rsid w:val="00E64E91"/>
    <w:rsid w:val="00E6506B"/>
    <w:rsid w:val="00E6533B"/>
    <w:rsid w:val="00E6544D"/>
    <w:rsid w:val="00E6553D"/>
    <w:rsid w:val="00E6572C"/>
    <w:rsid w:val="00E657B0"/>
    <w:rsid w:val="00E6583D"/>
    <w:rsid w:val="00E65CA5"/>
    <w:rsid w:val="00E66040"/>
    <w:rsid w:val="00E6637B"/>
    <w:rsid w:val="00E663C1"/>
    <w:rsid w:val="00E6668C"/>
    <w:rsid w:val="00E66827"/>
    <w:rsid w:val="00E66A7E"/>
    <w:rsid w:val="00E66AC6"/>
    <w:rsid w:val="00E66B2D"/>
    <w:rsid w:val="00E66CF9"/>
    <w:rsid w:val="00E66FC4"/>
    <w:rsid w:val="00E675F6"/>
    <w:rsid w:val="00E6779C"/>
    <w:rsid w:val="00E67F6A"/>
    <w:rsid w:val="00E70144"/>
    <w:rsid w:val="00E7053A"/>
    <w:rsid w:val="00E707BE"/>
    <w:rsid w:val="00E70A1C"/>
    <w:rsid w:val="00E70D65"/>
    <w:rsid w:val="00E7129D"/>
    <w:rsid w:val="00E71307"/>
    <w:rsid w:val="00E7147F"/>
    <w:rsid w:val="00E7148A"/>
    <w:rsid w:val="00E71885"/>
    <w:rsid w:val="00E719F8"/>
    <w:rsid w:val="00E71BB4"/>
    <w:rsid w:val="00E71E3D"/>
    <w:rsid w:val="00E71FB5"/>
    <w:rsid w:val="00E72552"/>
    <w:rsid w:val="00E72662"/>
    <w:rsid w:val="00E72CCB"/>
    <w:rsid w:val="00E72E98"/>
    <w:rsid w:val="00E72FDF"/>
    <w:rsid w:val="00E7309B"/>
    <w:rsid w:val="00E730B0"/>
    <w:rsid w:val="00E730E3"/>
    <w:rsid w:val="00E730F9"/>
    <w:rsid w:val="00E7317F"/>
    <w:rsid w:val="00E735B6"/>
    <w:rsid w:val="00E73740"/>
    <w:rsid w:val="00E73F84"/>
    <w:rsid w:val="00E744CA"/>
    <w:rsid w:val="00E74788"/>
    <w:rsid w:val="00E74868"/>
    <w:rsid w:val="00E74BE1"/>
    <w:rsid w:val="00E74C90"/>
    <w:rsid w:val="00E74D66"/>
    <w:rsid w:val="00E7505A"/>
    <w:rsid w:val="00E75294"/>
    <w:rsid w:val="00E75378"/>
    <w:rsid w:val="00E754C5"/>
    <w:rsid w:val="00E75A60"/>
    <w:rsid w:val="00E75EDC"/>
    <w:rsid w:val="00E760E8"/>
    <w:rsid w:val="00E76282"/>
    <w:rsid w:val="00E7642F"/>
    <w:rsid w:val="00E76652"/>
    <w:rsid w:val="00E76899"/>
    <w:rsid w:val="00E7689D"/>
    <w:rsid w:val="00E768A5"/>
    <w:rsid w:val="00E77411"/>
    <w:rsid w:val="00E77568"/>
    <w:rsid w:val="00E776B5"/>
    <w:rsid w:val="00E776DE"/>
    <w:rsid w:val="00E776EE"/>
    <w:rsid w:val="00E777FF"/>
    <w:rsid w:val="00E7788B"/>
    <w:rsid w:val="00E7792A"/>
    <w:rsid w:val="00E77B0F"/>
    <w:rsid w:val="00E77CA3"/>
    <w:rsid w:val="00E77CEA"/>
    <w:rsid w:val="00E77EE5"/>
    <w:rsid w:val="00E8068A"/>
    <w:rsid w:val="00E80B9A"/>
    <w:rsid w:val="00E80BB5"/>
    <w:rsid w:val="00E81926"/>
    <w:rsid w:val="00E81AAF"/>
    <w:rsid w:val="00E81BA2"/>
    <w:rsid w:val="00E8204F"/>
    <w:rsid w:val="00E82303"/>
    <w:rsid w:val="00E82519"/>
    <w:rsid w:val="00E82739"/>
    <w:rsid w:val="00E82C8D"/>
    <w:rsid w:val="00E835FA"/>
    <w:rsid w:val="00E83775"/>
    <w:rsid w:val="00E837D7"/>
    <w:rsid w:val="00E8388B"/>
    <w:rsid w:val="00E8422C"/>
    <w:rsid w:val="00E84283"/>
    <w:rsid w:val="00E84297"/>
    <w:rsid w:val="00E8448F"/>
    <w:rsid w:val="00E84546"/>
    <w:rsid w:val="00E846C9"/>
    <w:rsid w:val="00E84780"/>
    <w:rsid w:val="00E84875"/>
    <w:rsid w:val="00E849D6"/>
    <w:rsid w:val="00E84B3C"/>
    <w:rsid w:val="00E84BC0"/>
    <w:rsid w:val="00E85151"/>
    <w:rsid w:val="00E85576"/>
    <w:rsid w:val="00E8564A"/>
    <w:rsid w:val="00E85852"/>
    <w:rsid w:val="00E85886"/>
    <w:rsid w:val="00E85A18"/>
    <w:rsid w:val="00E85C07"/>
    <w:rsid w:val="00E85EB2"/>
    <w:rsid w:val="00E85EB3"/>
    <w:rsid w:val="00E85EB8"/>
    <w:rsid w:val="00E86707"/>
    <w:rsid w:val="00E8683E"/>
    <w:rsid w:val="00E86DBC"/>
    <w:rsid w:val="00E87723"/>
    <w:rsid w:val="00E879E6"/>
    <w:rsid w:val="00E87A32"/>
    <w:rsid w:val="00E87CCC"/>
    <w:rsid w:val="00E87EF8"/>
    <w:rsid w:val="00E90190"/>
    <w:rsid w:val="00E903C9"/>
    <w:rsid w:val="00E90C15"/>
    <w:rsid w:val="00E911BF"/>
    <w:rsid w:val="00E91241"/>
    <w:rsid w:val="00E91347"/>
    <w:rsid w:val="00E9138D"/>
    <w:rsid w:val="00E916CF"/>
    <w:rsid w:val="00E918B9"/>
    <w:rsid w:val="00E9195C"/>
    <w:rsid w:val="00E91AFD"/>
    <w:rsid w:val="00E91FB5"/>
    <w:rsid w:val="00E92240"/>
    <w:rsid w:val="00E92276"/>
    <w:rsid w:val="00E9238C"/>
    <w:rsid w:val="00E92393"/>
    <w:rsid w:val="00E923BA"/>
    <w:rsid w:val="00E925D0"/>
    <w:rsid w:val="00E929C4"/>
    <w:rsid w:val="00E92E72"/>
    <w:rsid w:val="00E92E95"/>
    <w:rsid w:val="00E9342A"/>
    <w:rsid w:val="00E93781"/>
    <w:rsid w:val="00E9396C"/>
    <w:rsid w:val="00E93B78"/>
    <w:rsid w:val="00E93C8D"/>
    <w:rsid w:val="00E93D97"/>
    <w:rsid w:val="00E93F9B"/>
    <w:rsid w:val="00E93FBD"/>
    <w:rsid w:val="00E942A8"/>
    <w:rsid w:val="00E9483F"/>
    <w:rsid w:val="00E94A51"/>
    <w:rsid w:val="00E94EB0"/>
    <w:rsid w:val="00E954E4"/>
    <w:rsid w:val="00E9550F"/>
    <w:rsid w:val="00E9567F"/>
    <w:rsid w:val="00E958B1"/>
    <w:rsid w:val="00E9597B"/>
    <w:rsid w:val="00E95D22"/>
    <w:rsid w:val="00E95DFC"/>
    <w:rsid w:val="00E95EC9"/>
    <w:rsid w:val="00E96086"/>
    <w:rsid w:val="00E961AD"/>
    <w:rsid w:val="00E962EC"/>
    <w:rsid w:val="00E9637D"/>
    <w:rsid w:val="00E96857"/>
    <w:rsid w:val="00E96895"/>
    <w:rsid w:val="00E96E34"/>
    <w:rsid w:val="00E96F5A"/>
    <w:rsid w:val="00E97515"/>
    <w:rsid w:val="00E97965"/>
    <w:rsid w:val="00E97979"/>
    <w:rsid w:val="00E97988"/>
    <w:rsid w:val="00E97F39"/>
    <w:rsid w:val="00E97F41"/>
    <w:rsid w:val="00EA0005"/>
    <w:rsid w:val="00EA0718"/>
    <w:rsid w:val="00EA0736"/>
    <w:rsid w:val="00EA0883"/>
    <w:rsid w:val="00EA08B4"/>
    <w:rsid w:val="00EA08DC"/>
    <w:rsid w:val="00EA1000"/>
    <w:rsid w:val="00EA1353"/>
    <w:rsid w:val="00EA1C4A"/>
    <w:rsid w:val="00EA2A25"/>
    <w:rsid w:val="00EA2C46"/>
    <w:rsid w:val="00EA2F6A"/>
    <w:rsid w:val="00EA3024"/>
    <w:rsid w:val="00EA367E"/>
    <w:rsid w:val="00EA3907"/>
    <w:rsid w:val="00EA3ABB"/>
    <w:rsid w:val="00EA3E22"/>
    <w:rsid w:val="00EA4471"/>
    <w:rsid w:val="00EA46F4"/>
    <w:rsid w:val="00EA4D7F"/>
    <w:rsid w:val="00EA4DE3"/>
    <w:rsid w:val="00EA5446"/>
    <w:rsid w:val="00EA5BF8"/>
    <w:rsid w:val="00EA5E5C"/>
    <w:rsid w:val="00EA627E"/>
    <w:rsid w:val="00EA6381"/>
    <w:rsid w:val="00EA64E2"/>
    <w:rsid w:val="00EA670F"/>
    <w:rsid w:val="00EA6786"/>
    <w:rsid w:val="00EA6A4E"/>
    <w:rsid w:val="00EA6BE0"/>
    <w:rsid w:val="00EA7238"/>
    <w:rsid w:val="00EA72EA"/>
    <w:rsid w:val="00EA75AD"/>
    <w:rsid w:val="00EA778B"/>
    <w:rsid w:val="00EA7B0D"/>
    <w:rsid w:val="00EA7C17"/>
    <w:rsid w:val="00EB00AE"/>
    <w:rsid w:val="00EB0290"/>
    <w:rsid w:val="00EB02DE"/>
    <w:rsid w:val="00EB0734"/>
    <w:rsid w:val="00EB08FE"/>
    <w:rsid w:val="00EB0903"/>
    <w:rsid w:val="00EB0905"/>
    <w:rsid w:val="00EB0B37"/>
    <w:rsid w:val="00EB137D"/>
    <w:rsid w:val="00EB1493"/>
    <w:rsid w:val="00EB159F"/>
    <w:rsid w:val="00EB19B3"/>
    <w:rsid w:val="00EB1A01"/>
    <w:rsid w:val="00EB1B7F"/>
    <w:rsid w:val="00EB1D0C"/>
    <w:rsid w:val="00EB1E41"/>
    <w:rsid w:val="00EB204B"/>
    <w:rsid w:val="00EB206F"/>
    <w:rsid w:val="00EB271E"/>
    <w:rsid w:val="00EB272E"/>
    <w:rsid w:val="00EB29CC"/>
    <w:rsid w:val="00EB2B53"/>
    <w:rsid w:val="00EB2DE2"/>
    <w:rsid w:val="00EB36E2"/>
    <w:rsid w:val="00EB3C68"/>
    <w:rsid w:val="00EB3EAA"/>
    <w:rsid w:val="00EB3EDD"/>
    <w:rsid w:val="00EB4105"/>
    <w:rsid w:val="00EB458F"/>
    <w:rsid w:val="00EB465E"/>
    <w:rsid w:val="00EB46CE"/>
    <w:rsid w:val="00EB4B41"/>
    <w:rsid w:val="00EB4B88"/>
    <w:rsid w:val="00EB4D01"/>
    <w:rsid w:val="00EB5259"/>
    <w:rsid w:val="00EB543C"/>
    <w:rsid w:val="00EB59CC"/>
    <w:rsid w:val="00EB5F9E"/>
    <w:rsid w:val="00EB5FB5"/>
    <w:rsid w:val="00EB6051"/>
    <w:rsid w:val="00EB6259"/>
    <w:rsid w:val="00EB6376"/>
    <w:rsid w:val="00EB63F8"/>
    <w:rsid w:val="00EB64A2"/>
    <w:rsid w:val="00EB6633"/>
    <w:rsid w:val="00EB6678"/>
    <w:rsid w:val="00EB6721"/>
    <w:rsid w:val="00EB680A"/>
    <w:rsid w:val="00EB6A4A"/>
    <w:rsid w:val="00EB6EAE"/>
    <w:rsid w:val="00EB7C60"/>
    <w:rsid w:val="00EB7C81"/>
    <w:rsid w:val="00EB7E0C"/>
    <w:rsid w:val="00EC00A3"/>
    <w:rsid w:val="00EC07D8"/>
    <w:rsid w:val="00EC0A4A"/>
    <w:rsid w:val="00EC0D18"/>
    <w:rsid w:val="00EC132B"/>
    <w:rsid w:val="00EC1377"/>
    <w:rsid w:val="00EC16D0"/>
    <w:rsid w:val="00EC1708"/>
    <w:rsid w:val="00EC1B8A"/>
    <w:rsid w:val="00EC1EC1"/>
    <w:rsid w:val="00EC1EC2"/>
    <w:rsid w:val="00EC2179"/>
    <w:rsid w:val="00EC267D"/>
    <w:rsid w:val="00EC2C54"/>
    <w:rsid w:val="00EC2D80"/>
    <w:rsid w:val="00EC2D96"/>
    <w:rsid w:val="00EC2DBC"/>
    <w:rsid w:val="00EC2E53"/>
    <w:rsid w:val="00EC3075"/>
    <w:rsid w:val="00EC34B9"/>
    <w:rsid w:val="00EC3912"/>
    <w:rsid w:val="00EC3945"/>
    <w:rsid w:val="00EC3D96"/>
    <w:rsid w:val="00EC3DC8"/>
    <w:rsid w:val="00EC3F3D"/>
    <w:rsid w:val="00EC430D"/>
    <w:rsid w:val="00EC4368"/>
    <w:rsid w:val="00EC4370"/>
    <w:rsid w:val="00EC437B"/>
    <w:rsid w:val="00EC51D0"/>
    <w:rsid w:val="00EC52B2"/>
    <w:rsid w:val="00EC52DA"/>
    <w:rsid w:val="00EC5540"/>
    <w:rsid w:val="00EC55C6"/>
    <w:rsid w:val="00EC5B0B"/>
    <w:rsid w:val="00EC64AA"/>
    <w:rsid w:val="00EC6663"/>
    <w:rsid w:val="00EC67D3"/>
    <w:rsid w:val="00EC6B31"/>
    <w:rsid w:val="00EC6B4B"/>
    <w:rsid w:val="00EC6D1F"/>
    <w:rsid w:val="00EC7364"/>
    <w:rsid w:val="00EC75A2"/>
    <w:rsid w:val="00EC785A"/>
    <w:rsid w:val="00EC7A48"/>
    <w:rsid w:val="00EC7AC6"/>
    <w:rsid w:val="00ED009D"/>
    <w:rsid w:val="00ED0627"/>
    <w:rsid w:val="00ED06D5"/>
    <w:rsid w:val="00ED07C0"/>
    <w:rsid w:val="00ED0934"/>
    <w:rsid w:val="00ED0C7D"/>
    <w:rsid w:val="00ED107C"/>
    <w:rsid w:val="00ED1452"/>
    <w:rsid w:val="00ED14BC"/>
    <w:rsid w:val="00ED1624"/>
    <w:rsid w:val="00ED16E1"/>
    <w:rsid w:val="00ED1716"/>
    <w:rsid w:val="00ED1C7D"/>
    <w:rsid w:val="00ED2BA4"/>
    <w:rsid w:val="00ED3319"/>
    <w:rsid w:val="00ED347B"/>
    <w:rsid w:val="00ED3B53"/>
    <w:rsid w:val="00ED3F3F"/>
    <w:rsid w:val="00ED4641"/>
    <w:rsid w:val="00ED4950"/>
    <w:rsid w:val="00ED4B3D"/>
    <w:rsid w:val="00ED4C85"/>
    <w:rsid w:val="00ED4CD0"/>
    <w:rsid w:val="00ED4D0C"/>
    <w:rsid w:val="00ED4E05"/>
    <w:rsid w:val="00ED4E0E"/>
    <w:rsid w:val="00ED4E94"/>
    <w:rsid w:val="00ED5127"/>
    <w:rsid w:val="00ED512C"/>
    <w:rsid w:val="00ED551F"/>
    <w:rsid w:val="00ED55D5"/>
    <w:rsid w:val="00ED58E8"/>
    <w:rsid w:val="00ED6403"/>
    <w:rsid w:val="00ED6806"/>
    <w:rsid w:val="00ED68DA"/>
    <w:rsid w:val="00ED6A41"/>
    <w:rsid w:val="00ED6AA4"/>
    <w:rsid w:val="00ED70FD"/>
    <w:rsid w:val="00ED71C5"/>
    <w:rsid w:val="00ED7441"/>
    <w:rsid w:val="00ED7461"/>
    <w:rsid w:val="00ED752F"/>
    <w:rsid w:val="00ED7B5F"/>
    <w:rsid w:val="00ED7BB2"/>
    <w:rsid w:val="00ED7BF7"/>
    <w:rsid w:val="00ED7C2F"/>
    <w:rsid w:val="00EE0CA0"/>
    <w:rsid w:val="00EE0CF7"/>
    <w:rsid w:val="00EE0D1F"/>
    <w:rsid w:val="00EE101E"/>
    <w:rsid w:val="00EE1024"/>
    <w:rsid w:val="00EE126B"/>
    <w:rsid w:val="00EE1274"/>
    <w:rsid w:val="00EE1451"/>
    <w:rsid w:val="00EE160E"/>
    <w:rsid w:val="00EE16F4"/>
    <w:rsid w:val="00EE17FA"/>
    <w:rsid w:val="00EE18E7"/>
    <w:rsid w:val="00EE20B8"/>
    <w:rsid w:val="00EE24F5"/>
    <w:rsid w:val="00EE2A83"/>
    <w:rsid w:val="00EE30F1"/>
    <w:rsid w:val="00EE340E"/>
    <w:rsid w:val="00EE396B"/>
    <w:rsid w:val="00EE3CC6"/>
    <w:rsid w:val="00EE3D38"/>
    <w:rsid w:val="00EE3E17"/>
    <w:rsid w:val="00EE4226"/>
    <w:rsid w:val="00EE4248"/>
    <w:rsid w:val="00EE456B"/>
    <w:rsid w:val="00EE46FE"/>
    <w:rsid w:val="00EE48C3"/>
    <w:rsid w:val="00EE4B99"/>
    <w:rsid w:val="00EE5025"/>
    <w:rsid w:val="00EE505C"/>
    <w:rsid w:val="00EE53D1"/>
    <w:rsid w:val="00EE5AA6"/>
    <w:rsid w:val="00EE5BB0"/>
    <w:rsid w:val="00EE6116"/>
    <w:rsid w:val="00EE636B"/>
    <w:rsid w:val="00EE64C6"/>
    <w:rsid w:val="00EE67ED"/>
    <w:rsid w:val="00EE70C7"/>
    <w:rsid w:val="00EE739B"/>
    <w:rsid w:val="00EE768D"/>
    <w:rsid w:val="00EE76D2"/>
    <w:rsid w:val="00EE76E4"/>
    <w:rsid w:val="00EE76F6"/>
    <w:rsid w:val="00EE7A9B"/>
    <w:rsid w:val="00EF0100"/>
    <w:rsid w:val="00EF0288"/>
    <w:rsid w:val="00EF0E17"/>
    <w:rsid w:val="00EF14B9"/>
    <w:rsid w:val="00EF178F"/>
    <w:rsid w:val="00EF1839"/>
    <w:rsid w:val="00EF189D"/>
    <w:rsid w:val="00EF1F70"/>
    <w:rsid w:val="00EF2000"/>
    <w:rsid w:val="00EF21D1"/>
    <w:rsid w:val="00EF2321"/>
    <w:rsid w:val="00EF2792"/>
    <w:rsid w:val="00EF2888"/>
    <w:rsid w:val="00EF2A24"/>
    <w:rsid w:val="00EF2A35"/>
    <w:rsid w:val="00EF2F3B"/>
    <w:rsid w:val="00EF2FDD"/>
    <w:rsid w:val="00EF31CB"/>
    <w:rsid w:val="00EF3253"/>
    <w:rsid w:val="00EF32AC"/>
    <w:rsid w:val="00EF36CF"/>
    <w:rsid w:val="00EF3DB3"/>
    <w:rsid w:val="00EF45AE"/>
    <w:rsid w:val="00EF4722"/>
    <w:rsid w:val="00EF481F"/>
    <w:rsid w:val="00EF56AF"/>
    <w:rsid w:val="00EF56CB"/>
    <w:rsid w:val="00EF5759"/>
    <w:rsid w:val="00EF587F"/>
    <w:rsid w:val="00EF58C9"/>
    <w:rsid w:val="00EF5FDF"/>
    <w:rsid w:val="00EF60E3"/>
    <w:rsid w:val="00EF64BE"/>
    <w:rsid w:val="00EF661F"/>
    <w:rsid w:val="00EF667A"/>
    <w:rsid w:val="00EF66E6"/>
    <w:rsid w:val="00EF692F"/>
    <w:rsid w:val="00EF6B95"/>
    <w:rsid w:val="00EF6C80"/>
    <w:rsid w:val="00EF6DC8"/>
    <w:rsid w:val="00EF6E54"/>
    <w:rsid w:val="00EF7107"/>
    <w:rsid w:val="00EF727B"/>
    <w:rsid w:val="00EF72BB"/>
    <w:rsid w:val="00EF74F8"/>
    <w:rsid w:val="00EF77A7"/>
    <w:rsid w:val="00EF79BD"/>
    <w:rsid w:val="00EF7F98"/>
    <w:rsid w:val="00F00066"/>
    <w:rsid w:val="00F0027B"/>
    <w:rsid w:val="00F00572"/>
    <w:rsid w:val="00F00745"/>
    <w:rsid w:val="00F009CD"/>
    <w:rsid w:val="00F00A4C"/>
    <w:rsid w:val="00F00AFF"/>
    <w:rsid w:val="00F00B4B"/>
    <w:rsid w:val="00F00E40"/>
    <w:rsid w:val="00F00F23"/>
    <w:rsid w:val="00F01175"/>
    <w:rsid w:val="00F014CA"/>
    <w:rsid w:val="00F017DF"/>
    <w:rsid w:val="00F01CE9"/>
    <w:rsid w:val="00F01D7F"/>
    <w:rsid w:val="00F02042"/>
    <w:rsid w:val="00F02181"/>
    <w:rsid w:val="00F02368"/>
    <w:rsid w:val="00F02405"/>
    <w:rsid w:val="00F0245C"/>
    <w:rsid w:val="00F0257E"/>
    <w:rsid w:val="00F0266C"/>
    <w:rsid w:val="00F02693"/>
    <w:rsid w:val="00F0269C"/>
    <w:rsid w:val="00F02784"/>
    <w:rsid w:val="00F02843"/>
    <w:rsid w:val="00F02AEA"/>
    <w:rsid w:val="00F02B2C"/>
    <w:rsid w:val="00F02C97"/>
    <w:rsid w:val="00F02E9E"/>
    <w:rsid w:val="00F02F8B"/>
    <w:rsid w:val="00F0306D"/>
    <w:rsid w:val="00F03244"/>
    <w:rsid w:val="00F03412"/>
    <w:rsid w:val="00F03459"/>
    <w:rsid w:val="00F036B2"/>
    <w:rsid w:val="00F037B2"/>
    <w:rsid w:val="00F03874"/>
    <w:rsid w:val="00F038CA"/>
    <w:rsid w:val="00F03EFE"/>
    <w:rsid w:val="00F03F30"/>
    <w:rsid w:val="00F04048"/>
    <w:rsid w:val="00F0412F"/>
    <w:rsid w:val="00F041B8"/>
    <w:rsid w:val="00F044D4"/>
    <w:rsid w:val="00F045BE"/>
    <w:rsid w:val="00F049EF"/>
    <w:rsid w:val="00F050C6"/>
    <w:rsid w:val="00F05F77"/>
    <w:rsid w:val="00F0659C"/>
    <w:rsid w:val="00F06C29"/>
    <w:rsid w:val="00F06D28"/>
    <w:rsid w:val="00F06D7D"/>
    <w:rsid w:val="00F07116"/>
    <w:rsid w:val="00F07470"/>
    <w:rsid w:val="00F075A6"/>
    <w:rsid w:val="00F0778E"/>
    <w:rsid w:val="00F07C3E"/>
    <w:rsid w:val="00F07E15"/>
    <w:rsid w:val="00F07F28"/>
    <w:rsid w:val="00F07F73"/>
    <w:rsid w:val="00F07F89"/>
    <w:rsid w:val="00F100C5"/>
    <w:rsid w:val="00F100F4"/>
    <w:rsid w:val="00F1035F"/>
    <w:rsid w:val="00F1047D"/>
    <w:rsid w:val="00F1062A"/>
    <w:rsid w:val="00F10986"/>
    <w:rsid w:val="00F10A2F"/>
    <w:rsid w:val="00F10B64"/>
    <w:rsid w:val="00F10D96"/>
    <w:rsid w:val="00F10DA1"/>
    <w:rsid w:val="00F11078"/>
    <w:rsid w:val="00F11257"/>
    <w:rsid w:val="00F1130C"/>
    <w:rsid w:val="00F11418"/>
    <w:rsid w:val="00F116CC"/>
    <w:rsid w:val="00F116D6"/>
    <w:rsid w:val="00F11B9B"/>
    <w:rsid w:val="00F11CEC"/>
    <w:rsid w:val="00F11D48"/>
    <w:rsid w:val="00F11DD3"/>
    <w:rsid w:val="00F11E81"/>
    <w:rsid w:val="00F121CE"/>
    <w:rsid w:val="00F122E1"/>
    <w:rsid w:val="00F123D0"/>
    <w:rsid w:val="00F12413"/>
    <w:rsid w:val="00F1244E"/>
    <w:rsid w:val="00F12567"/>
    <w:rsid w:val="00F126A3"/>
    <w:rsid w:val="00F1276F"/>
    <w:rsid w:val="00F12A1C"/>
    <w:rsid w:val="00F12BDF"/>
    <w:rsid w:val="00F12E61"/>
    <w:rsid w:val="00F12E85"/>
    <w:rsid w:val="00F12EC3"/>
    <w:rsid w:val="00F12ED8"/>
    <w:rsid w:val="00F1308E"/>
    <w:rsid w:val="00F1315E"/>
    <w:rsid w:val="00F13292"/>
    <w:rsid w:val="00F1384A"/>
    <w:rsid w:val="00F13AC8"/>
    <w:rsid w:val="00F13AD5"/>
    <w:rsid w:val="00F13C28"/>
    <w:rsid w:val="00F13D41"/>
    <w:rsid w:val="00F13DFF"/>
    <w:rsid w:val="00F13E38"/>
    <w:rsid w:val="00F13FD2"/>
    <w:rsid w:val="00F140E2"/>
    <w:rsid w:val="00F14157"/>
    <w:rsid w:val="00F142A3"/>
    <w:rsid w:val="00F143F1"/>
    <w:rsid w:val="00F1449E"/>
    <w:rsid w:val="00F144F5"/>
    <w:rsid w:val="00F146A1"/>
    <w:rsid w:val="00F14ABD"/>
    <w:rsid w:val="00F14F74"/>
    <w:rsid w:val="00F14FBF"/>
    <w:rsid w:val="00F1540A"/>
    <w:rsid w:val="00F15679"/>
    <w:rsid w:val="00F156F4"/>
    <w:rsid w:val="00F1576E"/>
    <w:rsid w:val="00F15C32"/>
    <w:rsid w:val="00F15C86"/>
    <w:rsid w:val="00F15C88"/>
    <w:rsid w:val="00F15DE3"/>
    <w:rsid w:val="00F15E1D"/>
    <w:rsid w:val="00F1624D"/>
    <w:rsid w:val="00F162CA"/>
    <w:rsid w:val="00F1644C"/>
    <w:rsid w:val="00F166A0"/>
    <w:rsid w:val="00F17204"/>
    <w:rsid w:val="00F17321"/>
    <w:rsid w:val="00F17381"/>
    <w:rsid w:val="00F1769B"/>
    <w:rsid w:val="00F17AD1"/>
    <w:rsid w:val="00F17B07"/>
    <w:rsid w:val="00F17F69"/>
    <w:rsid w:val="00F20060"/>
    <w:rsid w:val="00F203DF"/>
    <w:rsid w:val="00F2070F"/>
    <w:rsid w:val="00F20E62"/>
    <w:rsid w:val="00F21145"/>
    <w:rsid w:val="00F2121B"/>
    <w:rsid w:val="00F2143C"/>
    <w:rsid w:val="00F2181A"/>
    <w:rsid w:val="00F21AA5"/>
    <w:rsid w:val="00F21B03"/>
    <w:rsid w:val="00F21C7D"/>
    <w:rsid w:val="00F21E56"/>
    <w:rsid w:val="00F2206C"/>
    <w:rsid w:val="00F2226C"/>
    <w:rsid w:val="00F225AC"/>
    <w:rsid w:val="00F227CF"/>
    <w:rsid w:val="00F22A71"/>
    <w:rsid w:val="00F22B92"/>
    <w:rsid w:val="00F22CB5"/>
    <w:rsid w:val="00F23014"/>
    <w:rsid w:val="00F23257"/>
    <w:rsid w:val="00F23337"/>
    <w:rsid w:val="00F23AAE"/>
    <w:rsid w:val="00F23B7D"/>
    <w:rsid w:val="00F23C47"/>
    <w:rsid w:val="00F23EC3"/>
    <w:rsid w:val="00F242FC"/>
    <w:rsid w:val="00F24AC0"/>
    <w:rsid w:val="00F24B57"/>
    <w:rsid w:val="00F24B86"/>
    <w:rsid w:val="00F24C1B"/>
    <w:rsid w:val="00F24DCE"/>
    <w:rsid w:val="00F24DE5"/>
    <w:rsid w:val="00F24F0F"/>
    <w:rsid w:val="00F24FFD"/>
    <w:rsid w:val="00F25059"/>
    <w:rsid w:val="00F2509C"/>
    <w:rsid w:val="00F252C7"/>
    <w:rsid w:val="00F2530D"/>
    <w:rsid w:val="00F25878"/>
    <w:rsid w:val="00F25939"/>
    <w:rsid w:val="00F25D09"/>
    <w:rsid w:val="00F25D7C"/>
    <w:rsid w:val="00F25F80"/>
    <w:rsid w:val="00F260F9"/>
    <w:rsid w:val="00F2622A"/>
    <w:rsid w:val="00F2649C"/>
    <w:rsid w:val="00F264F2"/>
    <w:rsid w:val="00F26737"/>
    <w:rsid w:val="00F267A4"/>
    <w:rsid w:val="00F267AC"/>
    <w:rsid w:val="00F269BE"/>
    <w:rsid w:val="00F26A0C"/>
    <w:rsid w:val="00F26B72"/>
    <w:rsid w:val="00F26DAD"/>
    <w:rsid w:val="00F270AB"/>
    <w:rsid w:val="00F270B4"/>
    <w:rsid w:val="00F27171"/>
    <w:rsid w:val="00F27238"/>
    <w:rsid w:val="00F2749F"/>
    <w:rsid w:val="00F27A79"/>
    <w:rsid w:val="00F27B4C"/>
    <w:rsid w:val="00F27DFC"/>
    <w:rsid w:val="00F300DA"/>
    <w:rsid w:val="00F301AD"/>
    <w:rsid w:val="00F3021B"/>
    <w:rsid w:val="00F304E6"/>
    <w:rsid w:val="00F30E21"/>
    <w:rsid w:val="00F30FD8"/>
    <w:rsid w:val="00F312C4"/>
    <w:rsid w:val="00F31365"/>
    <w:rsid w:val="00F3191E"/>
    <w:rsid w:val="00F31EC2"/>
    <w:rsid w:val="00F32305"/>
    <w:rsid w:val="00F3231C"/>
    <w:rsid w:val="00F323CB"/>
    <w:rsid w:val="00F323F2"/>
    <w:rsid w:val="00F32C85"/>
    <w:rsid w:val="00F32D5F"/>
    <w:rsid w:val="00F32ECB"/>
    <w:rsid w:val="00F33051"/>
    <w:rsid w:val="00F33240"/>
    <w:rsid w:val="00F33503"/>
    <w:rsid w:val="00F33593"/>
    <w:rsid w:val="00F34041"/>
    <w:rsid w:val="00F343D0"/>
    <w:rsid w:val="00F34912"/>
    <w:rsid w:val="00F34C41"/>
    <w:rsid w:val="00F34E71"/>
    <w:rsid w:val="00F34F46"/>
    <w:rsid w:val="00F351F2"/>
    <w:rsid w:val="00F35731"/>
    <w:rsid w:val="00F35798"/>
    <w:rsid w:val="00F357CA"/>
    <w:rsid w:val="00F35AF6"/>
    <w:rsid w:val="00F35D57"/>
    <w:rsid w:val="00F35D9C"/>
    <w:rsid w:val="00F365FA"/>
    <w:rsid w:val="00F36A8F"/>
    <w:rsid w:val="00F36AB2"/>
    <w:rsid w:val="00F36BF5"/>
    <w:rsid w:val="00F36FC5"/>
    <w:rsid w:val="00F3744D"/>
    <w:rsid w:val="00F37600"/>
    <w:rsid w:val="00F37734"/>
    <w:rsid w:val="00F3779A"/>
    <w:rsid w:val="00F37837"/>
    <w:rsid w:val="00F378F3"/>
    <w:rsid w:val="00F3790F"/>
    <w:rsid w:val="00F3799C"/>
    <w:rsid w:val="00F37ABF"/>
    <w:rsid w:val="00F37BC1"/>
    <w:rsid w:val="00F37D7C"/>
    <w:rsid w:val="00F37DBA"/>
    <w:rsid w:val="00F37E10"/>
    <w:rsid w:val="00F4034E"/>
    <w:rsid w:val="00F407EA"/>
    <w:rsid w:val="00F40887"/>
    <w:rsid w:val="00F40AD2"/>
    <w:rsid w:val="00F40B90"/>
    <w:rsid w:val="00F40ED6"/>
    <w:rsid w:val="00F415E3"/>
    <w:rsid w:val="00F4189D"/>
    <w:rsid w:val="00F41AAE"/>
    <w:rsid w:val="00F41BE6"/>
    <w:rsid w:val="00F4220E"/>
    <w:rsid w:val="00F42440"/>
    <w:rsid w:val="00F424CA"/>
    <w:rsid w:val="00F42819"/>
    <w:rsid w:val="00F428FF"/>
    <w:rsid w:val="00F42DEB"/>
    <w:rsid w:val="00F434B0"/>
    <w:rsid w:val="00F43AF2"/>
    <w:rsid w:val="00F44079"/>
    <w:rsid w:val="00F441D6"/>
    <w:rsid w:val="00F444B7"/>
    <w:rsid w:val="00F446A7"/>
    <w:rsid w:val="00F45283"/>
    <w:rsid w:val="00F452BB"/>
    <w:rsid w:val="00F4542F"/>
    <w:rsid w:val="00F454E6"/>
    <w:rsid w:val="00F45CB1"/>
    <w:rsid w:val="00F45EBE"/>
    <w:rsid w:val="00F46215"/>
    <w:rsid w:val="00F46671"/>
    <w:rsid w:val="00F46714"/>
    <w:rsid w:val="00F46AEF"/>
    <w:rsid w:val="00F46D49"/>
    <w:rsid w:val="00F46EB8"/>
    <w:rsid w:val="00F46EC3"/>
    <w:rsid w:val="00F4741D"/>
    <w:rsid w:val="00F47785"/>
    <w:rsid w:val="00F47B7B"/>
    <w:rsid w:val="00F47D5F"/>
    <w:rsid w:val="00F47E79"/>
    <w:rsid w:val="00F50183"/>
    <w:rsid w:val="00F50202"/>
    <w:rsid w:val="00F5038B"/>
    <w:rsid w:val="00F50583"/>
    <w:rsid w:val="00F5072A"/>
    <w:rsid w:val="00F50733"/>
    <w:rsid w:val="00F50854"/>
    <w:rsid w:val="00F50AC5"/>
    <w:rsid w:val="00F50B42"/>
    <w:rsid w:val="00F50D7E"/>
    <w:rsid w:val="00F50E3B"/>
    <w:rsid w:val="00F50E49"/>
    <w:rsid w:val="00F512DB"/>
    <w:rsid w:val="00F512E8"/>
    <w:rsid w:val="00F515E6"/>
    <w:rsid w:val="00F516C5"/>
    <w:rsid w:val="00F51788"/>
    <w:rsid w:val="00F51C02"/>
    <w:rsid w:val="00F51C70"/>
    <w:rsid w:val="00F51D14"/>
    <w:rsid w:val="00F52465"/>
    <w:rsid w:val="00F529D6"/>
    <w:rsid w:val="00F52B21"/>
    <w:rsid w:val="00F52BAB"/>
    <w:rsid w:val="00F52C48"/>
    <w:rsid w:val="00F52CB6"/>
    <w:rsid w:val="00F52EF2"/>
    <w:rsid w:val="00F532FC"/>
    <w:rsid w:val="00F535C7"/>
    <w:rsid w:val="00F536D1"/>
    <w:rsid w:val="00F53B3A"/>
    <w:rsid w:val="00F53CC7"/>
    <w:rsid w:val="00F53CD4"/>
    <w:rsid w:val="00F53E45"/>
    <w:rsid w:val="00F54045"/>
    <w:rsid w:val="00F5414C"/>
    <w:rsid w:val="00F5450D"/>
    <w:rsid w:val="00F545B2"/>
    <w:rsid w:val="00F547D8"/>
    <w:rsid w:val="00F547E4"/>
    <w:rsid w:val="00F54B30"/>
    <w:rsid w:val="00F54C57"/>
    <w:rsid w:val="00F5506E"/>
    <w:rsid w:val="00F55737"/>
    <w:rsid w:val="00F55817"/>
    <w:rsid w:val="00F559E6"/>
    <w:rsid w:val="00F55B52"/>
    <w:rsid w:val="00F55CB0"/>
    <w:rsid w:val="00F55D4F"/>
    <w:rsid w:val="00F5666B"/>
    <w:rsid w:val="00F5674D"/>
    <w:rsid w:val="00F567F1"/>
    <w:rsid w:val="00F568E8"/>
    <w:rsid w:val="00F569F5"/>
    <w:rsid w:val="00F56A94"/>
    <w:rsid w:val="00F56CB1"/>
    <w:rsid w:val="00F57077"/>
    <w:rsid w:val="00F57223"/>
    <w:rsid w:val="00F57C92"/>
    <w:rsid w:val="00F6042C"/>
    <w:rsid w:val="00F60442"/>
    <w:rsid w:val="00F608FA"/>
    <w:rsid w:val="00F60A09"/>
    <w:rsid w:val="00F60B62"/>
    <w:rsid w:val="00F60BD2"/>
    <w:rsid w:val="00F60D1F"/>
    <w:rsid w:val="00F60E50"/>
    <w:rsid w:val="00F60E86"/>
    <w:rsid w:val="00F60FA6"/>
    <w:rsid w:val="00F60FB3"/>
    <w:rsid w:val="00F6123B"/>
    <w:rsid w:val="00F612B0"/>
    <w:rsid w:val="00F613A5"/>
    <w:rsid w:val="00F61492"/>
    <w:rsid w:val="00F616F1"/>
    <w:rsid w:val="00F617E9"/>
    <w:rsid w:val="00F61A25"/>
    <w:rsid w:val="00F61A6E"/>
    <w:rsid w:val="00F61B9E"/>
    <w:rsid w:val="00F61C7E"/>
    <w:rsid w:val="00F61EA5"/>
    <w:rsid w:val="00F621D1"/>
    <w:rsid w:val="00F62398"/>
    <w:rsid w:val="00F62470"/>
    <w:rsid w:val="00F62CCA"/>
    <w:rsid w:val="00F6308E"/>
    <w:rsid w:val="00F632FF"/>
    <w:rsid w:val="00F63408"/>
    <w:rsid w:val="00F6352D"/>
    <w:rsid w:val="00F636A3"/>
    <w:rsid w:val="00F6371D"/>
    <w:rsid w:val="00F63A01"/>
    <w:rsid w:val="00F63F06"/>
    <w:rsid w:val="00F63F24"/>
    <w:rsid w:val="00F64149"/>
    <w:rsid w:val="00F642FC"/>
    <w:rsid w:val="00F646AF"/>
    <w:rsid w:val="00F64806"/>
    <w:rsid w:val="00F64C7E"/>
    <w:rsid w:val="00F64ECB"/>
    <w:rsid w:val="00F655AC"/>
    <w:rsid w:val="00F65B08"/>
    <w:rsid w:val="00F65C40"/>
    <w:rsid w:val="00F65C4D"/>
    <w:rsid w:val="00F65C90"/>
    <w:rsid w:val="00F65DEC"/>
    <w:rsid w:val="00F66253"/>
    <w:rsid w:val="00F664AA"/>
    <w:rsid w:val="00F6652F"/>
    <w:rsid w:val="00F665AC"/>
    <w:rsid w:val="00F668E3"/>
    <w:rsid w:val="00F66A62"/>
    <w:rsid w:val="00F66B5B"/>
    <w:rsid w:val="00F66BB5"/>
    <w:rsid w:val="00F66DDD"/>
    <w:rsid w:val="00F6709B"/>
    <w:rsid w:val="00F67198"/>
    <w:rsid w:val="00F671A7"/>
    <w:rsid w:val="00F6777B"/>
    <w:rsid w:val="00F678CD"/>
    <w:rsid w:val="00F678EE"/>
    <w:rsid w:val="00F67D4F"/>
    <w:rsid w:val="00F67EC7"/>
    <w:rsid w:val="00F70CE7"/>
    <w:rsid w:val="00F70DDF"/>
    <w:rsid w:val="00F70EF8"/>
    <w:rsid w:val="00F7106F"/>
    <w:rsid w:val="00F711FD"/>
    <w:rsid w:val="00F71255"/>
    <w:rsid w:val="00F717B9"/>
    <w:rsid w:val="00F71909"/>
    <w:rsid w:val="00F7191A"/>
    <w:rsid w:val="00F71A16"/>
    <w:rsid w:val="00F71B6F"/>
    <w:rsid w:val="00F71C19"/>
    <w:rsid w:val="00F71DCE"/>
    <w:rsid w:val="00F724F9"/>
    <w:rsid w:val="00F72502"/>
    <w:rsid w:val="00F72590"/>
    <w:rsid w:val="00F7290B"/>
    <w:rsid w:val="00F72A00"/>
    <w:rsid w:val="00F72AF7"/>
    <w:rsid w:val="00F72E45"/>
    <w:rsid w:val="00F730ED"/>
    <w:rsid w:val="00F73219"/>
    <w:rsid w:val="00F73509"/>
    <w:rsid w:val="00F73921"/>
    <w:rsid w:val="00F73DF2"/>
    <w:rsid w:val="00F73E8B"/>
    <w:rsid w:val="00F73EC2"/>
    <w:rsid w:val="00F742AB"/>
    <w:rsid w:val="00F74E93"/>
    <w:rsid w:val="00F750A0"/>
    <w:rsid w:val="00F7594A"/>
    <w:rsid w:val="00F75D65"/>
    <w:rsid w:val="00F761E7"/>
    <w:rsid w:val="00F7667A"/>
    <w:rsid w:val="00F7675A"/>
    <w:rsid w:val="00F76926"/>
    <w:rsid w:val="00F76A14"/>
    <w:rsid w:val="00F771A3"/>
    <w:rsid w:val="00F77667"/>
    <w:rsid w:val="00F77A99"/>
    <w:rsid w:val="00F77BEE"/>
    <w:rsid w:val="00F77C35"/>
    <w:rsid w:val="00F8041F"/>
    <w:rsid w:val="00F80AD3"/>
    <w:rsid w:val="00F80ADA"/>
    <w:rsid w:val="00F80B41"/>
    <w:rsid w:val="00F80B76"/>
    <w:rsid w:val="00F80D81"/>
    <w:rsid w:val="00F80E52"/>
    <w:rsid w:val="00F81149"/>
    <w:rsid w:val="00F8127D"/>
    <w:rsid w:val="00F81510"/>
    <w:rsid w:val="00F81671"/>
    <w:rsid w:val="00F81D34"/>
    <w:rsid w:val="00F82080"/>
    <w:rsid w:val="00F8221D"/>
    <w:rsid w:val="00F8223C"/>
    <w:rsid w:val="00F823A1"/>
    <w:rsid w:val="00F82A09"/>
    <w:rsid w:val="00F82AC7"/>
    <w:rsid w:val="00F82B5F"/>
    <w:rsid w:val="00F82D0C"/>
    <w:rsid w:val="00F82DA1"/>
    <w:rsid w:val="00F83221"/>
    <w:rsid w:val="00F83752"/>
    <w:rsid w:val="00F839BF"/>
    <w:rsid w:val="00F839F5"/>
    <w:rsid w:val="00F83A66"/>
    <w:rsid w:val="00F83B04"/>
    <w:rsid w:val="00F83C8D"/>
    <w:rsid w:val="00F848AA"/>
    <w:rsid w:val="00F84928"/>
    <w:rsid w:val="00F84B2B"/>
    <w:rsid w:val="00F8532A"/>
    <w:rsid w:val="00F85358"/>
    <w:rsid w:val="00F85AFC"/>
    <w:rsid w:val="00F85DC3"/>
    <w:rsid w:val="00F85E7E"/>
    <w:rsid w:val="00F85EBA"/>
    <w:rsid w:val="00F85F0D"/>
    <w:rsid w:val="00F86073"/>
    <w:rsid w:val="00F8642B"/>
    <w:rsid w:val="00F866D3"/>
    <w:rsid w:val="00F86A03"/>
    <w:rsid w:val="00F86F8D"/>
    <w:rsid w:val="00F873E4"/>
    <w:rsid w:val="00F874FC"/>
    <w:rsid w:val="00F87709"/>
    <w:rsid w:val="00F8773E"/>
    <w:rsid w:val="00F87AA1"/>
    <w:rsid w:val="00F87BAC"/>
    <w:rsid w:val="00F90031"/>
    <w:rsid w:val="00F90384"/>
    <w:rsid w:val="00F90455"/>
    <w:rsid w:val="00F907E1"/>
    <w:rsid w:val="00F9080B"/>
    <w:rsid w:val="00F90CEA"/>
    <w:rsid w:val="00F9106C"/>
    <w:rsid w:val="00F91110"/>
    <w:rsid w:val="00F9134F"/>
    <w:rsid w:val="00F9154E"/>
    <w:rsid w:val="00F9155D"/>
    <w:rsid w:val="00F915D4"/>
    <w:rsid w:val="00F919A6"/>
    <w:rsid w:val="00F91B95"/>
    <w:rsid w:val="00F92479"/>
    <w:rsid w:val="00F9250F"/>
    <w:rsid w:val="00F926B1"/>
    <w:rsid w:val="00F926C5"/>
    <w:rsid w:val="00F928EE"/>
    <w:rsid w:val="00F92BE3"/>
    <w:rsid w:val="00F92D44"/>
    <w:rsid w:val="00F92DA5"/>
    <w:rsid w:val="00F92DFC"/>
    <w:rsid w:val="00F9328C"/>
    <w:rsid w:val="00F933B6"/>
    <w:rsid w:val="00F937CD"/>
    <w:rsid w:val="00F93801"/>
    <w:rsid w:val="00F93C0E"/>
    <w:rsid w:val="00F93DB3"/>
    <w:rsid w:val="00F9421C"/>
    <w:rsid w:val="00F9490F"/>
    <w:rsid w:val="00F949AD"/>
    <w:rsid w:val="00F94FA8"/>
    <w:rsid w:val="00F95640"/>
    <w:rsid w:val="00F95811"/>
    <w:rsid w:val="00F95A77"/>
    <w:rsid w:val="00F95B03"/>
    <w:rsid w:val="00F96050"/>
    <w:rsid w:val="00F96569"/>
    <w:rsid w:val="00F968B6"/>
    <w:rsid w:val="00F97372"/>
    <w:rsid w:val="00F9749D"/>
    <w:rsid w:val="00F974D9"/>
    <w:rsid w:val="00F979F7"/>
    <w:rsid w:val="00F97BB2"/>
    <w:rsid w:val="00FA0466"/>
    <w:rsid w:val="00FA06E0"/>
    <w:rsid w:val="00FA0D51"/>
    <w:rsid w:val="00FA0F2E"/>
    <w:rsid w:val="00FA0F82"/>
    <w:rsid w:val="00FA12F0"/>
    <w:rsid w:val="00FA17D1"/>
    <w:rsid w:val="00FA192B"/>
    <w:rsid w:val="00FA1A03"/>
    <w:rsid w:val="00FA1A4E"/>
    <w:rsid w:val="00FA1B26"/>
    <w:rsid w:val="00FA1E1D"/>
    <w:rsid w:val="00FA29C0"/>
    <w:rsid w:val="00FA2D8A"/>
    <w:rsid w:val="00FA2DED"/>
    <w:rsid w:val="00FA333B"/>
    <w:rsid w:val="00FA347C"/>
    <w:rsid w:val="00FA34FA"/>
    <w:rsid w:val="00FA3529"/>
    <w:rsid w:val="00FA371B"/>
    <w:rsid w:val="00FA3D1B"/>
    <w:rsid w:val="00FA3D77"/>
    <w:rsid w:val="00FA3F69"/>
    <w:rsid w:val="00FA3FC4"/>
    <w:rsid w:val="00FA4134"/>
    <w:rsid w:val="00FA432D"/>
    <w:rsid w:val="00FA47B9"/>
    <w:rsid w:val="00FA49B0"/>
    <w:rsid w:val="00FA4C7F"/>
    <w:rsid w:val="00FA4F41"/>
    <w:rsid w:val="00FA50B4"/>
    <w:rsid w:val="00FA517B"/>
    <w:rsid w:val="00FA55E6"/>
    <w:rsid w:val="00FA58B6"/>
    <w:rsid w:val="00FA5EC0"/>
    <w:rsid w:val="00FA5F76"/>
    <w:rsid w:val="00FA5FD1"/>
    <w:rsid w:val="00FA638D"/>
    <w:rsid w:val="00FA6405"/>
    <w:rsid w:val="00FA6449"/>
    <w:rsid w:val="00FA663A"/>
    <w:rsid w:val="00FA6726"/>
    <w:rsid w:val="00FA6760"/>
    <w:rsid w:val="00FA6AFC"/>
    <w:rsid w:val="00FA6B61"/>
    <w:rsid w:val="00FA6CA0"/>
    <w:rsid w:val="00FA78FE"/>
    <w:rsid w:val="00FA79FF"/>
    <w:rsid w:val="00FA7A8B"/>
    <w:rsid w:val="00FB02B3"/>
    <w:rsid w:val="00FB0645"/>
    <w:rsid w:val="00FB0821"/>
    <w:rsid w:val="00FB102C"/>
    <w:rsid w:val="00FB1520"/>
    <w:rsid w:val="00FB1978"/>
    <w:rsid w:val="00FB1C33"/>
    <w:rsid w:val="00FB1EA8"/>
    <w:rsid w:val="00FB20E7"/>
    <w:rsid w:val="00FB21B5"/>
    <w:rsid w:val="00FB22F2"/>
    <w:rsid w:val="00FB2456"/>
    <w:rsid w:val="00FB25EE"/>
    <w:rsid w:val="00FB282E"/>
    <w:rsid w:val="00FB2B06"/>
    <w:rsid w:val="00FB2B21"/>
    <w:rsid w:val="00FB2B6C"/>
    <w:rsid w:val="00FB2FE8"/>
    <w:rsid w:val="00FB37BB"/>
    <w:rsid w:val="00FB385D"/>
    <w:rsid w:val="00FB3B94"/>
    <w:rsid w:val="00FB3B9F"/>
    <w:rsid w:val="00FB3D59"/>
    <w:rsid w:val="00FB3D8B"/>
    <w:rsid w:val="00FB3F6C"/>
    <w:rsid w:val="00FB423C"/>
    <w:rsid w:val="00FB425F"/>
    <w:rsid w:val="00FB439A"/>
    <w:rsid w:val="00FB439B"/>
    <w:rsid w:val="00FB4497"/>
    <w:rsid w:val="00FB4784"/>
    <w:rsid w:val="00FB48F0"/>
    <w:rsid w:val="00FB4910"/>
    <w:rsid w:val="00FB49BB"/>
    <w:rsid w:val="00FB4B80"/>
    <w:rsid w:val="00FB4F16"/>
    <w:rsid w:val="00FB50F5"/>
    <w:rsid w:val="00FB520C"/>
    <w:rsid w:val="00FB5364"/>
    <w:rsid w:val="00FB546B"/>
    <w:rsid w:val="00FB5756"/>
    <w:rsid w:val="00FB5901"/>
    <w:rsid w:val="00FB5E79"/>
    <w:rsid w:val="00FB6498"/>
    <w:rsid w:val="00FB661E"/>
    <w:rsid w:val="00FB6645"/>
    <w:rsid w:val="00FB684E"/>
    <w:rsid w:val="00FB6869"/>
    <w:rsid w:val="00FB6A66"/>
    <w:rsid w:val="00FB6ACD"/>
    <w:rsid w:val="00FB72EF"/>
    <w:rsid w:val="00FB74F6"/>
    <w:rsid w:val="00FB7832"/>
    <w:rsid w:val="00FB785E"/>
    <w:rsid w:val="00FB78E9"/>
    <w:rsid w:val="00FB7C96"/>
    <w:rsid w:val="00FB7EB1"/>
    <w:rsid w:val="00FB7F51"/>
    <w:rsid w:val="00FC02DC"/>
    <w:rsid w:val="00FC091C"/>
    <w:rsid w:val="00FC0AE0"/>
    <w:rsid w:val="00FC10BA"/>
    <w:rsid w:val="00FC10F2"/>
    <w:rsid w:val="00FC1357"/>
    <w:rsid w:val="00FC1859"/>
    <w:rsid w:val="00FC1B4D"/>
    <w:rsid w:val="00FC1C0A"/>
    <w:rsid w:val="00FC1E5A"/>
    <w:rsid w:val="00FC20FD"/>
    <w:rsid w:val="00FC23EE"/>
    <w:rsid w:val="00FC258F"/>
    <w:rsid w:val="00FC27BD"/>
    <w:rsid w:val="00FC2FD3"/>
    <w:rsid w:val="00FC3062"/>
    <w:rsid w:val="00FC3532"/>
    <w:rsid w:val="00FC37B1"/>
    <w:rsid w:val="00FC39FE"/>
    <w:rsid w:val="00FC3C1B"/>
    <w:rsid w:val="00FC4044"/>
    <w:rsid w:val="00FC41AC"/>
    <w:rsid w:val="00FC44C4"/>
    <w:rsid w:val="00FC467A"/>
    <w:rsid w:val="00FC4700"/>
    <w:rsid w:val="00FC48B1"/>
    <w:rsid w:val="00FC48CC"/>
    <w:rsid w:val="00FC494B"/>
    <w:rsid w:val="00FC4AF7"/>
    <w:rsid w:val="00FC4CB3"/>
    <w:rsid w:val="00FC4F66"/>
    <w:rsid w:val="00FC5171"/>
    <w:rsid w:val="00FC56C9"/>
    <w:rsid w:val="00FC56F6"/>
    <w:rsid w:val="00FC5C9F"/>
    <w:rsid w:val="00FC666F"/>
    <w:rsid w:val="00FC6794"/>
    <w:rsid w:val="00FC6870"/>
    <w:rsid w:val="00FC6958"/>
    <w:rsid w:val="00FC6BE9"/>
    <w:rsid w:val="00FC6D77"/>
    <w:rsid w:val="00FC6ED3"/>
    <w:rsid w:val="00FC75D4"/>
    <w:rsid w:val="00FC764C"/>
    <w:rsid w:val="00FC7A21"/>
    <w:rsid w:val="00FC7A27"/>
    <w:rsid w:val="00FC7ABE"/>
    <w:rsid w:val="00FC7BA5"/>
    <w:rsid w:val="00FC7F9A"/>
    <w:rsid w:val="00FD02E8"/>
    <w:rsid w:val="00FD03DD"/>
    <w:rsid w:val="00FD0416"/>
    <w:rsid w:val="00FD0485"/>
    <w:rsid w:val="00FD0C72"/>
    <w:rsid w:val="00FD0CAA"/>
    <w:rsid w:val="00FD0F07"/>
    <w:rsid w:val="00FD1141"/>
    <w:rsid w:val="00FD134B"/>
    <w:rsid w:val="00FD1BAB"/>
    <w:rsid w:val="00FD1D17"/>
    <w:rsid w:val="00FD1EF9"/>
    <w:rsid w:val="00FD204E"/>
    <w:rsid w:val="00FD22A6"/>
    <w:rsid w:val="00FD2343"/>
    <w:rsid w:val="00FD267A"/>
    <w:rsid w:val="00FD2CD3"/>
    <w:rsid w:val="00FD305E"/>
    <w:rsid w:val="00FD30BC"/>
    <w:rsid w:val="00FD3158"/>
    <w:rsid w:val="00FD3296"/>
    <w:rsid w:val="00FD357A"/>
    <w:rsid w:val="00FD3CF4"/>
    <w:rsid w:val="00FD3FEA"/>
    <w:rsid w:val="00FD4071"/>
    <w:rsid w:val="00FD40F0"/>
    <w:rsid w:val="00FD44BF"/>
    <w:rsid w:val="00FD522F"/>
    <w:rsid w:val="00FD5267"/>
    <w:rsid w:val="00FD52B7"/>
    <w:rsid w:val="00FD565E"/>
    <w:rsid w:val="00FD5958"/>
    <w:rsid w:val="00FD59DD"/>
    <w:rsid w:val="00FD5B9E"/>
    <w:rsid w:val="00FD5C71"/>
    <w:rsid w:val="00FD5F50"/>
    <w:rsid w:val="00FD60E9"/>
    <w:rsid w:val="00FD62C0"/>
    <w:rsid w:val="00FD62D0"/>
    <w:rsid w:val="00FD6373"/>
    <w:rsid w:val="00FD69BE"/>
    <w:rsid w:val="00FD6DCF"/>
    <w:rsid w:val="00FD6ED2"/>
    <w:rsid w:val="00FD6F46"/>
    <w:rsid w:val="00FD6FE0"/>
    <w:rsid w:val="00FD73B1"/>
    <w:rsid w:val="00FD74F1"/>
    <w:rsid w:val="00FD7564"/>
    <w:rsid w:val="00FD7909"/>
    <w:rsid w:val="00FD7938"/>
    <w:rsid w:val="00FD7C60"/>
    <w:rsid w:val="00FE012B"/>
    <w:rsid w:val="00FE0194"/>
    <w:rsid w:val="00FE021D"/>
    <w:rsid w:val="00FE02FB"/>
    <w:rsid w:val="00FE03AD"/>
    <w:rsid w:val="00FE0502"/>
    <w:rsid w:val="00FE05B6"/>
    <w:rsid w:val="00FE066C"/>
    <w:rsid w:val="00FE0757"/>
    <w:rsid w:val="00FE087D"/>
    <w:rsid w:val="00FE095C"/>
    <w:rsid w:val="00FE0B3C"/>
    <w:rsid w:val="00FE0B9E"/>
    <w:rsid w:val="00FE0E30"/>
    <w:rsid w:val="00FE11E8"/>
    <w:rsid w:val="00FE139B"/>
    <w:rsid w:val="00FE14DD"/>
    <w:rsid w:val="00FE1D09"/>
    <w:rsid w:val="00FE1DC6"/>
    <w:rsid w:val="00FE1E48"/>
    <w:rsid w:val="00FE1EF2"/>
    <w:rsid w:val="00FE217B"/>
    <w:rsid w:val="00FE24A5"/>
    <w:rsid w:val="00FE2DC5"/>
    <w:rsid w:val="00FE2E91"/>
    <w:rsid w:val="00FE3509"/>
    <w:rsid w:val="00FE3667"/>
    <w:rsid w:val="00FE37D5"/>
    <w:rsid w:val="00FE3B92"/>
    <w:rsid w:val="00FE3D94"/>
    <w:rsid w:val="00FE3DA3"/>
    <w:rsid w:val="00FE3DA6"/>
    <w:rsid w:val="00FE3ED2"/>
    <w:rsid w:val="00FE41B8"/>
    <w:rsid w:val="00FE41BC"/>
    <w:rsid w:val="00FE426F"/>
    <w:rsid w:val="00FE444A"/>
    <w:rsid w:val="00FE48F0"/>
    <w:rsid w:val="00FE491A"/>
    <w:rsid w:val="00FE4ABF"/>
    <w:rsid w:val="00FE4E3B"/>
    <w:rsid w:val="00FE4F24"/>
    <w:rsid w:val="00FE4FF2"/>
    <w:rsid w:val="00FE5112"/>
    <w:rsid w:val="00FE533C"/>
    <w:rsid w:val="00FE585C"/>
    <w:rsid w:val="00FE5947"/>
    <w:rsid w:val="00FE63DC"/>
    <w:rsid w:val="00FE647A"/>
    <w:rsid w:val="00FE64B0"/>
    <w:rsid w:val="00FE65AB"/>
    <w:rsid w:val="00FE6698"/>
    <w:rsid w:val="00FE670D"/>
    <w:rsid w:val="00FE6B49"/>
    <w:rsid w:val="00FE6C9B"/>
    <w:rsid w:val="00FE6FAD"/>
    <w:rsid w:val="00FE7302"/>
    <w:rsid w:val="00FE74C4"/>
    <w:rsid w:val="00FE7533"/>
    <w:rsid w:val="00FE7588"/>
    <w:rsid w:val="00FE762E"/>
    <w:rsid w:val="00FF05A6"/>
    <w:rsid w:val="00FF0E60"/>
    <w:rsid w:val="00FF0FF9"/>
    <w:rsid w:val="00FF1015"/>
    <w:rsid w:val="00FF1227"/>
    <w:rsid w:val="00FF16C4"/>
    <w:rsid w:val="00FF178F"/>
    <w:rsid w:val="00FF17AD"/>
    <w:rsid w:val="00FF1919"/>
    <w:rsid w:val="00FF19DC"/>
    <w:rsid w:val="00FF1A48"/>
    <w:rsid w:val="00FF1DE5"/>
    <w:rsid w:val="00FF27D3"/>
    <w:rsid w:val="00FF27E0"/>
    <w:rsid w:val="00FF2C01"/>
    <w:rsid w:val="00FF2DAA"/>
    <w:rsid w:val="00FF2DD9"/>
    <w:rsid w:val="00FF3144"/>
    <w:rsid w:val="00FF3289"/>
    <w:rsid w:val="00FF33D7"/>
    <w:rsid w:val="00FF3862"/>
    <w:rsid w:val="00FF3931"/>
    <w:rsid w:val="00FF3B9D"/>
    <w:rsid w:val="00FF4BB1"/>
    <w:rsid w:val="00FF4E87"/>
    <w:rsid w:val="00FF510D"/>
    <w:rsid w:val="00FF5261"/>
    <w:rsid w:val="00FF5757"/>
    <w:rsid w:val="00FF57C3"/>
    <w:rsid w:val="00FF5D11"/>
    <w:rsid w:val="00FF6290"/>
    <w:rsid w:val="00FF6558"/>
    <w:rsid w:val="00FF6AAD"/>
    <w:rsid w:val="00FF6AD5"/>
    <w:rsid w:val="00FF6CFE"/>
    <w:rsid w:val="00FF6DB9"/>
    <w:rsid w:val="00FF6FF2"/>
    <w:rsid w:val="00FF75B9"/>
    <w:rsid w:val="00FF760D"/>
    <w:rsid w:val="00FF7657"/>
    <w:rsid w:val="00FF78F7"/>
    <w:rsid w:val="00FF7A90"/>
    <w:rsid w:val="00FF7FA9"/>
    <w:rsid w:val="01E399AC"/>
    <w:rsid w:val="0340D15D"/>
    <w:rsid w:val="03B71400"/>
    <w:rsid w:val="03F6FEFC"/>
    <w:rsid w:val="045CAC58"/>
    <w:rsid w:val="0660DFDE"/>
    <w:rsid w:val="06A307C7"/>
    <w:rsid w:val="06D6A234"/>
    <w:rsid w:val="06FE7D30"/>
    <w:rsid w:val="07C89289"/>
    <w:rsid w:val="08B8BCE5"/>
    <w:rsid w:val="09CA85A7"/>
    <w:rsid w:val="0A090750"/>
    <w:rsid w:val="0AF33C0D"/>
    <w:rsid w:val="0D617D84"/>
    <w:rsid w:val="0E2B32D3"/>
    <w:rsid w:val="0E36EB1B"/>
    <w:rsid w:val="0E50F46E"/>
    <w:rsid w:val="0E72C3CB"/>
    <w:rsid w:val="0F16061C"/>
    <w:rsid w:val="10E7BF51"/>
    <w:rsid w:val="11041E02"/>
    <w:rsid w:val="12ABBE9A"/>
    <w:rsid w:val="12F37A7E"/>
    <w:rsid w:val="13129D30"/>
    <w:rsid w:val="151980D5"/>
    <w:rsid w:val="161024E2"/>
    <w:rsid w:val="16C774C6"/>
    <w:rsid w:val="17300DFC"/>
    <w:rsid w:val="183D9C64"/>
    <w:rsid w:val="19613B9C"/>
    <w:rsid w:val="1B8A21A2"/>
    <w:rsid w:val="1CDEA29E"/>
    <w:rsid w:val="204B8BBE"/>
    <w:rsid w:val="2524987B"/>
    <w:rsid w:val="25437ED4"/>
    <w:rsid w:val="25D21049"/>
    <w:rsid w:val="26CE9C3B"/>
    <w:rsid w:val="28E926F5"/>
    <w:rsid w:val="29C0263C"/>
    <w:rsid w:val="2A38631D"/>
    <w:rsid w:val="2AB52A7D"/>
    <w:rsid w:val="2B95FD63"/>
    <w:rsid w:val="2C4540B7"/>
    <w:rsid w:val="2CC9A23C"/>
    <w:rsid w:val="2DBC7300"/>
    <w:rsid w:val="2DF7DEC6"/>
    <w:rsid w:val="2EF58DE7"/>
    <w:rsid w:val="2F0D819A"/>
    <w:rsid w:val="2FA222AE"/>
    <w:rsid w:val="30625B50"/>
    <w:rsid w:val="348A5B64"/>
    <w:rsid w:val="348FCF5B"/>
    <w:rsid w:val="35F8040A"/>
    <w:rsid w:val="3699D19B"/>
    <w:rsid w:val="36A96418"/>
    <w:rsid w:val="37B98664"/>
    <w:rsid w:val="3867A74C"/>
    <w:rsid w:val="3875101E"/>
    <w:rsid w:val="3A2526B7"/>
    <w:rsid w:val="3C82ACF8"/>
    <w:rsid w:val="3EDD2DEC"/>
    <w:rsid w:val="3F35D6F8"/>
    <w:rsid w:val="3FD0B757"/>
    <w:rsid w:val="400E0189"/>
    <w:rsid w:val="40159366"/>
    <w:rsid w:val="404382D3"/>
    <w:rsid w:val="40EA8CE2"/>
    <w:rsid w:val="432A5C6F"/>
    <w:rsid w:val="442E940C"/>
    <w:rsid w:val="4565A12C"/>
    <w:rsid w:val="45E2BB5C"/>
    <w:rsid w:val="4631B987"/>
    <w:rsid w:val="48477914"/>
    <w:rsid w:val="486CC768"/>
    <w:rsid w:val="487317EE"/>
    <w:rsid w:val="48A91608"/>
    <w:rsid w:val="4BE37BD0"/>
    <w:rsid w:val="4C25F50E"/>
    <w:rsid w:val="4CC6F1A3"/>
    <w:rsid w:val="4D6CE185"/>
    <w:rsid w:val="4E7A3044"/>
    <w:rsid w:val="513DC4A5"/>
    <w:rsid w:val="518C886A"/>
    <w:rsid w:val="52B5ED41"/>
    <w:rsid w:val="54C3CBE8"/>
    <w:rsid w:val="5609BC32"/>
    <w:rsid w:val="571F0DFE"/>
    <w:rsid w:val="57F26524"/>
    <w:rsid w:val="58288AE3"/>
    <w:rsid w:val="599B01CE"/>
    <w:rsid w:val="5BFE11CC"/>
    <w:rsid w:val="5CF3A429"/>
    <w:rsid w:val="5D2A9590"/>
    <w:rsid w:val="5EA48DA3"/>
    <w:rsid w:val="5F2D3698"/>
    <w:rsid w:val="6012F886"/>
    <w:rsid w:val="63746B33"/>
    <w:rsid w:val="63B82A7C"/>
    <w:rsid w:val="63F8CB5B"/>
    <w:rsid w:val="650750DB"/>
    <w:rsid w:val="66BE28DC"/>
    <w:rsid w:val="69544EC4"/>
    <w:rsid w:val="6A8A9115"/>
    <w:rsid w:val="6AD18DC6"/>
    <w:rsid w:val="6BF39528"/>
    <w:rsid w:val="6CCF8E1B"/>
    <w:rsid w:val="6D844DED"/>
    <w:rsid w:val="6DA93806"/>
    <w:rsid w:val="6F091C11"/>
    <w:rsid w:val="6FC5692E"/>
    <w:rsid w:val="703BF45A"/>
    <w:rsid w:val="704DE9CA"/>
    <w:rsid w:val="729A8960"/>
    <w:rsid w:val="732A782D"/>
    <w:rsid w:val="736B259C"/>
    <w:rsid w:val="73D8E6CB"/>
    <w:rsid w:val="7457401E"/>
    <w:rsid w:val="75366A18"/>
    <w:rsid w:val="75CD4D94"/>
    <w:rsid w:val="75D8E00C"/>
    <w:rsid w:val="781E453C"/>
    <w:rsid w:val="785D5FA7"/>
    <w:rsid w:val="7A9E28BD"/>
    <w:rsid w:val="7BF12CC2"/>
    <w:rsid w:val="7C69C6C6"/>
    <w:rsid w:val="7DC5080D"/>
    <w:rsid w:val="7F5386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5F70F"/>
  <w15:chartTrackingRefBased/>
  <w15:docId w15:val="{8C37A2E9-19C8-4288-AC6F-CE109D19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DA5"/>
    <w:rPr>
      <w:rFonts w:ascii="Arial" w:hAnsi="Arial"/>
    </w:rPr>
  </w:style>
  <w:style w:type="paragraph" w:styleId="Heading1">
    <w:name w:val="heading 1"/>
    <w:basedOn w:val="Normal"/>
    <w:next w:val="Normal"/>
    <w:link w:val="Heading1Char"/>
    <w:autoRedefine/>
    <w:uiPriority w:val="9"/>
    <w:qFormat/>
    <w:rsid w:val="0025106C"/>
    <w:pPr>
      <w:keepNext/>
      <w:keepLines/>
      <w:numPr>
        <w:numId w:val="8"/>
      </w:numPr>
      <w:spacing w:before="360"/>
      <w:outlineLvl w:val="0"/>
    </w:pPr>
    <w:rPr>
      <w:rFonts w:eastAsiaTheme="majorEastAsia" w:cstheme="majorBidi"/>
      <w:b/>
      <w:sz w:val="28"/>
      <w:szCs w:val="40"/>
    </w:rPr>
  </w:style>
  <w:style w:type="paragraph" w:styleId="Heading2">
    <w:name w:val="heading 2"/>
    <w:basedOn w:val="Normal"/>
    <w:next w:val="Normal"/>
    <w:link w:val="Heading2Char"/>
    <w:uiPriority w:val="9"/>
    <w:unhideWhenUsed/>
    <w:qFormat/>
    <w:rsid w:val="003F65DC"/>
    <w:pPr>
      <w:keepNext/>
      <w:keepLines/>
      <w:numPr>
        <w:ilvl w:val="1"/>
        <w:numId w:val="8"/>
      </w:numPr>
      <w:spacing w:before="160" w:after="80"/>
      <w:outlineLvl w:val="1"/>
    </w:pPr>
    <w:rPr>
      <w:rFonts w:eastAsiaTheme="majorEastAsia" w:cstheme="majorBidi"/>
      <w:b/>
      <w:sz w:val="24"/>
      <w:szCs w:val="32"/>
    </w:rPr>
  </w:style>
  <w:style w:type="paragraph" w:styleId="Heading3">
    <w:name w:val="heading 3"/>
    <w:basedOn w:val="Normal"/>
    <w:next w:val="Normal"/>
    <w:link w:val="Heading3Char"/>
    <w:uiPriority w:val="9"/>
    <w:unhideWhenUsed/>
    <w:qFormat/>
    <w:rsid w:val="00247AA3"/>
    <w:pPr>
      <w:keepNext/>
      <w:keepLines/>
      <w:numPr>
        <w:ilvl w:val="2"/>
        <w:numId w:val="8"/>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7AA3"/>
    <w:pPr>
      <w:keepNext/>
      <w:keepLines/>
      <w:numPr>
        <w:ilvl w:val="3"/>
        <w:numId w:val="8"/>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7AA3"/>
    <w:pPr>
      <w:keepNext/>
      <w:keepLines/>
      <w:numPr>
        <w:ilvl w:val="4"/>
        <w:numId w:val="8"/>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7AA3"/>
    <w:pPr>
      <w:keepNext/>
      <w:keepLines/>
      <w:numPr>
        <w:ilvl w:val="5"/>
        <w:numId w:val="8"/>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AA3"/>
    <w:pPr>
      <w:keepNext/>
      <w:keepLines/>
      <w:numPr>
        <w:ilvl w:val="6"/>
        <w:numId w:val="8"/>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AA3"/>
    <w:pPr>
      <w:keepNext/>
      <w:keepLines/>
      <w:numPr>
        <w:ilvl w:val="7"/>
        <w:numId w:val="8"/>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AA3"/>
    <w:pPr>
      <w:keepNext/>
      <w:keepLines/>
      <w:numPr>
        <w:ilvl w:val="8"/>
        <w:numId w:val="8"/>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06C"/>
    <w:rPr>
      <w:rFonts w:ascii="Arial" w:eastAsiaTheme="majorEastAsia" w:hAnsi="Arial" w:cstheme="majorBidi"/>
      <w:b/>
      <w:sz w:val="28"/>
      <w:szCs w:val="40"/>
    </w:rPr>
  </w:style>
  <w:style w:type="character" w:customStyle="1" w:styleId="Heading2Char">
    <w:name w:val="Heading 2 Char"/>
    <w:basedOn w:val="DefaultParagraphFont"/>
    <w:link w:val="Heading2"/>
    <w:uiPriority w:val="9"/>
    <w:rsid w:val="003F65DC"/>
    <w:rPr>
      <w:rFonts w:ascii="Arial" w:eastAsiaTheme="majorEastAsia" w:hAnsi="Arial" w:cstheme="majorBidi"/>
      <w:b/>
      <w:sz w:val="24"/>
      <w:szCs w:val="32"/>
    </w:rPr>
  </w:style>
  <w:style w:type="character" w:customStyle="1" w:styleId="Heading3Char">
    <w:name w:val="Heading 3 Char"/>
    <w:basedOn w:val="DefaultParagraphFont"/>
    <w:link w:val="Heading3"/>
    <w:uiPriority w:val="9"/>
    <w:rsid w:val="00247AA3"/>
    <w:rPr>
      <w:rFonts w:ascii="Arial" w:eastAsiaTheme="majorEastAsia" w:hAnsi="Arial"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7AA3"/>
    <w:rPr>
      <w:rFonts w:ascii="Arial" w:eastAsiaTheme="majorEastAsia" w:hAnsi="Arial" w:cstheme="majorBidi"/>
      <w:i/>
      <w:iCs/>
      <w:color w:val="0F4761" w:themeColor="accent1" w:themeShade="BF"/>
    </w:rPr>
  </w:style>
  <w:style w:type="character" w:customStyle="1" w:styleId="Heading5Char">
    <w:name w:val="Heading 5 Char"/>
    <w:basedOn w:val="DefaultParagraphFont"/>
    <w:link w:val="Heading5"/>
    <w:uiPriority w:val="9"/>
    <w:semiHidden/>
    <w:rsid w:val="00247AA3"/>
    <w:rPr>
      <w:rFonts w:ascii="Arial" w:eastAsiaTheme="majorEastAsia" w:hAnsi="Arial" w:cstheme="majorBidi"/>
      <w:color w:val="0F4761" w:themeColor="accent1" w:themeShade="BF"/>
    </w:rPr>
  </w:style>
  <w:style w:type="character" w:customStyle="1" w:styleId="Heading6Char">
    <w:name w:val="Heading 6 Char"/>
    <w:basedOn w:val="DefaultParagraphFont"/>
    <w:link w:val="Heading6"/>
    <w:uiPriority w:val="9"/>
    <w:semiHidden/>
    <w:rsid w:val="00247AA3"/>
    <w:rPr>
      <w:rFonts w:ascii="Arial" w:eastAsiaTheme="majorEastAsia" w:hAnsi="Arial" w:cstheme="majorBidi"/>
      <w:i/>
      <w:iCs/>
      <w:color w:val="595959" w:themeColor="text1" w:themeTint="A6"/>
    </w:rPr>
  </w:style>
  <w:style w:type="character" w:customStyle="1" w:styleId="Heading7Char">
    <w:name w:val="Heading 7 Char"/>
    <w:basedOn w:val="DefaultParagraphFont"/>
    <w:link w:val="Heading7"/>
    <w:uiPriority w:val="9"/>
    <w:semiHidden/>
    <w:rsid w:val="00247AA3"/>
    <w:rPr>
      <w:rFonts w:ascii="Arial" w:eastAsiaTheme="majorEastAsia" w:hAnsi="Arial" w:cstheme="majorBidi"/>
      <w:color w:val="595959" w:themeColor="text1" w:themeTint="A6"/>
    </w:rPr>
  </w:style>
  <w:style w:type="character" w:customStyle="1" w:styleId="Heading8Char">
    <w:name w:val="Heading 8 Char"/>
    <w:basedOn w:val="DefaultParagraphFont"/>
    <w:link w:val="Heading8"/>
    <w:uiPriority w:val="9"/>
    <w:semiHidden/>
    <w:rsid w:val="00247AA3"/>
    <w:rPr>
      <w:rFonts w:ascii="Arial" w:eastAsiaTheme="majorEastAsia" w:hAnsi="Arial" w:cstheme="majorBidi"/>
      <w:i/>
      <w:iCs/>
      <w:color w:val="272727" w:themeColor="text1" w:themeTint="D8"/>
    </w:rPr>
  </w:style>
  <w:style w:type="character" w:customStyle="1" w:styleId="Heading9Char">
    <w:name w:val="Heading 9 Char"/>
    <w:basedOn w:val="DefaultParagraphFont"/>
    <w:link w:val="Heading9"/>
    <w:uiPriority w:val="9"/>
    <w:semiHidden/>
    <w:rsid w:val="00247AA3"/>
    <w:rPr>
      <w:rFonts w:ascii="Arial" w:eastAsiaTheme="majorEastAsia" w:hAnsi="Arial" w:cstheme="majorBidi"/>
      <w:color w:val="272727" w:themeColor="text1" w:themeTint="D8"/>
    </w:rPr>
  </w:style>
  <w:style w:type="paragraph" w:styleId="Title">
    <w:name w:val="Title"/>
    <w:basedOn w:val="Normal"/>
    <w:next w:val="Normal"/>
    <w:link w:val="TitleChar"/>
    <w:uiPriority w:val="10"/>
    <w:qFormat/>
    <w:rsid w:val="00C2528A"/>
    <w:pPr>
      <w:spacing w:before="2600" w:after="480" w:line="240" w:lineRule="auto"/>
      <w:contextualSpacing/>
    </w:pPr>
    <w:rPr>
      <w:rFonts w:eastAsiaTheme="majorEastAsia" w:cstheme="majorBidi"/>
      <w:b/>
      <w:color w:val="0070C0"/>
      <w:spacing w:val="-10"/>
      <w:kern w:val="28"/>
      <w:sz w:val="40"/>
      <w:szCs w:val="56"/>
    </w:rPr>
  </w:style>
  <w:style w:type="character" w:customStyle="1" w:styleId="TitleChar">
    <w:name w:val="Title Char"/>
    <w:basedOn w:val="DefaultParagraphFont"/>
    <w:link w:val="Title"/>
    <w:uiPriority w:val="10"/>
    <w:rsid w:val="00C2528A"/>
    <w:rPr>
      <w:rFonts w:ascii="Arial" w:eastAsiaTheme="majorEastAsia" w:hAnsi="Arial" w:cstheme="majorBidi"/>
      <w:b/>
      <w:color w:val="0070C0"/>
      <w:spacing w:val="-10"/>
      <w:kern w:val="28"/>
      <w:sz w:val="40"/>
      <w:szCs w:val="56"/>
    </w:rPr>
  </w:style>
  <w:style w:type="paragraph" w:styleId="Subtitle">
    <w:name w:val="Subtitle"/>
    <w:basedOn w:val="Normal"/>
    <w:next w:val="Normal"/>
    <w:link w:val="SubtitleChar"/>
    <w:uiPriority w:val="11"/>
    <w:qFormat/>
    <w:rsid w:val="00812B38"/>
    <w:pPr>
      <w:numPr>
        <w:ilvl w:val="1"/>
      </w:numPr>
    </w:pPr>
    <w:rPr>
      <w:rFonts w:eastAsiaTheme="majorEastAsia" w:cstheme="majorBidi"/>
      <w:b/>
      <w:color w:val="0070C0"/>
      <w:sz w:val="32"/>
      <w:szCs w:val="28"/>
    </w:rPr>
  </w:style>
  <w:style w:type="character" w:customStyle="1" w:styleId="SubtitleChar">
    <w:name w:val="Subtitle Char"/>
    <w:basedOn w:val="DefaultParagraphFont"/>
    <w:link w:val="Subtitle"/>
    <w:uiPriority w:val="11"/>
    <w:rsid w:val="00812B38"/>
    <w:rPr>
      <w:rFonts w:ascii="Arial" w:eastAsiaTheme="majorEastAsia" w:hAnsi="Arial" w:cstheme="majorBidi"/>
      <w:b/>
      <w:color w:val="0070C0"/>
      <w:sz w:val="32"/>
      <w:szCs w:val="28"/>
    </w:rPr>
  </w:style>
  <w:style w:type="paragraph" w:styleId="Quote">
    <w:name w:val="Quote"/>
    <w:basedOn w:val="Normal"/>
    <w:next w:val="Normal"/>
    <w:link w:val="QuoteChar"/>
    <w:uiPriority w:val="29"/>
    <w:qFormat/>
    <w:rsid w:val="00247AA3"/>
    <w:pPr>
      <w:spacing w:before="160"/>
      <w:jc w:val="center"/>
    </w:pPr>
    <w:rPr>
      <w:i/>
      <w:iCs/>
      <w:color w:val="404040" w:themeColor="text1" w:themeTint="BF"/>
    </w:rPr>
  </w:style>
  <w:style w:type="character" w:customStyle="1" w:styleId="QuoteChar">
    <w:name w:val="Quote Char"/>
    <w:basedOn w:val="DefaultParagraphFont"/>
    <w:link w:val="Quote"/>
    <w:uiPriority w:val="29"/>
    <w:rsid w:val="00247AA3"/>
    <w:rPr>
      <w:i/>
      <w:iCs/>
      <w:color w:val="404040" w:themeColor="text1" w:themeTint="BF"/>
    </w:rPr>
  </w:style>
  <w:style w:type="paragraph" w:styleId="ListParagraph">
    <w:name w:val="List Paragraph"/>
    <w:basedOn w:val="Normal"/>
    <w:uiPriority w:val="34"/>
    <w:qFormat/>
    <w:rsid w:val="00CC53DE"/>
    <w:pPr>
      <w:numPr>
        <w:numId w:val="2"/>
      </w:numPr>
      <w:contextualSpacing/>
    </w:pPr>
  </w:style>
  <w:style w:type="character" w:styleId="IntenseEmphasis">
    <w:name w:val="Intense Emphasis"/>
    <w:basedOn w:val="DefaultParagraphFont"/>
    <w:uiPriority w:val="21"/>
    <w:qFormat/>
    <w:rsid w:val="00247AA3"/>
    <w:rPr>
      <w:i/>
      <w:iCs/>
      <w:color w:val="0F4761" w:themeColor="accent1" w:themeShade="BF"/>
    </w:rPr>
  </w:style>
  <w:style w:type="paragraph" w:styleId="IntenseQuote">
    <w:name w:val="Intense Quote"/>
    <w:basedOn w:val="Normal"/>
    <w:next w:val="Normal"/>
    <w:link w:val="IntenseQuoteChar"/>
    <w:uiPriority w:val="30"/>
    <w:qFormat/>
    <w:rsid w:val="00247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7AA3"/>
    <w:rPr>
      <w:i/>
      <w:iCs/>
      <w:color w:val="0F4761" w:themeColor="accent1" w:themeShade="BF"/>
    </w:rPr>
  </w:style>
  <w:style w:type="character" w:styleId="IntenseReference">
    <w:name w:val="Intense Reference"/>
    <w:basedOn w:val="DefaultParagraphFont"/>
    <w:uiPriority w:val="32"/>
    <w:qFormat/>
    <w:rsid w:val="00247AA3"/>
    <w:rPr>
      <w:b/>
      <w:bCs/>
      <w:smallCaps/>
      <w:color w:val="0F4761" w:themeColor="accent1" w:themeShade="BF"/>
      <w:spacing w:val="5"/>
    </w:rPr>
  </w:style>
  <w:style w:type="paragraph" w:styleId="TOCHeading">
    <w:name w:val="TOC Heading"/>
    <w:basedOn w:val="Heading1"/>
    <w:next w:val="Normal"/>
    <w:uiPriority w:val="39"/>
    <w:unhideWhenUsed/>
    <w:qFormat/>
    <w:rsid w:val="00B42AE6"/>
    <w:pPr>
      <w:spacing w:before="240" w:after="0"/>
      <w:outlineLvl w:val="9"/>
    </w:pPr>
    <w:rPr>
      <w:kern w:val="0"/>
      <w:sz w:val="32"/>
      <w:szCs w:val="32"/>
      <w:lang w:eastAsia="en-GB"/>
      <w14:ligatures w14:val="none"/>
    </w:rPr>
  </w:style>
  <w:style w:type="paragraph" w:styleId="TOC1">
    <w:name w:val="toc 1"/>
    <w:basedOn w:val="Normal"/>
    <w:next w:val="Normal"/>
    <w:autoRedefine/>
    <w:uiPriority w:val="39"/>
    <w:unhideWhenUsed/>
    <w:rsid w:val="00971C84"/>
    <w:pPr>
      <w:spacing w:after="100"/>
    </w:pPr>
  </w:style>
  <w:style w:type="character" w:styleId="Hyperlink">
    <w:name w:val="Hyperlink"/>
    <w:basedOn w:val="DefaultParagraphFont"/>
    <w:uiPriority w:val="99"/>
    <w:unhideWhenUsed/>
    <w:rsid w:val="00971C84"/>
    <w:rPr>
      <w:color w:val="467886" w:themeColor="hyperlink"/>
      <w:u w:val="single"/>
    </w:rPr>
  </w:style>
  <w:style w:type="paragraph" w:styleId="FootnoteText">
    <w:name w:val="footnote text"/>
    <w:basedOn w:val="Normal"/>
    <w:link w:val="FootnoteTextChar"/>
    <w:uiPriority w:val="99"/>
    <w:semiHidden/>
    <w:unhideWhenUsed/>
    <w:rsid w:val="008F2F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2F8C"/>
    <w:rPr>
      <w:rFonts w:ascii="Arial" w:hAnsi="Arial"/>
      <w:sz w:val="20"/>
      <w:szCs w:val="20"/>
    </w:rPr>
  </w:style>
  <w:style w:type="character" w:styleId="FootnoteReference">
    <w:name w:val="footnote reference"/>
    <w:basedOn w:val="DefaultParagraphFont"/>
    <w:uiPriority w:val="99"/>
    <w:semiHidden/>
    <w:unhideWhenUsed/>
    <w:rsid w:val="008F2F8C"/>
    <w:rPr>
      <w:vertAlign w:val="superscript"/>
    </w:rPr>
  </w:style>
  <w:style w:type="character" w:styleId="CommentReference">
    <w:name w:val="annotation reference"/>
    <w:basedOn w:val="DefaultParagraphFont"/>
    <w:uiPriority w:val="99"/>
    <w:semiHidden/>
    <w:unhideWhenUsed/>
    <w:rsid w:val="00334148"/>
    <w:rPr>
      <w:sz w:val="16"/>
      <w:szCs w:val="16"/>
    </w:rPr>
  </w:style>
  <w:style w:type="paragraph" w:styleId="CommentText">
    <w:name w:val="annotation text"/>
    <w:basedOn w:val="Normal"/>
    <w:link w:val="CommentTextChar"/>
    <w:uiPriority w:val="99"/>
    <w:unhideWhenUsed/>
    <w:rsid w:val="00334148"/>
    <w:pPr>
      <w:spacing w:line="240" w:lineRule="auto"/>
    </w:pPr>
    <w:rPr>
      <w:sz w:val="20"/>
      <w:szCs w:val="20"/>
    </w:rPr>
  </w:style>
  <w:style w:type="character" w:customStyle="1" w:styleId="CommentTextChar">
    <w:name w:val="Comment Text Char"/>
    <w:basedOn w:val="DefaultParagraphFont"/>
    <w:link w:val="CommentText"/>
    <w:uiPriority w:val="99"/>
    <w:rsid w:val="0033414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34148"/>
    <w:rPr>
      <w:b/>
      <w:bCs/>
    </w:rPr>
  </w:style>
  <w:style w:type="character" w:customStyle="1" w:styleId="CommentSubjectChar">
    <w:name w:val="Comment Subject Char"/>
    <w:basedOn w:val="CommentTextChar"/>
    <w:link w:val="CommentSubject"/>
    <w:uiPriority w:val="99"/>
    <w:semiHidden/>
    <w:rsid w:val="00334148"/>
    <w:rPr>
      <w:rFonts w:ascii="Arial" w:hAnsi="Arial"/>
      <w:b/>
      <w:bCs/>
      <w:sz w:val="20"/>
      <w:szCs w:val="20"/>
    </w:rPr>
  </w:style>
  <w:style w:type="paragraph" w:styleId="Header">
    <w:name w:val="header"/>
    <w:basedOn w:val="Normal"/>
    <w:link w:val="HeaderChar"/>
    <w:uiPriority w:val="99"/>
    <w:unhideWhenUsed/>
    <w:rsid w:val="00506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D54"/>
    <w:rPr>
      <w:rFonts w:ascii="Arial" w:hAnsi="Arial"/>
    </w:rPr>
  </w:style>
  <w:style w:type="paragraph" w:styleId="Footer">
    <w:name w:val="footer"/>
    <w:basedOn w:val="Normal"/>
    <w:link w:val="FooterChar"/>
    <w:uiPriority w:val="99"/>
    <w:unhideWhenUsed/>
    <w:rsid w:val="00506D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D54"/>
    <w:rPr>
      <w:rFonts w:ascii="Arial" w:hAnsi="Arial"/>
    </w:rPr>
  </w:style>
  <w:style w:type="paragraph" w:styleId="TOC2">
    <w:name w:val="toc 2"/>
    <w:basedOn w:val="Normal"/>
    <w:next w:val="Normal"/>
    <w:autoRedefine/>
    <w:uiPriority w:val="39"/>
    <w:unhideWhenUsed/>
    <w:rsid w:val="00B7646F"/>
    <w:pPr>
      <w:spacing w:after="100"/>
      <w:ind w:left="220"/>
    </w:pPr>
  </w:style>
  <w:style w:type="character" w:styleId="UnresolvedMention">
    <w:name w:val="Unresolved Mention"/>
    <w:basedOn w:val="DefaultParagraphFont"/>
    <w:uiPriority w:val="99"/>
    <w:semiHidden/>
    <w:unhideWhenUsed/>
    <w:rsid w:val="00C87E7B"/>
    <w:rPr>
      <w:color w:val="605E5C"/>
      <w:shd w:val="clear" w:color="auto" w:fill="E1DFDD"/>
    </w:rPr>
  </w:style>
  <w:style w:type="table" w:styleId="TableGrid">
    <w:name w:val="Table Grid"/>
    <w:basedOn w:val="TableNormal"/>
    <w:uiPriority w:val="39"/>
    <w:rsid w:val="00926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C388D"/>
    <w:pPr>
      <w:widowControl w:val="0"/>
      <w:autoSpaceDE w:val="0"/>
      <w:autoSpaceDN w:val="0"/>
      <w:spacing w:after="0" w:line="240" w:lineRule="auto"/>
    </w:pPr>
    <w:rPr>
      <w:rFonts w:eastAsia="Arial" w:cs="Arial"/>
      <w:kern w:val="0"/>
      <w:lang w:eastAsia="en-GB" w:bidi="en-GB"/>
      <w14:ligatures w14:val="none"/>
    </w:rPr>
  </w:style>
  <w:style w:type="character" w:customStyle="1" w:styleId="BodyTextChar">
    <w:name w:val="Body Text Char"/>
    <w:basedOn w:val="DefaultParagraphFont"/>
    <w:link w:val="BodyText"/>
    <w:uiPriority w:val="1"/>
    <w:rsid w:val="000C388D"/>
    <w:rPr>
      <w:rFonts w:ascii="Arial" w:eastAsia="Arial" w:hAnsi="Arial" w:cs="Arial"/>
      <w:kern w:val="0"/>
      <w:lang w:eastAsia="en-GB" w:bidi="en-GB"/>
      <w14:ligatures w14:val="none"/>
    </w:rPr>
  </w:style>
  <w:style w:type="paragraph" w:styleId="Revision">
    <w:name w:val="Revision"/>
    <w:hidden/>
    <w:uiPriority w:val="99"/>
    <w:semiHidden/>
    <w:rsid w:val="007951B6"/>
    <w:pPr>
      <w:spacing w:after="0" w:line="240" w:lineRule="auto"/>
    </w:pPr>
    <w:rPr>
      <w:rFonts w:ascii="Arial" w:hAnsi="Arial"/>
    </w:rPr>
  </w:style>
  <w:style w:type="character" w:styleId="Mention">
    <w:name w:val="Mention"/>
    <w:basedOn w:val="DefaultParagraphFont"/>
    <w:uiPriority w:val="99"/>
    <w:unhideWhenUsed/>
    <w:rsid w:val="007951B6"/>
    <w:rPr>
      <w:color w:val="2B579A"/>
      <w:shd w:val="clear" w:color="auto" w:fill="E1DFDD"/>
    </w:rPr>
  </w:style>
  <w:style w:type="paragraph" w:styleId="TOC3">
    <w:name w:val="toc 3"/>
    <w:basedOn w:val="Normal"/>
    <w:next w:val="Normal"/>
    <w:autoRedefine/>
    <w:uiPriority w:val="39"/>
    <w:unhideWhenUsed/>
    <w:rsid w:val="007951B6"/>
    <w:pPr>
      <w:spacing w:after="100"/>
      <w:ind w:left="440"/>
    </w:pPr>
  </w:style>
  <w:style w:type="paragraph" w:customStyle="1" w:styleId="Default">
    <w:name w:val="Default"/>
    <w:basedOn w:val="Normal"/>
    <w:uiPriority w:val="99"/>
    <w:rsid w:val="007951B6"/>
    <w:pPr>
      <w:autoSpaceDE w:val="0"/>
      <w:autoSpaceDN w:val="0"/>
      <w:spacing w:after="0" w:line="240" w:lineRule="auto"/>
    </w:pPr>
    <w:rPr>
      <w:rFonts w:cs="Arial"/>
      <w:color w:val="000000"/>
      <w:kern w:val="0"/>
      <w:sz w:val="24"/>
      <w:szCs w:val="24"/>
      <w14:ligatures w14:val="none"/>
    </w:rPr>
  </w:style>
  <w:style w:type="paragraph" w:styleId="EndnoteText">
    <w:name w:val="endnote text"/>
    <w:basedOn w:val="Normal"/>
    <w:link w:val="EndnoteTextChar"/>
    <w:uiPriority w:val="99"/>
    <w:semiHidden/>
    <w:unhideWhenUsed/>
    <w:rsid w:val="00CB71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710A"/>
    <w:rPr>
      <w:rFonts w:ascii="Arial" w:hAnsi="Arial"/>
      <w:sz w:val="20"/>
      <w:szCs w:val="20"/>
    </w:rPr>
  </w:style>
  <w:style w:type="character" w:styleId="EndnoteReference">
    <w:name w:val="endnote reference"/>
    <w:basedOn w:val="DefaultParagraphFont"/>
    <w:uiPriority w:val="99"/>
    <w:semiHidden/>
    <w:unhideWhenUsed/>
    <w:rsid w:val="00CB71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5386">
      <w:bodyDiv w:val="1"/>
      <w:marLeft w:val="0"/>
      <w:marRight w:val="0"/>
      <w:marTop w:val="0"/>
      <w:marBottom w:val="0"/>
      <w:divBdr>
        <w:top w:val="none" w:sz="0" w:space="0" w:color="auto"/>
        <w:left w:val="none" w:sz="0" w:space="0" w:color="auto"/>
        <w:bottom w:val="none" w:sz="0" w:space="0" w:color="auto"/>
        <w:right w:val="none" w:sz="0" w:space="0" w:color="auto"/>
      </w:divBdr>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284385237">
          <w:marLeft w:val="0"/>
          <w:marRight w:val="0"/>
          <w:marTop w:val="0"/>
          <w:marBottom w:val="0"/>
          <w:divBdr>
            <w:top w:val="none" w:sz="0" w:space="0" w:color="auto"/>
            <w:left w:val="none" w:sz="0" w:space="0" w:color="auto"/>
            <w:bottom w:val="none" w:sz="0" w:space="0" w:color="auto"/>
            <w:right w:val="none" w:sz="0" w:space="0" w:color="auto"/>
          </w:divBdr>
        </w:div>
        <w:div w:id="1171796355">
          <w:marLeft w:val="0"/>
          <w:marRight w:val="0"/>
          <w:marTop w:val="0"/>
          <w:marBottom w:val="0"/>
          <w:divBdr>
            <w:top w:val="none" w:sz="0" w:space="0" w:color="auto"/>
            <w:left w:val="none" w:sz="0" w:space="0" w:color="auto"/>
            <w:bottom w:val="none" w:sz="0" w:space="0" w:color="auto"/>
            <w:right w:val="none" w:sz="0" w:space="0" w:color="auto"/>
          </w:divBdr>
        </w:div>
        <w:div w:id="1405102375">
          <w:marLeft w:val="0"/>
          <w:marRight w:val="0"/>
          <w:marTop w:val="0"/>
          <w:marBottom w:val="0"/>
          <w:divBdr>
            <w:top w:val="none" w:sz="0" w:space="0" w:color="auto"/>
            <w:left w:val="none" w:sz="0" w:space="0" w:color="auto"/>
            <w:bottom w:val="none" w:sz="0" w:space="0" w:color="auto"/>
            <w:right w:val="none" w:sz="0" w:space="0" w:color="auto"/>
          </w:divBdr>
        </w:div>
        <w:div w:id="2097290167">
          <w:marLeft w:val="0"/>
          <w:marRight w:val="0"/>
          <w:marTop w:val="0"/>
          <w:marBottom w:val="0"/>
          <w:divBdr>
            <w:top w:val="none" w:sz="0" w:space="0" w:color="auto"/>
            <w:left w:val="none" w:sz="0" w:space="0" w:color="auto"/>
            <w:bottom w:val="none" w:sz="0" w:space="0" w:color="auto"/>
            <w:right w:val="none" w:sz="0" w:space="0" w:color="auto"/>
          </w:divBdr>
        </w:div>
      </w:divsChild>
    </w:div>
    <w:div w:id="53284328">
      <w:bodyDiv w:val="1"/>
      <w:marLeft w:val="0"/>
      <w:marRight w:val="0"/>
      <w:marTop w:val="0"/>
      <w:marBottom w:val="0"/>
      <w:divBdr>
        <w:top w:val="none" w:sz="0" w:space="0" w:color="auto"/>
        <w:left w:val="none" w:sz="0" w:space="0" w:color="auto"/>
        <w:bottom w:val="none" w:sz="0" w:space="0" w:color="auto"/>
        <w:right w:val="none" w:sz="0" w:space="0" w:color="auto"/>
      </w:divBdr>
    </w:div>
    <w:div w:id="55589739">
      <w:bodyDiv w:val="1"/>
      <w:marLeft w:val="0"/>
      <w:marRight w:val="0"/>
      <w:marTop w:val="0"/>
      <w:marBottom w:val="0"/>
      <w:divBdr>
        <w:top w:val="none" w:sz="0" w:space="0" w:color="auto"/>
        <w:left w:val="none" w:sz="0" w:space="0" w:color="auto"/>
        <w:bottom w:val="none" w:sz="0" w:space="0" w:color="auto"/>
        <w:right w:val="none" w:sz="0" w:space="0" w:color="auto"/>
      </w:divBdr>
    </w:div>
    <w:div w:id="146871050">
      <w:bodyDiv w:val="1"/>
      <w:marLeft w:val="0"/>
      <w:marRight w:val="0"/>
      <w:marTop w:val="0"/>
      <w:marBottom w:val="0"/>
      <w:divBdr>
        <w:top w:val="none" w:sz="0" w:space="0" w:color="auto"/>
        <w:left w:val="none" w:sz="0" w:space="0" w:color="auto"/>
        <w:bottom w:val="none" w:sz="0" w:space="0" w:color="auto"/>
        <w:right w:val="none" w:sz="0" w:space="0" w:color="auto"/>
      </w:divBdr>
    </w:div>
    <w:div w:id="176046282">
      <w:bodyDiv w:val="1"/>
      <w:marLeft w:val="0"/>
      <w:marRight w:val="0"/>
      <w:marTop w:val="0"/>
      <w:marBottom w:val="0"/>
      <w:divBdr>
        <w:top w:val="none" w:sz="0" w:space="0" w:color="auto"/>
        <w:left w:val="none" w:sz="0" w:space="0" w:color="auto"/>
        <w:bottom w:val="none" w:sz="0" w:space="0" w:color="auto"/>
        <w:right w:val="none" w:sz="0" w:space="0" w:color="auto"/>
      </w:divBdr>
    </w:div>
    <w:div w:id="185099448">
      <w:bodyDiv w:val="1"/>
      <w:marLeft w:val="0"/>
      <w:marRight w:val="0"/>
      <w:marTop w:val="0"/>
      <w:marBottom w:val="0"/>
      <w:divBdr>
        <w:top w:val="none" w:sz="0" w:space="0" w:color="auto"/>
        <w:left w:val="none" w:sz="0" w:space="0" w:color="auto"/>
        <w:bottom w:val="none" w:sz="0" w:space="0" w:color="auto"/>
        <w:right w:val="none" w:sz="0" w:space="0" w:color="auto"/>
      </w:divBdr>
    </w:div>
    <w:div w:id="296570169">
      <w:bodyDiv w:val="1"/>
      <w:marLeft w:val="0"/>
      <w:marRight w:val="0"/>
      <w:marTop w:val="0"/>
      <w:marBottom w:val="0"/>
      <w:divBdr>
        <w:top w:val="none" w:sz="0" w:space="0" w:color="auto"/>
        <w:left w:val="none" w:sz="0" w:space="0" w:color="auto"/>
        <w:bottom w:val="none" w:sz="0" w:space="0" w:color="auto"/>
        <w:right w:val="none" w:sz="0" w:space="0" w:color="auto"/>
      </w:divBdr>
    </w:div>
    <w:div w:id="303777390">
      <w:bodyDiv w:val="1"/>
      <w:marLeft w:val="0"/>
      <w:marRight w:val="0"/>
      <w:marTop w:val="0"/>
      <w:marBottom w:val="0"/>
      <w:divBdr>
        <w:top w:val="none" w:sz="0" w:space="0" w:color="auto"/>
        <w:left w:val="none" w:sz="0" w:space="0" w:color="auto"/>
        <w:bottom w:val="none" w:sz="0" w:space="0" w:color="auto"/>
        <w:right w:val="none" w:sz="0" w:space="0" w:color="auto"/>
      </w:divBdr>
    </w:div>
    <w:div w:id="481822822">
      <w:bodyDiv w:val="1"/>
      <w:marLeft w:val="0"/>
      <w:marRight w:val="0"/>
      <w:marTop w:val="0"/>
      <w:marBottom w:val="0"/>
      <w:divBdr>
        <w:top w:val="none" w:sz="0" w:space="0" w:color="auto"/>
        <w:left w:val="none" w:sz="0" w:space="0" w:color="auto"/>
        <w:bottom w:val="none" w:sz="0" w:space="0" w:color="auto"/>
        <w:right w:val="none" w:sz="0" w:space="0" w:color="auto"/>
      </w:divBdr>
    </w:div>
    <w:div w:id="528883032">
      <w:bodyDiv w:val="1"/>
      <w:marLeft w:val="0"/>
      <w:marRight w:val="0"/>
      <w:marTop w:val="0"/>
      <w:marBottom w:val="0"/>
      <w:divBdr>
        <w:top w:val="none" w:sz="0" w:space="0" w:color="auto"/>
        <w:left w:val="none" w:sz="0" w:space="0" w:color="auto"/>
        <w:bottom w:val="none" w:sz="0" w:space="0" w:color="auto"/>
        <w:right w:val="none" w:sz="0" w:space="0" w:color="auto"/>
      </w:divBdr>
    </w:div>
    <w:div w:id="705254458">
      <w:bodyDiv w:val="1"/>
      <w:marLeft w:val="0"/>
      <w:marRight w:val="0"/>
      <w:marTop w:val="0"/>
      <w:marBottom w:val="0"/>
      <w:divBdr>
        <w:top w:val="none" w:sz="0" w:space="0" w:color="auto"/>
        <w:left w:val="none" w:sz="0" w:space="0" w:color="auto"/>
        <w:bottom w:val="none" w:sz="0" w:space="0" w:color="auto"/>
        <w:right w:val="none" w:sz="0" w:space="0" w:color="auto"/>
      </w:divBdr>
    </w:div>
    <w:div w:id="793209169">
      <w:bodyDiv w:val="1"/>
      <w:marLeft w:val="0"/>
      <w:marRight w:val="0"/>
      <w:marTop w:val="0"/>
      <w:marBottom w:val="0"/>
      <w:divBdr>
        <w:top w:val="none" w:sz="0" w:space="0" w:color="auto"/>
        <w:left w:val="none" w:sz="0" w:space="0" w:color="auto"/>
        <w:bottom w:val="none" w:sz="0" w:space="0" w:color="auto"/>
        <w:right w:val="none" w:sz="0" w:space="0" w:color="auto"/>
      </w:divBdr>
    </w:div>
    <w:div w:id="794103240">
      <w:bodyDiv w:val="1"/>
      <w:marLeft w:val="0"/>
      <w:marRight w:val="0"/>
      <w:marTop w:val="0"/>
      <w:marBottom w:val="0"/>
      <w:divBdr>
        <w:top w:val="none" w:sz="0" w:space="0" w:color="auto"/>
        <w:left w:val="none" w:sz="0" w:space="0" w:color="auto"/>
        <w:bottom w:val="none" w:sz="0" w:space="0" w:color="auto"/>
        <w:right w:val="none" w:sz="0" w:space="0" w:color="auto"/>
      </w:divBdr>
    </w:div>
    <w:div w:id="1054547875">
      <w:bodyDiv w:val="1"/>
      <w:marLeft w:val="0"/>
      <w:marRight w:val="0"/>
      <w:marTop w:val="0"/>
      <w:marBottom w:val="0"/>
      <w:divBdr>
        <w:top w:val="none" w:sz="0" w:space="0" w:color="auto"/>
        <w:left w:val="none" w:sz="0" w:space="0" w:color="auto"/>
        <w:bottom w:val="none" w:sz="0" w:space="0" w:color="auto"/>
        <w:right w:val="none" w:sz="0" w:space="0" w:color="auto"/>
      </w:divBdr>
      <w:divsChild>
        <w:div w:id="295768039">
          <w:marLeft w:val="0"/>
          <w:marRight w:val="0"/>
          <w:marTop w:val="0"/>
          <w:marBottom w:val="0"/>
          <w:divBdr>
            <w:top w:val="none" w:sz="0" w:space="0" w:color="auto"/>
            <w:left w:val="none" w:sz="0" w:space="0" w:color="auto"/>
            <w:bottom w:val="none" w:sz="0" w:space="0" w:color="auto"/>
            <w:right w:val="none" w:sz="0" w:space="0" w:color="auto"/>
          </w:divBdr>
        </w:div>
        <w:div w:id="372191759">
          <w:marLeft w:val="0"/>
          <w:marRight w:val="0"/>
          <w:marTop w:val="0"/>
          <w:marBottom w:val="0"/>
          <w:divBdr>
            <w:top w:val="none" w:sz="0" w:space="0" w:color="auto"/>
            <w:left w:val="none" w:sz="0" w:space="0" w:color="auto"/>
            <w:bottom w:val="none" w:sz="0" w:space="0" w:color="auto"/>
            <w:right w:val="none" w:sz="0" w:space="0" w:color="auto"/>
          </w:divBdr>
        </w:div>
        <w:div w:id="1973167188">
          <w:marLeft w:val="0"/>
          <w:marRight w:val="0"/>
          <w:marTop w:val="0"/>
          <w:marBottom w:val="0"/>
          <w:divBdr>
            <w:top w:val="none" w:sz="0" w:space="0" w:color="auto"/>
            <w:left w:val="none" w:sz="0" w:space="0" w:color="auto"/>
            <w:bottom w:val="none" w:sz="0" w:space="0" w:color="auto"/>
            <w:right w:val="none" w:sz="0" w:space="0" w:color="auto"/>
          </w:divBdr>
        </w:div>
        <w:div w:id="2021083985">
          <w:marLeft w:val="0"/>
          <w:marRight w:val="0"/>
          <w:marTop w:val="0"/>
          <w:marBottom w:val="0"/>
          <w:divBdr>
            <w:top w:val="none" w:sz="0" w:space="0" w:color="auto"/>
            <w:left w:val="none" w:sz="0" w:space="0" w:color="auto"/>
            <w:bottom w:val="none" w:sz="0" w:space="0" w:color="auto"/>
            <w:right w:val="none" w:sz="0" w:space="0" w:color="auto"/>
          </w:divBdr>
        </w:div>
      </w:divsChild>
    </w:div>
    <w:div w:id="1066295940">
      <w:bodyDiv w:val="1"/>
      <w:marLeft w:val="0"/>
      <w:marRight w:val="0"/>
      <w:marTop w:val="0"/>
      <w:marBottom w:val="0"/>
      <w:divBdr>
        <w:top w:val="none" w:sz="0" w:space="0" w:color="auto"/>
        <w:left w:val="none" w:sz="0" w:space="0" w:color="auto"/>
        <w:bottom w:val="none" w:sz="0" w:space="0" w:color="auto"/>
        <w:right w:val="none" w:sz="0" w:space="0" w:color="auto"/>
      </w:divBdr>
    </w:div>
    <w:div w:id="1080367365">
      <w:bodyDiv w:val="1"/>
      <w:marLeft w:val="0"/>
      <w:marRight w:val="0"/>
      <w:marTop w:val="0"/>
      <w:marBottom w:val="0"/>
      <w:divBdr>
        <w:top w:val="none" w:sz="0" w:space="0" w:color="auto"/>
        <w:left w:val="none" w:sz="0" w:space="0" w:color="auto"/>
        <w:bottom w:val="none" w:sz="0" w:space="0" w:color="auto"/>
        <w:right w:val="none" w:sz="0" w:space="0" w:color="auto"/>
      </w:divBdr>
    </w:div>
    <w:div w:id="1093624135">
      <w:bodyDiv w:val="1"/>
      <w:marLeft w:val="0"/>
      <w:marRight w:val="0"/>
      <w:marTop w:val="0"/>
      <w:marBottom w:val="0"/>
      <w:divBdr>
        <w:top w:val="none" w:sz="0" w:space="0" w:color="auto"/>
        <w:left w:val="none" w:sz="0" w:space="0" w:color="auto"/>
        <w:bottom w:val="none" w:sz="0" w:space="0" w:color="auto"/>
        <w:right w:val="none" w:sz="0" w:space="0" w:color="auto"/>
      </w:divBdr>
    </w:div>
    <w:div w:id="1144395511">
      <w:bodyDiv w:val="1"/>
      <w:marLeft w:val="0"/>
      <w:marRight w:val="0"/>
      <w:marTop w:val="0"/>
      <w:marBottom w:val="0"/>
      <w:divBdr>
        <w:top w:val="none" w:sz="0" w:space="0" w:color="auto"/>
        <w:left w:val="none" w:sz="0" w:space="0" w:color="auto"/>
        <w:bottom w:val="none" w:sz="0" w:space="0" w:color="auto"/>
        <w:right w:val="none" w:sz="0" w:space="0" w:color="auto"/>
      </w:divBdr>
    </w:div>
    <w:div w:id="1192382915">
      <w:bodyDiv w:val="1"/>
      <w:marLeft w:val="0"/>
      <w:marRight w:val="0"/>
      <w:marTop w:val="0"/>
      <w:marBottom w:val="0"/>
      <w:divBdr>
        <w:top w:val="none" w:sz="0" w:space="0" w:color="auto"/>
        <w:left w:val="none" w:sz="0" w:space="0" w:color="auto"/>
        <w:bottom w:val="none" w:sz="0" w:space="0" w:color="auto"/>
        <w:right w:val="none" w:sz="0" w:space="0" w:color="auto"/>
      </w:divBdr>
      <w:divsChild>
        <w:div w:id="722799478">
          <w:marLeft w:val="0"/>
          <w:marRight w:val="0"/>
          <w:marTop w:val="0"/>
          <w:marBottom w:val="0"/>
          <w:divBdr>
            <w:top w:val="none" w:sz="0" w:space="0" w:color="auto"/>
            <w:left w:val="none" w:sz="0" w:space="0" w:color="auto"/>
            <w:bottom w:val="none" w:sz="0" w:space="0" w:color="auto"/>
            <w:right w:val="none" w:sz="0" w:space="0" w:color="auto"/>
          </w:divBdr>
        </w:div>
        <w:div w:id="836729469">
          <w:marLeft w:val="0"/>
          <w:marRight w:val="0"/>
          <w:marTop w:val="0"/>
          <w:marBottom w:val="0"/>
          <w:divBdr>
            <w:top w:val="none" w:sz="0" w:space="0" w:color="auto"/>
            <w:left w:val="none" w:sz="0" w:space="0" w:color="auto"/>
            <w:bottom w:val="none" w:sz="0" w:space="0" w:color="auto"/>
            <w:right w:val="none" w:sz="0" w:space="0" w:color="auto"/>
          </w:divBdr>
        </w:div>
        <w:div w:id="858349863">
          <w:marLeft w:val="0"/>
          <w:marRight w:val="0"/>
          <w:marTop w:val="0"/>
          <w:marBottom w:val="0"/>
          <w:divBdr>
            <w:top w:val="none" w:sz="0" w:space="0" w:color="auto"/>
            <w:left w:val="none" w:sz="0" w:space="0" w:color="auto"/>
            <w:bottom w:val="none" w:sz="0" w:space="0" w:color="auto"/>
            <w:right w:val="none" w:sz="0" w:space="0" w:color="auto"/>
          </w:divBdr>
        </w:div>
        <w:div w:id="1259410598">
          <w:marLeft w:val="0"/>
          <w:marRight w:val="0"/>
          <w:marTop w:val="0"/>
          <w:marBottom w:val="0"/>
          <w:divBdr>
            <w:top w:val="none" w:sz="0" w:space="0" w:color="auto"/>
            <w:left w:val="none" w:sz="0" w:space="0" w:color="auto"/>
            <w:bottom w:val="none" w:sz="0" w:space="0" w:color="auto"/>
            <w:right w:val="none" w:sz="0" w:space="0" w:color="auto"/>
          </w:divBdr>
        </w:div>
        <w:div w:id="1816024958">
          <w:marLeft w:val="0"/>
          <w:marRight w:val="0"/>
          <w:marTop w:val="0"/>
          <w:marBottom w:val="0"/>
          <w:divBdr>
            <w:top w:val="none" w:sz="0" w:space="0" w:color="auto"/>
            <w:left w:val="none" w:sz="0" w:space="0" w:color="auto"/>
            <w:bottom w:val="none" w:sz="0" w:space="0" w:color="auto"/>
            <w:right w:val="none" w:sz="0" w:space="0" w:color="auto"/>
          </w:divBdr>
        </w:div>
      </w:divsChild>
    </w:div>
    <w:div w:id="1234045006">
      <w:bodyDiv w:val="1"/>
      <w:marLeft w:val="0"/>
      <w:marRight w:val="0"/>
      <w:marTop w:val="0"/>
      <w:marBottom w:val="0"/>
      <w:divBdr>
        <w:top w:val="none" w:sz="0" w:space="0" w:color="auto"/>
        <w:left w:val="none" w:sz="0" w:space="0" w:color="auto"/>
        <w:bottom w:val="none" w:sz="0" w:space="0" w:color="auto"/>
        <w:right w:val="none" w:sz="0" w:space="0" w:color="auto"/>
      </w:divBdr>
      <w:divsChild>
        <w:div w:id="358900729">
          <w:marLeft w:val="0"/>
          <w:marRight w:val="0"/>
          <w:marTop w:val="0"/>
          <w:marBottom w:val="0"/>
          <w:divBdr>
            <w:top w:val="none" w:sz="0" w:space="0" w:color="auto"/>
            <w:left w:val="none" w:sz="0" w:space="0" w:color="auto"/>
            <w:bottom w:val="none" w:sz="0" w:space="0" w:color="auto"/>
            <w:right w:val="none" w:sz="0" w:space="0" w:color="auto"/>
          </w:divBdr>
          <w:divsChild>
            <w:div w:id="32921406">
              <w:marLeft w:val="0"/>
              <w:marRight w:val="0"/>
              <w:marTop w:val="0"/>
              <w:marBottom w:val="0"/>
              <w:divBdr>
                <w:top w:val="none" w:sz="0" w:space="0" w:color="auto"/>
                <w:left w:val="none" w:sz="0" w:space="0" w:color="auto"/>
                <w:bottom w:val="none" w:sz="0" w:space="0" w:color="auto"/>
                <w:right w:val="none" w:sz="0" w:space="0" w:color="auto"/>
              </w:divBdr>
            </w:div>
          </w:divsChild>
        </w:div>
        <w:div w:id="535847179">
          <w:marLeft w:val="0"/>
          <w:marRight w:val="0"/>
          <w:marTop w:val="0"/>
          <w:marBottom w:val="0"/>
          <w:divBdr>
            <w:top w:val="none" w:sz="0" w:space="0" w:color="auto"/>
            <w:left w:val="none" w:sz="0" w:space="0" w:color="auto"/>
            <w:bottom w:val="none" w:sz="0" w:space="0" w:color="auto"/>
            <w:right w:val="none" w:sz="0" w:space="0" w:color="auto"/>
          </w:divBdr>
          <w:divsChild>
            <w:div w:id="708074170">
              <w:marLeft w:val="0"/>
              <w:marRight w:val="0"/>
              <w:marTop w:val="0"/>
              <w:marBottom w:val="0"/>
              <w:divBdr>
                <w:top w:val="none" w:sz="0" w:space="0" w:color="auto"/>
                <w:left w:val="none" w:sz="0" w:space="0" w:color="auto"/>
                <w:bottom w:val="none" w:sz="0" w:space="0" w:color="auto"/>
                <w:right w:val="none" w:sz="0" w:space="0" w:color="auto"/>
              </w:divBdr>
            </w:div>
            <w:div w:id="968129939">
              <w:marLeft w:val="0"/>
              <w:marRight w:val="0"/>
              <w:marTop w:val="0"/>
              <w:marBottom w:val="0"/>
              <w:divBdr>
                <w:top w:val="none" w:sz="0" w:space="0" w:color="auto"/>
                <w:left w:val="none" w:sz="0" w:space="0" w:color="auto"/>
                <w:bottom w:val="none" w:sz="0" w:space="0" w:color="auto"/>
                <w:right w:val="none" w:sz="0" w:space="0" w:color="auto"/>
              </w:divBdr>
            </w:div>
          </w:divsChild>
        </w:div>
        <w:div w:id="875698552">
          <w:marLeft w:val="0"/>
          <w:marRight w:val="0"/>
          <w:marTop w:val="0"/>
          <w:marBottom w:val="0"/>
          <w:divBdr>
            <w:top w:val="none" w:sz="0" w:space="0" w:color="auto"/>
            <w:left w:val="none" w:sz="0" w:space="0" w:color="auto"/>
            <w:bottom w:val="none" w:sz="0" w:space="0" w:color="auto"/>
            <w:right w:val="none" w:sz="0" w:space="0" w:color="auto"/>
          </w:divBdr>
          <w:divsChild>
            <w:div w:id="317271515">
              <w:marLeft w:val="0"/>
              <w:marRight w:val="0"/>
              <w:marTop w:val="0"/>
              <w:marBottom w:val="0"/>
              <w:divBdr>
                <w:top w:val="none" w:sz="0" w:space="0" w:color="auto"/>
                <w:left w:val="none" w:sz="0" w:space="0" w:color="auto"/>
                <w:bottom w:val="none" w:sz="0" w:space="0" w:color="auto"/>
                <w:right w:val="none" w:sz="0" w:space="0" w:color="auto"/>
              </w:divBdr>
            </w:div>
            <w:div w:id="427701702">
              <w:marLeft w:val="0"/>
              <w:marRight w:val="0"/>
              <w:marTop w:val="0"/>
              <w:marBottom w:val="0"/>
              <w:divBdr>
                <w:top w:val="none" w:sz="0" w:space="0" w:color="auto"/>
                <w:left w:val="none" w:sz="0" w:space="0" w:color="auto"/>
                <w:bottom w:val="none" w:sz="0" w:space="0" w:color="auto"/>
                <w:right w:val="none" w:sz="0" w:space="0" w:color="auto"/>
              </w:divBdr>
            </w:div>
          </w:divsChild>
        </w:div>
        <w:div w:id="1077359208">
          <w:marLeft w:val="0"/>
          <w:marRight w:val="0"/>
          <w:marTop w:val="0"/>
          <w:marBottom w:val="0"/>
          <w:divBdr>
            <w:top w:val="none" w:sz="0" w:space="0" w:color="auto"/>
            <w:left w:val="none" w:sz="0" w:space="0" w:color="auto"/>
            <w:bottom w:val="none" w:sz="0" w:space="0" w:color="auto"/>
            <w:right w:val="none" w:sz="0" w:space="0" w:color="auto"/>
          </w:divBdr>
          <w:divsChild>
            <w:div w:id="184293012">
              <w:marLeft w:val="0"/>
              <w:marRight w:val="0"/>
              <w:marTop w:val="0"/>
              <w:marBottom w:val="0"/>
              <w:divBdr>
                <w:top w:val="none" w:sz="0" w:space="0" w:color="auto"/>
                <w:left w:val="none" w:sz="0" w:space="0" w:color="auto"/>
                <w:bottom w:val="none" w:sz="0" w:space="0" w:color="auto"/>
                <w:right w:val="none" w:sz="0" w:space="0" w:color="auto"/>
              </w:divBdr>
            </w:div>
            <w:div w:id="707028894">
              <w:marLeft w:val="0"/>
              <w:marRight w:val="0"/>
              <w:marTop w:val="0"/>
              <w:marBottom w:val="0"/>
              <w:divBdr>
                <w:top w:val="none" w:sz="0" w:space="0" w:color="auto"/>
                <w:left w:val="none" w:sz="0" w:space="0" w:color="auto"/>
                <w:bottom w:val="none" w:sz="0" w:space="0" w:color="auto"/>
                <w:right w:val="none" w:sz="0" w:space="0" w:color="auto"/>
              </w:divBdr>
            </w:div>
          </w:divsChild>
        </w:div>
        <w:div w:id="1105423919">
          <w:marLeft w:val="0"/>
          <w:marRight w:val="0"/>
          <w:marTop w:val="0"/>
          <w:marBottom w:val="0"/>
          <w:divBdr>
            <w:top w:val="none" w:sz="0" w:space="0" w:color="auto"/>
            <w:left w:val="none" w:sz="0" w:space="0" w:color="auto"/>
            <w:bottom w:val="none" w:sz="0" w:space="0" w:color="auto"/>
            <w:right w:val="none" w:sz="0" w:space="0" w:color="auto"/>
          </w:divBdr>
          <w:divsChild>
            <w:div w:id="1676688310">
              <w:marLeft w:val="0"/>
              <w:marRight w:val="0"/>
              <w:marTop w:val="0"/>
              <w:marBottom w:val="0"/>
              <w:divBdr>
                <w:top w:val="none" w:sz="0" w:space="0" w:color="auto"/>
                <w:left w:val="none" w:sz="0" w:space="0" w:color="auto"/>
                <w:bottom w:val="none" w:sz="0" w:space="0" w:color="auto"/>
                <w:right w:val="none" w:sz="0" w:space="0" w:color="auto"/>
              </w:divBdr>
            </w:div>
          </w:divsChild>
        </w:div>
        <w:div w:id="1488091876">
          <w:marLeft w:val="0"/>
          <w:marRight w:val="0"/>
          <w:marTop w:val="0"/>
          <w:marBottom w:val="0"/>
          <w:divBdr>
            <w:top w:val="none" w:sz="0" w:space="0" w:color="auto"/>
            <w:left w:val="none" w:sz="0" w:space="0" w:color="auto"/>
            <w:bottom w:val="none" w:sz="0" w:space="0" w:color="auto"/>
            <w:right w:val="none" w:sz="0" w:space="0" w:color="auto"/>
          </w:divBdr>
          <w:divsChild>
            <w:div w:id="19740610">
              <w:marLeft w:val="0"/>
              <w:marRight w:val="0"/>
              <w:marTop w:val="0"/>
              <w:marBottom w:val="0"/>
              <w:divBdr>
                <w:top w:val="none" w:sz="0" w:space="0" w:color="auto"/>
                <w:left w:val="none" w:sz="0" w:space="0" w:color="auto"/>
                <w:bottom w:val="none" w:sz="0" w:space="0" w:color="auto"/>
                <w:right w:val="none" w:sz="0" w:space="0" w:color="auto"/>
              </w:divBdr>
            </w:div>
            <w:div w:id="288585612">
              <w:marLeft w:val="0"/>
              <w:marRight w:val="0"/>
              <w:marTop w:val="0"/>
              <w:marBottom w:val="0"/>
              <w:divBdr>
                <w:top w:val="none" w:sz="0" w:space="0" w:color="auto"/>
                <w:left w:val="none" w:sz="0" w:space="0" w:color="auto"/>
                <w:bottom w:val="none" w:sz="0" w:space="0" w:color="auto"/>
                <w:right w:val="none" w:sz="0" w:space="0" w:color="auto"/>
              </w:divBdr>
            </w:div>
            <w:div w:id="595137271">
              <w:marLeft w:val="0"/>
              <w:marRight w:val="0"/>
              <w:marTop w:val="0"/>
              <w:marBottom w:val="0"/>
              <w:divBdr>
                <w:top w:val="none" w:sz="0" w:space="0" w:color="auto"/>
                <w:left w:val="none" w:sz="0" w:space="0" w:color="auto"/>
                <w:bottom w:val="none" w:sz="0" w:space="0" w:color="auto"/>
                <w:right w:val="none" w:sz="0" w:space="0" w:color="auto"/>
              </w:divBdr>
            </w:div>
            <w:div w:id="636305025">
              <w:marLeft w:val="0"/>
              <w:marRight w:val="0"/>
              <w:marTop w:val="0"/>
              <w:marBottom w:val="0"/>
              <w:divBdr>
                <w:top w:val="none" w:sz="0" w:space="0" w:color="auto"/>
                <w:left w:val="none" w:sz="0" w:space="0" w:color="auto"/>
                <w:bottom w:val="none" w:sz="0" w:space="0" w:color="auto"/>
                <w:right w:val="none" w:sz="0" w:space="0" w:color="auto"/>
              </w:divBdr>
            </w:div>
            <w:div w:id="759135577">
              <w:marLeft w:val="0"/>
              <w:marRight w:val="0"/>
              <w:marTop w:val="0"/>
              <w:marBottom w:val="0"/>
              <w:divBdr>
                <w:top w:val="none" w:sz="0" w:space="0" w:color="auto"/>
                <w:left w:val="none" w:sz="0" w:space="0" w:color="auto"/>
                <w:bottom w:val="none" w:sz="0" w:space="0" w:color="auto"/>
                <w:right w:val="none" w:sz="0" w:space="0" w:color="auto"/>
              </w:divBdr>
            </w:div>
            <w:div w:id="848641870">
              <w:marLeft w:val="0"/>
              <w:marRight w:val="0"/>
              <w:marTop w:val="0"/>
              <w:marBottom w:val="0"/>
              <w:divBdr>
                <w:top w:val="none" w:sz="0" w:space="0" w:color="auto"/>
                <w:left w:val="none" w:sz="0" w:space="0" w:color="auto"/>
                <w:bottom w:val="none" w:sz="0" w:space="0" w:color="auto"/>
                <w:right w:val="none" w:sz="0" w:space="0" w:color="auto"/>
              </w:divBdr>
            </w:div>
            <w:div w:id="1061445496">
              <w:marLeft w:val="0"/>
              <w:marRight w:val="0"/>
              <w:marTop w:val="0"/>
              <w:marBottom w:val="0"/>
              <w:divBdr>
                <w:top w:val="none" w:sz="0" w:space="0" w:color="auto"/>
                <w:left w:val="none" w:sz="0" w:space="0" w:color="auto"/>
                <w:bottom w:val="none" w:sz="0" w:space="0" w:color="auto"/>
                <w:right w:val="none" w:sz="0" w:space="0" w:color="auto"/>
              </w:divBdr>
            </w:div>
            <w:div w:id="1860964781">
              <w:marLeft w:val="0"/>
              <w:marRight w:val="0"/>
              <w:marTop w:val="0"/>
              <w:marBottom w:val="0"/>
              <w:divBdr>
                <w:top w:val="none" w:sz="0" w:space="0" w:color="auto"/>
                <w:left w:val="none" w:sz="0" w:space="0" w:color="auto"/>
                <w:bottom w:val="none" w:sz="0" w:space="0" w:color="auto"/>
                <w:right w:val="none" w:sz="0" w:space="0" w:color="auto"/>
              </w:divBdr>
            </w:div>
          </w:divsChild>
        </w:div>
        <w:div w:id="1501658464">
          <w:marLeft w:val="0"/>
          <w:marRight w:val="0"/>
          <w:marTop w:val="0"/>
          <w:marBottom w:val="0"/>
          <w:divBdr>
            <w:top w:val="none" w:sz="0" w:space="0" w:color="auto"/>
            <w:left w:val="none" w:sz="0" w:space="0" w:color="auto"/>
            <w:bottom w:val="none" w:sz="0" w:space="0" w:color="auto"/>
            <w:right w:val="none" w:sz="0" w:space="0" w:color="auto"/>
          </w:divBdr>
          <w:divsChild>
            <w:div w:id="7604717">
              <w:marLeft w:val="0"/>
              <w:marRight w:val="0"/>
              <w:marTop w:val="0"/>
              <w:marBottom w:val="0"/>
              <w:divBdr>
                <w:top w:val="none" w:sz="0" w:space="0" w:color="auto"/>
                <w:left w:val="none" w:sz="0" w:space="0" w:color="auto"/>
                <w:bottom w:val="none" w:sz="0" w:space="0" w:color="auto"/>
                <w:right w:val="none" w:sz="0" w:space="0" w:color="auto"/>
              </w:divBdr>
            </w:div>
          </w:divsChild>
        </w:div>
        <w:div w:id="1804425049">
          <w:marLeft w:val="0"/>
          <w:marRight w:val="0"/>
          <w:marTop w:val="0"/>
          <w:marBottom w:val="0"/>
          <w:divBdr>
            <w:top w:val="none" w:sz="0" w:space="0" w:color="auto"/>
            <w:left w:val="none" w:sz="0" w:space="0" w:color="auto"/>
            <w:bottom w:val="none" w:sz="0" w:space="0" w:color="auto"/>
            <w:right w:val="none" w:sz="0" w:space="0" w:color="auto"/>
          </w:divBdr>
          <w:divsChild>
            <w:div w:id="1230115703">
              <w:marLeft w:val="0"/>
              <w:marRight w:val="0"/>
              <w:marTop w:val="0"/>
              <w:marBottom w:val="0"/>
              <w:divBdr>
                <w:top w:val="none" w:sz="0" w:space="0" w:color="auto"/>
                <w:left w:val="none" w:sz="0" w:space="0" w:color="auto"/>
                <w:bottom w:val="none" w:sz="0" w:space="0" w:color="auto"/>
                <w:right w:val="none" w:sz="0" w:space="0" w:color="auto"/>
              </w:divBdr>
            </w:div>
            <w:div w:id="13047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45248">
      <w:bodyDiv w:val="1"/>
      <w:marLeft w:val="0"/>
      <w:marRight w:val="0"/>
      <w:marTop w:val="0"/>
      <w:marBottom w:val="0"/>
      <w:divBdr>
        <w:top w:val="none" w:sz="0" w:space="0" w:color="auto"/>
        <w:left w:val="none" w:sz="0" w:space="0" w:color="auto"/>
        <w:bottom w:val="none" w:sz="0" w:space="0" w:color="auto"/>
        <w:right w:val="none" w:sz="0" w:space="0" w:color="auto"/>
      </w:divBdr>
      <w:divsChild>
        <w:div w:id="14118810">
          <w:marLeft w:val="0"/>
          <w:marRight w:val="0"/>
          <w:marTop w:val="0"/>
          <w:marBottom w:val="0"/>
          <w:divBdr>
            <w:top w:val="none" w:sz="0" w:space="0" w:color="auto"/>
            <w:left w:val="none" w:sz="0" w:space="0" w:color="auto"/>
            <w:bottom w:val="none" w:sz="0" w:space="0" w:color="auto"/>
            <w:right w:val="none" w:sz="0" w:space="0" w:color="auto"/>
          </w:divBdr>
        </w:div>
        <w:div w:id="388571932">
          <w:marLeft w:val="0"/>
          <w:marRight w:val="0"/>
          <w:marTop w:val="0"/>
          <w:marBottom w:val="0"/>
          <w:divBdr>
            <w:top w:val="none" w:sz="0" w:space="0" w:color="auto"/>
            <w:left w:val="none" w:sz="0" w:space="0" w:color="auto"/>
            <w:bottom w:val="none" w:sz="0" w:space="0" w:color="auto"/>
            <w:right w:val="none" w:sz="0" w:space="0" w:color="auto"/>
          </w:divBdr>
        </w:div>
        <w:div w:id="1191410185">
          <w:marLeft w:val="0"/>
          <w:marRight w:val="0"/>
          <w:marTop w:val="0"/>
          <w:marBottom w:val="0"/>
          <w:divBdr>
            <w:top w:val="none" w:sz="0" w:space="0" w:color="auto"/>
            <w:left w:val="none" w:sz="0" w:space="0" w:color="auto"/>
            <w:bottom w:val="none" w:sz="0" w:space="0" w:color="auto"/>
            <w:right w:val="none" w:sz="0" w:space="0" w:color="auto"/>
          </w:divBdr>
        </w:div>
        <w:div w:id="1724523756">
          <w:marLeft w:val="0"/>
          <w:marRight w:val="0"/>
          <w:marTop w:val="0"/>
          <w:marBottom w:val="0"/>
          <w:divBdr>
            <w:top w:val="none" w:sz="0" w:space="0" w:color="auto"/>
            <w:left w:val="none" w:sz="0" w:space="0" w:color="auto"/>
            <w:bottom w:val="none" w:sz="0" w:space="0" w:color="auto"/>
            <w:right w:val="none" w:sz="0" w:space="0" w:color="auto"/>
          </w:divBdr>
        </w:div>
        <w:div w:id="2040009017">
          <w:marLeft w:val="0"/>
          <w:marRight w:val="0"/>
          <w:marTop w:val="0"/>
          <w:marBottom w:val="0"/>
          <w:divBdr>
            <w:top w:val="none" w:sz="0" w:space="0" w:color="auto"/>
            <w:left w:val="none" w:sz="0" w:space="0" w:color="auto"/>
            <w:bottom w:val="none" w:sz="0" w:space="0" w:color="auto"/>
            <w:right w:val="none" w:sz="0" w:space="0" w:color="auto"/>
          </w:divBdr>
        </w:div>
      </w:divsChild>
    </w:div>
    <w:div w:id="1288857162">
      <w:bodyDiv w:val="1"/>
      <w:marLeft w:val="0"/>
      <w:marRight w:val="0"/>
      <w:marTop w:val="0"/>
      <w:marBottom w:val="0"/>
      <w:divBdr>
        <w:top w:val="none" w:sz="0" w:space="0" w:color="auto"/>
        <w:left w:val="none" w:sz="0" w:space="0" w:color="auto"/>
        <w:bottom w:val="none" w:sz="0" w:space="0" w:color="auto"/>
        <w:right w:val="none" w:sz="0" w:space="0" w:color="auto"/>
      </w:divBdr>
      <w:divsChild>
        <w:div w:id="850146905">
          <w:marLeft w:val="0"/>
          <w:marRight w:val="0"/>
          <w:marTop w:val="0"/>
          <w:marBottom w:val="0"/>
          <w:divBdr>
            <w:top w:val="none" w:sz="0" w:space="0" w:color="auto"/>
            <w:left w:val="none" w:sz="0" w:space="0" w:color="auto"/>
            <w:bottom w:val="none" w:sz="0" w:space="0" w:color="auto"/>
            <w:right w:val="none" w:sz="0" w:space="0" w:color="auto"/>
          </w:divBdr>
        </w:div>
        <w:div w:id="1887718455">
          <w:marLeft w:val="0"/>
          <w:marRight w:val="0"/>
          <w:marTop w:val="0"/>
          <w:marBottom w:val="0"/>
          <w:divBdr>
            <w:top w:val="none" w:sz="0" w:space="0" w:color="auto"/>
            <w:left w:val="none" w:sz="0" w:space="0" w:color="auto"/>
            <w:bottom w:val="none" w:sz="0" w:space="0" w:color="auto"/>
            <w:right w:val="none" w:sz="0" w:space="0" w:color="auto"/>
          </w:divBdr>
        </w:div>
        <w:div w:id="2014991324">
          <w:marLeft w:val="0"/>
          <w:marRight w:val="0"/>
          <w:marTop w:val="0"/>
          <w:marBottom w:val="0"/>
          <w:divBdr>
            <w:top w:val="none" w:sz="0" w:space="0" w:color="auto"/>
            <w:left w:val="none" w:sz="0" w:space="0" w:color="auto"/>
            <w:bottom w:val="none" w:sz="0" w:space="0" w:color="auto"/>
            <w:right w:val="none" w:sz="0" w:space="0" w:color="auto"/>
          </w:divBdr>
        </w:div>
        <w:div w:id="2130077538">
          <w:marLeft w:val="0"/>
          <w:marRight w:val="0"/>
          <w:marTop w:val="0"/>
          <w:marBottom w:val="0"/>
          <w:divBdr>
            <w:top w:val="none" w:sz="0" w:space="0" w:color="auto"/>
            <w:left w:val="none" w:sz="0" w:space="0" w:color="auto"/>
            <w:bottom w:val="none" w:sz="0" w:space="0" w:color="auto"/>
            <w:right w:val="none" w:sz="0" w:space="0" w:color="auto"/>
          </w:divBdr>
        </w:div>
      </w:divsChild>
    </w:div>
    <w:div w:id="1434278617">
      <w:bodyDiv w:val="1"/>
      <w:marLeft w:val="0"/>
      <w:marRight w:val="0"/>
      <w:marTop w:val="0"/>
      <w:marBottom w:val="0"/>
      <w:divBdr>
        <w:top w:val="none" w:sz="0" w:space="0" w:color="auto"/>
        <w:left w:val="none" w:sz="0" w:space="0" w:color="auto"/>
        <w:bottom w:val="none" w:sz="0" w:space="0" w:color="auto"/>
        <w:right w:val="none" w:sz="0" w:space="0" w:color="auto"/>
      </w:divBdr>
    </w:div>
    <w:div w:id="1435520152">
      <w:bodyDiv w:val="1"/>
      <w:marLeft w:val="0"/>
      <w:marRight w:val="0"/>
      <w:marTop w:val="0"/>
      <w:marBottom w:val="0"/>
      <w:divBdr>
        <w:top w:val="none" w:sz="0" w:space="0" w:color="auto"/>
        <w:left w:val="none" w:sz="0" w:space="0" w:color="auto"/>
        <w:bottom w:val="none" w:sz="0" w:space="0" w:color="auto"/>
        <w:right w:val="none" w:sz="0" w:space="0" w:color="auto"/>
      </w:divBdr>
    </w:div>
    <w:div w:id="1501967266">
      <w:bodyDiv w:val="1"/>
      <w:marLeft w:val="0"/>
      <w:marRight w:val="0"/>
      <w:marTop w:val="0"/>
      <w:marBottom w:val="0"/>
      <w:divBdr>
        <w:top w:val="none" w:sz="0" w:space="0" w:color="auto"/>
        <w:left w:val="none" w:sz="0" w:space="0" w:color="auto"/>
        <w:bottom w:val="none" w:sz="0" w:space="0" w:color="auto"/>
        <w:right w:val="none" w:sz="0" w:space="0" w:color="auto"/>
      </w:divBdr>
    </w:div>
    <w:div w:id="1550650219">
      <w:bodyDiv w:val="1"/>
      <w:marLeft w:val="0"/>
      <w:marRight w:val="0"/>
      <w:marTop w:val="0"/>
      <w:marBottom w:val="0"/>
      <w:divBdr>
        <w:top w:val="none" w:sz="0" w:space="0" w:color="auto"/>
        <w:left w:val="none" w:sz="0" w:space="0" w:color="auto"/>
        <w:bottom w:val="none" w:sz="0" w:space="0" w:color="auto"/>
        <w:right w:val="none" w:sz="0" w:space="0" w:color="auto"/>
      </w:divBdr>
    </w:div>
    <w:div w:id="1582177844">
      <w:bodyDiv w:val="1"/>
      <w:marLeft w:val="0"/>
      <w:marRight w:val="0"/>
      <w:marTop w:val="0"/>
      <w:marBottom w:val="0"/>
      <w:divBdr>
        <w:top w:val="none" w:sz="0" w:space="0" w:color="auto"/>
        <w:left w:val="none" w:sz="0" w:space="0" w:color="auto"/>
        <w:bottom w:val="none" w:sz="0" w:space="0" w:color="auto"/>
        <w:right w:val="none" w:sz="0" w:space="0" w:color="auto"/>
      </w:divBdr>
    </w:div>
    <w:div w:id="1696885608">
      <w:bodyDiv w:val="1"/>
      <w:marLeft w:val="0"/>
      <w:marRight w:val="0"/>
      <w:marTop w:val="0"/>
      <w:marBottom w:val="0"/>
      <w:divBdr>
        <w:top w:val="none" w:sz="0" w:space="0" w:color="auto"/>
        <w:left w:val="none" w:sz="0" w:space="0" w:color="auto"/>
        <w:bottom w:val="none" w:sz="0" w:space="0" w:color="auto"/>
        <w:right w:val="none" w:sz="0" w:space="0" w:color="auto"/>
      </w:divBdr>
      <w:divsChild>
        <w:div w:id="137381639">
          <w:marLeft w:val="0"/>
          <w:marRight w:val="0"/>
          <w:marTop w:val="0"/>
          <w:marBottom w:val="0"/>
          <w:divBdr>
            <w:top w:val="none" w:sz="0" w:space="0" w:color="auto"/>
            <w:left w:val="none" w:sz="0" w:space="0" w:color="auto"/>
            <w:bottom w:val="none" w:sz="0" w:space="0" w:color="auto"/>
            <w:right w:val="none" w:sz="0" w:space="0" w:color="auto"/>
          </w:divBdr>
        </w:div>
        <w:div w:id="229310804">
          <w:marLeft w:val="0"/>
          <w:marRight w:val="0"/>
          <w:marTop w:val="0"/>
          <w:marBottom w:val="0"/>
          <w:divBdr>
            <w:top w:val="none" w:sz="0" w:space="0" w:color="auto"/>
            <w:left w:val="none" w:sz="0" w:space="0" w:color="auto"/>
            <w:bottom w:val="none" w:sz="0" w:space="0" w:color="auto"/>
            <w:right w:val="none" w:sz="0" w:space="0" w:color="auto"/>
          </w:divBdr>
        </w:div>
        <w:div w:id="846867132">
          <w:marLeft w:val="0"/>
          <w:marRight w:val="0"/>
          <w:marTop w:val="0"/>
          <w:marBottom w:val="0"/>
          <w:divBdr>
            <w:top w:val="none" w:sz="0" w:space="0" w:color="auto"/>
            <w:left w:val="none" w:sz="0" w:space="0" w:color="auto"/>
            <w:bottom w:val="none" w:sz="0" w:space="0" w:color="auto"/>
            <w:right w:val="none" w:sz="0" w:space="0" w:color="auto"/>
          </w:divBdr>
        </w:div>
        <w:div w:id="1505050516">
          <w:marLeft w:val="0"/>
          <w:marRight w:val="0"/>
          <w:marTop w:val="0"/>
          <w:marBottom w:val="0"/>
          <w:divBdr>
            <w:top w:val="none" w:sz="0" w:space="0" w:color="auto"/>
            <w:left w:val="none" w:sz="0" w:space="0" w:color="auto"/>
            <w:bottom w:val="none" w:sz="0" w:space="0" w:color="auto"/>
            <w:right w:val="none" w:sz="0" w:space="0" w:color="auto"/>
          </w:divBdr>
        </w:div>
        <w:div w:id="1886133866">
          <w:marLeft w:val="0"/>
          <w:marRight w:val="0"/>
          <w:marTop w:val="0"/>
          <w:marBottom w:val="0"/>
          <w:divBdr>
            <w:top w:val="none" w:sz="0" w:space="0" w:color="auto"/>
            <w:left w:val="none" w:sz="0" w:space="0" w:color="auto"/>
            <w:bottom w:val="none" w:sz="0" w:space="0" w:color="auto"/>
            <w:right w:val="none" w:sz="0" w:space="0" w:color="auto"/>
          </w:divBdr>
        </w:div>
      </w:divsChild>
    </w:div>
    <w:div w:id="1698580290">
      <w:bodyDiv w:val="1"/>
      <w:marLeft w:val="0"/>
      <w:marRight w:val="0"/>
      <w:marTop w:val="0"/>
      <w:marBottom w:val="0"/>
      <w:divBdr>
        <w:top w:val="none" w:sz="0" w:space="0" w:color="auto"/>
        <w:left w:val="none" w:sz="0" w:space="0" w:color="auto"/>
        <w:bottom w:val="none" w:sz="0" w:space="0" w:color="auto"/>
        <w:right w:val="none" w:sz="0" w:space="0" w:color="auto"/>
      </w:divBdr>
      <w:divsChild>
        <w:div w:id="1829905186">
          <w:marLeft w:val="0"/>
          <w:marRight w:val="0"/>
          <w:marTop w:val="0"/>
          <w:marBottom w:val="0"/>
          <w:divBdr>
            <w:top w:val="none" w:sz="0" w:space="0" w:color="auto"/>
            <w:left w:val="none" w:sz="0" w:space="0" w:color="auto"/>
            <w:bottom w:val="none" w:sz="0" w:space="0" w:color="auto"/>
            <w:right w:val="none" w:sz="0" w:space="0" w:color="auto"/>
          </w:divBdr>
        </w:div>
      </w:divsChild>
    </w:div>
    <w:div w:id="1905673742">
      <w:bodyDiv w:val="1"/>
      <w:marLeft w:val="0"/>
      <w:marRight w:val="0"/>
      <w:marTop w:val="0"/>
      <w:marBottom w:val="0"/>
      <w:divBdr>
        <w:top w:val="none" w:sz="0" w:space="0" w:color="auto"/>
        <w:left w:val="none" w:sz="0" w:space="0" w:color="auto"/>
        <w:bottom w:val="none" w:sz="0" w:space="0" w:color="auto"/>
        <w:right w:val="none" w:sz="0" w:space="0" w:color="auto"/>
      </w:divBdr>
    </w:div>
    <w:div w:id="1962031332">
      <w:bodyDiv w:val="1"/>
      <w:marLeft w:val="0"/>
      <w:marRight w:val="0"/>
      <w:marTop w:val="0"/>
      <w:marBottom w:val="0"/>
      <w:divBdr>
        <w:top w:val="none" w:sz="0" w:space="0" w:color="auto"/>
        <w:left w:val="none" w:sz="0" w:space="0" w:color="auto"/>
        <w:bottom w:val="none" w:sz="0" w:space="0" w:color="auto"/>
        <w:right w:val="none" w:sz="0" w:space="0" w:color="auto"/>
      </w:divBdr>
    </w:div>
    <w:div w:id="1985040876">
      <w:bodyDiv w:val="1"/>
      <w:marLeft w:val="0"/>
      <w:marRight w:val="0"/>
      <w:marTop w:val="0"/>
      <w:marBottom w:val="0"/>
      <w:divBdr>
        <w:top w:val="none" w:sz="0" w:space="0" w:color="auto"/>
        <w:left w:val="none" w:sz="0" w:space="0" w:color="auto"/>
        <w:bottom w:val="none" w:sz="0" w:space="0" w:color="auto"/>
        <w:right w:val="none" w:sz="0" w:space="0" w:color="auto"/>
      </w:divBdr>
      <w:divsChild>
        <w:div w:id="27880715">
          <w:marLeft w:val="0"/>
          <w:marRight w:val="0"/>
          <w:marTop w:val="0"/>
          <w:marBottom w:val="0"/>
          <w:divBdr>
            <w:top w:val="none" w:sz="0" w:space="0" w:color="auto"/>
            <w:left w:val="none" w:sz="0" w:space="0" w:color="auto"/>
            <w:bottom w:val="none" w:sz="0" w:space="0" w:color="auto"/>
            <w:right w:val="none" w:sz="0" w:space="0" w:color="auto"/>
          </w:divBdr>
        </w:div>
        <w:div w:id="824513467">
          <w:marLeft w:val="0"/>
          <w:marRight w:val="0"/>
          <w:marTop w:val="0"/>
          <w:marBottom w:val="0"/>
          <w:divBdr>
            <w:top w:val="none" w:sz="0" w:space="0" w:color="auto"/>
            <w:left w:val="none" w:sz="0" w:space="0" w:color="auto"/>
            <w:bottom w:val="none" w:sz="0" w:space="0" w:color="auto"/>
            <w:right w:val="none" w:sz="0" w:space="0" w:color="auto"/>
          </w:divBdr>
        </w:div>
        <w:div w:id="1108886556">
          <w:marLeft w:val="0"/>
          <w:marRight w:val="0"/>
          <w:marTop w:val="0"/>
          <w:marBottom w:val="0"/>
          <w:divBdr>
            <w:top w:val="none" w:sz="0" w:space="0" w:color="auto"/>
            <w:left w:val="none" w:sz="0" w:space="0" w:color="auto"/>
            <w:bottom w:val="none" w:sz="0" w:space="0" w:color="auto"/>
            <w:right w:val="none" w:sz="0" w:space="0" w:color="auto"/>
          </w:divBdr>
        </w:div>
        <w:div w:id="1938514895">
          <w:marLeft w:val="0"/>
          <w:marRight w:val="0"/>
          <w:marTop w:val="0"/>
          <w:marBottom w:val="0"/>
          <w:divBdr>
            <w:top w:val="none" w:sz="0" w:space="0" w:color="auto"/>
            <w:left w:val="none" w:sz="0" w:space="0" w:color="auto"/>
            <w:bottom w:val="none" w:sz="0" w:space="0" w:color="auto"/>
            <w:right w:val="none" w:sz="0" w:space="0" w:color="auto"/>
          </w:divBdr>
        </w:div>
      </w:divsChild>
    </w:div>
    <w:div w:id="2014143845">
      <w:bodyDiv w:val="1"/>
      <w:marLeft w:val="0"/>
      <w:marRight w:val="0"/>
      <w:marTop w:val="0"/>
      <w:marBottom w:val="0"/>
      <w:divBdr>
        <w:top w:val="none" w:sz="0" w:space="0" w:color="auto"/>
        <w:left w:val="none" w:sz="0" w:space="0" w:color="auto"/>
        <w:bottom w:val="none" w:sz="0" w:space="0" w:color="auto"/>
        <w:right w:val="none" w:sz="0" w:space="0" w:color="auto"/>
      </w:divBdr>
    </w:div>
    <w:div w:id="2030176208">
      <w:bodyDiv w:val="1"/>
      <w:marLeft w:val="0"/>
      <w:marRight w:val="0"/>
      <w:marTop w:val="0"/>
      <w:marBottom w:val="0"/>
      <w:divBdr>
        <w:top w:val="none" w:sz="0" w:space="0" w:color="auto"/>
        <w:left w:val="none" w:sz="0" w:space="0" w:color="auto"/>
        <w:bottom w:val="none" w:sz="0" w:space="0" w:color="auto"/>
        <w:right w:val="none" w:sz="0" w:space="0" w:color="auto"/>
      </w:divBdr>
    </w:div>
    <w:div w:id="21417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ture.nhs.uk/system/login?nextURL=%2Fconnect%2Eti%2FNHSTalkingTherapies%2Fview%3FobjectId%3D2144347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ngland.nhs.uk/long-read/the-provider-selection-regime-statutory-guidance/" TargetMode="External"/><Relationship Id="rId3" Type="http://schemas.openxmlformats.org/officeDocument/2006/relationships/hyperlink" Target="https://www.eput.nhs.uk/" TargetMode="External"/><Relationship Id="rId7" Type="http://schemas.openxmlformats.org/officeDocument/2006/relationships/hyperlink" Target="https://www.legislation.gov.uk/uksi/2023/1348/contents/made" TargetMode="External"/><Relationship Id="rId2" Type="http://schemas.openxmlformats.org/officeDocument/2006/relationships/hyperlink" Target="https://www.midandsouthessex.ics.nhs.uk/about/boards/integrated-care-board/" TargetMode="External"/><Relationship Id="rId1" Type="http://schemas.openxmlformats.org/officeDocument/2006/relationships/hyperlink" Target="https://www.mpft.nhs.uk/" TargetMode="External"/><Relationship Id="rId6" Type="http://schemas.openxmlformats.org/officeDocument/2006/relationships/hyperlink" Target="https://www.england.nhs.uk/commissioning/how-commissioning-is-changing/nhs-provider-selection-regime/independent-patient-choice-and-procurement-panel/" TargetMode="External"/><Relationship Id="rId11" Type="http://schemas.openxmlformats.org/officeDocument/2006/relationships/hyperlink" Target="https://www.vitahealthgroup.co.uk/" TargetMode="External"/><Relationship Id="rId5" Type="http://schemas.openxmlformats.org/officeDocument/2006/relationships/hyperlink" Target="https://www.england.nhs.uk/commissioning/how-commissioning-is-changing/nhs-provider-selection-regime/independent-patient-choice-and-procurement-panel/panel-members/" TargetMode="External"/><Relationship Id="rId10" Type="http://schemas.openxmlformats.org/officeDocument/2006/relationships/hyperlink" Target="https://www.hee.nhs.uk/our-work/mental-health/psychological-therapies-severe-mental-health-problems" TargetMode="External"/><Relationship Id="rId4" Type="http://schemas.openxmlformats.org/officeDocument/2006/relationships/hyperlink" Target="https://www.england.nhs.uk/commissioning/how-commissioning-is-changing/nhs-provider-selection-regime/independent-patient-choice-and-procurement-panel/" TargetMode="External"/><Relationship Id="rId9" Type="http://schemas.openxmlformats.org/officeDocument/2006/relationships/hyperlink" Target="https://www.england.nhs.uk/mental-health/adults/nhs-talking-therap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N xmlns="96410c0b-a514-402d-9462-ba76dadfba38" xsi:nil="true"/>
    <Category xmlns="96410c0b-a514-402d-9462-ba76dadfba38" xsi:nil="true"/>
    <lcf76f155ced4ddcb4097134ff3c332f xmlns="96410c0b-a514-402d-9462-ba76dadfba38">
      <Terms xmlns="http://schemas.microsoft.com/office/infopath/2007/PartnerControls"/>
    </lcf76f155ced4ddcb4097134ff3c332f>
    <Duplicateversions xmlns="96410c0b-a514-402d-9462-ba76dadfba38" xsi:nil="true"/>
    <TaxCatchAll xmlns="47bd0a4b-cdef-49e3-b4c2-dc603af9f461" xsi:nil="true"/>
    <MeetingDate xmlns="96410c0b-a514-402d-9462-ba76dadfba3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3B4B43881409A4B9BCB39EE28F08756" ma:contentTypeVersion="26" ma:contentTypeDescription="Create a new document." ma:contentTypeScope="" ma:versionID="d229e6860de2ab904072591e9ee4ada6">
  <xsd:schema xmlns:xsd="http://www.w3.org/2001/XMLSchema" xmlns:xs="http://www.w3.org/2001/XMLSchema" xmlns:p="http://schemas.microsoft.com/office/2006/metadata/properties" xmlns:ns2="96410c0b-a514-402d-9462-ba76dadfba38" xmlns:ns3="47bd0a4b-cdef-49e3-b4c2-dc603af9f461" targetNamespace="http://schemas.microsoft.com/office/2006/metadata/properties" ma:root="true" ma:fieldsID="1f2565265440fb63b62fb367ef367c7e" ns2:_="" ns3:_="">
    <xsd:import namespace="96410c0b-a514-402d-9462-ba76dadfba38"/>
    <xsd:import namespace="47bd0a4b-cdef-49e3-b4c2-dc603af9f461"/>
    <xsd:element name="properties">
      <xsd:complexType>
        <xsd:sequence>
          <xsd:element name="documentManagement">
            <xsd:complexType>
              <xsd:all>
                <xsd:element ref="ns2:Category" minOccurs="0"/>
                <xsd:element ref="ns2:MeetingDate" minOccurs="0"/>
                <xsd:element ref="ns2:DocumentN" minOccurs="0"/>
                <xsd:element ref="ns2:Duplicateversion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10c0b-a514-402d-9462-ba76dadfba38" elementFormDefault="qualified">
    <xsd:import namespace="http://schemas.microsoft.com/office/2006/documentManagement/types"/>
    <xsd:import namespace="http://schemas.microsoft.com/office/infopath/2007/PartnerControls"/>
    <xsd:element name="Category" ma:index="2" nillable="true" ma:displayName="Category " ma:format="Dropdown" ma:internalName="Category">
      <xsd:simpleType>
        <xsd:restriction base="dms:Choice">
          <xsd:enumeration value="Case Document"/>
          <xsd:enumeration value="Evidence Document"/>
          <xsd:enumeration value="E-correspondence"/>
          <xsd:enumeration value="Letter"/>
          <xsd:enumeration value="DO NOT USE"/>
        </xsd:restriction>
      </xsd:simpleType>
    </xsd:element>
    <xsd:element name="MeetingDate" ma:index="4" nillable="true" ma:displayName="Meeting Date " ma:format="DateOnly" ma:internalName="MeetingDate">
      <xsd:simpleType>
        <xsd:restriction base="dms:DateTime"/>
      </xsd:simpleType>
    </xsd:element>
    <xsd:element name="DocumentN" ma:index="5" nillable="true" ma:displayName="Document N" ma:format="Dropdown" ma:internalName="DocumentN">
      <xsd:simpleType>
        <xsd:restriction base="dms:Note">
          <xsd:maxLength value="255"/>
        </xsd:restriction>
      </xsd:simpleType>
    </xsd:element>
    <xsd:element name="Duplicateversions" ma:index="6" nillable="true" ma:displayName="Duplicate versions" ma:format="Dropdown" ma:internalName="Duplicateversion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bd0a4b-cdef-49e3-b4c2-dc603af9f46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3ef46ec-daea-48c6-8848-a1cfc81ca0b7}" ma:internalName="TaxCatchAll" ma:showField="CatchAllData" ma:web="47bd0a4b-cdef-49e3-b4c2-dc603af9f4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C106A-8FDF-4189-864E-CD98D0A0E7E6}">
  <ds:schemaRefs>
    <ds:schemaRef ds:uri="http://schemas.microsoft.com/sharepoint/v3/contenttype/forms"/>
  </ds:schemaRefs>
</ds:datastoreItem>
</file>

<file path=customXml/itemProps2.xml><?xml version="1.0" encoding="utf-8"?>
<ds:datastoreItem xmlns:ds="http://schemas.openxmlformats.org/officeDocument/2006/customXml" ds:itemID="{1B77D4D9-D4EE-4A2A-9370-55F6AE00D4B1}">
  <ds:schemaRefs>
    <ds:schemaRef ds:uri="http://schemas.microsoft.com/office/2006/metadata/properties"/>
    <ds:schemaRef ds:uri="http://schemas.microsoft.com/office/infopath/2007/PartnerControls"/>
    <ds:schemaRef ds:uri="96410c0b-a514-402d-9462-ba76dadfba38"/>
    <ds:schemaRef ds:uri="47bd0a4b-cdef-49e3-b4c2-dc603af9f461"/>
  </ds:schemaRefs>
</ds:datastoreItem>
</file>

<file path=customXml/itemProps3.xml><?xml version="1.0" encoding="utf-8"?>
<ds:datastoreItem xmlns:ds="http://schemas.openxmlformats.org/officeDocument/2006/customXml" ds:itemID="{ED6BB0BA-2C4D-4BAB-A3C4-A9F9FA9A03C3}">
  <ds:schemaRefs>
    <ds:schemaRef ds:uri="http://schemas.openxmlformats.org/officeDocument/2006/bibliography"/>
  </ds:schemaRefs>
</ds:datastoreItem>
</file>

<file path=customXml/itemProps4.xml><?xml version="1.0" encoding="utf-8"?>
<ds:datastoreItem xmlns:ds="http://schemas.openxmlformats.org/officeDocument/2006/customXml" ds:itemID="{02979124-A10E-4EDD-8FED-2D47726DC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10c0b-a514-402d-9462-ba76dadfba38"/>
    <ds:schemaRef ds:uri="47bd0a4b-cdef-49e3-b4c2-dc603af9f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61</Pages>
  <Words>26522</Words>
  <Characters>151182</Characters>
  <Application>Microsoft Office Word</Application>
  <DocSecurity>12</DocSecurity>
  <Lines>1259</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177350</CharactersWithSpaces>
  <SharedDoc>false</SharedDoc>
  <HLinks>
    <vt:vector size="192" baseType="variant">
      <vt:variant>
        <vt:i4>5505093</vt:i4>
      </vt:variant>
      <vt:variant>
        <vt:i4>237</vt:i4>
      </vt:variant>
      <vt:variant>
        <vt:i4>0</vt:i4>
      </vt:variant>
      <vt:variant>
        <vt:i4>5</vt:i4>
      </vt:variant>
      <vt:variant>
        <vt:lpwstr>https://future.nhs.uk/system/login?nextURL=%2Fconnect%2Eti%2FNHSTalkingTherapies%2Fview%3FobjectId%3D21443472</vt:lpwstr>
      </vt:variant>
      <vt:variant>
        <vt:lpwstr/>
      </vt:variant>
      <vt:variant>
        <vt:i4>1900603</vt:i4>
      </vt:variant>
      <vt:variant>
        <vt:i4>116</vt:i4>
      </vt:variant>
      <vt:variant>
        <vt:i4>0</vt:i4>
      </vt:variant>
      <vt:variant>
        <vt:i4>5</vt:i4>
      </vt:variant>
      <vt:variant>
        <vt:lpwstr/>
      </vt:variant>
      <vt:variant>
        <vt:lpwstr>_Toc208488960</vt:lpwstr>
      </vt:variant>
      <vt:variant>
        <vt:i4>1966139</vt:i4>
      </vt:variant>
      <vt:variant>
        <vt:i4>110</vt:i4>
      </vt:variant>
      <vt:variant>
        <vt:i4>0</vt:i4>
      </vt:variant>
      <vt:variant>
        <vt:i4>5</vt:i4>
      </vt:variant>
      <vt:variant>
        <vt:lpwstr/>
      </vt:variant>
      <vt:variant>
        <vt:lpwstr>_Toc208488959</vt:lpwstr>
      </vt:variant>
      <vt:variant>
        <vt:i4>1966139</vt:i4>
      </vt:variant>
      <vt:variant>
        <vt:i4>104</vt:i4>
      </vt:variant>
      <vt:variant>
        <vt:i4>0</vt:i4>
      </vt:variant>
      <vt:variant>
        <vt:i4>5</vt:i4>
      </vt:variant>
      <vt:variant>
        <vt:lpwstr/>
      </vt:variant>
      <vt:variant>
        <vt:lpwstr>_Toc208488958</vt:lpwstr>
      </vt:variant>
      <vt:variant>
        <vt:i4>1966139</vt:i4>
      </vt:variant>
      <vt:variant>
        <vt:i4>98</vt:i4>
      </vt:variant>
      <vt:variant>
        <vt:i4>0</vt:i4>
      </vt:variant>
      <vt:variant>
        <vt:i4>5</vt:i4>
      </vt:variant>
      <vt:variant>
        <vt:lpwstr/>
      </vt:variant>
      <vt:variant>
        <vt:lpwstr>_Toc208488957</vt:lpwstr>
      </vt:variant>
      <vt:variant>
        <vt:i4>1966139</vt:i4>
      </vt:variant>
      <vt:variant>
        <vt:i4>92</vt:i4>
      </vt:variant>
      <vt:variant>
        <vt:i4>0</vt:i4>
      </vt:variant>
      <vt:variant>
        <vt:i4>5</vt:i4>
      </vt:variant>
      <vt:variant>
        <vt:lpwstr/>
      </vt:variant>
      <vt:variant>
        <vt:lpwstr>_Toc208488956</vt:lpwstr>
      </vt:variant>
      <vt:variant>
        <vt:i4>1966139</vt:i4>
      </vt:variant>
      <vt:variant>
        <vt:i4>86</vt:i4>
      </vt:variant>
      <vt:variant>
        <vt:i4>0</vt:i4>
      </vt:variant>
      <vt:variant>
        <vt:i4>5</vt:i4>
      </vt:variant>
      <vt:variant>
        <vt:lpwstr/>
      </vt:variant>
      <vt:variant>
        <vt:lpwstr>_Toc208488955</vt:lpwstr>
      </vt:variant>
      <vt:variant>
        <vt:i4>1966139</vt:i4>
      </vt:variant>
      <vt:variant>
        <vt:i4>80</vt:i4>
      </vt:variant>
      <vt:variant>
        <vt:i4>0</vt:i4>
      </vt:variant>
      <vt:variant>
        <vt:i4>5</vt:i4>
      </vt:variant>
      <vt:variant>
        <vt:lpwstr/>
      </vt:variant>
      <vt:variant>
        <vt:lpwstr>_Toc208488954</vt:lpwstr>
      </vt:variant>
      <vt:variant>
        <vt:i4>1966139</vt:i4>
      </vt:variant>
      <vt:variant>
        <vt:i4>74</vt:i4>
      </vt:variant>
      <vt:variant>
        <vt:i4>0</vt:i4>
      </vt:variant>
      <vt:variant>
        <vt:i4>5</vt:i4>
      </vt:variant>
      <vt:variant>
        <vt:lpwstr/>
      </vt:variant>
      <vt:variant>
        <vt:lpwstr>_Toc208488953</vt:lpwstr>
      </vt:variant>
      <vt:variant>
        <vt:i4>1966139</vt:i4>
      </vt:variant>
      <vt:variant>
        <vt:i4>68</vt:i4>
      </vt:variant>
      <vt:variant>
        <vt:i4>0</vt:i4>
      </vt:variant>
      <vt:variant>
        <vt:i4>5</vt:i4>
      </vt:variant>
      <vt:variant>
        <vt:lpwstr/>
      </vt:variant>
      <vt:variant>
        <vt:lpwstr>_Toc208488952</vt:lpwstr>
      </vt:variant>
      <vt:variant>
        <vt:i4>1966139</vt:i4>
      </vt:variant>
      <vt:variant>
        <vt:i4>62</vt:i4>
      </vt:variant>
      <vt:variant>
        <vt:i4>0</vt:i4>
      </vt:variant>
      <vt:variant>
        <vt:i4>5</vt:i4>
      </vt:variant>
      <vt:variant>
        <vt:lpwstr/>
      </vt:variant>
      <vt:variant>
        <vt:lpwstr>_Toc208488951</vt:lpwstr>
      </vt:variant>
      <vt:variant>
        <vt:i4>1966139</vt:i4>
      </vt:variant>
      <vt:variant>
        <vt:i4>56</vt:i4>
      </vt:variant>
      <vt:variant>
        <vt:i4>0</vt:i4>
      </vt:variant>
      <vt:variant>
        <vt:i4>5</vt:i4>
      </vt:variant>
      <vt:variant>
        <vt:lpwstr/>
      </vt:variant>
      <vt:variant>
        <vt:lpwstr>_Toc208488950</vt:lpwstr>
      </vt:variant>
      <vt:variant>
        <vt:i4>2031675</vt:i4>
      </vt:variant>
      <vt:variant>
        <vt:i4>50</vt:i4>
      </vt:variant>
      <vt:variant>
        <vt:i4>0</vt:i4>
      </vt:variant>
      <vt:variant>
        <vt:i4>5</vt:i4>
      </vt:variant>
      <vt:variant>
        <vt:lpwstr/>
      </vt:variant>
      <vt:variant>
        <vt:lpwstr>_Toc208488949</vt:lpwstr>
      </vt:variant>
      <vt:variant>
        <vt:i4>2031675</vt:i4>
      </vt:variant>
      <vt:variant>
        <vt:i4>44</vt:i4>
      </vt:variant>
      <vt:variant>
        <vt:i4>0</vt:i4>
      </vt:variant>
      <vt:variant>
        <vt:i4>5</vt:i4>
      </vt:variant>
      <vt:variant>
        <vt:lpwstr/>
      </vt:variant>
      <vt:variant>
        <vt:lpwstr>_Toc208488948</vt:lpwstr>
      </vt:variant>
      <vt:variant>
        <vt:i4>2031675</vt:i4>
      </vt:variant>
      <vt:variant>
        <vt:i4>38</vt:i4>
      </vt:variant>
      <vt:variant>
        <vt:i4>0</vt:i4>
      </vt:variant>
      <vt:variant>
        <vt:i4>5</vt:i4>
      </vt:variant>
      <vt:variant>
        <vt:lpwstr/>
      </vt:variant>
      <vt:variant>
        <vt:lpwstr>_Toc208488947</vt:lpwstr>
      </vt:variant>
      <vt:variant>
        <vt:i4>2031675</vt:i4>
      </vt:variant>
      <vt:variant>
        <vt:i4>32</vt:i4>
      </vt:variant>
      <vt:variant>
        <vt:i4>0</vt:i4>
      </vt:variant>
      <vt:variant>
        <vt:i4>5</vt:i4>
      </vt:variant>
      <vt:variant>
        <vt:lpwstr/>
      </vt:variant>
      <vt:variant>
        <vt:lpwstr>_Toc208488946</vt:lpwstr>
      </vt:variant>
      <vt:variant>
        <vt:i4>2031675</vt:i4>
      </vt:variant>
      <vt:variant>
        <vt:i4>26</vt:i4>
      </vt:variant>
      <vt:variant>
        <vt:i4>0</vt:i4>
      </vt:variant>
      <vt:variant>
        <vt:i4>5</vt:i4>
      </vt:variant>
      <vt:variant>
        <vt:lpwstr/>
      </vt:variant>
      <vt:variant>
        <vt:lpwstr>_Toc208488945</vt:lpwstr>
      </vt:variant>
      <vt:variant>
        <vt:i4>2031675</vt:i4>
      </vt:variant>
      <vt:variant>
        <vt:i4>20</vt:i4>
      </vt:variant>
      <vt:variant>
        <vt:i4>0</vt:i4>
      </vt:variant>
      <vt:variant>
        <vt:i4>5</vt:i4>
      </vt:variant>
      <vt:variant>
        <vt:lpwstr/>
      </vt:variant>
      <vt:variant>
        <vt:lpwstr>_Toc208488944</vt:lpwstr>
      </vt:variant>
      <vt:variant>
        <vt:i4>2031675</vt:i4>
      </vt:variant>
      <vt:variant>
        <vt:i4>14</vt:i4>
      </vt:variant>
      <vt:variant>
        <vt:i4>0</vt:i4>
      </vt:variant>
      <vt:variant>
        <vt:i4>5</vt:i4>
      </vt:variant>
      <vt:variant>
        <vt:lpwstr/>
      </vt:variant>
      <vt:variant>
        <vt:lpwstr>_Toc208488943</vt:lpwstr>
      </vt:variant>
      <vt:variant>
        <vt:i4>2031675</vt:i4>
      </vt:variant>
      <vt:variant>
        <vt:i4>8</vt:i4>
      </vt:variant>
      <vt:variant>
        <vt:i4>0</vt:i4>
      </vt:variant>
      <vt:variant>
        <vt:i4>5</vt:i4>
      </vt:variant>
      <vt:variant>
        <vt:lpwstr/>
      </vt:variant>
      <vt:variant>
        <vt:lpwstr>_Toc208488942</vt:lpwstr>
      </vt:variant>
      <vt:variant>
        <vt:i4>2031675</vt:i4>
      </vt:variant>
      <vt:variant>
        <vt:i4>2</vt:i4>
      </vt:variant>
      <vt:variant>
        <vt:i4>0</vt:i4>
      </vt:variant>
      <vt:variant>
        <vt:i4>5</vt:i4>
      </vt:variant>
      <vt:variant>
        <vt:lpwstr/>
      </vt:variant>
      <vt:variant>
        <vt:lpwstr>_Toc208488941</vt:lpwstr>
      </vt:variant>
      <vt:variant>
        <vt:i4>3997793</vt:i4>
      </vt:variant>
      <vt:variant>
        <vt:i4>30</vt:i4>
      </vt:variant>
      <vt:variant>
        <vt:i4>0</vt:i4>
      </vt:variant>
      <vt:variant>
        <vt:i4>5</vt:i4>
      </vt:variant>
      <vt:variant>
        <vt:lpwstr>https://www.vitahealthgroup.co.uk/</vt:lpwstr>
      </vt:variant>
      <vt:variant>
        <vt:lpwstr/>
      </vt:variant>
      <vt:variant>
        <vt:i4>7602293</vt:i4>
      </vt:variant>
      <vt:variant>
        <vt:i4>27</vt:i4>
      </vt:variant>
      <vt:variant>
        <vt:i4>0</vt:i4>
      </vt:variant>
      <vt:variant>
        <vt:i4>5</vt:i4>
      </vt:variant>
      <vt:variant>
        <vt:lpwstr>https://www.hee.nhs.uk/our-work/mental-health/psychological-therapies-severe-mental-health-problems</vt:lpwstr>
      </vt:variant>
      <vt:variant>
        <vt:lpwstr/>
      </vt:variant>
      <vt:variant>
        <vt:i4>6946869</vt:i4>
      </vt:variant>
      <vt:variant>
        <vt:i4>24</vt:i4>
      </vt:variant>
      <vt:variant>
        <vt:i4>0</vt:i4>
      </vt:variant>
      <vt:variant>
        <vt:i4>5</vt:i4>
      </vt:variant>
      <vt:variant>
        <vt:lpwstr>https://www.england.nhs.uk/mental-health/adults/nhs-talking-therapies/</vt:lpwstr>
      </vt:variant>
      <vt:variant>
        <vt:lpwstr/>
      </vt:variant>
      <vt:variant>
        <vt:i4>2818172</vt:i4>
      </vt:variant>
      <vt:variant>
        <vt:i4>21</vt:i4>
      </vt:variant>
      <vt:variant>
        <vt:i4>0</vt:i4>
      </vt:variant>
      <vt:variant>
        <vt:i4>5</vt:i4>
      </vt:variant>
      <vt:variant>
        <vt:lpwstr>https://www.england.nhs.uk/long-read/the-provider-selection-regime-statutory-guidance/</vt:lpwstr>
      </vt:variant>
      <vt:variant>
        <vt:lpwstr/>
      </vt:variant>
      <vt:variant>
        <vt:i4>3670113</vt:i4>
      </vt:variant>
      <vt:variant>
        <vt:i4>18</vt:i4>
      </vt:variant>
      <vt:variant>
        <vt:i4>0</vt:i4>
      </vt:variant>
      <vt:variant>
        <vt:i4>5</vt:i4>
      </vt:variant>
      <vt:variant>
        <vt:lpwstr>https://www.legislation.gov.uk/uksi/2023/1348/contents/made</vt:lpwstr>
      </vt:variant>
      <vt:variant>
        <vt:lpwstr/>
      </vt:variant>
      <vt:variant>
        <vt:i4>7864419</vt:i4>
      </vt:variant>
      <vt:variant>
        <vt:i4>15</vt:i4>
      </vt:variant>
      <vt:variant>
        <vt:i4>0</vt:i4>
      </vt:variant>
      <vt:variant>
        <vt:i4>5</vt:i4>
      </vt:variant>
      <vt:variant>
        <vt:lpwstr>https://www.england.nhs.uk/commissioning/how-commissioning-is-changing/nhs-provider-selection-regime/independent-patient-choice-and-procurement-panel/</vt:lpwstr>
      </vt:variant>
      <vt:variant>
        <vt:lpwstr/>
      </vt:variant>
      <vt:variant>
        <vt:i4>720903</vt:i4>
      </vt:variant>
      <vt:variant>
        <vt:i4>12</vt:i4>
      </vt:variant>
      <vt:variant>
        <vt:i4>0</vt:i4>
      </vt:variant>
      <vt:variant>
        <vt:i4>5</vt:i4>
      </vt:variant>
      <vt:variant>
        <vt:lpwstr>https://www.england.nhs.uk/commissioning/how-commissioning-is-changing/nhs-provider-selection-regime/independent-patient-choice-and-procurement-panel/panel-members/</vt:lpwstr>
      </vt:variant>
      <vt:variant>
        <vt:lpwstr/>
      </vt:variant>
      <vt:variant>
        <vt:i4>7864419</vt:i4>
      </vt:variant>
      <vt:variant>
        <vt:i4>9</vt:i4>
      </vt:variant>
      <vt:variant>
        <vt:i4>0</vt:i4>
      </vt:variant>
      <vt:variant>
        <vt:i4>5</vt:i4>
      </vt:variant>
      <vt:variant>
        <vt:lpwstr>https://www.england.nhs.uk/commissioning/how-commissioning-is-changing/nhs-provider-selection-regime/independent-patient-choice-and-procurement-panel/</vt:lpwstr>
      </vt:variant>
      <vt:variant>
        <vt:lpwstr/>
      </vt:variant>
      <vt:variant>
        <vt:i4>720979</vt:i4>
      </vt:variant>
      <vt:variant>
        <vt:i4>6</vt:i4>
      </vt:variant>
      <vt:variant>
        <vt:i4>0</vt:i4>
      </vt:variant>
      <vt:variant>
        <vt:i4>5</vt:i4>
      </vt:variant>
      <vt:variant>
        <vt:lpwstr>https://www.eput.nhs.uk/</vt:lpwstr>
      </vt:variant>
      <vt:variant>
        <vt:lpwstr/>
      </vt:variant>
      <vt:variant>
        <vt:i4>6946923</vt:i4>
      </vt:variant>
      <vt:variant>
        <vt:i4>3</vt:i4>
      </vt:variant>
      <vt:variant>
        <vt:i4>0</vt:i4>
      </vt:variant>
      <vt:variant>
        <vt:i4>5</vt:i4>
      </vt:variant>
      <vt:variant>
        <vt:lpwstr>https://www.midandsouthessex.ics.nhs.uk/about/boards/integrated-care-board/</vt:lpwstr>
      </vt:variant>
      <vt:variant>
        <vt:lpwstr/>
      </vt:variant>
      <vt:variant>
        <vt:i4>720968</vt:i4>
      </vt:variant>
      <vt:variant>
        <vt:i4>0</vt:i4>
      </vt:variant>
      <vt:variant>
        <vt:i4>0</vt:i4>
      </vt:variant>
      <vt:variant>
        <vt:i4>5</vt:i4>
      </vt:variant>
      <vt:variant>
        <vt:lpwstr>https://www.mpft.nhs.uk/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Bianca (NHS SOUTH, CENTRAL AND WEST COMMISSIONING SUPPORT UNIT)</dc:creator>
  <cp:keywords/>
  <dc:description/>
  <cp:lastModifiedBy>WOOTTON, Rebecca (NHS ENGLAND)</cp:lastModifiedBy>
  <cp:revision>2</cp:revision>
  <cp:lastPrinted>2025-09-24T11:03:00Z</cp:lastPrinted>
  <dcterms:created xsi:type="dcterms:W3CDTF">2025-09-25T14:08:00Z</dcterms:created>
  <dcterms:modified xsi:type="dcterms:W3CDTF">2025-09-25T14:08:00Z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0x01010053B4B43881409A4B9BCB39EE28F08756</vt:lpwstr>
  </property>
  <property fmtid="{D5CDD505-2E9C-101B-9397-08002B2CF9AE}" pid="3" name="MediaServiceImageTags">
    <vt:lpwstr/>
  </property>
</Properties>
</file>