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3F9C" w14:textId="4FA48E90" w:rsidR="00073523" w:rsidRPr="00C2528A" w:rsidRDefault="00BA1284" w:rsidP="00C2528A">
      <w:pPr>
        <w:pStyle w:val="Title"/>
      </w:pPr>
      <w:r w:rsidRPr="00C2528A">
        <w:t>Independent Patient Choice and Procurement Panel</w:t>
      </w:r>
    </w:p>
    <w:p w14:paraId="099EC198" w14:textId="457D02C0" w:rsidR="00BA1284" w:rsidRPr="00E56C34" w:rsidRDefault="00BA1284" w:rsidP="00E56C34">
      <w:pPr>
        <w:pStyle w:val="Subtitle"/>
      </w:pPr>
      <w:r w:rsidRPr="00E56C34">
        <w:t xml:space="preserve">Review of a </w:t>
      </w:r>
      <w:r w:rsidR="008864AD" w:rsidRPr="00E56C34">
        <w:t>proposed contract award</w:t>
      </w:r>
    </w:p>
    <w:p w14:paraId="14D3A4FB" w14:textId="77777777" w:rsidR="00C2528A" w:rsidRDefault="00C2528A" w:rsidP="00812B38">
      <w:pPr>
        <w:pStyle w:val="Subtitle"/>
        <w:rPr>
          <w:highlight w:val="yellow"/>
        </w:rPr>
      </w:pPr>
    </w:p>
    <w:p w14:paraId="3D241E8A" w14:textId="106B115F" w:rsidR="008864AD" w:rsidRPr="00B53993" w:rsidRDefault="00BD1DC3" w:rsidP="00812B38">
      <w:pPr>
        <w:pStyle w:val="Subtitle"/>
      </w:pPr>
      <w:r>
        <w:t xml:space="preserve">Mandatory Dental Services </w:t>
      </w:r>
      <w:r w:rsidR="00B92D97">
        <w:t>in Oxfordshire</w:t>
      </w:r>
    </w:p>
    <w:p w14:paraId="6D39B052" w14:textId="77777777" w:rsidR="00DC6D78" w:rsidRDefault="00DC6D78"/>
    <w:p w14:paraId="477EAD69" w14:textId="77777777" w:rsidR="0025106C" w:rsidRDefault="0025106C" w:rsidP="00812B38">
      <w:pPr>
        <w:pStyle w:val="Subtitle"/>
        <w:rPr>
          <w:sz w:val="28"/>
          <w:szCs w:val="24"/>
        </w:rPr>
      </w:pPr>
    </w:p>
    <w:p w14:paraId="70E108B0" w14:textId="77777777" w:rsidR="0025106C" w:rsidRDefault="0025106C" w:rsidP="00812B38">
      <w:pPr>
        <w:pStyle w:val="Subtitle"/>
        <w:rPr>
          <w:sz w:val="28"/>
          <w:szCs w:val="24"/>
        </w:rPr>
      </w:pPr>
    </w:p>
    <w:p w14:paraId="083AECAA" w14:textId="77777777" w:rsidR="0025106C" w:rsidRDefault="0025106C" w:rsidP="00812B38">
      <w:pPr>
        <w:pStyle w:val="Subtitle"/>
        <w:rPr>
          <w:sz w:val="28"/>
          <w:szCs w:val="24"/>
        </w:rPr>
      </w:pPr>
    </w:p>
    <w:p w14:paraId="4FA54F58" w14:textId="0061B6FE" w:rsidR="00D6101B" w:rsidRPr="00812B38" w:rsidRDefault="00D6101B" w:rsidP="00812B38">
      <w:pPr>
        <w:pStyle w:val="Subtitle"/>
        <w:rPr>
          <w:sz w:val="28"/>
          <w:szCs w:val="24"/>
        </w:rPr>
      </w:pPr>
      <w:r w:rsidRPr="00812B38">
        <w:rPr>
          <w:sz w:val="28"/>
          <w:szCs w:val="24"/>
        </w:rPr>
        <w:t xml:space="preserve">Case Reference: </w:t>
      </w:r>
      <w:r w:rsidRPr="00FE4427">
        <w:rPr>
          <w:sz w:val="28"/>
          <w:szCs w:val="24"/>
        </w:rPr>
        <w:t>C</w:t>
      </w:r>
      <w:r w:rsidR="00FE4427" w:rsidRPr="00FE4427">
        <w:rPr>
          <w:sz w:val="28"/>
          <w:szCs w:val="24"/>
        </w:rPr>
        <w:t>R</w:t>
      </w:r>
      <w:r w:rsidR="00FE4427">
        <w:rPr>
          <w:sz w:val="28"/>
          <w:szCs w:val="24"/>
        </w:rPr>
        <w:t>0029-25</w:t>
      </w:r>
    </w:p>
    <w:p w14:paraId="2FD38E52" w14:textId="1AA73240" w:rsidR="00D6101B" w:rsidRPr="00812B38" w:rsidRDefault="00F86C45" w:rsidP="00812B38">
      <w:pPr>
        <w:pStyle w:val="Subtitle"/>
        <w:rPr>
          <w:sz w:val="28"/>
          <w:szCs w:val="24"/>
        </w:rPr>
      </w:pPr>
      <w:r w:rsidRPr="007D2A68">
        <w:rPr>
          <w:sz w:val="28"/>
          <w:szCs w:val="24"/>
        </w:rPr>
        <w:t>3</w:t>
      </w:r>
      <w:r w:rsidR="00D6101B" w:rsidRPr="007D2A68">
        <w:rPr>
          <w:sz w:val="28"/>
          <w:szCs w:val="24"/>
        </w:rPr>
        <w:t xml:space="preserve"> </w:t>
      </w:r>
      <w:r w:rsidR="00D230C8" w:rsidRPr="007D2A68">
        <w:rPr>
          <w:sz w:val="28"/>
          <w:szCs w:val="24"/>
        </w:rPr>
        <w:t>D</w:t>
      </w:r>
      <w:r w:rsidR="00D230C8" w:rsidRPr="00D230C8">
        <w:rPr>
          <w:sz w:val="28"/>
          <w:szCs w:val="24"/>
        </w:rPr>
        <w:t>ecember 2025</w:t>
      </w:r>
    </w:p>
    <w:p w14:paraId="6AF81D4D" w14:textId="4B890C22" w:rsidR="0005616B" w:rsidRDefault="0005616B">
      <w:pPr>
        <w:rPr>
          <w:b/>
          <w:bCs/>
          <w:color w:val="0070C0"/>
          <w:sz w:val="28"/>
          <w:szCs w:val="28"/>
        </w:rPr>
      </w:pPr>
      <w:r>
        <w:rPr>
          <w:b/>
          <w:bCs/>
          <w:color w:val="0070C0"/>
          <w:sz w:val="28"/>
          <w:szCs w:val="28"/>
        </w:rPr>
        <w:br w:type="page"/>
      </w:r>
    </w:p>
    <w:sdt>
      <w:sdtPr>
        <w:rPr>
          <w:rFonts w:cs="Arial"/>
          <w:b/>
          <w:bCs/>
          <w:sz w:val="28"/>
          <w:szCs w:val="28"/>
        </w:rPr>
        <w:id w:val="-119384216"/>
        <w:docPartObj>
          <w:docPartGallery w:val="Table of Contents"/>
          <w:docPartUnique/>
        </w:docPartObj>
      </w:sdtPr>
      <w:sdtEndPr>
        <w:rPr>
          <w:rFonts w:cstheme="minorBidi"/>
          <w:sz w:val="22"/>
          <w:szCs w:val="22"/>
        </w:rPr>
      </w:sdtEndPr>
      <w:sdtContent>
        <w:p w14:paraId="5566C04A" w14:textId="4E1AFD3B" w:rsidR="00B42AE6" w:rsidRPr="00971C84" w:rsidRDefault="00B42AE6" w:rsidP="00971C84">
          <w:pPr>
            <w:rPr>
              <w:rFonts w:cs="Arial"/>
              <w:b/>
              <w:bCs/>
              <w:sz w:val="28"/>
              <w:szCs w:val="28"/>
            </w:rPr>
          </w:pPr>
          <w:r w:rsidRPr="00971C84">
            <w:rPr>
              <w:rFonts w:cs="Arial"/>
              <w:b/>
              <w:bCs/>
              <w:sz w:val="28"/>
              <w:szCs w:val="28"/>
            </w:rPr>
            <w:t>Contents</w:t>
          </w:r>
        </w:p>
        <w:p w14:paraId="6E4C5D30" w14:textId="0A4BFECB" w:rsidR="000B791E" w:rsidRDefault="00B42AE6">
          <w:pPr>
            <w:pStyle w:val="TOC1"/>
            <w:tabs>
              <w:tab w:val="right" w:leader="dot" w:pos="9016"/>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215595199" w:history="1">
            <w:r w:rsidR="000B791E" w:rsidRPr="00B947ED">
              <w:rPr>
                <w:rStyle w:val="Hyperlink"/>
                <w:noProof/>
              </w:rPr>
              <w:t>1. Executive Summary</w:t>
            </w:r>
            <w:r w:rsidR="000B791E">
              <w:rPr>
                <w:noProof/>
                <w:webHidden/>
              </w:rPr>
              <w:tab/>
            </w:r>
            <w:r w:rsidR="000B791E">
              <w:rPr>
                <w:noProof/>
                <w:webHidden/>
              </w:rPr>
              <w:fldChar w:fldCharType="begin"/>
            </w:r>
            <w:r w:rsidR="000B791E">
              <w:rPr>
                <w:noProof/>
                <w:webHidden/>
              </w:rPr>
              <w:instrText xml:space="preserve"> PAGEREF _Toc215595199 \h </w:instrText>
            </w:r>
            <w:r w:rsidR="000B791E">
              <w:rPr>
                <w:noProof/>
                <w:webHidden/>
              </w:rPr>
            </w:r>
            <w:r w:rsidR="000B791E">
              <w:rPr>
                <w:noProof/>
                <w:webHidden/>
              </w:rPr>
              <w:fldChar w:fldCharType="separate"/>
            </w:r>
            <w:r w:rsidR="002C12CF">
              <w:rPr>
                <w:noProof/>
                <w:webHidden/>
              </w:rPr>
              <w:t>3</w:t>
            </w:r>
            <w:r w:rsidR="000B791E">
              <w:rPr>
                <w:noProof/>
                <w:webHidden/>
              </w:rPr>
              <w:fldChar w:fldCharType="end"/>
            </w:r>
          </w:hyperlink>
        </w:p>
        <w:p w14:paraId="029FF89F" w14:textId="743FB568" w:rsidR="000B791E" w:rsidRDefault="000B791E">
          <w:pPr>
            <w:pStyle w:val="TOC1"/>
            <w:tabs>
              <w:tab w:val="right" w:leader="dot" w:pos="9016"/>
            </w:tabs>
            <w:rPr>
              <w:rFonts w:asciiTheme="minorHAnsi" w:eastAsiaTheme="minorEastAsia" w:hAnsiTheme="minorHAnsi"/>
              <w:noProof/>
              <w:sz w:val="24"/>
              <w:szCs w:val="24"/>
              <w:lang w:eastAsia="en-GB"/>
            </w:rPr>
          </w:pPr>
          <w:hyperlink w:anchor="_Toc215595200" w:history="1">
            <w:r w:rsidRPr="00B947ED">
              <w:rPr>
                <w:rStyle w:val="Hyperlink"/>
                <w:noProof/>
              </w:rPr>
              <w:t>2. Introduction</w:t>
            </w:r>
            <w:r>
              <w:rPr>
                <w:noProof/>
                <w:webHidden/>
              </w:rPr>
              <w:tab/>
            </w:r>
            <w:r>
              <w:rPr>
                <w:noProof/>
                <w:webHidden/>
              </w:rPr>
              <w:fldChar w:fldCharType="begin"/>
            </w:r>
            <w:r>
              <w:rPr>
                <w:noProof/>
                <w:webHidden/>
              </w:rPr>
              <w:instrText xml:space="preserve"> PAGEREF _Toc215595200 \h </w:instrText>
            </w:r>
            <w:r>
              <w:rPr>
                <w:noProof/>
                <w:webHidden/>
              </w:rPr>
            </w:r>
            <w:r>
              <w:rPr>
                <w:noProof/>
                <w:webHidden/>
              </w:rPr>
              <w:fldChar w:fldCharType="separate"/>
            </w:r>
            <w:r w:rsidR="002C12CF">
              <w:rPr>
                <w:noProof/>
                <w:webHidden/>
              </w:rPr>
              <w:t>5</w:t>
            </w:r>
            <w:r>
              <w:rPr>
                <w:noProof/>
                <w:webHidden/>
              </w:rPr>
              <w:fldChar w:fldCharType="end"/>
            </w:r>
          </w:hyperlink>
        </w:p>
        <w:p w14:paraId="4E119ABE" w14:textId="0CE5ACE3" w:rsidR="000B791E" w:rsidRDefault="000B791E">
          <w:pPr>
            <w:pStyle w:val="TOC1"/>
            <w:tabs>
              <w:tab w:val="right" w:leader="dot" w:pos="9016"/>
            </w:tabs>
            <w:rPr>
              <w:rFonts w:asciiTheme="minorHAnsi" w:eastAsiaTheme="minorEastAsia" w:hAnsiTheme="minorHAnsi"/>
              <w:noProof/>
              <w:sz w:val="24"/>
              <w:szCs w:val="24"/>
              <w:lang w:eastAsia="en-GB"/>
            </w:rPr>
          </w:pPr>
          <w:hyperlink w:anchor="_Toc215595201" w:history="1">
            <w:r w:rsidRPr="00B947ED">
              <w:rPr>
                <w:rStyle w:val="Hyperlink"/>
                <w:noProof/>
              </w:rPr>
              <w:t>3. Role of the Panel</w:t>
            </w:r>
            <w:r>
              <w:rPr>
                <w:noProof/>
                <w:webHidden/>
              </w:rPr>
              <w:tab/>
            </w:r>
            <w:r>
              <w:rPr>
                <w:noProof/>
                <w:webHidden/>
              </w:rPr>
              <w:fldChar w:fldCharType="begin"/>
            </w:r>
            <w:r>
              <w:rPr>
                <w:noProof/>
                <w:webHidden/>
              </w:rPr>
              <w:instrText xml:space="preserve"> PAGEREF _Toc215595201 \h </w:instrText>
            </w:r>
            <w:r>
              <w:rPr>
                <w:noProof/>
                <w:webHidden/>
              </w:rPr>
            </w:r>
            <w:r>
              <w:rPr>
                <w:noProof/>
                <w:webHidden/>
              </w:rPr>
              <w:fldChar w:fldCharType="separate"/>
            </w:r>
            <w:r w:rsidR="002C12CF">
              <w:rPr>
                <w:noProof/>
                <w:webHidden/>
              </w:rPr>
              <w:t>6</w:t>
            </w:r>
            <w:r>
              <w:rPr>
                <w:noProof/>
                <w:webHidden/>
              </w:rPr>
              <w:fldChar w:fldCharType="end"/>
            </w:r>
          </w:hyperlink>
        </w:p>
        <w:p w14:paraId="146A4099" w14:textId="6D0E2875" w:rsidR="000B791E" w:rsidRDefault="000B791E">
          <w:pPr>
            <w:pStyle w:val="TOC1"/>
            <w:tabs>
              <w:tab w:val="right" w:leader="dot" w:pos="9016"/>
            </w:tabs>
            <w:rPr>
              <w:rFonts w:asciiTheme="minorHAnsi" w:eastAsiaTheme="minorEastAsia" w:hAnsiTheme="minorHAnsi"/>
              <w:noProof/>
              <w:sz w:val="24"/>
              <w:szCs w:val="24"/>
              <w:lang w:eastAsia="en-GB"/>
            </w:rPr>
          </w:pPr>
          <w:hyperlink w:anchor="_Toc215595202" w:history="1">
            <w:r w:rsidRPr="00B947ED">
              <w:rPr>
                <w:rStyle w:val="Hyperlink"/>
                <w:noProof/>
              </w:rPr>
              <w:t>4. Background to this review</w:t>
            </w:r>
            <w:r>
              <w:rPr>
                <w:noProof/>
                <w:webHidden/>
              </w:rPr>
              <w:tab/>
            </w:r>
            <w:r>
              <w:rPr>
                <w:noProof/>
                <w:webHidden/>
              </w:rPr>
              <w:fldChar w:fldCharType="begin"/>
            </w:r>
            <w:r>
              <w:rPr>
                <w:noProof/>
                <w:webHidden/>
              </w:rPr>
              <w:instrText xml:space="preserve"> PAGEREF _Toc215595202 \h </w:instrText>
            </w:r>
            <w:r>
              <w:rPr>
                <w:noProof/>
                <w:webHidden/>
              </w:rPr>
            </w:r>
            <w:r>
              <w:rPr>
                <w:noProof/>
                <w:webHidden/>
              </w:rPr>
              <w:fldChar w:fldCharType="separate"/>
            </w:r>
            <w:r w:rsidR="002C12CF">
              <w:rPr>
                <w:noProof/>
                <w:webHidden/>
              </w:rPr>
              <w:t>6</w:t>
            </w:r>
            <w:r>
              <w:rPr>
                <w:noProof/>
                <w:webHidden/>
              </w:rPr>
              <w:fldChar w:fldCharType="end"/>
            </w:r>
          </w:hyperlink>
        </w:p>
        <w:p w14:paraId="4B3CE255" w14:textId="641B5AB7" w:rsidR="000B791E" w:rsidRDefault="000B791E">
          <w:pPr>
            <w:pStyle w:val="TOC1"/>
            <w:tabs>
              <w:tab w:val="right" w:leader="dot" w:pos="9016"/>
            </w:tabs>
            <w:rPr>
              <w:rFonts w:asciiTheme="minorHAnsi" w:eastAsiaTheme="minorEastAsia" w:hAnsiTheme="minorHAnsi"/>
              <w:noProof/>
              <w:sz w:val="24"/>
              <w:szCs w:val="24"/>
              <w:lang w:eastAsia="en-GB"/>
            </w:rPr>
          </w:pPr>
          <w:hyperlink w:anchor="_Toc215595203" w:history="1">
            <w:r w:rsidRPr="00B947ED">
              <w:rPr>
                <w:rStyle w:val="Hyperlink"/>
                <w:noProof/>
              </w:rPr>
              <w:t>5. Representations by Bloxdent</w:t>
            </w:r>
            <w:r>
              <w:rPr>
                <w:noProof/>
                <w:webHidden/>
              </w:rPr>
              <w:tab/>
            </w:r>
            <w:r>
              <w:rPr>
                <w:noProof/>
                <w:webHidden/>
              </w:rPr>
              <w:fldChar w:fldCharType="begin"/>
            </w:r>
            <w:r>
              <w:rPr>
                <w:noProof/>
                <w:webHidden/>
              </w:rPr>
              <w:instrText xml:space="preserve"> PAGEREF _Toc215595203 \h </w:instrText>
            </w:r>
            <w:r>
              <w:rPr>
                <w:noProof/>
                <w:webHidden/>
              </w:rPr>
            </w:r>
            <w:r>
              <w:rPr>
                <w:noProof/>
                <w:webHidden/>
              </w:rPr>
              <w:fldChar w:fldCharType="separate"/>
            </w:r>
            <w:r w:rsidR="002C12CF">
              <w:rPr>
                <w:noProof/>
                <w:webHidden/>
              </w:rPr>
              <w:t>8</w:t>
            </w:r>
            <w:r>
              <w:rPr>
                <w:noProof/>
                <w:webHidden/>
              </w:rPr>
              <w:fldChar w:fldCharType="end"/>
            </w:r>
          </w:hyperlink>
        </w:p>
        <w:p w14:paraId="79C3ABEB" w14:textId="675A2D4F" w:rsidR="000B791E" w:rsidRDefault="000B791E">
          <w:pPr>
            <w:pStyle w:val="TOC1"/>
            <w:tabs>
              <w:tab w:val="right" w:leader="dot" w:pos="9016"/>
            </w:tabs>
            <w:rPr>
              <w:rFonts w:asciiTheme="minorHAnsi" w:eastAsiaTheme="minorEastAsia" w:hAnsiTheme="minorHAnsi"/>
              <w:noProof/>
              <w:sz w:val="24"/>
              <w:szCs w:val="24"/>
              <w:lang w:eastAsia="en-GB"/>
            </w:rPr>
          </w:pPr>
          <w:hyperlink w:anchor="_Toc215595204" w:history="1">
            <w:r w:rsidRPr="00B947ED">
              <w:rPr>
                <w:rStyle w:val="Hyperlink"/>
                <w:noProof/>
              </w:rPr>
              <w:t>6. PSR regulations relevant to this review</w:t>
            </w:r>
            <w:r>
              <w:rPr>
                <w:noProof/>
                <w:webHidden/>
              </w:rPr>
              <w:tab/>
            </w:r>
            <w:r>
              <w:rPr>
                <w:noProof/>
                <w:webHidden/>
              </w:rPr>
              <w:fldChar w:fldCharType="begin"/>
            </w:r>
            <w:r>
              <w:rPr>
                <w:noProof/>
                <w:webHidden/>
              </w:rPr>
              <w:instrText xml:space="preserve"> PAGEREF _Toc215595204 \h </w:instrText>
            </w:r>
            <w:r>
              <w:rPr>
                <w:noProof/>
                <w:webHidden/>
              </w:rPr>
            </w:r>
            <w:r>
              <w:rPr>
                <w:noProof/>
                <w:webHidden/>
              </w:rPr>
              <w:fldChar w:fldCharType="separate"/>
            </w:r>
            <w:r w:rsidR="002C12CF">
              <w:rPr>
                <w:noProof/>
                <w:webHidden/>
              </w:rPr>
              <w:t>8</w:t>
            </w:r>
            <w:r>
              <w:rPr>
                <w:noProof/>
                <w:webHidden/>
              </w:rPr>
              <w:fldChar w:fldCharType="end"/>
            </w:r>
          </w:hyperlink>
        </w:p>
        <w:p w14:paraId="62A75CCA" w14:textId="6AF79104" w:rsidR="000B791E" w:rsidRDefault="000B791E">
          <w:pPr>
            <w:pStyle w:val="TOC1"/>
            <w:tabs>
              <w:tab w:val="right" w:leader="dot" w:pos="9016"/>
            </w:tabs>
            <w:rPr>
              <w:rFonts w:asciiTheme="minorHAnsi" w:eastAsiaTheme="minorEastAsia" w:hAnsiTheme="minorHAnsi"/>
              <w:noProof/>
              <w:sz w:val="24"/>
              <w:szCs w:val="24"/>
              <w:lang w:eastAsia="en-GB"/>
            </w:rPr>
          </w:pPr>
          <w:hyperlink w:anchor="_Toc215595205" w:history="1">
            <w:r w:rsidRPr="00B947ED">
              <w:rPr>
                <w:rStyle w:val="Hyperlink"/>
                <w:noProof/>
              </w:rPr>
              <w:t>7. Panel Assessment</w:t>
            </w:r>
            <w:r>
              <w:rPr>
                <w:noProof/>
                <w:webHidden/>
              </w:rPr>
              <w:tab/>
            </w:r>
            <w:r>
              <w:rPr>
                <w:noProof/>
                <w:webHidden/>
              </w:rPr>
              <w:fldChar w:fldCharType="begin"/>
            </w:r>
            <w:r>
              <w:rPr>
                <w:noProof/>
                <w:webHidden/>
              </w:rPr>
              <w:instrText xml:space="preserve"> PAGEREF _Toc215595205 \h </w:instrText>
            </w:r>
            <w:r>
              <w:rPr>
                <w:noProof/>
                <w:webHidden/>
              </w:rPr>
            </w:r>
            <w:r>
              <w:rPr>
                <w:noProof/>
                <w:webHidden/>
              </w:rPr>
              <w:fldChar w:fldCharType="separate"/>
            </w:r>
            <w:r w:rsidR="002C12CF">
              <w:rPr>
                <w:noProof/>
                <w:webHidden/>
              </w:rPr>
              <w:t>9</w:t>
            </w:r>
            <w:r>
              <w:rPr>
                <w:noProof/>
                <w:webHidden/>
              </w:rPr>
              <w:fldChar w:fldCharType="end"/>
            </w:r>
          </w:hyperlink>
        </w:p>
        <w:p w14:paraId="499FAC7D" w14:textId="62A82A77" w:rsidR="000B791E" w:rsidRDefault="000B791E">
          <w:pPr>
            <w:pStyle w:val="TOC2"/>
            <w:tabs>
              <w:tab w:val="left" w:pos="960"/>
              <w:tab w:val="right" w:leader="dot" w:pos="9016"/>
            </w:tabs>
            <w:rPr>
              <w:rFonts w:asciiTheme="minorHAnsi" w:eastAsiaTheme="minorEastAsia" w:hAnsiTheme="minorHAnsi"/>
              <w:noProof/>
              <w:sz w:val="24"/>
              <w:szCs w:val="24"/>
              <w:lang w:eastAsia="en-GB"/>
            </w:rPr>
          </w:pPr>
          <w:hyperlink w:anchor="_Toc215595206" w:history="1">
            <w:r w:rsidRPr="00B947ED">
              <w:rPr>
                <w:rStyle w:val="Hyperlink"/>
                <w:noProof/>
              </w:rPr>
              <w:t>7.1</w:t>
            </w:r>
            <w:r>
              <w:rPr>
                <w:rFonts w:asciiTheme="minorHAnsi" w:eastAsiaTheme="minorEastAsia" w:hAnsiTheme="minorHAnsi"/>
                <w:noProof/>
                <w:sz w:val="24"/>
                <w:szCs w:val="24"/>
                <w:lang w:eastAsia="en-GB"/>
              </w:rPr>
              <w:tab/>
            </w:r>
            <w:r w:rsidRPr="00B947ED">
              <w:rPr>
                <w:rStyle w:val="Hyperlink"/>
                <w:noProof/>
              </w:rPr>
              <w:t>BOB ICB’s response to Haddenham’s representations</w:t>
            </w:r>
            <w:r>
              <w:rPr>
                <w:noProof/>
                <w:webHidden/>
              </w:rPr>
              <w:tab/>
            </w:r>
            <w:r>
              <w:rPr>
                <w:noProof/>
                <w:webHidden/>
              </w:rPr>
              <w:fldChar w:fldCharType="begin"/>
            </w:r>
            <w:r>
              <w:rPr>
                <w:noProof/>
                <w:webHidden/>
              </w:rPr>
              <w:instrText xml:space="preserve"> PAGEREF _Toc215595206 \h </w:instrText>
            </w:r>
            <w:r>
              <w:rPr>
                <w:noProof/>
                <w:webHidden/>
              </w:rPr>
            </w:r>
            <w:r>
              <w:rPr>
                <w:noProof/>
                <w:webHidden/>
              </w:rPr>
              <w:fldChar w:fldCharType="separate"/>
            </w:r>
            <w:r w:rsidR="002C12CF">
              <w:rPr>
                <w:noProof/>
                <w:webHidden/>
              </w:rPr>
              <w:t>9</w:t>
            </w:r>
            <w:r>
              <w:rPr>
                <w:noProof/>
                <w:webHidden/>
              </w:rPr>
              <w:fldChar w:fldCharType="end"/>
            </w:r>
          </w:hyperlink>
        </w:p>
        <w:p w14:paraId="0DA921F6" w14:textId="7BB1F23A" w:rsidR="000B791E" w:rsidRDefault="000B791E">
          <w:pPr>
            <w:pStyle w:val="TOC2"/>
            <w:tabs>
              <w:tab w:val="left" w:pos="960"/>
              <w:tab w:val="right" w:leader="dot" w:pos="9016"/>
            </w:tabs>
            <w:rPr>
              <w:rFonts w:asciiTheme="minorHAnsi" w:eastAsiaTheme="minorEastAsia" w:hAnsiTheme="minorHAnsi"/>
              <w:noProof/>
              <w:sz w:val="24"/>
              <w:szCs w:val="24"/>
              <w:lang w:eastAsia="en-GB"/>
            </w:rPr>
          </w:pPr>
          <w:hyperlink w:anchor="_Toc215595207" w:history="1">
            <w:r w:rsidRPr="00B947ED">
              <w:rPr>
                <w:rStyle w:val="Hyperlink"/>
                <w:noProof/>
              </w:rPr>
              <w:t>7.2</w:t>
            </w:r>
            <w:r>
              <w:rPr>
                <w:rFonts w:asciiTheme="minorHAnsi" w:eastAsiaTheme="minorEastAsia" w:hAnsiTheme="minorHAnsi"/>
                <w:noProof/>
                <w:sz w:val="24"/>
                <w:szCs w:val="24"/>
                <w:lang w:eastAsia="en-GB"/>
              </w:rPr>
              <w:tab/>
            </w:r>
            <w:r w:rsidRPr="00B947ED">
              <w:rPr>
                <w:rStyle w:val="Hyperlink"/>
                <w:noProof/>
              </w:rPr>
              <w:t>BOB ICB’s response to Bloxdent’s representations</w:t>
            </w:r>
            <w:r>
              <w:rPr>
                <w:noProof/>
                <w:webHidden/>
              </w:rPr>
              <w:tab/>
            </w:r>
            <w:r>
              <w:rPr>
                <w:noProof/>
                <w:webHidden/>
              </w:rPr>
              <w:fldChar w:fldCharType="begin"/>
            </w:r>
            <w:r>
              <w:rPr>
                <w:noProof/>
                <w:webHidden/>
              </w:rPr>
              <w:instrText xml:space="preserve"> PAGEREF _Toc215595207 \h </w:instrText>
            </w:r>
            <w:r>
              <w:rPr>
                <w:noProof/>
                <w:webHidden/>
              </w:rPr>
            </w:r>
            <w:r>
              <w:rPr>
                <w:noProof/>
                <w:webHidden/>
              </w:rPr>
              <w:fldChar w:fldCharType="separate"/>
            </w:r>
            <w:r w:rsidR="002C12CF">
              <w:rPr>
                <w:noProof/>
                <w:webHidden/>
              </w:rPr>
              <w:t>14</w:t>
            </w:r>
            <w:r>
              <w:rPr>
                <w:noProof/>
                <w:webHidden/>
              </w:rPr>
              <w:fldChar w:fldCharType="end"/>
            </w:r>
          </w:hyperlink>
        </w:p>
        <w:p w14:paraId="2C889915" w14:textId="34BF93B3" w:rsidR="000B791E" w:rsidRDefault="000B791E">
          <w:pPr>
            <w:pStyle w:val="TOC1"/>
            <w:tabs>
              <w:tab w:val="right" w:leader="dot" w:pos="9016"/>
            </w:tabs>
            <w:rPr>
              <w:rFonts w:asciiTheme="minorHAnsi" w:eastAsiaTheme="minorEastAsia" w:hAnsiTheme="minorHAnsi"/>
              <w:noProof/>
              <w:sz w:val="24"/>
              <w:szCs w:val="24"/>
              <w:lang w:eastAsia="en-GB"/>
            </w:rPr>
          </w:pPr>
          <w:hyperlink w:anchor="_Toc215595208" w:history="1">
            <w:r w:rsidRPr="00B947ED">
              <w:rPr>
                <w:rStyle w:val="Hyperlink"/>
                <w:noProof/>
              </w:rPr>
              <w:t>8. Panel Advice</w:t>
            </w:r>
            <w:r>
              <w:rPr>
                <w:noProof/>
                <w:webHidden/>
              </w:rPr>
              <w:tab/>
            </w:r>
            <w:r>
              <w:rPr>
                <w:noProof/>
                <w:webHidden/>
              </w:rPr>
              <w:fldChar w:fldCharType="begin"/>
            </w:r>
            <w:r>
              <w:rPr>
                <w:noProof/>
                <w:webHidden/>
              </w:rPr>
              <w:instrText xml:space="preserve"> PAGEREF _Toc215595208 \h </w:instrText>
            </w:r>
            <w:r>
              <w:rPr>
                <w:noProof/>
                <w:webHidden/>
              </w:rPr>
            </w:r>
            <w:r>
              <w:rPr>
                <w:noProof/>
                <w:webHidden/>
              </w:rPr>
              <w:fldChar w:fldCharType="separate"/>
            </w:r>
            <w:r w:rsidR="002C12CF">
              <w:rPr>
                <w:noProof/>
                <w:webHidden/>
              </w:rPr>
              <w:t>18</w:t>
            </w:r>
            <w:r>
              <w:rPr>
                <w:noProof/>
                <w:webHidden/>
              </w:rPr>
              <w:fldChar w:fldCharType="end"/>
            </w:r>
          </w:hyperlink>
        </w:p>
        <w:p w14:paraId="61EBC374" w14:textId="0F6595BF" w:rsidR="00B42AE6" w:rsidRDefault="00B42AE6">
          <w:r>
            <w:rPr>
              <w:b/>
              <w:bCs/>
            </w:rPr>
            <w:fldChar w:fldCharType="end"/>
          </w:r>
        </w:p>
      </w:sdtContent>
    </w:sdt>
    <w:p w14:paraId="63A34340" w14:textId="4CC36FC1" w:rsidR="00E56C34" w:rsidRDefault="00E56C34">
      <w:pPr>
        <w:rPr>
          <w:b/>
          <w:bCs/>
          <w:color w:val="0070C0"/>
          <w:sz w:val="28"/>
          <w:szCs w:val="28"/>
        </w:rPr>
      </w:pPr>
      <w:r>
        <w:rPr>
          <w:b/>
          <w:bCs/>
          <w:color w:val="0070C0"/>
          <w:sz w:val="28"/>
          <w:szCs w:val="28"/>
        </w:rPr>
        <w:br w:type="page"/>
      </w:r>
    </w:p>
    <w:p w14:paraId="00A30C5E" w14:textId="360502B1" w:rsidR="0005616B" w:rsidRDefault="00E02EB7" w:rsidP="0025106C">
      <w:pPr>
        <w:pStyle w:val="Heading1"/>
      </w:pPr>
      <w:bookmarkStart w:id="0" w:name="_Toc215595199"/>
      <w:r>
        <w:lastRenderedPageBreak/>
        <w:t xml:space="preserve">1. </w:t>
      </w:r>
      <w:r w:rsidR="004B492C" w:rsidRPr="006B6C56">
        <w:t>Executive Summary</w:t>
      </w:r>
      <w:bookmarkEnd w:id="0"/>
    </w:p>
    <w:p w14:paraId="11B4F50C" w14:textId="3F9A4916" w:rsidR="00FE368E" w:rsidRDefault="00FE368E" w:rsidP="000D794D">
      <w:pPr>
        <w:pStyle w:val="ListParagraph"/>
        <w:spacing w:after="160"/>
      </w:pPr>
      <w:r>
        <w:t>On 11 September 2025, Bloxdent Limited (Bloxdent) asked the Panel to advise on the selection of a provider by NHS Buckinghamshire, Oxfordshire and Berkshire West Integrated Care Board (BOB ICB) for mandatory dental services in Oxfordshire.</w:t>
      </w:r>
      <w:r w:rsidR="00146422">
        <w:t xml:space="preserve"> </w:t>
      </w:r>
      <w:r>
        <w:t>The Panel accepted Bloxdent’s request on 1</w:t>
      </w:r>
      <w:r w:rsidR="00BC6B01">
        <w:t>8</w:t>
      </w:r>
      <w:r>
        <w:t xml:space="preserve"> September 2025 in accordance with its case acceptance criteria.</w:t>
      </w:r>
    </w:p>
    <w:p w14:paraId="7FE41914" w14:textId="466998C2" w:rsidR="00146422" w:rsidRDefault="00146422" w:rsidP="000D794D">
      <w:pPr>
        <w:pStyle w:val="ListParagraph"/>
        <w:spacing w:after="160"/>
      </w:pPr>
      <w:r w:rsidRPr="00091D00">
        <w:t>On 25</w:t>
      </w:r>
      <w:r>
        <w:t xml:space="preserve"> October 2024, BOB ICB </w:t>
      </w:r>
      <w:r w:rsidRPr="00C62A38">
        <w:t xml:space="preserve">published a </w:t>
      </w:r>
      <w:r>
        <w:t>n</w:t>
      </w:r>
      <w:r w:rsidRPr="00C62A38">
        <w:t xml:space="preserve">otice setting out its intention to select </w:t>
      </w:r>
      <w:r>
        <w:t xml:space="preserve">additional </w:t>
      </w:r>
      <w:r w:rsidRPr="00C62A38">
        <w:t xml:space="preserve">providers </w:t>
      </w:r>
      <w:r>
        <w:t>of</w:t>
      </w:r>
      <w:r w:rsidRPr="00E64E91">
        <w:t xml:space="preserve"> </w:t>
      </w:r>
      <w:r>
        <w:t>mandatory dental services in Oxfordshire using the competitive process. The procurement was divided into five lots, based on location. Each contract is</w:t>
      </w:r>
      <w:r w:rsidRPr="00A46196">
        <w:t xml:space="preserve"> </w:t>
      </w:r>
      <w:r>
        <w:t>for ten years, without the option of extending, and the five contracts were intended to commence sometime between 1 April and 30 September 2025. The Cherwell East (Lot 5) contract, which is the subject of this review, has a total value of approximately £4.9 million (excluding VA</w:t>
      </w:r>
      <w:r w:rsidRPr="00C62A38">
        <w:t>T).</w:t>
      </w:r>
    </w:p>
    <w:p w14:paraId="6CA306AE" w14:textId="6E921B79" w:rsidR="00146422" w:rsidRDefault="00146422" w:rsidP="000D794D">
      <w:pPr>
        <w:pStyle w:val="ListParagraph"/>
        <w:spacing w:after="160"/>
      </w:pPr>
      <w:r w:rsidRPr="00E53D09">
        <w:t>Bloxdent</w:t>
      </w:r>
      <w:r>
        <w:t xml:space="preserve"> and Haddenham DC Limited (Haddenham) were two of the six bidders </w:t>
      </w:r>
      <w:r w:rsidRPr="00A12AB2">
        <w:t xml:space="preserve">for </w:t>
      </w:r>
      <w:r>
        <w:t>the Cherwell East (</w:t>
      </w:r>
      <w:r w:rsidRPr="00A12AB2">
        <w:t>Lot 5</w:t>
      </w:r>
      <w:r>
        <w:t>) contract. Bloxdent was ranked first (scoring 81.50%) while Haddenham was ranked a close second (scoring 80.75%).</w:t>
      </w:r>
    </w:p>
    <w:p w14:paraId="6BB20665" w14:textId="416C62B6" w:rsidR="00146422" w:rsidRDefault="00146422">
      <w:pPr>
        <w:pStyle w:val="ListParagraph"/>
        <w:spacing w:after="160"/>
      </w:pPr>
      <w:r>
        <w:t>O</w:t>
      </w:r>
      <w:r w:rsidRPr="00E53D09">
        <w:t>n 14</w:t>
      </w:r>
      <w:r>
        <w:t> </w:t>
      </w:r>
      <w:r w:rsidRPr="00E53D09">
        <w:t>April 2025</w:t>
      </w:r>
      <w:r>
        <w:t xml:space="preserve">, </w:t>
      </w:r>
      <w:r w:rsidRPr="00E53D09">
        <w:t>BOB ICB published a</w:t>
      </w:r>
      <w:r>
        <w:t>n intention to a</w:t>
      </w:r>
      <w:r w:rsidRPr="00E53D09">
        <w:t xml:space="preserve">ward </w:t>
      </w:r>
      <w:r>
        <w:t>n</w:t>
      </w:r>
      <w:r w:rsidRPr="00E53D09">
        <w:t xml:space="preserve">otice announcing </w:t>
      </w:r>
      <w:r>
        <w:t xml:space="preserve">Bloxdent as </w:t>
      </w:r>
      <w:r w:rsidRPr="00E53D09">
        <w:t>the successful bidder</w:t>
      </w:r>
      <w:r>
        <w:t>.</w:t>
      </w:r>
      <w:r w:rsidR="00791980">
        <w:t xml:space="preserve"> </w:t>
      </w:r>
      <w:r>
        <w:t>On 28 April 2025, before the standstill period ended, Haddenham made representations to BOB ICB about the provider selection process for the Cherwell East (Lot 5) contract, raising concerns about the evaluation of responses to questions MP01 (Mobilisation of the service), WF01 (Staffing structure) and WF02 (Workforce).</w:t>
      </w:r>
    </w:p>
    <w:p w14:paraId="27AC3ADE" w14:textId="5BF51BC3" w:rsidR="00146422" w:rsidRDefault="00146422" w:rsidP="000D794D">
      <w:pPr>
        <w:pStyle w:val="ListParagraph"/>
        <w:spacing w:after="160"/>
      </w:pPr>
      <w:r>
        <w:t>On 8 May 2025, having reviewed Haddenham’s representations, BOB ICB told bidders that it had decided to re-evaluate their responses to questions MP01, WF01, and WF02 so as to “avoid a time consuming and potentially costly representation”.</w:t>
      </w:r>
    </w:p>
    <w:p w14:paraId="155B18F7" w14:textId="7613C03F" w:rsidR="00146422" w:rsidRDefault="00146422" w:rsidP="000D794D">
      <w:pPr>
        <w:pStyle w:val="ListParagraph"/>
        <w:spacing w:after="160"/>
      </w:pPr>
      <w:r w:rsidRPr="00EF7727">
        <w:t>The re-evaluation took place between 21 May and 2 June 2025. After</w:t>
      </w:r>
      <w:r>
        <w:t xml:space="preserve"> combining the scores from the three re-evaluated questions with the scores from the earlier evaluation of the other questions, Haddenham was now ranked first, with a score of 85.00%, and Bloxdent was ranked second, with a score of 80.00%.</w:t>
      </w:r>
    </w:p>
    <w:p w14:paraId="62D965B0" w14:textId="2E470132" w:rsidR="00146422" w:rsidRDefault="00146422" w:rsidP="000D794D">
      <w:pPr>
        <w:pStyle w:val="ListParagraph"/>
        <w:spacing w:after="160"/>
      </w:pPr>
      <w:r>
        <w:t>On 25 June 2025, BOB ICB informed bidders, including Bloxdent, that Haddenham had now been selected as the preferred bidder for the Cherwell East (Lot 5) contract.</w:t>
      </w:r>
    </w:p>
    <w:p w14:paraId="252105E3" w14:textId="7B34E8E8" w:rsidR="00146422" w:rsidRDefault="00146422">
      <w:pPr>
        <w:pStyle w:val="ListParagraph"/>
        <w:spacing w:after="160"/>
      </w:pPr>
      <w:r>
        <w:t>After being told that Haddenham was the preferred bidder, Bloxdent raised concerns with BOB ICB about the provider selection process. On 16 July 2025, while still within the standstill period, Bloxdent made representations to BOB ICB, and requested information regarding the provider selection process. BOB ICB responded to Bloxdent’s information request on 24 July and</w:t>
      </w:r>
      <w:r w:rsidRPr="006205C0">
        <w:t xml:space="preserve"> </w:t>
      </w:r>
      <w:r>
        <w:t>Bloxdent, having reviewed this information, made further representations on 30 July.</w:t>
      </w:r>
    </w:p>
    <w:p w14:paraId="7EEB941A" w14:textId="77777777" w:rsidR="00146422" w:rsidRDefault="00146422" w:rsidP="000D794D">
      <w:pPr>
        <w:pStyle w:val="ListParagraph"/>
        <w:spacing w:after="160"/>
      </w:pPr>
      <w:r>
        <w:t>On 8 September 2025, having reviewed Bloxdent’s representations, BOB ICB told Bloxdent that it had decided to proceed with the contract award to Haddenham.</w:t>
      </w:r>
    </w:p>
    <w:p w14:paraId="12605AA7" w14:textId="0190229A" w:rsidR="00456045" w:rsidRDefault="00456045" w:rsidP="00456045">
      <w:pPr>
        <w:pStyle w:val="ListParagraph"/>
        <w:spacing w:after="160"/>
        <w:contextualSpacing/>
      </w:pPr>
      <w:r>
        <w:t>The Panel, in reviewing Bloxdent’s representations, has assessed whether BOB ICB complied with the PSR regulations when:</w:t>
      </w:r>
    </w:p>
    <w:p w14:paraId="1582670D" w14:textId="118C1702" w:rsidR="00456045" w:rsidRDefault="00456045" w:rsidP="00456045">
      <w:pPr>
        <w:pStyle w:val="ListParagraph"/>
        <w:numPr>
          <w:ilvl w:val="0"/>
          <w:numId w:val="10"/>
        </w:numPr>
        <w:spacing w:after="160"/>
        <w:ind w:left="1276"/>
        <w:contextualSpacing/>
      </w:pPr>
      <w:r>
        <w:t>responding to Haddenham’s representations; and</w:t>
      </w:r>
    </w:p>
    <w:p w14:paraId="46B821E8" w14:textId="465B6FE2" w:rsidR="00456045" w:rsidRDefault="00456045" w:rsidP="00456045">
      <w:pPr>
        <w:pStyle w:val="ListParagraph"/>
        <w:numPr>
          <w:ilvl w:val="0"/>
          <w:numId w:val="10"/>
        </w:numPr>
        <w:spacing w:after="160"/>
        <w:ind w:left="1276"/>
      </w:pPr>
      <w:r>
        <w:lastRenderedPageBreak/>
        <w:t>responding to Bloxdent’s representations.</w:t>
      </w:r>
    </w:p>
    <w:p w14:paraId="23E10E65" w14:textId="36696912" w:rsidR="00944CD1" w:rsidRDefault="00944CD1" w:rsidP="00944CD1">
      <w:pPr>
        <w:pStyle w:val="ListParagraph"/>
      </w:pPr>
      <w:r>
        <w:t>The Panel’s findings are that BOB ICB has breached the PSR regulations in several respects:</w:t>
      </w:r>
    </w:p>
    <w:p w14:paraId="0BF1F889" w14:textId="77777777" w:rsidR="00944CD1" w:rsidRDefault="00944CD1" w:rsidP="00944CD1">
      <w:pPr>
        <w:pStyle w:val="ListParagraph"/>
        <w:numPr>
          <w:ilvl w:val="0"/>
          <w:numId w:val="9"/>
        </w:numPr>
      </w:pPr>
      <w:r>
        <w:t>First, BOB ICB, in not keeping any record of its reasons for its ‘further decision’ (i.e. to re-evaluate bidders’ responses to three questions following Haddenham’s representations), breached the PSR regulations and in particular Regulation 24(g), which requires commissioners to keep a record of reasons for decisions under the PSR regulations.</w:t>
      </w:r>
    </w:p>
    <w:p w14:paraId="5CD849F4" w14:textId="77777777" w:rsidR="00944CD1" w:rsidRDefault="00944CD1" w:rsidP="00944CD1">
      <w:pPr>
        <w:pStyle w:val="ListParagraph"/>
        <w:numPr>
          <w:ilvl w:val="0"/>
          <w:numId w:val="9"/>
        </w:numPr>
      </w:pPr>
      <w:r>
        <w:t>Second, BOB ICB, in not providing sufficient reasons to Bloxdent when communicating its ‘further decision’, breached the PSR regulations and in particular Regulation 12(6), which requires commissioners to include the reasons for their decision in this communication.</w:t>
      </w:r>
    </w:p>
    <w:p w14:paraId="7099F998" w14:textId="77777777" w:rsidR="00944CD1" w:rsidRDefault="00944CD1" w:rsidP="00944CD1">
      <w:pPr>
        <w:pStyle w:val="ListParagraph"/>
        <w:numPr>
          <w:ilvl w:val="0"/>
          <w:numId w:val="9"/>
        </w:numPr>
      </w:pPr>
      <w:r>
        <w:t>Third, BOB ICB, in not providing a sufficient response to Bloxdent’s request for information about its ‘further decision’, breached the PSR regulations and in particular Regulation 12(4)(b), which requires commissioners to promptly provide any information requested by an aggrieved provider where the commissioner has a duty to record that information under Regulation 24.</w:t>
      </w:r>
    </w:p>
    <w:p w14:paraId="5E0921E5" w14:textId="77777777" w:rsidR="00944CD1" w:rsidRDefault="00944CD1" w:rsidP="00944CD1">
      <w:pPr>
        <w:pStyle w:val="ListParagraph"/>
        <w:numPr>
          <w:ilvl w:val="0"/>
          <w:numId w:val="9"/>
        </w:numPr>
      </w:pPr>
      <w:r>
        <w:t xml:space="preserve">Finally, </w:t>
      </w:r>
      <w:r>
        <w:rPr>
          <w:lang w:eastAsia="en-GB"/>
        </w:rPr>
        <w:t>BOB ICB, in treating Bloxdent and Haddenham differently when responding to their representations without any apparent justification for this difference in treatment, breached its obligation under the PSR regulations to act fairly.</w:t>
      </w:r>
    </w:p>
    <w:p w14:paraId="1F663AC4" w14:textId="77777777" w:rsidR="00944CD1" w:rsidRPr="009E1818" w:rsidRDefault="00944CD1" w:rsidP="00944CD1">
      <w:pPr>
        <w:pStyle w:val="ListParagraph"/>
        <w:contextualSpacing/>
      </w:pPr>
      <w:r>
        <w:t xml:space="preserve">Given the Panel’s conclusion that BOB ICB breached the PSR regulations, three options are open to the Panel. </w:t>
      </w:r>
      <w:r w:rsidRPr="009E1818">
        <w:t>The Panel may advise that:</w:t>
      </w:r>
    </w:p>
    <w:p w14:paraId="2FE92C3F" w14:textId="77777777" w:rsidR="00944CD1" w:rsidRPr="009E1818" w:rsidRDefault="00944CD1" w:rsidP="00944CD1">
      <w:pPr>
        <w:pStyle w:val="ListParagraph"/>
        <w:numPr>
          <w:ilvl w:val="0"/>
          <w:numId w:val="8"/>
        </w:numPr>
        <w:ind w:left="1418"/>
        <w:contextualSpacing/>
      </w:pPr>
      <w:r>
        <w:t>t</w:t>
      </w:r>
      <w:r w:rsidRPr="009E1818">
        <w:t xml:space="preserve">he breaches had no material effect on </w:t>
      </w:r>
      <w:r>
        <w:t>BOB ICB</w:t>
      </w:r>
      <w:r w:rsidRPr="009E1818">
        <w:t>’s selection of a provider and it should proceed with awarding the contract as originally intended;</w:t>
      </w:r>
    </w:p>
    <w:p w14:paraId="1F534BD3" w14:textId="77777777" w:rsidR="00944CD1" w:rsidRPr="009E1818" w:rsidRDefault="00944CD1" w:rsidP="00944CD1">
      <w:pPr>
        <w:pStyle w:val="ListParagraph"/>
        <w:numPr>
          <w:ilvl w:val="0"/>
          <w:numId w:val="8"/>
        </w:numPr>
        <w:ind w:left="1418"/>
        <w:contextualSpacing/>
      </w:pPr>
      <w:r>
        <w:t>BOB ICB</w:t>
      </w:r>
      <w:r w:rsidRPr="009E1818">
        <w:t xml:space="preserve"> should return to an earlier step in the provider selection process to rectify the issues identified by the Panel; or</w:t>
      </w:r>
    </w:p>
    <w:p w14:paraId="59909672" w14:textId="77777777" w:rsidR="00944CD1" w:rsidRPr="009E1818" w:rsidRDefault="00944CD1" w:rsidP="00944CD1">
      <w:pPr>
        <w:pStyle w:val="ListParagraph"/>
        <w:numPr>
          <w:ilvl w:val="0"/>
          <w:numId w:val="8"/>
        </w:numPr>
        <w:spacing w:after="160"/>
        <w:ind w:left="1418"/>
      </w:pPr>
      <w:r>
        <w:t>BOB ICB</w:t>
      </w:r>
      <w:r w:rsidRPr="009E1818">
        <w:t xml:space="preserve"> should abandon the current provider selection process.</w:t>
      </w:r>
    </w:p>
    <w:p w14:paraId="1AE8877B" w14:textId="77777777" w:rsidR="00944CD1" w:rsidRDefault="00944CD1" w:rsidP="00944CD1">
      <w:pPr>
        <w:pStyle w:val="ListParagraph"/>
        <w:spacing w:after="160"/>
      </w:pPr>
      <w:r w:rsidRPr="000237DF">
        <w:t>The Panel’s view is that the breach</w:t>
      </w:r>
      <w:r>
        <w:t>es it has</w:t>
      </w:r>
      <w:r w:rsidRPr="000237DF">
        <w:t xml:space="preserve"> identified </w:t>
      </w:r>
      <w:r>
        <w:t xml:space="preserve">may have had </w:t>
      </w:r>
      <w:r w:rsidRPr="000237DF">
        <w:t>a material effect on</w:t>
      </w:r>
      <w:r>
        <w:t xml:space="preserve"> BOB ICB</w:t>
      </w:r>
      <w:r w:rsidRPr="000237DF">
        <w:t>’s selection of a provider.</w:t>
      </w:r>
      <w:r>
        <w:t xml:space="preserve"> That is, if BOB ICB had complied with the PSR regulations, then its selection of a provider may have been different.</w:t>
      </w:r>
    </w:p>
    <w:p w14:paraId="65A23B05" w14:textId="77777777" w:rsidR="00944CD1" w:rsidRDefault="00944CD1" w:rsidP="00944CD1">
      <w:pPr>
        <w:pStyle w:val="ListParagraph"/>
        <w:spacing w:after="160"/>
      </w:pPr>
      <w:r>
        <w:t>The Panel has considered whether BOB ICB should return to an earlier step in the provider selection process to rectify the issues identified by the Panel or whether it should abandon the current provider selection process. The Panel’s view is that it would be more proportionate for BOB ICB to return to an earlier step in the provider selection process as a means of addressing the concerns identified by the Panel.</w:t>
      </w:r>
    </w:p>
    <w:p w14:paraId="1BBF17A5" w14:textId="77777777" w:rsidR="00944CD1" w:rsidRDefault="00944CD1" w:rsidP="00944CD1">
      <w:pPr>
        <w:pStyle w:val="ListParagraph"/>
        <w:spacing w:after="160"/>
      </w:pPr>
      <w:r>
        <w:t>The Panel’s view is that the breaches of the PSR regulations it has found with respect to BOB ICB’s review of Haddenham’s representations, mean that it is necessary to return to a sufficiently early step in the provider selection process such that these breaches can be rectified.</w:t>
      </w:r>
    </w:p>
    <w:p w14:paraId="5EFCB88B" w14:textId="07F8B3A2" w:rsidR="00146422" w:rsidRDefault="00944CD1">
      <w:pPr>
        <w:pStyle w:val="ListParagraph"/>
        <w:spacing w:after="160"/>
      </w:pPr>
      <w:r>
        <w:t xml:space="preserve">As a result, the Panel recommends that BOB ICB returns to Step 4 in the competitive process (i.e. the step before BOB ICB informed Bloxdent that its offer had been </w:t>
      </w:r>
      <w:r>
        <w:lastRenderedPageBreak/>
        <w:t>successful and informed other bidders that their offers had been unsuccessful), and then repeat the subsequent steps in the competitive process. This will allow BOB ICB to make a new decision as to the successful provider, based on its evaluation of bidders’ proposals at that point in the procurement process. It will also allow BOB ICB to evaluate any subsequent representations in a way that complies with the requirements of the PSR regulations.</w:t>
      </w:r>
    </w:p>
    <w:p w14:paraId="7AA49AA2" w14:textId="0962E83E" w:rsidR="00AF703F" w:rsidRDefault="00E02EB7" w:rsidP="0025106C">
      <w:pPr>
        <w:pStyle w:val="Heading1"/>
      </w:pPr>
      <w:bookmarkStart w:id="1" w:name="_Toc215595200"/>
      <w:r>
        <w:t xml:space="preserve">2. </w:t>
      </w:r>
      <w:r w:rsidR="009E2DF7">
        <w:t>Introduction</w:t>
      </w:r>
      <w:bookmarkEnd w:id="1"/>
    </w:p>
    <w:p w14:paraId="2DDB60E3" w14:textId="62591B3E" w:rsidR="004724B3" w:rsidRDefault="00C52B3C" w:rsidP="00AE6907">
      <w:pPr>
        <w:pStyle w:val="ListParagraph"/>
        <w:spacing w:after="160"/>
      </w:pPr>
      <w:r>
        <w:t xml:space="preserve">On </w:t>
      </w:r>
      <w:r w:rsidR="002B7D45">
        <w:t>11 September 2025</w:t>
      </w:r>
      <w:r w:rsidR="008F72BD">
        <w:t xml:space="preserve">, </w:t>
      </w:r>
      <w:r w:rsidR="002B7D45">
        <w:t>Bloxdent Limited (Bloxdent)</w:t>
      </w:r>
      <w:r w:rsidR="00856A83">
        <w:rPr>
          <w:rStyle w:val="FootnoteReference"/>
        </w:rPr>
        <w:footnoteReference w:id="1"/>
      </w:r>
      <w:r w:rsidR="008F72BD">
        <w:t xml:space="preserve"> asked the Panel to advise on </w:t>
      </w:r>
      <w:r w:rsidR="0033618B">
        <w:t>the</w:t>
      </w:r>
      <w:r w:rsidR="008F72BD">
        <w:t xml:space="preserve"> selection of a provider </w:t>
      </w:r>
      <w:r w:rsidR="0033618B">
        <w:t xml:space="preserve">by </w:t>
      </w:r>
      <w:r w:rsidR="004B19A3">
        <w:t>NHS Buckinghamshire, Oxfordshire and Berkshire</w:t>
      </w:r>
      <w:r w:rsidR="00B83F00">
        <w:t xml:space="preserve"> West</w:t>
      </w:r>
      <w:r w:rsidR="004B19A3">
        <w:t xml:space="preserve"> Integrated Care Board (BOB ICB) </w:t>
      </w:r>
      <w:r w:rsidR="008F72BD">
        <w:t xml:space="preserve">for </w:t>
      </w:r>
      <w:r w:rsidR="008702AE">
        <w:t>m</w:t>
      </w:r>
      <w:r w:rsidR="00E40C7E">
        <w:t xml:space="preserve">andatory </w:t>
      </w:r>
      <w:r w:rsidR="008702AE">
        <w:t>d</w:t>
      </w:r>
      <w:r w:rsidR="00E40C7E">
        <w:t xml:space="preserve">ental </w:t>
      </w:r>
      <w:r w:rsidR="008702AE">
        <w:t>s</w:t>
      </w:r>
      <w:r w:rsidR="00E40C7E">
        <w:t>ervices in Oxfordshire.</w:t>
      </w:r>
    </w:p>
    <w:p w14:paraId="4FF9EE89" w14:textId="6B35E531" w:rsidR="005C2C79" w:rsidRDefault="008F72BD" w:rsidP="00AE6907">
      <w:pPr>
        <w:pStyle w:val="ListParagraph"/>
        <w:spacing w:after="160"/>
      </w:pPr>
      <w:r>
        <w:t xml:space="preserve">The Panel accepted </w:t>
      </w:r>
      <w:r w:rsidR="00F61C25">
        <w:t xml:space="preserve">Bloxdent’s </w:t>
      </w:r>
      <w:r w:rsidR="00812837">
        <w:t>request on</w:t>
      </w:r>
      <w:r w:rsidR="002622A2">
        <w:t xml:space="preserve"> 1</w:t>
      </w:r>
      <w:r w:rsidR="001A4902">
        <w:t>8</w:t>
      </w:r>
      <w:r w:rsidR="002622A2">
        <w:t xml:space="preserve"> September 2025</w:t>
      </w:r>
      <w:r w:rsidR="00812837">
        <w:t xml:space="preserve"> in accordance with its case acceptance criteria. These criteria set out both eligibility requirements and the </w:t>
      </w:r>
      <w:r w:rsidR="002B6260">
        <w:t>prioritisation</w:t>
      </w:r>
      <w:r w:rsidR="00812837">
        <w:t xml:space="preserve"> criteria </w:t>
      </w:r>
      <w:r w:rsidR="002B6260">
        <w:t>the Panel appl</w:t>
      </w:r>
      <w:r w:rsidR="00F75F01">
        <w:t>ies</w:t>
      </w:r>
      <w:r w:rsidR="002B6260">
        <w:t xml:space="preserve"> when approaching full capacity.</w:t>
      </w:r>
      <w:r w:rsidR="004724B3">
        <w:rPr>
          <w:rStyle w:val="FootnoteReference"/>
        </w:rPr>
        <w:footnoteReference w:id="2"/>
      </w:r>
      <w:r w:rsidR="002B6260">
        <w:t xml:space="preserve"> </w:t>
      </w:r>
      <w:r w:rsidR="002622A2">
        <w:t xml:space="preserve">Bloxdent’s </w:t>
      </w:r>
      <w:r w:rsidR="002B6260" w:rsidRPr="002622A2">
        <w:t>request met the eligibility requirements, and as the Panel was not approaching full capacity, there was no need to apply the prioritisation criteria</w:t>
      </w:r>
      <w:r w:rsidR="005C2C79" w:rsidRPr="002622A2">
        <w:t>.</w:t>
      </w:r>
    </w:p>
    <w:p w14:paraId="6B1A486F" w14:textId="6C79DCEB" w:rsidR="002B6260" w:rsidRDefault="00716EEB" w:rsidP="002044FB">
      <w:pPr>
        <w:pStyle w:val="ListParagraph"/>
        <w:contextualSpacing/>
      </w:pPr>
      <w:r>
        <w:t>The Panel’s Chair appointed three members to a Case Panel</w:t>
      </w:r>
      <w:r w:rsidR="007F7092">
        <w:t xml:space="preserve"> for this review</w:t>
      </w:r>
      <w:r w:rsidR="000C5543">
        <w:t>, namely</w:t>
      </w:r>
      <w:r w:rsidR="007F7092">
        <w:t>:</w:t>
      </w:r>
    </w:p>
    <w:p w14:paraId="3C0A0165" w14:textId="4CC580DF" w:rsidR="007F7092" w:rsidRDefault="007F7092" w:rsidP="002044FB">
      <w:pPr>
        <w:pStyle w:val="ListParagraph"/>
        <w:numPr>
          <w:ilvl w:val="0"/>
          <w:numId w:val="4"/>
        </w:numPr>
        <w:contextualSpacing/>
      </w:pPr>
      <w:r>
        <w:t>Andrew Taylor, Panel Chair;</w:t>
      </w:r>
    </w:p>
    <w:p w14:paraId="2AF7F4B8" w14:textId="2BEB8D57" w:rsidR="00955666" w:rsidRDefault="002622A2" w:rsidP="002044FB">
      <w:pPr>
        <w:pStyle w:val="ListParagraph"/>
        <w:numPr>
          <w:ilvl w:val="0"/>
          <w:numId w:val="4"/>
        </w:numPr>
        <w:contextualSpacing/>
      </w:pPr>
      <w:r>
        <w:t>Sally-Ann Collier</w:t>
      </w:r>
      <w:r w:rsidR="00955666">
        <w:t>, Case Panel Member; and</w:t>
      </w:r>
    </w:p>
    <w:p w14:paraId="16B21427" w14:textId="5E61D79B" w:rsidR="00955666" w:rsidRDefault="002622A2" w:rsidP="00AE6907">
      <w:pPr>
        <w:pStyle w:val="ListParagraph"/>
        <w:numPr>
          <w:ilvl w:val="0"/>
          <w:numId w:val="4"/>
        </w:numPr>
        <w:spacing w:after="160"/>
        <w:ind w:left="1077" w:hanging="357"/>
      </w:pPr>
      <w:r>
        <w:t>Daria Prigioni</w:t>
      </w:r>
      <w:r w:rsidR="00955666">
        <w:t>, Case Panel Member.</w:t>
      </w:r>
      <w:r w:rsidR="004A0C4C">
        <w:rPr>
          <w:rStyle w:val="FootnoteReference"/>
        </w:rPr>
        <w:footnoteReference w:id="3"/>
      </w:r>
    </w:p>
    <w:p w14:paraId="6DBF7A0F" w14:textId="54604EB5" w:rsidR="00CD4CF5" w:rsidRDefault="00955666" w:rsidP="00AE6907">
      <w:pPr>
        <w:pStyle w:val="ListParagraph"/>
        <w:spacing w:after="160"/>
      </w:pPr>
      <w:r>
        <w:t>The Case Panel’s review has been carried out in accordance with the Panel’s Standard Operating Procedures (“procedures”)</w:t>
      </w:r>
      <w:r w:rsidR="00444D28">
        <w:t>.</w:t>
      </w:r>
      <w:r w:rsidR="00CD4CF5">
        <w:rPr>
          <w:rStyle w:val="FootnoteReference"/>
        </w:rPr>
        <w:footnoteReference w:id="4"/>
      </w:r>
    </w:p>
    <w:p w14:paraId="26F6E11E" w14:textId="37DCB512" w:rsidR="007F7092" w:rsidRDefault="00444D28" w:rsidP="002044FB">
      <w:pPr>
        <w:pStyle w:val="ListParagraph"/>
        <w:contextualSpacing/>
      </w:pPr>
      <w:r>
        <w:t xml:space="preserve">This report provides the Panel’s assessment and advice to </w:t>
      </w:r>
      <w:r w:rsidR="002622A2">
        <w:t xml:space="preserve">BOB ICB </w:t>
      </w:r>
      <w:r>
        <w:t>and is set out as follows:</w:t>
      </w:r>
    </w:p>
    <w:p w14:paraId="070285D6" w14:textId="77777777" w:rsidR="0092692C" w:rsidRDefault="0092692C" w:rsidP="002044FB">
      <w:pPr>
        <w:pStyle w:val="ListParagraph"/>
        <w:numPr>
          <w:ilvl w:val="0"/>
          <w:numId w:val="5"/>
        </w:numPr>
        <w:contextualSpacing/>
      </w:pPr>
      <w:r>
        <w:t>Section 3 briefly describes the role of the Panel;</w:t>
      </w:r>
    </w:p>
    <w:p w14:paraId="497E0A4E" w14:textId="3795C064" w:rsidR="0092692C" w:rsidRDefault="0092692C" w:rsidP="002044FB">
      <w:pPr>
        <w:pStyle w:val="ListParagraph"/>
        <w:numPr>
          <w:ilvl w:val="0"/>
          <w:numId w:val="5"/>
        </w:numPr>
        <w:contextualSpacing/>
      </w:pPr>
      <w:r>
        <w:t xml:space="preserve">Section 4 sets out the background to the Panel’s review, including the events leading up to, and including, the provider </w:t>
      </w:r>
      <w:r w:rsidR="00CF3686">
        <w:t>selection process</w:t>
      </w:r>
      <w:r w:rsidR="00C94378">
        <w:t>;</w:t>
      </w:r>
    </w:p>
    <w:p w14:paraId="08A32742" w14:textId="0A731F0B" w:rsidR="00C94378" w:rsidRDefault="00C94378" w:rsidP="002044FB">
      <w:pPr>
        <w:pStyle w:val="ListParagraph"/>
        <w:numPr>
          <w:ilvl w:val="0"/>
          <w:numId w:val="5"/>
        </w:numPr>
        <w:contextualSpacing/>
      </w:pPr>
      <w:r>
        <w:t xml:space="preserve">Section 5 sets out the concerns raised by </w:t>
      </w:r>
      <w:r w:rsidR="002622A2">
        <w:t>Bloxdent</w:t>
      </w:r>
      <w:r>
        <w:t>;</w:t>
      </w:r>
    </w:p>
    <w:p w14:paraId="36FEB2B0" w14:textId="77777777" w:rsidR="00C94378" w:rsidRDefault="00C94378" w:rsidP="002044FB">
      <w:pPr>
        <w:pStyle w:val="ListParagraph"/>
        <w:numPr>
          <w:ilvl w:val="0"/>
          <w:numId w:val="5"/>
        </w:numPr>
        <w:contextualSpacing/>
      </w:pPr>
      <w:r>
        <w:t xml:space="preserve">Section 6 </w:t>
      </w:r>
      <w:r w:rsidR="00AC3E59">
        <w:t>identifies</w:t>
      </w:r>
      <w:r>
        <w:t xml:space="preserve"> the provisions of the PSR regulations relevant to </w:t>
      </w:r>
      <w:r w:rsidR="00AC3E59">
        <w:t>Bloxdent’s representations</w:t>
      </w:r>
      <w:r>
        <w:t>;</w:t>
      </w:r>
    </w:p>
    <w:p w14:paraId="441BE4DC" w14:textId="37EDC080" w:rsidR="00C94378" w:rsidRDefault="00C94378" w:rsidP="002044FB">
      <w:pPr>
        <w:pStyle w:val="ListParagraph"/>
        <w:numPr>
          <w:ilvl w:val="0"/>
          <w:numId w:val="5"/>
        </w:numPr>
        <w:contextualSpacing/>
      </w:pPr>
      <w:r>
        <w:t>Section 7 sets out the</w:t>
      </w:r>
      <w:r w:rsidR="00AC3E59">
        <w:t xml:space="preserve"> Panel’s assessment of the</w:t>
      </w:r>
      <w:r>
        <w:t xml:space="preserve"> issues</w:t>
      </w:r>
      <w:r w:rsidR="00AC3E59">
        <w:t xml:space="preserve"> raised by Bloxdent</w:t>
      </w:r>
      <w:r>
        <w:t>; and</w:t>
      </w:r>
    </w:p>
    <w:p w14:paraId="0F291F4A" w14:textId="620978D0" w:rsidR="00C94378" w:rsidRDefault="00C94378" w:rsidP="00AE6907">
      <w:pPr>
        <w:pStyle w:val="ListParagraph"/>
        <w:numPr>
          <w:ilvl w:val="0"/>
          <w:numId w:val="5"/>
        </w:numPr>
        <w:spacing w:after="160"/>
      </w:pPr>
      <w:r>
        <w:t xml:space="preserve">Section 8 sets out the Panel’s advice to </w:t>
      </w:r>
      <w:r w:rsidR="002622A2">
        <w:t>BOB ICB</w:t>
      </w:r>
      <w:r>
        <w:t>.</w:t>
      </w:r>
      <w:r w:rsidR="00A47C13">
        <w:rPr>
          <w:rStyle w:val="FootnoteReference"/>
        </w:rPr>
        <w:footnoteReference w:id="5"/>
      </w:r>
    </w:p>
    <w:p w14:paraId="4B7770C8" w14:textId="1F915F71" w:rsidR="00444D28" w:rsidRPr="008B410D" w:rsidRDefault="0092692C" w:rsidP="00AE6907">
      <w:pPr>
        <w:pStyle w:val="ListParagraph"/>
        <w:spacing w:after="160"/>
      </w:pPr>
      <w:r>
        <w:t>The Panel thanks</w:t>
      </w:r>
      <w:r w:rsidR="000D5168">
        <w:t xml:space="preserve"> </w:t>
      </w:r>
      <w:r w:rsidR="002622A2">
        <w:t>BOB ICB</w:t>
      </w:r>
      <w:r>
        <w:t xml:space="preserve"> and </w:t>
      </w:r>
      <w:r w:rsidR="002622A2">
        <w:t xml:space="preserve">Bloxdent </w:t>
      </w:r>
      <w:r>
        <w:t>for their assistance and cooperation during this review.</w:t>
      </w:r>
    </w:p>
    <w:p w14:paraId="1FC86429" w14:textId="22AB2003" w:rsidR="00485DA5" w:rsidRDefault="00E02EB7" w:rsidP="005E7B5C">
      <w:pPr>
        <w:pStyle w:val="Heading1"/>
        <w:spacing w:line="276" w:lineRule="auto"/>
      </w:pPr>
      <w:bookmarkStart w:id="2" w:name="_Toc215595201"/>
      <w:r>
        <w:lastRenderedPageBreak/>
        <w:t xml:space="preserve">3. </w:t>
      </w:r>
      <w:r w:rsidR="00485DA5">
        <w:t>Role of the Panel</w:t>
      </w:r>
      <w:bookmarkEnd w:id="2"/>
    </w:p>
    <w:p w14:paraId="3999A5A7" w14:textId="720E5E1D" w:rsidR="00DA200D" w:rsidRDefault="00BF4715" w:rsidP="00B51B0A">
      <w:pPr>
        <w:pStyle w:val="ListParagraph"/>
      </w:pPr>
      <w:r>
        <w:t xml:space="preserve">The </w:t>
      </w:r>
      <w:r w:rsidR="00F42CF5">
        <w:t>Provider Selection Regime (</w:t>
      </w:r>
      <w:r>
        <w:t>PSR</w:t>
      </w:r>
      <w:r w:rsidR="00F42CF5">
        <w:t>)</w:t>
      </w:r>
      <w:r>
        <w:t xml:space="preserve"> regulations, issued under the Health and Care Act 2022, put into effect the Provider Selection Regime for NHS and local authority commissioning of health care services. </w:t>
      </w:r>
      <w:r w:rsidR="00C93C50" w:rsidRPr="00C93C50">
        <w:t>The Provider Selection Regime came into force with the adoption of the PSR regulations on 1 January 2024, and gives relevant authorities (i.e. commissioners) greater flexibility in the selection of providers of health care services</w:t>
      </w:r>
      <w:r w:rsidR="001564AF">
        <w:t>.</w:t>
      </w:r>
      <w:r w:rsidR="005967B4">
        <w:rPr>
          <w:rStyle w:val="FootnoteReference"/>
        </w:rPr>
        <w:footnoteReference w:id="6"/>
      </w:r>
    </w:p>
    <w:p w14:paraId="22550EC9" w14:textId="6C3458D6" w:rsidR="009C30B9" w:rsidRDefault="009C30B9" w:rsidP="00B51B0A">
      <w:pPr>
        <w:pStyle w:val="ListParagraph"/>
      </w:pPr>
      <w:r>
        <w:t>The Panel’s role is to act as an independent review body where a provider has concerns about a commissioner’s provider selection decision. Panel reviews only take place following a commissioner’s review of its original decision.</w:t>
      </w:r>
    </w:p>
    <w:p w14:paraId="51B6322F" w14:textId="11E04566" w:rsidR="009C30B9" w:rsidRPr="008B410D" w:rsidRDefault="009C30B9" w:rsidP="00B51B0A">
      <w:pPr>
        <w:pStyle w:val="ListParagraph"/>
      </w:pPr>
      <w:r>
        <w:t xml:space="preserve">For each review, the Panel’s assessment and advice is supplied to the commissioner and the potential provider that has requested the Panel’s review. It is also published on the Panel’s webpages. The commissioner is then responsible for reviewing its decision in light of the Panel’s advice. </w:t>
      </w:r>
    </w:p>
    <w:p w14:paraId="45E9213A" w14:textId="0C810662" w:rsidR="00485DA5" w:rsidRDefault="00E02EB7" w:rsidP="005E7B5C">
      <w:pPr>
        <w:pStyle w:val="Heading1"/>
        <w:spacing w:line="276" w:lineRule="auto"/>
      </w:pPr>
      <w:bookmarkStart w:id="3" w:name="_Toc215595202"/>
      <w:r>
        <w:t xml:space="preserve">4. </w:t>
      </w:r>
      <w:r w:rsidR="00485DA5">
        <w:t>Background to this review</w:t>
      </w:r>
      <w:bookmarkEnd w:id="3"/>
    </w:p>
    <w:p w14:paraId="2E842F40" w14:textId="325907D1" w:rsidR="00400F26" w:rsidRDefault="00E07529" w:rsidP="00AE6907">
      <w:pPr>
        <w:pStyle w:val="ListParagraph"/>
        <w:spacing w:after="160"/>
      </w:pPr>
      <w:r w:rsidRPr="00D85252">
        <w:t>BOB ICB</w:t>
      </w:r>
      <w:r w:rsidR="00047060" w:rsidRPr="00D85252">
        <w:t xml:space="preserve"> is </w:t>
      </w:r>
      <w:r w:rsidR="00696D44">
        <w:t>the</w:t>
      </w:r>
      <w:r w:rsidR="00A01011" w:rsidRPr="00D85252">
        <w:t xml:space="preserve"> statutory body re</w:t>
      </w:r>
      <w:r w:rsidR="00DA66CD" w:rsidRPr="00D85252">
        <w:t xml:space="preserve">sponsible for planning health services to meet the needs of the </w:t>
      </w:r>
      <w:r w:rsidR="004A67DD" w:rsidRPr="00D85252">
        <w:t xml:space="preserve">Buckinghamshire, Oxfordshire and Berkshire West </w:t>
      </w:r>
      <w:r w:rsidR="00984AE2" w:rsidRPr="00D85252">
        <w:t>population and managing the budget for the provision of NHS services to this population.</w:t>
      </w:r>
      <w:r w:rsidR="00323C2C" w:rsidRPr="00D85252">
        <w:rPr>
          <w:rStyle w:val="FootnoteReference"/>
        </w:rPr>
        <w:footnoteReference w:id="7"/>
      </w:r>
      <w:r w:rsidR="001B177E">
        <w:t xml:space="preserve"> </w:t>
      </w:r>
      <w:r w:rsidR="00702D2C">
        <w:t xml:space="preserve">NHS </w:t>
      </w:r>
      <w:r w:rsidR="00702D2C" w:rsidRPr="001B6400">
        <w:t>dental services</w:t>
      </w:r>
      <w:r w:rsidR="00AC448D">
        <w:t>, includ</w:t>
      </w:r>
      <w:r w:rsidR="00305BE5">
        <w:t xml:space="preserve">ing </w:t>
      </w:r>
      <w:r w:rsidR="00AC448D">
        <w:t>mandatory a</w:t>
      </w:r>
      <w:r w:rsidR="00305BE5">
        <w:t xml:space="preserve">nd </w:t>
      </w:r>
      <w:r w:rsidR="00AC448D">
        <w:t>other dental services,</w:t>
      </w:r>
      <w:r w:rsidR="00702D2C">
        <w:t xml:space="preserve"> are commissioned by </w:t>
      </w:r>
      <w:r w:rsidR="00400CA0">
        <w:t>BOB ICB</w:t>
      </w:r>
      <w:r w:rsidR="00A2109C">
        <w:t>.</w:t>
      </w:r>
      <w:r w:rsidR="00844827" w:rsidRPr="001B6400">
        <w:rPr>
          <w:rStyle w:val="FootnoteReference"/>
        </w:rPr>
        <w:footnoteReference w:id="8"/>
      </w:r>
      <w:r w:rsidR="00400F26">
        <w:t xml:space="preserve"> </w:t>
      </w:r>
      <w:r w:rsidR="00AC448D">
        <w:t>O</w:t>
      </w:r>
      <w:r w:rsidR="00FB5D04">
        <w:t xml:space="preserve">ne element of </w:t>
      </w:r>
      <w:r w:rsidR="00AC448D">
        <w:t xml:space="preserve">mandatory dental services </w:t>
      </w:r>
      <w:r w:rsidR="00FB5D04">
        <w:t xml:space="preserve">is </w:t>
      </w:r>
      <w:r w:rsidR="00C56601">
        <w:t xml:space="preserve">routine </w:t>
      </w:r>
      <w:r w:rsidR="00CC1A87">
        <w:t>dental</w:t>
      </w:r>
      <w:r w:rsidR="00AE79CA" w:rsidRPr="001B6400">
        <w:t xml:space="preserve"> </w:t>
      </w:r>
      <w:r w:rsidR="00264FB9">
        <w:t>care</w:t>
      </w:r>
      <w:r w:rsidR="001937B2">
        <w:t xml:space="preserve">, which </w:t>
      </w:r>
      <w:r w:rsidR="00105718">
        <w:t>encompass</w:t>
      </w:r>
      <w:r w:rsidR="00590F5D">
        <w:t>es</w:t>
      </w:r>
      <w:r w:rsidR="00105718">
        <w:t xml:space="preserve"> </w:t>
      </w:r>
      <w:r w:rsidR="00F943C2">
        <w:t>examination</w:t>
      </w:r>
      <w:r w:rsidR="00CB1C02" w:rsidRPr="001B6400">
        <w:t>, diagnosis,</w:t>
      </w:r>
      <w:r w:rsidR="00CC1A87">
        <w:t xml:space="preserve"> </w:t>
      </w:r>
      <w:r w:rsidR="000E5ED5">
        <w:t>prevention</w:t>
      </w:r>
      <w:r w:rsidR="002B4534">
        <w:t xml:space="preserve"> and urgent treatment</w:t>
      </w:r>
      <w:r w:rsidR="00673E7B" w:rsidRPr="001B6400">
        <w:t>.</w:t>
      </w:r>
      <w:r w:rsidR="00E5667A" w:rsidRPr="001B6400">
        <w:rPr>
          <w:rStyle w:val="FootnoteReference"/>
        </w:rPr>
        <w:footnoteReference w:id="9"/>
      </w:r>
      <w:r w:rsidR="000919E2">
        <w:t xml:space="preserve"> </w:t>
      </w:r>
    </w:p>
    <w:p w14:paraId="1EC60C1D" w14:textId="6093BC49" w:rsidR="00AC0874" w:rsidRDefault="00AC0874" w:rsidP="00AE6907">
      <w:pPr>
        <w:pStyle w:val="ListParagraph"/>
        <w:spacing w:after="160"/>
      </w:pPr>
      <w:r w:rsidRPr="00091D00">
        <w:t xml:space="preserve">On </w:t>
      </w:r>
      <w:r w:rsidR="00121603" w:rsidRPr="00091D00">
        <w:t>25</w:t>
      </w:r>
      <w:r w:rsidR="00121603">
        <w:t xml:space="preserve"> October 202</w:t>
      </w:r>
      <w:r w:rsidR="00BE0E9B">
        <w:t>4</w:t>
      </w:r>
      <w:r w:rsidR="00121603">
        <w:t xml:space="preserve">, </w:t>
      </w:r>
      <w:r w:rsidR="00E417BD">
        <w:t xml:space="preserve">BOB ICB </w:t>
      </w:r>
      <w:r w:rsidR="004C5B1E" w:rsidRPr="00C62A38">
        <w:t xml:space="preserve">published a </w:t>
      </w:r>
      <w:r w:rsidR="00A3651B">
        <w:t>n</w:t>
      </w:r>
      <w:r w:rsidR="004C5B1E" w:rsidRPr="00C62A38">
        <w:t xml:space="preserve">otice setting out its intention to select </w:t>
      </w:r>
      <w:r w:rsidR="001937B2">
        <w:t xml:space="preserve">additional </w:t>
      </w:r>
      <w:r w:rsidR="004C5B1E" w:rsidRPr="00C62A38">
        <w:t>provider</w:t>
      </w:r>
      <w:r w:rsidR="00E417BD" w:rsidRPr="00C62A38">
        <w:t>s</w:t>
      </w:r>
      <w:r w:rsidR="00AE15F9" w:rsidRPr="00C62A38">
        <w:t xml:space="preserve"> </w:t>
      </w:r>
      <w:r w:rsidR="00B71993">
        <w:t>of</w:t>
      </w:r>
      <w:r w:rsidR="00AE15F9" w:rsidRPr="00E64E91">
        <w:t xml:space="preserve"> </w:t>
      </w:r>
      <w:r w:rsidR="00130ED6">
        <w:t>m</w:t>
      </w:r>
      <w:r w:rsidR="00E417BD">
        <w:t xml:space="preserve">andatory </w:t>
      </w:r>
      <w:r w:rsidR="00130ED6">
        <w:t>d</w:t>
      </w:r>
      <w:r w:rsidR="00E417BD">
        <w:t xml:space="preserve">ental </w:t>
      </w:r>
      <w:r w:rsidR="00130ED6">
        <w:t>s</w:t>
      </w:r>
      <w:r w:rsidR="00E417BD">
        <w:t>ervices in Oxfordshire</w:t>
      </w:r>
      <w:r w:rsidR="00305BE5">
        <w:t xml:space="preserve"> using the competitive process</w:t>
      </w:r>
      <w:r w:rsidR="00E417BD">
        <w:t xml:space="preserve">. </w:t>
      </w:r>
      <w:r w:rsidR="00B80CF9">
        <w:t xml:space="preserve">The procurement was divided into </w:t>
      </w:r>
      <w:r w:rsidR="00091D00">
        <w:t xml:space="preserve">five </w:t>
      </w:r>
      <w:r w:rsidR="00B80CF9">
        <w:t>lots</w:t>
      </w:r>
      <w:r w:rsidR="00B0707B">
        <w:t>,</w:t>
      </w:r>
      <w:r w:rsidR="00B80CF9">
        <w:t xml:space="preserve"> based on location.</w:t>
      </w:r>
      <w:r w:rsidR="000919E2">
        <w:t xml:space="preserve"> </w:t>
      </w:r>
      <w:r w:rsidR="00805C2E">
        <w:t xml:space="preserve">Each </w:t>
      </w:r>
      <w:r w:rsidR="00C14CA3">
        <w:t>contract</w:t>
      </w:r>
      <w:r w:rsidR="00805C2E">
        <w:t xml:space="preserve"> i</w:t>
      </w:r>
      <w:r w:rsidR="00C14CA3">
        <w:t>s</w:t>
      </w:r>
      <w:r w:rsidR="00A46196" w:rsidRPr="00A46196">
        <w:t xml:space="preserve"> </w:t>
      </w:r>
      <w:r w:rsidR="00A46196">
        <w:t>for ten years, without the option of extending</w:t>
      </w:r>
      <w:r w:rsidR="001E73F0">
        <w:t xml:space="preserve">, </w:t>
      </w:r>
      <w:r w:rsidR="00A46196">
        <w:t>and</w:t>
      </w:r>
      <w:r w:rsidR="001E73F0">
        <w:t xml:space="preserve"> </w:t>
      </w:r>
      <w:r w:rsidR="00805C2E">
        <w:t xml:space="preserve">the five contracts </w:t>
      </w:r>
      <w:r w:rsidR="001E73F0">
        <w:t xml:space="preserve">were intended to commence </w:t>
      </w:r>
      <w:r w:rsidR="00805C2E">
        <w:t xml:space="preserve">sometime </w:t>
      </w:r>
      <w:r w:rsidR="001E73F0">
        <w:t>between 1 April and 30</w:t>
      </w:r>
      <w:r w:rsidR="00FC04EE">
        <w:t> </w:t>
      </w:r>
      <w:r w:rsidR="001E73F0">
        <w:t>September 2025</w:t>
      </w:r>
      <w:r w:rsidR="00051129">
        <w:t xml:space="preserve">. </w:t>
      </w:r>
      <w:r w:rsidR="00662270">
        <w:t>The</w:t>
      </w:r>
      <w:r w:rsidR="00BA3F95">
        <w:t xml:space="preserve"> Cherwell East</w:t>
      </w:r>
      <w:r w:rsidR="009A7B4F">
        <w:t xml:space="preserve"> (</w:t>
      </w:r>
      <w:r w:rsidR="0050606D">
        <w:t>Lot</w:t>
      </w:r>
      <w:r w:rsidR="00D9708B">
        <w:t> </w:t>
      </w:r>
      <w:r w:rsidR="0050606D">
        <w:t>5</w:t>
      </w:r>
      <w:r w:rsidR="009A7B4F">
        <w:t>)</w:t>
      </w:r>
      <w:r w:rsidR="00680B76">
        <w:t xml:space="preserve"> contract</w:t>
      </w:r>
      <w:r w:rsidR="0050606D">
        <w:t>,</w:t>
      </w:r>
      <w:r w:rsidR="00890B28">
        <w:t xml:space="preserve"> which is the subject of this review, has a</w:t>
      </w:r>
      <w:r w:rsidR="00E0557F">
        <w:t xml:space="preserve"> </w:t>
      </w:r>
      <w:r w:rsidR="00051129">
        <w:t xml:space="preserve">total value of approximately </w:t>
      </w:r>
      <w:r w:rsidR="005D0623">
        <w:t>£</w:t>
      </w:r>
      <w:r w:rsidR="0055604D">
        <w:t>4.9</w:t>
      </w:r>
      <w:r w:rsidR="00F419EE">
        <w:t> </w:t>
      </w:r>
      <w:r w:rsidR="005D0623">
        <w:t>m</w:t>
      </w:r>
      <w:r w:rsidR="00F419EE">
        <w:t>illion</w:t>
      </w:r>
      <w:r w:rsidR="005D0623">
        <w:t xml:space="preserve"> (excluding VA</w:t>
      </w:r>
      <w:r w:rsidR="005D0623" w:rsidRPr="00C62A38">
        <w:t>T)</w:t>
      </w:r>
      <w:r w:rsidR="00E64E91" w:rsidRPr="00C62A38">
        <w:t>.</w:t>
      </w:r>
      <w:r w:rsidR="00E64E91" w:rsidRPr="00C62A38">
        <w:rPr>
          <w:rStyle w:val="FootnoteReference"/>
        </w:rPr>
        <w:footnoteReference w:id="10"/>
      </w:r>
    </w:p>
    <w:p w14:paraId="682F19B0" w14:textId="24CC5D2E" w:rsidR="00C77791" w:rsidRDefault="00414E1D" w:rsidP="00AE6907">
      <w:pPr>
        <w:pStyle w:val="ListParagraph"/>
        <w:spacing w:after="160"/>
      </w:pPr>
      <w:r>
        <w:t>Bidders’ proposals were e</w:t>
      </w:r>
      <w:r w:rsidR="00334DC5">
        <w:t>valuat</w:t>
      </w:r>
      <w:r>
        <w:t>ed</w:t>
      </w:r>
      <w:r w:rsidR="00334DC5">
        <w:t xml:space="preserve"> between 3 December 2024 and 7 February 2025.</w:t>
      </w:r>
      <w:r w:rsidR="00334DC5">
        <w:rPr>
          <w:rStyle w:val="FootnoteReference"/>
        </w:rPr>
        <w:footnoteReference w:id="11"/>
      </w:r>
      <w:r w:rsidR="00334DC5">
        <w:t xml:space="preserve"> </w:t>
      </w:r>
      <w:r w:rsidR="00351A9B" w:rsidRPr="00E53D09">
        <w:t>Bloxdent</w:t>
      </w:r>
      <w:r w:rsidR="00351A9B">
        <w:t xml:space="preserve"> and Haddenham DC Limited (Haddenham) were two of the s</w:t>
      </w:r>
      <w:r w:rsidR="004F5F2A">
        <w:t>ix bid</w:t>
      </w:r>
      <w:r w:rsidR="00351A9B">
        <w:t>der</w:t>
      </w:r>
      <w:r w:rsidR="004F5F2A">
        <w:t xml:space="preserve">s </w:t>
      </w:r>
      <w:r w:rsidR="004919C4" w:rsidRPr="00A12AB2">
        <w:t xml:space="preserve">for </w:t>
      </w:r>
      <w:r w:rsidR="00D9708B">
        <w:t>the Cherwell East (</w:t>
      </w:r>
      <w:r w:rsidR="004919C4" w:rsidRPr="00A12AB2">
        <w:t>Lot 5</w:t>
      </w:r>
      <w:r w:rsidR="00D9708B">
        <w:t>) contract</w:t>
      </w:r>
      <w:r w:rsidR="0085542F">
        <w:t>.</w:t>
      </w:r>
      <w:r w:rsidR="00BB27A4">
        <w:rPr>
          <w:rStyle w:val="FootnoteReference"/>
        </w:rPr>
        <w:footnoteReference w:id="12"/>
      </w:r>
      <w:r w:rsidR="00BB27A4">
        <w:t xml:space="preserve"> </w:t>
      </w:r>
      <w:r w:rsidR="00437140">
        <w:t xml:space="preserve">Bloxdent </w:t>
      </w:r>
      <w:r w:rsidR="009A6EB4">
        <w:t xml:space="preserve">was </w:t>
      </w:r>
      <w:r w:rsidR="00437140">
        <w:t xml:space="preserve">ranked first </w:t>
      </w:r>
      <w:r w:rsidR="002A106E">
        <w:t xml:space="preserve">(scoring </w:t>
      </w:r>
      <w:r w:rsidR="00437140">
        <w:t>81.50%</w:t>
      </w:r>
      <w:r w:rsidR="002A106E">
        <w:t>)</w:t>
      </w:r>
      <w:r w:rsidR="00437140">
        <w:t xml:space="preserve"> </w:t>
      </w:r>
      <w:r w:rsidR="0097014D">
        <w:t xml:space="preserve">while </w:t>
      </w:r>
      <w:r w:rsidR="00437140">
        <w:t xml:space="preserve">Haddenham </w:t>
      </w:r>
      <w:r w:rsidR="0097014D">
        <w:t xml:space="preserve">was </w:t>
      </w:r>
      <w:r w:rsidR="00437140">
        <w:t xml:space="preserve">ranked a close second </w:t>
      </w:r>
      <w:r w:rsidR="002A106E">
        <w:t>(</w:t>
      </w:r>
      <w:r w:rsidR="00437140">
        <w:t>scor</w:t>
      </w:r>
      <w:r w:rsidR="002A106E">
        <w:t xml:space="preserve">ing </w:t>
      </w:r>
      <w:r w:rsidR="00437140">
        <w:t>80.75%</w:t>
      </w:r>
      <w:r w:rsidR="002A106E">
        <w:t>)</w:t>
      </w:r>
      <w:r w:rsidR="00437140">
        <w:t>.</w:t>
      </w:r>
    </w:p>
    <w:p w14:paraId="25040CDD" w14:textId="687399F7" w:rsidR="00E64E91" w:rsidRDefault="00B31187" w:rsidP="00AE6907">
      <w:pPr>
        <w:pStyle w:val="ListParagraph"/>
        <w:spacing w:after="160"/>
      </w:pPr>
      <w:r>
        <w:lastRenderedPageBreak/>
        <w:t>O</w:t>
      </w:r>
      <w:r w:rsidR="00EB4B88" w:rsidRPr="00E53D09">
        <w:t xml:space="preserve">n </w:t>
      </w:r>
      <w:r w:rsidR="00E53D09" w:rsidRPr="00E53D09">
        <w:t>14</w:t>
      </w:r>
      <w:r w:rsidR="00C77791">
        <w:t> </w:t>
      </w:r>
      <w:r w:rsidR="00E53D09" w:rsidRPr="00E53D09">
        <w:t>April 2025</w:t>
      </w:r>
      <w:r w:rsidR="000667F8">
        <w:t xml:space="preserve">, </w:t>
      </w:r>
      <w:r w:rsidR="00E53D09" w:rsidRPr="00E53D09">
        <w:t>BOB ICB</w:t>
      </w:r>
      <w:r w:rsidR="00EB4B88" w:rsidRPr="00E53D09">
        <w:t xml:space="preserve"> published a</w:t>
      </w:r>
      <w:r w:rsidR="004759F2">
        <w:t xml:space="preserve">n intention to </w:t>
      </w:r>
      <w:r w:rsidR="00FC04EE">
        <w:t>a</w:t>
      </w:r>
      <w:r w:rsidR="00EB4B88" w:rsidRPr="00E53D09">
        <w:t xml:space="preserve">ward </w:t>
      </w:r>
      <w:r w:rsidR="00FC04EE">
        <w:t>n</w:t>
      </w:r>
      <w:r w:rsidR="00EB4B88" w:rsidRPr="00E53D09">
        <w:t xml:space="preserve">otice announcing </w:t>
      </w:r>
      <w:r w:rsidR="00300F74">
        <w:t xml:space="preserve">Bloxdent as </w:t>
      </w:r>
      <w:r w:rsidR="00EB4B88" w:rsidRPr="00E53D09">
        <w:t>the successful bidder</w:t>
      </w:r>
      <w:r w:rsidR="007918D7">
        <w:t>.</w:t>
      </w:r>
      <w:r w:rsidR="003A440C">
        <w:rPr>
          <w:rStyle w:val="FootnoteReference"/>
        </w:rPr>
        <w:footnoteReference w:id="13"/>
      </w:r>
    </w:p>
    <w:p w14:paraId="570727AD" w14:textId="34F50870" w:rsidR="006A7D21" w:rsidRPr="00C70A6A" w:rsidRDefault="00E02EB7" w:rsidP="00A12DF3">
      <w:pPr>
        <w:keepNext/>
        <w:spacing w:before="240"/>
        <w:rPr>
          <w:b/>
          <w:bCs/>
          <w:sz w:val="24"/>
          <w:szCs w:val="24"/>
        </w:rPr>
      </w:pPr>
      <w:r w:rsidRPr="00C70A6A">
        <w:rPr>
          <w:b/>
          <w:bCs/>
          <w:sz w:val="24"/>
          <w:szCs w:val="24"/>
        </w:rPr>
        <w:t xml:space="preserve">4.1 Haddenham’s representations </w:t>
      </w:r>
      <w:r w:rsidR="00016D6B">
        <w:rPr>
          <w:b/>
          <w:bCs/>
          <w:sz w:val="24"/>
          <w:szCs w:val="24"/>
        </w:rPr>
        <w:t xml:space="preserve">to BOB ICB </w:t>
      </w:r>
      <w:r w:rsidR="00C70A6A">
        <w:rPr>
          <w:b/>
          <w:bCs/>
          <w:sz w:val="24"/>
          <w:szCs w:val="24"/>
        </w:rPr>
        <w:t>on the provider selection process</w:t>
      </w:r>
    </w:p>
    <w:p w14:paraId="223B553A" w14:textId="25BCF2BF" w:rsidR="001F79E1" w:rsidRDefault="005E6CD3" w:rsidP="00AE6907">
      <w:pPr>
        <w:pStyle w:val="ListParagraph"/>
        <w:spacing w:after="160"/>
      </w:pPr>
      <w:bookmarkStart w:id="4" w:name="_Ref213182188"/>
      <w:r>
        <w:t xml:space="preserve">On </w:t>
      </w:r>
      <w:r w:rsidR="006A6271">
        <w:t xml:space="preserve">28 April 2025, </w:t>
      </w:r>
      <w:r w:rsidR="00557373">
        <w:t xml:space="preserve">before </w:t>
      </w:r>
      <w:r w:rsidR="00B8573C">
        <w:t xml:space="preserve">the </w:t>
      </w:r>
      <w:r w:rsidR="00B4578A">
        <w:t xml:space="preserve">standstill period </w:t>
      </w:r>
      <w:r w:rsidR="00B8573C">
        <w:t>end</w:t>
      </w:r>
      <w:r w:rsidR="00B4578A">
        <w:t>ed</w:t>
      </w:r>
      <w:r w:rsidR="00B8573C">
        <w:t xml:space="preserve">, </w:t>
      </w:r>
      <w:r w:rsidR="006A6271">
        <w:t xml:space="preserve">Haddenham </w:t>
      </w:r>
      <w:r>
        <w:t xml:space="preserve">made representations to </w:t>
      </w:r>
      <w:r w:rsidR="00CD09AC">
        <w:t>BOB ICB</w:t>
      </w:r>
      <w:r w:rsidR="00557373">
        <w:t xml:space="preserve"> </w:t>
      </w:r>
      <w:r>
        <w:t>about the provider selection process</w:t>
      </w:r>
      <w:r w:rsidR="006E2E4F">
        <w:t xml:space="preserve"> </w:t>
      </w:r>
      <w:r w:rsidR="00ED7F0B">
        <w:t>for the Cherwell East (Lot 5) contract</w:t>
      </w:r>
      <w:r w:rsidR="006E2E4F">
        <w:t>, rais</w:t>
      </w:r>
      <w:r w:rsidR="00ED7F0B">
        <w:t>ing</w:t>
      </w:r>
      <w:r w:rsidR="006E2E4F">
        <w:t xml:space="preserve"> concerns about </w:t>
      </w:r>
      <w:r w:rsidR="00686E83">
        <w:t xml:space="preserve">the </w:t>
      </w:r>
      <w:r w:rsidR="005628B9">
        <w:t>evaluation of</w:t>
      </w:r>
      <w:r w:rsidR="00187B25">
        <w:t xml:space="preserve"> responses to</w:t>
      </w:r>
      <w:r w:rsidR="005628B9">
        <w:t xml:space="preserve"> </w:t>
      </w:r>
      <w:r w:rsidR="008C330C">
        <w:t>qu</w:t>
      </w:r>
      <w:r w:rsidR="00761394">
        <w:t>estions MP01</w:t>
      </w:r>
      <w:r w:rsidR="00BD5291">
        <w:t> </w:t>
      </w:r>
      <w:r w:rsidR="00761394">
        <w:t>(Mobilisation of the service), WF01 (Staffing structure) and WF02 (Workforce).</w:t>
      </w:r>
      <w:bookmarkEnd w:id="4"/>
    </w:p>
    <w:p w14:paraId="4FA0BF71" w14:textId="68AE6FB4" w:rsidR="00D209A0" w:rsidRDefault="001429F4" w:rsidP="00AE6907">
      <w:pPr>
        <w:pStyle w:val="ListParagraph"/>
        <w:spacing w:after="160"/>
      </w:pPr>
      <w:r>
        <w:t>O</w:t>
      </w:r>
      <w:r w:rsidR="00B14504">
        <w:t>n</w:t>
      </w:r>
      <w:r>
        <w:t xml:space="preserve"> </w:t>
      </w:r>
      <w:r w:rsidR="00A76073">
        <w:t>8 May 2025</w:t>
      </w:r>
      <w:r w:rsidR="003233DD">
        <w:t xml:space="preserve">, </w:t>
      </w:r>
      <w:r>
        <w:t xml:space="preserve">having reviewed </w:t>
      </w:r>
      <w:r w:rsidR="00A76073">
        <w:t>Haddenham</w:t>
      </w:r>
      <w:r>
        <w:t>’s representations</w:t>
      </w:r>
      <w:r w:rsidR="003233DD">
        <w:t xml:space="preserve">, BOB ICB </w:t>
      </w:r>
      <w:r w:rsidR="00F55CC7">
        <w:t xml:space="preserve">told </w:t>
      </w:r>
      <w:r w:rsidR="00823C6C">
        <w:t>bidders</w:t>
      </w:r>
      <w:r w:rsidR="007F1C59">
        <w:t xml:space="preserve"> </w:t>
      </w:r>
      <w:r w:rsidR="00F55CC7">
        <w:t xml:space="preserve">that it </w:t>
      </w:r>
      <w:r w:rsidR="00721A39">
        <w:t xml:space="preserve">had decided </w:t>
      </w:r>
      <w:r w:rsidR="001A38A9">
        <w:t>to</w:t>
      </w:r>
      <w:r w:rsidR="00927A51">
        <w:t xml:space="preserve"> </w:t>
      </w:r>
      <w:r w:rsidR="0014621D">
        <w:t>re-</w:t>
      </w:r>
      <w:r w:rsidR="00927A51">
        <w:t>evaluate</w:t>
      </w:r>
      <w:r w:rsidR="00AA2984">
        <w:t xml:space="preserve"> </w:t>
      </w:r>
      <w:r w:rsidR="00BF4543">
        <w:t>their</w:t>
      </w:r>
      <w:r w:rsidR="00A13DEC">
        <w:t xml:space="preserve"> </w:t>
      </w:r>
      <w:r w:rsidR="00721A39">
        <w:t xml:space="preserve">responses to </w:t>
      </w:r>
      <w:r w:rsidR="0049505F">
        <w:t>questions MP01, WF01, and WF02</w:t>
      </w:r>
      <w:r w:rsidR="00AA2984">
        <w:t xml:space="preserve"> </w:t>
      </w:r>
      <w:r w:rsidR="001C72AF">
        <w:t xml:space="preserve">so as </w:t>
      </w:r>
      <w:r w:rsidR="00823C6C">
        <w:t>to</w:t>
      </w:r>
      <w:r w:rsidR="0040562B">
        <w:t xml:space="preserve"> </w:t>
      </w:r>
      <w:r w:rsidR="007E5971">
        <w:t>“</w:t>
      </w:r>
      <w:r w:rsidR="0040562B">
        <w:t>avoid a time consuming and potentially costly representation</w:t>
      </w:r>
      <w:r w:rsidR="007E5971">
        <w:t>”</w:t>
      </w:r>
      <w:r w:rsidR="0040562B">
        <w:t>.</w:t>
      </w:r>
      <w:r w:rsidR="003772C9">
        <w:rPr>
          <w:rStyle w:val="FootnoteReference"/>
        </w:rPr>
        <w:footnoteReference w:id="14"/>
      </w:r>
    </w:p>
    <w:p w14:paraId="0E859A9B" w14:textId="21141144" w:rsidR="001F79E1" w:rsidRDefault="00EF7727" w:rsidP="00AE6907">
      <w:pPr>
        <w:pStyle w:val="ListParagraph"/>
        <w:spacing w:after="160"/>
      </w:pPr>
      <w:r w:rsidRPr="00EF7727">
        <w:t>Bidders were not asked to resubmit or provide any new information, and a</w:t>
      </w:r>
      <w:r w:rsidR="006324F8" w:rsidRPr="00EF7727">
        <w:t xml:space="preserve"> new panel was appointed to conduct t</w:t>
      </w:r>
      <w:r w:rsidR="002C6F94" w:rsidRPr="00EF7727">
        <w:t>he re-evaluation</w:t>
      </w:r>
      <w:r w:rsidRPr="00EF7727">
        <w:t xml:space="preserve"> of bidders’ answers to the three questions</w:t>
      </w:r>
      <w:r w:rsidR="00E82EBC" w:rsidRPr="00EF7727">
        <w:t>.</w:t>
      </w:r>
      <w:r w:rsidR="00393C1F" w:rsidRPr="00EF7727">
        <w:rPr>
          <w:rStyle w:val="FootnoteReference"/>
        </w:rPr>
        <w:footnoteReference w:id="15"/>
      </w:r>
      <w:r w:rsidR="00234E98" w:rsidRPr="00EF7727">
        <w:t xml:space="preserve"> </w:t>
      </w:r>
      <w:r w:rsidR="00D720CB" w:rsidRPr="00EF7727">
        <w:t xml:space="preserve">The </w:t>
      </w:r>
      <w:r w:rsidR="006A5C01" w:rsidRPr="00EF7727">
        <w:t xml:space="preserve">re-evaluation </w:t>
      </w:r>
      <w:r w:rsidR="00152C4D" w:rsidRPr="00EF7727">
        <w:t xml:space="preserve">took place </w:t>
      </w:r>
      <w:r w:rsidR="00D720CB" w:rsidRPr="00EF7727">
        <w:t xml:space="preserve">between </w:t>
      </w:r>
      <w:r w:rsidR="00607A76" w:rsidRPr="00EF7727">
        <w:t xml:space="preserve">21 May and </w:t>
      </w:r>
      <w:r w:rsidR="000D5E84" w:rsidRPr="00EF7727">
        <w:t>2 June 2025</w:t>
      </w:r>
      <w:r w:rsidR="00E30C58" w:rsidRPr="00EF7727">
        <w:t>.</w:t>
      </w:r>
      <w:r w:rsidR="00BF4543" w:rsidRPr="00EF7727">
        <w:t xml:space="preserve"> </w:t>
      </w:r>
      <w:r w:rsidR="00E30C58" w:rsidRPr="00EF7727">
        <w:t>After</w:t>
      </w:r>
      <w:r w:rsidR="00E30C58">
        <w:t xml:space="preserve"> combining the </w:t>
      </w:r>
      <w:r w:rsidR="0046177C">
        <w:t xml:space="preserve">scores from </w:t>
      </w:r>
      <w:r w:rsidR="00E30C58">
        <w:t xml:space="preserve">the three re-evaluated questions </w:t>
      </w:r>
      <w:r w:rsidR="0046177C">
        <w:t xml:space="preserve">with the scores from </w:t>
      </w:r>
      <w:r w:rsidR="00E30C58">
        <w:t xml:space="preserve">the earlier evaluation of the other questions, Haddenham </w:t>
      </w:r>
      <w:r w:rsidR="00EF3DBE">
        <w:t xml:space="preserve">was </w:t>
      </w:r>
      <w:r w:rsidR="0016240F">
        <w:t xml:space="preserve">now </w:t>
      </w:r>
      <w:r w:rsidR="00EF3DBE">
        <w:t xml:space="preserve">ranked first, with </w:t>
      </w:r>
      <w:r w:rsidR="00E30C58">
        <w:t xml:space="preserve">a score of </w:t>
      </w:r>
      <w:r w:rsidR="008671C3">
        <w:t>85.00%</w:t>
      </w:r>
      <w:r w:rsidR="00526DDF">
        <w:t>,</w:t>
      </w:r>
      <w:r w:rsidR="00AA7404">
        <w:t xml:space="preserve"> and Bloxdent</w:t>
      </w:r>
      <w:r w:rsidR="00EF3DBE">
        <w:t xml:space="preserve"> was </w:t>
      </w:r>
      <w:r w:rsidR="00AA7404">
        <w:t xml:space="preserve">ranked second, </w:t>
      </w:r>
      <w:r w:rsidR="00EF3DBE">
        <w:t xml:space="preserve">with </w:t>
      </w:r>
      <w:r w:rsidR="00AA7404">
        <w:t xml:space="preserve">a score of </w:t>
      </w:r>
      <w:r w:rsidR="00D21E60">
        <w:t>80.00%</w:t>
      </w:r>
      <w:r w:rsidR="00AA7404">
        <w:t>.</w:t>
      </w:r>
    </w:p>
    <w:p w14:paraId="72ED779C" w14:textId="700A77E3" w:rsidR="00E30C58" w:rsidRDefault="000C73D0" w:rsidP="00AE6907">
      <w:pPr>
        <w:pStyle w:val="ListParagraph"/>
        <w:spacing w:after="160"/>
      </w:pPr>
      <w:bookmarkStart w:id="5" w:name="_Ref213839599"/>
      <w:r>
        <w:t>On 25 June 2025, BOB ICB informed bidders</w:t>
      </w:r>
      <w:r w:rsidR="002C32F6">
        <w:t xml:space="preserve">, including Bloxdent, that </w:t>
      </w:r>
      <w:r>
        <w:t xml:space="preserve">Haddenham had </w:t>
      </w:r>
      <w:r w:rsidR="005919A2">
        <w:t xml:space="preserve">now </w:t>
      </w:r>
      <w:r>
        <w:t xml:space="preserve">been selected as </w:t>
      </w:r>
      <w:r w:rsidR="00D21E60">
        <w:t>the</w:t>
      </w:r>
      <w:r>
        <w:t xml:space="preserve"> preferred bidder for </w:t>
      </w:r>
      <w:r w:rsidR="00D0796F">
        <w:t xml:space="preserve">the </w:t>
      </w:r>
      <w:r w:rsidR="00570253">
        <w:t>Cherwell East (</w:t>
      </w:r>
      <w:r>
        <w:t>Lot 5</w:t>
      </w:r>
      <w:r w:rsidR="00570253">
        <w:t>)</w:t>
      </w:r>
      <w:r w:rsidR="00D0796F">
        <w:t xml:space="preserve"> contract</w:t>
      </w:r>
      <w:r>
        <w:t>.</w:t>
      </w:r>
      <w:r>
        <w:rPr>
          <w:rStyle w:val="FootnoteReference"/>
        </w:rPr>
        <w:footnoteReference w:id="16"/>
      </w:r>
      <w:bookmarkEnd w:id="5"/>
    </w:p>
    <w:p w14:paraId="718D020B" w14:textId="3852722E" w:rsidR="00C70A6A" w:rsidRPr="00A12DF3" w:rsidRDefault="00A12DF3" w:rsidP="00A12DF3">
      <w:pPr>
        <w:keepNext/>
        <w:spacing w:before="240"/>
        <w:rPr>
          <w:b/>
          <w:bCs/>
          <w:sz w:val="24"/>
          <w:szCs w:val="24"/>
        </w:rPr>
      </w:pPr>
      <w:r>
        <w:rPr>
          <w:b/>
          <w:bCs/>
          <w:sz w:val="24"/>
          <w:szCs w:val="24"/>
        </w:rPr>
        <w:t xml:space="preserve">4.2 Bloxdent’s representations </w:t>
      </w:r>
      <w:r w:rsidR="00016D6B">
        <w:rPr>
          <w:b/>
          <w:bCs/>
          <w:sz w:val="24"/>
          <w:szCs w:val="24"/>
        </w:rPr>
        <w:t xml:space="preserve">to BOB ICB </w:t>
      </w:r>
      <w:r>
        <w:rPr>
          <w:b/>
          <w:bCs/>
          <w:sz w:val="24"/>
          <w:szCs w:val="24"/>
        </w:rPr>
        <w:t>on the provider selection process</w:t>
      </w:r>
    </w:p>
    <w:p w14:paraId="2CB06E27" w14:textId="1CFDAEE4" w:rsidR="00761AB0" w:rsidRDefault="00AD6829" w:rsidP="009567B2">
      <w:pPr>
        <w:pStyle w:val="ListParagraph"/>
        <w:spacing w:after="160"/>
      </w:pPr>
      <w:r>
        <w:t xml:space="preserve">After </w:t>
      </w:r>
      <w:r w:rsidR="00343118">
        <w:t>being told</w:t>
      </w:r>
      <w:r w:rsidR="00221A25">
        <w:t xml:space="preserve"> </w:t>
      </w:r>
      <w:r>
        <w:t xml:space="preserve">that Haddenham was the preferred bidder, </w:t>
      </w:r>
      <w:r w:rsidR="005368EC">
        <w:t>Bloxdent raised concerns</w:t>
      </w:r>
      <w:r w:rsidR="00B878E3">
        <w:t xml:space="preserve"> </w:t>
      </w:r>
      <w:r w:rsidR="00DC382B">
        <w:t xml:space="preserve">with BOB ICB </w:t>
      </w:r>
      <w:r w:rsidR="006041D9">
        <w:t xml:space="preserve">about </w:t>
      </w:r>
      <w:r w:rsidR="005D3821">
        <w:t>the provider selection process</w:t>
      </w:r>
      <w:r w:rsidR="00775272">
        <w:t xml:space="preserve">. </w:t>
      </w:r>
      <w:r w:rsidR="00221A25">
        <w:t>F</w:t>
      </w:r>
      <w:r w:rsidR="00764C7B">
        <w:t xml:space="preserve">ollowing </w:t>
      </w:r>
      <w:r w:rsidR="00870EF8">
        <w:t>f</w:t>
      </w:r>
      <w:r w:rsidR="000B10DA">
        <w:t>urther c</w:t>
      </w:r>
      <w:r w:rsidR="00931DEF">
        <w:t>orrespondence between BOB ICB and Bloxdent</w:t>
      </w:r>
      <w:r w:rsidR="00870EF8">
        <w:t xml:space="preserve">, </w:t>
      </w:r>
      <w:r w:rsidR="00B878E3">
        <w:t xml:space="preserve">BOB ICB </w:t>
      </w:r>
      <w:r w:rsidR="009B2C55">
        <w:t xml:space="preserve">told </w:t>
      </w:r>
      <w:r w:rsidR="00B878E3">
        <w:t xml:space="preserve">Bloxdent </w:t>
      </w:r>
      <w:r w:rsidR="00463D89">
        <w:t xml:space="preserve">on 8 July 2025 </w:t>
      </w:r>
      <w:r w:rsidR="009B2C55">
        <w:t>that it</w:t>
      </w:r>
      <w:r w:rsidR="00363318">
        <w:t xml:space="preserve"> </w:t>
      </w:r>
      <w:r w:rsidR="00463D89">
        <w:t xml:space="preserve">would be proceeding with </w:t>
      </w:r>
      <w:r w:rsidR="00063D99">
        <w:t>award</w:t>
      </w:r>
      <w:r w:rsidR="00463D89">
        <w:t>ing</w:t>
      </w:r>
      <w:r w:rsidR="00063D99">
        <w:t xml:space="preserve"> the contract to Haddenham</w:t>
      </w:r>
      <w:r w:rsidR="00463D89">
        <w:t xml:space="preserve">, and </w:t>
      </w:r>
      <w:r w:rsidR="00974A15">
        <w:t>published a new</w:t>
      </w:r>
      <w:r w:rsidR="00D668AB">
        <w:t xml:space="preserve"> intention to </w:t>
      </w:r>
      <w:r w:rsidR="009B2C55">
        <w:t>a</w:t>
      </w:r>
      <w:r w:rsidR="00974A15">
        <w:t xml:space="preserve">ward </w:t>
      </w:r>
      <w:r w:rsidR="009B2C55">
        <w:t>n</w:t>
      </w:r>
      <w:r w:rsidR="00974A15">
        <w:t xml:space="preserve">otice announcing </w:t>
      </w:r>
      <w:r w:rsidR="00E2494E">
        <w:t xml:space="preserve">Haddenham as </w:t>
      </w:r>
      <w:r w:rsidR="00974A15">
        <w:t>the successful bidder.</w:t>
      </w:r>
      <w:r w:rsidR="00974A15">
        <w:rPr>
          <w:rStyle w:val="FootnoteReference"/>
        </w:rPr>
        <w:footnoteReference w:id="17"/>
      </w:r>
    </w:p>
    <w:p w14:paraId="312C5B5A" w14:textId="7707291F" w:rsidR="004F3898" w:rsidRDefault="00171881" w:rsidP="009567B2">
      <w:pPr>
        <w:pStyle w:val="ListParagraph"/>
        <w:spacing w:after="160"/>
      </w:pPr>
      <w:bookmarkStart w:id="6" w:name="_Ref213592851"/>
      <w:r>
        <w:t>O</w:t>
      </w:r>
      <w:r w:rsidR="001A7532">
        <w:t xml:space="preserve">n </w:t>
      </w:r>
      <w:r w:rsidR="00F32817">
        <w:t xml:space="preserve">16 July 2025, </w:t>
      </w:r>
      <w:r w:rsidR="001A7532">
        <w:t xml:space="preserve">while still within </w:t>
      </w:r>
      <w:r w:rsidR="00F32817">
        <w:t>the standstill period, Bloxdent made representations to BOB ICB</w:t>
      </w:r>
      <w:r w:rsidR="009C7D35">
        <w:t>, and request</w:t>
      </w:r>
      <w:r w:rsidR="00310BE5">
        <w:t>ed</w:t>
      </w:r>
      <w:r w:rsidR="009C7D35">
        <w:t xml:space="preserve"> </w:t>
      </w:r>
      <w:r w:rsidR="000F3D17">
        <w:t>informatio</w:t>
      </w:r>
      <w:r w:rsidR="00EB05D0">
        <w:t>n</w:t>
      </w:r>
      <w:r w:rsidR="00045913">
        <w:t xml:space="preserve"> </w:t>
      </w:r>
      <w:r w:rsidR="006D1B56">
        <w:t>re</w:t>
      </w:r>
      <w:r w:rsidR="00310BE5">
        <w:t xml:space="preserve">garding </w:t>
      </w:r>
      <w:r w:rsidR="006D1B56">
        <w:t xml:space="preserve">the </w:t>
      </w:r>
      <w:r w:rsidR="007D14AB">
        <w:t xml:space="preserve">provider selection </w:t>
      </w:r>
      <w:r w:rsidR="006D1B56">
        <w:t>process</w:t>
      </w:r>
      <w:r w:rsidR="00F5012F">
        <w:t>.</w:t>
      </w:r>
      <w:r w:rsidR="00C26901">
        <w:t xml:space="preserve"> </w:t>
      </w:r>
      <w:r w:rsidR="00752264">
        <w:t xml:space="preserve">BOB </w:t>
      </w:r>
      <w:r w:rsidR="00EB05D0">
        <w:t xml:space="preserve">ICB responded </w:t>
      </w:r>
      <w:r w:rsidR="00F5012F">
        <w:t xml:space="preserve">to Bloxdent’s information request </w:t>
      </w:r>
      <w:r w:rsidR="00EB05D0">
        <w:t xml:space="preserve">on 24 July </w:t>
      </w:r>
      <w:r w:rsidR="004F3898">
        <w:t>and</w:t>
      </w:r>
      <w:r w:rsidR="006205C0" w:rsidRPr="006205C0">
        <w:t xml:space="preserve"> </w:t>
      </w:r>
      <w:r w:rsidR="006205C0">
        <w:t>Bloxdent</w:t>
      </w:r>
      <w:r w:rsidR="004F3898">
        <w:t xml:space="preserve">, having reviewed </w:t>
      </w:r>
      <w:r w:rsidR="00343118">
        <w:t>this information</w:t>
      </w:r>
      <w:r w:rsidR="004F3898">
        <w:t xml:space="preserve">, </w:t>
      </w:r>
      <w:r w:rsidR="00752264">
        <w:t xml:space="preserve">made further representations </w:t>
      </w:r>
      <w:r w:rsidR="004C3A60">
        <w:t>on 30</w:t>
      </w:r>
      <w:r w:rsidR="007D14AB">
        <w:t> </w:t>
      </w:r>
      <w:r w:rsidR="004C3A60">
        <w:t>July</w:t>
      </w:r>
      <w:r w:rsidR="00494D00">
        <w:t>.</w:t>
      </w:r>
      <w:bookmarkEnd w:id="6"/>
    </w:p>
    <w:p w14:paraId="34445E3F" w14:textId="7B02B024" w:rsidR="00401286" w:rsidRDefault="00147184" w:rsidP="009567B2">
      <w:pPr>
        <w:pStyle w:val="ListParagraph"/>
        <w:spacing w:after="160"/>
      </w:pPr>
      <w:r>
        <w:t>On 8</w:t>
      </w:r>
      <w:r w:rsidR="00045913">
        <w:t> </w:t>
      </w:r>
      <w:r>
        <w:t xml:space="preserve">September 2025, </w:t>
      </w:r>
      <w:r w:rsidR="00562871">
        <w:t>having reviewed</w:t>
      </w:r>
      <w:r>
        <w:t xml:space="preserve"> Bloxdent’s representations, BOB ICB </w:t>
      </w:r>
      <w:r w:rsidR="006B28A8">
        <w:t xml:space="preserve">told </w:t>
      </w:r>
      <w:r>
        <w:t xml:space="preserve">Bloxdent </w:t>
      </w:r>
      <w:r w:rsidR="006B28A8">
        <w:t xml:space="preserve">that it had decided </w:t>
      </w:r>
      <w:r>
        <w:t>to proceed with the contract award to Haddenham</w:t>
      </w:r>
      <w:r w:rsidR="00401286">
        <w:t>.</w:t>
      </w:r>
    </w:p>
    <w:p w14:paraId="4C39BC48" w14:textId="71339AC0" w:rsidR="00B14504" w:rsidRPr="00E64E91" w:rsidRDefault="00B14504" w:rsidP="009567B2">
      <w:pPr>
        <w:pStyle w:val="ListParagraph"/>
        <w:spacing w:after="160"/>
      </w:pPr>
      <w:r>
        <w:t xml:space="preserve">On </w:t>
      </w:r>
      <w:r w:rsidR="00401286">
        <w:t>11 September</w:t>
      </w:r>
      <w:r w:rsidR="00045913">
        <w:t xml:space="preserve"> 2025</w:t>
      </w:r>
      <w:r w:rsidR="00401286">
        <w:t xml:space="preserve">, </w:t>
      </w:r>
      <w:r w:rsidR="00D90EC7">
        <w:t xml:space="preserve">while still within </w:t>
      </w:r>
      <w:r w:rsidR="004C0FA6">
        <w:t xml:space="preserve">the standstill period, </w:t>
      </w:r>
      <w:r w:rsidR="00401286">
        <w:t xml:space="preserve">Bloxdent </w:t>
      </w:r>
      <w:r w:rsidR="004C0FA6">
        <w:t xml:space="preserve">asked the Panel to </w:t>
      </w:r>
      <w:r w:rsidR="00801489">
        <w:t>advise on</w:t>
      </w:r>
      <w:r w:rsidR="004C0FA6">
        <w:t xml:space="preserve"> </w:t>
      </w:r>
      <w:r w:rsidR="00401286">
        <w:t>BOB ICB</w:t>
      </w:r>
      <w:r w:rsidR="004C0FA6">
        <w:t xml:space="preserve">’s provider selection </w:t>
      </w:r>
      <w:r w:rsidR="007B6F7E">
        <w:t>process</w:t>
      </w:r>
      <w:r w:rsidR="004C0FA6">
        <w:t xml:space="preserve">. The Panel accepted this request on </w:t>
      </w:r>
      <w:r w:rsidR="00401286">
        <w:t>1</w:t>
      </w:r>
      <w:r w:rsidR="00416BB1">
        <w:t>8</w:t>
      </w:r>
      <w:r w:rsidR="00401286">
        <w:t xml:space="preserve"> September</w:t>
      </w:r>
      <w:r w:rsidR="00FE066C">
        <w:t xml:space="preserve">. On being made aware of the Panel’s acceptance decision, </w:t>
      </w:r>
      <w:r w:rsidR="00D04C6A">
        <w:lastRenderedPageBreak/>
        <w:t xml:space="preserve">BOB ICB </w:t>
      </w:r>
      <w:r w:rsidR="00FE066C">
        <w:t>confirmed that it would hold the standstill period open for the duration of the Panel’s review</w:t>
      </w:r>
      <w:r w:rsidR="00D04C6A">
        <w:t>.</w:t>
      </w:r>
    </w:p>
    <w:p w14:paraId="7C82D25B" w14:textId="416CABC5" w:rsidR="00DA200D" w:rsidRDefault="00A12DF3" w:rsidP="005E7B5C">
      <w:pPr>
        <w:pStyle w:val="Heading1"/>
        <w:spacing w:line="276" w:lineRule="auto"/>
      </w:pPr>
      <w:bookmarkStart w:id="7" w:name="_Toc215595203"/>
      <w:r>
        <w:t xml:space="preserve">5. </w:t>
      </w:r>
      <w:r w:rsidR="00DA200D">
        <w:t xml:space="preserve">Representations by </w:t>
      </w:r>
      <w:r w:rsidR="00B658F0">
        <w:t>Bloxdent</w:t>
      </w:r>
      <w:bookmarkEnd w:id="7"/>
    </w:p>
    <w:p w14:paraId="6351C71F" w14:textId="7AAD7BBB" w:rsidR="00DA200D" w:rsidRDefault="007F7511" w:rsidP="00B51B0A">
      <w:pPr>
        <w:pStyle w:val="ListParagraph"/>
      </w:pPr>
      <w:bookmarkStart w:id="8" w:name="_Ref215233641"/>
      <w:r>
        <w:t>Bloxdent</w:t>
      </w:r>
      <w:r w:rsidR="005E362F">
        <w:t xml:space="preserve">’s concerns about the provider selection process, as summarised in its </w:t>
      </w:r>
      <w:r w:rsidR="00EF35C5">
        <w:t xml:space="preserve">submission </w:t>
      </w:r>
      <w:r w:rsidR="005E362F">
        <w:t>to the Panel, were as follows:</w:t>
      </w:r>
      <w:bookmarkEnd w:id="8"/>
    </w:p>
    <w:p w14:paraId="53C17A65" w14:textId="301C5AE3" w:rsidR="003E17F5" w:rsidRPr="002044FB" w:rsidRDefault="009D514E" w:rsidP="009567B2">
      <w:pPr>
        <w:spacing w:after="120"/>
        <w:ind w:left="851"/>
        <w:rPr>
          <w:sz w:val="21"/>
          <w:szCs w:val="21"/>
        </w:rPr>
      </w:pPr>
      <w:r w:rsidRPr="002044FB">
        <w:rPr>
          <w:sz w:val="21"/>
          <w:szCs w:val="21"/>
        </w:rPr>
        <w:t>“</w:t>
      </w:r>
      <w:r w:rsidR="00063A2E" w:rsidRPr="002044FB">
        <w:rPr>
          <w:sz w:val="21"/>
          <w:szCs w:val="21"/>
        </w:rPr>
        <w:t>Bloxdent were originally award</w:t>
      </w:r>
      <w:r w:rsidR="003062E4" w:rsidRPr="002044FB">
        <w:rPr>
          <w:sz w:val="21"/>
          <w:szCs w:val="21"/>
        </w:rPr>
        <w:t>ed</w:t>
      </w:r>
      <w:r w:rsidR="00063A2E" w:rsidRPr="002044FB">
        <w:rPr>
          <w:sz w:val="21"/>
          <w:szCs w:val="21"/>
        </w:rPr>
        <w:t xml:space="preserve"> the contract and then following a rewind (the reasons for which have not been disclosed), 3 questions were </w:t>
      </w:r>
      <w:r w:rsidR="64B08A15" w:rsidRPr="002044FB">
        <w:rPr>
          <w:sz w:val="21"/>
          <w:szCs w:val="21"/>
        </w:rPr>
        <w:t>re</w:t>
      </w:r>
      <w:r w:rsidR="452D414B" w:rsidRPr="002044FB">
        <w:rPr>
          <w:sz w:val="21"/>
          <w:szCs w:val="21"/>
        </w:rPr>
        <w:t>-</w:t>
      </w:r>
      <w:r w:rsidR="64B08A15" w:rsidRPr="002044FB">
        <w:rPr>
          <w:sz w:val="21"/>
          <w:szCs w:val="21"/>
        </w:rPr>
        <w:t>assessed</w:t>
      </w:r>
      <w:r w:rsidR="00063A2E" w:rsidRPr="002044FB">
        <w:rPr>
          <w:sz w:val="21"/>
          <w:szCs w:val="21"/>
        </w:rPr>
        <w:t xml:space="preserve"> and another bidder was awarded the contract in a revised decision.</w:t>
      </w:r>
    </w:p>
    <w:p w14:paraId="770553DA" w14:textId="44E5EF3E" w:rsidR="003E17F5" w:rsidRPr="002044FB" w:rsidRDefault="003E17F5" w:rsidP="009567B2">
      <w:pPr>
        <w:spacing w:after="120"/>
        <w:ind w:left="851"/>
        <w:rPr>
          <w:sz w:val="21"/>
          <w:szCs w:val="21"/>
        </w:rPr>
      </w:pPr>
      <w:r w:rsidRPr="002044FB">
        <w:rPr>
          <w:sz w:val="21"/>
          <w:szCs w:val="21"/>
        </w:rPr>
        <w:t>“</w:t>
      </w:r>
      <w:r w:rsidR="00063A2E" w:rsidRPr="002044FB">
        <w:rPr>
          <w:sz w:val="21"/>
          <w:szCs w:val="21"/>
        </w:rPr>
        <w:t xml:space="preserve">The ICB has breached obligations of transparency under Regulation 12 in relation to the disclosure of information pertaining to the original decision to rewind. The evaluation records disclosed demonstrate evidence of manifest error including comparative scoring and failure to consider relevant information </w:t>
      </w:r>
      <w:r w:rsidR="00D319E1" w:rsidRPr="002044FB">
        <w:rPr>
          <w:sz w:val="21"/>
          <w:szCs w:val="21"/>
        </w:rPr>
        <w:t>and/or consideration of irrelevant information in remarked questions and application of undisclosed award criteria.</w:t>
      </w:r>
    </w:p>
    <w:p w14:paraId="2F8220CE" w14:textId="34CBAD18" w:rsidR="009D514E" w:rsidRPr="002044FB" w:rsidRDefault="003E17F5" w:rsidP="009567B2">
      <w:pPr>
        <w:ind w:left="851"/>
        <w:rPr>
          <w:sz w:val="21"/>
          <w:szCs w:val="21"/>
        </w:rPr>
      </w:pPr>
      <w:r w:rsidRPr="002044FB">
        <w:rPr>
          <w:sz w:val="21"/>
          <w:szCs w:val="21"/>
        </w:rPr>
        <w:t>“</w:t>
      </w:r>
      <w:r w:rsidR="00D319E1" w:rsidRPr="002044FB">
        <w:rPr>
          <w:sz w:val="21"/>
          <w:szCs w:val="21"/>
        </w:rPr>
        <w:t>The ICB’s review of its decision making has not properly considered all matters raised in the representations made and the ICB has failed to provide full transparency in relation to records it is required to keep pursuant to Regulation 24. We consider all representations to remain outstanding.”</w:t>
      </w:r>
    </w:p>
    <w:p w14:paraId="7904AE47" w14:textId="33381A5C" w:rsidR="00DA200D" w:rsidRDefault="00A12DF3" w:rsidP="005E7B5C">
      <w:pPr>
        <w:pStyle w:val="Heading1"/>
        <w:spacing w:line="276" w:lineRule="auto"/>
      </w:pPr>
      <w:bookmarkStart w:id="9" w:name="_Toc215595204"/>
      <w:r>
        <w:t xml:space="preserve">6. </w:t>
      </w:r>
      <w:r w:rsidR="00DA200D">
        <w:t>PSR regulations relevant to this review</w:t>
      </w:r>
      <w:bookmarkEnd w:id="9"/>
    </w:p>
    <w:p w14:paraId="2C8EEAAE" w14:textId="205E5CA2" w:rsidR="00DA200D" w:rsidRDefault="00236F9E" w:rsidP="009567B2">
      <w:pPr>
        <w:pStyle w:val="ListParagraph"/>
        <w:spacing w:after="160"/>
      </w:pPr>
      <w:r>
        <w:t xml:space="preserve">In its representations to the Panel, </w:t>
      </w:r>
      <w:r w:rsidR="00AA0944">
        <w:t xml:space="preserve">Bloxdent </w:t>
      </w:r>
      <w:r>
        <w:t xml:space="preserve">suggested that </w:t>
      </w:r>
      <w:r w:rsidR="00AA0944">
        <w:t xml:space="preserve">BOB ICB </w:t>
      </w:r>
      <w:r>
        <w:t xml:space="preserve">had breached the PSR regulations in relation to </w:t>
      </w:r>
      <w:r w:rsidR="00942AF6">
        <w:t xml:space="preserve">the general requirements on commissioners (as set out in Regulation 4), </w:t>
      </w:r>
      <w:r w:rsidR="007B4AFB">
        <w:t xml:space="preserve">the application of </w:t>
      </w:r>
      <w:r w:rsidR="00E23A1D">
        <w:t xml:space="preserve">the </w:t>
      </w:r>
      <w:r w:rsidR="007B4AFB">
        <w:t>key criteria (as set out in Regulation 5)</w:t>
      </w:r>
      <w:r w:rsidR="000650B5">
        <w:t xml:space="preserve">, </w:t>
      </w:r>
      <w:r w:rsidR="00ED2B38">
        <w:t>the processes to be followed</w:t>
      </w:r>
      <w:r w:rsidR="00CC6BFD">
        <w:t xml:space="preserve"> (as set out in Regulation 6), the steps that commissioners must follow when using the competitive process (as set out in Regulation 11)</w:t>
      </w:r>
      <w:r w:rsidR="008D346E">
        <w:t xml:space="preserve">, the requirements in relation to responding to representations (as set out in Regulation 12) and the </w:t>
      </w:r>
      <w:r w:rsidR="00E219AA" w:rsidRPr="00E219AA">
        <w:t>requirement to keep a record of all decisions made under the Regulations and their rationale</w:t>
      </w:r>
      <w:r w:rsidR="00E219AA" w:rsidRPr="00E219AA" w:rsidDel="00E219AA">
        <w:t xml:space="preserve"> </w:t>
      </w:r>
      <w:r w:rsidR="006A615D">
        <w:t xml:space="preserve">(as </w:t>
      </w:r>
      <w:r w:rsidR="00ED2B38">
        <w:t>set out in Regulation 24</w:t>
      </w:r>
      <w:r w:rsidR="006A615D">
        <w:t>)</w:t>
      </w:r>
      <w:r w:rsidR="00ED2B38">
        <w:t>.</w:t>
      </w:r>
    </w:p>
    <w:p w14:paraId="0D8F02B1" w14:textId="4CE78D4A" w:rsidR="00247071" w:rsidRDefault="000A180D" w:rsidP="00B51B0A">
      <w:pPr>
        <w:pStyle w:val="ListParagraph"/>
      </w:pPr>
      <w:r w:rsidRPr="000A180D">
        <w:t>Those parts of the PSR regulations most relevant to this review are set out below:</w:t>
      </w:r>
    </w:p>
    <w:p w14:paraId="1132D8AC" w14:textId="1225FDFC" w:rsidR="000A180D" w:rsidRDefault="00CB75C2" w:rsidP="002044FB">
      <w:pPr>
        <w:pStyle w:val="ListParagraph"/>
        <w:numPr>
          <w:ilvl w:val="0"/>
          <w:numId w:val="16"/>
        </w:numPr>
      </w:pPr>
      <w:r w:rsidRPr="00CB75C2">
        <w:t>Regulation 4 sets out the general requirements on relevant authorities (i.e commissioners) when selecting a provider of health care services. This states that relevant authorities “must act – (a) with a view to (i) securing the needs of the people who use the services; (ii) improving the quality of the services, and; (iii) improving the efficiency in the provision of the services; and (b) transparently, fairly and proportionately.</w:t>
      </w:r>
    </w:p>
    <w:p w14:paraId="5308CEBD" w14:textId="5C7645DE" w:rsidR="00CB75C2" w:rsidRDefault="00331016" w:rsidP="002044FB">
      <w:pPr>
        <w:pStyle w:val="ListParagraph"/>
        <w:numPr>
          <w:ilvl w:val="0"/>
          <w:numId w:val="16"/>
        </w:numPr>
      </w:pPr>
      <w:r w:rsidRPr="00331016">
        <w:t>Regulation 11 sets out the obligations that apply to commissioners when following the competitive process. It states that “(1) Where the relevant authority follows the Competitive Process, the process is that the relevant authority follows the steps set out in this regulation … (5) Step 3 is that the relevant authority assesses any offers received in accordance with the contract or framework award criteria; (6) A relevant authority may carry out step 3 in stages …”</w:t>
      </w:r>
    </w:p>
    <w:p w14:paraId="6D4F2C26" w14:textId="30737AE4" w:rsidR="00331016" w:rsidRDefault="00697620" w:rsidP="002044FB">
      <w:pPr>
        <w:pStyle w:val="ListParagraph"/>
        <w:numPr>
          <w:ilvl w:val="0"/>
          <w:numId w:val="16"/>
        </w:numPr>
      </w:pPr>
      <w:r w:rsidRPr="00697620">
        <w:t xml:space="preserve">Regulation 12 sets out the requirements on commissioners in relation to the standstill period after a contract award decision. It states that “(4) Where the </w:t>
      </w:r>
      <w:r w:rsidRPr="00697620">
        <w:lastRenderedPageBreak/>
        <w:t>relevant authority receives representations in accordance with paragraph (3), it must … (d) make a further decision where to - (i) enter into the contract or conclude the framework agreement as intended after the standstill period has ended; (ii) go back to an earlier step in the selection process and repeat that step and subsequent steps in accordance with the relevant</w:t>
      </w:r>
      <w:r w:rsidR="00122841">
        <w:t xml:space="preserve"> </w:t>
      </w:r>
      <w:r w:rsidRPr="00697620">
        <w:t>procedure …; (6) The further decision in paragraph (4)(d) must be communicated promptly, in writing, with reasons to … (b) each provider to whom the relevant authority intended at the beginning of the standstill period to award the contract …”</w:t>
      </w:r>
    </w:p>
    <w:p w14:paraId="6BDF6C5A" w14:textId="46E6176C" w:rsidR="00697620" w:rsidRDefault="00F1676C" w:rsidP="009567B2">
      <w:pPr>
        <w:pStyle w:val="ListParagraph"/>
        <w:numPr>
          <w:ilvl w:val="0"/>
          <w:numId w:val="16"/>
        </w:numPr>
        <w:spacing w:after="160"/>
        <w:ind w:left="1281" w:hanging="357"/>
      </w:pPr>
      <w:r w:rsidRPr="00F1676C">
        <w:t>Regulation 24 sets out the information that must be recorded by</w:t>
      </w:r>
      <w:r w:rsidR="00122841">
        <w:t xml:space="preserve"> </w:t>
      </w:r>
      <w:r w:rsidRPr="00F1676C">
        <w:t xml:space="preserve">commissioners. This includes </w:t>
      </w:r>
      <w:r w:rsidR="00BC6E2D">
        <w:t>“</w:t>
      </w:r>
      <w:r w:rsidRPr="00F1676C">
        <w:t>(g) the reasons for decisions made under these Regulations …”</w:t>
      </w:r>
    </w:p>
    <w:p w14:paraId="173BBE07" w14:textId="38B4496A" w:rsidR="00247071" w:rsidRPr="008B410D" w:rsidRDefault="00247071" w:rsidP="009567B2">
      <w:pPr>
        <w:pStyle w:val="ListParagraph"/>
        <w:spacing w:after="160"/>
      </w:pPr>
      <w:r>
        <w:t xml:space="preserve">The Provider Selection Regime </w:t>
      </w:r>
      <w:r w:rsidR="00800E55">
        <w:t>Statutory Guidance “sits along the Regulations to support organisations to understand and interpret the PSR regulations”.</w:t>
      </w:r>
      <w:r w:rsidR="001A2DB4">
        <w:rPr>
          <w:rStyle w:val="FootnoteReference"/>
        </w:rPr>
        <w:footnoteReference w:id="18"/>
      </w:r>
      <w:r w:rsidR="00800E55">
        <w:t xml:space="preserve"> Reference is made to relevant provisions of the Statutory Guidance in the Panel’s assessment of the issues in Section 7</w:t>
      </w:r>
      <w:r w:rsidR="001A2DB4">
        <w:t>.</w:t>
      </w:r>
      <w:r w:rsidR="001A2DB4">
        <w:rPr>
          <w:rStyle w:val="FootnoteReference"/>
        </w:rPr>
        <w:footnoteReference w:id="19"/>
      </w:r>
    </w:p>
    <w:p w14:paraId="42FD0098" w14:textId="7C7D8226" w:rsidR="00DA200D" w:rsidRDefault="00AF7E7F" w:rsidP="005E7B5C">
      <w:pPr>
        <w:pStyle w:val="Heading1"/>
        <w:spacing w:line="276" w:lineRule="auto"/>
      </w:pPr>
      <w:bookmarkStart w:id="10" w:name="_Toc215595205"/>
      <w:r>
        <w:t xml:space="preserve">7. </w:t>
      </w:r>
      <w:r w:rsidR="00DA200D">
        <w:t>Panel Assessment</w:t>
      </w:r>
      <w:bookmarkEnd w:id="10"/>
    </w:p>
    <w:p w14:paraId="5B46DA62" w14:textId="15568592" w:rsidR="003B44FE" w:rsidRDefault="00012B17" w:rsidP="009567B2">
      <w:pPr>
        <w:pStyle w:val="ListParagraph"/>
        <w:spacing w:after="160"/>
        <w:contextualSpacing/>
      </w:pPr>
      <w:r>
        <w:t>Th</w:t>
      </w:r>
      <w:r w:rsidR="00077BEF">
        <w:t xml:space="preserve">is section sets out the </w:t>
      </w:r>
      <w:r>
        <w:t>Panel</w:t>
      </w:r>
      <w:r w:rsidR="00077BEF">
        <w:t xml:space="preserve">’s assessment of </w:t>
      </w:r>
      <w:r w:rsidR="003B44FE">
        <w:t xml:space="preserve">whether BOB ICB, </w:t>
      </w:r>
      <w:r w:rsidR="00594FCA">
        <w:t>in</w:t>
      </w:r>
      <w:r w:rsidR="003B44FE">
        <w:t xml:space="preserve"> conducting the provider selection process</w:t>
      </w:r>
      <w:r w:rsidR="00BC1671">
        <w:t xml:space="preserve"> for the Cherwell East (Lot 5) contract</w:t>
      </w:r>
      <w:r w:rsidR="00BD2952">
        <w:t>, complied with the PSR regulations</w:t>
      </w:r>
      <w:r w:rsidR="006B64CE">
        <w:t xml:space="preserve"> when</w:t>
      </w:r>
      <w:r w:rsidR="00CA04B6">
        <w:t>:</w:t>
      </w:r>
    </w:p>
    <w:p w14:paraId="042306E1" w14:textId="55E9517A" w:rsidR="00A22164" w:rsidRDefault="00A94A60" w:rsidP="009567B2">
      <w:pPr>
        <w:pStyle w:val="ListParagraph"/>
        <w:numPr>
          <w:ilvl w:val="0"/>
          <w:numId w:val="10"/>
        </w:numPr>
        <w:spacing w:after="160"/>
        <w:ind w:left="1276"/>
        <w:contextualSpacing/>
      </w:pPr>
      <w:r>
        <w:t>responding to Haddenham’s representations (</w:t>
      </w:r>
      <w:r w:rsidR="00896316">
        <w:t>Section 7.1</w:t>
      </w:r>
      <w:r>
        <w:t>); and</w:t>
      </w:r>
    </w:p>
    <w:p w14:paraId="21523158" w14:textId="69750304" w:rsidR="00A94A60" w:rsidRDefault="00A94A60" w:rsidP="009567B2">
      <w:pPr>
        <w:pStyle w:val="ListParagraph"/>
        <w:numPr>
          <w:ilvl w:val="0"/>
          <w:numId w:val="10"/>
        </w:numPr>
        <w:spacing w:after="160"/>
        <w:ind w:left="1276"/>
      </w:pPr>
      <w:r>
        <w:t>responding to Bloxdent’s representations (Section 7.2).</w:t>
      </w:r>
    </w:p>
    <w:p w14:paraId="56E17F46" w14:textId="2F060BB9" w:rsidR="00CB3F11" w:rsidRPr="00B12421" w:rsidRDefault="00CB3F11" w:rsidP="00CB3F11">
      <w:pPr>
        <w:pStyle w:val="Heading2"/>
        <w:spacing w:before="240" w:after="160"/>
        <w:ind w:left="578" w:hanging="578"/>
      </w:pPr>
      <w:bookmarkStart w:id="11" w:name="_Toc215595206"/>
      <w:r w:rsidRPr="00B12421">
        <w:t>7.</w:t>
      </w:r>
      <w:r>
        <w:t>1</w:t>
      </w:r>
      <w:r>
        <w:tab/>
      </w:r>
      <w:r w:rsidRPr="00B12421">
        <w:t>BOB ICB’s re</w:t>
      </w:r>
      <w:r w:rsidR="00C142EC">
        <w:t xml:space="preserve">sponse to </w:t>
      </w:r>
      <w:r w:rsidRPr="00B12421">
        <w:t>Haddenham’s representations</w:t>
      </w:r>
      <w:bookmarkEnd w:id="11"/>
    </w:p>
    <w:p w14:paraId="6AE26F60" w14:textId="07495E5E" w:rsidR="00E64F98" w:rsidRDefault="00127DF5" w:rsidP="00594FCA">
      <w:pPr>
        <w:pStyle w:val="ListParagraph"/>
        <w:spacing w:after="160"/>
      </w:pPr>
      <w:r>
        <w:t>Bloxdent raised s</w:t>
      </w:r>
      <w:r w:rsidR="00790ECB">
        <w:t xml:space="preserve">everal </w:t>
      </w:r>
      <w:r w:rsidR="00F03CC1">
        <w:t xml:space="preserve">concerns </w:t>
      </w:r>
      <w:r w:rsidR="005C322A">
        <w:t xml:space="preserve">with the Panel </w:t>
      </w:r>
      <w:r w:rsidR="00F03CC1">
        <w:t xml:space="preserve">about </w:t>
      </w:r>
      <w:r w:rsidR="00790ECB">
        <w:t xml:space="preserve">BOB ICB’s </w:t>
      </w:r>
      <w:r w:rsidR="00325774">
        <w:t xml:space="preserve">response to </w:t>
      </w:r>
      <w:r w:rsidR="00790ECB">
        <w:t>Haddenham’s representations</w:t>
      </w:r>
      <w:r w:rsidR="00FA3CA2">
        <w:t xml:space="preserve">. This </w:t>
      </w:r>
      <w:r w:rsidR="00417B50">
        <w:t>includ</w:t>
      </w:r>
      <w:r w:rsidR="00FA3CA2">
        <w:t xml:space="preserve">ed </w:t>
      </w:r>
      <w:r w:rsidR="00164476">
        <w:t>concerns about</w:t>
      </w:r>
      <w:r w:rsidR="00417B50">
        <w:t xml:space="preserve"> </w:t>
      </w:r>
      <w:r w:rsidR="00CB3F11">
        <w:t xml:space="preserve">the transparency of BOB ICB’s decision-making </w:t>
      </w:r>
      <w:r w:rsidR="006C36AA">
        <w:t>and communications</w:t>
      </w:r>
      <w:r w:rsidR="00BE2809">
        <w:t>,</w:t>
      </w:r>
      <w:r w:rsidR="006C36AA">
        <w:t xml:space="preserve"> </w:t>
      </w:r>
      <w:r w:rsidR="00995DEA">
        <w:t xml:space="preserve">and </w:t>
      </w:r>
      <w:r w:rsidR="000C17FB">
        <w:t>its</w:t>
      </w:r>
      <w:r w:rsidR="00CB3F11">
        <w:t xml:space="preserve"> </w:t>
      </w:r>
      <w:r w:rsidR="00657290">
        <w:t xml:space="preserve">response to Bloxdent’s request for information about </w:t>
      </w:r>
      <w:r w:rsidR="00556874">
        <w:t xml:space="preserve">the </w:t>
      </w:r>
      <w:r w:rsidR="00752046">
        <w:t>review</w:t>
      </w:r>
      <w:r w:rsidR="00BA54C8">
        <w:t xml:space="preserve"> of </w:t>
      </w:r>
      <w:r w:rsidR="00556874">
        <w:t xml:space="preserve">Haddenham’s representations </w:t>
      </w:r>
      <w:r w:rsidR="009F2531">
        <w:t>(see paragraph</w:t>
      </w:r>
      <w:r w:rsidR="000E2023">
        <w:t xml:space="preserve"> 38</w:t>
      </w:r>
      <w:r w:rsidR="009F2531">
        <w:t>)</w:t>
      </w:r>
      <w:r w:rsidR="00CB3F11">
        <w:t>.</w:t>
      </w:r>
    </w:p>
    <w:p w14:paraId="69A83CD2" w14:textId="0621DAA0" w:rsidR="00CB3F11" w:rsidRDefault="009C6929" w:rsidP="00594FCA">
      <w:pPr>
        <w:pStyle w:val="ListParagraph"/>
        <w:spacing w:after="160"/>
        <w:contextualSpacing/>
      </w:pPr>
      <w:r>
        <w:t>This section sets out t</w:t>
      </w:r>
      <w:r w:rsidR="00902C40">
        <w:t xml:space="preserve">he Panel’s assessment of </w:t>
      </w:r>
      <w:r w:rsidR="007C3F5F">
        <w:t>BOB ICB’s compliance with the PSR regulations when responding to Haddenham’s representations:</w:t>
      </w:r>
    </w:p>
    <w:p w14:paraId="7E459FC2" w14:textId="1EACED3A" w:rsidR="007C3F5F" w:rsidRDefault="007C3F5F" w:rsidP="00594FCA">
      <w:pPr>
        <w:pStyle w:val="ListParagraph"/>
        <w:numPr>
          <w:ilvl w:val="0"/>
          <w:numId w:val="10"/>
        </w:numPr>
        <w:spacing w:after="160"/>
        <w:ind w:left="1276"/>
        <w:contextualSpacing/>
      </w:pPr>
      <w:r>
        <w:t xml:space="preserve">Section 7.1.1 describes </w:t>
      </w:r>
      <w:r w:rsidR="00837327">
        <w:t>BOB ICB’s</w:t>
      </w:r>
      <w:r w:rsidR="001C14A1">
        <w:t xml:space="preserve"> </w:t>
      </w:r>
      <w:r w:rsidR="003361E4">
        <w:t xml:space="preserve">process for </w:t>
      </w:r>
      <w:r w:rsidR="001C14A1">
        <w:t>review</w:t>
      </w:r>
      <w:r w:rsidR="003361E4">
        <w:t xml:space="preserve">ing </w:t>
      </w:r>
      <w:r w:rsidR="00CF64F0">
        <w:t xml:space="preserve">Haddenham’s representations and </w:t>
      </w:r>
      <w:r w:rsidR="00AA78ED">
        <w:t>the outcome from that review</w:t>
      </w:r>
      <w:r w:rsidR="00453B37">
        <w:t>;</w:t>
      </w:r>
    </w:p>
    <w:p w14:paraId="0387748A" w14:textId="7FC90E35" w:rsidR="00B45248" w:rsidRDefault="00B45248" w:rsidP="00594FCA">
      <w:pPr>
        <w:pStyle w:val="ListParagraph"/>
        <w:numPr>
          <w:ilvl w:val="0"/>
          <w:numId w:val="10"/>
        </w:numPr>
        <w:spacing w:after="160"/>
        <w:ind w:left="1276" w:hanging="357"/>
        <w:contextualSpacing/>
      </w:pPr>
      <w:r>
        <w:t>Section 7.1.</w:t>
      </w:r>
      <w:r w:rsidR="00FE571E">
        <w:t>2</w:t>
      </w:r>
      <w:r>
        <w:t xml:space="preserve"> </w:t>
      </w:r>
      <w:r w:rsidR="006360B0">
        <w:t>discusses</w:t>
      </w:r>
      <w:r>
        <w:t xml:space="preserve"> </w:t>
      </w:r>
      <w:r w:rsidR="006360B0">
        <w:t xml:space="preserve">BOB ICB’s recordkeeping </w:t>
      </w:r>
      <w:r w:rsidR="00AA78ED">
        <w:t>in relation</w:t>
      </w:r>
      <w:r w:rsidR="006360B0">
        <w:t xml:space="preserve"> to its review of Haddenham’s representations;</w:t>
      </w:r>
    </w:p>
    <w:p w14:paraId="61EACF78" w14:textId="2732BCDF" w:rsidR="006360B0" w:rsidRDefault="006360B0" w:rsidP="00594FCA">
      <w:pPr>
        <w:pStyle w:val="ListParagraph"/>
        <w:numPr>
          <w:ilvl w:val="0"/>
          <w:numId w:val="10"/>
        </w:numPr>
        <w:spacing w:after="160"/>
        <w:ind w:left="1276" w:hanging="357"/>
        <w:contextualSpacing/>
      </w:pPr>
      <w:r>
        <w:t>Section 7.1.</w:t>
      </w:r>
      <w:r w:rsidR="00FE571E">
        <w:t>3</w:t>
      </w:r>
      <w:r>
        <w:t xml:space="preserve"> discusses </w:t>
      </w:r>
      <w:r w:rsidR="00026979">
        <w:t xml:space="preserve">BOB ICB’s communication </w:t>
      </w:r>
      <w:r w:rsidR="003771EB">
        <w:t xml:space="preserve">to bidders </w:t>
      </w:r>
      <w:r w:rsidR="00026979">
        <w:t xml:space="preserve">of its </w:t>
      </w:r>
      <w:r w:rsidR="001F09B1">
        <w:t xml:space="preserve">‘further </w:t>
      </w:r>
      <w:r w:rsidR="00026979">
        <w:t>decision</w:t>
      </w:r>
      <w:r w:rsidR="001F09B1">
        <w:t>’</w:t>
      </w:r>
      <w:r w:rsidR="00026979">
        <w:t xml:space="preserve"> to re-evaluate</w:t>
      </w:r>
      <w:r w:rsidR="00D82AC3">
        <w:t xml:space="preserve"> </w:t>
      </w:r>
      <w:r w:rsidR="001F09B1">
        <w:t xml:space="preserve">bidders’ </w:t>
      </w:r>
      <w:r w:rsidR="00D82AC3">
        <w:t>responses to the three questions</w:t>
      </w:r>
      <w:r w:rsidR="00994B70">
        <w:t xml:space="preserve"> where Haddenham raised concerns</w:t>
      </w:r>
      <w:r w:rsidR="00D82AC3">
        <w:t>;</w:t>
      </w:r>
    </w:p>
    <w:p w14:paraId="50D024DB" w14:textId="22140ED7" w:rsidR="00D82AC3" w:rsidRDefault="00D82AC3" w:rsidP="00594FCA">
      <w:pPr>
        <w:pStyle w:val="ListParagraph"/>
        <w:numPr>
          <w:ilvl w:val="0"/>
          <w:numId w:val="10"/>
        </w:numPr>
        <w:spacing w:after="160"/>
        <w:ind w:left="1276" w:hanging="357"/>
        <w:contextualSpacing/>
      </w:pPr>
      <w:r>
        <w:t>Section 7.1.</w:t>
      </w:r>
      <w:r w:rsidR="00FE571E">
        <w:t>4</w:t>
      </w:r>
      <w:r>
        <w:t xml:space="preserve"> discusses BOB ICB’s response to Bloxdent’s request for information about its </w:t>
      </w:r>
      <w:r w:rsidR="001F09B1">
        <w:t xml:space="preserve">‘further </w:t>
      </w:r>
      <w:r>
        <w:t>decision</w:t>
      </w:r>
      <w:r w:rsidR="001F09B1">
        <w:t>’</w:t>
      </w:r>
      <w:r w:rsidR="00092DFF">
        <w:t>; and</w:t>
      </w:r>
    </w:p>
    <w:p w14:paraId="30E3AA5A" w14:textId="3C7EA60E" w:rsidR="00092DFF" w:rsidRDefault="00092DFF" w:rsidP="00594FCA">
      <w:pPr>
        <w:pStyle w:val="ListParagraph"/>
        <w:numPr>
          <w:ilvl w:val="0"/>
          <w:numId w:val="10"/>
        </w:numPr>
        <w:spacing w:after="160"/>
        <w:ind w:left="1276"/>
      </w:pPr>
      <w:r>
        <w:t xml:space="preserve">Section </w:t>
      </w:r>
      <w:r w:rsidR="00B14D73">
        <w:t>7.1.</w:t>
      </w:r>
      <w:r>
        <w:t>5 summarises the Panel’s conclusions</w:t>
      </w:r>
      <w:r w:rsidR="00B85C37">
        <w:t>.</w:t>
      </w:r>
    </w:p>
    <w:p w14:paraId="1394577A" w14:textId="27F60782" w:rsidR="00B14D73" w:rsidRPr="002044FB" w:rsidRDefault="00B14D73" w:rsidP="002044FB">
      <w:pPr>
        <w:keepNext/>
        <w:spacing w:before="240"/>
        <w:rPr>
          <w:b/>
          <w:bCs/>
        </w:rPr>
      </w:pPr>
      <w:r w:rsidRPr="002044FB">
        <w:rPr>
          <w:b/>
          <w:bCs/>
        </w:rPr>
        <w:lastRenderedPageBreak/>
        <w:t xml:space="preserve">7.1.1 </w:t>
      </w:r>
      <w:r w:rsidR="00CB46A8">
        <w:rPr>
          <w:b/>
          <w:bCs/>
        </w:rPr>
        <w:t xml:space="preserve">BOB ICB’s </w:t>
      </w:r>
      <w:r w:rsidR="007F517F">
        <w:rPr>
          <w:b/>
          <w:bCs/>
        </w:rPr>
        <w:t xml:space="preserve">process for </w:t>
      </w:r>
      <w:r w:rsidR="00861898">
        <w:rPr>
          <w:b/>
          <w:bCs/>
        </w:rPr>
        <w:t>review</w:t>
      </w:r>
      <w:r w:rsidR="007F517F">
        <w:rPr>
          <w:b/>
          <w:bCs/>
        </w:rPr>
        <w:t>ing</w:t>
      </w:r>
      <w:r w:rsidRPr="002044FB">
        <w:rPr>
          <w:b/>
          <w:bCs/>
        </w:rPr>
        <w:t xml:space="preserve"> Haddenham’s representations</w:t>
      </w:r>
    </w:p>
    <w:p w14:paraId="23DC8AE5" w14:textId="77D0BB0D" w:rsidR="00CB3F11" w:rsidRDefault="00CB3F11" w:rsidP="002044FB">
      <w:pPr>
        <w:pStyle w:val="ListParagraph"/>
        <w:spacing w:after="160"/>
      </w:pPr>
      <w:r>
        <w:t>Haddenham’s representations to BOB ICB</w:t>
      </w:r>
      <w:r w:rsidR="00DF225B">
        <w:t>, made on 28 April 2025,</w:t>
      </w:r>
      <w:r>
        <w:t xml:space="preserve"> raised concerns about the evaluation of responses to three questions, namely MP01 (Mobilisation of the service), WF01 (Staffing structure) and WF02 (Workforce).</w:t>
      </w:r>
      <w:r w:rsidR="00FC7771">
        <w:rPr>
          <w:rStyle w:val="FootnoteReference"/>
        </w:rPr>
        <w:footnoteReference w:id="20"/>
      </w:r>
    </w:p>
    <w:p w14:paraId="5EC94204" w14:textId="6A82C4E3" w:rsidR="00CB3F11" w:rsidRDefault="00CB3F11" w:rsidP="002044FB">
      <w:pPr>
        <w:pStyle w:val="ListParagraph"/>
        <w:spacing w:after="160"/>
      </w:pPr>
      <w:bookmarkStart w:id="12" w:name="_Ref215239763"/>
      <w:r>
        <w:t>BOB ICB told the Panel that</w:t>
      </w:r>
      <w:r w:rsidR="00DF225B">
        <w:t xml:space="preserve"> </w:t>
      </w:r>
      <w:r w:rsidR="00667251">
        <w:t xml:space="preserve">its </w:t>
      </w:r>
      <w:r w:rsidR="00DF225B">
        <w:t xml:space="preserve">response to </w:t>
      </w:r>
      <w:r>
        <w:t xml:space="preserve">Haddenham’s representations </w:t>
      </w:r>
      <w:r w:rsidR="00F22506">
        <w:t xml:space="preserve">was </w:t>
      </w:r>
      <w:r w:rsidR="00177FCF">
        <w:t>first</w:t>
      </w:r>
      <w:r w:rsidR="00F22506">
        <w:t xml:space="preserve"> considered </w:t>
      </w:r>
      <w:r w:rsidR="004F6B15">
        <w:t>on 30 April</w:t>
      </w:r>
      <w:r w:rsidR="004F6B15" w:rsidRPr="002B27C8">
        <w:t xml:space="preserve"> </w:t>
      </w:r>
      <w:r w:rsidR="004F6B15">
        <w:t xml:space="preserve">2025 </w:t>
      </w:r>
      <w:r w:rsidR="00F22506">
        <w:t xml:space="preserve">at a meeting between </w:t>
      </w:r>
      <w:r w:rsidR="00D218AD">
        <w:t xml:space="preserve">staff from </w:t>
      </w:r>
      <w:r w:rsidR="005D4AD7">
        <w:t xml:space="preserve">BOB ICB and </w:t>
      </w:r>
      <w:r w:rsidR="007612C8">
        <w:t xml:space="preserve">South Central and West </w:t>
      </w:r>
      <w:r w:rsidR="008D0880">
        <w:t xml:space="preserve">Commissioning Support Unit </w:t>
      </w:r>
      <w:r w:rsidR="007612C8">
        <w:t>(</w:t>
      </w:r>
      <w:r w:rsidR="005D4AD7">
        <w:t>SCW CSU</w:t>
      </w:r>
      <w:r w:rsidR="008D0880">
        <w:t>)</w:t>
      </w:r>
      <w:r>
        <w:t>.</w:t>
      </w:r>
      <w:r w:rsidR="00317605">
        <w:rPr>
          <w:rStyle w:val="FootnoteReference"/>
        </w:rPr>
        <w:footnoteReference w:id="21"/>
      </w:r>
      <w:r>
        <w:t xml:space="preserve"> SCW CSU </w:t>
      </w:r>
      <w:r w:rsidR="006D4B50">
        <w:t xml:space="preserve">agreed to </w:t>
      </w:r>
      <w:r>
        <w:t xml:space="preserve">pull together the information requested by Haddenham, and </w:t>
      </w:r>
      <w:r w:rsidR="00B0723E">
        <w:t>to</w:t>
      </w:r>
      <w:r w:rsidR="0095297D">
        <w:t xml:space="preserve"> </w:t>
      </w:r>
      <w:r>
        <w:t>start looking at the merits of Haddenham’s representation.</w:t>
      </w:r>
      <w:r>
        <w:rPr>
          <w:rStyle w:val="FootnoteReference"/>
        </w:rPr>
        <w:footnoteReference w:id="22"/>
      </w:r>
      <w:r>
        <w:t xml:space="preserve"> </w:t>
      </w:r>
      <w:r w:rsidR="00D86F8D">
        <w:t>N</w:t>
      </w:r>
      <w:r>
        <w:t>o record was taken of this meeting.</w:t>
      </w:r>
      <w:bookmarkEnd w:id="12"/>
    </w:p>
    <w:p w14:paraId="69F67096" w14:textId="606C5240" w:rsidR="00CB3F11" w:rsidRDefault="00B576E5" w:rsidP="002044FB">
      <w:pPr>
        <w:pStyle w:val="ListParagraph"/>
        <w:spacing w:after="160"/>
      </w:pPr>
      <w:bookmarkStart w:id="13" w:name="_Ref213836042"/>
      <w:bookmarkStart w:id="14" w:name="_Ref215239785"/>
      <w:bookmarkStart w:id="15" w:name="_Ref213601506"/>
      <w:r>
        <w:t>BOB ICB</w:t>
      </w:r>
      <w:r w:rsidR="00CB3F11">
        <w:t xml:space="preserve"> told the Panel that </w:t>
      </w:r>
      <w:r w:rsidR="00C05AC2">
        <w:t xml:space="preserve">Haddenham’s representations </w:t>
      </w:r>
      <w:r w:rsidR="005429CA">
        <w:t xml:space="preserve">were </w:t>
      </w:r>
      <w:r w:rsidR="00CB3F11">
        <w:t>“entirely focused on those three questions, WF01, WF02 and MP01 … our focus was therefore immediately on WF01, WF02 and MP01”.</w:t>
      </w:r>
      <w:r w:rsidR="00CB3F11">
        <w:rPr>
          <w:rStyle w:val="FootnoteReference"/>
        </w:rPr>
        <w:footnoteReference w:id="23"/>
      </w:r>
      <w:r w:rsidR="00CB3F11">
        <w:t xml:space="preserve"> </w:t>
      </w:r>
      <w:r w:rsidR="002F6308">
        <w:t xml:space="preserve">It </w:t>
      </w:r>
      <w:r w:rsidR="00E17CF4">
        <w:t xml:space="preserve">said </w:t>
      </w:r>
      <w:r w:rsidR="002F6308">
        <w:t>that a</w:t>
      </w:r>
      <w:r w:rsidR="00137D9C">
        <w:t>n</w:t>
      </w:r>
      <w:r w:rsidR="00CB3F11">
        <w:t xml:space="preserve"> SCW CSU staff </w:t>
      </w:r>
      <w:r w:rsidR="0037563A">
        <w:t xml:space="preserve">member </w:t>
      </w:r>
      <w:r w:rsidR="00CB3F11">
        <w:t>carried out a “headline review” of Haddenham’s representations, focusing on</w:t>
      </w:r>
      <w:r w:rsidR="00793B9E">
        <w:t xml:space="preserve"> these three</w:t>
      </w:r>
      <w:r w:rsidR="00CB3F11">
        <w:t xml:space="preserve"> questions, but also look</w:t>
      </w:r>
      <w:r w:rsidR="003462B6">
        <w:t>ing</w:t>
      </w:r>
      <w:r w:rsidR="00CB3F11">
        <w:t xml:space="preserve"> “at every other question … to see if there were any other obvious errors or omissions”.</w:t>
      </w:r>
      <w:r w:rsidR="00CB3F11">
        <w:rPr>
          <w:rStyle w:val="FootnoteReference"/>
        </w:rPr>
        <w:footnoteReference w:id="24"/>
      </w:r>
      <w:r w:rsidR="00CB3F11">
        <w:t xml:space="preserve"> The Panel notes that there are no contemporaneous documents setting out how this “headline review” was conducted or its conclusions.</w:t>
      </w:r>
      <w:bookmarkEnd w:id="13"/>
      <w:bookmarkEnd w:id="14"/>
    </w:p>
    <w:p w14:paraId="2E4A223B" w14:textId="4600896A" w:rsidR="00CB3F11" w:rsidRDefault="00C86648" w:rsidP="002044FB">
      <w:pPr>
        <w:pStyle w:val="ListParagraph"/>
        <w:spacing w:after="160"/>
      </w:pPr>
      <w:bookmarkStart w:id="16" w:name="_Ref215239768"/>
      <w:bookmarkStart w:id="17" w:name="_Ref213849779"/>
      <w:r>
        <w:t>On 6 May 2025, f</w:t>
      </w:r>
      <w:r w:rsidR="00CB3F11">
        <w:t>ollowing the headline review</w:t>
      </w:r>
      <w:r w:rsidR="00041363">
        <w:t>’s completion</w:t>
      </w:r>
      <w:r w:rsidR="00CB3F11">
        <w:t xml:space="preserve">, SCW CSU staff </w:t>
      </w:r>
      <w:r w:rsidR="00AA668C">
        <w:t xml:space="preserve">met and </w:t>
      </w:r>
      <w:r w:rsidR="00CB3F11">
        <w:t>concluded that there was “arguable merit” to Haddenham’s representations.</w:t>
      </w:r>
      <w:r w:rsidR="00CB3F11">
        <w:rPr>
          <w:rStyle w:val="FootnoteReference"/>
        </w:rPr>
        <w:footnoteReference w:id="25"/>
      </w:r>
      <w:r w:rsidR="00CB3F11">
        <w:t xml:space="preserve"> </w:t>
      </w:r>
      <w:bookmarkEnd w:id="15"/>
      <w:r>
        <w:t xml:space="preserve">On 7 May, SCW CSU and BOB ICB staff </w:t>
      </w:r>
      <w:bookmarkStart w:id="18" w:name="_Ref213598875"/>
      <w:r w:rsidR="006601B5">
        <w:t xml:space="preserve">met and </w:t>
      </w:r>
      <w:r w:rsidR="00CB3F11">
        <w:t>“concluded that it could be argued that the ICB had erroneously and unfairly evaluated Haddenham’s and Bloxdent’s bids, and incorrectly scored three specific questions: MP01, WF01 and WF02”.</w:t>
      </w:r>
      <w:r w:rsidR="00CB3F11">
        <w:rPr>
          <w:rStyle w:val="FootnoteReference"/>
        </w:rPr>
        <w:footnoteReference w:id="26"/>
      </w:r>
      <w:r w:rsidR="00CB3F11" w:rsidRPr="009301F9">
        <w:t xml:space="preserve"> </w:t>
      </w:r>
      <w:r w:rsidR="00312623">
        <w:t>N</w:t>
      </w:r>
      <w:r w:rsidR="00CB3F11">
        <w:t>o record was taken of the meetings</w:t>
      </w:r>
      <w:r w:rsidR="009B20C8">
        <w:t xml:space="preserve"> on 6 and 7 May</w:t>
      </w:r>
      <w:r w:rsidR="00CB3F11">
        <w:t>.</w:t>
      </w:r>
      <w:bookmarkEnd w:id="16"/>
    </w:p>
    <w:p w14:paraId="6D0FEEF3" w14:textId="006DD61D" w:rsidR="00CB3F11" w:rsidRDefault="00CB3F11" w:rsidP="002044FB">
      <w:pPr>
        <w:pStyle w:val="ListParagraph"/>
        <w:spacing w:after="160"/>
      </w:pPr>
      <w:r>
        <w:t xml:space="preserve">BOB ICB decided at, or soon after, the 7 May meeting that a new evaluation panel should re-evaluate </w:t>
      </w:r>
      <w:r w:rsidR="00B04009">
        <w:t>responses to questions MP01, WF01 and WF02</w:t>
      </w:r>
      <w:r w:rsidR="00D562D7">
        <w:t xml:space="preserve"> by all bidders for the Cherwell East (Lot 5) contract</w:t>
      </w:r>
      <w:r w:rsidR="00FF74CD">
        <w:t xml:space="preserve"> (the ‘further decision’)</w:t>
      </w:r>
      <w:r>
        <w:t>.</w:t>
      </w:r>
      <w:bookmarkEnd w:id="17"/>
      <w:bookmarkEnd w:id="18"/>
      <w:r w:rsidR="00217D72">
        <w:rPr>
          <w:rStyle w:val="FootnoteReference"/>
        </w:rPr>
        <w:footnoteReference w:id="27"/>
      </w:r>
      <w:r w:rsidR="00F87CDF">
        <w:t xml:space="preserve"> </w:t>
      </w:r>
      <w:r w:rsidR="009541F2">
        <w:t>On 8</w:t>
      </w:r>
      <w:r w:rsidR="008B446C">
        <w:t> </w:t>
      </w:r>
      <w:r w:rsidR="009541F2">
        <w:t>May, th</w:t>
      </w:r>
      <w:r w:rsidR="00765A3E">
        <w:t xml:space="preserve">is </w:t>
      </w:r>
      <w:r w:rsidR="00F87CDF">
        <w:t>decision was communicated to bidders</w:t>
      </w:r>
      <w:r w:rsidR="00D565FF">
        <w:t>.</w:t>
      </w:r>
    </w:p>
    <w:p w14:paraId="5FAC4CE2" w14:textId="4AAB28BB" w:rsidR="006E6F49" w:rsidRDefault="006E6F49" w:rsidP="002044FB">
      <w:pPr>
        <w:pStyle w:val="ListParagraph"/>
        <w:spacing w:after="160"/>
      </w:pPr>
      <w:bookmarkStart w:id="19" w:name="_Ref215557093"/>
      <w:r>
        <w:t xml:space="preserve">BOB ICB told the Panel during this review that </w:t>
      </w:r>
      <w:r w:rsidR="00B068B8">
        <w:t>t</w:t>
      </w:r>
      <w:r>
        <w:t xml:space="preserve">he “headline review” and the subsequent decision to re-evaluate </w:t>
      </w:r>
      <w:r w:rsidR="001F4D08">
        <w:t xml:space="preserve">bidders’ responses to the three questions </w:t>
      </w:r>
      <w:r>
        <w:t xml:space="preserve">“was done with the right intentions, but was actually done too fast”. It </w:t>
      </w:r>
      <w:r w:rsidR="003E0AED">
        <w:t>said</w:t>
      </w:r>
      <w:r>
        <w:t xml:space="preserve"> that “very quickly, perhaps too hastily, [we] immediately decided to … not necessarily say that these scores were wrong, but they deserve to be re-scored”. It </w:t>
      </w:r>
      <w:r w:rsidR="00B068B8">
        <w:t xml:space="preserve">went on to say that </w:t>
      </w:r>
      <w:r>
        <w:t>“we immediately saw that there was a problem and we therefore didn’t see the point in dragging things out”.</w:t>
      </w:r>
      <w:r>
        <w:rPr>
          <w:rStyle w:val="FootnoteReference"/>
        </w:rPr>
        <w:footnoteReference w:id="28"/>
      </w:r>
      <w:bookmarkEnd w:id="19"/>
    </w:p>
    <w:p w14:paraId="6F7365C7" w14:textId="6719043F" w:rsidR="00074A86" w:rsidRDefault="007534DC" w:rsidP="00074A86">
      <w:pPr>
        <w:pStyle w:val="ListParagraph"/>
      </w:pPr>
      <w:r>
        <w:lastRenderedPageBreak/>
        <w:t>T</w:t>
      </w:r>
      <w:r w:rsidR="00074A86">
        <w:t xml:space="preserve">able </w:t>
      </w:r>
      <w:r>
        <w:t xml:space="preserve">7.1 </w:t>
      </w:r>
      <w:r w:rsidR="00074A86">
        <w:t xml:space="preserve">provides a chronology of key events </w:t>
      </w:r>
      <w:r w:rsidR="0089761B">
        <w:t xml:space="preserve">in </w:t>
      </w:r>
      <w:r w:rsidR="00043CD4">
        <w:t>BOB ICB’s review of</w:t>
      </w:r>
      <w:r w:rsidR="00074A86">
        <w:t xml:space="preserve"> Haddenham</w:t>
      </w:r>
      <w:r w:rsidR="009940F8">
        <w:t>’s</w:t>
      </w:r>
      <w:r w:rsidR="00074A86">
        <w:t xml:space="preserve"> representation</w:t>
      </w:r>
      <w:r w:rsidR="00FB0ABA">
        <w:t>s</w:t>
      </w:r>
      <w:r w:rsidR="00DB1F64">
        <w:t>.</w:t>
      </w:r>
    </w:p>
    <w:p w14:paraId="3914751C" w14:textId="42DEA009" w:rsidR="00074A86" w:rsidRPr="00881865" w:rsidRDefault="00074A86" w:rsidP="00074A86">
      <w:pPr>
        <w:keepNext/>
        <w:spacing w:before="240" w:after="120"/>
        <w:rPr>
          <w:b/>
          <w:bCs/>
          <w:sz w:val="20"/>
          <w:szCs w:val="20"/>
        </w:rPr>
      </w:pPr>
      <w:r w:rsidRPr="00881865">
        <w:rPr>
          <w:b/>
          <w:bCs/>
          <w:sz w:val="20"/>
          <w:szCs w:val="20"/>
        </w:rPr>
        <w:t xml:space="preserve">Table 7.1: </w:t>
      </w:r>
      <w:r>
        <w:rPr>
          <w:b/>
          <w:bCs/>
          <w:sz w:val="20"/>
          <w:szCs w:val="20"/>
        </w:rPr>
        <w:t>Key dates in the review of Haddenham’s representations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55"/>
        <w:gridCol w:w="7461"/>
      </w:tblGrid>
      <w:tr w:rsidR="00074A86" w:rsidRPr="00485E6E" w14:paraId="4506480A" w14:textId="77777777">
        <w:tc>
          <w:tcPr>
            <w:tcW w:w="1555" w:type="dxa"/>
            <w:shd w:val="clear" w:color="auto" w:fill="D9D9D9" w:themeFill="background1" w:themeFillShade="D9"/>
          </w:tcPr>
          <w:p w14:paraId="60DD89B6" w14:textId="77777777" w:rsidR="00074A86" w:rsidRPr="00485E6E" w:rsidRDefault="00074A86">
            <w:pPr>
              <w:spacing w:before="60" w:after="60"/>
              <w:rPr>
                <w:b/>
                <w:bCs/>
                <w:sz w:val="18"/>
                <w:szCs w:val="18"/>
              </w:rPr>
            </w:pPr>
            <w:r w:rsidRPr="00485E6E">
              <w:rPr>
                <w:b/>
                <w:bCs/>
                <w:sz w:val="18"/>
                <w:szCs w:val="18"/>
              </w:rPr>
              <w:t>Date</w:t>
            </w:r>
          </w:p>
        </w:tc>
        <w:tc>
          <w:tcPr>
            <w:tcW w:w="7461" w:type="dxa"/>
            <w:shd w:val="clear" w:color="auto" w:fill="D9D9D9" w:themeFill="background1" w:themeFillShade="D9"/>
          </w:tcPr>
          <w:p w14:paraId="2DF90374" w14:textId="77777777" w:rsidR="00074A86" w:rsidRPr="00485E6E" w:rsidRDefault="00074A86">
            <w:pPr>
              <w:spacing w:before="60" w:after="60"/>
              <w:rPr>
                <w:b/>
                <w:bCs/>
                <w:sz w:val="18"/>
                <w:szCs w:val="18"/>
              </w:rPr>
            </w:pPr>
            <w:r w:rsidRPr="00485E6E">
              <w:rPr>
                <w:b/>
                <w:bCs/>
                <w:sz w:val="18"/>
                <w:szCs w:val="18"/>
              </w:rPr>
              <w:t>Event</w:t>
            </w:r>
          </w:p>
        </w:tc>
      </w:tr>
      <w:tr w:rsidR="00074A86" w:rsidRPr="00606984" w14:paraId="677C34E6" w14:textId="77777777">
        <w:tc>
          <w:tcPr>
            <w:tcW w:w="1555" w:type="dxa"/>
          </w:tcPr>
          <w:p w14:paraId="1D068BBD" w14:textId="77777777" w:rsidR="00074A86" w:rsidRPr="00606984" w:rsidRDefault="00074A86">
            <w:pPr>
              <w:spacing w:before="60" w:after="60"/>
              <w:jc w:val="center"/>
              <w:rPr>
                <w:sz w:val="18"/>
                <w:szCs w:val="18"/>
              </w:rPr>
            </w:pPr>
            <w:r>
              <w:rPr>
                <w:sz w:val="18"/>
                <w:szCs w:val="18"/>
              </w:rPr>
              <w:t>14 Apr 2025</w:t>
            </w:r>
          </w:p>
        </w:tc>
        <w:tc>
          <w:tcPr>
            <w:tcW w:w="7461" w:type="dxa"/>
          </w:tcPr>
          <w:p w14:paraId="1F2B9EEA" w14:textId="77777777" w:rsidR="00074A86" w:rsidRPr="00606984" w:rsidRDefault="00074A86">
            <w:pPr>
              <w:spacing w:before="60" w:after="60"/>
              <w:rPr>
                <w:sz w:val="18"/>
                <w:szCs w:val="18"/>
              </w:rPr>
            </w:pPr>
            <w:r>
              <w:rPr>
                <w:sz w:val="18"/>
                <w:szCs w:val="18"/>
              </w:rPr>
              <w:t>BOB ICB publishes an intention to award notice announcing Bloxdent as the successful bidder for the Cherwell East (Lot 5) contract.</w:t>
            </w:r>
          </w:p>
        </w:tc>
      </w:tr>
      <w:tr w:rsidR="00074A86" w:rsidRPr="00606984" w14:paraId="0650ADF3" w14:textId="77777777">
        <w:tc>
          <w:tcPr>
            <w:tcW w:w="1555" w:type="dxa"/>
          </w:tcPr>
          <w:p w14:paraId="7B6E7C34" w14:textId="6078AEA2" w:rsidR="00074A86" w:rsidRPr="00606984" w:rsidRDefault="00074A86">
            <w:pPr>
              <w:spacing w:before="60" w:after="60"/>
              <w:jc w:val="center"/>
              <w:rPr>
                <w:sz w:val="18"/>
                <w:szCs w:val="18"/>
              </w:rPr>
            </w:pPr>
            <w:r>
              <w:rPr>
                <w:sz w:val="18"/>
                <w:szCs w:val="18"/>
              </w:rPr>
              <w:t>28 Apr</w:t>
            </w:r>
            <w:r w:rsidR="00DD7755">
              <w:rPr>
                <w:sz w:val="18"/>
                <w:szCs w:val="18"/>
              </w:rPr>
              <w:t xml:space="preserve"> 2025</w:t>
            </w:r>
          </w:p>
        </w:tc>
        <w:tc>
          <w:tcPr>
            <w:tcW w:w="7461" w:type="dxa"/>
          </w:tcPr>
          <w:p w14:paraId="589FD239" w14:textId="2B4526ED" w:rsidR="00074A86" w:rsidRPr="00606984" w:rsidRDefault="00074A86">
            <w:pPr>
              <w:spacing w:before="60" w:after="60"/>
              <w:rPr>
                <w:sz w:val="18"/>
                <w:szCs w:val="18"/>
              </w:rPr>
            </w:pPr>
            <w:r>
              <w:rPr>
                <w:sz w:val="18"/>
                <w:szCs w:val="18"/>
              </w:rPr>
              <w:t>Haddenham makes representations to BOB ICB</w:t>
            </w:r>
            <w:r w:rsidR="00BE7785">
              <w:rPr>
                <w:sz w:val="18"/>
                <w:szCs w:val="18"/>
              </w:rPr>
              <w:t>.</w:t>
            </w:r>
          </w:p>
        </w:tc>
      </w:tr>
      <w:tr w:rsidR="00074A86" w:rsidRPr="00606984" w14:paraId="511F82B6" w14:textId="77777777">
        <w:tc>
          <w:tcPr>
            <w:tcW w:w="1555" w:type="dxa"/>
          </w:tcPr>
          <w:p w14:paraId="602E0390" w14:textId="69FB7CDC" w:rsidR="00074A86" w:rsidRPr="00606984" w:rsidRDefault="00074A86">
            <w:pPr>
              <w:spacing w:before="60" w:after="60"/>
              <w:jc w:val="center"/>
              <w:rPr>
                <w:sz w:val="18"/>
                <w:szCs w:val="18"/>
              </w:rPr>
            </w:pPr>
            <w:r>
              <w:rPr>
                <w:sz w:val="18"/>
                <w:szCs w:val="18"/>
              </w:rPr>
              <w:t>30 Apr</w:t>
            </w:r>
            <w:r w:rsidR="00DD7755">
              <w:rPr>
                <w:sz w:val="18"/>
                <w:szCs w:val="18"/>
              </w:rPr>
              <w:t xml:space="preserve"> 2025</w:t>
            </w:r>
          </w:p>
        </w:tc>
        <w:tc>
          <w:tcPr>
            <w:tcW w:w="7461" w:type="dxa"/>
          </w:tcPr>
          <w:p w14:paraId="604BA5AB" w14:textId="6831C822" w:rsidR="00074A86" w:rsidRPr="00606984" w:rsidRDefault="00074A86">
            <w:pPr>
              <w:spacing w:before="60" w:after="60"/>
              <w:rPr>
                <w:sz w:val="18"/>
                <w:szCs w:val="18"/>
              </w:rPr>
            </w:pPr>
            <w:r>
              <w:rPr>
                <w:sz w:val="18"/>
                <w:szCs w:val="18"/>
              </w:rPr>
              <w:t xml:space="preserve">BOB ICB and SCW CSU staff meet to discuss Haddenham’s representations. SCW </w:t>
            </w:r>
            <w:r w:rsidR="00D91CEB">
              <w:rPr>
                <w:sz w:val="18"/>
                <w:szCs w:val="18"/>
              </w:rPr>
              <w:t xml:space="preserve">CSU </w:t>
            </w:r>
            <w:r>
              <w:rPr>
                <w:sz w:val="18"/>
                <w:szCs w:val="18"/>
              </w:rPr>
              <w:t>staff commence a “headline review” of Haddenham’s representations.</w:t>
            </w:r>
          </w:p>
        </w:tc>
      </w:tr>
      <w:tr w:rsidR="00074A86" w:rsidRPr="00606984" w14:paraId="3D9BD2AF" w14:textId="77777777">
        <w:tc>
          <w:tcPr>
            <w:tcW w:w="1555" w:type="dxa"/>
          </w:tcPr>
          <w:p w14:paraId="40E6680B" w14:textId="40879542" w:rsidR="00074A86" w:rsidRDefault="00074A86">
            <w:pPr>
              <w:spacing w:before="60" w:after="60"/>
              <w:jc w:val="center"/>
              <w:rPr>
                <w:sz w:val="18"/>
                <w:szCs w:val="18"/>
              </w:rPr>
            </w:pPr>
            <w:r>
              <w:rPr>
                <w:sz w:val="18"/>
                <w:szCs w:val="18"/>
              </w:rPr>
              <w:t>1-5 May</w:t>
            </w:r>
            <w:r w:rsidR="00DD7755">
              <w:rPr>
                <w:sz w:val="18"/>
                <w:szCs w:val="18"/>
              </w:rPr>
              <w:t xml:space="preserve"> 2025</w:t>
            </w:r>
          </w:p>
        </w:tc>
        <w:tc>
          <w:tcPr>
            <w:tcW w:w="7461" w:type="dxa"/>
          </w:tcPr>
          <w:p w14:paraId="6232455C" w14:textId="33FA0D74" w:rsidR="00074A86" w:rsidRDefault="00074A86">
            <w:pPr>
              <w:spacing w:before="60" w:after="60"/>
              <w:rPr>
                <w:sz w:val="18"/>
                <w:szCs w:val="18"/>
              </w:rPr>
            </w:pPr>
            <w:r>
              <w:rPr>
                <w:sz w:val="18"/>
                <w:szCs w:val="18"/>
              </w:rPr>
              <w:t>“Headline review” of Haddenham’s representations carried out</w:t>
            </w:r>
            <w:r w:rsidR="00100768">
              <w:rPr>
                <w:sz w:val="18"/>
                <w:szCs w:val="18"/>
              </w:rPr>
              <w:t>.</w:t>
            </w:r>
          </w:p>
        </w:tc>
      </w:tr>
      <w:tr w:rsidR="00074A86" w:rsidRPr="00606984" w14:paraId="214C4B3C" w14:textId="77777777">
        <w:tc>
          <w:tcPr>
            <w:tcW w:w="1555" w:type="dxa"/>
          </w:tcPr>
          <w:p w14:paraId="1DEE4B82" w14:textId="51B57189" w:rsidR="00074A86" w:rsidRPr="00606984" w:rsidRDefault="00074A86">
            <w:pPr>
              <w:spacing w:before="60" w:after="60"/>
              <w:jc w:val="center"/>
              <w:rPr>
                <w:sz w:val="18"/>
                <w:szCs w:val="18"/>
              </w:rPr>
            </w:pPr>
            <w:r>
              <w:rPr>
                <w:sz w:val="18"/>
                <w:szCs w:val="18"/>
              </w:rPr>
              <w:t>6 May</w:t>
            </w:r>
            <w:r w:rsidR="00DD7755">
              <w:rPr>
                <w:sz w:val="18"/>
                <w:szCs w:val="18"/>
              </w:rPr>
              <w:t xml:space="preserve"> 2025</w:t>
            </w:r>
          </w:p>
        </w:tc>
        <w:tc>
          <w:tcPr>
            <w:tcW w:w="7461" w:type="dxa"/>
          </w:tcPr>
          <w:p w14:paraId="59D37C16" w14:textId="478E56FF" w:rsidR="00074A86" w:rsidRPr="00606984" w:rsidRDefault="00074A86">
            <w:pPr>
              <w:spacing w:before="60" w:after="60"/>
              <w:rPr>
                <w:sz w:val="18"/>
                <w:szCs w:val="18"/>
              </w:rPr>
            </w:pPr>
            <w:r>
              <w:rPr>
                <w:sz w:val="18"/>
                <w:szCs w:val="18"/>
              </w:rPr>
              <w:t>SCW CSU staff meet and, on the basis of the “headline review”</w:t>
            </w:r>
            <w:r w:rsidR="00100768">
              <w:rPr>
                <w:sz w:val="18"/>
                <w:szCs w:val="18"/>
              </w:rPr>
              <w:t>,</w:t>
            </w:r>
            <w:r>
              <w:rPr>
                <w:sz w:val="18"/>
                <w:szCs w:val="18"/>
              </w:rPr>
              <w:t xml:space="preserve"> conclude that there is “arguable merit” to Haddenham’s representations.</w:t>
            </w:r>
          </w:p>
        </w:tc>
      </w:tr>
      <w:tr w:rsidR="00074A86" w:rsidRPr="00606984" w14:paraId="7035D17F" w14:textId="77777777">
        <w:tc>
          <w:tcPr>
            <w:tcW w:w="1555" w:type="dxa"/>
          </w:tcPr>
          <w:p w14:paraId="06EEFE37" w14:textId="1E93F965" w:rsidR="00074A86" w:rsidRPr="00606984" w:rsidRDefault="00074A86">
            <w:pPr>
              <w:spacing w:before="60" w:after="60"/>
              <w:jc w:val="center"/>
              <w:rPr>
                <w:sz w:val="18"/>
                <w:szCs w:val="18"/>
              </w:rPr>
            </w:pPr>
            <w:r>
              <w:rPr>
                <w:sz w:val="18"/>
                <w:szCs w:val="18"/>
              </w:rPr>
              <w:t>7 May</w:t>
            </w:r>
            <w:r w:rsidR="00DD7755">
              <w:rPr>
                <w:sz w:val="18"/>
                <w:szCs w:val="18"/>
              </w:rPr>
              <w:t xml:space="preserve"> 2025</w:t>
            </w:r>
          </w:p>
        </w:tc>
        <w:tc>
          <w:tcPr>
            <w:tcW w:w="7461" w:type="dxa"/>
          </w:tcPr>
          <w:p w14:paraId="199B270D" w14:textId="77777777" w:rsidR="00074A86" w:rsidRPr="00606984" w:rsidRDefault="00074A86">
            <w:pPr>
              <w:spacing w:before="60" w:after="60"/>
              <w:rPr>
                <w:sz w:val="18"/>
                <w:szCs w:val="18"/>
              </w:rPr>
            </w:pPr>
            <w:r>
              <w:rPr>
                <w:sz w:val="18"/>
                <w:szCs w:val="18"/>
              </w:rPr>
              <w:t xml:space="preserve">BOB ICB and SCW CSU staff meet and conclude that </w:t>
            </w:r>
            <w:r w:rsidRPr="00E36439">
              <w:rPr>
                <w:sz w:val="18"/>
                <w:szCs w:val="18"/>
              </w:rPr>
              <w:t>“it could be argued that the ICB had erroneously and unfairly evaluated Haddenham’s and Bloxdent’s bids, and incorrectly scored three specific questions: MP01, WF01 and WF02”</w:t>
            </w:r>
            <w:r>
              <w:rPr>
                <w:sz w:val="18"/>
                <w:szCs w:val="18"/>
              </w:rPr>
              <w:t>.</w:t>
            </w:r>
          </w:p>
        </w:tc>
      </w:tr>
      <w:tr w:rsidR="00074A86" w:rsidRPr="00606984" w14:paraId="70EA2A25" w14:textId="77777777">
        <w:tc>
          <w:tcPr>
            <w:tcW w:w="1555" w:type="dxa"/>
          </w:tcPr>
          <w:p w14:paraId="5BB2E2AE" w14:textId="6F93D151" w:rsidR="00074A86" w:rsidRPr="00606984" w:rsidRDefault="00074A86">
            <w:pPr>
              <w:spacing w:before="60" w:after="60"/>
              <w:jc w:val="center"/>
              <w:rPr>
                <w:sz w:val="18"/>
                <w:szCs w:val="18"/>
              </w:rPr>
            </w:pPr>
            <w:r w:rsidRPr="00606984">
              <w:rPr>
                <w:sz w:val="18"/>
                <w:szCs w:val="18"/>
              </w:rPr>
              <w:t>8 May</w:t>
            </w:r>
            <w:r w:rsidR="00DD7755">
              <w:rPr>
                <w:sz w:val="18"/>
                <w:szCs w:val="18"/>
              </w:rPr>
              <w:t xml:space="preserve"> 2025</w:t>
            </w:r>
          </w:p>
        </w:tc>
        <w:tc>
          <w:tcPr>
            <w:tcW w:w="7461" w:type="dxa"/>
          </w:tcPr>
          <w:p w14:paraId="78AF1CA0" w14:textId="7A20178C" w:rsidR="00074A86" w:rsidRPr="00E36439" w:rsidRDefault="00074A86">
            <w:pPr>
              <w:spacing w:before="60" w:after="60"/>
              <w:rPr>
                <w:sz w:val="18"/>
                <w:szCs w:val="18"/>
              </w:rPr>
            </w:pPr>
            <w:r w:rsidRPr="00E36439">
              <w:rPr>
                <w:sz w:val="18"/>
                <w:szCs w:val="18"/>
              </w:rPr>
              <w:t xml:space="preserve">BOB ICB tells bidders that it has decided to re-evaluate </w:t>
            </w:r>
            <w:r w:rsidR="06D19945" w:rsidRPr="6C0699FB">
              <w:rPr>
                <w:sz w:val="18"/>
                <w:szCs w:val="18"/>
              </w:rPr>
              <w:t xml:space="preserve">all </w:t>
            </w:r>
            <w:r w:rsidRPr="00E36439">
              <w:rPr>
                <w:sz w:val="18"/>
                <w:szCs w:val="18"/>
              </w:rPr>
              <w:t>bidders’ responses to three questions</w:t>
            </w:r>
            <w:r>
              <w:rPr>
                <w:sz w:val="18"/>
                <w:szCs w:val="18"/>
              </w:rPr>
              <w:t xml:space="preserve"> (MP01, WF01 and WF02).</w:t>
            </w:r>
          </w:p>
        </w:tc>
      </w:tr>
      <w:tr w:rsidR="00074A86" w:rsidRPr="00606984" w14:paraId="04B1493D" w14:textId="77777777">
        <w:tc>
          <w:tcPr>
            <w:tcW w:w="1555" w:type="dxa"/>
          </w:tcPr>
          <w:p w14:paraId="625FCFBD" w14:textId="3CD6B806" w:rsidR="00074A86" w:rsidRPr="00606984" w:rsidRDefault="00074A86">
            <w:pPr>
              <w:spacing w:before="60" w:after="60"/>
              <w:jc w:val="center"/>
              <w:rPr>
                <w:sz w:val="18"/>
                <w:szCs w:val="18"/>
              </w:rPr>
            </w:pPr>
            <w:r>
              <w:rPr>
                <w:sz w:val="18"/>
                <w:szCs w:val="18"/>
              </w:rPr>
              <w:t>21 May – 2 Jun</w:t>
            </w:r>
            <w:r w:rsidR="00DD7755">
              <w:rPr>
                <w:sz w:val="18"/>
                <w:szCs w:val="18"/>
              </w:rPr>
              <w:t xml:space="preserve"> 2025</w:t>
            </w:r>
          </w:p>
        </w:tc>
        <w:tc>
          <w:tcPr>
            <w:tcW w:w="7461" w:type="dxa"/>
          </w:tcPr>
          <w:p w14:paraId="10B18112" w14:textId="1F192EC9" w:rsidR="00074A86" w:rsidRPr="00606984" w:rsidRDefault="00074A86">
            <w:pPr>
              <w:spacing w:before="60" w:after="60"/>
              <w:rPr>
                <w:sz w:val="18"/>
                <w:szCs w:val="18"/>
              </w:rPr>
            </w:pPr>
            <w:r>
              <w:rPr>
                <w:sz w:val="18"/>
                <w:szCs w:val="18"/>
              </w:rPr>
              <w:t>Re-evaluation of</w:t>
            </w:r>
            <w:r w:rsidR="00100768">
              <w:rPr>
                <w:sz w:val="18"/>
                <w:szCs w:val="18"/>
              </w:rPr>
              <w:t xml:space="preserve"> </w:t>
            </w:r>
            <w:r w:rsidR="29FF603F" w:rsidRPr="6C0699FB">
              <w:rPr>
                <w:sz w:val="18"/>
                <w:szCs w:val="18"/>
              </w:rPr>
              <w:t xml:space="preserve">all </w:t>
            </w:r>
            <w:r w:rsidR="00100768">
              <w:rPr>
                <w:sz w:val="18"/>
                <w:szCs w:val="18"/>
              </w:rPr>
              <w:t>bidders’ responses to</w:t>
            </w:r>
            <w:r>
              <w:rPr>
                <w:sz w:val="18"/>
                <w:szCs w:val="18"/>
              </w:rPr>
              <w:t xml:space="preserve"> the three questions carried out.</w:t>
            </w:r>
          </w:p>
        </w:tc>
      </w:tr>
      <w:tr w:rsidR="00074A86" w:rsidRPr="00606984" w14:paraId="6808AB81" w14:textId="77777777">
        <w:tc>
          <w:tcPr>
            <w:tcW w:w="1555" w:type="dxa"/>
          </w:tcPr>
          <w:p w14:paraId="20535765" w14:textId="07760CC6" w:rsidR="00074A86" w:rsidRPr="00606984" w:rsidRDefault="00074A86">
            <w:pPr>
              <w:spacing w:before="60" w:after="60"/>
              <w:jc w:val="center"/>
              <w:rPr>
                <w:sz w:val="18"/>
                <w:szCs w:val="18"/>
              </w:rPr>
            </w:pPr>
            <w:r>
              <w:rPr>
                <w:sz w:val="18"/>
                <w:szCs w:val="18"/>
              </w:rPr>
              <w:t>25 Jun</w:t>
            </w:r>
            <w:r w:rsidR="00DD7755">
              <w:rPr>
                <w:sz w:val="18"/>
                <w:szCs w:val="18"/>
              </w:rPr>
              <w:t xml:space="preserve"> 2025</w:t>
            </w:r>
          </w:p>
        </w:tc>
        <w:tc>
          <w:tcPr>
            <w:tcW w:w="7461" w:type="dxa"/>
          </w:tcPr>
          <w:p w14:paraId="384C73F1" w14:textId="2B2DAF9B" w:rsidR="00074A86" w:rsidRPr="00606984" w:rsidRDefault="00074A86">
            <w:pPr>
              <w:spacing w:before="60" w:after="60"/>
              <w:rPr>
                <w:sz w:val="18"/>
                <w:szCs w:val="18"/>
              </w:rPr>
            </w:pPr>
            <w:r>
              <w:rPr>
                <w:sz w:val="18"/>
                <w:szCs w:val="18"/>
              </w:rPr>
              <w:t xml:space="preserve">Bidders informed that, following the re-evaluation, Haddenham </w:t>
            </w:r>
            <w:r w:rsidRPr="6C0699FB">
              <w:rPr>
                <w:sz w:val="18"/>
                <w:szCs w:val="18"/>
              </w:rPr>
              <w:t>ha</w:t>
            </w:r>
            <w:r w:rsidR="28D73653" w:rsidRPr="6C0699FB">
              <w:rPr>
                <w:sz w:val="18"/>
                <w:szCs w:val="18"/>
              </w:rPr>
              <w:t>d</w:t>
            </w:r>
            <w:r>
              <w:rPr>
                <w:sz w:val="18"/>
                <w:szCs w:val="18"/>
              </w:rPr>
              <w:t xml:space="preserve"> been selected as the successful bidder for the Cherwell East (Lot 5) contract.</w:t>
            </w:r>
          </w:p>
        </w:tc>
      </w:tr>
    </w:tbl>
    <w:p w14:paraId="2A0A6763" w14:textId="77777777" w:rsidR="00074A86" w:rsidRPr="00881865" w:rsidRDefault="00074A86" w:rsidP="00074A86">
      <w:pPr>
        <w:spacing w:before="60" w:after="360" w:line="240" w:lineRule="auto"/>
        <w:rPr>
          <w:sz w:val="16"/>
          <w:szCs w:val="16"/>
        </w:rPr>
      </w:pPr>
    </w:p>
    <w:p w14:paraId="4B5BF0A1" w14:textId="6E9B15AD" w:rsidR="00643EEA" w:rsidRPr="00BC581B" w:rsidRDefault="00643EEA" w:rsidP="00643EEA">
      <w:pPr>
        <w:keepNext/>
        <w:spacing w:before="240"/>
        <w:rPr>
          <w:b/>
          <w:bCs/>
        </w:rPr>
      </w:pPr>
      <w:r w:rsidRPr="00BC581B">
        <w:rPr>
          <w:b/>
          <w:bCs/>
        </w:rPr>
        <w:t>7.1.</w:t>
      </w:r>
      <w:r w:rsidR="00AB0A6D">
        <w:rPr>
          <w:b/>
          <w:bCs/>
        </w:rPr>
        <w:t>2</w:t>
      </w:r>
      <w:r w:rsidRPr="00BC581B">
        <w:rPr>
          <w:b/>
          <w:bCs/>
        </w:rPr>
        <w:t xml:space="preserve"> BOB ICB’s </w:t>
      </w:r>
      <w:r w:rsidR="00503242">
        <w:rPr>
          <w:b/>
          <w:bCs/>
        </w:rPr>
        <w:t xml:space="preserve">recordkeeping </w:t>
      </w:r>
      <w:r w:rsidR="007A1723">
        <w:rPr>
          <w:b/>
          <w:bCs/>
        </w:rPr>
        <w:t>in relation to</w:t>
      </w:r>
      <w:r w:rsidR="00C97572">
        <w:rPr>
          <w:b/>
          <w:bCs/>
        </w:rPr>
        <w:t xml:space="preserve"> its </w:t>
      </w:r>
      <w:r>
        <w:rPr>
          <w:b/>
          <w:bCs/>
        </w:rPr>
        <w:t>review</w:t>
      </w:r>
      <w:r w:rsidR="00C97572">
        <w:rPr>
          <w:b/>
          <w:bCs/>
        </w:rPr>
        <w:t xml:space="preserve"> of</w:t>
      </w:r>
      <w:r>
        <w:rPr>
          <w:b/>
          <w:bCs/>
        </w:rPr>
        <w:t xml:space="preserve"> </w:t>
      </w:r>
      <w:r w:rsidRPr="00BC581B">
        <w:rPr>
          <w:b/>
          <w:bCs/>
        </w:rPr>
        <w:t>Haddenham’s representations</w:t>
      </w:r>
    </w:p>
    <w:p w14:paraId="5861BB0C" w14:textId="6879327E" w:rsidR="0025713B" w:rsidRDefault="00334D56">
      <w:pPr>
        <w:pStyle w:val="ListParagraph"/>
      </w:pPr>
      <w:r>
        <w:t xml:space="preserve">The Panel notes that BOB ICB, in reviewing Haddenham’s representations, did not keep </w:t>
      </w:r>
      <w:r w:rsidR="00BA54FB">
        <w:t xml:space="preserve">any records of the key meetings where decisions were made about its </w:t>
      </w:r>
      <w:r w:rsidR="00431254">
        <w:t xml:space="preserve">process for reviewing </w:t>
      </w:r>
      <w:r w:rsidR="005C0085">
        <w:t>Haddenham’s</w:t>
      </w:r>
      <w:r w:rsidR="00431254">
        <w:t xml:space="preserve"> representations, its </w:t>
      </w:r>
      <w:r w:rsidR="00B04729">
        <w:t xml:space="preserve">assessment of </w:t>
      </w:r>
      <w:r w:rsidR="005C0085">
        <w:t>Haddenham’s</w:t>
      </w:r>
      <w:r w:rsidR="00B04729">
        <w:t xml:space="preserve"> </w:t>
      </w:r>
      <w:r w:rsidR="00431254">
        <w:t xml:space="preserve">representations and </w:t>
      </w:r>
      <w:r w:rsidR="005C0085">
        <w:t xml:space="preserve">its </w:t>
      </w:r>
      <w:r w:rsidR="00D41C7F">
        <w:t>‘</w:t>
      </w:r>
      <w:r w:rsidR="00431254">
        <w:t>further decision</w:t>
      </w:r>
      <w:r w:rsidR="00D41C7F">
        <w:t>’</w:t>
      </w:r>
      <w:r w:rsidR="00431254">
        <w:t xml:space="preserve"> </w:t>
      </w:r>
      <w:r w:rsidR="002A0C5F">
        <w:t xml:space="preserve">(i.e. the decision to re-evaluate bidders’ responses to the three questions) </w:t>
      </w:r>
      <w:r w:rsidR="00BA54FB">
        <w:t>(see paragraphs</w:t>
      </w:r>
      <w:r w:rsidR="00ED604C">
        <w:t xml:space="preserve"> 46</w:t>
      </w:r>
      <w:r w:rsidR="008D6AB5">
        <w:t xml:space="preserve"> and</w:t>
      </w:r>
      <w:r w:rsidR="00ED604C">
        <w:t xml:space="preserve"> 48</w:t>
      </w:r>
      <w:r w:rsidR="00BA54FB">
        <w:t>)</w:t>
      </w:r>
      <w:r w:rsidR="00BC75C4">
        <w:t xml:space="preserve">. The Panel also notes that </w:t>
      </w:r>
      <w:r w:rsidR="00553C3C">
        <w:t xml:space="preserve">there was no </w:t>
      </w:r>
      <w:r w:rsidR="00BC75C4">
        <w:t xml:space="preserve">documentary record of </w:t>
      </w:r>
      <w:r w:rsidR="00553C3C">
        <w:t>the</w:t>
      </w:r>
      <w:r w:rsidR="00BC75C4">
        <w:t xml:space="preserve"> “headline review” of Haddenham’s representations</w:t>
      </w:r>
      <w:r w:rsidR="00217589">
        <w:t xml:space="preserve"> carried out by SCW CSU on behalf of BOB ICB</w:t>
      </w:r>
      <w:r w:rsidR="00BC75C4">
        <w:t xml:space="preserve"> (see paragraph</w:t>
      </w:r>
      <w:r w:rsidR="003104EA">
        <w:t xml:space="preserve"> 47</w:t>
      </w:r>
      <w:r w:rsidR="00BC75C4">
        <w:t>).</w:t>
      </w:r>
    </w:p>
    <w:p w14:paraId="1B85A14E" w14:textId="5E8EFA1D" w:rsidR="008524C9" w:rsidRDefault="002D1746">
      <w:pPr>
        <w:pStyle w:val="ListParagraph"/>
      </w:pPr>
      <w:r>
        <w:t xml:space="preserve">PSR </w:t>
      </w:r>
      <w:r w:rsidR="00967A0F">
        <w:t>R</w:t>
      </w:r>
      <w:r>
        <w:t>egulation</w:t>
      </w:r>
      <w:r w:rsidR="00967A0F">
        <w:t xml:space="preserve"> 24(g)</w:t>
      </w:r>
      <w:r w:rsidR="00E21008">
        <w:t xml:space="preserve"> </w:t>
      </w:r>
      <w:r w:rsidR="009E29C0">
        <w:t xml:space="preserve">requires </w:t>
      </w:r>
      <w:r w:rsidR="00E21008">
        <w:t xml:space="preserve">commissioners </w:t>
      </w:r>
      <w:r w:rsidR="0057476B">
        <w:t xml:space="preserve">to keep a record of </w:t>
      </w:r>
      <w:r w:rsidR="007C694E">
        <w:t xml:space="preserve">the reasons for decisions made under the </w:t>
      </w:r>
      <w:r w:rsidR="00967A0F">
        <w:t xml:space="preserve">PSR </w:t>
      </w:r>
      <w:r w:rsidR="007C694E">
        <w:t>regulations</w:t>
      </w:r>
      <w:r w:rsidR="009E29C0">
        <w:t xml:space="preserve">, and as noted in the previous paragraph BOB ICB did not keep </w:t>
      </w:r>
      <w:r w:rsidR="00C83BFD">
        <w:t xml:space="preserve">any records of the key meetings or </w:t>
      </w:r>
      <w:r w:rsidR="002735F6">
        <w:t xml:space="preserve">“headline review” that </w:t>
      </w:r>
      <w:r w:rsidR="00F507E3">
        <w:t xml:space="preserve">would have set out its reasons for </w:t>
      </w:r>
      <w:r w:rsidR="006C1F00">
        <w:t xml:space="preserve">its </w:t>
      </w:r>
      <w:r w:rsidR="00ED21B7">
        <w:t>‘</w:t>
      </w:r>
      <w:r w:rsidR="006C1F00">
        <w:t>further decision</w:t>
      </w:r>
      <w:r w:rsidR="00ED21B7">
        <w:t>’</w:t>
      </w:r>
      <w:r w:rsidR="006C1F00">
        <w:t>.</w:t>
      </w:r>
    </w:p>
    <w:p w14:paraId="1723DE63" w14:textId="6E2EFBFA" w:rsidR="00062DD6" w:rsidRDefault="00B97F7A">
      <w:pPr>
        <w:pStyle w:val="ListParagraph"/>
      </w:pPr>
      <w:r>
        <w:t>As a result</w:t>
      </w:r>
      <w:r w:rsidR="00062DD6">
        <w:t xml:space="preserve">, the Panel finds that </w:t>
      </w:r>
      <w:r w:rsidR="00C84B47">
        <w:t xml:space="preserve">BOB ICB, in </w:t>
      </w:r>
      <w:r w:rsidR="00B74228">
        <w:t xml:space="preserve">not keeping any record of its reasons for </w:t>
      </w:r>
      <w:r w:rsidR="008524C9">
        <w:t>its ‘further decision’ (i.e.</w:t>
      </w:r>
      <w:r w:rsidR="00C84B47">
        <w:t xml:space="preserve"> to </w:t>
      </w:r>
      <w:r w:rsidR="002C76C1">
        <w:t xml:space="preserve">re-evaluate </w:t>
      </w:r>
      <w:r w:rsidR="008524C9">
        <w:t xml:space="preserve">bidders’ </w:t>
      </w:r>
      <w:r w:rsidR="002C76C1">
        <w:t>responses to three questions following Haddenham’s representations</w:t>
      </w:r>
      <w:r w:rsidR="008524C9">
        <w:t>),</w:t>
      </w:r>
      <w:r w:rsidR="002C76C1">
        <w:t xml:space="preserve"> </w:t>
      </w:r>
      <w:r w:rsidR="00B74228">
        <w:t>breached the PSR regulations and in particular Regulation 24(g</w:t>
      </w:r>
      <w:r w:rsidR="008524C9">
        <w:t>), which requires commissioners to keep a record of reasons for decisions under the PSR regulations.</w:t>
      </w:r>
    </w:p>
    <w:p w14:paraId="0C495C42" w14:textId="3ADFBB16" w:rsidR="00844890" w:rsidRPr="00BC581B" w:rsidRDefault="00844890" w:rsidP="00844890">
      <w:pPr>
        <w:keepNext/>
        <w:spacing w:before="240"/>
        <w:rPr>
          <w:b/>
          <w:bCs/>
        </w:rPr>
      </w:pPr>
      <w:r w:rsidRPr="00BC581B">
        <w:rPr>
          <w:b/>
          <w:bCs/>
        </w:rPr>
        <w:t>7.1.</w:t>
      </w:r>
      <w:r w:rsidR="004467ED">
        <w:rPr>
          <w:b/>
          <w:bCs/>
        </w:rPr>
        <w:t>3</w:t>
      </w:r>
      <w:r w:rsidRPr="00BC581B">
        <w:rPr>
          <w:b/>
          <w:bCs/>
        </w:rPr>
        <w:t xml:space="preserve"> BOB ICB’s </w:t>
      </w:r>
      <w:r>
        <w:rPr>
          <w:b/>
          <w:bCs/>
        </w:rPr>
        <w:t xml:space="preserve">communication </w:t>
      </w:r>
      <w:r w:rsidR="007A1723">
        <w:rPr>
          <w:b/>
          <w:bCs/>
        </w:rPr>
        <w:t xml:space="preserve">to Bloxdent </w:t>
      </w:r>
      <w:r>
        <w:rPr>
          <w:b/>
          <w:bCs/>
        </w:rPr>
        <w:t>of its decision to re-evaluate</w:t>
      </w:r>
    </w:p>
    <w:p w14:paraId="1629EA66" w14:textId="59C6F7C6" w:rsidR="004F7809" w:rsidRDefault="00B96D3A" w:rsidP="004F7809">
      <w:pPr>
        <w:pStyle w:val="ListParagraph"/>
        <w:spacing w:after="160"/>
      </w:pPr>
      <w:bookmarkStart w:id="20" w:name="_Ref215239927"/>
      <w:r>
        <w:t xml:space="preserve">The Panel notes that </w:t>
      </w:r>
      <w:r w:rsidR="004F7809">
        <w:t xml:space="preserve">BOB ICB’s </w:t>
      </w:r>
      <w:r w:rsidR="00ED21B7">
        <w:t xml:space="preserve">‘further </w:t>
      </w:r>
      <w:r w:rsidR="004F7809">
        <w:t>decision</w:t>
      </w:r>
      <w:r w:rsidR="00ED21B7">
        <w:t>’</w:t>
      </w:r>
      <w:r w:rsidR="004F7809">
        <w:t xml:space="preserve"> to re-evaluate bidders’ responses to questions MP01, WF01 and WF02 was a decision </w:t>
      </w:r>
      <w:r w:rsidR="004F7809" w:rsidRPr="00B51B0A">
        <w:t xml:space="preserve">to “go back to an earlier step in the selection process and repeat that step and subsequent steps in accordance with the </w:t>
      </w:r>
      <w:r w:rsidR="004F7809" w:rsidRPr="00B51B0A">
        <w:lastRenderedPageBreak/>
        <w:t>relevant procedure”</w:t>
      </w:r>
      <w:r w:rsidR="004F7809">
        <w:t xml:space="preserve"> as per Regulation 12(4)(d)(ii) </w:t>
      </w:r>
      <w:r w:rsidR="00DB75BF">
        <w:t xml:space="preserve">of the PSR regulations </w:t>
      </w:r>
      <w:r w:rsidR="004F7809">
        <w:t xml:space="preserve">(even if this was not </w:t>
      </w:r>
      <w:r w:rsidR="004B3832">
        <w:t>necessarily</w:t>
      </w:r>
      <w:r w:rsidR="004F7809">
        <w:t xml:space="preserve"> acknowledged by BOB ICB</w:t>
      </w:r>
      <w:r>
        <w:t xml:space="preserve"> at the time</w:t>
      </w:r>
      <w:r w:rsidR="004F7809">
        <w:t>).</w:t>
      </w:r>
      <w:bookmarkEnd w:id="20"/>
    </w:p>
    <w:p w14:paraId="7283CAF8" w14:textId="2A12439F" w:rsidR="0016778F" w:rsidRDefault="008D187C" w:rsidP="004F7809">
      <w:pPr>
        <w:pStyle w:val="ListParagraph"/>
        <w:spacing w:after="160"/>
      </w:pPr>
      <w:r>
        <w:t xml:space="preserve">As this was </w:t>
      </w:r>
      <w:r w:rsidR="0016778F">
        <w:t xml:space="preserve">a return to an </w:t>
      </w:r>
      <w:r>
        <w:t xml:space="preserve">earlier step in the selection process, </w:t>
      </w:r>
      <w:r w:rsidR="00A84F58">
        <w:t>Regulation 12(6) require</w:t>
      </w:r>
      <w:r w:rsidR="00FF07D9">
        <w:t>d</w:t>
      </w:r>
      <w:r w:rsidR="00A84F58">
        <w:t xml:space="preserve"> that “the further decision … must be communicated promptly, in writing, with reasons” to “each provider </w:t>
      </w:r>
      <w:r w:rsidR="008F641F" w:rsidRPr="008F641F">
        <w:t>from which the relevant authority received representations</w:t>
      </w:r>
      <w:r w:rsidR="009817C7">
        <w:t>” and</w:t>
      </w:r>
      <w:r w:rsidR="008F641F" w:rsidRPr="008F641F">
        <w:t xml:space="preserve"> </w:t>
      </w:r>
      <w:r w:rsidR="00A84F58">
        <w:t>“each provider to whom the relevant authority intended at the beginning of the standstill period to award the contract”.</w:t>
      </w:r>
    </w:p>
    <w:p w14:paraId="10BCD95A" w14:textId="48A37B89" w:rsidR="00170F7A" w:rsidRDefault="00810677" w:rsidP="00916474">
      <w:pPr>
        <w:pStyle w:val="ListParagraph"/>
      </w:pPr>
      <w:r>
        <w:t xml:space="preserve">BOB ICB, in writing to </w:t>
      </w:r>
      <w:r w:rsidR="008C6DDE">
        <w:t>Bloxdent (wh</w:t>
      </w:r>
      <w:r w:rsidR="006F7F79">
        <w:t>ich was</w:t>
      </w:r>
      <w:r w:rsidR="008C6DDE">
        <w:t xml:space="preserve"> the “</w:t>
      </w:r>
      <w:r w:rsidR="008C6DDE" w:rsidRPr="008C6DDE">
        <w:t>provider to whom the relevant authority intended at the beginning of the standstill period to award the contract</w:t>
      </w:r>
      <w:r w:rsidR="008C6DDE">
        <w:t xml:space="preserve">”) </w:t>
      </w:r>
      <w:r>
        <w:t>on 8</w:t>
      </w:r>
      <w:r w:rsidR="00913A0E">
        <w:t> </w:t>
      </w:r>
      <w:r>
        <w:t>May 2025, said</w:t>
      </w:r>
      <w:r w:rsidR="00170F7A">
        <w:t>:</w:t>
      </w:r>
    </w:p>
    <w:p w14:paraId="42A92307" w14:textId="5EE32625" w:rsidR="00EA0AF1" w:rsidRPr="00170F7A" w:rsidRDefault="002076F7" w:rsidP="00EC4990">
      <w:pPr>
        <w:pStyle w:val="ListParagraph"/>
        <w:numPr>
          <w:ilvl w:val="0"/>
          <w:numId w:val="0"/>
        </w:numPr>
        <w:spacing w:after="160" w:line="259" w:lineRule="auto"/>
        <w:ind w:left="851"/>
        <w:rPr>
          <w:sz w:val="21"/>
          <w:szCs w:val="21"/>
        </w:rPr>
      </w:pPr>
      <w:r w:rsidRPr="00170F7A">
        <w:rPr>
          <w:sz w:val="21"/>
          <w:szCs w:val="21"/>
        </w:rPr>
        <w:t>“</w:t>
      </w:r>
      <w:r w:rsidR="002621EF" w:rsidRPr="00170F7A">
        <w:rPr>
          <w:sz w:val="21"/>
          <w:szCs w:val="21"/>
        </w:rPr>
        <w:t>Following on from our correspondence of 1</w:t>
      </w:r>
      <w:r w:rsidR="002621EF" w:rsidRPr="00170F7A">
        <w:rPr>
          <w:sz w:val="21"/>
          <w:szCs w:val="21"/>
          <w:vertAlign w:val="superscript"/>
        </w:rPr>
        <w:t>st</w:t>
      </w:r>
      <w:r w:rsidR="002621EF" w:rsidRPr="00170F7A">
        <w:rPr>
          <w:sz w:val="21"/>
          <w:szCs w:val="21"/>
        </w:rPr>
        <w:t xml:space="preserve"> May when we made you aware of a query from another bidder raised during the standstill period, the ICB has decided to rewind the procurement for Cherwell East (Lot 5) and re-evaluate questions MP01, WF01 and WF02</w:t>
      </w:r>
      <w:r w:rsidR="00170F7A" w:rsidRPr="00170F7A">
        <w:rPr>
          <w:sz w:val="21"/>
          <w:szCs w:val="21"/>
        </w:rPr>
        <w:t>. The ICB has taken this decision to avoid a time consuming and potentially costly representation”.</w:t>
      </w:r>
      <w:r w:rsidR="00E869FD">
        <w:rPr>
          <w:rStyle w:val="FootnoteReference"/>
          <w:sz w:val="21"/>
          <w:szCs w:val="21"/>
        </w:rPr>
        <w:footnoteReference w:id="29"/>
      </w:r>
    </w:p>
    <w:p w14:paraId="51DED048" w14:textId="31EC3792" w:rsidR="001352E2" w:rsidRDefault="00A86E30" w:rsidP="007D3DA7">
      <w:pPr>
        <w:pStyle w:val="ListParagraph"/>
      </w:pPr>
      <w:r>
        <w:t xml:space="preserve">When </w:t>
      </w:r>
      <w:r w:rsidR="005A7755">
        <w:t>responding to</w:t>
      </w:r>
      <w:r>
        <w:t xml:space="preserve"> Bloxdent’s representations</w:t>
      </w:r>
      <w:r w:rsidR="008F5DEA">
        <w:t xml:space="preserve"> </w:t>
      </w:r>
      <w:r w:rsidR="00664C97">
        <w:t>about the lack of reasons for its ‘further decision’</w:t>
      </w:r>
      <w:r w:rsidR="005A7755">
        <w:t xml:space="preserve">, </w:t>
      </w:r>
      <w:r w:rsidR="00E33D39">
        <w:t>BOB ICB said</w:t>
      </w:r>
      <w:r w:rsidR="001352E2">
        <w:t>:</w:t>
      </w:r>
    </w:p>
    <w:p w14:paraId="6BE9484C" w14:textId="2E3BBFA2" w:rsidR="001352E2" w:rsidRPr="00C3726F" w:rsidRDefault="001352E2" w:rsidP="007D3DA7">
      <w:pPr>
        <w:pStyle w:val="ListParagraph"/>
        <w:numPr>
          <w:ilvl w:val="0"/>
          <w:numId w:val="0"/>
        </w:numPr>
        <w:spacing w:after="160" w:line="259" w:lineRule="auto"/>
        <w:ind w:left="851"/>
        <w:rPr>
          <w:sz w:val="21"/>
          <w:szCs w:val="21"/>
        </w:rPr>
      </w:pPr>
      <w:r w:rsidRPr="00C3726F">
        <w:rPr>
          <w:sz w:val="21"/>
          <w:szCs w:val="21"/>
        </w:rPr>
        <w:t>“The reason that the ICB has received a ‘query from another bidder raised during the standstill period’ was clearly provided. Additionally, the ICB clearly stated the effect of this further decision was to ‘rewind the procurement for Cherwell East (Lot 5) and re-evaluate questions MP01, WF01 and WF02. The ICB has taken this decision to avoid a time consuming and potentially costly representation</w:t>
      </w:r>
      <w:r>
        <w:rPr>
          <w:sz w:val="21"/>
          <w:szCs w:val="21"/>
        </w:rPr>
        <w:t>’.”</w:t>
      </w:r>
      <w:r>
        <w:rPr>
          <w:rStyle w:val="FootnoteReference"/>
          <w:sz w:val="21"/>
          <w:szCs w:val="21"/>
        </w:rPr>
        <w:footnoteReference w:id="30"/>
      </w:r>
    </w:p>
    <w:p w14:paraId="2328A5A8" w14:textId="001F1219" w:rsidR="004467ED" w:rsidRDefault="00827F70" w:rsidP="004F7809">
      <w:pPr>
        <w:pStyle w:val="ListParagraph"/>
        <w:spacing w:after="160"/>
      </w:pPr>
      <w:r>
        <w:t xml:space="preserve">During this review, </w:t>
      </w:r>
      <w:r w:rsidR="00452242">
        <w:t>BOB ICB</w:t>
      </w:r>
      <w:r w:rsidR="00452242" w:rsidRPr="00452242">
        <w:t xml:space="preserve"> </w:t>
      </w:r>
      <w:r w:rsidR="00452242">
        <w:t xml:space="preserve">told the Panel that it could “have made this [the communication to </w:t>
      </w:r>
      <w:r w:rsidR="008211D9">
        <w:t>Bloxdent</w:t>
      </w:r>
      <w:r w:rsidR="00452242">
        <w:t>] more expansive but feel this was the correct decision, particularly given the scale and the importance of the procurement and all parties explicitly accepted this, including Bloxdent”.</w:t>
      </w:r>
      <w:r w:rsidR="00452242">
        <w:rPr>
          <w:rStyle w:val="FootnoteReference"/>
        </w:rPr>
        <w:footnoteReference w:id="31"/>
      </w:r>
      <w:r w:rsidR="00452242">
        <w:t xml:space="preserve"> Bloxdent</w:t>
      </w:r>
      <w:r w:rsidR="000205A3">
        <w:t xml:space="preserve"> also</w:t>
      </w:r>
      <w:r w:rsidR="00452242">
        <w:t xml:space="preserve"> told the Panel that it “</w:t>
      </w:r>
      <w:r w:rsidR="00452242" w:rsidRPr="00BA2F05">
        <w:t xml:space="preserve">didn't realise that this </w:t>
      </w:r>
      <w:r w:rsidR="00452242">
        <w:t xml:space="preserve">[the decision to </w:t>
      </w:r>
      <w:r w:rsidR="007F4346">
        <w:t>re-evaluate responses to the three questions</w:t>
      </w:r>
      <w:r w:rsidR="00452242">
        <w:t xml:space="preserve">] </w:t>
      </w:r>
      <w:r w:rsidR="00452242" w:rsidRPr="00BA2F05">
        <w:t>was a part of the process that we could appeal or do anything about because the standstill period hadn't ended</w:t>
      </w:r>
      <w:r w:rsidR="00452242">
        <w:t>”.</w:t>
      </w:r>
      <w:r w:rsidR="00452242">
        <w:rPr>
          <w:rStyle w:val="FootnoteReference"/>
        </w:rPr>
        <w:footnoteReference w:id="32"/>
      </w:r>
    </w:p>
    <w:p w14:paraId="554C5B3C" w14:textId="1CCA8A59" w:rsidR="00E478BF" w:rsidRDefault="00E478BF" w:rsidP="00E478BF">
      <w:pPr>
        <w:pStyle w:val="ListParagraph"/>
      </w:pPr>
      <w:r>
        <w:t xml:space="preserve">The Panel’s view is that BOB ICB’s </w:t>
      </w:r>
      <w:r w:rsidR="00B13D7F">
        <w:t xml:space="preserve">explanation of its reasons for </w:t>
      </w:r>
      <w:r w:rsidR="00254956">
        <w:t>its ‘further decision’</w:t>
      </w:r>
      <w:r>
        <w:t xml:space="preserve"> was </w:t>
      </w:r>
      <w:r w:rsidR="00A504B7">
        <w:t xml:space="preserve">not </w:t>
      </w:r>
      <w:r>
        <w:t xml:space="preserve">sufficient to meet its obligations under the PSR regulations. In particular, BOB ICB’s explanation that it had received a “query from another bidder” </w:t>
      </w:r>
      <w:r w:rsidR="00EF25D9">
        <w:t xml:space="preserve">and had </w:t>
      </w:r>
      <w:r w:rsidR="00721BCE">
        <w:t xml:space="preserve">taken the </w:t>
      </w:r>
      <w:r w:rsidR="002863E9">
        <w:t xml:space="preserve">‘further </w:t>
      </w:r>
      <w:r w:rsidR="00721BCE">
        <w:t>decision</w:t>
      </w:r>
      <w:r w:rsidR="002863E9">
        <w:t>’</w:t>
      </w:r>
      <w:r w:rsidR="00721BCE">
        <w:t xml:space="preserve"> “to avoid a time consuming and potentially costly representation” </w:t>
      </w:r>
      <w:r>
        <w:t>does not give any information on the nature of the query that was received or the ICB’s assessment of that query.</w:t>
      </w:r>
    </w:p>
    <w:p w14:paraId="3D11C408" w14:textId="6EFEBF93" w:rsidR="00844890" w:rsidRDefault="00844890" w:rsidP="00844890">
      <w:pPr>
        <w:pStyle w:val="ListParagraph"/>
      </w:pPr>
      <w:r>
        <w:t xml:space="preserve">As a result, the Panel finds that BOB ICB, in </w:t>
      </w:r>
      <w:r w:rsidR="008524C9">
        <w:t xml:space="preserve">not providing sufficient reasons to </w:t>
      </w:r>
      <w:r w:rsidR="000F7F1A">
        <w:t xml:space="preserve">Bloxdent </w:t>
      </w:r>
      <w:r w:rsidR="001F154F">
        <w:t>when communicating</w:t>
      </w:r>
      <w:r>
        <w:t xml:space="preserve"> its </w:t>
      </w:r>
      <w:r w:rsidR="008524C9">
        <w:t>‘further decision’</w:t>
      </w:r>
      <w:r>
        <w:t xml:space="preserve">, breached the PSR regulations and in particular Regulation 12(6), which requires </w:t>
      </w:r>
      <w:r w:rsidR="008524C9">
        <w:t xml:space="preserve">commissioners to </w:t>
      </w:r>
      <w:r>
        <w:t xml:space="preserve">include the reasons for </w:t>
      </w:r>
      <w:r w:rsidR="008524C9">
        <w:t>their decision in this communication</w:t>
      </w:r>
      <w:r>
        <w:t>.</w:t>
      </w:r>
    </w:p>
    <w:p w14:paraId="6D9A3E58" w14:textId="0A88B360" w:rsidR="00844890" w:rsidRPr="00BC581B" w:rsidRDefault="00844890" w:rsidP="00844890">
      <w:pPr>
        <w:keepNext/>
        <w:spacing w:before="240"/>
        <w:rPr>
          <w:b/>
          <w:bCs/>
        </w:rPr>
      </w:pPr>
      <w:r w:rsidRPr="00BC581B">
        <w:rPr>
          <w:b/>
          <w:bCs/>
        </w:rPr>
        <w:lastRenderedPageBreak/>
        <w:t>7.1.</w:t>
      </w:r>
      <w:r w:rsidR="00547E8A">
        <w:rPr>
          <w:b/>
          <w:bCs/>
        </w:rPr>
        <w:t>4</w:t>
      </w:r>
      <w:r w:rsidRPr="00BC581B">
        <w:rPr>
          <w:b/>
          <w:bCs/>
        </w:rPr>
        <w:t xml:space="preserve"> BOB ICB’s </w:t>
      </w:r>
      <w:r>
        <w:rPr>
          <w:b/>
          <w:bCs/>
        </w:rPr>
        <w:t>response to Bloxdent’s request for information about its decision to re-evaluate</w:t>
      </w:r>
    </w:p>
    <w:p w14:paraId="0AE93047" w14:textId="6A0BD32A" w:rsidR="00F25124" w:rsidRDefault="00844890" w:rsidP="005006AA">
      <w:pPr>
        <w:pStyle w:val="ListParagraph"/>
        <w:spacing w:after="160"/>
      </w:pPr>
      <w:r>
        <w:t xml:space="preserve">Bloxdent told the Panel that </w:t>
      </w:r>
      <w:r w:rsidR="005D093F">
        <w:t>in</w:t>
      </w:r>
      <w:r>
        <w:t xml:space="preserve"> its representations to BOB ICB it requested, but did not receive, information about the ICB’s </w:t>
      </w:r>
      <w:r w:rsidR="008060DA">
        <w:t xml:space="preserve">‘further </w:t>
      </w:r>
      <w:r>
        <w:t>decision</w:t>
      </w:r>
      <w:r w:rsidR="008060DA">
        <w:t>’</w:t>
      </w:r>
      <w:r>
        <w:t xml:space="preserve"> to re-evaluate responses to the three questions (see paragraph</w:t>
      </w:r>
      <w:r w:rsidR="002E64A7">
        <w:t xml:space="preserve"> 38</w:t>
      </w:r>
      <w:r>
        <w:t>).</w:t>
      </w:r>
    </w:p>
    <w:p w14:paraId="7493CA6E" w14:textId="2186AC01" w:rsidR="005006AA" w:rsidRDefault="005006AA" w:rsidP="005006AA">
      <w:pPr>
        <w:pStyle w:val="ListParagraph"/>
        <w:spacing w:after="160"/>
      </w:pPr>
      <w:r>
        <w:t xml:space="preserve">In particular, in its representations to BOB ICB on 16 July 2025, </w:t>
      </w:r>
      <w:r w:rsidR="005D093F">
        <w:t xml:space="preserve">Bloxdent </w:t>
      </w:r>
      <w:r>
        <w:t>requested “copies of all records required to be kept by the ICB under Regulation 24 in relation to the decision to rewind the procurement in respect of Lot 5”.</w:t>
      </w:r>
      <w:r>
        <w:rPr>
          <w:rStyle w:val="FootnoteReference"/>
        </w:rPr>
        <w:footnoteReference w:id="33"/>
      </w:r>
      <w:r>
        <w:t xml:space="preserve"> In its </w:t>
      </w:r>
      <w:r w:rsidR="005D093F">
        <w:t xml:space="preserve">further </w:t>
      </w:r>
      <w:r>
        <w:t>representations to BOB ICB on 30 July 2025, Bloxdent said “we note that the ICB has not, despite our request, provided any explanation for the previous decision to rewind the Lot 5 procurement”.</w:t>
      </w:r>
      <w:r>
        <w:rPr>
          <w:rStyle w:val="FootnoteReference"/>
        </w:rPr>
        <w:footnoteReference w:id="34"/>
      </w:r>
    </w:p>
    <w:p w14:paraId="5156B532" w14:textId="45B34EF7" w:rsidR="00844890" w:rsidRDefault="00844890" w:rsidP="005006AA">
      <w:pPr>
        <w:pStyle w:val="ListParagraph"/>
        <w:spacing w:after="160"/>
      </w:pPr>
      <w:r>
        <w:t>Regulation 12(4)(b) states that where a commissioner receives representations, it must “provide promptly any information requested by an aggrieved provider where the relevant authority has a duty to record that information under Regulation 24”.</w:t>
      </w:r>
    </w:p>
    <w:p w14:paraId="366334B2" w14:textId="5E95495D" w:rsidR="00844890" w:rsidRDefault="00844890" w:rsidP="005006AA">
      <w:pPr>
        <w:pStyle w:val="ListParagraph"/>
        <w:spacing w:after="160"/>
      </w:pPr>
      <w:r>
        <w:t>The Panel notes that no records were provided to Bloxdent in response to its request</w:t>
      </w:r>
      <w:r w:rsidR="000508AC">
        <w:t xml:space="preserve">. </w:t>
      </w:r>
      <w:r w:rsidR="000508AC" w:rsidRPr="000508AC">
        <w:t xml:space="preserve">The Panel </w:t>
      </w:r>
      <w:r w:rsidR="00715446">
        <w:t>also</w:t>
      </w:r>
      <w:r w:rsidR="000508AC" w:rsidRPr="000508AC">
        <w:t xml:space="preserve"> notes that a contributing factor to BOB ICB’s difficulties in responding to Bloxdent’s information request</w:t>
      </w:r>
      <w:r w:rsidR="00AD2535" w:rsidRPr="000508AC">
        <w:t xml:space="preserve"> </w:t>
      </w:r>
      <w:r w:rsidR="00AD2535">
        <w:t xml:space="preserve">may have been </w:t>
      </w:r>
      <w:r w:rsidR="000508AC" w:rsidRPr="000508AC">
        <w:t>the lack of recorded reasons for BOB ICB’s decision, as discussed in Section 7.1.</w:t>
      </w:r>
      <w:r w:rsidR="000E2E9B">
        <w:t>2</w:t>
      </w:r>
      <w:r>
        <w:t>.</w:t>
      </w:r>
    </w:p>
    <w:p w14:paraId="16E9565A" w14:textId="17F729E7" w:rsidR="00844890" w:rsidRDefault="00844890" w:rsidP="005006AA">
      <w:pPr>
        <w:pStyle w:val="ListParagraph"/>
        <w:spacing w:after="160"/>
      </w:pPr>
      <w:r>
        <w:t xml:space="preserve">The Panel finds that BOB ICB, in not providing a sufficient response to Bloxdent’s request for information about its </w:t>
      </w:r>
      <w:r w:rsidR="00606FAB">
        <w:t>‘further decision’</w:t>
      </w:r>
      <w:r>
        <w:t>, breached the PSR regulations and in particular Regulation 12(4)(b</w:t>
      </w:r>
      <w:r w:rsidR="00606FAB">
        <w:t>),</w:t>
      </w:r>
      <w:r>
        <w:t xml:space="preserve"> which requires </w:t>
      </w:r>
      <w:r w:rsidR="00606FAB">
        <w:t>commissioners</w:t>
      </w:r>
      <w:r>
        <w:t xml:space="preserve"> to promptly provide any information requested by an aggrieved provider where the commissioner has a duty to record that information under Regulation 24.</w:t>
      </w:r>
    </w:p>
    <w:p w14:paraId="1BF9962C" w14:textId="0BB520EC" w:rsidR="00857A6C" w:rsidRPr="00857A6C" w:rsidRDefault="00857A6C" w:rsidP="00857A6C">
      <w:pPr>
        <w:keepNext/>
        <w:spacing w:before="240"/>
        <w:rPr>
          <w:b/>
          <w:bCs/>
        </w:rPr>
      </w:pPr>
      <w:r>
        <w:rPr>
          <w:b/>
          <w:bCs/>
        </w:rPr>
        <w:t>7.1.5 Summary of Panel conclusions on BOB ICB’s response to Haddenham’s representations</w:t>
      </w:r>
    </w:p>
    <w:p w14:paraId="2698929B" w14:textId="2E6832D4" w:rsidR="00857A6C" w:rsidRDefault="00556DE2" w:rsidP="005006AA">
      <w:pPr>
        <w:pStyle w:val="ListParagraph"/>
        <w:spacing w:after="160"/>
      </w:pPr>
      <w:r>
        <w:t xml:space="preserve">In summary, the Panel finds that BOB ICB breached the PSR regulations in several respects </w:t>
      </w:r>
      <w:r w:rsidR="00F048FB">
        <w:t>in its handling of Haddenham’s representations. In particular:</w:t>
      </w:r>
    </w:p>
    <w:p w14:paraId="74D47408" w14:textId="18B87D93" w:rsidR="00F048FB" w:rsidRDefault="00F048FB" w:rsidP="00F048FB">
      <w:pPr>
        <w:pStyle w:val="ListParagraph"/>
        <w:numPr>
          <w:ilvl w:val="0"/>
          <w:numId w:val="17"/>
        </w:numPr>
        <w:ind w:left="1276"/>
      </w:pPr>
      <w:r>
        <w:t xml:space="preserve">The Panel finds that BOB ICB, in not keeping any record of its reasons for </w:t>
      </w:r>
      <w:r w:rsidR="00D63E4C">
        <w:t xml:space="preserve">its ‘further decision’ (i.e. </w:t>
      </w:r>
      <w:r>
        <w:t xml:space="preserve">to re-evaluate </w:t>
      </w:r>
      <w:r w:rsidR="00D63E4C">
        <w:t xml:space="preserve">bidders’ </w:t>
      </w:r>
      <w:r>
        <w:t>responses to three questions following Haddenham’s representations</w:t>
      </w:r>
      <w:r w:rsidR="00D63E4C">
        <w:t>)</w:t>
      </w:r>
      <w:r>
        <w:t>, breached the PSR regulations and in particular Regulation 24(g)</w:t>
      </w:r>
      <w:r w:rsidR="00505E56">
        <w:t xml:space="preserve">, which requires commissioners to keep a record of </w:t>
      </w:r>
      <w:r w:rsidR="00FA50E7">
        <w:t xml:space="preserve">reasons for </w:t>
      </w:r>
      <w:r w:rsidR="00505E56">
        <w:t>decisions</w:t>
      </w:r>
      <w:r w:rsidR="00FA50E7">
        <w:t xml:space="preserve"> under the PSR regulations.</w:t>
      </w:r>
    </w:p>
    <w:p w14:paraId="5DC738C7" w14:textId="1D19F666" w:rsidR="00F048FB" w:rsidRDefault="00FA50E7" w:rsidP="00F048FB">
      <w:pPr>
        <w:pStyle w:val="ListParagraph"/>
        <w:numPr>
          <w:ilvl w:val="0"/>
          <w:numId w:val="17"/>
        </w:numPr>
        <w:ind w:left="1276"/>
      </w:pPr>
      <w:r>
        <w:t>T</w:t>
      </w:r>
      <w:r w:rsidR="00F048FB">
        <w:t xml:space="preserve">he Panel finds that </w:t>
      </w:r>
      <w:r w:rsidR="001F154F">
        <w:t>BOB ICB, in not providing sufficient reasons to Bloxdent when communicating its ‘further decision’, breached the PSR regulations and in particular Regulation 12(6), which requires commissioners to include the reasons for their decision in this communication</w:t>
      </w:r>
      <w:r w:rsidR="00F048FB">
        <w:t>.</w:t>
      </w:r>
    </w:p>
    <w:p w14:paraId="0DB97D24" w14:textId="65C260BD" w:rsidR="00F048FB" w:rsidRDefault="00F048FB" w:rsidP="00F048FB">
      <w:pPr>
        <w:pStyle w:val="ListParagraph"/>
        <w:numPr>
          <w:ilvl w:val="0"/>
          <w:numId w:val="17"/>
        </w:numPr>
        <w:ind w:left="1276"/>
      </w:pPr>
      <w:r>
        <w:t xml:space="preserve">The Panel finds that BOB ICB, in not providing a sufficient response to Bloxdent’s request for information about its </w:t>
      </w:r>
      <w:r w:rsidR="006831DB">
        <w:t>‘</w:t>
      </w:r>
      <w:r w:rsidR="00AB6F44">
        <w:t xml:space="preserve">further </w:t>
      </w:r>
      <w:r>
        <w:t>decision</w:t>
      </w:r>
      <w:r w:rsidR="006831DB">
        <w:t>’</w:t>
      </w:r>
      <w:r>
        <w:t>, breached the PSR regulations and in particular Regulation 12(4)(b)</w:t>
      </w:r>
      <w:r w:rsidR="006831DB">
        <w:t>,</w:t>
      </w:r>
      <w:r>
        <w:t xml:space="preserve"> which requires commissioner</w:t>
      </w:r>
      <w:r w:rsidR="006831DB">
        <w:t>s</w:t>
      </w:r>
      <w:r>
        <w:t xml:space="preserve"> </w:t>
      </w:r>
      <w:r>
        <w:lastRenderedPageBreak/>
        <w:t>to promptly provide any information requested by an aggrieved provider where the commissioner has a duty to record that information under Regulation 24.</w:t>
      </w:r>
    </w:p>
    <w:p w14:paraId="4DAFBF2B" w14:textId="2BA62A21" w:rsidR="002A07B3" w:rsidRPr="00B12421" w:rsidRDefault="002A07B3" w:rsidP="002A07B3">
      <w:pPr>
        <w:pStyle w:val="Heading2"/>
        <w:spacing w:before="240" w:after="160"/>
        <w:ind w:left="578" w:hanging="578"/>
      </w:pPr>
      <w:bookmarkStart w:id="21" w:name="_Toc215595207"/>
      <w:r w:rsidRPr="00B12421">
        <w:t>7.</w:t>
      </w:r>
      <w:r w:rsidR="00BE57B9">
        <w:t>2</w:t>
      </w:r>
      <w:r>
        <w:tab/>
      </w:r>
      <w:r w:rsidRPr="00B12421">
        <w:t xml:space="preserve">BOB ICB’s </w:t>
      </w:r>
      <w:r w:rsidR="000B791E">
        <w:t>response to</w:t>
      </w:r>
      <w:r w:rsidRPr="00B12421">
        <w:t xml:space="preserve"> Bloxdent’s representations</w:t>
      </w:r>
      <w:bookmarkEnd w:id="21"/>
    </w:p>
    <w:p w14:paraId="5D9084FE" w14:textId="29A29265" w:rsidR="0052770A" w:rsidRDefault="002C34AB" w:rsidP="002044FB">
      <w:pPr>
        <w:pStyle w:val="ListParagraph"/>
        <w:contextualSpacing/>
      </w:pPr>
      <w:r>
        <w:t>Th</w:t>
      </w:r>
      <w:r w:rsidR="001057F1">
        <w:t>is section sets out th</w:t>
      </w:r>
      <w:r>
        <w:t xml:space="preserve">e Panel’s assessment of BOB ICB’s </w:t>
      </w:r>
      <w:r w:rsidR="00330138">
        <w:t xml:space="preserve">compliance with the PSR regulations when responding </w:t>
      </w:r>
      <w:r w:rsidR="00C76A1C">
        <w:t xml:space="preserve">to </w:t>
      </w:r>
      <w:r w:rsidR="00D014E6">
        <w:t>Bloxdent’s representations:</w:t>
      </w:r>
    </w:p>
    <w:p w14:paraId="0D987EFC" w14:textId="0D9D0EF9" w:rsidR="00D014E6" w:rsidRDefault="00D014E6" w:rsidP="002044FB">
      <w:pPr>
        <w:pStyle w:val="ListParagraph"/>
        <w:numPr>
          <w:ilvl w:val="0"/>
          <w:numId w:val="9"/>
        </w:numPr>
        <w:contextualSpacing/>
      </w:pPr>
      <w:r>
        <w:t xml:space="preserve">Section </w:t>
      </w:r>
      <w:r w:rsidR="00837327">
        <w:t>7.2.1 describes Bloxdent’s representations and BOB ICB’s review of these representations;</w:t>
      </w:r>
    </w:p>
    <w:p w14:paraId="18869FF0" w14:textId="566C2019" w:rsidR="00837327" w:rsidRDefault="00837327" w:rsidP="002044FB">
      <w:pPr>
        <w:pStyle w:val="ListParagraph"/>
        <w:numPr>
          <w:ilvl w:val="0"/>
          <w:numId w:val="9"/>
        </w:numPr>
        <w:contextualSpacing/>
      </w:pPr>
      <w:r>
        <w:t xml:space="preserve">Section 7.2.2 </w:t>
      </w:r>
      <w:r w:rsidR="00F630B6">
        <w:t xml:space="preserve">sets out </w:t>
      </w:r>
      <w:r w:rsidR="00FE554A">
        <w:t xml:space="preserve">the Panel’s assessment of </w:t>
      </w:r>
      <w:r w:rsidR="00F630B6">
        <w:t xml:space="preserve">BOB ICB’s </w:t>
      </w:r>
      <w:r w:rsidR="00FE554A">
        <w:t>response to Bloxdent’s</w:t>
      </w:r>
      <w:r w:rsidR="00F630B6">
        <w:t xml:space="preserve"> representations;</w:t>
      </w:r>
      <w:r w:rsidR="004A5FB5">
        <w:t xml:space="preserve"> and</w:t>
      </w:r>
    </w:p>
    <w:p w14:paraId="0A0E0464" w14:textId="6C42A1BA" w:rsidR="009F3AD8" w:rsidRDefault="00F630B6">
      <w:pPr>
        <w:pStyle w:val="ListParagraph"/>
        <w:numPr>
          <w:ilvl w:val="0"/>
          <w:numId w:val="9"/>
        </w:numPr>
        <w:contextualSpacing/>
      </w:pPr>
      <w:r>
        <w:t xml:space="preserve">Section 7.2.3 </w:t>
      </w:r>
      <w:r w:rsidR="009F3AD8">
        <w:t>sets out the Panel’s conclusions.</w:t>
      </w:r>
    </w:p>
    <w:p w14:paraId="1C8CDB86" w14:textId="756957B0" w:rsidR="009F3AD8" w:rsidRPr="002044FB" w:rsidRDefault="009F3AD8" w:rsidP="002044FB">
      <w:pPr>
        <w:keepNext/>
        <w:spacing w:before="240"/>
        <w:rPr>
          <w:b/>
          <w:bCs/>
        </w:rPr>
      </w:pPr>
      <w:r>
        <w:rPr>
          <w:b/>
          <w:bCs/>
        </w:rPr>
        <w:t xml:space="preserve">7.2.1 </w:t>
      </w:r>
      <w:r w:rsidR="00FA155A">
        <w:rPr>
          <w:b/>
          <w:bCs/>
        </w:rPr>
        <w:t>Bloxdent’s representations and BOB ICB’s review</w:t>
      </w:r>
    </w:p>
    <w:p w14:paraId="42CB798E" w14:textId="0EC454C0" w:rsidR="007A568B" w:rsidRDefault="007A568B" w:rsidP="002044FB">
      <w:pPr>
        <w:pStyle w:val="ListParagraph"/>
        <w:spacing w:after="160"/>
      </w:pPr>
      <w:r>
        <w:t xml:space="preserve">Bloxdent, in its representations to BOB ICB, raised concerns about the evaluation of nine questions. This included the three questions where responses </w:t>
      </w:r>
      <w:r w:rsidR="00811B2A">
        <w:t>were</w:t>
      </w:r>
      <w:r>
        <w:t xml:space="preserve"> re-evaluated following Haddenham’s representations and six questions where responses </w:t>
      </w:r>
      <w:r w:rsidR="001A15E8">
        <w:t>had</w:t>
      </w:r>
      <w:r w:rsidR="009E2225">
        <w:t xml:space="preserve"> </w:t>
      </w:r>
      <w:r>
        <w:t>not been re-evaluated.</w:t>
      </w:r>
      <w:r w:rsidR="00BC1422">
        <w:rPr>
          <w:rStyle w:val="FootnoteReference"/>
        </w:rPr>
        <w:footnoteReference w:id="35"/>
      </w:r>
    </w:p>
    <w:p w14:paraId="2294F4A6" w14:textId="1B15F344" w:rsidR="002A07B3" w:rsidRDefault="002A07B3" w:rsidP="002044FB">
      <w:pPr>
        <w:pStyle w:val="ListParagraph"/>
        <w:spacing w:after="160"/>
        <w:contextualSpacing/>
      </w:pPr>
      <w:r>
        <w:t xml:space="preserve">Bloxdent’s concerns </w:t>
      </w:r>
      <w:r w:rsidR="001E57B6">
        <w:t xml:space="preserve">about BOB ICB’s evaluation </w:t>
      </w:r>
      <w:r w:rsidR="00E0560B">
        <w:t>of</w:t>
      </w:r>
      <w:r w:rsidR="001E57B6">
        <w:t xml:space="preserve"> </w:t>
      </w:r>
      <w:r w:rsidR="00872D2F">
        <w:t xml:space="preserve">bidders’ </w:t>
      </w:r>
      <w:r w:rsidR="001E57B6">
        <w:t xml:space="preserve">responses to the nine questions </w:t>
      </w:r>
      <w:r>
        <w:t>fell into seven broad topics, namely:</w:t>
      </w:r>
    </w:p>
    <w:p w14:paraId="477A5587" w14:textId="77777777" w:rsidR="002A07B3" w:rsidRDefault="002A07B3" w:rsidP="002044FB">
      <w:pPr>
        <w:pStyle w:val="ListParagraph"/>
        <w:numPr>
          <w:ilvl w:val="0"/>
          <w:numId w:val="11"/>
        </w:numPr>
        <w:spacing w:after="160"/>
        <w:ind w:hanging="578"/>
        <w:contextualSpacing/>
      </w:pPr>
      <w:r>
        <w:t>incorrectly using material supplied by a bidder in answering one question to assist with the evaluation of its response to another question;</w:t>
      </w:r>
    </w:p>
    <w:p w14:paraId="3B2FF1FD" w14:textId="77777777" w:rsidR="002A07B3" w:rsidRDefault="002A07B3" w:rsidP="002044FB">
      <w:pPr>
        <w:pStyle w:val="ListParagraph"/>
        <w:numPr>
          <w:ilvl w:val="0"/>
          <w:numId w:val="11"/>
        </w:numPr>
        <w:spacing w:after="160"/>
        <w:ind w:hanging="578"/>
        <w:contextualSpacing/>
      </w:pPr>
      <w:r>
        <w:t>inappropriately copying evaluations from other lots into the evaluation for Lot 5;</w:t>
      </w:r>
    </w:p>
    <w:p w14:paraId="39633780" w14:textId="77777777" w:rsidR="002A07B3" w:rsidRDefault="002A07B3" w:rsidP="002044FB">
      <w:pPr>
        <w:pStyle w:val="ListParagraph"/>
        <w:numPr>
          <w:ilvl w:val="0"/>
          <w:numId w:val="11"/>
        </w:numPr>
        <w:spacing w:after="160"/>
        <w:ind w:hanging="578"/>
        <w:contextualSpacing/>
      </w:pPr>
      <w:r>
        <w:t>failing to consider relevant material and/or taking into account irrelevant material;</w:t>
      </w:r>
    </w:p>
    <w:p w14:paraId="2E54F302" w14:textId="77777777" w:rsidR="002A07B3" w:rsidRDefault="002A07B3" w:rsidP="002044FB">
      <w:pPr>
        <w:pStyle w:val="ListParagraph"/>
        <w:numPr>
          <w:ilvl w:val="0"/>
          <w:numId w:val="11"/>
        </w:numPr>
        <w:spacing w:after="160"/>
        <w:ind w:hanging="578"/>
        <w:contextualSpacing/>
      </w:pPr>
      <w:r>
        <w:t>favourable treatment of Haddenham in the evaluation process;</w:t>
      </w:r>
    </w:p>
    <w:p w14:paraId="0BFB4E79" w14:textId="28383246" w:rsidR="002A07B3" w:rsidRDefault="002A07B3" w:rsidP="002044FB">
      <w:pPr>
        <w:pStyle w:val="ListParagraph"/>
        <w:numPr>
          <w:ilvl w:val="0"/>
          <w:numId w:val="11"/>
        </w:numPr>
        <w:spacing w:after="160"/>
        <w:ind w:hanging="578"/>
        <w:contextualSpacing/>
      </w:pPr>
      <w:r>
        <w:t xml:space="preserve">criticisms in moderated comments that </w:t>
      </w:r>
      <w:r w:rsidR="00ED382B">
        <w:t>we</w:t>
      </w:r>
      <w:r>
        <w:t>re not reflected in individual evaluator notes;</w:t>
      </w:r>
    </w:p>
    <w:p w14:paraId="42FE3B05" w14:textId="77777777" w:rsidR="002A07B3" w:rsidRDefault="002A07B3" w:rsidP="002044FB">
      <w:pPr>
        <w:pStyle w:val="ListParagraph"/>
        <w:numPr>
          <w:ilvl w:val="0"/>
          <w:numId w:val="11"/>
        </w:numPr>
        <w:spacing w:after="160"/>
        <w:ind w:hanging="578"/>
        <w:contextualSpacing/>
      </w:pPr>
      <w:r>
        <w:t>inconsistencies in the scoring of Bloxdent responses compared to Haddenham responses; and</w:t>
      </w:r>
    </w:p>
    <w:p w14:paraId="2E2AF819" w14:textId="77777777" w:rsidR="002A07B3" w:rsidRDefault="002A07B3" w:rsidP="002044FB">
      <w:pPr>
        <w:pStyle w:val="ListParagraph"/>
        <w:numPr>
          <w:ilvl w:val="0"/>
          <w:numId w:val="11"/>
        </w:numPr>
        <w:spacing w:after="160"/>
        <w:ind w:hanging="578"/>
      </w:pPr>
      <w:r>
        <w:t>evaluators making inappropriate comparisons between Haddenham and Bloxdent during the evaluation and scoring process.</w:t>
      </w:r>
    </w:p>
    <w:p w14:paraId="417CA349" w14:textId="4712EA3C" w:rsidR="002A07B3" w:rsidRDefault="002A07B3" w:rsidP="002044FB">
      <w:pPr>
        <w:pStyle w:val="ListParagraph"/>
        <w:spacing w:after="160"/>
      </w:pPr>
      <w:bookmarkStart w:id="22" w:name="_Ref213848371"/>
      <w:r>
        <w:t xml:space="preserve">Bloxdent supplied BOB ICB with approximately forty examples </w:t>
      </w:r>
      <w:r w:rsidR="00742FB0">
        <w:t xml:space="preserve">within </w:t>
      </w:r>
      <w:r w:rsidR="00785238">
        <w:t>the</w:t>
      </w:r>
      <w:r>
        <w:t xml:space="preserve"> seven areas of concern across the nine questions.</w:t>
      </w:r>
      <w:bookmarkEnd w:id="22"/>
    </w:p>
    <w:p w14:paraId="6590F6F1" w14:textId="2DE79B95" w:rsidR="002A07B3" w:rsidRDefault="002A07B3" w:rsidP="002044FB">
      <w:pPr>
        <w:pStyle w:val="ListParagraph"/>
        <w:spacing w:after="160"/>
        <w:contextualSpacing/>
      </w:pPr>
      <w:r>
        <w:t>BOB ICB set up a “Local Representation Panel”</w:t>
      </w:r>
      <w:r>
        <w:rPr>
          <w:rStyle w:val="FootnoteReference"/>
        </w:rPr>
        <w:footnoteReference w:id="36"/>
      </w:r>
      <w:r>
        <w:t xml:space="preserve"> to consider Bloxdent</w:t>
      </w:r>
      <w:r w:rsidR="007332ED">
        <w:t>’s representations</w:t>
      </w:r>
      <w:r>
        <w:t>.</w:t>
      </w:r>
      <w:r>
        <w:rPr>
          <w:rStyle w:val="FootnoteReference"/>
          <w:lang w:eastAsia="en-GB"/>
        </w:rPr>
        <w:footnoteReference w:id="37"/>
      </w:r>
      <w:r>
        <w:t xml:space="preserve"> </w:t>
      </w:r>
      <w:r w:rsidR="007332ED">
        <w:t>T</w:t>
      </w:r>
      <w:r>
        <w:rPr>
          <w:lang w:eastAsia="en-GB"/>
        </w:rPr>
        <w:t>he Local Representation Panel</w:t>
      </w:r>
      <w:r w:rsidR="00034793">
        <w:rPr>
          <w:lang w:eastAsia="en-GB"/>
        </w:rPr>
        <w:t xml:space="preserve"> had the following members:</w:t>
      </w:r>
    </w:p>
    <w:p w14:paraId="055E6A13" w14:textId="1087F788" w:rsidR="002A07B3" w:rsidRDefault="002A07B3" w:rsidP="002044FB">
      <w:pPr>
        <w:pStyle w:val="ListParagraph"/>
        <w:numPr>
          <w:ilvl w:val="0"/>
          <w:numId w:val="9"/>
        </w:numPr>
        <w:spacing w:after="160"/>
        <w:contextualSpacing/>
      </w:pPr>
      <w:r>
        <w:t>Director, Primary Care, BOB ICB (</w:t>
      </w:r>
      <w:r w:rsidR="00C573EF">
        <w:t xml:space="preserve">as </w:t>
      </w:r>
      <w:r>
        <w:t>Chair</w:t>
      </w:r>
      <w:r w:rsidR="00C573EF">
        <w:t xml:space="preserve"> of the Local Representation Panel</w:t>
      </w:r>
      <w:r>
        <w:t>);</w:t>
      </w:r>
    </w:p>
    <w:p w14:paraId="12180B4F" w14:textId="04013970" w:rsidR="002A07B3" w:rsidRDefault="002A07B3" w:rsidP="002044FB">
      <w:pPr>
        <w:pStyle w:val="ListParagraph"/>
        <w:numPr>
          <w:ilvl w:val="0"/>
          <w:numId w:val="9"/>
        </w:numPr>
        <w:spacing w:after="160"/>
        <w:contextualSpacing/>
      </w:pPr>
      <w:r>
        <w:t>Business Manager, Primary Care, BOB ICB;</w:t>
      </w:r>
    </w:p>
    <w:p w14:paraId="3F769636" w14:textId="53ABA512" w:rsidR="002A07B3" w:rsidRDefault="002A07B3" w:rsidP="002044FB">
      <w:pPr>
        <w:pStyle w:val="ListParagraph"/>
        <w:numPr>
          <w:ilvl w:val="0"/>
          <w:numId w:val="9"/>
        </w:numPr>
        <w:spacing w:after="160"/>
        <w:contextualSpacing/>
      </w:pPr>
      <w:r>
        <w:t>Associate Director - Pharmacy, Optometry and Dentistry, BOB ICB;</w:t>
      </w:r>
    </w:p>
    <w:p w14:paraId="436D7E84" w14:textId="34EC4833" w:rsidR="002A07B3" w:rsidRDefault="002A07B3" w:rsidP="002044FB">
      <w:pPr>
        <w:pStyle w:val="ListParagraph"/>
        <w:numPr>
          <w:ilvl w:val="0"/>
          <w:numId w:val="9"/>
        </w:numPr>
        <w:spacing w:after="160"/>
        <w:contextualSpacing/>
      </w:pPr>
      <w:r>
        <w:t>Head of Pharmacy, Optometry and Dentistry, BOB ICB;</w:t>
      </w:r>
    </w:p>
    <w:p w14:paraId="5A9B732E" w14:textId="5A6A285C" w:rsidR="002A07B3" w:rsidRDefault="002A07B3" w:rsidP="002044FB">
      <w:pPr>
        <w:pStyle w:val="ListParagraph"/>
        <w:numPr>
          <w:ilvl w:val="0"/>
          <w:numId w:val="9"/>
        </w:numPr>
        <w:spacing w:after="160"/>
        <w:contextualSpacing/>
      </w:pPr>
      <w:r>
        <w:lastRenderedPageBreak/>
        <w:t>Deputy Director of Procurement, SCW CSU;</w:t>
      </w:r>
    </w:p>
    <w:p w14:paraId="189E94C3" w14:textId="359B306F" w:rsidR="002A07B3" w:rsidRDefault="002A07B3" w:rsidP="002044FB">
      <w:pPr>
        <w:pStyle w:val="ListParagraph"/>
        <w:numPr>
          <w:ilvl w:val="0"/>
          <w:numId w:val="9"/>
        </w:numPr>
        <w:spacing w:after="160"/>
        <w:contextualSpacing/>
      </w:pPr>
      <w:r>
        <w:t>Lead Senior Procurement Manager, SCW CSU; and</w:t>
      </w:r>
    </w:p>
    <w:p w14:paraId="16BDC9A5" w14:textId="6DA4A1DB" w:rsidR="002A07B3" w:rsidRDefault="002A07B3" w:rsidP="002044FB">
      <w:pPr>
        <w:pStyle w:val="ListParagraph"/>
        <w:numPr>
          <w:ilvl w:val="0"/>
          <w:numId w:val="9"/>
        </w:numPr>
        <w:spacing w:after="160"/>
        <w:ind w:left="1281" w:hanging="357"/>
      </w:pPr>
      <w:r>
        <w:t>Clinical Procurement Manager, SCW CSU.</w:t>
      </w:r>
    </w:p>
    <w:p w14:paraId="09ED7964" w14:textId="35C8CB2A" w:rsidR="002A07B3" w:rsidRDefault="002A07B3" w:rsidP="002044FB">
      <w:pPr>
        <w:pStyle w:val="ListParagraph"/>
        <w:spacing w:after="160"/>
      </w:pPr>
      <w:bookmarkStart w:id="23" w:name="_Ref213598909"/>
      <w:r>
        <w:t>Three members of the Local Representation Panel, namely Director</w:t>
      </w:r>
      <w:r w:rsidR="00E32170">
        <w:t xml:space="preserve"> (</w:t>
      </w:r>
      <w:r>
        <w:t>Primary Care, BOB ICB</w:t>
      </w:r>
      <w:r w:rsidR="00E32170">
        <w:t>)</w:t>
      </w:r>
      <w:r>
        <w:t xml:space="preserve">, Business Manager </w:t>
      </w:r>
      <w:r w:rsidR="00E32170">
        <w:t>(</w:t>
      </w:r>
      <w:r>
        <w:t>Primary Care, BOB ICB</w:t>
      </w:r>
      <w:r w:rsidR="00E32170">
        <w:t>)</w:t>
      </w:r>
      <w:r>
        <w:t xml:space="preserve"> and Lead Senior Procurement Manager </w:t>
      </w:r>
      <w:r w:rsidR="00E32170">
        <w:t>(</w:t>
      </w:r>
      <w:r>
        <w:t>SCW CSU</w:t>
      </w:r>
      <w:r w:rsidR="00E32170">
        <w:t>)</w:t>
      </w:r>
      <w:r>
        <w:t xml:space="preserve"> were not previously involved in the provider selection process for </w:t>
      </w:r>
      <w:r w:rsidR="006125C0">
        <w:t xml:space="preserve">the </w:t>
      </w:r>
      <w:r w:rsidR="00D31489">
        <w:t>Cherwell East (</w:t>
      </w:r>
      <w:r>
        <w:t>Lot 5</w:t>
      </w:r>
      <w:r w:rsidR="00D31489">
        <w:t>)</w:t>
      </w:r>
      <w:r w:rsidR="006125C0">
        <w:t xml:space="preserve"> contract</w:t>
      </w:r>
      <w:r>
        <w:t>.</w:t>
      </w:r>
      <w:r>
        <w:rPr>
          <w:rStyle w:val="FootnoteReference"/>
        </w:rPr>
        <w:footnoteReference w:id="38"/>
      </w:r>
    </w:p>
    <w:p w14:paraId="7325D9B7" w14:textId="2423045F" w:rsidR="002A07B3" w:rsidRDefault="00C32E75" w:rsidP="002044FB">
      <w:pPr>
        <w:pStyle w:val="ListParagraph"/>
        <w:spacing w:after="160"/>
      </w:pPr>
      <w:r>
        <w:t xml:space="preserve">The Local Representation Panel met </w:t>
      </w:r>
      <w:r w:rsidR="002A07B3">
        <w:t>on 14 August, 15 August and 4 September 2025</w:t>
      </w:r>
      <w:r w:rsidR="00532DCE">
        <w:t xml:space="preserve"> to consider Bloxdent’s representations. </w:t>
      </w:r>
      <w:r w:rsidR="00D80292">
        <w:t xml:space="preserve">No minutes were taken at these meetings. However, </w:t>
      </w:r>
      <w:r w:rsidR="005D3E25">
        <w:t>the Local Representation Panel’s</w:t>
      </w:r>
      <w:r w:rsidR="007C7D5B">
        <w:t xml:space="preserve"> </w:t>
      </w:r>
      <w:r w:rsidR="00932F7F">
        <w:t xml:space="preserve">conclusions in relation to each of </w:t>
      </w:r>
      <w:r w:rsidR="00FE5269">
        <w:t xml:space="preserve">the </w:t>
      </w:r>
      <w:r w:rsidR="008D0E28">
        <w:t xml:space="preserve">approximately forty examples </w:t>
      </w:r>
      <w:r w:rsidR="007108A6">
        <w:t xml:space="preserve">supplied by Bloxdent </w:t>
      </w:r>
      <w:r w:rsidR="002A07B3">
        <w:t xml:space="preserve">were recorded in a spreadsheet. </w:t>
      </w:r>
      <w:r w:rsidR="007108A6">
        <w:t>(</w:t>
      </w:r>
      <w:r w:rsidR="002A07B3">
        <w:t>BOB ICB told the Panel that it was more efficient to populate the spreadsheet rather than minute the discussions and then transfer the findings to the spreadsheet.</w:t>
      </w:r>
      <w:r w:rsidR="002A07B3">
        <w:rPr>
          <w:rStyle w:val="FootnoteReference"/>
          <w:lang w:eastAsia="en-GB"/>
        </w:rPr>
        <w:footnoteReference w:id="39"/>
      </w:r>
      <w:r w:rsidR="007108A6">
        <w:t>)</w:t>
      </w:r>
    </w:p>
    <w:p w14:paraId="0E1E32B3" w14:textId="149116D2" w:rsidR="002A07B3" w:rsidRDefault="002A07B3" w:rsidP="002044FB">
      <w:pPr>
        <w:pStyle w:val="ListParagraph"/>
        <w:spacing w:after="160"/>
      </w:pPr>
      <w:r>
        <w:t xml:space="preserve">The Local Representation Panel identified two concerns </w:t>
      </w:r>
      <w:r w:rsidR="00574A7F">
        <w:t xml:space="preserve">raised by Bloxdent that </w:t>
      </w:r>
      <w:r w:rsidR="009D2789">
        <w:t xml:space="preserve">it </w:t>
      </w:r>
      <w:r>
        <w:t xml:space="preserve">regarded as having </w:t>
      </w:r>
      <w:r w:rsidR="00E24259">
        <w:t xml:space="preserve">some </w:t>
      </w:r>
      <w:r>
        <w:t xml:space="preserve">merit, but concluded that these concerns were not sufficient </w:t>
      </w:r>
      <w:r>
        <w:rPr>
          <w:lang w:eastAsia="en-GB"/>
        </w:rPr>
        <w:t xml:space="preserve">to “warrant any change” to the evaluation or scoring of Bloxdent’s proposal or to justify re-evaluation of </w:t>
      </w:r>
      <w:r w:rsidR="00264DBA">
        <w:rPr>
          <w:lang w:eastAsia="en-GB"/>
        </w:rPr>
        <w:t xml:space="preserve">bidders’ </w:t>
      </w:r>
      <w:r w:rsidR="00A367DF">
        <w:rPr>
          <w:lang w:eastAsia="en-GB"/>
        </w:rPr>
        <w:t>responses to these questions</w:t>
      </w:r>
      <w:r>
        <w:rPr>
          <w:lang w:eastAsia="en-GB"/>
        </w:rPr>
        <w:t>.</w:t>
      </w:r>
    </w:p>
    <w:p w14:paraId="07A57805" w14:textId="70A279AE" w:rsidR="002A07B3" w:rsidRPr="00D366E9" w:rsidRDefault="002A07B3" w:rsidP="002044FB">
      <w:pPr>
        <w:pStyle w:val="ListParagraph"/>
        <w:spacing w:after="160"/>
      </w:pPr>
      <w:r>
        <w:rPr>
          <w:lang w:eastAsia="en-GB"/>
        </w:rPr>
        <w:t>Following the completion of the Local Representation Panel’s review, its conclusions were approved by BOB ICB’s Pharmacy, Optometry and Dental Oversight Group.</w:t>
      </w:r>
      <w:r>
        <w:rPr>
          <w:rStyle w:val="FootnoteReference"/>
        </w:rPr>
        <w:footnoteReference w:id="40"/>
      </w:r>
      <w:bookmarkEnd w:id="23"/>
      <w:r w:rsidR="009D2789">
        <w:rPr>
          <w:lang w:eastAsia="en-GB"/>
        </w:rPr>
        <w:t xml:space="preserve"> </w:t>
      </w:r>
      <w:bookmarkStart w:id="24" w:name="_Ref215236059"/>
      <w:r>
        <w:t>BOB ICB subsequently wrote to Bloxdent on 8 September 2025 setting out its decision to proceed with the contract award to Haddenham.</w:t>
      </w:r>
      <w:r>
        <w:rPr>
          <w:rStyle w:val="FootnoteReference"/>
        </w:rPr>
        <w:footnoteReference w:id="41"/>
      </w:r>
      <w:bookmarkEnd w:id="24"/>
    </w:p>
    <w:p w14:paraId="073E3F3C" w14:textId="6A242136" w:rsidR="002045AC" w:rsidRDefault="002045AC" w:rsidP="002044FB">
      <w:pPr>
        <w:pStyle w:val="ListParagraph"/>
        <w:spacing w:after="160"/>
      </w:pPr>
      <w:bookmarkStart w:id="25" w:name="_Ref213849831"/>
      <w:r>
        <w:t xml:space="preserve">BOB ICB told the Panel that the Local Representation Panel’s review of Bloxdent’s representations was “much, much more thorough” than </w:t>
      </w:r>
      <w:r w:rsidR="00882427">
        <w:t>BOB ICB’s</w:t>
      </w:r>
      <w:r>
        <w:t xml:space="preserve"> earlier review of Haddenham’s representations. It said that the Bloxdent representations “required and justified a substantive response”, </w:t>
      </w:r>
      <w:r w:rsidR="00962410">
        <w:t xml:space="preserve">but also </w:t>
      </w:r>
      <w:r>
        <w:t xml:space="preserve">said </w:t>
      </w:r>
      <w:r w:rsidR="00545B1D">
        <w:t xml:space="preserve">that Haddenham’s representations </w:t>
      </w:r>
      <w:r>
        <w:t>could immediately be identified as “clearly arguable”</w:t>
      </w:r>
      <w:r w:rsidR="00545B1D">
        <w:t xml:space="preserve">, while </w:t>
      </w:r>
      <w:r>
        <w:t>this “thinking didn’t exist with the Bloxdent representation when we looked through it”.</w:t>
      </w:r>
      <w:r>
        <w:rPr>
          <w:rStyle w:val="FootnoteReference"/>
        </w:rPr>
        <w:footnoteReference w:id="42"/>
      </w:r>
      <w:bookmarkEnd w:id="25"/>
    </w:p>
    <w:p w14:paraId="171178AF" w14:textId="791F70D8" w:rsidR="00BC2A7D" w:rsidRDefault="00962410" w:rsidP="002044FB">
      <w:pPr>
        <w:pStyle w:val="ListParagraph"/>
        <w:spacing w:after="160"/>
      </w:pPr>
      <w:r>
        <w:t xml:space="preserve">Table 7.2 </w:t>
      </w:r>
      <w:r w:rsidR="00BC2A7D">
        <w:t>provides a chronology of key events in relation to Bloxdent</w:t>
      </w:r>
      <w:r w:rsidR="00CA784A">
        <w:t>’s</w:t>
      </w:r>
      <w:r w:rsidR="00BC2A7D">
        <w:t xml:space="preserve"> representations.</w:t>
      </w:r>
    </w:p>
    <w:p w14:paraId="144F959D" w14:textId="65388AA5" w:rsidR="00BC2A7D" w:rsidRPr="00881865" w:rsidRDefault="00BC2A7D" w:rsidP="00BC2A7D">
      <w:pPr>
        <w:keepNext/>
        <w:spacing w:before="240" w:after="120"/>
        <w:rPr>
          <w:b/>
          <w:bCs/>
          <w:sz w:val="20"/>
          <w:szCs w:val="20"/>
        </w:rPr>
      </w:pPr>
      <w:r w:rsidRPr="00881865">
        <w:rPr>
          <w:b/>
          <w:bCs/>
          <w:sz w:val="20"/>
          <w:szCs w:val="20"/>
        </w:rPr>
        <w:t>Table 7.</w:t>
      </w:r>
      <w:r>
        <w:rPr>
          <w:b/>
          <w:bCs/>
          <w:sz w:val="20"/>
          <w:szCs w:val="20"/>
        </w:rPr>
        <w:t>2</w:t>
      </w:r>
      <w:r w:rsidRPr="00881865">
        <w:rPr>
          <w:b/>
          <w:bCs/>
          <w:sz w:val="20"/>
          <w:szCs w:val="20"/>
        </w:rPr>
        <w:t xml:space="preserve">: </w:t>
      </w:r>
      <w:r>
        <w:rPr>
          <w:b/>
          <w:bCs/>
          <w:sz w:val="20"/>
          <w:szCs w:val="20"/>
        </w:rPr>
        <w:t>Key dates in the review of Bloxdent’s representations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55"/>
        <w:gridCol w:w="7461"/>
      </w:tblGrid>
      <w:tr w:rsidR="00BC2A7D" w:rsidRPr="00485E6E" w14:paraId="7A4539AA" w14:textId="77777777">
        <w:tc>
          <w:tcPr>
            <w:tcW w:w="1555" w:type="dxa"/>
            <w:shd w:val="clear" w:color="auto" w:fill="D9D9D9" w:themeFill="background1" w:themeFillShade="D9"/>
          </w:tcPr>
          <w:p w14:paraId="4C2B58D0" w14:textId="77777777" w:rsidR="00BC2A7D" w:rsidRPr="00485E6E" w:rsidRDefault="00BC2A7D">
            <w:pPr>
              <w:spacing w:before="60" w:after="60"/>
              <w:rPr>
                <w:b/>
                <w:bCs/>
                <w:sz w:val="18"/>
                <w:szCs w:val="18"/>
              </w:rPr>
            </w:pPr>
            <w:r w:rsidRPr="00485E6E">
              <w:rPr>
                <w:b/>
                <w:bCs/>
                <w:sz w:val="18"/>
                <w:szCs w:val="18"/>
              </w:rPr>
              <w:t>Date</w:t>
            </w:r>
          </w:p>
        </w:tc>
        <w:tc>
          <w:tcPr>
            <w:tcW w:w="7461" w:type="dxa"/>
            <w:shd w:val="clear" w:color="auto" w:fill="D9D9D9" w:themeFill="background1" w:themeFillShade="D9"/>
          </w:tcPr>
          <w:p w14:paraId="35FB06EB" w14:textId="77777777" w:rsidR="00BC2A7D" w:rsidRPr="00485E6E" w:rsidRDefault="00BC2A7D">
            <w:pPr>
              <w:spacing w:before="60" w:after="60"/>
              <w:rPr>
                <w:b/>
                <w:bCs/>
                <w:sz w:val="18"/>
                <w:szCs w:val="18"/>
              </w:rPr>
            </w:pPr>
            <w:r w:rsidRPr="00485E6E">
              <w:rPr>
                <w:b/>
                <w:bCs/>
                <w:sz w:val="18"/>
                <w:szCs w:val="18"/>
              </w:rPr>
              <w:t>Event</w:t>
            </w:r>
          </w:p>
        </w:tc>
      </w:tr>
      <w:tr w:rsidR="00BC2A7D" w:rsidRPr="00606984" w14:paraId="2BC4980C" w14:textId="77777777">
        <w:tc>
          <w:tcPr>
            <w:tcW w:w="1555" w:type="dxa"/>
          </w:tcPr>
          <w:p w14:paraId="188FF5DE" w14:textId="50FEA7F2" w:rsidR="00BC2A7D" w:rsidRPr="00606984" w:rsidRDefault="00BC2A7D">
            <w:pPr>
              <w:spacing w:before="60" w:after="60"/>
              <w:jc w:val="center"/>
              <w:rPr>
                <w:sz w:val="18"/>
                <w:szCs w:val="18"/>
              </w:rPr>
            </w:pPr>
            <w:r>
              <w:rPr>
                <w:sz w:val="18"/>
                <w:szCs w:val="18"/>
              </w:rPr>
              <w:t>25 Jun</w:t>
            </w:r>
            <w:r w:rsidR="00D97417">
              <w:rPr>
                <w:sz w:val="18"/>
                <w:szCs w:val="18"/>
              </w:rPr>
              <w:t xml:space="preserve"> 2025</w:t>
            </w:r>
          </w:p>
        </w:tc>
        <w:tc>
          <w:tcPr>
            <w:tcW w:w="7461" w:type="dxa"/>
          </w:tcPr>
          <w:p w14:paraId="65D80855" w14:textId="287019E1" w:rsidR="00BC2A7D" w:rsidRPr="00606984" w:rsidRDefault="00BC2A7D">
            <w:pPr>
              <w:spacing w:before="60" w:after="60"/>
              <w:rPr>
                <w:sz w:val="18"/>
                <w:szCs w:val="18"/>
              </w:rPr>
            </w:pPr>
            <w:r>
              <w:rPr>
                <w:sz w:val="18"/>
                <w:szCs w:val="18"/>
              </w:rPr>
              <w:t xml:space="preserve">Bidders </w:t>
            </w:r>
            <w:r w:rsidR="003A4F65">
              <w:rPr>
                <w:sz w:val="18"/>
                <w:szCs w:val="18"/>
              </w:rPr>
              <w:t>are</w:t>
            </w:r>
            <w:r>
              <w:rPr>
                <w:sz w:val="18"/>
                <w:szCs w:val="18"/>
              </w:rPr>
              <w:t xml:space="preserve"> informed that, following the re-evaluation, Haddenham has been selected as the successful bidder for the Cherwell East (Lot 5) contract.</w:t>
            </w:r>
          </w:p>
        </w:tc>
      </w:tr>
      <w:tr w:rsidR="00BC2A7D" w:rsidRPr="00606984" w14:paraId="1F68C73B" w14:textId="77777777">
        <w:tc>
          <w:tcPr>
            <w:tcW w:w="1555" w:type="dxa"/>
          </w:tcPr>
          <w:p w14:paraId="206D59BB" w14:textId="2646A67F" w:rsidR="00BC2A7D" w:rsidRPr="00606984" w:rsidRDefault="00BC2A7D">
            <w:pPr>
              <w:spacing w:before="60" w:after="60"/>
              <w:jc w:val="center"/>
              <w:rPr>
                <w:sz w:val="18"/>
                <w:szCs w:val="18"/>
              </w:rPr>
            </w:pPr>
            <w:r>
              <w:rPr>
                <w:sz w:val="18"/>
                <w:szCs w:val="18"/>
              </w:rPr>
              <w:t>26 Jun – 7 Jul</w:t>
            </w:r>
            <w:r w:rsidR="00D97417">
              <w:rPr>
                <w:sz w:val="18"/>
                <w:szCs w:val="18"/>
              </w:rPr>
              <w:t xml:space="preserve"> 2025</w:t>
            </w:r>
          </w:p>
        </w:tc>
        <w:tc>
          <w:tcPr>
            <w:tcW w:w="7461" w:type="dxa"/>
          </w:tcPr>
          <w:p w14:paraId="1E1825A4" w14:textId="77777777" w:rsidR="00BC2A7D" w:rsidRPr="00606984" w:rsidRDefault="00BC2A7D">
            <w:pPr>
              <w:spacing w:before="60" w:after="60"/>
              <w:rPr>
                <w:sz w:val="18"/>
                <w:szCs w:val="18"/>
              </w:rPr>
            </w:pPr>
            <w:r>
              <w:rPr>
                <w:sz w:val="18"/>
                <w:szCs w:val="18"/>
              </w:rPr>
              <w:t>Correspondence between Bloxdent and BOB ICB regarding the provider selection process following BOB ICB’s further decision to award the Cherwell East (Lot 5) contract to Haddenham.</w:t>
            </w:r>
          </w:p>
        </w:tc>
      </w:tr>
      <w:tr w:rsidR="00BC2A7D" w:rsidRPr="00606984" w14:paraId="7A6B34EE" w14:textId="77777777">
        <w:tc>
          <w:tcPr>
            <w:tcW w:w="1555" w:type="dxa"/>
          </w:tcPr>
          <w:p w14:paraId="11AFD893" w14:textId="4C28A155" w:rsidR="00BC2A7D" w:rsidRDefault="00BC2A7D">
            <w:pPr>
              <w:spacing w:before="60" w:after="60"/>
              <w:jc w:val="center"/>
              <w:rPr>
                <w:sz w:val="18"/>
                <w:szCs w:val="18"/>
              </w:rPr>
            </w:pPr>
            <w:r>
              <w:rPr>
                <w:sz w:val="18"/>
                <w:szCs w:val="18"/>
              </w:rPr>
              <w:lastRenderedPageBreak/>
              <w:t>8 Jul</w:t>
            </w:r>
            <w:r w:rsidR="00D97417">
              <w:rPr>
                <w:sz w:val="18"/>
                <w:szCs w:val="18"/>
              </w:rPr>
              <w:t xml:space="preserve"> 2025</w:t>
            </w:r>
          </w:p>
        </w:tc>
        <w:tc>
          <w:tcPr>
            <w:tcW w:w="7461" w:type="dxa"/>
          </w:tcPr>
          <w:p w14:paraId="221428BA" w14:textId="77777777" w:rsidR="00BC2A7D" w:rsidRDefault="00BC2A7D">
            <w:pPr>
              <w:spacing w:before="60" w:after="60"/>
              <w:rPr>
                <w:sz w:val="18"/>
                <w:szCs w:val="18"/>
              </w:rPr>
            </w:pPr>
            <w:r>
              <w:rPr>
                <w:sz w:val="18"/>
                <w:szCs w:val="18"/>
              </w:rPr>
              <w:t>BOB ICB informs Bloxdent that it will continue with awarding the contract to Haddenham, and publishes an intention to award notice to this effect.</w:t>
            </w:r>
          </w:p>
        </w:tc>
      </w:tr>
      <w:tr w:rsidR="00BC2A7D" w:rsidRPr="00606984" w14:paraId="75C9D0E6" w14:textId="77777777">
        <w:tc>
          <w:tcPr>
            <w:tcW w:w="1555" w:type="dxa"/>
          </w:tcPr>
          <w:p w14:paraId="7DDA9058" w14:textId="637CCA77" w:rsidR="00BC2A7D" w:rsidRDefault="00BC2A7D">
            <w:pPr>
              <w:spacing w:before="60" w:after="60"/>
              <w:jc w:val="center"/>
              <w:rPr>
                <w:sz w:val="18"/>
                <w:szCs w:val="18"/>
              </w:rPr>
            </w:pPr>
            <w:r>
              <w:rPr>
                <w:sz w:val="18"/>
                <w:szCs w:val="18"/>
              </w:rPr>
              <w:t>16 Jul</w:t>
            </w:r>
            <w:r w:rsidR="00D97417">
              <w:rPr>
                <w:sz w:val="18"/>
                <w:szCs w:val="18"/>
              </w:rPr>
              <w:t xml:space="preserve"> 2025</w:t>
            </w:r>
          </w:p>
        </w:tc>
        <w:tc>
          <w:tcPr>
            <w:tcW w:w="7461" w:type="dxa"/>
          </w:tcPr>
          <w:p w14:paraId="44E08E8F" w14:textId="77777777" w:rsidR="00BC2A7D" w:rsidRDefault="00BC2A7D">
            <w:pPr>
              <w:spacing w:before="60" w:after="60"/>
              <w:rPr>
                <w:sz w:val="18"/>
                <w:szCs w:val="18"/>
              </w:rPr>
            </w:pPr>
            <w:r>
              <w:rPr>
                <w:sz w:val="18"/>
                <w:szCs w:val="18"/>
              </w:rPr>
              <w:t>Bloxdent makes representations to BOB ICB about the provider selection process.</w:t>
            </w:r>
          </w:p>
        </w:tc>
      </w:tr>
      <w:tr w:rsidR="00BC2A7D" w:rsidRPr="00606984" w14:paraId="66A23D69" w14:textId="77777777">
        <w:tc>
          <w:tcPr>
            <w:tcW w:w="1555" w:type="dxa"/>
          </w:tcPr>
          <w:p w14:paraId="5A5FF64C" w14:textId="4A021F2A" w:rsidR="00BC2A7D" w:rsidRDefault="00BC2A7D">
            <w:pPr>
              <w:spacing w:before="60" w:after="60"/>
              <w:jc w:val="center"/>
              <w:rPr>
                <w:sz w:val="18"/>
                <w:szCs w:val="18"/>
              </w:rPr>
            </w:pPr>
            <w:r>
              <w:rPr>
                <w:sz w:val="18"/>
                <w:szCs w:val="18"/>
              </w:rPr>
              <w:t>18 Jul</w:t>
            </w:r>
            <w:r w:rsidR="00D97417">
              <w:rPr>
                <w:sz w:val="18"/>
                <w:szCs w:val="18"/>
              </w:rPr>
              <w:t xml:space="preserve"> 2025</w:t>
            </w:r>
          </w:p>
        </w:tc>
        <w:tc>
          <w:tcPr>
            <w:tcW w:w="7461" w:type="dxa"/>
          </w:tcPr>
          <w:p w14:paraId="2E78AD6F" w14:textId="77777777" w:rsidR="00BC2A7D" w:rsidRDefault="00BC2A7D">
            <w:pPr>
              <w:spacing w:before="60" w:after="60"/>
              <w:rPr>
                <w:sz w:val="18"/>
                <w:szCs w:val="18"/>
              </w:rPr>
            </w:pPr>
            <w:r>
              <w:rPr>
                <w:sz w:val="18"/>
                <w:szCs w:val="18"/>
              </w:rPr>
              <w:t>BOB ICB establishes a Local Representation Panel to consider Bloxdent’s representations.</w:t>
            </w:r>
          </w:p>
        </w:tc>
      </w:tr>
      <w:tr w:rsidR="00BC2A7D" w:rsidRPr="00606984" w14:paraId="3E006525" w14:textId="77777777">
        <w:tc>
          <w:tcPr>
            <w:tcW w:w="1555" w:type="dxa"/>
          </w:tcPr>
          <w:p w14:paraId="791AC6EC" w14:textId="7C292940" w:rsidR="00BC2A7D" w:rsidRDefault="00BC2A7D">
            <w:pPr>
              <w:spacing w:before="60" w:after="60"/>
              <w:jc w:val="center"/>
              <w:rPr>
                <w:sz w:val="18"/>
                <w:szCs w:val="18"/>
              </w:rPr>
            </w:pPr>
            <w:r>
              <w:rPr>
                <w:sz w:val="18"/>
                <w:szCs w:val="18"/>
              </w:rPr>
              <w:t>30 Jul</w:t>
            </w:r>
            <w:r w:rsidR="00D97417">
              <w:rPr>
                <w:sz w:val="18"/>
                <w:szCs w:val="18"/>
              </w:rPr>
              <w:t xml:space="preserve"> 2025</w:t>
            </w:r>
          </w:p>
        </w:tc>
        <w:tc>
          <w:tcPr>
            <w:tcW w:w="7461" w:type="dxa"/>
          </w:tcPr>
          <w:p w14:paraId="134E4D83" w14:textId="77777777" w:rsidR="00BC2A7D" w:rsidRDefault="00BC2A7D">
            <w:pPr>
              <w:spacing w:before="60" w:after="60"/>
              <w:rPr>
                <w:sz w:val="18"/>
                <w:szCs w:val="18"/>
              </w:rPr>
            </w:pPr>
            <w:r>
              <w:rPr>
                <w:sz w:val="18"/>
                <w:szCs w:val="18"/>
              </w:rPr>
              <w:t>Additional representations by Bloxdent following receipt of documentation from BOB ICB.</w:t>
            </w:r>
          </w:p>
        </w:tc>
      </w:tr>
      <w:tr w:rsidR="00BC2A7D" w:rsidRPr="00606984" w14:paraId="64FF8862" w14:textId="77777777">
        <w:tc>
          <w:tcPr>
            <w:tcW w:w="1555" w:type="dxa"/>
          </w:tcPr>
          <w:p w14:paraId="30350C04" w14:textId="309A75E1" w:rsidR="00BC2A7D" w:rsidRDefault="00BC2A7D">
            <w:pPr>
              <w:spacing w:before="60" w:after="60"/>
              <w:jc w:val="center"/>
              <w:rPr>
                <w:sz w:val="18"/>
                <w:szCs w:val="18"/>
              </w:rPr>
            </w:pPr>
            <w:r>
              <w:rPr>
                <w:sz w:val="18"/>
                <w:szCs w:val="18"/>
              </w:rPr>
              <w:t>14 Aug, 15 Aug and 4 Sep</w:t>
            </w:r>
            <w:r w:rsidR="00D97417">
              <w:rPr>
                <w:sz w:val="18"/>
                <w:szCs w:val="18"/>
              </w:rPr>
              <w:t xml:space="preserve"> 2025</w:t>
            </w:r>
          </w:p>
        </w:tc>
        <w:tc>
          <w:tcPr>
            <w:tcW w:w="7461" w:type="dxa"/>
          </w:tcPr>
          <w:p w14:paraId="7E1ACB8B" w14:textId="77777777" w:rsidR="00BC2A7D" w:rsidRDefault="00BC2A7D">
            <w:pPr>
              <w:spacing w:before="60" w:after="60"/>
              <w:rPr>
                <w:sz w:val="18"/>
                <w:szCs w:val="18"/>
              </w:rPr>
            </w:pPr>
            <w:r>
              <w:rPr>
                <w:sz w:val="18"/>
                <w:szCs w:val="18"/>
              </w:rPr>
              <w:t>First, second and third meetings of the Local Representation Panel to discuss Bloxdent’s representations.</w:t>
            </w:r>
          </w:p>
        </w:tc>
      </w:tr>
      <w:tr w:rsidR="00BC2A7D" w:rsidRPr="00606984" w14:paraId="2914A77B" w14:textId="77777777">
        <w:tc>
          <w:tcPr>
            <w:tcW w:w="1555" w:type="dxa"/>
          </w:tcPr>
          <w:p w14:paraId="3A1FFF3A" w14:textId="04AA4658" w:rsidR="00BC2A7D" w:rsidRDefault="00BC2A7D">
            <w:pPr>
              <w:spacing w:before="60" w:after="60"/>
              <w:jc w:val="center"/>
              <w:rPr>
                <w:sz w:val="18"/>
                <w:szCs w:val="18"/>
              </w:rPr>
            </w:pPr>
            <w:r>
              <w:rPr>
                <w:sz w:val="18"/>
                <w:szCs w:val="18"/>
              </w:rPr>
              <w:t>8 Sep</w:t>
            </w:r>
            <w:r w:rsidR="00D97417">
              <w:rPr>
                <w:sz w:val="18"/>
                <w:szCs w:val="18"/>
              </w:rPr>
              <w:t xml:space="preserve"> 2025</w:t>
            </w:r>
          </w:p>
        </w:tc>
        <w:tc>
          <w:tcPr>
            <w:tcW w:w="7461" w:type="dxa"/>
          </w:tcPr>
          <w:p w14:paraId="788F35EC" w14:textId="77777777" w:rsidR="00BC2A7D" w:rsidRDefault="00BC2A7D">
            <w:pPr>
              <w:spacing w:before="60" w:after="60"/>
              <w:rPr>
                <w:sz w:val="18"/>
                <w:szCs w:val="18"/>
              </w:rPr>
            </w:pPr>
            <w:r>
              <w:rPr>
                <w:sz w:val="18"/>
                <w:szCs w:val="18"/>
              </w:rPr>
              <w:t>BOB ICB informs Bloxdent that it has decided to proceed with contract award to Haddenham.</w:t>
            </w:r>
          </w:p>
        </w:tc>
      </w:tr>
    </w:tbl>
    <w:p w14:paraId="1869E032" w14:textId="77777777" w:rsidR="00BC2A7D" w:rsidRPr="00881865" w:rsidRDefault="00BC2A7D" w:rsidP="00BC2A7D">
      <w:pPr>
        <w:spacing w:before="60" w:after="360" w:line="240" w:lineRule="auto"/>
        <w:rPr>
          <w:sz w:val="16"/>
          <w:szCs w:val="16"/>
        </w:rPr>
      </w:pPr>
    </w:p>
    <w:p w14:paraId="02D4616A" w14:textId="592662CF" w:rsidR="003E1300" w:rsidRPr="003E1300" w:rsidRDefault="003E1300" w:rsidP="003E1300">
      <w:pPr>
        <w:keepNext/>
        <w:spacing w:before="240"/>
        <w:rPr>
          <w:b/>
          <w:bCs/>
        </w:rPr>
      </w:pPr>
      <w:r w:rsidRPr="003E1300">
        <w:rPr>
          <w:b/>
          <w:bCs/>
        </w:rPr>
        <w:t xml:space="preserve">7.2.2 </w:t>
      </w:r>
      <w:r w:rsidR="00365895">
        <w:rPr>
          <w:b/>
          <w:bCs/>
        </w:rPr>
        <w:t xml:space="preserve">Panel assessment of </w:t>
      </w:r>
      <w:r w:rsidRPr="003E1300">
        <w:rPr>
          <w:b/>
          <w:bCs/>
        </w:rPr>
        <w:t xml:space="preserve">BOB ICB’s </w:t>
      </w:r>
      <w:r w:rsidR="00365895">
        <w:rPr>
          <w:b/>
          <w:bCs/>
        </w:rPr>
        <w:t>response to Bloxdent’s</w:t>
      </w:r>
      <w:r w:rsidRPr="003E1300">
        <w:rPr>
          <w:b/>
          <w:bCs/>
        </w:rPr>
        <w:t xml:space="preserve"> representations</w:t>
      </w:r>
    </w:p>
    <w:p w14:paraId="35C60C50" w14:textId="39E188CA" w:rsidR="007E50F1" w:rsidRDefault="007E604A" w:rsidP="00077D96">
      <w:pPr>
        <w:pStyle w:val="ListParagraph"/>
        <w:spacing w:after="160"/>
        <w:contextualSpacing/>
      </w:pPr>
      <w:r>
        <w:t>The Panel</w:t>
      </w:r>
      <w:r w:rsidR="007E50F1">
        <w:t xml:space="preserve"> in assessing BOB ICB’s response to Bloxdent’s representations has considered</w:t>
      </w:r>
      <w:r w:rsidR="00F82687">
        <w:t>:</w:t>
      </w:r>
    </w:p>
    <w:p w14:paraId="1F7DB354" w14:textId="50546544" w:rsidR="00F82687" w:rsidRDefault="00077D96" w:rsidP="00077D96">
      <w:pPr>
        <w:pStyle w:val="ListParagraph"/>
        <w:numPr>
          <w:ilvl w:val="0"/>
          <w:numId w:val="9"/>
        </w:numPr>
        <w:spacing w:after="160"/>
        <w:contextualSpacing/>
      </w:pPr>
      <w:r>
        <w:t>f</w:t>
      </w:r>
      <w:r w:rsidR="00F82687">
        <w:t xml:space="preserve">irst, </w:t>
      </w:r>
      <w:r w:rsidR="002705FA">
        <w:t>the process employed by BOB ICB for reviewing Bloxdent’s representations</w:t>
      </w:r>
      <w:r w:rsidR="00A23129">
        <w:t>;</w:t>
      </w:r>
      <w:r w:rsidR="00C135A1">
        <w:t xml:space="preserve"> and</w:t>
      </w:r>
    </w:p>
    <w:p w14:paraId="26034DF0" w14:textId="1C8835E0" w:rsidR="00A23129" w:rsidRDefault="00077D96" w:rsidP="00F82687">
      <w:pPr>
        <w:pStyle w:val="ListParagraph"/>
        <w:numPr>
          <w:ilvl w:val="0"/>
          <w:numId w:val="9"/>
        </w:numPr>
        <w:spacing w:after="160"/>
      </w:pPr>
      <w:r>
        <w:t>s</w:t>
      </w:r>
      <w:r w:rsidR="00A23129">
        <w:t>econd,</w:t>
      </w:r>
      <w:r w:rsidR="002705FA" w:rsidRPr="002705FA">
        <w:t xml:space="preserve"> </w:t>
      </w:r>
      <w:r w:rsidR="002705FA">
        <w:t>whether Bloxdent raised issues in its representations to BOB ICB that merited re-scoring or re-evaluation</w:t>
      </w:r>
      <w:r w:rsidR="00C135A1">
        <w:t>.</w:t>
      </w:r>
    </w:p>
    <w:p w14:paraId="0BEDF7E8" w14:textId="77777777" w:rsidR="002705FA" w:rsidRPr="00A421CD" w:rsidRDefault="002705FA" w:rsidP="002705FA">
      <w:pPr>
        <w:keepNext/>
        <w:spacing w:before="240"/>
        <w:rPr>
          <w:b/>
          <w:bCs/>
        </w:rPr>
      </w:pPr>
      <w:r>
        <w:rPr>
          <w:b/>
          <w:bCs/>
        </w:rPr>
        <w:t>Process for reviewing Bloxdent’s representations</w:t>
      </w:r>
    </w:p>
    <w:p w14:paraId="434C35AE" w14:textId="0176B68F" w:rsidR="002705FA" w:rsidRDefault="002705FA" w:rsidP="002705FA">
      <w:pPr>
        <w:pStyle w:val="ListParagraph"/>
        <w:spacing w:after="160"/>
      </w:pPr>
      <w:r>
        <w:t>The Panel notes that, in reviewing Bloxdent’s representations, BOB ICB established a Local Representation Panel, which met several times and carried out an in-depth review of the issues raised by Bloxdent. BOB ICB described this process to the Panel as “much more thorough” than its earlier review of Haddenham’s representations</w:t>
      </w:r>
      <w:r w:rsidR="00941A12">
        <w:t xml:space="preserve"> (see paragraph</w:t>
      </w:r>
      <w:r w:rsidR="003C7E5C">
        <w:t xml:space="preserve"> 77</w:t>
      </w:r>
      <w:r w:rsidR="00941A12">
        <w:t>)</w:t>
      </w:r>
      <w:r>
        <w:t>.</w:t>
      </w:r>
    </w:p>
    <w:p w14:paraId="5DB4291A" w14:textId="15DED399" w:rsidR="002705FA" w:rsidRDefault="002705FA" w:rsidP="002705FA">
      <w:pPr>
        <w:pStyle w:val="ListParagraph"/>
        <w:spacing w:after="160"/>
      </w:pPr>
      <w:r>
        <w:t xml:space="preserve">The Panel also notes that, in reviewing Haddenham’s representations, BOB ICB used a single staff member to carry out a fast-paced review (which was not documented). BOB ICB described this process to the Panel as </w:t>
      </w:r>
      <w:r w:rsidR="00541B52">
        <w:t xml:space="preserve">having been </w:t>
      </w:r>
      <w:r>
        <w:t>“done too fast”</w:t>
      </w:r>
      <w:r w:rsidR="00C929FA">
        <w:t xml:space="preserve"> (see paragraph</w:t>
      </w:r>
      <w:r w:rsidR="003C7E5C">
        <w:t xml:space="preserve"> 50</w:t>
      </w:r>
      <w:r w:rsidR="00F7759D">
        <w:t>)</w:t>
      </w:r>
      <w:r>
        <w:t>.</w:t>
      </w:r>
    </w:p>
    <w:p w14:paraId="23AE2ED3" w14:textId="3FF14B89" w:rsidR="00A1574B" w:rsidRPr="00A1574B" w:rsidRDefault="004D1994" w:rsidP="00A1574B">
      <w:pPr>
        <w:keepNext/>
        <w:spacing w:before="240"/>
        <w:rPr>
          <w:b/>
          <w:bCs/>
        </w:rPr>
      </w:pPr>
      <w:r>
        <w:rPr>
          <w:b/>
          <w:bCs/>
        </w:rPr>
        <w:t>Merits of Bloxdent’s representations</w:t>
      </w:r>
    </w:p>
    <w:p w14:paraId="17FAAE5D" w14:textId="4A3B561F" w:rsidR="004C1D23" w:rsidRDefault="004D1994" w:rsidP="007E604A">
      <w:pPr>
        <w:pStyle w:val="ListParagraph"/>
        <w:spacing w:after="160"/>
      </w:pPr>
      <w:bookmarkStart w:id="26" w:name="_Ref215511167"/>
      <w:r>
        <w:t>The Panel</w:t>
      </w:r>
      <w:r w:rsidR="004C1D23">
        <w:t xml:space="preserve">, having reviewed </w:t>
      </w:r>
      <w:r w:rsidR="00A050F4">
        <w:t xml:space="preserve">each of the approximately forty concerns </w:t>
      </w:r>
      <w:r w:rsidR="004C1D23">
        <w:t xml:space="preserve">raised by Bloxdent in its representations, </w:t>
      </w:r>
      <w:r w:rsidR="00BE01A1">
        <w:t>a</w:t>
      </w:r>
      <w:r w:rsidR="00531851">
        <w:t xml:space="preserve">grees with the assessment of BOB ICB’s Local Representation Panel that </w:t>
      </w:r>
      <w:r w:rsidR="00D84AB8">
        <w:t xml:space="preserve">these concerns </w:t>
      </w:r>
      <w:r w:rsidR="00355C72">
        <w:t xml:space="preserve">do not </w:t>
      </w:r>
      <w:r w:rsidR="00355C72">
        <w:rPr>
          <w:lang w:eastAsia="en-GB"/>
        </w:rPr>
        <w:t>“warrant any change” to the evaluation or scoring of Bloxdent’s proposal or justify re-evaluation of bidders’ responses to these questions.</w:t>
      </w:r>
      <w:bookmarkEnd w:id="26"/>
    </w:p>
    <w:p w14:paraId="7C7AC832" w14:textId="77777777" w:rsidR="00207799" w:rsidRDefault="00B941C5" w:rsidP="007E604A">
      <w:pPr>
        <w:pStyle w:val="ListParagraph"/>
        <w:spacing w:after="160"/>
      </w:pPr>
      <w:r>
        <w:t>T</w:t>
      </w:r>
      <w:r w:rsidR="00631A66">
        <w:t xml:space="preserve">he Panel </w:t>
      </w:r>
      <w:r w:rsidR="00207799">
        <w:t xml:space="preserve">in carrying out its review of Bloxdent’s representations noted several </w:t>
      </w:r>
      <w:r w:rsidR="00631A66">
        <w:t xml:space="preserve">similarities between </w:t>
      </w:r>
      <w:r w:rsidR="0038753B">
        <w:t xml:space="preserve">the issues </w:t>
      </w:r>
      <w:r w:rsidR="00FB3EF4">
        <w:t xml:space="preserve">arising </w:t>
      </w:r>
      <w:r w:rsidR="00B827F3">
        <w:t>in</w:t>
      </w:r>
      <w:r w:rsidR="0038753B">
        <w:t xml:space="preserve"> Bloxdent</w:t>
      </w:r>
      <w:r w:rsidR="00B827F3">
        <w:t>’s representations</w:t>
      </w:r>
      <w:r w:rsidR="0038753B">
        <w:t xml:space="preserve"> and those </w:t>
      </w:r>
      <w:r w:rsidR="00FB3EF4">
        <w:t>arising</w:t>
      </w:r>
      <w:r w:rsidR="0038753B">
        <w:t xml:space="preserve"> </w:t>
      </w:r>
      <w:r w:rsidR="00B827F3">
        <w:t xml:space="preserve">in </w:t>
      </w:r>
      <w:r w:rsidR="0038753B">
        <w:t>Haddenham</w:t>
      </w:r>
      <w:r w:rsidR="00B827F3">
        <w:t>’s</w:t>
      </w:r>
      <w:r w:rsidR="0038753B">
        <w:t xml:space="preserve"> earlier representations</w:t>
      </w:r>
      <w:r w:rsidR="00207799">
        <w:t>.</w:t>
      </w:r>
    </w:p>
    <w:p w14:paraId="160CE49F" w14:textId="24B0EF29" w:rsidR="00DA1F24" w:rsidRDefault="00207799">
      <w:pPr>
        <w:pStyle w:val="ListParagraph"/>
        <w:spacing w:after="160"/>
      </w:pPr>
      <w:r>
        <w:t xml:space="preserve">The Panel notes </w:t>
      </w:r>
      <w:r w:rsidR="0038753B">
        <w:t xml:space="preserve">that </w:t>
      </w:r>
      <w:r w:rsidR="00FC59C9">
        <w:t xml:space="preserve">BOB ICB </w:t>
      </w:r>
      <w:r w:rsidR="00386C59">
        <w:t>d</w:t>
      </w:r>
      <w:r w:rsidR="00435654">
        <w:t xml:space="preserve">oes not appear to have </w:t>
      </w:r>
      <w:r w:rsidR="002A58FB">
        <w:t>respond</w:t>
      </w:r>
      <w:r w:rsidR="00435654">
        <w:t>ed</w:t>
      </w:r>
      <w:r w:rsidR="002A58FB">
        <w:t xml:space="preserve"> consistently to these similar </w:t>
      </w:r>
      <w:r w:rsidR="002E7B42">
        <w:t>issues</w:t>
      </w:r>
      <w:r w:rsidR="002A58FB">
        <w:t>.</w:t>
      </w:r>
      <w:r w:rsidR="004B51BF">
        <w:rPr>
          <w:rStyle w:val="FootnoteReference"/>
        </w:rPr>
        <w:footnoteReference w:id="43"/>
      </w:r>
      <w:r>
        <w:t xml:space="preserve"> </w:t>
      </w:r>
      <w:r w:rsidR="002F6CB7">
        <w:t>For example</w:t>
      </w:r>
      <w:r w:rsidR="00D652CB">
        <w:t>:</w:t>
      </w:r>
    </w:p>
    <w:p w14:paraId="4A25F521" w14:textId="7208115C" w:rsidR="00D652CB" w:rsidRDefault="0004360C" w:rsidP="007449DD">
      <w:pPr>
        <w:pStyle w:val="ListParagraph"/>
        <w:numPr>
          <w:ilvl w:val="0"/>
          <w:numId w:val="9"/>
        </w:numPr>
        <w:spacing w:after="160"/>
      </w:pPr>
      <w:r>
        <w:lastRenderedPageBreak/>
        <w:t>B</w:t>
      </w:r>
      <w:r w:rsidR="00D652CB">
        <w:t xml:space="preserve">oth parties raised concerns about </w:t>
      </w:r>
      <w:r w:rsidR="00AB299F">
        <w:t xml:space="preserve">the number of feedback comments </w:t>
      </w:r>
      <w:r w:rsidR="00FC6392">
        <w:t xml:space="preserve">and the relationship </w:t>
      </w:r>
      <w:r w:rsidR="00C925B9">
        <w:t xml:space="preserve">between this and the score </w:t>
      </w:r>
      <w:r w:rsidR="002B7D22">
        <w:t xml:space="preserve">that was awarded (Haddenham in relation to the original evaluation of WF01 and </w:t>
      </w:r>
      <w:r w:rsidR="00A943BC">
        <w:t xml:space="preserve">Bloxdent </w:t>
      </w:r>
      <w:r w:rsidR="002B7D22">
        <w:t>in relation to the re-evaluation of WF01)</w:t>
      </w:r>
      <w:r w:rsidR="005E687E">
        <w:t xml:space="preserve">. </w:t>
      </w:r>
      <w:r w:rsidR="00F072AD">
        <w:t xml:space="preserve">When Haddenham made this point, it </w:t>
      </w:r>
      <w:r w:rsidR="005E687E">
        <w:t xml:space="preserve">contributed to BOB ICB’s </w:t>
      </w:r>
      <w:r w:rsidR="007B5C94">
        <w:t xml:space="preserve">‘further </w:t>
      </w:r>
      <w:r w:rsidR="005E687E">
        <w:t>decision</w:t>
      </w:r>
      <w:r w:rsidR="007B5C94">
        <w:t>’</w:t>
      </w:r>
      <w:r w:rsidR="005E687E">
        <w:t xml:space="preserve"> to re-evaluate WF01</w:t>
      </w:r>
      <w:r w:rsidR="00EB443C">
        <w:t xml:space="preserve">, but </w:t>
      </w:r>
      <w:r w:rsidR="00F072AD">
        <w:t xml:space="preserve">when Bloxdent made this point BOB ICB </w:t>
      </w:r>
      <w:r w:rsidR="00EB443C">
        <w:t xml:space="preserve">decided that this was not sufficient to warrant any change </w:t>
      </w:r>
      <w:r w:rsidR="00F072AD">
        <w:t>to the evaluation</w:t>
      </w:r>
      <w:r w:rsidR="00EB443C">
        <w:t>.</w:t>
      </w:r>
    </w:p>
    <w:p w14:paraId="116116EC" w14:textId="23DC6C70" w:rsidR="00241AC8" w:rsidRDefault="00951812" w:rsidP="00D652CB">
      <w:pPr>
        <w:pStyle w:val="ListParagraph"/>
        <w:numPr>
          <w:ilvl w:val="0"/>
          <w:numId w:val="9"/>
        </w:numPr>
        <w:spacing w:after="160"/>
      </w:pPr>
      <w:r>
        <w:t>BOB ICB</w:t>
      </w:r>
      <w:r w:rsidR="008F352E">
        <w:t xml:space="preserve">, </w:t>
      </w:r>
      <w:r w:rsidR="00F072AD">
        <w:t>when</w:t>
      </w:r>
      <w:r w:rsidR="008F352E">
        <w:t xml:space="preserve"> reviewing Haddenham’s representations,</w:t>
      </w:r>
      <w:r>
        <w:t xml:space="preserve"> identified a concern </w:t>
      </w:r>
      <w:r w:rsidR="002277AE">
        <w:t xml:space="preserve">with </w:t>
      </w:r>
      <w:r>
        <w:t>the evaluation of WF02</w:t>
      </w:r>
      <w:r w:rsidR="008F352E">
        <w:t xml:space="preserve">, namely that </w:t>
      </w:r>
      <w:r w:rsidR="00ED7183">
        <w:t xml:space="preserve">it was arguable that </w:t>
      </w:r>
      <w:r w:rsidR="00FD5D3A">
        <w:t>Hadd</w:t>
      </w:r>
      <w:r w:rsidR="008E07BD">
        <w:t>enham’s response</w:t>
      </w:r>
      <w:r w:rsidR="00DC3793">
        <w:t xml:space="preserve"> in the original evaluation should have been awarded a score of </w:t>
      </w:r>
      <w:r w:rsidR="00D77CC7">
        <w:t>‘</w:t>
      </w:r>
      <w:r w:rsidR="00B741A4">
        <w:t>1</w:t>
      </w:r>
      <w:r w:rsidR="00D77CC7">
        <w:t>’</w:t>
      </w:r>
      <w:r w:rsidR="00B741A4">
        <w:t xml:space="preserve"> </w:t>
      </w:r>
      <w:r w:rsidR="002277AE">
        <w:t xml:space="preserve">as it did not address </w:t>
      </w:r>
      <w:r w:rsidR="00DC3793">
        <w:t>how it would work with the commissioner prior to contract commencement</w:t>
      </w:r>
      <w:r w:rsidR="00527B04">
        <w:t xml:space="preserve"> </w:t>
      </w:r>
      <w:r w:rsidR="00794C11">
        <w:t>(</w:t>
      </w:r>
      <w:r w:rsidR="00B84D72">
        <w:t xml:space="preserve">and </w:t>
      </w:r>
      <w:r w:rsidR="00794C11">
        <w:t xml:space="preserve">this </w:t>
      </w:r>
      <w:r w:rsidR="00527B04">
        <w:t xml:space="preserve">was a </w:t>
      </w:r>
      <w:r w:rsidR="00794C11">
        <w:t>mandatory requirement of the question</w:t>
      </w:r>
      <w:r w:rsidR="00BF2328">
        <w:t>)</w:t>
      </w:r>
      <w:r w:rsidR="00794C11">
        <w:t xml:space="preserve">. </w:t>
      </w:r>
      <w:r w:rsidR="004A4854">
        <w:t xml:space="preserve">This contributed to BOB ICB’s </w:t>
      </w:r>
      <w:r w:rsidR="007B5C94">
        <w:t xml:space="preserve">‘further </w:t>
      </w:r>
      <w:r w:rsidR="004A4854">
        <w:t>decision</w:t>
      </w:r>
      <w:r w:rsidR="007B5C94">
        <w:t>’</w:t>
      </w:r>
      <w:r w:rsidR="004A4854">
        <w:t xml:space="preserve"> to re-evaluate WF02. </w:t>
      </w:r>
      <w:r w:rsidR="00794C11">
        <w:t xml:space="preserve">However, </w:t>
      </w:r>
      <w:r w:rsidR="00BF2328">
        <w:t>when Blo</w:t>
      </w:r>
      <w:r w:rsidR="0004360C">
        <w:t xml:space="preserve">xdent raised </w:t>
      </w:r>
      <w:r w:rsidR="00EB443C">
        <w:t>t</w:t>
      </w:r>
      <w:r w:rsidR="0004360C">
        <w:t>his concern in its representations</w:t>
      </w:r>
      <w:r w:rsidR="004620D1">
        <w:t xml:space="preserve"> (after Haddenham was scored a </w:t>
      </w:r>
      <w:r w:rsidR="00216DEB">
        <w:t>‘</w:t>
      </w:r>
      <w:r w:rsidR="003679BA">
        <w:t>3</w:t>
      </w:r>
      <w:r w:rsidR="00216DEB">
        <w:t>’ following the re-evaluation of WF02</w:t>
      </w:r>
      <w:r w:rsidR="004B586D">
        <w:t>)</w:t>
      </w:r>
      <w:r w:rsidR="0004360C">
        <w:t xml:space="preserve">, </w:t>
      </w:r>
      <w:r w:rsidR="00DD3BA8">
        <w:t xml:space="preserve">BOB ICB decided </w:t>
      </w:r>
      <w:r w:rsidR="00216DEB">
        <w:t xml:space="preserve">Bloxdent’s concern </w:t>
      </w:r>
      <w:r w:rsidR="00DD3BA8">
        <w:t>was not sufficient to warrant any change to the evaluation.</w:t>
      </w:r>
    </w:p>
    <w:p w14:paraId="4480C75A" w14:textId="29BBC409" w:rsidR="00DD3BA8" w:rsidRDefault="00F644DE" w:rsidP="00D652CB">
      <w:pPr>
        <w:pStyle w:val="ListParagraph"/>
        <w:numPr>
          <w:ilvl w:val="0"/>
          <w:numId w:val="9"/>
        </w:numPr>
        <w:spacing w:after="160"/>
      </w:pPr>
      <w:r>
        <w:t>BOB ICB, when reviewing Haddenham’s representations, identified a second concern about the evaluation of WF02, namely</w:t>
      </w:r>
      <w:r w:rsidR="00906D3E">
        <w:t xml:space="preserve"> that the discussion notes </w:t>
      </w:r>
      <w:r w:rsidR="00735258">
        <w:t xml:space="preserve">for the evaluation of Bloxdent’s response lacked detail in explaining why an evaluator increased their individual score from </w:t>
      </w:r>
      <w:r w:rsidR="00C33AED">
        <w:t>‘</w:t>
      </w:r>
      <w:r w:rsidR="00735258">
        <w:t>3</w:t>
      </w:r>
      <w:r w:rsidR="00C33AED">
        <w:t>’</w:t>
      </w:r>
      <w:r w:rsidR="00735258">
        <w:t xml:space="preserve"> to a moderated score of </w:t>
      </w:r>
      <w:r w:rsidR="00C33AED">
        <w:t>‘</w:t>
      </w:r>
      <w:r w:rsidR="00735258">
        <w:t>4</w:t>
      </w:r>
      <w:r w:rsidR="00C33AED">
        <w:t>’</w:t>
      </w:r>
      <w:r w:rsidR="00735258">
        <w:t xml:space="preserve">. </w:t>
      </w:r>
      <w:r w:rsidR="003D1CFC">
        <w:t xml:space="preserve">This contributed to BOB ICB’s </w:t>
      </w:r>
      <w:r w:rsidR="009D501C">
        <w:t xml:space="preserve">‘further </w:t>
      </w:r>
      <w:r w:rsidR="003D1CFC">
        <w:t>decision</w:t>
      </w:r>
      <w:r w:rsidR="009D501C">
        <w:t>’</w:t>
      </w:r>
      <w:r w:rsidR="003D1CFC">
        <w:t xml:space="preserve"> to re-evaluate responses to WF02. </w:t>
      </w:r>
      <w:r w:rsidR="003E6ACA">
        <w:t xml:space="preserve">Bloxdent, in its representations </w:t>
      </w:r>
      <w:r w:rsidR="00302FA3">
        <w:t>raised a concern about the evaluation of CSD01</w:t>
      </w:r>
      <w:r w:rsidR="00B05344">
        <w:t xml:space="preserve"> and </w:t>
      </w:r>
      <w:r w:rsidR="007D3A55">
        <w:t xml:space="preserve">a </w:t>
      </w:r>
      <w:r w:rsidR="00B05344">
        <w:t>lack of de</w:t>
      </w:r>
      <w:r w:rsidR="002246FB">
        <w:t xml:space="preserve">tail explaining why evaluators both individually scored </w:t>
      </w:r>
      <w:r w:rsidR="002A5C8E">
        <w:t>th</w:t>
      </w:r>
      <w:r w:rsidR="009E7F16">
        <w:t xml:space="preserve">e Haddenham response as a </w:t>
      </w:r>
      <w:r w:rsidR="00C33AED">
        <w:t>‘</w:t>
      </w:r>
      <w:r w:rsidR="009E7F16">
        <w:t>3</w:t>
      </w:r>
      <w:r w:rsidR="00C33AED">
        <w:t>’</w:t>
      </w:r>
      <w:r w:rsidR="004D4C74">
        <w:t xml:space="preserve"> but then moved to a </w:t>
      </w:r>
      <w:r w:rsidR="00C33AED">
        <w:t>‘</w:t>
      </w:r>
      <w:r w:rsidR="004D4C74">
        <w:t>4</w:t>
      </w:r>
      <w:r w:rsidR="00C33AED">
        <w:t>’</w:t>
      </w:r>
      <w:r w:rsidR="004D4C74">
        <w:t xml:space="preserve"> during mod</w:t>
      </w:r>
      <w:r w:rsidR="00794AD8">
        <w:t xml:space="preserve">eration. </w:t>
      </w:r>
      <w:r w:rsidR="00426EAA">
        <w:t xml:space="preserve">However, BOB ICB decided Bloxdent’s concern was not sufficient to warrant any change to the evaluation (even though there appears to have been a similar </w:t>
      </w:r>
      <w:r w:rsidR="00950807">
        <w:t>level</w:t>
      </w:r>
      <w:r w:rsidR="00426EAA">
        <w:t xml:space="preserve"> of detail).</w:t>
      </w:r>
    </w:p>
    <w:p w14:paraId="18A37887" w14:textId="43C8D65E" w:rsidR="00855D1C" w:rsidRPr="00C1310E" w:rsidRDefault="00C1310E" w:rsidP="00C1310E">
      <w:pPr>
        <w:keepNext/>
        <w:spacing w:before="240"/>
        <w:rPr>
          <w:b/>
          <w:bCs/>
        </w:rPr>
      </w:pPr>
      <w:r>
        <w:rPr>
          <w:b/>
          <w:bCs/>
        </w:rPr>
        <w:t xml:space="preserve">7.2.3 </w:t>
      </w:r>
      <w:r w:rsidR="00855D1C" w:rsidRPr="00C1310E">
        <w:rPr>
          <w:b/>
          <w:bCs/>
        </w:rPr>
        <w:t xml:space="preserve">Panel </w:t>
      </w:r>
      <w:r w:rsidRPr="00C1310E">
        <w:rPr>
          <w:b/>
          <w:bCs/>
        </w:rPr>
        <w:t xml:space="preserve">conclusions on </w:t>
      </w:r>
      <w:r w:rsidRPr="003E1300">
        <w:rPr>
          <w:b/>
          <w:bCs/>
        </w:rPr>
        <w:t xml:space="preserve">BOB ICB’s </w:t>
      </w:r>
      <w:r>
        <w:rPr>
          <w:b/>
          <w:bCs/>
        </w:rPr>
        <w:t>response to Bloxdent’s</w:t>
      </w:r>
      <w:r w:rsidRPr="003E1300">
        <w:rPr>
          <w:b/>
          <w:bCs/>
        </w:rPr>
        <w:t xml:space="preserve"> representations</w:t>
      </w:r>
    </w:p>
    <w:p w14:paraId="20DFF81D" w14:textId="23FE5D58" w:rsidR="00360F41" w:rsidRDefault="00B857BD" w:rsidP="00360F41">
      <w:pPr>
        <w:pStyle w:val="ListParagraph"/>
        <w:spacing w:after="160"/>
      </w:pPr>
      <w:r>
        <w:t>In summary,</w:t>
      </w:r>
      <w:r w:rsidR="00361444">
        <w:t xml:space="preserve"> BOB ICB treated Bloxdent differently to Haddenham </w:t>
      </w:r>
      <w:r w:rsidR="00DB2650">
        <w:t>in relation to both: (i) the process that it employed for reviewing its representations; and (ii) its decisions about the merits of those representations.</w:t>
      </w:r>
    </w:p>
    <w:p w14:paraId="178D5654" w14:textId="03CB2A93" w:rsidR="00B857BD" w:rsidRDefault="00B857BD" w:rsidP="00B857BD">
      <w:pPr>
        <w:pStyle w:val="ListParagraph"/>
        <w:spacing w:after="160"/>
        <w:rPr>
          <w:lang w:eastAsia="en-GB"/>
        </w:rPr>
      </w:pPr>
      <w:r>
        <w:rPr>
          <w:lang w:eastAsia="en-GB"/>
        </w:rPr>
        <w:t xml:space="preserve">The Panel’s view </w:t>
      </w:r>
      <w:r w:rsidRPr="00645042">
        <w:rPr>
          <w:lang w:eastAsia="en-GB"/>
        </w:rPr>
        <w:t xml:space="preserve">is that </w:t>
      </w:r>
      <w:r>
        <w:rPr>
          <w:lang w:eastAsia="en-GB"/>
        </w:rPr>
        <w:t xml:space="preserve">these </w:t>
      </w:r>
      <w:r w:rsidRPr="00645042">
        <w:rPr>
          <w:lang w:eastAsia="en-GB"/>
        </w:rPr>
        <w:t>difference</w:t>
      </w:r>
      <w:r>
        <w:rPr>
          <w:lang w:eastAsia="en-GB"/>
        </w:rPr>
        <w:t>s</w:t>
      </w:r>
      <w:r w:rsidRPr="00645042">
        <w:rPr>
          <w:lang w:eastAsia="en-GB"/>
        </w:rPr>
        <w:t xml:space="preserve"> in </w:t>
      </w:r>
      <w:r>
        <w:rPr>
          <w:lang w:eastAsia="en-GB"/>
        </w:rPr>
        <w:t xml:space="preserve">the </w:t>
      </w:r>
      <w:r w:rsidRPr="00645042">
        <w:rPr>
          <w:lang w:eastAsia="en-GB"/>
        </w:rPr>
        <w:t>treatment of Bloxdent</w:t>
      </w:r>
      <w:r>
        <w:rPr>
          <w:lang w:eastAsia="en-GB"/>
        </w:rPr>
        <w:t>’s</w:t>
      </w:r>
      <w:r w:rsidRPr="00645042">
        <w:rPr>
          <w:lang w:eastAsia="en-GB"/>
        </w:rPr>
        <w:t xml:space="preserve"> and Hadden</w:t>
      </w:r>
      <w:r w:rsidR="00CA7FE7">
        <w:rPr>
          <w:lang w:eastAsia="en-GB"/>
        </w:rPr>
        <w:t>h</w:t>
      </w:r>
      <w:r w:rsidRPr="00645042">
        <w:rPr>
          <w:lang w:eastAsia="en-GB"/>
        </w:rPr>
        <w:t>am</w:t>
      </w:r>
      <w:r>
        <w:rPr>
          <w:lang w:eastAsia="en-GB"/>
        </w:rPr>
        <w:t>’s</w:t>
      </w:r>
      <w:r w:rsidRPr="00645042">
        <w:rPr>
          <w:lang w:eastAsia="en-GB"/>
        </w:rPr>
        <w:t xml:space="preserve"> representations, without </w:t>
      </w:r>
      <w:r>
        <w:rPr>
          <w:lang w:eastAsia="en-GB"/>
        </w:rPr>
        <w:t>objective</w:t>
      </w:r>
      <w:r w:rsidRPr="00645042">
        <w:rPr>
          <w:lang w:eastAsia="en-GB"/>
        </w:rPr>
        <w:t xml:space="preserve"> justification</w:t>
      </w:r>
      <w:r>
        <w:rPr>
          <w:lang w:eastAsia="en-GB"/>
        </w:rPr>
        <w:t>,</w:t>
      </w:r>
      <w:r w:rsidRPr="00645042">
        <w:rPr>
          <w:lang w:eastAsia="en-GB"/>
        </w:rPr>
        <w:t xml:space="preserve"> mean that BOB</w:t>
      </w:r>
      <w:r>
        <w:rPr>
          <w:lang w:eastAsia="en-GB"/>
        </w:rPr>
        <w:t xml:space="preserve"> ICB did not act fairly when evaluating </w:t>
      </w:r>
      <w:r w:rsidR="00D007F8">
        <w:rPr>
          <w:lang w:eastAsia="en-GB"/>
        </w:rPr>
        <w:t>these</w:t>
      </w:r>
      <w:r>
        <w:rPr>
          <w:lang w:eastAsia="en-GB"/>
        </w:rPr>
        <w:t xml:space="preserve"> representations. As a result</w:t>
      </w:r>
      <w:r w:rsidR="00D56DC2">
        <w:rPr>
          <w:lang w:eastAsia="en-GB"/>
        </w:rPr>
        <w:t xml:space="preserve">, the Panel </w:t>
      </w:r>
      <w:r>
        <w:rPr>
          <w:lang w:eastAsia="en-GB"/>
        </w:rPr>
        <w:t>finds that BOB ICB, in treating Bloxdent and Haddenham differently when responding to their representations without any apparent justification for this difference in treatment, breached its obligation under the PSR regulations to act fairly.</w:t>
      </w:r>
    </w:p>
    <w:p w14:paraId="49F37530" w14:textId="28F5414D" w:rsidR="00266089" w:rsidRDefault="000B6574" w:rsidP="00360F41">
      <w:pPr>
        <w:pStyle w:val="ListParagraph"/>
        <w:spacing w:after="160"/>
      </w:pPr>
      <w:r>
        <w:t>T</w:t>
      </w:r>
      <w:r w:rsidR="00D56DC2">
        <w:t>he Panel does not</w:t>
      </w:r>
      <w:r>
        <w:t>, however,</w:t>
      </w:r>
      <w:r w:rsidR="00D56DC2">
        <w:t xml:space="preserve"> believe that</w:t>
      </w:r>
      <w:r w:rsidR="00266089">
        <w:t xml:space="preserve"> </w:t>
      </w:r>
      <w:r w:rsidR="00D40E3D">
        <w:t xml:space="preserve">BOB ICB should have </w:t>
      </w:r>
      <w:r w:rsidR="00C21763">
        <w:t>used</w:t>
      </w:r>
      <w:r w:rsidR="008C7B89">
        <w:t xml:space="preserve"> the same process for reviewing Bloxdent’s representations that it used for Haddenham’s representations</w:t>
      </w:r>
      <w:r w:rsidR="00266089">
        <w:t>. This is because</w:t>
      </w:r>
      <w:r w:rsidR="008C7B89">
        <w:t xml:space="preserve"> </w:t>
      </w:r>
      <w:r w:rsidR="00266089">
        <w:t xml:space="preserve">the process for reviewing Haddenham’s </w:t>
      </w:r>
      <w:r w:rsidR="00266089">
        <w:lastRenderedPageBreak/>
        <w:t xml:space="preserve">representations was clearly inferior to that </w:t>
      </w:r>
      <w:r w:rsidR="00C21763">
        <w:t xml:space="preserve">which </w:t>
      </w:r>
      <w:r w:rsidR="00266089">
        <w:t>was used for reviewing Bloxdent’s representations.</w:t>
      </w:r>
    </w:p>
    <w:p w14:paraId="5BFA0E80" w14:textId="19125F9D" w:rsidR="008D1358" w:rsidRDefault="00266089" w:rsidP="00C7117C">
      <w:pPr>
        <w:pStyle w:val="ListParagraph"/>
        <w:spacing w:after="160"/>
      </w:pPr>
      <w:r>
        <w:t xml:space="preserve">Nor does the Panel believe that </w:t>
      </w:r>
      <w:r w:rsidR="00D40E3D">
        <w:t>the similarities between Bloxdent’s and Haddenham’s representations give rise to grounds for concluding that BOB ICB should have carried out a further re-evaluation in response to Bloxdent’s representations</w:t>
      </w:r>
      <w:r w:rsidR="008D1358">
        <w:t>.</w:t>
      </w:r>
      <w:r>
        <w:t xml:space="preserve"> </w:t>
      </w:r>
      <w:r w:rsidR="00C7117C">
        <w:t xml:space="preserve">As set out above, </w:t>
      </w:r>
      <w:r w:rsidR="00D039D5">
        <w:t xml:space="preserve">the Panel agrees with BOB ICB that Bloxdent’s representations </w:t>
      </w:r>
      <w:r w:rsidR="0006582F">
        <w:t xml:space="preserve">do not </w:t>
      </w:r>
      <w:r w:rsidR="00D039D5">
        <w:t xml:space="preserve">give rise to concerns </w:t>
      </w:r>
      <w:r w:rsidR="0006582F">
        <w:t xml:space="preserve">that </w:t>
      </w:r>
      <w:r w:rsidR="00D039D5">
        <w:rPr>
          <w:lang w:eastAsia="en-GB"/>
        </w:rPr>
        <w:t>“warrant any change” to the evaluation or scoring of Bloxdent’s proposal or justify re-evaluation of bidders’ responses to these questions</w:t>
      </w:r>
      <w:r w:rsidR="0006582F">
        <w:rPr>
          <w:lang w:eastAsia="en-GB"/>
        </w:rPr>
        <w:t>.</w:t>
      </w:r>
    </w:p>
    <w:p w14:paraId="5C0759DC" w14:textId="574D7530" w:rsidR="0002038F" w:rsidRDefault="009709C3">
      <w:pPr>
        <w:pStyle w:val="ListParagraph"/>
        <w:spacing w:after="160"/>
      </w:pPr>
      <w:r>
        <w:rPr>
          <w:lang w:eastAsia="en-GB"/>
        </w:rPr>
        <w:t>Rather, t</w:t>
      </w:r>
      <w:r w:rsidR="00E819BF">
        <w:rPr>
          <w:lang w:eastAsia="en-GB"/>
        </w:rPr>
        <w:t xml:space="preserve">he </w:t>
      </w:r>
      <w:r w:rsidR="00514DB4">
        <w:rPr>
          <w:lang w:eastAsia="en-GB"/>
        </w:rPr>
        <w:t>similarities</w:t>
      </w:r>
      <w:r w:rsidR="00E819BF">
        <w:rPr>
          <w:lang w:eastAsia="en-GB"/>
        </w:rPr>
        <w:t xml:space="preserve"> </w:t>
      </w:r>
      <w:r w:rsidR="00082E10">
        <w:rPr>
          <w:lang w:eastAsia="en-GB"/>
        </w:rPr>
        <w:t xml:space="preserve">between Bloxdent’s and Haddenham’s representations </w:t>
      </w:r>
      <w:r w:rsidR="009F70A4">
        <w:rPr>
          <w:lang w:eastAsia="en-GB"/>
        </w:rPr>
        <w:t xml:space="preserve">give rise to further concerns about the </w:t>
      </w:r>
      <w:r w:rsidR="009F70A4">
        <w:t>merits of BOB ICB’s ‘further decision’ in response to Haddenham’s representations (i.e. the decision to re-evaluate bidders’ responses to the three questions).</w:t>
      </w:r>
    </w:p>
    <w:p w14:paraId="63B75AA1" w14:textId="509D1ED6" w:rsidR="00DF50E8" w:rsidRDefault="00DF50E8">
      <w:pPr>
        <w:pStyle w:val="ListParagraph"/>
        <w:spacing w:after="160"/>
      </w:pPr>
      <w:r>
        <w:t xml:space="preserve">The Panel has not, however, </w:t>
      </w:r>
      <w:r w:rsidR="003441D7">
        <w:t>draw</w:t>
      </w:r>
      <w:r w:rsidR="00973DCD">
        <w:t>n</w:t>
      </w:r>
      <w:r w:rsidR="003441D7">
        <w:t xml:space="preserve"> any further conclusions </w:t>
      </w:r>
      <w:r w:rsidR="00973DCD">
        <w:t xml:space="preserve">about </w:t>
      </w:r>
      <w:r w:rsidR="00F95EAF">
        <w:t xml:space="preserve">the </w:t>
      </w:r>
      <w:r w:rsidR="00873BFD">
        <w:t>merits</w:t>
      </w:r>
      <w:r w:rsidR="00F95EAF">
        <w:t xml:space="preserve"> of</w:t>
      </w:r>
      <w:r w:rsidR="003441D7">
        <w:t xml:space="preserve"> BOB ICB’s response to Haddenham’s representations given </w:t>
      </w:r>
      <w:r w:rsidR="00F95EAF">
        <w:t xml:space="preserve">the lack of </w:t>
      </w:r>
      <w:r w:rsidR="00873BFD">
        <w:t xml:space="preserve">documentary records relating to </w:t>
      </w:r>
      <w:r w:rsidR="003441D7">
        <w:t xml:space="preserve">its </w:t>
      </w:r>
      <w:r w:rsidR="00873BFD">
        <w:t>evaluation of these representations</w:t>
      </w:r>
      <w:r w:rsidR="003441D7">
        <w:t>.</w:t>
      </w:r>
      <w:r w:rsidR="00CE7725">
        <w:t xml:space="preserve"> Moreover, such a conclusion is not necessary given the</w:t>
      </w:r>
      <w:r w:rsidR="003441D7">
        <w:t xml:space="preserve"> findings </w:t>
      </w:r>
      <w:r w:rsidR="0002038F">
        <w:t xml:space="preserve">that the Panel has already made regarding </w:t>
      </w:r>
      <w:r w:rsidR="00AA0F49">
        <w:t>BOB ICB’s</w:t>
      </w:r>
      <w:r w:rsidR="0002038F">
        <w:t xml:space="preserve"> response to Haddenham’s representations.</w:t>
      </w:r>
    </w:p>
    <w:p w14:paraId="1FAEB393" w14:textId="2AE14B87" w:rsidR="00DA200D" w:rsidRDefault="001D1AE3" w:rsidP="005E7B5C">
      <w:pPr>
        <w:pStyle w:val="Heading1"/>
        <w:spacing w:line="276" w:lineRule="auto"/>
      </w:pPr>
      <w:bookmarkStart w:id="27" w:name="_Toc215595208"/>
      <w:r>
        <w:t xml:space="preserve">8. </w:t>
      </w:r>
      <w:r w:rsidR="00DA200D">
        <w:t>Panel Advice</w:t>
      </w:r>
      <w:bookmarkEnd w:id="27"/>
    </w:p>
    <w:p w14:paraId="1FB0BAB3" w14:textId="62CFCDB7" w:rsidR="00C91968" w:rsidRDefault="00C91968" w:rsidP="00C91968">
      <w:pPr>
        <w:pStyle w:val="ListParagraph"/>
      </w:pPr>
      <w:r>
        <w:t xml:space="preserve">In summary, the Panel’s findings on the provider selection process carried out by </w:t>
      </w:r>
      <w:r w:rsidR="00A56109">
        <w:t xml:space="preserve">BOB </w:t>
      </w:r>
      <w:r>
        <w:t xml:space="preserve">ICB for </w:t>
      </w:r>
      <w:r w:rsidR="00A56109">
        <w:t>the Cherwell East (Lot 5) contract for mandatory dental</w:t>
      </w:r>
      <w:r>
        <w:t xml:space="preserve"> services are that </w:t>
      </w:r>
      <w:r w:rsidR="00A56109">
        <w:t>BOB</w:t>
      </w:r>
      <w:r>
        <w:t xml:space="preserve"> ICB has breached the PSR regulations in several respects:</w:t>
      </w:r>
    </w:p>
    <w:p w14:paraId="4E49E203" w14:textId="518E9A17" w:rsidR="00A56109" w:rsidRDefault="00A56109">
      <w:pPr>
        <w:pStyle w:val="ListParagraph"/>
        <w:numPr>
          <w:ilvl w:val="0"/>
          <w:numId w:val="9"/>
        </w:numPr>
      </w:pPr>
      <w:r>
        <w:t xml:space="preserve">First, BOB ICB, in not keeping any record of its reasons for </w:t>
      </w:r>
      <w:r w:rsidR="00836FF3">
        <w:t>its ‘further decision’ (i.e.</w:t>
      </w:r>
      <w:r>
        <w:t xml:space="preserve"> to re-evaluate bidders’ responses to three questions following Haddenham’s representations</w:t>
      </w:r>
      <w:r w:rsidR="00836FF3">
        <w:t>),</w:t>
      </w:r>
      <w:r>
        <w:t xml:space="preserve"> breached the PSR regulations and in particular Regulation 24(g</w:t>
      </w:r>
      <w:r w:rsidR="00836FF3">
        <w:t>), which requires commissioners to keep a record of reasons for decisions under the PSR regulations.</w:t>
      </w:r>
    </w:p>
    <w:p w14:paraId="113FFE78" w14:textId="419DB785" w:rsidR="00A56109" w:rsidRDefault="00B434DC" w:rsidP="00F80AC3">
      <w:pPr>
        <w:pStyle w:val="ListParagraph"/>
        <w:numPr>
          <w:ilvl w:val="0"/>
          <w:numId w:val="9"/>
        </w:numPr>
      </w:pPr>
      <w:r>
        <w:t>Second</w:t>
      </w:r>
      <w:r w:rsidR="00A56109">
        <w:t xml:space="preserve">, </w:t>
      </w:r>
      <w:r>
        <w:t xml:space="preserve">BOB ICB, in </w:t>
      </w:r>
      <w:r w:rsidR="00DA306D">
        <w:t xml:space="preserve">not providing sufficient reasons to </w:t>
      </w:r>
      <w:r>
        <w:t xml:space="preserve">Bloxdent </w:t>
      </w:r>
      <w:r w:rsidR="00DA306D">
        <w:t>when communicating</w:t>
      </w:r>
      <w:r>
        <w:t xml:space="preserve"> its </w:t>
      </w:r>
      <w:r w:rsidR="00DA306D">
        <w:t>‘further decision’</w:t>
      </w:r>
      <w:r>
        <w:t xml:space="preserve">, breached the PSR regulations and in particular Regulation 12(6), which requires </w:t>
      </w:r>
      <w:r w:rsidR="00DA306D">
        <w:t xml:space="preserve">commissioners to </w:t>
      </w:r>
      <w:r>
        <w:t xml:space="preserve">include the reasons for </w:t>
      </w:r>
      <w:r w:rsidR="00DA306D">
        <w:t>their decision in this communication</w:t>
      </w:r>
      <w:r>
        <w:t>.</w:t>
      </w:r>
    </w:p>
    <w:p w14:paraId="2615AE89" w14:textId="2FE2A298" w:rsidR="00A56109" w:rsidRDefault="00B434DC" w:rsidP="00F80AC3">
      <w:pPr>
        <w:pStyle w:val="ListParagraph"/>
        <w:numPr>
          <w:ilvl w:val="0"/>
          <w:numId w:val="9"/>
        </w:numPr>
      </w:pPr>
      <w:r>
        <w:t>Third</w:t>
      </w:r>
      <w:r w:rsidR="00A56109">
        <w:t xml:space="preserve">, </w:t>
      </w:r>
      <w:r>
        <w:t xml:space="preserve">BOB ICB, in not providing a sufficient response to Bloxdent’s request for information about its </w:t>
      </w:r>
      <w:r w:rsidR="00836FF3">
        <w:t>‘further decision’</w:t>
      </w:r>
      <w:r>
        <w:t>, breached the PSR regulations and in particular Regulation 12(4)(b</w:t>
      </w:r>
      <w:r w:rsidR="00836FF3">
        <w:t>),</w:t>
      </w:r>
      <w:r>
        <w:t xml:space="preserve"> which requires </w:t>
      </w:r>
      <w:r w:rsidR="00836FF3">
        <w:t>commissioners</w:t>
      </w:r>
      <w:r>
        <w:t xml:space="preserve"> to promptly provide any information requested by an aggrieved provider where the commissioner has a duty to record that information under Regulation 24.</w:t>
      </w:r>
    </w:p>
    <w:p w14:paraId="180F2D5C" w14:textId="37A77959" w:rsidR="003A50C0" w:rsidRDefault="003A50C0" w:rsidP="002044FB">
      <w:pPr>
        <w:pStyle w:val="ListParagraph"/>
        <w:numPr>
          <w:ilvl w:val="0"/>
          <w:numId w:val="9"/>
        </w:numPr>
      </w:pPr>
      <w:r>
        <w:t xml:space="preserve">Finally, </w:t>
      </w:r>
      <w:r w:rsidR="00164AB8">
        <w:rPr>
          <w:lang w:eastAsia="en-GB"/>
        </w:rPr>
        <w:t xml:space="preserve">BOB ICB, in treating Bloxdent and Haddenham differently when responding to their representations without any </w:t>
      </w:r>
      <w:r w:rsidR="00524CE3">
        <w:rPr>
          <w:lang w:eastAsia="en-GB"/>
        </w:rPr>
        <w:t>apparent</w:t>
      </w:r>
      <w:r w:rsidR="00164AB8">
        <w:rPr>
          <w:lang w:eastAsia="en-GB"/>
        </w:rPr>
        <w:t xml:space="preserve"> justification</w:t>
      </w:r>
      <w:r w:rsidR="00067359">
        <w:rPr>
          <w:lang w:eastAsia="en-GB"/>
        </w:rPr>
        <w:t xml:space="preserve"> for this difference in treatment</w:t>
      </w:r>
      <w:r w:rsidR="00164AB8">
        <w:rPr>
          <w:lang w:eastAsia="en-GB"/>
        </w:rPr>
        <w:t>, breached its obligation under the PSR regulations to act fairly.</w:t>
      </w:r>
    </w:p>
    <w:p w14:paraId="113E73DC" w14:textId="16974FF9" w:rsidR="00FB4784" w:rsidRPr="009E1818" w:rsidRDefault="00DB7A5D" w:rsidP="002044FB">
      <w:pPr>
        <w:pStyle w:val="ListParagraph"/>
        <w:contextualSpacing/>
      </w:pPr>
      <w:r>
        <w:t xml:space="preserve">Given the Panel’s conclusion that </w:t>
      </w:r>
      <w:r w:rsidR="000E63F2">
        <w:t>BOB ICB</w:t>
      </w:r>
      <w:r w:rsidR="00755EEC">
        <w:t xml:space="preserve"> </w:t>
      </w:r>
      <w:r w:rsidR="000E63F2">
        <w:t>breached the PSR regulations</w:t>
      </w:r>
      <w:r w:rsidR="002972DB">
        <w:t>, three options are open to the Panel.</w:t>
      </w:r>
      <w:r w:rsidR="00755EEC">
        <w:t xml:space="preserve"> </w:t>
      </w:r>
      <w:r w:rsidR="00FB4784" w:rsidRPr="009E1818">
        <w:t>The Panel may advise that:</w:t>
      </w:r>
    </w:p>
    <w:p w14:paraId="33C267B4" w14:textId="45E3B463" w:rsidR="00FB4784" w:rsidRPr="009E1818" w:rsidRDefault="00E31022" w:rsidP="002044FB">
      <w:pPr>
        <w:pStyle w:val="ListParagraph"/>
        <w:numPr>
          <w:ilvl w:val="0"/>
          <w:numId w:val="8"/>
        </w:numPr>
        <w:ind w:left="1418"/>
        <w:contextualSpacing/>
      </w:pPr>
      <w:r>
        <w:lastRenderedPageBreak/>
        <w:t>t</w:t>
      </w:r>
      <w:r w:rsidR="00FB4784" w:rsidRPr="009E1818">
        <w:t xml:space="preserve">he breaches had no material effect on </w:t>
      </w:r>
      <w:r w:rsidR="009960E4">
        <w:t>BOB ICB</w:t>
      </w:r>
      <w:r w:rsidR="00FB4784" w:rsidRPr="009E1818">
        <w:t>’s selection of a provider and it should proceed with awarding the contract as originally intended;</w:t>
      </w:r>
    </w:p>
    <w:p w14:paraId="7E7C1BE6" w14:textId="2B477532" w:rsidR="00FB4784" w:rsidRPr="009E1818" w:rsidRDefault="009960E4" w:rsidP="002044FB">
      <w:pPr>
        <w:pStyle w:val="ListParagraph"/>
        <w:numPr>
          <w:ilvl w:val="0"/>
          <w:numId w:val="8"/>
        </w:numPr>
        <w:ind w:left="1418"/>
        <w:contextualSpacing/>
      </w:pPr>
      <w:r>
        <w:t>BOB ICB</w:t>
      </w:r>
      <w:r w:rsidR="00FB4784" w:rsidRPr="009E1818">
        <w:t xml:space="preserve"> should return to an earlier step in the provider selection process to rectify the issues identified by the Panel; or</w:t>
      </w:r>
    </w:p>
    <w:p w14:paraId="0163F59C" w14:textId="7644F275" w:rsidR="00FB4784" w:rsidRPr="009E1818" w:rsidRDefault="009960E4" w:rsidP="002044FB">
      <w:pPr>
        <w:pStyle w:val="ListParagraph"/>
        <w:numPr>
          <w:ilvl w:val="0"/>
          <w:numId w:val="8"/>
        </w:numPr>
        <w:spacing w:after="160"/>
        <w:ind w:left="1418"/>
      </w:pPr>
      <w:r>
        <w:t>BOB ICB</w:t>
      </w:r>
      <w:r w:rsidR="00FB4784" w:rsidRPr="009E1818">
        <w:t xml:space="preserve"> should abandon the current provider selection process.</w:t>
      </w:r>
    </w:p>
    <w:p w14:paraId="35ECF4E6" w14:textId="55A4913E" w:rsidR="00F16851" w:rsidRDefault="00C70658" w:rsidP="002044FB">
      <w:pPr>
        <w:pStyle w:val="ListParagraph"/>
        <w:spacing w:after="160"/>
      </w:pPr>
      <w:r w:rsidRPr="000237DF">
        <w:t>The Panel’s view is that the breach</w:t>
      </w:r>
      <w:r w:rsidR="00F16851">
        <w:t>es</w:t>
      </w:r>
      <w:r w:rsidR="004319D0">
        <w:t xml:space="preserve"> it has</w:t>
      </w:r>
      <w:r w:rsidRPr="000237DF">
        <w:t xml:space="preserve"> identified </w:t>
      </w:r>
      <w:r w:rsidR="00BB75F6">
        <w:t xml:space="preserve">may have </w:t>
      </w:r>
      <w:r w:rsidR="0088483C">
        <w:t>had</w:t>
      </w:r>
      <w:r w:rsidR="004319D0">
        <w:t xml:space="preserve"> </w:t>
      </w:r>
      <w:r w:rsidRPr="000237DF">
        <w:t>a material effect on</w:t>
      </w:r>
      <w:r w:rsidR="000237DF">
        <w:t xml:space="preserve"> BOB ICB</w:t>
      </w:r>
      <w:r w:rsidRPr="000237DF">
        <w:t>’s selection of a provider.</w:t>
      </w:r>
      <w:r w:rsidR="00AF733B">
        <w:t xml:space="preserve"> </w:t>
      </w:r>
      <w:r w:rsidR="00E8454F">
        <w:t>That is, i</w:t>
      </w:r>
      <w:r w:rsidR="001B4C07">
        <w:t>f BOB ICB had complied with the PSR regulations, then it</w:t>
      </w:r>
      <w:r w:rsidR="00653448">
        <w:t>s selection of a provider may have been different.</w:t>
      </w:r>
    </w:p>
    <w:p w14:paraId="4C4FB8F3" w14:textId="223B8A95" w:rsidR="002E26F1" w:rsidRDefault="002E26F1" w:rsidP="002044FB">
      <w:pPr>
        <w:pStyle w:val="ListParagraph"/>
        <w:spacing w:after="160"/>
      </w:pPr>
      <w:r>
        <w:t xml:space="preserve">The Panel has considered whether BOB ICB should return to an earlier step in the provider selection process to rectify the issues identified by the Panel or whether it should abandon the current provider selection process. </w:t>
      </w:r>
      <w:r w:rsidR="00DB00BB">
        <w:t xml:space="preserve">The Panel’s view is that </w:t>
      </w:r>
      <w:r w:rsidR="00755E8A">
        <w:t>it would be more</w:t>
      </w:r>
      <w:r w:rsidR="008A10D6">
        <w:t xml:space="preserve"> proportionate </w:t>
      </w:r>
      <w:r w:rsidR="00991B56">
        <w:t xml:space="preserve">for </w:t>
      </w:r>
      <w:r w:rsidR="00755E8A">
        <w:t>BOB ICB</w:t>
      </w:r>
      <w:r w:rsidR="00991B56">
        <w:t xml:space="preserve"> to return to an earlier step in the provider selection proc</w:t>
      </w:r>
      <w:r w:rsidR="001A7F97">
        <w:t>ess</w:t>
      </w:r>
      <w:r w:rsidR="00755E8A">
        <w:t xml:space="preserve"> as a means </w:t>
      </w:r>
      <w:r w:rsidR="00061145">
        <w:t xml:space="preserve">of </w:t>
      </w:r>
      <w:r w:rsidR="00991B56">
        <w:t>addressing the concerns identified by the Panel</w:t>
      </w:r>
      <w:r w:rsidR="001A7F97">
        <w:t>.</w:t>
      </w:r>
    </w:p>
    <w:p w14:paraId="48D97D05" w14:textId="713C4837" w:rsidR="009738CD" w:rsidRDefault="009738CD" w:rsidP="002044FB">
      <w:pPr>
        <w:pStyle w:val="ListParagraph"/>
        <w:spacing w:after="160"/>
      </w:pPr>
      <w:r>
        <w:t xml:space="preserve">The Panel’s view is that the breaches of the PSR regulations it has found with respect to </w:t>
      </w:r>
      <w:r w:rsidR="00497599">
        <w:t>BOB ICB’s</w:t>
      </w:r>
      <w:r>
        <w:t xml:space="preserve"> review of Haddenham’s representations, </w:t>
      </w:r>
      <w:r w:rsidR="00711504">
        <w:t xml:space="preserve">mean that </w:t>
      </w:r>
      <w:r w:rsidR="009E1BE5">
        <w:t xml:space="preserve">it </w:t>
      </w:r>
      <w:r w:rsidR="00AE19DE">
        <w:t>is necessary</w:t>
      </w:r>
      <w:r w:rsidR="003C5BD9">
        <w:t xml:space="preserve"> to return to a</w:t>
      </w:r>
      <w:r w:rsidR="00166180">
        <w:t xml:space="preserve"> sufficiently </w:t>
      </w:r>
      <w:r w:rsidR="0090223A">
        <w:t>earl</w:t>
      </w:r>
      <w:r w:rsidR="00166180">
        <w:t xml:space="preserve">y </w:t>
      </w:r>
      <w:r w:rsidR="0090223A">
        <w:t xml:space="preserve">step in the provider selection process </w:t>
      </w:r>
      <w:r w:rsidR="00285598">
        <w:t xml:space="preserve">such </w:t>
      </w:r>
      <w:r w:rsidR="00390BDF">
        <w:t xml:space="preserve">that </w:t>
      </w:r>
      <w:r w:rsidR="00285598">
        <w:t>the</w:t>
      </w:r>
      <w:r w:rsidR="001C0BC3">
        <w:t>se</w:t>
      </w:r>
      <w:r w:rsidR="00285598">
        <w:t xml:space="preserve"> breaches can </w:t>
      </w:r>
      <w:r w:rsidR="00390BDF">
        <w:t>be rectified</w:t>
      </w:r>
      <w:r w:rsidR="006775A4">
        <w:t>.</w:t>
      </w:r>
    </w:p>
    <w:p w14:paraId="30C56B0B" w14:textId="4AE048CE" w:rsidR="006775A4" w:rsidRDefault="00727489" w:rsidP="002044FB">
      <w:pPr>
        <w:pStyle w:val="ListParagraph"/>
        <w:spacing w:after="160"/>
      </w:pPr>
      <w:r>
        <w:t>As a result, the Panel recommends that BOB ICB return</w:t>
      </w:r>
      <w:r w:rsidR="005D6D41">
        <w:t>s</w:t>
      </w:r>
      <w:r>
        <w:t xml:space="preserve"> to </w:t>
      </w:r>
      <w:r w:rsidR="005D6D41">
        <w:t xml:space="preserve">Step </w:t>
      </w:r>
      <w:r w:rsidR="006B5083">
        <w:t>4</w:t>
      </w:r>
      <w:r w:rsidR="005D6D41">
        <w:t xml:space="preserve"> in the competitive process</w:t>
      </w:r>
      <w:r w:rsidR="008017EF">
        <w:t xml:space="preserve"> (i.e. </w:t>
      </w:r>
      <w:r w:rsidR="005D6D41">
        <w:t xml:space="preserve">the </w:t>
      </w:r>
      <w:r w:rsidR="008017EF">
        <w:t>step</w:t>
      </w:r>
      <w:r w:rsidR="005D6D41">
        <w:t xml:space="preserve"> </w:t>
      </w:r>
      <w:r w:rsidR="00717671">
        <w:t xml:space="preserve">before </w:t>
      </w:r>
      <w:r w:rsidR="00497599">
        <w:t>BOB ICB</w:t>
      </w:r>
      <w:r w:rsidR="009327B5">
        <w:t xml:space="preserve"> informed</w:t>
      </w:r>
      <w:r w:rsidR="00773F4B">
        <w:t xml:space="preserve"> Bloxdent </w:t>
      </w:r>
      <w:r w:rsidR="009327B5">
        <w:t>that it</w:t>
      </w:r>
      <w:r w:rsidR="00C20E74">
        <w:t>s offer had been</w:t>
      </w:r>
      <w:r w:rsidR="00773F4B">
        <w:t xml:space="preserve"> successful </w:t>
      </w:r>
      <w:r w:rsidR="00C20E74">
        <w:t xml:space="preserve">and </w:t>
      </w:r>
      <w:r w:rsidR="00115544">
        <w:t xml:space="preserve">informed </w:t>
      </w:r>
      <w:r w:rsidR="00C20E74">
        <w:t>other bidders that their offers had been unsuccessful</w:t>
      </w:r>
      <w:r w:rsidR="008017EF">
        <w:t>)</w:t>
      </w:r>
      <w:r w:rsidR="00452907">
        <w:t>,</w:t>
      </w:r>
      <w:r w:rsidR="00EB1A4A">
        <w:t xml:space="preserve"> </w:t>
      </w:r>
      <w:r w:rsidR="00452907">
        <w:t>and then repeat the subsequent steps in the competitive process.</w:t>
      </w:r>
      <w:r w:rsidR="00313A69">
        <w:t xml:space="preserve"> </w:t>
      </w:r>
      <w:r w:rsidR="00EB1A4A">
        <w:t>This will allow BOB ICB to make a new</w:t>
      </w:r>
      <w:r w:rsidR="006B5083">
        <w:t xml:space="preserve"> decision as to the successful provider</w:t>
      </w:r>
      <w:r w:rsidR="00115544">
        <w:t>,</w:t>
      </w:r>
      <w:r w:rsidR="006B5083">
        <w:t xml:space="preserve"> based on </w:t>
      </w:r>
      <w:r w:rsidR="002A6C8D">
        <w:t>its</w:t>
      </w:r>
      <w:r w:rsidR="006B5083">
        <w:t xml:space="preserve"> evaluation of </w:t>
      </w:r>
      <w:r w:rsidR="00F64224">
        <w:t>bidders’ proposals</w:t>
      </w:r>
      <w:r w:rsidR="002A6C8D">
        <w:t xml:space="preserve"> at that point in the procurement process</w:t>
      </w:r>
      <w:r w:rsidR="00313A69">
        <w:t xml:space="preserve">. It </w:t>
      </w:r>
      <w:r w:rsidR="0008319C">
        <w:t xml:space="preserve">will </w:t>
      </w:r>
      <w:r w:rsidR="000B0B9E">
        <w:t xml:space="preserve">also </w:t>
      </w:r>
      <w:r w:rsidR="0008319C">
        <w:t xml:space="preserve">allow </w:t>
      </w:r>
      <w:r w:rsidR="000B0B9E">
        <w:t xml:space="preserve">BOB ICB to evaluate </w:t>
      </w:r>
      <w:r w:rsidR="0008319C">
        <w:t xml:space="preserve">any subsequent representations </w:t>
      </w:r>
      <w:r w:rsidR="0036170F">
        <w:t>in a way that complies with the requirements of the PSR regulations.</w:t>
      </w:r>
    </w:p>
    <w:p w14:paraId="28BFF2B5" w14:textId="6CDBD3B5" w:rsidR="00485DA5" w:rsidRDefault="00485DA5" w:rsidP="00485DA5"/>
    <w:p w14:paraId="04BF57F4" w14:textId="77777777" w:rsidR="00FE368E" w:rsidRDefault="00FE368E" w:rsidP="00485DA5"/>
    <w:p w14:paraId="31BEFC7F" w14:textId="77777777" w:rsidR="00485DA5" w:rsidRPr="00485DA5" w:rsidRDefault="00485DA5" w:rsidP="00485DA5"/>
    <w:sectPr w:rsidR="00485DA5" w:rsidRPr="00485DA5" w:rsidSect="00513D96">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F208" w14:textId="77777777" w:rsidR="0080342D" w:rsidRDefault="0080342D" w:rsidP="008F2F8C">
      <w:pPr>
        <w:spacing w:after="0" w:line="240" w:lineRule="auto"/>
      </w:pPr>
      <w:r>
        <w:separator/>
      </w:r>
    </w:p>
  </w:endnote>
  <w:endnote w:type="continuationSeparator" w:id="0">
    <w:p w14:paraId="732D1594" w14:textId="77777777" w:rsidR="0080342D" w:rsidRDefault="0080342D" w:rsidP="008F2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915725"/>
      <w:docPartObj>
        <w:docPartGallery w:val="Page Numbers (Bottom of Page)"/>
        <w:docPartUnique/>
      </w:docPartObj>
    </w:sdtPr>
    <w:sdtEndPr>
      <w:rPr>
        <w:noProof/>
      </w:rPr>
    </w:sdtEndPr>
    <w:sdtContent>
      <w:p w14:paraId="338E89CB" w14:textId="1BCE5894" w:rsidR="00513D96" w:rsidRDefault="00513D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E4D5B7" w14:textId="77777777" w:rsidR="00D31C04" w:rsidRDefault="00D31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A1D9" w14:textId="77777777" w:rsidR="0080342D" w:rsidRDefault="0080342D" w:rsidP="008F2F8C">
      <w:pPr>
        <w:spacing w:after="0" w:line="240" w:lineRule="auto"/>
      </w:pPr>
      <w:r>
        <w:separator/>
      </w:r>
    </w:p>
  </w:footnote>
  <w:footnote w:type="continuationSeparator" w:id="0">
    <w:p w14:paraId="5942327B" w14:textId="77777777" w:rsidR="0080342D" w:rsidRDefault="0080342D" w:rsidP="008F2F8C">
      <w:pPr>
        <w:spacing w:after="0" w:line="240" w:lineRule="auto"/>
      </w:pPr>
      <w:r>
        <w:continuationSeparator/>
      </w:r>
    </w:p>
  </w:footnote>
  <w:footnote w:id="1">
    <w:p w14:paraId="0AD6A53C" w14:textId="099DAAE0" w:rsidR="00856A83" w:rsidRPr="00856A83" w:rsidRDefault="00856A83">
      <w:pPr>
        <w:pStyle w:val="FootnoteText"/>
        <w:rPr>
          <w:sz w:val="16"/>
          <w:szCs w:val="16"/>
        </w:rPr>
      </w:pPr>
      <w:r w:rsidRPr="008A2850">
        <w:rPr>
          <w:rStyle w:val="FootnoteReference"/>
          <w:sz w:val="16"/>
          <w:szCs w:val="16"/>
        </w:rPr>
        <w:footnoteRef/>
      </w:r>
      <w:r w:rsidRPr="008A2850">
        <w:rPr>
          <w:sz w:val="16"/>
          <w:szCs w:val="16"/>
        </w:rPr>
        <w:t xml:space="preserve"> </w:t>
      </w:r>
      <w:r w:rsidR="000414FD" w:rsidRPr="008A2850">
        <w:rPr>
          <w:sz w:val="16"/>
          <w:szCs w:val="16"/>
        </w:rPr>
        <w:t>Bloxdent</w:t>
      </w:r>
      <w:r w:rsidR="00087C44" w:rsidRPr="008A2850">
        <w:rPr>
          <w:sz w:val="16"/>
          <w:szCs w:val="16"/>
        </w:rPr>
        <w:t xml:space="preserve"> is </w:t>
      </w:r>
      <w:r w:rsidR="00EC4D08" w:rsidRPr="008A2850">
        <w:rPr>
          <w:sz w:val="16"/>
          <w:szCs w:val="16"/>
        </w:rPr>
        <w:t>a</w:t>
      </w:r>
      <w:r w:rsidR="00EC4D08">
        <w:rPr>
          <w:sz w:val="16"/>
          <w:szCs w:val="16"/>
        </w:rPr>
        <w:t xml:space="preserve"> provider of NHS and private </w:t>
      </w:r>
      <w:r w:rsidR="00E17845">
        <w:rPr>
          <w:sz w:val="16"/>
          <w:szCs w:val="16"/>
        </w:rPr>
        <w:t>dental care in North Oxfordshire</w:t>
      </w:r>
      <w:r w:rsidR="00087C44">
        <w:rPr>
          <w:sz w:val="16"/>
          <w:szCs w:val="16"/>
        </w:rPr>
        <w:t xml:space="preserve">. </w:t>
      </w:r>
      <w:r w:rsidR="00FE11E8">
        <w:rPr>
          <w:sz w:val="16"/>
          <w:szCs w:val="16"/>
        </w:rPr>
        <w:t xml:space="preserve">Further information can be found on its website at </w:t>
      </w:r>
      <w:r w:rsidR="000414FD">
        <w:rPr>
          <w:sz w:val="16"/>
          <w:szCs w:val="16"/>
        </w:rPr>
        <w:t xml:space="preserve"> </w:t>
      </w:r>
      <w:hyperlink r:id="rId1" w:history="1">
        <w:r w:rsidR="0053762E" w:rsidRPr="00CC02CC">
          <w:rPr>
            <w:rStyle w:val="Hyperlink"/>
            <w:sz w:val="16"/>
            <w:szCs w:val="16"/>
          </w:rPr>
          <w:t>https://www.bloxhamdentalpractice.co.uk/about-us/</w:t>
        </w:r>
      </w:hyperlink>
      <w:r w:rsidR="0053762E">
        <w:rPr>
          <w:sz w:val="16"/>
          <w:szCs w:val="16"/>
        </w:rPr>
        <w:t>.</w:t>
      </w:r>
    </w:p>
  </w:footnote>
  <w:footnote w:id="2">
    <w:p w14:paraId="0451A91F" w14:textId="53FF603C" w:rsidR="004724B3" w:rsidRPr="004A0C4C" w:rsidRDefault="004724B3">
      <w:pPr>
        <w:pStyle w:val="FootnoteText"/>
        <w:rPr>
          <w:sz w:val="16"/>
          <w:szCs w:val="16"/>
        </w:rPr>
      </w:pPr>
      <w:r w:rsidRPr="004A0C4C">
        <w:rPr>
          <w:rStyle w:val="FootnoteReference"/>
          <w:sz w:val="16"/>
          <w:szCs w:val="16"/>
        </w:rPr>
        <w:footnoteRef/>
      </w:r>
      <w:r w:rsidRPr="004A0C4C">
        <w:rPr>
          <w:sz w:val="16"/>
          <w:szCs w:val="16"/>
        </w:rPr>
        <w:t xml:space="preserve"> The Panel’s case acceptance criteria are available at </w:t>
      </w:r>
      <w:hyperlink r:id="rId2" w:history="1">
        <w:r w:rsidR="004A0C4C" w:rsidRPr="004A0C4C">
          <w:rPr>
            <w:rStyle w:val="Hyperlink"/>
            <w:rFonts w:cs="Arial"/>
            <w:sz w:val="16"/>
            <w:szCs w:val="16"/>
          </w:rPr>
          <w:t>https://www.england.nhs.uk/commissioning/how-commissioning-is-changing/nhs-provider-selection-regime/independent-patient-choice-and-procurement-panel/</w:t>
        </w:r>
      </w:hyperlink>
      <w:r w:rsidR="004A0C4C">
        <w:rPr>
          <w:sz w:val="16"/>
          <w:szCs w:val="16"/>
        </w:rPr>
        <w:t>.</w:t>
      </w:r>
    </w:p>
  </w:footnote>
  <w:footnote w:id="3">
    <w:p w14:paraId="6E6F3ED5" w14:textId="56ED232F" w:rsidR="004A0C4C" w:rsidRPr="0050576A" w:rsidRDefault="004A0C4C">
      <w:pPr>
        <w:pStyle w:val="FootnoteText"/>
        <w:rPr>
          <w:sz w:val="16"/>
          <w:szCs w:val="16"/>
        </w:rPr>
      </w:pPr>
      <w:r w:rsidRPr="0050576A">
        <w:rPr>
          <w:rStyle w:val="FootnoteReference"/>
          <w:sz w:val="16"/>
          <w:szCs w:val="16"/>
        </w:rPr>
        <w:footnoteRef/>
      </w:r>
      <w:r w:rsidRPr="0050576A">
        <w:rPr>
          <w:sz w:val="16"/>
          <w:szCs w:val="16"/>
        </w:rPr>
        <w:t xml:space="preserve"> Biographies of Panel members are available at </w:t>
      </w:r>
      <w:hyperlink r:id="rId3" w:history="1">
        <w:r w:rsidR="0050576A" w:rsidRPr="0050576A">
          <w:rPr>
            <w:rStyle w:val="Hyperlink"/>
            <w:rFonts w:cs="Arial"/>
            <w:sz w:val="16"/>
            <w:szCs w:val="16"/>
          </w:rPr>
          <w:t>https://www.england.nhs.uk/commissioning/how-commissioning-is-changing/nhs-provider-selection-regime/independent-patient-choice-and-procurement-panel/panel-members/</w:t>
        </w:r>
      </w:hyperlink>
      <w:r w:rsidR="0050576A" w:rsidRPr="0050576A">
        <w:rPr>
          <w:rFonts w:cs="Arial"/>
          <w:sz w:val="16"/>
          <w:szCs w:val="16"/>
        </w:rPr>
        <w:t>.</w:t>
      </w:r>
    </w:p>
  </w:footnote>
  <w:footnote w:id="4">
    <w:p w14:paraId="3EB524F8" w14:textId="292229CD" w:rsidR="00CD4CF5" w:rsidRPr="00A47C13" w:rsidRDefault="00CD4CF5">
      <w:pPr>
        <w:pStyle w:val="FootnoteText"/>
        <w:rPr>
          <w:sz w:val="16"/>
          <w:szCs w:val="16"/>
        </w:rPr>
      </w:pPr>
      <w:r w:rsidRPr="00A47C13">
        <w:rPr>
          <w:rStyle w:val="FootnoteReference"/>
          <w:sz w:val="16"/>
          <w:szCs w:val="16"/>
        </w:rPr>
        <w:footnoteRef/>
      </w:r>
      <w:r w:rsidRPr="00A47C13">
        <w:rPr>
          <w:sz w:val="16"/>
          <w:szCs w:val="16"/>
        </w:rPr>
        <w:t xml:space="preserve"> The Panel’s Standard Operating Procedures are available at </w:t>
      </w:r>
      <w:hyperlink r:id="rId4" w:history="1">
        <w:r w:rsidR="00A47C13" w:rsidRPr="00A47C13">
          <w:rPr>
            <w:rStyle w:val="Hyperlink"/>
            <w:rFonts w:cs="Arial"/>
            <w:sz w:val="16"/>
            <w:szCs w:val="16"/>
          </w:rPr>
          <w:t>https://www.england.nhs.uk/commissioning/how-commissioning-is-changing/nhs-provider-selection-regime/independent-patient-choice-and-procurement-panel/</w:t>
        </w:r>
      </w:hyperlink>
      <w:r w:rsidR="00A47C13" w:rsidRPr="00A47C13">
        <w:rPr>
          <w:rFonts w:cs="Arial"/>
          <w:sz w:val="16"/>
          <w:szCs w:val="16"/>
        </w:rPr>
        <w:t>.</w:t>
      </w:r>
    </w:p>
  </w:footnote>
  <w:footnote w:id="5">
    <w:p w14:paraId="79995ABF" w14:textId="04E9C25F" w:rsidR="00A47C13" w:rsidRPr="00A47C13" w:rsidRDefault="00A47C13">
      <w:pPr>
        <w:pStyle w:val="FootnoteText"/>
        <w:rPr>
          <w:sz w:val="16"/>
          <w:szCs w:val="16"/>
        </w:rPr>
      </w:pPr>
      <w:r w:rsidRPr="00A47C13">
        <w:rPr>
          <w:rStyle w:val="FootnoteReference"/>
          <w:sz w:val="16"/>
          <w:szCs w:val="16"/>
        </w:rPr>
        <w:footnoteRef/>
      </w:r>
      <w:r w:rsidRPr="00A47C13">
        <w:rPr>
          <w:sz w:val="16"/>
          <w:szCs w:val="16"/>
        </w:rPr>
        <w:t xml:space="preserve"> The Panel’s advice is provided under paragraph 23 of the PSR Regulations and takes account of the representations made to the Panel prior to forming its opinion.</w:t>
      </w:r>
    </w:p>
  </w:footnote>
  <w:footnote w:id="6">
    <w:p w14:paraId="6DD8EB7B" w14:textId="53B10DDD" w:rsidR="005967B4" w:rsidRPr="005967B4" w:rsidRDefault="005967B4">
      <w:pPr>
        <w:pStyle w:val="FootnoteText"/>
        <w:rPr>
          <w:sz w:val="16"/>
          <w:szCs w:val="16"/>
        </w:rPr>
      </w:pPr>
      <w:r w:rsidRPr="005967B4">
        <w:rPr>
          <w:rStyle w:val="FootnoteReference"/>
          <w:sz w:val="16"/>
          <w:szCs w:val="16"/>
        </w:rPr>
        <w:footnoteRef/>
      </w:r>
      <w:r w:rsidRPr="005967B4">
        <w:rPr>
          <w:sz w:val="16"/>
          <w:szCs w:val="16"/>
        </w:rPr>
        <w:t xml:space="preserve"> The PSR Regulations are available at </w:t>
      </w:r>
      <w:hyperlink r:id="rId5" w:history="1">
        <w:r w:rsidRPr="005967B4">
          <w:rPr>
            <w:rStyle w:val="Hyperlink"/>
            <w:rFonts w:cs="Arial"/>
            <w:sz w:val="16"/>
            <w:szCs w:val="16"/>
          </w:rPr>
          <w:t>https://www.legislation.gov.uk/uksi/2023/1348/contents/made</w:t>
        </w:r>
      </w:hyperlink>
      <w:r w:rsidRPr="005967B4">
        <w:rPr>
          <w:rFonts w:cs="Arial"/>
          <w:sz w:val="16"/>
          <w:szCs w:val="16"/>
        </w:rPr>
        <w:t xml:space="preserve"> and the accompanying statutory guidance is available at NHS England, </w:t>
      </w:r>
      <w:r w:rsidRPr="005967B4">
        <w:rPr>
          <w:rFonts w:cs="Arial"/>
          <w:i/>
          <w:iCs/>
          <w:sz w:val="16"/>
          <w:szCs w:val="16"/>
        </w:rPr>
        <w:t>The Provider Selection Regime: statutory guidance</w:t>
      </w:r>
      <w:r w:rsidRPr="005967B4">
        <w:rPr>
          <w:rFonts w:cs="Arial"/>
          <w:sz w:val="16"/>
          <w:szCs w:val="16"/>
        </w:rPr>
        <w:t xml:space="preserve">, </w:t>
      </w:r>
      <w:hyperlink r:id="rId6" w:history="1">
        <w:r w:rsidRPr="005967B4">
          <w:rPr>
            <w:rStyle w:val="Hyperlink"/>
            <w:rFonts w:cs="Arial"/>
            <w:sz w:val="16"/>
            <w:szCs w:val="16"/>
          </w:rPr>
          <w:t>https://www.england.nhs.uk/long-read/the-provider-selection-regime-statutory-guidance/</w:t>
        </w:r>
      </w:hyperlink>
    </w:p>
  </w:footnote>
  <w:footnote w:id="7">
    <w:p w14:paraId="4722B677" w14:textId="26A00F41" w:rsidR="00323C2C" w:rsidRPr="00323C2C" w:rsidRDefault="00323C2C">
      <w:pPr>
        <w:pStyle w:val="FootnoteText"/>
        <w:rPr>
          <w:sz w:val="16"/>
          <w:szCs w:val="16"/>
        </w:rPr>
      </w:pPr>
      <w:r w:rsidRPr="00323C2C">
        <w:rPr>
          <w:rStyle w:val="FootnoteReference"/>
          <w:sz w:val="16"/>
          <w:szCs w:val="16"/>
        </w:rPr>
        <w:footnoteRef/>
      </w:r>
      <w:r w:rsidRPr="00323C2C">
        <w:rPr>
          <w:sz w:val="16"/>
          <w:szCs w:val="16"/>
        </w:rPr>
        <w:t xml:space="preserve"> Further information on </w:t>
      </w:r>
      <w:r w:rsidR="009761FB">
        <w:rPr>
          <w:sz w:val="16"/>
          <w:szCs w:val="16"/>
        </w:rPr>
        <w:t>BOB ICB</w:t>
      </w:r>
      <w:r w:rsidRPr="00323C2C">
        <w:rPr>
          <w:sz w:val="16"/>
          <w:szCs w:val="16"/>
        </w:rPr>
        <w:t xml:space="preserve"> can be found on its website at </w:t>
      </w:r>
      <w:hyperlink r:id="rId7" w:history="1">
        <w:r w:rsidR="009761FB" w:rsidRPr="009761FB">
          <w:rPr>
            <w:rStyle w:val="Hyperlink"/>
            <w:sz w:val="16"/>
            <w:szCs w:val="16"/>
          </w:rPr>
          <w:t>https://bobicb.nhs.uk</w:t>
        </w:r>
      </w:hyperlink>
      <w:r w:rsidRPr="00323C2C">
        <w:rPr>
          <w:sz w:val="16"/>
          <w:szCs w:val="16"/>
        </w:rPr>
        <w:t>.</w:t>
      </w:r>
    </w:p>
  </w:footnote>
  <w:footnote w:id="8">
    <w:p w14:paraId="2287D0E4" w14:textId="7E6864F7" w:rsidR="00844827" w:rsidRPr="00BF1407" w:rsidRDefault="00844827" w:rsidP="00844827">
      <w:pPr>
        <w:pStyle w:val="FootnoteText"/>
        <w:rPr>
          <w:sz w:val="16"/>
          <w:szCs w:val="16"/>
        </w:rPr>
      </w:pPr>
      <w:r w:rsidRPr="00BF1407">
        <w:rPr>
          <w:rStyle w:val="FootnoteReference"/>
          <w:sz w:val="16"/>
          <w:szCs w:val="16"/>
        </w:rPr>
        <w:footnoteRef/>
      </w:r>
      <w:r w:rsidRPr="00BF1407">
        <w:rPr>
          <w:sz w:val="16"/>
          <w:szCs w:val="16"/>
        </w:rPr>
        <w:t xml:space="preserve"> </w:t>
      </w:r>
      <w:r w:rsidR="0056315F" w:rsidRPr="00BF1407">
        <w:rPr>
          <w:sz w:val="16"/>
          <w:szCs w:val="16"/>
        </w:rPr>
        <w:t xml:space="preserve">Responsibility for commissioning dental services was delegated to ICBs by </w:t>
      </w:r>
      <w:r w:rsidR="00A24CCD" w:rsidRPr="00BF1407">
        <w:rPr>
          <w:sz w:val="16"/>
          <w:szCs w:val="16"/>
        </w:rPr>
        <w:t xml:space="preserve">NHS England (NHSE) in April 2023 </w:t>
      </w:r>
      <w:r w:rsidR="00BF1407" w:rsidRPr="00BF1407">
        <w:rPr>
          <w:sz w:val="16"/>
          <w:szCs w:val="16"/>
        </w:rPr>
        <w:t>(</w:t>
      </w:r>
      <w:r w:rsidRPr="00BF1407">
        <w:rPr>
          <w:sz w:val="16"/>
          <w:szCs w:val="16"/>
        </w:rPr>
        <w:t xml:space="preserve">NHS England, </w:t>
      </w:r>
      <w:r w:rsidRPr="00BF1407">
        <w:rPr>
          <w:i/>
          <w:iCs/>
          <w:sz w:val="16"/>
          <w:szCs w:val="16"/>
        </w:rPr>
        <w:t>Letter: First stage of dental reform</w:t>
      </w:r>
      <w:r w:rsidRPr="00BF1407">
        <w:rPr>
          <w:sz w:val="16"/>
          <w:szCs w:val="16"/>
        </w:rPr>
        <w:t>, 19 July 2022</w:t>
      </w:r>
      <w:r w:rsidR="00BF1407" w:rsidRPr="00BF1407">
        <w:rPr>
          <w:sz w:val="16"/>
          <w:szCs w:val="16"/>
        </w:rPr>
        <w:t>)</w:t>
      </w:r>
      <w:r w:rsidRPr="00BF1407">
        <w:rPr>
          <w:sz w:val="16"/>
          <w:szCs w:val="16"/>
        </w:rPr>
        <w:t>.</w:t>
      </w:r>
    </w:p>
  </w:footnote>
  <w:footnote w:id="9">
    <w:p w14:paraId="73E7C0A6" w14:textId="041BBB3D" w:rsidR="00E5667A" w:rsidRPr="000D582F" w:rsidRDefault="00E5667A">
      <w:pPr>
        <w:pStyle w:val="FootnoteText"/>
        <w:rPr>
          <w:sz w:val="16"/>
          <w:szCs w:val="16"/>
        </w:rPr>
      </w:pPr>
      <w:r w:rsidRPr="000D582F">
        <w:rPr>
          <w:rStyle w:val="FootnoteReference"/>
          <w:sz w:val="16"/>
          <w:szCs w:val="16"/>
        </w:rPr>
        <w:footnoteRef/>
      </w:r>
      <w:r w:rsidRPr="000D582F">
        <w:rPr>
          <w:sz w:val="16"/>
          <w:szCs w:val="16"/>
        </w:rPr>
        <w:t xml:space="preserve"> The full list of mandatory services </w:t>
      </w:r>
      <w:r w:rsidR="00D078EC">
        <w:rPr>
          <w:sz w:val="16"/>
          <w:szCs w:val="16"/>
        </w:rPr>
        <w:t>is</w:t>
      </w:r>
      <w:r w:rsidRPr="000D582F">
        <w:rPr>
          <w:sz w:val="16"/>
          <w:szCs w:val="16"/>
        </w:rPr>
        <w:t xml:space="preserve"> defined in Regulation 14 of the</w:t>
      </w:r>
      <w:r w:rsidR="00B54F4D">
        <w:rPr>
          <w:sz w:val="16"/>
          <w:szCs w:val="16"/>
        </w:rPr>
        <w:t xml:space="preserve"> NHS</w:t>
      </w:r>
      <w:r w:rsidRPr="000D582F">
        <w:rPr>
          <w:sz w:val="16"/>
          <w:szCs w:val="16"/>
        </w:rPr>
        <w:t xml:space="preserve"> General Dental Service</w:t>
      </w:r>
      <w:r w:rsidR="00257A24" w:rsidRPr="000D582F">
        <w:rPr>
          <w:sz w:val="16"/>
          <w:szCs w:val="16"/>
        </w:rPr>
        <w:t xml:space="preserve"> (GDS)</w:t>
      </w:r>
      <w:r w:rsidR="003C02D5">
        <w:rPr>
          <w:sz w:val="16"/>
          <w:szCs w:val="16"/>
        </w:rPr>
        <w:t xml:space="preserve"> </w:t>
      </w:r>
      <w:r w:rsidR="00F30F7A">
        <w:rPr>
          <w:sz w:val="16"/>
          <w:szCs w:val="16"/>
        </w:rPr>
        <w:t>/</w:t>
      </w:r>
      <w:r w:rsidR="003C02D5">
        <w:rPr>
          <w:sz w:val="16"/>
          <w:szCs w:val="16"/>
        </w:rPr>
        <w:t xml:space="preserve"> </w:t>
      </w:r>
      <w:r w:rsidR="00F30F7A">
        <w:rPr>
          <w:sz w:val="16"/>
          <w:szCs w:val="16"/>
        </w:rPr>
        <w:t>P</w:t>
      </w:r>
      <w:r w:rsidR="00E553BF">
        <w:rPr>
          <w:sz w:val="16"/>
          <w:szCs w:val="16"/>
        </w:rPr>
        <w:t>ersonal Dental Service</w:t>
      </w:r>
      <w:r w:rsidR="003C02D5">
        <w:rPr>
          <w:sz w:val="16"/>
          <w:szCs w:val="16"/>
        </w:rPr>
        <w:t xml:space="preserve">s </w:t>
      </w:r>
      <w:r w:rsidR="00E553BF">
        <w:rPr>
          <w:sz w:val="16"/>
          <w:szCs w:val="16"/>
        </w:rPr>
        <w:t>(PDS)</w:t>
      </w:r>
      <w:r w:rsidRPr="000D582F">
        <w:rPr>
          <w:sz w:val="16"/>
          <w:szCs w:val="16"/>
        </w:rPr>
        <w:t xml:space="preserve"> </w:t>
      </w:r>
      <w:r w:rsidR="00164023">
        <w:rPr>
          <w:sz w:val="16"/>
          <w:szCs w:val="16"/>
        </w:rPr>
        <w:t>Regulation</w:t>
      </w:r>
      <w:r w:rsidR="00E553BF">
        <w:rPr>
          <w:sz w:val="16"/>
          <w:szCs w:val="16"/>
        </w:rPr>
        <w:t>s</w:t>
      </w:r>
      <w:r w:rsidR="00164023">
        <w:rPr>
          <w:sz w:val="16"/>
          <w:szCs w:val="16"/>
        </w:rPr>
        <w:t xml:space="preserve"> 2005</w:t>
      </w:r>
      <w:r w:rsidR="003C02D5">
        <w:rPr>
          <w:sz w:val="16"/>
          <w:szCs w:val="16"/>
        </w:rPr>
        <w:t>, and is available at</w:t>
      </w:r>
      <w:r w:rsidR="00257A24" w:rsidRPr="000D582F">
        <w:rPr>
          <w:sz w:val="16"/>
          <w:szCs w:val="16"/>
        </w:rPr>
        <w:t xml:space="preserve"> </w:t>
      </w:r>
      <w:hyperlink r:id="rId8" w:history="1">
        <w:r w:rsidR="00E553BF" w:rsidRPr="000D2475">
          <w:rPr>
            <w:rStyle w:val="Hyperlink"/>
            <w:sz w:val="16"/>
            <w:szCs w:val="16"/>
          </w:rPr>
          <w:t>https://www.legislation.gov.uk/uksi/2005/3361/regulation/14</w:t>
        </w:r>
      </w:hyperlink>
      <w:r w:rsidR="00E553BF">
        <w:rPr>
          <w:sz w:val="16"/>
          <w:szCs w:val="16"/>
        </w:rPr>
        <w:t xml:space="preserve">. </w:t>
      </w:r>
    </w:p>
  </w:footnote>
  <w:footnote w:id="10">
    <w:p w14:paraId="2B57541F" w14:textId="0111338B" w:rsidR="00E64E91" w:rsidRPr="00E64E91" w:rsidRDefault="00E64E91">
      <w:pPr>
        <w:pStyle w:val="FootnoteText"/>
        <w:rPr>
          <w:sz w:val="16"/>
          <w:szCs w:val="16"/>
        </w:rPr>
      </w:pPr>
      <w:r w:rsidRPr="00E64E91">
        <w:rPr>
          <w:rStyle w:val="FootnoteReference"/>
          <w:sz w:val="16"/>
          <w:szCs w:val="16"/>
        </w:rPr>
        <w:footnoteRef/>
      </w:r>
      <w:r w:rsidRPr="00E64E91">
        <w:rPr>
          <w:sz w:val="16"/>
          <w:szCs w:val="16"/>
        </w:rPr>
        <w:t xml:space="preserve"> </w:t>
      </w:r>
      <w:r w:rsidR="000F724A">
        <w:rPr>
          <w:sz w:val="16"/>
          <w:szCs w:val="16"/>
        </w:rPr>
        <w:t>BOB ICB</w:t>
      </w:r>
      <w:r w:rsidRPr="00E64E91">
        <w:rPr>
          <w:sz w:val="16"/>
          <w:szCs w:val="16"/>
        </w:rPr>
        <w:t xml:space="preserve">, </w:t>
      </w:r>
      <w:r w:rsidRPr="00E64E91">
        <w:rPr>
          <w:i/>
          <w:iCs/>
          <w:sz w:val="16"/>
          <w:szCs w:val="16"/>
        </w:rPr>
        <w:t xml:space="preserve">Contract Notice </w:t>
      </w:r>
      <w:r w:rsidRPr="007155ED">
        <w:rPr>
          <w:sz w:val="16"/>
          <w:szCs w:val="16"/>
        </w:rPr>
        <w:t>on</w:t>
      </w:r>
      <w:r w:rsidRPr="00E64E91">
        <w:rPr>
          <w:i/>
          <w:iCs/>
          <w:sz w:val="16"/>
          <w:szCs w:val="16"/>
        </w:rPr>
        <w:t xml:space="preserve"> Find a Tender Service,</w:t>
      </w:r>
      <w:r w:rsidRPr="00E64E91">
        <w:rPr>
          <w:sz w:val="16"/>
          <w:szCs w:val="16"/>
        </w:rPr>
        <w:t xml:space="preserve"> </w:t>
      </w:r>
      <w:r w:rsidR="00581166">
        <w:rPr>
          <w:sz w:val="16"/>
          <w:szCs w:val="16"/>
        </w:rPr>
        <w:t>25 October 20</w:t>
      </w:r>
      <w:r w:rsidR="00DA1064">
        <w:rPr>
          <w:sz w:val="16"/>
          <w:szCs w:val="16"/>
        </w:rPr>
        <w:t>2</w:t>
      </w:r>
      <w:r w:rsidR="00581166">
        <w:rPr>
          <w:sz w:val="16"/>
          <w:szCs w:val="16"/>
        </w:rPr>
        <w:t>4.</w:t>
      </w:r>
    </w:p>
  </w:footnote>
  <w:footnote w:id="11">
    <w:p w14:paraId="256183B4" w14:textId="77777777" w:rsidR="00334DC5" w:rsidRPr="00A12AB2" w:rsidRDefault="00334DC5" w:rsidP="00334DC5">
      <w:pPr>
        <w:pStyle w:val="FootnoteText"/>
        <w:rPr>
          <w:sz w:val="16"/>
          <w:szCs w:val="16"/>
        </w:rPr>
      </w:pPr>
      <w:r w:rsidRPr="00A12AB2">
        <w:rPr>
          <w:rStyle w:val="FootnoteReference"/>
          <w:sz w:val="16"/>
          <w:szCs w:val="16"/>
        </w:rPr>
        <w:footnoteRef/>
      </w:r>
      <w:r w:rsidRPr="00A12AB2">
        <w:rPr>
          <w:sz w:val="16"/>
          <w:szCs w:val="16"/>
        </w:rPr>
        <w:t xml:space="preserve"> One bidder failed initial completeness and compliance checks and therefore its bid was not evaluated further. </w:t>
      </w:r>
    </w:p>
  </w:footnote>
  <w:footnote w:id="12">
    <w:p w14:paraId="69AD8CBB" w14:textId="1A7AFB29" w:rsidR="00BB27A4" w:rsidRDefault="00BB27A4" w:rsidP="00BB27A4">
      <w:pPr>
        <w:pStyle w:val="NoSpacing"/>
      </w:pPr>
      <w:r w:rsidRPr="00F54218">
        <w:rPr>
          <w:rStyle w:val="FootnoteReference"/>
          <w:sz w:val="16"/>
          <w:szCs w:val="16"/>
        </w:rPr>
        <w:footnoteRef/>
      </w:r>
      <w:r w:rsidRPr="00F54218">
        <w:rPr>
          <w:sz w:val="16"/>
          <w:szCs w:val="16"/>
        </w:rPr>
        <w:t xml:space="preserve"> Haddenham DC Limited is a</w:t>
      </w:r>
      <w:r>
        <w:rPr>
          <w:sz w:val="16"/>
          <w:szCs w:val="16"/>
        </w:rPr>
        <w:t xml:space="preserve"> provider of NHS and private dental care in Buckingha</w:t>
      </w:r>
      <w:r w:rsidR="00C476A3">
        <w:rPr>
          <w:sz w:val="16"/>
          <w:szCs w:val="16"/>
        </w:rPr>
        <w:t>m</w:t>
      </w:r>
      <w:r>
        <w:rPr>
          <w:sz w:val="16"/>
          <w:szCs w:val="16"/>
        </w:rPr>
        <w:t xml:space="preserve">shire. Further information can be found on its website at </w:t>
      </w:r>
      <w:hyperlink r:id="rId9" w:history="1">
        <w:r w:rsidRPr="0019253D">
          <w:rPr>
            <w:rStyle w:val="Hyperlink"/>
            <w:sz w:val="16"/>
            <w:szCs w:val="16"/>
          </w:rPr>
          <w:t>About Us - Haddenham Dental Clinic</w:t>
        </w:r>
      </w:hyperlink>
    </w:p>
  </w:footnote>
  <w:footnote w:id="13">
    <w:p w14:paraId="726CC1B5" w14:textId="62AE9F38" w:rsidR="003A440C" w:rsidRPr="008A57E0" w:rsidRDefault="003A440C">
      <w:pPr>
        <w:pStyle w:val="FootnoteText"/>
        <w:rPr>
          <w:sz w:val="16"/>
          <w:szCs w:val="16"/>
        </w:rPr>
      </w:pPr>
      <w:r w:rsidRPr="007155ED">
        <w:rPr>
          <w:rStyle w:val="FootnoteReference"/>
          <w:sz w:val="16"/>
          <w:szCs w:val="16"/>
        </w:rPr>
        <w:footnoteRef/>
      </w:r>
      <w:r w:rsidRPr="007155ED">
        <w:rPr>
          <w:sz w:val="16"/>
          <w:szCs w:val="16"/>
        </w:rPr>
        <w:t xml:space="preserve"> </w:t>
      </w:r>
      <w:r w:rsidR="005171EF" w:rsidRPr="007155ED">
        <w:rPr>
          <w:sz w:val="16"/>
          <w:szCs w:val="16"/>
        </w:rPr>
        <w:t xml:space="preserve">BOB ICB, </w:t>
      </w:r>
      <w:r w:rsidR="005171EF" w:rsidRPr="007155ED">
        <w:rPr>
          <w:i/>
          <w:iCs/>
          <w:sz w:val="16"/>
          <w:szCs w:val="16"/>
        </w:rPr>
        <w:t xml:space="preserve">Contract Award Notice </w:t>
      </w:r>
      <w:r w:rsidR="005171EF" w:rsidRPr="007155ED">
        <w:rPr>
          <w:sz w:val="16"/>
          <w:szCs w:val="16"/>
        </w:rPr>
        <w:t>on</w:t>
      </w:r>
      <w:r w:rsidR="005171EF" w:rsidRPr="007155ED">
        <w:rPr>
          <w:i/>
          <w:iCs/>
          <w:sz w:val="16"/>
          <w:szCs w:val="16"/>
        </w:rPr>
        <w:t xml:space="preserve"> Find a Tender Service, </w:t>
      </w:r>
      <w:r w:rsidR="000D02E0" w:rsidRPr="007155ED">
        <w:rPr>
          <w:sz w:val="16"/>
          <w:szCs w:val="16"/>
        </w:rPr>
        <w:t>14 April 2025</w:t>
      </w:r>
    </w:p>
  </w:footnote>
  <w:footnote w:id="14">
    <w:p w14:paraId="08989AD4" w14:textId="740E7703" w:rsidR="003772C9" w:rsidRPr="003772C9" w:rsidRDefault="003772C9">
      <w:pPr>
        <w:pStyle w:val="FootnoteText"/>
        <w:rPr>
          <w:sz w:val="16"/>
          <w:szCs w:val="16"/>
        </w:rPr>
      </w:pPr>
      <w:r w:rsidRPr="003772C9">
        <w:rPr>
          <w:rStyle w:val="FootnoteReference"/>
          <w:sz w:val="16"/>
          <w:szCs w:val="16"/>
        </w:rPr>
        <w:footnoteRef/>
      </w:r>
      <w:r w:rsidRPr="003772C9">
        <w:rPr>
          <w:sz w:val="16"/>
          <w:szCs w:val="16"/>
        </w:rPr>
        <w:t xml:space="preserve"> BOB ICB, </w:t>
      </w:r>
      <w:r w:rsidR="006A4914" w:rsidRPr="009B468D">
        <w:rPr>
          <w:i/>
          <w:iCs/>
          <w:sz w:val="16"/>
          <w:szCs w:val="16"/>
        </w:rPr>
        <w:t>Atamis Comms - Rewind and Re-evaluation of MDS 5C2-5 Cherwell East Bloxdent</w:t>
      </w:r>
      <w:r w:rsidR="00310A87" w:rsidRPr="009B468D">
        <w:rPr>
          <w:i/>
          <w:iCs/>
          <w:sz w:val="16"/>
          <w:szCs w:val="16"/>
        </w:rPr>
        <w:t xml:space="preserve">, </w:t>
      </w:r>
      <w:r w:rsidR="00D91277" w:rsidRPr="009B468D">
        <w:rPr>
          <w:i/>
          <w:iCs/>
          <w:sz w:val="16"/>
          <w:szCs w:val="16"/>
        </w:rPr>
        <w:t>Atamis Comms - Rewind and re-evaluation MDs 5C2-5 Haddenham</w:t>
      </w:r>
      <w:r w:rsidR="009B468D" w:rsidRPr="009B468D">
        <w:rPr>
          <w:i/>
          <w:iCs/>
          <w:sz w:val="16"/>
          <w:szCs w:val="16"/>
        </w:rPr>
        <w:t xml:space="preserve">, </w:t>
      </w:r>
      <w:r w:rsidR="00310A87">
        <w:rPr>
          <w:sz w:val="16"/>
          <w:szCs w:val="16"/>
        </w:rPr>
        <w:t>8 May 2025.</w:t>
      </w:r>
      <w:r w:rsidR="00372AAA">
        <w:rPr>
          <w:sz w:val="16"/>
          <w:szCs w:val="16"/>
        </w:rPr>
        <w:t xml:space="preserve"> </w:t>
      </w:r>
      <w:r w:rsidR="00310A87">
        <w:rPr>
          <w:sz w:val="16"/>
          <w:szCs w:val="16"/>
        </w:rPr>
        <w:t xml:space="preserve">BOB ICB told the Panel that </w:t>
      </w:r>
      <w:r w:rsidR="00427030">
        <w:rPr>
          <w:sz w:val="16"/>
          <w:szCs w:val="16"/>
        </w:rPr>
        <w:t>it sen</w:t>
      </w:r>
      <w:r w:rsidR="005C0F26">
        <w:rPr>
          <w:sz w:val="16"/>
          <w:szCs w:val="16"/>
        </w:rPr>
        <w:t xml:space="preserve">t </w:t>
      </w:r>
      <w:r w:rsidR="009E0C50">
        <w:rPr>
          <w:sz w:val="16"/>
          <w:szCs w:val="16"/>
        </w:rPr>
        <w:t>all bidders for Lot 5</w:t>
      </w:r>
      <w:r w:rsidR="00372AAA">
        <w:rPr>
          <w:sz w:val="16"/>
          <w:szCs w:val="16"/>
        </w:rPr>
        <w:t xml:space="preserve"> </w:t>
      </w:r>
      <w:r w:rsidR="006465E8">
        <w:rPr>
          <w:sz w:val="16"/>
          <w:szCs w:val="16"/>
        </w:rPr>
        <w:t xml:space="preserve">an </w:t>
      </w:r>
      <w:r w:rsidR="00427030">
        <w:rPr>
          <w:sz w:val="16"/>
          <w:szCs w:val="16"/>
        </w:rPr>
        <w:t xml:space="preserve">individual </w:t>
      </w:r>
      <w:r w:rsidR="00D62EFC">
        <w:rPr>
          <w:sz w:val="16"/>
          <w:szCs w:val="16"/>
        </w:rPr>
        <w:t xml:space="preserve">message </w:t>
      </w:r>
      <w:r w:rsidR="008C28F1">
        <w:rPr>
          <w:sz w:val="16"/>
          <w:szCs w:val="16"/>
        </w:rPr>
        <w:t xml:space="preserve">on the e-procurement system, </w:t>
      </w:r>
      <w:r w:rsidR="006465E8">
        <w:rPr>
          <w:sz w:val="16"/>
          <w:szCs w:val="16"/>
        </w:rPr>
        <w:t xml:space="preserve">to this effect </w:t>
      </w:r>
      <w:r w:rsidR="00372AAA">
        <w:rPr>
          <w:sz w:val="16"/>
          <w:szCs w:val="16"/>
        </w:rPr>
        <w:t>(Panel meeting with BOB ICB, 17 October 2025).</w:t>
      </w:r>
      <w:r w:rsidR="009E0C50">
        <w:rPr>
          <w:sz w:val="16"/>
          <w:szCs w:val="16"/>
        </w:rPr>
        <w:t xml:space="preserve"> </w:t>
      </w:r>
    </w:p>
  </w:footnote>
  <w:footnote w:id="15">
    <w:p w14:paraId="3B753FC7" w14:textId="77777777" w:rsidR="00393C1F" w:rsidRPr="00AA427D" w:rsidRDefault="00393C1F">
      <w:pPr>
        <w:pStyle w:val="FootnoteText"/>
        <w:rPr>
          <w:sz w:val="16"/>
          <w:szCs w:val="16"/>
        </w:rPr>
      </w:pPr>
      <w:r w:rsidRPr="00AA427D">
        <w:rPr>
          <w:rStyle w:val="FootnoteReference"/>
          <w:sz w:val="16"/>
          <w:szCs w:val="16"/>
        </w:rPr>
        <w:footnoteRef/>
      </w:r>
      <w:r w:rsidRPr="00AA427D">
        <w:rPr>
          <w:sz w:val="16"/>
          <w:szCs w:val="16"/>
        </w:rPr>
        <w:t xml:space="preserve"> </w:t>
      </w:r>
      <w:r w:rsidR="00AA427D" w:rsidRPr="00AA427D">
        <w:rPr>
          <w:sz w:val="16"/>
          <w:szCs w:val="16"/>
        </w:rPr>
        <w:t xml:space="preserve">BOB ICB, </w:t>
      </w:r>
      <w:r w:rsidR="00AA427D" w:rsidRPr="00467550">
        <w:rPr>
          <w:i/>
          <w:iCs/>
          <w:sz w:val="16"/>
          <w:szCs w:val="16"/>
        </w:rPr>
        <w:t>Response to Panel questions,</w:t>
      </w:r>
      <w:r w:rsidR="00467550">
        <w:rPr>
          <w:sz w:val="16"/>
          <w:szCs w:val="16"/>
        </w:rPr>
        <w:t xml:space="preserve"> 25 September 2025</w:t>
      </w:r>
      <w:r w:rsidR="00AE2FC0">
        <w:rPr>
          <w:sz w:val="16"/>
          <w:szCs w:val="16"/>
        </w:rPr>
        <w:t>.</w:t>
      </w:r>
    </w:p>
  </w:footnote>
  <w:footnote w:id="16">
    <w:p w14:paraId="6F31473E" w14:textId="77777777" w:rsidR="000C73D0" w:rsidRPr="00DD275D" w:rsidRDefault="000C73D0" w:rsidP="000C73D0">
      <w:pPr>
        <w:pStyle w:val="FootnoteText"/>
        <w:rPr>
          <w:sz w:val="16"/>
          <w:szCs w:val="16"/>
        </w:rPr>
      </w:pPr>
      <w:r w:rsidRPr="00DD275D">
        <w:rPr>
          <w:rStyle w:val="FootnoteReference"/>
          <w:sz w:val="16"/>
          <w:szCs w:val="16"/>
        </w:rPr>
        <w:footnoteRef/>
      </w:r>
      <w:r w:rsidRPr="00DD275D">
        <w:rPr>
          <w:sz w:val="16"/>
          <w:szCs w:val="16"/>
        </w:rPr>
        <w:t xml:space="preserve"> The preferred bidder period allow</w:t>
      </w:r>
      <w:r>
        <w:rPr>
          <w:sz w:val="16"/>
          <w:szCs w:val="16"/>
        </w:rPr>
        <w:t>ed</w:t>
      </w:r>
      <w:r w:rsidRPr="00DD275D">
        <w:rPr>
          <w:sz w:val="16"/>
          <w:szCs w:val="16"/>
        </w:rPr>
        <w:t xml:space="preserve"> for final due diligence on the award, particularly in the areas</w:t>
      </w:r>
      <w:r>
        <w:rPr>
          <w:sz w:val="16"/>
          <w:szCs w:val="16"/>
        </w:rPr>
        <w:t xml:space="preserve"> of</w:t>
      </w:r>
      <w:r w:rsidRPr="00DD275D">
        <w:rPr>
          <w:sz w:val="16"/>
          <w:szCs w:val="16"/>
        </w:rPr>
        <w:t xml:space="preserve"> finance, staffing, premises, mobilisation capacity and provider willingness to accept multiple offers</w:t>
      </w:r>
      <w:r>
        <w:rPr>
          <w:sz w:val="16"/>
          <w:szCs w:val="16"/>
        </w:rPr>
        <w:t xml:space="preserve">, and </w:t>
      </w:r>
      <w:r w:rsidRPr="00DD275D">
        <w:rPr>
          <w:sz w:val="16"/>
          <w:szCs w:val="16"/>
        </w:rPr>
        <w:t>took place between 19 June and 1 July 202</w:t>
      </w:r>
      <w:r>
        <w:rPr>
          <w:sz w:val="16"/>
          <w:szCs w:val="16"/>
        </w:rPr>
        <w:t xml:space="preserve">5 (BOB ICB, </w:t>
      </w:r>
      <w:r w:rsidRPr="00AE2FC0">
        <w:rPr>
          <w:i/>
          <w:iCs/>
          <w:sz w:val="16"/>
          <w:szCs w:val="16"/>
        </w:rPr>
        <w:t>Contract Award Recommendation Report</w:t>
      </w:r>
      <w:r>
        <w:rPr>
          <w:sz w:val="16"/>
          <w:szCs w:val="16"/>
        </w:rPr>
        <w:t xml:space="preserve">, 11 June 2025),  </w:t>
      </w:r>
    </w:p>
  </w:footnote>
  <w:footnote w:id="17">
    <w:p w14:paraId="6AE27E40" w14:textId="1D8C3219" w:rsidR="00974A15" w:rsidRPr="00974A15" w:rsidRDefault="00974A15">
      <w:pPr>
        <w:pStyle w:val="FootnoteText"/>
        <w:rPr>
          <w:sz w:val="16"/>
          <w:szCs w:val="16"/>
        </w:rPr>
      </w:pPr>
      <w:r w:rsidRPr="00974A15">
        <w:rPr>
          <w:rStyle w:val="FootnoteReference"/>
          <w:sz w:val="16"/>
          <w:szCs w:val="16"/>
        </w:rPr>
        <w:footnoteRef/>
      </w:r>
      <w:r w:rsidRPr="00974A15">
        <w:rPr>
          <w:sz w:val="16"/>
          <w:szCs w:val="16"/>
        </w:rPr>
        <w:t xml:space="preserve"> BOB ICB, </w:t>
      </w:r>
      <w:r w:rsidRPr="00AE2FC0">
        <w:rPr>
          <w:i/>
          <w:iCs/>
          <w:sz w:val="16"/>
          <w:szCs w:val="16"/>
        </w:rPr>
        <w:t xml:space="preserve">Contract Award Notice </w:t>
      </w:r>
      <w:r w:rsidRPr="00ED61DB">
        <w:rPr>
          <w:sz w:val="16"/>
          <w:szCs w:val="16"/>
        </w:rPr>
        <w:t>on</w:t>
      </w:r>
      <w:r w:rsidRPr="00AE2FC0">
        <w:rPr>
          <w:i/>
          <w:iCs/>
          <w:sz w:val="16"/>
          <w:szCs w:val="16"/>
        </w:rPr>
        <w:t xml:space="preserve"> Find a Tender Service</w:t>
      </w:r>
      <w:r w:rsidRPr="00974A15">
        <w:rPr>
          <w:sz w:val="16"/>
          <w:szCs w:val="16"/>
        </w:rPr>
        <w:t>, 8 July 2025</w:t>
      </w:r>
      <w:r w:rsidR="00752264">
        <w:rPr>
          <w:sz w:val="16"/>
          <w:szCs w:val="16"/>
        </w:rPr>
        <w:t>.</w:t>
      </w:r>
    </w:p>
  </w:footnote>
  <w:footnote w:id="18">
    <w:p w14:paraId="300B6995" w14:textId="77920AC6" w:rsidR="001A2DB4" w:rsidRPr="004D01E9" w:rsidRDefault="001A2DB4">
      <w:pPr>
        <w:pStyle w:val="FootnoteText"/>
        <w:rPr>
          <w:sz w:val="16"/>
          <w:szCs w:val="16"/>
        </w:rPr>
      </w:pPr>
      <w:r w:rsidRPr="004D01E9">
        <w:rPr>
          <w:rStyle w:val="FootnoteReference"/>
          <w:sz w:val="16"/>
          <w:szCs w:val="16"/>
        </w:rPr>
        <w:footnoteRef/>
      </w:r>
      <w:r w:rsidRPr="004D01E9">
        <w:rPr>
          <w:sz w:val="16"/>
          <w:szCs w:val="16"/>
        </w:rPr>
        <w:t xml:space="preserve"> NHS England, </w:t>
      </w:r>
      <w:r w:rsidRPr="004D01E9">
        <w:rPr>
          <w:i/>
          <w:iCs/>
          <w:sz w:val="16"/>
          <w:szCs w:val="16"/>
        </w:rPr>
        <w:t>The Provider Selection Regime: statutory guidance</w:t>
      </w:r>
      <w:r w:rsidRPr="004D01E9">
        <w:rPr>
          <w:sz w:val="16"/>
          <w:szCs w:val="16"/>
        </w:rPr>
        <w:t>, 21 February 2024, p.2.</w:t>
      </w:r>
    </w:p>
  </w:footnote>
  <w:footnote w:id="19">
    <w:p w14:paraId="7771282B" w14:textId="379ACA14" w:rsidR="001A2DB4" w:rsidRPr="004D01E9" w:rsidRDefault="001A2DB4">
      <w:pPr>
        <w:pStyle w:val="FootnoteText"/>
        <w:rPr>
          <w:sz w:val="16"/>
          <w:szCs w:val="16"/>
        </w:rPr>
      </w:pPr>
      <w:r w:rsidRPr="004D01E9">
        <w:rPr>
          <w:rStyle w:val="FootnoteReference"/>
          <w:sz w:val="16"/>
          <w:szCs w:val="16"/>
        </w:rPr>
        <w:footnoteRef/>
      </w:r>
      <w:r w:rsidRPr="004D01E9">
        <w:rPr>
          <w:sz w:val="16"/>
          <w:szCs w:val="16"/>
        </w:rPr>
        <w:t xml:space="preserve"> The PSR Statutory Guidance was updated in April 2025. However, references to the Statutory Guidance in this report are to the February 20</w:t>
      </w:r>
      <w:r w:rsidR="007E2AD7" w:rsidRPr="004D01E9">
        <w:rPr>
          <w:sz w:val="16"/>
          <w:szCs w:val="16"/>
        </w:rPr>
        <w:t>2</w:t>
      </w:r>
      <w:r w:rsidRPr="004D01E9">
        <w:rPr>
          <w:sz w:val="16"/>
          <w:szCs w:val="16"/>
        </w:rPr>
        <w:t xml:space="preserve">4 guidance as this was the version in force during this provider selection process. </w:t>
      </w:r>
    </w:p>
  </w:footnote>
  <w:footnote w:id="20">
    <w:p w14:paraId="1E048EC1" w14:textId="278C1429" w:rsidR="00FC7771" w:rsidRPr="00EF7727" w:rsidRDefault="00FC7771">
      <w:pPr>
        <w:pStyle w:val="FootnoteText"/>
        <w:rPr>
          <w:sz w:val="16"/>
          <w:szCs w:val="16"/>
        </w:rPr>
      </w:pPr>
      <w:r w:rsidRPr="00EF7727">
        <w:rPr>
          <w:rStyle w:val="FootnoteReference"/>
          <w:sz w:val="16"/>
          <w:szCs w:val="16"/>
        </w:rPr>
        <w:footnoteRef/>
      </w:r>
      <w:r w:rsidRPr="00EF7727">
        <w:rPr>
          <w:sz w:val="16"/>
          <w:szCs w:val="16"/>
        </w:rPr>
        <w:t xml:space="preserve"> </w:t>
      </w:r>
      <w:r w:rsidRPr="00FC7771">
        <w:rPr>
          <w:sz w:val="16"/>
          <w:szCs w:val="16"/>
        </w:rPr>
        <w:t xml:space="preserve">Haddenham, </w:t>
      </w:r>
      <w:r w:rsidRPr="00FC7771">
        <w:rPr>
          <w:i/>
          <w:iCs/>
          <w:sz w:val="16"/>
          <w:szCs w:val="16"/>
        </w:rPr>
        <w:t>Representations to BOB ICB</w:t>
      </w:r>
      <w:r w:rsidRPr="00FC7771">
        <w:rPr>
          <w:sz w:val="16"/>
          <w:szCs w:val="16"/>
        </w:rPr>
        <w:t>, 28 April 2025.</w:t>
      </w:r>
    </w:p>
  </w:footnote>
  <w:footnote w:id="21">
    <w:p w14:paraId="1E33C605" w14:textId="11C899F0" w:rsidR="00317605" w:rsidRPr="002044FB" w:rsidRDefault="00317605">
      <w:pPr>
        <w:pStyle w:val="FootnoteText"/>
        <w:rPr>
          <w:sz w:val="16"/>
          <w:szCs w:val="16"/>
        </w:rPr>
      </w:pPr>
      <w:r w:rsidRPr="002044FB">
        <w:rPr>
          <w:rStyle w:val="FootnoteReference"/>
          <w:sz w:val="16"/>
          <w:szCs w:val="16"/>
        </w:rPr>
        <w:footnoteRef/>
      </w:r>
      <w:r w:rsidRPr="002044FB">
        <w:rPr>
          <w:sz w:val="16"/>
          <w:szCs w:val="16"/>
        </w:rPr>
        <w:t xml:space="preserve"> SCW CSU supported BOB ICB in carrying out the procurement.</w:t>
      </w:r>
    </w:p>
  </w:footnote>
  <w:footnote w:id="22">
    <w:p w14:paraId="4AED9367" w14:textId="2F00359B" w:rsidR="00CB3F11" w:rsidRPr="00C811C5" w:rsidRDefault="00CB3F11" w:rsidP="00CB3F11">
      <w:pPr>
        <w:pStyle w:val="FootnoteText"/>
        <w:rPr>
          <w:sz w:val="16"/>
          <w:szCs w:val="16"/>
        </w:rPr>
      </w:pPr>
      <w:r w:rsidRPr="00C811C5">
        <w:rPr>
          <w:rStyle w:val="FootnoteReference"/>
          <w:sz w:val="16"/>
          <w:szCs w:val="16"/>
        </w:rPr>
        <w:footnoteRef/>
      </w:r>
      <w:r w:rsidRPr="00C811C5">
        <w:rPr>
          <w:sz w:val="16"/>
          <w:szCs w:val="16"/>
        </w:rPr>
        <w:t xml:space="preserve"> </w:t>
      </w:r>
      <w:r w:rsidR="008F5C09">
        <w:rPr>
          <w:sz w:val="16"/>
          <w:szCs w:val="16"/>
        </w:rPr>
        <w:t xml:space="preserve">Panel meeting with </w:t>
      </w:r>
      <w:r w:rsidRPr="00C811C5">
        <w:rPr>
          <w:sz w:val="16"/>
          <w:szCs w:val="16"/>
        </w:rPr>
        <w:t xml:space="preserve">BOB ICB, </w:t>
      </w:r>
      <w:r>
        <w:rPr>
          <w:sz w:val="16"/>
          <w:szCs w:val="16"/>
        </w:rPr>
        <w:t>17 October 2025; BOB ICB Response to Panel questions, 7 November 2025.</w:t>
      </w:r>
    </w:p>
  </w:footnote>
  <w:footnote w:id="23">
    <w:p w14:paraId="173CC5D7" w14:textId="654B4E01" w:rsidR="00CB3F11" w:rsidRPr="00C811C5" w:rsidRDefault="00CB3F11" w:rsidP="00CB3F11">
      <w:pPr>
        <w:pStyle w:val="FootnoteText"/>
        <w:rPr>
          <w:sz w:val="16"/>
          <w:szCs w:val="16"/>
        </w:rPr>
      </w:pPr>
      <w:r w:rsidRPr="00C811C5">
        <w:rPr>
          <w:rStyle w:val="FootnoteReference"/>
          <w:sz w:val="16"/>
          <w:szCs w:val="16"/>
        </w:rPr>
        <w:footnoteRef/>
      </w:r>
      <w:r w:rsidRPr="00C811C5">
        <w:rPr>
          <w:sz w:val="16"/>
          <w:szCs w:val="16"/>
        </w:rPr>
        <w:t xml:space="preserve"> </w:t>
      </w:r>
      <w:r w:rsidR="008F5C09">
        <w:rPr>
          <w:sz w:val="16"/>
          <w:szCs w:val="16"/>
        </w:rPr>
        <w:t xml:space="preserve">Panel meeting with </w:t>
      </w:r>
      <w:r w:rsidRPr="00C811C5">
        <w:rPr>
          <w:sz w:val="16"/>
          <w:szCs w:val="16"/>
        </w:rPr>
        <w:t xml:space="preserve">BOB ICB, </w:t>
      </w:r>
      <w:r>
        <w:rPr>
          <w:sz w:val="16"/>
          <w:szCs w:val="16"/>
        </w:rPr>
        <w:t>17 October 2025.</w:t>
      </w:r>
      <w:r w:rsidR="00B576E5">
        <w:rPr>
          <w:sz w:val="16"/>
          <w:szCs w:val="16"/>
        </w:rPr>
        <w:t xml:space="preserve"> (The Panel meeting with BOB ICB on 17 October 2025 included representatives from both BOB ICB and SCW CSU. </w:t>
      </w:r>
      <w:r w:rsidR="00E35DB9">
        <w:rPr>
          <w:sz w:val="16"/>
          <w:szCs w:val="16"/>
        </w:rPr>
        <w:t>As representatives from SCW CSU were appearing as part of the team that carried out the provider selection process on behalf of BOB ICB, all comments at this meeting are attributed to BOB ICB regardless of whether they were made by individual employees of BOB ICB or SCW CSU.</w:t>
      </w:r>
    </w:p>
  </w:footnote>
  <w:footnote w:id="24">
    <w:p w14:paraId="117E8068" w14:textId="10C70134" w:rsidR="00CB3F11" w:rsidRPr="00C811C5" w:rsidRDefault="00CB3F11" w:rsidP="00CB3F11">
      <w:pPr>
        <w:pStyle w:val="FootnoteText"/>
        <w:rPr>
          <w:sz w:val="16"/>
          <w:szCs w:val="16"/>
        </w:rPr>
      </w:pPr>
      <w:r w:rsidRPr="00C811C5">
        <w:rPr>
          <w:rStyle w:val="FootnoteReference"/>
          <w:sz w:val="16"/>
          <w:szCs w:val="16"/>
        </w:rPr>
        <w:footnoteRef/>
      </w:r>
      <w:r w:rsidRPr="00C811C5">
        <w:rPr>
          <w:sz w:val="16"/>
          <w:szCs w:val="16"/>
        </w:rPr>
        <w:t xml:space="preserve"> </w:t>
      </w:r>
      <w:r w:rsidR="00D54BEF">
        <w:rPr>
          <w:sz w:val="16"/>
          <w:szCs w:val="16"/>
        </w:rPr>
        <w:t xml:space="preserve">Panel meeting with </w:t>
      </w:r>
      <w:r w:rsidRPr="00C811C5">
        <w:rPr>
          <w:sz w:val="16"/>
          <w:szCs w:val="16"/>
        </w:rPr>
        <w:t xml:space="preserve">BOB ICB, </w:t>
      </w:r>
      <w:r>
        <w:rPr>
          <w:sz w:val="16"/>
          <w:szCs w:val="16"/>
        </w:rPr>
        <w:t>17 October 2025. (BOB ICB also addresse</w:t>
      </w:r>
      <w:r w:rsidR="006611AC">
        <w:rPr>
          <w:sz w:val="16"/>
          <w:szCs w:val="16"/>
        </w:rPr>
        <w:t>d</w:t>
      </w:r>
      <w:r>
        <w:rPr>
          <w:sz w:val="16"/>
          <w:szCs w:val="16"/>
        </w:rPr>
        <w:t xml:space="preserve"> this point in its response to Panel questions, dated 7 November 2025.)</w:t>
      </w:r>
    </w:p>
  </w:footnote>
  <w:footnote w:id="25">
    <w:p w14:paraId="3D10CB35" w14:textId="68049674" w:rsidR="00CB3F11" w:rsidRPr="00C811C5" w:rsidRDefault="00CB3F11" w:rsidP="00CB3F11">
      <w:pPr>
        <w:pStyle w:val="FootnoteText"/>
        <w:rPr>
          <w:sz w:val="16"/>
          <w:szCs w:val="16"/>
        </w:rPr>
      </w:pPr>
      <w:r w:rsidRPr="00C811C5">
        <w:rPr>
          <w:rStyle w:val="FootnoteReference"/>
          <w:sz w:val="16"/>
          <w:szCs w:val="16"/>
        </w:rPr>
        <w:footnoteRef/>
      </w:r>
      <w:r w:rsidRPr="00C811C5">
        <w:rPr>
          <w:sz w:val="16"/>
          <w:szCs w:val="16"/>
        </w:rPr>
        <w:t xml:space="preserve"> </w:t>
      </w:r>
      <w:r w:rsidR="00E312BD">
        <w:rPr>
          <w:sz w:val="16"/>
          <w:szCs w:val="16"/>
        </w:rPr>
        <w:t xml:space="preserve">Panel meeting with </w:t>
      </w:r>
      <w:r w:rsidRPr="00C811C5">
        <w:rPr>
          <w:sz w:val="16"/>
          <w:szCs w:val="16"/>
        </w:rPr>
        <w:t xml:space="preserve">BOB ICB, </w:t>
      </w:r>
      <w:r>
        <w:rPr>
          <w:sz w:val="16"/>
          <w:szCs w:val="16"/>
        </w:rPr>
        <w:t>17 October 2025.</w:t>
      </w:r>
    </w:p>
  </w:footnote>
  <w:footnote w:id="26">
    <w:p w14:paraId="48507749" w14:textId="5C2E59C8" w:rsidR="00CB3F11" w:rsidRPr="00DF0A42" w:rsidRDefault="00CB3F11" w:rsidP="00CB3F11">
      <w:pPr>
        <w:pStyle w:val="FootnoteText"/>
        <w:rPr>
          <w:sz w:val="16"/>
          <w:szCs w:val="16"/>
        </w:rPr>
      </w:pPr>
      <w:r w:rsidRPr="00DF0A42">
        <w:rPr>
          <w:rStyle w:val="FootnoteReference"/>
          <w:sz w:val="16"/>
          <w:szCs w:val="16"/>
        </w:rPr>
        <w:footnoteRef/>
      </w:r>
      <w:r w:rsidRPr="00DF0A42">
        <w:rPr>
          <w:sz w:val="16"/>
          <w:szCs w:val="16"/>
        </w:rPr>
        <w:t xml:space="preserve"> BOB ICB</w:t>
      </w:r>
      <w:r w:rsidR="00E312BD">
        <w:rPr>
          <w:sz w:val="16"/>
          <w:szCs w:val="16"/>
        </w:rPr>
        <w:t>,</w:t>
      </w:r>
      <w:r w:rsidRPr="00DF0A42">
        <w:rPr>
          <w:sz w:val="16"/>
          <w:szCs w:val="16"/>
        </w:rPr>
        <w:t xml:space="preserve"> </w:t>
      </w:r>
      <w:r w:rsidRPr="00ED61DB">
        <w:rPr>
          <w:i/>
          <w:sz w:val="16"/>
          <w:szCs w:val="16"/>
        </w:rPr>
        <w:t>Response to Panel questions</w:t>
      </w:r>
      <w:r w:rsidRPr="00DF0A42">
        <w:rPr>
          <w:sz w:val="16"/>
          <w:szCs w:val="16"/>
        </w:rPr>
        <w:t>, 7 November 2025.</w:t>
      </w:r>
    </w:p>
  </w:footnote>
  <w:footnote w:id="27">
    <w:p w14:paraId="5844EAF9" w14:textId="6FCC2B60" w:rsidR="00217D72" w:rsidRPr="002F4686" w:rsidRDefault="00217D72">
      <w:pPr>
        <w:pStyle w:val="FootnoteText"/>
        <w:rPr>
          <w:sz w:val="16"/>
          <w:szCs w:val="16"/>
        </w:rPr>
      </w:pPr>
      <w:r w:rsidRPr="002F4686">
        <w:rPr>
          <w:rStyle w:val="FootnoteReference"/>
          <w:sz w:val="16"/>
          <w:szCs w:val="16"/>
        </w:rPr>
        <w:footnoteRef/>
      </w:r>
      <w:r w:rsidRPr="002F4686">
        <w:rPr>
          <w:sz w:val="16"/>
          <w:szCs w:val="16"/>
        </w:rPr>
        <w:t xml:space="preserve"> </w:t>
      </w:r>
      <w:r w:rsidR="002F4686" w:rsidRPr="002F4686">
        <w:rPr>
          <w:sz w:val="16"/>
          <w:szCs w:val="16"/>
        </w:rPr>
        <w:t>The re-evaluation was carried out for the five bidders that submitted compliant bids (see footnote 11).</w:t>
      </w:r>
    </w:p>
  </w:footnote>
  <w:footnote w:id="28">
    <w:p w14:paraId="4B5F4CC7" w14:textId="15956172" w:rsidR="006E6F49" w:rsidRPr="00C811C5" w:rsidRDefault="006E6F49" w:rsidP="006E6F49">
      <w:pPr>
        <w:pStyle w:val="FootnoteText"/>
        <w:rPr>
          <w:sz w:val="16"/>
          <w:szCs w:val="16"/>
        </w:rPr>
      </w:pPr>
      <w:r w:rsidRPr="00C811C5">
        <w:rPr>
          <w:rStyle w:val="FootnoteReference"/>
          <w:sz w:val="16"/>
          <w:szCs w:val="16"/>
        </w:rPr>
        <w:footnoteRef/>
      </w:r>
      <w:r w:rsidRPr="00C811C5">
        <w:rPr>
          <w:sz w:val="16"/>
          <w:szCs w:val="16"/>
        </w:rPr>
        <w:t xml:space="preserve"> </w:t>
      </w:r>
      <w:r w:rsidR="00E312BD">
        <w:rPr>
          <w:sz w:val="16"/>
          <w:szCs w:val="16"/>
        </w:rPr>
        <w:t xml:space="preserve">Panel meeting with </w:t>
      </w:r>
      <w:r w:rsidRPr="00C811C5">
        <w:rPr>
          <w:sz w:val="16"/>
          <w:szCs w:val="16"/>
        </w:rPr>
        <w:t xml:space="preserve">BOB ICB, </w:t>
      </w:r>
      <w:r>
        <w:rPr>
          <w:sz w:val="16"/>
          <w:szCs w:val="16"/>
        </w:rPr>
        <w:t>17 October 2025.</w:t>
      </w:r>
    </w:p>
  </w:footnote>
  <w:footnote w:id="29">
    <w:p w14:paraId="4B3B555F" w14:textId="41C6E821" w:rsidR="00E869FD" w:rsidRPr="00E869FD" w:rsidRDefault="00E869FD">
      <w:pPr>
        <w:pStyle w:val="FootnoteText"/>
        <w:rPr>
          <w:sz w:val="16"/>
          <w:szCs w:val="16"/>
        </w:rPr>
      </w:pPr>
      <w:r w:rsidRPr="00E869FD">
        <w:rPr>
          <w:rStyle w:val="FootnoteReference"/>
          <w:sz w:val="16"/>
          <w:szCs w:val="16"/>
        </w:rPr>
        <w:footnoteRef/>
      </w:r>
      <w:r w:rsidRPr="00E869FD">
        <w:rPr>
          <w:sz w:val="16"/>
          <w:szCs w:val="16"/>
        </w:rPr>
        <w:t xml:space="preserve"> </w:t>
      </w:r>
      <w:r w:rsidR="00AB78A2">
        <w:rPr>
          <w:sz w:val="16"/>
          <w:szCs w:val="16"/>
        </w:rPr>
        <w:t xml:space="preserve">BOB ICB, </w:t>
      </w:r>
      <w:r w:rsidR="0093179B">
        <w:rPr>
          <w:i/>
          <w:iCs/>
          <w:sz w:val="16"/>
          <w:szCs w:val="16"/>
        </w:rPr>
        <w:t>e</w:t>
      </w:r>
      <w:r w:rsidR="003B46DA" w:rsidRPr="00213633">
        <w:rPr>
          <w:i/>
          <w:iCs/>
          <w:sz w:val="16"/>
          <w:szCs w:val="16"/>
        </w:rPr>
        <w:t xml:space="preserve">-correspondence </w:t>
      </w:r>
      <w:r w:rsidR="00AB78A2" w:rsidRPr="00213633">
        <w:rPr>
          <w:i/>
          <w:iCs/>
          <w:sz w:val="16"/>
          <w:szCs w:val="16"/>
        </w:rPr>
        <w:t xml:space="preserve">to </w:t>
      </w:r>
      <w:r w:rsidR="00C12122" w:rsidRPr="00213633">
        <w:rPr>
          <w:i/>
          <w:iCs/>
          <w:sz w:val="16"/>
          <w:szCs w:val="16"/>
        </w:rPr>
        <w:t>bidders</w:t>
      </w:r>
      <w:r w:rsidR="00EA0AD3">
        <w:rPr>
          <w:sz w:val="16"/>
          <w:szCs w:val="16"/>
        </w:rPr>
        <w:t>, 8 May 2025.</w:t>
      </w:r>
    </w:p>
  </w:footnote>
  <w:footnote w:id="30">
    <w:p w14:paraId="3E1CBB89" w14:textId="77777777" w:rsidR="001352E2" w:rsidRPr="00E869FD" w:rsidRDefault="001352E2" w:rsidP="001352E2">
      <w:pPr>
        <w:pStyle w:val="FootnoteText"/>
        <w:rPr>
          <w:sz w:val="16"/>
          <w:szCs w:val="16"/>
        </w:rPr>
      </w:pPr>
      <w:r w:rsidRPr="00E869FD">
        <w:rPr>
          <w:rStyle w:val="FootnoteReference"/>
          <w:sz w:val="16"/>
          <w:szCs w:val="16"/>
        </w:rPr>
        <w:footnoteRef/>
      </w:r>
      <w:r w:rsidRPr="00E869FD">
        <w:rPr>
          <w:sz w:val="16"/>
          <w:szCs w:val="16"/>
        </w:rPr>
        <w:t xml:space="preserve"> BOB ICB, </w:t>
      </w:r>
      <w:r w:rsidRPr="00E869FD">
        <w:rPr>
          <w:i/>
          <w:iCs/>
          <w:sz w:val="16"/>
          <w:szCs w:val="16"/>
        </w:rPr>
        <w:t>Full Representations Review Appendix</w:t>
      </w:r>
      <w:r w:rsidRPr="00E869FD">
        <w:rPr>
          <w:sz w:val="16"/>
          <w:szCs w:val="16"/>
        </w:rPr>
        <w:t>, 8 September 2025.</w:t>
      </w:r>
    </w:p>
  </w:footnote>
  <w:footnote w:id="31">
    <w:p w14:paraId="452BD05B" w14:textId="1CED91DC" w:rsidR="00452242" w:rsidRPr="00C811C5" w:rsidRDefault="00452242" w:rsidP="00452242">
      <w:pPr>
        <w:pStyle w:val="FootnoteText"/>
        <w:rPr>
          <w:sz w:val="16"/>
          <w:szCs w:val="16"/>
        </w:rPr>
      </w:pPr>
      <w:r w:rsidRPr="00C811C5">
        <w:rPr>
          <w:rStyle w:val="FootnoteReference"/>
          <w:sz w:val="16"/>
          <w:szCs w:val="16"/>
        </w:rPr>
        <w:footnoteRef/>
      </w:r>
      <w:r w:rsidRPr="00C811C5">
        <w:rPr>
          <w:sz w:val="16"/>
          <w:szCs w:val="16"/>
        </w:rPr>
        <w:t xml:space="preserve"> </w:t>
      </w:r>
      <w:r w:rsidR="00381449">
        <w:rPr>
          <w:sz w:val="16"/>
          <w:szCs w:val="16"/>
        </w:rPr>
        <w:t xml:space="preserve">Panel meeting with </w:t>
      </w:r>
      <w:r w:rsidRPr="00C811C5">
        <w:rPr>
          <w:sz w:val="16"/>
          <w:szCs w:val="16"/>
        </w:rPr>
        <w:t xml:space="preserve">BOB ICB, </w:t>
      </w:r>
      <w:r>
        <w:rPr>
          <w:sz w:val="16"/>
          <w:szCs w:val="16"/>
        </w:rPr>
        <w:t>17 October 2025.</w:t>
      </w:r>
    </w:p>
  </w:footnote>
  <w:footnote w:id="32">
    <w:p w14:paraId="3CE50D7F" w14:textId="6A2943E6" w:rsidR="00452242" w:rsidRPr="00C811C5" w:rsidRDefault="00452242" w:rsidP="00452242">
      <w:pPr>
        <w:pStyle w:val="FootnoteText"/>
        <w:rPr>
          <w:sz w:val="16"/>
          <w:szCs w:val="16"/>
        </w:rPr>
      </w:pPr>
      <w:r w:rsidRPr="00C811C5">
        <w:rPr>
          <w:rStyle w:val="FootnoteReference"/>
          <w:sz w:val="16"/>
          <w:szCs w:val="16"/>
        </w:rPr>
        <w:footnoteRef/>
      </w:r>
      <w:r w:rsidRPr="00C811C5">
        <w:rPr>
          <w:sz w:val="16"/>
          <w:szCs w:val="16"/>
        </w:rPr>
        <w:t xml:space="preserve"> </w:t>
      </w:r>
      <w:r w:rsidR="00381449">
        <w:rPr>
          <w:sz w:val="16"/>
          <w:szCs w:val="16"/>
        </w:rPr>
        <w:t xml:space="preserve">Panel meeting with </w:t>
      </w:r>
      <w:r>
        <w:rPr>
          <w:sz w:val="16"/>
          <w:szCs w:val="16"/>
        </w:rPr>
        <w:t>Bloxdent</w:t>
      </w:r>
      <w:r w:rsidRPr="00C811C5">
        <w:rPr>
          <w:sz w:val="16"/>
          <w:szCs w:val="16"/>
        </w:rPr>
        <w:t xml:space="preserve">, </w:t>
      </w:r>
      <w:r>
        <w:rPr>
          <w:sz w:val="16"/>
          <w:szCs w:val="16"/>
        </w:rPr>
        <w:t>14 October 2025.</w:t>
      </w:r>
    </w:p>
  </w:footnote>
  <w:footnote w:id="33">
    <w:p w14:paraId="69E471BE" w14:textId="77777777" w:rsidR="005006AA" w:rsidRPr="00C3726F" w:rsidRDefault="005006AA" w:rsidP="005006AA">
      <w:pPr>
        <w:pStyle w:val="FootnoteText"/>
        <w:rPr>
          <w:sz w:val="16"/>
          <w:szCs w:val="16"/>
        </w:rPr>
      </w:pPr>
      <w:r w:rsidRPr="00C3726F">
        <w:rPr>
          <w:rStyle w:val="FootnoteReference"/>
          <w:sz w:val="16"/>
          <w:szCs w:val="16"/>
        </w:rPr>
        <w:footnoteRef/>
      </w:r>
      <w:r w:rsidRPr="00C3726F">
        <w:rPr>
          <w:sz w:val="16"/>
          <w:szCs w:val="16"/>
        </w:rPr>
        <w:t xml:space="preserve"> Bloxdent, </w:t>
      </w:r>
      <w:r w:rsidRPr="00C3726F">
        <w:rPr>
          <w:i/>
          <w:sz w:val="16"/>
          <w:szCs w:val="16"/>
        </w:rPr>
        <w:t>Representations letter to BOB ICB</w:t>
      </w:r>
      <w:r w:rsidRPr="00C3726F">
        <w:rPr>
          <w:sz w:val="16"/>
          <w:szCs w:val="16"/>
        </w:rPr>
        <w:t>, 16 July 2025.</w:t>
      </w:r>
    </w:p>
  </w:footnote>
  <w:footnote w:id="34">
    <w:p w14:paraId="7BEC6D4F" w14:textId="77777777" w:rsidR="005006AA" w:rsidRPr="00C3726F" w:rsidRDefault="005006AA" w:rsidP="005006AA">
      <w:pPr>
        <w:pStyle w:val="FootnoteText"/>
        <w:rPr>
          <w:sz w:val="16"/>
          <w:szCs w:val="16"/>
        </w:rPr>
      </w:pPr>
      <w:r w:rsidRPr="00C3726F">
        <w:rPr>
          <w:rStyle w:val="FootnoteReference"/>
          <w:sz w:val="16"/>
          <w:szCs w:val="16"/>
        </w:rPr>
        <w:footnoteRef/>
      </w:r>
      <w:r w:rsidRPr="00C3726F">
        <w:rPr>
          <w:sz w:val="16"/>
          <w:szCs w:val="16"/>
        </w:rPr>
        <w:t xml:space="preserve"> Bloxdent, </w:t>
      </w:r>
      <w:r w:rsidRPr="00C3726F">
        <w:rPr>
          <w:i/>
          <w:sz w:val="16"/>
          <w:szCs w:val="16"/>
        </w:rPr>
        <w:t>Representations letter to BOB ICB</w:t>
      </w:r>
      <w:r w:rsidRPr="00C3726F">
        <w:rPr>
          <w:sz w:val="16"/>
          <w:szCs w:val="16"/>
        </w:rPr>
        <w:t>, 30 July 2025.</w:t>
      </w:r>
    </w:p>
  </w:footnote>
  <w:footnote w:id="35">
    <w:p w14:paraId="1CF3FD14" w14:textId="54428C7F" w:rsidR="00BC1422" w:rsidRPr="004556BA" w:rsidRDefault="00BC1422">
      <w:pPr>
        <w:pStyle w:val="FootnoteText"/>
        <w:rPr>
          <w:sz w:val="16"/>
          <w:szCs w:val="16"/>
        </w:rPr>
      </w:pPr>
      <w:r w:rsidRPr="004556BA">
        <w:rPr>
          <w:rStyle w:val="FootnoteReference"/>
          <w:sz w:val="16"/>
          <w:szCs w:val="16"/>
        </w:rPr>
        <w:footnoteRef/>
      </w:r>
      <w:r w:rsidRPr="004556BA">
        <w:rPr>
          <w:sz w:val="16"/>
          <w:szCs w:val="16"/>
        </w:rPr>
        <w:t xml:space="preserve"> Bloxdent, </w:t>
      </w:r>
      <w:r w:rsidRPr="004556BA">
        <w:rPr>
          <w:i/>
          <w:sz w:val="16"/>
          <w:szCs w:val="16"/>
        </w:rPr>
        <w:t>Representations to BOB ICB</w:t>
      </w:r>
      <w:r w:rsidRPr="004556BA">
        <w:rPr>
          <w:sz w:val="16"/>
          <w:szCs w:val="16"/>
        </w:rPr>
        <w:t xml:space="preserve">, </w:t>
      </w:r>
      <w:r w:rsidR="00AB5A4C">
        <w:rPr>
          <w:sz w:val="16"/>
          <w:szCs w:val="16"/>
        </w:rPr>
        <w:t>16 and 30 July 2025</w:t>
      </w:r>
      <w:r w:rsidR="00667337">
        <w:rPr>
          <w:sz w:val="16"/>
          <w:szCs w:val="16"/>
        </w:rPr>
        <w:t>.</w:t>
      </w:r>
    </w:p>
  </w:footnote>
  <w:footnote w:id="36">
    <w:p w14:paraId="1E7965FA" w14:textId="77777777" w:rsidR="002A07B3" w:rsidRPr="008362E7" w:rsidRDefault="002A07B3" w:rsidP="002A07B3">
      <w:pPr>
        <w:pStyle w:val="FootnoteText"/>
        <w:rPr>
          <w:sz w:val="16"/>
          <w:szCs w:val="16"/>
        </w:rPr>
      </w:pPr>
      <w:r w:rsidRPr="008362E7">
        <w:rPr>
          <w:rStyle w:val="FootnoteReference"/>
          <w:sz w:val="16"/>
          <w:szCs w:val="16"/>
        </w:rPr>
        <w:footnoteRef/>
      </w:r>
      <w:r w:rsidRPr="008362E7">
        <w:rPr>
          <w:sz w:val="16"/>
          <w:szCs w:val="16"/>
        </w:rPr>
        <w:t xml:space="preserve"> All references to the “Local Representation Panel” in this report use its full name, while references to the Panel refer to the Case Panel from the Independent Panel on Patient Choice and Procurement that has conducted the review which is the subject of this report.</w:t>
      </w:r>
    </w:p>
  </w:footnote>
  <w:footnote w:id="37">
    <w:p w14:paraId="3249DA19" w14:textId="77777777" w:rsidR="002A07B3" w:rsidRPr="005B2F80" w:rsidRDefault="002A07B3" w:rsidP="002A07B3">
      <w:pPr>
        <w:pStyle w:val="FootnoteText"/>
        <w:rPr>
          <w:sz w:val="16"/>
          <w:szCs w:val="16"/>
        </w:rPr>
      </w:pPr>
      <w:r w:rsidRPr="005B2F80">
        <w:rPr>
          <w:rStyle w:val="FootnoteReference"/>
          <w:sz w:val="16"/>
          <w:szCs w:val="16"/>
        </w:rPr>
        <w:footnoteRef/>
      </w:r>
      <w:r w:rsidRPr="005B2F80">
        <w:rPr>
          <w:sz w:val="16"/>
          <w:szCs w:val="16"/>
        </w:rPr>
        <w:t xml:space="preserve"> </w:t>
      </w:r>
      <w:r w:rsidRPr="005B2F80">
        <w:rPr>
          <w:sz w:val="16"/>
          <w:szCs w:val="16"/>
          <w:lang w:eastAsia="en-GB"/>
        </w:rPr>
        <w:t xml:space="preserve">“The ICB established a Local Representation Group as required by the Regulations, including at least one member that had no presence in the original procurement. Other members were taken from relevant commissioners and procurement staff to ensure a detailed understanding of the process that was undertaken. Bloxdent was provided the disclosure requested and was given an opportunity to further clarify their representation” (BOB ICB, </w:t>
      </w:r>
      <w:r w:rsidRPr="00112EC4">
        <w:rPr>
          <w:i/>
          <w:sz w:val="16"/>
          <w:szCs w:val="16"/>
        </w:rPr>
        <w:t>Response to Panel questions</w:t>
      </w:r>
      <w:r>
        <w:rPr>
          <w:sz w:val="16"/>
          <w:szCs w:val="16"/>
        </w:rPr>
        <w:t>, 25 September 2025</w:t>
      </w:r>
      <w:r w:rsidRPr="005B2F80">
        <w:rPr>
          <w:sz w:val="16"/>
          <w:szCs w:val="16"/>
        </w:rPr>
        <w:t>).</w:t>
      </w:r>
    </w:p>
  </w:footnote>
  <w:footnote w:id="38">
    <w:p w14:paraId="5640C659" w14:textId="0C292FF8" w:rsidR="002A07B3" w:rsidRPr="00112EC4" w:rsidRDefault="002A07B3" w:rsidP="002A07B3">
      <w:pPr>
        <w:pStyle w:val="FootnoteText"/>
        <w:rPr>
          <w:sz w:val="16"/>
          <w:szCs w:val="16"/>
        </w:rPr>
      </w:pPr>
      <w:r w:rsidRPr="00112EC4">
        <w:rPr>
          <w:rStyle w:val="FootnoteReference"/>
          <w:sz w:val="16"/>
          <w:szCs w:val="16"/>
        </w:rPr>
        <w:footnoteRef/>
      </w:r>
      <w:r w:rsidRPr="00112EC4">
        <w:rPr>
          <w:sz w:val="16"/>
          <w:szCs w:val="16"/>
        </w:rPr>
        <w:t xml:space="preserve"> The PSR statutory guidance states that commissioners “should ensure that appropriate internal governance mechanisms are in place to deal with representations made against provider selection decisions. To this end, relevant authorities should, where possible, ensure that decisions are reviewed by individuals not involved in the original decision. Where this is not possible, relevant authorities should ensure that at least one individual not involved in the original decision is included in the review process”</w:t>
      </w:r>
      <w:r>
        <w:rPr>
          <w:sz w:val="16"/>
          <w:szCs w:val="16"/>
        </w:rPr>
        <w:t xml:space="preserve"> (p.33).</w:t>
      </w:r>
    </w:p>
  </w:footnote>
  <w:footnote w:id="39">
    <w:p w14:paraId="1FD0E0D8" w14:textId="77777777" w:rsidR="002A07B3" w:rsidRPr="00496E33" w:rsidRDefault="002A07B3" w:rsidP="002A07B3">
      <w:pPr>
        <w:pStyle w:val="FootnoteText"/>
        <w:rPr>
          <w:sz w:val="16"/>
          <w:szCs w:val="16"/>
        </w:rPr>
      </w:pPr>
      <w:r w:rsidRPr="00496E33">
        <w:rPr>
          <w:rStyle w:val="FootnoteReference"/>
          <w:sz w:val="16"/>
          <w:szCs w:val="16"/>
        </w:rPr>
        <w:footnoteRef/>
      </w:r>
      <w:r w:rsidRPr="00496E33">
        <w:rPr>
          <w:sz w:val="16"/>
          <w:szCs w:val="16"/>
        </w:rPr>
        <w:t xml:space="preserve"> </w:t>
      </w:r>
      <w:r w:rsidRPr="00496E33">
        <w:rPr>
          <w:sz w:val="16"/>
          <w:szCs w:val="16"/>
          <w:lang w:eastAsia="en-GB"/>
        </w:rPr>
        <w:t>“In a stretched NHS, we do choose to make decisions and record the outcome directly into relevant documents, which is then passed through the appropriate governance route” (</w:t>
      </w:r>
      <w:r w:rsidRPr="00496E33">
        <w:rPr>
          <w:sz w:val="16"/>
          <w:szCs w:val="16"/>
        </w:rPr>
        <w:t xml:space="preserve">BOB ICB, </w:t>
      </w:r>
      <w:r w:rsidRPr="00496E33">
        <w:rPr>
          <w:i/>
          <w:sz w:val="16"/>
          <w:szCs w:val="16"/>
        </w:rPr>
        <w:t>Response to Panel questions</w:t>
      </w:r>
      <w:r w:rsidRPr="00496E33">
        <w:rPr>
          <w:sz w:val="16"/>
          <w:szCs w:val="16"/>
        </w:rPr>
        <w:t>, 1 October 2025).</w:t>
      </w:r>
    </w:p>
  </w:footnote>
  <w:footnote w:id="40">
    <w:p w14:paraId="2B4E75D8" w14:textId="63E033E4" w:rsidR="002A07B3" w:rsidRPr="005B2F80" w:rsidRDefault="002A07B3" w:rsidP="002A07B3">
      <w:pPr>
        <w:pStyle w:val="FootnoteText"/>
        <w:rPr>
          <w:sz w:val="16"/>
          <w:szCs w:val="16"/>
        </w:rPr>
      </w:pPr>
      <w:r w:rsidRPr="005B2F80">
        <w:rPr>
          <w:rStyle w:val="FootnoteReference"/>
          <w:sz w:val="16"/>
          <w:szCs w:val="16"/>
        </w:rPr>
        <w:footnoteRef/>
      </w:r>
      <w:r w:rsidRPr="005B2F80">
        <w:rPr>
          <w:sz w:val="16"/>
          <w:szCs w:val="16"/>
        </w:rPr>
        <w:t xml:space="preserve"> </w:t>
      </w:r>
      <w:r w:rsidR="005576FC">
        <w:rPr>
          <w:sz w:val="16"/>
          <w:szCs w:val="16"/>
        </w:rPr>
        <w:t xml:space="preserve">Panel meeting with </w:t>
      </w:r>
      <w:r w:rsidRPr="005B2F80">
        <w:rPr>
          <w:sz w:val="16"/>
          <w:szCs w:val="16"/>
        </w:rPr>
        <w:t>BOB ICB, 1</w:t>
      </w:r>
      <w:r w:rsidR="00652DEC">
        <w:rPr>
          <w:sz w:val="16"/>
          <w:szCs w:val="16"/>
        </w:rPr>
        <w:t>7</w:t>
      </w:r>
      <w:r w:rsidRPr="005B2F80">
        <w:rPr>
          <w:sz w:val="16"/>
          <w:szCs w:val="16"/>
        </w:rPr>
        <w:t xml:space="preserve"> October 2025.</w:t>
      </w:r>
    </w:p>
  </w:footnote>
  <w:footnote w:id="41">
    <w:p w14:paraId="7C0B9BDC" w14:textId="77777777" w:rsidR="002A07B3" w:rsidRPr="00E6008E" w:rsidRDefault="002A07B3" w:rsidP="002A07B3">
      <w:pPr>
        <w:pStyle w:val="FootnoteText"/>
        <w:rPr>
          <w:sz w:val="16"/>
          <w:szCs w:val="16"/>
        </w:rPr>
      </w:pPr>
      <w:r w:rsidRPr="00E6008E">
        <w:rPr>
          <w:rStyle w:val="FootnoteReference"/>
          <w:sz w:val="16"/>
          <w:szCs w:val="16"/>
        </w:rPr>
        <w:footnoteRef/>
      </w:r>
      <w:r w:rsidRPr="00E6008E">
        <w:rPr>
          <w:sz w:val="16"/>
          <w:szCs w:val="16"/>
        </w:rPr>
        <w:t xml:space="preserve"> BOB ICB, </w:t>
      </w:r>
      <w:r w:rsidRPr="00E6008E">
        <w:rPr>
          <w:i/>
          <w:iCs/>
          <w:sz w:val="16"/>
          <w:szCs w:val="16"/>
        </w:rPr>
        <w:t>Response to Bloxdent’s representations</w:t>
      </w:r>
      <w:r w:rsidRPr="00E6008E">
        <w:rPr>
          <w:sz w:val="16"/>
          <w:szCs w:val="16"/>
        </w:rPr>
        <w:t>, 8 September 2025.</w:t>
      </w:r>
    </w:p>
  </w:footnote>
  <w:footnote w:id="42">
    <w:p w14:paraId="5208376D" w14:textId="0720B498" w:rsidR="002045AC" w:rsidRPr="005B2F80" w:rsidRDefault="002045AC" w:rsidP="002045AC">
      <w:pPr>
        <w:pStyle w:val="FootnoteText"/>
        <w:rPr>
          <w:sz w:val="16"/>
          <w:szCs w:val="16"/>
        </w:rPr>
      </w:pPr>
      <w:r w:rsidRPr="005B2F80">
        <w:rPr>
          <w:rStyle w:val="FootnoteReference"/>
          <w:sz w:val="16"/>
          <w:szCs w:val="16"/>
        </w:rPr>
        <w:footnoteRef/>
      </w:r>
      <w:r w:rsidRPr="005B2F80">
        <w:rPr>
          <w:sz w:val="16"/>
          <w:szCs w:val="16"/>
        </w:rPr>
        <w:t xml:space="preserve"> </w:t>
      </w:r>
      <w:r w:rsidR="005576FC">
        <w:rPr>
          <w:sz w:val="16"/>
          <w:szCs w:val="16"/>
        </w:rPr>
        <w:t xml:space="preserve">Panel meeting with </w:t>
      </w:r>
      <w:r w:rsidRPr="005B2F80">
        <w:rPr>
          <w:sz w:val="16"/>
          <w:szCs w:val="16"/>
        </w:rPr>
        <w:t>BOB ICB, 1</w:t>
      </w:r>
      <w:r w:rsidR="00EF3936">
        <w:rPr>
          <w:sz w:val="16"/>
          <w:szCs w:val="16"/>
        </w:rPr>
        <w:t>7</w:t>
      </w:r>
      <w:r w:rsidRPr="005B2F80">
        <w:rPr>
          <w:sz w:val="16"/>
          <w:szCs w:val="16"/>
        </w:rPr>
        <w:t xml:space="preserve"> October 2025.</w:t>
      </w:r>
    </w:p>
  </w:footnote>
  <w:footnote w:id="43">
    <w:p w14:paraId="7ECA1E71" w14:textId="03ED9F10" w:rsidR="004B51BF" w:rsidRPr="00E42921" w:rsidRDefault="004B51BF">
      <w:pPr>
        <w:pStyle w:val="FootnoteText"/>
        <w:rPr>
          <w:sz w:val="16"/>
          <w:szCs w:val="16"/>
        </w:rPr>
      </w:pPr>
      <w:r w:rsidRPr="00E42921">
        <w:rPr>
          <w:rStyle w:val="FootnoteReference"/>
          <w:sz w:val="16"/>
          <w:szCs w:val="16"/>
        </w:rPr>
        <w:footnoteRef/>
      </w:r>
      <w:r w:rsidRPr="00E42921">
        <w:rPr>
          <w:sz w:val="16"/>
          <w:szCs w:val="16"/>
        </w:rPr>
        <w:t xml:space="preserve"> </w:t>
      </w:r>
      <w:r w:rsidR="00155271" w:rsidRPr="00155271">
        <w:rPr>
          <w:sz w:val="16"/>
          <w:szCs w:val="16"/>
        </w:rPr>
        <w:t>During this review BOB ICB provided to the Panel a</w:t>
      </w:r>
      <w:r w:rsidRPr="00E42921">
        <w:rPr>
          <w:sz w:val="16"/>
          <w:szCs w:val="16"/>
        </w:rPr>
        <w:t xml:space="preserve"> written explanation of its rationale for its ‘further decision’ (i.e. the decision to re-evaluate bidders’ responses to the three questions</w:t>
      </w:r>
      <w:r w:rsidR="00155271" w:rsidRPr="00155271">
        <w:rPr>
          <w:sz w:val="16"/>
          <w:szCs w:val="16"/>
        </w:rPr>
        <w:t xml:space="preserve">). This conclusion is based on the Panel’s analysis of </w:t>
      </w:r>
      <w:r w:rsidR="005F558B" w:rsidRPr="00E42921">
        <w:rPr>
          <w:sz w:val="16"/>
          <w:szCs w:val="16"/>
        </w:rPr>
        <w:t xml:space="preserve">that </w:t>
      </w:r>
      <w:r w:rsidR="00155271" w:rsidRPr="00155271">
        <w:rPr>
          <w:sz w:val="16"/>
          <w:szCs w:val="16"/>
        </w:rPr>
        <w:t>written explanation.</w:t>
      </w:r>
      <w:r w:rsidR="005F558B" w:rsidRPr="00E42921">
        <w:rPr>
          <w:sz w:val="16"/>
          <w:szCs w:val="16"/>
        </w:rPr>
        <w:t xml:space="preserve"> As noted earlier in this report, BOB ICB did not record the reasons for its ‘further decision’ at the time</w:t>
      </w:r>
      <w:r w:rsidR="00E42921" w:rsidRPr="00E42921">
        <w:rPr>
          <w:sz w:val="16"/>
          <w:szCs w:val="16"/>
        </w:rPr>
        <w:t xml:space="preserve"> it was made.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556"/>
    <w:multiLevelType w:val="hybridMultilevel"/>
    <w:tmpl w:val="F8BE4D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21DC3C5D"/>
    <w:multiLevelType w:val="hybridMultilevel"/>
    <w:tmpl w:val="98BCF78A"/>
    <w:lvl w:ilvl="0" w:tplc="23FA78D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5A27C41"/>
    <w:multiLevelType w:val="hybridMultilevel"/>
    <w:tmpl w:val="32DC7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6C14908"/>
    <w:multiLevelType w:val="hybridMultilevel"/>
    <w:tmpl w:val="E64C70A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7FE3E3C"/>
    <w:multiLevelType w:val="hybridMultilevel"/>
    <w:tmpl w:val="777E8C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12D2443"/>
    <w:multiLevelType w:val="hybridMultilevel"/>
    <w:tmpl w:val="1D4C6878"/>
    <w:lvl w:ilvl="0" w:tplc="648A9BBE">
      <w:start w:val="1"/>
      <w:numFmt w:val="decimal"/>
      <w:pStyle w:val="ListParagraph"/>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A86B80"/>
    <w:multiLevelType w:val="hybridMultilevel"/>
    <w:tmpl w:val="A3EC4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4AA26C6"/>
    <w:multiLevelType w:val="hybridMultilevel"/>
    <w:tmpl w:val="78168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A667D5"/>
    <w:multiLevelType w:val="hybridMultilevel"/>
    <w:tmpl w:val="2FE61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4897549"/>
    <w:multiLevelType w:val="hybridMultilevel"/>
    <w:tmpl w:val="8678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410E4"/>
    <w:multiLevelType w:val="hybridMultilevel"/>
    <w:tmpl w:val="52D87B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DDD687F"/>
    <w:multiLevelType w:val="hybridMultilevel"/>
    <w:tmpl w:val="2068A3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E334541"/>
    <w:multiLevelType w:val="hybridMultilevel"/>
    <w:tmpl w:val="3E187C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4503779">
    <w:abstractNumId w:val="5"/>
  </w:num>
  <w:num w:numId="2" w16cid:durableId="1644848656">
    <w:abstractNumId w:val="6"/>
  </w:num>
  <w:num w:numId="3" w16cid:durableId="1069158940">
    <w:abstractNumId w:val="12"/>
  </w:num>
  <w:num w:numId="4" w16cid:durableId="66223732">
    <w:abstractNumId w:val="10"/>
  </w:num>
  <w:num w:numId="5" w16cid:durableId="45104576">
    <w:abstractNumId w:val="2"/>
  </w:num>
  <w:num w:numId="6" w16cid:durableId="730158728">
    <w:abstractNumId w:val="8"/>
  </w:num>
  <w:num w:numId="7" w16cid:durableId="177431390">
    <w:abstractNumId w:val="7"/>
  </w:num>
  <w:num w:numId="8" w16cid:durableId="1663048386">
    <w:abstractNumId w:val="4"/>
  </w:num>
  <w:num w:numId="9" w16cid:durableId="488597455">
    <w:abstractNumId w:val="3"/>
  </w:num>
  <w:num w:numId="10" w16cid:durableId="1331180477">
    <w:abstractNumId w:val="0"/>
  </w:num>
  <w:num w:numId="11" w16cid:durableId="55906611">
    <w:abstractNumId w:val="1"/>
  </w:num>
  <w:num w:numId="12" w16cid:durableId="239489774">
    <w:abstractNumId w:val="5"/>
  </w:num>
  <w:num w:numId="13" w16cid:durableId="339627757">
    <w:abstractNumId w:val="5"/>
  </w:num>
  <w:num w:numId="14" w16cid:durableId="696202000">
    <w:abstractNumId w:val="5"/>
  </w:num>
  <w:num w:numId="15" w16cid:durableId="105000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7380835">
    <w:abstractNumId w:val="11"/>
  </w:num>
  <w:num w:numId="17" w16cid:durableId="201661370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8ZyhC9Yd05jL0mGhw9SvCkU6b2GVma1L7nEqrNPM2DF54z5wXqPtkjteZ0mII957nWC2MEaZCW+g3VHWbw8VQ==" w:salt="DBVRmnX8BkBsJU+Uyqs7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A3"/>
    <w:rsid w:val="000008F4"/>
    <w:rsid w:val="00001575"/>
    <w:rsid w:val="00001D7A"/>
    <w:rsid w:val="00001EEA"/>
    <w:rsid w:val="00001F89"/>
    <w:rsid w:val="00003AE7"/>
    <w:rsid w:val="00003E15"/>
    <w:rsid w:val="00003E52"/>
    <w:rsid w:val="00003ECD"/>
    <w:rsid w:val="000040E9"/>
    <w:rsid w:val="00004F7A"/>
    <w:rsid w:val="000050F4"/>
    <w:rsid w:val="00005145"/>
    <w:rsid w:val="000052C4"/>
    <w:rsid w:val="000054A7"/>
    <w:rsid w:val="000054C6"/>
    <w:rsid w:val="00005A76"/>
    <w:rsid w:val="000060D7"/>
    <w:rsid w:val="000062F6"/>
    <w:rsid w:val="0000694A"/>
    <w:rsid w:val="00006C2C"/>
    <w:rsid w:val="00007034"/>
    <w:rsid w:val="00007430"/>
    <w:rsid w:val="00010312"/>
    <w:rsid w:val="00010325"/>
    <w:rsid w:val="000104B3"/>
    <w:rsid w:val="0001076F"/>
    <w:rsid w:val="00010B5D"/>
    <w:rsid w:val="00010BE2"/>
    <w:rsid w:val="00010E5E"/>
    <w:rsid w:val="00011268"/>
    <w:rsid w:val="00011F61"/>
    <w:rsid w:val="000121D0"/>
    <w:rsid w:val="00012227"/>
    <w:rsid w:val="0001232D"/>
    <w:rsid w:val="00012B17"/>
    <w:rsid w:val="000132EC"/>
    <w:rsid w:val="000134AD"/>
    <w:rsid w:val="000138E6"/>
    <w:rsid w:val="000149D0"/>
    <w:rsid w:val="00014AAD"/>
    <w:rsid w:val="00014E14"/>
    <w:rsid w:val="00014E23"/>
    <w:rsid w:val="0001523A"/>
    <w:rsid w:val="00016AC2"/>
    <w:rsid w:val="00016D6B"/>
    <w:rsid w:val="00017037"/>
    <w:rsid w:val="00017565"/>
    <w:rsid w:val="0001776B"/>
    <w:rsid w:val="00017A2D"/>
    <w:rsid w:val="00017A50"/>
    <w:rsid w:val="00017C6A"/>
    <w:rsid w:val="000201E7"/>
    <w:rsid w:val="0002038F"/>
    <w:rsid w:val="000205A3"/>
    <w:rsid w:val="00020D1A"/>
    <w:rsid w:val="00020D76"/>
    <w:rsid w:val="00020DB5"/>
    <w:rsid w:val="00020FEE"/>
    <w:rsid w:val="00021B25"/>
    <w:rsid w:val="00021D2C"/>
    <w:rsid w:val="00021FE7"/>
    <w:rsid w:val="0002202A"/>
    <w:rsid w:val="00022892"/>
    <w:rsid w:val="000228C4"/>
    <w:rsid w:val="00022BD7"/>
    <w:rsid w:val="00022C4D"/>
    <w:rsid w:val="00022E77"/>
    <w:rsid w:val="00023013"/>
    <w:rsid w:val="00023549"/>
    <w:rsid w:val="000237DF"/>
    <w:rsid w:val="00024345"/>
    <w:rsid w:val="00024BE9"/>
    <w:rsid w:val="00024C27"/>
    <w:rsid w:val="00025BE3"/>
    <w:rsid w:val="00025C07"/>
    <w:rsid w:val="00025E18"/>
    <w:rsid w:val="000260D3"/>
    <w:rsid w:val="00026270"/>
    <w:rsid w:val="00026979"/>
    <w:rsid w:val="000269B5"/>
    <w:rsid w:val="0002712B"/>
    <w:rsid w:val="000276C6"/>
    <w:rsid w:val="00027A30"/>
    <w:rsid w:val="00027A4B"/>
    <w:rsid w:val="00027B98"/>
    <w:rsid w:val="00030865"/>
    <w:rsid w:val="000308B7"/>
    <w:rsid w:val="00030934"/>
    <w:rsid w:val="000312E6"/>
    <w:rsid w:val="00031D04"/>
    <w:rsid w:val="00031D2B"/>
    <w:rsid w:val="00032432"/>
    <w:rsid w:val="00032DD6"/>
    <w:rsid w:val="00033672"/>
    <w:rsid w:val="00033908"/>
    <w:rsid w:val="00033A6F"/>
    <w:rsid w:val="00033B3A"/>
    <w:rsid w:val="00033B94"/>
    <w:rsid w:val="00033DB6"/>
    <w:rsid w:val="00034793"/>
    <w:rsid w:val="000347FA"/>
    <w:rsid w:val="00034C31"/>
    <w:rsid w:val="00035365"/>
    <w:rsid w:val="00035412"/>
    <w:rsid w:val="00035A74"/>
    <w:rsid w:val="00035E44"/>
    <w:rsid w:val="000364BA"/>
    <w:rsid w:val="00036595"/>
    <w:rsid w:val="000366A8"/>
    <w:rsid w:val="000366D8"/>
    <w:rsid w:val="00036C86"/>
    <w:rsid w:val="00036FA4"/>
    <w:rsid w:val="0003710F"/>
    <w:rsid w:val="000375CA"/>
    <w:rsid w:val="000378E0"/>
    <w:rsid w:val="00037AEE"/>
    <w:rsid w:val="00037EDC"/>
    <w:rsid w:val="0004046D"/>
    <w:rsid w:val="000405BE"/>
    <w:rsid w:val="000405E9"/>
    <w:rsid w:val="00040725"/>
    <w:rsid w:val="00041363"/>
    <w:rsid w:val="00041368"/>
    <w:rsid w:val="000414FD"/>
    <w:rsid w:val="000419B1"/>
    <w:rsid w:val="00042FCD"/>
    <w:rsid w:val="000434E6"/>
    <w:rsid w:val="00043577"/>
    <w:rsid w:val="00043581"/>
    <w:rsid w:val="0004360C"/>
    <w:rsid w:val="00043793"/>
    <w:rsid w:val="00043C42"/>
    <w:rsid w:val="00043CD4"/>
    <w:rsid w:val="00043E96"/>
    <w:rsid w:val="000443F5"/>
    <w:rsid w:val="00044718"/>
    <w:rsid w:val="00044723"/>
    <w:rsid w:val="00044C44"/>
    <w:rsid w:val="00044C54"/>
    <w:rsid w:val="00044F44"/>
    <w:rsid w:val="000451F2"/>
    <w:rsid w:val="00045325"/>
    <w:rsid w:val="00045913"/>
    <w:rsid w:val="00046B36"/>
    <w:rsid w:val="00046B79"/>
    <w:rsid w:val="00046C78"/>
    <w:rsid w:val="00047060"/>
    <w:rsid w:val="0004713B"/>
    <w:rsid w:val="000477D5"/>
    <w:rsid w:val="00047A9F"/>
    <w:rsid w:val="00047CDC"/>
    <w:rsid w:val="00047D7F"/>
    <w:rsid w:val="000500A6"/>
    <w:rsid w:val="000506D2"/>
    <w:rsid w:val="00050889"/>
    <w:rsid w:val="000508AC"/>
    <w:rsid w:val="00051002"/>
    <w:rsid w:val="00051129"/>
    <w:rsid w:val="00051789"/>
    <w:rsid w:val="0005290E"/>
    <w:rsid w:val="00052973"/>
    <w:rsid w:val="0005299C"/>
    <w:rsid w:val="00052F88"/>
    <w:rsid w:val="000534F0"/>
    <w:rsid w:val="00053A97"/>
    <w:rsid w:val="00053E1F"/>
    <w:rsid w:val="0005434F"/>
    <w:rsid w:val="00055100"/>
    <w:rsid w:val="00055F01"/>
    <w:rsid w:val="0005616B"/>
    <w:rsid w:val="000561A7"/>
    <w:rsid w:val="00056644"/>
    <w:rsid w:val="00057102"/>
    <w:rsid w:val="00057349"/>
    <w:rsid w:val="000574B4"/>
    <w:rsid w:val="000575AB"/>
    <w:rsid w:val="0006007E"/>
    <w:rsid w:val="00060268"/>
    <w:rsid w:val="000606FF"/>
    <w:rsid w:val="00060986"/>
    <w:rsid w:val="00060CC8"/>
    <w:rsid w:val="00060F4E"/>
    <w:rsid w:val="0006105C"/>
    <w:rsid w:val="00061145"/>
    <w:rsid w:val="00061803"/>
    <w:rsid w:val="00061985"/>
    <w:rsid w:val="00061AC3"/>
    <w:rsid w:val="00062235"/>
    <w:rsid w:val="0006272C"/>
    <w:rsid w:val="000629B6"/>
    <w:rsid w:val="00062B24"/>
    <w:rsid w:val="00062B42"/>
    <w:rsid w:val="00062DD6"/>
    <w:rsid w:val="00063277"/>
    <w:rsid w:val="000638A5"/>
    <w:rsid w:val="00063A2E"/>
    <w:rsid w:val="00063D99"/>
    <w:rsid w:val="0006443C"/>
    <w:rsid w:val="00064767"/>
    <w:rsid w:val="000647C5"/>
    <w:rsid w:val="0006503C"/>
    <w:rsid w:val="000650B5"/>
    <w:rsid w:val="00065424"/>
    <w:rsid w:val="0006552C"/>
    <w:rsid w:val="0006563D"/>
    <w:rsid w:val="0006582F"/>
    <w:rsid w:val="0006647C"/>
    <w:rsid w:val="000667F8"/>
    <w:rsid w:val="00066B02"/>
    <w:rsid w:val="000671E4"/>
    <w:rsid w:val="0006732D"/>
    <w:rsid w:val="00067359"/>
    <w:rsid w:val="000676AB"/>
    <w:rsid w:val="0006772B"/>
    <w:rsid w:val="00067C10"/>
    <w:rsid w:val="000704CF"/>
    <w:rsid w:val="0007085C"/>
    <w:rsid w:val="00071002"/>
    <w:rsid w:val="000717EE"/>
    <w:rsid w:val="00072A41"/>
    <w:rsid w:val="00072B31"/>
    <w:rsid w:val="00072CFF"/>
    <w:rsid w:val="0007302A"/>
    <w:rsid w:val="00073363"/>
    <w:rsid w:val="00073523"/>
    <w:rsid w:val="00073AE4"/>
    <w:rsid w:val="00073E5D"/>
    <w:rsid w:val="00074093"/>
    <w:rsid w:val="00074952"/>
    <w:rsid w:val="00074A86"/>
    <w:rsid w:val="00074BA1"/>
    <w:rsid w:val="00075081"/>
    <w:rsid w:val="00075615"/>
    <w:rsid w:val="00075906"/>
    <w:rsid w:val="00075BC2"/>
    <w:rsid w:val="00075F47"/>
    <w:rsid w:val="00076039"/>
    <w:rsid w:val="0007681F"/>
    <w:rsid w:val="00076F90"/>
    <w:rsid w:val="00077601"/>
    <w:rsid w:val="00077963"/>
    <w:rsid w:val="00077B99"/>
    <w:rsid w:val="00077BEF"/>
    <w:rsid w:val="00077CF7"/>
    <w:rsid w:val="00077D3A"/>
    <w:rsid w:val="00077D96"/>
    <w:rsid w:val="00077EB6"/>
    <w:rsid w:val="0008020C"/>
    <w:rsid w:val="0008085F"/>
    <w:rsid w:val="00080AAB"/>
    <w:rsid w:val="00080D09"/>
    <w:rsid w:val="00080EFA"/>
    <w:rsid w:val="00080F6F"/>
    <w:rsid w:val="0008104D"/>
    <w:rsid w:val="000810E8"/>
    <w:rsid w:val="00081546"/>
    <w:rsid w:val="0008296F"/>
    <w:rsid w:val="00082B93"/>
    <w:rsid w:val="00082E10"/>
    <w:rsid w:val="0008319C"/>
    <w:rsid w:val="00083402"/>
    <w:rsid w:val="0008355D"/>
    <w:rsid w:val="0008370F"/>
    <w:rsid w:val="000838CF"/>
    <w:rsid w:val="00083D62"/>
    <w:rsid w:val="00083E66"/>
    <w:rsid w:val="0008472B"/>
    <w:rsid w:val="0008485A"/>
    <w:rsid w:val="000852A3"/>
    <w:rsid w:val="0008530F"/>
    <w:rsid w:val="00086336"/>
    <w:rsid w:val="000864DE"/>
    <w:rsid w:val="0008693C"/>
    <w:rsid w:val="00086F63"/>
    <w:rsid w:val="00087C44"/>
    <w:rsid w:val="00087F6E"/>
    <w:rsid w:val="00090909"/>
    <w:rsid w:val="000919E2"/>
    <w:rsid w:val="00091A42"/>
    <w:rsid w:val="00091A84"/>
    <w:rsid w:val="00091C5B"/>
    <w:rsid w:val="00091D00"/>
    <w:rsid w:val="00091F7F"/>
    <w:rsid w:val="000922E5"/>
    <w:rsid w:val="0009269D"/>
    <w:rsid w:val="00092BC7"/>
    <w:rsid w:val="00092DFF"/>
    <w:rsid w:val="000932A4"/>
    <w:rsid w:val="00093950"/>
    <w:rsid w:val="00093CC9"/>
    <w:rsid w:val="00094003"/>
    <w:rsid w:val="0009440E"/>
    <w:rsid w:val="000947C9"/>
    <w:rsid w:val="00094D60"/>
    <w:rsid w:val="0009553B"/>
    <w:rsid w:val="000956A6"/>
    <w:rsid w:val="00095765"/>
    <w:rsid w:val="000958AC"/>
    <w:rsid w:val="00095947"/>
    <w:rsid w:val="00096A8C"/>
    <w:rsid w:val="00096E9B"/>
    <w:rsid w:val="00097233"/>
    <w:rsid w:val="000973B5"/>
    <w:rsid w:val="00097504"/>
    <w:rsid w:val="00097571"/>
    <w:rsid w:val="00097848"/>
    <w:rsid w:val="00097A82"/>
    <w:rsid w:val="00097E38"/>
    <w:rsid w:val="000A00D8"/>
    <w:rsid w:val="000A083A"/>
    <w:rsid w:val="000A0DBF"/>
    <w:rsid w:val="000A0ED6"/>
    <w:rsid w:val="000A135F"/>
    <w:rsid w:val="000A180D"/>
    <w:rsid w:val="000A1EA8"/>
    <w:rsid w:val="000A25A3"/>
    <w:rsid w:val="000A26B7"/>
    <w:rsid w:val="000A279E"/>
    <w:rsid w:val="000A2872"/>
    <w:rsid w:val="000A2A6D"/>
    <w:rsid w:val="000A2D87"/>
    <w:rsid w:val="000A3ACD"/>
    <w:rsid w:val="000A3E63"/>
    <w:rsid w:val="000A3EFF"/>
    <w:rsid w:val="000A4312"/>
    <w:rsid w:val="000A4E1F"/>
    <w:rsid w:val="000A5B9E"/>
    <w:rsid w:val="000A6D4C"/>
    <w:rsid w:val="000B0B9E"/>
    <w:rsid w:val="000B0EAD"/>
    <w:rsid w:val="000B102E"/>
    <w:rsid w:val="000B10DA"/>
    <w:rsid w:val="000B1886"/>
    <w:rsid w:val="000B1BDD"/>
    <w:rsid w:val="000B2584"/>
    <w:rsid w:val="000B27F2"/>
    <w:rsid w:val="000B2810"/>
    <w:rsid w:val="000B2B2B"/>
    <w:rsid w:val="000B2E04"/>
    <w:rsid w:val="000B2F78"/>
    <w:rsid w:val="000B2FD1"/>
    <w:rsid w:val="000B3AB6"/>
    <w:rsid w:val="000B3C33"/>
    <w:rsid w:val="000B3EA7"/>
    <w:rsid w:val="000B4279"/>
    <w:rsid w:val="000B5BB7"/>
    <w:rsid w:val="000B5C59"/>
    <w:rsid w:val="000B5F3E"/>
    <w:rsid w:val="000B631B"/>
    <w:rsid w:val="000B6574"/>
    <w:rsid w:val="000B663E"/>
    <w:rsid w:val="000B6A10"/>
    <w:rsid w:val="000B6A2A"/>
    <w:rsid w:val="000B70FD"/>
    <w:rsid w:val="000B747F"/>
    <w:rsid w:val="000B787B"/>
    <w:rsid w:val="000B791E"/>
    <w:rsid w:val="000B7DDD"/>
    <w:rsid w:val="000B7E8F"/>
    <w:rsid w:val="000B7F20"/>
    <w:rsid w:val="000C03F3"/>
    <w:rsid w:val="000C0525"/>
    <w:rsid w:val="000C0973"/>
    <w:rsid w:val="000C0B6C"/>
    <w:rsid w:val="000C0EA7"/>
    <w:rsid w:val="000C0F8D"/>
    <w:rsid w:val="000C17FB"/>
    <w:rsid w:val="000C1E0F"/>
    <w:rsid w:val="000C1EDA"/>
    <w:rsid w:val="000C2169"/>
    <w:rsid w:val="000C2CF1"/>
    <w:rsid w:val="000C3076"/>
    <w:rsid w:val="000C3B1A"/>
    <w:rsid w:val="000C3D79"/>
    <w:rsid w:val="000C3E7F"/>
    <w:rsid w:val="000C3FFD"/>
    <w:rsid w:val="000C4C24"/>
    <w:rsid w:val="000C4E38"/>
    <w:rsid w:val="000C4E59"/>
    <w:rsid w:val="000C5329"/>
    <w:rsid w:val="000C5543"/>
    <w:rsid w:val="000C58C5"/>
    <w:rsid w:val="000C5CBA"/>
    <w:rsid w:val="000C5D1A"/>
    <w:rsid w:val="000C63FA"/>
    <w:rsid w:val="000C6679"/>
    <w:rsid w:val="000C675E"/>
    <w:rsid w:val="000C69C1"/>
    <w:rsid w:val="000C6B07"/>
    <w:rsid w:val="000C73D0"/>
    <w:rsid w:val="000C78CA"/>
    <w:rsid w:val="000C7A6C"/>
    <w:rsid w:val="000C7B4D"/>
    <w:rsid w:val="000D017D"/>
    <w:rsid w:val="000D021E"/>
    <w:rsid w:val="000D02E0"/>
    <w:rsid w:val="000D046E"/>
    <w:rsid w:val="000D0749"/>
    <w:rsid w:val="000D0A66"/>
    <w:rsid w:val="000D0D79"/>
    <w:rsid w:val="000D1232"/>
    <w:rsid w:val="000D1606"/>
    <w:rsid w:val="000D1663"/>
    <w:rsid w:val="000D1FB8"/>
    <w:rsid w:val="000D2F45"/>
    <w:rsid w:val="000D322D"/>
    <w:rsid w:val="000D3700"/>
    <w:rsid w:val="000D3A0F"/>
    <w:rsid w:val="000D3A33"/>
    <w:rsid w:val="000D3AF1"/>
    <w:rsid w:val="000D4B04"/>
    <w:rsid w:val="000D4B08"/>
    <w:rsid w:val="000D5168"/>
    <w:rsid w:val="000D52DD"/>
    <w:rsid w:val="000D53D6"/>
    <w:rsid w:val="000D582F"/>
    <w:rsid w:val="000D592A"/>
    <w:rsid w:val="000D5E84"/>
    <w:rsid w:val="000D5ECA"/>
    <w:rsid w:val="000D651E"/>
    <w:rsid w:val="000D6564"/>
    <w:rsid w:val="000D6EFB"/>
    <w:rsid w:val="000D794D"/>
    <w:rsid w:val="000E044F"/>
    <w:rsid w:val="000E09E8"/>
    <w:rsid w:val="000E10B5"/>
    <w:rsid w:val="000E124C"/>
    <w:rsid w:val="000E19AD"/>
    <w:rsid w:val="000E2023"/>
    <w:rsid w:val="000E2119"/>
    <w:rsid w:val="000E255F"/>
    <w:rsid w:val="000E27D7"/>
    <w:rsid w:val="000E2E20"/>
    <w:rsid w:val="000E2E9B"/>
    <w:rsid w:val="000E344B"/>
    <w:rsid w:val="000E569B"/>
    <w:rsid w:val="000E5B21"/>
    <w:rsid w:val="000E5DA9"/>
    <w:rsid w:val="000E5EA2"/>
    <w:rsid w:val="000E5ED5"/>
    <w:rsid w:val="000E63F2"/>
    <w:rsid w:val="000E680E"/>
    <w:rsid w:val="000E70E4"/>
    <w:rsid w:val="000E772E"/>
    <w:rsid w:val="000E7B62"/>
    <w:rsid w:val="000F0B7C"/>
    <w:rsid w:val="000F1AAB"/>
    <w:rsid w:val="000F1EC4"/>
    <w:rsid w:val="000F200A"/>
    <w:rsid w:val="000F270C"/>
    <w:rsid w:val="000F28A3"/>
    <w:rsid w:val="000F2962"/>
    <w:rsid w:val="000F3382"/>
    <w:rsid w:val="000F34D5"/>
    <w:rsid w:val="000F36FE"/>
    <w:rsid w:val="000F37DE"/>
    <w:rsid w:val="000F3C77"/>
    <w:rsid w:val="000F3D17"/>
    <w:rsid w:val="000F3D5F"/>
    <w:rsid w:val="000F4484"/>
    <w:rsid w:val="000F5C3B"/>
    <w:rsid w:val="000F5D0D"/>
    <w:rsid w:val="000F5EE6"/>
    <w:rsid w:val="000F5F16"/>
    <w:rsid w:val="000F6086"/>
    <w:rsid w:val="000F63EA"/>
    <w:rsid w:val="000F658F"/>
    <w:rsid w:val="000F6CC5"/>
    <w:rsid w:val="000F724A"/>
    <w:rsid w:val="000F7BBA"/>
    <w:rsid w:val="000F7F1A"/>
    <w:rsid w:val="0010003D"/>
    <w:rsid w:val="00100768"/>
    <w:rsid w:val="001009F2"/>
    <w:rsid w:val="00100C36"/>
    <w:rsid w:val="00101518"/>
    <w:rsid w:val="00101636"/>
    <w:rsid w:val="00101C7B"/>
    <w:rsid w:val="00101D80"/>
    <w:rsid w:val="00101D9B"/>
    <w:rsid w:val="0010298B"/>
    <w:rsid w:val="001029B1"/>
    <w:rsid w:val="00102F67"/>
    <w:rsid w:val="00103397"/>
    <w:rsid w:val="00103676"/>
    <w:rsid w:val="001038AB"/>
    <w:rsid w:val="00103C65"/>
    <w:rsid w:val="00103E82"/>
    <w:rsid w:val="00104458"/>
    <w:rsid w:val="00104776"/>
    <w:rsid w:val="00104BAD"/>
    <w:rsid w:val="00105331"/>
    <w:rsid w:val="001053FB"/>
    <w:rsid w:val="00105665"/>
    <w:rsid w:val="00105718"/>
    <w:rsid w:val="001057F1"/>
    <w:rsid w:val="00105CD1"/>
    <w:rsid w:val="00106127"/>
    <w:rsid w:val="00106429"/>
    <w:rsid w:val="0010673E"/>
    <w:rsid w:val="001067EE"/>
    <w:rsid w:val="00106AA0"/>
    <w:rsid w:val="00107940"/>
    <w:rsid w:val="00107DA5"/>
    <w:rsid w:val="0011038D"/>
    <w:rsid w:val="0011095E"/>
    <w:rsid w:val="00111644"/>
    <w:rsid w:val="001119F1"/>
    <w:rsid w:val="00111CFF"/>
    <w:rsid w:val="00111DF5"/>
    <w:rsid w:val="001125E9"/>
    <w:rsid w:val="00112885"/>
    <w:rsid w:val="00112CC8"/>
    <w:rsid w:val="00112D0D"/>
    <w:rsid w:val="00112EC4"/>
    <w:rsid w:val="001130A3"/>
    <w:rsid w:val="001137E7"/>
    <w:rsid w:val="00113FFD"/>
    <w:rsid w:val="00114223"/>
    <w:rsid w:val="00115544"/>
    <w:rsid w:val="00115B4E"/>
    <w:rsid w:val="001162D1"/>
    <w:rsid w:val="001169B0"/>
    <w:rsid w:val="00116B38"/>
    <w:rsid w:val="0011716B"/>
    <w:rsid w:val="00117E41"/>
    <w:rsid w:val="001206D5"/>
    <w:rsid w:val="00120E87"/>
    <w:rsid w:val="00120F53"/>
    <w:rsid w:val="00121603"/>
    <w:rsid w:val="00121ADF"/>
    <w:rsid w:val="00122645"/>
    <w:rsid w:val="00122841"/>
    <w:rsid w:val="00122B00"/>
    <w:rsid w:val="001235B3"/>
    <w:rsid w:val="001238F6"/>
    <w:rsid w:val="0012494B"/>
    <w:rsid w:val="00124A04"/>
    <w:rsid w:val="00125172"/>
    <w:rsid w:val="00125397"/>
    <w:rsid w:val="0012558F"/>
    <w:rsid w:val="001260E3"/>
    <w:rsid w:val="001265FD"/>
    <w:rsid w:val="00126A25"/>
    <w:rsid w:val="00126DD6"/>
    <w:rsid w:val="00127000"/>
    <w:rsid w:val="00127C15"/>
    <w:rsid w:val="00127DF5"/>
    <w:rsid w:val="00127F4A"/>
    <w:rsid w:val="001301B8"/>
    <w:rsid w:val="0013020A"/>
    <w:rsid w:val="0013041D"/>
    <w:rsid w:val="00130B4E"/>
    <w:rsid w:val="00130DDD"/>
    <w:rsid w:val="00130ED6"/>
    <w:rsid w:val="001310C7"/>
    <w:rsid w:val="001310C9"/>
    <w:rsid w:val="001314C7"/>
    <w:rsid w:val="00131701"/>
    <w:rsid w:val="001332EE"/>
    <w:rsid w:val="001333E5"/>
    <w:rsid w:val="00133535"/>
    <w:rsid w:val="00133F18"/>
    <w:rsid w:val="001341CE"/>
    <w:rsid w:val="001343FB"/>
    <w:rsid w:val="0013448D"/>
    <w:rsid w:val="00134DF3"/>
    <w:rsid w:val="0013509E"/>
    <w:rsid w:val="001352E2"/>
    <w:rsid w:val="0013569A"/>
    <w:rsid w:val="00135711"/>
    <w:rsid w:val="00135D51"/>
    <w:rsid w:val="00136F3F"/>
    <w:rsid w:val="0013743B"/>
    <w:rsid w:val="001374CC"/>
    <w:rsid w:val="00137D9C"/>
    <w:rsid w:val="00137FEF"/>
    <w:rsid w:val="001407CC"/>
    <w:rsid w:val="00140EF7"/>
    <w:rsid w:val="00141341"/>
    <w:rsid w:val="0014172D"/>
    <w:rsid w:val="00141A2C"/>
    <w:rsid w:val="00141B41"/>
    <w:rsid w:val="001422F6"/>
    <w:rsid w:val="001429F4"/>
    <w:rsid w:val="00143008"/>
    <w:rsid w:val="00143161"/>
    <w:rsid w:val="001444E8"/>
    <w:rsid w:val="00144DF2"/>
    <w:rsid w:val="0014510F"/>
    <w:rsid w:val="001456E5"/>
    <w:rsid w:val="0014571B"/>
    <w:rsid w:val="00145AB0"/>
    <w:rsid w:val="00145E63"/>
    <w:rsid w:val="0014621D"/>
    <w:rsid w:val="00146422"/>
    <w:rsid w:val="00147184"/>
    <w:rsid w:val="001474D3"/>
    <w:rsid w:val="001475B3"/>
    <w:rsid w:val="00150441"/>
    <w:rsid w:val="00150520"/>
    <w:rsid w:val="00151003"/>
    <w:rsid w:val="00151EF0"/>
    <w:rsid w:val="00152295"/>
    <w:rsid w:val="0015279C"/>
    <w:rsid w:val="00152C4D"/>
    <w:rsid w:val="00153122"/>
    <w:rsid w:val="00153F93"/>
    <w:rsid w:val="00154024"/>
    <w:rsid w:val="00154694"/>
    <w:rsid w:val="00154B83"/>
    <w:rsid w:val="00154EF4"/>
    <w:rsid w:val="00154F72"/>
    <w:rsid w:val="0015514D"/>
    <w:rsid w:val="00155271"/>
    <w:rsid w:val="0015538F"/>
    <w:rsid w:val="001553DC"/>
    <w:rsid w:val="00155DCC"/>
    <w:rsid w:val="00155EF6"/>
    <w:rsid w:val="0015600B"/>
    <w:rsid w:val="0015612E"/>
    <w:rsid w:val="001564AF"/>
    <w:rsid w:val="001600EF"/>
    <w:rsid w:val="0016043D"/>
    <w:rsid w:val="00160487"/>
    <w:rsid w:val="00160882"/>
    <w:rsid w:val="001608CF"/>
    <w:rsid w:val="00160A89"/>
    <w:rsid w:val="00160ED6"/>
    <w:rsid w:val="00161328"/>
    <w:rsid w:val="0016167E"/>
    <w:rsid w:val="00161871"/>
    <w:rsid w:val="001619A7"/>
    <w:rsid w:val="00161AD4"/>
    <w:rsid w:val="0016240F"/>
    <w:rsid w:val="0016304D"/>
    <w:rsid w:val="0016309C"/>
    <w:rsid w:val="00163237"/>
    <w:rsid w:val="0016358C"/>
    <w:rsid w:val="00163D2A"/>
    <w:rsid w:val="00164023"/>
    <w:rsid w:val="0016405C"/>
    <w:rsid w:val="0016431D"/>
    <w:rsid w:val="00164476"/>
    <w:rsid w:val="00164795"/>
    <w:rsid w:val="001648A9"/>
    <w:rsid w:val="00164AB8"/>
    <w:rsid w:val="00165DA4"/>
    <w:rsid w:val="00166180"/>
    <w:rsid w:val="001661DD"/>
    <w:rsid w:val="00166242"/>
    <w:rsid w:val="001665C5"/>
    <w:rsid w:val="001667DD"/>
    <w:rsid w:val="00166CD9"/>
    <w:rsid w:val="0016712E"/>
    <w:rsid w:val="001673B4"/>
    <w:rsid w:val="00167726"/>
    <w:rsid w:val="0016778F"/>
    <w:rsid w:val="001678D0"/>
    <w:rsid w:val="00167BFF"/>
    <w:rsid w:val="00170657"/>
    <w:rsid w:val="001709CA"/>
    <w:rsid w:val="00170ABF"/>
    <w:rsid w:val="00170B48"/>
    <w:rsid w:val="00170F0E"/>
    <w:rsid w:val="00170F7A"/>
    <w:rsid w:val="00171392"/>
    <w:rsid w:val="001713C1"/>
    <w:rsid w:val="00171881"/>
    <w:rsid w:val="00171DBC"/>
    <w:rsid w:val="001722C1"/>
    <w:rsid w:val="00172380"/>
    <w:rsid w:val="00172B2B"/>
    <w:rsid w:val="00172BC7"/>
    <w:rsid w:val="00172FD7"/>
    <w:rsid w:val="00173113"/>
    <w:rsid w:val="00173A66"/>
    <w:rsid w:val="00174D77"/>
    <w:rsid w:val="00174E84"/>
    <w:rsid w:val="00174EFC"/>
    <w:rsid w:val="001750B4"/>
    <w:rsid w:val="00175415"/>
    <w:rsid w:val="00175ABD"/>
    <w:rsid w:val="00175BEC"/>
    <w:rsid w:val="00176487"/>
    <w:rsid w:val="001765EB"/>
    <w:rsid w:val="00176634"/>
    <w:rsid w:val="00176AB6"/>
    <w:rsid w:val="00176D5B"/>
    <w:rsid w:val="00176EF8"/>
    <w:rsid w:val="001776F6"/>
    <w:rsid w:val="00177CE6"/>
    <w:rsid w:val="00177FCF"/>
    <w:rsid w:val="0018074C"/>
    <w:rsid w:val="00180AC1"/>
    <w:rsid w:val="001815B6"/>
    <w:rsid w:val="001826F9"/>
    <w:rsid w:val="00182938"/>
    <w:rsid w:val="001832BD"/>
    <w:rsid w:val="001833AC"/>
    <w:rsid w:val="00183DB7"/>
    <w:rsid w:val="001840FE"/>
    <w:rsid w:val="001842CD"/>
    <w:rsid w:val="0018446E"/>
    <w:rsid w:val="00184BF1"/>
    <w:rsid w:val="0018539C"/>
    <w:rsid w:val="001859EF"/>
    <w:rsid w:val="00186744"/>
    <w:rsid w:val="00186780"/>
    <w:rsid w:val="00186850"/>
    <w:rsid w:val="00187630"/>
    <w:rsid w:val="00187866"/>
    <w:rsid w:val="00187B25"/>
    <w:rsid w:val="0019033D"/>
    <w:rsid w:val="001906A9"/>
    <w:rsid w:val="0019143E"/>
    <w:rsid w:val="0019187A"/>
    <w:rsid w:val="00191883"/>
    <w:rsid w:val="00191DDF"/>
    <w:rsid w:val="00191FB3"/>
    <w:rsid w:val="0019253D"/>
    <w:rsid w:val="001937B2"/>
    <w:rsid w:val="00193820"/>
    <w:rsid w:val="001938F8"/>
    <w:rsid w:val="00193993"/>
    <w:rsid w:val="00194398"/>
    <w:rsid w:val="001946DB"/>
    <w:rsid w:val="00194A16"/>
    <w:rsid w:val="00195E3A"/>
    <w:rsid w:val="00196EF3"/>
    <w:rsid w:val="00197479"/>
    <w:rsid w:val="00197B1F"/>
    <w:rsid w:val="00197E58"/>
    <w:rsid w:val="001A0C19"/>
    <w:rsid w:val="001A15E8"/>
    <w:rsid w:val="001A1760"/>
    <w:rsid w:val="001A18A0"/>
    <w:rsid w:val="001A256F"/>
    <w:rsid w:val="001A2690"/>
    <w:rsid w:val="001A286A"/>
    <w:rsid w:val="001A2A79"/>
    <w:rsid w:val="001A2D3B"/>
    <w:rsid w:val="001A2DB4"/>
    <w:rsid w:val="001A3254"/>
    <w:rsid w:val="001A38A9"/>
    <w:rsid w:val="001A3D7D"/>
    <w:rsid w:val="001A3F05"/>
    <w:rsid w:val="001A4902"/>
    <w:rsid w:val="001A4C0F"/>
    <w:rsid w:val="001A600B"/>
    <w:rsid w:val="001A6104"/>
    <w:rsid w:val="001A61E9"/>
    <w:rsid w:val="001A6D22"/>
    <w:rsid w:val="001A7532"/>
    <w:rsid w:val="001A75F7"/>
    <w:rsid w:val="001A76E1"/>
    <w:rsid w:val="001A7F97"/>
    <w:rsid w:val="001B0737"/>
    <w:rsid w:val="001B09EC"/>
    <w:rsid w:val="001B0CFE"/>
    <w:rsid w:val="001B0FDA"/>
    <w:rsid w:val="001B138E"/>
    <w:rsid w:val="001B177E"/>
    <w:rsid w:val="001B1E58"/>
    <w:rsid w:val="001B1F07"/>
    <w:rsid w:val="001B2BA6"/>
    <w:rsid w:val="001B2DF2"/>
    <w:rsid w:val="001B3295"/>
    <w:rsid w:val="001B34A1"/>
    <w:rsid w:val="001B41F0"/>
    <w:rsid w:val="001B4478"/>
    <w:rsid w:val="001B49E5"/>
    <w:rsid w:val="001B4C06"/>
    <w:rsid w:val="001B4C07"/>
    <w:rsid w:val="001B5AF3"/>
    <w:rsid w:val="001B5CDB"/>
    <w:rsid w:val="001B624E"/>
    <w:rsid w:val="001B6400"/>
    <w:rsid w:val="001B6409"/>
    <w:rsid w:val="001B70DC"/>
    <w:rsid w:val="001B7161"/>
    <w:rsid w:val="001B725F"/>
    <w:rsid w:val="001B731A"/>
    <w:rsid w:val="001C0255"/>
    <w:rsid w:val="001C0BC3"/>
    <w:rsid w:val="001C14A1"/>
    <w:rsid w:val="001C225B"/>
    <w:rsid w:val="001C284B"/>
    <w:rsid w:val="001C2EEB"/>
    <w:rsid w:val="001C3064"/>
    <w:rsid w:val="001C3A3E"/>
    <w:rsid w:val="001C3FCA"/>
    <w:rsid w:val="001C43AB"/>
    <w:rsid w:val="001C4463"/>
    <w:rsid w:val="001C4DA2"/>
    <w:rsid w:val="001C505A"/>
    <w:rsid w:val="001C514A"/>
    <w:rsid w:val="001C528E"/>
    <w:rsid w:val="001C5505"/>
    <w:rsid w:val="001C556C"/>
    <w:rsid w:val="001C55F5"/>
    <w:rsid w:val="001C59D1"/>
    <w:rsid w:val="001C59F4"/>
    <w:rsid w:val="001C5BF0"/>
    <w:rsid w:val="001C5F3D"/>
    <w:rsid w:val="001C61A2"/>
    <w:rsid w:val="001C63C8"/>
    <w:rsid w:val="001C686A"/>
    <w:rsid w:val="001C69AD"/>
    <w:rsid w:val="001C6A8E"/>
    <w:rsid w:val="001C6F3A"/>
    <w:rsid w:val="001C6F48"/>
    <w:rsid w:val="001C72AF"/>
    <w:rsid w:val="001C755A"/>
    <w:rsid w:val="001C78B6"/>
    <w:rsid w:val="001C7D0F"/>
    <w:rsid w:val="001C7D53"/>
    <w:rsid w:val="001D0EAB"/>
    <w:rsid w:val="001D133D"/>
    <w:rsid w:val="001D1885"/>
    <w:rsid w:val="001D1AE3"/>
    <w:rsid w:val="001D1F6D"/>
    <w:rsid w:val="001D2329"/>
    <w:rsid w:val="001D25E0"/>
    <w:rsid w:val="001D2EC6"/>
    <w:rsid w:val="001D2F47"/>
    <w:rsid w:val="001D3A70"/>
    <w:rsid w:val="001D3DF1"/>
    <w:rsid w:val="001D40B5"/>
    <w:rsid w:val="001D4263"/>
    <w:rsid w:val="001D453A"/>
    <w:rsid w:val="001D48DD"/>
    <w:rsid w:val="001D4CA3"/>
    <w:rsid w:val="001D5191"/>
    <w:rsid w:val="001D51D8"/>
    <w:rsid w:val="001D55A7"/>
    <w:rsid w:val="001D5EE5"/>
    <w:rsid w:val="001D64CE"/>
    <w:rsid w:val="001D7470"/>
    <w:rsid w:val="001D7910"/>
    <w:rsid w:val="001E0022"/>
    <w:rsid w:val="001E09F3"/>
    <w:rsid w:val="001E0BF5"/>
    <w:rsid w:val="001E0D9A"/>
    <w:rsid w:val="001E0E2F"/>
    <w:rsid w:val="001E1132"/>
    <w:rsid w:val="001E19F9"/>
    <w:rsid w:val="001E1D9A"/>
    <w:rsid w:val="001E21D3"/>
    <w:rsid w:val="001E290E"/>
    <w:rsid w:val="001E2915"/>
    <w:rsid w:val="001E2CC4"/>
    <w:rsid w:val="001E310D"/>
    <w:rsid w:val="001E33BD"/>
    <w:rsid w:val="001E3472"/>
    <w:rsid w:val="001E3B17"/>
    <w:rsid w:val="001E3B90"/>
    <w:rsid w:val="001E4120"/>
    <w:rsid w:val="001E4753"/>
    <w:rsid w:val="001E52F4"/>
    <w:rsid w:val="001E57B6"/>
    <w:rsid w:val="001E5DC3"/>
    <w:rsid w:val="001E600B"/>
    <w:rsid w:val="001E624C"/>
    <w:rsid w:val="001E66CC"/>
    <w:rsid w:val="001E67F5"/>
    <w:rsid w:val="001E7180"/>
    <w:rsid w:val="001E726D"/>
    <w:rsid w:val="001E73F0"/>
    <w:rsid w:val="001E762E"/>
    <w:rsid w:val="001E7B2C"/>
    <w:rsid w:val="001F056C"/>
    <w:rsid w:val="001F09B1"/>
    <w:rsid w:val="001F0A90"/>
    <w:rsid w:val="001F0FBF"/>
    <w:rsid w:val="001F154F"/>
    <w:rsid w:val="001F16A5"/>
    <w:rsid w:val="001F20A6"/>
    <w:rsid w:val="001F3917"/>
    <w:rsid w:val="001F3AFB"/>
    <w:rsid w:val="001F3CC1"/>
    <w:rsid w:val="001F4017"/>
    <w:rsid w:val="001F45D6"/>
    <w:rsid w:val="001F476C"/>
    <w:rsid w:val="001F4917"/>
    <w:rsid w:val="001F4D08"/>
    <w:rsid w:val="001F5CA2"/>
    <w:rsid w:val="001F604A"/>
    <w:rsid w:val="001F63C9"/>
    <w:rsid w:val="001F6402"/>
    <w:rsid w:val="001F7363"/>
    <w:rsid w:val="001F7681"/>
    <w:rsid w:val="001F79E1"/>
    <w:rsid w:val="001F7D14"/>
    <w:rsid w:val="001F7D5B"/>
    <w:rsid w:val="001F7E6F"/>
    <w:rsid w:val="002002B7"/>
    <w:rsid w:val="0020099B"/>
    <w:rsid w:val="00200D19"/>
    <w:rsid w:val="00201665"/>
    <w:rsid w:val="00201B22"/>
    <w:rsid w:val="002023E9"/>
    <w:rsid w:val="0020283B"/>
    <w:rsid w:val="00202854"/>
    <w:rsid w:val="00202917"/>
    <w:rsid w:val="00203CDA"/>
    <w:rsid w:val="002044FB"/>
    <w:rsid w:val="002045AC"/>
    <w:rsid w:val="0020483F"/>
    <w:rsid w:val="00204D77"/>
    <w:rsid w:val="00205282"/>
    <w:rsid w:val="0020665F"/>
    <w:rsid w:val="0020675E"/>
    <w:rsid w:val="00206FA8"/>
    <w:rsid w:val="00207095"/>
    <w:rsid w:val="00207417"/>
    <w:rsid w:val="002076F7"/>
    <w:rsid w:val="00207799"/>
    <w:rsid w:val="00207911"/>
    <w:rsid w:val="00207A01"/>
    <w:rsid w:val="00207C5C"/>
    <w:rsid w:val="0020A8BD"/>
    <w:rsid w:val="00210690"/>
    <w:rsid w:val="002108A2"/>
    <w:rsid w:val="00210D9A"/>
    <w:rsid w:val="002110A9"/>
    <w:rsid w:val="0021145B"/>
    <w:rsid w:val="002115F1"/>
    <w:rsid w:val="00211646"/>
    <w:rsid w:val="00211668"/>
    <w:rsid w:val="002116FA"/>
    <w:rsid w:val="00211C66"/>
    <w:rsid w:val="0021200B"/>
    <w:rsid w:val="00212277"/>
    <w:rsid w:val="00212442"/>
    <w:rsid w:val="00212584"/>
    <w:rsid w:val="00212F7B"/>
    <w:rsid w:val="00213447"/>
    <w:rsid w:val="00213633"/>
    <w:rsid w:val="00213B07"/>
    <w:rsid w:val="002150BB"/>
    <w:rsid w:val="00216275"/>
    <w:rsid w:val="0021629C"/>
    <w:rsid w:val="0021648D"/>
    <w:rsid w:val="00216D21"/>
    <w:rsid w:val="00216DEB"/>
    <w:rsid w:val="00217589"/>
    <w:rsid w:val="00217753"/>
    <w:rsid w:val="00217875"/>
    <w:rsid w:val="002179A7"/>
    <w:rsid w:val="00217D72"/>
    <w:rsid w:val="00217FB7"/>
    <w:rsid w:val="00220113"/>
    <w:rsid w:val="00220384"/>
    <w:rsid w:val="002203F3"/>
    <w:rsid w:val="002206EC"/>
    <w:rsid w:val="00221247"/>
    <w:rsid w:val="00221292"/>
    <w:rsid w:val="00221309"/>
    <w:rsid w:val="0022195F"/>
    <w:rsid w:val="00221A25"/>
    <w:rsid w:val="00221AC0"/>
    <w:rsid w:val="00221D62"/>
    <w:rsid w:val="00221EEA"/>
    <w:rsid w:val="00222636"/>
    <w:rsid w:val="002228F1"/>
    <w:rsid w:val="00222E78"/>
    <w:rsid w:val="0022342D"/>
    <w:rsid w:val="002235B0"/>
    <w:rsid w:val="00223861"/>
    <w:rsid w:val="00223A64"/>
    <w:rsid w:val="00224688"/>
    <w:rsid w:val="002246FB"/>
    <w:rsid w:val="002249B3"/>
    <w:rsid w:val="00225349"/>
    <w:rsid w:val="0022547D"/>
    <w:rsid w:val="00225682"/>
    <w:rsid w:val="00225F48"/>
    <w:rsid w:val="002264AE"/>
    <w:rsid w:val="0022695F"/>
    <w:rsid w:val="00226AF4"/>
    <w:rsid w:val="00226D0F"/>
    <w:rsid w:val="002277AE"/>
    <w:rsid w:val="0022788E"/>
    <w:rsid w:val="00227948"/>
    <w:rsid w:val="00227FBE"/>
    <w:rsid w:val="00230894"/>
    <w:rsid w:val="0023099F"/>
    <w:rsid w:val="00231190"/>
    <w:rsid w:val="002314D6"/>
    <w:rsid w:val="00231651"/>
    <w:rsid w:val="002316AB"/>
    <w:rsid w:val="00231B29"/>
    <w:rsid w:val="00231F68"/>
    <w:rsid w:val="00232094"/>
    <w:rsid w:val="0023218C"/>
    <w:rsid w:val="00232AB5"/>
    <w:rsid w:val="00232CA4"/>
    <w:rsid w:val="00232CA5"/>
    <w:rsid w:val="00233039"/>
    <w:rsid w:val="002330C7"/>
    <w:rsid w:val="00233265"/>
    <w:rsid w:val="0023367D"/>
    <w:rsid w:val="00233CE4"/>
    <w:rsid w:val="00234C4E"/>
    <w:rsid w:val="00234E98"/>
    <w:rsid w:val="002350FE"/>
    <w:rsid w:val="0023526D"/>
    <w:rsid w:val="002361A3"/>
    <w:rsid w:val="002362EF"/>
    <w:rsid w:val="0023648E"/>
    <w:rsid w:val="00236F9E"/>
    <w:rsid w:val="0023749B"/>
    <w:rsid w:val="0023792C"/>
    <w:rsid w:val="00237ADA"/>
    <w:rsid w:val="00237B2B"/>
    <w:rsid w:val="00237BF1"/>
    <w:rsid w:val="00237E1F"/>
    <w:rsid w:val="00237EA1"/>
    <w:rsid w:val="00240471"/>
    <w:rsid w:val="00240809"/>
    <w:rsid w:val="00240C9C"/>
    <w:rsid w:val="00240D32"/>
    <w:rsid w:val="002414AC"/>
    <w:rsid w:val="002415EA"/>
    <w:rsid w:val="00241AC8"/>
    <w:rsid w:val="002420CB"/>
    <w:rsid w:val="00242D2E"/>
    <w:rsid w:val="0024388A"/>
    <w:rsid w:val="00243B92"/>
    <w:rsid w:val="00243EA0"/>
    <w:rsid w:val="0024404F"/>
    <w:rsid w:val="0024408C"/>
    <w:rsid w:val="0024447B"/>
    <w:rsid w:val="00244711"/>
    <w:rsid w:val="0024546A"/>
    <w:rsid w:val="0024584E"/>
    <w:rsid w:val="00245C5D"/>
    <w:rsid w:val="002460BD"/>
    <w:rsid w:val="002463DF"/>
    <w:rsid w:val="0024670B"/>
    <w:rsid w:val="0024679D"/>
    <w:rsid w:val="00246C07"/>
    <w:rsid w:val="00246F0D"/>
    <w:rsid w:val="00247071"/>
    <w:rsid w:val="0024738D"/>
    <w:rsid w:val="00247AA3"/>
    <w:rsid w:val="00247B87"/>
    <w:rsid w:val="00247C32"/>
    <w:rsid w:val="00247D15"/>
    <w:rsid w:val="00247E82"/>
    <w:rsid w:val="002503F2"/>
    <w:rsid w:val="0025106C"/>
    <w:rsid w:val="0025128C"/>
    <w:rsid w:val="00251607"/>
    <w:rsid w:val="00251ABD"/>
    <w:rsid w:val="00251CF4"/>
    <w:rsid w:val="00252889"/>
    <w:rsid w:val="00252973"/>
    <w:rsid w:val="00252E2D"/>
    <w:rsid w:val="00252EA6"/>
    <w:rsid w:val="00252F02"/>
    <w:rsid w:val="0025339A"/>
    <w:rsid w:val="002537DC"/>
    <w:rsid w:val="00253C73"/>
    <w:rsid w:val="00254956"/>
    <w:rsid w:val="00254EB7"/>
    <w:rsid w:val="00255021"/>
    <w:rsid w:val="00255154"/>
    <w:rsid w:val="00255299"/>
    <w:rsid w:val="00255C0C"/>
    <w:rsid w:val="0025623B"/>
    <w:rsid w:val="002564CE"/>
    <w:rsid w:val="00256BD9"/>
    <w:rsid w:val="00256CE9"/>
    <w:rsid w:val="0025713B"/>
    <w:rsid w:val="002576DA"/>
    <w:rsid w:val="002579AF"/>
    <w:rsid w:val="00257A24"/>
    <w:rsid w:val="00257BBB"/>
    <w:rsid w:val="0026037D"/>
    <w:rsid w:val="0026066A"/>
    <w:rsid w:val="00260981"/>
    <w:rsid w:val="002610AC"/>
    <w:rsid w:val="0026172A"/>
    <w:rsid w:val="0026173B"/>
    <w:rsid w:val="00261929"/>
    <w:rsid w:val="00261BF6"/>
    <w:rsid w:val="002621EF"/>
    <w:rsid w:val="002622A2"/>
    <w:rsid w:val="002626AF"/>
    <w:rsid w:val="00262A47"/>
    <w:rsid w:val="00262A7F"/>
    <w:rsid w:val="002635BD"/>
    <w:rsid w:val="00263965"/>
    <w:rsid w:val="00263B58"/>
    <w:rsid w:val="00263DF7"/>
    <w:rsid w:val="00264478"/>
    <w:rsid w:val="00264DBA"/>
    <w:rsid w:val="00264FB9"/>
    <w:rsid w:val="00265138"/>
    <w:rsid w:val="00265796"/>
    <w:rsid w:val="00265B9D"/>
    <w:rsid w:val="00265BFC"/>
    <w:rsid w:val="00266089"/>
    <w:rsid w:val="0026636F"/>
    <w:rsid w:val="00266653"/>
    <w:rsid w:val="00266FF6"/>
    <w:rsid w:val="00267B8C"/>
    <w:rsid w:val="0027034F"/>
    <w:rsid w:val="002705FA"/>
    <w:rsid w:val="002706E7"/>
    <w:rsid w:val="0027078C"/>
    <w:rsid w:val="00271180"/>
    <w:rsid w:val="00271507"/>
    <w:rsid w:val="00272F36"/>
    <w:rsid w:val="002735F6"/>
    <w:rsid w:val="00273984"/>
    <w:rsid w:val="00273B2A"/>
    <w:rsid w:val="00274409"/>
    <w:rsid w:val="00274472"/>
    <w:rsid w:val="00274854"/>
    <w:rsid w:val="00274A86"/>
    <w:rsid w:val="00274A95"/>
    <w:rsid w:val="0027531D"/>
    <w:rsid w:val="0027559C"/>
    <w:rsid w:val="00275707"/>
    <w:rsid w:val="002757FE"/>
    <w:rsid w:val="00275BFD"/>
    <w:rsid w:val="002762EE"/>
    <w:rsid w:val="002763AD"/>
    <w:rsid w:val="00276455"/>
    <w:rsid w:val="002765AA"/>
    <w:rsid w:val="00276701"/>
    <w:rsid w:val="00276E1E"/>
    <w:rsid w:val="002778F7"/>
    <w:rsid w:val="00277CA0"/>
    <w:rsid w:val="00277FB9"/>
    <w:rsid w:val="002804A0"/>
    <w:rsid w:val="00280929"/>
    <w:rsid w:val="00280E83"/>
    <w:rsid w:val="00281347"/>
    <w:rsid w:val="00281B8F"/>
    <w:rsid w:val="00281CF7"/>
    <w:rsid w:val="002823F3"/>
    <w:rsid w:val="00282644"/>
    <w:rsid w:val="002831B7"/>
    <w:rsid w:val="00283213"/>
    <w:rsid w:val="00283509"/>
    <w:rsid w:val="00283B05"/>
    <w:rsid w:val="00283F65"/>
    <w:rsid w:val="00285598"/>
    <w:rsid w:val="00285B8C"/>
    <w:rsid w:val="00285C84"/>
    <w:rsid w:val="002863E9"/>
    <w:rsid w:val="00286868"/>
    <w:rsid w:val="002868A2"/>
    <w:rsid w:val="00286A95"/>
    <w:rsid w:val="00287007"/>
    <w:rsid w:val="002873DF"/>
    <w:rsid w:val="002874A1"/>
    <w:rsid w:val="00287CC3"/>
    <w:rsid w:val="00287E21"/>
    <w:rsid w:val="00290403"/>
    <w:rsid w:val="0029094A"/>
    <w:rsid w:val="00290985"/>
    <w:rsid w:val="00290A14"/>
    <w:rsid w:val="00290F7B"/>
    <w:rsid w:val="0029104A"/>
    <w:rsid w:val="002913EF"/>
    <w:rsid w:val="002915EF"/>
    <w:rsid w:val="00291765"/>
    <w:rsid w:val="0029236F"/>
    <w:rsid w:val="002924F7"/>
    <w:rsid w:val="00293418"/>
    <w:rsid w:val="00293AE0"/>
    <w:rsid w:val="00293F17"/>
    <w:rsid w:val="00294092"/>
    <w:rsid w:val="0029409A"/>
    <w:rsid w:val="002941FD"/>
    <w:rsid w:val="0029473D"/>
    <w:rsid w:val="00295366"/>
    <w:rsid w:val="0029546B"/>
    <w:rsid w:val="00295943"/>
    <w:rsid w:val="00295A31"/>
    <w:rsid w:val="00296B6E"/>
    <w:rsid w:val="002972DB"/>
    <w:rsid w:val="002976CD"/>
    <w:rsid w:val="002A0051"/>
    <w:rsid w:val="002A05E8"/>
    <w:rsid w:val="002A07B3"/>
    <w:rsid w:val="002A0C5F"/>
    <w:rsid w:val="002A0D4E"/>
    <w:rsid w:val="002A106E"/>
    <w:rsid w:val="002A15F6"/>
    <w:rsid w:val="002A179E"/>
    <w:rsid w:val="002A184D"/>
    <w:rsid w:val="002A1C2B"/>
    <w:rsid w:val="002A1D4B"/>
    <w:rsid w:val="002A27B0"/>
    <w:rsid w:val="002A2994"/>
    <w:rsid w:val="002A2BCA"/>
    <w:rsid w:val="002A3450"/>
    <w:rsid w:val="002A3DF1"/>
    <w:rsid w:val="002A3E6D"/>
    <w:rsid w:val="002A3FAE"/>
    <w:rsid w:val="002A4611"/>
    <w:rsid w:val="002A4B00"/>
    <w:rsid w:val="002A530C"/>
    <w:rsid w:val="002A58FB"/>
    <w:rsid w:val="002A5C8E"/>
    <w:rsid w:val="002A5E8F"/>
    <w:rsid w:val="002A5EFB"/>
    <w:rsid w:val="002A6310"/>
    <w:rsid w:val="002A6432"/>
    <w:rsid w:val="002A67B5"/>
    <w:rsid w:val="002A689A"/>
    <w:rsid w:val="002A6C8D"/>
    <w:rsid w:val="002A6D40"/>
    <w:rsid w:val="002A716D"/>
    <w:rsid w:val="002A73FE"/>
    <w:rsid w:val="002A7696"/>
    <w:rsid w:val="002A7ACC"/>
    <w:rsid w:val="002A7BF0"/>
    <w:rsid w:val="002B0131"/>
    <w:rsid w:val="002B04EF"/>
    <w:rsid w:val="002B06C1"/>
    <w:rsid w:val="002B0F4E"/>
    <w:rsid w:val="002B10F1"/>
    <w:rsid w:val="002B12B0"/>
    <w:rsid w:val="002B1653"/>
    <w:rsid w:val="002B1D81"/>
    <w:rsid w:val="002B1F7D"/>
    <w:rsid w:val="002B27C8"/>
    <w:rsid w:val="002B29AF"/>
    <w:rsid w:val="002B2A08"/>
    <w:rsid w:val="002B3AC8"/>
    <w:rsid w:val="002B3BC5"/>
    <w:rsid w:val="002B3E1B"/>
    <w:rsid w:val="002B40FC"/>
    <w:rsid w:val="002B4534"/>
    <w:rsid w:val="002B4724"/>
    <w:rsid w:val="002B5414"/>
    <w:rsid w:val="002B59D9"/>
    <w:rsid w:val="002B5F9C"/>
    <w:rsid w:val="002B6260"/>
    <w:rsid w:val="002B65D3"/>
    <w:rsid w:val="002B7445"/>
    <w:rsid w:val="002B755A"/>
    <w:rsid w:val="002B7657"/>
    <w:rsid w:val="002B7968"/>
    <w:rsid w:val="002B7D22"/>
    <w:rsid w:val="002B7D45"/>
    <w:rsid w:val="002C00C5"/>
    <w:rsid w:val="002C046A"/>
    <w:rsid w:val="002C0D29"/>
    <w:rsid w:val="002C103B"/>
    <w:rsid w:val="002C11FE"/>
    <w:rsid w:val="002C12CF"/>
    <w:rsid w:val="002C1847"/>
    <w:rsid w:val="002C1C01"/>
    <w:rsid w:val="002C2DC9"/>
    <w:rsid w:val="002C3183"/>
    <w:rsid w:val="002C32F6"/>
    <w:rsid w:val="002C3344"/>
    <w:rsid w:val="002C3476"/>
    <w:rsid w:val="002C34AB"/>
    <w:rsid w:val="002C3D59"/>
    <w:rsid w:val="002C4BE8"/>
    <w:rsid w:val="002C4CB0"/>
    <w:rsid w:val="002C4E61"/>
    <w:rsid w:val="002C4FD4"/>
    <w:rsid w:val="002C52E8"/>
    <w:rsid w:val="002C5394"/>
    <w:rsid w:val="002C5768"/>
    <w:rsid w:val="002C5828"/>
    <w:rsid w:val="002C5914"/>
    <w:rsid w:val="002C5AF2"/>
    <w:rsid w:val="002C5BC5"/>
    <w:rsid w:val="002C5D02"/>
    <w:rsid w:val="002C5D2C"/>
    <w:rsid w:val="002C66F2"/>
    <w:rsid w:val="002C6AB9"/>
    <w:rsid w:val="002C6B36"/>
    <w:rsid w:val="002C6F94"/>
    <w:rsid w:val="002C76C1"/>
    <w:rsid w:val="002C781E"/>
    <w:rsid w:val="002D0BD4"/>
    <w:rsid w:val="002D1082"/>
    <w:rsid w:val="002D13DF"/>
    <w:rsid w:val="002D142F"/>
    <w:rsid w:val="002D1492"/>
    <w:rsid w:val="002D16CD"/>
    <w:rsid w:val="002D1746"/>
    <w:rsid w:val="002D19F9"/>
    <w:rsid w:val="002D1BA0"/>
    <w:rsid w:val="002D1CE9"/>
    <w:rsid w:val="002D1FDA"/>
    <w:rsid w:val="002D2F87"/>
    <w:rsid w:val="002D3025"/>
    <w:rsid w:val="002D31F9"/>
    <w:rsid w:val="002D353C"/>
    <w:rsid w:val="002D3A19"/>
    <w:rsid w:val="002D3C1D"/>
    <w:rsid w:val="002D44CD"/>
    <w:rsid w:val="002D4F47"/>
    <w:rsid w:val="002D59FE"/>
    <w:rsid w:val="002D5DF0"/>
    <w:rsid w:val="002D6418"/>
    <w:rsid w:val="002D643D"/>
    <w:rsid w:val="002D68AE"/>
    <w:rsid w:val="002D7687"/>
    <w:rsid w:val="002D7FBC"/>
    <w:rsid w:val="002E0838"/>
    <w:rsid w:val="002E0B9C"/>
    <w:rsid w:val="002E0D80"/>
    <w:rsid w:val="002E0E21"/>
    <w:rsid w:val="002E0FF9"/>
    <w:rsid w:val="002E13D0"/>
    <w:rsid w:val="002E14ED"/>
    <w:rsid w:val="002E1582"/>
    <w:rsid w:val="002E21FE"/>
    <w:rsid w:val="002E2313"/>
    <w:rsid w:val="002E25EE"/>
    <w:rsid w:val="002E26F1"/>
    <w:rsid w:val="002E2AE2"/>
    <w:rsid w:val="002E2D2B"/>
    <w:rsid w:val="002E2F4C"/>
    <w:rsid w:val="002E343F"/>
    <w:rsid w:val="002E39B0"/>
    <w:rsid w:val="002E4069"/>
    <w:rsid w:val="002E4204"/>
    <w:rsid w:val="002E5A1B"/>
    <w:rsid w:val="002E5B5A"/>
    <w:rsid w:val="002E5C40"/>
    <w:rsid w:val="002E5F8A"/>
    <w:rsid w:val="002E61D4"/>
    <w:rsid w:val="002E6364"/>
    <w:rsid w:val="002E64A7"/>
    <w:rsid w:val="002E680F"/>
    <w:rsid w:val="002E6DD9"/>
    <w:rsid w:val="002E6FA9"/>
    <w:rsid w:val="002E71B8"/>
    <w:rsid w:val="002E73A5"/>
    <w:rsid w:val="002E7600"/>
    <w:rsid w:val="002E77C3"/>
    <w:rsid w:val="002E7B42"/>
    <w:rsid w:val="002F0347"/>
    <w:rsid w:val="002F056E"/>
    <w:rsid w:val="002F060E"/>
    <w:rsid w:val="002F0F8D"/>
    <w:rsid w:val="002F14B5"/>
    <w:rsid w:val="002F14E3"/>
    <w:rsid w:val="002F162D"/>
    <w:rsid w:val="002F189A"/>
    <w:rsid w:val="002F1ACF"/>
    <w:rsid w:val="002F2A20"/>
    <w:rsid w:val="002F2A53"/>
    <w:rsid w:val="002F308F"/>
    <w:rsid w:val="002F315B"/>
    <w:rsid w:val="002F399C"/>
    <w:rsid w:val="002F3D6B"/>
    <w:rsid w:val="002F4065"/>
    <w:rsid w:val="002F41DF"/>
    <w:rsid w:val="002F4686"/>
    <w:rsid w:val="002F4B6C"/>
    <w:rsid w:val="002F518E"/>
    <w:rsid w:val="002F5291"/>
    <w:rsid w:val="002F57F7"/>
    <w:rsid w:val="002F5BAB"/>
    <w:rsid w:val="002F6308"/>
    <w:rsid w:val="002F6B28"/>
    <w:rsid w:val="002F6CB7"/>
    <w:rsid w:val="002F78F0"/>
    <w:rsid w:val="00300F74"/>
    <w:rsid w:val="003016E1"/>
    <w:rsid w:val="00301C27"/>
    <w:rsid w:val="0030230A"/>
    <w:rsid w:val="00302EFE"/>
    <w:rsid w:val="00302FA3"/>
    <w:rsid w:val="0030300C"/>
    <w:rsid w:val="00303D00"/>
    <w:rsid w:val="00304711"/>
    <w:rsid w:val="00305BE5"/>
    <w:rsid w:val="00305FC3"/>
    <w:rsid w:val="0030608C"/>
    <w:rsid w:val="0030621F"/>
    <w:rsid w:val="003062E4"/>
    <w:rsid w:val="00306610"/>
    <w:rsid w:val="00306A7C"/>
    <w:rsid w:val="00306B40"/>
    <w:rsid w:val="00306D8D"/>
    <w:rsid w:val="00307063"/>
    <w:rsid w:val="003074DD"/>
    <w:rsid w:val="0030765F"/>
    <w:rsid w:val="00307D9E"/>
    <w:rsid w:val="00307E40"/>
    <w:rsid w:val="003104EA"/>
    <w:rsid w:val="003108DB"/>
    <w:rsid w:val="00310A87"/>
    <w:rsid w:val="00310BE5"/>
    <w:rsid w:val="00310EA6"/>
    <w:rsid w:val="00310ED4"/>
    <w:rsid w:val="0031120D"/>
    <w:rsid w:val="003117B0"/>
    <w:rsid w:val="00311ED2"/>
    <w:rsid w:val="00312262"/>
    <w:rsid w:val="00312623"/>
    <w:rsid w:val="00312676"/>
    <w:rsid w:val="003129D8"/>
    <w:rsid w:val="00312C17"/>
    <w:rsid w:val="00313023"/>
    <w:rsid w:val="0031341C"/>
    <w:rsid w:val="0031345A"/>
    <w:rsid w:val="00313722"/>
    <w:rsid w:val="00313A69"/>
    <w:rsid w:val="00313D39"/>
    <w:rsid w:val="00313ECC"/>
    <w:rsid w:val="003143EA"/>
    <w:rsid w:val="0031482B"/>
    <w:rsid w:val="0031498E"/>
    <w:rsid w:val="00314A12"/>
    <w:rsid w:val="00315B8B"/>
    <w:rsid w:val="00315D90"/>
    <w:rsid w:val="00315F89"/>
    <w:rsid w:val="00316C4E"/>
    <w:rsid w:val="00316CB8"/>
    <w:rsid w:val="003175C2"/>
    <w:rsid w:val="00317605"/>
    <w:rsid w:val="0031791E"/>
    <w:rsid w:val="00317985"/>
    <w:rsid w:val="00320097"/>
    <w:rsid w:val="00320914"/>
    <w:rsid w:val="00320CDE"/>
    <w:rsid w:val="0032105E"/>
    <w:rsid w:val="0032184A"/>
    <w:rsid w:val="00321BA4"/>
    <w:rsid w:val="0032256C"/>
    <w:rsid w:val="00322C2D"/>
    <w:rsid w:val="00322CAB"/>
    <w:rsid w:val="003233DD"/>
    <w:rsid w:val="003234E1"/>
    <w:rsid w:val="003235B6"/>
    <w:rsid w:val="0032398B"/>
    <w:rsid w:val="00323C2C"/>
    <w:rsid w:val="00323E63"/>
    <w:rsid w:val="003247B1"/>
    <w:rsid w:val="00324ED4"/>
    <w:rsid w:val="0032531D"/>
    <w:rsid w:val="003253A9"/>
    <w:rsid w:val="00325774"/>
    <w:rsid w:val="003264B4"/>
    <w:rsid w:val="00326E49"/>
    <w:rsid w:val="003276A0"/>
    <w:rsid w:val="003278C6"/>
    <w:rsid w:val="00327C83"/>
    <w:rsid w:val="00330030"/>
    <w:rsid w:val="00330138"/>
    <w:rsid w:val="003302C0"/>
    <w:rsid w:val="003304E7"/>
    <w:rsid w:val="0033050D"/>
    <w:rsid w:val="00330842"/>
    <w:rsid w:val="003308A9"/>
    <w:rsid w:val="00331016"/>
    <w:rsid w:val="003313A3"/>
    <w:rsid w:val="00331784"/>
    <w:rsid w:val="0033245A"/>
    <w:rsid w:val="00332E37"/>
    <w:rsid w:val="00333013"/>
    <w:rsid w:val="00333411"/>
    <w:rsid w:val="00333619"/>
    <w:rsid w:val="00333AA2"/>
    <w:rsid w:val="00333AB2"/>
    <w:rsid w:val="00333D52"/>
    <w:rsid w:val="00334148"/>
    <w:rsid w:val="00334312"/>
    <w:rsid w:val="0033451E"/>
    <w:rsid w:val="0033483D"/>
    <w:rsid w:val="00334AD3"/>
    <w:rsid w:val="00334D56"/>
    <w:rsid w:val="00334DC5"/>
    <w:rsid w:val="003352F4"/>
    <w:rsid w:val="003356AD"/>
    <w:rsid w:val="00335A65"/>
    <w:rsid w:val="00335B82"/>
    <w:rsid w:val="00335CCE"/>
    <w:rsid w:val="00335E8A"/>
    <w:rsid w:val="00336083"/>
    <w:rsid w:val="0033618B"/>
    <w:rsid w:val="003361E4"/>
    <w:rsid w:val="003370FA"/>
    <w:rsid w:val="00337BD1"/>
    <w:rsid w:val="00340C41"/>
    <w:rsid w:val="00340E24"/>
    <w:rsid w:val="00341668"/>
    <w:rsid w:val="00341DB0"/>
    <w:rsid w:val="00341F2E"/>
    <w:rsid w:val="00342775"/>
    <w:rsid w:val="003427F9"/>
    <w:rsid w:val="003428BF"/>
    <w:rsid w:val="00343118"/>
    <w:rsid w:val="003437A2"/>
    <w:rsid w:val="0034398D"/>
    <w:rsid w:val="00343C0F"/>
    <w:rsid w:val="003441D7"/>
    <w:rsid w:val="003446F4"/>
    <w:rsid w:val="00344A80"/>
    <w:rsid w:val="00344D98"/>
    <w:rsid w:val="003453D8"/>
    <w:rsid w:val="00345D40"/>
    <w:rsid w:val="00345D82"/>
    <w:rsid w:val="003462B6"/>
    <w:rsid w:val="00346465"/>
    <w:rsid w:val="003468FD"/>
    <w:rsid w:val="0034738B"/>
    <w:rsid w:val="003473BE"/>
    <w:rsid w:val="00347B46"/>
    <w:rsid w:val="00347CE0"/>
    <w:rsid w:val="0035025A"/>
    <w:rsid w:val="0035035D"/>
    <w:rsid w:val="003506E6"/>
    <w:rsid w:val="00350CC1"/>
    <w:rsid w:val="003516C2"/>
    <w:rsid w:val="003518E6"/>
    <w:rsid w:val="00351A9B"/>
    <w:rsid w:val="00352E84"/>
    <w:rsid w:val="00352ECD"/>
    <w:rsid w:val="0035335D"/>
    <w:rsid w:val="00353549"/>
    <w:rsid w:val="003535D1"/>
    <w:rsid w:val="00353E14"/>
    <w:rsid w:val="00353F3A"/>
    <w:rsid w:val="0035405D"/>
    <w:rsid w:val="0035423C"/>
    <w:rsid w:val="003546B4"/>
    <w:rsid w:val="003546BB"/>
    <w:rsid w:val="0035487A"/>
    <w:rsid w:val="0035523C"/>
    <w:rsid w:val="0035572C"/>
    <w:rsid w:val="0035576A"/>
    <w:rsid w:val="0035584C"/>
    <w:rsid w:val="00355969"/>
    <w:rsid w:val="00355A15"/>
    <w:rsid w:val="00355C1B"/>
    <w:rsid w:val="00355C72"/>
    <w:rsid w:val="003565E5"/>
    <w:rsid w:val="0035722F"/>
    <w:rsid w:val="00357342"/>
    <w:rsid w:val="0035777A"/>
    <w:rsid w:val="003579B1"/>
    <w:rsid w:val="00357E6C"/>
    <w:rsid w:val="0036076D"/>
    <w:rsid w:val="00360970"/>
    <w:rsid w:val="00360C95"/>
    <w:rsid w:val="00360F41"/>
    <w:rsid w:val="00361444"/>
    <w:rsid w:val="0036170F"/>
    <w:rsid w:val="0036191C"/>
    <w:rsid w:val="0036263E"/>
    <w:rsid w:val="00363318"/>
    <w:rsid w:val="003634C1"/>
    <w:rsid w:val="003638D9"/>
    <w:rsid w:val="00363CE0"/>
    <w:rsid w:val="00364064"/>
    <w:rsid w:val="00364130"/>
    <w:rsid w:val="003641A8"/>
    <w:rsid w:val="0036486D"/>
    <w:rsid w:val="003648EC"/>
    <w:rsid w:val="00364BDA"/>
    <w:rsid w:val="00365895"/>
    <w:rsid w:val="00365926"/>
    <w:rsid w:val="00365B48"/>
    <w:rsid w:val="00365F74"/>
    <w:rsid w:val="003679BA"/>
    <w:rsid w:val="00367ED4"/>
    <w:rsid w:val="00370625"/>
    <w:rsid w:val="00370A58"/>
    <w:rsid w:val="00370CD8"/>
    <w:rsid w:val="00370F10"/>
    <w:rsid w:val="00371BC7"/>
    <w:rsid w:val="00372241"/>
    <w:rsid w:val="003727B5"/>
    <w:rsid w:val="00372AAA"/>
    <w:rsid w:val="00372C5F"/>
    <w:rsid w:val="00372DC5"/>
    <w:rsid w:val="0037465F"/>
    <w:rsid w:val="0037492E"/>
    <w:rsid w:val="00374CAD"/>
    <w:rsid w:val="003751B6"/>
    <w:rsid w:val="0037563A"/>
    <w:rsid w:val="00375871"/>
    <w:rsid w:val="00375F31"/>
    <w:rsid w:val="00376013"/>
    <w:rsid w:val="00376896"/>
    <w:rsid w:val="00376DC3"/>
    <w:rsid w:val="003771EB"/>
    <w:rsid w:val="003772C9"/>
    <w:rsid w:val="00377660"/>
    <w:rsid w:val="00377BEF"/>
    <w:rsid w:val="00380826"/>
    <w:rsid w:val="003808C3"/>
    <w:rsid w:val="0038113A"/>
    <w:rsid w:val="00381449"/>
    <w:rsid w:val="00381549"/>
    <w:rsid w:val="00381A01"/>
    <w:rsid w:val="00381B8A"/>
    <w:rsid w:val="00382360"/>
    <w:rsid w:val="003824DF"/>
    <w:rsid w:val="00382B39"/>
    <w:rsid w:val="00382C0E"/>
    <w:rsid w:val="003831B7"/>
    <w:rsid w:val="00383770"/>
    <w:rsid w:val="00383D90"/>
    <w:rsid w:val="0038428C"/>
    <w:rsid w:val="0038463E"/>
    <w:rsid w:val="00384B12"/>
    <w:rsid w:val="00385100"/>
    <w:rsid w:val="003855BE"/>
    <w:rsid w:val="00385B37"/>
    <w:rsid w:val="00385CE1"/>
    <w:rsid w:val="00385EA2"/>
    <w:rsid w:val="00386185"/>
    <w:rsid w:val="00386445"/>
    <w:rsid w:val="00386C59"/>
    <w:rsid w:val="0038753B"/>
    <w:rsid w:val="003878D1"/>
    <w:rsid w:val="003901B1"/>
    <w:rsid w:val="00390BDF"/>
    <w:rsid w:val="00392423"/>
    <w:rsid w:val="00393B74"/>
    <w:rsid w:val="00393C1F"/>
    <w:rsid w:val="003942DB"/>
    <w:rsid w:val="00394628"/>
    <w:rsid w:val="00394FD4"/>
    <w:rsid w:val="00395354"/>
    <w:rsid w:val="00395DDE"/>
    <w:rsid w:val="00395F72"/>
    <w:rsid w:val="003963BE"/>
    <w:rsid w:val="00396815"/>
    <w:rsid w:val="00396DBE"/>
    <w:rsid w:val="00397468"/>
    <w:rsid w:val="003A012B"/>
    <w:rsid w:val="003A1D5B"/>
    <w:rsid w:val="003A2604"/>
    <w:rsid w:val="003A2C97"/>
    <w:rsid w:val="003A313F"/>
    <w:rsid w:val="003A32E1"/>
    <w:rsid w:val="003A4186"/>
    <w:rsid w:val="003A4203"/>
    <w:rsid w:val="003A440C"/>
    <w:rsid w:val="003A4D4B"/>
    <w:rsid w:val="003A4F65"/>
    <w:rsid w:val="003A50C0"/>
    <w:rsid w:val="003A5ADE"/>
    <w:rsid w:val="003A5E52"/>
    <w:rsid w:val="003A6182"/>
    <w:rsid w:val="003A651D"/>
    <w:rsid w:val="003A69DA"/>
    <w:rsid w:val="003A6C2B"/>
    <w:rsid w:val="003A7041"/>
    <w:rsid w:val="003A7C58"/>
    <w:rsid w:val="003B0261"/>
    <w:rsid w:val="003B0432"/>
    <w:rsid w:val="003B082E"/>
    <w:rsid w:val="003B1B1A"/>
    <w:rsid w:val="003B2AD4"/>
    <w:rsid w:val="003B2B89"/>
    <w:rsid w:val="003B2D53"/>
    <w:rsid w:val="003B2E25"/>
    <w:rsid w:val="003B2EEA"/>
    <w:rsid w:val="003B3ADC"/>
    <w:rsid w:val="003B3B52"/>
    <w:rsid w:val="003B4432"/>
    <w:rsid w:val="003B44FE"/>
    <w:rsid w:val="003B46DA"/>
    <w:rsid w:val="003B478A"/>
    <w:rsid w:val="003B50B9"/>
    <w:rsid w:val="003B543F"/>
    <w:rsid w:val="003B5868"/>
    <w:rsid w:val="003B5ABF"/>
    <w:rsid w:val="003B5ACE"/>
    <w:rsid w:val="003B5F1C"/>
    <w:rsid w:val="003B620A"/>
    <w:rsid w:val="003B6705"/>
    <w:rsid w:val="003B741C"/>
    <w:rsid w:val="003B7625"/>
    <w:rsid w:val="003B767A"/>
    <w:rsid w:val="003B7826"/>
    <w:rsid w:val="003B7B66"/>
    <w:rsid w:val="003B7B75"/>
    <w:rsid w:val="003C02D5"/>
    <w:rsid w:val="003C034A"/>
    <w:rsid w:val="003C061C"/>
    <w:rsid w:val="003C0F65"/>
    <w:rsid w:val="003C12B5"/>
    <w:rsid w:val="003C14F6"/>
    <w:rsid w:val="003C152F"/>
    <w:rsid w:val="003C191F"/>
    <w:rsid w:val="003C1A67"/>
    <w:rsid w:val="003C20B6"/>
    <w:rsid w:val="003C235C"/>
    <w:rsid w:val="003C29A0"/>
    <w:rsid w:val="003C3466"/>
    <w:rsid w:val="003C3888"/>
    <w:rsid w:val="003C3E7F"/>
    <w:rsid w:val="003C47E7"/>
    <w:rsid w:val="003C5333"/>
    <w:rsid w:val="003C5499"/>
    <w:rsid w:val="003C573E"/>
    <w:rsid w:val="003C5BD9"/>
    <w:rsid w:val="003C5E0C"/>
    <w:rsid w:val="003C5FC5"/>
    <w:rsid w:val="003C732F"/>
    <w:rsid w:val="003C7677"/>
    <w:rsid w:val="003C780B"/>
    <w:rsid w:val="003C7E5C"/>
    <w:rsid w:val="003D0256"/>
    <w:rsid w:val="003D063F"/>
    <w:rsid w:val="003D0CBE"/>
    <w:rsid w:val="003D11B5"/>
    <w:rsid w:val="003D15A4"/>
    <w:rsid w:val="003D183E"/>
    <w:rsid w:val="003D197F"/>
    <w:rsid w:val="003D1CFC"/>
    <w:rsid w:val="003D1D30"/>
    <w:rsid w:val="003D1F58"/>
    <w:rsid w:val="003D2047"/>
    <w:rsid w:val="003D2052"/>
    <w:rsid w:val="003D22A9"/>
    <w:rsid w:val="003D297B"/>
    <w:rsid w:val="003D2CD2"/>
    <w:rsid w:val="003D2E2D"/>
    <w:rsid w:val="003D2FA2"/>
    <w:rsid w:val="003D30F5"/>
    <w:rsid w:val="003D3269"/>
    <w:rsid w:val="003D3DCB"/>
    <w:rsid w:val="003D3E2B"/>
    <w:rsid w:val="003D410D"/>
    <w:rsid w:val="003D42E3"/>
    <w:rsid w:val="003D446F"/>
    <w:rsid w:val="003D4866"/>
    <w:rsid w:val="003D4B09"/>
    <w:rsid w:val="003D4B4F"/>
    <w:rsid w:val="003D5455"/>
    <w:rsid w:val="003D5535"/>
    <w:rsid w:val="003D55B7"/>
    <w:rsid w:val="003D578B"/>
    <w:rsid w:val="003D5D6D"/>
    <w:rsid w:val="003D633E"/>
    <w:rsid w:val="003D6781"/>
    <w:rsid w:val="003D6CF9"/>
    <w:rsid w:val="003D6F45"/>
    <w:rsid w:val="003D6FE0"/>
    <w:rsid w:val="003D70FC"/>
    <w:rsid w:val="003D7D73"/>
    <w:rsid w:val="003D7E18"/>
    <w:rsid w:val="003E0089"/>
    <w:rsid w:val="003E00D7"/>
    <w:rsid w:val="003E022F"/>
    <w:rsid w:val="003E050B"/>
    <w:rsid w:val="003E071D"/>
    <w:rsid w:val="003E094F"/>
    <w:rsid w:val="003E0A4B"/>
    <w:rsid w:val="003E0AED"/>
    <w:rsid w:val="003E1019"/>
    <w:rsid w:val="003E1276"/>
    <w:rsid w:val="003E1300"/>
    <w:rsid w:val="003E13B1"/>
    <w:rsid w:val="003E156B"/>
    <w:rsid w:val="003E156F"/>
    <w:rsid w:val="003E17F5"/>
    <w:rsid w:val="003E1DAF"/>
    <w:rsid w:val="003E1EA9"/>
    <w:rsid w:val="003E24BD"/>
    <w:rsid w:val="003E24D6"/>
    <w:rsid w:val="003E266B"/>
    <w:rsid w:val="003E2B50"/>
    <w:rsid w:val="003E2D94"/>
    <w:rsid w:val="003E2E2F"/>
    <w:rsid w:val="003E2F46"/>
    <w:rsid w:val="003E2FBE"/>
    <w:rsid w:val="003E2FF2"/>
    <w:rsid w:val="003E300E"/>
    <w:rsid w:val="003E3D19"/>
    <w:rsid w:val="003E4553"/>
    <w:rsid w:val="003E49B2"/>
    <w:rsid w:val="003E4FF0"/>
    <w:rsid w:val="003E51AA"/>
    <w:rsid w:val="003E56A1"/>
    <w:rsid w:val="003E5E84"/>
    <w:rsid w:val="003E5EA0"/>
    <w:rsid w:val="003E6806"/>
    <w:rsid w:val="003E6A33"/>
    <w:rsid w:val="003E6ACA"/>
    <w:rsid w:val="003E6ADA"/>
    <w:rsid w:val="003E6B1F"/>
    <w:rsid w:val="003E6D39"/>
    <w:rsid w:val="003E7689"/>
    <w:rsid w:val="003E79CC"/>
    <w:rsid w:val="003E7FA2"/>
    <w:rsid w:val="003F009A"/>
    <w:rsid w:val="003F082E"/>
    <w:rsid w:val="003F0DC7"/>
    <w:rsid w:val="003F0E65"/>
    <w:rsid w:val="003F11E7"/>
    <w:rsid w:val="003F1728"/>
    <w:rsid w:val="003F1DA2"/>
    <w:rsid w:val="003F1DF6"/>
    <w:rsid w:val="003F2219"/>
    <w:rsid w:val="003F28CA"/>
    <w:rsid w:val="003F31CB"/>
    <w:rsid w:val="003F3CE8"/>
    <w:rsid w:val="003F3DD5"/>
    <w:rsid w:val="003F437B"/>
    <w:rsid w:val="003F4654"/>
    <w:rsid w:val="003F5F04"/>
    <w:rsid w:val="003F5F8E"/>
    <w:rsid w:val="003F633D"/>
    <w:rsid w:val="003F65DC"/>
    <w:rsid w:val="003F663C"/>
    <w:rsid w:val="003F6E80"/>
    <w:rsid w:val="003F7E20"/>
    <w:rsid w:val="00400139"/>
    <w:rsid w:val="00400141"/>
    <w:rsid w:val="00400349"/>
    <w:rsid w:val="00400CA0"/>
    <w:rsid w:val="00400F26"/>
    <w:rsid w:val="00401286"/>
    <w:rsid w:val="00401548"/>
    <w:rsid w:val="004016AA"/>
    <w:rsid w:val="004017CF"/>
    <w:rsid w:val="00401874"/>
    <w:rsid w:val="00401B64"/>
    <w:rsid w:val="00401FD2"/>
    <w:rsid w:val="00402072"/>
    <w:rsid w:val="0040242E"/>
    <w:rsid w:val="0040297F"/>
    <w:rsid w:val="00403074"/>
    <w:rsid w:val="00403274"/>
    <w:rsid w:val="0040386A"/>
    <w:rsid w:val="00403A10"/>
    <w:rsid w:val="00403D53"/>
    <w:rsid w:val="00403E9A"/>
    <w:rsid w:val="0040517A"/>
    <w:rsid w:val="004055DF"/>
    <w:rsid w:val="0040562B"/>
    <w:rsid w:val="00405C96"/>
    <w:rsid w:val="00405F6A"/>
    <w:rsid w:val="0040600B"/>
    <w:rsid w:val="0040669F"/>
    <w:rsid w:val="0040685D"/>
    <w:rsid w:val="004069EF"/>
    <w:rsid w:val="00406AB3"/>
    <w:rsid w:val="00406EE9"/>
    <w:rsid w:val="0040723D"/>
    <w:rsid w:val="00407536"/>
    <w:rsid w:val="00410C2F"/>
    <w:rsid w:val="00411032"/>
    <w:rsid w:val="00411875"/>
    <w:rsid w:val="00411EDB"/>
    <w:rsid w:val="00411F9F"/>
    <w:rsid w:val="004120B9"/>
    <w:rsid w:val="004121A3"/>
    <w:rsid w:val="0041237F"/>
    <w:rsid w:val="00412496"/>
    <w:rsid w:val="0041272F"/>
    <w:rsid w:val="00412D10"/>
    <w:rsid w:val="00413EE4"/>
    <w:rsid w:val="00414535"/>
    <w:rsid w:val="00414594"/>
    <w:rsid w:val="00414E1D"/>
    <w:rsid w:val="00415326"/>
    <w:rsid w:val="004155EB"/>
    <w:rsid w:val="00415855"/>
    <w:rsid w:val="00415A6C"/>
    <w:rsid w:val="004164C6"/>
    <w:rsid w:val="00416B72"/>
    <w:rsid w:val="00416BB1"/>
    <w:rsid w:val="00416C4B"/>
    <w:rsid w:val="00416DE3"/>
    <w:rsid w:val="00417118"/>
    <w:rsid w:val="00417222"/>
    <w:rsid w:val="00417593"/>
    <w:rsid w:val="00417B50"/>
    <w:rsid w:val="00417BC0"/>
    <w:rsid w:val="00417D3A"/>
    <w:rsid w:val="0042062B"/>
    <w:rsid w:val="0042078C"/>
    <w:rsid w:val="004208C0"/>
    <w:rsid w:val="004209E6"/>
    <w:rsid w:val="004217D4"/>
    <w:rsid w:val="004219C1"/>
    <w:rsid w:val="00421C4B"/>
    <w:rsid w:val="00421FF2"/>
    <w:rsid w:val="0042237F"/>
    <w:rsid w:val="00422E67"/>
    <w:rsid w:val="00422FD7"/>
    <w:rsid w:val="004231A9"/>
    <w:rsid w:val="004231E9"/>
    <w:rsid w:val="004236CB"/>
    <w:rsid w:val="004237FE"/>
    <w:rsid w:val="00423C15"/>
    <w:rsid w:val="00423D0C"/>
    <w:rsid w:val="00424340"/>
    <w:rsid w:val="00424758"/>
    <w:rsid w:val="004249EE"/>
    <w:rsid w:val="00424DB6"/>
    <w:rsid w:val="00424DD7"/>
    <w:rsid w:val="00425829"/>
    <w:rsid w:val="00425A88"/>
    <w:rsid w:val="00425B3A"/>
    <w:rsid w:val="00425DCE"/>
    <w:rsid w:val="00425E59"/>
    <w:rsid w:val="00426509"/>
    <w:rsid w:val="00426608"/>
    <w:rsid w:val="0042662A"/>
    <w:rsid w:val="004268B0"/>
    <w:rsid w:val="00426EAA"/>
    <w:rsid w:val="00427030"/>
    <w:rsid w:val="004271E4"/>
    <w:rsid w:val="00427ADE"/>
    <w:rsid w:val="00427F07"/>
    <w:rsid w:val="004301F0"/>
    <w:rsid w:val="004303A3"/>
    <w:rsid w:val="004309F8"/>
    <w:rsid w:val="00430B42"/>
    <w:rsid w:val="00431197"/>
    <w:rsid w:val="00431254"/>
    <w:rsid w:val="004319D0"/>
    <w:rsid w:val="00431F3E"/>
    <w:rsid w:val="0043211E"/>
    <w:rsid w:val="00432246"/>
    <w:rsid w:val="004326DC"/>
    <w:rsid w:val="0043283A"/>
    <w:rsid w:val="00432B82"/>
    <w:rsid w:val="00432E40"/>
    <w:rsid w:val="0043372B"/>
    <w:rsid w:val="00433753"/>
    <w:rsid w:val="0043497C"/>
    <w:rsid w:val="004352A8"/>
    <w:rsid w:val="004352E4"/>
    <w:rsid w:val="00435654"/>
    <w:rsid w:val="0043577A"/>
    <w:rsid w:val="004359FE"/>
    <w:rsid w:val="00435B79"/>
    <w:rsid w:val="00435C16"/>
    <w:rsid w:val="00435CFE"/>
    <w:rsid w:val="00435D08"/>
    <w:rsid w:val="00436403"/>
    <w:rsid w:val="0043670E"/>
    <w:rsid w:val="00436A87"/>
    <w:rsid w:val="00437140"/>
    <w:rsid w:val="0043719E"/>
    <w:rsid w:val="00437364"/>
    <w:rsid w:val="0043745E"/>
    <w:rsid w:val="004374F2"/>
    <w:rsid w:val="00437873"/>
    <w:rsid w:val="0044059C"/>
    <w:rsid w:val="00442590"/>
    <w:rsid w:val="00442E1B"/>
    <w:rsid w:val="00442EC4"/>
    <w:rsid w:val="00442F75"/>
    <w:rsid w:val="004430D1"/>
    <w:rsid w:val="00444067"/>
    <w:rsid w:val="004443FD"/>
    <w:rsid w:val="00444433"/>
    <w:rsid w:val="00444D28"/>
    <w:rsid w:val="00444D42"/>
    <w:rsid w:val="00445087"/>
    <w:rsid w:val="00445297"/>
    <w:rsid w:val="00445D3F"/>
    <w:rsid w:val="004463F7"/>
    <w:rsid w:val="004467ED"/>
    <w:rsid w:val="00446A40"/>
    <w:rsid w:val="00446F33"/>
    <w:rsid w:val="0044701E"/>
    <w:rsid w:val="00447388"/>
    <w:rsid w:val="004475F0"/>
    <w:rsid w:val="00450648"/>
    <w:rsid w:val="00451837"/>
    <w:rsid w:val="00451C4D"/>
    <w:rsid w:val="00451E98"/>
    <w:rsid w:val="00452242"/>
    <w:rsid w:val="00452385"/>
    <w:rsid w:val="00452603"/>
    <w:rsid w:val="004526BD"/>
    <w:rsid w:val="00452907"/>
    <w:rsid w:val="0045298B"/>
    <w:rsid w:val="00452A42"/>
    <w:rsid w:val="00452A54"/>
    <w:rsid w:val="00453356"/>
    <w:rsid w:val="0045394C"/>
    <w:rsid w:val="00453B37"/>
    <w:rsid w:val="00453F20"/>
    <w:rsid w:val="0045482C"/>
    <w:rsid w:val="00454AD5"/>
    <w:rsid w:val="00455165"/>
    <w:rsid w:val="004551AB"/>
    <w:rsid w:val="00455334"/>
    <w:rsid w:val="004556BA"/>
    <w:rsid w:val="00455924"/>
    <w:rsid w:val="00456045"/>
    <w:rsid w:val="00456247"/>
    <w:rsid w:val="00456381"/>
    <w:rsid w:val="00456410"/>
    <w:rsid w:val="00457490"/>
    <w:rsid w:val="00457BBC"/>
    <w:rsid w:val="00457E86"/>
    <w:rsid w:val="00457F05"/>
    <w:rsid w:val="00460551"/>
    <w:rsid w:val="00460C09"/>
    <w:rsid w:val="00460F95"/>
    <w:rsid w:val="004610CF"/>
    <w:rsid w:val="004610E9"/>
    <w:rsid w:val="00461675"/>
    <w:rsid w:val="0046177C"/>
    <w:rsid w:val="004620D1"/>
    <w:rsid w:val="0046216C"/>
    <w:rsid w:val="00462293"/>
    <w:rsid w:val="0046231D"/>
    <w:rsid w:val="00462422"/>
    <w:rsid w:val="00462A49"/>
    <w:rsid w:val="00463814"/>
    <w:rsid w:val="00463D89"/>
    <w:rsid w:val="00464220"/>
    <w:rsid w:val="00464433"/>
    <w:rsid w:val="004645F1"/>
    <w:rsid w:val="00464CB9"/>
    <w:rsid w:val="004651D4"/>
    <w:rsid w:val="00465EBB"/>
    <w:rsid w:val="00466021"/>
    <w:rsid w:val="00466A24"/>
    <w:rsid w:val="00466EF3"/>
    <w:rsid w:val="00467151"/>
    <w:rsid w:val="00467232"/>
    <w:rsid w:val="00467550"/>
    <w:rsid w:val="004678B8"/>
    <w:rsid w:val="0046794B"/>
    <w:rsid w:val="00467A5A"/>
    <w:rsid w:val="00470E67"/>
    <w:rsid w:val="00471A86"/>
    <w:rsid w:val="004724B3"/>
    <w:rsid w:val="00472581"/>
    <w:rsid w:val="00473101"/>
    <w:rsid w:val="00473F5D"/>
    <w:rsid w:val="004740B3"/>
    <w:rsid w:val="00474180"/>
    <w:rsid w:val="00474670"/>
    <w:rsid w:val="00474D35"/>
    <w:rsid w:val="00474DEC"/>
    <w:rsid w:val="00475326"/>
    <w:rsid w:val="004754DD"/>
    <w:rsid w:val="004759F2"/>
    <w:rsid w:val="00475B01"/>
    <w:rsid w:val="00475C93"/>
    <w:rsid w:val="00476B32"/>
    <w:rsid w:val="00476E89"/>
    <w:rsid w:val="00476F32"/>
    <w:rsid w:val="00481214"/>
    <w:rsid w:val="0048135A"/>
    <w:rsid w:val="004816C9"/>
    <w:rsid w:val="00481F55"/>
    <w:rsid w:val="00481FEF"/>
    <w:rsid w:val="00482B6C"/>
    <w:rsid w:val="00482F05"/>
    <w:rsid w:val="004836EE"/>
    <w:rsid w:val="00483FE4"/>
    <w:rsid w:val="00484F05"/>
    <w:rsid w:val="004851C3"/>
    <w:rsid w:val="00485446"/>
    <w:rsid w:val="00485CED"/>
    <w:rsid w:val="00485DA5"/>
    <w:rsid w:val="00485E6E"/>
    <w:rsid w:val="00487316"/>
    <w:rsid w:val="00487653"/>
    <w:rsid w:val="00487C2B"/>
    <w:rsid w:val="00487C2D"/>
    <w:rsid w:val="0049071D"/>
    <w:rsid w:val="004908FE"/>
    <w:rsid w:val="00490F82"/>
    <w:rsid w:val="004916A5"/>
    <w:rsid w:val="0049185E"/>
    <w:rsid w:val="004919C4"/>
    <w:rsid w:val="00491C97"/>
    <w:rsid w:val="00491D0F"/>
    <w:rsid w:val="0049219F"/>
    <w:rsid w:val="004925B7"/>
    <w:rsid w:val="00492E60"/>
    <w:rsid w:val="00492ECA"/>
    <w:rsid w:val="004931F5"/>
    <w:rsid w:val="00493414"/>
    <w:rsid w:val="00493A19"/>
    <w:rsid w:val="00493CE4"/>
    <w:rsid w:val="00494649"/>
    <w:rsid w:val="004947D7"/>
    <w:rsid w:val="00494D00"/>
    <w:rsid w:val="0049505F"/>
    <w:rsid w:val="00495165"/>
    <w:rsid w:val="00496297"/>
    <w:rsid w:val="004964C5"/>
    <w:rsid w:val="004968D4"/>
    <w:rsid w:val="00496E33"/>
    <w:rsid w:val="00497147"/>
    <w:rsid w:val="00497599"/>
    <w:rsid w:val="0049769A"/>
    <w:rsid w:val="00497C15"/>
    <w:rsid w:val="00497CD6"/>
    <w:rsid w:val="004A0312"/>
    <w:rsid w:val="004A0C4C"/>
    <w:rsid w:val="004A0C4F"/>
    <w:rsid w:val="004A0EB2"/>
    <w:rsid w:val="004A119F"/>
    <w:rsid w:val="004A140B"/>
    <w:rsid w:val="004A143F"/>
    <w:rsid w:val="004A15CB"/>
    <w:rsid w:val="004A189A"/>
    <w:rsid w:val="004A1FC5"/>
    <w:rsid w:val="004A218B"/>
    <w:rsid w:val="004A2994"/>
    <w:rsid w:val="004A2A10"/>
    <w:rsid w:val="004A2CA5"/>
    <w:rsid w:val="004A34AC"/>
    <w:rsid w:val="004A3D6D"/>
    <w:rsid w:val="004A3F8B"/>
    <w:rsid w:val="004A40F6"/>
    <w:rsid w:val="004A47DC"/>
    <w:rsid w:val="004A4854"/>
    <w:rsid w:val="004A4A50"/>
    <w:rsid w:val="004A4B3F"/>
    <w:rsid w:val="004A5013"/>
    <w:rsid w:val="004A506B"/>
    <w:rsid w:val="004A5FB5"/>
    <w:rsid w:val="004A603A"/>
    <w:rsid w:val="004A621F"/>
    <w:rsid w:val="004A67DD"/>
    <w:rsid w:val="004A709A"/>
    <w:rsid w:val="004A7572"/>
    <w:rsid w:val="004A7F29"/>
    <w:rsid w:val="004B0702"/>
    <w:rsid w:val="004B0933"/>
    <w:rsid w:val="004B0ECE"/>
    <w:rsid w:val="004B1847"/>
    <w:rsid w:val="004B19A3"/>
    <w:rsid w:val="004B1B42"/>
    <w:rsid w:val="004B1F38"/>
    <w:rsid w:val="004B1F4C"/>
    <w:rsid w:val="004B209B"/>
    <w:rsid w:val="004B210B"/>
    <w:rsid w:val="004B2541"/>
    <w:rsid w:val="004B2958"/>
    <w:rsid w:val="004B2E35"/>
    <w:rsid w:val="004B368F"/>
    <w:rsid w:val="004B3832"/>
    <w:rsid w:val="004B40AE"/>
    <w:rsid w:val="004B430F"/>
    <w:rsid w:val="004B44CA"/>
    <w:rsid w:val="004B492C"/>
    <w:rsid w:val="004B4B4F"/>
    <w:rsid w:val="004B4FAE"/>
    <w:rsid w:val="004B51BF"/>
    <w:rsid w:val="004B5283"/>
    <w:rsid w:val="004B528F"/>
    <w:rsid w:val="004B5429"/>
    <w:rsid w:val="004B586D"/>
    <w:rsid w:val="004B5A06"/>
    <w:rsid w:val="004B5AC5"/>
    <w:rsid w:val="004B5BFD"/>
    <w:rsid w:val="004B5D42"/>
    <w:rsid w:val="004B6103"/>
    <w:rsid w:val="004B65D7"/>
    <w:rsid w:val="004B66D7"/>
    <w:rsid w:val="004B6D67"/>
    <w:rsid w:val="004B77A5"/>
    <w:rsid w:val="004C035E"/>
    <w:rsid w:val="004C06FF"/>
    <w:rsid w:val="004C0905"/>
    <w:rsid w:val="004C0933"/>
    <w:rsid w:val="004C0FA6"/>
    <w:rsid w:val="004C1123"/>
    <w:rsid w:val="004C13DA"/>
    <w:rsid w:val="004C190C"/>
    <w:rsid w:val="004C1D23"/>
    <w:rsid w:val="004C1D84"/>
    <w:rsid w:val="004C2A11"/>
    <w:rsid w:val="004C31A1"/>
    <w:rsid w:val="004C3A60"/>
    <w:rsid w:val="004C3DA2"/>
    <w:rsid w:val="004C46BA"/>
    <w:rsid w:val="004C4F78"/>
    <w:rsid w:val="004C5B1E"/>
    <w:rsid w:val="004C5C31"/>
    <w:rsid w:val="004C6219"/>
    <w:rsid w:val="004C651A"/>
    <w:rsid w:val="004C65DD"/>
    <w:rsid w:val="004C666D"/>
    <w:rsid w:val="004C6953"/>
    <w:rsid w:val="004C69CC"/>
    <w:rsid w:val="004C6B81"/>
    <w:rsid w:val="004C6C52"/>
    <w:rsid w:val="004C6C6E"/>
    <w:rsid w:val="004C7010"/>
    <w:rsid w:val="004D01E9"/>
    <w:rsid w:val="004D0C03"/>
    <w:rsid w:val="004D16A2"/>
    <w:rsid w:val="004D1994"/>
    <w:rsid w:val="004D1F40"/>
    <w:rsid w:val="004D23BD"/>
    <w:rsid w:val="004D25DD"/>
    <w:rsid w:val="004D2CDD"/>
    <w:rsid w:val="004D2DE7"/>
    <w:rsid w:val="004D2EBA"/>
    <w:rsid w:val="004D2FA4"/>
    <w:rsid w:val="004D34E5"/>
    <w:rsid w:val="004D40D6"/>
    <w:rsid w:val="004D4C74"/>
    <w:rsid w:val="004D51BF"/>
    <w:rsid w:val="004D632C"/>
    <w:rsid w:val="004D6367"/>
    <w:rsid w:val="004D63F6"/>
    <w:rsid w:val="004D6423"/>
    <w:rsid w:val="004D6D15"/>
    <w:rsid w:val="004D748E"/>
    <w:rsid w:val="004D76BE"/>
    <w:rsid w:val="004D79E9"/>
    <w:rsid w:val="004D7B15"/>
    <w:rsid w:val="004E06C8"/>
    <w:rsid w:val="004E0D33"/>
    <w:rsid w:val="004E1638"/>
    <w:rsid w:val="004E173A"/>
    <w:rsid w:val="004E20A6"/>
    <w:rsid w:val="004E2778"/>
    <w:rsid w:val="004E31F1"/>
    <w:rsid w:val="004E399B"/>
    <w:rsid w:val="004E3AC9"/>
    <w:rsid w:val="004E3D0A"/>
    <w:rsid w:val="004E3ECB"/>
    <w:rsid w:val="004E4406"/>
    <w:rsid w:val="004E46D2"/>
    <w:rsid w:val="004E4B92"/>
    <w:rsid w:val="004E4F30"/>
    <w:rsid w:val="004E51AA"/>
    <w:rsid w:val="004E541E"/>
    <w:rsid w:val="004E55A2"/>
    <w:rsid w:val="004E594F"/>
    <w:rsid w:val="004E5B4E"/>
    <w:rsid w:val="004E6D3A"/>
    <w:rsid w:val="004E6D6A"/>
    <w:rsid w:val="004E6E5F"/>
    <w:rsid w:val="004E771A"/>
    <w:rsid w:val="004F01B5"/>
    <w:rsid w:val="004F03AC"/>
    <w:rsid w:val="004F0F14"/>
    <w:rsid w:val="004F169D"/>
    <w:rsid w:val="004F237E"/>
    <w:rsid w:val="004F2C10"/>
    <w:rsid w:val="004F3091"/>
    <w:rsid w:val="004F37C8"/>
    <w:rsid w:val="004F3898"/>
    <w:rsid w:val="004F3998"/>
    <w:rsid w:val="004F4AF3"/>
    <w:rsid w:val="004F5133"/>
    <w:rsid w:val="004F52BD"/>
    <w:rsid w:val="004F5451"/>
    <w:rsid w:val="004F5575"/>
    <w:rsid w:val="004F5892"/>
    <w:rsid w:val="004F5F2A"/>
    <w:rsid w:val="004F6822"/>
    <w:rsid w:val="004F688C"/>
    <w:rsid w:val="004F6A99"/>
    <w:rsid w:val="004F6B15"/>
    <w:rsid w:val="004F74E5"/>
    <w:rsid w:val="004F7809"/>
    <w:rsid w:val="005002AC"/>
    <w:rsid w:val="0050048A"/>
    <w:rsid w:val="005006AA"/>
    <w:rsid w:val="00500D0A"/>
    <w:rsid w:val="005011DA"/>
    <w:rsid w:val="0050135B"/>
    <w:rsid w:val="00502034"/>
    <w:rsid w:val="005021AA"/>
    <w:rsid w:val="00502B55"/>
    <w:rsid w:val="00502CAC"/>
    <w:rsid w:val="00502DC2"/>
    <w:rsid w:val="00503073"/>
    <w:rsid w:val="00503242"/>
    <w:rsid w:val="00503283"/>
    <w:rsid w:val="005039FE"/>
    <w:rsid w:val="00503A66"/>
    <w:rsid w:val="0050459E"/>
    <w:rsid w:val="00504895"/>
    <w:rsid w:val="00504BE2"/>
    <w:rsid w:val="0050576A"/>
    <w:rsid w:val="00505E56"/>
    <w:rsid w:val="00505E69"/>
    <w:rsid w:val="0050606D"/>
    <w:rsid w:val="00506550"/>
    <w:rsid w:val="005065CC"/>
    <w:rsid w:val="005065F1"/>
    <w:rsid w:val="00506D54"/>
    <w:rsid w:val="00507778"/>
    <w:rsid w:val="00507C65"/>
    <w:rsid w:val="00507E11"/>
    <w:rsid w:val="00510474"/>
    <w:rsid w:val="0051075D"/>
    <w:rsid w:val="00510E2B"/>
    <w:rsid w:val="00511A19"/>
    <w:rsid w:val="00511C61"/>
    <w:rsid w:val="005137FD"/>
    <w:rsid w:val="00513A53"/>
    <w:rsid w:val="00513AC0"/>
    <w:rsid w:val="00513CE7"/>
    <w:rsid w:val="00513D96"/>
    <w:rsid w:val="00514383"/>
    <w:rsid w:val="00514799"/>
    <w:rsid w:val="005147EB"/>
    <w:rsid w:val="00514DB4"/>
    <w:rsid w:val="00515B0F"/>
    <w:rsid w:val="0051634E"/>
    <w:rsid w:val="005169B5"/>
    <w:rsid w:val="005169D2"/>
    <w:rsid w:val="00516FB1"/>
    <w:rsid w:val="005171EF"/>
    <w:rsid w:val="005177E9"/>
    <w:rsid w:val="00520686"/>
    <w:rsid w:val="00520D80"/>
    <w:rsid w:val="00521169"/>
    <w:rsid w:val="00521368"/>
    <w:rsid w:val="00521BEB"/>
    <w:rsid w:val="00521F71"/>
    <w:rsid w:val="00522262"/>
    <w:rsid w:val="00522815"/>
    <w:rsid w:val="00523297"/>
    <w:rsid w:val="005236A9"/>
    <w:rsid w:val="00523723"/>
    <w:rsid w:val="00523A49"/>
    <w:rsid w:val="00523F57"/>
    <w:rsid w:val="00524CE3"/>
    <w:rsid w:val="0052504F"/>
    <w:rsid w:val="00525467"/>
    <w:rsid w:val="00525D7B"/>
    <w:rsid w:val="00525DB3"/>
    <w:rsid w:val="00525E4D"/>
    <w:rsid w:val="005264A7"/>
    <w:rsid w:val="00526D4A"/>
    <w:rsid w:val="00526DDF"/>
    <w:rsid w:val="00526EEF"/>
    <w:rsid w:val="00526FFD"/>
    <w:rsid w:val="00527197"/>
    <w:rsid w:val="0052770A"/>
    <w:rsid w:val="00527B04"/>
    <w:rsid w:val="00527BD4"/>
    <w:rsid w:val="0053056B"/>
    <w:rsid w:val="00530822"/>
    <w:rsid w:val="0053093E"/>
    <w:rsid w:val="00530F25"/>
    <w:rsid w:val="00530FAA"/>
    <w:rsid w:val="00531851"/>
    <w:rsid w:val="00531A06"/>
    <w:rsid w:val="0053246F"/>
    <w:rsid w:val="0053250C"/>
    <w:rsid w:val="0053268D"/>
    <w:rsid w:val="00532CD0"/>
    <w:rsid w:val="00532DCE"/>
    <w:rsid w:val="00532F22"/>
    <w:rsid w:val="0053322C"/>
    <w:rsid w:val="005336F8"/>
    <w:rsid w:val="005339D6"/>
    <w:rsid w:val="00533BD8"/>
    <w:rsid w:val="0053403A"/>
    <w:rsid w:val="005343CD"/>
    <w:rsid w:val="00534613"/>
    <w:rsid w:val="005348AD"/>
    <w:rsid w:val="005356B0"/>
    <w:rsid w:val="00535AAC"/>
    <w:rsid w:val="00535D60"/>
    <w:rsid w:val="00536181"/>
    <w:rsid w:val="005366CD"/>
    <w:rsid w:val="005368EC"/>
    <w:rsid w:val="00537371"/>
    <w:rsid w:val="0053762E"/>
    <w:rsid w:val="005377F6"/>
    <w:rsid w:val="00537985"/>
    <w:rsid w:val="00537AFD"/>
    <w:rsid w:val="00540D8E"/>
    <w:rsid w:val="0054127F"/>
    <w:rsid w:val="00541AF9"/>
    <w:rsid w:val="00541B52"/>
    <w:rsid w:val="005423A3"/>
    <w:rsid w:val="005429CA"/>
    <w:rsid w:val="005438C4"/>
    <w:rsid w:val="005438D5"/>
    <w:rsid w:val="00543A66"/>
    <w:rsid w:val="00543D5B"/>
    <w:rsid w:val="00544129"/>
    <w:rsid w:val="00544576"/>
    <w:rsid w:val="00544F27"/>
    <w:rsid w:val="0054543F"/>
    <w:rsid w:val="00545B1D"/>
    <w:rsid w:val="0054659B"/>
    <w:rsid w:val="005468FB"/>
    <w:rsid w:val="0054695A"/>
    <w:rsid w:val="00546B1E"/>
    <w:rsid w:val="00546BB9"/>
    <w:rsid w:val="00546C9B"/>
    <w:rsid w:val="00547275"/>
    <w:rsid w:val="0054789B"/>
    <w:rsid w:val="00547964"/>
    <w:rsid w:val="00547BA2"/>
    <w:rsid w:val="00547E8A"/>
    <w:rsid w:val="00550115"/>
    <w:rsid w:val="005501B7"/>
    <w:rsid w:val="00551059"/>
    <w:rsid w:val="005511AC"/>
    <w:rsid w:val="005512EF"/>
    <w:rsid w:val="00551801"/>
    <w:rsid w:val="00551A15"/>
    <w:rsid w:val="00551C0E"/>
    <w:rsid w:val="005524D4"/>
    <w:rsid w:val="00552F45"/>
    <w:rsid w:val="00553489"/>
    <w:rsid w:val="00553506"/>
    <w:rsid w:val="0055378D"/>
    <w:rsid w:val="00553941"/>
    <w:rsid w:val="00553C3C"/>
    <w:rsid w:val="00554067"/>
    <w:rsid w:val="00554AB9"/>
    <w:rsid w:val="00554B0D"/>
    <w:rsid w:val="00554E40"/>
    <w:rsid w:val="00555A6A"/>
    <w:rsid w:val="00555D2D"/>
    <w:rsid w:val="0055604D"/>
    <w:rsid w:val="005561DB"/>
    <w:rsid w:val="00556874"/>
    <w:rsid w:val="00556A88"/>
    <w:rsid w:val="00556AB7"/>
    <w:rsid w:val="00556DB0"/>
    <w:rsid w:val="00556DE2"/>
    <w:rsid w:val="00557373"/>
    <w:rsid w:val="005576FC"/>
    <w:rsid w:val="005579D9"/>
    <w:rsid w:val="00557AC5"/>
    <w:rsid w:val="00557D9D"/>
    <w:rsid w:val="00557E52"/>
    <w:rsid w:val="0056002D"/>
    <w:rsid w:val="00560D96"/>
    <w:rsid w:val="00560E43"/>
    <w:rsid w:val="00561049"/>
    <w:rsid w:val="00561875"/>
    <w:rsid w:val="00561D56"/>
    <w:rsid w:val="00561D94"/>
    <w:rsid w:val="00561E6A"/>
    <w:rsid w:val="00562562"/>
    <w:rsid w:val="00562871"/>
    <w:rsid w:val="005628B9"/>
    <w:rsid w:val="00562B2F"/>
    <w:rsid w:val="0056315F"/>
    <w:rsid w:val="00563C7F"/>
    <w:rsid w:val="00563EB1"/>
    <w:rsid w:val="005640A7"/>
    <w:rsid w:val="005645CA"/>
    <w:rsid w:val="00564B1C"/>
    <w:rsid w:val="00564D17"/>
    <w:rsid w:val="0056519C"/>
    <w:rsid w:val="00565515"/>
    <w:rsid w:val="0056596F"/>
    <w:rsid w:val="00565ADF"/>
    <w:rsid w:val="0056614C"/>
    <w:rsid w:val="00566195"/>
    <w:rsid w:val="0056713A"/>
    <w:rsid w:val="00567219"/>
    <w:rsid w:val="00567682"/>
    <w:rsid w:val="0056799A"/>
    <w:rsid w:val="00567B75"/>
    <w:rsid w:val="00567D48"/>
    <w:rsid w:val="00567ECA"/>
    <w:rsid w:val="00570253"/>
    <w:rsid w:val="0057096B"/>
    <w:rsid w:val="00571B6C"/>
    <w:rsid w:val="00572734"/>
    <w:rsid w:val="00572C01"/>
    <w:rsid w:val="00572F79"/>
    <w:rsid w:val="0057329C"/>
    <w:rsid w:val="00573330"/>
    <w:rsid w:val="005736DE"/>
    <w:rsid w:val="00573CA3"/>
    <w:rsid w:val="005741C1"/>
    <w:rsid w:val="00574250"/>
    <w:rsid w:val="00574440"/>
    <w:rsid w:val="0057462E"/>
    <w:rsid w:val="0057476B"/>
    <w:rsid w:val="00574A7F"/>
    <w:rsid w:val="005753EF"/>
    <w:rsid w:val="00575505"/>
    <w:rsid w:val="00575AC8"/>
    <w:rsid w:val="00575E15"/>
    <w:rsid w:val="005762B7"/>
    <w:rsid w:val="00576696"/>
    <w:rsid w:val="0057684B"/>
    <w:rsid w:val="00576AE3"/>
    <w:rsid w:val="00576E2A"/>
    <w:rsid w:val="00577A6D"/>
    <w:rsid w:val="00577CE0"/>
    <w:rsid w:val="00577EDE"/>
    <w:rsid w:val="0058044F"/>
    <w:rsid w:val="00580982"/>
    <w:rsid w:val="00580E71"/>
    <w:rsid w:val="00581166"/>
    <w:rsid w:val="0058136A"/>
    <w:rsid w:val="00581606"/>
    <w:rsid w:val="0058192C"/>
    <w:rsid w:val="0058209F"/>
    <w:rsid w:val="00582465"/>
    <w:rsid w:val="00582980"/>
    <w:rsid w:val="00582C66"/>
    <w:rsid w:val="00582C67"/>
    <w:rsid w:val="00582DB2"/>
    <w:rsid w:val="00584617"/>
    <w:rsid w:val="00584D05"/>
    <w:rsid w:val="005850B0"/>
    <w:rsid w:val="00585379"/>
    <w:rsid w:val="0058538B"/>
    <w:rsid w:val="00585B31"/>
    <w:rsid w:val="00585C1E"/>
    <w:rsid w:val="00586F53"/>
    <w:rsid w:val="005876B6"/>
    <w:rsid w:val="0058796C"/>
    <w:rsid w:val="00587BF7"/>
    <w:rsid w:val="00587DE3"/>
    <w:rsid w:val="00587E56"/>
    <w:rsid w:val="0059041D"/>
    <w:rsid w:val="0059095F"/>
    <w:rsid w:val="00590F5D"/>
    <w:rsid w:val="005911A5"/>
    <w:rsid w:val="00591414"/>
    <w:rsid w:val="005919A2"/>
    <w:rsid w:val="00591AFC"/>
    <w:rsid w:val="0059214D"/>
    <w:rsid w:val="00592791"/>
    <w:rsid w:val="0059284A"/>
    <w:rsid w:val="005934F3"/>
    <w:rsid w:val="00594428"/>
    <w:rsid w:val="00594458"/>
    <w:rsid w:val="005946D4"/>
    <w:rsid w:val="00594FCA"/>
    <w:rsid w:val="005957A3"/>
    <w:rsid w:val="005958BC"/>
    <w:rsid w:val="00595F0A"/>
    <w:rsid w:val="005967B4"/>
    <w:rsid w:val="00596A1C"/>
    <w:rsid w:val="00596BAB"/>
    <w:rsid w:val="00596FE4"/>
    <w:rsid w:val="00597592"/>
    <w:rsid w:val="005A076F"/>
    <w:rsid w:val="005A0A96"/>
    <w:rsid w:val="005A0AB0"/>
    <w:rsid w:val="005A14A5"/>
    <w:rsid w:val="005A14D8"/>
    <w:rsid w:val="005A1545"/>
    <w:rsid w:val="005A1561"/>
    <w:rsid w:val="005A1C38"/>
    <w:rsid w:val="005A1CC4"/>
    <w:rsid w:val="005A1E23"/>
    <w:rsid w:val="005A3AD6"/>
    <w:rsid w:val="005A480B"/>
    <w:rsid w:val="005A4F8F"/>
    <w:rsid w:val="005A50E0"/>
    <w:rsid w:val="005A545C"/>
    <w:rsid w:val="005A67B5"/>
    <w:rsid w:val="005A6CC4"/>
    <w:rsid w:val="005A7164"/>
    <w:rsid w:val="005A74D9"/>
    <w:rsid w:val="005A7755"/>
    <w:rsid w:val="005A7AB5"/>
    <w:rsid w:val="005A7BB1"/>
    <w:rsid w:val="005A7F03"/>
    <w:rsid w:val="005B02AF"/>
    <w:rsid w:val="005B05AB"/>
    <w:rsid w:val="005B09DC"/>
    <w:rsid w:val="005B0D96"/>
    <w:rsid w:val="005B0F2E"/>
    <w:rsid w:val="005B1970"/>
    <w:rsid w:val="005B19AE"/>
    <w:rsid w:val="005B1B1C"/>
    <w:rsid w:val="005B1D20"/>
    <w:rsid w:val="005B1E97"/>
    <w:rsid w:val="005B235A"/>
    <w:rsid w:val="005B26D7"/>
    <w:rsid w:val="005B2A99"/>
    <w:rsid w:val="005B2D57"/>
    <w:rsid w:val="005B2DC5"/>
    <w:rsid w:val="005B2E79"/>
    <w:rsid w:val="005B2F80"/>
    <w:rsid w:val="005B37E1"/>
    <w:rsid w:val="005B3D90"/>
    <w:rsid w:val="005B477A"/>
    <w:rsid w:val="005B4B5C"/>
    <w:rsid w:val="005B5057"/>
    <w:rsid w:val="005B55DC"/>
    <w:rsid w:val="005B57AE"/>
    <w:rsid w:val="005B5993"/>
    <w:rsid w:val="005B5C2C"/>
    <w:rsid w:val="005B5FF6"/>
    <w:rsid w:val="005B650C"/>
    <w:rsid w:val="005B7107"/>
    <w:rsid w:val="005B7765"/>
    <w:rsid w:val="005B7780"/>
    <w:rsid w:val="005B7DC8"/>
    <w:rsid w:val="005B7E30"/>
    <w:rsid w:val="005B7EA9"/>
    <w:rsid w:val="005C0035"/>
    <w:rsid w:val="005C0085"/>
    <w:rsid w:val="005C0295"/>
    <w:rsid w:val="005C06E3"/>
    <w:rsid w:val="005C08FA"/>
    <w:rsid w:val="005C0D6D"/>
    <w:rsid w:val="005C0DFD"/>
    <w:rsid w:val="005C0F26"/>
    <w:rsid w:val="005C0F82"/>
    <w:rsid w:val="005C102F"/>
    <w:rsid w:val="005C1617"/>
    <w:rsid w:val="005C1BA2"/>
    <w:rsid w:val="005C1D65"/>
    <w:rsid w:val="005C2749"/>
    <w:rsid w:val="005C2C79"/>
    <w:rsid w:val="005C3050"/>
    <w:rsid w:val="005C3197"/>
    <w:rsid w:val="005C322A"/>
    <w:rsid w:val="005C336B"/>
    <w:rsid w:val="005C3417"/>
    <w:rsid w:val="005C3461"/>
    <w:rsid w:val="005C3590"/>
    <w:rsid w:val="005C41FB"/>
    <w:rsid w:val="005C49A4"/>
    <w:rsid w:val="005C4B5B"/>
    <w:rsid w:val="005C4D1A"/>
    <w:rsid w:val="005C516B"/>
    <w:rsid w:val="005C6030"/>
    <w:rsid w:val="005C65A9"/>
    <w:rsid w:val="005C7192"/>
    <w:rsid w:val="005C76C1"/>
    <w:rsid w:val="005D0177"/>
    <w:rsid w:val="005D054F"/>
    <w:rsid w:val="005D0623"/>
    <w:rsid w:val="005D093F"/>
    <w:rsid w:val="005D1971"/>
    <w:rsid w:val="005D2027"/>
    <w:rsid w:val="005D24DD"/>
    <w:rsid w:val="005D314A"/>
    <w:rsid w:val="005D36A9"/>
    <w:rsid w:val="005D3821"/>
    <w:rsid w:val="005D3C58"/>
    <w:rsid w:val="005D3E25"/>
    <w:rsid w:val="005D4721"/>
    <w:rsid w:val="005D4769"/>
    <w:rsid w:val="005D4821"/>
    <w:rsid w:val="005D4AD7"/>
    <w:rsid w:val="005D5123"/>
    <w:rsid w:val="005D5252"/>
    <w:rsid w:val="005D6A14"/>
    <w:rsid w:val="005D6D41"/>
    <w:rsid w:val="005D70BA"/>
    <w:rsid w:val="005D7CD0"/>
    <w:rsid w:val="005E005A"/>
    <w:rsid w:val="005E00D1"/>
    <w:rsid w:val="005E0C44"/>
    <w:rsid w:val="005E0D61"/>
    <w:rsid w:val="005E100E"/>
    <w:rsid w:val="005E1660"/>
    <w:rsid w:val="005E1B58"/>
    <w:rsid w:val="005E1DCD"/>
    <w:rsid w:val="005E242F"/>
    <w:rsid w:val="005E26DC"/>
    <w:rsid w:val="005E2A7E"/>
    <w:rsid w:val="005E2CF1"/>
    <w:rsid w:val="005E32BB"/>
    <w:rsid w:val="005E35FA"/>
    <w:rsid w:val="005E362F"/>
    <w:rsid w:val="005E388B"/>
    <w:rsid w:val="005E3899"/>
    <w:rsid w:val="005E3A9A"/>
    <w:rsid w:val="005E3F3B"/>
    <w:rsid w:val="005E46D7"/>
    <w:rsid w:val="005E49E2"/>
    <w:rsid w:val="005E4BE8"/>
    <w:rsid w:val="005E4F30"/>
    <w:rsid w:val="005E6297"/>
    <w:rsid w:val="005E687E"/>
    <w:rsid w:val="005E6A1C"/>
    <w:rsid w:val="005E6B56"/>
    <w:rsid w:val="005E6CD3"/>
    <w:rsid w:val="005E72D5"/>
    <w:rsid w:val="005E747E"/>
    <w:rsid w:val="005E76DD"/>
    <w:rsid w:val="005E7B5C"/>
    <w:rsid w:val="005E7BAE"/>
    <w:rsid w:val="005E7DA7"/>
    <w:rsid w:val="005F02F1"/>
    <w:rsid w:val="005F0786"/>
    <w:rsid w:val="005F09A8"/>
    <w:rsid w:val="005F1C20"/>
    <w:rsid w:val="005F21B6"/>
    <w:rsid w:val="005F247B"/>
    <w:rsid w:val="005F268A"/>
    <w:rsid w:val="005F2A79"/>
    <w:rsid w:val="005F2C18"/>
    <w:rsid w:val="005F321C"/>
    <w:rsid w:val="005F33E7"/>
    <w:rsid w:val="005F3434"/>
    <w:rsid w:val="005F425C"/>
    <w:rsid w:val="005F49DA"/>
    <w:rsid w:val="005F4AFD"/>
    <w:rsid w:val="005F4CF2"/>
    <w:rsid w:val="005F51BF"/>
    <w:rsid w:val="005F558B"/>
    <w:rsid w:val="005F588B"/>
    <w:rsid w:val="005F61A1"/>
    <w:rsid w:val="005F6250"/>
    <w:rsid w:val="005F6586"/>
    <w:rsid w:val="005F6BD4"/>
    <w:rsid w:val="005F7275"/>
    <w:rsid w:val="005F7701"/>
    <w:rsid w:val="005F799D"/>
    <w:rsid w:val="00600712"/>
    <w:rsid w:val="00600986"/>
    <w:rsid w:val="0060117E"/>
    <w:rsid w:val="006013D4"/>
    <w:rsid w:val="00601A0C"/>
    <w:rsid w:val="00601C8F"/>
    <w:rsid w:val="00601FF4"/>
    <w:rsid w:val="0060223D"/>
    <w:rsid w:val="00602591"/>
    <w:rsid w:val="00602B25"/>
    <w:rsid w:val="006041D9"/>
    <w:rsid w:val="00604522"/>
    <w:rsid w:val="0060460C"/>
    <w:rsid w:val="0060463A"/>
    <w:rsid w:val="00604DA8"/>
    <w:rsid w:val="0060532F"/>
    <w:rsid w:val="0060565D"/>
    <w:rsid w:val="00605B46"/>
    <w:rsid w:val="00605EAF"/>
    <w:rsid w:val="006062FE"/>
    <w:rsid w:val="006068E2"/>
    <w:rsid w:val="00606984"/>
    <w:rsid w:val="00606E59"/>
    <w:rsid w:val="00606FA4"/>
    <w:rsid w:val="00606FAB"/>
    <w:rsid w:val="0060749C"/>
    <w:rsid w:val="006074C0"/>
    <w:rsid w:val="006075EA"/>
    <w:rsid w:val="006076F7"/>
    <w:rsid w:val="00607A76"/>
    <w:rsid w:val="00607BEB"/>
    <w:rsid w:val="006104E0"/>
    <w:rsid w:val="0061050A"/>
    <w:rsid w:val="00610626"/>
    <w:rsid w:val="00610DB6"/>
    <w:rsid w:val="00611131"/>
    <w:rsid w:val="006112AF"/>
    <w:rsid w:val="006117FB"/>
    <w:rsid w:val="00612204"/>
    <w:rsid w:val="00612411"/>
    <w:rsid w:val="006125C0"/>
    <w:rsid w:val="006126D8"/>
    <w:rsid w:val="00612CEE"/>
    <w:rsid w:val="00612D57"/>
    <w:rsid w:val="0061349B"/>
    <w:rsid w:val="00613515"/>
    <w:rsid w:val="00613BCB"/>
    <w:rsid w:val="00613D8C"/>
    <w:rsid w:val="00613E3C"/>
    <w:rsid w:val="00614676"/>
    <w:rsid w:val="006149F7"/>
    <w:rsid w:val="00614AD9"/>
    <w:rsid w:val="00614F60"/>
    <w:rsid w:val="006151E7"/>
    <w:rsid w:val="006151F5"/>
    <w:rsid w:val="006154F5"/>
    <w:rsid w:val="006155BC"/>
    <w:rsid w:val="006157B2"/>
    <w:rsid w:val="00615959"/>
    <w:rsid w:val="006161B2"/>
    <w:rsid w:val="00616244"/>
    <w:rsid w:val="0061658A"/>
    <w:rsid w:val="006177E0"/>
    <w:rsid w:val="00617F44"/>
    <w:rsid w:val="006200A3"/>
    <w:rsid w:val="006205C0"/>
    <w:rsid w:val="006209AE"/>
    <w:rsid w:val="0062178C"/>
    <w:rsid w:val="006220EC"/>
    <w:rsid w:val="00623413"/>
    <w:rsid w:val="0062394A"/>
    <w:rsid w:val="00623E50"/>
    <w:rsid w:val="00624306"/>
    <w:rsid w:val="00625CA5"/>
    <w:rsid w:val="006263A2"/>
    <w:rsid w:val="00626BE8"/>
    <w:rsid w:val="006275FF"/>
    <w:rsid w:val="00627720"/>
    <w:rsid w:val="00627777"/>
    <w:rsid w:val="00630281"/>
    <w:rsid w:val="006302F8"/>
    <w:rsid w:val="00630321"/>
    <w:rsid w:val="00630A99"/>
    <w:rsid w:val="00630F5A"/>
    <w:rsid w:val="00631444"/>
    <w:rsid w:val="0063165E"/>
    <w:rsid w:val="00631A66"/>
    <w:rsid w:val="006324F8"/>
    <w:rsid w:val="00632FFD"/>
    <w:rsid w:val="006331AD"/>
    <w:rsid w:val="00633263"/>
    <w:rsid w:val="0063342B"/>
    <w:rsid w:val="006336AA"/>
    <w:rsid w:val="006337DA"/>
    <w:rsid w:val="00633AC6"/>
    <w:rsid w:val="006347E7"/>
    <w:rsid w:val="00634BC0"/>
    <w:rsid w:val="00635DA5"/>
    <w:rsid w:val="006360B0"/>
    <w:rsid w:val="006362F5"/>
    <w:rsid w:val="00636524"/>
    <w:rsid w:val="00637AD9"/>
    <w:rsid w:val="00640072"/>
    <w:rsid w:val="0064055E"/>
    <w:rsid w:val="0064099A"/>
    <w:rsid w:val="006414D8"/>
    <w:rsid w:val="00641927"/>
    <w:rsid w:val="00642437"/>
    <w:rsid w:val="006428D8"/>
    <w:rsid w:val="0064290A"/>
    <w:rsid w:val="00642A8A"/>
    <w:rsid w:val="00643143"/>
    <w:rsid w:val="00643502"/>
    <w:rsid w:val="0064388F"/>
    <w:rsid w:val="006439A9"/>
    <w:rsid w:val="00643A8E"/>
    <w:rsid w:val="00643EEA"/>
    <w:rsid w:val="0064481E"/>
    <w:rsid w:val="006448AB"/>
    <w:rsid w:val="00645042"/>
    <w:rsid w:val="006457D8"/>
    <w:rsid w:val="00645838"/>
    <w:rsid w:val="00646511"/>
    <w:rsid w:val="006465E8"/>
    <w:rsid w:val="006466E6"/>
    <w:rsid w:val="00646998"/>
    <w:rsid w:val="00646D7D"/>
    <w:rsid w:val="006470A1"/>
    <w:rsid w:val="00647B88"/>
    <w:rsid w:val="00647E6A"/>
    <w:rsid w:val="00647FE9"/>
    <w:rsid w:val="006502BA"/>
    <w:rsid w:val="0065037F"/>
    <w:rsid w:val="006505B3"/>
    <w:rsid w:val="0065080A"/>
    <w:rsid w:val="00650ABD"/>
    <w:rsid w:val="00650AFC"/>
    <w:rsid w:val="00650F3B"/>
    <w:rsid w:val="00651010"/>
    <w:rsid w:val="00651748"/>
    <w:rsid w:val="00651F19"/>
    <w:rsid w:val="006527D7"/>
    <w:rsid w:val="00652A23"/>
    <w:rsid w:val="00652DEC"/>
    <w:rsid w:val="00653448"/>
    <w:rsid w:val="006534A0"/>
    <w:rsid w:val="00653A4C"/>
    <w:rsid w:val="00653A5D"/>
    <w:rsid w:val="00653ABA"/>
    <w:rsid w:val="00653B45"/>
    <w:rsid w:val="00653C36"/>
    <w:rsid w:val="00653F16"/>
    <w:rsid w:val="00654365"/>
    <w:rsid w:val="006550C3"/>
    <w:rsid w:val="006550C4"/>
    <w:rsid w:val="00655494"/>
    <w:rsid w:val="00655700"/>
    <w:rsid w:val="006560DF"/>
    <w:rsid w:val="00656172"/>
    <w:rsid w:val="00656CF4"/>
    <w:rsid w:val="00657011"/>
    <w:rsid w:val="00657290"/>
    <w:rsid w:val="00657414"/>
    <w:rsid w:val="00657752"/>
    <w:rsid w:val="006578BF"/>
    <w:rsid w:val="00657C7D"/>
    <w:rsid w:val="006601B5"/>
    <w:rsid w:val="0066081E"/>
    <w:rsid w:val="00660CF4"/>
    <w:rsid w:val="006611AC"/>
    <w:rsid w:val="0066157F"/>
    <w:rsid w:val="006619CC"/>
    <w:rsid w:val="00661AD5"/>
    <w:rsid w:val="00661D83"/>
    <w:rsid w:val="00662270"/>
    <w:rsid w:val="0066296A"/>
    <w:rsid w:val="006629D6"/>
    <w:rsid w:val="00663167"/>
    <w:rsid w:val="006635A9"/>
    <w:rsid w:val="006635AC"/>
    <w:rsid w:val="006637E0"/>
    <w:rsid w:val="00663840"/>
    <w:rsid w:val="0066440B"/>
    <w:rsid w:val="006647D9"/>
    <w:rsid w:val="006647FE"/>
    <w:rsid w:val="00664A1F"/>
    <w:rsid w:val="00664B64"/>
    <w:rsid w:val="00664C2F"/>
    <w:rsid w:val="00664C97"/>
    <w:rsid w:val="0066504B"/>
    <w:rsid w:val="006659E8"/>
    <w:rsid w:val="00665ECA"/>
    <w:rsid w:val="00666144"/>
    <w:rsid w:val="00666918"/>
    <w:rsid w:val="00666DC7"/>
    <w:rsid w:val="00666DF2"/>
    <w:rsid w:val="00667251"/>
    <w:rsid w:val="00667337"/>
    <w:rsid w:val="00667951"/>
    <w:rsid w:val="006700DB"/>
    <w:rsid w:val="006708BF"/>
    <w:rsid w:val="00670F0E"/>
    <w:rsid w:val="00671971"/>
    <w:rsid w:val="006720F1"/>
    <w:rsid w:val="00672381"/>
    <w:rsid w:val="0067244A"/>
    <w:rsid w:val="00672667"/>
    <w:rsid w:val="006736C9"/>
    <w:rsid w:val="00673CC2"/>
    <w:rsid w:val="00673E7B"/>
    <w:rsid w:val="00673E86"/>
    <w:rsid w:val="006751FC"/>
    <w:rsid w:val="00675E1F"/>
    <w:rsid w:val="006764CC"/>
    <w:rsid w:val="006765BB"/>
    <w:rsid w:val="0067665D"/>
    <w:rsid w:val="00676DA9"/>
    <w:rsid w:val="00677018"/>
    <w:rsid w:val="006775A4"/>
    <w:rsid w:val="00680748"/>
    <w:rsid w:val="006809BE"/>
    <w:rsid w:val="00680B76"/>
    <w:rsid w:val="00680F27"/>
    <w:rsid w:val="0068144D"/>
    <w:rsid w:val="00681874"/>
    <w:rsid w:val="00681A59"/>
    <w:rsid w:val="00682C51"/>
    <w:rsid w:val="00682D83"/>
    <w:rsid w:val="00682F07"/>
    <w:rsid w:val="00683086"/>
    <w:rsid w:val="006831DB"/>
    <w:rsid w:val="00683420"/>
    <w:rsid w:val="00683429"/>
    <w:rsid w:val="0068362A"/>
    <w:rsid w:val="006841BB"/>
    <w:rsid w:val="0068474C"/>
    <w:rsid w:val="0068491E"/>
    <w:rsid w:val="00684A21"/>
    <w:rsid w:val="00684A5E"/>
    <w:rsid w:val="00684A88"/>
    <w:rsid w:val="00685FD9"/>
    <w:rsid w:val="0068606C"/>
    <w:rsid w:val="00686763"/>
    <w:rsid w:val="00686E83"/>
    <w:rsid w:val="00686EB1"/>
    <w:rsid w:val="006878C7"/>
    <w:rsid w:val="00687D70"/>
    <w:rsid w:val="006900C0"/>
    <w:rsid w:val="006905F2"/>
    <w:rsid w:val="00690840"/>
    <w:rsid w:val="00690E2C"/>
    <w:rsid w:val="00691874"/>
    <w:rsid w:val="00691ABD"/>
    <w:rsid w:val="006925F1"/>
    <w:rsid w:val="00692A5A"/>
    <w:rsid w:val="00692AAD"/>
    <w:rsid w:val="00692B67"/>
    <w:rsid w:val="00692F41"/>
    <w:rsid w:val="00692F65"/>
    <w:rsid w:val="00693665"/>
    <w:rsid w:val="00693ACB"/>
    <w:rsid w:val="00693B44"/>
    <w:rsid w:val="00693E43"/>
    <w:rsid w:val="006946AB"/>
    <w:rsid w:val="00694D7E"/>
    <w:rsid w:val="00694F9B"/>
    <w:rsid w:val="0069530D"/>
    <w:rsid w:val="0069535E"/>
    <w:rsid w:val="00696408"/>
    <w:rsid w:val="00696762"/>
    <w:rsid w:val="00696D44"/>
    <w:rsid w:val="006970AD"/>
    <w:rsid w:val="006971FF"/>
    <w:rsid w:val="00697575"/>
    <w:rsid w:val="00697620"/>
    <w:rsid w:val="006978CD"/>
    <w:rsid w:val="006978EE"/>
    <w:rsid w:val="006A0123"/>
    <w:rsid w:val="006A01AF"/>
    <w:rsid w:val="006A0F9C"/>
    <w:rsid w:val="006A11F1"/>
    <w:rsid w:val="006A1876"/>
    <w:rsid w:val="006A1CD6"/>
    <w:rsid w:val="006A1D36"/>
    <w:rsid w:val="006A1FD6"/>
    <w:rsid w:val="006A2233"/>
    <w:rsid w:val="006A28D5"/>
    <w:rsid w:val="006A2CA8"/>
    <w:rsid w:val="006A2E14"/>
    <w:rsid w:val="006A2EEF"/>
    <w:rsid w:val="006A40A0"/>
    <w:rsid w:val="006A45E7"/>
    <w:rsid w:val="006A46AE"/>
    <w:rsid w:val="006A4914"/>
    <w:rsid w:val="006A49C4"/>
    <w:rsid w:val="006A4F03"/>
    <w:rsid w:val="006A5319"/>
    <w:rsid w:val="006A59D4"/>
    <w:rsid w:val="006A5B39"/>
    <w:rsid w:val="006A5B92"/>
    <w:rsid w:val="006A5C01"/>
    <w:rsid w:val="006A5F54"/>
    <w:rsid w:val="006A6050"/>
    <w:rsid w:val="006A615D"/>
    <w:rsid w:val="006A6271"/>
    <w:rsid w:val="006A65B7"/>
    <w:rsid w:val="006A7D21"/>
    <w:rsid w:val="006A7D94"/>
    <w:rsid w:val="006B0288"/>
    <w:rsid w:val="006B03B0"/>
    <w:rsid w:val="006B0441"/>
    <w:rsid w:val="006B0C45"/>
    <w:rsid w:val="006B1560"/>
    <w:rsid w:val="006B15D6"/>
    <w:rsid w:val="006B1FA3"/>
    <w:rsid w:val="006B1FF9"/>
    <w:rsid w:val="006B2008"/>
    <w:rsid w:val="006B28A8"/>
    <w:rsid w:val="006B2D6B"/>
    <w:rsid w:val="006B30D1"/>
    <w:rsid w:val="006B36E0"/>
    <w:rsid w:val="006B3896"/>
    <w:rsid w:val="006B3B98"/>
    <w:rsid w:val="006B4280"/>
    <w:rsid w:val="006B46A3"/>
    <w:rsid w:val="006B4A58"/>
    <w:rsid w:val="006B4B04"/>
    <w:rsid w:val="006B5083"/>
    <w:rsid w:val="006B5212"/>
    <w:rsid w:val="006B64CE"/>
    <w:rsid w:val="006B6C56"/>
    <w:rsid w:val="006B6E3B"/>
    <w:rsid w:val="006B7ABF"/>
    <w:rsid w:val="006B7F8E"/>
    <w:rsid w:val="006C0145"/>
    <w:rsid w:val="006C0B35"/>
    <w:rsid w:val="006C0B48"/>
    <w:rsid w:val="006C0D20"/>
    <w:rsid w:val="006C10C2"/>
    <w:rsid w:val="006C164D"/>
    <w:rsid w:val="006C1BC5"/>
    <w:rsid w:val="006C1F00"/>
    <w:rsid w:val="006C1F92"/>
    <w:rsid w:val="006C298F"/>
    <w:rsid w:val="006C2A6F"/>
    <w:rsid w:val="006C2BC5"/>
    <w:rsid w:val="006C2ED6"/>
    <w:rsid w:val="006C2F1B"/>
    <w:rsid w:val="006C3293"/>
    <w:rsid w:val="006C36AA"/>
    <w:rsid w:val="006C40D6"/>
    <w:rsid w:val="006C4BD4"/>
    <w:rsid w:val="006C57CD"/>
    <w:rsid w:val="006C5E79"/>
    <w:rsid w:val="006C6945"/>
    <w:rsid w:val="006C6B0A"/>
    <w:rsid w:val="006C771B"/>
    <w:rsid w:val="006D0786"/>
    <w:rsid w:val="006D09A7"/>
    <w:rsid w:val="006D0A0D"/>
    <w:rsid w:val="006D1362"/>
    <w:rsid w:val="006D1557"/>
    <w:rsid w:val="006D1B16"/>
    <w:rsid w:val="006D1B56"/>
    <w:rsid w:val="006D2363"/>
    <w:rsid w:val="006D2A07"/>
    <w:rsid w:val="006D2AE7"/>
    <w:rsid w:val="006D2DDB"/>
    <w:rsid w:val="006D3141"/>
    <w:rsid w:val="006D3E6F"/>
    <w:rsid w:val="006D3EEB"/>
    <w:rsid w:val="006D4188"/>
    <w:rsid w:val="006D4B50"/>
    <w:rsid w:val="006D4C78"/>
    <w:rsid w:val="006D4D1E"/>
    <w:rsid w:val="006D510D"/>
    <w:rsid w:val="006D5963"/>
    <w:rsid w:val="006D5A6D"/>
    <w:rsid w:val="006D5B6C"/>
    <w:rsid w:val="006D5E06"/>
    <w:rsid w:val="006D6127"/>
    <w:rsid w:val="006D643B"/>
    <w:rsid w:val="006D67CF"/>
    <w:rsid w:val="006D7B09"/>
    <w:rsid w:val="006D7E3D"/>
    <w:rsid w:val="006E02E4"/>
    <w:rsid w:val="006E0559"/>
    <w:rsid w:val="006E0A2B"/>
    <w:rsid w:val="006E0B9C"/>
    <w:rsid w:val="006E0CF7"/>
    <w:rsid w:val="006E1396"/>
    <w:rsid w:val="006E20F0"/>
    <w:rsid w:val="006E252A"/>
    <w:rsid w:val="006E266D"/>
    <w:rsid w:val="006E28A2"/>
    <w:rsid w:val="006E2B4B"/>
    <w:rsid w:val="006E2E4F"/>
    <w:rsid w:val="006E3656"/>
    <w:rsid w:val="006E4190"/>
    <w:rsid w:val="006E4578"/>
    <w:rsid w:val="006E5C13"/>
    <w:rsid w:val="006E608F"/>
    <w:rsid w:val="006E620E"/>
    <w:rsid w:val="006E6429"/>
    <w:rsid w:val="006E66B7"/>
    <w:rsid w:val="006E6F49"/>
    <w:rsid w:val="006E785A"/>
    <w:rsid w:val="006E79C2"/>
    <w:rsid w:val="006F0367"/>
    <w:rsid w:val="006F069B"/>
    <w:rsid w:val="006F10DB"/>
    <w:rsid w:val="006F1180"/>
    <w:rsid w:val="006F15EC"/>
    <w:rsid w:val="006F1E12"/>
    <w:rsid w:val="006F1F4A"/>
    <w:rsid w:val="006F1F4E"/>
    <w:rsid w:val="006F239D"/>
    <w:rsid w:val="006F24F6"/>
    <w:rsid w:val="006F2C6A"/>
    <w:rsid w:val="006F2C88"/>
    <w:rsid w:val="006F33C5"/>
    <w:rsid w:val="006F3EF9"/>
    <w:rsid w:val="006F4429"/>
    <w:rsid w:val="006F4472"/>
    <w:rsid w:val="006F46CB"/>
    <w:rsid w:val="006F4996"/>
    <w:rsid w:val="006F4E95"/>
    <w:rsid w:val="006F62F2"/>
    <w:rsid w:val="006F64EC"/>
    <w:rsid w:val="006F716D"/>
    <w:rsid w:val="006F72B6"/>
    <w:rsid w:val="006F776A"/>
    <w:rsid w:val="006F7B76"/>
    <w:rsid w:val="006F7F50"/>
    <w:rsid w:val="006F7F79"/>
    <w:rsid w:val="00700286"/>
    <w:rsid w:val="00700BC6"/>
    <w:rsid w:val="007014BA"/>
    <w:rsid w:val="00701786"/>
    <w:rsid w:val="00701B28"/>
    <w:rsid w:val="00701C29"/>
    <w:rsid w:val="0070243F"/>
    <w:rsid w:val="00702696"/>
    <w:rsid w:val="00702755"/>
    <w:rsid w:val="00702D2C"/>
    <w:rsid w:val="00702E43"/>
    <w:rsid w:val="0070359A"/>
    <w:rsid w:val="00703822"/>
    <w:rsid w:val="00703AAD"/>
    <w:rsid w:val="00703D73"/>
    <w:rsid w:val="00703E78"/>
    <w:rsid w:val="0070458A"/>
    <w:rsid w:val="00704BB9"/>
    <w:rsid w:val="00705169"/>
    <w:rsid w:val="0070575B"/>
    <w:rsid w:val="007059FD"/>
    <w:rsid w:val="00705A93"/>
    <w:rsid w:val="007062B3"/>
    <w:rsid w:val="007062EA"/>
    <w:rsid w:val="007063B0"/>
    <w:rsid w:val="0070674D"/>
    <w:rsid w:val="0070779A"/>
    <w:rsid w:val="00707C0A"/>
    <w:rsid w:val="007100EE"/>
    <w:rsid w:val="007102EA"/>
    <w:rsid w:val="0071037D"/>
    <w:rsid w:val="007107C3"/>
    <w:rsid w:val="007108A6"/>
    <w:rsid w:val="00710E0D"/>
    <w:rsid w:val="00710E7B"/>
    <w:rsid w:val="00711504"/>
    <w:rsid w:val="00711AC2"/>
    <w:rsid w:val="00711B57"/>
    <w:rsid w:val="00711EDB"/>
    <w:rsid w:val="00711FD1"/>
    <w:rsid w:val="007120FE"/>
    <w:rsid w:val="007123B9"/>
    <w:rsid w:val="00712421"/>
    <w:rsid w:val="007125E1"/>
    <w:rsid w:val="00712D95"/>
    <w:rsid w:val="007130F9"/>
    <w:rsid w:val="0071331A"/>
    <w:rsid w:val="00713614"/>
    <w:rsid w:val="007138A5"/>
    <w:rsid w:val="00713EA0"/>
    <w:rsid w:val="007143A2"/>
    <w:rsid w:val="00714402"/>
    <w:rsid w:val="0071497B"/>
    <w:rsid w:val="00714CBB"/>
    <w:rsid w:val="007151E0"/>
    <w:rsid w:val="00715446"/>
    <w:rsid w:val="007155ED"/>
    <w:rsid w:val="007156BE"/>
    <w:rsid w:val="00716BF3"/>
    <w:rsid w:val="00716EEB"/>
    <w:rsid w:val="00717043"/>
    <w:rsid w:val="00717068"/>
    <w:rsid w:val="00717154"/>
    <w:rsid w:val="00717185"/>
    <w:rsid w:val="00717671"/>
    <w:rsid w:val="007203D9"/>
    <w:rsid w:val="007204A2"/>
    <w:rsid w:val="007206BF"/>
    <w:rsid w:val="00720EBE"/>
    <w:rsid w:val="007216F6"/>
    <w:rsid w:val="00721A39"/>
    <w:rsid w:val="00721BCE"/>
    <w:rsid w:val="00722309"/>
    <w:rsid w:val="00722775"/>
    <w:rsid w:val="00722DCC"/>
    <w:rsid w:val="0072363E"/>
    <w:rsid w:val="007238EB"/>
    <w:rsid w:val="007240CA"/>
    <w:rsid w:val="00724369"/>
    <w:rsid w:val="00724706"/>
    <w:rsid w:val="0072499E"/>
    <w:rsid w:val="00724A21"/>
    <w:rsid w:val="00724AE5"/>
    <w:rsid w:val="0072525B"/>
    <w:rsid w:val="00725593"/>
    <w:rsid w:val="007255CB"/>
    <w:rsid w:val="00725A3E"/>
    <w:rsid w:val="00726306"/>
    <w:rsid w:val="007268DB"/>
    <w:rsid w:val="00726B94"/>
    <w:rsid w:val="00726B9E"/>
    <w:rsid w:val="00727489"/>
    <w:rsid w:val="007277EF"/>
    <w:rsid w:val="00727CE3"/>
    <w:rsid w:val="00727F37"/>
    <w:rsid w:val="007307EE"/>
    <w:rsid w:val="00731082"/>
    <w:rsid w:val="0073136C"/>
    <w:rsid w:val="00731445"/>
    <w:rsid w:val="00731609"/>
    <w:rsid w:val="00731BF1"/>
    <w:rsid w:val="00732175"/>
    <w:rsid w:val="00732318"/>
    <w:rsid w:val="0073244A"/>
    <w:rsid w:val="00732536"/>
    <w:rsid w:val="00732C82"/>
    <w:rsid w:val="007332ED"/>
    <w:rsid w:val="007333CC"/>
    <w:rsid w:val="007334FE"/>
    <w:rsid w:val="00733B14"/>
    <w:rsid w:val="00734172"/>
    <w:rsid w:val="00734A75"/>
    <w:rsid w:val="00735258"/>
    <w:rsid w:val="0073567F"/>
    <w:rsid w:val="00736048"/>
    <w:rsid w:val="00736112"/>
    <w:rsid w:val="0073611B"/>
    <w:rsid w:val="007362C6"/>
    <w:rsid w:val="00736424"/>
    <w:rsid w:val="00736972"/>
    <w:rsid w:val="0073697D"/>
    <w:rsid w:val="00736E79"/>
    <w:rsid w:val="00736FDB"/>
    <w:rsid w:val="007372DD"/>
    <w:rsid w:val="0073730F"/>
    <w:rsid w:val="00737595"/>
    <w:rsid w:val="00737A52"/>
    <w:rsid w:val="00737EDF"/>
    <w:rsid w:val="00740068"/>
    <w:rsid w:val="007400BC"/>
    <w:rsid w:val="007404FA"/>
    <w:rsid w:val="0074056F"/>
    <w:rsid w:val="00740AD8"/>
    <w:rsid w:val="00740B29"/>
    <w:rsid w:val="00741234"/>
    <w:rsid w:val="00741410"/>
    <w:rsid w:val="00741683"/>
    <w:rsid w:val="00741775"/>
    <w:rsid w:val="0074182C"/>
    <w:rsid w:val="00741AF7"/>
    <w:rsid w:val="00741CCA"/>
    <w:rsid w:val="007422E9"/>
    <w:rsid w:val="0074234E"/>
    <w:rsid w:val="007424B2"/>
    <w:rsid w:val="00742FB0"/>
    <w:rsid w:val="00743B59"/>
    <w:rsid w:val="007442D7"/>
    <w:rsid w:val="00744619"/>
    <w:rsid w:val="007449DD"/>
    <w:rsid w:val="007455EF"/>
    <w:rsid w:val="00745707"/>
    <w:rsid w:val="007457B5"/>
    <w:rsid w:val="007457D9"/>
    <w:rsid w:val="00745C15"/>
    <w:rsid w:val="00745C63"/>
    <w:rsid w:val="00745E1C"/>
    <w:rsid w:val="00746248"/>
    <w:rsid w:val="00746AC9"/>
    <w:rsid w:val="00746FD9"/>
    <w:rsid w:val="00747479"/>
    <w:rsid w:val="00747521"/>
    <w:rsid w:val="0074795C"/>
    <w:rsid w:val="007500F7"/>
    <w:rsid w:val="00750176"/>
    <w:rsid w:val="00750291"/>
    <w:rsid w:val="007512EE"/>
    <w:rsid w:val="0075176B"/>
    <w:rsid w:val="00751DB2"/>
    <w:rsid w:val="00751E1A"/>
    <w:rsid w:val="00752046"/>
    <w:rsid w:val="00752264"/>
    <w:rsid w:val="0075306F"/>
    <w:rsid w:val="007534DC"/>
    <w:rsid w:val="00753D00"/>
    <w:rsid w:val="007544F7"/>
    <w:rsid w:val="00754CA9"/>
    <w:rsid w:val="00754CAD"/>
    <w:rsid w:val="00754F02"/>
    <w:rsid w:val="00755D5B"/>
    <w:rsid w:val="00755E8A"/>
    <w:rsid w:val="00755EEC"/>
    <w:rsid w:val="00755FDC"/>
    <w:rsid w:val="00756012"/>
    <w:rsid w:val="007569A7"/>
    <w:rsid w:val="0075738B"/>
    <w:rsid w:val="0075766E"/>
    <w:rsid w:val="007578D9"/>
    <w:rsid w:val="00757A39"/>
    <w:rsid w:val="00757BAB"/>
    <w:rsid w:val="007609B7"/>
    <w:rsid w:val="007609D3"/>
    <w:rsid w:val="00760CC6"/>
    <w:rsid w:val="007612C8"/>
    <w:rsid w:val="00761362"/>
    <w:rsid w:val="00761394"/>
    <w:rsid w:val="00761395"/>
    <w:rsid w:val="007615F1"/>
    <w:rsid w:val="007619F9"/>
    <w:rsid w:val="00761A37"/>
    <w:rsid w:val="00761AB0"/>
    <w:rsid w:val="00762E72"/>
    <w:rsid w:val="007633B1"/>
    <w:rsid w:val="00763DAB"/>
    <w:rsid w:val="0076436A"/>
    <w:rsid w:val="00764879"/>
    <w:rsid w:val="00764C7B"/>
    <w:rsid w:val="00764D20"/>
    <w:rsid w:val="00765A3E"/>
    <w:rsid w:val="00765F9D"/>
    <w:rsid w:val="0076731D"/>
    <w:rsid w:val="00767395"/>
    <w:rsid w:val="007673DD"/>
    <w:rsid w:val="007674E6"/>
    <w:rsid w:val="0076769D"/>
    <w:rsid w:val="00767AB4"/>
    <w:rsid w:val="00767BC5"/>
    <w:rsid w:val="007704F8"/>
    <w:rsid w:val="00771274"/>
    <w:rsid w:val="007716FE"/>
    <w:rsid w:val="00771F12"/>
    <w:rsid w:val="00771F46"/>
    <w:rsid w:val="00772352"/>
    <w:rsid w:val="0077252B"/>
    <w:rsid w:val="0077275C"/>
    <w:rsid w:val="007727F9"/>
    <w:rsid w:val="00772E01"/>
    <w:rsid w:val="00773363"/>
    <w:rsid w:val="00773F4B"/>
    <w:rsid w:val="0077435A"/>
    <w:rsid w:val="00774745"/>
    <w:rsid w:val="00774E7D"/>
    <w:rsid w:val="00775059"/>
    <w:rsid w:val="007751A4"/>
    <w:rsid w:val="007751E3"/>
    <w:rsid w:val="00775272"/>
    <w:rsid w:val="00775324"/>
    <w:rsid w:val="0077555E"/>
    <w:rsid w:val="00775765"/>
    <w:rsid w:val="00775DA6"/>
    <w:rsid w:val="00775EA8"/>
    <w:rsid w:val="007762C9"/>
    <w:rsid w:val="00776409"/>
    <w:rsid w:val="00776E75"/>
    <w:rsid w:val="007777F3"/>
    <w:rsid w:val="0077799B"/>
    <w:rsid w:val="00777A9F"/>
    <w:rsid w:val="00780609"/>
    <w:rsid w:val="0078163C"/>
    <w:rsid w:val="007821EC"/>
    <w:rsid w:val="0078272C"/>
    <w:rsid w:val="007829D9"/>
    <w:rsid w:val="00782B2A"/>
    <w:rsid w:val="00782D73"/>
    <w:rsid w:val="00782F53"/>
    <w:rsid w:val="007834F1"/>
    <w:rsid w:val="0078358D"/>
    <w:rsid w:val="0078365F"/>
    <w:rsid w:val="00783705"/>
    <w:rsid w:val="0078433F"/>
    <w:rsid w:val="0078489F"/>
    <w:rsid w:val="007850F7"/>
    <w:rsid w:val="0078514A"/>
    <w:rsid w:val="00785238"/>
    <w:rsid w:val="0078651D"/>
    <w:rsid w:val="0078750C"/>
    <w:rsid w:val="00787D5F"/>
    <w:rsid w:val="00790B69"/>
    <w:rsid w:val="00790C5C"/>
    <w:rsid w:val="00790ECB"/>
    <w:rsid w:val="00790F53"/>
    <w:rsid w:val="007918D7"/>
    <w:rsid w:val="00791958"/>
    <w:rsid w:val="00791980"/>
    <w:rsid w:val="00791E29"/>
    <w:rsid w:val="0079205B"/>
    <w:rsid w:val="0079258F"/>
    <w:rsid w:val="00793009"/>
    <w:rsid w:val="0079326B"/>
    <w:rsid w:val="00793512"/>
    <w:rsid w:val="0079371A"/>
    <w:rsid w:val="00793892"/>
    <w:rsid w:val="00793B9E"/>
    <w:rsid w:val="007940C0"/>
    <w:rsid w:val="0079452B"/>
    <w:rsid w:val="00794AD8"/>
    <w:rsid w:val="00794C11"/>
    <w:rsid w:val="0079560C"/>
    <w:rsid w:val="00795773"/>
    <w:rsid w:val="00795B7E"/>
    <w:rsid w:val="00796FE3"/>
    <w:rsid w:val="007973C1"/>
    <w:rsid w:val="00797805"/>
    <w:rsid w:val="00797868"/>
    <w:rsid w:val="007A0508"/>
    <w:rsid w:val="007A0CA3"/>
    <w:rsid w:val="007A0CFE"/>
    <w:rsid w:val="007A0DC2"/>
    <w:rsid w:val="007A11F2"/>
    <w:rsid w:val="007A1723"/>
    <w:rsid w:val="007A1830"/>
    <w:rsid w:val="007A1BBD"/>
    <w:rsid w:val="007A1D81"/>
    <w:rsid w:val="007A251D"/>
    <w:rsid w:val="007A2634"/>
    <w:rsid w:val="007A2B79"/>
    <w:rsid w:val="007A3348"/>
    <w:rsid w:val="007A33B1"/>
    <w:rsid w:val="007A3FC1"/>
    <w:rsid w:val="007A4310"/>
    <w:rsid w:val="007A4725"/>
    <w:rsid w:val="007A4E63"/>
    <w:rsid w:val="007A568B"/>
    <w:rsid w:val="007A595C"/>
    <w:rsid w:val="007A5D6F"/>
    <w:rsid w:val="007A5FAF"/>
    <w:rsid w:val="007A6093"/>
    <w:rsid w:val="007A61CD"/>
    <w:rsid w:val="007A690A"/>
    <w:rsid w:val="007A6CBB"/>
    <w:rsid w:val="007A73A7"/>
    <w:rsid w:val="007A7BF1"/>
    <w:rsid w:val="007A7C7C"/>
    <w:rsid w:val="007A7D20"/>
    <w:rsid w:val="007B0595"/>
    <w:rsid w:val="007B0928"/>
    <w:rsid w:val="007B0983"/>
    <w:rsid w:val="007B1AF5"/>
    <w:rsid w:val="007B258A"/>
    <w:rsid w:val="007B332E"/>
    <w:rsid w:val="007B38BC"/>
    <w:rsid w:val="007B3FC6"/>
    <w:rsid w:val="007B419D"/>
    <w:rsid w:val="007B442C"/>
    <w:rsid w:val="007B482B"/>
    <w:rsid w:val="007B4A22"/>
    <w:rsid w:val="007B4AFB"/>
    <w:rsid w:val="007B4BD8"/>
    <w:rsid w:val="007B4C8F"/>
    <w:rsid w:val="007B5278"/>
    <w:rsid w:val="007B52CA"/>
    <w:rsid w:val="007B532E"/>
    <w:rsid w:val="007B5865"/>
    <w:rsid w:val="007B5C94"/>
    <w:rsid w:val="007B5DDC"/>
    <w:rsid w:val="007B6C18"/>
    <w:rsid w:val="007B6F7E"/>
    <w:rsid w:val="007B7012"/>
    <w:rsid w:val="007B7230"/>
    <w:rsid w:val="007C020D"/>
    <w:rsid w:val="007C034C"/>
    <w:rsid w:val="007C03B5"/>
    <w:rsid w:val="007C0A2C"/>
    <w:rsid w:val="007C0E41"/>
    <w:rsid w:val="007C0EF1"/>
    <w:rsid w:val="007C13C5"/>
    <w:rsid w:val="007C1F5D"/>
    <w:rsid w:val="007C2289"/>
    <w:rsid w:val="007C2628"/>
    <w:rsid w:val="007C26E0"/>
    <w:rsid w:val="007C2A4F"/>
    <w:rsid w:val="007C2D48"/>
    <w:rsid w:val="007C39A8"/>
    <w:rsid w:val="007C3F5F"/>
    <w:rsid w:val="007C40E6"/>
    <w:rsid w:val="007C4655"/>
    <w:rsid w:val="007C4656"/>
    <w:rsid w:val="007C4E76"/>
    <w:rsid w:val="007C4F8D"/>
    <w:rsid w:val="007C541A"/>
    <w:rsid w:val="007C6020"/>
    <w:rsid w:val="007C61B4"/>
    <w:rsid w:val="007C6582"/>
    <w:rsid w:val="007C65E5"/>
    <w:rsid w:val="007C694E"/>
    <w:rsid w:val="007C724B"/>
    <w:rsid w:val="007C7878"/>
    <w:rsid w:val="007C7D5B"/>
    <w:rsid w:val="007D0101"/>
    <w:rsid w:val="007D020C"/>
    <w:rsid w:val="007D0914"/>
    <w:rsid w:val="007D0D79"/>
    <w:rsid w:val="007D0E83"/>
    <w:rsid w:val="007D1009"/>
    <w:rsid w:val="007D14AB"/>
    <w:rsid w:val="007D2021"/>
    <w:rsid w:val="007D24F2"/>
    <w:rsid w:val="007D24F8"/>
    <w:rsid w:val="007D2885"/>
    <w:rsid w:val="007D2A68"/>
    <w:rsid w:val="007D2EAD"/>
    <w:rsid w:val="007D3201"/>
    <w:rsid w:val="007D32BB"/>
    <w:rsid w:val="007D3671"/>
    <w:rsid w:val="007D3A55"/>
    <w:rsid w:val="007D3BA4"/>
    <w:rsid w:val="007D3D62"/>
    <w:rsid w:val="007D3DA7"/>
    <w:rsid w:val="007D436F"/>
    <w:rsid w:val="007D4840"/>
    <w:rsid w:val="007D5A3D"/>
    <w:rsid w:val="007D5C26"/>
    <w:rsid w:val="007D5FEE"/>
    <w:rsid w:val="007D6172"/>
    <w:rsid w:val="007D66A1"/>
    <w:rsid w:val="007D67BC"/>
    <w:rsid w:val="007D6EF7"/>
    <w:rsid w:val="007D70EC"/>
    <w:rsid w:val="007D7512"/>
    <w:rsid w:val="007D76F9"/>
    <w:rsid w:val="007D7825"/>
    <w:rsid w:val="007D7E0E"/>
    <w:rsid w:val="007E093B"/>
    <w:rsid w:val="007E0B84"/>
    <w:rsid w:val="007E0DFC"/>
    <w:rsid w:val="007E151E"/>
    <w:rsid w:val="007E15F6"/>
    <w:rsid w:val="007E17D2"/>
    <w:rsid w:val="007E2428"/>
    <w:rsid w:val="007E2A87"/>
    <w:rsid w:val="007E2AD7"/>
    <w:rsid w:val="007E361A"/>
    <w:rsid w:val="007E37E3"/>
    <w:rsid w:val="007E3A0A"/>
    <w:rsid w:val="007E4379"/>
    <w:rsid w:val="007E44F1"/>
    <w:rsid w:val="007E48E8"/>
    <w:rsid w:val="007E4F95"/>
    <w:rsid w:val="007E4FE5"/>
    <w:rsid w:val="007E50F1"/>
    <w:rsid w:val="007E5971"/>
    <w:rsid w:val="007E5C5A"/>
    <w:rsid w:val="007E5F97"/>
    <w:rsid w:val="007E604A"/>
    <w:rsid w:val="007E6336"/>
    <w:rsid w:val="007E6A5B"/>
    <w:rsid w:val="007E6AC2"/>
    <w:rsid w:val="007E6F1D"/>
    <w:rsid w:val="007E6F29"/>
    <w:rsid w:val="007E70AF"/>
    <w:rsid w:val="007E70EE"/>
    <w:rsid w:val="007E74A8"/>
    <w:rsid w:val="007E77A9"/>
    <w:rsid w:val="007E7FC8"/>
    <w:rsid w:val="007F0FB6"/>
    <w:rsid w:val="007F0FD3"/>
    <w:rsid w:val="007F1C59"/>
    <w:rsid w:val="007F242B"/>
    <w:rsid w:val="007F27B7"/>
    <w:rsid w:val="007F2B06"/>
    <w:rsid w:val="007F2B65"/>
    <w:rsid w:val="007F35C8"/>
    <w:rsid w:val="007F38B2"/>
    <w:rsid w:val="007F3B0B"/>
    <w:rsid w:val="007F4346"/>
    <w:rsid w:val="007F47B3"/>
    <w:rsid w:val="007F485B"/>
    <w:rsid w:val="007F489F"/>
    <w:rsid w:val="007F4F5C"/>
    <w:rsid w:val="007F517F"/>
    <w:rsid w:val="007F53F6"/>
    <w:rsid w:val="007F587C"/>
    <w:rsid w:val="007F6D2C"/>
    <w:rsid w:val="007F7092"/>
    <w:rsid w:val="007F7511"/>
    <w:rsid w:val="007F771F"/>
    <w:rsid w:val="0080020C"/>
    <w:rsid w:val="008008DA"/>
    <w:rsid w:val="00800C26"/>
    <w:rsid w:val="00800CDD"/>
    <w:rsid w:val="00800E55"/>
    <w:rsid w:val="0080102F"/>
    <w:rsid w:val="00801035"/>
    <w:rsid w:val="00801170"/>
    <w:rsid w:val="00801489"/>
    <w:rsid w:val="008016DC"/>
    <w:rsid w:val="008017EF"/>
    <w:rsid w:val="00801B96"/>
    <w:rsid w:val="0080238B"/>
    <w:rsid w:val="00802BA0"/>
    <w:rsid w:val="00802CBB"/>
    <w:rsid w:val="00802CCE"/>
    <w:rsid w:val="0080342D"/>
    <w:rsid w:val="0080364B"/>
    <w:rsid w:val="00803806"/>
    <w:rsid w:val="0080384F"/>
    <w:rsid w:val="00803A6A"/>
    <w:rsid w:val="00803B24"/>
    <w:rsid w:val="00804672"/>
    <w:rsid w:val="00805856"/>
    <w:rsid w:val="00805A44"/>
    <w:rsid w:val="00805C2E"/>
    <w:rsid w:val="008060DA"/>
    <w:rsid w:val="00806DED"/>
    <w:rsid w:val="00806E4D"/>
    <w:rsid w:val="00807384"/>
    <w:rsid w:val="0080738F"/>
    <w:rsid w:val="00807609"/>
    <w:rsid w:val="00807749"/>
    <w:rsid w:val="00807D7B"/>
    <w:rsid w:val="00807FC5"/>
    <w:rsid w:val="00810677"/>
    <w:rsid w:val="008110C1"/>
    <w:rsid w:val="008111F6"/>
    <w:rsid w:val="0081188A"/>
    <w:rsid w:val="00811B2A"/>
    <w:rsid w:val="00811C36"/>
    <w:rsid w:val="00812269"/>
    <w:rsid w:val="008122A7"/>
    <w:rsid w:val="00812837"/>
    <w:rsid w:val="00812B38"/>
    <w:rsid w:val="00813001"/>
    <w:rsid w:val="00813703"/>
    <w:rsid w:val="00813BCC"/>
    <w:rsid w:val="00814464"/>
    <w:rsid w:val="00814648"/>
    <w:rsid w:val="008149E9"/>
    <w:rsid w:val="00814D80"/>
    <w:rsid w:val="00814E83"/>
    <w:rsid w:val="00814EAE"/>
    <w:rsid w:val="008157CD"/>
    <w:rsid w:val="00815B98"/>
    <w:rsid w:val="00815CBD"/>
    <w:rsid w:val="00815DED"/>
    <w:rsid w:val="00815F00"/>
    <w:rsid w:val="00815F71"/>
    <w:rsid w:val="0081636F"/>
    <w:rsid w:val="008165AB"/>
    <w:rsid w:val="00816710"/>
    <w:rsid w:val="00816B49"/>
    <w:rsid w:val="00817822"/>
    <w:rsid w:val="008202EA"/>
    <w:rsid w:val="00820996"/>
    <w:rsid w:val="00820C77"/>
    <w:rsid w:val="00820DFF"/>
    <w:rsid w:val="00820F86"/>
    <w:rsid w:val="008211D9"/>
    <w:rsid w:val="00821BD7"/>
    <w:rsid w:val="0082216E"/>
    <w:rsid w:val="008223A9"/>
    <w:rsid w:val="00822E5F"/>
    <w:rsid w:val="008237CE"/>
    <w:rsid w:val="00823909"/>
    <w:rsid w:val="00823C07"/>
    <w:rsid w:val="00823C6C"/>
    <w:rsid w:val="00823CFC"/>
    <w:rsid w:val="00824195"/>
    <w:rsid w:val="008247B6"/>
    <w:rsid w:val="008247FF"/>
    <w:rsid w:val="00824920"/>
    <w:rsid w:val="00824A84"/>
    <w:rsid w:val="008251D9"/>
    <w:rsid w:val="00825671"/>
    <w:rsid w:val="00825686"/>
    <w:rsid w:val="00825AA1"/>
    <w:rsid w:val="008264D5"/>
    <w:rsid w:val="00826742"/>
    <w:rsid w:val="00826916"/>
    <w:rsid w:val="00826B73"/>
    <w:rsid w:val="00826C36"/>
    <w:rsid w:val="00826FC3"/>
    <w:rsid w:val="008276A3"/>
    <w:rsid w:val="008278D3"/>
    <w:rsid w:val="00827B60"/>
    <w:rsid w:val="00827D5B"/>
    <w:rsid w:val="00827F70"/>
    <w:rsid w:val="00830B55"/>
    <w:rsid w:val="008310CD"/>
    <w:rsid w:val="0083110F"/>
    <w:rsid w:val="00831417"/>
    <w:rsid w:val="0083180D"/>
    <w:rsid w:val="008323F9"/>
    <w:rsid w:val="00832437"/>
    <w:rsid w:val="00832A62"/>
    <w:rsid w:val="00833E14"/>
    <w:rsid w:val="00833F28"/>
    <w:rsid w:val="0083464D"/>
    <w:rsid w:val="008348D0"/>
    <w:rsid w:val="008355B9"/>
    <w:rsid w:val="00835CBB"/>
    <w:rsid w:val="00835DFE"/>
    <w:rsid w:val="0083623D"/>
    <w:rsid w:val="008362E7"/>
    <w:rsid w:val="00836A2D"/>
    <w:rsid w:val="00836D4A"/>
    <w:rsid w:val="00836E7E"/>
    <w:rsid w:val="00836FF3"/>
    <w:rsid w:val="00837327"/>
    <w:rsid w:val="00837411"/>
    <w:rsid w:val="00837503"/>
    <w:rsid w:val="0083758F"/>
    <w:rsid w:val="008379C0"/>
    <w:rsid w:val="00837ACE"/>
    <w:rsid w:val="00837D25"/>
    <w:rsid w:val="00840DD5"/>
    <w:rsid w:val="00841E76"/>
    <w:rsid w:val="008425DC"/>
    <w:rsid w:val="00842688"/>
    <w:rsid w:val="00842F21"/>
    <w:rsid w:val="00843581"/>
    <w:rsid w:val="008441BF"/>
    <w:rsid w:val="00844212"/>
    <w:rsid w:val="008443BA"/>
    <w:rsid w:val="00844827"/>
    <w:rsid w:val="00844890"/>
    <w:rsid w:val="00844CBB"/>
    <w:rsid w:val="00844E6A"/>
    <w:rsid w:val="00844EDC"/>
    <w:rsid w:val="00844F19"/>
    <w:rsid w:val="0084523E"/>
    <w:rsid w:val="0084568D"/>
    <w:rsid w:val="008459D3"/>
    <w:rsid w:val="0084651C"/>
    <w:rsid w:val="00846845"/>
    <w:rsid w:val="008468EB"/>
    <w:rsid w:val="00846AC6"/>
    <w:rsid w:val="00846C47"/>
    <w:rsid w:val="008479A2"/>
    <w:rsid w:val="00847BFA"/>
    <w:rsid w:val="00847DE4"/>
    <w:rsid w:val="0085010F"/>
    <w:rsid w:val="008503D3"/>
    <w:rsid w:val="0085121A"/>
    <w:rsid w:val="00851A3C"/>
    <w:rsid w:val="00851E7F"/>
    <w:rsid w:val="00851EF6"/>
    <w:rsid w:val="0085226E"/>
    <w:rsid w:val="008524C9"/>
    <w:rsid w:val="008526EB"/>
    <w:rsid w:val="008529AA"/>
    <w:rsid w:val="00852A88"/>
    <w:rsid w:val="008535D3"/>
    <w:rsid w:val="008540E2"/>
    <w:rsid w:val="00854369"/>
    <w:rsid w:val="00854A9C"/>
    <w:rsid w:val="0085542F"/>
    <w:rsid w:val="00855595"/>
    <w:rsid w:val="00855D1C"/>
    <w:rsid w:val="00855D43"/>
    <w:rsid w:val="00855FE1"/>
    <w:rsid w:val="00856415"/>
    <w:rsid w:val="00856932"/>
    <w:rsid w:val="00856A83"/>
    <w:rsid w:val="0085711B"/>
    <w:rsid w:val="00857244"/>
    <w:rsid w:val="00857956"/>
    <w:rsid w:val="00857979"/>
    <w:rsid w:val="00857A51"/>
    <w:rsid w:val="00857A6C"/>
    <w:rsid w:val="00857DA5"/>
    <w:rsid w:val="00860091"/>
    <w:rsid w:val="00860289"/>
    <w:rsid w:val="008604EE"/>
    <w:rsid w:val="00861898"/>
    <w:rsid w:val="00861926"/>
    <w:rsid w:val="00861ADE"/>
    <w:rsid w:val="00862353"/>
    <w:rsid w:val="0086249A"/>
    <w:rsid w:val="00862E20"/>
    <w:rsid w:val="00863179"/>
    <w:rsid w:val="00863A54"/>
    <w:rsid w:val="00864807"/>
    <w:rsid w:val="00864BBF"/>
    <w:rsid w:val="008652EC"/>
    <w:rsid w:val="0086558E"/>
    <w:rsid w:val="0086589F"/>
    <w:rsid w:val="00866B1A"/>
    <w:rsid w:val="008671C3"/>
    <w:rsid w:val="008674B9"/>
    <w:rsid w:val="008675EB"/>
    <w:rsid w:val="0086767F"/>
    <w:rsid w:val="0087017B"/>
    <w:rsid w:val="008702AE"/>
    <w:rsid w:val="00870AD7"/>
    <w:rsid w:val="00870EF8"/>
    <w:rsid w:val="00871205"/>
    <w:rsid w:val="008714AF"/>
    <w:rsid w:val="00871BC5"/>
    <w:rsid w:val="00872129"/>
    <w:rsid w:val="00872990"/>
    <w:rsid w:val="00872D2F"/>
    <w:rsid w:val="00872E46"/>
    <w:rsid w:val="0087352F"/>
    <w:rsid w:val="00873B7E"/>
    <w:rsid w:val="00873BFD"/>
    <w:rsid w:val="00873FD7"/>
    <w:rsid w:val="00874200"/>
    <w:rsid w:val="00874557"/>
    <w:rsid w:val="0087498F"/>
    <w:rsid w:val="008749B5"/>
    <w:rsid w:val="00875D18"/>
    <w:rsid w:val="00875E24"/>
    <w:rsid w:val="00875EAE"/>
    <w:rsid w:val="008761F7"/>
    <w:rsid w:val="00876A71"/>
    <w:rsid w:val="00876A8C"/>
    <w:rsid w:val="00876B7D"/>
    <w:rsid w:val="008771D1"/>
    <w:rsid w:val="008773B3"/>
    <w:rsid w:val="00877E2B"/>
    <w:rsid w:val="008803F2"/>
    <w:rsid w:val="00880757"/>
    <w:rsid w:val="00881865"/>
    <w:rsid w:val="00881B54"/>
    <w:rsid w:val="0088210A"/>
    <w:rsid w:val="00882228"/>
    <w:rsid w:val="00882427"/>
    <w:rsid w:val="0088296E"/>
    <w:rsid w:val="00882CF3"/>
    <w:rsid w:val="00882D87"/>
    <w:rsid w:val="00882EBB"/>
    <w:rsid w:val="00883BCF"/>
    <w:rsid w:val="00883EAD"/>
    <w:rsid w:val="0088478A"/>
    <w:rsid w:val="0088483C"/>
    <w:rsid w:val="00886011"/>
    <w:rsid w:val="008863F9"/>
    <w:rsid w:val="008864AD"/>
    <w:rsid w:val="008867E8"/>
    <w:rsid w:val="008868A1"/>
    <w:rsid w:val="00886C9E"/>
    <w:rsid w:val="00886EDF"/>
    <w:rsid w:val="00887773"/>
    <w:rsid w:val="00887DC4"/>
    <w:rsid w:val="00887E3D"/>
    <w:rsid w:val="00887FE9"/>
    <w:rsid w:val="008907B6"/>
    <w:rsid w:val="0089089E"/>
    <w:rsid w:val="00890B28"/>
    <w:rsid w:val="00891AF1"/>
    <w:rsid w:val="00891B27"/>
    <w:rsid w:val="008922F9"/>
    <w:rsid w:val="008923E6"/>
    <w:rsid w:val="008923F1"/>
    <w:rsid w:val="00892CCA"/>
    <w:rsid w:val="0089475F"/>
    <w:rsid w:val="008951A7"/>
    <w:rsid w:val="0089533A"/>
    <w:rsid w:val="008953D4"/>
    <w:rsid w:val="00896316"/>
    <w:rsid w:val="0089645A"/>
    <w:rsid w:val="008965CA"/>
    <w:rsid w:val="00896D77"/>
    <w:rsid w:val="008971B4"/>
    <w:rsid w:val="0089737A"/>
    <w:rsid w:val="0089760D"/>
    <w:rsid w:val="0089761B"/>
    <w:rsid w:val="008A0F93"/>
    <w:rsid w:val="008A10D6"/>
    <w:rsid w:val="008A14E0"/>
    <w:rsid w:val="008A1686"/>
    <w:rsid w:val="008A24CE"/>
    <w:rsid w:val="008A2850"/>
    <w:rsid w:val="008A2D84"/>
    <w:rsid w:val="008A2F70"/>
    <w:rsid w:val="008A34C0"/>
    <w:rsid w:val="008A378B"/>
    <w:rsid w:val="008A3808"/>
    <w:rsid w:val="008A3D30"/>
    <w:rsid w:val="008A4305"/>
    <w:rsid w:val="008A4485"/>
    <w:rsid w:val="008A4540"/>
    <w:rsid w:val="008A4DE8"/>
    <w:rsid w:val="008A57E0"/>
    <w:rsid w:val="008A58D8"/>
    <w:rsid w:val="008A5B3F"/>
    <w:rsid w:val="008A5E6D"/>
    <w:rsid w:val="008A7062"/>
    <w:rsid w:val="008A7429"/>
    <w:rsid w:val="008A7996"/>
    <w:rsid w:val="008A7A17"/>
    <w:rsid w:val="008A7ADA"/>
    <w:rsid w:val="008A7B15"/>
    <w:rsid w:val="008A7BA2"/>
    <w:rsid w:val="008B0950"/>
    <w:rsid w:val="008B0BE5"/>
    <w:rsid w:val="008B1178"/>
    <w:rsid w:val="008B1241"/>
    <w:rsid w:val="008B14B0"/>
    <w:rsid w:val="008B1F6A"/>
    <w:rsid w:val="008B245A"/>
    <w:rsid w:val="008B28E9"/>
    <w:rsid w:val="008B2BD1"/>
    <w:rsid w:val="008B3409"/>
    <w:rsid w:val="008B3564"/>
    <w:rsid w:val="008B3714"/>
    <w:rsid w:val="008B384B"/>
    <w:rsid w:val="008B3A29"/>
    <w:rsid w:val="008B3D4C"/>
    <w:rsid w:val="008B410D"/>
    <w:rsid w:val="008B41C3"/>
    <w:rsid w:val="008B446C"/>
    <w:rsid w:val="008B4EA4"/>
    <w:rsid w:val="008B5ABB"/>
    <w:rsid w:val="008B5B55"/>
    <w:rsid w:val="008B6173"/>
    <w:rsid w:val="008B7024"/>
    <w:rsid w:val="008B724C"/>
    <w:rsid w:val="008B73FE"/>
    <w:rsid w:val="008B77ED"/>
    <w:rsid w:val="008C06C5"/>
    <w:rsid w:val="008C080A"/>
    <w:rsid w:val="008C0A2C"/>
    <w:rsid w:val="008C0A50"/>
    <w:rsid w:val="008C1048"/>
    <w:rsid w:val="008C1DA5"/>
    <w:rsid w:val="008C1F22"/>
    <w:rsid w:val="008C27B9"/>
    <w:rsid w:val="008C28F1"/>
    <w:rsid w:val="008C2DC9"/>
    <w:rsid w:val="008C330C"/>
    <w:rsid w:val="008C4314"/>
    <w:rsid w:val="008C4AA5"/>
    <w:rsid w:val="008C4B7B"/>
    <w:rsid w:val="008C5048"/>
    <w:rsid w:val="008C5139"/>
    <w:rsid w:val="008C5141"/>
    <w:rsid w:val="008C523F"/>
    <w:rsid w:val="008C576F"/>
    <w:rsid w:val="008C57EE"/>
    <w:rsid w:val="008C5A5C"/>
    <w:rsid w:val="008C5F39"/>
    <w:rsid w:val="008C62CC"/>
    <w:rsid w:val="008C6BFB"/>
    <w:rsid w:val="008C6DC5"/>
    <w:rsid w:val="008C6DDE"/>
    <w:rsid w:val="008C7023"/>
    <w:rsid w:val="008C74FE"/>
    <w:rsid w:val="008C79CA"/>
    <w:rsid w:val="008C7B15"/>
    <w:rsid w:val="008C7B89"/>
    <w:rsid w:val="008C7E6D"/>
    <w:rsid w:val="008D0575"/>
    <w:rsid w:val="008D0880"/>
    <w:rsid w:val="008D0E28"/>
    <w:rsid w:val="008D11DA"/>
    <w:rsid w:val="008D1358"/>
    <w:rsid w:val="008D1702"/>
    <w:rsid w:val="008D1705"/>
    <w:rsid w:val="008D187C"/>
    <w:rsid w:val="008D1B52"/>
    <w:rsid w:val="008D2070"/>
    <w:rsid w:val="008D2A22"/>
    <w:rsid w:val="008D2A77"/>
    <w:rsid w:val="008D2C72"/>
    <w:rsid w:val="008D2FFB"/>
    <w:rsid w:val="008D31C2"/>
    <w:rsid w:val="008D346E"/>
    <w:rsid w:val="008D3596"/>
    <w:rsid w:val="008D3763"/>
    <w:rsid w:val="008D3775"/>
    <w:rsid w:val="008D3785"/>
    <w:rsid w:val="008D3983"/>
    <w:rsid w:val="008D424D"/>
    <w:rsid w:val="008D493E"/>
    <w:rsid w:val="008D4E42"/>
    <w:rsid w:val="008D4F6D"/>
    <w:rsid w:val="008D5059"/>
    <w:rsid w:val="008D5D94"/>
    <w:rsid w:val="008D6AB5"/>
    <w:rsid w:val="008D6B4E"/>
    <w:rsid w:val="008D7E74"/>
    <w:rsid w:val="008E01CE"/>
    <w:rsid w:val="008E0628"/>
    <w:rsid w:val="008E07BD"/>
    <w:rsid w:val="008E0AA6"/>
    <w:rsid w:val="008E11DB"/>
    <w:rsid w:val="008E1B5F"/>
    <w:rsid w:val="008E2145"/>
    <w:rsid w:val="008E2287"/>
    <w:rsid w:val="008E24CE"/>
    <w:rsid w:val="008E298D"/>
    <w:rsid w:val="008E2CC1"/>
    <w:rsid w:val="008E2CE7"/>
    <w:rsid w:val="008E3510"/>
    <w:rsid w:val="008E3CC1"/>
    <w:rsid w:val="008E46D9"/>
    <w:rsid w:val="008E4C80"/>
    <w:rsid w:val="008E5881"/>
    <w:rsid w:val="008E60EF"/>
    <w:rsid w:val="008E61E1"/>
    <w:rsid w:val="008E63E4"/>
    <w:rsid w:val="008E6599"/>
    <w:rsid w:val="008E65B3"/>
    <w:rsid w:val="008E662B"/>
    <w:rsid w:val="008E6BF6"/>
    <w:rsid w:val="008E6FA9"/>
    <w:rsid w:val="008E736B"/>
    <w:rsid w:val="008E7E2D"/>
    <w:rsid w:val="008F036E"/>
    <w:rsid w:val="008F054C"/>
    <w:rsid w:val="008F05FB"/>
    <w:rsid w:val="008F06D4"/>
    <w:rsid w:val="008F0970"/>
    <w:rsid w:val="008F123D"/>
    <w:rsid w:val="008F1345"/>
    <w:rsid w:val="008F1640"/>
    <w:rsid w:val="008F1804"/>
    <w:rsid w:val="008F22C4"/>
    <w:rsid w:val="008F2793"/>
    <w:rsid w:val="008F2ADB"/>
    <w:rsid w:val="008F2F8C"/>
    <w:rsid w:val="008F31D4"/>
    <w:rsid w:val="008F3214"/>
    <w:rsid w:val="008F33CD"/>
    <w:rsid w:val="008F3431"/>
    <w:rsid w:val="008F352E"/>
    <w:rsid w:val="008F4790"/>
    <w:rsid w:val="008F5A2B"/>
    <w:rsid w:val="008F5C09"/>
    <w:rsid w:val="008F5DEA"/>
    <w:rsid w:val="008F5ECE"/>
    <w:rsid w:val="008F6207"/>
    <w:rsid w:val="008F6232"/>
    <w:rsid w:val="008F641F"/>
    <w:rsid w:val="008F6CE6"/>
    <w:rsid w:val="008F72BD"/>
    <w:rsid w:val="008F7854"/>
    <w:rsid w:val="00900287"/>
    <w:rsid w:val="0090029C"/>
    <w:rsid w:val="009005AC"/>
    <w:rsid w:val="00900C0C"/>
    <w:rsid w:val="00900E51"/>
    <w:rsid w:val="00901174"/>
    <w:rsid w:val="0090117B"/>
    <w:rsid w:val="00901242"/>
    <w:rsid w:val="00901993"/>
    <w:rsid w:val="00901D18"/>
    <w:rsid w:val="0090223A"/>
    <w:rsid w:val="00902315"/>
    <w:rsid w:val="00902C40"/>
    <w:rsid w:val="00902E89"/>
    <w:rsid w:val="009037F0"/>
    <w:rsid w:val="00903CC3"/>
    <w:rsid w:val="00904193"/>
    <w:rsid w:val="009043E7"/>
    <w:rsid w:val="0090464A"/>
    <w:rsid w:val="00904AA9"/>
    <w:rsid w:val="00904DCD"/>
    <w:rsid w:val="00904DFA"/>
    <w:rsid w:val="0090504F"/>
    <w:rsid w:val="009053B0"/>
    <w:rsid w:val="009054EB"/>
    <w:rsid w:val="00905642"/>
    <w:rsid w:val="009058A1"/>
    <w:rsid w:val="00905F7C"/>
    <w:rsid w:val="00906263"/>
    <w:rsid w:val="0090688E"/>
    <w:rsid w:val="00906A66"/>
    <w:rsid w:val="00906BDD"/>
    <w:rsid w:val="00906D3E"/>
    <w:rsid w:val="00906FA4"/>
    <w:rsid w:val="00907A33"/>
    <w:rsid w:val="00907CAD"/>
    <w:rsid w:val="009102AD"/>
    <w:rsid w:val="00910643"/>
    <w:rsid w:val="00910917"/>
    <w:rsid w:val="00910D29"/>
    <w:rsid w:val="00911289"/>
    <w:rsid w:val="0091185C"/>
    <w:rsid w:val="00911FF8"/>
    <w:rsid w:val="00912865"/>
    <w:rsid w:val="009128D6"/>
    <w:rsid w:val="00912F5B"/>
    <w:rsid w:val="00913789"/>
    <w:rsid w:val="00913A0E"/>
    <w:rsid w:val="009146AF"/>
    <w:rsid w:val="00914F5F"/>
    <w:rsid w:val="0091500F"/>
    <w:rsid w:val="009157FC"/>
    <w:rsid w:val="00915E82"/>
    <w:rsid w:val="00915FDE"/>
    <w:rsid w:val="00916474"/>
    <w:rsid w:val="00916A66"/>
    <w:rsid w:val="0091729A"/>
    <w:rsid w:val="00917A8C"/>
    <w:rsid w:val="00917B5C"/>
    <w:rsid w:val="00917CAD"/>
    <w:rsid w:val="00917F2C"/>
    <w:rsid w:val="009202AC"/>
    <w:rsid w:val="0092098A"/>
    <w:rsid w:val="00920B4F"/>
    <w:rsid w:val="00920B80"/>
    <w:rsid w:val="00920D88"/>
    <w:rsid w:val="00920E05"/>
    <w:rsid w:val="00920ECC"/>
    <w:rsid w:val="009214DF"/>
    <w:rsid w:val="00921573"/>
    <w:rsid w:val="00921783"/>
    <w:rsid w:val="00921A36"/>
    <w:rsid w:val="00921C64"/>
    <w:rsid w:val="00921E0D"/>
    <w:rsid w:val="00921F07"/>
    <w:rsid w:val="00921F15"/>
    <w:rsid w:val="0092204F"/>
    <w:rsid w:val="00922084"/>
    <w:rsid w:val="0092239C"/>
    <w:rsid w:val="00922639"/>
    <w:rsid w:val="00922AB7"/>
    <w:rsid w:val="00922BFF"/>
    <w:rsid w:val="009238C7"/>
    <w:rsid w:val="00923AE5"/>
    <w:rsid w:val="00924357"/>
    <w:rsid w:val="0092655B"/>
    <w:rsid w:val="009265EB"/>
    <w:rsid w:val="0092692C"/>
    <w:rsid w:val="00926F05"/>
    <w:rsid w:val="00927949"/>
    <w:rsid w:val="00927A51"/>
    <w:rsid w:val="009301F9"/>
    <w:rsid w:val="00931024"/>
    <w:rsid w:val="00931490"/>
    <w:rsid w:val="0093179B"/>
    <w:rsid w:val="00931DEF"/>
    <w:rsid w:val="00931E2C"/>
    <w:rsid w:val="00931F00"/>
    <w:rsid w:val="00931F74"/>
    <w:rsid w:val="00931FEF"/>
    <w:rsid w:val="00932385"/>
    <w:rsid w:val="00932492"/>
    <w:rsid w:val="009327B5"/>
    <w:rsid w:val="00932F7F"/>
    <w:rsid w:val="00933848"/>
    <w:rsid w:val="00934260"/>
    <w:rsid w:val="009346F6"/>
    <w:rsid w:val="00934C7A"/>
    <w:rsid w:val="00934DFE"/>
    <w:rsid w:val="00934E61"/>
    <w:rsid w:val="009354F1"/>
    <w:rsid w:val="009355EA"/>
    <w:rsid w:val="009357ED"/>
    <w:rsid w:val="00935AB6"/>
    <w:rsid w:val="009374F4"/>
    <w:rsid w:val="009375D7"/>
    <w:rsid w:val="00937BA9"/>
    <w:rsid w:val="0094059F"/>
    <w:rsid w:val="00940921"/>
    <w:rsid w:val="00941359"/>
    <w:rsid w:val="0094139E"/>
    <w:rsid w:val="009418A7"/>
    <w:rsid w:val="00941A12"/>
    <w:rsid w:val="00941E20"/>
    <w:rsid w:val="0094212C"/>
    <w:rsid w:val="0094248B"/>
    <w:rsid w:val="00942669"/>
    <w:rsid w:val="00942677"/>
    <w:rsid w:val="009428BD"/>
    <w:rsid w:val="00942AF6"/>
    <w:rsid w:val="00942CC3"/>
    <w:rsid w:val="009439CE"/>
    <w:rsid w:val="00943E81"/>
    <w:rsid w:val="00943E94"/>
    <w:rsid w:val="00944567"/>
    <w:rsid w:val="00944CD1"/>
    <w:rsid w:val="009454AC"/>
    <w:rsid w:val="009455EB"/>
    <w:rsid w:val="0094606E"/>
    <w:rsid w:val="00946282"/>
    <w:rsid w:val="00947846"/>
    <w:rsid w:val="00947BD6"/>
    <w:rsid w:val="009504E7"/>
    <w:rsid w:val="0095064F"/>
    <w:rsid w:val="00950807"/>
    <w:rsid w:val="009508DE"/>
    <w:rsid w:val="00951812"/>
    <w:rsid w:val="0095185B"/>
    <w:rsid w:val="009518DF"/>
    <w:rsid w:val="00951D61"/>
    <w:rsid w:val="0095297D"/>
    <w:rsid w:val="009541F2"/>
    <w:rsid w:val="0095443A"/>
    <w:rsid w:val="009546EF"/>
    <w:rsid w:val="00954742"/>
    <w:rsid w:val="009547FC"/>
    <w:rsid w:val="00955666"/>
    <w:rsid w:val="00955897"/>
    <w:rsid w:val="00955D74"/>
    <w:rsid w:val="0095642B"/>
    <w:rsid w:val="0095660F"/>
    <w:rsid w:val="0095661E"/>
    <w:rsid w:val="00956633"/>
    <w:rsid w:val="009567B2"/>
    <w:rsid w:val="00956C59"/>
    <w:rsid w:val="00957236"/>
    <w:rsid w:val="00957B72"/>
    <w:rsid w:val="009601B0"/>
    <w:rsid w:val="00960826"/>
    <w:rsid w:val="0096170F"/>
    <w:rsid w:val="00962410"/>
    <w:rsid w:val="0096261F"/>
    <w:rsid w:val="00962B4A"/>
    <w:rsid w:val="00962D72"/>
    <w:rsid w:val="0096312B"/>
    <w:rsid w:val="00963148"/>
    <w:rsid w:val="00963255"/>
    <w:rsid w:val="009634EB"/>
    <w:rsid w:val="00964973"/>
    <w:rsid w:val="00965229"/>
    <w:rsid w:val="00965301"/>
    <w:rsid w:val="00965D2C"/>
    <w:rsid w:val="00965F73"/>
    <w:rsid w:val="00966016"/>
    <w:rsid w:val="00966089"/>
    <w:rsid w:val="0096757C"/>
    <w:rsid w:val="00967723"/>
    <w:rsid w:val="00967A0F"/>
    <w:rsid w:val="00967CB9"/>
    <w:rsid w:val="00970128"/>
    <w:rsid w:val="0097014D"/>
    <w:rsid w:val="009709C3"/>
    <w:rsid w:val="00970AB1"/>
    <w:rsid w:val="00970BCB"/>
    <w:rsid w:val="00971073"/>
    <w:rsid w:val="0097134D"/>
    <w:rsid w:val="009718F9"/>
    <w:rsid w:val="00971C77"/>
    <w:rsid w:val="00971C84"/>
    <w:rsid w:val="00972163"/>
    <w:rsid w:val="0097253D"/>
    <w:rsid w:val="00972AED"/>
    <w:rsid w:val="00972B2C"/>
    <w:rsid w:val="00972F65"/>
    <w:rsid w:val="009738CD"/>
    <w:rsid w:val="009739BC"/>
    <w:rsid w:val="00973AD3"/>
    <w:rsid w:val="00973DCD"/>
    <w:rsid w:val="00974144"/>
    <w:rsid w:val="00974665"/>
    <w:rsid w:val="00974A15"/>
    <w:rsid w:val="00974A9A"/>
    <w:rsid w:val="00975518"/>
    <w:rsid w:val="00975949"/>
    <w:rsid w:val="009761FB"/>
    <w:rsid w:val="0097699B"/>
    <w:rsid w:val="009769E2"/>
    <w:rsid w:val="00976AEF"/>
    <w:rsid w:val="00976E1C"/>
    <w:rsid w:val="00977916"/>
    <w:rsid w:val="00977CB1"/>
    <w:rsid w:val="009802B9"/>
    <w:rsid w:val="0098108E"/>
    <w:rsid w:val="009817C7"/>
    <w:rsid w:val="00981C07"/>
    <w:rsid w:val="00981C67"/>
    <w:rsid w:val="0098264C"/>
    <w:rsid w:val="009835A6"/>
    <w:rsid w:val="009836E6"/>
    <w:rsid w:val="0098372B"/>
    <w:rsid w:val="00983745"/>
    <w:rsid w:val="009837F8"/>
    <w:rsid w:val="00983AEC"/>
    <w:rsid w:val="00983BCF"/>
    <w:rsid w:val="009847CA"/>
    <w:rsid w:val="00984A15"/>
    <w:rsid w:val="00984AE2"/>
    <w:rsid w:val="00984E4A"/>
    <w:rsid w:val="009851F9"/>
    <w:rsid w:val="009854A9"/>
    <w:rsid w:val="00985BBE"/>
    <w:rsid w:val="00986806"/>
    <w:rsid w:val="00986BE2"/>
    <w:rsid w:val="00986C9E"/>
    <w:rsid w:val="00986CB8"/>
    <w:rsid w:val="009872EE"/>
    <w:rsid w:val="009902AC"/>
    <w:rsid w:val="00990550"/>
    <w:rsid w:val="009907C1"/>
    <w:rsid w:val="00990952"/>
    <w:rsid w:val="00990B77"/>
    <w:rsid w:val="00990C43"/>
    <w:rsid w:val="00990C74"/>
    <w:rsid w:val="009911C5"/>
    <w:rsid w:val="00991B56"/>
    <w:rsid w:val="00992499"/>
    <w:rsid w:val="00992B59"/>
    <w:rsid w:val="00993F92"/>
    <w:rsid w:val="009940F8"/>
    <w:rsid w:val="0099416D"/>
    <w:rsid w:val="009948DA"/>
    <w:rsid w:val="0099494B"/>
    <w:rsid w:val="00994B70"/>
    <w:rsid w:val="00994B82"/>
    <w:rsid w:val="00994DA2"/>
    <w:rsid w:val="00995757"/>
    <w:rsid w:val="00995891"/>
    <w:rsid w:val="00995900"/>
    <w:rsid w:val="00995DA5"/>
    <w:rsid w:val="00995DEA"/>
    <w:rsid w:val="00995E02"/>
    <w:rsid w:val="009960E4"/>
    <w:rsid w:val="009963D3"/>
    <w:rsid w:val="00996EA9"/>
    <w:rsid w:val="00996EDD"/>
    <w:rsid w:val="009978B1"/>
    <w:rsid w:val="00997A9F"/>
    <w:rsid w:val="009A11AF"/>
    <w:rsid w:val="009A149D"/>
    <w:rsid w:val="009A155A"/>
    <w:rsid w:val="009A199E"/>
    <w:rsid w:val="009A1DC4"/>
    <w:rsid w:val="009A1E44"/>
    <w:rsid w:val="009A1F5C"/>
    <w:rsid w:val="009A1FBF"/>
    <w:rsid w:val="009A26F2"/>
    <w:rsid w:val="009A2910"/>
    <w:rsid w:val="009A2A20"/>
    <w:rsid w:val="009A3028"/>
    <w:rsid w:val="009A44E9"/>
    <w:rsid w:val="009A4D19"/>
    <w:rsid w:val="009A4FDA"/>
    <w:rsid w:val="009A5043"/>
    <w:rsid w:val="009A5110"/>
    <w:rsid w:val="009A5632"/>
    <w:rsid w:val="009A6EB4"/>
    <w:rsid w:val="009A6FA7"/>
    <w:rsid w:val="009A7787"/>
    <w:rsid w:val="009A7B33"/>
    <w:rsid w:val="009A7B4F"/>
    <w:rsid w:val="009B0402"/>
    <w:rsid w:val="009B046B"/>
    <w:rsid w:val="009B05E1"/>
    <w:rsid w:val="009B063C"/>
    <w:rsid w:val="009B0AAF"/>
    <w:rsid w:val="009B1096"/>
    <w:rsid w:val="009B15F3"/>
    <w:rsid w:val="009B1C8A"/>
    <w:rsid w:val="009B20C8"/>
    <w:rsid w:val="009B2218"/>
    <w:rsid w:val="009B2619"/>
    <w:rsid w:val="009B2B3F"/>
    <w:rsid w:val="009B2C55"/>
    <w:rsid w:val="009B2E12"/>
    <w:rsid w:val="009B3144"/>
    <w:rsid w:val="009B338C"/>
    <w:rsid w:val="009B34ED"/>
    <w:rsid w:val="009B38AF"/>
    <w:rsid w:val="009B39C6"/>
    <w:rsid w:val="009B3CBD"/>
    <w:rsid w:val="009B3F74"/>
    <w:rsid w:val="009B44A5"/>
    <w:rsid w:val="009B468D"/>
    <w:rsid w:val="009B47C7"/>
    <w:rsid w:val="009B492F"/>
    <w:rsid w:val="009B4EF1"/>
    <w:rsid w:val="009B4F5D"/>
    <w:rsid w:val="009B57DA"/>
    <w:rsid w:val="009B5ECA"/>
    <w:rsid w:val="009B6285"/>
    <w:rsid w:val="009B666E"/>
    <w:rsid w:val="009B6C24"/>
    <w:rsid w:val="009B7332"/>
    <w:rsid w:val="009B7B03"/>
    <w:rsid w:val="009C0104"/>
    <w:rsid w:val="009C0886"/>
    <w:rsid w:val="009C0B9F"/>
    <w:rsid w:val="009C0C89"/>
    <w:rsid w:val="009C0EC6"/>
    <w:rsid w:val="009C15FF"/>
    <w:rsid w:val="009C19C5"/>
    <w:rsid w:val="009C1C9F"/>
    <w:rsid w:val="009C1F78"/>
    <w:rsid w:val="009C2706"/>
    <w:rsid w:val="009C2892"/>
    <w:rsid w:val="009C30B9"/>
    <w:rsid w:val="009C385C"/>
    <w:rsid w:val="009C3F2E"/>
    <w:rsid w:val="009C4190"/>
    <w:rsid w:val="009C493F"/>
    <w:rsid w:val="009C4A7C"/>
    <w:rsid w:val="009C4ABD"/>
    <w:rsid w:val="009C520A"/>
    <w:rsid w:val="009C54F1"/>
    <w:rsid w:val="009C5A24"/>
    <w:rsid w:val="009C61DF"/>
    <w:rsid w:val="009C6729"/>
    <w:rsid w:val="009C67E5"/>
    <w:rsid w:val="009C6929"/>
    <w:rsid w:val="009C6A80"/>
    <w:rsid w:val="009C7530"/>
    <w:rsid w:val="009C76E8"/>
    <w:rsid w:val="009C7B57"/>
    <w:rsid w:val="009C7C16"/>
    <w:rsid w:val="009C7D35"/>
    <w:rsid w:val="009C7E0B"/>
    <w:rsid w:val="009D017F"/>
    <w:rsid w:val="009D0698"/>
    <w:rsid w:val="009D07C3"/>
    <w:rsid w:val="009D084E"/>
    <w:rsid w:val="009D091B"/>
    <w:rsid w:val="009D0B4C"/>
    <w:rsid w:val="009D16A8"/>
    <w:rsid w:val="009D1A0C"/>
    <w:rsid w:val="009D1A32"/>
    <w:rsid w:val="009D2425"/>
    <w:rsid w:val="009D2789"/>
    <w:rsid w:val="009D27D2"/>
    <w:rsid w:val="009D299B"/>
    <w:rsid w:val="009D3518"/>
    <w:rsid w:val="009D363E"/>
    <w:rsid w:val="009D3BEC"/>
    <w:rsid w:val="009D501C"/>
    <w:rsid w:val="009D50DA"/>
    <w:rsid w:val="009D514E"/>
    <w:rsid w:val="009D5C41"/>
    <w:rsid w:val="009D6734"/>
    <w:rsid w:val="009D68EE"/>
    <w:rsid w:val="009D6F5D"/>
    <w:rsid w:val="009D7167"/>
    <w:rsid w:val="009D764B"/>
    <w:rsid w:val="009E04D3"/>
    <w:rsid w:val="009E08E5"/>
    <w:rsid w:val="009E0C50"/>
    <w:rsid w:val="009E0C97"/>
    <w:rsid w:val="009E0DFE"/>
    <w:rsid w:val="009E1014"/>
    <w:rsid w:val="009E12FD"/>
    <w:rsid w:val="009E1818"/>
    <w:rsid w:val="009E1BE5"/>
    <w:rsid w:val="009E2225"/>
    <w:rsid w:val="009E22ED"/>
    <w:rsid w:val="009E23EC"/>
    <w:rsid w:val="009E265C"/>
    <w:rsid w:val="009E29C0"/>
    <w:rsid w:val="009E2DF7"/>
    <w:rsid w:val="009E30FD"/>
    <w:rsid w:val="009E3484"/>
    <w:rsid w:val="009E43DF"/>
    <w:rsid w:val="009E4588"/>
    <w:rsid w:val="009E511F"/>
    <w:rsid w:val="009E5133"/>
    <w:rsid w:val="009E5330"/>
    <w:rsid w:val="009E5529"/>
    <w:rsid w:val="009E6BDD"/>
    <w:rsid w:val="009E6E67"/>
    <w:rsid w:val="009E70F9"/>
    <w:rsid w:val="009E7453"/>
    <w:rsid w:val="009E7492"/>
    <w:rsid w:val="009E74A8"/>
    <w:rsid w:val="009E7942"/>
    <w:rsid w:val="009E7E62"/>
    <w:rsid w:val="009E7F16"/>
    <w:rsid w:val="009E7FCA"/>
    <w:rsid w:val="009F042F"/>
    <w:rsid w:val="009F0A62"/>
    <w:rsid w:val="009F0D47"/>
    <w:rsid w:val="009F10C2"/>
    <w:rsid w:val="009F1941"/>
    <w:rsid w:val="009F211A"/>
    <w:rsid w:val="009F2241"/>
    <w:rsid w:val="009F2531"/>
    <w:rsid w:val="009F3009"/>
    <w:rsid w:val="009F3811"/>
    <w:rsid w:val="009F3AD8"/>
    <w:rsid w:val="009F3CF2"/>
    <w:rsid w:val="009F3E6A"/>
    <w:rsid w:val="009F449B"/>
    <w:rsid w:val="009F486C"/>
    <w:rsid w:val="009F4FE4"/>
    <w:rsid w:val="009F5DB5"/>
    <w:rsid w:val="009F60E6"/>
    <w:rsid w:val="009F68C6"/>
    <w:rsid w:val="009F70A4"/>
    <w:rsid w:val="009F7C90"/>
    <w:rsid w:val="00A01011"/>
    <w:rsid w:val="00A01193"/>
    <w:rsid w:val="00A01A43"/>
    <w:rsid w:val="00A01DEA"/>
    <w:rsid w:val="00A022BA"/>
    <w:rsid w:val="00A028A4"/>
    <w:rsid w:val="00A02DE9"/>
    <w:rsid w:val="00A02DED"/>
    <w:rsid w:val="00A02ECB"/>
    <w:rsid w:val="00A036B0"/>
    <w:rsid w:val="00A03804"/>
    <w:rsid w:val="00A03C69"/>
    <w:rsid w:val="00A040E8"/>
    <w:rsid w:val="00A042EC"/>
    <w:rsid w:val="00A04A74"/>
    <w:rsid w:val="00A04F56"/>
    <w:rsid w:val="00A050F4"/>
    <w:rsid w:val="00A056F7"/>
    <w:rsid w:val="00A05827"/>
    <w:rsid w:val="00A068F3"/>
    <w:rsid w:val="00A075D7"/>
    <w:rsid w:val="00A07817"/>
    <w:rsid w:val="00A07937"/>
    <w:rsid w:val="00A07B69"/>
    <w:rsid w:val="00A07FC3"/>
    <w:rsid w:val="00A1049A"/>
    <w:rsid w:val="00A10603"/>
    <w:rsid w:val="00A11A7F"/>
    <w:rsid w:val="00A12409"/>
    <w:rsid w:val="00A1246D"/>
    <w:rsid w:val="00A12AB2"/>
    <w:rsid w:val="00A12DF3"/>
    <w:rsid w:val="00A13094"/>
    <w:rsid w:val="00A13958"/>
    <w:rsid w:val="00A13DEC"/>
    <w:rsid w:val="00A13F8F"/>
    <w:rsid w:val="00A1427E"/>
    <w:rsid w:val="00A143C5"/>
    <w:rsid w:val="00A146F5"/>
    <w:rsid w:val="00A14B8C"/>
    <w:rsid w:val="00A1501B"/>
    <w:rsid w:val="00A1574B"/>
    <w:rsid w:val="00A15C34"/>
    <w:rsid w:val="00A16016"/>
    <w:rsid w:val="00A166C3"/>
    <w:rsid w:val="00A16C25"/>
    <w:rsid w:val="00A175F0"/>
    <w:rsid w:val="00A17969"/>
    <w:rsid w:val="00A17AD7"/>
    <w:rsid w:val="00A17C56"/>
    <w:rsid w:val="00A20911"/>
    <w:rsid w:val="00A20AE0"/>
    <w:rsid w:val="00A2109C"/>
    <w:rsid w:val="00A21502"/>
    <w:rsid w:val="00A22164"/>
    <w:rsid w:val="00A22963"/>
    <w:rsid w:val="00A22F54"/>
    <w:rsid w:val="00A23129"/>
    <w:rsid w:val="00A2380D"/>
    <w:rsid w:val="00A23A37"/>
    <w:rsid w:val="00A23F64"/>
    <w:rsid w:val="00A241AC"/>
    <w:rsid w:val="00A24279"/>
    <w:rsid w:val="00A24311"/>
    <w:rsid w:val="00A24CCD"/>
    <w:rsid w:val="00A25004"/>
    <w:rsid w:val="00A2538D"/>
    <w:rsid w:val="00A2579C"/>
    <w:rsid w:val="00A25E37"/>
    <w:rsid w:val="00A2606A"/>
    <w:rsid w:val="00A26092"/>
    <w:rsid w:val="00A269D3"/>
    <w:rsid w:val="00A26A8F"/>
    <w:rsid w:val="00A26C64"/>
    <w:rsid w:val="00A2732D"/>
    <w:rsid w:val="00A275A9"/>
    <w:rsid w:val="00A27684"/>
    <w:rsid w:val="00A2792E"/>
    <w:rsid w:val="00A27A71"/>
    <w:rsid w:val="00A27F7A"/>
    <w:rsid w:val="00A301C0"/>
    <w:rsid w:val="00A30272"/>
    <w:rsid w:val="00A3038E"/>
    <w:rsid w:val="00A30596"/>
    <w:rsid w:val="00A30ED5"/>
    <w:rsid w:val="00A30F8A"/>
    <w:rsid w:val="00A315C0"/>
    <w:rsid w:val="00A320BC"/>
    <w:rsid w:val="00A324DE"/>
    <w:rsid w:val="00A3288B"/>
    <w:rsid w:val="00A3299A"/>
    <w:rsid w:val="00A32C03"/>
    <w:rsid w:val="00A3359B"/>
    <w:rsid w:val="00A33A2C"/>
    <w:rsid w:val="00A33E39"/>
    <w:rsid w:val="00A33E4C"/>
    <w:rsid w:val="00A3437D"/>
    <w:rsid w:val="00A34830"/>
    <w:rsid w:val="00A34AC2"/>
    <w:rsid w:val="00A34D02"/>
    <w:rsid w:val="00A34D3E"/>
    <w:rsid w:val="00A350DC"/>
    <w:rsid w:val="00A35143"/>
    <w:rsid w:val="00A35544"/>
    <w:rsid w:val="00A3605A"/>
    <w:rsid w:val="00A3648C"/>
    <w:rsid w:val="00A3651B"/>
    <w:rsid w:val="00A367DF"/>
    <w:rsid w:val="00A368BE"/>
    <w:rsid w:val="00A36EFA"/>
    <w:rsid w:val="00A3733E"/>
    <w:rsid w:val="00A3780B"/>
    <w:rsid w:val="00A37E65"/>
    <w:rsid w:val="00A40101"/>
    <w:rsid w:val="00A4067C"/>
    <w:rsid w:val="00A4106D"/>
    <w:rsid w:val="00A41290"/>
    <w:rsid w:val="00A414E9"/>
    <w:rsid w:val="00A41564"/>
    <w:rsid w:val="00A4169D"/>
    <w:rsid w:val="00A4172B"/>
    <w:rsid w:val="00A41F32"/>
    <w:rsid w:val="00A421CD"/>
    <w:rsid w:val="00A423CB"/>
    <w:rsid w:val="00A42608"/>
    <w:rsid w:val="00A427E3"/>
    <w:rsid w:val="00A42A5F"/>
    <w:rsid w:val="00A435E8"/>
    <w:rsid w:val="00A437FF"/>
    <w:rsid w:val="00A43DC5"/>
    <w:rsid w:val="00A43FD6"/>
    <w:rsid w:val="00A44478"/>
    <w:rsid w:val="00A444AF"/>
    <w:rsid w:val="00A44814"/>
    <w:rsid w:val="00A449C0"/>
    <w:rsid w:val="00A44F6A"/>
    <w:rsid w:val="00A46196"/>
    <w:rsid w:val="00A4650F"/>
    <w:rsid w:val="00A4665C"/>
    <w:rsid w:val="00A46ABB"/>
    <w:rsid w:val="00A46B87"/>
    <w:rsid w:val="00A4702F"/>
    <w:rsid w:val="00A4716A"/>
    <w:rsid w:val="00A47B14"/>
    <w:rsid w:val="00A47C13"/>
    <w:rsid w:val="00A504B7"/>
    <w:rsid w:val="00A51F9F"/>
    <w:rsid w:val="00A52567"/>
    <w:rsid w:val="00A527C4"/>
    <w:rsid w:val="00A53188"/>
    <w:rsid w:val="00A5320B"/>
    <w:rsid w:val="00A533BD"/>
    <w:rsid w:val="00A53690"/>
    <w:rsid w:val="00A53D58"/>
    <w:rsid w:val="00A5516D"/>
    <w:rsid w:val="00A5587F"/>
    <w:rsid w:val="00A558C9"/>
    <w:rsid w:val="00A55B9E"/>
    <w:rsid w:val="00A56109"/>
    <w:rsid w:val="00A5614A"/>
    <w:rsid w:val="00A561E9"/>
    <w:rsid w:val="00A562C8"/>
    <w:rsid w:val="00A562CE"/>
    <w:rsid w:val="00A56686"/>
    <w:rsid w:val="00A56CE9"/>
    <w:rsid w:val="00A56DE4"/>
    <w:rsid w:val="00A572D7"/>
    <w:rsid w:val="00A574A4"/>
    <w:rsid w:val="00A6020F"/>
    <w:rsid w:val="00A61DC4"/>
    <w:rsid w:val="00A625BF"/>
    <w:rsid w:val="00A62BE8"/>
    <w:rsid w:val="00A63A89"/>
    <w:rsid w:val="00A63F8D"/>
    <w:rsid w:val="00A646AB"/>
    <w:rsid w:val="00A64AA0"/>
    <w:rsid w:val="00A64E92"/>
    <w:rsid w:val="00A64F58"/>
    <w:rsid w:val="00A65BD4"/>
    <w:rsid w:val="00A65CB7"/>
    <w:rsid w:val="00A65E50"/>
    <w:rsid w:val="00A65EC5"/>
    <w:rsid w:val="00A66268"/>
    <w:rsid w:val="00A663A9"/>
    <w:rsid w:val="00A66948"/>
    <w:rsid w:val="00A66BB5"/>
    <w:rsid w:val="00A67354"/>
    <w:rsid w:val="00A673CB"/>
    <w:rsid w:val="00A67421"/>
    <w:rsid w:val="00A678EE"/>
    <w:rsid w:val="00A67D77"/>
    <w:rsid w:val="00A67E8D"/>
    <w:rsid w:val="00A7000E"/>
    <w:rsid w:val="00A702F8"/>
    <w:rsid w:val="00A70659"/>
    <w:rsid w:val="00A70BCE"/>
    <w:rsid w:val="00A711EB"/>
    <w:rsid w:val="00A71CE3"/>
    <w:rsid w:val="00A722F0"/>
    <w:rsid w:val="00A72369"/>
    <w:rsid w:val="00A72AC1"/>
    <w:rsid w:val="00A73ED8"/>
    <w:rsid w:val="00A745E8"/>
    <w:rsid w:val="00A746C6"/>
    <w:rsid w:val="00A74AA0"/>
    <w:rsid w:val="00A74E51"/>
    <w:rsid w:val="00A74E5F"/>
    <w:rsid w:val="00A74F60"/>
    <w:rsid w:val="00A750CA"/>
    <w:rsid w:val="00A75BC8"/>
    <w:rsid w:val="00A76073"/>
    <w:rsid w:val="00A76C19"/>
    <w:rsid w:val="00A76C89"/>
    <w:rsid w:val="00A76F22"/>
    <w:rsid w:val="00A77511"/>
    <w:rsid w:val="00A806CA"/>
    <w:rsid w:val="00A810E1"/>
    <w:rsid w:val="00A81C1C"/>
    <w:rsid w:val="00A81D8E"/>
    <w:rsid w:val="00A81E27"/>
    <w:rsid w:val="00A82707"/>
    <w:rsid w:val="00A82CA1"/>
    <w:rsid w:val="00A8340D"/>
    <w:rsid w:val="00A837C7"/>
    <w:rsid w:val="00A83ACB"/>
    <w:rsid w:val="00A83DC1"/>
    <w:rsid w:val="00A8431F"/>
    <w:rsid w:val="00A84F58"/>
    <w:rsid w:val="00A85272"/>
    <w:rsid w:val="00A8597E"/>
    <w:rsid w:val="00A85B42"/>
    <w:rsid w:val="00A85FFD"/>
    <w:rsid w:val="00A862A6"/>
    <w:rsid w:val="00A8652C"/>
    <w:rsid w:val="00A86AD8"/>
    <w:rsid w:val="00A86E30"/>
    <w:rsid w:val="00A870B2"/>
    <w:rsid w:val="00A87CEE"/>
    <w:rsid w:val="00A90166"/>
    <w:rsid w:val="00A90244"/>
    <w:rsid w:val="00A902D1"/>
    <w:rsid w:val="00A906EB"/>
    <w:rsid w:val="00A90F7F"/>
    <w:rsid w:val="00A912D4"/>
    <w:rsid w:val="00A91317"/>
    <w:rsid w:val="00A91E0C"/>
    <w:rsid w:val="00A92440"/>
    <w:rsid w:val="00A9319D"/>
    <w:rsid w:val="00A93CEB"/>
    <w:rsid w:val="00A941C6"/>
    <w:rsid w:val="00A943BC"/>
    <w:rsid w:val="00A944A8"/>
    <w:rsid w:val="00A94A54"/>
    <w:rsid w:val="00A94A60"/>
    <w:rsid w:val="00A94D5B"/>
    <w:rsid w:val="00A95379"/>
    <w:rsid w:val="00A95643"/>
    <w:rsid w:val="00A9575C"/>
    <w:rsid w:val="00A95962"/>
    <w:rsid w:val="00A95E23"/>
    <w:rsid w:val="00A96271"/>
    <w:rsid w:val="00A9641A"/>
    <w:rsid w:val="00A96776"/>
    <w:rsid w:val="00A96953"/>
    <w:rsid w:val="00A96A01"/>
    <w:rsid w:val="00AA011E"/>
    <w:rsid w:val="00AA0556"/>
    <w:rsid w:val="00AA0589"/>
    <w:rsid w:val="00AA0597"/>
    <w:rsid w:val="00AA05BB"/>
    <w:rsid w:val="00AA05C9"/>
    <w:rsid w:val="00AA0944"/>
    <w:rsid w:val="00AA0F49"/>
    <w:rsid w:val="00AA1F26"/>
    <w:rsid w:val="00AA207F"/>
    <w:rsid w:val="00AA2984"/>
    <w:rsid w:val="00AA2CEA"/>
    <w:rsid w:val="00AA2E69"/>
    <w:rsid w:val="00AA427D"/>
    <w:rsid w:val="00AA4473"/>
    <w:rsid w:val="00AA4AFB"/>
    <w:rsid w:val="00AA4CAB"/>
    <w:rsid w:val="00AA5311"/>
    <w:rsid w:val="00AA57CF"/>
    <w:rsid w:val="00AA6141"/>
    <w:rsid w:val="00AA61F3"/>
    <w:rsid w:val="00AA668C"/>
    <w:rsid w:val="00AA681C"/>
    <w:rsid w:val="00AA6C7C"/>
    <w:rsid w:val="00AA6CBE"/>
    <w:rsid w:val="00AA7404"/>
    <w:rsid w:val="00AA78ED"/>
    <w:rsid w:val="00AA7C86"/>
    <w:rsid w:val="00AA7D0B"/>
    <w:rsid w:val="00AB0012"/>
    <w:rsid w:val="00AB02D9"/>
    <w:rsid w:val="00AB0397"/>
    <w:rsid w:val="00AB066D"/>
    <w:rsid w:val="00AB0A6D"/>
    <w:rsid w:val="00AB0D0F"/>
    <w:rsid w:val="00AB1342"/>
    <w:rsid w:val="00AB16E1"/>
    <w:rsid w:val="00AB1AC1"/>
    <w:rsid w:val="00AB2161"/>
    <w:rsid w:val="00AB22EA"/>
    <w:rsid w:val="00AB23FF"/>
    <w:rsid w:val="00AB2570"/>
    <w:rsid w:val="00AB299F"/>
    <w:rsid w:val="00AB2B41"/>
    <w:rsid w:val="00AB2EFA"/>
    <w:rsid w:val="00AB300B"/>
    <w:rsid w:val="00AB3A36"/>
    <w:rsid w:val="00AB4588"/>
    <w:rsid w:val="00AB4751"/>
    <w:rsid w:val="00AB4ED3"/>
    <w:rsid w:val="00AB53D2"/>
    <w:rsid w:val="00AB5957"/>
    <w:rsid w:val="00AB5A4C"/>
    <w:rsid w:val="00AB5ABE"/>
    <w:rsid w:val="00AB5D8A"/>
    <w:rsid w:val="00AB6291"/>
    <w:rsid w:val="00AB6D9C"/>
    <w:rsid w:val="00AB6F44"/>
    <w:rsid w:val="00AB78A2"/>
    <w:rsid w:val="00AB7A08"/>
    <w:rsid w:val="00AB7BC0"/>
    <w:rsid w:val="00AC00B7"/>
    <w:rsid w:val="00AC0211"/>
    <w:rsid w:val="00AC0874"/>
    <w:rsid w:val="00AC0A7D"/>
    <w:rsid w:val="00AC1281"/>
    <w:rsid w:val="00AC2085"/>
    <w:rsid w:val="00AC239E"/>
    <w:rsid w:val="00AC2494"/>
    <w:rsid w:val="00AC2610"/>
    <w:rsid w:val="00AC2747"/>
    <w:rsid w:val="00AC278E"/>
    <w:rsid w:val="00AC29DB"/>
    <w:rsid w:val="00AC2A10"/>
    <w:rsid w:val="00AC2C71"/>
    <w:rsid w:val="00AC2D6E"/>
    <w:rsid w:val="00AC2F78"/>
    <w:rsid w:val="00AC3006"/>
    <w:rsid w:val="00AC31C2"/>
    <w:rsid w:val="00AC3793"/>
    <w:rsid w:val="00AC3E59"/>
    <w:rsid w:val="00AC428E"/>
    <w:rsid w:val="00AC448D"/>
    <w:rsid w:val="00AC4F88"/>
    <w:rsid w:val="00AC50FC"/>
    <w:rsid w:val="00AC5760"/>
    <w:rsid w:val="00AC57B5"/>
    <w:rsid w:val="00AC6382"/>
    <w:rsid w:val="00AC6651"/>
    <w:rsid w:val="00AC711E"/>
    <w:rsid w:val="00AC75E9"/>
    <w:rsid w:val="00AC78E2"/>
    <w:rsid w:val="00AD0082"/>
    <w:rsid w:val="00AD098E"/>
    <w:rsid w:val="00AD0A86"/>
    <w:rsid w:val="00AD102C"/>
    <w:rsid w:val="00AD10AD"/>
    <w:rsid w:val="00AD116A"/>
    <w:rsid w:val="00AD192D"/>
    <w:rsid w:val="00AD2535"/>
    <w:rsid w:val="00AD264A"/>
    <w:rsid w:val="00AD2AB6"/>
    <w:rsid w:val="00AD2D16"/>
    <w:rsid w:val="00AD2F61"/>
    <w:rsid w:val="00AD36F5"/>
    <w:rsid w:val="00AD430B"/>
    <w:rsid w:val="00AD4499"/>
    <w:rsid w:val="00AD4E5D"/>
    <w:rsid w:val="00AD4F1D"/>
    <w:rsid w:val="00AD5312"/>
    <w:rsid w:val="00AD5CD0"/>
    <w:rsid w:val="00AD62B9"/>
    <w:rsid w:val="00AD62E6"/>
    <w:rsid w:val="00AD6829"/>
    <w:rsid w:val="00AD705C"/>
    <w:rsid w:val="00AD70E1"/>
    <w:rsid w:val="00AD7767"/>
    <w:rsid w:val="00AD7CD0"/>
    <w:rsid w:val="00AE00EC"/>
    <w:rsid w:val="00AE081F"/>
    <w:rsid w:val="00AE14E6"/>
    <w:rsid w:val="00AE152A"/>
    <w:rsid w:val="00AE15F9"/>
    <w:rsid w:val="00AE1991"/>
    <w:rsid w:val="00AE19DE"/>
    <w:rsid w:val="00AE1D96"/>
    <w:rsid w:val="00AE1FDA"/>
    <w:rsid w:val="00AE2445"/>
    <w:rsid w:val="00AE297A"/>
    <w:rsid w:val="00AE2B34"/>
    <w:rsid w:val="00AE2FC0"/>
    <w:rsid w:val="00AE36DD"/>
    <w:rsid w:val="00AE4354"/>
    <w:rsid w:val="00AE4520"/>
    <w:rsid w:val="00AE4B04"/>
    <w:rsid w:val="00AE4D46"/>
    <w:rsid w:val="00AE50C5"/>
    <w:rsid w:val="00AE50F6"/>
    <w:rsid w:val="00AE5D58"/>
    <w:rsid w:val="00AE61B0"/>
    <w:rsid w:val="00AE6503"/>
    <w:rsid w:val="00AE664D"/>
    <w:rsid w:val="00AE6907"/>
    <w:rsid w:val="00AE699F"/>
    <w:rsid w:val="00AE6B98"/>
    <w:rsid w:val="00AE75C2"/>
    <w:rsid w:val="00AE77B1"/>
    <w:rsid w:val="00AE792E"/>
    <w:rsid w:val="00AE79CA"/>
    <w:rsid w:val="00AF0639"/>
    <w:rsid w:val="00AF0979"/>
    <w:rsid w:val="00AF0AAD"/>
    <w:rsid w:val="00AF0C0C"/>
    <w:rsid w:val="00AF0D62"/>
    <w:rsid w:val="00AF11EE"/>
    <w:rsid w:val="00AF20F4"/>
    <w:rsid w:val="00AF251C"/>
    <w:rsid w:val="00AF2B6A"/>
    <w:rsid w:val="00AF2E0E"/>
    <w:rsid w:val="00AF34D1"/>
    <w:rsid w:val="00AF363C"/>
    <w:rsid w:val="00AF403C"/>
    <w:rsid w:val="00AF4672"/>
    <w:rsid w:val="00AF48A5"/>
    <w:rsid w:val="00AF4A28"/>
    <w:rsid w:val="00AF51AD"/>
    <w:rsid w:val="00AF52E6"/>
    <w:rsid w:val="00AF5671"/>
    <w:rsid w:val="00AF59E1"/>
    <w:rsid w:val="00AF5A7D"/>
    <w:rsid w:val="00AF68D1"/>
    <w:rsid w:val="00AF703F"/>
    <w:rsid w:val="00AF7040"/>
    <w:rsid w:val="00AF71DE"/>
    <w:rsid w:val="00AF733B"/>
    <w:rsid w:val="00AF7AE6"/>
    <w:rsid w:val="00AF7E7F"/>
    <w:rsid w:val="00AF7EFA"/>
    <w:rsid w:val="00AF7F05"/>
    <w:rsid w:val="00B0004B"/>
    <w:rsid w:val="00B001E1"/>
    <w:rsid w:val="00B002C5"/>
    <w:rsid w:val="00B00350"/>
    <w:rsid w:val="00B003F5"/>
    <w:rsid w:val="00B0070A"/>
    <w:rsid w:val="00B007F4"/>
    <w:rsid w:val="00B00B17"/>
    <w:rsid w:val="00B00D18"/>
    <w:rsid w:val="00B01075"/>
    <w:rsid w:val="00B01C55"/>
    <w:rsid w:val="00B023ED"/>
    <w:rsid w:val="00B03181"/>
    <w:rsid w:val="00B033B2"/>
    <w:rsid w:val="00B03497"/>
    <w:rsid w:val="00B034B6"/>
    <w:rsid w:val="00B038AF"/>
    <w:rsid w:val="00B04009"/>
    <w:rsid w:val="00B046F3"/>
    <w:rsid w:val="00B04729"/>
    <w:rsid w:val="00B047CF"/>
    <w:rsid w:val="00B047D5"/>
    <w:rsid w:val="00B04967"/>
    <w:rsid w:val="00B04AD5"/>
    <w:rsid w:val="00B04E10"/>
    <w:rsid w:val="00B05168"/>
    <w:rsid w:val="00B0520F"/>
    <w:rsid w:val="00B05344"/>
    <w:rsid w:val="00B05756"/>
    <w:rsid w:val="00B05C76"/>
    <w:rsid w:val="00B05D0D"/>
    <w:rsid w:val="00B06049"/>
    <w:rsid w:val="00B060E7"/>
    <w:rsid w:val="00B068B8"/>
    <w:rsid w:val="00B0707B"/>
    <w:rsid w:val="00B0723E"/>
    <w:rsid w:val="00B072CC"/>
    <w:rsid w:val="00B07ECA"/>
    <w:rsid w:val="00B10491"/>
    <w:rsid w:val="00B10730"/>
    <w:rsid w:val="00B1094A"/>
    <w:rsid w:val="00B10AC5"/>
    <w:rsid w:val="00B11485"/>
    <w:rsid w:val="00B114A3"/>
    <w:rsid w:val="00B119DF"/>
    <w:rsid w:val="00B11A30"/>
    <w:rsid w:val="00B11D60"/>
    <w:rsid w:val="00B12116"/>
    <w:rsid w:val="00B12421"/>
    <w:rsid w:val="00B1323B"/>
    <w:rsid w:val="00B133FB"/>
    <w:rsid w:val="00B139B6"/>
    <w:rsid w:val="00B13D7F"/>
    <w:rsid w:val="00B14504"/>
    <w:rsid w:val="00B14D73"/>
    <w:rsid w:val="00B1524F"/>
    <w:rsid w:val="00B15E45"/>
    <w:rsid w:val="00B1632A"/>
    <w:rsid w:val="00B163D9"/>
    <w:rsid w:val="00B16816"/>
    <w:rsid w:val="00B1732D"/>
    <w:rsid w:val="00B178E7"/>
    <w:rsid w:val="00B17B25"/>
    <w:rsid w:val="00B20214"/>
    <w:rsid w:val="00B2037D"/>
    <w:rsid w:val="00B2043F"/>
    <w:rsid w:val="00B20A6F"/>
    <w:rsid w:val="00B20FE1"/>
    <w:rsid w:val="00B2149A"/>
    <w:rsid w:val="00B21573"/>
    <w:rsid w:val="00B21928"/>
    <w:rsid w:val="00B21AF8"/>
    <w:rsid w:val="00B21B85"/>
    <w:rsid w:val="00B21CD0"/>
    <w:rsid w:val="00B21F7D"/>
    <w:rsid w:val="00B21F88"/>
    <w:rsid w:val="00B22681"/>
    <w:rsid w:val="00B22A3B"/>
    <w:rsid w:val="00B22E4E"/>
    <w:rsid w:val="00B23054"/>
    <w:rsid w:val="00B23594"/>
    <w:rsid w:val="00B237DE"/>
    <w:rsid w:val="00B23897"/>
    <w:rsid w:val="00B239CB"/>
    <w:rsid w:val="00B24EFC"/>
    <w:rsid w:val="00B2533E"/>
    <w:rsid w:val="00B25455"/>
    <w:rsid w:val="00B2589C"/>
    <w:rsid w:val="00B25A3F"/>
    <w:rsid w:val="00B26216"/>
    <w:rsid w:val="00B2691D"/>
    <w:rsid w:val="00B2707F"/>
    <w:rsid w:val="00B2724A"/>
    <w:rsid w:val="00B2774F"/>
    <w:rsid w:val="00B277BD"/>
    <w:rsid w:val="00B277D5"/>
    <w:rsid w:val="00B2784A"/>
    <w:rsid w:val="00B27945"/>
    <w:rsid w:val="00B27B94"/>
    <w:rsid w:val="00B31187"/>
    <w:rsid w:val="00B319AC"/>
    <w:rsid w:val="00B31BF4"/>
    <w:rsid w:val="00B31CEC"/>
    <w:rsid w:val="00B3228F"/>
    <w:rsid w:val="00B32511"/>
    <w:rsid w:val="00B327C3"/>
    <w:rsid w:val="00B330E6"/>
    <w:rsid w:val="00B333DD"/>
    <w:rsid w:val="00B33AEE"/>
    <w:rsid w:val="00B33B28"/>
    <w:rsid w:val="00B33C2B"/>
    <w:rsid w:val="00B3475C"/>
    <w:rsid w:val="00B347C9"/>
    <w:rsid w:val="00B34E24"/>
    <w:rsid w:val="00B355E6"/>
    <w:rsid w:val="00B35809"/>
    <w:rsid w:val="00B35C46"/>
    <w:rsid w:val="00B35F59"/>
    <w:rsid w:val="00B36039"/>
    <w:rsid w:val="00B36156"/>
    <w:rsid w:val="00B3638A"/>
    <w:rsid w:val="00B3654C"/>
    <w:rsid w:val="00B3680B"/>
    <w:rsid w:val="00B368C0"/>
    <w:rsid w:val="00B36A49"/>
    <w:rsid w:val="00B371F3"/>
    <w:rsid w:val="00B3765E"/>
    <w:rsid w:val="00B37BDD"/>
    <w:rsid w:val="00B4023D"/>
    <w:rsid w:val="00B41FE5"/>
    <w:rsid w:val="00B42AE6"/>
    <w:rsid w:val="00B42E71"/>
    <w:rsid w:val="00B43092"/>
    <w:rsid w:val="00B43406"/>
    <w:rsid w:val="00B434DC"/>
    <w:rsid w:val="00B43D08"/>
    <w:rsid w:val="00B43D77"/>
    <w:rsid w:val="00B440B6"/>
    <w:rsid w:val="00B450DB"/>
    <w:rsid w:val="00B45248"/>
    <w:rsid w:val="00B453E6"/>
    <w:rsid w:val="00B4578A"/>
    <w:rsid w:val="00B45872"/>
    <w:rsid w:val="00B459E3"/>
    <w:rsid w:val="00B461F5"/>
    <w:rsid w:val="00B46A3C"/>
    <w:rsid w:val="00B46A44"/>
    <w:rsid w:val="00B46F3B"/>
    <w:rsid w:val="00B47F47"/>
    <w:rsid w:val="00B5025B"/>
    <w:rsid w:val="00B5035A"/>
    <w:rsid w:val="00B503B7"/>
    <w:rsid w:val="00B506A2"/>
    <w:rsid w:val="00B518D4"/>
    <w:rsid w:val="00B519F9"/>
    <w:rsid w:val="00B51B0A"/>
    <w:rsid w:val="00B52108"/>
    <w:rsid w:val="00B52588"/>
    <w:rsid w:val="00B52700"/>
    <w:rsid w:val="00B527F4"/>
    <w:rsid w:val="00B53629"/>
    <w:rsid w:val="00B538E3"/>
    <w:rsid w:val="00B53993"/>
    <w:rsid w:val="00B53B4C"/>
    <w:rsid w:val="00B53F36"/>
    <w:rsid w:val="00B540E7"/>
    <w:rsid w:val="00B541A6"/>
    <w:rsid w:val="00B54814"/>
    <w:rsid w:val="00B54B24"/>
    <w:rsid w:val="00B54B75"/>
    <w:rsid w:val="00B54BA7"/>
    <w:rsid w:val="00B54F4D"/>
    <w:rsid w:val="00B55251"/>
    <w:rsid w:val="00B55AFA"/>
    <w:rsid w:val="00B56059"/>
    <w:rsid w:val="00B576E5"/>
    <w:rsid w:val="00B60803"/>
    <w:rsid w:val="00B60CC2"/>
    <w:rsid w:val="00B60EC3"/>
    <w:rsid w:val="00B61042"/>
    <w:rsid w:val="00B61121"/>
    <w:rsid w:val="00B61DEF"/>
    <w:rsid w:val="00B62426"/>
    <w:rsid w:val="00B62A3E"/>
    <w:rsid w:val="00B6334E"/>
    <w:rsid w:val="00B636A9"/>
    <w:rsid w:val="00B6481C"/>
    <w:rsid w:val="00B64F4F"/>
    <w:rsid w:val="00B6539D"/>
    <w:rsid w:val="00B6567E"/>
    <w:rsid w:val="00B658F0"/>
    <w:rsid w:val="00B65A7D"/>
    <w:rsid w:val="00B65A87"/>
    <w:rsid w:val="00B65EB0"/>
    <w:rsid w:val="00B6623C"/>
    <w:rsid w:val="00B667BF"/>
    <w:rsid w:val="00B66972"/>
    <w:rsid w:val="00B66D08"/>
    <w:rsid w:val="00B66E84"/>
    <w:rsid w:val="00B67299"/>
    <w:rsid w:val="00B6733F"/>
    <w:rsid w:val="00B67882"/>
    <w:rsid w:val="00B700C8"/>
    <w:rsid w:val="00B70A69"/>
    <w:rsid w:val="00B70C68"/>
    <w:rsid w:val="00B71154"/>
    <w:rsid w:val="00B712AB"/>
    <w:rsid w:val="00B7177E"/>
    <w:rsid w:val="00B71993"/>
    <w:rsid w:val="00B71C75"/>
    <w:rsid w:val="00B725FF"/>
    <w:rsid w:val="00B72E6A"/>
    <w:rsid w:val="00B73130"/>
    <w:rsid w:val="00B73280"/>
    <w:rsid w:val="00B741A4"/>
    <w:rsid w:val="00B74228"/>
    <w:rsid w:val="00B743C4"/>
    <w:rsid w:val="00B743EF"/>
    <w:rsid w:val="00B746FB"/>
    <w:rsid w:val="00B749A4"/>
    <w:rsid w:val="00B74F5F"/>
    <w:rsid w:val="00B752D2"/>
    <w:rsid w:val="00B76199"/>
    <w:rsid w:val="00B7646F"/>
    <w:rsid w:val="00B76A3D"/>
    <w:rsid w:val="00B76E22"/>
    <w:rsid w:val="00B77635"/>
    <w:rsid w:val="00B77AF3"/>
    <w:rsid w:val="00B77F22"/>
    <w:rsid w:val="00B80113"/>
    <w:rsid w:val="00B804EA"/>
    <w:rsid w:val="00B806C0"/>
    <w:rsid w:val="00B80CF9"/>
    <w:rsid w:val="00B81106"/>
    <w:rsid w:val="00B81D2D"/>
    <w:rsid w:val="00B8238A"/>
    <w:rsid w:val="00B8264A"/>
    <w:rsid w:val="00B827F3"/>
    <w:rsid w:val="00B82CC1"/>
    <w:rsid w:val="00B83F00"/>
    <w:rsid w:val="00B843E9"/>
    <w:rsid w:val="00B84D72"/>
    <w:rsid w:val="00B8573C"/>
    <w:rsid w:val="00B857BD"/>
    <w:rsid w:val="00B85C37"/>
    <w:rsid w:val="00B85FA1"/>
    <w:rsid w:val="00B86964"/>
    <w:rsid w:val="00B86C7E"/>
    <w:rsid w:val="00B8717E"/>
    <w:rsid w:val="00B8726C"/>
    <w:rsid w:val="00B87523"/>
    <w:rsid w:val="00B87527"/>
    <w:rsid w:val="00B8768A"/>
    <w:rsid w:val="00B877C1"/>
    <w:rsid w:val="00B878E3"/>
    <w:rsid w:val="00B87ABF"/>
    <w:rsid w:val="00B87D4D"/>
    <w:rsid w:val="00B900D3"/>
    <w:rsid w:val="00B9024C"/>
    <w:rsid w:val="00B9055A"/>
    <w:rsid w:val="00B90577"/>
    <w:rsid w:val="00B907FB"/>
    <w:rsid w:val="00B90952"/>
    <w:rsid w:val="00B90D7E"/>
    <w:rsid w:val="00B90FD2"/>
    <w:rsid w:val="00B91096"/>
    <w:rsid w:val="00B9142E"/>
    <w:rsid w:val="00B914A1"/>
    <w:rsid w:val="00B91830"/>
    <w:rsid w:val="00B92276"/>
    <w:rsid w:val="00B927DB"/>
    <w:rsid w:val="00B928F3"/>
    <w:rsid w:val="00B92D97"/>
    <w:rsid w:val="00B92F23"/>
    <w:rsid w:val="00B932F6"/>
    <w:rsid w:val="00B9371E"/>
    <w:rsid w:val="00B9382E"/>
    <w:rsid w:val="00B93A26"/>
    <w:rsid w:val="00B941C5"/>
    <w:rsid w:val="00B94B27"/>
    <w:rsid w:val="00B94EBE"/>
    <w:rsid w:val="00B951D3"/>
    <w:rsid w:val="00B952D2"/>
    <w:rsid w:val="00B9550C"/>
    <w:rsid w:val="00B95A10"/>
    <w:rsid w:val="00B95EA4"/>
    <w:rsid w:val="00B96811"/>
    <w:rsid w:val="00B968FA"/>
    <w:rsid w:val="00B96D3A"/>
    <w:rsid w:val="00B97DE7"/>
    <w:rsid w:val="00B97F7A"/>
    <w:rsid w:val="00B97FFE"/>
    <w:rsid w:val="00BA11FD"/>
    <w:rsid w:val="00BA1284"/>
    <w:rsid w:val="00BA129A"/>
    <w:rsid w:val="00BA13E5"/>
    <w:rsid w:val="00BA15FB"/>
    <w:rsid w:val="00BA1FDB"/>
    <w:rsid w:val="00BA1FEF"/>
    <w:rsid w:val="00BA203A"/>
    <w:rsid w:val="00BA24A5"/>
    <w:rsid w:val="00BA2759"/>
    <w:rsid w:val="00BA2F05"/>
    <w:rsid w:val="00BA3219"/>
    <w:rsid w:val="00BA3485"/>
    <w:rsid w:val="00BA3C59"/>
    <w:rsid w:val="00BA3D9F"/>
    <w:rsid w:val="00BA3F95"/>
    <w:rsid w:val="00BA420E"/>
    <w:rsid w:val="00BA43F3"/>
    <w:rsid w:val="00BA4ADB"/>
    <w:rsid w:val="00BA4D02"/>
    <w:rsid w:val="00BA4D2B"/>
    <w:rsid w:val="00BA4DFD"/>
    <w:rsid w:val="00BA54C8"/>
    <w:rsid w:val="00BA54FB"/>
    <w:rsid w:val="00BA554A"/>
    <w:rsid w:val="00BA5823"/>
    <w:rsid w:val="00BA5DDD"/>
    <w:rsid w:val="00BA5F5C"/>
    <w:rsid w:val="00BA621B"/>
    <w:rsid w:val="00BA6A26"/>
    <w:rsid w:val="00BB0037"/>
    <w:rsid w:val="00BB099A"/>
    <w:rsid w:val="00BB16D6"/>
    <w:rsid w:val="00BB17B8"/>
    <w:rsid w:val="00BB1D6B"/>
    <w:rsid w:val="00BB1FE4"/>
    <w:rsid w:val="00BB27A4"/>
    <w:rsid w:val="00BB411E"/>
    <w:rsid w:val="00BB498E"/>
    <w:rsid w:val="00BB5024"/>
    <w:rsid w:val="00BB584D"/>
    <w:rsid w:val="00BB5935"/>
    <w:rsid w:val="00BB5B83"/>
    <w:rsid w:val="00BB5E92"/>
    <w:rsid w:val="00BB600A"/>
    <w:rsid w:val="00BB6687"/>
    <w:rsid w:val="00BB691E"/>
    <w:rsid w:val="00BB6959"/>
    <w:rsid w:val="00BB6988"/>
    <w:rsid w:val="00BB6C5E"/>
    <w:rsid w:val="00BB6E72"/>
    <w:rsid w:val="00BB75F6"/>
    <w:rsid w:val="00BB7791"/>
    <w:rsid w:val="00BC023A"/>
    <w:rsid w:val="00BC03D4"/>
    <w:rsid w:val="00BC05E3"/>
    <w:rsid w:val="00BC08B8"/>
    <w:rsid w:val="00BC12DF"/>
    <w:rsid w:val="00BC13C6"/>
    <w:rsid w:val="00BC1422"/>
    <w:rsid w:val="00BC1671"/>
    <w:rsid w:val="00BC1F9A"/>
    <w:rsid w:val="00BC2053"/>
    <w:rsid w:val="00BC2232"/>
    <w:rsid w:val="00BC2A7D"/>
    <w:rsid w:val="00BC31D8"/>
    <w:rsid w:val="00BC3E6B"/>
    <w:rsid w:val="00BC47D6"/>
    <w:rsid w:val="00BC5691"/>
    <w:rsid w:val="00BC609E"/>
    <w:rsid w:val="00BC6853"/>
    <w:rsid w:val="00BC6B01"/>
    <w:rsid w:val="00BC6E2D"/>
    <w:rsid w:val="00BC74EB"/>
    <w:rsid w:val="00BC75C4"/>
    <w:rsid w:val="00BC7C8F"/>
    <w:rsid w:val="00BD0BA0"/>
    <w:rsid w:val="00BD16BD"/>
    <w:rsid w:val="00BD1DC3"/>
    <w:rsid w:val="00BD2140"/>
    <w:rsid w:val="00BD2952"/>
    <w:rsid w:val="00BD29C5"/>
    <w:rsid w:val="00BD2F6C"/>
    <w:rsid w:val="00BD3784"/>
    <w:rsid w:val="00BD37E1"/>
    <w:rsid w:val="00BD3C31"/>
    <w:rsid w:val="00BD3EFC"/>
    <w:rsid w:val="00BD415B"/>
    <w:rsid w:val="00BD43A8"/>
    <w:rsid w:val="00BD484E"/>
    <w:rsid w:val="00BD48A6"/>
    <w:rsid w:val="00BD4D12"/>
    <w:rsid w:val="00BD501A"/>
    <w:rsid w:val="00BD5030"/>
    <w:rsid w:val="00BD5291"/>
    <w:rsid w:val="00BD6698"/>
    <w:rsid w:val="00BD6BA6"/>
    <w:rsid w:val="00BD6CB3"/>
    <w:rsid w:val="00BD6FA5"/>
    <w:rsid w:val="00BD7811"/>
    <w:rsid w:val="00BD7ED7"/>
    <w:rsid w:val="00BE01A1"/>
    <w:rsid w:val="00BE01E9"/>
    <w:rsid w:val="00BE0BCE"/>
    <w:rsid w:val="00BE0E9B"/>
    <w:rsid w:val="00BE1D71"/>
    <w:rsid w:val="00BE2809"/>
    <w:rsid w:val="00BE29EC"/>
    <w:rsid w:val="00BE2E8C"/>
    <w:rsid w:val="00BE3455"/>
    <w:rsid w:val="00BE3501"/>
    <w:rsid w:val="00BE3BCD"/>
    <w:rsid w:val="00BE3F82"/>
    <w:rsid w:val="00BE41A7"/>
    <w:rsid w:val="00BE4822"/>
    <w:rsid w:val="00BE502E"/>
    <w:rsid w:val="00BE5632"/>
    <w:rsid w:val="00BE57B9"/>
    <w:rsid w:val="00BE5E66"/>
    <w:rsid w:val="00BE60BB"/>
    <w:rsid w:val="00BE62F6"/>
    <w:rsid w:val="00BE6461"/>
    <w:rsid w:val="00BE6880"/>
    <w:rsid w:val="00BE7785"/>
    <w:rsid w:val="00BF0611"/>
    <w:rsid w:val="00BF0AFF"/>
    <w:rsid w:val="00BF0FA1"/>
    <w:rsid w:val="00BF1037"/>
    <w:rsid w:val="00BF1151"/>
    <w:rsid w:val="00BF1407"/>
    <w:rsid w:val="00BF1954"/>
    <w:rsid w:val="00BF2328"/>
    <w:rsid w:val="00BF25A5"/>
    <w:rsid w:val="00BF2769"/>
    <w:rsid w:val="00BF2C20"/>
    <w:rsid w:val="00BF3195"/>
    <w:rsid w:val="00BF3431"/>
    <w:rsid w:val="00BF358C"/>
    <w:rsid w:val="00BF40B8"/>
    <w:rsid w:val="00BF4275"/>
    <w:rsid w:val="00BF4437"/>
    <w:rsid w:val="00BF4543"/>
    <w:rsid w:val="00BF4554"/>
    <w:rsid w:val="00BF4715"/>
    <w:rsid w:val="00BF4E24"/>
    <w:rsid w:val="00BF5080"/>
    <w:rsid w:val="00BF537B"/>
    <w:rsid w:val="00BF542A"/>
    <w:rsid w:val="00BF5477"/>
    <w:rsid w:val="00BF5B0C"/>
    <w:rsid w:val="00BF5F18"/>
    <w:rsid w:val="00BF63E3"/>
    <w:rsid w:val="00BF65B4"/>
    <w:rsid w:val="00BF6C8A"/>
    <w:rsid w:val="00BF754B"/>
    <w:rsid w:val="00BF7551"/>
    <w:rsid w:val="00BF7956"/>
    <w:rsid w:val="00BF7B00"/>
    <w:rsid w:val="00C00334"/>
    <w:rsid w:val="00C0156F"/>
    <w:rsid w:val="00C0158B"/>
    <w:rsid w:val="00C01671"/>
    <w:rsid w:val="00C020FF"/>
    <w:rsid w:val="00C02AAD"/>
    <w:rsid w:val="00C02DDC"/>
    <w:rsid w:val="00C02E71"/>
    <w:rsid w:val="00C02F12"/>
    <w:rsid w:val="00C0323C"/>
    <w:rsid w:val="00C03665"/>
    <w:rsid w:val="00C03A71"/>
    <w:rsid w:val="00C03BB1"/>
    <w:rsid w:val="00C03C93"/>
    <w:rsid w:val="00C0401E"/>
    <w:rsid w:val="00C044DF"/>
    <w:rsid w:val="00C045F3"/>
    <w:rsid w:val="00C04EF5"/>
    <w:rsid w:val="00C05AC2"/>
    <w:rsid w:val="00C05D37"/>
    <w:rsid w:val="00C05D95"/>
    <w:rsid w:val="00C05F9D"/>
    <w:rsid w:val="00C06125"/>
    <w:rsid w:val="00C065D4"/>
    <w:rsid w:val="00C06BD5"/>
    <w:rsid w:val="00C078B4"/>
    <w:rsid w:val="00C079AA"/>
    <w:rsid w:val="00C07B2A"/>
    <w:rsid w:val="00C07B5F"/>
    <w:rsid w:val="00C07D22"/>
    <w:rsid w:val="00C07E0B"/>
    <w:rsid w:val="00C10469"/>
    <w:rsid w:val="00C10DEA"/>
    <w:rsid w:val="00C1156C"/>
    <w:rsid w:val="00C11A72"/>
    <w:rsid w:val="00C12122"/>
    <w:rsid w:val="00C12DE7"/>
    <w:rsid w:val="00C1310E"/>
    <w:rsid w:val="00C135A1"/>
    <w:rsid w:val="00C142BC"/>
    <w:rsid w:val="00C142D1"/>
    <w:rsid w:val="00C142EC"/>
    <w:rsid w:val="00C1433A"/>
    <w:rsid w:val="00C14A76"/>
    <w:rsid w:val="00C14B19"/>
    <w:rsid w:val="00C14CA3"/>
    <w:rsid w:val="00C14EE0"/>
    <w:rsid w:val="00C1519E"/>
    <w:rsid w:val="00C155A3"/>
    <w:rsid w:val="00C15842"/>
    <w:rsid w:val="00C163D4"/>
    <w:rsid w:val="00C16606"/>
    <w:rsid w:val="00C16726"/>
    <w:rsid w:val="00C16987"/>
    <w:rsid w:val="00C16A3C"/>
    <w:rsid w:val="00C16F4F"/>
    <w:rsid w:val="00C17FFB"/>
    <w:rsid w:val="00C20725"/>
    <w:rsid w:val="00C20BA2"/>
    <w:rsid w:val="00C20CBB"/>
    <w:rsid w:val="00C20E0B"/>
    <w:rsid w:val="00C20E74"/>
    <w:rsid w:val="00C20EAB"/>
    <w:rsid w:val="00C20F38"/>
    <w:rsid w:val="00C212A9"/>
    <w:rsid w:val="00C21603"/>
    <w:rsid w:val="00C21763"/>
    <w:rsid w:val="00C219E3"/>
    <w:rsid w:val="00C21E46"/>
    <w:rsid w:val="00C22453"/>
    <w:rsid w:val="00C2259E"/>
    <w:rsid w:val="00C2266A"/>
    <w:rsid w:val="00C226EE"/>
    <w:rsid w:val="00C22BDF"/>
    <w:rsid w:val="00C23132"/>
    <w:rsid w:val="00C2368A"/>
    <w:rsid w:val="00C23F2F"/>
    <w:rsid w:val="00C2409F"/>
    <w:rsid w:val="00C24242"/>
    <w:rsid w:val="00C244B3"/>
    <w:rsid w:val="00C24B01"/>
    <w:rsid w:val="00C24DD7"/>
    <w:rsid w:val="00C25037"/>
    <w:rsid w:val="00C2513F"/>
    <w:rsid w:val="00C2528A"/>
    <w:rsid w:val="00C25966"/>
    <w:rsid w:val="00C25A0F"/>
    <w:rsid w:val="00C25C65"/>
    <w:rsid w:val="00C25D15"/>
    <w:rsid w:val="00C26901"/>
    <w:rsid w:val="00C26CA9"/>
    <w:rsid w:val="00C26E7A"/>
    <w:rsid w:val="00C27354"/>
    <w:rsid w:val="00C27603"/>
    <w:rsid w:val="00C27F76"/>
    <w:rsid w:val="00C30A0B"/>
    <w:rsid w:val="00C30CD2"/>
    <w:rsid w:val="00C3107F"/>
    <w:rsid w:val="00C31376"/>
    <w:rsid w:val="00C319C0"/>
    <w:rsid w:val="00C32101"/>
    <w:rsid w:val="00C321C6"/>
    <w:rsid w:val="00C32421"/>
    <w:rsid w:val="00C32E75"/>
    <w:rsid w:val="00C32F6A"/>
    <w:rsid w:val="00C330BC"/>
    <w:rsid w:val="00C339C4"/>
    <w:rsid w:val="00C33AED"/>
    <w:rsid w:val="00C34493"/>
    <w:rsid w:val="00C345EA"/>
    <w:rsid w:val="00C34847"/>
    <w:rsid w:val="00C34BE5"/>
    <w:rsid w:val="00C34C8B"/>
    <w:rsid w:val="00C35309"/>
    <w:rsid w:val="00C35669"/>
    <w:rsid w:val="00C35A48"/>
    <w:rsid w:val="00C35F0F"/>
    <w:rsid w:val="00C361EE"/>
    <w:rsid w:val="00C36434"/>
    <w:rsid w:val="00C3647A"/>
    <w:rsid w:val="00C368DB"/>
    <w:rsid w:val="00C36A35"/>
    <w:rsid w:val="00C36CE8"/>
    <w:rsid w:val="00C37044"/>
    <w:rsid w:val="00C37905"/>
    <w:rsid w:val="00C37CAC"/>
    <w:rsid w:val="00C37FA5"/>
    <w:rsid w:val="00C4009A"/>
    <w:rsid w:val="00C40758"/>
    <w:rsid w:val="00C40AB8"/>
    <w:rsid w:val="00C40AE6"/>
    <w:rsid w:val="00C413C0"/>
    <w:rsid w:val="00C419AC"/>
    <w:rsid w:val="00C41AF9"/>
    <w:rsid w:val="00C41B84"/>
    <w:rsid w:val="00C41D72"/>
    <w:rsid w:val="00C41E70"/>
    <w:rsid w:val="00C4216E"/>
    <w:rsid w:val="00C426DF"/>
    <w:rsid w:val="00C42C2B"/>
    <w:rsid w:val="00C42DDB"/>
    <w:rsid w:val="00C43113"/>
    <w:rsid w:val="00C43215"/>
    <w:rsid w:val="00C439FA"/>
    <w:rsid w:val="00C43B94"/>
    <w:rsid w:val="00C446CA"/>
    <w:rsid w:val="00C44A11"/>
    <w:rsid w:val="00C450C1"/>
    <w:rsid w:val="00C4516C"/>
    <w:rsid w:val="00C45AE5"/>
    <w:rsid w:val="00C45BD2"/>
    <w:rsid w:val="00C45F5F"/>
    <w:rsid w:val="00C460E4"/>
    <w:rsid w:val="00C4685C"/>
    <w:rsid w:val="00C47327"/>
    <w:rsid w:val="00C47646"/>
    <w:rsid w:val="00C476A3"/>
    <w:rsid w:val="00C47F41"/>
    <w:rsid w:val="00C504B6"/>
    <w:rsid w:val="00C5063C"/>
    <w:rsid w:val="00C5063D"/>
    <w:rsid w:val="00C50E6F"/>
    <w:rsid w:val="00C51091"/>
    <w:rsid w:val="00C5192E"/>
    <w:rsid w:val="00C519F4"/>
    <w:rsid w:val="00C51C43"/>
    <w:rsid w:val="00C524F3"/>
    <w:rsid w:val="00C52621"/>
    <w:rsid w:val="00C5279D"/>
    <w:rsid w:val="00C5294C"/>
    <w:rsid w:val="00C52B3C"/>
    <w:rsid w:val="00C52BAB"/>
    <w:rsid w:val="00C53204"/>
    <w:rsid w:val="00C538E4"/>
    <w:rsid w:val="00C53DA2"/>
    <w:rsid w:val="00C5441E"/>
    <w:rsid w:val="00C5442A"/>
    <w:rsid w:val="00C54781"/>
    <w:rsid w:val="00C54797"/>
    <w:rsid w:val="00C548EE"/>
    <w:rsid w:val="00C54B2F"/>
    <w:rsid w:val="00C54D94"/>
    <w:rsid w:val="00C54E16"/>
    <w:rsid w:val="00C54EA8"/>
    <w:rsid w:val="00C55015"/>
    <w:rsid w:val="00C5504B"/>
    <w:rsid w:val="00C55057"/>
    <w:rsid w:val="00C564A1"/>
    <w:rsid w:val="00C564EB"/>
    <w:rsid w:val="00C56601"/>
    <w:rsid w:val="00C5661E"/>
    <w:rsid w:val="00C5681F"/>
    <w:rsid w:val="00C569BF"/>
    <w:rsid w:val="00C573EF"/>
    <w:rsid w:val="00C57974"/>
    <w:rsid w:val="00C57A39"/>
    <w:rsid w:val="00C60375"/>
    <w:rsid w:val="00C605EC"/>
    <w:rsid w:val="00C60F27"/>
    <w:rsid w:val="00C61001"/>
    <w:rsid w:val="00C6123F"/>
    <w:rsid w:val="00C61425"/>
    <w:rsid w:val="00C61CB9"/>
    <w:rsid w:val="00C62183"/>
    <w:rsid w:val="00C62438"/>
    <w:rsid w:val="00C624E8"/>
    <w:rsid w:val="00C62A38"/>
    <w:rsid w:val="00C62C92"/>
    <w:rsid w:val="00C62F6F"/>
    <w:rsid w:val="00C6308B"/>
    <w:rsid w:val="00C63460"/>
    <w:rsid w:val="00C635F2"/>
    <w:rsid w:val="00C643D4"/>
    <w:rsid w:val="00C64504"/>
    <w:rsid w:val="00C64629"/>
    <w:rsid w:val="00C65D42"/>
    <w:rsid w:val="00C6602D"/>
    <w:rsid w:val="00C665B6"/>
    <w:rsid w:val="00C665C4"/>
    <w:rsid w:val="00C66777"/>
    <w:rsid w:val="00C66A9C"/>
    <w:rsid w:val="00C6717E"/>
    <w:rsid w:val="00C671CB"/>
    <w:rsid w:val="00C67300"/>
    <w:rsid w:val="00C6764E"/>
    <w:rsid w:val="00C67AD9"/>
    <w:rsid w:val="00C67ADE"/>
    <w:rsid w:val="00C70658"/>
    <w:rsid w:val="00C707BE"/>
    <w:rsid w:val="00C70A6A"/>
    <w:rsid w:val="00C7117C"/>
    <w:rsid w:val="00C711C7"/>
    <w:rsid w:val="00C713DD"/>
    <w:rsid w:val="00C7168E"/>
    <w:rsid w:val="00C716BE"/>
    <w:rsid w:val="00C71A96"/>
    <w:rsid w:val="00C71B94"/>
    <w:rsid w:val="00C72BA7"/>
    <w:rsid w:val="00C72E13"/>
    <w:rsid w:val="00C737E8"/>
    <w:rsid w:val="00C73AEB"/>
    <w:rsid w:val="00C73D13"/>
    <w:rsid w:val="00C749A3"/>
    <w:rsid w:val="00C74CA9"/>
    <w:rsid w:val="00C74CF0"/>
    <w:rsid w:val="00C75303"/>
    <w:rsid w:val="00C75819"/>
    <w:rsid w:val="00C75B55"/>
    <w:rsid w:val="00C75F4B"/>
    <w:rsid w:val="00C7632D"/>
    <w:rsid w:val="00C76A1C"/>
    <w:rsid w:val="00C76C9C"/>
    <w:rsid w:val="00C77772"/>
    <w:rsid w:val="00C77791"/>
    <w:rsid w:val="00C77A43"/>
    <w:rsid w:val="00C77CE2"/>
    <w:rsid w:val="00C800B1"/>
    <w:rsid w:val="00C80346"/>
    <w:rsid w:val="00C8038D"/>
    <w:rsid w:val="00C80C04"/>
    <w:rsid w:val="00C811C5"/>
    <w:rsid w:val="00C812DF"/>
    <w:rsid w:val="00C81A65"/>
    <w:rsid w:val="00C81CCE"/>
    <w:rsid w:val="00C8279D"/>
    <w:rsid w:val="00C829C9"/>
    <w:rsid w:val="00C831A5"/>
    <w:rsid w:val="00C83BFD"/>
    <w:rsid w:val="00C84B47"/>
    <w:rsid w:val="00C84D0E"/>
    <w:rsid w:val="00C8580E"/>
    <w:rsid w:val="00C8651A"/>
    <w:rsid w:val="00C86648"/>
    <w:rsid w:val="00C86BB3"/>
    <w:rsid w:val="00C8781C"/>
    <w:rsid w:val="00C87EE2"/>
    <w:rsid w:val="00C901BA"/>
    <w:rsid w:val="00C90696"/>
    <w:rsid w:val="00C90AFE"/>
    <w:rsid w:val="00C90B73"/>
    <w:rsid w:val="00C90E5E"/>
    <w:rsid w:val="00C91131"/>
    <w:rsid w:val="00C913C6"/>
    <w:rsid w:val="00C914D4"/>
    <w:rsid w:val="00C91968"/>
    <w:rsid w:val="00C9210F"/>
    <w:rsid w:val="00C9257F"/>
    <w:rsid w:val="00C925B9"/>
    <w:rsid w:val="00C929FA"/>
    <w:rsid w:val="00C9344D"/>
    <w:rsid w:val="00C93C50"/>
    <w:rsid w:val="00C94378"/>
    <w:rsid w:val="00C94E6F"/>
    <w:rsid w:val="00C953E8"/>
    <w:rsid w:val="00C95799"/>
    <w:rsid w:val="00C9613A"/>
    <w:rsid w:val="00C96B52"/>
    <w:rsid w:val="00C96B85"/>
    <w:rsid w:val="00C971B2"/>
    <w:rsid w:val="00C97572"/>
    <w:rsid w:val="00CA04B6"/>
    <w:rsid w:val="00CA09A5"/>
    <w:rsid w:val="00CA1082"/>
    <w:rsid w:val="00CA125A"/>
    <w:rsid w:val="00CA19D1"/>
    <w:rsid w:val="00CA1F12"/>
    <w:rsid w:val="00CA23B8"/>
    <w:rsid w:val="00CA2536"/>
    <w:rsid w:val="00CA25CB"/>
    <w:rsid w:val="00CA2BD2"/>
    <w:rsid w:val="00CA2DD7"/>
    <w:rsid w:val="00CA2F3F"/>
    <w:rsid w:val="00CA338C"/>
    <w:rsid w:val="00CA3C30"/>
    <w:rsid w:val="00CA4130"/>
    <w:rsid w:val="00CA41D0"/>
    <w:rsid w:val="00CA427C"/>
    <w:rsid w:val="00CA5743"/>
    <w:rsid w:val="00CA619C"/>
    <w:rsid w:val="00CA62CB"/>
    <w:rsid w:val="00CA69D2"/>
    <w:rsid w:val="00CA69E7"/>
    <w:rsid w:val="00CA6B02"/>
    <w:rsid w:val="00CA784A"/>
    <w:rsid w:val="00CA7901"/>
    <w:rsid w:val="00CA7E7A"/>
    <w:rsid w:val="00CA7FE7"/>
    <w:rsid w:val="00CB00EE"/>
    <w:rsid w:val="00CB0476"/>
    <w:rsid w:val="00CB0C80"/>
    <w:rsid w:val="00CB0E02"/>
    <w:rsid w:val="00CB1253"/>
    <w:rsid w:val="00CB1403"/>
    <w:rsid w:val="00CB1652"/>
    <w:rsid w:val="00CB18BD"/>
    <w:rsid w:val="00CB1C02"/>
    <w:rsid w:val="00CB201F"/>
    <w:rsid w:val="00CB3E11"/>
    <w:rsid w:val="00CB3F11"/>
    <w:rsid w:val="00CB436F"/>
    <w:rsid w:val="00CB46A8"/>
    <w:rsid w:val="00CB521E"/>
    <w:rsid w:val="00CB65D0"/>
    <w:rsid w:val="00CB687B"/>
    <w:rsid w:val="00CB7077"/>
    <w:rsid w:val="00CB7124"/>
    <w:rsid w:val="00CB7450"/>
    <w:rsid w:val="00CB75C2"/>
    <w:rsid w:val="00CB775D"/>
    <w:rsid w:val="00CC01D8"/>
    <w:rsid w:val="00CC0655"/>
    <w:rsid w:val="00CC0ACB"/>
    <w:rsid w:val="00CC12B6"/>
    <w:rsid w:val="00CC19A0"/>
    <w:rsid w:val="00CC1A87"/>
    <w:rsid w:val="00CC2173"/>
    <w:rsid w:val="00CC2387"/>
    <w:rsid w:val="00CC24AA"/>
    <w:rsid w:val="00CC267E"/>
    <w:rsid w:val="00CC28DB"/>
    <w:rsid w:val="00CC3863"/>
    <w:rsid w:val="00CC3BA1"/>
    <w:rsid w:val="00CC3FA6"/>
    <w:rsid w:val="00CC4427"/>
    <w:rsid w:val="00CC4853"/>
    <w:rsid w:val="00CC4DEC"/>
    <w:rsid w:val="00CC50E3"/>
    <w:rsid w:val="00CC53DE"/>
    <w:rsid w:val="00CC5589"/>
    <w:rsid w:val="00CC5B71"/>
    <w:rsid w:val="00CC6272"/>
    <w:rsid w:val="00CC63A6"/>
    <w:rsid w:val="00CC641D"/>
    <w:rsid w:val="00CC6778"/>
    <w:rsid w:val="00CC6998"/>
    <w:rsid w:val="00CC6BFD"/>
    <w:rsid w:val="00CC6DF9"/>
    <w:rsid w:val="00CC6E30"/>
    <w:rsid w:val="00CC72EB"/>
    <w:rsid w:val="00CC75F9"/>
    <w:rsid w:val="00CC7D29"/>
    <w:rsid w:val="00CD0563"/>
    <w:rsid w:val="00CD09AC"/>
    <w:rsid w:val="00CD0FF5"/>
    <w:rsid w:val="00CD26FD"/>
    <w:rsid w:val="00CD3484"/>
    <w:rsid w:val="00CD37FA"/>
    <w:rsid w:val="00CD3F29"/>
    <w:rsid w:val="00CD40FB"/>
    <w:rsid w:val="00CD4577"/>
    <w:rsid w:val="00CD4CF5"/>
    <w:rsid w:val="00CD50B5"/>
    <w:rsid w:val="00CD53C1"/>
    <w:rsid w:val="00CD5902"/>
    <w:rsid w:val="00CD5C68"/>
    <w:rsid w:val="00CD6BF4"/>
    <w:rsid w:val="00CD76B7"/>
    <w:rsid w:val="00CE015F"/>
    <w:rsid w:val="00CE07F5"/>
    <w:rsid w:val="00CE0862"/>
    <w:rsid w:val="00CE09BB"/>
    <w:rsid w:val="00CE0AC4"/>
    <w:rsid w:val="00CE0B1A"/>
    <w:rsid w:val="00CE23AE"/>
    <w:rsid w:val="00CE249F"/>
    <w:rsid w:val="00CE2AE1"/>
    <w:rsid w:val="00CE3786"/>
    <w:rsid w:val="00CE3884"/>
    <w:rsid w:val="00CE443C"/>
    <w:rsid w:val="00CE4506"/>
    <w:rsid w:val="00CE4782"/>
    <w:rsid w:val="00CE4A2E"/>
    <w:rsid w:val="00CE5025"/>
    <w:rsid w:val="00CE5044"/>
    <w:rsid w:val="00CE50EF"/>
    <w:rsid w:val="00CE5279"/>
    <w:rsid w:val="00CE6AAE"/>
    <w:rsid w:val="00CE6CD2"/>
    <w:rsid w:val="00CE7725"/>
    <w:rsid w:val="00CE7B73"/>
    <w:rsid w:val="00CE7D45"/>
    <w:rsid w:val="00CE7E9B"/>
    <w:rsid w:val="00CF00D9"/>
    <w:rsid w:val="00CF16B4"/>
    <w:rsid w:val="00CF1C21"/>
    <w:rsid w:val="00CF1CA7"/>
    <w:rsid w:val="00CF2544"/>
    <w:rsid w:val="00CF276D"/>
    <w:rsid w:val="00CF2F45"/>
    <w:rsid w:val="00CF3136"/>
    <w:rsid w:val="00CF328C"/>
    <w:rsid w:val="00CF3626"/>
    <w:rsid w:val="00CF3686"/>
    <w:rsid w:val="00CF3A1E"/>
    <w:rsid w:val="00CF3A37"/>
    <w:rsid w:val="00CF52D4"/>
    <w:rsid w:val="00CF583D"/>
    <w:rsid w:val="00CF5B1D"/>
    <w:rsid w:val="00CF5C2A"/>
    <w:rsid w:val="00CF5C74"/>
    <w:rsid w:val="00CF6499"/>
    <w:rsid w:val="00CF64F0"/>
    <w:rsid w:val="00CF66C1"/>
    <w:rsid w:val="00CF6E19"/>
    <w:rsid w:val="00CF7261"/>
    <w:rsid w:val="00CF7537"/>
    <w:rsid w:val="00CF7E5C"/>
    <w:rsid w:val="00D007E5"/>
    <w:rsid w:val="00D007F8"/>
    <w:rsid w:val="00D00E76"/>
    <w:rsid w:val="00D010AC"/>
    <w:rsid w:val="00D01218"/>
    <w:rsid w:val="00D0137B"/>
    <w:rsid w:val="00D014E6"/>
    <w:rsid w:val="00D01543"/>
    <w:rsid w:val="00D01AD6"/>
    <w:rsid w:val="00D02092"/>
    <w:rsid w:val="00D023DE"/>
    <w:rsid w:val="00D024A8"/>
    <w:rsid w:val="00D027EF"/>
    <w:rsid w:val="00D02BDB"/>
    <w:rsid w:val="00D02FBA"/>
    <w:rsid w:val="00D039D5"/>
    <w:rsid w:val="00D03ABF"/>
    <w:rsid w:val="00D03E54"/>
    <w:rsid w:val="00D03F8B"/>
    <w:rsid w:val="00D04C6A"/>
    <w:rsid w:val="00D04F14"/>
    <w:rsid w:val="00D053ED"/>
    <w:rsid w:val="00D055B4"/>
    <w:rsid w:val="00D05737"/>
    <w:rsid w:val="00D05D93"/>
    <w:rsid w:val="00D06305"/>
    <w:rsid w:val="00D06CF4"/>
    <w:rsid w:val="00D06DF4"/>
    <w:rsid w:val="00D06E6F"/>
    <w:rsid w:val="00D07010"/>
    <w:rsid w:val="00D072DE"/>
    <w:rsid w:val="00D0770B"/>
    <w:rsid w:val="00D078D6"/>
    <w:rsid w:val="00D078EC"/>
    <w:rsid w:val="00D0796F"/>
    <w:rsid w:val="00D102DD"/>
    <w:rsid w:val="00D108B0"/>
    <w:rsid w:val="00D108CA"/>
    <w:rsid w:val="00D111E4"/>
    <w:rsid w:val="00D1194F"/>
    <w:rsid w:val="00D123B4"/>
    <w:rsid w:val="00D12478"/>
    <w:rsid w:val="00D1253A"/>
    <w:rsid w:val="00D12969"/>
    <w:rsid w:val="00D12D3B"/>
    <w:rsid w:val="00D131DE"/>
    <w:rsid w:val="00D13517"/>
    <w:rsid w:val="00D13E06"/>
    <w:rsid w:val="00D141D7"/>
    <w:rsid w:val="00D1460C"/>
    <w:rsid w:val="00D14D98"/>
    <w:rsid w:val="00D14FFC"/>
    <w:rsid w:val="00D15A91"/>
    <w:rsid w:val="00D16994"/>
    <w:rsid w:val="00D16FA6"/>
    <w:rsid w:val="00D171C3"/>
    <w:rsid w:val="00D17293"/>
    <w:rsid w:val="00D203C3"/>
    <w:rsid w:val="00D209A0"/>
    <w:rsid w:val="00D218AD"/>
    <w:rsid w:val="00D21E60"/>
    <w:rsid w:val="00D2265F"/>
    <w:rsid w:val="00D22F96"/>
    <w:rsid w:val="00D22FAE"/>
    <w:rsid w:val="00D230C8"/>
    <w:rsid w:val="00D2377F"/>
    <w:rsid w:val="00D23E16"/>
    <w:rsid w:val="00D24966"/>
    <w:rsid w:val="00D24A9C"/>
    <w:rsid w:val="00D2522C"/>
    <w:rsid w:val="00D25C2A"/>
    <w:rsid w:val="00D25C45"/>
    <w:rsid w:val="00D25E8D"/>
    <w:rsid w:val="00D26199"/>
    <w:rsid w:val="00D269E2"/>
    <w:rsid w:val="00D27449"/>
    <w:rsid w:val="00D27AB3"/>
    <w:rsid w:val="00D27B50"/>
    <w:rsid w:val="00D27F08"/>
    <w:rsid w:val="00D303C1"/>
    <w:rsid w:val="00D3079A"/>
    <w:rsid w:val="00D309DC"/>
    <w:rsid w:val="00D30C70"/>
    <w:rsid w:val="00D30F8A"/>
    <w:rsid w:val="00D31489"/>
    <w:rsid w:val="00D319E1"/>
    <w:rsid w:val="00D31C04"/>
    <w:rsid w:val="00D32652"/>
    <w:rsid w:val="00D32A7C"/>
    <w:rsid w:val="00D335E0"/>
    <w:rsid w:val="00D33B1E"/>
    <w:rsid w:val="00D35322"/>
    <w:rsid w:val="00D353BB"/>
    <w:rsid w:val="00D3556C"/>
    <w:rsid w:val="00D35E32"/>
    <w:rsid w:val="00D361E0"/>
    <w:rsid w:val="00D3664D"/>
    <w:rsid w:val="00D366E9"/>
    <w:rsid w:val="00D37327"/>
    <w:rsid w:val="00D40155"/>
    <w:rsid w:val="00D40E3D"/>
    <w:rsid w:val="00D412D1"/>
    <w:rsid w:val="00D41538"/>
    <w:rsid w:val="00D41BBA"/>
    <w:rsid w:val="00D41C7F"/>
    <w:rsid w:val="00D41D72"/>
    <w:rsid w:val="00D41F3B"/>
    <w:rsid w:val="00D43385"/>
    <w:rsid w:val="00D43BBF"/>
    <w:rsid w:val="00D43CCC"/>
    <w:rsid w:val="00D443F8"/>
    <w:rsid w:val="00D44F6B"/>
    <w:rsid w:val="00D45583"/>
    <w:rsid w:val="00D45B8F"/>
    <w:rsid w:val="00D45FAF"/>
    <w:rsid w:val="00D46005"/>
    <w:rsid w:val="00D46D2A"/>
    <w:rsid w:val="00D472F9"/>
    <w:rsid w:val="00D47613"/>
    <w:rsid w:val="00D502E3"/>
    <w:rsid w:val="00D50BA9"/>
    <w:rsid w:val="00D5107C"/>
    <w:rsid w:val="00D51162"/>
    <w:rsid w:val="00D51700"/>
    <w:rsid w:val="00D51718"/>
    <w:rsid w:val="00D51729"/>
    <w:rsid w:val="00D51CDA"/>
    <w:rsid w:val="00D52613"/>
    <w:rsid w:val="00D52992"/>
    <w:rsid w:val="00D52BBE"/>
    <w:rsid w:val="00D53154"/>
    <w:rsid w:val="00D53FE7"/>
    <w:rsid w:val="00D54228"/>
    <w:rsid w:val="00D54861"/>
    <w:rsid w:val="00D548A3"/>
    <w:rsid w:val="00D54A05"/>
    <w:rsid w:val="00D54B84"/>
    <w:rsid w:val="00D54BEF"/>
    <w:rsid w:val="00D551BC"/>
    <w:rsid w:val="00D55BE3"/>
    <w:rsid w:val="00D55E8F"/>
    <w:rsid w:val="00D5615F"/>
    <w:rsid w:val="00D5620C"/>
    <w:rsid w:val="00D562D7"/>
    <w:rsid w:val="00D5639A"/>
    <w:rsid w:val="00D563AD"/>
    <w:rsid w:val="00D565FF"/>
    <w:rsid w:val="00D56DC2"/>
    <w:rsid w:val="00D56F1C"/>
    <w:rsid w:val="00D57216"/>
    <w:rsid w:val="00D57512"/>
    <w:rsid w:val="00D5772E"/>
    <w:rsid w:val="00D57E64"/>
    <w:rsid w:val="00D60070"/>
    <w:rsid w:val="00D60DB7"/>
    <w:rsid w:val="00D6101B"/>
    <w:rsid w:val="00D61521"/>
    <w:rsid w:val="00D61820"/>
    <w:rsid w:val="00D61AFB"/>
    <w:rsid w:val="00D61B86"/>
    <w:rsid w:val="00D6220F"/>
    <w:rsid w:val="00D6221C"/>
    <w:rsid w:val="00D62901"/>
    <w:rsid w:val="00D62ADB"/>
    <w:rsid w:val="00D62D92"/>
    <w:rsid w:val="00D62EFC"/>
    <w:rsid w:val="00D63425"/>
    <w:rsid w:val="00D63637"/>
    <w:rsid w:val="00D6399C"/>
    <w:rsid w:val="00D63E4C"/>
    <w:rsid w:val="00D649AA"/>
    <w:rsid w:val="00D652CB"/>
    <w:rsid w:val="00D65E98"/>
    <w:rsid w:val="00D65EE2"/>
    <w:rsid w:val="00D66372"/>
    <w:rsid w:val="00D665A8"/>
    <w:rsid w:val="00D668AB"/>
    <w:rsid w:val="00D67176"/>
    <w:rsid w:val="00D671FC"/>
    <w:rsid w:val="00D67C69"/>
    <w:rsid w:val="00D701C2"/>
    <w:rsid w:val="00D7123B"/>
    <w:rsid w:val="00D71245"/>
    <w:rsid w:val="00D71CC5"/>
    <w:rsid w:val="00D71E8A"/>
    <w:rsid w:val="00D720CB"/>
    <w:rsid w:val="00D72111"/>
    <w:rsid w:val="00D721C7"/>
    <w:rsid w:val="00D722BC"/>
    <w:rsid w:val="00D723BE"/>
    <w:rsid w:val="00D72D67"/>
    <w:rsid w:val="00D72F4A"/>
    <w:rsid w:val="00D737EB"/>
    <w:rsid w:val="00D73E27"/>
    <w:rsid w:val="00D73EC5"/>
    <w:rsid w:val="00D740C4"/>
    <w:rsid w:val="00D7410B"/>
    <w:rsid w:val="00D74993"/>
    <w:rsid w:val="00D749DD"/>
    <w:rsid w:val="00D74D2D"/>
    <w:rsid w:val="00D74F86"/>
    <w:rsid w:val="00D750EB"/>
    <w:rsid w:val="00D750F1"/>
    <w:rsid w:val="00D754E8"/>
    <w:rsid w:val="00D75531"/>
    <w:rsid w:val="00D75A0E"/>
    <w:rsid w:val="00D76148"/>
    <w:rsid w:val="00D768BE"/>
    <w:rsid w:val="00D77CC7"/>
    <w:rsid w:val="00D800AC"/>
    <w:rsid w:val="00D80292"/>
    <w:rsid w:val="00D8049A"/>
    <w:rsid w:val="00D80B70"/>
    <w:rsid w:val="00D819B8"/>
    <w:rsid w:val="00D81B21"/>
    <w:rsid w:val="00D821BC"/>
    <w:rsid w:val="00D82325"/>
    <w:rsid w:val="00D8261A"/>
    <w:rsid w:val="00D82AC3"/>
    <w:rsid w:val="00D82FA0"/>
    <w:rsid w:val="00D837BA"/>
    <w:rsid w:val="00D837CC"/>
    <w:rsid w:val="00D83DF9"/>
    <w:rsid w:val="00D846B4"/>
    <w:rsid w:val="00D84AB8"/>
    <w:rsid w:val="00D84D43"/>
    <w:rsid w:val="00D84DEE"/>
    <w:rsid w:val="00D850AB"/>
    <w:rsid w:val="00D85252"/>
    <w:rsid w:val="00D852B7"/>
    <w:rsid w:val="00D8542A"/>
    <w:rsid w:val="00D857BA"/>
    <w:rsid w:val="00D86813"/>
    <w:rsid w:val="00D86A14"/>
    <w:rsid w:val="00D86BE2"/>
    <w:rsid w:val="00D86C74"/>
    <w:rsid w:val="00D86DF0"/>
    <w:rsid w:val="00D86F8D"/>
    <w:rsid w:val="00D8711A"/>
    <w:rsid w:val="00D8750E"/>
    <w:rsid w:val="00D87832"/>
    <w:rsid w:val="00D87960"/>
    <w:rsid w:val="00D879DD"/>
    <w:rsid w:val="00D87E02"/>
    <w:rsid w:val="00D903F5"/>
    <w:rsid w:val="00D9065C"/>
    <w:rsid w:val="00D90EC7"/>
    <w:rsid w:val="00D91277"/>
    <w:rsid w:val="00D91789"/>
    <w:rsid w:val="00D919D6"/>
    <w:rsid w:val="00D91CEB"/>
    <w:rsid w:val="00D91D8D"/>
    <w:rsid w:val="00D91EC6"/>
    <w:rsid w:val="00D9231A"/>
    <w:rsid w:val="00D926F1"/>
    <w:rsid w:val="00D9319A"/>
    <w:rsid w:val="00D93941"/>
    <w:rsid w:val="00D93A92"/>
    <w:rsid w:val="00D93A98"/>
    <w:rsid w:val="00D93B44"/>
    <w:rsid w:val="00D93F1F"/>
    <w:rsid w:val="00D940FB"/>
    <w:rsid w:val="00D9440A"/>
    <w:rsid w:val="00D94BF2"/>
    <w:rsid w:val="00D94DBB"/>
    <w:rsid w:val="00D94ECD"/>
    <w:rsid w:val="00D94F5C"/>
    <w:rsid w:val="00D95200"/>
    <w:rsid w:val="00D95313"/>
    <w:rsid w:val="00D95A50"/>
    <w:rsid w:val="00D966CD"/>
    <w:rsid w:val="00D96AA1"/>
    <w:rsid w:val="00D96EAF"/>
    <w:rsid w:val="00D9708B"/>
    <w:rsid w:val="00D97417"/>
    <w:rsid w:val="00D97B6A"/>
    <w:rsid w:val="00D97BDD"/>
    <w:rsid w:val="00DA0F8B"/>
    <w:rsid w:val="00DA1064"/>
    <w:rsid w:val="00DA12F4"/>
    <w:rsid w:val="00DA153B"/>
    <w:rsid w:val="00DA1BD3"/>
    <w:rsid w:val="00DA1F24"/>
    <w:rsid w:val="00DA200D"/>
    <w:rsid w:val="00DA25AB"/>
    <w:rsid w:val="00DA26BD"/>
    <w:rsid w:val="00DA27B9"/>
    <w:rsid w:val="00DA306D"/>
    <w:rsid w:val="00DA30F4"/>
    <w:rsid w:val="00DA43FB"/>
    <w:rsid w:val="00DA440C"/>
    <w:rsid w:val="00DA4679"/>
    <w:rsid w:val="00DA4A8E"/>
    <w:rsid w:val="00DA5306"/>
    <w:rsid w:val="00DA5D48"/>
    <w:rsid w:val="00DA63F8"/>
    <w:rsid w:val="00DA66CD"/>
    <w:rsid w:val="00DA672A"/>
    <w:rsid w:val="00DA67E1"/>
    <w:rsid w:val="00DA6ADD"/>
    <w:rsid w:val="00DA6FFF"/>
    <w:rsid w:val="00DA7196"/>
    <w:rsid w:val="00DA7FE9"/>
    <w:rsid w:val="00DB00BB"/>
    <w:rsid w:val="00DB00E2"/>
    <w:rsid w:val="00DB0252"/>
    <w:rsid w:val="00DB0C6E"/>
    <w:rsid w:val="00DB1489"/>
    <w:rsid w:val="00DB1627"/>
    <w:rsid w:val="00DB16D3"/>
    <w:rsid w:val="00DB1A53"/>
    <w:rsid w:val="00DB1F64"/>
    <w:rsid w:val="00DB259E"/>
    <w:rsid w:val="00DB2650"/>
    <w:rsid w:val="00DB3183"/>
    <w:rsid w:val="00DB347E"/>
    <w:rsid w:val="00DB3826"/>
    <w:rsid w:val="00DB3AD9"/>
    <w:rsid w:val="00DB3B53"/>
    <w:rsid w:val="00DB4B7C"/>
    <w:rsid w:val="00DB4F51"/>
    <w:rsid w:val="00DB531B"/>
    <w:rsid w:val="00DB541A"/>
    <w:rsid w:val="00DB58EF"/>
    <w:rsid w:val="00DB61F2"/>
    <w:rsid w:val="00DB6F13"/>
    <w:rsid w:val="00DB70C5"/>
    <w:rsid w:val="00DB71EE"/>
    <w:rsid w:val="00DB75BF"/>
    <w:rsid w:val="00DB78DB"/>
    <w:rsid w:val="00DB7A5D"/>
    <w:rsid w:val="00DB7ED4"/>
    <w:rsid w:val="00DC0544"/>
    <w:rsid w:val="00DC0989"/>
    <w:rsid w:val="00DC106D"/>
    <w:rsid w:val="00DC107B"/>
    <w:rsid w:val="00DC10C7"/>
    <w:rsid w:val="00DC141F"/>
    <w:rsid w:val="00DC162A"/>
    <w:rsid w:val="00DC1C2A"/>
    <w:rsid w:val="00DC200E"/>
    <w:rsid w:val="00DC2227"/>
    <w:rsid w:val="00DC247A"/>
    <w:rsid w:val="00DC292B"/>
    <w:rsid w:val="00DC2B7B"/>
    <w:rsid w:val="00DC30D0"/>
    <w:rsid w:val="00DC32C6"/>
    <w:rsid w:val="00DC3474"/>
    <w:rsid w:val="00DC3793"/>
    <w:rsid w:val="00DC382B"/>
    <w:rsid w:val="00DC397B"/>
    <w:rsid w:val="00DC3C0D"/>
    <w:rsid w:val="00DC4935"/>
    <w:rsid w:val="00DC4CF8"/>
    <w:rsid w:val="00DC5347"/>
    <w:rsid w:val="00DC573F"/>
    <w:rsid w:val="00DC59D8"/>
    <w:rsid w:val="00DC5D25"/>
    <w:rsid w:val="00DC60CF"/>
    <w:rsid w:val="00DC6B7D"/>
    <w:rsid w:val="00DC6CC6"/>
    <w:rsid w:val="00DC6D78"/>
    <w:rsid w:val="00DC6FF1"/>
    <w:rsid w:val="00DC70D3"/>
    <w:rsid w:val="00DC7613"/>
    <w:rsid w:val="00DC766E"/>
    <w:rsid w:val="00DD00B7"/>
    <w:rsid w:val="00DD03DE"/>
    <w:rsid w:val="00DD07D5"/>
    <w:rsid w:val="00DD1317"/>
    <w:rsid w:val="00DD1DBA"/>
    <w:rsid w:val="00DD275D"/>
    <w:rsid w:val="00DD28EB"/>
    <w:rsid w:val="00DD2E66"/>
    <w:rsid w:val="00DD2F12"/>
    <w:rsid w:val="00DD2F6F"/>
    <w:rsid w:val="00DD33B1"/>
    <w:rsid w:val="00DD3ACF"/>
    <w:rsid w:val="00DD3B83"/>
    <w:rsid w:val="00DD3BA8"/>
    <w:rsid w:val="00DD3BE0"/>
    <w:rsid w:val="00DD3CB5"/>
    <w:rsid w:val="00DD3D4A"/>
    <w:rsid w:val="00DD4330"/>
    <w:rsid w:val="00DD48CD"/>
    <w:rsid w:val="00DD4AE1"/>
    <w:rsid w:val="00DD4B86"/>
    <w:rsid w:val="00DD65DD"/>
    <w:rsid w:val="00DD7755"/>
    <w:rsid w:val="00DE0103"/>
    <w:rsid w:val="00DE0909"/>
    <w:rsid w:val="00DE0EE7"/>
    <w:rsid w:val="00DE106C"/>
    <w:rsid w:val="00DE1520"/>
    <w:rsid w:val="00DE152D"/>
    <w:rsid w:val="00DE168B"/>
    <w:rsid w:val="00DE1A63"/>
    <w:rsid w:val="00DE26ED"/>
    <w:rsid w:val="00DE28E2"/>
    <w:rsid w:val="00DE3481"/>
    <w:rsid w:val="00DE3801"/>
    <w:rsid w:val="00DE445D"/>
    <w:rsid w:val="00DE4E55"/>
    <w:rsid w:val="00DE5724"/>
    <w:rsid w:val="00DE5EEE"/>
    <w:rsid w:val="00DE6009"/>
    <w:rsid w:val="00DE6ACD"/>
    <w:rsid w:val="00DE78B3"/>
    <w:rsid w:val="00DE78C6"/>
    <w:rsid w:val="00DE7BCC"/>
    <w:rsid w:val="00DF00B2"/>
    <w:rsid w:val="00DF0665"/>
    <w:rsid w:val="00DF076D"/>
    <w:rsid w:val="00DF0A42"/>
    <w:rsid w:val="00DF0ADA"/>
    <w:rsid w:val="00DF0C13"/>
    <w:rsid w:val="00DF1DD3"/>
    <w:rsid w:val="00DF225B"/>
    <w:rsid w:val="00DF2716"/>
    <w:rsid w:val="00DF2B5A"/>
    <w:rsid w:val="00DF2ED0"/>
    <w:rsid w:val="00DF32FA"/>
    <w:rsid w:val="00DF36AA"/>
    <w:rsid w:val="00DF469C"/>
    <w:rsid w:val="00DF50E8"/>
    <w:rsid w:val="00DF569E"/>
    <w:rsid w:val="00DF5D4A"/>
    <w:rsid w:val="00DF5D78"/>
    <w:rsid w:val="00DF61DC"/>
    <w:rsid w:val="00DF64D4"/>
    <w:rsid w:val="00DF69AF"/>
    <w:rsid w:val="00DF6A69"/>
    <w:rsid w:val="00DF7589"/>
    <w:rsid w:val="00E007A2"/>
    <w:rsid w:val="00E009A8"/>
    <w:rsid w:val="00E00C72"/>
    <w:rsid w:val="00E00CF9"/>
    <w:rsid w:val="00E01305"/>
    <w:rsid w:val="00E015AE"/>
    <w:rsid w:val="00E0212F"/>
    <w:rsid w:val="00E02804"/>
    <w:rsid w:val="00E028F3"/>
    <w:rsid w:val="00E02EB7"/>
    <w:rsid w:val="00E02FF4"/>
    <w:rsid w:val="00E03016"/>
    <w:rsid w:val="00E03F3E"/>
    <w:rsid w:val="00E040D4"/>
    <w:rsid w:val="00E044A0"/>
    <w:rsid w:val="00E044BA"/>
    <w:rsid w:val="00E0475E"/>
    <w:rsid w:val="00E049D5"/>
    <w:rsid w:val="00E04D97"/>
    <w:rsid w:val="00E04DCE"/>
    <w:rsid w:val="00E05460"/>
    <w:rsid w:val="00E0557F"/>
    <w:rsid w:val="00E0560B"/>
    <w:rsid w:val="00E05912"/>
    <w:rsid w:val="00E05AAE"/>
    <w:rsid w:val="00E061B2"/>
    <w:rsid w:val="00E062CA"/>
    <w:rsid w:val="00E06C04"/>
    <w:rsid w:val="00E07529"/>
    <w:rsid w:val="00E07E55"/>
    <w:rsid w:val="00E07F26"/>
    <w:rsid w:val="00E101C5"/>
    <w:rsid w:val="00E1110C"/>
    <w:rsid w:val="00E112F2"/>
    <w:rsid w:val="00E120E3"/>
    <w:rsid w:val="00E1220E"/>
    <w:rsid w:val="00E122D4"/>
    <w:rsid w:val="00E12482"/>
    <w:rsid w:val="00E125A4"/>
    <w:rsid w:val="00E128FC"/>
    <w:rsid w:val="00E13436"/>
    <w:rsid w:val="00E1359B"/>
    <w:rsid w:val="00E13B2B"/>
    <w:rsid w:val="00E13DE4"/>
    <w:rsid w:val="00E141D6"/>
    <w:rsid w:val="00E14539"/>
    <w:rsid w:val="00E14BA1"/>
    <w:rsid w:val="00E1513D"/>
    <w:rsid w:val="00E158DB"/>
    <w:rsid w:val="00E16076"/>
    <w:rsid w:val="00E164AB"/>
    <w:rsid w:val="00E16CFA"/>
    <w:rsid w:val="00E16D04"/>
    <w:rsid w:val="00E16F42"/>
    <w:rsid w:val="00E174B8"/>
    <w:rsid w:val="00E174FD"/>
    <w:rsid w:val="00E17517"/>
    <w:rsid w:val="00E17845"/>
    <w:rsid w:val="00E17913"/>
    <w:rsid w:val="00E17CF4"/>
    <w:rsid w:val="00E17FE9"/>
    <w:rsid w:val="00E2053D"/>
    <w:rsid w:val="00E205E2"/>
    <w:rsid w:val="00E20841"/>
    <w:rsid w:val="00E208A8"/>
    <w:rsid w:val="00E20B52"/>
    <w:rsid w:val="00E21008"/>
    <w:rsid w:val="00E211E0"/>
    <w:rsid w:val="00E214B7"/>
    <w:rsid w:val="00E219AA"/>
    <w:rsid w:val="00E21B94"/>
    <w:rsid w:val="00E21F29"/>
    <w:rsid w:val="00E2301C"/>
    <w:rsid w:val="00E23A1D"/>
    <w:rsid w:val="00E24259"/>
    <w:rsid w:val="00E246BC"/>
    <w:rsid w:val="00E248AD"/>
    <w:rsid w:val="00E2494E"/>
    <w:rsid w:val="00E24BC2"/>
    <w:rsid w:val="00E24DBD"/>
    <w:rsid w:val="00E253E7"/>
    <w:rsid w:val="00E25821"/>
    <w:rsid w:val="00E25978"/>
    <w:rsid w:val="00E25FC2"/>
    <w:rsid w:val="00E26164"/>
    <w:rsid w:val="00E26F8E"/>
    <w:rsid w:val="00E277A3"/>
    <w:rsid w:val="00E27B58"/>
    <w:rsid w:val="00E30525"/>
    <w:rsid w:val="00E3062B"/>
    <w:rsid w:val="00E30987"/>
    <w:rsid w:val="00E30C58"/>
    <w:rsid w:val="00E30C80"/>
    <w:rsid w:val="00E30CE6"/>
    <w:rsid w:val="00E30D61"/>
    <w:rsid w:val="00E30DBA"/>
    <w:rsid w:val="00E31022"/>
    <w:rsid w:val="00E312BD"/>
    <w:rsid w:val="00E312DF"/>
    <w:rsid w:val="00E3186D"/>
    <w:rsid w:val="00E3189A"/>
    <w:rsid w:val="00E31F5D"/>
    <w:rsid w:val="00E31F81"/>
    <w:rsid w:val="00E31F92"/>
    <w:rsid w:val="00E320BA"/>
    <w:rsid w:val="00E32170"/>
    <w:rsid w:val="00E323DA"/>
    <w:rsid w:val="00E33881"/>
    <w:rsid w:val="00E33A7A"/>
    <w:rsid w:val="00E33CD0"/>
    <w:rsid w:val="00E33D39"/>
    <w:rsid w:val="00E33E5D"/>
    <w:rsid w:val="00E34074"/>
    <w:rsid w:val="00E34240"/>
    <w:rsid w:val="00E34E4D"/>
    <w:rsid w:val="00E35571"/>
    <w:rsid w:val="00E356EB"/>
    <w:rsid w:val="00E35CD4"/>
    <w:rsid w:val="00E35DB9"/>
    <w:rsid w:val="00E362A8"/>
    <w:rsid w:val="00E36439"/>
    <w:rsid w:val="00E365B2"/>
    <w:rsid w:val="00E3662C"/>
    <w:rsid w:val="00E36A5F"/>
    <w:rsid w:val="00E371C3"/>
    <w:rsid w:val="00E37569"/>
    <w:rsid w:val="00E40C7E"/>
    <w:rsid w:val="00E40CCE"/>
    <w:rsid w:val="00E40D91"/>
    <w:rsid w:val="00E40F4D"/>
    <w:rsid w:val="00E41146"/>
    <w:rsid w:val="00E417BD"/>
    <w:rsid w:val="00E417F3"/>
    <w:rsid w:val="00E41E64"/>
    <w:rsid w:val="00E42521"/>
    <w:rsid w:val="00E42921"/>
    <w:rsid w:val="00E42CD0"/>
    <w:rsid w:val="00E42EB5"/>
    <w:rsid w:val="00E42FF3"/>
    <w:rsid w:val="00E4315E"/>
    <w:rsid w:val="00E43172"/>
    <w:rsid w:val="00E4325C"/>
    <w:rsid w:val="00E43A44"/>
    <w:rsid w:val="00E43A7C"/>
    <w:rsid w:val="00E43E31"/>
    <w:rsid w:val="00E44576"/>
    <w:rsid w:val="00E448CA"/>
    <w:rsid w:val="00E44B61"/>
    <w:rsid w:val="00E44C39"/>
    <w:rsid w:val="00E44F81"/>
    <w:rsid w:val="00E45338"/>
    <w:rsid w:val="00E45647"/>
    <w:rsid w:val="00E4592F"/>
    <w:rsid w:val="00E45C04"/>
    <w:rsid w:val="00E46688"/>
    <w:rsid w:val="00E468E7"/>
    <w:rsid w:val="00E46BB4"/>
    <w:rsid w:val="00E4709B"/>
    <w:rsid w:val="00E47476"/>
    <w:rsid w:val="00E4756D"/>
    <w:rsid w:val="00E476FA"/>
    <w:rsid w:val="00E47733"/>
    <w:rsid w:val="00E478BF"/>
    <w:rsid w:val="00E479BA"/>
    <w:rsid w:val="00E50D89"/>
    <w:rsid w:val="00E5155C"/>
    <w:rsid w:val="00E51B89"/>
    <w:rsid w:val="00E527CA"/>
    <w:rsid w:val="00E53026"/>
    <w:rsid w:val="00E531C7"/>
    <w:rsid w:val="00E532FD"/>
    <w:rsid w:val="00E53B22"/>
    <w:rsid w:val="00E53B2A"/>
    <w:rsid w:val="00E53D09"/>
    <w:rsid w:val="00E5436C"/>
    <w:rsid w:val="00E54389"/>
    <w:rsid w:val="00E54895"/>
    <w:rsid w:val="00E54C3C"/>
    <w:rsid w:val="00E55158"/>
    <w:rsid w:val="00E55361"/>
    <w:rsid w:val="00E553BF"/>
    <w:rsid w:val="00E5551B"/>
    <w:rsid w:val="00E5551E"/>
    <w:rsid w:val="00E555C5"/>
    <w:rsid w:val="00E56527"/>
    <w:rsid w:val="00E5667A"/>
    <w:rsid w:val="00E56B69"/>
    <w:rsid w:val="00E56C34"/>
    <w:rsid w:val="00E57B67"/>
    <w:rsid w:val="00E6008E"/>
    <w:rsid w:val="00E6036A"/>
    <w:rsid w:val="00E618CC"/>
    <w:rsid w:val="00E61D7C"/>
    <w:rsid w:val="00E61E17"/>
    <w:rsid w:val="00E6225A"/>
    <w:rsid w:val="00E623B2"/>
    <w:rsid w:val="00E63185"/>
    <w:rsid w:val="00E63267"/>
    <w:rsid w:val="00E63518"/>
    <w:rsid w:val="00E6366E"/>
    <w:rsid w:val="00E63F52"/>
    <w:rsid w:val="00E644DC"/>
    <w:rsid w:val="00E64B35"/>
    <w:rsid w:val="00E64E91"/>
    <w:rsid w:val="00E64F98"/>
    <w:rsid w:val="00E66012"/>
    <w:rsid w:val="00E660A6"/>
    <w:rsid w:val="00E668B5"/>
    <w:rsid w:val="00E66DA4"/>
    <w:rsid w:val="00E6742C"/>
    <w:rsid w:val="00E67A75"/>
    <w:rsid w:val="00E7082A"/>
    <w:rsid w:val="00E709B1"/>
    <w:rsid w:val="00E71157"/>
    <w:rsid w:val="00E7126D"/>
    <w:rsid w:val="00E71433"/>
    <w:rsid w:val="00E7149F"/>
    <w:rsid w:val="00E714E3"/>
    <w:rsid w:val="00E71564"/>
    <w:rsid w:val="00E7175D"/>
    <w:rsid w:val="00E71937"/>
    <w:rsid w:val="00E719B6"/>
    <w:rsid w:val="00E72173"/>
    <w:rsid w:val="00E721EE"/>
    <w:rsid w:val="00E722F0"/>
    <w:rsid w:val="00E732A9"/>
    <w:rsid w:val="00E734FB"/>
    <w:rsid w:val="00E73715"/>
    <w:rsid w:val="00E73C4D"/>
    <w:rsid w:val="00E73D7B"/>
    <w:rsid w:val="00E73ED0"/>
    <w:rsid w:val="00E74482"/>
    <w:rsid w:val="00E7458B"/>
    <w:rsid w:val="00E7459D"/>
    <w:rsid w:val="00E74CD9"/>
    <w:rsid w:val="00E75C6D"/>
    <w:rsid w:val="00E75F90"/>
    <w:rsid w:val="00E766D4"/>
    <w:rsid w:val="00E76A77"/>
    <w:rsid w:val="00E76E93"/>
    <w:rsid w:val="00E77245"/>
    <w:rsid w:val="00E77AB6"/>
    <w:rsid w:val="00E80050"/>
    <w:rsid w:val="00E8019B"/>
    <w:rsid w:val="00E80BAC"/>
    <w:rsid w:val="00E80E33"/>
    <w:rsid w:val="00E812CB"/>
    <w:rsid w:val="00E81625"/>
    <w:rsid w:val="00E819BF"/>
    <w:rsid w:val="00E8213B"/>
    <w:rsid w:val="00E82312"/>
    <w:rsid w:val="00E828FA"/>
    <w:rsid w:val="00E82A10"/>
    <w:rsid w:val="00E82CC6"/>
    <w:rsid w:val="00E82EBC"/>
    <w:rsid w:val="00E83244"/>
    <w:rsid w:val="00E8333D"/>
    <w:rsid w:val="00E83EA4"/>
    <w:rsid w:val="00E83F37"/>
    <w:rsid w:val="00E8454F"/>
    <w:rsid w:val="00E84D0A"/>
    <w:rsid w:val="00E85021"/>
    <w:rsid w:val="00E85A66"/>
    <w:rsid w:val="00E862CF"/>
    <w:rsid w:val="00E865A1"/>
    <w:rsid w:val="00E869FD"/>
    <w:rsid w:val="00E874BB"/>
    <w:rsid w:val="00E87772"/>
    <w:rsid w:val="00E87DA7"/>
    <w:rsid w:val="00E87F60"/>
    <w:rsid w:val="00E90A1C"/>
    <w:rsid w:val="00E91273"/>
    <w:rsid w:val="00E91B6B"/>
    <w:rsid w:val="00E91D67"/>
    <w:rsid w:val="00E923A5"/>
    <w:rsid w:val="00E924CD"/>
    <w:rsid w:val="00E925FE"/>
    <w:rsid w:val="00E9370B"/>
    <w:rsid w:val="00E94F15"/>
    <w:rsid w:val="00E95632"/>
    <w:rsid w:val="00E95CE2"/>
    <w:rsid w:val="00E963EE"/>
    <w:rsid w:val="00E96D9E"/>
    <w:rsid w:val="00E976DC"/>
    <w:rsid w:val="00EA0205"/>
    <w:rsid w:val="00EA0321"/>
    <w:rsid w:val="00EA080F"/>
    <w:rsid w:val="00EA08DD"/>
    <w:rsid w:val="00EA09D9"/>
    <w:rsid w:val="00EA0AD3"/>
    <w:rsid w:val="00EA0AF1"/>
    <w:rsid w:val="00EA0DE5"/>
    <w:rsid w:val="00EA0F6C"/>
    <w:rsid w:val="00EA0FA0"/>
    <w:rsid w:val="00EA1376"/>
    <w:rsid w:val="00EA14C4"/>
    <w:rsid w:val="00EA1F6E"/>
    <w:rsid w:val="00EA21C5"/>
    <w:rsid w:val="00EA2390"/>
    <w:rsid w:val="00EA24F8"/>
    <w:rsid w:val="00EA2963"/>
    <w:rsid w:val="00EA2E71"/>
    <w:rsid w:val="00EA3522"/>
    <w:rsid w:val="00EA375D"/>
    <w:rsid w:val="00EA4415"/>
    <w:rsid w:val="00EA4645"/>
    <w:rsid w:val="00EA47AC"/>
    <w:rsid w:val="00EA49F3"/>
    <w:rsid w:val="00EA4AC2"/>
    <w:rsid w:val="00EA4C33"/>
    <w:rsid w:val="00EA5122"/>
    <w:rsid w:val="00EA5176"/>
    <w:rsid w:val="00EA5255"/>
    <w:rsid w:val="00EA5394"/>
    <w:rsid w:val="00EA53FB"/>
    <w:rsid w:val="00EA5598"/>
    <w:rsid w:val="00EA55A1"/>
    <w:rsid w:val="00EA5630"/>
    <w:rsid w:val="00EA5A29"/>
    <w:rsid w:val="00EA68D2"/>
    <w:rsid w:val="00EA6964"/>
    <w:rsid w:val="00EA6CFA"/>
    <w:rsid w:val="00EA7241"/>
    <w:rsid w:val="00EA762F"/>
    <w:rsid w:val="00EA7E94"/>
    <w:rsid w:val="00EB028D"/>
    <w:rsid w:val="00EB0454"/>
    <w:rsid w:val="00EB05D0"/>
    <w:rsid w:val="00EB07B7"/>
    <w:rsid w:val="00EB0911"/>
    <w:rsid w:val="00EB0AEB"/>
    <w:rsid w:val="00EB0D54"/>
    <w:rsid w:val="00EB1764"/>
    <w:rsid w:val="00EB1A4A"/>
    <w:rsid w:val="00EB2312"/>
    <w:rsid w:val="00EB23E9"/>
    <w:rsid w:val="00EB25D2"/>
    <w:rsid w:val="00EB2639"/>
    <w:rsid w:val="00EB271E"/>
    <w:rsid w:val="00EB310E"/>
    <w:rsid w:val="00EB3A2B"/>
    <w:rsid w:val="00EB3ECE"/>
    <w:rsid w:val="00EB3F08"/>
    <w:rsid w:val="00EB4356"/>
    <w:rsid w:val="00EB443C"/>
    <w:rsid w:val="00EB476B"/>
    <w:rsid w:val="00EB4B88"/>
    <w:rsid w:val="00EB4BDC"/>
    <w:rsid w:val="00EB4D60"/>
    <w:rsid w:val="00EB4FC0"/>
    <w:rsid w:val="00EB5D0D"/>
    <w:rsid w:val="00EB5D2C"/>
    <w:rsid w:val="00EB5F24"/>
    <w:rsid w:val="00EB6E3B"/>
    <w:rsid w:val="00EB6E46"/>
    <w:rsid w:val="00EB6FDB"/>
    <w:rsid w:val="00EB77BD"/>
    <w:rsid w:val="00EC0A6B"/>
    <w:rsid w:val="00EC108C"/>
    <w:rsid w:val="00EC1200"/>
    <w:rsid w:val="00EC16FB"/>
    <w:rsid w:val="00EC199F"/>
    <w:rsid w:val="00EC2B73"/>
    <w:rsid w:val="00EC2D31"/>
    <w:rsid w:val="00EC2EB5"/>
    <w:rsid w:val="00EC31E9"/>
    <w:rsid w:val="00EC3229"/>
    <w:rsid w:val="00EC324C"/>
    <w:rsid w:val="00EC32ED"/>
    <w:rsid w:val="00EC382D"/>
    <w:rsid w:val="00EC3932"/>
    <w:rsid w:val="00EC3BC5"/>
    <w:rsid w:val="00EC3C45"/>
    <w:rsid w:val="00EC3C56"/>
    <w:rsid w:val="00EC3DB8"/>
    <w:rsid w:val="00EC3FB8"/>
    <w:rsid w:val="00EC46C1"/>
    <w:rsid w:val="00EC4990"/>
    <w:rsid w:val="00EC4AFC"/>
    <w:rsid w:val="00EC4D08"/>
    <w:rsid w:val="00EC52C3"/>
    <w:rsid w:val="00EC52DA"/>
    <w:rsid w:val="00EC726D"/>
    <w:rsid w:val="00EC74AD"/>
    <w:rsid w:val="00EC7837"/>
    <w:rsid w:val="00EC7CFE"/>
    <w:rsid w:val="00EC7E12"/>
    <w:rsid w:val="00EC7FDA"/>
    <w:rsid w:val="00ED0588"/>
    <w:rsid w:val="00ED0683"/>
    <w:rsid w:val="00ED081E"/>
    <w:rsid w:val="00ED0AAA"/>
    <w:rsid w:val="00ED17B8"/>
    <w:rsid w:val="00ED17E9"/>
    <w:rsid w:val="00ED1A95"/>
    <w:rsid w:val="00ED1FE8"/>
    <w:rsid w:val="00ED21B7"/>
    <w:rsid w:val="00ED29F0"/>
    <w:rsid w:val="00ED2B38"/>
    <w:rsid w:val="00ED3353"/>
    <w:rsid w:val="00ED382B"/>
    <w:rsid w:val="00ED39FD"/>
    <w:rsid w:val="00ED3CF0"/>
    <w:rsid w:val="00ED3EB0"/>
    <w:rsid w:val="00ED425D"/>
    <w:rsid w:val="00ED43EC"/>
    <w:rsid w:val="00ED5042"/>
    <w:rsid w:val="00ED510A"/>
    <w:rsid w:val="00ED52FD"/>
    <w:rsid w:val="00ED547D"/>
    <w:rsid w:val="00ED560C"/>
    <w:rsid w:val="00ED604C"/>
    <w:rsid w:val="00ED61DB"/>
    <w:rsid w:val="00ED64CC"/>
    <w:rsid w:val="00ED6B72"/>
    <w:rsid w:val="00ED6BF7"/>
    <w:rsid w:val="00ED6D72"/>
    <w:rsid w:val="00ED7183"/>
    <w:rsid w:val="00ED771F"/>
    <w:rsid w:val="00ED778F"/>
    <w:rsid w:val="00ED7D7C"/>
    <w:rsid w:val="00ED7E1C"/>
    <w:rsid w:val="00ED7F0B"/>
    <w:rsid w:val="00EE04C0"/>
    <w:rsid w:val="00EE080C"/>
    <w:rsid w:val="00EE0AC3"/>
    <w:rsid w:val="00EE0EE8"/>
    <w:rsid w:val="00EE1563"/>
    <w:rsid w:val="00EE1657"/>
    <w:rsid w:val="00EE1994"/>
    <w:rsid w:val="00EE1A09"/>
    <w:rsid w:val="00EE20A8"/>
    <w:rsid w:val="00EE2396"/>
    <w:rsid w:val="00EE2C26"/>
    <w:rsid w:val="00EE32D3"/>
    <w:rsid w:val="00EE3536"/>
    <w:rsid w:val="00EE3609"/>
    <w:rsid w:val="00EE3971"/>
    <w:rsid w:val="00EE494E"/>
    <w:rsid w:val="00EE51A4"/>
    <w:rsid w:val="00EE5A4D"/>
    <w:rsid w:val="00EE5D09"/>
    <w:rsid w:val="00EE6083"/>
    <w:rsid w:val="00EE6726"/>
    <w:rsid w:val="00EE6864"/>
    <w:rsid w:val="00EE6CE1"/>
    <w:rsid w:val="00EE6CF7"/>
    <w:rsid w:val="00EE6DCB"/>
    <w:rsid w:val="00EE6EF8"/>
    <w:rsid w:val="00EE78AA"/>
    <w:rsid w:val="00EE78E4"/>
    <w:rsid w:val="00EF0AE7"/>
    <w:rsid w:val="00EF0FFB"/>
    <w:rsid w:val="00EF220B"/>
    <w:rsid w:val="00EF25D9"/>
    <w:rsid w:val="00EF31AD"/>
    <w:rsid w:val="00EF35C5"/>
    <w:rsid w:val="00EF3936"/>
    <w:rsid w:val="00EF3A13"/>
    <w:rsid w:val="00EF3DBE"/>
    <w:rsid w:val="00EF3E56"/>
    <w:rsid w:val="00EF41B5"/>
    <w:rsid w:val="00EF42AE"/>
    <w:rsid w:val="00EF44D4"/>
    <w:rsid w:val="00EF4D46"/>
    <w:rsid w:val="00EF52F0"/>
    <w:rsid w:val="00EF5351"/>
    <w:rsid w:val="00EF5EC4"/>
    <w:rsid w:val="00EF60BE"/>
    <w:rsid w:val="00EF6AF0"/>
    <w:rsid w:val="00EF6D8D"/>
    <w:rsid w:val="00EF755F"/>
    <w:rsid w:val="00EF7727"/>
    <w:rsid w:val="00EF7AC3"/>
    <w:rsid w:val="00F002E0"/>
    <w:rsid w:val="00F01F67"/>
    <w:rsid w:val="00F01FEB"/>
    <w:rsid w:val="00F01FF5"/>
    <w:rsid w:val="00F02242"/>
    <w:rsid w:val="00F02764"/>
    <w:rsid w:val="00F02843"/>
    <w:rsid w:val="00F028BF"/>
    <w:rsid w:val="00F033A7"/>
    <w:rsid w:val="00F033DD"/>
    <w:rsid w:val="00F037AB"/>
    <w:rsid w:val="00F03AF5"/>
    <w:rsid w:val="00F03CC1"/>
    <w:rsid w:val="00F03D73"/>
    <w:rsid w:val="00F03D91"/>
    <w:rsid w:val="00F04244"/>
    <w:rsid w:val="00F048FB"/>
    <w:rsid w:val="00F0500D"/>
    <w:rsid w:val="00F05F44"/>
    <w:rsid w:val="00F06438"/>
    <w:rsid w:val="00F06485"/>
    <w:rsid w:val="00F06900"/>
    <w:rsid w:val="00F06D9B"/>
    <w:rsid w:val="00F07192"/>
    <w:rsid w:val="00F072AD"/>
    <w:rsid w:val="00F07470"/>
    <w:rsid w:val="00F07EED"/>
    <w:rsid w:val="00F07F97"/>
    <w:rsid w:val="00F07FAB"/>
    <w:rsid w:val="00F106A0"/>
    <w:rsid w:val="00F106E1"/>
    <w:rsid w:val="00F11082"/>
    <w:rsid w:val="00F11451"/>
    <w:rsid w:val="00F11A82"/>
    <w:rsid w:val="00F1293D"/>
    <w:rsid w:val="00F129E8"/>
    <w:rsid w:val="00F12A08"/>
    <w:rsid w:val="00F12D20"/>
    <w:rsid w:val="00F130CF"/>
    <w:rsid w:val="00F13B85"/>
    <w:rsid w:val="00F13BC4"/>
    <w:rsid w:val="00F13DFA"/>
    <w:rsid w:val="00F13F3A"/>
    <w:rsid w:val="00F155EE"/>
    <w:rsid w:val="00F164DC"/>
    <w:rsid w:val="00F1676C"/>
    <w:rsid w:val="00F16851"/>
    <w:rsid w:val="00F168CC"/>
    <w:rsid w:val="00F16B31"/>
    <w:rsid w:val="00F17180"/>
    <w:rsid w:val="00F17524"/>
    <w:rsid w:val="00F17835"/>
    <w:rsid w:val="00F17F3C"/>
    <w:rsid w:val="00F205CC"/>
    <w:rsid w:val="00F20615"/>
    <w:rsid w:val="00F20644"/>
    <w:rsid w:val="00F207B9"/>
    <w:rsid w:val="00F21A28"/>
    <w:rsid w:val="00F2213D"/>
    <w:rsid w:val="00F22506"/>
    <w:rsid w:val="00F22D7C"/>
    <w:rsid w:val="00F22E1B"/>
    <w:rsid w:val="00F233AF"/>
    <w:rsid w:val="00F234A3"/>
    <w:rsid w:val="00F23D9B"/>
    <w:rsid w:val="00F24069"/>
    <w:rsid w:val="00F24447"/>
    <w:rsid w:val="00F24F2E"/>
    <w:rsid w:val="00F25124"/>
    <w:rsid w:val="00F2528E"/>
    <w:rsid w:val="00F25413"/>
    <w:rsid w:val="00F25F80"/>
    <w:rsid w:val="00F26939"/>
    <w:rsid w:val="00F26964"/>
    <w:rsid w:val="00F26982"/>
    <w:rsid w:val="00F269AB"/>
    <w:rsid w:val="00F27233"/>
    <w:rsid w:val="00F27436"/>
    <w:rsid w:val="00F300FA"/>
    <w:rsid w:val="00F3054B"/>
    <w:rsid w:val="00F30996"/>
    <w:rsid w:val="00F30C79"/>
    <w:rsid w:val="00F30F7A"/>
    <w:rsid w:val="00F30FC8"/>
    <w:rsid w:val="00F31B69"/>
    <w:rsid w:val="00F31C99"/>
    <w:rsid w:val="00F31FD9"/>
    <w:rsid w:val="00F320C7"/>
    <w:rsid w:val="00F32817"/>
    <w:rsid w:val="00F32E08"/>
    <w:rsid w:val="00F332B9"/>
    <w:rsid w:val="00F3348B"/>
    <w:rsid w:val="00F35701"/>
    <w:rsid w:val="00F35990"/>
    <w:rsid w:val="00F35A5A"/>
    <w:rsid w:val="00F35C4C"/>
    <w:rsid w:val="00F35F42"/>
    <w:rsid w:val="00F3621D"/>
    <w:rsid w:val="00F36623"/>
    <w:rsid w:val="00F37DA7"/>
    <w:rsid w:val="00F40CF8"/>
    <w:rsid w:val="00F40E8D"/>
    <w:rsid w:val="00F41040"/>
    <w:rsid w:val="00F4124D"/>
    <w:rsid w:val="00F415B2"/>
    <w:rsid w:val="00F416F3"/>
    <w:rsid w:val="00F419EE"/>
    <w:rsid w:val="00F42ACD"/>
    <w:rsid w:val="00F42C44"/>
    <w:rsid w:val="00F42CF5"/>
    <w:rsid w:val="00F4370E"/>
    <w:rsid w:val="00F44092"/>
    <w:rsid w:val="00F44B9F"/>
    <w:rsid w:val="00F44DE0"/>
    <w:rsid w:val="00F45740"/>
    <w:rsid w:val="00F4626E"/>
    <w:rsid w:val="00F4683C"/>
    <w:rsid w:val="00F469C7"/>
    <w:rsid w:val="00F46AD9"/>
    <w:rsid w:val="00F478D3"/>
    <w:rsid w:val="00F479AA"/>
    <w:rsid w:val="00F479F4"/>
    <w:rsid w:val="00F47D47"/>
    <w:rsid w:val="00F47DFC"/>
    <w:rsid w:val="00F47E25"/>
    <w:rsid w:val="00F47E84"/>
    <w:rsid w:val="00F5012F"/>
    <w:rsid w:val="00F50183"/>
    <w:rsid w:val="00F504F0"/>
    <w:rsid w:val="00F507E3"/>
    <w:rsid w:val="00F50836"/>
    <w:rsid w:val="00F509AC"/>
    <w:rsid w:val="00F509F6"/>
    <w:rsid w:val="00F50F36"/>
    <w:rsid w:val="00F51B18"/>
    <w:rsid w:val="00F51C41"/>
    <w:rsid w:val="00F5279D"/>
    <w:rsid w:val="00F52B2B"/>
    <w:rsid w:val="00F52F2C"/>
    <w:rsid w:val="00F53E93"/>
    <w:rsid w:val="00F54218"/>
    <w:rsid w:val="00F5424C"/>
    <w:rsid w:val="00F54661"/>
    <w:rsid w:val="00F547D8"/>
    <w:rsid w:val="00F54F53"/>
    <w:rsid w:val="00F559E6"/>
    <w:rsid w:val="00F55CC7"/>
    <w:rsid w:val="00F55D58"/>
    <w:rsid w:val="00F56E2B"/>
    <w:rsid w:val="00F57983"/>
    <w:rsid w:val="00F60090"/>
    <w:rsid w:val="00F6033E"/>
    <w:rsid w:val="00F60758"/>
    <w:rsid w:val="00F607A9"/>
    <w:rsid w:val="00F607E0"/>
    <w:rsid w:val="00F60844"/>
    <w:rsid w:val="00F60D04"/>
    <w:rsid w:val="00F60FB2"/>
    <w:rsid w:val="00F60FC7"/>
    <w:rsid w:val="00F6129C"/>
    <w:rsid w:val="00F619EA"/>
    <w:rsid w:val="00F61BDE"/>
    <w:rsid w:val="00F61C25"/>
    <w:rsid w:val="00F61C63"/>
    <w:rsid w:val="00F6229F"/>
    <w:rsid w:val="00F62C05"/>
    <w:rsid w:val="00F630B6"/>
    <w:rsid w:val="00F6323B"/>
    <w:rsid w:val="00F63E01"/>
    <w:rsid w:val="00F63EE6"/>
    <w:rsid w:val="00F64224"/>
    <w:rsid w:val="00F644DE"/>
    <w:rsid w:val="00F6483F"/>
    <w:rsid w:val="00F64C1D"/>
    <w:rsid w:val="00F64C28"/>
    <w:rsid w:val="00F652C8"/>
    <w:rsid w:val="00F6599E"/>
    <w:rsid w:val="00F65A36"/>
    <w:rsid w:val="00F65E4D"/>
    <w:rsid w:val="00F6601C"/>
    <w:rsid w:val="00F661F2"/>
    <w:rsid w:val="00F6764E"/>
    <w:rsid w:val="00F67A9F"/>
    <w:rsid w:val="00F70841"/>
    <w:rsid w:val="00F7102F"/>
    <w:rsid w:val="00F71516"/>
    <w:rsid w:val="00F716D8"/>
    <w:rsid w:val="00F71943"/>
    <w:rsid w:val="00F720F4"/>
    <w:rsid w:val="00F72B97"/>
    <w:rsid w:val="00F72C9B"/>
    <w:rsid w:val="00F73832"/>
    <w:rsid w:val="00F74410"/>
    <w:rsid w:val="00F75709"/>
    <w:rsid w:val="00F75F01"/>
    <w:rsid w:val="00F764A1"/>
    <w:rsid w:val="00F76882"/>
    <w:rsid w:val="00F76B47"/>
    <w:rsid w:val="00F7759D"/>
    <w:rsid w:val="00F801CB"/>
    <w:rsid w:val="00F80704"/>
    <w:rsid w:val="00F8077A"/>
    <w:rsid w:val="00F80AC3"/>
    <w:rsid w:val="00F80E23"/>
    <w:rsid w:val="00F80E30"/>
    <w:rsid w:val="00F81118"/>
    <w:rsid w:val="00F81BEF"/>
    <w:rsid w:val="00F81F50"/>
    <w:rsid w:val="00F82687"/>
    <w:rsid w:val="00F82CE1"/>
    <w:rsid w:val="00F82F46"/>
    <w:rsid w:val="00F83E5F"/>
    <w:rsid w:val="00F8449D"/>
    <w:rsid w:val="00F84AD6"/>
    <w:rsid w:val="00F84D1A"/>
    <w:rsid w:val="00F8581B"/>
    <w:rsid w:val="00F85A49"/>
    <w:rsid w:val="00F86442"/>
    <w:rsid w:val="00F86648"/>
    <w:rsid w:val="00F868CE"/>
    <w:rsid w:val="00F86C45"/>
    <w:rsid w:val="00F87224"/>
    <w:rsid w:val="00F87342"/>
    <w:rsid w:val="00F87367"/>
    <w:rsid w:val="00F874A7"/>
    <w:rsid w:val="00F8776A"/>
    <w:rsid w:val="00F879CC"/>
    <w:rsid w:val="00F87B0C"/>
    <w:rsid w:val="00F87CDF"/>
    <w:rsid w:val="00F901D7"/>
    <w:rsid w:val="00F906E4"/>
    <w:rsid w:val="00F90E2D"/>
    <w:rsid w:val="00F91FF5"/>
    <w:rsid w:val="00F92336"/>
    <w:rsid w:val="00F92435"/>
    <w:rsid w:val="00F925DB"/>
    <w:rsid w:val="00F926A7"/>
    <w:rsid w:val="00F9295A"/>
    <w:rsid w:val="00F93A54"/>
    <w:rsid w:val="00F93AC7"/>
    <w:rsid w:val="00F93FB4"/>
    <w:rsid w:val="00F93FF4"/>
    <w:rsid w:val="00F943C2"/>
    <w:rsid w:val="00F94468"/>
    <w:rsid w:val="00F947CE"/>
    <w:rsid w:val="00F94A3B"/>
    <w:rsid w:val="00F94BED"/>
    <w:rsid w:val="00F951F3"/>
    <w:rsid w:val="00F95A16"/>
    <w:rsid w:val="00F95DB3"/>
    <w:rsid w:val="00F95EAF"/>
    <w:rsid w:val="00F9604F"/>
    <w:rsid w:val="00F965FD"/>
    <w:rsid w:val="00F9673B"/>
    <w:rsid w:val="00F969B5"/>
    <w:rsid w:val="00FA01FC"/>
    <w:rsid w:val="00FA047D"/>
    <w:rsid w:val="00FA0CFF"/>
    <w:rsid w:val="00FA1194"/>
    <w:rsid w:val="00FA155A"/>
    <w:rsid w:val="00FA19ED"/>
    <w:rsid w:val="00FA1C71"/>
    <w:rsid w:val="00FA2281"/>
    <w:rsid w:val="00FA3351"/>
    <w:rsid w:val="00FA3695"/>
    <w:rsid w:val="00FA3B44"/>
    <w:rsid w:val="00FA3CA2"/>
    <w:rsid w:val="00FA50E7"/>
    <w:rsid w:val="00FA570C"/>
    <w:rsid w:val="00FA6245"/>
    <w:rsid w:val="00FA66D0"/>
    <w:rsid w:val="00FA6A4A"/>
    <w:rsid w:val="00FA7943"/>
    <w:rsid w:val="00FA7C3C"/>
    <w:rsid w:val="00FB064A"/>
    <w:rsid w:val="00FB071F"/>
    <w:rsid w:val="00FB0ABA"/>
    <w:rsid w:val="00FB1653"/>
    <w:rsid w:val="00FB1C93"/>
    <w:rsid w:val="00FB1F5A"/>
    <w:rsid w:val="00FB214A"/>
    <w:rsid w:val="00FB215B"/>
    <w:rsid w:val="00FB247A"/>
    <w:rsid w:val="00FB2996"/>
    <w:rsid w:val="00FB2E09"/>
    <w:rsid w:val="00FB2EB9"/>
    <w:rsid w:val="00FB321B"/>
    <w:rsid w:val="00FB3A2E"/>
    <w:rsid w:val="00FB3E39"/>
    <w:rsid w:val="00FB3EF4"/>
    <w:rsid w:val="00FB4142"/>
    <w:rsid w:val="00FB450B"/>
    <w:rsid w:val="00FB4749"/>
    <w:rsid w:val="00FB4784"/>
    <w:rsid w:val="00FB47C8"/>
    <w:rsid w:val="00FB4ADE"/>
    <w:rsid w:val="00FB50F6"/>
    <w:rsid w:val="00FB559C"/>
    <w:rsid w:val="00FB5A61"/>
    <w:rsid w:val="00FB5D04"/>
    <w:rsid w:val="00FB64A6"/>
    <w:rsid w:val="00FB650F"/>
    <w:rsid w:val="00FB6F06"/>
    <w:rsid w:val="00FB75C6"/>
    <w:rsid w:val="00FB7D65"/>
    <w:rsid w:val="00FC04EE"/>
    <w:rsid w:val="00FC06F2"/>
    <w:rsid w:val="00FC07AB"/>
    <w:rsid w:val="00FC0FB0"/>
    <w:rsid w:val="00FC193B"/>
    <w:rsid w:val="00FC2AF5"/>
    <w:rsid w:val="00FC2BAC"/>
    <w:rsid w:val="00FC36A7"/>
    <w:rsid w:val="00FC3B5E"/>
    <w:rsid w:val="00FC4309"/>
    <w:rsid w:val="00FC4603"/>
    <w:rsid w:val="00FC46C0"/>
    <w:rsid w:val="00FC4A1A"/>
    <w:rsid w:val="00FC4E35"/>
    <w:rsid w:val="00FC4F87"/>
    <w:rsid w:val="00FC569F"/>
    <w:rsid w:val="00FC5818"/>
    <w:rsid w:val="00FC58F2"/>
    <w:rsid w:val="00FC59C9"/>
    <w:rsid w:val="00FC5C9F"/>
    <w:rsid w:val="00FC5D05"/>
    <w:rsid w:val="00FC5D78"/>
    <w:rsid w:val="00FC5E81"/>
    <w:rsid w:val="00FC626C"/>
    <w:rsid w:val="00FC6392"/>
    <w:rsid w:val="00FC674E"/>
    <w:rsid w:val="00FC7416"/>
    <w:rsid w:val="00FC764F"/>
    <w:rsid w:val="00FC7771"/>
    <w:rsid w:val="00FC791C"/>
    <w:rsid w:val="00FC7A97"/>
    <w:rsid w:val="00FD0108"/>
    <w:rsid w:val="00FD01C5"/>
    <w:rsid w:val="00FD026F"/>
    <w:rsid w:val="00FD0815"/>
    <w:rsid w:val="00FD0ABE"/>
    <w:rsid w:val="00FD12D1"/>
    <w:rsid w:val="00FD17E2"/>
    <w:rsid w:val="00FD19FE"/>
    <w:rsid w:val="00FD2523"/>
    <w:rsid w:val="00FD2D14"/>
    <w:rsid w:val="00FD2E04"/>
    <w:rsid w:val="00FD33FC"/>
    <w:rsid w:val="00FD3843"/>
    <w:rsid w:val="00FD452B"/>
    <w:rsid w:val="00FD48BA"/>
    <w:rsid w:val="00FD4ADE"/>
    <w:rsid w:val="00FD4D95"/>
    <w:rsid w:val="00FD52FC"/>
    <w:rsid w:val="00FD54A6"/>
    <w:rsid w:val="00FD59B2"/>
    <w:rsid w:val="00FD5D3A"/>
    <w:rsid w:val="00FD5F4A"/>
    <w:rsid w:val="00FD62D0"/>
    <w:rsid w:val="00FD69B3"/>
    <w:rsid w:val="00FD6CC6"/>
    <w:rsid w:val="00FD6E8B"/>
    <w:rsid w:val="00FD6FE0"/>
    <w:rsid w:val="00FD78B0"/>
    <w:rsid w:val="00FD7A32"/>
    <w:rsid w:val="00FD7DD4"/>
    <w:rsid w:val="00FE012B"/>
    <w:rsid w:val="00FE02B5"/>
    <w:rsid w:val="00FE066C"/>
    <w:rsid w:val="00FE0A69"/>
    <w:rsid w:val="00FE0F0D"/>
    <w:rsid w:val="00FE0F29"/>
    <w:rsid w:val="00FE11E8"/>
    <w:rsid w:val="00FE1291"/>
    <w:rsid w:val="00FE1647"/>
    <w:rsid w:val="00FE16F5"/>
    <w:rsid w:val="00FE2788"/>
    <w:rsid w:val="00FE2A7B"/>
    <w:rsid w:val="00FE2AAE"/>
    <w:rsid w:val="00FE3408"/>
    <w:rsid w:val="00FE3517"/>
    <w:rsid w:val="00FE368E"/>
    <w:rsid w:val="00FE3CBE"/>
    <w:rsid w:val="00FE4427"/>
    <w:rsid w:val="00FE4A55"/>
    <w:rsid w:val="00FE4F7B"/>
    <w:rsid w:val="00FE5269"/>
    <w:rsid w:val="00FE5423"/>
    <w:rsid w:val="00FE554A"/>
    <w:rsid w:val="00FE571E"/>
    <w:rsid w:val="00FE590B"/>
    <w:rsid w:val="00FE5BCF"/>
    <w:rsid w:val="00FE5DFE"/>
    <w:rsid w:val="00FE5F43"/>
    <w:rsid w:val="00FE5FC3"/>
    <w:rsid w:val="00FE6961"/>
    <w:rsid w:val="00FE6A4F"/>
    <w:rsid w:val="00FE7E2B"/>
    <w:rsid w:val="00FF034E"/>
    <w:rsid w:val="00FF0494"/>
    <w:rsid w:val="00FF07D9"/>
    <w:rsid w:val="00FF0D90"/>
    <w:rsid w:val="00FF12DD"/>
    <w:rsid w:val="00FF14ED"/>
    <w:rsid w:val="00FF1561"/>
    <w:rsid w:val="00FF160E"/>
    <w:rsid w:val="00FF170B"/>
    <w:rsid w:val="00FF1EC7"/>
    <w:rsid w:val="00FF1FFD"/>
    <w:rsid w:val="00FF286D"/>
    <w:rsid w:val="00FF3598"/>
    <w:rsid w:val="00FF36B5"/>
    <w:rsid w:val="00FF3717"/>
    <w:rsid w:val="00FF38AD"/>
    <w:rsid w:val="00FF3E8F"/>
    <w:rsid w:val="00FF434F"/>
    <w:rsid w:val="00FF43AE"/>
    <w:rsid w:val="00FF43F8"/>
    <w:rsid w:val="00FF4970"/>
    <w:rsid w:val="00FF4E30"/>
    <w:rsid w:val="00FF4E5B"/>
    <w:rsid w:val="00FF5110"/>
    <w:rsid w:val="00FF5DA3"/>
    <w:rsid w:val="00FF6679"/>
    <w:rsid w:val="00FF6895"/>
    <w:rsid w:val="00FF6B3B"/>
    <w:rsid w:val="00FF6C98"/>
    <w:rsid w:val="00FF6CEE"/>
    <w:rsid w:val="00FF6E0F"/>
    <w:rsid w:val="00FF74CD"/>
    <w:rsid w:val="00FF75F3"/>
    <w:rsid w:val="00FF7E77"/>
    <w:rsid w:val="01AE6B29"/>
    <w:rsid w:val="01CF2A84"/>
    <w:rsid w:val="01DA679C"/>
    <w:rsid w:val="01E863B7"/>
    <w:rsid w:val="02FC1607"/>
    <w:rsid w:val="03B9358B"/>
    <w:rsid w:val="04EDA0FB"/>
    <w:rsid w:val="04F3DE33"/>
    <w:rsid w:val="04F74D40"/>
    <w:rsid w:val="057CAACB"/>
    <w:rsid w:val="05ACBFB0"/>
    <w:rsid w:val="068F8BC3"/>
    <w:rsid w:val="06979C92"/>
    <w:rsid w:val="06D19945"/>
    <w:rsid w:val="06FDD18D"/>
    <w:rsid w:val="07294670"/>
    <w:rsid w:val="08A39D7A"/>
    <w:rsid w:val="08BE64AF"/>
    <w:rsid w:val="0948A663"/>
    <w:rsid w:val="0A3E82B7"/>
    <w:rsid w:val="0B0E3CE4"/>
    <w:rsid w:val="0BC38E98"/>
    <w:rsid w:val="0CC715BD"/>
    <w:rsid w:val="0CF824E6"/>
    <w:rsid w:val="0D703CAA"/>
    <w:rsid w:val="0F8F3AAC"/>
    <w:rsid w:val="0FEE9116"/>
    <w:rsid w:val="116F4D6F"/>
    <w:rsid w:val="118707CA"/>
    <w:rsid w:val="11CC5DC9"/>
    <w:rsid w:val="11DCC865"/>
    <w:rsid w:val="120904A9"/>
    <w:rsid w:val="13F43290"/>
    <w:rsid w:val="1482439E"/>
    <w:rsid w:val="14E0ACFB"/>
    <w:rsid w:val="152B059B"/>
    <w:rsid w:val="15BA2137"/>
    <w:rsid w:val="16632699"/>
    <w:rsid w:val="16E7DB01"/>
    <w:rsid w:val="17226C4A"/>
    <w:rsid w:val="17725EF1"/>
    <w:rsid w:val="188EE2D2"/>
    <w:rsid w:val="18DA0E32"/>
    <w:rsid w:val="18E0F14D"/>
    <w:rsid w:val="18F2DDF7"/>
    <w:rsid w:val="192E9441"/>
    <w:rsid w:val="19E1AE0E"/>
    <w:rsid w:val="1A9003B6"/>
    <w:rsid w:val="1BE8FF41"/>
    <w:rsid w:val="1BFB1256"/>
    <w:rsid w:val="1CE78A86"/>
    <w:rsid w:val="1D191C0C"/>
    <w:rsid w:val="1D53DDF0"/>
    <w:rsid w:val="1D6982E0"/>
    <w:rsid w:val="1D7833F9"/>
    <w:rsid w:val="1E0AAD72"/>
    <w:rsid w:val="1E604E05"/>
    <w:rsid w:val="1E6C9BDB"/>
    <w:rsid w:val="1EB057FD"/>
    <w:rsid w:val="1F6E5DD0"/>
    <w:rsid w:val="1F70F835"/>
    <w:rsid w:val="1F89FE7B"/>
    <w:rsid w:val="1FD6948A"/>
    <w:rsid w:val="209C4091"/>
    <w:rsid w:val="21B4F93E"/>
    <w:rsid w:val="221A8A5A"/>
    <w:rsid w:val="22A0AFAC"/>
    <w:rsid w:val="232498C1"/>
    <w:rsid w:val="24B655BC"/>
    <w:rsid w:val="24BC1F4C"/>
    <w:rsid w:val="270BA37F"/>
    <w:rsid w:val="279ECB13"/>
    <w:rsid w:val="282B4B60"/>
    <w:rsid w:val="285B1DA2"/>
    <w:rsid w:val="286F515A"/>
    <w:rsid w:val="28B0302B"/>
    <w:rsid w:val="28B0E88D"/>
    <w:rsid w:val="28D73653"/>
    <w:rsid w:val="294D3FD6"/>
    <w:rsid w:val="2981EFE7"/>
    <w:rsid w:val="29FF603F"/>
    <w:rsid w:val="2AB24196"/>
    <w:rsid w:val="2B0FE94B"/>
    <w:rsid w:val="2B7D14E3"/>
    <w:rsid w:val="2C47723D"/>
    <w:rsid w:val="2C5BB0AA"/>
    <w:rsid w:val="2CD9B8BA"/>
    <w:rsid w:val="2CDD3F49"/>
    <w:rsid w:val="2CF8B36C"/>
    <w:rsid w:val="2D3D1451"/>
    <w:rsid w:val="2D4A2452"/>
    <w:rsid w:val="2DDDD811"/>
    <w:rsid w:val="2E005698"/>
    <w:rsid w:val="2EEBD269"/>
    <w:rsid w:val="2FC4BD3D"/>
    <w:rsid w:val="3048F411"/>
    <w:rsid w:val="30F0DF2C"/>
    <w:rsid w:val="311D4887"/>
    <w:rsid w:val="31A8E8AC"/>
    <w:rsid w:val="31C4BC69"/>
    <w:rsid w:val="3216A308"/>
    <w:rsid w:val="32C49B91"/>
    <w:rsid w:val="33880680"/>
    <w:rsid w:val="33BBC136"/>
    <w:rsid w:val="3593DA44"/>
    <w:rsid w:val="36E3ADFE"/>
    <w:rsid w:val="3764DBB1"/>
    <w:rsid w:val="3785E9E1"/>
    <w:rsid w:val="38429DC0"/>
    <w:rsid w:val="3888D420"/>
    <w:rsid w:val="3944C3EE"/>
    <w:rsid w:val="3958B1DA"/>
    <w:rsid w:val="39ADB6E9"/>
    <w:rsid w:val="39BD7BD3"/>
    <w:rsid w:val="3A1C8A34"/>
    <w:rsid w:val="3B537098"/>
    <w:rsid w:val="3B58E750"/>
    <w:rsid w:val="3B752307"/>
    <w:rsid w:val="3B7E36D1"/>
    <w:rsid w:val="3B97DCF2"/>
    <w:rsid w:val="3BF97273"/>
    <w:rsid w:val="3C7B2BC7"/>
    <w:rsid w:val="3CCDE98B"/>
    <w:rsid w:val="3CEC98B4"/>
    <w:rsid w:val="3CFDA58F"/>
    <w:rsid w:val="3D272429"/>
    <w:rsid w:val="3D2867E5"/>
    <w:rsid w:val="3D5F1C3B"/>
    <w:rsid w:val="3D823AD3"/>
    <w:rsid w:val="3EE0D546"/>
    <w:rsid w:val="3FD7B3C1"/>
    <w:rsid w:val="3FF5A605"/>
    <w:rsid w:val="40160261"/>
    <w:rsid w:val="40CE864A"/>
    <w:rsid w:val="416710DF"/>
    <w:rsid w:val="41A4372B"/>
    <w:rsid w:val="4200E13C"/>
    <w:rsid w:val="4215837E"/>
    <w:rsid w:val="4263EFF1"/>
    <w:rsid w:val="42D22E2B"/>
    <w:rsid w:val="432687A3"/>
    <w:rsid w:val="43FD1517"/>
    <w:rsid w:val="44B29112"/>
    <w:rsid w:val="44DCF272"/>
    <w:rsid w:val="452D414B"/>
    <w:rsid w:val="45D1AEBB"/>
    <w:rsid w:val="463091FD"/>
    <w:rsid w:val="465B72EF"/>
    <w:rsid w:val="46F8E5EE"/>
    <w:rsid w:val="47310FDC"/>
    <w:rsid w:val="4736FE3B"/>
    <w:rsid w:val="48A1FE93"/>
    <w:rsid w:val="4970F4D5"/>
    <w:rsid w:val="497F4CCA"/>
    <w:rsid w:val="4A3689CF"/>
    <w:rsid w:val="4B5508D0"/>
    <w:rsid w:val="4BA548F2"/>
    <w:rsid w:val="4D93950A"/>
    <w:rsid w:val="4E0067E9"/>
    <w:rsid w:val="4E4D0EAF"/>
    <w:rsid w:val="4F4B1AD7"/>
    <w:rsid w:val="4F57DB56"/>
    <w:rsid w:val="4F980A22"/>
    <w:rsid w:val="4FB42664"/>
    <w:rsid w:val="5002C6A2"/>
    <w:rsid w:val="5032BAD8"/>
    <w:rsid w:val="504EEBAD"/>
    <w:rsid w:val="506BB65A"/>
    <w:rsid w:val="509777B2"/>
    <w:rsid w:val="51150002"/>
    <w:rsid w:val="51ADB156"/>
    <w:rsid w:val="52DE50B2"/>
    <w:rsid w:val="52F1344E"/>
    <w:rsid w:val="5353E4A8"/>
    <w:rsid w:val="53674FAF"/>
    <w:rsid w:val="539D1E17"/>
    <w:rsid w:val="5610D41B"/>
    <w:rsid w:val="563BECE0"/>
    <w:rsid w:val="57C9266E"/>
    <w:rsid w:val="5892C175"/>
    <w:rsid w:val="58A14DAF"/>
    <w:rsid w:val="58D14803"/>
    <w:rsid w:val="59EFF3B6"/>
    <w:rsid w:val="5B7B3A6F"/>
    <w:rsid w:val="5CA0BA89"/>
    <w:rsid w:val="5CCDB429"/>
    <w:rsid w:val="5CF8EC83"/>
    <w:rsid w:val="5D442FCC"/>
    <w:rsid w:val="5E58F6EA"/>
    <w:rsid w:val="5E8C529B"/>
    <w:rsid w:val="5E968FD3"/>
    <w:rsid w:val="5F0548D4"/>
    <w:rsid w:val="5F7BF4FE"/>
    <w:rsid w:val="5FB68522"/>
    <w:rsid w:val="5FF009CE"/>
    <w:rsid w:val="619C2CF5"/>
    <w:rsid w:val="61FC3CE9"/>
    <w:rsid w:val="62551F3B"/>
    <w:rsid w:val="62F7D08D"/>
    <w:rsid w:val="63ECEFAF"/>
    <w:rsid w:val="64B08A15"/>
    <w:rsid w:val="66BB27AF"/>
    <w:rsid w:val="6751E28D"/>
    <w:rsid w:val="67B7F29A"/>
    <w:rsid w:val="67D463CE"/>
    <w:rsid w:val="67E9605E"/>
    <w:rsid w:val="69213860"/>
    <w:rsid w:val="6939D988"/>
    <w:rsid w:val="6966430C"/>
    <w:rsid w:val="6A2EDED7"/>
    <w:rsid w:val="6AD3D276"/>
    <w:rsid w:val="6B6BFC6D"/>
    <w:rsid w:val="6B7641B8"/>
    <w:rsid w:val="6B7B1D21"/>
    <w:rsid w:val="6C0699FB"/>
    <w:rsid w:val="6DAA18B8"/>
    <w:rsid w:val="6DB9C0D1"/>
    <w:rsid w:val="6FC7C6E9"/>
    <w:rsid w:val="6FFC020C"/>
    <w:rsid w:val="70118666"/>
    <w:rsid w:val="711360F1"/>
    <w:rsid w:val="7120A00C"/>
    <w:rsid w:val="724E1178"/>
    <w:rsid w:val="72519E9B"/>
    <w:rsid w:val="7322F0C1"/>
    <w:rsid w:val="7355F13B"/>
    <w:rsid w:val="73B7B511"/>
    <w:rsid w:val="73F17280"/>
    <w:rsid w:val="73F5CF10"/>
    <w:rsid w:val="75722CC9"/>
    <w:rsid w:val="760249C7"/>
    <w:rsid w:val="768318D5"/>
    <w:rsid w:val="76A7BF98"/>
    <w:rsid w:val="770457CA"/>
    <w:rsid w:val="7708EE4A"/>
    <w:rsid w:val="77278A46"/>
    <w:rsid w:val="773A36F4"/>
    <w:rsid w:val="7917F745"/>
    <w:rsid w:val="791A1312"/>
    <w:rsid w:val="792D08CB"/>
    <w:rsid w:val="795C1AFB"/>
    <w:rsid w:val="7A0634F3"/>
    <w:rsid w:val="7A530143"/>
    <w:rsid w:val="7B77AC19"/>
    <w:rsid w:val="7B9F2E31"/>
    <w:rsid w:val="7BAC3451"/>
    <w:rsid w:val="7BC1DB57"/>
    <w:rsid w:val="7C3FD323"/>
    <w:rsid w:val="7D4EC60A"/>
    <w:rsid w:val="7DD23DDA"/>
    <w:rsid w:val="7DD57948"/>
    <w:rsid w:val="7E500579"/>
    <w:rsid w:val="7E8CCD57"/>
    <w:rsid w:val="7EB04AF1"/>
    <w:rsid w:val="7FFE1E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F70F"/>
  <w15:chartTrackingRefBased/>
  <w15:docId w15:val="{884CC865-8200-405F-9E71-0AAAEE1E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DA5"/>
    <w:rPr>
      <w:rFonts w:ascii="Arial" w:hAnsi="Arial"/>
    </w:rPr>
  </w:style>
  <w:style w:type="paragraph" w:styleId="Heading1">
    <w:name w:val="heading 1"/>
    <w:basedOn w:val="Normal"/>
    <w:next w:val="Normal"/>
    <w:link w:val="Heading1Char"/>
    <w:autoRedefine/>
    <w:uiPriority w:val="9"/>
    <w:qFormat/>
    <w:rsid w:val="0025106C"/>
    <w:pPr>
      <w:keepNext/>
      <w:keepLines/>
      <w:spacing w:before="36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3F65DC"/>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247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06C"/>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3F65DC"/>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247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AA3"/>
    <w:rPr>
      <w:rFonts w:eastAsiaTheme="majorEastAsia" w:cstheme="majorBidi"/>
      <w:color w:val="272727" w:themeColor="text1" w:themeTint="D8"/>
    </w:rPr>
  </w:style>
  <w:style w:type="paragraph" w:styleId="Title">
    <w:name w:val="Title"/>
    <w:basedOn w:val="Normal"/>
    <w:next w:val="Normal"/>
    <w:link w:val="TitleChar"/>
    <w:uiPriority w:val="10"/>
    <w:qFormat/>
    <w:rsid w:val="00C2528A"/>
    <w:pPr>
      <w:spacing w:before="2600" w:after="480" w:line="240" w:lineRule="auto"/>
      <w:contextualSpacing/>
    </w:pPr>
    <w:rPr>
      <w:rFonts w:eastAsiaTheme="majorEastAsia" w:cstheme="majorBidi"/>
      <w:b/>
      <w:color w:val="0070C0"/>
      <w:spacing w:val="-10"/>
      <w:kern w:val="28"/>
      <w:sz w:val="40"/>
      <w:szCs w:val="56"/>
    </w:rPr>
  </w:style>
  <w:style w:type="character" w:customStyle="1" w:styleId="TitleChar">
    <w:name w:val="Title Char"/>
    <w:basedOn w:val="DefaultParagraphFont"/>
    <w:link w:val="Title"/>
    <w:uiPriority w:val="10"/>
    <w:rsid w:val="00C2528A"/>
    <w:rPr>
      <w:rFonts w:ascii="Arial" w:eastAsiaTheme="majorEastAsia" w:hAnsi="Arial" w:cstheme="majorBidi"/>
      <w:b/>
      <w:color w:val="0070C0"/>
      <w:spacing w:val="-10"/>
      <w:kern w:val="28"/>
      <w:sz w:val="40"/>
      <w:szCs w:val="56"/>
    </w:rPr>
  </w:style>
  <w:style w:type="paragraph" w:styleId="Subtitle">
    <w:name w:val="Subtitle"/>
    <w:basedOn w:val="Normal"/>
    <w:next w:val="Normal"/>
    <w:link w:val="SubtitleChar"/>
    <w:uiPriority w:val="11"/>
    <w:qFormat/>
    <w:rsid w:val="00812B38"/>
    <w:pPr>
      <w:numPr>
        <w:ilvl w:val="1"/>
      </w:numPr>
    </w:pPr>
    <w:rPr>
      <w:rFonts w:eastAsiaTheme="majorEastAsia" w:cstheme="majorBidi"/>
      <w:b/>
      <w:color w:val="0070C0"/>
      <w:sz w:val="32"/>
      <w:szCs w:val="28"/>
    </w:rPr>
  </w:style>
  <w:style w:type="character" w:customStyle="1" w:styleId="SubtitleChar">
    <w:name w:val="Subtitle Char"/>
    <w:basedOn w:val="DefaultParagraphFont"/>
    <w:link w:val="Subtitle"/>
    <w:uiPriority w:val="11"/>
    <w:rsid w:val="00812B38"/>
    <w:rPr>
      <w:rFonts w:ascii="Arial" w:eastAsiaTheme="majorEastAsia" w:hAnsi="Arial" w:cstheme="majorBidi"/>
      <w:b/>
      <w:color w:val="0070C0"/>
      <w:sz w:val="32"/>
      <w:szCs w:val="28"/>
    </w:rPr>
  </w:style>
  <w:style w:type="paragraph" w:styleId="Quote">
    <w:name w:val="Quote"/>
    <w:basedOn w:val="Normal"/>
    <w:next w:val="Normal"/>
    <w:link w:val="QuoteChar"/>
    <w:uiPriority w:val="29"/>
    <w:qFormat/>
    <w:rsid w:val="00247AA3"/>
    <w:pPr>
      <w:spacing w:before="160"/>
      <w:jc w:val="center"/>
    </w:pPr>
    <w:rPr>
      <w:i/>
      <w:iCs/>
      <w:color w:val="404040" w:themeColor="text1" w:themeTint="BF"/>
    </w:rPr>
  </w:style>
  <w:style w:type="character" w:customStyle="1" w:styleId="QuoteChar">
    <w:name w:val="Quote Char"/>
    <w:basedOn w:val="DefaultParagraphFont"/>
    <w:link w:val="Quote"/>
    <w:uiPriority w:val="29"/>
    <w:rsid w:val="00247AA3"/>
    <w:rPr>
      <w:i/>
      <w:iCs/>
      <w:color w:val="404040" w:themeColor="text1" w:themeTint="BF"/>
    </w:rPr>
  </w:style>
  <w:style w:type="paragraph" w:styleId="ListParagraph">
    <w:name w:val="List Paragraph"/>
    <w:basedOn w:val="Normal"/>
    <w:uiPriority w:val="34"/>
    <w:qFormat/>
    <w:rsid w:val="00B51B0A"/>
    <w:pPr>
      <w:numPr>
        <w:numId w:val="1"/>
      </w:numPr>
      <w:spacing w:after="120" w:line="276" w:lineRule="auto"/>
      <w:ind w:left="567" w:hanging="567"/>
    </w:pPr>
  </w:style>
  <w:style w:type="character" w:styleId="IntenseEmphasis">
    <w:name w:val="Intense Emphasis"/>
    <w:basedOn w:val="DefaultParagraphFont"/>
    <w:uiPriority w:val="21"/>
    <w:qFormat/>
    <w:rsid w:val="00247AA3"/>
    <w:rPr>
      <w:i/>
      <w:iCs/>
      <w:color w:val="0F4761" w:themeColor="accent1" w:themeShade="BF"/>
    </w:rPr>
  </w:style>
  <w:style w:type="paragraph" w:styleId="IntenseQuote">
    <w:name w:val="Intense Quote"/>
    <w:basedOn w:val="Normal"/>
    <w:next w:val="Normal"/>
    <w:link w:val="IntenseQuoteChar"/>
    <w:uiPriority w:val="30"/>
    <w:qFormat/>
    <w:rsid w:val="00247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AA3"/>
    <w:rPr>
      <w:i/>
      <w:iCs/>
      <w:color w:val="0F4761" w:themeColor="accent1" w:themeShade="BF"/>
    </w:rPr>
  </w:style>
  <w:style w:type="character" w:styleId="IntenseReference">
    <w:name w:val="Intense Reference"/>
    <w:basedOn w:val="DefaultParagraphFont"/>
    <w:uiPriority w:val="32"/>
    <w:qFormat/>
    <w:rsid w:val="00247AA3"/>
    <w:rPr>
      <w:b/>
      <w:bCs/>
      <w:smallCaps/>
      <w:color w:val="0F4761" w:themeColor="accent1" w:themeShade="BF"/>
      <w:spacing w:val="5"/>
    </w:rPr>
  </w:style>
  <w:style w:type="paragraph" w:styleId="TOCHeading">
    <w:name w:val="TOC Heading"/>
    <w:basedOn w:val="Heading1"/>
    <w:next w:val="Normal"/>
    <w:uiPriority w:val="39"/>
    <w:unhideWhenUsed/>
    <w:qFormat/>
    <w:rsid w:val="00B42AE6"/>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971C84"/>
    <w:pPr>
      <w:spacing w:after="100"/>
    </w:pPr>
  </w:style>
  <w:style w:type="character" w:styleId="Hyperlink">
    <w:name w:val="Hyperlink"/>
    <w:basedOn w:val="DefaultParagraphFont"/>
    <w:uiPriority w:val="99"/>
    <w:unhideWhenUsed/>
    <w:rsid w:val="00971C84"/>
    <w:rPr>
      <w:color w:val="467886" w:themeColor="hyperlink"/>
      <w:u w:val="single"/>
    </w:rPr>
  </w:style>
  <w:style w:type="paragraph" w:styleId="FootnoteText">
    <w:name w:val="footnote text"/>
    <w:basedOn w:val="Normal"/>
    <w:link w:val="FootnoteTextChar"/>
    <w:uiPriority w:val="99"/>
    <w:semiHidden/>
    <w:unhideWhenUsed/>
    <w:rsid w:val="008F2F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F8C"/>
    <w:rPr>
      <w:rFonts w:ascii="Arial" w:hAnsi="Arial"/>
      <w:sz w:val="20"/>
      <w:szCs w:val="20"/>
    </w:rPr>
  </w:style>
  <w:style w:type="character" w:styleId="FootnoteReference">
    <w:name w:val="footnote reference"/>
    <w:basedOn w:val="DefaultParagraphFont"/>
    <w:uiPriority w:val="99"/>
    <w:semiHidden/>
    <w:unhideWhenUsed/>
    <w:rsid w:val="008F2F8C"/>
    <w:rPr>
      <w:vertAlign w:val="superscript"/>
    </w:rPr>
  </w:style>
  <w:style w:type="character" w:styleId="CommentReference">
    <w:name w:val="annotation reference"/>
    <w:basedOn w:val="DefaultParagraphFont"/>
    <w:uiPriority w:val="99"/>
    <w:semiHidden/>
    <w:unhideWhenUsed/>
    <w:rsid w:val="00334148"/>
    <w:rPr>
      <w:sz w:val="16"/>
      <w:szCs w:val="16"/>
    </w:rPr>
  </w:style>
  <w:style w:type="paragraph" w:styleId="CommentText">
    <w:name w:val="annotation text"/>
    <w:basedOn w:val="Normal"/>
    <w:link w:val="CommentTextChar"/>
    <w:uiPriority w:val="99"/>
    <w:unhideWhenUsed/>
    <w:rsid w:val="00334148"/>
    <w:pPr>
      <w:spacing w:line="240" w:lineRule="auto"/>
    </w:pPr>
    <w:rPr>
      <w:sz w:val="20"/>
      <w:szCs w:val="20"/>
    </w:rPr>
  </w:style>
  <w:style w:type="character" w:customStyle="1" w:styleId="CommentTextChar">
    <w:name w:val="Comment Text Char"/>
    <w:basedOn w:val="DefaultParagraphFont"/>
    <w:link w:val="CommentText"/>
    <w:uiPriority w:val="99"/>
    <w:rsid w:val="0033414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34148"/>
    <w:rPr>
      <w:b/>
      <w:bCs/>
    </w:rPr>
  </w:style>
  <w:style w:type="character" w:customStyle="1" w:styleId="CommentSubjectChar">
    <w:name w:val="Comment Subject Char"/>
    <w:basedOn w:val="CommentTextChar"/>
    <w:link w:val="CommentSubject"/>
    <w:uiPriority w:val="99"/>
    <w:semiHidden/>
    <w:rsid w:val="00334148"/>
    <w:rPr>
      <w:rFonts w:ascii="Arial" w:hAnsi="Arial"/>
      <w:b/>
      <w:bCs/>
      <w:sz w:val="20"/>
      <w:szCs w:val="20"/>
    </w:rPr>
  </w:style>
  <w:style w:type="paragraph" w:styleId="Header">
    <w:name w:val="header"/>
    <w:basedOn w:val="Normal"/>
    <w:link w:val="HeaderChar"/>
    <w:uiPriority w:val="99"/>
    <w:unhideWhenUsed/>
    <w:rsid w:val="00506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D54"/>
    <w:rPr>
      <w:rFonts w:ascii="Arial" w:hAnsi="Arial"/>
    </w:rPr>
  </w:style>
  <w:style w:type="paragraph" w:styleId="Footer">
    <w:name w:val="footer"/>
    <w:basedOn w:val="Normal"/>
    <w:link w:val="FooterChar"/>
    <w:uiPriority w:val="99"/>
    <w:unhideWhenUsed/>
    <w:rsid w:val="00506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D54"/>
    <w:rPr>
      <w:rFonts w:ascii="Arial" w:hAnsi="Arial"/>
    </w:rPr>
  </w:style>
  <w:style w:type="paragraph" w:styleId="TOC2">
    <w:name w:val="toc 2"/>
    <w:basedOn w:val="Normal"/>
    <w:next w:val="Normal"/>
    <w:autoRedefine/>
    <w:uiPriority w:val="39"/>
    <w:unhideWhenUsed/>
    <w:rsid w:val="00B7646F"/>
    <w:pPr>
      <w:spacing w:after="100"/>
      <w:ind w:left="220"/>
    </w:pPr>
  </w:style>
  <w:style w:type="character" w:styleId="UnresolvedMention">
    <w:name w:val="Unresolved Mention"/>
    <w:basedOn w:val="DefaultParagraphFont"/>
    <w:uiPriority w:val="99"/>
    <w:semiHidden/>
    <w:unhideWhenUsed/>
    <w:rsid w:val="009761FB"/>
    <w:rPr>
      <w:color w:val="605E5C"/>
      <w:shd w:val="clear" w:color="auto" w:fill="E1DFDD"/>
    </w:rPr>
  </w:style>
  <w:style w:type="paragraph" w:styleId="NoSpacing">
    <w:name w:val="No Spacing"/>
    <w:uiPriority w:val="1"/>
    <w:qFormat/>
    <w:rsid w:val="00701C29"/>
    <w:pPr>
      <w:spacing w:after="0" w:line="240" w:lineRule="auto"/>
    </w:pPr>
    <w:rPr>
      <w:rFonts w:ascii="Arial" w:hAnsi="Arial"/>
    </w:rPr>
  </w:style>
  <w:style w:type="character" w:styleId="FollowedHyperlink">
    <w:name w:val="FollowedHyperlink"/>
    <w:basedOn w:val="DefaultParagraphFont"/>
    <w:uiPriority w:val="99"/>
    <w:semiHidden/>
    <w:unhideWhenUsed/>
    <w:rsid w:val="00095947"/>
    <w:rPr>
      <w:color w:val="96607D" w:themeColor="followedHyperlink"/>
      <w:u w:val="single"/>
    </w:rPr>
  </w:style>
  <w:style w:type="table" w:styleId="TableGrid">
    <w:name w:val="Table Grid"/>
    <w:basedOn w:val="TableNormal"/>
    <w:uiPriority w:val="39"/>
    <w:rsid w:val="00BE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503B7"/>
    <w:pPr>
      <w:spacing w:after="100"/>
      <w:ind w:left="440"/>
    </w:pPr>
  </w:style>
  <w:style w:type="paragraph" w:styleId="Revision">
    <w:name w:val="Revision"/>
    <w:hidden/>
    <w:uiPriority w:val="99"/>
    <w:semiHidden/>
    <w:rsid w:val="00105CD1"/>
    <w:pPr>
      <w:spacing w:after="0" w:line="240" w:lineRule="auto"/>
    </w:pPr>
    <w:rPr>
      <w:rFonts w:ascii="Arial" w:hAnsi="Arial"/>
    </w:rPr>
  </w:style>
  <w:style w:type="character" w:styleId="Mention">
    <w:name w:val="Mention"/>
    <w:basedOn w:val="DefaultParagraphFont"/>
    <w:uiPriority w:val="99"/>
    <w:unhideWhenUsed/>
    <w:rsid w:val="000B3A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93706">
      <w:bodyDiv w:val="1"/>
      <w:marLeft w:val="0"/>
      <w:marRight w:val="0"/>
      <w:marTop w:val="0"/>
      <w:marBottom w:val="0"/>
      <w:divBdr>
        <w:top w:val="none" w:sz="0" w:space="0" w:color="auto"/>
        <w:left w:val="none" w:sz="0" w:space="0" w:color="auto"/>
        <w:bottom w:val="none" w:sz="0" w:space="0" w:color="auto"/>
        <w:right w:val="none" w:sz="0" w:space="0" w:color="auto"/>
      </w:divBdr>
      <w:divsChild>
        <w:div w:id="205488064">
          <w:marLeft w:val="0"/>
          <w:marRight w:val="0"/>
          <w:marTop w:val="0"/>
          <w:marBottom w:val="0"/>
          <w:divBdr>
            <w:top w:val="none" w:sz="0" w:space="0" w:color="auto"/>
            <w:left w:val="none" w:sz="0" w:space="0" w:color="auto"/>
            <w:bottom w:val="none" w:sz="0" w:space="0" w:color="auto"/>
            <w:right w:val="none" w:sz="0" w:space="0" w:color="auto"/>
          </w:divBdr>
        </w:div>
        <w:div w:id="481771515">
          <w:marLeft w:val="0"/>
          <w:marRight w:val="0"/>
          <w:marTop w:val="0"/>
          <w:marBottom w:val="0"/>
          <w:divBdr>
            <w:top w:val="none" w:sz="0" w:space="0" w:color="auto"/>
            <w:left w:val="none" w:sz="0" w:space="0" w:color="auto"/>
            <w:bottom w:val="none" w:sz="0" w:space="0" w:color="auto"/>
            <w:right w:val="none" w:sz="0" w:space="0" w:color="auto"/>
          </w:divBdr>
        </w:div>
        <w:div w:id="1742215180">
          <w:marLeft w:val="0"/>
          <w:marRight w:val="0"/>
          <w:marTop w:val="0"/>
          <w:marBottom w:val="0"/>
          <w:divBdr>
            <w:top w:val="none" w:sz="0" w:space="0" w:color="auto"/>
            <w:left w:val="none" w:sz="0" w:space="0" w:color="auto"/>
            <w:bottom w:val="none" w:sz="0" w:space="0" w:color="auto"/>
            <w:right w:val="none" w:sz="0" w:space="0" w:color="auto"/>
          </w:divBdr>
        </w:div>
      </w:divsChild>
    </w:div>
    <w:div w:id="906502672">
      <w:bodyDiv w:val="1"/>
      <w:marLeft w:val="0"/>
      <w:marRight w:val="0"/>
      <w:marTop w:val="0"/>
      <w:marBottom w:val="0"/>
      <w:divBdr>
        <w:top w:val="none" w:sz="0" w:space="0" w:color="auto"/>
        <w:left w:val="none" w:sz="0" w:space="0" w:color="auto"/>
        <w:bottom w:val="none" w:sz="0" w:space="0" w:color="auto"/>
        <w:right w:val="none" w:sz="0" w:space="0" w:color="auto"/>
      </w:divBdr>
      <w:divsChild>
        <w:div w:id="270279372">
          <w:marLeft w:val="0"/>
          <w:marRight w:val="0"/>
          <w:marTop w:val="0"/>
          <w:marBottom w:val="0"/>
          <w:divBdr>
            <w:top w:val="none" w:sz="0" w:space="0" w:color="auto"/>
            <w:left w:val="none" w:sz="0" w:space="0" w:color="auto"/>
            <w:bottom w:val="none" w:sz="0" w:space="0" w:color="auto"/>
            <w:right w:val="none" w:sz="0" w:space="0" w:color="auto"/>
          </w:divBdr>
        </w:div>
        <w:div w:id="1899242019">
          <w:marLeft w:val="0"/>
          <w:marRight w:val="0"/>
          <w:marTop w:val="0"/>
          <w:marBottom w:val="0"/>
          <w:divBdr>
            <w:top w:val="none" w:sz="0" w:space="0" w:color="auto"/>
            <w:left w:val="none" w:sz="0" w:space="0" w:color="auto"/>
            <w:bottom w:val="none" w:sz="0" w:space="0" w:color="auto"/>
            <w:right w:val="none" w:sz="0" w:space="0" w:color="auto"/>
          </w:divBdr>
        </w:div>
      </w:divsChild>
    </w:div>
    <w:div w:id="1157499802">
      <w:bodyDiv w:val="1"/>
      <w:marLeft w:val="0"/>
      <w:marRight w:val="0"/>
      <w:marTop w:val="0"/>
      <w:marBottom w:val="0"/>
      <w:divBdr>
        <w:top w:val="none" w:sz="0" w:space="0" w:color="auto"/>
        <w:left w:val="none" w:sz="0" w:space="0" w:color="auto"/>
        <w:bottom w:val="none" w:sz="0" w:space="0" w:color="auto"/>
        <w:right w:val="none" w:sz="0" w:space="0" w:color="auto"/>
      </w:divBdr>
      <w:divsChild>
        <w:div w:id="49157984">
          <w:marLeft w:val="0"/>
          <w:marRight w:val="0"/>
          <w:marTop w:val="0"/>
          <w:marBottom w:val="0"/>
          <w:divBdr>
            <w:top w:val="none" w:sz="0" w:space="0" w:color="auto"/>
            <w:left w:val="none" w:sz="0" w:space="0" w:color="auto"/>
            <w:bottom w:val="none" w:sz="0" w:space="0" w:color="auto"/>
            <w:right w:val="none" w:sz="0" w:space="0" w:color="auto"/>
          </w:divBdr>
        </w:div>
        <w:div w:id="984043421">
          <w:marLeft w:val="0"/>
          <w:marRight w:val="0"/>
          <w:marTop w:val="0"/>
          <w:marBottom w:val="0"/>
          <w:divBdr>
            <w:top w:val="none" w:sz="0" w:space="0" w:color="auto"/>
            <w:left w:val="none" w:sz="0" w:space="0" w:color="auto"/>
            <w:bottom w:val="none" w:sz="0" w:space="0" w:color="auto"/>
            <w:right w:val="none" w:sz="0" w:space="0" w:color="auto"/>
          </w:divBdr>
        </w:div>
        <w:div w:id="1271009528">
          <w:marLeft w:val="0"/>
          <w:marRight w:val="0"/>
          <w:marTop w:val="0"/>
          <w:marBottom w:val="0"/>
          <w:divBdr>
            <w:top w:val="none" w:sz="0" w:space="0" w:color="auto"/>
            <w:left w:val="none" w:sz="0" w:space="0" w:color="auto"/>
            <w:bottom w:val="none" w:sz="0" w:space="0" w:color="auto"/>
            <w:right w:val="none" w:sz="0" w:space="0" w:color="auto"/>
          </w:divBdr>
        </w:div>
      </w:divsChild>
    </w:div>
    <w:div w:id="1297639027">
      <w:bodyDiv w:val="1"/>
      <w:marLeft w:val="0"/>
      <w:marRight w:val="0"/>
      <w:marTop w:val="0"/>
      <w:marBottom w:val="0"/>
      <w:divBdr>
        <w:top w:val="none" w:sz="0" w:space="0" w:color="auto"/>
        <w:left w:val="none" w:sz="0" w:space="0" w:color="auto"/>
        <w:bottom w:val="none" w:sz="0" w:space="0" w:color="auto"/>
        <w:right w:val="none" w:sz="0" w:space="0" w:color="auto"/>
      </w:divBdr>
      <w:divsChild>
        <w:div w:id="876553498">
          <w:marLeft w:val="0"/>
          <w:marRight w:val="0"/>
          <w:marTop w:val="0"/>
          <w:marBottom w:val="0"/>
          <w:divBdr>
            <w:top w:val="none" w:sz="0" w:space="0" w:color="auto"/>
            <w:left w:val="none" w:sz="0" w:space="0" w:color="auto"/>
            <w:bottom w:val="none" w:sz="0" w:space="0" w:color="auto"/>
            <w:right w:val="none" w:sz="0" w:space="0" w:color="auto"/>
          </w:divBdr>
        </w:div>
        <w:div w:id="1029183606">
          <w:marLeft w:val="0"/>
          <w:marRight w:val="0"/>
          <w:marTop w:val="0"/>
          <w:marBottom w:val="0"/>
          <w:divBdr>
            <w:top w:val="none" w:sz="0" w:space="0" w:color="auto"/>
            <w:left w:val="none" w:sz="0" w:space="0" w:color="auto"/>
            <w:bottom w:val="none" w:sz="0" w:space="0" w:color="auto"/>
            <w:right w:val="none" w:sz="0" w:space="0" w:color="auto"/>
          </w:divBdr>
        </w:div>
        <w:div w:id="1719468955">
          <w:marLeft w:val="0"/>
          <w:marRight w:val="0"/>
          <w:marTop w:val="0"/>
          <w:marBottom w:val="0"/>
          <w:divBdr>
            <w:top w:val="none" w:sz="0" w:space="0" w:color="auto"/>
            <w:left w:val="none" w:sz="0" w:space="0" w:color="auto"/>
            <w:bottom w:val="none" w:sz="0" w:space="0" w:color="auto"/>
            <w:right w:val="none" w:sz="0" w:space="0" w:color="auto"/>
          </w:divBdr>
        </w:div>
        <w:div w:id="2003463747">
          <w:marLeft w:val="0"/>
          <w:marRight w:val="0"/>
          <w:marTop w:val="0"/>
          <w:marBottom w:val="0"/>
          <w:divBdr>
            <w:top w:val="none" w:sz="0" w:space="0" w:color="auto"/>
            <w:left w:val="none" w:sz="0" w:space="0" w:color="auto"/>
            <w:bottom w:val="none" w:sz="0" w:space="0" w:color="auto"/>
            <w:right w:val="none" w:sz="0" w:space="0" w:color="auto"/>
          </w:divBdr>
        </w:div>
      </w:divsChild>
    </w:div>
    <w:div w:id="1301417566">
      <w:bodyDiv w:val="1"/>
      <w:marLeft w:val="0"/>
      <w:marRight w:val="0"/>
      <w:marTop w:val="0"/>
      <w:marBottom w:val="0"/>
      <w:divBdr>
        <w:top w:val="none" w:sz="0" w:space="0" w:color="auto"/>
        <w:left w:val="none" w:sz="0" w:space="0" w:color="auto"/>
        <w:bottom w:val="none" w:sz="0" w:space="0" w:color="auto"/>
        <w:right w:val="none" w:sz="0" w:space="0" w:color="auto"/>
      </w:divBdr>
      <w:divsChild>
        <w:div w:id="1298103543">
          <w:marLeft w:val="0"/>
          <w:marRight w:val="0"/>
          <w:marTop w:val="0"/>
          <w:marBottom w:val="0"/>
          <w:divBdr>
            <w:top w:val="none" w:sz="0" w:space="0" w:color="auto"/>
            <w:left w:val="none" w:sz="0" w:space="0" w:color="auto"/>
            <w:bottom w:val="none" w:sz="0" w:space="0" w:color="auto"/>
            <w:right w:val="none" w:sz="0" w:space="0" w:color="auto"/>
          </w:divBdr>
        </w:div>
        <w:div w:id="1515807953">
          <w:marLeft w:val="0"/>
          <w:marRight w:val="0"/>
          <w:marTop w:val="0"/>
          <w:marBottom w:val="0"/>
          <w:divBdr>
            <w:top w:val="none" w:sz="0" w:space="0" w:color="auto"/>
            <w:left w:val="none" w:sz="0" w:space="0" w:color="auto"/>
            <w:bottom w:val="none" w:sz="0" w:space="0" w:color="auto"/>
            <w:right w:val="none" w:sz="0" w:space="0" w:color="auto"/>
          </w:divBdr>
        </w:div>
      </w:divsChild>
    </w:div>
    <w:div w:id="1376270908">
      <w:bodyDiv w:val="1"/>
      <w:marLeft w:val="0"/>
      <w:marRight w:val="0"/>
      <w:marTop w:val="0"/>
      <w:marBottom w:val="0"/>
      <w:divBdr>
        <w:top w:val="none" w:sz="0" w:space="0" w:color="auto"/>
        <w:left w:val="none" w:sz="0" w:space="0" w:color="auto"/>
        <w:bottom w:val="none" w:sz="0" w:space="0" w:color="auto"/>
        <w:right w:val="none" w:sz="0" w:space="0" w:color="auto"/>
      </w:divBdr>
      <w:divsChild>
        <w:div w:id="564073012">
          <w:marLeft w:val="0"/>
          <w:marRight w:val="0"/>
          <w:marTop w:val="0"/>
          <w:marBottom w:val="0"/>
          <w:divBdr>
            <w:top w:val="none" w:sz="0" w:space="0" w:color="auto"/>
            <w:left w:val="none" w:sz="0" w:space="0" w:color="auto"/>
            <w:bottom w:val="none" w:sz="0" w:space="0" w:color="auto"/>
            <w:right w:val="none" w:sz="0" w:space="0" w:color="auto"/>
          </w:divBdr>
        </w:div>
        <w:div w:id="696733433">
          <w:marLeft w:val="0"/>
          <w:marRight w:val="0"/>
          <w:marTop w:val="0"/>
          <w:marBottom w:val="0"/>
          <w:divBdr>
            <w:top w:val="none" w:sz="0" w:space="0" w:color="auto"/>
            <w:left w:val="none" w:sz="0" w:space="0" w:color="auto"/>
            <w:bottom w:val="none" w:sz="0" w:space="0" w:color="auto"/>
            <w:right w:val="none" w:sz="0" w:space="0" w:color="auto"/>
          </w:divBdr>
          <w:divsChild>
            <w:div w:id="196429189">
              <w:marLeft w:val="0"/>
              <w:marRight w:val="0"/>
              <w:marTop w:val="0"/>
              <w:marBottom w:val="0"/>
              <w:divBdr>
                <w:top w:val="none" w:sz="0" w:space="0" w:color="auto"/>
                <w:left w:val="none" w:sz="0" w:space="0" w:color="auto"/>
                <w:bottom w:val="none" w:sz="0" w:space="0" w:color="auto"/>
                <w:right w:val="none" w:sz="0" w:space="0" w:color="auto"/>
              </w:divBdr>
            </w:div>
            <w:div w:id="281693860">
              <w:marLeft w:val="0"/>
              <w:marRight w:val="0"/>
              <w:marTop w:val="0"/>
              <w:marBottom w:val="0"/>
              <w:divBdr>
                <w:top w:val="none" w:sz="0" w:space="0" w:color="auto"/>
                <w:left w:val="none" w:sz="0" w:space="0" w:color="auto"/>
                <w:bottom w:val="none" w:sz="0" w:space="0" w:color="auto"/>
                <w:right w:val="none" w:sz="0" w:space="0" w:color="auto"/>
              </w:divBdr>
            </w:div>
            <w:div w:id="545028069">
              <w:marLeft w:val="0"/>
              <w:marRight w:val="0"/>
              <w:marTop w:val="0"/>
              <w:marBottom w:val="0"/>
              <w:divBdr>
                <w:top w:val="none" w:sz="0" w:space="0" w:color="auto"/>
                <w:left w:val="none" w:sz="0" w:space="0" w:color="auto"/>
                <w:bottom w:val="none" w:sz="0" w:space="0" w:color="auto"/>
                <w:right w:val="none" w:sz="0" w:space="0" w:color="auto"/>
              </w:divBdr>
            </w:div>
            <w:div w:id="624308206">
              <w:marLeft w:val="0"/>
              <w:marRight w:val="0"/>
              <w:marTop w:val="0"/>
              <w:marBottom w:val="0"/>
              <w:divBdr>
                <w:top w:val="none" w:sz="0" w:space="0" w:color="auto"/>
                <w:left w:val="none" w:sz="0" w:space="0" w:color="auto"/>
                <w:bottom w:val="none" w:sz="0" w:space="0" w:color="auto"/>
                <w:right w:val="none" w:sz="0" w:space="0" w:color="auto"/>
              </w:divBdr>
            </w:div>
            <w:div w:id="823592486">
              <w:marLeft w:val="0"/>
              <w:marRight w:val="0"/>
              <w:marTop w:val="0"/>
              <w:marBottom w:val="0"/>
              <w:divBdr>
                <w:top w:val="none" w:sz="0" w:space="0" w:color="auto"/>
                <w:left w:val="none" w:sz="0" w:space="0" w:color="auto"/>
                <w:bottom w:val="none" w:sz="0" w:space="0" w:color="auto"/>
                <w:right w:val="none" w:sz="0" w:space="0" w:color="auto"/>
              </w:divBdr>
            </w:div>
            <w:div w:id="1047949910">
              <w:marLeft w:val="0"/>
              <w:marRight w:val="0"/>
              <w:marTop w:val="0"/>
              <w:marBottom w:val="0"/>
              <w:divBdr>
                <w:top w:val="none" w:sz="0" w:space="0" w:color="auto"/>
                <w:left w:val="none" w:sz="0" w:space="0" w:color="auto"/>
                <w:bottom w:val="none" w:sz="0" w:space="0" w:color="auto"/>
                <w:right w:val="none" w:sz="0" w:space="0" w:color="auto"/>
              </w:divBdr>
            </w:div>
            <w:div w:id="1167936898">
              <w:marLeft w:val="0"/>
              <w:marRight w:val="0"/>
              <w:marTop w:val="0"/>
              <w:marBottom w:val="0"/>
              <w:divBdr>
                <w:top w:val="none" w:sz="0" w:space="0" w:color="auto"/>
                <w:left w:val="none" w:sz="0" w:space="0" w:color="auto"/>
                <w:bottom w:val="none" w:sz="0" w:space="0" w:color="auto"/>
                <w:right w:val="none" w:sz="0" w:space="0" w:color="auto"/>
              </w:divBdr>
            </w:div>
            <w:div w:id="2102407916">
              <w:marLeft w:val="0"/>
              <w:marRight w:val="0"/>
              <w:marTop w:val="0"/>
              <w:marBottom w:val="0"/>
              <w:divBdr>
                <w:top w:val="none" w:sz="0" w:space="0" w:color="auto"/>
                <w:left w:val="none" w:sz="0" w:space="0" w:color="auto"/>
                <w:bottom w:val="none" w:sz="0" w:space="0" w:color="auto"/>
                <w:right w:val="none" w:sz="0" w:space="0" w:color="auto"/>
              </w:divBdr>
            </w:div>
          </w:divsChild>
        </w:div>
        <w:div w:id="1090084963">
          <w:marLeft w:val="0"/>
          <w:marRight w:val="0"/>
          <w:marTop w:val="0"/>
          <w:marBottom w:val="0"/>
          <w:divBdr>
            <w:top w:val="none" w:sz="0" w:space="0" w:color="auto"/>
            <w:left w:val="none" w:sz="0" w:space="0" w:color="auto"/>
            <w:bottom w:val="none" w:sz="0" w:space="0" w:color="auto"/>
            <w:right w:val="none" w:sz="0" w:space="0" w:color="auto"/>
          </w:divBdr>
        </w:div>
        <w:div w:id="1195921988">
          <w:marLeft w:val="0"/>
          <w:marRight w:val="0"/>
          <w:marTop w:val="0"/>
          <w:marBottom w:val="0"/>
          <w:divBdr>
            <w:top w:val="none" w:sz="0" w:space="0" w:color="auto"/>
            <w:left w:val="none" w:sz="0" w:space="0" w:color="auto"/>
            <w:bottom w:val="none" w:sz="0" w:space="0" w:color="auto"/>
            <w:right w:val="none" w:sz="0" w:space="0" w:color="auto"/>
          </w:divBdr>
        </w:div>
        <w:div w:id="1435173910">
          <w:marLeft w:val="0"/>
          <w:marRight w:val="0"/>
          <w:marTop w:val="0"/>
          <w:marBottom w:val="0"/>
          <w:divBdr>
            <w:top w:val="none" w:sz="0" w:space="0" w:color="auto"/>
            <w:left w:val="none" w:sz="0" w:space="0" w:color="auto"/>
            <w:bottom w:val="none" w:sz="0" w:space="0" w:color="auto"/>
            <w:right w:val="none" w:sz="0" w:space="0" w:color="auto"/>
          </w:divBdr>
        </w:div>
      </w:divsChild>
    </w:div>
    <w:div w:id="1388532338">
      <w:bodyDiv w:val="1"/>
      <w:marLeft w:val="0"/>
      <w:marRight w:val="0"/>
      <w:marTop w:val="0"/>
      <w:marBottom w:val="0"/>
      <w:divBdr>
        <w:top w:val="none" w:sz="0" w:space="0" w:color="auto"/>
        <w:left w:val="none" w:sz="0" w:space="0" w:color="auto"/>
        <w:bottom w:val="none" w:sz="0" w:space="0" w:color="auto"/>
        <w:right w:val="none" w:sz="0" w:space="0" w:color="auto"/>
      </w:divBdr>
      <w:divsChild>
        <w:div w:id="2977317">
          <w:marLeft w:val="0"/>
          <w:marRight w:val="0"/>
          <w:marTop w:val="0"/>
          <w:marBottom w:val="0"/>
          <w:divBdr>
            <w:top w:val="none" w:sz="0" w:space="0" w:color="auto"/>
            <w:left w:val="none" w:sz="0" w:space="0" w:color="auto"/>
            <w:bottom w:val="none" w:sz="0" w:space="0" w:color="auto"/>
            <w:right w:val="none" w:sz="0" w:space="0" w:color="auto"/>
          </w:divBdr>
        </w:div>
        <w:div w:id="120147696">
          <w:marLeft w:val="0"/>
          <w:marRight w:val="0"/>
          <w:marTop w:val="0"/>
          <w:marBottom w:val="0"/>
          <w:divBdr>
            <w:top w:val="none" w:sz="0" w:space="0" w:color="auto"/>
            <w:left w:val="none" w:sz="0" w:space="0" w:color="auto"/>
            <w:bottom w:val="none" w:sz="0" w:space="0" w:color="auto"/>
            <w:right w:val="none" w:sz="0" w:space="0" w:color="auto"/>
          </w:divBdr>
        </w:div>
        <w:div w:id="2125727226">
          <w:marLeft w:val="0"/>
          <w:marRight w:val="0"/>
          <w:marTop w:val="0"/>
          <w:marBottom w:val="0"/>
          <w:divBdr>
            <w:top w:val="none" w:sz="0" w:space="0" w:color="auto"/>
            <w:left w:val="none" w:sz="0" w:space="0" w:color="auto"/>
            <w:bottom w:val="none" w:sz="0" w:space="0" w:color="auto"/>
            <w:right w:val="none" w:sz="0" w:space="0" w:color="auto"/>
          </w:divBdr>
        </w:div>
      </w:divsChild>
    </w:div>
    <w:div w:id="1472212302">
      <w:bodyDiv w:val="1"/>
      <w:marLeft w:val="0"/>
      <w:marRight w:val="0"/>
      <w:marTop w:val="0"/>
      <w:marBottom w:val="0"/>
      <w:divBdr>
        <w:top w:val="none" w:sz="0" w:space="0" w:color="auto"/>
        <w:left w:val="none" w:sz="0" w:space="0" w:color="auto"/>
        <w:bottom w:val="none" w:sz="0" w:space="0" w:color="auto"/>
        <w:right w:val="none" w:sz="0" w:space="0" w:color="auto"/>
      </w:divBdr>
      <w:divsChild>
        <w:div w:id="542405779">
          <w:marLeft w:val="0"/>
          <w:marRight w:val="0"/>
          <w:marTop w:val="0"/>
          <w:marBottom w:val="0"/>
          <w:divBdr>
            <w:top w:val="none" w:sz="0" w:space="0" w:color="auto"/>
            <w:left w:val="none" w:sz="0" w:space="0" w:color="auto"/>
            <w:bottom w:val="none" w:sz="0" w:space="0" w:color="auto"/>
            <w:right w:val="none" w:sz="0" w:space="0" w:color="auto"/>
          </w:divBdr>
          <w:divsChild>
            <w:div w:id="374934655">
              <w:marLeft w:val="0"/>
              <w:marRight w:val="0"/>
              <w:marTop w:val="0"/>
              <w:marBottom w:val="0"/>
              <w:divBdr>
                <w:top w:val="none" w:sz="0" w:space="0" w:color="auto"/>
                <w:left w:val="none" w:sz="0" w:space="0" w:color="auto"/>
                <w:bottom w:val="none" w:sz="0" w:space="0" w:color="auto"/>
                <w:right w:val="none" w:sz="0" w:space="0" w:color="auto"/>
              </w:divBdr>
            </w:div>
            <w:div w:id="500241663">
              <w:marLeft w:val="0"/>
              <w:marRight w:val="0"/>
              <w:marTop w:val="0"/>
              <w:marBottom w:val="0"/>
              <w:divBdr>
                <w:top w:val="none" w:sz="0" w:space="0" w:color="auto"/>
                <w:left w:val="none" w:sz="0" w:space="0" w:color="auto"/>
                <w:bottom w:val="none" w:sz="0" w:space="0" w:color="auto"/>
                <w:right w:val="none" w:sz="0" w:space="0" w:color="auto"/>
              </w:divBdr>
            </w:div>
            <w:div w:id="592469619">
              <w:marLeft w:val="0"/>
              <w:marRight w:val="0"/>
              <w:marTop w:val="0"/>
              <w:marBottom w:val="0"/>
              <w:divBdr>
                <w:top w:val="none" w:sz="0" w:space="0" w:color="auto"/>
                <w:left w:val="none" w:sz="0" w:space="0" w:color="auto"/>
                <w:bottom w:val="none" w:sz="0" w:space="0" w:color="auto"/>
                <w:right w:val="none" w:sz="0" w:space="0" w:color="auto"/>
              </w:divBdr>
            </w:div>
            <w:div w:id="1148013103">
              <w:marLeft w:val="0"/>
              <w:marRight w:val="0"/>
              <w:marTop w:val="0"/>
              <w:marBottom w:val="0"/>
              <w:divBdr>
                <w:top w:val="none" w:sz="0" w:space="0" w:color="auto"/>
                <w:left w:val="none" w:sz="0" w:space="0" w:color="auto"/>
                <w:bottom w:val="none" w:sz="0" w:space="0" w:color="auto"/>
                <w:right w:val="none" w:sz="0" w:space="0" w:color="auto"/>
              </w:divBdr>
            </w:div>
            <w:div w:id="1282762691">
              <w:marLeft w:val="0"/>
              <w:marRight w:val="0"/>
              <w:marTop w:val="0"/>
              <w:marBottom w:val="0"/>
              <w:divBdr>
                <w:top w:val="none" w:sz="0" w:space="0" w:color="auto"/>
                <w:left w:val="none" w:sz="0" w:space="0" w:color="auto"/>
                <w:bottom w:val="none" w:sz="0" w:space="0" w:color="auto"/>
                <w:right w:val="none" w:sz="0" w:space="0" w:color="auto"/>
              </w:divBdr>
            </w:div>
            <w:div w:id="1356927396">
              <w:marLeft w:val="0"/>
              <w:marRight w:val="0"/>
              <w:marTop w:val="0"/>
              <w:marBottom w:val="0"/>
              <w:divBdr>
                <w:top w:val="none" w:sz="0" w:space="0" w:color="auto"/>
                <w:left w:val="none" w:sz="0" w:space="0" w:color="auto"/>
                <w:bottom w:val="none" w:sz="0" w:space="0" w:color="auto"/>
                <w:right w:val="none" w:sz="0" w:space="0" w:color="auto"/>
              </w:divBdr>
            </w:div>
            <w:div w:id="1743985593">
              <w:marLeft w:val="0"/>
              <w:marRight w:val="0"/>
              <w:marTop w:val="0"/>
              <w:marBottom w:val="0"/>
              <w:divBdr>
                <w:top w:val="none" w:sz="0" w:space="0" w:color="auto"/>
                <w:left w:val="none" w:sz="0" w:space="0" w:color="auto"/>
                <w:bottom w:val="none" w:sz="0" w:space="0" w:color="auto"/>
                <w:right w:val="none" w:sz="0" w:space="0" w:color="auto"/>
              </w:divBdr>
            </w:div>
            <w:div w:id="1920282806">
              <w:marLeft w:val="0"/>
              <w:marRight w:val="0"/>
              <w:marTop w:val="0"/>
              <w:marBottom w:val="0"/>
              <w:divBdr>
                <w:top w:val="none" w:sz="0" w:space="0" w:color="auto"/>
                <w:left w:val="none" w:sz="0" w:space="0" w:color="auto"/>
                <w:bottom w:val="none" w:sz="0" w:space="0" w:color="auto"/>
                <w:right w:val="none" w:sz="0" w:space="0" w:color="auto"/>
              </w:divBdr>
            </w:div>
          </w:divsChild>
        </w:div>
        <w:div w:id="846138244">
          <w:marLeft w:val="0"/>
          <w:marRight w:val="0"/>
          <w:marTop w:val="0"/>
          <w:marBottom w:val="0"/>
          <w:divBdr>
            <w:top w:val="none" w:sz="0" w:space="0" w:color="auto"/>
            <w:left w:val="none" w:sz="0" w:space="0" w:color="auto"/>
            <w:bottom w:val="none" w:sz="0" w:space="0" w:color="auto"/>
            <w:right w:val="none" w:sz="0" w:space="0" w:color="auto"/>
          </w:divBdr>
        </w:div>
        <w:div w:id="1388652957">
          <w:marLeft w:val="0"/>
          <w:marRight w:val="0"/>
          <w:marTop w:val="0"/>
          <w:marBottom w:val="0"/>
          <w:divBdr>
            <w:top w:val="none" w:sz="0" w:space="0" w:color="auto"/>
            <w:left w:val="none" w:sz="0" w:space="0" w:color="auto"/>
            <w:bottom w:val="none" w:sz="0" w:space="0" w:color="auto"/>
            <w:right w:val="none" w:sz="0" w:space="0" w:color="auto"/>
          </w:divBdr>
        </w:div>
        <w:div w:id="1445348812">
          <w:marLeft w:val="0"/>
          <w:marRight w:val="0"/>
          <w:marTop w:val="0"/>
          <w:marBottom w:val="0"/>
          <w:divBdr>
            <w:top w:val="none" w:sz="0" w:space="0" w:color="auto"/>
            <w:left w:val="none" w:sz="0" w:space="0" w:color="auto"/>
            <w:bottom w:val="none" w:sz="0" w:space="0" w:color="auto"/>
            <w:right w:val="none" w:sz="0" w:space="0" w:color="auto"/>
          </w:divBdr>
        </w:div>
        <w:div w:id="1978220693">
          <w:marLeft w:val="0"/>
          <w:marRight w:val="0"/>
          <w:marTop w:val="0"/>
          <w:marBottom w:val="0"/>
          <w:divBdr>
            <w:top w:val="none" w:sz="0" w:space="0" w:color="auto"/>
            <w:left w:val="none" w:sz="0" w:space="0" w:color="auto"/>
            <w:bottom w:val="none" w:sz="0" w:space="0" w:color="auto"/>
            <w:right w:val="none" w:sz="0" w:space="0" w:color="auto"/>
          </w:divBdr>
        </w:div>
      </w:divsChild>
    </w:div>
    <w:div w:id="1527988065">
      <w:bodyDiv w:val="1"/>
      <w:marLeft w:val="0"/>
      <w:marRight w:val="0"/>
      <w:marTop w:val="0"/>
      <w:marBottom w:val="0"/>
      <w:divBdr>
        <w:top w:val="none" w:sz="0" w:space="0" w:color="auto"/>
        <w:left w:val="none" w:sz="0" w:space="0" w:color="auto"/>
        <w:bottom w:val="none" w:sz="0" w:space="0" w:color="auto"/>
        <w:right w:val="none" w:sz="0" w:space="0" w:color="auto"/>
      </w:divBdr>
    </w:div>
    <w:div w:id="1716158075">
      <w:bodyDiv w:val="1"/>
      <w:marLeft w:val="0"/>
      <w:marRight w:val="0"/>
      <w:marTop w:val="0"/>
      <w:marBottom w:val="0"/>
      <w:divBdr>
        <w:top w:val="none" w:sz="0" w:space="0" w:color="auto"/>
        <w:left w:val="none" w:sz="0" w:space="0" w:color="auto"/>
        <w:bottom w:val="none" w:sz="0" w:space="0" w:color="auto"/>
        <w:right w:val="none" w:sz="0" w:space="0" w:color="auto"/>
      </w:divBdr>
      <w:divsChild>
        <w:div w:id="300230577">
          <w:marLeft w:val="0"/>
          <w:marRight w:val="0"/>
          <w:marTop w:val="0"/>
          <w:marBottom w:val="0"/>
          <w:divBdr>
            <w:top w:val="none" w:sz="0" w:space="0" w:color="auto"/>
            <w:left w:val="none" w:sz="0" w:space="0" w:color="auto"/>
            <w:bottom w:val="none" w:sz="0" w:space="0" w:color="auto"/>
            <w:right w:val="none" w:sz="0" w:space="0" w:color="auto"/>
          </w:divBdr>
        </w:div>
        <w:div w:id="1019158292">
          <w:marLeft w:val="0"/>
          <w:marRight w:val="0"/>
          <w:marTop w:val="0"/>
          <w:marBottom w:val="0"/>
          <w:divBdr>
            <w:top w:val="none" w:sz="0" w:space="0" w:color="auto"/>
            <w:left w:val="none" w:sz="0" w:space="0" w:color="auto"/>
            <w:bottom w:val="none" w:sz="0" w:space="0" w:color="auto"/>
            <w:right w:val="none" w:sz="0" w:space="0" w:color="auto"/>
          </w:divBdr>
        </w:div>
        <w:div w:id="1404838179">
          <w:marLeft w:val="0"/>
          <w:marRight w:val="0"/>
          <w:marTop w:val="0"/>
          <w:marBottom w:val="0"/>
          <w:divBdr>
            <w:top w:val="none" w:sz="0" w:space="0" w:color="auto"/>
            <w:left w:val="none" w:sz="0" w:space="0" w:color="auto"/>
            <w:bottom w:val="none" w:sz="0" w:space="0" w:color="auto"/>
            <w:right w:val="none" w:sz="0" w:space="0" w:color="auto"/>
          </w:divBdr>
        </w:div>
      </w:divsChild>
    </w:div>
    <w:div w:id="1773547103">
      <w:bodyDiv w:val="1"/>
      <w:marLeft w:val="0"/>
      <w:marRight w:val="0"/>
      <w:marTop w:val="0"/>
      <w:marBottom w:val="0"/>
      <w:divBdr>
        <w:top w:val="none" w:sz="0" w:space="0" w:color="auto"/>
        <w:left w:val="none" w:sz="0" w:space="0" w:color="auto"/>
        <w:bottom w:val="none" w:sz="0" w:space="0" w:color="auto"/>
        <w:right w:val="none" w:sz="0" w:space="0" w:color="auto"/>
      </w:divBdr>
      <w:divsChild>
        <w:div w:id="205988419">
          <w:marLeft w:val="0"/>
          <w:marRight w:val="0"/>
          <w:marTop w:val="0"/>
          <w:marBottom w:val="0"/>
          <w:divBdr>
            <w:top w:val="none" w:sz="0" w:space="0" w:color="auto"/>
            <w:left w:val="none" w:sz="0" w:space="0" w:color="auto"/>
            <w:bottom w:val="none" w:sz="0" w:space="0" w:color="auto"/>
            <w:right w:val="none" w:sz="0" w:space="0" w:color="auto"/>
          </w:divBdr>
        </w:div>
        <w:div w:id="2081101806">
          <w:marLeft w:val="0"/>
          <w:marRight w:val="0"/>
          <w:marTop w:val="0"/>
          <w:marBottom w:val="0"/>
          <w:divBdr>
            <w:top w:val="none" w:sz="0" w:space="0" w:color="auto"/>
            <w:left w:val="none" w:sz="0" w:space="0" w:color="auto"/>
            <w:bottom w:val="none" w:sz="0" w:space="0" w:color="auto"/>
            <w:right w:val="none" w:sz="0" w:space="0" w:color="auto"/>
          </w:divBdr>
        </w:div>
      </w:divsChild>
    </w:div>
    <w:div w:id="1776173815">
      <w:bodyDiv w:val="1"/>
      <w:marLeft w:val="0"/>
      <w:marRight w:val="0"/>
      <w:marTop w:val="0"/>
      <w:marBottom w:val="0"/>
      <w:divBdr>
        <w:top w:val="none" w:sz="0" w:space="0" w:color="auto"/>
        <w:left w:val="none" w:sz="0" w:space="0" w:color="auto"/>
        <w:bottom w:val="none" w:sz="0" w:space="0" w:color="auto"/>
        <w:right w:val="none" w:sz="0" w:space="0" w:color="auto"/>
      </w:divBdr>
    </w:div>
    <w:div w:id="1781682077">
      <w:bodyDiv w:val="1"/>
      <w:marLeft w:val="0"/>
      <w:marRight w:val="0"/>
      <w:marTop w:val="0"/>
      <w:marBottom w:val="0"/>
      <w:divBdr>
        <w:top w:val="none" w:sz="0" w:space="0" w:color="auto"/>
        <w:left w:val="none" w:sz="0" w:space="0" w:color="auto"/>
        <w:bottom w:val="none" w:sz="0" w:space="0" w:color="auto"/>
        <w:right w:val="none" w:sz="0" w:space="0" w:color="auto"/>
      </w:divBdr>
      <w:divsChild>
        <w:div w:id="526993227">
          <w:marLeft w:val="0"/>
          <w:marRight w:val="0"/>
          <w:marTop w:val="0"/>
          <w:marBottom w:val="0"/>
          <w:divBdr>
            <w:top w:val="none" w:sz="0" w:space="0" w:color="auto"/>
            <w:left w:val="none" w:sz="0" w:space="0" w:color="auto"/>
            <w:bottom w:val="none" w:sz="0" w:space="0" w:color="auto"/>
            <w:right w:val="none" w:sz="0" w:space="0" w:color="auto"/>
          </w:divBdr>
        </w:div>
        <w:div w:id="799303103">
          <w:marLeft w:val="0"/>
          <w:marRight w:val="0"/>
          <w:marTop w:val="0"/>
          <w:marBottom w:val="0"/>
          <w:divBdr>
            <w:top w:val="none" w:sz="0" w:space="0" w:color="auto"/>
            <w:left w:val="none" w:sz="0" w:space="0" w:color="auto"/>
            <w:bottom w:val="none" w:sz="0" w:space="0" w:color="auto"/>
            <w:right w:val="none" w:sz="0" w:space="0" w:color="auto"/>
          </w:divBdr>
        </w:div>
        <w:div w:id="1992251110">
          <w:marLeft w:val="0"/>
          <w:marRight w:val="0"/>
          <w:marTop w:val="0"/>
          <w:marBottom w:val="0"/>
          <w:divBdr>
            <w:top w:val="none" w:sz="0" w:space="0" w:color="auto"/>
            <w:left w:val="none" w:sz="0" w:space="0" w:color="auto"/>
            <w:bottom w:val="none" w:sz="0" w:space="0" w:color="auto"/>
            <w:right w:val="none" w:sz="0" w:space="0" w:color="auto"/>
          </w:divBdr>
        </w:div>
      </w:divsChild>
    </w:div>
    <w:div w:id="1879120846">
      <w:bodyDiv w:val="1"/>
      <w:marLeft w:val="0"/>
      <w:marRight w:val="0"/>
      <w:marTop w:val="0"/>
      <w:marBottom w:val="0"/>
      <w:divBdr>
        <w:top w:val="none" w:sz="0" w:space="0" w:color="auto"/>
        <w:left w:val="none" w:sz="0" w:space="0" w:color="auto"/>
        <w:bottom w:val="none" w:sz="0" w:space="0" w:color="auto"/>
        <w:right w:val="none" w:sz="0" w:space="0" w:color="auto"/>
      </w:divBdr>
    </w:div>
    <w:div w:id="1961716534">
      <w:bodyDiv w:val="1"/>
      <w:marLeft w:val="0"/>
      <w:marRight w:val="0"/>
      <w:marTop w:val="0"/>
      <w:marBottom w:val="0"/>
      <w:divBdr>
        <w:top w:val="none" w:sz="0" w:space="0" w:color="auto"/>
        <w:left w:val="none" w:sz="0" w:space="0" w:color="auto"/>
        <w:bottom w:val="none" w:sz="0" w:space="0" w:color="auto"/>
        <w:right w:val="none" w:sz="0" w:space="0" w:color="auto"/>
      </w:divBdr>
    </w:div>
    <w:div w:id="1977565768">
      <w:bodyDiv w:val="1"/>
      <w:marLeft w:val="0"/>
      <w:marRight w:val="0"/>
      <w:marTop w:val="0"/>
      <w:marBottom w:val="0"/>
      <w:divBdr>
        <w:top w:val="none" w:sz="0" w:space="0" w:color="auto"/>
        <w:left w:val="none" w:sz="0" w:space="0" w:color="auto"/>
        <w:bottom w:val="none" w:sz="0" w:space="0" w:color="auto"/>
        <w:right w:val="none" w:sz="0" w:space="0" w:color="auto"/>
      </w:divBdr>
    </w:div>
    <w:div w:id="2053772420">
      <w:bodyDiv w:val="1"/>
      <w:marLeft w:val="0"/>
      <w:marRight w:val="0"/>
      <w:marTop w:val="0"/>
      <w:marBottom w:val="0"/>
      <w:divBdr>
        <w:top w:val="none" w:sz="0" w:space="0" w:color="auto"/>
        <w:left w:val="none" w:sz="0" w:space="0" w:color="auto"/>
        <w:bottom w:val="none" w:sz="0" w:space="0" w:color="auto"/>
        <w:right w:val="none" w:sz="0" w:space="0" w:color="auto"/>
      </w:divBdr>
      <w:divsChild>
        <w:div w:id="495536033">
          <w:marLeft w:val="0"/>
          <w:marRight w:val="0"/>
          <w:marTop w:val="0"/>
          <w:marBottom w:val="0"/>
          <w:divBdr>
            <w:top w:val="none" w:sz="0" w:space="0" w:color="auto"/>
            <w:left w:val="none" w:sz="0" w:space="0" w:color="auto"/>
            <w:bottom w:val="none" w:sz="0" w:space="0" w:color="auto"/>
            <w:right w:val="none" w:sz="0" w:space="0" w:color="auto"/>
          </w:divBdr>
        </w:div>
        <w:div w:id="1177697872">
          <w:marLeft w:val="0"/>
          <w:marRight w:val="0"/>
          <w:marTop w:val="0"/>
          <w:marBottom w:val="0"/>
          <w:divBdr>
            <w:top w:val="none" w:sz="0" w:space="0" w:color="auto"/>
            <w:left w:val="none" w:sz="0" w:space="0" w:color="auto"/>
            <w:bottom w:val="none" w:sz="0" w:space="0" w:color="auto"/>
            <w:right w:val="none" w:sz="0" w:space="0" w:color="auto"/>
          </w:divBdr>
        </w:div>
      </w:divsChild>
    </w:div>
    <w:div w:id="2116822736">
      <w:bodyDiv w:val="1"/>
      <w:marLeft w:val="0"/>
      <w:marRight w:val="0"/>
      <w:marTop w:val="0"/>
      <w:marBottom w:val="0"/>
      <w:divBdr>
        <w:top w:val="none" w:sz="0" w:space="0" w:color="auto"/>
        <w:left w:val="none" w:sz="0" w:space="0" w:color="auto"/>
        <w:bottom w:val="none" w:sz="0" w:space="0" w:color="auto"/>
        <w:right w:val="none" w:sz="0" w:space="0" w:color="auto"/>
      </w:divBdr>
      <w:divsChild>
        <w:div w:id="955331838">
          <w:marLeft w:val="0"/>
          <w:marRight w:val="0"/>
          <w:marTop w:val="0"/>
          <w:marBottom w:val="0"/>
          <w:divBdr>
            <w:top w:val="none" w:sz="0" w:space="0" w:color="auto"/>
            <w:left w:val="none" w:sz="0" w:space="0" w:color="auto"/>
            <w:bottom w:val="none" w:sz="0" w:space="0" w:color="auto"/>
            <w:right w:val="none" w:sz="0" w:space="0" w:color="auto"/>
          </w:divBdr>
        </w:div>
        <w:div w:id="1047527519">
          <w:marLeft w:val="0"/>
          <w:marRight w:val="0"/>
          <w:marTop w:val="0"/>
          <w:marBottom w:val="0"/>
          <w:divBdr>
            <w:top w:val="none" w:sz="0" w:space="0" w:color="auto"/>
            <w:left w:val="none" w:sz="0" w:space="0" w:color="auto"/>
            <w:bottom w:val="none" w:sz="0" w:space="0" w:color="auto"/>
            <w:right w:val="none" w:sz="0" w:space="0" w:color="auto"/>
          </w:divBdr>
        </w:div>
        <w:div w:id="1090128388">
          <w:marLeft w:val="0"/>
          <w:marRight w:val="0"/>
          <w:marTop w:val="0"/>
          <w:marBottom w:val="0"/>
          <w:divBdr>
            <w:top w:val="none" w:sz="0" w:space="0" w:color="auto"/>
            <w:left w:val="none" w:sz="0" w:space="0" w:color="auto"/>
            <w:bottom w:val="none" w:sz="0" w:space="0" w:color="auto"/>
            <w:right w:val="none" w:sz="0" w:space="0" w:color="auto"/>
          </w:divBdr>
        </w:div>
        <w:div w:id="1390884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si/2005/3361/regulation/14" TargetMode="External"/><Relationship Id="rId3" Type="http://schemas.openxmlformats.org/officeDocument/2006/relationships/hyperlink" Target="https://www.england.nhs.uk/commissioning/how-commissioning-is-changing/nhs-provider-selection-regime/independent-patient-choice-and-procurement-panel/panel-members/" TargetMode="External"/><Relationship Id="rId7" Type="http://schemas.openxmlformats.org/officeDocument/2006/relationships/hyperlink" Target="https://www.bucksoxonberksw.icb.nhs.uk/" TargetMode="External"/><Relationship Id="rId2" Type="http://schemas.openxmlformats.org/officeDocument/2006/relationships/hyperlink" Target="https://www.england.nhs.uk/commissioning/how-commissioning-is-changing/nhs-provider-selection-regime/independent-patient-choice-and-procurement-panel/" TargetMode="External"/><Relationship Id="rId1" Type="http://schemas.openxmlformats.org/officeDocument/2006/relationships/hyperlink" Target="https://www.bloxhamdentalpractice.co.uk/about-us/" TargetMode="External"/><Relationship Id="rId6" Type="http://schemas.openxmlformats.org/officeDocument/2006/relationships/hyperlink" Target="https://www.england.nhs.uk/long-read/the-provider-selection-regime-statutory-guidance/" TargetMode="External"/><Relationship Id="rId5" Type="http://schemas.openxmlformats.org/officeDocument/2006/relationships/hyperlink" Target="https://www.legislation.gov.uk/uksi/2023/1348/contents/made" TargetMode="External"/><Relationship Id="rId4" Type="http://schemas.openxmlformats.org/officeDocument/2006/relationships/hyperlink" Target="https://www.england.nhs.uk/commissioning/how-commissioning-is-changing/nhs-provider-selection-regime/independent-patient-choice-and-procurement-panel/" TargetMode="External"/><Relationship Id="rId9" Type="http://schemas.openxmlformats.org/officeDocument/2006/relationships/hyperlink" Target="https://haddenhamdental.co.uk/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N xmlns="96410c0b-a514-402d-9462-ba76dadfba38">CMS00</DocumentN>
    <Category xmlns="96410c0b-a514-402d-9462-ba76dadfba38">Case Document</Category>
    <Duplicateversions xmlns="96410c0b-a514-402d-9462-ba76dadfba38" xsi:nil="true"/>
    <lcf76f155ced4ddcb4097134ff3c332f xmlns="96410c0b-a514-402d-9462-ba76dadfba38">
      <Terms xmlns="http://schemas.microsoft.com/office/infopath/2007/PartnerControls"/>
    </lcf76f155ced4ddcb4097134ff3c332f>
    <TaxCatchAll xmlns="47bd0a4b-cdef-49e3-b4c2-dc603af9f461" xsi:nil="true"/>
    <MeetingDate xmlns="96410c0b-a514-402d-9462-ba76dadfba3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B4B43881409A4B9BCB39EE28F08756" ma:contentTypeVersion="28" ma:contentTypeDescription="Create a new document." ma:contentTypeScope="" ma:versionID="11a2bd7aeb646fa61a442c9b9c6febba">
  <xsd:schema xmlns:xsd="http://www.w3.org/2001/XMLSchema" xmlns:xs="http://www.w3.org/2001/XMLSchema" xmlns:p="http://schemas.microsoft.com/office/2006/metadata/properties" xmlns:ns1="http://schemas.microsoft.com/sharepoint/v3" xmlns:ns2="96410c0b-a514-402d-9462-ba76dadfba38" xmlns:ns3="47bd0a4b-cdef-49e3-b4c2-dc603af9f461" targetNamespace="http://schemas.microsoft.com/office/2006/metadata/properties" ma:root="true" ma:fieldsID="fee31a3640ca889a999b7392ac4b6c27" ns1:_="" ns2:_="" ns3:_="">
    <xsd:import namespace="http://schemas.microsoft.com/sharepoint/v3"/>
    <xsd:import namespace="96410c0b-a514-402d-9462-ba76dadfba38"/>
    <xsd:import namespace="47bd0a4b-cdef-49e3-b4c2-dc603af9f461"/>
    <xsd:element name="properties">
      <xsd:complexType>
        <xsd:sequence>
          <xsd:element name="documentManagement">
            <xsd:complexType>
              <xsd:all>
                <xsd:element ref="ns2:Category" minOccurs="0"/>
                <xsd:element ref="ns2:MeetingDate" minOccurs="0"/>
                <xsd:element ref="ns2:DocumentN" minOccurs="0"/>
                <xsd:element ref="ns2:Duplicateversion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10c0b-a514-402d-9462-ba76dadfba38" elementFormDefault="qualified">
    <xsd:import namespace="http://schemas.microsoft.com/office/2006/documentManagement/types"/>
    <xsd:import namespace="http://schemas.microsoft.com/office/infopath/2007/PartnerControls"/>
    <xsd:element name="Category" ma:index="2" nillable="true" ma:displayName="Category " ma:format="Dropdown" ma:internalName="Category">
      <xsd:simpleType>
        <xsd:restriction base="dms:Choice">
          <xsd:enumeration value="Case Document"/>
          <xsd:enumeration value="Evidence Document"/>
          <xsd:enumeration value="E-correspondence"/>
          <xsd:enumeration value="Letter"/>
          <xsd:enumeration value="DO NOT USE"/>
        </xsd:restriction>
      </xsd:simpleType>
    </xsd:element>
    <xsd:element name="MeetingDate" ma:index="4" nillable="true" ma:displayName="Meeting Date " ma:format="DateOnly" ma:internalName="MeetingDate">
      <xsd:simpleType>
        <xsd:restriction base="dms:DateTime"/>
      </xsd:simpleType>
    </xsd:element>
    <xsd:element name="DocumentN" ma:index="5" nillable="true" ma:displayName="Document N" ma:format="Dropdown" ma:internalName="DocumentN">
      <xsd:simpleType>
        <xsd:restriction base="dms:Note">
          <xsd:maxLength value="255"/>
        </xsd:restriction>
      </xsd:simpleType>
    </xsd:element>
    <xsd:element name="Duplicateversions" ma:index="6" nillable="true" ma:displayName="Duplicate versions" ma:format="Dropdown" ma:internalName="Duplicateversion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bd0a4b-cdef-49e3-b4c2-dc603af9f4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ef46ec-daea-48c6-8848-a1cfc81ca0b7}" ma:internalName="TaxCatchAll" ma:showField="CatchAllData" ma:web="47bd0a4b-cdef-49e3-b4c2-dc603af9f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7D4D9-D4EE-4A2A-9370-55F6AE00D4B1}">
  <ds:schemaRefs>
    <ds:schemaRef ds:uri="http://schemas.microsoft.com/sharepoint/v3"/>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47bd0a4b-cdef-49e3-b4c2-dc603af9f461"/>
    <ds:schemaRef ds:uri="96410c0b-a514-402d-9462-ba76dadfba38"/>
  </ds:schemaRefs>
</ds:datastoreItem>
</file>

<file path=customXml/itemProps2.xml><?xml version="1.0" encoding="utf-8"?>
<ds:datastoreItem xmlns:ds="http://schemas.openxmlformats.org/officeDocument/2006/customXml" ds:itemID="{ED6BB0BA-2C4D-4BAB-A3C4-A9F9FA9A03C3}">
  <ds:schemaRefs>
    <ds:schemaRef ds:uri="http://schemas.openxmlformats.org/officeDocument/2006/bibliography"/>
  </ds:schemaRefs>
</ds:datastoreItem>
</file>

<file path=customXml/itemProps3.xml><?xml version="1.0" encoding="utf-8"?>
<ds:datastoreItem xmlns:ds="http://schemas.openxmlformats.org/officeDocument/2006/customXml" ds:itemID="{E30C106A-8FDF-4189-864E-CD98D0A0E7E6}">
  <ds:schemaRefs>
    <ds:schemaRef ds:uri="http://schemas.microsoft.com/sharepoint/v3/contenttype/forms"/>
  </ds:schemaRefs>
</ds:datastoreItem>
</file>

<file path=customXml/itemProps4.xml><?xml version="1.0" encoding="utf-8"?>
<ds:datastoreItem xmlns:ds="http://schemas.openxmlformats.org/officeDocument/2006/customXml" ds:itemID="{D875C6E6-9F8C-475D-8813-18E5CA6F9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10c0b-a514-402d-9462-ba76dadfba38"/>
    <ds:schemaRef ds:uri="47bd0a4b-cdef-49e3-b4c2-dc603af9f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6814</Words>
  <Characters>38845</Characters>
  <Application>Microsoft Office Word</Application>
  <DocSecurity>12</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45568</CharactersWithSpaces>
  <SharedDoc>false</SharedDoc>
  <HLinks>
    <vt:vector size="114" baseType="variant">
      <vt:variant>
        <vt:i4>1441852</vt:i4>
      </vt:variant>
      <vt:variant>
        <vt:i4>56</vt:i4>
      </vt:variant>
      <vt:variant>
        <vt:i4>0</vt:i4>
      </vt:variant>
      <vt:variant>
        <vt:i4>5</vt:i4>
      </vt:variant>
      <vt:variant>
        <vt:lpwstr/>
      </vt:variant>
      <vt:variant>
        <vt:lpwstr>_Toc215595208</vt:lpwstr>
      </vt:variant>
      <vt:variant>
        <vt:i4>1441852</vt:i4>
      </vt:variant>
      <vt:variant>
        <vt:i4>50</vt:i4>
      </vt:variant>
      <vt:variant>
        <vt:i4>0</vt:i4>
      </vt:variant>
      <vt:variant>
        <vt:i4>5</vt:i4>
      </vt:variant>
      <vt:variant>
        <vt:lpwstr/>
      </vt:variant>
      <vt:variant>
        <vt:lpwstr>_Toc215595207</vt:lpwstr>
      </vt:variant>
      <vt:variant>
        <vt:i4>1441852</vt:i4>
      </vt:variant>
      <vt:variant>
        <vt:i4>44</vt:i4>
      </vt:variant>
      <vt:variant>
        <vt:i4>0</vt:i4>
      </vt:variant>
      <vt:variant>
        <vt:i4>5</vt:i4>
      </vt:variant>
      <vt:variant>
        <vt:lpwstr/>
      </vt:variant>
      <vt:variant>
        <vt:lpwstr>_Toc215595206</vt:lpwstr>
      </vt:variant>
      <vt:variant>
        <vt:i4>1441852</vt:i4>
      </vt:variant>
      <vt:variant>
        <vt:i4>38</vt:i4>
      </vt:variant>
      <vt:variant>
        <vt:i4>0</vt:i4>
      </vt:variant>
      <vt:variant>
        <vt:i4>5</vt:i4>
      </vt:variant>
      <vt:variant>
        <vt:lpwstr/>
      </vt:variant>
      <vt:variant>
        <vt:lpwstr>_Toc215595205</vt:lpwstr>
      </vt:variant>
      <vt:variant>
        <vt:i4>1441852</vt:i4>
      </vt:variant>
      <vt:variant>
        <vt:i4>32</vt:i4>
      </vt:variant>
      <vt:variant>
        <vt:i4>0</vt:i4>
      </vt:variant>
      <vt:variant>
        <vt:i4>5</vt:i4>
      </vt:variant>
      <vt:variant>
        <vt:lpwstr/>
      </vt:variant>
      <vt:variant>
        <vt:lpwstr>_Toc215595204</vt:lpwstr>
      </vt:variant>
      <vt:variant>
        <vt:i4>1441852</vt:i4>
      </vt:variant>
      <vt:variant>
        <vt:i4>26</vt:i4>
      </vt:variant>
      <vt:variant>
        <vt:i4>0</vt:i4>
      </vt:variant>
      <vt:variant>
        <vt:i4>5</vt:i4>
      </vt:variant>
      <vt:variant>
        <vt:lpwstr/>
      </vt:variant>
      <vt:variant>
        <vt:lpwstr>_Toc215595203</vt:lpwstr>
      </vt:variant>
      <vt:variant>
        <vt:i4>1441852</vt:i4>
      </vt:variant>
      <vt:variant>
        <vt:i4>20</vt:i4>
      </vt:variant>
      <vt:variant>
        <vt:i4>0</vt:i4>
      </vt:variant>
      <vt:variant>
        <vt:i4>5</vt:i4>
      </vt:variant>
      <vt:variant>
        <vt:lpwstr/>
      </vt:variant>
      <vt:variant>
        <vt:lpwstr>_Toc215595202</vt:lpwstr>
      </vt:variant>
      <vt:variant>
        <vt:i4>1441852</vt:i4>
      </vt:variant>
      <vt:variant>
        <vt:i4>14</vt:i4>
      </vt:variant>
      <vt:variant>
        <vt:i4>0</vt:i4>
      </vt:variant>
      <vt:variant>
        <vt:i4>5</vt:i4>
      </vt:variant>
      <vt:variant>
        <vt:lpwstr/>
      </vt:variant>
      <vt:variant>
        <vt:lpwstr>_Toc215595201</vt:lpwstr>
      </vt:variant>
      <vt:variant>
        <vt:i4>1441852</vt:i4>
      </vt:variant>
      <vt:variant>
        <vt:i4>8</vt:i4>
      </vt:variant>
      <vt:variant>
        <vt:i4>0</vt:i4>
      </vt:variant>
      <vt:variant>
        <vt:i4>5</vt:i4>
      </vt:variant>
      <vt:variant>
        <vt:lpwstr/>
      </vt:variant>
      <vt:variant>
        <vt:lpwstr>_Toc215595200</vt:lpwstr>
      </vt:variant>
      <vt:variant>
        <vt:i4>2031679</vt:i4>
      </vt:variant>
      <vt:variant>
        <vt:i4>2</vt:i4>
      </vt:variant>
      <vt:variant>
        <vt:i4>0</vt:i4>
      </vt:variant>
      <vt:variant>
        <vt:i4>5</vt:i4>
      </vt:variant>
      <vt:variant>
        <vt:lpwstr/>
      </vt:variant>
      <vt:variant>
        <vt:lpwstr>_Toc215595199</vt:lpwstr>
      </vt:variant>
      <vt:variant>
        <vt:i4>2228344</vt:i4>
      </vt:variant>
      <vt:variant>
        <vt:i4>24</vt:i4>
      </vt:variant>
      <vt:variant>
        <vt:i4>0</vt:i4>
      </vt:variant>
      <vt:variant>
        <vt:i4>5</vt:i4>
      </vt:variant>
      <vt:variant>
        <vt:lpwstr>https://haddenhamdental.co.uk/about-us/</vt:lpwstr>
      </vt:variant>
      <vt:variant>
        <vt:lpwstr/>
      </vt:variant>
      <vt:variant>
        <vt:i4>7733365</vt:i4>
      </vt:variant>
      <vt:variant>
        <vt:i4>21</vt:i4>
      </vt:variant>
      <vt:variant>
        <vt:i4>0</vt:i4>
      </vt:variant>
      <vt:variant>
        <vt:i4>5</vt:i4>
      </vt:variant>
      <vt:variant>
        <vt:lpwstr>https://www.legislation.gov.uk/uksi/2005/3361/regulation/14</vt:lpwstr>
      </vt:variant>
      <vt:variant>
        <vt:lpwstr/>
      </vt:variant>
      <vt:variant>
        <vt:i4>8060990</vt:i4>
      </vt:variant>
      <vt:variant>
        <vt:i4>18</vt:i4>
      </vt:variant>
      <vt:variant>
        <vt:i4>0</vt:i4>
      </vt:variant>
      <vt:variant>
        <vt:i4>5</vt:i4>
      </vt:variant>
      <vt:variant>
        <vt:lpwstr>https://www.bucksoxonberksw.icb.nhs.uk/</vt:lpwstr>
      </vt:variant>
      <vt:variant>
        <vt:lpwstr/>
      </vt:variant>
      <vt:variant>
        <vt:i4>2818172</vt:i4>
      </vt:variant>
      <vt:variant>
        <vt:i4>15</vt:i4>
      </vt:variant>
      <vt:variant>
        <vt:i4>0</vt:i4>
      </vt:variant>
      <vt:variant>
        <vt:i4>5</vt:i4>
      </vt:variant>
      <vt:variant>
        <vt:lpwstr>https://www.england.nhs.uk/long-read/the-provider-selection-regime-statutory-guidance/</vt:lpwstr>
      </vt:variant>
      <vt:variant>
        <vt:lpwstr/>
      </vt:variant>
      <vt:variant>
        <vt:i4>3670113</vt:i4>
      </vt:variant>
      <vt:variant>
        <vt:i4>12</vt:i4>
      </vt:variant>
      <vt:variant>
        <vt:i4>0</vt:i4>
      </vt:variant>
      <vt:variant>
        <vt:i4>5</vt:i4>
      </vt:variant>
      <vt:variant>
        <vt:lpwstr>https://www.legislation.gov.uk/uksi/2023/1348/contents/made</vt:lpwstr>
      </vt:variant>
      <vt:variant>
        <vt:lpwstr/>
      </vt:variant>
      <vt:variant>
        <vt:i4>7864419</vt:i4>
      </vt:variant>
      <vt:variant>
        <vt:i4>9</vt:i4>
      </vt:variant>
      <vt:variant>
        <vt:i4>0</vt:i4>
      </vt:variant>
      <vt:variant>
        <vt:i4>5</vt:i4>
      </vt:variant>
      <vt:variant>
        <vt:lpwstr>https://www.england.nhs.uk/commissioning/how-commissioning-is-changing/nhs-provider-selection-regime/independent-patient-choice-and-procurement-panel/</vt:lpwstr>
      </vt:variant>
      <vt:variant>
        <vt:lpwstr/>
      </vt:variant>
      <vt:variant>
        <vt:i4>720903</vt:i4>
      </vt:variant>
      <vt:variant>
        <vt:i4>6</vt:i4>
      </vt:variant>
      <vt:variant>
        <vt:i4>0</vt:i4>
      </vt:variant>
      <vt:variant>
        <vt:i4>5</vt:i4>
      </vt:variant>
      <vt:variant>
        <vt:lpwstr>https://www.england.nhs.uk/commissioning/how-commissioning-is-changing/nhs-provider-selection-regime/independent-patient-choice-and-procurement-panel/panel-members/</vt:lpwstr>
      </vt:variant>
      <vt:variant>
        <vt:lpwstr/>
      </vt:variant>
      <vt:variant>
        <vt:i4>7864419</vt:i4>
      </vt:variant>
      <vt:variant>
        <vt:i4>3</vt:i4>
      </vt:variant>
      <vt:variant>
        <vt:i4>0</vt:i4>
      </vt:variant>
      <vt:variant>
        <vt:i4>5</vt:i4>
      </vt:variant>
      <vt:variant>
        <vt:lpwstr>https://www.england.nhs.uk/commissioning/how-commissioning-is-changing/nhs-provider-selection-regime/independent-patient-choice-and-procurement-panel/</vt:lpwstr>
      </vt:variant>
      <vt:variant>
        <vt:lpwstr/>
      </vt:variant>
      <vt:variant>
        <vt:i4>131073</vt:i4>
      </vt:variant>
      <vt:variant>
        <vt:i4>0</vt:i4>
      </vt:variant>
      <vt:variant>
        <vt:i4>0</vt:i4>
      </vt:variant>
      <vt:variant>
        <vt:i4>5</vt:i4>
      </vt:variant>
      <vt:variant>
        <vt:lpwstr>https://www.bloxhamdentalpractice.co.uk/about-us/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Bianca (NHS SOUTH, CENTRAL AND WEST COMMISSIONING SUPPORT UNIT)</dc:creator>
  <cp:keywords/>
  <dc:description/>
  <cp:lastModifiedBy>WOOTTON, Rebecca (NHS ENGLAND)</cp:lastModifiedBy>
  <cp:revision>2</cp:revision>
  <cp:lastPrinted>2025-12-03T11:45:00Z</cp:lastPrinted>
  <dcterms:created xsi:type="dcterms:W3CDTF">2025-12-04T14:53:00Z</dcterms:created>
  <dcterms:modified xsi:type="dcterms:W3CDTF">2025-12-04T14:53:00Z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0x01010053B4B43881409A4B9BCB39EE28F08756</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